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13EC7" w:rsidRDefault="00575CDB">
      <w:pPr>
        <w:widowControl/>
        <w:jc w:val="center"/>
        <w:rPr>
          <w:rFonts w:asciiTheme="majorEastAsia" w:eastAsiaTheme="majorEastAsia" w:hAnsiTheme="majorEastAsia"/>
          <w:b/>
          <w:sz w:val="44"/>
          <w:szCs w:val="44"/>
        </w:rPr>
      </w:pPr>
      <w:bookmarkStart w:id="0" w:name="_Toc21428"/>
      <w:bookmarkStart w:id="1" w:name="_Toc26836"/>
      <w:bookmarkStart w:id="2" w:name="_Toc503467359"/>
      <w:bookmarkStart w:id="3" w:name="_Toc498705667"/>
      <w:bookmarkStart w:id="4" w:name="_Toc498705668"/>
      <w:bookmarkStart w:id="5" w:name="_Toc498705669"/>
      <w:r>
        <w:rPr>
          <w:rFonts w:asciiTheme="majorEastAsia" w:eastAsiaTheme="majorEastAsia" w:hAnsiTheme="majorEastAsia" w:hint="eastAsia"/>
          <w:b/>
          <w:sz w:val="44"/>
          <w:szCs w:val="44"/>
        </w:rPr>
        <w:t>事  项  目  录</w:t>
      </w:r>
    </w:p>
    <w:p w:rsidR="00013EC7" w:rsidRDefault="00575CDB">
      <w:pPr>
        <w:pStyle w:val="10"/>
        <w:tabs>
          <w:tab w:val="right" w:leader="dot" w:pos="20128"/>
        </w:tabs>
        <w:rPr>
          <w:sz w:val="28"/>
          <w:szCs w:val="28"/>
        </w:rPr>
      </w:pPr>
      <w:r>
        <w:rPr>
          <w:sz w:val="28"/>
          <w:szCs w:val="28"/>
        </w:rPr>
        <w:fldChar w:fldCharType="begin"/>
      </w:r>
      <w:r>
        <w:rPr>
          <w:sz w:val="28"/>
          <w:szCs w:val="28"/>
        </w:rPr>
        <w:instrText xml:space="preserve">TOC \o "1-3" \h \u </w:instrText>
      </w:r>
      <w:r>
        <w:rPr>
          <w:sz w:val="28"/>
          <w:szCs w:val="28"/>
        </w:rPr>
        <w:fldChar w:fldCharType="separate"/>
      </w:r>
      <w:hyperlink w:anchor="_Toc10882" w:history="1">
        <w:r>
          <w:rPr>
            <w:rFonts w:hint="eastAsia"/>
            <w:sz w:val="28"/>
            <w:szCs w:val="28"/>
          </w:rPr>
          <w:t>一、设立登记</w:t>
        </w:r>
        <w:r>
          <w:rPr>
            <w:sz w:val="28"/>
            <w:szCs w:val="28"/>
          </w:rPr>
          <w:tab/>
        </w:r>
        <w:r>
          <w:rPr>
            <w:sz w:val="28"/>
            <w:szCs w:val="28"/>
          </w:rPr>
          <w:fldChar w:fldCharType="begin"/>
        </w:r>
        <w:r>
          <w:rPr>
            <w:sz w:val="28"/>
            <w:szCs w:val="28"/>
          </w:rPr>
          <w:instrText xml:space="preserve"> PAGEREF _Toc10882 </w:instrText>
        </w:r>
        <w:r>
          <w:rPr>
            <w:sz w:val="28"/>
            <w:szCs w:val="28"/>
          </w:rPr>
          <w:fldChar w:fldCharType="separate"/>
        </w:r>
        <w:r>
          <w:rPr>
            <w:sz w:val="28"/>
            <w:szCs w:val="28"/>
          </w:rPr>
          <w:t>9</w:t>
        </w:r>
        <w:r>
          <w:rPr>
            <w:sz w:val="28"/>
            <w:szCs w:val="28"/>
          </w:rPr>
          <w:fldChar w:fldCharType="end"/>
        </w:r>
      </w:hyperlink>
    </w:p>
    <w:p w:rsidR="00013EC7" w:rsidRDefault="005262E6">
      <w:pPr>
        <w:pStyle w:val="10"/>
        <w:tabs>
          <w:tab w:val="right" w:leader="dot" w:pos="20128"/>
        </w:tabs>
        <w:ind w:firstLineChars="200" w:firstLine="420"/>
        <w:rPr>
          <w:sz w:val="28"/>
          <w:szCs w:val="28"/>
        </w:rPr>
      </w:pPr>
      <w:hyperlink w:anchor="_Toc12555" w:history="1">
        <w:r w:rsidR="00575CDB">
          <w:rPr>
            <w:rFonts w:hint="eastAsia"/>
            <w:sz w:val="28"/>
            <w:szCs w:val="28"/>
          </w:rPr>
          <w:t>1.1</w:t>
        </w:r>
        <w:r w:rsidR="00575CDB">
          <w:rPr>
            <w:rFonts w:hint="eastAsia"/>
            <w:sz w:val="28"/>
            <w:szCs w:val="28"/>
          </w:rPr>
          <w:t>临</w:t>
        </w:r>
        <w:r w:rsidR="00575CDB">
          <w:rPr>
            <w:rFonts w:ascii="宋体" w:hAnsi="宋体" w:cs="宋体" w:hint="eastAsia"/>
            <w:sz w:val="28"/>
            <w:szCs w:val="28"/>
          </w:rPr>
          <w:t>时经营纳税人设立登记</w:t>
        </w:r>
        <w:r w:rsidR="00575CDB">
          <w:rPr>
            <w:sz w:val="28"/>
            <w:szCs w:val="28"/>
          </w:rPr>
          <w:tab/>
        </w:r>
        <w:r w:rsidR="00575CDB">
          <w:rPr>
            <w:sz w:val="28"/>
            <w:szCs w:val="28"/>
          </w:rPr>
          <w:fldChar w:fldCharType="begin"/>
        </w:r>
        <w:r w:rsidR="00575CDB">
          <w:rPr>
            <w:sz w:val="28"/>
            <w:szCs w:val="28"/>
          </w:rPr>
          <w:instrText xml:space="preserve"> PAGEREF _Toc12555 </w:instrText>
        </w:r>
        <w:r w:rsidR="00575CDB">
          <w:rPr>
            <w:sz w:val="28"/>
            <w:szCs w:val="28"/>
          </w:rPr>
          <w:fldChar w:fldCharType="separate"/>
        </w:r>
        <w:r w:rsidR="00575CDB">
          <w:rPr>
            <w:sz w:val="28"/>
            <w:szCs w:val="28"/>
          </w:rPr>
          <w:t>9</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28880" w:history="1">
        <w:r w:rsidR="00575CDB">
          <w:rPr>
            <w:rFonts w:hint="eastAsia"/>
            <w:sz w:val="28"/>
            <w:szCs w:val="28"/>
          </w:rPr>
          <w:t>1.2</w:t>
        </w:r>
        <w:r w:rsidR="00575CDB">
          <w:rPr>
            <w:rFonts w:hint="eastAsia"/>
            <w:sz w:val="28"/>
            <w:szCs w:val="28"/>
          </w:rPr>
          <w:t>扣缴税款登记</w:t>
        </w:r>
        <w:r w:rsidR="00575CDB">
          <w:rPr>
            <w:sz w:val="28"/>
            <w:szCs w:val="28"/>
          </w:rPr>
          <w:tab/>
        </w:r>
        <w:r w:rsidR="00575CDB">
          <w:rPr>
            <w:sz w:val="28"/>
            <w:szCs w:val="28"/>
          </w:rPr>
          <w:fldChar w:fldCharType="begin"/>
        </w:r>
        <w:r w:rsidR="00575CDB">
          <w:rPr>
            <w:sz w:val="28"/>
            <w:szCs w:val="28"/>
          </w:rPr>
          <w:instrText xml:space="preserve"> PAGEREF _Toc28880 </w:instrText>
        </w:r>
        <w:r w:rsidR="00575CDB">
          <w:rPr>
            <w:sz w:val="28"/>
            <w:szCs w:val="28"/>
          </w:rPr>
          <w:fldChar w:fldCharType="separate"/>
        </w:r>
        <w:r w:rsidR="00575CDB">
          <w:rPr>
            <w:sz w:val="28"/>
            <w:szCs w:val="28"/>
          </w:rPr>
          <w:t>12</w:t>
        </w:r>
        <w:r w:rsidR="00575CDB">
          <w:rPr>
            <w:sz w:val="28"/>
            <w:szCs w:val="28"/>
          </w:rPr>
          <w:fldChar w:fldCharType="end"/>
        </w:r>
      </w:hyperlink>
    </w:p>
    <w:p w:rsidR="00013EC7" w:rsidRDefault="005262E6">
      <w:pPr>
        <w:pStyle w:val="10"/>
        <w:tabs>
          <w:tab w:val="right" w:leader="dot" w:pos="20128"/>
        </w:tabs>
        <w:rPr>
          <w:sz w:val="28"/>
          <w:szCs w:val="28"/>
        </w:rPr>
      </w:pPr>
      <w:hyperlink w:anchor="_Toc18193" w:history="1">
        <w:r w:rsidR="00575CDB">
          <w:rPr>
            <w:rFonts w:hint="eastAsia"/>
            <w:sz w:val="28"/>
            <w:szCs w:val="28"/>
          </w:rPr>
          <w:t>二、变更登记</w:t>
        </w:r>
        <w:r w:rsidR="00575CDB">
          <w:rPr>
            <w:sz w:val="28"/>
            <w:szCs w:val="28"/>
          </w:rPr>
          <w:tab/>
        </w:r>
        <w:r w:rsidR="00575CDB">
          <w:rPr>
            <w:sz w:val="28"/>
            <w:szCs w:val="28"/>
          </w:rPr>
          <w:fldChar w:fldCharType="begin"/>
        </w:r>
        <w:r w:rsidR="00575CDB">
          <w:rPr>
            <w:sz w:val="28"/>
            <w:szCs w:val="28"/>
          </w:rPr>
          <w:instrText xml:space="preserve"> PAGEREF _Toc18193 </w:instrText>
        </w:r>
        <w:r w:rsidR="00575CDB">
          <w:rPr>
            <w:sz w:val="28"/>
            <w:szCs w:val="28"/>
          </w:rPr>
          <w:fldChar w:fldCharType="separate"/>
        </w:r>
        <w:r w:rsidR="00575CDB">
          <w:rPr>
            <w:sz w:val="28"/>
            <w:szCs w:val="28"/>
          </w:rPr>
          <w:t>14</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5263" w:history="1">
        <w:r w:rsidR="00575CDB">
          <w:rPr>
            <w:rFonts w:hint="eastAsia"/>
            <w:sz w:val="28"/>
            <w:szCs w:val="28"/>
          </w:rPr>
          <w:t>2.1</w:t>
        </w:r>
        <w:r w:rsidR="00575CDB">
          <w:rPr>
            <w:rFonts w:hint="eastAsia"/>
            <w:sz w:val="28"/>
            <w:szCs w:val="28"/>
          </w:rPr>
          <w:t>纳税人跨县（区）迁入</w:t>
        </w:r>
        <w:r w:rsidR="00575CDB">
          <w:rPr>
            <w:sz w:val="28"/>
            <w:szCs w:val="28"/>
          </w:rPr>
          <w:tab/>
        </w:r>
        <w:r w:rsidR="00575CDB">
          <w:rPr>
            <w:sz w:val="28"/>
            <w:szCs w:val="28"/>
          </w:rPr>
          <w:fldChar w:fldCharType="begin"/>
        </w:r>
        <w:r w:rsidR="00575CDB">
          <w:rPr>
            <w:sz w:val="28"/>
            <w:szCs w:val="28"/>
          </w:rPr>
          <w:instrText xml:space="preserve"> PAGEREF _Toc5263 </w:instrText>
        </w:r>
        <w:r w:rsidR="00575CDB">
          <w:rPr>
            <w:sz w:val="28"/>
            <w:szCs w:val="28"/>
          </w:rPr>
          <w:fldChar w:fldCharType="separate"/>
        </w:r>
        <w:r w:rsidR="00575CDB">
          <w:rPr>
            <w:sz w:val="28"/>
            <w:szCs w:val="28"/>
          </w:rPr>
          <w:t>14</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18561" w:history="1">
        <w:r w:rsidR="00575CDB">
          <w:rPr>
            <w:rFonts w:hint="eastAsia"/>
            <w:sz w:val="28"/>
            <w:szCs w:val="28"/>
          </w:rPr>
          <w:t>2.2</w:t>
        </w:r>
        <w:r w:rsidR="00575CDB">
          <w:rPr>
            <w:rFonts w:hint="eastAsia"/>
            <w:sz w:val="28"/>
            <w:szCs w:val="28"/>
          </w:rPr>
          <w:t>停业登记</w:t>
        </w:r>
        <w:r w:rsidR="00575CDB">
          <w:rPr>
            <w:sz w:val="28"/>
            <w:szCs w:val="28"/>
          </w:rPr>
          <w:tab/>
        </w:r>
        <w:r w:rsidR="00575CDB">
          <w:rPr>
            <w:sz w:val="28"/>
            <w:szCs w:val="28"/>
          </w:rPr>
          <w:fldChar w:fldCharType="begin"/>
        </w:r>
        <w:r w:rsidR="00575CDB">
          <w:rPr>
            <w:sz w:val="28"/>
            <w:szCs w:val="28"/>
          </w:rPr>
          <w:instrText xml:space="preserve"> PAGEREF _Toc18561 </w:instrText>
        </w:r>
        <w:r w:rsidR="00575CDB">
          <w:rPr>
            <w:sz w:val="28"/>
            <w:szCs w:val="28"/>
          </w:rPr>
          <w:fldChar w:fldCharType="separate"/>
        </w:r>
        <w:r w:rsidR="00575CDB">
          <w:rPr>
            <w:sz w:val="28"/>
            <w:szCs w:val="28"/>
          </w:rPr>
          <w:t>16</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28635" w:history="1">
        <w:r w:rsidR="00575CDB">
          <w:rPr>
            <w:rFonts w:hint="eastAsia"/>
            <w:sz w:val="28"/>
            <w:szCs w:val="28"/>
          </w:rPr>
          <w:t>2.3</w:t>
        </w:r>
        <w:r w:rsidR="00575CDB">
          <w:rPr>
            <w:rFonts w:hint="eastAsia"/>
            <w:sz w:val="28"/>
            <w:szCs w:val="28"/>
          </w:rPr>
          <w:t>复业登记</w:t>
        </w:r>
        <w:r w:rsidR="00575CDB">
          <w:rPr>
            <w:sz w:val="28"/>
            <w:szCs w:val="28"/>
          </w:rPr>
          <w:tab/>
        </w:r>
        <w:r w:rsidR="00575CDB">
          <w:rPr>
            <w:sz w:val="28"/>
            <w:szCs w:val="28"/>
          </w:rPr>
          <w:fldChar w:fldCharType="begin"/>
        </w:r>
        <w:r w:rsidR="00575CDB">
          <w:rPr>
            <w:sz w:val="28"/>
            <w:szCs w:val="28"/>
          </w:rPr>
          <w:instrText xml:space="preserve"> PAGEREF _Toc28635 </w:instrText>
        </w:r>
        <w:r w:rsidR="00575CDB">
          <w:rPr>
            <w:sz w:val="28"/>
            <w:szCs w:val="28"/>
          </w:rPr>
          <w:fldChar w:fldCharType="separate"/>
        </w:r>
        <w:r w:rsidR="00575CDB">
          <w:rPr>
            <w:sz w:val="28"/>
            <w:szCs w:val="28"/>
          </w:rPr>
          <w:t>18</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9970" w:history="1">
        <w:r w:rsidR="00575CDB">
          <w:rPr>
            <w:rFonts w:hint="eastAsia"/>
            <w:sz w:val="28"/>
            <w:szCs w:val="28"/>
          </w:rPr>
          <w:t>2.4</w:t>
        </w:r>
        <w:r w:rsidR="00575CDB">
          <w:rPr>
            <w:rFonts w:hint="eastAsia"/>
            <w:sz w:val="28"/>
            <w:szCs w:val="28"/>
          </w:rPr>
          <w:t>一照一码信息变更</w:t>
        </w:r>
        <w:r w:rsidR="00575CDB">
          <w:rPr>
            <w:sz w:val="28"/>
            <w:szCs w:val="28"/>
          </w:rPr>
          <w:tab/>
        </w:r>
        <w:r w:rsidR="00575CDB">
          <w:rPr>
            <w:sz w:val="28"/>
            <w:szCs w:val="28"/>
          </w:rPr>
          <w:fldChar w:fldCharType="begin"/>
        </w:r>
        <w:r w:rsidR="00575CDB">
          <w:rPr>
            <w:sz w:val="28"/>
            <w:szCs w:val="28"/>
          </w:rPr>
          <w:instrText xml:space="preserve"> PAGEREF _Toc9970 </w:instrText>
        </w:r>
        <w:r w:rsidR="00575CDB">
          <w:rPr>
            <w:sz w:val="28"/>
            <w:szCs w:val="28"/>
          </w:rPr>
          <w:fldChar w:fldCharType="separate"/>
        </w:r>
        <w:r w:rsidR="00575CDB">
          <w:rPr>
            <w:sz w:val="28"/>
            <w:szCs w:val="28"/>
          </w:rPr>
          <w:t>20</w:t>
        </w:r>
        <w:r w:rsidR="00575CDB">
          <w:rPr>
            <w:sz w:val="28"/>
            <w:szCs w:val="28"/>
          </w:rPr>
          <w:fldChar w:fldCharType="end"/>
        </w:r>
      </w:hyperlink>
    </w:p>
    <w:p w:rsidR="00013EC7" w:rsidRDefault="005262E6">
      <w:pPr>
        <w:pStyle w:val="10"/>
        <w:tabs>
          <w:tab w:val="right" w:leader="dot" w:pos="20128"/>
        </w:tabs>
        <w:rPr>
          <w:sz w:val="28"/>
          <w:szCs w:val="28"/>
        </w:rPr>
      </w:pPr>
      <w:hyperlink w:anchor="_Toc22057" w:history="1">
        <w:r w:rsidR="00575CDB">
          <w:rPr>
            <w:rFonts w:hint="eastAsia"/>
            <w:sz w:val="28"/>
            <w:szCs w:val="28"/>
          </w:rPr>
          <w:t>三、注销登记</w:t>
        </w:r>
        <w:r w:rsidR="00575CDB">
          <w:rPr>
            <w:sz w:val="28"/>
            <w:szCs w:val="28"/>
          </w:rPr>
          <w:tab/>
        </w:r>
        <w:r w:rsidR="00575CDB">
          <w:rPr>
            <w:sz w:val="28"/>
            <w:szCs w:val="28"/>
          </w:rPr>
          <w:fldChar w:fldCharType="begin"/>
        </w:r>
        <w:r w:rsidR="00575CDB">
          <w:rPr>
            <w:sz w:val="28"/>
            <w:szCs w:val="28"/>
          </w:rPr>
          <w:instrText xml:space="preserve"> PAGEREF _Toc22057 </w:instrText>
        </w:r>
        <w:r w:rsidR="00575CDB">
          <w:rPr>
            <w:sz w:val="28"/>
            <w:szCs w:val="28"/>
          </w:rPr>
          <w:fldChar w:fldCharType="separate"/>
        </w:r>
        <w:r w:rsidR="00575CDB">
          <w:rPr>
            <w:sz w:val="28"/>
            <w:szCs w:val="28"/>
          </w:rPr>
          <w:t>24</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30525" w:history="1">
        <w:r w:rsidR="00575CDB">
          <w:rPr>
            <w:rFonts w:hint="eastAsia"/>
            <w:sz w:val="28"/>
            <w:szCs w:val="28"/>
          </w:rPr>
          <w:t>3.1</w:t>
        </w:r>
        <w:r w:rsidR="00575CDB">
          <w:rPr>
            <w:rFonts w:hint="eastAsia"/>
            <w:sz w:val="28"/>
            <w:szCs w:val="28"/>
          </w:rPr>
          <w:t>注销登记（单位及查账征收个体工商户）</w:t>
        </w:r>
        <w:r w:rsidR="00575CDB">
          <w:rPr>
            <w:sz w:val="28"/>
            <w:szCs w:val="28"/>
          </w:rPr>
          <w:tab/>
        </w:r>
        <w:r w:rsidR="00575CDB">
          <w:rPr>
            <w:sz w:val="28"/>
            <w:szCs w:val="28"/>
          </w:rPr>
          <w:fldChar w:fldCharType="begin"/>
        </w:r>
        <w:r w:rsidR="00575CDB">
          <w:rPr>
            <w:sz w:val="28"/>
            <w:szCs w:val="28"/>
          </w:rPr>
          <w:instrText xml:space="preserve"> PAGEREF _Toc30525 </w:instrText>
        </w:r>
        <w:r w:rsidR="00575CDB">
          <w:rPr>
            <w:sz w:val="28"/>
            <w:szCs w:val="28"/>
          </w:rPr>
          <w:fldChar w:fldCharType="separate"/>
        </w:r>
        <w:r w:rsidR="00575CDB">
          <w:rPr>
            <w:sz w:val="28"/>
            <w:szCs w:val="28"/>
          </w:rPr>
          <w:t>24</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17225" w:history="1">
        <w:r w:rsidR="00575CDB">
          <w:rPr>
            <w:rFonts w:hint="eastAsia"/>
            <w:sz w:val="28"/>
            <w:szCs w:val="28"/>
          </w:rPr>
          <w:t>3.2</w:t>
        </w:r>
        <w:r w:rsidR="00575CDB">
          <w:rPr>
            <w:rFonts w:hint="eastAsia"/>
            <w:sz w:val="28"/>
            <w:szCs w:val="28"/>
          </w:rPr>
          <w:t>注销登记（定期定额个体工商户）</w:t>
        </w:r>
        <w:r w:rsidR="00575CDB">
          <w:rPr>
            <w:sz w:val="28"/>
            <w:szCs w:val="28"/>
          </w:rPr>
          <w:tab/>
        </w:r>
        <w:r w:rsidR="00575CDB">
          <w:rPr>
            <w:sz w:val="28"/>
            <w:szCs w:val="28"/>
          </w:rPr>
          <w:fldChar w:fldCharType="begin"/>
        </w:r>
        <w:r w:rsidR="00575CDB">
          <w:rPr>
            <w:sz w:val="28"/>
            <w:szCs w:val="28"/>
          </w:rPr>
          <w:instrText xml:space="preserve"> PAGEREF _Toc17225 </w:instrText>
        </w:r>
        <w:r w:rsidR="00575CDB">
          <w:rPr>
            <w:sz w:val="28"/>
            <w:szCs w:val="28"/>
          </w:rPr>
          <w:fldChar w:fldCharType="separate"/>
        </w:r>
        <w:r w:rsidR="00575CDB">
          <w:rPr>
            <w:sz w:val="28"/>
            <w:szCs w:val="28"/>
          </w:rPr>
          <w:t>27</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24318" w:history="1">
        <w:r w:rsidR="00575CDB">
          <w:rPr>
            <w:rFonts w:hint="eastAsia"/>
            <w:sz w:val="28"/>
            <w:szCs w:val="28"/>
          </w:rPr>
          <w:t>3.3</w:t>
        </w:r>
        <w:r w:rsidR="00575CDB">
          <w:rPr>
            <w:rFonts w:hint="eastAsia"/>
            <w:sz w:val="28"/>
            <w:szCs w:val="28"/>
          </w:rPr>
          <w:t>纳税人跨县（区）迁出</w:t>
        </w:r>
        <w:r w:rsidR="00575CDB">
          <w:rPr>
            <w:sz w:val="28"/>
            <w:szCs w:val="28"/>
          </w:rPr>
          <w:tab/>
        </w:r>
        <w:r w:rsidR="00575CDB">
          <w:rPr>
            <w:sz w:val="28"/>
            <w:szCs w:val="28"/>
          </w:rPr>
          <w:fldChar w:fldCharType="begin"/>
        </w:r>
        <w:r w:rsidR="00575CDB">
          <w:rPr>
            <w:sz w:val="28"/>
            <w:szCs w:val="28"/>
          </w:rPr>
          <w:instrText xml:space="preserve"> PAGEREF _Toc24318 </w:instrText>
        </w:r>
        <w:r w:rsidR="00575CDB">
          <w:rPr>
            <w:sz w:val="28"/>
            <w:szCs w:val="28"/>
          </w:rPr>
          <w:fldChar w:fldCharType="separate"/>
        </w:r>
        <w:r w:rsidR="00575CDB">
          <w:rPr>
            <w:sz w:val="28"/>
            <w:szCs w:val="28"/>
          </w:rPr>
          <w:t>29</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9027" w:history="1">
        <w:r w:rsidR="00575CDB">
          <w:rPr>
            <w:rFonts w:hint="eastAsia"/>
            <w:sz w:val="28"/>
            <w:szCs w:val="28"/>
          </w:rPr>
          <w:t>3.4</w:t>
        </w:r>
        <w:r w:rsidR="00575CDB">
          <w:rPr>
            <w:rFonts w:hint="eastAsia"/>
            <w:sz w:val="28"/>
            <w:szCs w:val="28"/>
          </w:rPr>
          <w:t>开具清税证明</w:t>
        </w:r>
        <w:r w:rsidR="00575CDB">
          <w:rPr>
            <w:sz w:val="28"/>
            <w:szCs w:val="28"/>
          </w:rPr>
          <w:tab/>
        </w:r>
        <w:r w:rsidR="00575CDB">
          <w:rPr>
            <w:sz w:val="28"/>
            <w:szCs w:val="28"/>
          </w:rPr>
          <w:fldChar w:fldCharType="begin"/>
        </w:r>
        <w:r w:rsidR="00575CDB">
          <w:rPr>
            <w:sz w:val="28"/>
            <w:szCs w:val="28"/>
          </w:rPr>
          <w:instrText xml:space="preserve"> PAGEREF _Toc9027 </w:instrText>
        </w:r>
        <w:r w:rsidR="00575CDB">
          <w:rPr>
            <w:sz w:val="28"/>
            <w:szCs w:val="28"/>
          </w:rPr>
          <w:fldChar w:fldCharType="separate"/>
        </w:r>
        <w:r w:rsidR="00575CDB">
          <w:rPr>
            <w:sz w:val="28"/>
            <w:szCs w:val="28"/>
          </w:rPr>
          <w:t>31</w:t>
        </w:r>
        <w:r w:rsidR="00575CDB">
          <w:rPr>
            <w:sz w:val="28"/>
            <w:szCs w:val="28"/>
          </w:rPr>
          <w:fldChar w:fldCharType="end"/>
        </w:r>
      </w:hyperlink>
    </w:p>
    <w:p w:rsidR="00013EC7" w:rsidRDefault="005262E6">
      <w:pPr>
        <w:pStyle w:val="10"/>
        <w:tabs>
          <w:tab w:val="right" w:leader="dot" w:pos="20128"/>
        </w:tabs>
        <w:rPr>
          <w:sz w:val="28"/>
          <w:szCs w:val="28"/>
        </w:rPr>
      </w:pPr>
      <w:hyperlink w:anchor="_Toc2935" w:history="1">
        <w:r w:rsidR="00575CDB">
          <w:rPr>
            <w:rFonts w:hint="eastAsia"/>
            <w:sz w:val="28"/>
            <w:szCs w:val="28"/>
          </w:rPr>
          <w:t>四、报告备案登记</w:t>
        </w:r>
        <w:r w:rsidR="00575CDB">
          <w:rPr>
            <w:sz w:val="28"/>
            <w:szCs w:val="28"/>
          </w:rPr>
          <w:tab/>
        </w:r>
        <w:r w:rsidR="00575CDB">
          <w:rPr>
            <w:sz w:val="28"/>
            <w:szCs w:val="28"/>
          </w:rPr>
          <w:fldChar w:fldCharType="begin"/>
        </w:r>
        <w:r w:rsidR="00575CDB">
          <w:rPr>
            <w:sz w:val="28"/>
            <w:szCs w:val="28"/>
          </w:rPr>
          <w:instrText xml:space="preserve"> PAGEREF _Toc2935 </w:instrText>
        </w:r>
        <w:r w:rsidR="00575CDB">
          <w:rPr>
            <w:sz w:val="28"/>
            <w:szCs w:val="28"/>
          </w:rPr>
          <w:fldChar w:fldCharType="separate"/>
        </w:r>
        <w:r w:rsidR="00575CDB">
          <w:rPr>
            <w:sz w:val="28"/>
            <w:szCs w:val="28"/>
          </w:rPr>
          <w:t>34</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583" w:history="1">
        <w:r w:rsidR="00575CDB">
          <w:rPr>
            <w:rFonts w:hint="eastAsia"/>
            <w:sz w:val="28"/>
            <w:szCs w:val="28"/>
          </w:rPr>
          <w:t>4.1</w:t>
        </w:r>
        <w:r w:rsidR="00575CDB">
          <w:rPr>
            <w:rFonts w:hint="eastAsia"/>
            <w:sz w:val="28"/>
            <w:szCs w:val="28"/>
          </w:rPr>
          <w:t>存款账户账号报告</w:t>
        </w:r>
        <w:r w:rsidR="00575CDB">
          <w:rPr>
            <w:sz w:val="28"/>
            <w:szCs w:val="28"/>
          </w:rPr>
          <w:tab/>
        </w:r>
        <w:r w:rsidR="00575CDB">
          <w:rPr>
            <w:sz w:val="28"/>
            <w:szCs w:val="28"/>
          </w:rPr>
          <w:fldChar w:fldCharType="begin"/>
        </w:r>
        <w:r w:rsidR="00575CDB">
          <w:rPr>
            <w:sz w:val="28"/>
            <w:szCs w:val="28"/>
          </w:rPr>
          <w:instrText xml:space="preserve"> PAGEREF _Toc583 </w:instrText>
        </w:r>
        <w:r w:rsidR="00575CDB">
          <w:rPr>
            <w:sz w:val="28"/>
            <w:szCs w:val="28"/>
          </w:rPr>
          <w:fldChar w:fldCharType="separate"/>
        </w:r>
        <w:r w:rsidR="00575CDB">
          <w:rPr>
            <w:sz w:val="28"/>
            <w:szCs w:val="28"/>
          </w:rPr>
          <w:t>34</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25661" w:history="1">
        <w:r w:rsidR="00575CDB">
          <w:rPr>
            <w:rFonts w:hint="eastAsia"/>
            <w:sz w:val="28"/>
            <w:szCs w:val="28"/>
          </w:rPr>
          <w:t>4.2</w:t>
        </w:r>
        <w:r w:rsidR="00575CDB">
          <w:rPr>
            <w:rFonts w:hint="eastAsia"/>
            <w:sz w:val="28"/>
            <w:szCs w:val="28"/>
          </w:rPr>
          <w:t>财务会计制度及核算软件备案报告</w:t>
        </w:r>
        <w:r w:rsidR="00575CDB">
          <w:rPr>
            <w:sz w:val="28"/>
            <w:szCs w:val="28"/>
          </w:rPr>
          <w:tab/>
        </w:r>
        <w:r w:rsidR="00575CDB">
          <w:rPr>
            <w:sz w:val="28"/>
            <w:szCs w:val="28"/>
          </w:rPr>
          <w:fldChar w:fldCharType="begin"/>
        </w:r>
        <w:r w:rsidR="00575CDB">
          <w:rPr>
            <w:sz w:val="28"/>
            <w:szCs w:val="28"/>
          </w:rPr>
          <w:instrText xml:space="preserve"> PAGEREF _Toc25661 </w:instrText>
        </w:r>
        <w:r w:rsidR="00575CDB">
          <w:rPr>
            <w:sz w:val="28"/>
            <w:szCs w:val="28"/>
          </w:rPr>
          <w:fldChar w:fldCharType="separate"/>
        </w:r>
        <w:r w:rsidR="00575CDB">
          <w:rPr>
            <w:sz w:val="28"/>
            <w:szCs w:val="28"/>
          </w:rPr>
          <w:t>36</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11540" w:history="1">
        <w:r w:rsidR="00575CDB">
          <w:rPr>
            <w:rFonts w:hint="eastAsia"/>
            <w:sz w:val="28"/>
            <w:szCs w:val="28"/>
          </w:rPr>
          <w:t>4.3</w:t>
        </w:r>
        <w:r w:rsidR="00575CDB">
          <w:rPr>
            <w:rFonts w:hint="eastAsia"/>
            <w:sz w:val="28"/>
            <w:szCs w:val="28"/>
          </w:rPr>
          <w:t>企业所得税汇总纳税总分机构信息备案</w:t>
        </w:r>
        <w:r w:rsidR="00575CDB">
          <w:rPr>
            <w:sz w:val="28"/>
            <w:szCs w:val="28"/>
          </w:rPr>
          <w:tab/>
        </w:r>
        <w:r w:rsidR="00575CDB">
          <w:rPr>
            <w:sz w:val="28"/>
            <w:szCs w:val="28"/>
          </w:rPr>
          <w:fldChar w:fldCharType="begin"/>
        </w:r>
        <w:r w:rsidR="00575CDB">
          <w:rPr>
            <w:sz w:val="28"/>
            <w:szCs w:val="28"/>
          </w:rPr>
          <w:instrText xml:space="preserve"> PAGEREF _Toc11540 </w:instrText>
        </w:r>
        <w:r w:rsidR="00575CDB">
          <w:rPr>
            <w:sz w:val="28"/>
            <w:szCs w:val="28"/>
          </w:rPr>
          <w:fldChar w:fldCharType="separate"/>
        </w:r>
        <w:r w:rsidR="00575CDB">
          <w:rPr>
            <w:sz w:val="28"/>
            <w:szCs w:val="28"/>
          </w:rPr>
          <w:t>38</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149" w:history="1">
        <w:r w:rsidR="00575CDB">
          <w:rPr>
            <w:rFonts w:hint="eastAsia"/>
            <w:sz w:val="28"/>
            <w:szCs w:val="28"/>
          </w:rPr>
          <w:t>4.4</w:t>
        </w:r>
        <w:r w:rsidR="00575CDB">
          <w:rPr>
            <w:rFonts w:hint="eastAsia"/>
            <w:sz w:val="28"/>
            <w:szCs w:val="28"/>
          </w:rPr>
          <w:t>货物运输业小规模纳税人申请代开增值税专用发票备案</w:t>
        </w:r>
        <w:r w:rsidR="00575CDB">
          <w:rPr>
            <w:sz w:val="28"/>
            <w:szCs w:val="28"/>
          </w:rPr>
          <w:tab/>
        </w:r>
        <w:r w:rsidR="00575CDB">
          <w:rPr>
            <w:sz w:val="28"/>
            <w:szCs w:val="28"/>
          </w:rPr>
          <w:fldChar w:fldCharType="begin"/>
        </w:r>
        <w:r w:rsidR="00575CDB">
          <w:rPr>
            <w:sz w:val="28"/>
            <w:szCs w:val="28"/>
          </w:rPr>
          <w:instrText xml:space="preserve"> PAGEREF _Toc149 </w:instrText>
        </w:r>
        <w:r w:rsidR="00575CDB">
          <w:rPr>
            <w:sz w:val="28"/>
            <w:szCs w:val="28"/>
          </w:rPr>
          <w:fldChar w:fldCharType="separate"/>
        </w:r>
        <w:r w:rsidR="00575CDB">
          <w:rPr>
            <w:sz w:val="28"/>
            <w:szCs w:val="28"/>
          </w:rPr>
          <w:t>40</w:t>
        </w:r>
        <w:r w:rsidR="00575CDB">
          <w:rPr>
            <w:sz w:val="28"/>
            <w:szCs w:val="28"/>
          </w:rPr>
          <w:fldChar w:fldCharType="end"/>
        </w:r>
      </w:hyperlink>
    </w:p>
    <w:p w:rsidR="00013EC7" w:rsidRDefault="005262E6">
      <w:pPr>
        <w:pStyle w:val="10"/>
        <w:tabs>
          <w:tab w:val="right" w:leader="dot" w:pos="20128"/>
        </w:tabs>
        <w:rPr>
          <w:sz w:val="28"/>
          <w:szCs w:val="28"/>
        </w:rPr>
      </w:pPr>
      <w:hyperlink w:anchor="_Toc19827" w:history="1">
        <w:r w:rsidR="00575CDB">
          <w:rPr>
            <w:rFonts w:hint="eastAsia"/>
            <w:sz w:val="28"/>
            <w:szCs w:val="28"/>
          </w:rPr>
          <w:t>五、跨区域涉税事项</w:t>
        </w:r>
        <w:r w:rsidR="00575CDB">
          <w:rPr>
            <w:sz w:val="28"/>
            <w:szCs w:val="28"/>
          </w:rPr>
          <w:tab/>
        </w:r>
        <w:r w:rsidR="00575CDB">
          <w:rPr>
            <w:sz w:val="28"/>
            <w:szCs w:val="28"/>
          </w:rPr>
          <w:fldChar w:fldCharType="begin"/>
        </w:r>
        <w:r w:rsidR="00575CDB">
          <w:rPr>
            <w:sz w:val="28"/>
            <w:szCs w:val="28"/>
          </w:rPr>
          <w:instrText xml:space="preserve"> PAGEREF _Toc19827 </w:instrText>
        </w:r>
        <w:r w:rsidR="00575CDB">
          <w:rPr>
            <w:sz w:val="28"/>
            <w:szCs w:val="28"/>
          </w:rPr>
          <w:fldChar w:fldCharType="separate"/>
        </w:r>
        <w:r w:rsidR="00575CDB">
          <w:rPr>
            <w:sz w:val="28"/>
            <w:szCs w:val="28"/>
          </w:rPr>
          <w:t>42</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23657" w:history="1">
        <w:r w:rsidR="00575CDB">
          <w:rPr>
            <w:rFonts w:hint="eastAsia"/>
            <w:sz w:val="28"/>
            <w:szCs w:val="28"/>
          </w:rPr>
          <w:t>5.1</w:t>
        </w:r>
        <w:r w:rsidR="00575CDB">
          <w:rPr>
            <w:rFonts w:hint="eastAsia"/>
            <w:sz w:val="28"/>
            <w:szCs w:val="28"/>
          </w:rPr>
          <w:t>跨区域涉税事项报告</w:t>
        </w:r>
        <w:r w:rsidR="00575CDB">
          <w:rPr>
            <w:sz w:val="28"/>
            <w:szCs w:val="28"/>
          </w:rPr>
          <w:tab/>
        </w:r>
        <w:r w:rsidR="00575CDB">
          <w:rPr>
            <w:sz w:val="28"/>
            <w:szCs w:val="28"/>
          </w:rPr>
          <w:fldChar w:fldCharType="begin"/>
        </w:r>
        <w:r w:rsidR="00575CDB">
          <w:rPr>
            <w:sz w:val="28"/>
            <w:szCs w:val="28"/>
          </w:rPr>
          <w:instrText xml:space="preserve"> PAGEREF _Toc23657 </w:instrText>
        </w:r>
        <w:r w:rsidR="00575CDB">
          <w:rPr>
            <w:sz w:val="28"/>
            <w:szCs w:val="28"/>
          </w:rPr>
          <w:fldChar w:fldCharType="separate"/>
        </w:r>
        <w:r w:rsidR="00575CDB">
          <w:rPr>
            <w:sz w:val="28"/>
            <w:szCs w:val="28"/>
          </w:rPr>
          <w:t>42</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11201" w:history="1">
        <w:r w:rsidR="00575CDB">
          <w:rPr>
            <w:rFonts w:hint="eastAsia"/>
            <w:sz w:val="28"/>
            <w:szCs w:val="28"/>
          </w:rPr>
          <w:t>5.2</w:t>
        </w:r>
        <w:r w:rsidR="00575CDB">
          <w:rPr>
            <w:rFonts w:hint="eastAsia"/>
            <w:sz w:val="28"/>
            <w:szCs w:val="28"/>
          </w:rPr>
          <w:t>跨区域涉税事项报验登记</w:t>
        </w:r>
        <w:r w:rsidR="00575CDB">
          <w:rPr>
            <w:sz w:val="28"/>
            <w:szCs w:val="28"/>
          </w:rPr>
          <w:tab/>
        </w:r>
        <w:r w:rsidR="00575CDB">
          <w:rPr>
            <w:sz w:val="28"/>
            <w:szCs w:val="28"/>
          </w:rPr>
          <w:fldChar w:fldCharType="begin"/>
        </w:r>
        <w:r w:rsidR="00575CDB">
          <w:rPr>
            <w:sz w:val="28"/>
            <w:szCs w:val="28"/>
          </w:rPr>
          <w:instrText xml:space="preserve"> PAGEREF _Toc11201 </w:instrText>
        </w:r>
        <w:r w:rsidR="00575CDB">
          <w:rPr>
            <w:sz w:val="28"/>
            <w:szCs w:val="28"/>
          </w:rPr>
          <w:fldChar w:fldCharType="separate"/>
        </w:r>
        <w:r w:rsidR="00575CDB">
          <w:rPr>
            <w:sz w:val="28"/>
            <w:szCs w:val="28"/>
          </w:rPr>
          <w:t>44</w:t>
        </w:r>
        <w:r w:rsidR="00575CDB">
          <w:rPr>
            <w:sz w:val="28"/>
            <w:szCs w:val="28"/>
          </w:rPr>
          <w:fldChar w:fldCharType="end"/>
        </w:r>
      </w:hyperlink>
    </w:p>
    <w:p w:rsidR="00013EC7" w:rsidRDefault="005262E6">
      <w:pPr>
        <w:pStyle w:val="10"/>
        <w:tabs>
          <w:tab w:val="right" w:leader="dot" w:pos="20128"/>
        </w:tabs>
        <w:ind w:firstLineChars="200" w:firstLine="420"/>
        <w:rPr>
          <w:sz w:val="28"/>
          <w:szCs w:val="28"/>
        </w:rPr>
      </w:pPr>
      <w:hyperlink w:anchor="_Toc29249" w:history="1">
        <w:r w:rsidR="00575CDB">
          <w:rPr>
            <w:rFonts w:hint="eastAsia"/>
            <w:sz w:val="28"/>
            <w:szCs w:val="28"/>
          </w:rPr>
          <w:t>5.3</w:t>
        </w:r>
        <w:r w:rsidR="00575CDB">
          <w:rPr>
            <w:rFonts w:hint="eastAsia"/>
            <w:sz w:val="28"/>
            <w:szCs w:val="28"/>
          </w:rPr>
          <w:t>跨区域涉税事项信息反馈</w:t>
        </w:r>
        <w:r w:rsidR="00575CDB">
          <w:rPr>
            <w:sz w:val="28"/>
            <w:szCs w:val="28"/>
          </w:rPr>
          <w:tab/>
        </w:r>
        <w:r w:rsidR="00575CDB">
          <w:rPr>
            <w:sz w:val="28"/>
            <w:szCs w:val="28"/>
          </w:rPr>
          <w:fldChar w:fldCharType="begin"/>
        </w:r>
        <w:r w:rsidR="00575CDB">
          <w:rPr>
            <w:sz w:val="28"/>
            <w:szCs w:val="28"/>
          </w:rPr>
          <w:instrText xml:space="preserve"> PAGEREF _Toc29249 </w:instrText>
        </w:r>
        <w:r w:rsidR="00575CDB">
          <w:rPr>
            <w:sz w:val="28"/>
            <w:szCs w:val="28"/>
          </w:rPr>
          <w:fldChar w:fldCharType="separate"/>
        </w:r>
        <w:r w:rsidR="00575CDB">
          <w:rPr>
            <w:sz w:val="28"/>
            <w:szCs w:val="28"/>
          </w:rPr>
          <w:t>46</w:t>
        </w:r>
        <w:r w:rsidR="00575CDB">
          <w:rPr>
            <w:sz w:val="28"/>
            <w:szCs w:val="28"/>
          </w:rPr>
          <w:fldChar w:fldCharType="end"/>
        </w:r>
      </w:hyperlink>
    </w:p>
    <w:p w:rsidR="00013EC7" w:rsidRDefault="005262E6">
      <w:pPr>
        <w:pStyle w:val="10"/>
        <w:tabs>
          <w:tab w:val="right" w:leader="dot" w:pos="20128"/>
        </w:tabs>
        <w:rPr>
          <w:sz w:val="28"/>
          <w:szCs w:val="28"/>
        </w:rPr>
      </w:pPr>
      <w:hyperlink w:anchor="_Toc17821" w:history="1">
        <w:r w:rsidR="00575CDB">
          <w:rPr>
            <w:rFonts w:hint="eastAsia"/>
            <w:sz w:val="28"/>
            <w:szCs w:val="28"/>
          </w:rPr>
          <w:t>六、增值税一般纳税人登记</w:t>
        </w:r>
        <w:r w:rsidR="00575CDB">
          <w:rPr>
            <w:sz w:val="28"/>
            <w:szCs w:val="28"/>
          </w:rPr>
          <w:tab/>
        </w:r>
        <w:r w:rsidR="00575CDB">
          <w:rPr>
            <w:sz w:val="28"/>
            <w:szCs w:val="28"/>
          </w:rPr>
          <w:fldChar w:fldCharType="begin"/>
        </w:r>
        <w:r w:rsidR="00575CDB">
          <w:rPr>
            <w:sz w:val="28"/>
            <w:szCs w:val="28"/>
          </w:rPr>
          <w:instrText xml:space="preserve"> PAGEREF _Toc17821 </w:instrText>
        </w:r>
        <w:r w:rsidR="00575CDB">
          <w:rPr>
            <w:sz w:val="28"/>
            <w:szCs w:val="28"/>
          </w:rPr>
          <w:fldChar w:fldCharType="separate"/>
        </w:r>
        <w:r w:rsidR="00575CDB">
          <w:rPr>
            <w:sz w:val="28"/>
            <w:szCs w:val="28"/>
          </w:rPr>
          <w:t>48</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18850" w:history="1">
        <w:r w:rsidR="00575CDB">
          <w:rPr>
            <w:rFonts w:hint="eastAsia"/>
            <w:sz w:val="28"/>
            <w:szCs w:val="28"/>
          </w:rPr>
          <w:t>6.1</w:t>
        </w:r>
        <w:r w:rsidR="00575CDB">
          <w:rPr>
            <w:rFonts w:hint="eastAsia"/>
            <w:sz w:val="28"/>
            <w:szCs w:val="28"/>
          </w:rPr>
          <w:t>增值税一般纳税人登记</w:t>
        </w:r>
        <w:r w:rsidR="00575CDB">
          <w:rPr>
            <w:sz w:val="28"/>
            <w:szCs w:val="28"/>
          </w:rPr>
          <w:tab/>
        </w:r>
        <w:r w:rsidR="00575CDB">
          <w:rPr>
            <w:sz w:val="28"/>
            <w:szCs w:val="28"/>
          </w:rPr>
          <w:fldChar w:fldCharType="begin"/>
        </w:r>
        <w:r w:rsidR="00575CDB">
          <w:rPr>
            <w:sz w:val="28"/>
            <w:szCs w:val="28"/>
          </w:rPr>
          <w:instrText xml:space="preserve"> PAGEREF _Toc18850 </w:instrText>
        </w:r>
        <w:r w:rsidR="00575CDB">
          <w:rPr>
            <w:sz w:val="28"/>
            <w:szCs w:val="28"/>
          </w:rPr>
          <w:fldChar w:fldCharType="separate"/>
        </w:r>
        <w:r w:rsidR="00575CDB">
          <w:rPr>
            <w:sz w:val="28"/>
            <w:szCs w:val="28"/>
          </w:rPr>
          <w:t>48</w:t>
        </w:r>
        <w:r w:rsidR="00575CDB">
          <w:rPr>
            <w:sz w:val="28"/>
            <w:szCs w:val="28"/>
          </w:rPr>
          <w:fldChar w:fldCharType="end"/>
        </w:r>
      </w:hyperlink>
    </w:p>
    <w:p w:rsidR="00013EC7" w:rsidRDefault="005262E6">
      <w:pPr>
        <w:pStyle w:val="10"/>
        <w:tabs>
          <w:tab w:val="right" w:leader="dot" w:pos="20128"/>
        </w:tabs>
        <w:ind w:firstLineChars="200" w:firstLine="420"/>
        <w:rPr>
          <w:sz w:val="28"/>
          <w:szCs w:val="28"/>
        </w:rPr>
      </w:pPr>
      <w:hyperlink w:anchor="_Toc11062" w:history="1">
        <w:r w:rsidR="00575CDB">
          <w:rPr>
            <w:rFonts w:hint="eastAsia"/>
            <w:sz w:val="28"/>
            <w:szCs w:val="28"/>
          </w:rPr>
          <w:t>6.2</w:t>
        </w:r>
        <w:r w:rsidR="00575CDB">
          <w:rPr>
            <w:rFonts w:hint="eastAsia"/>
            <w:sz w:val="28"/>
            <w:szCs w:val="28"/>
          </w:rPr>
          <w:t>选择按小规模纳税人纳税</w:t>
        </w:r>
        <w:r w:rsidR="00575CDB">
          <w:rPr>
            <w:rFonts w:hint="eastAsia"/>
            <w:sz w:val="28"/>
            <w:szCs w:val="28"/>
          </w:rPr>
          <w:t>.........</w:t>
        </w:r>
        <w:r w:rsidR="00575CDB">
          <w:rPr>
            <w:sz w:val="28"/>
            <w:szCs w:val="28"/>
          </w:rPr>
          <w:tab/>
        </w:r>
        <w:r w:rsidR="00575CDB">
          <w:rPr>
            <w:sz w:val="28"/>
            <w:szCs w:val="28"/>
          </w:rPr>
          <w:fldChar w:fldCharType="begin"/>
        </w:r>
        <w:r w:rsidR="00575CDB">
          <w:rPr>
            <w:sz w:val="28"/>
            <w:szCs w:val="28"/>
          </w:rPr>
          <w:instrText xml:space="preserve"> PAGEREF _Toc11062 </w:instrText>
        </w:r>
        <w:r w:rsidR="00575CDB">
          <w:rPr>
            <w:sz w:val="28"/>
            <w:szCs w:val="28"/>
          </w:rPr>
          <w:fldChar w:fldCharType="separate"/>
        </w:r>
        <w:r w:rsidR="00575CDB">
          <w:rPr>
            <w:sz w:val="28"/>
            <w:szCs w:val="28"/>
          </w:rPr>
          <w:t>49</w:t>
        </w:r>
        <w:r w:rsidR="00575CDB">
          <w:rPr>
            <w:sz w:val="28"/>
            <w:szCs w:val="28"/>
          </w:rPr>
          <w:fldChar w:fldCharType="end"/>
        </w:r>
      </w:hyperlink>
    </w:p>
    <w:p w:rsidR="00013EC7" w:rsidRDefault="005262E6">
      <w:pPr>
        <w:pStyle w:val="10"/>
        <w:tabs>
          <w:tab w:val="right" w:leader="dot" w:pos="20128"/>
        </w:tabs>
        <w:rPr>
          <w:sz w:val="28"/>
          <w:szCs w:val="28"/>
        </w:rPr>
      </w:pPr>
      <w:hyperlink w:anchor="_Toc17855" w:history="1">
        <w:r w:rsidR="00575CDB">
          <w:rPr>
            <w:rFonts w:hint="eastAsia"/>
            <w:sz w:val="28"/>
            <w:szCs w:val="28"/>
          </w:rPr>
          <w:t>七、非居民企业相关事项办理</w:t>
        </w:r>
        <w:r w:rsidR="00575CDB">
          <w:rPr>
            <w:sz w:val="28"/>
            <w:szCs w:val="28"/>
          </w:rPr>
          <w:tab/>
        </w:r>
        <w:r w:rsidR="00575CDB">
          <w:rPr>
            <w:sz w:val="28"/>
            <w:szCs w:val="28"/>
          </w:rPr>
          <w:fldChar w:fldCharType="begin"/>
        </w:r>
        <w:r w:rsidR="00575CDB">
          <w:rPr>
            <w:sz w:val="28"/>
            <w:szCs w:val="28"/>
          </w:rPr>
          <w:instrText xml:space="preserve"> PAGEREF _Toc17855 </w:instrText>
        </w:r>
        <w:r w:rsidR="00575CDB">
          <w:rPr>
            <w:sz w:val="28"/>
            <w:szCs w:val="28"/>
          </w:rPr>
          <w:fldChar w:fldCharType="separate"/>
        </w:r>
        <w:r w:rsidR="00575CDB">
          <w:rPr>
            <w:sz w:val="28"/>
            <w:szCs w:val="28"/>
          </w:rPr>
          <w:t>52</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24522" w:history="1">
        <w:r w:rsidR="00575CDB">
          <w:rPr>
            <w:rFonts w:hint="eastAsia"/>
            <w:sz w:val="28"/>
            <w:szCs w:val="28"/>
          </w:rPr>
          <w:t>7.1</w:t>
        </w:r>
        <w:r w:rsidR="00575CDB">
          <w:rPr>
            <w:rFonts w:hint="eastAsia"/>
            <w:sz w:val="28"/>
            <w:szCs w:val="28"/>
          </w:rPr>
          <w:t>非居民合同项目备案</w:t>
        </w:r>
        <w:r w:rsidR="00575CDB">
          <w:rPr>
            <w:sz w:val="28"/>
            <w:szCs w:val="28"/>
          </w:rPr>
          <w:tab/>
        </w:r>
        <w:r w:rsidR="00575CDB">
          <w:rPr>
            <w:sz w:val="28"/>
            <w:szCs w:val="28"/>
          </w:rPr>
          <w:fldChar w:fldCharType="begin"/>
        </w:r>
        <w:r w:rsidR="00575CDB">
          <w:rPr>
            <w:sz w:val="28"/>
            <w:szCs w:val="28"/>
          </w:rPr>
          <w:instrText xml:space="preserve"> PAGEREF _Toc24522 </w:instrText>
        </w:r>
        <w:r w:rsidR="00575CDB">
          <w:rPr>
            <w:sz w:val="28"/>
            <w:szCs w:val="28"/>
          </w:rPr>
          <w:fldChar w:fldCharType="separate"/>
        </w:r>
        <w:r w:rsidR="00575CDB">
          <w:rPr>
            <w:sz w:val="28"/>
            <w:szCs w:val="28"/>
          </w:rPr>
          <w:t>52</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7779" w:history="1">
        <w:r w:rsidR="00575CDB">
          <w:rPr>
            <w:rFonts w:hint="eastAsia"/>
            <w:sz w:val="28"/>
            <w:szCs w:val="28"/>
          </w:rPr>
          <w:t>7.2</w:t>
        </w:r>
        <w:r w:rsidR="00575CDB">
          <w:rPr>
            <w:rFonts w:hint="eastAsia"/>
            <w:sz w:val="28"/>
            <w:szCs w:val="28"/>
          </w:rPr>
          <w:t>非居民企业间接转让财产事项报告</w:t>
        </w:r>
        <w:r w:rsidR="00575CDB">
          <w:rPr>
            <w:sz w:val="28"/>
            <w:szCs w:val="28"/>
          </w:rPr>
          <w:tab/>
        </w:r>
        <w:r w:rsidR="00575CDB">
          <w:rPr>
            <w:sz w:val="28"/>
            <w:szCs w:val="28"/>
          </w:rPr>
          <w:fldChar w:fldCharType="begin"/>
        </w:r>
        <w:r w:rsidR="00575CDB">
          <w:rPr>
            <w:sz w:val="28"/>
            <w:szCs w:val="28"/>
          </w:rPr>
          <w:instrText xml:space="preserve"> PAGEREF _Toc7779 </w:instrText>
        </w:r>
        <w:r w:rsidR="00575CDB">
          <w:rPr>
            <w:sz w:val="28"/>
            <w:szCs w:val="28"/>
          </w:rPr>
          <w:fldChar w:fldCharType="separate"/>
        </w:r>
        <w:r w:rsidR="00575CDB">
          <w:rPr>
            <w:sz w:val="28"/>
            <w:szCs w:val="28"/>
          </w:rPr>
          <w:t>55</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8020" w:history="1">
        <w:r w:rsidR="00575CDB">
          <w:rPr>
            <w:rFonts w:hint="eastAsia"/>
            <w:sz w:val="28"/>
            <w:szCs w:val="28"/>
          </w:rPr>
          <w:t>7.3</w:t>
        </w:r>
        <w:r w:rsidR="00575CDB">
          <w:rPr>
            <w:rFonts w:hint="eastAsia"/>
            <w:sz w:val="28"/>
            <w:szCs w:val="28"/>
          </w:rPr>
          <w:t>非居民企业股权转让适用特殊性税务处理的备案</w:t>
        </w:r>
        <w:r w:rsidR="00575CDB">
          <w:rPr>
            <w:sz w:val="28"/>
            <w:szCs w:val="28"/>
          </w:rPr>
          <w:tab/>
        </w:r>
        <w:r w:rsidR="00575CDB">
          <w:rPr>
            <w:sz w:val="28"/>
            <w:szCs w:val="28"/>
          </w:rPr>
          <w:fldChar w:fldCharType="begin"/>
        </w:r>
        <w:r w:rsidR="00575CDB">
          <w:rPr>
            <w:sz w:val="28"/>
            <w:szCs w:val="28"/>
          </w:rPr>
          <w:instrText xml:space="preserve"> PAGEREF _Toc8020 </w:instrText>
        </w:r>
        <w:r w:rsidR="00575CDB">
          <w:rPr>
            <w:sz w:val="28"/>
            <w:szCs w:val="28"/>
          </w:rPr>
          <w:fldChar w:fldCharType="separate"/>
        </w:r>
        <w:r w:rsidR="00575CDB">
          <w:rPr>
            <w:sz w:val="28"/>
            <w:szCs w:val="28"/>
          </w:rPr>
          <w:t>58</w:t>
        </w:r>
        <w:r w:rsidR="00575CDB">
          <w:rPr>
            <w:sz w:val="28"/>
            <w:szCs w:val="28"/>
          </w:rPr>
          <w:fldChar w:fldCharType="end"/>
        </w:r>
      </w:hyperlink>
    </w:p>
    <w:p w:rsidR="00013EC7" w:rsidRDefault="005262E6">
      <w:pPr>
        <w:pStyle w:val="10"/>
        <w:tabs>
          <w:tab w:val="right" w:leader="dot" w:pos="20128"/>
        </w:tabs>
        <w:rPr>
          <w:sz w:val="28"/>
          <w:szCs w:val="28"/>
        </w:rPr>
      </w:pPr>
      <w:hyperlink w:anchor="_Toc32125" w:history="1">
        <w:r w:rsidR="00575CDB">
          <w:rPr>
            <w:rFonts w:hint="eastAsia"/>
            <w:sz w:val="28"/>
            <w:szCs w:val="28"/>
          </w:rPr>
          <w:t>八、增值税一般纳税人选择简易办法计算缴纳增值税</w:t>
        </w:r>
        <w:r w:rsidR="00575CDB">
          <w:rPr>
            <w:sz w:val="28"/>
            <w:szCs w:val="28"/>
          </w:rPr>
          <w:tab/>
        </w:r>
        <w:r w:rsidR="00575CDB">
          <w:rPr>
            <w:sz w:val="28"/>
            <w:szCs w:val="28"/>
          </w:rPr>
          <w:fldChar w:fldCharType="begin"/>
        </w:r>
        <w:r w:rsidR="00575CDB">
          <w:rPr>
            <w:sz w:val="28"/>
            <w:szCs w:val="28"/>
          </w:rPr>
          <w:instrText xml:space="preserve"> PAGEREF _Toc32125 </w:instrText>
        </w:r>
        <w:r w:rsidR="00575CDB">
          <w:rPr>
            <w:sz w:val="28"/>
            <w:szCs w:val="28"/>
          </w:rPr>
          <w:fldChar w:fldCharType="separate"/>
        </w:r>
        <w:r w:rsidR="00575CDB">
          <w:rPr>
            <w:sz w:val="28"/>
            <w:szCs w:val="28"/>
          </w:rPr>
          <w:t>60</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14975" w:history="1">
        <w:r w:rsidR="00575CDB">
          <w:rPr>
            <w:rFonts w:hint="eastAsia"/>
            <w:sz w:val="28"/>
            <w:szCs w:val="28"/>
          </w:rPr>
          <w:t>8.1.</w:t>
        </w:r>
        <w:r w:rsidR="00575CDB">
          <w:rPr>
            <w:rFonts w:hint="eastAsia"/>
            <w:sz w:val="28"/>
            <w:szCs w:val="28"/>
          </w:rPr>
          <w:t>增值税一般纳税人选择简易办法计算缴纳增值税</w:t>
        </w:r>
        <w:r w:rsidR="00575CDB">
          <w:rPr>
            <w:sz w:val="28"/>
            <w:szCs w:val="28"/>
          </w:rPr>
          <w:tab/>
        </w:r>
        <w:r w:rsidR="00575CDB">
          <w:rPr>
            <w:sz w:val="28"/>
            <w:szCs w:val="28"/>
          </w:rPr>
          <w:fldChar w:fldCharType="begin"/>
        </w:r>
        <w:r w:rsidR="00575CDB">
          <w:rPr>
            <w:sz w:val="28"/>
            <w:szCs w:val="28"/>
          </w:rPr>
          <w:instrText xml:space="preserve"> PAGEREF _Toc14975 </w:instrText>
        </w:r>
        <w:r w:rsidR="00575CDB">
          <w:rPr>
            <w:sz w:val="28"/>
            <w:szCs w:val="28"/>
          </w:rPr>
          <w:fldChar w:fldCharType="separate"/>
        </w:r>
        <w:r w:rsidR="00575CDB">
          <w:rPr>
            <w:sz w:val="28"/>
            <w:szCs w:val="28"/>
          </w:rPr>
          <w:t>60</w:t>
        </w:r>
        <w:r w:rsidR="00575CDB">
          <w:rPr>
            <w:sz w:val="28"/>
            <w:szCs w:val="28"/>
          </w:rPr>
          <w:fldChar w:fldCharType="end"/>
        </w:r>
      </w:hyperlink>
    </w:p>
    <w:p w:rsidR="00013EC7" w:rsidRDefault="005262E6">
      <w:pPr>
        <w:pStyle w:val="10"/>
        <w:tabs>
          <w:tab w:val="right" w:leader="dot" w:pos="20128"/>
        </w:tabs>
        <w:rPr>
          <w:sz w:val="28"/>
          <w:szCs w:val="28"/>
        </w:rPr>
      </w:pPr>
      <w:hyperlink w:anchor="_Toc19893" w:history="1">
        <w:r w:rsidR="00575CDB">
          <w:rPr>
            <w:rFonts w:hint="eastAsia"/>
            <w:sz w:val="28"/>
            <w:szCs w:val="28"/>
          </w:rPr>
          <w:t>九、汇总纳税事项办理</w:t>
        </w:r>
        <w:r w:rsidR="00575CDB">
          <w:rPr>
            <w:sz w:val="28"/>
            <w:szCs w:val="28"/>
          </w:rPr>
          <w:tab/>
        </w:r>
        <w:r w:rsidR="00575CDB">
          <w:rPr>
            <w:sz w:val="28"/>
            <w:szCs w:val="28"/>
          </w:rPr>
          <w:fldChar w:fldCharType="begin"/>
        </w:r>
        <w:r w:rsidR="00575CDB">
          <w:rPr>
            <w:sz w:val="28"/>
            <w:szCs w:val="28"/>
          </w:rPr>
          <w:instrText xml:space="preserve"> PAGEREF _Toc19893 </w:instrText>
        </w:r>
        <w:r w:rsidR="00575CDB">
          <w:rPr>
            <w:sz w:val="28"/>
            <w:szCs w:val="28"/>
          </w:rPr>
          <w:fldChar w:fldCharType="separate"/>
        </w:r>
        <w:r w:rsidR="00575CDB">
          <w:rPr>
            <w:sz w:val="28"/>
            <w:szCs w:val="28"/>
          </w:rPr>
          <w:t>64</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850" w:history="1">
        <w:r w:rsidR="00575CDB">
          <w:rPr>
            <w:rFonts w:hint="eastAsia"/>
            <w:sz w:val="28"/>
            <w:szCs w:val="28"/>
          </w:rPr>
          <w:t>9.1</w:t>
        </w:r>
        <w:r w:rsidR="00575CDB">
          <w:rPr>
            <w:rFonts w:hint="eastAsia"/>
            <w:sz w:val="28"/>
            <w:szCs w:val="28"/>
          </w:rPr>
          <w:t>汇总缴纳增值税、消费税事项办理</w:t>
        </w:r>
        <w:r w:rsidR="00575CDB">
          <w:rPr>
            <w:sz w:val="28"/>
            <w:szCs w:val="28"/>
          </w:rPr>
          <w:tab/>
        </w:r>
        <w:r w:rsidR="00575CDB">
          <w:rPr>
            <w:sz w:val="28"/>
            <w:szCs w:val="28"/>
          </w:rPr>
          <w:fldChar w:fldCharType="begin"/>
        </w:r>
        <w:r w:rsidR="00575CDB">
          <w:rPr>
            <w:sz w:val="28"/>
            <w:szCs w:val="28"/>
          </w:rPr>
          <w:instrText xml:space="preserve"> PAGEREF _Toc850 </w:instrText>
        </w:r>
        <w:r w:rsidR="00575CDB">
          <w:rPr>
            <w:sz w:val="28"/>
            <w:szCs w:val="28"/>
          </w:rPr>
          <w:fldChar w:fldCharType="separate"/>
        </w:r>
        <w:r w:rsidR="00575CDB">
          <w:rPr>
            <w:sz w:val="28"/>
            <w:szCs w:val="28"/>
          </w:rPr>
          <w:t>64</w:t>
        </w:r>
        <w:r w:rsidR="00575CDB">
          <w:rPr>
            <w:sz w:val="28"/>
            <w:szCs w:val="28"/>
          </w:rPr>
          <w:fldChar w:fldCharType="end"/>
        </w:r>
      </w:hyperlink>
    </w:p>
    <w:p w:rsidR="00013EC7" w:rsidRDefault="005262E6">
      <w:pPr>
        <w:pStyle w:val="10"/>
        <w:tabs>
          <w:tab w:val="right" w:leader="dot" w:pos="20128"/>
        </w:tabs>
        <w:rPr>
          <w:sz w:val="28"/>
          <w:szCs w:val="28"/>
        </w:rPr>
      </w:pPr>
      <w:hyperlink w:anchor="_Toc27372" w:history="1">
        <w:r w:rsidR="00575CDB">
          <w:rPr>
            <w:rFonts w:hint="eastAsia"/>
            <w:sz w:val="28"/>
            <w:szCs w:val="28"/>
          </w:rPr>
          <w:t>十、境外注册中资控股居民企业相关事项认定</w:t>
        </w:r>
        <w:r w:rsidR="00575CDB">
          <w:rPr>
            <w:sz w:val="28"/>
            <w:szCs w:val="28"/>
          </w:rPr>
          <w:tab/>
        </w:r>
        <w:r w:rsidR="00575CDB">
          <w:rPr>
            <w:sz w:val="28"/>
            <w:szCs w:val="28"/>
          </w:rPr>
          <w:fldChar w:fldCharType="begin"/>
        </w:r>
        <w:r w:rsidR="00575CDB">
          <w:rPr>
            <w:sz w:val="28"/>
            <w:szCs w:val="28"/>
          </w:rPr>
          <w:instrText xml:space="preserve"> PAGEREF _Toc27372 </w:instrText>
        </w:r>
        <w:r w:rsidR="00575CDB">
          <w:rPr>
            <w:sz w:val="28"/>
            <w:szCs w:val="28"/>
          </w:rPr>
          <w:fldChar w:fldCharType="separate"/>
        </w:r>
        <w:r w:rsidR="00575CDB">
          <w:rPr>
            <w:sz w:val="28"/>
            <w:szCs w:val="28"/>
          </w:rPr>
          <w:t>67</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22588" w:history="1">
        <w:r w:rsidR="00575CDB">
          <w:rPr>
            <w:rFonts w:hint="eastAsia"/>
            <w:sz w:val="28"/>
            <w:szCs w:val="28"/>
          </w:rPr>
          <w:t>10</w:t>
        </w:r>
        <w:r w:rsidR="00575CDB">
          <w:rPr>
            <w:sz w:val="28"/>
            <w:szCs w:val="28"/>
          </w:rPr>
          <w:t>.</w:t>
        </w:r>
        <w:r w:rsidR="00575CDB">
          <w:rPr>
            <w:rFonts w:hint="eastAsia"/>
            <w:sz w:val="28"/>
            <w:szCs w:val="28"/>
          </w:rPr>
          <w:t>1</w:t>
        </w:r>
        <w:r w:rsidR="00575CDB">
          <w:rPr>
            <w:rFonts w:hint="eastAsia"/>
            <w:sz w:val="28"/>
            <w:szCs w:val="28"/>
          </w:rPr>
          <w:t>境外注册中资控股企业居民身份认定申请</w:t>
        </w:r>
        <w:r w:rsidR="00575CDB">
          <w:rPr>
            <w:sz w:val="28"/>
            <w:szCs w:val="28"/>
          </w:rPr>
          <w:tab/>
        </w:r>
        <w:r w:rsidR="00575CDB">
          <w:rPr>
            <w:sz w:val="28"/>
            <w:szCs w:val="28"/>
          </w:rPr>
          <w:fldChar w:fldCharType="begin"/>
        </w:r>
        <w:r w:rsidR="00575CDB">
          <w:rPr>
            <w:sz w:val="28"/>
            <w:szCs w:val="28"/>
          </w:rPr>
          <w:instrText xml:space="preserve"> PAGEREF _Toc22588 </w:instrText>
        </w:r>
        <w:r w:rsidR="00575CDB">
          <w:rPr>
            <w:sz w:val="28"/>
            <w:szCs w:val="28"/>
          </w:rPr>
          <w:fldChar w:fldCharType="separate"/>
        </w:r>
        <w:r w:rsidR="00575CDB">
          <w:rPr>
            <w:sz w:val="28"/>
            <w:szCs w:val="28"/>
          </w:rPr>
          <w:t>67</w:t>
        </w:r>
        <w:r w:rsidR="00575CDB">
          <w:rPr>
            <w:sz w:val="28"/>
            <w:szCs w:val="28"/>
          </w:rPr>
          <w:fldChar w:fldCharType="end"/>
        </w:r>
      </w:hyperlink>
    </w:p>
    <w:p w:rsidR="00013EC7" w:rsidRDefault="005262E6">
      <w:pPr>
        <w:pStyle w:val="10"/>
        <w:tabs>
          <w:tab w:val="right" w:leader="dot" w:pos="20128"/>
        </w:tabs>
        <w:rPr>
          <w:sz w:val="28"/>
          <w:szCs w:val="28"/>
        </w:rPr>
      </w:pPr>
      <w:hyperlink w:anchor="_Toc11171" w:history="1">
        <w:r w:rsidR="00575CDB">
          <w:rPr>
            <w:rFonts w:hint="eastAsia"/>
            <w:sz w:val="28"/>
            <w:szCs w:val="28"/>
          </w:rPr>
          <w:t>十一、涉外税收事项认定</w:t>
        </w:r>
        <w:r w:rsidR="00575CDB">
          <w:rPr>
            <w:sz w:val="28"/>
            <w:szCs w:val="28"/>
          </w:rPr>
          <w:tab/>
        </w:r>
        <w:r w:rsidR="00575CDB">
          <w:rPr>
            <w:sz w:val="28"/>
            <w:szCs w:val="28"/>
          </w:rPr>
          <w:fldChar w:fldCharType="begin"/>
        </w:r>
        <w:r w:rsidR="00575CDB">
          <w:rPr>
            <w:sz w:val="28"/>
            <w:szCs w:val="28"/>
          </w:rPr>
          <w:instrText xml:space="preserve"> PAGEREF _Toc11171 </w:instrText>
        </w:r>
        <w:r w:rsidR="00575CDB">
          <w:rPr>
            <w:sz w:val="28"/>
            <w:szCs w:val="28"/>
          </w:rPr>
          <w:fldChar w:fldCharType="separate"/>
        </w:r>
        <w:r w:rsidR="00575CDB">
          <w:rPr>
            <w:sz w:val="28"/>
            <w:szCs w:val="28"/>
          </w:rPr>
          <w:t>70</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2141" w:history="1">
        <w:r w:rsidR="00575CDB">
          <w:rPr>
            <w:rFonts w:hint="eastAsia"/>
            <w:sz w:val="28"/>
            <w:szCs w:val="28"/>
          </w:rPr>
          <w:t>11.1</w:t>
        </w:r>
        <w:r w:rsidR="00575CDB">
          <w:rPr>
            <w:rFonts w:hint="eastAsia"/>
            <w:sz w:val="28"/>
            <w:szCs w:val="28"/>
          </w:rPr>
          <w:t>成本分摊协议报告</w:t>
        </w:r>
        <w:r w:rsidR="00575CDB">
          <w:rPr>
            <w:sz w:val="28"/>
            <w:szCs w:val="28"/>
          </w:rPr>
          <w:tab/>
        </w:r>
        <w:r w:rsidR="00575CDB">
          <w:rPr>
            <w:sz w:val="28"/>
            <w:szCs w:val="28"/>
          </w:rPr>
          <w:fldChar w:fldCharType="begin"/>
        </w:r>
        <w:r w:rsidR="00575CDB">
          <w:rPr>
            <w:sz w:val="28"/>
            <w:szCs w:val="28"/>
          </w:rPr>
          <w:instrText xml:space="preserve"> PAGEREF _Toc2141 </w:instrText>
        </w:r>
        <w:r w:rsidR="00575CDB">
          <w:rPr>
            <w:sz w:val="28"/>
            <w:szCs w:val="28"/>
          </w:rPr>
          <w:fldChar w:fldCharType="separate"/>
        </w:r>
        <w:r w:rsidR="00575CDB">
          <w:rPr>
            <w:sz w:val="28"/>
            <w:szCs w:val="28"/>
          </w:rPr>
          <w:t>70</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12943" w:history="1">
        <w:r w:rsidR="00575CDB">
          <w:rPr>
            <w:rFonts w:hint="eastAsia"/>
            <w:sz w:val="28"/>
            <w:szCs w:val="28"/>
          </w:rPr>
          <w:t>11.2</w:t>
        </w:r>
        <w:r w:rsidR="00575CDB">
          <w:rPr>
            <w:rFonts w:hint="eastAsia"/>
            <w:sz w:val="28"/>
            <w:szCs w:val="28"/>
          </w:rPr>
          <w:t>中国居民（国民）申请启动税务相互协商程序</w:t>
        </w:r>
        <w:r w:rsidR="00575CDB">
          <w:rPr>
            <w:sz w:val="28"/>
            <w:szCs w:val="28"/>
          </w:rPr>
          <w:tab/>
        </w:r>
        <w:r w:rsidR="00575CDB">
          <w:rPr>
            <w:sz w:val="28"/>
            <w:szCs w:val="28"/>
          </w:rPr>
          <w:fldChar w:fldCharType="begin"/>
        </w:r>
        <w:r w:rsidR="00575CDB">
          <w:rPr>
            <w:sz w:val="28"/>
            <w:szCs w:val="28"/>
          </w:rPr>
          <w:instrText xml:space="preserve"> PAGEREF _Toc12943 </w:instrText>
        </w:r>
        <w:r w:rsidR="00575CDB">
          <w:rPr>
            <w:sz w:val="28"/>
            <w:szCs w:val="28"/>
          </w:rPr>
          <w:fldChar w:fldCharType="separate"/>
        </w:r>
        <w:r w:rsidR="00575CDB">
          <w:rPr>
            <w:sz w:val="28"/>
            <w:szCs w:val="28"/>
          </w:rPr>
          <w:t>72</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25414" w:history="1">
        <w:r w:rsidR="00575CDB">
          <w:rPr>
            <w:rFonts w:hint="eastAsia"/>
            <w:sz w:val="28"/>
            <w:szCs w:val="28"/>
          </w:rPr>
          <w:t>11.3</w:t>
        </w:r>
        <w:r w:rsidR="00575CDB">
          <w:rPr>
            <w:rFonts w:hint="eastAsia"/>
            <w:sz w:val="28"/>
            <w:szCs w:val="28"/>
          </w:rPr>
          <w:t>《中国税收居民身份证明》开具</w:t>
        </w:r>
        <w:r w:rsidR="00575CDB">
          <w:rPr>
            <w:sz w:val="28"/>
            <w:szCs w:val="28"/>
          </w:rPr>
          <w:tab/>
        </w:r>
        <w:r w:rsidR="00575CDB">
          <w:rPr>
            <w:sz w:val="28"/>
            <w:szCs w:val="28"/>
          </w:rPr>
          <w:fldChar w:fldCharType="begin"/>
        </w:r>
        <w:r w:rsidR="00575CDB">
          <w:rPr>
            <w:sz w:val="28"/>
            <w:szCs w:val="28"/>
          </w:rPr>
          <w:instrText xml:space="preserve"> PAGEREF _Toc25414 </w:instrText>
        </w:r>
        <w:r w:rsidR="00575CDB">
          <w:rPr>
            <w:sz w:val="28"/>
            <w:szCs w:val="28"/>
          </w:rPr>
          <w:fldChar w:fldCharType="separate"/>
        </w:r>
        <w:r w:rsidR="00575CDB">
          <w:rPr>
            <w:sz w:val="28"/>
            <w:szCs w:val="28"/>
          </w:rPr>
          <w:t>75</w:t>
        </w:r>
        <w:r w:rsidR="00575CDB">
          <w:rPr>
            <w:sz w:val="28"/>
            <w:szCs w:val="28"/>
          </w:rPr>
          <w:fldChar w:fldCharType="end"/>
        </w:r>
      </w:hyperlink>
    </w:p>
    <w:p w:rsidR="00013EC7" w:rsidRDefault="005262E6">
      <w:pPr>
        <w:pStyle w:val="10"/>
        <w:tabs>
          <w:tab w:val="right" w:leader="dot" w:pos="20128"/>
        </w:tabs>
        <w:rPr>
          <w:sz w:val="28"/>
          <w:szCs w:val="28"/>
        </w:rPr>
      </w:pPr>
      <w:hyperlink w:anchor="_Toc12781" w:history="1">
        <w:r w:rsidR="00575CDB">
          <w:rPr>
            <w:rFonts w:hint="eastAsia"/>
            <w:sz w:val="28"/>
            <w:szCs w:val="28"/>
          </w:rPr>
          <w:t>十二、发票领用</w:t>
        </w:r>
        <w:r w:rsidR="00575CDB">
          <w:rPr>
            <w:sz w:val="28"/>
            <w:szCs w:val="28"/>
          </w:rPr>
          <w:tab/>
        </w:r>
        <w:r w:rsidR="00575CDB">
          <w:rPr>
            <w:sz w:val="28"/>
            <w:szCs w:val="28"/>
          </w:rPr>
          <w:fldChar w:fldCharType="begin"/>
        </w:r>
        <w:r w:rsidR="00575CDB">
          <w:rPr>
            <w:sz w:val="28"/>
            <w:szCs w:val="28"/>
          </w:rPr>
          <w:instrText xml:space="preserve"> PAGEREF _Toc12781 </w:instrText>
        </w:r>
        <w:r w:rsidR="00575CDB">
          <w:rPr>
            <w:sz w:val="28"/>
            <w:szCs w:val="28"/>
          </w:rPr>
          <w:fldChar w:fldCharType="separate"/>
        </w:r>
        <w:r w:rsidR="00575CDB">
          <w:rPr>
            <w:sz w:val="28"/>
            <w:szCs w:val="28"/>
          </w:rPr>
          <w:t>77</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6018" w:history="1">
        <w:r w:rsidR="00575CDB">
          <w:rPr>
            <w:rFonts w:hint="eastAsia"/>
            <w:sz w:val="28"/>
            <w:szCs w:val="28"/>
          </w:rPr>
          <w:t>12.1</w:t>
        </w:r>
        <w:r w:rsidR="00575CDB">
          <w:rPr>
            <w:rFonts w:hint="eastAsia"/>
            <w:sz w:val="28"/>
            <w:szCs w:val="28"/>
          </w:rPr>
          <w:t>发票票种核定</w:t>
        </w:r>
        <w:r w:rsidR="00575CDB">
          <w:rPr>
            <w:sz w:val="28"/>
            <w:szCs w:val="28"/>
          </w:rPr>
          <w:tab/>
        </w:r>
        <w:r w:rsidR="00575CDB">
          <w:rPr>
            <w:sz w:val="28"/>
            <w:szCs w:val="28"/>
          </w:rPr>
          <w:fldChar w:fldCharType="begin"/>
        </w:r>
        <w:r w:rsidR="00575CDB">
          <w:rPr>
            <w:sz w:val="28"/>
            <w:szCs w:val="28"/>
          </w:rPr>
          <w:instrText xml:space="preserve"> PAGEREF _Toc6018 </w:instrText>
        </w:r>
        <w:r w:rsidR="00575CDB">
          <w:rPr>
            <w:sz w:val="28"/>
            <w:szCs w:val="28"/>
          </w:rPr>
          <w:fldChar w:fldCharType="separate"/>
        </w:r>
        <w:r w:rsidR="00575CDB">
          <w:rPr>
            <w:sz w:val="28"/>
            <w:szCs w:val="28"/>
          </w:rPr>
          <w:t>77</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22098" w:history="1">
        <w:r w:rsidR="00575CDB">
          <w:rPr>
            <w:rFonts w:hint="eastAsia"/>
            <w:sz w:val="28"/>
            <w:szCs w:val="28"/>
          </w:rPr>
          <w:t>12.2</w:t>
        </w:r>
        <w:r w:rsidR="00575CDB">
          <w:rPr>
            <w:rFonts w:hint="eastAsia"/>
            <w:sz w:val="28"/>
            <w:szCs w:val="28"/>
          </w:rPr>
          <w:t>印有本单位名称发票核定</w:t>
        </w:r>
        <w:r w:rsidR="00575CDB">
          <w:rPr>
            <w:sz w:val="28"/>
            <w:szCs w:val="28"/>
          </w:rPr>
          <w:tab/>
        </w:r>
        <w:r w:rsidR="00575CDB">
          <w:rPr>
            <w:sz w:val="28"/>
            <w:szCs w:val="28"/>
          </w:rPr>
          <w:fldChar w:fldCharType="begin"/>
        </w:r>
        <w:r w:rsidR="00575CDB">
          <w:rPr>
            <w:sz w:val="28"/>
            <w:szCs w:val="28"/>
          </w:rPr>
          <w:instrText xml:space="preserve"> PAGEREF _Toc22098 </w:instrText>
        </w:r>
        <w:r w:rsidR="00575CDB">
          <w:rPr>
            <w:sz w:val="28"/>
            <w:szCs w:val="28"/>
          </w:rPr>
          <w:fldChar w:fldCharType="separate"/>
        </w:r>
        <w:r w:rsidR="00575CDB">
          <w:rPr>
            <w:sz w:val="28"/>
            <w:szCs w:val="28"/>
          </w:rPr>
          <w:t>80</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24233" w:history="1">
        <w:r w:rsidR="00575CDB">
          <w:rPr>
            <w:rFonts w:hint="eastAsia"/>
            <w:sz w:val="28"/>
            <w:szCs w:val="28"/>
          </w:rPr>
          <w:t>12.3</w:t>
        </w:r>
        <w:r w:rsidR="00575CDB">
          <w:rPr>
            <w:rFonts w:hint="eastAsia"/>
            <w:sz w:val="28"/>
            <w:szCs w:val="28"/>
          </w:rPr>
          <w:t>申请使用经营地发票</w:t>
        </w:r>
        <w:r w:rsidR="00575CDB">
          <w:rPr>
            <w:sz w:val="28"/>
            <w:szCs w:val="28"/>
          </w:rPr>
          <w:tab/>
        </w:r>
        <w:r w:rsidR="00575CDB">
          <w:rPr>
            <w:sz w:val="28"/>
            <w:szCs w:val="28"/>
          </w:rPr>
          <w:fldChar w:fldCharType="begin"/>
        </w:r>
        <w:r w:rsidR="00575CDB">
          <w:rPr>
            <w:sz w:val="28"/>
            <w:szCs w:val="28"/>
          </w:rPr>
          <w:instrText xml:space="preserve"> PAGEREF _Toc24233 </w:instrText>
        </w:r>
        <w:r w:rsidR="00575CDB">
          <w:rPr>
            <w:sz w:val="28"/>
            <w:szCs w:val="28"/>
          </w:rPr>
          <w:fldChar w:fldCharType="separate"/>
        </w:r>
        <w:r w:rsidR="00575CDB">
          <w:rPr>
            <w:sz w:val="28"/>
            <w:szCs w:val="28"/>
          </w:rPr>
          <w:t>82</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32001" w:history="1">
        <w:r w:rsidR="00575CDB">
          <w:rPr>
            <w:rFonts w:hint="eastAsia"/>
            <w:sz w:val="28"/>
            <w:szCs w:val="28"/>
          </w:rPr>
          <w:t>12.4</w:t>
        </w:r>
        <w:r w:rsidR="00575CDB">
          <w:rPr>
            <w:rFonts w:hint="eastAsia"/>
            <w:sz w:val="28"/>
            <w:szCs w:val="28"/>
          </w:rPr>
          <w:t>增值税税控系统专用设备发行及变更</w:t>
        </w:r>
        <w:r w:rsidR="00575CDB">
          <w:rPr>
            <w:sz w:val="28"/>
            <w:szCs w:val="28"/>
          </w:rPr>
          <w:tab/>
        </w:r>
        <w:r w:rsidR="00575CDB">
          <w:rPr>
            <w:sz w:val="28"/>
            <w:szCs w:val="28"/>
          </w:rPr>
          <w:fldChar w:fldCharType="begin"/>
        </w:r>
        <w:r w:rsidR="00575CDB">
          <w:rPr>
            <w:sz w:val="28"/>
            <w:szCs w:val="28"/>
          </w:rPr>
          <w:instrText xml:space="preserve"> PAGEREF _Toc32001 </w:instrText>
        </w:r>
        <w:r w:rsidR="00575CDB">
          <w:rPr>
            <w:sz w:val="28"/>
            <w:szCs w:val="28"/>
          </w:rPr>
          <w:fldChar w:fldCharType="separate"/>
        </w:r>
        <w:r w:rsidR="00575CDB">
          <w:rPr>
            <w:sz w:val="28"/>
            <w:szCs w:val="28"/>
          </w:rPr>
          <w:t>84</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10958" w:history="1">
        <w:r w:rsidR="00575CDB">
          <w:rPr>
            <w:rFonts w:hint="eastAsia"/>
            <w:sz w:val="28"/>
            <w:szCs w:val="28"/>
          </w:rPr>
          <w:t>12.5</w:t>
        </w:r>
        <w:r w:rsidR="00575CDB">
          <w:rPr>
            <w:rFonts w:hint="eastAsia"/>
            <w:sz w:val="28"/>
            <w:szCs w:val="28"/>
          </w:rPr>
          <w:t>增值税税控系统专用设备注销发行</w:t>
        </w:r>
        <w:r w:rsidR="00575CDB">
          <w:rPr>
            <w:sz w:val="28"/>
            <w:szCs w:val="28"/>
          </w:rPr>
          <w:tab/>
        </w:r>
        <w:r w:rsidR="00575CDB">
          <w:rPr>
            <w:sz w:val="28"/>
            <w:szCs w:val="28"/>
          </w:rPr>
          <w:fldChar w:fldCharType="begin"/>
        </w:r>
        <w:r w:rsidR="00575CDB">
          <w:rPr>
            <w:sz w:val="28"/>
            <w:szCs w:val="28"/>
          </w:rPr>
          <w:instrText xml:space="preserve"> PAGEREF _Toc10958 </w:instrText>
        </w:r>
        <w:r w:rsidR="00575CDB">
          <w:rPr>
            <w:sz w:val="28"/>
            <w:szCs w:val="28"/>
          </w:rPr>
          <w:fldChar w:fldCharType="separate"/>
        </w:r>
        <w:r w:rsidR="00575CDB">
          <w:rPr>
            <w:sz w:val="28"/>
            <w:szCs w:val="28"/>
          </w:rPr>
          <w:t>86</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14876" w:history="1">
        <w:r w:rsidR="00575CDB">
          <w:rPr>
            <w:rFonts w:hint="eastAsia"/>
            <w:sz w:val="28"/>
            <w:szCs w:val="28"/>
          </w:rPr>
          <w:t>12.6</w:t>
        </w:r>
        <w:r w:rsidR="00575CDB">
          <w:rPr>
            <w:rFonts w:hint="eastAsia"/>
            <w:sz w:val="28"/>
            <w:szCs w:val="28"/>
          </w:rPr>
          <w:t>发票发放</w:t>
        </w:r>
        <w:r w:rsidR="00575CDB">
          <w:rPr>
            <w:sz w:val="28"/>
            <w:szCs w:val="28"/>
          </w:rPr>
          <w:tab/>
        </w:r>
        <w:r w:rsidR="00575CDB">
          <w:rPr>
            <w:sz w:val="28"/>
            <w:szCs w:val="28"/>
          </w:rPr>
          <w:fldChar w:fldCharType="begin"/>
        </w:r>
        <w:r w:rsidR="00575CDB">
          <w:rPr>
            <w:sz w:val="28"/>
            <w:szCs w:val="28"/>
          </w:rPr>
          <w:instrText xml:space="preserve"> PAGEREF _Toc14876 </w:instrText>
        </w:r>
        <w:r w:rsidR="00575CDB">
          <w:rPr>
            <w:sz w:val="28"/>
            <w:szCs w:val="28"/>
          </w:rPr>
          <w:fldChar w:fldCharType="separate"/>
        </w:r>
        <w:r w:rsidR="00575CDB">
          <w:rPr>
            <w:sz w:val="28"/>
            <w:szCs w:val="28"/>
          </w:rPr>
          <w:t>88</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26750" w:history="1">
        <w:r w:rsidR="00575CDB">
          <w:rPr>
            <w:rFonts w:hint="eastAsia"/>
            <w:sz w:val="28"/>
            <w:szCs w:val="28"/>
          </w:rPr>
          <w:t>12.7</w:t>
        </w:r>
        <w:r w:rsidR="00575CDB">
          <w:rPr>
            <w:rFonts w:hint="eastAsia"/>
            <w:sz w:val="28"/>
            <w:szCs w:val="28"/>
          </w:rPr>
          <w:t>发票退回</w:t>
        </w:r>
        <w:r w:rsidR="00575CDB">
          <w:rPr>
            <w:sz w:val="28"/>
            <w:szCs w:val="28"/>
          </w:rPr>
          <w:tab/>
        </w:r>
        <w:r w:rsidR="00575CDB">
          <w:rPr>
            <w:sz w:val="28"/>
            <w:szCs w:val="28"/>
          </w:rPr>
          <w:fldChar w:fldCharType="begin"/>
        </w:r>
        <w:r w:rsidR="00575CDB">
          <w:rPr>
            <w:sz w:val="28"/>
            <w:szCs w:val="28"/>
          </w:rPr>
          <w:instrText xml:space="preserve"> PAGEREF _Toc26750 </w:instrText>
        </w:r>
        <w:r w:rsidR="00575CDB">
          <w:rPr>
            <w:sz w:val="28"/>
            <w:szCs w:val="28"/>
          </w:rPr>
          <w:fldChar w:fldCharType="separate"/>
        </w:r>
        <w:r w:rsidR="00575CDB">
          <w:rPr>
            <w:sz w:val="28"/>
            <w:szCs w:val="28"/>
          </w:rPr>
          <w:t>90</w:t>
        </w:r>
        <w:r w:rsidR="00575CDB">
          <w:rPr>
            <w:sz w:val="28"/>
            <w:szCs w:val="28"/>
          </w:rPr>
          <w:fldChar w:fldCharType="end"/>
        </w:r>
      </w:hyperlink>
    </w:p>
    <w:p w:rsidR="00013EC7" w:rsidRDefault="005262E6">
      <w:pPr>
        <w:pStyle w:val="10"/>
        <w:tabs>
          <w:tab w:val="right" w:leader="dot" w:pos="20128"/>
        </w:tabs>
        <w:rPr>
          <w:sz w:val="28"/>
          <w:szCs w:val="28"/>
        </w:rPr>
      </w:pPr>
      <w:hyperlink w:anchor="_Toc5414" w:history="1">
        <w:r w:rsidR="00575CDB">
          <w:rPr>
            <w:rFonts w:hint="eastAsia"/>
            <w:sz w:val="28"/>
            <w:szCs w:val="28"/>
          </w:rPr>
          <w:t>十三、发票开具</w:t>
        </w:r>
        <w:r w:rsidR="00575CDB">
          <w:rPr>
            <w:sz w:val="28"/>
            <w:szCs w:val="28"/>
          </w:rPr>
          <w:tab/>
        </w:r>
        <w:r w:rsidR="00575CDB">
          <w:rPr>
            <w:sz w:val="28"/>
            <w:szCs w:val="28"/>
          </w:rPr>
          <w:fldChar w:fldCharType="begin"/>
        </w:r>
        <w:r w:rsidR="00575CDB">
          <w:rPr>
            <w:sz w:val="28"/>
            <w:szCs w:val="28"/>
          </w:rPr>
          <w:instrText xml:space="preserve"> PAGEREF _Toc5414 </w:instrText>
        </w:r>
        <w:r w:rsidR="00575CDB">
          <w:rPr>
            <w:sz w:val="28"/>
            <w:szCs w:val="28"/>
          </w:rPr>
          <w:fldChar w:fldCharType="separate"/>
        </w:r>
        <w:r w:rsidR="00575CDB">
          <w:rPr>
            <w:sz w:val="28"/>
            <w:szCs w:val="28"/>
          </w:rPr>
          <w:t>91</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16820" w:history="1">
        <w:r w:rsidR="00575CDB">
          <w:rPr>
            <w:rFonts w:hint="eastAsia"/>
            <w:sz w:val="28"/>
            <w:szCs w:val="28"/>
          </w:rPr>
          <w:t>13.1</w:t>
        </w:r>
        <w:r w:rsidR="00575CDB">
          <w:rPr>
            <w:rFonts w:hint="eastAsia"/>
            <w:sz w:val="28"/>
            <w:szCs w:val="28"/>
          </w:rPr>
          <w:t>专用发票代开</w:t>
        </w:r>
        <w:r w:rsidR="00575CDB">
          <w:rPr>
            <w:sz w:val="28"/>
            <w:szCs w:val="28"/>
          </w:rPr>
          <w:tab/>
        </w:r>
        <w:r w:rsidR="00575CDB">
          <w:rPr>
            <w:sz w:val="28"/>
            <w:szCs w:val="28"/>
          </w:rPr>
          <w:fldChar w:fldCharType="begin"/>
        </w:r>
        <w:r w:rsidR="00575CDB">
          <w:rPr>
            <w:sz w:val="28"/>
            <w:szCs w:val="28"/>
          </w:rPr>
          <w:instrText xml:space="preserve"> PAGEREF _Toc16820 </w:instrText>
        </w:r>
        <w:r w:rsidR="00575CDB">
          <w:rPr>
            <w:sz w:val="28"/>
            <w:szCs w:val="28"/>
          </w:rPr>
          <w:fldChar w:fldCharType="separate"/>
        </w:r>
        <w:r w:rsidR="00575CDB">
          <w:rPr>
            <w:sz w:val="28"/>
            <w:szCs w:val="28"/>
          </w:rPr>
          <w:t>91</w:t>
        </w:r>
        <w:r w:rsidR="00575CDB">
          <w:rPr>
            <w:sz w:val="28"/>
            <w:szCs w:val="28"/>
          </w:rPr>
          <w:fldChar w:fldCharType="end"/>
        </w:r>
      </w:hyperlink>
    </w:p>
    <w:p w:rsidR="00013EC7" w:rsidRDefault="005262E6">
      <w:pPr>
        <w:pStyle w:val="10"/>
        <w:tabs>
          <w:tab w:val="right" w:leader="dot" w:pos="20128"/>
        </w:tabs>
        <w:ind w:firstLineChars="200" w:firstLine="420"/>
        <w:rPr>
          <w:sz w:val="28"/>
          <w:szCs w:val="28"/>
        </w:rPr>
      </w:pPr>
      <w:hyperlink w:anchor="_Toc29034" w:history="1">
        <w:r w:rsidR="00575CDB">
          <w:rPr>
            <w:rFonts w:hint="eastAsia"/>
            <w:sz w:val="28"/>
            <w:szCs w:val="28"/>
          </w:rPr>
          <w:t>13.2</w:t>
        </w:r>
        <w:r w:rsidR="00575CDB">
          <w:rPr>
            <w:rFonts w:hint="eastAsia"/>
            <w:sz w:val="28"/>
            <w:szCs w:val="28"/>
          </w:rPr>
          <w:t>普通发票代开</w:t>
        </w:r>
        <w:r w:rsidR="00575CDB">
          <w:rPr>
            <w:sz w:val="28"/>
            <w:szCs w:val="28"/>
          </w:rPr>
          <w:tab/>
        </w:r>
        <w:r w:rsidR="00575CDB">
          <w:rPr>
            <w:sz w:val="28"/>
            <w:szCs w:val="28"/>
          </w:rPr>
          <w:fldChar w:fldCharType="begin"/>
        </w:r>
        <w:r w:rsidR="00575CDB">
          <w:rPr>
            <w:sz w:val="28"/>
            <w:szCs w:val="28"/>
          </w:rPr>
          <w:instrText xml:space="preserve"> PAGEREF _Toc29034 </w:instrText>
        </w:r>
        <w:r w:rsidR="00575CDB">
          <w:rPr>
            <w:sz w:val="28"/>
            <w:szCs w:val="28"/>
          </w:rPr>
          <w:fldChar w:fldCharType="separate"/>
        </w:r>
        <w:r w:rsidR="00575CDB">
          <w:rPr>
            <w:sz w:val="28"/>
            <w:szCs w:val="28"/>
          </w:rPr>
          <w:t>94</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22523" w:history="1">
        <w:r w:rsidR="00575CDB">
          <w:rPr>
            <w:rFonts w:hint="eastAsia"/>
            <w:sz w:val="28"/>
            <w:szCs w:val="28"/>
          </w:rPr>
          <w:t>13.3</w:t>
        </w:r>
        <w:r w:rsidR="00575CDB">
          <w:rPr>
            <w:rFonts w:hint="eastAsia"/>
            <w:sz w:val="28"/>
            <w:szCs w:val="28"/>
          </w:rPr>
          <w:t>代开发票作废</w:t>
        </w:r>
        <w:r w:rsidR="00575CDB">
          <w:rPr>
            <w:sz w:val="28"/>
            <w:szCs w:val="28"/>
          </w:rPr>
          <w:tab/>
        </w:r>
        <w:r w:rsidR="00575CDB">
          <w:rPr>
            <w:sz w:val="28"/>
            <w:szCs w:val="28"/>
          </w:rPr>
          <w:fldChar w:fldCharType="begin"/>
        </w:r>
        <w:r w:rsidR="00575CDB">
          <w:rPr>
            <w:sz w:val="28"/>
            <w:szCs w:val="28"/>
          </w:rPr>
          <w:instrText xml:space="preserve"> PAGEREF _Toc22523 </w:instrText>
        </w:r>
        <w:r w:rsidR="00575CDB">
          <w:rPr>
            <w:sz w:val="28"/>
            <w:szCs w:val="28"/>
          </w:rPr>
          <w:fldChar w:fldCharType="separate"/>
        </w:r>
        <w:r w:rsidR="00575CDB">
          <w:rPr>
            <w:sz w:val="28"/>
            <w:szCs w:val="28"/>
          </w:rPr>
          <w:t>97</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29870" w:history="1">
        <w:r w:rsidR="00575CDB">
          <w:rPr>
            <w:rFonts w:hint="eastAsia"/>
            <w:sz w:val="28"/>
            <w:szCs w:val="28"/>
          </w:rPr>
          <w:t>13.4</w:t>
        </w:r>
        <w:r w:rsidR="00575CDB">
          <w:rPr>
            <w:rFonts w:hint="eastAsia"/>
            <w:sz w:val="28"/>
            <w:szCs w:val="28"/>
          </w:rPr>
          <w:t>红字增值税专用发票开具申请</w:t>
        </w:r>
        <w:r w:rsidR="00575CDB">
          <w:rPr>
            <w:sz w:val="28"/>
            <w:szCs w:val="28"/>
          </w:rPr>
          <w:tab/>
        </w:r>
        <w:r w:rsidR="00575CDB">
          <w:rPr>
            <w:sz w:val="28"/>
            <w:szCs w:val="28"/>
          </w:rPr>
          <w:fldChar w:fldCharType="begin"/>
        </w:r>
        <w:r w:rsidR="00575CDB">
          <w:rPr>
            <w:sz w:val="28"/>
            <w:szCs w:val="28"/>
          </w:rPr>
          <w:instrText xml:space="preserve"> PAGEREF _Toc29870 </w:instrText>
        </w:r>
        <w:r w:rsidR="00575CDB">
          <w:rPr>
            <w:sz w:val="28"/>
            <w:szCs w:val="28"/>
          </w:rPr>
          <w:fldChar w:fldCharType="separate"/>
        </w:r>
        <w:r w:rsidR="00575CDB">
          <w:rPr>
            <w:sz w:val="28"/>
            <w:szCs w:val="28"/>
          </w:rPr>
          <w:t>99</w:t>
        </w:r>
        <w:r w:rsidR="00575CDB">
          <w:rPr>
            <w:sz w:val="28"/>
            <w:szCs w:val="28"/>
          </w:rPr>
          <w:fldChar w:fldCharType="end"/>
        </w:r>
      </w:hyperlink>
    </w:p>
    <w:p w:rsidR="00013EC7" w:rsidRDefault="005262E6">
      <w:pPr>
        <w:pStyle w:val="10"/>
        <w:tabs>
          <w:tab w:val="right" w:leader="dot" w:pos="20128"/>
        </w:tabs>
        <w:rPr>
          <w:sz w:val="28"/>
          <w:szCs w:val="28"/>
        </w:rPr>
      </w:pPr>
      <w:hyperlink w:anchor="_Toc3728" w:history="1">
        <w:r w:rsidR="00575CDB">
          <w:rPr>
            <w:rFonts w:hint="eastAsia"/>
            <w:sz w:val="28"/>
            <w:szCs w:val="28"/>
          </w:rPr>
          <w:t>十四、发票验旧</w:t>
        </w:r>
        <w:r w:rsidR="00575CDB">
          <w:rPr>
            <w:sz w:val="28"/>
            <w:szCs w:val="28"/>
          </w:rPr>
          <w:tab/>
        </w:r>
        <w:r w:rsidR="00575CDB">
          <w:rPr>
            <w:sz w:val="28"/>
            <w:szCs w:val="28"/>
          </w:rPr>
          <w:fldChar w:fldCharType="begin"/>
        </w:r>
        <w:r w:rsidR="00575CDB">
          <w:rPr>
            <w:sz w:val="28"/>
            <w:szCs w:val="28"/>
          </w:rPr>
          <w:instrText xml:space="preserve"> PAGEREF _Toc3728 </w:instrText>
        </w:r>
        <w:r w:rsidR="00575CDB">
          <w:rPr>
            <w:sz w:val="28"/>
            <w:szCs w:val="28"/>
          </w:rPr>
          <w:fldChar w:fldCharType="separate"/>
        </w:r>
        <w:r w:rsidR="00575CDB">
          <w:rPr>
            <w:sz w:val="28"/>
            <w:szCs w:val="28"/>
          </w:rPr>
          <w:t>101</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3431" w:history="1">
        <w:r w:rsidR="00575CDB">
          <w:rPr>
            <w:rFonts w:hint="eastAsia"/>
            <w:sz w:val="28"/>
            <w:szCs w:val="28"/>
          </w:rPr>
          <w:t>14.1</w:t>
        </w:r>
        <w:r w:rsidR="00575CDB">
          <w:rPr>
            <w:rFonts w:hint="eastAsia"/>
            <w:sz w:val="28"/>
            <w:szCs w:val="28"/>
          </w:rPr>
          <w:t>发票验旧</w:t>
        </w:r>
        <w:r w:rsidR="00575CDB">
          <w:rPr>
            <w:sz w:val="28"/>
            <w:szCs w:val="28"/>
          </w:rPr>
          <w:tab/>
        </w:r>
        <w:r w:rsidR="00575CDB">
          <w:rPr>
            <w:sz w:val="28"/>
            <w:szCs w:val="28"/>
          </w:rPr>
          <w:fldChar w:fldCharType="begin"/>
        </w:r>
        <w:r w:rsidR="00575CDB">
          <w:rPr>
            <w:sz w:val="28"/>
            <w:szCs w:val="28"/>
          </w:rPr>
          <w:instrText xml:space="preserve"> PAGEREF _Toc3431 </w:instrText>
        </w:r>
        <w:r w:rsidR="00575CDB">
          <w:rPr>
            <w:sz w:val="28"/>
            <w:szCs w:val="28"/>
          </w:rPr>
          <w:fldChar w:fldCharType="separate"/>
        </w:r>
        <w:r w:rsidR="00575CDB">
          <w:rPr>
            <w:sz w:val="28"/>
            <w:szCs w:val="28"/>
          </w:rPr>
          <w:t>101</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27687" w:history="1">
        <w:r w:rsidR="00575CDB">
          <w:rPr>
            <w:rFonts w:hint="eastAsia"/>
            <w:sz w:val="28"/>
            <w:szCs w:val="28"/>
          </w:rPr>
          <w:t>14.2</w:t>
        </w:r>
        <w:r w:rsidR="00575CDB">
          <w:rPr>
            <w:rFonts w:hint="eastAsia"/>
            <w:sz w:val="28"/>
            <w:szCs w:val="28"/>
          </w:rPr>
          <w:t>增值税专用发票存根联数据采集</w:t>
        </w:r>
        <w:r w:rsidR="00575CDB">
          <w:rPr>
            <w:sz w:val="28"/>
            <w:szCs w:val="28"/>
          </w:rPr>
          <w:tab/>
        </w:r>
        <w:r w:rsidR="00575CDB">
          <w:rPr>
            <w:sz w:val="28"/>
            <w:szCs w:val="28"/>
          </w:rPr>
          <w:fldChar w:fldCharType="begin"/>
        </w:r>
        <w:r w:rsidR="00575CDB">
          <w:rPr>
            <w:sz w:val="28"/>
            <w:szCs w:val="28"/>
          </w:rPr>
          <w:instrText xml:space="preserve"> PAGEREF _Toc27687 </w:instrText>
        </w:r>
        <w:r w:rsidR="00575CDB">
          <w:rPr>
            <w:sz w:val="28"/>
            <w:szCs w:val="28"/>
          </w:rPr>
          <w:fldChar w:fldCharType="separate"/>
        </w:r>
        <w:r w:rsidR="00575CDB">
          <w:rPr>
            <w:sz w:val="28"/>
            <w:szCs w:val="28"/>
          </w:rPr>
          <w:t>103</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22954" w:history="1">
        <w:r w:rsidR="00575CDB">
          <w:rPr>
            <w:rFonts w:hint="eastAsia"/>
            <w:sz w:val="28"/>
            <w:szCs w:val="28"/>
          </w:rPr>
          <w:t>14.3</w:t>
        </w:r>
        <w:r w:rsidR="00575CDB">
          <w:rPr>
            <w:rFonts w:hint="eastAsia"/>
            <w:sz w:val="28"/>
            <w:szCs w:val="28"/>
          </w:rPr>
          <w:t>发票认证</w:t>
        </w:r>
        <w:r w:rsidR="00575CDB">
          <w:rPr>
            <w:sz w:val="28"/>
            <w:szCs w:val="28"/>
          </w:rPr>
          <w:tab/>
        </w:r>
        <w:r w:rsidR="00575CDB">
          <w:rPr>
            <w:sz w:val="28"/>
            <w:szCs w:val="28"/>
          </w:rPr>
          <w:fldChar w:fldCharType="begin"/>
        </w:r>
        <w:r w:rsidR="00575CDB">
          <w:rPr>
            <w:sz w:val="28"/>
            <w:szCs w:val="28"/>
          </w:rPr>
          <w:instrText xml:space="preserve"> PAGEREF _Toc22954 </w:instrText>
        </w:r>
        <w:r w:rsidR="00575CDB">
          <w:rPr>
            <w:sz w:val="28"/>
            <w:szCs w:val="28"/>
          </w:rPr>
          <w:fldChar w:fldCharType="separate"/>
        </w:r>
        <w:r w:rsidR="00575CDB">
          <w:rPr>
            <w:sz w:val="28"/>
            <w:szCs w:val="28"/>
          </w:rPr>
          <w:t>105</w:t>
        </w:r>
        <w:r w:rsidR="00575CDB">
          <w:rPr>
            <w:sz w:val="28"/>
            <w:szCs w:val="28"/>
          </w:rPr>
          <w:fldChar w:fldCharType="end"/>
        </w:r>
      </w:hyperlink>
    </w:p>
    <w:p w:rsidR="00013EC7" w:rsidRDefault="005262E6">
      <w:pPr>
        <w:pStyle w:val="10"/>
        <w:tabs>
          <w:tab w:val="right" w:leader="dot" w:pos="20128"/>
        </w:tabs>
        <w:rPr>
          <w:sz w:val="28"/>
          <w:szCs w:val="28"/>
        </w:rPr>
      </w:pPr>
      <w:hyperlink w:anchor="_Toc16839" w:history="1">
        <w:r w:rsidR="00575CDB">
          <w:rPr>
            <w:rFonts w:hint="eastAsia"/>
            <w:sz w:val="28"/>
            <w:szCs w:val="28"/>
          </w:rPr>
          <w:t>十五、未按期</w:t>
        </w:r>
        <w:r w:rsidR="00575CDB">
          <w:rPr>
            <w:rFonts w:hint="eastAsia"/>
            <w:sz w:val="28"/>
            <w:szCs w:val="28"/>
          </w:rPr>
          <w:t>/</w:t>
        </w:r>
        <w:r w:rsidR="00575CDB">
          <w:rPr>
            <w:rFonts w:hint="eastAsia"/>
            <w:sz w:val="28"/>
            <w:szCs w:val="28"/>
          </w:rPr>
          <w:t>逾期凭证抵扣办理</w:t>
        </w:r>
        <w:r w:rsidR="00575CDB">
          <w:rPr>
            <w:sz w:val="28"/>
            <w:szCs w:val="28"/>
          </w:rPr>
          <w:tab/>
        </w:r>
        <w:r w:rsidR="00575CDB">
          <w:rPr>
            <w:sz w:val="28"/>
            <w:szCs w:val="28"/>
          </w:rPr>
          <w:fldChar w:fldCharType="begin"/>
        </w:r>
        <w:r w:rsidR="00575CDB">
          <w:rPr>
            <w:sz w:val="28"/>
            <w:szCs w:val="28"/>
          </w:rPr>
          <w:instrText xml:space="preserve"> PAGEREF _Toc16839 </w:instrText>
        </w:r>
        <w:r w:rsidR="00575CDB">
          <w:rPr>
            <w:sz w:val="28"/>
            <w:szCs w:val="28"/>
          </w:rPr>
          <w:fldChar w:fldCharType="separate"/>
        </w:r>
        <w:r w:rsidR="00575CDB">
          <w:rPr>
            <w:sz w:val="28"/>
            <w:szCs w:val="28"/>
          </w:rPr>
          <w:t>107</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14643" w:history="1">
        <w:r w:rsidR="00575CDB">
          <w:rPr>
            <w:rFonts w:hint="eastAsia"/>
            <w:sz w:val="28"/>
            <w:szCs w:val="28"/>
          </w:rPr>
          <w:t>15.1</w:t>
        </w:r>
        <w:r w:rsidR="00575CDB">
          <w:rPr>
            <w:rFonts w:hint="eastAsia"/>
            <w:sz w:val="28"/>
            <w:szCs w:val="28"/>
          </w:rPr>
          <w:t>未按期申报增值税扣税凭证继续抵扣申请</w:t>
        </w:r>
        <w:r w:rsidR="00575CDB">
          <w:rPr>
            <w:sz w:val="28"/>
            <w:szCs w:val="28"/>
          </w:rPr>
          <w:tab/>
        </w:r>
        <w:r w:rsidR="00575CDB">
          <w:rPr>
            <w:sz w:val="28"/>
            <w:szCs w:val="28"/>
          </w:rPr>
          <w:fldChar w:fldCharType="begin"/>
        </w:r>
        <w:r w:rsidR="00575CDB">
          <w:rPr>
            <w:sz w:val="28"/>
            <w:szCs w:val="28"/>
          </w:rPr>
          <w:instrText xml:space="preserve"> PAGEREF _Toc14643 </w:instrText>
        </w:r>
        <w:r w:rsidR="00575CDB">
          <w:rPr>
            <w:sz w:val="28"/>
            <w:szCs w:val="28"/>
          </w:rPr>
          <w:fldChar w:fldCharType="separate"/>
        </w:r>
        <w:r w:rsidR="00575CDB">
          <w:rPr>
            <w:sz w:val="28"/>
            <w:szCs w:val="28"/>
          </w:rPr>
          <w:t>107</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15000" w:history="1">
        <w:r w:rsidR="00575CDB">
          <w:rPr>
            <w:rFonts w:hint="eastAsia"/>
            <w:sz w:val="28"/>
            <w:szCs w:val="28"/>
          </w:rPr>
          <w:t>15.2</w:t>
        </w:r>
        <w:r w:rsidR="00575CDB">
          <w:rPr>
            <w:rFonts w:hint="eastAsia"/>
            <w:sz w:val="28"/>
            <w:szCs w:val="28"/>
          </w:rPr>
          <w:t>逾期增值税扣税凭证继续抵扣申请</w:t>
        </w:r>
        <w:r w:rsidR="00575CDB">
          <w:rPr>
            <w:sz w:val="28"/>
            <w:szCs w:val="28"/>
          </w:rPr>
          <w:tab/>
        </w:r>
        <w:r w:rsidR="00575CDB">
          <w:rPr>
            <w:sz w:val="28"/>
            <w:szCs w:val="28"/>
          </w:rPr>
          <w:fldChar w:fldCharType="begin"/>
        </w:r>
        <w:r w:rsidR="00575CDB">
          <w:rPr>
            <w:sz w:val="28"/>
            <w:szCs w:val="28"/>
          </w:rPr>
          <w:instrText xml:space="preserve"> PAGEREF _Toc15000 </w:instrText>
        </w:r>
        <w:r w:rsidR="00575CDB">
          <w:rPr>
            <w:sz w:val="28"/>
            <w:szCs w:val="28"/>
          </w:rPr>
          <w:fldChar w:fldCharType="separate"/>
        </w:r>
        <w:r w:rsidR="00575CDB">
          <w:rPr>
            <w:sz w:val="28"/>
            <w:szCs w:val="28"/>
          </w:rPr>
          <w:t>109</w:t>
        </w:r>
        <w:r w:rsidR="00575CDB">
          <w:rPr>
            <w:sz w:val="28"/>
            <w:szCs w:val="28"/>
          </w:rPr>
          <w:fldChar w:fldCharType="end"/>
        </w:r>
      </w:hyperlink>
    </w:p>
    <w:p w:rsidR="00013EC7" w:rsidRDefault="005262E6">
      <w:pPr>
        <w:pStyle w:val="10"/>
        <w:tabs>
          <w:tab w:val="right" w:leader="dot" w:pos="20128"/>
        </w:tabs>
        <w:rPr>
          <w:sz w:val="28"/>
          <w:szCs w:val="28"/>
        </w:rPr>
      </w:pPr>
      <w:hyperlink w:anchor="_Toc29814" w:history="1">
        <w:r w:rsidR="00575CDB">
          <w:rPr>
            <w:rFonts w:hint="eastAsia"/>
            <w:sz w:val="28"/>
            <w:szCs w:val="28"/>
          </w:rPr>
          <w:t>十六、发票相关服务</w:t>
        </w:r>
        <w:r w:rsidR="00575CDB">
          <w:rPr>
            <w:sz w:val="28"/>
            <w:szCs w:val="28"/>
          </w:rPr>
          <w:tab/>
        </w:r>
        <w:r w:rsidR="00575CDB">
          <w:rPr>
            <w:sz w:val="28"/>
            <w:szCs w:val="28"/>
          </w:rPr>
          <w:fldChar w:fldCharType="begin"/>
        </w:r>
        <w:r w:rsidR="00575CDB">
          <w:rPr>
            <w:sz w:val="28"/>
            <w:szCs w:val="28"/>
          </w:rPr>
          <w:instrText xml:space="preserve"> PAGEREF _Toc29814 </w:instrText>
        </w:r>
        <w:r w:rsidR="00575CDB">
          <w:rPr>
            <w:sz w:val="28"/>
            <w:szCs w:val="28"/>
          </w:rPr>
          <w:fldChar w:fldCharType="separate"/>
        </w:r>
        <w:r w:rsidR="00575CDB">
          <w:rPr>
            <w:sz w:val="28"/>
            <w:szCs w:val="28"/>
          </w:rPr>
          <w:t>111</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1534" w:history="1">
        <w:r w:rsidR="00575CDB">
          <w:rPr>
            <w:rFonts w:hint="eastAsia"/>
            <w:sz w:val="28"/>
            <w:szCs w:val="28"/>
          </w:rPr>
          <w:t>16.1</w:t>
        </w:r>
        <w:r w:rsidR="00575CDB">
          <w:rPr>
            <w:rFonts w:hint="eastAsia"/>
            <w:sz w:val="28"/>
            <w:szCs w:val="28"/>
          </w:rPr>
          <w:t>发票缴销</w:t>
        </w:r>
        <w:r w:rsidR="00575CDB">
          <w:rPr>
            <w:sz w:val="28"/>
            <w:szCs w:val="28"/>
          </w:rPr>
          <w:tab/>
        </w:r>
        <w:r w:rsidR="00575CDB">
          <w:rPr>
            <w:sz w:val="28"/>
            <w:szCs w:val="28"/>
          </w:rPr>
          <w:fldChar w:fldCharType="begin"/>
        </w:r>
        <w:r w:rsidR="00575CDB">
          <w:rPr>
            <w:sz w:val="28"/>
            <w:szCs w:val="28"/>
          </w:rPr>
          <w:instrText xml:space="preserve"> PAGEREF _Toc1534 </w:instrText>
        </w:r>
        <w:r w:rsidR="00575CDB">
          <w:rPr>
            <w:sz w:val="28"/>
            <w:szCs w:val="28"/>
          </w:rPr>
          <w:fldChar w:fldCharType="separate"/>
        </w:r>
        <w:r w:rsidR="00575CDB">
          <w:rPr>
            <w:sz w:val="28"/>
            <w:szCs w:val="28"/>
          </w:rPr>
          <w:t>111</w:t>
        </w:r>
        <w:r w:rsidR="00575CDB">
          <w:rPr>
            <w:sz w:val="28"/>
            <w:szCs w:val="28"/>
          </w:rPr>
          <w:fldChar w:fldCharType="end"/>
        </w:r>
      </w:hyperlink>
    </w:p>
    <w:p w:rsidR="00013EC7" w:rsidRDefault="005262E6">
      <w:pPr>
        <w:pStyle w:val="10"/>
        <w:tabs>
          <w:tab w:val="right" w:leader="dot" w:pos="20128"/>
        </w:tabs>
        <w:ind w:firstLineChars="200" w:firstLine="420"/>
        <w:rPr>
          <w:sz w:val="28"/>
          <w:szCs w:val="28"/>
        </w:rPr>
      </w:pPr>
      <w:hyperlink w:anchor="_Toc31219" w:history="1">
        <w:r w:rsidR="00575CDB">
          <w:rPr>
            <w:rFonts w:hint="eastAsia"/>
            <w:sz w:val="28"/>
            <w:szCs w:val="28"/>
          </w:rPr>
          <w:t>16.2</w:t>
        </w:r>
        <w:r w:rsidR="00575CDB">
          <w:rPr>
            <w:rFonts w:hint="eastAsia"/>
            <w:sz w:val="28"/>
            <w:szCs w:val="28"/>
          </w:rPr>
          <w:t>发票挂失、损毁报备</w:t>
        </w:r>
        <w:r w:rsidR="00575CDB">
          <w:rPr>
            <w:sz w:val="28"/>
            <w:szCs w:val="28"/>
          </w:rPr>
          <w:tab/>
        </w:r>
        <w:r w:rsidR="00575CDB">
          <w:rPr>
            <w:sz w:val="28"/>
            <w:szCs w:val="28"/>
          </w:rPr>
          <w:fldChar w:fldCharType="begin"/>
        </w:r>
        <w:r w:rsidR="00575CDB">
          <w:rPr>
            <w:sz w:val="28"/>
            <w:szCs w:val="28"/>
          </w:rPr>
          <w:instrText xml:space="preserve"> PAGEREF _Toc31219 </w:instrText>
        </w:r>
        <w:r w:rsidR="00575CDB">
          <w:rPr>
            <w:sz w:val="28"/>
            <w:szCs w:val="28"/>
          </w:rPr>
          <w:fldChar w:fldCharType="separate"/>
        </w:r>
        <w:r w:rsidR="00575CDB">
          <w:rPr>
            <w:sz w:val="28"/>
            <w:szCs w:val="28"/>
          </w:rPr>
          <w:t>113</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12955" w:history="1">
        <w:r w:rsidR="00575CDB">
          <w:rPr>
            <w:rFonts w:hint="eastAsia"/>
            <w:sz w:val="28"/>
            <w:szCs w:val="28"/>
          </w:rPr>
          <w:t>16.3</w:t>
        </w:r>
        <w:r w:rsidR="00575CDB">
          <w:rPr>
            <w:rFonts w:hint="eastAsia"/>
            <w:sz w:val="28"/>
            <w:szCs w:val="28"/>
          </w:rPr>
          <w:t>发票信息查验</w:t>
        </w:r>
        <w:r w:rsidR="00575CDB">
          <w:rPr>
            <w:sz w:val="28"/>
            <w:szCs w:val="28"/>
          </w:rPr>
          <w:tab/>
        </w:r>
        <w:r w:rsidR="00575CDB">
          <w:rPr>
            <w:sz w:val="28"/>
            <w:szCs w:val="28"/>
          </w:rPr>
          <w:fldChar w:fldCharType="begin"/>
        </w:r>
        <w:r w:rsidR="00575CDB">
          <w:rPr>
            <w:sz w:val="28"/>
            <w:szCs w:val="28"/>
          </w:rPr>
          <w:instrText xml:space="preserve"> PAGEREF _Toc12955 </w:instrText>
        </w:r>
        <w:r w:rsidR="00575CDB">
          <w:rPr>
            <w:sz w:val="28"/>
            <w:szCs w:val="28"/>
          </w:rPr>
          <w:fldChar w:fldCharType="separate"/>
        </w:r>
        <w:r w:rsidR="00575CDB">
          <w:rPr>
            <w:sz w:val="28"/>
            <w:szCs w:val="28"/>
          </w:rPr>
          <w:t>115</w:t>
        </w:r>
        <w:r w:rsidR="00575CDB">
          <w:rPr>
            <w:sz w:val="28"/>
            <w:szCs w:val="28"/>
          </w:rPr>
          <w:fldChar w:fldCharType="end"/>
        </w:r>
      </w:hyperlink>
    </w:p>
    <w:p w:rsidR="00013EC7" w:rsidRDefault="005262E6">
      <w:pPr>
        <w:pStyle w:val="10"/>
        <w:tabs>
          <w:tab w:val="right" w:leader="dot" w:pos="20128"/>
        </w:tabs>
        <w:rPr>
          <w:sz w:val="28"/>
          <w:szCs w:val="28"/>
        </w:rPr>
      </w:pPr>
      <w:hyperlink w:anchor="_Toc24703" w:history="1">
        <w:r w:rsidR="00575CDB">
          <w:rPr>
            <w:rFonts w:hint="eastAsia"/>
            <w:sz w:val="28"/>
            <w:szCs w:val="28"/>
          </w:rPr>
          <w:t>十七、日常税费申报</w:t>
        </w:r>
        <w:r w:rsidR="00575CDB">
          <w:rPr>
            <w:sz w:val="28"/>
            <w:szCs w:val="28"/>
          </w:rPr>
          <w:tab/>
        </w:r>
        <w:r w:rsidR="00575CDB">
          <w:rPr>
            <w:sz w:val="28"/>
            <w:szCs w:val="28"/>
          </w:rPr>
          <w:fldChar w:fldCharType="begin"/>
        </w:r>
        <w:r w:rsidR="00575CDB">
          <w:rPr>
            <w:sz w:val="28"/>
            <w:szCs w:val="28"/>
          </w:rPr>
          <w:instrText xml:space="preserve"> PAGEREF _Toc24703 </w:instrText>
        </w:r>
        <w:r w:rsidR="00575CDB">
          <w:rPr>
            <w:sz w:val="28"/>
            <w:szCs w:val="28"/>
          </w:rPr>
          <w:fldChar w:fldCharType="separate"/>
        </w:r>
        <w:r w:rsidR="00575CDB">
          <w:rPr>
            <w:sz w:val="28"/>
            <w:szCs w:val="28"/>
          </w:rPr>
          <w:t>117</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20206" w:history="1">
        <w:r w:rsidR="00575CDB">
          <w:rPr>
            <w:rFonts w:hint="eastAsia"/>
            <w:sz w:val="28"/>
            <w:szCs w:val="28"/>
          </w:rPr>
          <w:t>17.1</w:t>
        </w:r>
        <w:r w:rsidR="00575CDB">
          <w:rPr>
            <w:rFonts w:hint="eastAsia"/>
            <w:sz w:val="28"/>
            <w:szCs w:val="28"/>
          </w:rPr>
          <w:t>增值税一般纳税人申报</w:t>
        </w:r>
        <w:r w:rsidR="00575CDB">
          <w:rPr>
            <w:sz w:val="28"/>
            <w:szCs w:val="28"/>
          </w:rPr>
          <w:tab/>
        </w:r>
        <w:r w:rsidR="00575CDB">
          <w:rPr>
            <w:sz w:val="28"/>
            <w:szCs w:val="28"/>
          </w:rPr>
          <w:fldChar w:fldCharType="begin"/>
        </w:r>
        <w:r w:rsidR="00575CDB">
          <w:rPr>
            <w:sz w:val="28"/>
            <w:szCs w:val="28"/>
          </w:rPr>
          <w:instrText xml:space="preserve"> PAGEREF _Toc20206 </w:instrText>
        </w:r>
        <w:r w:rsidR="00575CDB">
          <w:rPr>
            <w:sz w:val="28"/>
            <w:szCs w:val="28"/>
          </w:rPr>
          <w:fldChar w:fldCharType="separate"/>
        </w:r>
        <w:r w:rsidR="00575CDB">
          <w:rPr>
            <w:sz w:val="28"/>
            <w:szCs w:val="28"/>
          </w:rPr>
          <w:t>117</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23613" w:history="1">
        <w:r w:rsidR="00575CDB">
          <w:rPr>
            <w:rFonts w:hint="eastAsia"/>
            <w:sz w:val="28"/>
            <w:szCs w:val="28"/>
          </w:rPr>
          <w:t>17.2</w:t>
        </w:r>
        <w:r w:rsidR="00575CDB">
          <w:rPr>
            <w:rFonts w:hint="eastAsia"/>
            <w:sz w:val="28"/>
            <w:szCs w:val="28"/>
          </w:rPr>
          <w:t>增值税小规模纳税人（非定期定额户）申报</w:t>
        </w:r>
        <w:r w:rsidR="00575CDB">
          <w:rPr>
            <w:sz w:val="28"/>
            <w:szCs w:val="28"/>
          </w:rPr>
          <w:tab/>
        </w:r>
        <w:r w:rsidR="00575CDB">
          <w:rPr>
            <w:sz w:val="28"/>
            <w:szCs w:val="28"/>
          </w:rPr>
          <w:fldChar w:fldCharType="begin"/>
        </w:r>
        <w:r w:rsidR="00575CDB">
          <w:rPr>
            <w:sz w:val="28"/>
            <w:szCs w:val="28"/>
          </w:rPr>
          <w:instrText xml:space="preserve"> PAGEREF _Toc23613 </w:instrText>
        </w:r>
        <w:r w:rsidR="00575CDB">
          <w:rPr>
            <w:sz w:val="28"/>
            <w:szCs w:val="28"/>
          </w:rPr>
          <w:fldChar w:fldCharType="separate"/>
        </w:r>
        <w:r w:rsidR="00575CDB">
          <w:rPr>
            <w:sz w:val="28"/>
            <w:szCs w:val="28"/>
          </w:rPr>
          <w:t>122</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10152" w:history="1">
        <w:r w:rsidR="00575CDB">
          <w:rPr>
            <w:rFonts w:hint="eastAsia"/>
            <w:sz w:val="28"/>
            <w:szCs w:val="28"/>
          </w:rPr>
          <w:t>17.3</w:t>
        </w:r>
        <w:r w:rsidR="00575CDB">
          <w:rPr>
            <w:rFonts w:hint="eastAsia"/>
            <w:sz w:val="28"/>
            <w:szCs w:val="28"/>
          </w:rPr>
          <w:t>增值税预缴申报</w:t>
        </w:r>
        <w:r w:rsidR="00575CDB">
          <w:rPr>
            <w:sz w:val="28"/>
            <w:szCs w:val="28"/>
          </w:rPr>
          <w:tab/>
        </w:r>
        <w:r w:rsidR="00575CDB">
          <w:rPr>
            <w:sz w:val="28"/>
            <w:szCs w:val="28"/>
          </w:rPr>
          <w:fldChar w:fldCharType="begin"/>
        </w:r>
        <w:r w:rsidR="00575CDB">
          <w:rPr>
            <w:sz w:val="28"/>
            <w:szCs w:val="28"/>
          </w:rPr>
          <w:instrText xml:space="preserve"> PAGEREF _Toc10152 </w:instrText>
        </w:r>
        <w:r w:rsidR="00575CDB">
          <w:rPr>
            <w:sz w:val="28"/>
            <w:szCs w:val="28"/>
          </w:rPr>
          <w:fldChar w:fldCharType="separate"/>
        </w:r>
        <w:r w:rsidR="00575CDB">
          <w:rPr>
            <w:sz w:val="28"/>
            <w:szCs w:val="28"/>
          </w:rPr>
          <w:t>124</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13265" w:history="1">
        <w:r w:rsidR="00575CDB">
          <w:rPr>
            <w:rFonts w:hint="eastAsia"/>
            <w:sz w:val="28"/>
            <w:szCs w:val="28"/>
          </w:rPr>
          <w:t>17.4</w:t>
        </w:r>
        <w:r w:rsidR="00575CDB">
          <w:rPr>
            <w:rFonts w:hint="eastAsia"/>
            <w:sz w:val="28"/>
            <w:szCs w:val="28"/>
          </w:rPr>
          <w:t>烟类应税消费品消费税申报</w:t>
        </w:r>
        <w:r w:rsidR="00575CDB">
          <w:rPr>
            <w:sz w:val="28"/>
            <w:szCs w:val="28"/>
          </w:rPr>
          <w:tab/>
        </w:r>
        <w:r w:rsidR="00575CDB">
          <w:rPr>
            <w:sz w:val="28"/>
            <w:szCs w:val="28"/>
          </w:rPr>
          <w:fldChar w:fldCharType="begin"/>
        </w:r>
        <w:r w:rsidR="00575CDB">
          <w:rPr>
            <w:sz w:val="28"/>
            <w:szCs w:val="28"/>
          </w:rPr>
          <w:instrText xml:space="preserve"> PAGEREF _Toc13265 </w:instrText>
        </w:r>
        <w:r w:rsidR="00575CDB">
          <w:rPr>
            <w:sz w:val="28"/>
            <w:szCs w:val="28"/>
          </w:rPr>
          <w:fldChar w:fldCharType="separate"/>
        </w:r>
        <w:r w:rsidR="00575CDB">
          <w:rPr>
            <w:sz w:val="28"/>
            <w:szCs w:val="28"/>
          </w:rPr>
          <w:t>126</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10951" w:history="1">
        <w:r w:rsidR="00575CDB">
          <w:rPr>
            <w:rFonts w:hint="eastAsia"/>
            <w:sz w:val="28"/>
            <w:szCs w:val="28"/>
          </w:rPr>
          <w:t>17.5</w:t>
        </w:r>
        <w:r w:rsidR="00575CDB">
          <w:rPr>
            <w:rFonts w:hint="eastAsia"/>
            <w:sz w:val="28"/>
            <w:szCs w:val="28"/>
          </w:rPr>
          <w:t>酒类应税消费品消费税申报</w:t>
        </w:r>
        <w:r w:rsidR="00575CDB">
          <w:rPr>
            <w:sz w:val="28"/>
            <w:szCs w:val="28"/>
          </w:rPr>
          <w:tab/>
        </w:r>
        <w:r w:rsidR="00575CDB">
          <w:rPr>
            <w:sz w:val="28"/>
            <w:szCs w:val="28"/>
          </w:rPr>
          <w:fldChar w:fldCharType="begin"/>
        </w:r>
        <w:r w:rsidR="00575CDB">
          <w:rPr>
            <w:sz w:val="28"/>
            <w:szCs w:val="28"/>
          </w:rPr>
          <w:instrText xml:space="preserve"> PAGEREF _Toc10951 </w:instrText>
        </w:r>
        <w:r w:rsidR="00575CDB">
          <w:rPr>
            <w:sz w:val="28"/>
            <w:szCs w:val="28"/>
          </w:rPr>
          <w:fldChar w:fldCharType="separate"/>
        </w:r>
        <w:r w:rsidR="00575CDB">
          <w:rPr>
            <w:sz w:val="28"/>
            <w:szCs w:val="28"/>
          </w:rPr>
          <w:t>129</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32638" w:history="1">
        <w:r w:rsidR="00575CDB">
          <w:rPr>
            <w:rFonts w:hint="eastAsia"/>
            <w:sz w:val="28"/>
            <w:szCs w:val="28"/>
          </w:rPr>
          <w:t>17.6</w:t>
        </w:r>
        <w:r w:rsidR="00575CDB">
          <w:rPr>
            <w:rFonts w:hint="eastAsia"/>
            <w:sz w:val="28"/>
            <w:szCs w:val="28"/>
          </w:rPr>
          <w:t>成品油消费税申报</w:t>
        </w:r>
        <w:r w:rsidR="00575CDB">
          <w:rPr>
            <w:sz w:val="28"/>
            <w:szCs w:val="28"/>
          </w:rPr>
          <w:tab/>
        </w:r>
        <w:r w:rsidR="00575CDB">
          <w:rPr>
            <w:sz w:val="28"/>
            <w:szCs w:val="28"/>
          </w:rPr>
          <w:fldChar w:fldCharType="begin"/>
        </w:r>
        <w:r w:rsidR="00575CDB">
          <w:rPr>
            <w:sz w:val="28"/>
            <w:szCs w:val="28"/>
          </w:rPr>
          <w:instrText xml:space="preserve"> PAGEREF _Toc32638 </w:instrText>
        </w:r>
        <w:r w:rsidR="00575CDB">
          <w:rPr>
            <w:sz w:val="28"/>
            <w:szCs w:val="28"/>
          </w:rPr>
          <w:fldChar w:fldCharType="separate"/>
        </w:r>
        <w:r w:rsidR="00575CDB">
          <w:rPr>
            <w:sz w:val="28"/>
            <w:szCs w:val="28"/>
          </w:rPr>
          <w:t>131</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28862" w:history="1">
        <w:r w:rsidR="00575CDB">
          <w:rPr>
            <w:rFonts w:hint="eastAsia"/>
            <w:sz w:val="28"/>
            <w:szCs w:val="28"/>
          </w:rPr>
          <w:t>17.7</w:t>
        </w:r>
        <w:r w:rsidR="00575CDB">
          <w:rPr>
            <w:rFonts w:hint="eastAsia"/>
            <w:sz w:val="28"/>
            <w:szCs w:val="28"/>
          </w:rPr>
          <w:t>小汽车消费税申报</w:t>
        </w:r>
        <w:r w:rsidR="00575CDB">
          <w:rPr>
            <w:sz w:val="28"/>
            <w:szCs w:val="28"/>
          </w:rPr>
          <w:tab/>
        </w:r>
        <w:r w:rsidR="00575CDB">
          <w:rPr>
            <w:sz w:val="28"/>
            <w:szCs w:val="28"/>
          </w:rPr>
          <w:fldChar w:fldCharType="begin"/>
        </w:r>
        <w:r w:rsidR="00575CDB">
          <w:rPr>
            <w:sz w:val="28"/>
            <w:szCs w:val="28"/>
          </w:rPr>
          <w:instrText xml:space="preserve"> PAGEREF _Toc28862 </w:instrText>
        </w:r>
        <w:r w:rsidR="00575CDB">
          <w:rPr>
            <w:sz w:val="28"/>
            <w:szCs w:val="28"/>
          </w:rPr>
          <w:fldChar w:fldCharType="separate"/>
        </w:r>
        <w:r w:rsidR="00575CDB">
          <w:rPr>
            <w:sz w:val="28"/>
            <w:szCs w:val="28"/>
          </w:rPr>
          <w:t>134</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14916" w:history="1">
        <w:r w:rsidR="00575CDB">
          <w:rPr>
            <w:rFonts w:hint="eastAsia"/>
            <w:sz w:val="28"/>
            <w:szCs w:val="28"/>
          </w:rPr>
          <w:t>17.8</w:t>
        </w:r>
        <w:r w:rsidR="00575CDB">
          <w:rPr>
            <w:rFonts w:hint="eastAsia"/>
            <w:sz w:val="28"/>
            <w:szCs w:val="28"/>
          </w:rPr>
          <w:t>电池消费税申报</w:t>
        </w:r>
        <w:r w:rsidR="00575CDB">
          <w:rPr>
            <w:sz w:val="28"/>
            <w:szCs w:val="28"/>
          </w:rPr>
          <w:tab/>
        </w:r>
        <w:r w:rsidR="00575CDB">
          <w:rPr>
            <w:sz w:val="28"/>
            <w:szCs w:val="28"/>
          </w:rPr>
          <w:fldChar w:fldCharType="begin"/>
        </w:r>
        <w:r w:rsidR="00575CDB">
          <w:rPr>
            <w:sz w:val="28"/>
            <w:szCs w:val="28"/>
          </w:rPr>
          <w:instrText xml:space="preserve"> PAGEREF _Toc14916 </w:instrText>
        </w:r>
        <w:r w:rsidR="00575CDB">
          <w:rPr>
            <w:sz w:val="28"/>
            <w:szCs w:val="28"/>
          </w:rPr>
          <w:fldChar w:fldCharType="separate"/>
        </w:r>
        <w:r w:rsidR="00575CDB">
          <w:rPr>
            <w:sz w:val="28"/>
            <w:szCs w:val="28"/>
          </w:rPr>
          <w:t>136</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919" w:history="1">
        <w:r w:rsidR="00575CDB">
          <w:rPr>
            <w:rFonts w:hint="eastAsia"/>
            <w:sz w:val="28"/>
            <w:szCs w:val="28"/>
          </w:rPr>
          <w:t>17.9</w:t>
        </w:r>
        <w:r w:rsidR="00575CDB">
          <w:rPr>
            <w:rFonts w:hint="eastAsia"/>
            <w:sz w:val="28"/>
            <w:szCs w:val="28"/>
          </w:rPr>
          <w:t>涂料消费税申报</w:t>
        </w:r>
        <w:r w:rsidR="00575CDB">
          <w:rPr>
            <w:sz w:val="28"/>
            <w:szCs w:val="28"/>
          </w:rPr>
          <w:tab/>
        </w:r>
        <w:r w:rsidR="00575CDB">
          <w:rPr>
            <w:sz w:val="28"/>
            <w:szCs w:val="28"/>
          </w:rPr>
          <w:fldChar w:fldCharType="begin"/>
        </w:r>
        <w:r w:rsidR="00575CDB">
          <w:rPr>
            <w:sz w:val="28"/>
            <w:szCs w:val="28"/>
          </w:rPr>
          <w:instrText xml:space="preserve"> PAGEREF _Toc919 </w:instrText>
        </w:r>
        <w:r w:rsidR="00575CDB">
          <w:rPr>
            <w:sz w:val="28"/>
            <w:szCs w:val="28"/>
          </w:rPr>
          <w:fldChar w:fldCharType="separate"/>
        </w:r>
        <w:r w:rsidR="00575CDB">
          <w:rPr>
            <w:sz w:val="28"/>
            <w:szCs w:val="28"/>
          </w:rPr>
          <w:t>138</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31966" w:history="1">
        <w:r w:rsidR="00575CDB">
          <w:rPr>
            <w:rFonts w:hint="eastAsia"/>
            <w:sz w:val="28"/>
            <w:szCs w:val="28"/>
          </w:rPr>
          <w:t xml:space="preserve">17.10 </w:t>
        </w:r>
        <w:r w:rsidR="00575CDB">
          <w:rPr>
            <w:rFonts w:hint="eastAsia"/>
            <w:sz w:val="28"/>
            <w:szCs w:val="28"/>
          </w:rPr>
          <w:t>其他类消费税申报</w:t>
        </w:r>
        <w:r w:rsidR="00575CDB">
          <w:rPr>
            <w:sz w:val="28"/>
            <w:szCs w:val="28"/>
          </w:rPr>
          <w:tab/>
        </w:r>
        <w:r w:rsidR="00575CDB">
          <w:rPr>
            <w:sz w:val="28"/>
            <w:szCs w:val="28"/>
          </w:rPr>
          <w:fldChar w:fldCharType="begin"/>
        </w:r>
        <w:r w:rsidR="00575CDB">
          <w:rPr>
            <w:sz w:val="28"/>
            <w:szCs w:val="28"/>
          </w:rPr>
          <w:instrText xml:space="preserve"> PAGEREF _Toc31966 </w:instrText>
        </w:r>
        <w:r w:rsidR="00575CDB">
          <w:rPr>
            <w:sz w:val="28"/>
            <w:szCs w:val="28"/>
          </w:rPr>
          <w:fldChar w:fldCharType="separate"/>
        </w:r>
        <w:r w:rsidR="00575CDB">
          <w:rPr>
            <w:sz w:val="28"/>
            <w:szCs w:val="28"/>
          </w:rPr>
          <w:t>140</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31862" w:history="1">
        <w:r w:rsidR="00575CDB">
          <w:rPr>
            <w:rFonts w:hint="eastAsia"/>
            <w:sz w:val="28"/>
            <w:szCs w:val="28"/>
          </w:rPr>
          <w:t>17.11</w:t>
        </w:r>
        <w:r w:rsidR="00575CDB">
          <w:rPr>
            <w:rFonts w:hint="eastAsia"/>
            <w:sz w:val="28"/>
            <w:szCs w:val="28"/>
          </w:rPr>
          <w:t>居民企业所得税月（季）度预缴纳税申报（适用查账征收）</w:t>
        </w:r>
        <w:r w:rsidR="00575CDB">
          <w:rPr>
            <w:sz w:val="28"/>
            <w:szCs w:val="28"/>
          </w:rPr>
          <w:tab/>
        </w:r>
        <w:r w:rsidR="00575CDB">
          <w:rPr>
            <w:sz w:val="28"/>
            <w:szCs w:val="28"/>
          </w:rPr>
          <w:fldChar w:fldCharType="begin"/>
        </w:r>
        <w:r w:rsidR="00575CDB">
          <w:rPr>
            <w:sz w:val="28"/>
            <w:szCs w:val="28"/>
          </w:rPr>
          <w:instrText xml:space="preserve"> PAGEREF _Toc31862 </w:instrText>
        </w:r>
        <w:r w:rsidR="00575CDB">
          <w:rPr>
            <w:sz w:val="28"/>
            <w:szCs w:val="28"/>
          </w:rPr>
          <w:fldChar w:fldCharType="separate"/>
        </w:r>
        <w:r w:rsidR="00575CDB">
          <w:rPr>
            <w:sz w:val="28"/>
            <w:szCs w:val="28"/>
          </w:rPr>
          <w:t>143</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14807" w:history="1">
        <w:r w:rsidR="00575CDB">
          <w:rPr>
            <w:rFonts w:hint="eastAsia"/>
            <w:sz w:val="28"/>
            <w:szCs w:val="28"/>
          </w:rPr>
          <w:t>17.12</w:t>
        </w:r>
        <w:r w:rsidR="00575CDB">
          <w:rPr>
            <w:rFonts w:hint="eastAsia"/>
            <w:sz w:val="28"/>
            <w:szCs w:val="28"/>
          </w:rPr>
          <w:t>居民企业所得税月（季）度预缴纳税申报（适用核定征收）</w:t>
        </w:r>
        <w:r w:rsidR="00575CDB">
          <w:rPr>
            <w:sz w:val="28"/>
            <w:szCs w:val="28"/>
          </w:rPr>
          <w:tab/>
        </w:r>
        <w:r w:rsidR="00575CDB">
          <w:rPr>
            <w:sz w:val="28"/>
            <w:szCs w:val="28"/>
          </w:rPr>
          <w:fldChar w:fldCharType="begin"/>
        </w:r>
        <w:r w:rsidR="00575CDB">
          <w:rPr>
            <w:sz w:val="28"/>
            <w:szCs w:val="28"/>
          </w:rPr>
          <w:instrText xml:space="preserve"> PAGEREF _Toc14807 </w:instrText>
        </w:r>
        <w:r w:rsidR="00575CDB">
          <w:rPr>
            <w:sz w:val="28"/>
            <w:szCs w:val="28"/>
          </w:rPr>
          <w:fldChar w:fldCharType="separate"/>
        </w:r>
        <w:r w:rsidR="00575CDB">
          <w:rPr>
            <w:sz w:val="28"/>
            <w:szCs w:val="28"/>
          </w:rPr>
          <w:t>146</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4585" w:history="1">
        <w:r w:rsidR="00575CDB">
          <w:rPr>
            <w:rFonts w:hint="eastAsia"/>
            <w:sz w:val="28"/>
            <w:szCs w:val="28"/>
          </w:rPr>
          <w:t>17.13</w:t>
        </w:r>
        <w:r w:rsidR="00575CDB">
          <w:rPr>
            <w:rFonts w:hint="eastAsia"/>
            <w:sz w:val="28"/>
            <w:szCs w:val="28"/>
          </w:rPr>
          <w:t>居民企业所得税年度纳税申报（适用查账征收）</w:t>
        </w:r>
        <w:r w:rsidR="00575CDB">
          <w:rPr>
            <w:sz w:val="28"/>
            <w:szCs w:val="28"/>
          </w:rPr>
          <w:tab/>
        </w:r>
        <w:r w:rsidR="00575CDB">
          <w:rPr>
            <w:sz w:val="28"/>
            <w:szCs w:val="28"/>
          </w:rPr>
          <w:fldChar w:fldCharType="begin"/>
        </w:r>
        <w:r w:rsidR="00575CDB">
          <w:rPr>
            <w:sz w:val="28"/>
            <w:szCs w:val="28"/>
          </w:rPr>
          <w:instrText xml:space="preserve"> PAGEREF _Toc4585 </w:instrText>
        </w:r>
        <w:r w:rsidR="00575CDB">
          <w:rPr>
            <w:sz w:val="28"/>
            <w:szCs w:val="28"/>
          </w:rPr>
          <w:fldChar w:fldCharType="separate"/>
        </w:r>
        <w:r w:rsidR="00575CDB">
          <w:rPr>
            <w:sz w:val="28"/>
            <w:szCs w:val="28"/>
          </w:rPr>
          <w:t>148</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19208" w:history="1">
        <w:r w:rsidR="00575CDB">
          <w:rPr>
            <w:rFonts w:hint="eastAsia"/>
            <w:sz w:val="28"/>
            <w:szCs w:val="28"/>
          </w:rPr>
          <w:t>17.14</w:t>
        </w:r>
        <w:r w:rsidR="00575CDB">
          <w:rPr>
            <w:rFonts w:hint="eastAsia"/>
            <w:sz w:val="28"/>
            <w:szCs w:val="28"/>
          </w:rPr>
          <w:t>居民企业所得税年度纳税申报（适用核定征收）</w:t>
        </w:r>
        <w:r w:rsidR="00575CDB">
          <w:rPr>
            <w:sz w:val="28"/>
            <w:szCs w:val="28"/>
          </w:rPr>
          <w:tab/>
        </w:r>
        <w:r w:rsidR="00575CDB">
          <w:rPr>
            <w:sz w:val="28"/>
            <w:szCs w:val="28"/>
          </w:rPr>
          <w:fldChar w:fldCharType="begin"/>
        </w:r>
        <w:r w:rsidR="00575CDB">
          <w:rPr>
            <w:sz w:val="28"/>
            <w:szCs w:val="28"/>
          </w:rPr>
          <w:instrText xml:space="preserve"> PAGEREF _Toc19208 </w:instrText>
        </w:r>
        <w:r w:rsidR="00575CDB">
          <w:rPr>
            <w:sz w:val="28"/>
            <w:szCs w:val="28"/>
          </w:rPr>
          <w:fldChar w:fldCharType="separate"/>
        </w:r>
        <w:r w:rsidR="00575CDB">
          <w:rPr>
            <w:sz w:val="28"/>
            <w:szCs w:val="28"/>
          </w:rPr>
          <w:t>161</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17884" w:history="1">
        <w:r w:rsidR="00575CDB">
          <w:rPr>
            <w:rFonts w:hint="eastAsia"/>
            <w:sz w:val="28"/>
            <w:szCs w:val="28"/>
          </w:rPr>
          <w:t>17.15</w:t>
        </w:r>
        <w:r w:rsidR="00575CDB">
          <w:rPr>
            <w:rFonts w:hint="eastAsia"/>
            <w:sz w:val="28"/>
            <w:szCs w:val="28"/>
          </w:rPr>
          <w:t>非居民企业所得税季度纳税申报（适用据实申报）</w:t>
        </w:r>
        <w:r w:rsidR="00575CDB">
          <w:rPr>
            <w:sz w:val="28"/>
            <w:szCs w:val="28"/>
          </w:rPr>
          <w:tab/>
        </w:r>
        <w:r w:rsidR="00575CDB">
          <w:rPr>
            <w:sz w:val="28"/>
            <w:szCs w:val="28"/>
          </w:rPr>
          <w:fldChar w:fldCharType="begin"/>
        </w:r>
        <w:r w:rsidR="00575CDB">
          <w:rPr>
            <w:sz w:val="28"/>
            <w:szCs w:val="28"/>
          </w:rPr>
          <w:instrText xml:space="preserve"> PAGEREF _Toc17884 </w:instrText>
        </w:r>
        <w:r w:rsidR="00575CDB">
          <w:rPr>
            <w:sz w:val="28"/>
            <w:szCs w:val="28"/>
          </w:rPr>
          <w:fldChar w:fldCharType="separate"/>
        </w:r>
        <w:r w:rsidR="00575CDB">
          <w:rPr>
            <w:sz w:val="28"/>
            <w:szCs w:val="28"/>
          </w:rPr>
          <w:t>164</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25659" w:history="1">
        <w:r w:rsidR="00575CDB">
          <w:rPr>
            <w:rFonts w:hint="eastAsia"/>
            <w:sz w:val="28"/>
            <w:szCs w:val="28"/>
          </w:rPr>
          <w:t>17.16</w:t>
        </w:r>
        <w:r w:rsidR="00575CDB">
          <w:rPr>
            <w:rFonts w:hint="eastAsia"/>
            <w:sz w:val="28"/>
            <w:szCs w:val="28"/>
          </w:rPr>
          <w:t>非居民企业所得税季度纳税申报（适用核定征收）及不构成常设机构和国际运输免税申报</w:t>
        </w:r>
        <w:r w:rsidR="00575CDB">
          <w:rPr>
            <w:sz w:val="28"/>
            <w:szCs w:val="28"/>
          </w:rPr>
          <w:tab/>
        </w:r>
        <w:r w:rsidR="00575CDB">
          <w:rPr>
            <w:sz w:val="28"/>
            <w:szCs w:val="28"/>
          </w:rPr>
          <w:fldChar w:fldCharType="begin"/>
        </w:r>
        <w:r w:rsidR="00575CDB">
          <w:rPr>
            <w:sz w:val="28"/>
            <w:szCs w:val="28"/>
          </w:rPr>
          <w:instrText xml:space="preserve"> PAGEREF _Toc25659 </w:instrText>
        </w:r>
        <w:r w:rsidR="00575CDB">
          <w:rPr>
            <w:sz w:val="28"/>
            <w:szCs w:val="28"/>
          </w:rPr>
          <w:fldChar w:fldCharType="separate"/>
        </w:r>
        <w:r w:rsidR="00575CDB">
          <w:rPr>
            <w:sz w:val="28"/>
            <w:szCs w:val="28"/>
          </w:rPr>
          <w:t>166</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6202" w:history="1">
        <w:r w:rsidR="00575CDB">
          <w:rPr>
            <w:rFonts w:hint="eastAsia"/>
            <w:sz w:val="28"/>
            <w:szCs w:val="28"/>
          </w:rPr>
          <w:t>17.17</w:t>
        </w:r>
        <w:r w:rsidR="00575CDB">
          <w:rPr>
            <w:rFonts w:hint="eastAsia"/>
            <w:sz w:val="28"/>
            <w:szCs w:val="28"/>
          </w:rPr>
          <w:t>非居民企业所得税年度纳税申报（适用据实申报）</w:t>
        </w:r>
        <w:r w:rsidR="00575CDB">
          <w:rPr>
            <w:sz w:val="28"/>
            <w:szCs w:val="28"/>
          </w:rPr>
          <w:tab/>
        </w:r>
        <w:r w:rsidR="00575CDB">
          <w:rPr>
            <w:sz w:val="28"/>
            <w:szCs w:val="28"/>
          </w:rPr>
          <w:fldChar w:fldCharType="begin"/>
        </w:r>
        <w:r w:rsidR="00575CDB">
          <w:rPr>
            <w:sz w:val="28"/>
            <w:szCs w:val="28"/>
          </w:rPr>
          <w:instrText xml:space="preserve"> PAGEREF _Toc6202 </w:instrText>
        </w:r>
        <w:r w:rsidR="00575CDB">
          <w:rPr>
            <w:sz w:val="28"/>
            <w:szCs w:val="28"/>
          </w:rPr>
          <w:fldChar w:fldCharType="separate"/>
        </w:r>
        <w:r w:rsidR="00575CDB">
          <w:rPr>
            <w:sz w:val="28"/>
            <w:szCs w:val="28"/>
          </w:rPr>
          <w:t>168</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23506" w:history="1">
        <w:r w:rsidR="00575CDB">
          <w:rPr>
            <w:rFonts w:hint="eastAsia"/>
            <w:sz w:val="28"/>
            <w:szCs w:val="28"/>
          </w:rPr>
          <w:t>17.18</w:t>
        </w:r>
        <w:r w:rsidR="00575CDB">
          <w:rPr>
            <w:rFonts w:hint="eastAsia"/>
            <w:sz w:val="28"/>
            <w:szCs w:val="28"/>
          </w:rPr>
          <w:t>非居民企业所得税年度纳税申报（适用核定征收）及不构成常设机构和国际运输免税申报</w:t>
        </w:r>
        <w:r w:rsidR="00575CDB">
          <w:rPr>
            <w:sz w:val="28"/>
            <w:szCs w:val="28"/>
          </w:rPr>
          <w:tab/>
        </w:r>
        <w:r w:rsidR="00575CDB">
          <w:rPr>
            <w:sz w:val="28"/>
            <w:szCs w:val="28"/>
          </w:rPr>
          <w:fldChar w:fldCharType="begin"/>
        </w:r>
        <w:r w:rsidR="00575CDB">
          <w:rPr>
            <w:sz w:val="28"/>
            <w:szCs w:val="28"/>
          </w:rPr>
          <w:instrText xml:space="preserve"> PAGEREF _Toc23506 </w:instrText>
        </w:r>
        <w:r w:rsidR="00575CDB">
          <w:rPr>
            <w:sz w:val="28"/>
            <w:szCs w:val="28"/>
          </w:rPr>
          <w:fldChar w:fldCharType="separate"/>
        </w:r>
        <w:r w:rsidR="00575CDB">
          <w:rPr>
            <w:sz w:val="28"/>
            <w:szCs w:val="28"/>
          </w:rPr>
          <w:t>171</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2941" w:history="1">
        <w:r w:rsidR="00575CDB">
          <w:rPr>
            <w:rFonts w:hint="eastAsia"/>
            <w:sz w:val="28"/>
            <w:szCs w:val="28"/>
          </w:rPr>
          <w:t>17.19</w:t>
        </w:r>
        <w:r w:rsidR="00575CDB">
          <w:rPr>
            <w:rFonts w:hint="eastAsia"/>
            <w:sz w:val="28"/>
            <w:szCs w:val="28"/>
          </w:rPr>
          <w:t>废弃电器电子产品处理基金申报</w:t>
        </w:r>
        <w:r w:rsidR="00575CDB">
          <w:rPr>
            <w:sz w:val="28"/>
            <w:szCs w:val="28"/>
          </w:rPr>
          <w:tab/>
        </w:r>
        <w:r w:rsidR="00575CDB">
          <w:rPr>
            <w:sz w:val="28"/>
            <w:szCs w:val="28"/>
          </w:rPr>
          <w:fldChar w:fldCharType="begin"/>
        </w:r>
        <w:r w:rsidR="00575CDB">
          <w:rPr>
            <w:sz w:val="28"/>
            <w:szCs w:val="28"/>
          </w:rPr>
          <w:instrText xml:space="preserve"> PAGEREF _Toc2941 </w:instrText>
        </w:r>
        <w:r w:rsidR="00575CDB">
          <w:rPr>
            <w:sz w:val="28"/>
            <w:szCs w:val="28"/>
          </w:rPr>
          <w:fldChar w:fldCharType="separate"/>
        </w:r>
        <w:r w:rsidR="00575CDB">
          <w:rPr>
            <w:sz w:val="28"/>
            <w:szCs w:val="28"/>
          </w:rPr>
          <w:t>173</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406" w:history="1">
        <w:r w:rsidR="00575CDB">
          <w:rPr>
            <w:rFonts w:hint="eastAsia"/>
            <w:sz w:val="28"/>
            <w:szCs w:val="28"/>
          </w:rPr>
          <w:t>17.20</w:t>
        </w:r>
        <w:r w:rsidR="00575CDB">
          <w:rPr>
            <w:rFonts w:hint="eastAsia"/>
            <w:sz w:val="28"/>
            <w:szCs w:val="28"/>
          </w:rPr>
          <w:t>文化事业建设费申报</w:t>
        </w:r>
        <w:r w:rsidR="00575CDB">
          <w:rPr>
            <w:sz w:val="28"/>
            <w:szCs w:val="28"/>
          </w:rPr>
          <w:tab/>
        </w:r>
        <w:r w:rsidR="00575CDB">
          <w:rPr>
            <w:sz w:val="28"/>
            <w:szCs w:val="28"/>
          </w:rPr>
          <w:fldChar w:fldCharType="begin"/>
        </w:r>
        <w:r w:rsidR="00575CDB">
          <w:rPr>
            <w:sz w:val="28"/>
            <w:szCs w:val="28"/>
          </w:rPr>
          <w:instrText xml:space="preserve"> PAGEREF _Toc406 </w:instrText>
        </w:r>
        <w:r w:rsidR="00575CDB">
          <w:rPr>
            <w:sz w:val="28"/>
            <w:szCs w:val="28"/>
          </w:rPr>
          <w:fldChar w:fldCharType="separate"/>
        </w:r>
        <w:r w:rsidR="00575CDB">
          <w:rPr>
            <w:sz w:val="28"/>
            <w:szCs w:val="28"/>
          </w:rPr>
          <w:t>175</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29361" w:history="1">
        <w:r w:rsidR="00575CDB">
          <w:rPr>
            <w:rFonts w:hint="eastAsia"/>
            <w:sz w:val="28"/>
            <w:szCs w:val="28"/>
          </w:rPr>
          <w:t>17.21</w:t>
        </w:r>
        <w:r w:rsidR="00575CDB">
          <w:rPr>
            <w:rFonts w:hint="eastAsia"/>
            <w:sz w:val="28"/>
            <w:szCs w:val="28"/>
          </w:rPr>
          <w:t>定期定额个体工商户申报</w:t>
        </w:r>
        <w:r w:rsidR="00575CDB">
          <w:rPr>
            <w:sz w:val="28"/>
            <w:szCs w:val="28"/>
          </w:rPr>
          <w:tab/>
        </w:r>
        <w:r w:rsidR="00575CDB">
          <w:rPr>
            <w:sz w:val="28"/>
            <w:szCs w:val="28"/>
          </w:rPr>
          <w:fldChar w:fldCharType="begin"/>
        </w:r>
        <w:r w:rsidR="00575CDB">
          <w:rPr>
            <w:sz w:val="28"/>
            <w:szCs w:val="28"/>
          </w:rPr>
          <w:instrText xml:space="preserve"> PAGEREF _Toc29361 </w:instrText>
        </w:r>
        <w:r w:rsidR="00575CDB">
          <w:rPr>
            <w:sz w:val="28"/>
            <w:szCs w:val="28"/>
          </w:rPr>
          <w:fldChar w:fldCharType="separate"/>
        </w:r>
        <w:r w:rsidR="00575CDB">
          <w:rPr>
            <w:sz w:val="28"/>
            <w:szCs w:val="28"/>
          </w:rPr>
          <w:t>177</w:t>
        </w:r>
        <w:r w:rsidR="00575CDB">
          <w:rPr>
            <w:sz w:val="28"/>
            <w:szCs w:val="28"/>
          </w:rPr>
          <w:fldChar w:fldCharType="end"/>
        </w:r>
      </w:hyperlink>
    </w:p>
    <w:p w:rsidR="00013EC7" w:rsidRDefault="005262E6">
      <w:pPr>
        <w:pStyle w:val="10"/>
        <w:tabs>
          <w:tab w:val="right" w:leader="dot" w:pos="20128"/>
        </w:tabs>
        <w:rPr>
          <w:sz w:val="28"/>
          <w:szCs w:val="28"/>
        </w:rPr>
      </w:pPr>
      <w:hyperlink w:anchor="_Toc15648" w:history="1">
        <w:r w:rsidR="00575CDB">
          <w:rPr>
            <w:rFonts w:hint="eastAsia"/>
            <w:sz w:val="28"/>
            <w:szCs w:val="28"/>
          </w:rPr>
          <w:t>十八、居民企业清算企业所得税申报</w:t>
        </w:r>
        <w:r w:rsidR="00575CDB">
          <w:rPr>
            <w:sz w:val="28"/>
            <w:szCs w:val="28"/>
          </w:rPr>
          <w:tab/>
        </w:r>
        <w:r w:rsidR="00575CDB">
          <w:rPr>
            <w:sz w:val="28"/>
            <w:szCs w:val="28"/>
          </w:rPr>
          <w:fldChar w:fldCharType="begin"/>
        </w:r>
        <w:r w:rsidR="00575CDB">
          <w:rPr>
            <w:sz w:val="28"/>
            <w:szCs w:val="28"/>
          </w:rPr>
          <w:instrText xml:space="preserve"> PAGEREF _Toc15648 </w:instrText>
        </w:r>
        <w:r w:rsidR="00575CDB">
          <w:rPr>
            <w:sz w:val="28"/>
            <w:szCs w:val="28"/>
          </w:rPr>
          <w:fldChar w:fldCharType="separate"/>
        </w:r>
        <w:r w:rsidR="00575CDB">
          <w:rPr>
            <w:sz w:val="28"/>
            <w:szCs w:val="28"/>
          </w:rPr>
          <w:t>179</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31937" w:history="1">
        <w:r w:rsidR="00575CDB">
          <w:rPr>
            <w:rFonts w:hint="eastAsia"/>
            <w:sz w:val="28"/>
            <w:szCs w:val="28"/>
          </w:rPr>
          <w:t>18.1</w:t>
        </w:r>
        <w:r w:rsidR="00575CDB">
          <w:rPr>
            <w:rFonts w:hint="eastAsia"/>
            <w:sz w:val="28"/>
            <w:szCs w:val="28"/>
          </w:rPr>
          <w:t>居民企业清算企业所得税申报</w:t>
        </w:r>
        <w:r w:rsidR="00575CDB">
          <w:rPr>
            <w:sz w:val="28"/>
            <w:szCs w:val="28"/>
          </w:rPr>
          <w:tab/>
        </w:r>
        <w:r w:rsidR="00575CDB">
          <w:rPr>
            <w:sz w:val="28"/>
            <w:szCs w:val="28"/>
          </w:rPr>
          <w:fldChar w:fldCharType="begin"/>
        </w:r>
        <w:r w:rsidR="00575CDB">
          <w:rPr>
            <w:sz w:val="28"/>
            <w:szCs w:val="28"/>
          </w:rPr>
          <w:instrText xml:space="preserve"> PAGEREF _Toc31937 </w:instrText>
        </w:r>
        <w:r w:rsidR="00575CDB">
          <w:rPr>
            <w:sz w:val="28"/>
            <w:szCs w:val="28"/>
          </w:rPr>
          <w:fldChar w:fldCharType="separate"/>
        </w:r>
        <w:r w:rsidR="00575CDB">
          <w:rPr>
            <w:sz w:val="28"/>
            <w:szCs w:val="28"/>
          </w:rPr>
          <w:t>179</w:t>
        </w:r>
        <w:r w:rsidR="00575CDB">
          <w:rPr>
            <w:sz w:val="28"/>
            <w:szCs w:val="28"/>
          </w:rPr>
          <w:fldChar w:fldCharType="end"/>
        </w:r>
      </w:hyperlink>
    </w:p>
    <w:p w:rsidR="00013EC7" w:rsidRDefault="005262E6">
      <w:pPr>
        <w:pStyle w:val="10"/>
        <w:tabs>
          <w:tab w:val="right" w:leader="dot" w:pos="20128"/>
        </w:tabs>
        <w:rPr>
          <w:sz w:val="28"/>
          <w:szCs w:val="28"/>
        </w:rPr>
      </w:pPr>
      <w:hyperlink w:anchor="_Toc14465" w:history="1">
        <w:r w:rsidR="00575CDB">
          <w:rPr>
            <w:rFonts w:hint="eastAsia"/>
            <w:sz w:val="28"/>
            <w:szCs w:val="28"/>
          </w:rPr>
          <w:t>十九、委托代征申报</w:t>
        </w:r>
        <w:r w:rsidR="00575CDB">
          <w:rPr>
            <w:sz w:val="28"/>
            <w:szCs w:val="28"/>
          </w:rPr>
          <w:tab/>
        </w:r>
        <w:r w:rsidR="00575CDB">
          <w:rPr>
            <w:sz w:val="28"/>
            <w:szCs w:val="28"/>
          </w:rPr>
          <w:fldChar w:fldCharType="begin"/>
        </w:r>
        <w:r w:rsidR="00575CDB">
          <w:rPr>
            <w:sz w:val="28"/>
            <w:szCs w:val="28"/>
          </w:rPr>
          <w:instrText xml:space="preserve"> PAGEREF _Toc14465 </w:instrText>
        </w:r>
        <w:r w:rsidR="00575CDB">
          <w:rPr>
            <w:sz w:val="28"/>
            <w:szCs w:val="28"/>
          </w:rPr>
          <w:fldChar w:fldCharType="separate"/>
        </w:r>
        <w:r w:rsidR="00575CDB">
          <w:rPr>
            <w:sz w:val="28"/>
            <w:szCs w:val="28"/>
          </w:rPr>
          <w:t>183</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20234" w:history="1">
        <w:r w:rsidR="00575CDB">
          <w:rPr>
            <w:rFonts w:hint="eastAsia"/>
            <w:sz w:val="28"/>
            <w:szCs w:val="28"/>
          </w:rPr>
          <w:t>19.1</w:t>
        </w:r>
        <w:r w:rsidR="00575CDB">
          <w:rPr>
            <w:rFonts w:hint="eastAsia"/>
            <w:sz w:val="28"/>
            <w:szCs w:val="28"/>
          </w:rPr>
          <w:t>委托代征申报</w:t>
        </w:r>
        <w:r w:rsidR="00575CDB">
          <w:rPr>
            <w:sz w:val="28"/>
            <w:szCs w:val="28"/>
          </w:rPr>
          <w:tab/>
        </w:r>
        <w:r w:rsidR="00575CDB">
          <w:rPr>
            <w:sz w:val="28"/>
            <w:szCs w:val="28"/>
          </w:rPr>
          <w:fldChar w:fldCharType="begin"/>
        </w:r>
        <w:r w:rsidR="00575CDB">
          <w:rPr>
            <w:sz w:val="28"/>
            <w:szCs w:val="28"/>
          </w:rPr>
          <w:instrText xml:space="preserve"> PAGEREF _Toc20234 </w:instrText>
        </w:r>
        <w:r w:rsidR="00575CDB">
          <w:rPr>
            <w:sz w:val="28"/>
            <w:szCs w:val="28"/>
          </w:rPr>
          <w:fldChar w:fldCharType="separate"/>
        </w:r>
        <w:r w:rsidR="00575CDB">
          <w:rPr>
            <w:sz w:val="28"/>
            <w:szCs w:val="28"/>
          </w:rPr>
          <w:t>183</w:t>
        </w:r>
        <w:r w:rsidR="00575CDB">
          <w:rPr>
            <w:sz w:val="28"/>
            <w:szCs w:val="28"/>
          </w:rPr>
          <w:fldChar w:fldCharType="end"/>
        </w:r>
      </w:hyperlink>
    </w:p>
    <w:p w:rsidR="00013EC7" w:rsidRDefault="005262E6">
      <w:pPr>
        <w:pStyle w:val="10"/>
        <w:tabs>
          <w:tab w:val="right" w:leader="dot" w:pos="20128"/>
        </w:tabs>
        <w:rPr>
          <w:sz w:val="28"/>
          <w:szCs w:val="28"/>
        </w:rPr>
      </w:pPr>
      <w:hyperlink w:anchor="_Toc16645" w:history="1">
        <w:r w:rsidR="00575CDB">
          <w:rPr>
            <w:rFonts w:hint="eastAsia"/>
            <w:sz w:val="28"/>
            <w:szCs w:val="28"/>
          </w:rPr>
          <w:t>二十、代扣代缴申报</w:t>
        </w:r>
        <w:r w:rsidR="00575CDB">
          <w:rPr>
            <w:sz w:val="28"/>
            <w:szCs w:val="28"/>
          </w:rPr>
          <w:tab/>
        </w:r>
        <w:r w:rsidR="00575CDB">
          <w:rPr>
            <w:sz w:val="28"/>
            <w:szCs w:val="28"/>
          </w:rPr>
          <w:fldChar w:fldCharType="begin"/>
        </w:r>
        <w:r w:rsidR="00575CDB">
          <w:rPr>
            <w:sz w:val="28"/>
            <w:szCs w:val="28"/>
          </w:rPr>
          <w:instrText xml:space="preserve"> PAGEREF _Toc16645 </w:instrText>
        </w:r>
        <w:r w:rsidR="00575CDB">
          <w:rPr>
            <w:sz w:val="28"/>
            <w:szCs w:val="28"/>
          </w:rPr>
          <w:fldChar w:fldCharType="separate"/>
        </w:r>
        <w:r w:rsidR="00575CDB">
          <w:rPr>
            <w:sz w:val="28"/>
            <w:szCs w:val="28"/>
          </w:rPr>
          <w:t>185</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20859" w:history="1">
        <w:r w:rsidR="00575CDB">
          <w:rPr>
            <w:rFonts w:hint="eastAsia"/>
            <w:sz w:val="28"/>
            <w:szCs w:val="28"/>
          </w:rPr>
          <w:t>20.1</w:t>
        </w:r>
        <w:r w:rsidR="00575CDB">
          <w:rPr>
            <w:rFonts w:hint="eastAsia"/>
            <w:sz w:val="28"/>
            <w:szCs w:val="28"/>
          </w:rPr>
          <w:t>扣缴义务人申报</w:t>
        </w:r>
        <w:r w:rsidR="00575CDB">
          <w:rPr>
            <w:sz w:val="28"/>
            <w:szCs w:val="28"/>
          </w:rPr>
          <w:tab/>
        </w:r>
        <w:r w:rsidR="00575CDB">
          <w:rPr>
            <w:sz w:val="28"/>
            <w:szCs w:val="28"/>
          </w:rPr>
          <w:fldChar w:fldCharType="begin"/>
        </w:r>
        <w:r w:rsidR="00575CDB">
          <w:rPr>
            <w:sz w:val="28"/>
            <w:szCs w:val="28"/>
          </w:rPr>
          <w:instrText xml:space="preserve"> PAGEREF _Toc20859 </w:instrText>
        </w:r>
        <w:r w:rsidR="00575CDB">
          <w:rPr>
            <w:sz w:val="28"/>
            <w:szCs w:val="28"/>
          </w:rPr>
          <w:fldChar w:fldCharType="separate"/>
        </w:r>
        <w:r w:rsidR="00575CDB">
          <w:rPr>
            <w:sz w:val="28"/>
            <w:szCs w:val="28"/>
          </w:rPr>
          <w:t>185</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5970" w:history="1">
        <w:r w:rsidR="00575CDB">
          <w:rPr>
            <w:rFonts w:hint="eastAsia"/>
            <w:sz w:val="28"/>
            <w:szCs w:val="28"/>
          </w:rPr>
          <w:t>20.2</w:t>
        </w:r>
        <w:r w:rsidR="00575CDB">
          <w:rPr>
            <w:rFonts w:hint="eastAsia"/>
            <w:sz w:val="28"/>
            <w:szCs w:val="28"/>
          </w:rPr>
          <w:t>扣缴非居民企业所得税、增值税申报</w:t>
        </w:r>
        <w:r w:rsidR="00575CDB">
          <w:rPr>
            <w:sz w:val="28"/>
            <w:szCs w:val="28"/>
          </w:rPr>
          <w:tab/>
        </w:r>
        <w:r w:rsidR="00575CDB">
          <w:rPr>
            <w:sz w:val="28"/>
            <w:szCs w:val="28"/>
          </w:rPr>
          <w:fldChar w:fldCharType="begin"/>
        </w:r>
        <w:r w:rsidR="00575CDB">
          <w:rPr>
            <w:sz w:val="28"/>
            <w:szCs w:val="28"/>
          </w:rPr>
          <w:instrText xml:space="preserve"> PAGEREF _Toc5970 </w:instrText>
        </w:r>
        <w:r w:rsidR="00575CDB">
          <w:rPr>
            <w:sz w:val="28"/>
            <w:szCs w:val="28"/>
          </w:rPr>
          <w:fldChar w:fldCharType="separate"/>
        </w:r>
        <w:r w:rsidR="00575CDB">
          <w:rPr>
            <w:sz w:val="28"/>
            <w:szCs w:val="28"/>
          </w:rPr>
          <w:t>187</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8404" w:history="1">
        <w:r w:rsidR="00575CDB">
          <w:rPr>
            <w:rFonts w:hint="eastAsia"/>
            <w:sz w:val="28"/>
            <w:szCs w:val="28"/>
          </w:rPr>
          <w:t>20.3</w:t>
        </w:r>
        <w:r w:rsidR="00575CDB">
          <w:rPr>
            <w:rFonts w:hint="eastAsia"/>
            <w:sz w:val="28"/>
            <w:szCs w:val="28"/>
          </w:rPr>
          <w:t>扣缴个人所得税申报（储蓄存款利息所得扣缴）</w:t>
        </w:r>
        <w:r w:rsidR="00575CDB">
          <w:rPr>
            <w:sz w:val="28"/>
            <w:szCs w:val="28"/>
          </w:rPr>
          <w:tab/>
        </w:r>
        <w:r w:rsidR="00575CDB">
          <w:rPr>
            <w:sz w:val="28"/>
            <w:szCs w:val="28"/>
          </w:rPr>
          <w:fldChar w:fldCharType="begin"/>
        </w:r>
        <w:r w:rsidR="00575CDB">
          <w:rPr>
            <w:sz w:val="28"/>
            <w:szCs w:val="28"/>
          </w:rPr>
          <w:instrText xml:space="preserve"> PAGEREF _Toc8404 </w:instrText>
        </w:r>
        <w:r w:rsidR="00575CDB">
          <w:rPr>
            <w:sz w:val="28"/>
            <w:szCs w:val="28"/>
          </w:rPr>
          <w:fldChar w:fldCharType="separate"/>
        </w:r>
        <w:r w:rsidR="00575CDB">
          <w:rPr>
            <w:sz w:val="28"/>
            <w:szCs w:val="28"/>
          </w:rPr>
          <w:t>189</w:t>
        </w:r>
        <w:r w:rsidR="00575CDB">
          <w:rPr>
            <w:sz w:val="28"/>
            <w:szCs w:val="28"/>
          </w:rPr>
          <w:fldChar w:fldCharType="end"/>
        </w:r>
      </w:hyperlink>
    </w:p>
    <w:p w:rsidR="00013EC7" w:rsidRDefault="005262E6">
      <w:pPr>
        <w:pStyle w:val="10"/>
        <w:tabs>
          <w:tab w:val="right" w:leader="dot" w:pos="20128"/>
        </w:tabs>
        <w:rPr>
          <w:sz w:val="28"/>
          <w:szCs w:val="28"/>
        </w:rPr>
      </w:pPr>
      <w:hyperlink w:anchor="_Toc28972" w:history="1">
        <w:r w:rsidR="00575CDB">
          <w:rPr>
            <w:rFonts w:hint="eastAsia"/>
            <w:sz w:val="28"/>
            <w:szCs w:val="28"/>
          </w:rPr>
          <w:t>二十一、涉税情况报告</w:t>
        </w:r>
        <w:r w:rsidR="00575CDB">
          <w:rPr>
            <w:sz w:val="28"/>
            <w:szCs w:val="28"/>
          </w:rPr>
          <w:tab/>
        </w:r>
        <w:r w:rsidR="00575CDB">
          <w:rPr>
            <w:sz w:val="28"/>
            <w:szCs w:val="28"/>
          </w:rPr>
          <w:fldChar w:fldCharType="begin"/>
        </w:r>
        <w:r w:rsidR="00575CDB">
          <w:rPr>
            <w:sz w:val="28"/>
            <w:szCs w:val="28"/>
          </w:rPr>
          <w:instrText xml:space="preserve"> PAGEREF _Toc28972 </w:instrText>
        </w:r>
        <w:r w:rsidR="00575CDB">
          <w:rPr>
            <w:sz w:val="28"/>
            <w:szCs w:val="28"/>
          </w:rPr>
          <w:fldChar w:fldCharType="separate"/>
        </w:r>
        <w:r w:rsidR="00575CDB">
          <w:rPr>
            <w:sz w:val="28"/>
            <w:szCs w:val="28"/>
          </w:rPr>
          <w:t>191</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32703" w:history="1">
        <w:r w:rsidR="00575CDB">
          <w:rPr>
            <w:rFonts w:hint="eastAsia"/>
            <w:sz w:val="28"/>
            <w:szCs w:val="28"/>
          </w:rPr>
          <w:t>21.1</w:t>
        </w:r>
        <w:r w:rsidR="00575CDB">
          <w:rPr>
            <w:rFonts w:hint="eastAsia"/>
            <w:sz w:val="28"/>
            <w:szCs w:val="28"/>
          </w:rPr>
          <w:t>财务会计报告报送</w:t>
        </w:r>
        <w:r w:rsidR="00575CDB">
          <w:rPr>
            <w:sz w:val="28"/>
            <w:szCs w:val="28"/>
          </w:rPr>
          <w:tab/>
        </w:r>
        <w:r w:rsidR="00575CDB">
          <w:rPr>
            <w:sz w:val="28"/>
            <w:szCs w:val="28"/>
          </w:rPr>
          <w:fldChar w:fldCharType="begin"/>
        </w:r>
        <w:r w:rsidR="00575CDB">
          <w:rPr>
            <w:sz w:val="28"/>
            <w:szCs w:val="28"/>
          </w:rPr>
          <w:instrText xml:space="preserve"> PAGEREF _Toc32703 </w:instrText>
        </w:r>
        <w:r w:rsidR="00575CDB">
          <w:rPr>
            <w:sz w:val="28"/>
            <w:szCs w:val="28"/>
          </w:rPr>
          <w:fldChar w:fldCharType="separate"/>
        </w:r>
        <w:r w:rsidR="00575CDB">
          <w:rPr>
            <w:sz w:val="28"/>
            <w:szCs w:val="28"/>
          </w:rPr>
          <w:t>191</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17057" w:history="1">
        <w:r w:rsidR="00575CDB">
          <w:rPr>
            <w:rFonts w:hint="eastAsia"/>
            <w:sz w:val="28"/>
            <w:szCs w:val="28"/>
          </w:rPr>
          <w:t>21.2</w:t>
        </w:r>
        <w:r w:rsidR="00575CDB">
          <w:rPr>
            <w:rFonts w:hint="eastAsia"/>
            <w:sz w:val="28"/>
            <w:szCs w:val="28"/>
          </w:rPr>
          <w:t>欠税人处置不动产或大额资产报告</w:t>
        </w:r>
        <w:r w:rsidR="00575CDB">
          <w:rPr>
            <w:sz w:val="28"/>
            <w:szCs w:val="28"/>
          </w:rPr>
          <w:tab/>
        </w:r>
        <w:r w:rsidR="00575CDB">
          <w:rPr>
            <w:sz w:val="28"/>
            <w:szCs w:val="28"/>
          </w:rPr>
          <w:fldChar w:fldCharType="begin"/>
        </w:r>
        <w:r w:rsidR="00575CDB">
          <w:rPr>
            <w:sz w:val="28"/>
            <w:szCs w:val="28"/>
          </w:rPr>
          <w:instrText xml:space="preserve"> PAGEREF _Toc17057 </w:instrText>
        </w:r>
        <w:r w:rsidR="00575CDB">
          <w:rPr>
            <w:sz w:val="28"/>
            <w:szCs w:val="28"/>
          </w:rPr>
          <w:fldChar w:fldCharType="separate"/>
        </w:r>
        <w:r w:rsidR="00575CDB">
          <w:rPr>
            <w:sz w:val="28"/>
            <w:szCs w:val="28"/>
          </w:rPr>
          <w:t>193</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9692" w:history="1">
        <w:r w:rsidR="00575CDB">
          <w:rPr>
            <w:rFonts w:hint="eastAsia"/>
            <w:sz w:val="28"/>
            <w:szCs w:val="28"/>
          </w:rPr>
          <w:t>21.3</w:t>
        </w:r>
        <w:r w:rsidR="00575CDB">
          <w:rPr>
            <w:rFonts w:hint="eastAsia"/>
            <w:sz w:val="28"/>
            <w:szCs w:val="28"/>
          </w:rPr>
          <w:t>纳税人合并分立情况报告</w:t>
        </w:r>
        <w:r w:rsidR="00575CDB">
          <w:rPr>
            <w:sz w:val="28"/>
            <w:szCs w:val="28"/>
          </w:rPr>
          <w:tab/>
        </w:r>
        <w:r w:rsidR="00575CDB">
          <w:rPr>
            <w:sz w:val="28"/>
            <w:szCs w:val="28"/>
          </w:rPr>
          <w:fldChar w:fldCharType="begin"/>
        </w:r>
        <w:r w:rsidR="00575CDB">
          <w:rPr>
            <w:sz w:val="28"/>
            <w:szCs w:val="28"/>
          </w:rPr>
          <w:instrText xml:space="preserve"> PAGEREF _Toc9692 </w:instrText>
        </w:r>
        <w:r w:rsidR="00575CDB">
          <w:rPr>
            <w:sz w:val="28"/>
            <w:szCs w:val="28"/>
          </w:rPr>
          <w:fldChar w:fldCharType="separate"/>
        </w:r>
        <w:r w:rsidR="00575CDB">
          <w:rPr>
            <w:sz w:val="28"/>
            <w:szCs w:val="28"/>
          </w:rPr>
          <w:t>195</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20855" w:history="1">
        <w:r w:rsidR="00575CDB">
          <w:rPr>
            <w:rFonts w:hint="eastAsia"/>
            <w:sz w:val="28"/>
            <w:szCs w:val="28"/>
          </w:rPr>
          <w:t>21.4</w:t>
        </w:r>
        <w:r w:rsidR="00575CDB">
          <w:rPr>
            <w:rFonts w:hint="eastAsia"/>
            <w:sz w:val="28"/>
            <w:szCs w:val="28"/>
          </w:rPr>
          <w:t>发包、出租情况报告</w:t>
        </w:r>
        <w:r w:rsidR="00575CDB">
          <w:rPr>
            <w:sz w:val="28"/>
            <w:szCs w:val="28"/>
          </w:rPr>
          <w:tab/>
        </w:r>
        <w:r w:rsidR="00575CDB">
          <w:rPr>
            <w:sz w:val="28"/>
            <w:szCs w:val="28"/>
          </w:rPr>
          <w:fldChar w:fldCharType="begin"/>
        </w:r>
        <w:r w:rsidR="00575CDB">
          <w:rPr>
            <w:sz w:val="28"/>
            <w:szCs w:val="28"/>
          </w:rPr>
          <w:instrText xml:space="preserve"> PAGEREF _Toc20855 </w:instrText>
        </w:r>
        <w:r w:rsidR="00575CDB">
          <w:rPr>
            <w:sz w:val="28"/>
            <w:szCs w:val="28"/>
          </w:rPr>
          <w:fldChar w:fldCharType="separate"/>
        </w:r>
        <w:r w:rsidR="00575CDB">
          <w:rPr>
            <w:sz w:val="28"/>
            <w:szCs w:val="28"/>
          </w:rPr>
          <w:t>197</w:t>
        </w:r>
        <w:r w:rsidR="00575CDB">
          <w:rPr>
            <w:sz w:val="28"/>
            <w:szCs w:val="28"/>
          </w:rPr>
          <w:fldChar w:fldCharType="end"/>
        </w:r>
      </w:hyperlink>
    </w:p>
    <w:p w:rsidR="00013EC7" w:rsidRDefault="005262E6">
      <w:pPr>
        <w:pStyle w:val="10"/>
        <w:tabs>
          <w:tab w:val="right" w:leader="dot" w:pos="20128"/>
        </w:tabs>
        <w:rPr>
          <w:sz w:val="28"/>
          <w:szCs w:val="28"/>
        </w:rPr>
      </w:pPr>
      <w:hyperlink w:anchor="_Toc1012" w:history="1">
        <w:r w:rsidR="00575CDB">
          <w:rPr>
            <w:rFonts w:hint="eastAsia"/>
            <w:sz w:val="28"/>
            <w:szCs w:val="28"/>
          </w:rPr>
          <w:t>二十二、授权（委托）划缴协议</w:t>
        </w:r>
        <w:r w:rsidR="00575CDB">
          <w:rPr>
            <w:sz w:val="28"/>
            <w:szCs w:val="28"/>
          </w:rPr>
          <w:tab/>
        </w:r>
        <w:r w:rsidR="00575CDB">
          <w:rPr>
            <w:sz w:val="28"/>
            <w:szCs w:val="28"/>
          </w:rPr>
          <w:fldChar w:fldCharType="begin"/>
        </w:r>
        <w:r w:rsidR="00575CDB">
          <w:rPr>
            <w:sz w:val="28"/>
            <w:szCs w:val="28"/>
          </w:rPr>
          <w:instrText xml:space="preserve"> PAGEREF _Toc1012 </w:instrText>
        </w:r>
        <w:r w:rsidR="00575CDB">
          <w:rPr>
            <w:sz w:val="28"/>
            <w:szCs w:val="28"/>
          </w:rPr>
          <w:fldChar w:fldCharType="separate"/>
        </w:r>
        <w:r w:rsidR="00575CDB">
          <w:rPr>
            <w:sz w:val="28"/>
            <w:szCs w:val="28"/>
          </w:rPr>
          <w:t>199</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27909" w:history="1">
        <w:r w:rsidR="00575CDB">
          <w:rPr>
            <w:rFonts w:hint="eastAsia"/>
            <w:sz w:val="28"/>
            <w:szCs w:val="28"/>
          </w:rPr>
          <w:t>22.1</w:t>
        </w:r>
        <w:r w:rsidR="00575CDB">
          <w:rPr>
            <w:rFonts w:hint="eastAsia"/>
            <w:sz w:val="28"/>
            <w:szCs w:val="28"/>
          </w:rPr>
          <w:t>授权（委托）划缴协议</w:t>
        </w:r>
        <w:r w:rsidR="00575CDB">
          <w:rPr>
            <w:sz w:val="28"/>
            <w:szCs w:val="28"/>
          </w:rPr>
          <w:tab/>
        </w:r>
        <w:r w:rsidR="00575CDB">
          <w:rPr>
            <w:sz w:val="28"/>
            <w:szCs w:val="28"/>
          </w:rPr>
          <w:fldChar w:fldCharType="begin"/>
        </w:r>
        <w:r w:rsidR="00575CDB">
          <w:rPr>
            <w:sz w:val="28"/>
            <w:szCs w:val="28"/>
          </w:rPr>
          <w:instrText xml:space="preserve"> PAGEREF _Toc27909 </w:instrText>
        </w:r>
        <w:r w:rsidR="00575CDB">
          <w:rPr>
            <w:sz w:val="28"/>
            <w:szCs w:val="28"/>
          </w:rPr>
          <w:fldChar w:fldCharType="separate"/>
        </w:r>
        <w:r w:rsidR="00575CDB">
          <w:rPr>
            <w:sz w:val="28"/>
            <w:szCs w:val="28"/>
          </w:rPr>
          <w:t>199</w:t>
        </w:r>
        <w:r w:rsidR="00575CDB">
          <w:rPr>
            <w:sz w:val="28"/>
            <w:szCs w:val="28"/>
          </w:rPr>
          <w:fldChar w:fldCharType="end"/>
        </w:r>
      </w:hyperlink>
    </w:p>
    <w:p w:rsidR="00013EC7" w:rsidRDefault="005262E6">
      <w:pPr>
        <w:pStyle w:val="10"/>
        <w:tabs>
          <w:tab w:val="right" w:leader="dot" w:pos="20128"/>
        </w:tabs>
        <w:rPr>
          <w:sz w:val="28"/>
          <w:szCs w:val="28"/>
        </w:rPr>
      </w:pPr>
      <w:hyperlink w:anchor="_Toc3817" w:history="1">
        <w:r w:rsidR="00575CDB">
          <w:rPr>
            <w:rFonts w:hint="eastAsia"/>
            <w:sz w:val="28"/>
            <w:szCs w:val="28"/>
          </w:rPr>
          <w:t>二十三、退（抵）税办理</w:t>
        </w:r>
        <w:r w:rsidR="00575CDB">
          <w:rPr>
            <w:sz w:val="28"/>
            <w:szCs w:val="28"/>
          </w:rPr>
          <w:tab/>
        </w:r>
        <w:r w:rsidR="00575CDB">
          <w:rPr>
            <w:sz w:val="28"/>
            <w:szCs w:val="28"/>
          </w:rPr>
          <w:fldChar w:fldCharType="begin"/>
        </w:r>
        <w:r w:rsidR="00575CDB">
          <w:rPr>
            <w:sz w:val="28"/>
            <w:szCs w:val="28"/>
          </w:rPr>
          <w:instrText xml:space="preserve"> PAGEREF _Toc3817 </w:instrText>
        </w:r>
        <w:r w:rsidR="00575CDB">
          <w:rPr>
            <w:sz w:val="28"/>
            <w:szCs w:val="28"/>
          </w:rPr>
          <w:fldChar w:fldCharType="separate"/>
        </w:r>
        <w:r w:rsidR="00575CDB">
          <w:rPr>
            <w:sz w:val="28"/>
            <w:szCs w:val="28"/>
          </w:rPr>
          <w:t>201</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13797" w:history="1">
        <w:r w:rsidR="00575CDB">
          <w:rPr>
            <w:rFonts w:hint="eastAsia"/>
            <w:sz w:val="28"/>
            <w:szCs w:val="28"/>
          </w:rPr>
          <w:t>23.1</w:t>
        </w:r>
        <w:r w:rsidR="00575CDB">
          <w:rPr>
            <w:rFonts w:hint="eastAsia"/>
            <w:sz w:val="28"/>
            <w:szCs w:val="28"/>
          </w:rPr>
          <w:t>误收多缴退抵税办理</w:t>
        </w:r>
        <w:r w:rsidR="00575CDB">
          <w:rPr>
            <w:sz w:val="28"/>
            <w:szCs w:val="28"/>
          </w:rPr>
          <w:tab/>
        </w:r>
        <w:r w:rsidR="00575CDB">
          <w:rPr>
            <w:sz w:val="28"/>
            <w:szCs w:val="28"/>
          </w:rPr>
          <w:fldChar w:fldCharType="begin"/>
        </w:r>
        <w:r w:rsidR="00575CDB">
          <w:rPr>
            <w:sz w:val="28"/>
            <w:szCs w:val="28"/>
          </w:rPr>
          <w:instrText xml:space="preserve"> PAGEREF _Toc13797 </w:instrText>
        </w:r>
        <w:r w:rsidR="00575CDB">
          <w:rPr>
            <w:sz w:val="28"/>
            <w:szCs w:val="28"/>
          </w:rPr>
          <w:fldChar w:fldCharType="separate"/>
        </w:r>
        <w:r w:rsidR="00575CDB">
          <w:rPr>
            <w:sz w:val="28"/>
            <w:szCs w:val="28"/>
          </w:rPr>
          <w:t>201</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28457" w:history="1">
        <w:r w:rsidR="00575CDB">
          <w:rPr>
            <w:rFonts w:hint="eastAsia"/>
            <w:sz w:val="28"/>
            <w:szCs w:val="28"/>
          </w:rPr>
          <w:t>23.2</w:t>
        </w:r>
        <w:r w:rsidR="00575CDB">
          <w:rPr>
            <w:rFonts w:hint="eastAsia"/>
            <w:sz w:val="28"/>
            <w:szCs w:val="28"/>
          </w:rPr>
          <w:t>汇算清缴结算多缴退抵税办理</w:t>
        </w:r>
        <w:r w:rsidR="00575CDB">
          <w:rPr>
            <w:sz w:val="28"/>
            <w:szCs w:val="28"/>
          </w:rPr>
          <w:tab/>
        </w:r>
        <w:r w:rsidR="00575CDB">
          <w:rPr>
            <w:sz w:val="28"/>
            <w:szCs w:val="28"/>
          </w:rPr>
          <w:fldChar w:fldCharType="begin"/>
        </w:r>
        <w:r w:rsidR="00575CDB">
          <w:rPr>
            <w:sz w:val="28"/>
            <w:szCs w:val="28"/>
          </w:rPr>
          <w:instrText xml:space="preserve"> PAGEREF _Toc28457 </w:instrText>
        </w:r>
        <w:r w:rsidR="00575CDB">
          <w:rPr>
            <w:sz w:val="28"/>
            <w:szCs w:val="28"/>
          </w:rPr>
          <w:fldChar w:fldCharType="separate"/>
        </w:r>
        <w:r w:rsidR="00575CDB">
          <w:rPr>
            <w:sz w:val="28"/>
            <w:szCs w:val="28"/>
          </w:rPr>
          <w:t>204</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31775" w:history="1">
        <w:r w:rsidR="00575CDB">
          <w:rPr>
            <w:rFonts w:hint="eastAsia"/>
            <w:sz w:val="28"/>
            <w:szCs w:val="28"/>
          </w:rPr>
          <w:t>23.3</w:t>
        </w:r>
        <w:r w:rsidR="00575CDB">
          <w:rPr>
            <w:rFonts w:hint="eastAsia"/>
            <w:sz w:val="28"/>
            <w:szCs w:val="28"/>
          </w:rPr>
          <w:t>增值税留抵税额退税优惠办理</w:t>
        </w:r>
        <w:r w:rsidR="00575CDB">
          <w:rPr>
            <w:sz w:val="28"/>
            <w:szCs w:val="28"/>
          </w:rPr>
          <w:tab/>
        </w:r>
        <w:r w:rsidR="00575CDB">
          <w:rPr>
            <w:sz w:val="28"/>
            <w:szCs w:val="28"/>
          </w:rPr>
          <w:fldChar w:fldCharType="begin"/>
        </w:r>
        <w:r w:rsidR="00575CDB">
          <w:rPr>
            <w:sz w:val="28"/>
            <w:szCs w:val="28"/>
          </w:rPr>
          <w:instrText xml:space="preserve"> PAGEREF _Toc31775 </w:instrText>
        </w:r>
        <w:r w:rsidR="00575CDB">
          <w:rPr>
            <w:sz w:val="28"/>
            <w:szCs w:val="28"/>
          </w:rPr>
          <w:fldChar w:fldCharType="separate"/>
        </w:r>
        <w:r w:rsidR="00575CDB">
          <w:rPr>
            <w:sz w:val="28"/>
            <w:szCs w:val="28"/>
          </w:rPr>
          <w:t>207</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8361" w:history="1">
        <w:r w:rsidR="00575CDB">
          <w:rPr>
            <w:rFonts w:hint="eastAsia"/>
            <w:sz w:val="28"/>
            <w:szCs w:val="28"/>
          </w:rPr>
          <w:t>23.4</w:t>
        </w:r>
        <w:r w:rsidR="00575CDB">
          <w:rPr>
            <w:rFonts w:hint="eastAsia"/>
            <w:sz w:val="28"/>
            <w:szCs w:val="28"/>
          </w:rPr>
          <w:t>入库减免退抵税办理</w:t>
        </w:r>
        <w:r w:rsidR="00575CDB">
          <w:rPr>
            <w:sz w:val="28"/>
            <w:szCs w:val="28"/>
          </w:rPr>
          <w:tab/>
        </w:r>
        <w:r w:rsidR="00575CDB">
          <w:rPr>
            <w:sz w:val="28"/>
            <w:szCs w:val="28"/>
          </w:rPr>
          <w:fldChar w:fldCharType="begin"/>
        </w:r>
        <w:r w:rsidR="00575CDB">
          <w:rPr>
            <w:sz w:val="28"/>
            <w:szCs w:val="28"/>
          </w:rPr>
          <w:instrText xml:space="preserve"> PAGEREF _Toc8361 </w:instrText>
        </w:r>
        <w:r w:rsidR="00575CDB">
          <w:rPr>
            <w:sz w:val="28"/>
            <w:szCs w:val="28"/>
          </w:rPr>
          <w:fldChar w:fldCharType="separate"/>
        </w:r>
        <w:r w:rsidR="00575CDB">
          <w:rPr>
            <w:sz w:val="28"/>
            <w:szCs w:val="28"/>
          </w:rPr>
          <w:t>209</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12217" w:history="1">
        <w:r w:rsidR="00575CDB">
          <w:rPr>
            <w:rFonts w:hint="eastAsia"/>
            <w:sz w:val="28"/>
            <w:szCs w:val="28"/>
          </w:rPr>
          <w:t>23.5</w:t>
        </w:r>
        <w:r w:rsidR="00575CDB">
          <w:rPr>
            <w:rFonts w:hint="eastAsia"/>
            <w:sz w:val="28"/>
            <w:szCs w:val="28"/>
          </w:rPr>
          <w:t>消费税退税优惠办理</w:t>
        </w:r>
        <w:r w:rsidR="00575CDB">
          <w:rPr>
            <w:sz w:val="28"/>
            <w:szCs w:val="28"/>
          </w:rPr>
          <w:tab/>
        </w:r>
        <w:r w:rsidR="00575CDB">
          <w:rPr>
            <w:sz w:val="28"/>
            <w:szCs w:val="28"/>
          </w:rPr>
          <w:fldChar w:fldCharType="begin"/>
        </w:r>
        <w:r w:rsidR="00575CDB">
          <w:rPr>
            <w:sz w:val="28"/>
            <w:szCs w:val="28"/>
          </w:rPr>
          <w:instrText xml:space="preserve"> PAGEREF _Toc12217 </w:instrText>
        </w:r>
        <w:r w:rsidR="00575CDB">
          <w:rPr>
            <w:sz w:val="28"/>
            <w:szCs w:val="28"/>
          </w:rPr>
          <w:fldChar w:fldCharType="separate"/>
        </w:r>
        <w:r w:rsidR="00575CDB">
          <w:rPr>
            <w:sz w:val="28"/>
            <w:szCs w:val="28"/>
          </w:rPr>
          <w:t>217</w:t>
        </w:r>
        <w:r w:rsidR="00575CDB">
          <w:rPr>
            <w:sz w:val="28"/>
            <w:szCs w:val="28"/>
          </w:rPr>
          <w:fldChar w:fldCharType="end"/>
        </w:r>
      </w:hyperlink>
    </w:p>
    <w:p w:rsidR="00013EC7" w:rsidRDefault="005262E6">
      <w:pPr>
        <w:pStyle w:val="10"/>
        <w:tabs>
          <w:tab w:val="right" w:leader="dot" w:pos="20128"/>
        </w:tabs>
        <w:rPr>
          <w:sz w:val="28"/>
          <w:szCs w:val="28"/>
        </w:rPr>
      </w:pPr>
      <w:hyperlink w:anchor="_Toc32474" w:history="1">
        <w:r w:rsidR="00575CDB">
          <w:rPr>
            <w:rFonts w:hint="eastAsia"/>
            <w:sz w:val="28"/>
            <w:szCs w:val="28"/>
          </w:rPr>
          <w:t>二十四、常见税收优惠办理</w:t>
        </w:r>
        <w:r w:rsidR="00575CDB">
          <w:rPr>
            <w:sz w:val="28"/>
            <w:szCs w:val="28"/>
          </w:rPr>
          <w:tab/>
        </w:r>
        <w:r w:rsidR="00575CDB">
          <w:rPr>
            <w:sz w:val="28"/>
            <w:szCs w:val="28"/>
          </w:rPr>
          <w:fldChar w:fldCharType="begin"/>
        </w:r>
        <w:r w:rsidR="00575CDB">
          <w:rPr>
            <w:sz w:val="28"/>
            <w:szCs w:val="28"/>
          </w:rPr>
          <w:instrText xml:space="preserve"> PAGEREF _Toc32474 </w:instrText>
        </w:r>
        <w:r w:rsidR="00575CDB">
          <w:rPr>
            <w:sz w:val="28"/>
            <w:szCs w:val="28"/>
          </w:rPr>
          <w:fldChar w:fldCharType="separate"/>
        </w:r>
        <w:r w:rsidR="00575CDB">
          <w:rPr>
            <w:sz w:val="28"/>
            <w:szCs w:val="28"/>
          </w:rPr>
          <w:t>220</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24812" w:history="1">
        <w:r w:rsidR="00575CDB">
          <w:rPr>
            <w:rFonts w:hint="eastAsia"/>
            <w:sz w:val="28"/>
            <w:szCs w:val="28"/>
          </w:rPr>
          <w:t>24.1</w:t>
        </w:r>
        <w:r w:rsidR="00575CDB">
          <w:rPr>
            <w:rFonts w:hint="eastAsia"/>
            <w:sz w:val="28"/>
            <w:szCs w:val="28"/>
          </w:rPr>
          <w:t>增值税优惠备案</w:t>
        </w:r>
        <w:r w:rsidR="00575CDB">
          <w:rPr>
            <w:sz w:val="28"/>
            <w:szCs w:val="28"/>
          </w:rPr>
          <w:tab/>
        </w:r>
        <w:r w:rsidR="00575CDB">
          <w:rPr>
            <w:sz w:val="28"/>
            <w:szCs w:val="28"/>
          </w:rPr>
          <w:fldChar w:fldCharType="begin"/>
        </w:r>
        <w:r w:rsidR="00575CDB">
          <w:rPr>
            <w:sz w:val="28"/>
            <w:szCs w:val="28"/>
          </w:rPr>
          <w:instrText xml:space="preserve"> PAGEREF _Toc24812 </w:instrText>
        </w:r>
        <w:r w:rsidR="00575CDB">
          <w:rPr>
            <w:sz w:val="28"/>
            <w:szCs w:val="28"/>
          </w:rPr>
          <w:fldChar w:fldCharType="separate"/>
        </w:r>
        <w:r w:rsidR="00575CDB">
          <w:rPr>
            <w:sz w:val="28"/>
            <w:szCs w:val="28"/>
          </w:rPr>
          <w:t>220</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21977" w:history="1">
        <w:r w:rsidR="00575CDB">
          <w:rPr>
            <w:rFonts w:hint="eastAsia"/>
            <w:sz w:val="28"/>
            <w:szCs w:val="28"/>
          </w:rPr>
          <w:t>24.2</w:t>
        </w:r>
        <w:r w:rsidR="00575CDB">
          <w:rPr>
            <w:rFonts w:hint="eastAsia"/>
            <w:sz w:val="28"/>
            <w:szCs w:val="28"/>
          </w:rPr>
          <w:t>增值税即征即退优惠资格备案</w:t>
        </w:r>
        <w:r w:rsidR="00575CDB">
          <w:rPr>
            <w:sz w:val="28"/>
            <w:szCs w:val="28"/>
          </w:rPr>
          <w:tab/>
        </w:r>
        <w:r w:rsidR="00575CDB">
          <w:rPr>
            <w:sz w:val="28"/>
            <w:szCs w:val="28"/>
          </w:rPr>
          <w:fldChar w:fldCharType="begin"/>
        </w:r>
        <w:r w:rsidR="00575CDB">
          <w:rPr>
            <w:sz w:val="28"/>
            <w:szCs w:val="28"/>
          </w:rPr>
          <w:instrText xml:space="preserve"> PAGEREF _Toc21977 </w:instrText>
        </w:r>
        <w:r w:rsidR="00575CDB">
          <w:rPr>
            <w:sz w:val="28"/>
            <w:szCs w:val="28"/>
          </w:rPr>
          <w:fldChar w:fldCharType="separate"/>
        </w:r>
        <w:r w:rsidR="00575CDB">
          <w:rPr>
            <w:sz w:val="28"/>
            <w:szCs w:val="28"/>
          </w:rPr>
          <w:t>235</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18393" w:history="1">
        <w:r w:rsidR="00575CDB">
          <w:rPr>
            <w:rFonts w:hint="eastAsia"/>
            <w:sz w:val="28"/>
            <w:szCs w:val="28"/>
          </w:rPr>
          <w:t>24.3</w:t>
        </w:r>
        <w:r w:rsidR="00575CDB">
          <w:rPr>
            <w:rFonts w:hint="eastAsia"/>
            <w:sz w:val="28"/>
            <w:szCs w:val="28"/>
          </w:rPr>
          <w:t>消费税优惠备案</w:t>
        </w:r>
        <w:r w:rsidR="00575CDB">
          <w:rPr>
            <w:sz w:val="28"/>
            <w:szCs w:val="28"/>
          </w:rPr>
          <w:tab/>
        </w:r>
        <w:r w:rsidR="00575CDB">
          <w:rPr>
            <w:sz w:val="28"/>
            <w:szCs w:val="28"/>
          </w:rPr>
          <w:fldChar w:fldCharType="begin"/>
        </w:r>
        <w:r w:rsidR="00575CDB">
          <w:rPr>
            <w:sz w:val="28"/>
            <w:szCs w:val="28"/>
          </w:rPr>
          <w:instrText xml:space="preserve"> PAGEREF _Toc18393 </w:instrText>
        </w:r>
        <w:r w:rsidR="00575CDB">
          <w:rPr>
            <w:sz w:val="28"/>
            <w:szCs w:val="28"/>
          </w:rPr>
          <w:fldChar w:fldCharType="separate"/>
        </w:r>
        <w:r w:rsidR="00575CDB">
          <w:rPr>
            <w:sz w:val="28"/>
            <w:szCs w:val="28"/>
          </w:rPr>
          <w:t>241</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22768" w:history="1">
        <w:r w:rsidR="00575CDB">
          <w:rPr>
            <w:rFonts w:hint="eastAsia"/>
            <w:sz w:val="28"/>
            <w:szCs w:val="28"/>
          </w:rPr>
          <w:t>24.4</w:t>
        </w:r>
        <w:r w:rsidR="00575CDB">
          <w:rPr>
            <w:rFonts w:hint="eastAsia"/>
            <w:sz w:val="28"/>
            <w:szCs w:val="28"/>
          </w:rPr>
          <w:t>消费税退税优惠资格备案</w:t>
        </w:r>
        <w:r w:rsidR="00575CDB">
          <w:rPr>
            <w:sz w:val="28"/>
            <w:szCs w:val="28"/>
          </w:rPr>
          <w:tab/>
        </w:r>
        <w:r w:rsidR="00575CDB">
          <w:rPr>
            <w:sz w:val="28"/>
            <w:szCs w:val="28"/>
          </w:rPr>
          <w:fldChar w:fldCharType="begin"/>
        </w:r>
        <w:r w:rsidR="00575CDB">
          <w:rPr>
            <w:sz w:val="28"/>
            <w:szCs w:val="28"/>
          </w:rPr>
          <w:instrText xml:space="preserve"> PAGEREF _Toc22768 </w:instrText>
        </w:r>
        <w:r w:rsidR="00575CDB">
          <w:rPr>
            <w:sz w:val="28"/>
            <w:szCs w:val="28"/>
          </w:rPr>
          <w:fldChar w:fldCharType="separate"/>
        </w:r>
        <w:r w:rsidR="00575CDB">
          <w:rPr>
            <w:sz w:val="28"/>
            <w:szCs w:val="28"/>
          </w:rPr>
          <w:t>245</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9232" w:history="1">
        <w:r w:rsidR="00575CDB">
          <w:rPr>
            <w:rFonts w:hint="eastAsia"/>
            <w:sz w:val="28"/>
            <w:szCs w:val="28"/>
          </w:rPr>
          <w:t>24.5</w:t>
        </w:r>
        <w:r w:rsidR="00575CDB">
          <w:rPr>
            <w:rFonts w:hint="eastAsia"/>
            <w:sz w:val="28"/>
            <w:szCs w:val="28"/>
          </w:rPr>
          <w:t>跨境应税行为增值税免税备案</w:t>
        </w:r>
        <w:r w:rsidR="00575CDB">
          <w:rPr>
            <w:sz w:val="28"/>
            <w:szCs w:val="28"/>
          </w:rPr>
          <w:tab/>
        </w:r>
        <w:r w:rsidR="00575CDB">
          <w:rPr>
            <w:sz w:val="28"/>
            <w:szCs w:val="28"/>
          </w:rPr>
          <w:fldChar w:fldCharType="begin"/>
        </w:r>
        <w:r w:rsidR="00575CDB">
          <w:rPr>
            <w:sz w:val="28"/>
            <w:szCs w:val="28"/>
          </w:rPr>
          <w:instrText xml:space="preserve"> PAGEREF _Toc9232 </w:instrText>
        </w:r>
        <w:r w:rsidR="00575CDB">
          <w:rPr>
            <w:sz w:val="28"/>
            <w:szCs w:val="28"/>
          </w:rPr>
          <w:fldChar w:fldCharType="separate"/>
        </w:r>
        <w:r w:rsidR="00575CDB">
          <w:rPr>
            <w:sz w:val="28"/>
            <w:szCs w:val="28"/>
          </w:rPr>
          <w:t>248</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27764" w:history="1">
        <w:r w:rsidR="00575CDB">
          <w:rPr>
            <w:rFonts w:hint="eastAsia"/>
            <w:sz w:val="28"/>
            <w:szCs w:val="28"/>
          </w:rPr>
          <w:t>24.6</w:t>
        </w:r>
        <w:r w:rsidR="00575CDB">
          <w:rPr>
            <w:rFonts w:hint="eastAsia"/>
            <w:sz w:val="28"/>
            <w:szCs w:val="28"/>
          </w:rPr>
          <w:t>非居民企业享受税收协定待遇办理</w:t>
        </w:r>
        <w:r w:rsidR="00575CDB">
          <w:rPr>
            <w:sz w:val="28"/>
            <w:szCs w:val="28"/>
          </w:rPr>
          <w:tab/>
        </w:r>
        <w:r w:rsidR="00575CDB">
          <w:rPr>
            <w:sz w:val="28"/>
            <w:szCs w:val="28"/>
          </w:rPr>
          <w:fldChar w:fldCharType="begin"/>
        </w:r>
        <w:r w:rsidR="00575CDB">
          <w:rPr>
            <w:sz w:val="28"/>
            <w:szCs w:val="28"/>
          </w:rPr>
          <w:instrText xml:space="preserve"> PAGEREF _Toc27764 </w:instrText>
        </w:r>
        <w:r w:rsidR="00575CDB">
          <w:rPr>
            <w:sz w:val="28"/>
            <w:szCs w:val="28"/>
          </w:rPr>
          <w:fldChar w:fldCharType="separate"/>
        </w:r>
        <w:r w:rsidR="00575CDB">
          <w:rPr>
            <w:sz w:val="28"/>
            <w:szCs w:val="28"/>
          </w:rPr>
          <w:t>251</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26417" w:history="1">
        <w:r w:rsidR="00575CDB">
          <w:rPr>
            <w:rFonts w:hint="eastAsia"/>
            <w:sz w:val="28"/>
            <w:szCs w:val="28"/>
          </w:rPr>
          <w:t>24.7</w:t>
        </w:r>
        <w:r w:rsidR="00575CDB">
          <w:rPr>
            <w:rFonts w:hint="eastAsia"/>
            <w:sz w:val="28"/>
            <w:szCs w:val="28"/>
          </w:rPr>
          <w:t>企业所得税优惠备案</w:t>
        </w:r>
        <w:r w:rsidR="00575CDB">
          <w:rPr>
            <w:sz w:val="28"/>
            <w:szCs w:val="28"/>
          </w:rPr>
          <w:tab/>
        </w:r>
        <w:r w:rsidR="00575CDB">
          <w:rPr>
            <w:sz w:val="28"/>
            <w:szCs w:val="28"/>
          </w:rPr>
          <w:fldChar w:fldCharType="begin"/>
        </w:r>
        <w:r w:rsidR="00575CDB">
          <w:rPr>
            <w:sz w:val="28"/>
            <w:szCs w:val="28"/>
          </w:rPr>
          <w:instrText xml:space="preserve"> PAGEREF _Toc26417 </w:instrText>
        </w:r>
        <w:r w:rsidR="00575CDB">
          <w:rPr>
            <w:sz w:val="28"/>
            <w:szCs w:val="28"/>
          </w:rPr>
          <w:fldChar w:fldCharType="separate"/>
        </w:r>
        <w:r w:rsidR="00575CDB">
          <w:rPr>
            <w:sz w:val="28"/>
            <w:szCs w:val="28"/>
          </w:rPr>
          <w:t>255</w:t>
        </w:r>
        <w:r w:rsidR="00575CDB">
          <w:rPr>
            <w:sz w:val="28"/>
            <w:szCs w:val="28"/>
          </w:rPr>
          <w:fldChar w:fldCharType="end"/>
        </w:r>
      </w:hyperlink>
    </w:p>
    <w:p w:rsidR="00013EC7" w:rsidRDefault="005262E6">
      <w:pPr>
        <w:pStyle w:val="10"/>
        <w:tabs>
          <w:tab w:val="right" w:leader="dot" w:pos="20128"/>
        </w:tabs>
        <w:rPr>
          <w:sz w:val="28"/>
          <w:szCs w:val="28"/>
        </w:rPr>
      </w:pPr>
      <w:hyperlink w:anchor="_Toc18353" w:history="1">
        <w:r w:rsidR="00575CDB">
          <w:rPr>
            <w:rFonts w:hint="eastAsia"/>
            <w:sz w:val="28"/>
            <w:szCs w:val="28"/>
          </w:rPr>
          <w:t>二十五、完税证明办理</w:t>
        </w:r>
        <w:r w:rsidR="00575CDB">
          <w:rPr>
            <w:sz w:val="28"/>
            <w:szCs w:val="28"/>
          </w:rPr>
          <w:tab/>
        </w:r>
        <w:r w:rsidR="00575CDB">
          <w:rPr>
            <w:sz w:val="28"/>
            <w:szCs w:val="28"/>
          </w:rPr>
          <w:fldChar w:fldCharType="begin"/>
        </w:r>
        <w:r w:rsidR="00575CDB">
          <w:rPr>
            <w:sz w:val="28"/>
            <w:szCs w:val="28"/>
          </w:rPr>
          <w:instrText xml:space="preserve"> PAGEREF _Toc18353 </w:instrText>
        </w:r>
        <w:r w:rsidR="00575CDB">
          <w:rPr>
            <w:sz w:val="28"/>
            <w:szCs w:val="28"/>
          </w:rPr>
          <w:fldChar w:fldCharType="separate"/>
        </w:r>
        <w:r w:rsidR="00575CDB">
          <w:rPr>
            <w:sz w:val="28"/>
            <w:szCs w:val="28"/>
          </w:rPr>
          <w:t>268</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3772" w:history="1">
        <w:r w:rsidR="00575CDB">
          <w:rPr>
            <w:rFonts w:hint="eastAsia"/>
            <w:sz w:val="28"/>
            <w:szCs w:val="28"/>
          </w:rPr>
          <w:t>25.1</w:t>
        </w:r>
        <w:r w:rsidR="00575CDB">
          <w:rPr>
            <w:rFonts w:hint="eastAsia"/>
            <w:sz w:val="28"/>
            <w:szCs w:val="28"/>
          </w:rPr>
          <w:t>纳税证明开具</w:t>
        </w:r>
        <w:r w:rsidR="00575CDB">
          <w:rPr>
            <w:sz w:val="28"/>
            <w:szCs w:val="28"/>
          </w:rPr>
          <w:tab/>
        </w:r>
        <w:r w:rsidR="00575CDB">
          <w:rPr>
            <w:sz w:val="28"/>
            <w:szCs w:val="28"/>
          </w:rPr>
          <w:fldChar w:fldCharType="begin"/>
        </w:r>
        <w:r w:rsidR="00575CDB">
          <w:rPr>
            <w:sz w:val="28"/>
            <w:szCs w:val="28"/>
          </w:rPr>
          <w:instrText xml:space="preserve"> PAGEREF _Toc3772 </w:instrText>
        </w:r>
        <w:r w:rsidR="00575CDB">
          <w:rPr>
            <w:sz w:val="28"/>
            <w:szCs w:val="28"/>
          </w:rPr>
          <w:fldChar w:fldCharType="separate"/>
        </w:r>
        <w:r w:rsidR="00575CDB">
          <w:rPr>
            <w:sz w:val="28"/>
            <w:szCs w:val="28"/>
          </w:rPr>
          <w:t>268</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12263" w:history="1">
        <w:r w:rsidR="00575CDB">
          <w:rPr>
            <w:rFonts w:hint="eastAsia"/>
            <w:sz w:val="28"/>
            <w:szCs w:val="28"/>
          </w:rPr>
          <w:t>25.2</w:t>
        </w:r>
        <w:r w:rsidR="00575CDB">
          <w:rPr>
            <w:rFonts w:hint="eastAsia"/>
            <w:sz w:val="28"/>
            <w:szCs w:val="28"/>
          </w:rPr>
          <w:t>完税证明开具</w:t>
        </w:r>
        <w:r w:rsidR="00575CDB">
          <w:rPr>
            <w:sz w:val="28"/>
            <w:szCs w:val="28"/>
          </w:rPr>
          <w:tab/>
        </w:r>
        <w:r w:rsidR="00575CDB">
          <w:rPr>
            <w:sz w:val="28"/>
            <w:szCs w:val="28"/>
          </w:rPr>
          <w:fldChar w:fldCharType="begin"/>
        </w:r>
        <w:r w:rsidR="00575CDB">
          <w:rPr>
            <w:sz w:val="28"/>
            <w:szCs w:val="28"/>
          </w:rPr>
          <w:instrText xml:space="preserve"> PAGEREF _Toc12263 </w:instrText>
        </w:r>
        <w:r w:rsidR="00575CDB">
          <w:rPr>
            <w:sz w:val="28"/>
            <w:szCs w:val="28"/>
          </w:rPr>
          <w:fldChar w:fldCharType="separate"/>
        </w:r>
        <w:r w:rsidR="00575CDB">
          <w:rPr>
            <w:sz w:val="28"/>
            <w:szCs w:val="28"/>
          </w:rPr>
          <w:t>270</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6572" w:history="1">
        <w:r w:rsidR="00575CDB">
          <w:rPr>
            <w:rFonts w:hint="eastAsia"/>
            <w:sz w:val="28"/>
            <w:szCs w:val="28"/>
          </w:rPr>
          <w:t>25.3</w:t>
        </w:r>
        <w:r w:rsidR="00575CDB">
          <w:rPr>
            <w:rFonts w:hint="eastAsia"/>
            <w:sz w:val="28"/>
            <w:szCs w:val="28"/>
          </w:rPr>
          <w:t>完税凭证换开、重开</w:t>
        </w:r>
        <w:r w:rsidR="00575CDB">
          <w:rPr>
            <w:sz w:val="28"/>
            <w:szCs w:val="28"/>
          </w:rPr>
          <w:tab/>
        </w:r>
        <w:r w:rsidR="00575CDB">
          <w:rPr>
            <w:sz w:val="28"/>
            <w:szCs w:val="28"/>
          </w:rPr>
          <w:fldChar w:fldCharType="begin"/>
        </w:r>
        <w:r w:rsidR="00575CDB">
          <w:rPr>
            <w:sz w:val="28"/>
            <w:szCs w:val="28"/>
          </w:rPr>
          <w:instrText xml:space="preserve"> PAGEREF _Toc6572 </w:instrText>
        </w:r>
        <w:r w:rsidR="00575CDB">
          <w:rPr>
            <w:sz w:val="28"/>
            <w:szCs w:val="28"/>
          </w:rPr>
          <w:fldChar w:fldCharType="separate"/>
        </w:r>
        <w:r w:rsidR="00575CDB">
          <w:rPr>
            <w:sz w:val="28"/>
            <w:szCs w:val="28"/>
          </w:rPr>
          <w:t>272</w:t>
        </w:r>
        <w:r w:rsidR="00575CDB">
          <w:rPr>
            <w:sz w:val="28"/>
            <w:szCs w:val="28"/>
          </w:rPr>
          <w:fldChar w:fldCharType="end"/>
        </w:r>
      </w:hyperlink>
    </w:p>
    <w:p w:rsidR="00013EC7" w:rsidRDefault="005262E6">
      <w:pPr>
        <w:pStyle w:val="10"/>
        <w:tabs>
          <w:tab w:val="right" w:leader="dot" w:pos="20128"/>
        </w:tabs>
        <w:rPr>
          <w:sz w:val="28"/>
          <w:szCs w:val="28"/>
        </w:rPr>
      </w:pPr>
      <w:hyperlink w:anchor="_Toc9216" w:history="1">
        <w:r w:rsidR="00575CDB">
          <w:rPr>
            <w:rFonts w:hint="eastAsia"/>
            <w:sz w:val="28"/>
            <w:szCs w:val="28"/>
          </w:rPr>
          <w:t>二十六、服务贸易等项目对外支付税务备案</w:t>
        </w:r>
        <w:r w:rsidR="00575CDB">
          <w:rPr>
            <w:sz w:val="28"/>
            <w:szCs w:val="28"/>
          </w:rPr>
          <w:tab/>
        </w:r>
        <w:r w:rsidR="00575CDB">
          <w:rPr>
            <w:sz w:val="28"/>
            <w:szCs w:val="28"/>
          </w:rPr>
          <w:fldChar w:fldCharType="begin"/>
        </w:r>
        <w:r w:rsidR="00575CDB">
          <w:rPr>
            <w:sz w:val="28"/>
            <w:szCs w:val="28"/>
          </w:rPr>
          <w:instrText xml:space="preserve"> PAGEREF _Toc9216 </w:instrText>
        </w:r>
        <w:r w:rsidR="00575CDB">
          <w:rPr>
            <w:sz w:val="28"/>
            <w:szCs w:val="28"/>
          </w:rPr>
          <w:fldChar w:fldCharType="separate"/>
        </w:r>
        <w:r w:rsidR="00575CDB">
          <w:rPr>
            <w:sz w:val="28"/>
            <w:szCs w:val="28"/>
          </w:rPr>
          <w:t>274</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24530" w:history="1">
        <w:r w:rsidR="00575CDB">
          <w:rPr>
            <w:sz w:val="28"/>
            <w:szCs w:val="28"/>
          </w:rPr>
          <w:t>26.1</w:t>
        </w:r>
        <w:r w:rsidR="00575CDB">
          <w:rPr>
            <w:rFonts w:hint="eastAsia"/>
            <w:sz w:val="28"/>
            <w:szCs w:val="28"/>
          </w:rPr>
          <w:t>服务贸易等项目对外支付税务备案</w:t>
        </w:r>
        <w:r w:rsidR="00575CDB">
          <w:rPr>
            <w:sz w:val="28"/>
            <w:szCs w:val="28"/>
          </w:rPr>
          <w:tab/>
        </w:r>
        <w:r w:rsidR="00575CDB">
          <w:rPr>
            <w:sz w:val="28"/>
            <w:szCs w:val="28"/>
          </w:rPr>
          <w:fldChar w:fldCharType="begin"/>
        </w:r>
        <w:r w:rsidR="00575CDB">
          <w:rPr>
            <w:sz w:val="28"/>
            <w:szCs w:val="28"/>
          </w:rPr>
          <w:instrText xml:space="preserve"> PAGEREF _Toc24530 </w:instrText>
        </w:r>
        <w:r w:rsidR="00575CDB">
          <w:rPr>
            <w:sz w:val="28"/>
            <w:szCs w:val="28"/>
          </w:rPr>
          <w:fldChar w:fldCharType="separate"/>
        </w:r>
        <w:r w:rsidR="00575CDB">
          <w:rPr>
            <w:sz w:val="28"/>
            <w:szCs w:val="28"/>
          </w:rPr>
          <w:t>274</w:t>
        </w:r>
        <w:r w:rsidR="00575CDB">
          <w:rPr>
            <w:sz w:val="28"/>
            <w:szCs w:val="28"/>
          </w:rPr>
          <w:fldChar w:fldCharType="end"/>
        </w:r>
      </w:hyperlink>
    </w:p>
    <w:p w:rsidR="00013EC7" w:rsidRDefault="005262E6">
      <w:pPr>
        <w:pStyle w:val="10"/>
        <w:tabs>
          <w:tab w:val="right" w:leader="dot" w:pos="20128"/>
        </w:tabs>
        <w:rPr>
          <w:sz w:val="28"/>
          <w:szCs w:val="28"/>
        </w:rPr>
      </w:pPr>
      <w:hyperlink w:anchor="_Toc18146" w:history="1">
        <w:r w:rsidR="00575CDB">
          <w:rPr>
            <w:rFonts w:hint="eastAsia"/>
            <w:sz w:val="28"/>
            <w:szCs w:val="28"/>
          </w:rPr>
          <w:t>二十七、丢失增值税</w:t>
        </w:r>
        <w:r w:rsidR="00575CDB">
          <w:rPr>
            <w:sz w:val="28"/>
            <w:szCs w:val="28"/>
          </w:rPr>
          <w:t>专用发票已报税证明单开具</w:t>
        </w:r>
        <w:r w:rsidR="00575CDB">
          <w:rPr>
            <w:sz w:val="28"/>
            <w:szCs w:val="28"/>
          </w:rPr>
          <w:tab/>
        </w:r>
        <w:r w:rsidR="00575CDB">
          <w:rPr>
            <w:sz w:val="28"/>
            <w:szCs w:val="28"/>
          </w:rPr>
          <w:fldChar w:fldCharType="begin"/>
        </w:r>
        <w:r w:rsidR="00575CDB">
          <w:rPr>
            <w:sz w:val="28"/>
            <w:szCs w:val="28"/>
          </w:rPr>
          <w:instrText xml:space="preserve"> PAGEREF _Toc18146 </w:instrText>
        </w:r>
        <w:r w:rsidR="00575CDB">
          <w:rPr>
            <w:sz w:val="28"/>
            <w:szCs w:val="28"/>
          </w:rPr>
          <w:fldChar w:fldCharType="separate"/>
        </w:r>
        <w:r w:rsidR="00575CDB">
          <w:rPr>
            <w:sz w:val="28"/>
            <w:szCs w:val="28"/>
          </w:rPr>
          <w:t>276</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335" w:history="1">
        <w:r w:rsidR="00575CDB">
          <w:rPr>
            <w:sz w:val="28"/>
            <w:szCs w:val="28"/>
          </w:rPr>
          <w:t>27.1.</w:t>
        </w:r>
        <w:r w:rsidR="00575CDB">
          <w:rPr>
            <w:rFonts w:hint="eastAsia"/>
            <w:sz w:val="28"/>
            <w:szCs w:val="28"/>
          </w:rPr>
          <w:t>丢失增值税</w:t>
        </w:r>
        <w:r w:rsidR="00575CDB">
          <w:rPr>
            <w:sz w:val="28"/>
            <w:szCs w:val="28"/>
          </w:rPr>
          <w:t>专用发票已报税证明单开具</w:t>
        </w:r>
        <w:r w:rsidR="00575CDB">
          <w:rPr>
            <w:sz w:val="28"/>
            <w:szCs w:val="28"/>
          </w:rPr>
          <w:tab/>
        </w:r>
        <w:r w:rsidR="00575CDB">
          <w:rPr>
            <w:sz w:val="28"/>
            <w:szCs w:val="28"/>
          </w:rPr>
          <w:fldChar w:fldCharType="begin"/>
        </w:r>
        <w:r w:rsidR="00575CDB">
          <w:rPr>
            <w:sz w:val="28"/>
            <w:szCs w:val="28"/>
          </w:rPr>
          <w:instrText xml:space="preserve"> PAGEREF _Toc335 </w:instrText>
        </w:r>
        <w:r w:rsidR="00575CDB">
          <w:rPr>
            <w:sz w:val="28"/>
            <w:szCs w:val="28"/>
          </w:rPr>
          <w:fldChar w:fldCharType="separate"/>
        </w:r>
        <w:r w:rsidR="00575CDB">
          <w:rPr>
            <w:sz w:val="28"/>
            <w:szCs w:val="28"/>
          </w:rPr>
          <w:t>276</w:t>
        </w:r>
        <w:r w:rsidR="00575CDB">
          <w:rPr>
            <w:sz w:val="28"/>
            <w:szCs w:val="28"/>
          </w:rPr>
          <w:fldChar w:fldCharType="end"/>
        </w:r>
      </w:hyperlink>
    </w:p>
    <w:p w:rsidR="00013EC7" w:rsidRDefault="005262E6">
      <w:pPr>
        <w:pStyle w:val="10"/>
        <w:tabs>
          <w:tab w:val="right" w:leader="dot" w:pos="20128"/>
        </w:tabs>
        <w:rPr>
          <w:sz w:val="28"/>
          <w:szCs w:val="28"/>
        </w:rPr>
      </w:pPr>
      <w:hyperlink w:anchor="_Toc1438" w:history="1">
        <w:r w:rsidR="00575CDB">
          <w:rPr>
            <w:rFonts w:hint="eastAsia"/>
            <w:sz w:val="28"/>
            <w:szCs w:val="28"/>
          </w:rPr>
          <w:t>二十八、《非居民企业汇总申报企业所得税证明》开具</w:t>
        </w:r>
        <w:r w:rsidR="00575CDB">
          <w:rPr>
            <w:sz w:val="28"/>
            <w:szCs w:val="28"/>
          </w:rPr>
          <w:tab/>
        </w:r>
        <w:r w:rsidR="00575CDB">
          <w:rPr>
            <w:sz w:val="28"/>
            <w:szCs w:val="28"/>
          </w:rPr>
          <w:fldChar w:fldCharType="begin"/>
        </w:r>
        <w:r w:rsidR="00575CDB">
          <w:rPr>
            <w:sz w:val="28"/>
            <w:szCs w:val="28"/>
          </w:rPr>
          <w:instrText xml:space="preserve"> PAGEREF _Toc1438 </w:instrText>
        </w:r>
        <w:r w:rsidR="00575CDB">
          <w:rPr>
            <w:sz w:val="28"/>
            <w:szCs w:val="28"/>
          </w:rPr>
          <w:fldChar w:fldCharType="separate"/>
        </w:r>
        <w:r w:rsidR="00575CDB">
          <w:rPr>
            <w:sz w:val="28"/>
            <w:szCs w:val="28"/>
          </w:rPr>
          <w:t>278</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5790" w:history="1">
        <w:r w:rsidR="00575CDB">
          <w:rPr>
            <w:rFonts w:hint="eastAsia"/>
            <w:sz w:val="28"/>
            <w:szCs w:val="28"/>
          </w:rPr>
          <w:t>28.1</w:t>
        </w:r>
        <w:r w:rsidR="00575CDB">
          <w:rPr>
            <w:rFonts w:hint="eastAsia"/>
            <w:sz w:val="28"/>
            <w:szCs w:val="28"/>
          </w:rPr>
          <w:t>《非居民企业汇总申报企业所得税证明》开具</w:t>
        </w:r>
        <w:r w:rsidR="00575CDB">
          <w:rPr>
            <w:sz w:val="28"/>
            <w:szCs w:val="28"/>
          </w:rPr>
          <w:tab/>
        </w:r>
        <w:r w:rsidR="00575CDB">
          <w:rPr>
            <w:sz w:val="28"/>
            <w:szCs w:val="28"/>
          </w:rPr>
          <w:fldChar w:fldCharType="begin"/>
        </w:r>
        <w:r w:rsidR="00575CDB">
          <w:rPr>
            <w:sz w:val="28"/>
            <w:szCs w:val="28"/>
          </w:rPr>
          <w:instrText xml:space="preserve"> PAGEREF _Toc5790 </w:instrText>
        </w:r>
        <w:r w:rsidR="00575CDB">
          <w:rPr>
            <w:sz w:val="28"/>
            <w:szCs w:val="28"/>
          </w:rPr>
          <w:fldChar w:fldCharType="separate"/>
        </w:r>
        <w:r w:rsidR="00575CDB">
          <w:rPr>
            <w:sz w:val="28"/>
            <w:szCs w:val="28"/>
          </w:rPr>
          <w:t>278</w:t>
        </w:r>
        <w:r w:rsidR="00575CDB">
          <w:rPr>
            <w:sz w:val="28"/>
            <w:szCs w:val="28"/>
          </w:rPr>
          <w:fldChar w:fldCharType="end"/>
        </w:r>
      </w:hyperlink>
    </w:p>
    <w:p w:rsidR="00013EC7" w:rsidRDefault="005262E6">
      <w:pPr>
        <w:pStyle w:val="10"/>
        <w:tabs>
          <w:tab w:val="right" w:leader="dot" w:pos="20128"/>
        </w:tabs>
        <w:rPr>
          <w:sz w:val="28"/>
          <w:szCs w:val="28"/>
        </w:rPr>
      </w:pPr>
      <w:hyperlink w:anchor="_Toc8134" w:history="1">
        <w:r w:rsidR="00575CDB">
          <w:rPr>
            <w:rFonts w:hint="eastAsia"/>
            <w:sz w:val="28"/>
            <w:szCs w:val="28"/>
          </w:rPr>
          <w:t>二十九、出口退（免）税事项办理</w:t>
        </w:r>
        <w:r w:rsidR="00575CDB">
          <w:rPr>
            <w:sz w:val="28"/>
            <w:szCs w:val="28"/>
          </w:rPr>
          <w:tab/>
        </w:r>
        <w:r w:rsidR="00575CDB">
          <w:rPr>
            <w:sz w:val="28"/>
            <w:szCs w:val="28"/>
          </w:rPr>
          <w:fldChar w:fldCharType="begin"/>
        </w:r>
        <w:r w:rsidR="00575CDB">
          <w:rPr>
            <w:sz w:val="28"/>
            <w:szCs w:val="28"/>
          </w:rPr>
          <w:instrText xml:space="preserve"> PAGEREF _Toc8134 </w:instrText>
        </w:r>
        <w:r w:rsidR="00575CDB">
          <w:rPr>
            <w:sz w:val="28"/>
            <w:szCs w:val="28"/>
          </w:rPr>
          <w:fldChar w:fldCharType="separate"/>
        </w:r>
        <w:r w:rsidR="00575CDB">
          <w:rPr>
            <w:sz w:val="28"/>
            <w:szCs w:val="28"/>
          </w:rPr>
          <w:t>280</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19968" w:history="1">
        <w:r w:rsidR="00575CDB">
          <w:rPr>
            <w:rFonts w:hint="eastAsia"/>
            <w:sz w:val="28"/>
            <w:szCs w:val="28"/>
          </w:rPr>
          <w:t>29.1</w:t>
        </w:r>
        <w:r w:rsidR="00575CDB">
          <w:rPr>
            <w:rFonts w:hint="eastAsia"/>
            <w:sz w:val="28"/>
            <w:szCs w:val="28"/>
          </w:rPr>
          <w:t>出口退（免）税备案</w:t>
        </w:r>
        <w:r w:rsidR="00575CDB">
          <w:rPr>
            <w:sz w:val="28"/>
            <w:szCs w:val="28"/>
          </w:rPr>
          <w:tab/>
        </w:r>
        <w:r w:rsidR="00575CDB">
          <w:rPr>
            <w:sz w:val="28"/>
            <w:szCs w:val="28"/>
          </w:rPr>
          <w:fldChar w:fldCharType="begin"/>
        </w:r>
        <w:r w:rsidR="00575CDB">
          <w:rPr>
            <w:sz w:val="28"/>
            <w:szCs w:val="28"/>
          </w:rPr>
          <w:instrText xml:space="preserve"> PAGEREF _Toc19968 </w:instrText>
        </w:r>
        <w:r w:rsidR="00575CDB">
          <w:rPr>
            <w:sz w:val="28"/>
            <w:szCs w:val="28"/>
          </w:rPr>
          <w:fldChar w:fldCharType="separate"/>
        </w:r>
        <w:r w:rsidR="00575CDB">
          <w:rPr>
            <w:sz w:val="28"/>
            <w:szCs w:val="28"/>
          </w:rPr>
          <w:t>280</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11179" w:history="1">
        <w:r w:rsidR="00575CDB">
          <w:rPr>
            <w:rFonts w:hint="eastAsia"/>
            <w:sz w:val="28"/>
            <w:szCs w:val="28"/>
          </w:rPr>
          <w:t>29.2</w:t>
        </w:r>
        <w:r w:rsidR="00575CDB">
          <w:rPr>
            <w:rFonts w:hint="eastAsia"/>
            <w:sz w:val="28"/>
            <w:szCs w:val="28"/>
          </w:rPr>
          <w:t>集团公司及成员企业备案</w:t>
        </w:r>
        <w:r w:rsidR="00575CDB">
          <w:rPr>
            <w:sz w:val="28"/>
            <w:szCs w:val="28"/>
          </w:rPr>
          <w:tab/>
        </w:r>
        <w:r w:rsidR="00575CDB">
          <w:rPr>
            <w:sz w:val="28"/>
            <w:szCs w:val="28"/>
          </w:rPr>
          <w:fldChar w:fldCharType="begin"/>
        </w:r>
        <w:r w:rsidR="00575CDB">
          <w:rPr>
            <w:sz w:val="28"/>
            <w:szCs w:val="28"/>
          </w:rPr>
          <w:instrText xml:space="preserve"> PAGEREF _Toc11179 </w:instrText>
        </w:r>
        <w:r w:rsidR="00575CDB">
          <w:rPr>
            <w:sz w:val="28"/>
            <w:szCs w:val="28"/>
          </w:rPr>
          <w:fldChar w:fldCharType="separate"/>
        </w:r>
        <w:r w:rsidR="00575CDB">
          <w:rPr>
            <w:sz w:val="28"/>
            <w:szCs w:val="28"/>
          </w:rPr>
          <w:t>289</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18772" w:history="1">
        <w:r w:rsidR="00575CDB">
          <w:rPr>
            <w:rFonts w:hint="eastAsia"/>
            <w:sz w:val="28"/>
            <w:szCs w:val="28"/>
          </w:rPr>
          <w:t>29.3</w:t>
        </w:r>
        <w:r w:rsidR="00575CDB">
          <w:rPr>
            <w:rFonts w:hint="eastAsia"/>
            <w:sz w:val="28"/>
            <w:szCs w:val="28"/>
          </w:rPr>
          <w:t>生产企业免抵退税办理</w:t>
        </w:r>
        <w:r w:rsidR="00575CDB">
          <w:rPr>
            <w:sz w:val="28"/>
            <w:szCs w:val="28"/>
          </w:rPr>
          <w:tab/>
        </w:r>
        <w:r w:rsidR="00575CDB">
          <w:rPr>
            <w:sz w:val="28"/>
            <w:szCs w:val="28"/>
          </w:rPr>
          <w:fldChar w:fldCharType="begin"/>
        </w:r>
        <w:r w:rsidR="00575CDB">
          <w:rPr>
            <w:sz w:val="28"/>
            <w:szCs w:val="28"/>
          </w:rPr>
          <w:instrText xml:space="preserve"> PAGEREF _Toc18772 </w:instrText>
        </w:r>
        <w:r w:rsidR="00575CDB">
          <w:rPr>
            <w:sz w:val="28"/>
            <w:szCs w:val="28"/>
          </w:rPr>
          <w:fldChar w:fldCharType="separate"/>
        </w:r>
        <w:r w:rsidR="00575CDB">
          <w:rPr>
            <w:sz w:val="28"/>
            <w:szCs w:val="28"/>
          </w:rPr>
          <w:t>291</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15698" w:history="1">
        <w:r w:rsidR="00575CDB">
          <w:rPr>
            <w:rFonts w:hint="eastAsia"/>
            <w:sz w:val="28"/>
            <w:szCs w:val="28"/>
          </w:rPr>
          <w:t xml:space="preserve">29.4 </w:t>
        </w:r>
        <w:r w:rsidR="00575CDB">
          <w:rPr>
            <w:rFonts w:hint="eastAsia"/>
            <w:sz w:val="28"/>
            <w:szCs w:val="28"/>
          </w:rPr>
          <w:t>外贸企业免退税办理</w:t>
        </w:r>
        <w:r w:rsidR="00575CDB">
          <w:rPr>
            <w:sz w:val="28"/>
            <w:szCs w:val="28"/>
          </w:rPr>
          <w:tab/>
        </w:r>
        <w:r w:rsidR="00575CDB">
          <w:rPr>
            <w:sz w:val="28"/>
            <w:szCs w:val="28"/>
          </w:rPr>
          <w:fldChar w:fldCharType="begin"/>
        </w:r>
        <w:r w:rsidR="00575CDB">
          <w:rPr>
            <w:sz w:val="28"/>
            <w:szCs w:val="28"/>
          </w:rPr>
          <w:instrText xml:space="preserve"> PAGEREF _Toc15698 </w:instrText>
        </w:r>
        <w:r w:rsidR="00575CDB">
          <w:rPr>
            <w:sz w:val="28"/>
            <w:szCs w:val="28"/>
          </w:rPr>
          <w:fldChar w:fldCharType="separate"/>
        </w:r>
        <w:r w:rsidR="00575CDB">
          <w:rPr>
            <w:sz w:val="28"/>
            <w:szCs w:val="28"/>
          </w:rPr>
          <w:t>302</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26522" w:history="1">
        <w:r w:rsidR="00575CDB">
          <w:rPr>
            <w:rFonts w:hint="eastAsia"/>
            <w:sz w:val="28"/>
            <w:szCs w:val="28"/>
          </w:rPr>
          <w:t>29.5</w:t>
        </w:r>
        <w:r w:rsidR="00575CDB">
          <w:rPr>
            <w:rFonts w:hint="eastAsia"/>
            <w:sz w:val="28"/>
            <w:szCs w:val="28"/>
          </w:rPr>
          <w:t>适用增值税零税率应税服务免抵退税办理</w:t>
        </w:r>
        <w:r w:rsidR="00575CDB">
          <w:rPr>
            <w:sz w:val="28"/>
            <w:szCs w:val="28"/>
          </w:rPr>
          <w:tab/>
        </w:r>
        <w:r w:rsidR="00575CDB">
          <w:rPr>
            <w:sz w:val="28"/>
            <w:szCs w:val="28"/>
          </w:rPr>
          <w:fldChar w:fldCharType="begin"/>
        </w:r>
        <w:r w:rsidR="00575CDB">
          <w:rPr>
            <w:sz w:val="28"/>
            <w:szCs w:val="28"/>
          </w:rPr>
          <w:instrText xml:space="preserve"> PAGEREF _Toc26522 </w:instrText>
        </w:r>
        <w:r w:rsidR="00575CDB">
          <w:rPr>
            <w:sz w:val="28"/>
            <w:szCs w:val="28"/>
          </w:rPr>
          <w:fldChar w:fldCharType="separate"/>
        </w:r>
        <w:r w:rsidR="00575CDB">
          <w:rPr>
            <w:sz w:val="28"/>
            <w:szCs w:val="28"/>
          </w:rPr>
          <w:t>310</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16313" w:history="1">
        <w:r w:rsidR="00575CDB">
          <w:rPr>
            <w:rFonts w:hint="eastAsia"/>
            <w:sz w:val="28"/>
            <w:szCs w:val="28"/>
          </w:rPr>
          <w:t>29.6</w:t>
        </w:r>
        <w:r w:rsidR="00575CDB">
          <w:rPr>
            <w:rFonts w:hint="eastAsia"/>
            <w:sz w:val="28"/>
            <w:szCs w:val="28"/>
          </w:rPr>
          <w:t>延期申报退（免）税办理</w:t>
        </w:r>
        <w:r w:rsidR="00575CDB">
          <w:rPr>
            <w:sz w:val="28"/>
            <w:szCs w:val="28"/>
          </w:rPr>
          <w:tab/>
        </w:r>
        <w:r w:rsidR="00575CDB">
          <w:rPr>
            <w:sz w:val="28"/>
            <w:szCs w:val="28"/>
          </w:rPr>
          <w:fldChar w:fldCharType="begin"/>
        </w:r>
        <w:r w:rsidR="00575CDB">
          <w:rPr>
            <w:sz w:val="28"/>
            <w:szCs w:val="28"/>
          </w:rPr>
          <w:instrText xml:space="preserve"> PAGEREF _Toc16313 </w:instrText>
        </w:r>
        <w:r w:rsidR="00575CDB">
          <w:rPr>
            <w:sz w:val="28"/>
            <w:szCs w:val="28"/>
          </w:rPr>
          <w:fldChar w:fldCharType="separate"/>
        </w:r>
        <w:r w:rsidR="00575CDB">
          <w:rPr>
            <w:sz w:val="28"/>
            <w:szCs w:val="28"/>
          </w:rPr>
          <w:t>318</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13951" w:history="1">
        <w:r w:rsidR="00575CDB">
          <w:rPr>
            <w:rFonts w:hint="eastAsia"/>
            <w:sz w:val="28"/>
            <w:szCs w:val="28"/>
          </w:rPr>
          <w:t>29.7</w:t>
        </w:r>
        <w:r w:rsidR="00575CDB">
          <w:rPr>
            <w:rFonts w:hint="eastAsia"/>
            <w:sz w:val="28"/>
            <w:szCs w:val="28"/>
          </w:rPr>
          <w:t>《委托出口货物证明》开具</w:t>
        </w:r>
        <w:r w:rsidR="00575CDB">
          <w:rPr>
            <w:sz w:val="28"/>
            <w:szCs w:val="28"/>
          </w:rPr>
          <w:tab/>
        </w:r>
        <w:r w:rsidR="00575CDB">
          <w:rPr>
            <w:sz w:val="28"/>
            <w:szCs w:val="28"/>
          </w:rPr>
          <w:fldChar w:fldCharType="begin"/>
        </w:r>
        <w:r w:rsidR="00575CDB">
          <w:rPr>
            <w:sz w:val="28"/>
            <w:szCs w:val="28"/>
          </w:rPr>
          <w:instrText xml:space="preserve"> PAGEREF _Toc13951 </w:instrText>
        </w:r>
        <w:r w:rsidR="00575CDB">
          <w:rPr>
            <w:sz w:val="28"/>
            <w:szCs w:val="28"/>
          </w:rPr>
          <w:fldChar w:fldCharType="separate"/>
        </w:r>
        <w:r w:rsidR="00575CDB">
          <w:rPr>
            <w:sz w:val="28"/>
            <w:szCs w:val="28"/>
          </w:rPr>
          <w:t>320</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32317" w:history="1">
        <w:r w:rsidR="00575CDB">
          <w:rPr>
            <w:rFonts w:hint="eastAsia"/>
            <w:sz w:val="28"/>
            <w:szCs w:val="28"/>
          </w:rPr>
          <w:t>29.8</w:t>
        </w:r>
        <w:r w:rsidR="00575CDB">
          <w:rPr>
            <w:rFonts w:hint="eastAsia"/>
            <w:sz w:val="28"/>
            <w:szCs w:val="28"/>
          </w:rPr>
          <w:t>《代理出口货物证明》开具</w:t>
        </w:r>
        <w:r w:rsidR="00575CDB">
          <w:rPr>
            <w:sz w:val="28"/>
            <w:szCs w:val="28"/>
          </w:rPr>
          <w:tab/>
        </w:r>
        <w:r w:rsidR="00575CDB">
          <w:rPr>
            <w:sz w:val="28"/>
            <w:szCs w:val="28"/>
          </w:rPr>
          <w:fldChar w:fldCharType="begin"/>
        </w:r>
        <w:r w:rsidR="00575CDB">
          <w:rPr>
            <w:sz w:val="28"/>
            <w:szCs w:val="28"/>
          </w:rPr>
          <w:instrText xml:space="preserve"> PAGEREF _Toc32317 </w:instrText>
        </w:r>
        <w:r w:rsidR="00575CDB">
          <w:rPr>
            <w:sz w:val="28"/>
            <w:szCs w:val="28"/>
          </w:rPr>
          <w:fldChar w:fldCharType="separate"/>
        </w:r>
        <w:r w:rsidR="00575CDB">
          <w:rPr>
            <w:sz w:val="28"/>
            <w:szCs w:val="28"/>
          </w:rPr>
          <w:t>322</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15940" w:history="1">
        <w:r w:rsidR="00575CDB">
          <w:rPr>
            <w:rFonts w:hint="eastAsia"/>
            <w:sz w:val="28"/>
            <w:szCs w:val="28"/>
          </w:rPr>
          <w:t>29.9</w:t>
        </w:r>
        <w:r w:rsidR="00575CDB">
          <w:rPr>
            <w:rFonts w:hint="eastAsia"/>
            <w:sz w:val="28"/>
            <w:szCs w:val="28"/>
          </w:rPr>
          <w:t>《出口货物退运已补税（未退税）证明》开具</w:t>
        </w:r>
        <w:r w:rsidR="00575CDB">
          <w:rPr>
            <w:sz w:val="28"/>
            <w:szCs w:val="28"/>
          </w:rPr>
          <w:tab/>
        </w:r>
        <w:r w:rsidR="00575CDB">
          <w:rPr>
            <w:sz w:val="28"/>
            <w:szCs w:val="28"/>
          </w:rPr>
          <w:fldChar w:fldCharType="begin"/>
        </w:r>
        <w:r w:rsidR="00575CDB">
          <w:rPr>
            <w:sz w:val="28"/>
            <w:szCs w:val="28"/>
          </w:rPr>
          <w:instrText xml:space="preserve"> PAGEREF _Toc15940 </w:instrText>
        </w:r>
        <w:r w:rsidR="00575CDB">
          <w:rPr>
            <w:sz w:val="28"/>
            <w:szCs w:val="28"/>
          </w:rPr>
          <w:fldChar w:fldCharType="separate"/>
        </w:r>
        <w:r w:rsidR="00575CDB">
          <w:rPr>
            <w:sz w:val="28"/>
            <w:szCs w:val="28"/>
          </w:rPr>
          <w:t>325</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9760" w:history="1">
        <w:r w:rsidR="00575CDB">
          <w:rPr>
            <w:rFonts w:hint="eastAsia"/>
            <w:sz w:val="28"/>
            <w:szCs w:val="28"/>
          </w:rPr>
          <w:t>29.10</w:t>
        </w:r>
        <w:r w:rsidR="00575CDB">
          <w:rPr>
            <w:rFonts w:hint="eastAsia"/>
            <w:sz w:val="28"/>
            <w:szCs w:val="28"/>
          </w:rPr>
          <w:t>《出口货物转内销证明》开具</w:t>
        </w:r>
        <w:r w:rsidR="00575CDB">
          <w:rPr>
            <w:sz w:val="28"/>
            <w:szCs w:val="28"/>
          </w:rPr>
          <w:tab/>
        </w:r>
        <w:r w:rsidR="00575CDB">
          <w:rPr>
            <w:sz w:val="28"/>
            <w:szCs w:val="28"/>
          </w:rPr>
          <w:fldChar w:fldCharType="begin"/>
        </w:r>
        <w:r w:rsidR="00575CDB">
          <w:rPr>
            <w:sz w:val="28"/>
            <w:szCs w:val="28"/>
          </w:rPr>
          <w:instrText xml:space="preserve"> PAGEREF _Toc9760 </w:instrText>
        </w:r>
        <w:r w:rsidR="00575CDB">
          <w:rPr>
            <w:sz w:val="28"/>
            <w:szCs w:val="28"/>
          </w:rPr>
          <w:fldChar w:fldCharType="separate"/>
        </w:r>
        <w:r w:rsidR="00575CDB">
          <w:rPr>
            <w:sz w:val="28"/>
            <w:szCs w:val="28"/>
          </w:rPr>
          <w:t>327</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28072" w:history="1">
        <w:r w:rsidR="00575CDB">
          <w:rPr>
            <w:rFonts w:hint="eastAsia"/>
            <w:sz w:val="28"/>
            <w:szCs w:val="28"/>
          </w:rPr>
          <w:t>29.11</w:t>
        </w:r>
        <w:r w:rsidR="00575CDB">
          <w:rPr>
            <w:rFonts w:hint="eastAsia"/>
            <w:sz w:val="28"/>
            <w:szCs w:val="28"/>
          </w:rPr>
          <w:t>《来料加工免税证明》开具</w:t>
        </w:r>
        <w:r w:rsidR="00575CDB">
          <w:rPr>
            <w:sz w:val="28"/>
            <w:szCs w:val="28"/>
          </w:rPr>
          <w:tab/>
        </w:r>
        <w:r w:rsidR="00575CDB">
          <w:rPr>
            <w:sz w:val="28"/>
            <w:szCs w:val="28"/>
          </w:rPr>
          <w:fldChar w:fldCharType="begin"/>
        </w:r>
        <w:r w:rsidR="00575CDB">
          <w:rPr>
            <w:sz w:val="28"/>
            <w:szCs w:val="28"/>
          </w:rPr>
          <w:instrText xml:space="preserve"> PAGEREF _Toc28072 </w:instrText>
        </w:r>
        <w:r w:rsidR="00575CDB">
          <w:rPr>
            <w:sz w:val="28"/>
            <w:szCs w:val="28"/>
          </w:rPr>
          <w:fldChar w:fldCharType="separate"/>
        </w:r>
        <w:r w:rsidR="00575CDB">
          <w:rPr>
            <w:sz w:val="28"/>
            <w:szCs w:val="28"/>
          </w:rPr>
          <w:t>330</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29928" w:history="1">
        <w:r w:rsidR="00575CDB">
          <w:rPr>
            <w:rFonts w:hint="eastAsia"/>
            <w:sz w:val="28"/>
            <w:szCs w:val="28"/>
          </w:rPr>
          <w:t>29.12</w:t>
        </w:r>
        <w:r w:rsidR="00575CDB">
          <w:rPr>
            <w:rFonts w:hint="eastAsia"/>
            <w:sz w:val="28"/>
            <w:szCs w:val="28"/>
          </w:rPr>
          <w:t>《代理进口货物证明》开具</w:t>
        </w:r>
        <w:r w:rsidR="00575CDB">
          <w:rPr>
            <w:rFonts w:hint="eastAsia"/>
            <w:sz w:val="28"/>
            <w:szCs w:val="28"/>
          </w:rPr>
          <w:t xml:space="preserve"> </w:t>
        </w:r>
        <w:r w:rsidR="00575CDB">
          <w:rPr>
            <w:sz w:val="28"/>
            <w:szCs w:val="28"/>
          </w:rPr>
          <w:tab/>
        </w:r>
        <w:r w:rsidR="00575CDB">
          <w:rPr>
            <w:sz w:val="28"/>
            <w:szCs w:val="28"/>
          </w:rPr>
          <w:fldChar w:fldCharType="begin"/>
        </w:r>
        <w:r w:rsidR="00575CDB">
          <w:rPr>
            <w:sz w:val="28"/>
            <w:szCs w:val="28"/>
          </w:rPr>
          <w:instrText xml:space="preserve"> PAGEREF _Toc29928 </w:instrText>
        </w:r>
        <w:r w:rsidR="00575CDB">
          <w:rPr>
            <w:sz w:val="28"/>
            <w:szCs w:val="28"/>
          </w:rPr>
          <w:fldChar w:fldCharType="separate"/>
        </w:r>
        <w:r w:rsidR="00575CDB">
          <w:rPr>
            <w:sz w:val="28"/>
            <w:szCs w:val="28"/>
          </w:rPr>
          <w:t>332</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29711" w:history="1">
        <w:r w:rsidR="00575CDB">
          <w:rPr>
            <w:rFonts w:hint="eastAsia"/>
            <w:sz w:val="28"/>
            <w:szCs w:val="28"/>
          </w:rPr>
          <w:t>29.13</w:t>
        </w:r>
        <w:r w:rsidR="00575CDB">
          <w:rPr>
            <w:rFonts w:hint="eastAsia"/>
            <w:sz w:val="28"/>
            <w:szCs w:val="28"/>
          </w:rPr>
          <w:t>《准予免税购进出口卷烟证明》开具</w:t>
        </w:r>
        <w:r w:rsidR="00575CDB">
          <w:rPr>
            <w:sz w:val="28"/>
            <w:szCs w:val="28"/>
          </w:rPr>
          <w:tab/>
        </w:r>
        <w:r w:rsidR="00575CDB">
          <w:rPr>
            <w:sz w:val="28"/>
            <w:szCs w:val="28"/>
          </w:rPr>
          <w:fldChar w:fldCharType="begin"/>
        </w:r>
        <w:r w:rsidR="00575CDB">
          <w:rPr>
            <w:sz w:val="28"/>
            <w:szCs w:val="28"/>
          </w:rPr>
          <w:instrText xml:space="preserve"> PAGEREF _Toc29711 </w:instrText>
        </w:r>
        <w:r w:rsidR="00575CDB">
          <w:rPr>
            <w:sz w:val="28"/>
            <w:szCs w:val="28"/>
          </w:rPr>
          <w:fldChar w:fldCharType="separate"/>
        </w:r>
        <w:r w:rsidR="00575CDB">
          <w:rPr>
            <w:sz w:val="28"/>
            <w:szCs w:val="28"/>
          </w:rPr>
          <w:t>334</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27800" w:history="1">
        <w:r w:rsidR="00575CDB">
          <w:rPr>
            <w:rFonts w:hint="eastAsia"/>
            <w:sz w:val="28"/>
            <w:szCs w:val="28"/>
          </w:rPr>
          <w:t xml:space="preserve">29.14 </w:t>
        </w:r>
        <w:r w:rsidR="00575CDB">
          <w:rPr>
            <w:rFonts w:hint="eastAsia"/>
            <w:sz w:val="28"/>
            <w:szCs w:val="28"/>
          </w:rPr>
          <w:t>《出口卷烟已免税证明》开具</w:t>
        </w:r>
        <w:r w:rsidR="00575CDB">
          <w:rPr>
            <w:sz w:val="28"/>
            <w:szCs w:val="28"/>
          </w:rPr>
          <w:tab/>
        </w:r>
        <w:r w:rsidR="00575CDB">
          <w:rPr>
            <w:sz w:val="28"/>
            <w:szCs w:val="28"/>
          </w:rPr>
          <w:fldChar w:fldCharType="begin"/>
        </w:r>
        <w:r w:rsidR="00575CDB">
          <w:rPr>
            <w:sz w:val="28"/>
            <w:szCs w:val="28"/>
          </w:rPr>
          <w:instrText xml:space="preserve"> PAGEREF _Toc27800 </w:instrText>
        </w:r>
        <w:r w:rsidR="00575CDB">
          <w:rPr>
            <w:sz w:val="28"/>
            <w:szCs w:val="28"/>
          </w:rPr>
          <w:fldChar w:fldCharType="separate"/>
        </w:r>
        <w:r w:rsidR="00575CDB">
          <w:rPr>
            <w:sz w:val="28"/>
            <w:szCs w:val="28"/>
          </w:rPr>
          <w:t>336</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17134" w:history="1">
        <w:r w:rsidR="00575CDB">
          <w:rPr>
            <w:rFonts w:hint="eastAsia"/>
            <w:sz w:val="28"/>
            <w:szCs w:val="28"/>
          </w:rPr>
          <w:t>29.15</w:t>
        </w:r>
        <w:r w:rsidR="00575CDB">
          <w:rPr>
            <w:rFonts w:hint="eastAsia"/>
            <w:sz w:val="28"/>
            <w:szCs w:val="28"/>
          </w:rPr>
          <w:t>《中标证明通知书》开具</w:t>
        </w:r>
        <w:r w:rsidR="00575CDB">
          <w:rPr>
            <w:rFonts w:hint="eastAsia"/>
            <w:sz w:val="28"/>
            <w:szCs w:val="28"/>
          </w:rPr>
          <w:t xml:space="preserve">  </w:t>
        </w:r>
        <w:r w:rsidR="00575CDB">
          <w:rPr>
            <w:sz w:val="28"/>
            <w:szCs w:val="28"/>
          </w:rPr>
          <w:tab/>
        </w:r>
        <w:r w:rsidR="00575CDB">
          <w:rPr>
            <w:sz w:val="28"/>
            <w:szCs w:val="28"/>
          </w:rPr>
          <w:fldChar w:fldCharType="begin"/>
        </w:r>
        <w:r w:rsidR="00575CDB">
          <w:rPr>
            <w:sz w:val="28"/>
            <w:szCs w:val="28"/>
          </w:rPr>
          <w:instrText xml:space="preserve"> PAGEREF _Toc17134 </w:instrText>
        </w:r>
        <w:r w:rsidR="00575CDB">
          <w:rPr>
            <w:sz w:val="28"/>
            <w:szCs w:val="28"/>
          </w:rPr>
          <w:fldChar w:fldCharType="separate"/>
        </w:r>
        <w:r w:rsidR="00575CDB">
          <w:rPr>
            <w:sz w:val="28"/>
            <w:szCs w:val="28"/>
          </w:rPr>
          <w:t>338</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23113" w:history="1">
        <w:r w:rsidR="00575CDB">
          <w:rPr>
            <w:rFonts w:hint="eastAsia"/>
            <w:sz w:val="28"/>
            <w:szCs w:val="28"/>
          </w:rPr>
          <w:t>29.16</w:t>
        </w:r>
        <w:r w:rsidR="00575CDB">
          <w:rPr>
            <w:rFonts w:hint="eastAsia"/>
            <w:sz w:val="28"/>
            <w:szCs w:val="28"/>
          </w:rPr>
          <w:t>丢失出口退（免）税有关证明补办</w:t>
        </w:r>
        <w:r w:rsidR="00575CDB">
          <w:rPr>
            <w:sz w:val="28"/>
            <w:szCs w:val="28"/>
          </w:rPr>
          <w:tab/>
        </w:r>
        <w:r w:rsidR="00575CDB">
          <w:rPr>
            <w:sz w:val="28"/>
            <w:szCs w:val="28"/>
          </w:rPr>
          <w:fldChar w:fldCharType="begin"/>
        </w:r>
        <w:r w:rsidR="00575CDB">
          <w:rPr>
            <w:sz w:val="28"/>
            <w:szCs w:val="28"/>
          </w:rPr>
          <w:instrText xml:space="preserve"> PAGEREF _Toc23113 </w:instrText>
        </w:r>
        <w:r w:rsidR="00575CDB">
          <w:rPr>
            <w:sz w:val="28"/>
            <w:szCs w:val="28"/>
          </w:rPr>
          <w:fldChar w:fldCharType="separate"/>
        </w:r>
        <w:r w:rsidR="00575CDB">
          <w:rPr>
            <w:sz w:val="28"/>
            <w:szCs w:val="28"/>
          </w:rPr>
          <w:t>341</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30353" w:history="1">
        <w:r w:rsidR="00575CDB">
          <w:rPr>
            <w:rFonts w:hint="eastAsia"/>
            <w:sz w:val="28"/>
            <w:szCs w:val="28"/>
          </w:rPr>
          <w:t>29.17</w:t>
        </w:r>
        <w:r w:rsidR="00575CDB">
          <w:rPr>
            <w:rFonts w:hint="eastAsia"/>
            <w:sz w:val="28"/>
            <w:szCs w:val="28"/>
          </w:rPr>
          <w:t>《来料加工免税证明》核销</w:t>
        </w:r>
        <w:r w:rsidR="00575CDB">
          <w:rPr>
            <w:sz w:val="28"/>
            <w:szCs w:val="28"/>
          </w:rPr>
          <w:tab/>
        </w:r>
        <w:r w:rsidR="00575CDB">
          <w:rPr>
            <w:sz w:val="28"/>
            <w:szCs w:val="28"/>
          </w:rPr>
          <w:fldChar w:fldCharType="begin"/>
        </w:r>
        <w:r w:rsidR="00575CDB">
          <w:rPr>
            <w:sz w:val="28"/>
            <w:szCs w:val="28"/>
          </w:rPr>
          <w:instrText xml:space="preserve"> PAGEREF _Toc30353 </w:instrText>
        </w:r>
        <w:r w:rsidR="00575CDB">
          <w:rPr>
            <w:sz w:val="28"/>
            <w:szCs w:val="28"/>
          </w:rPr>
          <w:fldChar w:fldCharType="separate"/>
        </w:r>
        <w:r w:rsidR="00575CDB">
          <w:rPr>
            <w:sz w:val="28"/>
            <w:szCs w:val="28"/>
          </w:rPr>
          <w:t>343</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9828" w:history="1">
        <w:r w:rsidR="00575CDB">
          <w:rPr>
            <w:rFonts w:hint="eastAsia"/>
            <w:sz w:val="28"/>
            <w:szCs w:val="28"/>
          </w:rPr>
          <w:t>29.18</w:t>
        </w:r>
        <w:r w:rsidR="00575CDB">
          <w:rPr>
            <w:rFonts w:hint="eastAsia"/>
            <w:sz w:val="28"/>
            <w:szCs w:val="28"/>
          </w:rPr>
          <w:t>《出口卷烟已免税证明》核销</w:t>
        </w:r>
        <w:r w:rsidR="00575CDB">
          <w:rPr>
            <w:sz w:val="28"/>
            <w:szCs w:val="28"/>
          </w:rPr>
          <w:tab/>
        </w:r>
        <w:r w:rsidR="00575CDB">
          <w:rPr>
            <w:sz w:val="28"/>
            <w:szCs w:val="28"/>
          </w:rPr>
          <w:fldChar w:fldCharType="begin"/>
        </w:r>
        <w:r w:rsidR="00575CDB">
          <w:rPr>
            <w:sz w:val="28"/>
            <w:szCs w:val="28"/>
          </w:rPr>
          <w:instrText xml:space="preserve"> PAGEREF _Toc9828 </w:instrText>
        </w:r>
        <w:r w:rsidR="00575CDB">
          <w:rPr>
            <w:sz w:val="28"/>
            <w:szCs w:val="28"/>
          </w:rPr>
          <w:fldChar w:fldCharType="separate"/>
        </w:r>
        <w:r w:rsidR="00575CDB">
          <w:rPr>
            <w:sz w:val="28"/>
            <w:szCs w:val="28"/>
          </w:rPr>
          <w:t>345</w:t>
        </w:r>
        <w:r w:rsidR="00575CDB">
          <w:rPr>
            <w:sz w:val="28"/>
            <w:szCs w:val="28"/>
          </w:rPr>
          <w:fldChar w:fldCharType="end"/>
        </w:r>
      </w:hyperlink>
    </w:p>
    <w:p w:rsidR="00013EC7" w:rsidRDefault="005262E6">
      <w:pPr>
        <w:pStyle w:val="10"/>
        <w:tabs>
          <w:tab w:val="right" w:leader="dot" w:pos="20128"/>
        </w:tabs>
        <w:rPr>
          <w:sz w:val="28"/>
          <w:szCs w:val="28"/>
        </w:rPr>
      </w:pPr>
      <w:hyperlink w:anchor="_Toc17883" w:history="1">
        <w:r w:rsidR="00575CDB">
          <w:rPr>
            <w:rFonts w:hint="eastAsia"/>
            <w:sz w:val="28"/>
            <w:szCs w:val="28"/>
          </w:rPr>
          <w:t>三十、车辆购置税事项办理</w:t>
        </w:r>
        <w:r w:rsidR="00575CDB">
          <w:rPr>
            <w:sz w:val="28"/>
            <w:szCs w:val="28"/>
          </w:rPr>
          <w:tab/>
        </w:r>
        <w:r w:rsidR="00575CDB">
          <w:rPr>
            <w:sz w:val="28"/>
            <w:szCs w:val="28"/>
          </w:rPr>
          <w:fldChar w:fldCharType="begin"/>
        </w:r>
        <w:r w:rsidR="00575CDB">
          <w:rPr>
            <w:sz w:val="28"/>
            <w:szCs w:val="28"/>
          </w:rPr>
          <w:instrText xml:space="preserve"> PAGEREF _Toc17883 </w:instrText>
        </w:r>
        <w:r w:rsidR="00575CDB">
          <w:rPr>
            <w:sz w:val="28"/>
            <w:szCs w:val="28"/>
          </w:rPr>
          <w:fldChar w:fldCharType="separate"/>
        </w:r>
        <w:r w:rsidR="00575CDB">
          <w:rPr>
            <w:sz w:val="28"/>
            <w:szCs w:val="28"/>
          </w:rPr>
          <w:t>347</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25555" w:history="1">
        <w:r w:rsidR="00575CDB">
          <w:rPr>
            <w:rFonts w:hint="eastAsia"/>
            <w:sz w:val="28"/>
            <w:szCs w:val="28"/>
          </w:rPr>
          <w:t>30.1</w:t>
        </w:r>
        <w:r w:rsidR="00575CDB">
          <w:rPr>
            <w:rFonts w:hint="eastAsia"/>
            <w:sz w:val="28"/>
            <w:szCs w:val="28"/>
          </w:rPr>
          <w:t>车辆购置税纳税申报</w:t>
        </w:r>
        <w:r w:rsidR="00575CDB">
          <w:rPr>
            <w:sz w:val="28"/>
            <w:szCs w:val="28"/>
          </w:rPr>
          <w:tab/>
        </w:r>
        <w:r w:rsidR="00575CDB">
          <w:rPr>
            <w:sz w:val="28"/>
            <w:szCs w:val="28"/>
          </w:rPr>
          <w:fldChar w:fldCharType="begin"/>
        </w:r>
        <w:r w:rsidR="00575CDB">
          <w:rPr>
            <w:sz w:val="28"/>
            <w:szCs w:val="28"/>
          </w:rPr>
          <w:instrText xml:space="preserve"> PAGEREF _Toc25555 </w:instrText>
        </w:r>
        <w:r w:rsidR="00575CDB">
          <w:rPr>
            <w:sz w:val="28"/>
            <w:szCs w:val="28"/>
          </w:rPr>
          <w:fldChar w:fldCharType="separate"/>
        </w:r>
        <w:r w:rsidR="00575CDB">
          <w:rPr>
            <w:sz w:val="28"/>
            <w:szCs w:val="28"/>
          </w:rPr>
          <w:t>347</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14656" w:history="1">
        <w:r w:rsidR="00575CDB">
          <w:rPr>
            <w:rFonts w:hint="eastAsia"/>
            <w:sz w:val="28"/>
            <w:szCs w:val="28"/>
          </w:rPr>
          <w:t>30.2</w:t>
        </w:r>
        <w:r w:rsidR="00575CDB">
          <w:rPr>
            <w:rFonts w:hint="eastAsia"/>
            <w:sz w:val="28"/>
            <w:szCs w:val="28"/>
          </w:rPr>
          <w:t>车辆购置税退税办理</w:t>
        </w:r>
        <w:r w:rsidR="00575CDB">
          <w:rPr>
            <w:sz w:val="28"/>
            <w:szCs w:val="28"/>
          </w:rPr>
          <w:tab/>
        </w:r>
        <w:r w:rsidR="00575CDB">
          <w:rPr>
            <w:sz w:val="28"/>
            <w:szCs w:val="28"/>
          </w:rPr>
          <w:fldChar w:fldCharType="begin"/>
        </w:r>
        <w:r w:rsidR="00575CDB">
          <w:rPr>
            <w:sz w:val="28"/>
            <w:szCs w:val="28"/>
          </w:rPr>
          <w:instrText xml:space="preserve"> PAGEREF _Toc14656 </w:instrText>
        </w:r>
        <w:r w:rsidR="00575CDB">
          <w:rPr>
            <w:sz w:val="28"/>
            <w:szCs w:val="28"/>
          </w:rPr>
          <w:fldChar w:fldCharType="separate"/>
        </w:r>
        <w:r w:rsidR="00575CDB">
          <w:rPr>
            <w:sz w:val="28"/>
            <w:szCs w:val="28"/>
          </w:rPr>
          <w:t>350</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32171" w:history="1">
        <w:r w:rsidR="00575CDB">
          <w:rPr>
            <w:rFonts w:hint="eastAsia"/>
            <w:sz w:val="28"/>
            <w:szCs w:val="28"/>
          </w:rPr>
          <w:t>30.3</w:t>
        </w:r>
        <w:r w:rsidR="00575CDB">
          <w:rPr>
            <w:rFonts w:hint="eastAsia"/>
            <w:sz w:val="28"/>
            <w:szCs w:val="28"/>
          </w:rPr>
          <w:t>车辆购置税优惠备案</w:t>
        </w:r>
        <w:r w:rsidR="00575CDB">
          <w:rPr>
            <w:sz w:val="28"/>
            <w:szCs w:val="28"/>
          </w:rPr>
          <w:tab/>
        </w:r>
        <w:r w:rsidR="00575CDB">
          <w:rPr>
            <w:sz w:val="28"/>
            <w:szCs w:val="28"/>
          </w:rPr>
          <w:fldChar w:fldCharType="begin"/>
        </w:r>
        <w:r w:rsidR="00575CDB">
          <w:rPr>
            <w:sz w:val="28"/>
            <w:szCs w:val="28"/>
          </w:rPr>
          <w:instrText xml:space="preserve"> PAGEREF _Toc32171 </w:instrText>
        </w:r>
        <w:r w:rsidR="00575CDB">
          <w:rPr>
            <w:sz w:val="28"/>
            <w:szCs w:val="28"/>
          </w:rPr>
          <w:fldChar w:fldCharType="separate"/>
        </w:r>
        <w:r w:rsidR="00575CDB">
          <w:rPr>
            <w:sz w:val="28"/>
            <w:szCs w:val="28"/>
          </w:rPr>
          <w:t>352</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10822" w:history="1">
        <w:r w:rsidR="00575CDB">
          <w:rPr>
            <w:rFonts w:hint="eastAsia"/>
            <w:sz w:val="28"/>
            <w:szCs w:val="28"/>
          </w:rPr>
          <w:t>30.4</w:t>
        </w:r>
        <w:r w:rsidR="00575CDB">
          <w:rPr>
            <w:rFonts w:hint="eastAsia"/>
            <w:sz w:val="28"/>
            <w:szCs w:val="28"/>
          </w:rPr>
          <w:t>《车辆购置税完税证明》补办</w:t>
        </w:r>
        <w:r w:rsidR="00575CDB">
          <w:rPr>
            <w:sz w:val="28"/>
            <w:szCs w:val="28"/>
          </w:rPr>
          <w:tab/>
        </w:r>
        <w:r w:rsidR="00575CDB">
          <w:rPr>
            <w:sz w:val="28"/>
            <w:szCs w:val="28"/>
          </w:rPr>
          <w:fldChar w:fldCharType="begin"/>
        </w:r>
        <w:r w:rsidR="00575CDB">
          <w:rPr>
            <w:sz w:val="28"/>
            <w:szCs w:val="28"/>
          </w:rPr>
          <w:instrText xml:space="preserve"> PAGEREF _Toc10822 </w:instrText>
        </w:r>
        <w:r w:rsidR="00575CDB">
          <w:rPr>
            <w:sz w:val="28"/>
            <w:szCs w:val="28"/>
          </w:rPr>
          <w:fldChar w:fldCharType="separate"/>
        </w:r>
        <w:r w:rsidR="00575CDB">
          <w:rPr>
            <w:sz w:val="28"/>
            <w:szCs w:val="28"/>
          </w:rPr>
          <w:t>356</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7954" w:history="1">
        <w:r w:rsidR="00575CDB">
          <w:rPr>
            <w:rFonts w:hint="eastAsia"/>
            <w:sz w:val="28"/>
            <w:szCs w:val="28"/>
          </w:rPr>
          <w:t>30.5</w:t>
        </w:r>
        <w:r w:rsidR="00575CDB">
          <w:rPr>
            <w:rFonts w:hint="eastAsia"/>
            <w:sz w:val="28"/>
            <w:szCs w:val="28"/>
          </w:rPr>
          <w:t>《车辆购置税完税证明》更正</w:t>
        </w:r>
        <w:r w:rsidR="00575CDB">
          <w:rPr>
            <w:sz w:val="28"/>
            <w:szCs w:val="28"/>
          </w:rPr>
          <w:tab/>
        </w:r>
        <w:r w:rsidR="00575CDB">
          <w:rPr>
            <w:sz w:val="28"/>
            <w:szCs w:val="28"/>
          </w:rPr>
          <w:fldChar w:fldCharType="begin"/>
        </w:r>
        <w:r w:rsidR="00575CDB">
          <w:rPr>
            <w:sz w:val="28"/>
            <w:szCs w:val="28"/>
          </w:rPr>
          <w:instrText xml:space="preserve"> PAGEREF _Toc7954 </w:instrText>
        </w:r>
        <w:r w:rsidR="00575CDB">
          <w:rPr>
            <w:sz w:val="28"/>
            <w:szCs w:val="28"/>
          </w:rPr>
          <w:fldChar w:fldCharType="separate"/>
        </w:r>
        <w:r w:rsidR="00575CDB">
          <w:rPr>
            <w:sz w:val="28"/>
            <w:szCs w:val="28"/>
          </w:rPr>
          <w:t>359</w:t>
        </w:r>
        <w:r w:rsidR="00575CDB">
          <w:rPr>
            <w:sz w:val="28"/>
            <w:szCs w:val="28"/>
          </w:rPr>
          <w:fldChar w:fldCharType="end"/>
        </w:r>
      </w:hyperlink>
    </w:p>
    <w:p w:rsidR="00013EC7" w:rsidRDefault="005262E6">
      <w:pPr>
        <w:pStyle w:val="10"/>
        <w:tabs>
          <w:tab w:val="right" w:leader="dot" w:pos="20128"/>
        </w:tabs>
        <w:rPr>
          <w:sz w:val="28"/>
          <w:szCs w:val="28"/>
        </w:rPr>
      </w:pPr>
      <w:hyperlink w:anchor="_Toc22604" w:history="1">
        <w:r w:rsidR="00575CDB">
          <w:rPr>
            <w:rFonts w:hint="eastAsia"/>
            <w:sz w:val="28"/>
            <w:szCs w:val="28"/>
          </w:rPr>
          <w:t>三十一、对纳税人延期缴纳税款的核准（行政许可事项，编码</w:t>
        </w:r>
        <w:r w:rsidR="00575CDB">
          <w:rPr>
            <w:rFonts w:hint="eastAsia"/>
            <w:sz w:val="28"/>
            <w:szCs w:val="28"/>
          </w:rPr>
          <w:t>24002</w:t>
        </w:r>
        <w:r w:rsidR="00575CDB">
          <w:rPr>
            <w:rFonts w:hint="eastAsia"/>
            <w:sz w:val="28"/>
            <w:szCs w:val="28"/>
          </w:rPr>
          <w:t>）</w:t>
        </w:r>
        <w:r w:rsidR="00575CDB">
          <w:rPr>
            <w:sz w:val="28"/>
            <w:szCs w:val="28"/>
          </w:rPr>
          <w:tab/>
        </w:r>
        <w:r w:rsidR="00575CDB">
          <w:rPr>
            <w:sz w:val="28"/>
            <w:szCs w:val="28"/>
          </w:rPr>
          <w:fldChar w:fldCharType="begin"/>
        </w:r>
        <w:r w:rsidR="00575CDB">
          <w:rPr>
            <w:sz w:val="28"/>
            <w:szCs w:val="28"/>
          </w:rPr>
          <w:instrText xml:space="preserve"> PAGEREF _Toc22604 </w:instrText>
        </w:r>
        <w:r w:rsidR="00575CDB">
          <w:rPr>
            <w:sz w:val="28"/>
            <w:szCs w:val="28"/>
          </w:rPr>
          <w:fldChar w:fldCharType="separate"/>
        </w:r>
        <w:r w:rsidR="00575CDB">
          <w:rPr>
            <w:sz w:val="28"/>
            <w:szCs w:val="28"/>
          </w:rPr>
          <w:t>361</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3953" w:history="1">
        <w:r w:rsidR="00575CDB">
          <w:rPr>
            <w:rFonts w:hint="eastAsia"/>
            <w:sz w:val="28"/>
            <w:szCs w:val="28"/>
          </w:rPr>
          <w:t>31.1</w:t>
        </w:r>
        <w:r w:rsidR="00575CDB">
          <w:rPr>
            <w:rFonts w:hint="eastAsia"/>
            <w:sz w:val="28"/>
            <w:szCs w:val="28"/>
          </w:rPr>
          <w:t>对纳税人延期缴纳税款的核准（行政许可事项，编码</w:t>
        </w:r>
        <w:r w:rsidR="00575CDB">
          <w:rPr>
            <w:rFonts w:hint="eastAsia"/>
            <w:sz w:val="28"/>
            <w:szCs w:val="28"/>
          </w:rPr>
          <w:t>24002</w:t>
        </w:r>
        <w:r w:rsidR="00575CDB">
          <w:rPr>
            <w:rFonts w:hint="eastAsia"/>
            <w:sz w:val="28"/>
            <w:szCs w:val="28"/>
          </w:rPr>
          <w:t>）</w:t>
        </w:r>
        <w:r w:rsidR="00575CDB">
          <w:rPr>
            <w:sz w:val="28"/>
            <w:szCs w:val="28"/>
          </w:rPr>
          <w:tab/>
        </w:r>
        <w:r w:rsidR="00575CDB">
          <w:rPr>
            <w:sz w:val="28"/>
            <w:szCs w:val="28"/>
          </w:rPr>
          <w:fldChar w:fldCharType="begin"/>
        </w:r>
        <w:r w:rsidR="00575CDB">
          <w:rPr>
            <w:sz w:val="28"/>
            <w:szCs w:val="28"/>
          </w:rPr>
          <w:instrText xml:space="preserve"> PAGEREF _Toc3953 </w:instrText>
        </w:r>
        <w:r w:rsidR="00575CDB">
          <w:rPr>
            <w:sz w:val="28"/>
            <w:szCs w:val="28"/>
          </w:rPr>
          <w:fldChar w:fldCharType="separate"/>
        </w:r>
        <w:r w:rsidR="00575CDB">
          <w:rPr>
            <w:sz w:val="28"/>
            <w:szCs w:val="28"/>
          </w:rPr>
          <w:t>361</w:t>
        </w:r>
        <w:r w:rsidR="00575CDB">
          <w:rPr>
            <w:sz w:val="28"/>
            <w:szCs w:val="28"/>
          </w:rPr>
          <w:fldChar w:fldCharType="end"/>
        </w:r>
      </w:hyperlink>
    </w:p>
    <w:p w:rsidR="00013EC7" w:rsidRDefault="005262E6">
      <w:pPr>
        <w:pStyle w:val="10"/>
        <w:tabs>
          <w:tab w:val="right" w:leader="dot" w:pos="20128"/>
        </w:tabs>
        <w:rPr>
          <w:sz w:val="28"/>
          <w:szCs w:val="28"/>
        </w:rPr>
      </w:pPr>
      <w:hyperlink w:anchor="_Toc1142" w:history="1">
        <w:r w:rsidR="00575CDB">
          <w:rPr>
            <w:rFonts w:hint="eastAsia"/>
            <w:sz w:val="28"/>
            <w:szCs w:val="28"/>
          </w:rPr>
          <w:t>三十二、对纳税人延期申报的核准（行政许可事项，编码</w:t>
        </w:r>
        <w:r w:rsidR="00575CDB">
          <w:rPr>
            <w:rFonts w:hint="eastAsia"/>
            <w:sz w:val="28"/>
            <w:szCs w:val="28"/>
          </w:rPr>
          <w:t>24003</w:t>
        </w:r>
        <w:r w:rsidR="00575CDB">
          <w:rPr>
            <w:rFonts w:hint="eastAsia"/>
            <w:sz w:val="28"/>
            <w:szCs w:val="28"/>
          </w:rPr>
          <w:t>）</w:t>
        </w:r>
        <w:r w:rsidR="00575CDB">
          <w:rPr>
            <w:sz w:val="28"/>
            <w:szCs w:val="28"/>
          </w:rPr>
          <w:tab/>
        </w:r>
        <w:r w:rsidR="00575CDB">
          <w:rPr>
            <w:sz w:val="28"/>
            <w:szCs w:val="28"/>
          </w:rPr>
          <w:fldChar w:fldCharType="begin"/>
        </w:r>
        <w:r w:rsidR="00575CDB">
          <w:rPr>
            <w:sz w:val="28"/>
            <w:szCs w:val="28"/>
          </w:rPr>
          <w:instrText xml:space="preserve"> PAGEREF _Toc1142 </w:instrText>
        </w:r>
        <w:r w:rsidR="00575CDB">
          <w:rPr>
            <w:sz w:val="28"/>
            <w:szCs w:val="28"/>
          </w:rPr>
          <w:fldChar w:fldCharType="separate"/>
        </w:r>
        <w:r w:rsidR="00575CDB">
          <w:rPr>
            <w:sz w:val="28"/>
            <w:szCs w:val="28"/>
          </w:rPr>
          <w:t>363</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19771" w:history="1">
        <w:r w:rsidR="00575CDB">
          <w:rPr>
            <w:rFonts w:hint="eastAsia"/>
            <w:sz w:val="28"/>
            <w:szCs w:val="28"/>
          </w:rPr>
          <w:t>32.1</w:t>
        </w:r>
        <w:r w:rsidR="00575CDB">
          <w:rPr>
            <w:rFonts w:hint="eastAsia"/>
            <w:sz w:val="28"/>
            <w:szCs w:val="28"/>
          </w:rPr>
          <w:t>对纳税人延期申报的核准（行政许可事项，编码</w:t>
        </w:r>
        <w:r w:rsidR="00575CDB">
          <w:rPr>
            <w:rFonts w:hint="eastAsia"/>
            <w:sz w:val="28"/>
            <w:szCs w:val="28"/>
          </w:rPr>
          <w:t>24003</w:t>
        </w:r>
        <w:r w:rsidR="00575CDB">
          <w:rPr>
            <w:rFonts w:hint="eastAsia"/>
            <w:sz w:val="28"/>
            <w:szCs w:val="28"/>
          </w:rPr>
          <w:t>）</w:t>
        </w:r>
        <w:r w:rsidR="00575CDB">
          <w:rPr>
            <w:sz w:val="28"/>
            <w:szCs w:val="28"/>
          </w:rPr>
          <w:tab/>
        </w:r>
        <w:r w:rsidR="00575CDB">
          <w:rPr>
            <w:sz w:val="28"/>
            <w:szCs w:val="28"/>
          </w:rPr>
          <w:fldChar w:fldCharType="begin"/>
        </w:r>
        <w:r w:rsidR="00575CDB">
          <w:rPr>
            <w:sz w:val="28"/>
            <w:szCs w:val="28"/>
          </w:rPr>
          <w:instrText xml:space="preserve"> PAGEREF _Toc19771 </w:instrText>
        </w:r>
        <w:r w:rsidR="00575CDB">
          <w:rPr>
            <w:sz w:val="28"/>
            <w:szCs w:val="28"/>
          </w:rPr>
          <w:fldChar w:fldCharType="separate"/>
        </w:r>
        <w:r w:rsidR="00575CDB">
          <w:rPr>
            <w:sz w:val="28"/>
            <w:szCs w:val="28"/>
          </w:rPr>
          <w:t>363</w:t>
        </w:r>
        <w:r w:rsidR="00575CDB">
          <w:rPr>
            <w:sz w:val="28"/>
            <w:szCs w:val="28"/>
          </w:rPr>
          <w:fldChar w:fldCharType="end"/>
        </w:r>
      </w:hyperlink>
    </w:p>
    <w:p w:rsidR="00013EC7" w:rsidRDefault="005262E6">
      <w:pPr>
        <w:pStyle w:val="10"/>
        <w:tabs>
          <w:tab w:val="right" w:leader="dot" w:pos="20128"/>
        </w:tabs>
        <w:rPr>
          <w:sz w:val="28"/>
          <w:szCs w:val="28"/>
        </w:rPr>
      </w:pPr>
      <w:hyperlink w:anchor="_Toc21983" w:history="1">
        <w:r w:rsidR="00575CDB">
          <w:rPr>
            <w:rFonts w:hint="eastAsia"/>
            <w:sz w:val="28"/>
            <w:szCs w:val="28"/>
          </w:rPr>
          <w:t>三十三、对纳税人变更纳税定额的核准（行政许可事项，编码</w:t>
        </w:r>
        <w:r w:rsidR="00575CDB">
          <w:rPr>
            <w:rFonts w:hint="eastAsia"/>
            <w:sz w:val="28"/>
            <w:szCs w:val="28"/>
          </w:rPr>
          <w:t>24004</w:t>
        </w:r>
        <w:r w:rsidR="00575CDB">
          <w:rPr>
            <w:rFonts w:hint="eastAsia"/>
            <w:sz w:val="28"/>
            <w:szCs w:val="28"/>
          </w:rPr>
          <w:t>）</w:t>
        </w:r>
        <w:r w:rsidR="00575CDB">
          <w:rPr>
            <w:sz w:val="28"/>
            <w:szCs w:val="28"/>
          </w:rPr>
          <w:tab/>
        </w:r>
        <w:r w:rsidR="00575CDB">
          <w:rPr>
            <w:sz w:val="28"/>
            <w:szCs w:val="28"/>
          </w:rPr>
          <w:fldChar w:fldCharType="begin"/>
        </w:r>
        <w:r w:rsidR="00575CDB">
          <w:rPr>
            <w:sz w:val="28"/>
            <w:szCs w:val="28"/>
          </w:rPr>
          <w:instrText xml:space="preserve"> PAGEREF _Toc21983 </w:instrText>
        </w:r>
        <w:r w:rsidR="00575CDB">
          <w:rPr>
            <w:sz w:val="28"/>
            <w:szCs w:val="28"/>
          </w:rPr>
          <w:fldChar w:fldCharType="separate"/>
        </w:r>
        <w:r w:rsidR="00575CDB">
          <w:rPr>
            <w:sz w:val="28"/>
            <w:szCs w:val="28"/>
          </w:rPr>
          <w:t>365</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17350" w:history="1">
        <w:r w:rsidR="00575CDB">
          <w:rPr>
            <w:rFonts w:hint="eastAsia"/>
            <w:sz w:val="28"/>
            <w:szCs w:val="28"/>
          </w:rPr>
          <w:t>33.1</w:t>
        </w:r>
        <w:r w:rsidR="00575CDB">
          <w:rPr>
            <w:rFonts w:hint="eastAsia"/>
            <w:sz w:val="28"/>
            <w:szCs w:val="28"/>
          </w:rPr>
          <w:t>对纳税人变更纳税定额的核准（行政许可事项，编码</w:t>
        </w:r>
        <w:r w:rsidR="00575CDB">
          <w:rPr>
            <w:rFonts w:hint="eastAsia"/>
            <w:sz w:val="28"/>
            <w:szCs w:val="28"/>
          </w:rPr>
          <w:t>24004</w:t>
        </w:r>
        <w:r w:rsidR="00575CDB">
          <w:rPr>
            <w:rFonts w:hint="eastAsia"/>
            <w:sz w:val="28"/>
            <w:szCs w:val="28"/>
          </w:rPr>
          <w:t>）</w:t>
        </w:r>
        <w:r w:rsidR="00575CDB">
          <w:rPr>
            <w:sz w:val="28"/>
            <w:szCs w:val="28"/>
          </w:rPr>
          <w:tab/>
        </w:r>
        <w:r w:rsidR="00575CDB">
          <w:rPr>
            <w:sz w:val="28"/>
            <w:szCs w:val="28"/>
          </w:rPr>
          <w:fldChar w:fldCharType="begin"/>
        </w:r>
        <w:r w:rsidR="00575CDB">
          <w:rPr>
            <w:sz w:val="28"/>
            <w:szCs w:val="28"/>
          </w:rPr>
          <w:instrText xml:space="preserve"> PAGEREF _Toc17350 </w:instrText>
        </w:r>
        <w:r w:rsidR="00575CDB">
          <w:rPr>
            <w:sz w:val="28"/>
            <w:szCs w:val="28"/>
          </w:rPr>
          <w:fldChar w:fldCharType="separate"/>
        </w:r>
        <w:r w:rsidR="00575CDB">
          <w:rPr>
            <w:sz w:val="28"/>
            <w:szCs w:val="28"/>
          </w:rPr>
          <w:t>365</w:t>
        </w:r>
        <w:r w:rsidR="00575CDB">
          <w:rPr>
            <w:sz w:val="28"/>
            <w:szCs w:val="28"/>
          </w:rPr>
          <w:fldChar w:fldCharType="end"/>
        </w:r>
      </w:hyperlink>
      <w:hyperlink w:anchor="_Toc4234" w:history="1">
        <w:r w:rsidR="00575CDB">
          <w:rPr>
            <w:sz w:val="28"/>
            <w:szCs w:val="28"/>
          </w:rPr>
          <w:tab/>
        </w:r>
      </w:hyperlink>
    </w:p>
    <w:p w:rsidR="00013EC7" w:rsidRDefault="005262E6">
      <w:pPr>
        <w:pStyle w:val="10"/>
        <w:tabs>
          <w:tab w:val="right" w:leader="dot" w:pos="20128"/>
        </w:tabs>
        <w:rPr>
          <w:sz w:val="28"/>
          <w:szCs w:val="28"/>
        </w:rPr>
      </w:pPr>
      <w:hyperlink w:anchor="_Toc7432" w:history="1">
        <w:r w:rsidR="00575CDB">
          <w:rPr>
            <w:rFonts w:hint="eastAsia"/>
            <w:sz w:val="28"/>
            <w:szCs w:val="28"/>
          </w:rPr>
          <w:t>三十四、增值税专用发票（增值税税控系统）最高开票限额审批（行政许可事项，编码</w:t>
        </w:r>
        <w:r w:rsidR="00575CDB">
          <w:rPr>
            <w:rFonts w:hint="eastAsia"/>
            <w:sz w:val="28"/>
            <w:szCs w:val="28"/>
          </w:rPr>
          <w:t>24005</w:t>
        </w:r>
        <w:r w:rsidR="00575CDB">
          <w:rPr>
            <w:rFonts w:hint="eastAsia"/>
            <w:sz w:val="28"/>
            <w:szCs w:val="28"/>
          </w:rPr>
          <w:t>）</w:t>
        </w:r>
        <w:r w:rsidR="00575CDB">
          <w:rPr>
            <w:sz w:val="28"/>
            <w:szCs w:val="28"/>
          </w:rPr>
          <w:tab/>
        </w:r>
        <w:r w:rsidR="00575CDB">
          <w:rPr>
            <w:sz w:val="28"/>
            <w:szCs w:val="28"/>
          </w:rPr>
          <w:fldChar w:fldCharType="begin"/>
        </w:r>
        <w:r w:rsidR="00575CDB">
          <w:rPr>
            <w:sz w:val="28"/>
            <w:szCs w:val="28"/>
          </w:rPr>
          <w:instrText xml:space="preserve"> PAGEREF _Toc7432 </w:instrText>
        </w:r>
        <w:r w:rsidR="00575CDB">
          <w:rPr>
            <w:sz w:val="28"/>
            <w:szCs w:val="28"/>
          </w:rPr>
          <w:fldChar w:fldCharType="separate"/>
        </w:r>
        <w:r w:rsidR="00575CDB">
          <w:rPr>
            <w:sz w:val="28"/>
            <w:szCs w:val="28"/>
          </w:rPr>
          <w:t>367</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15524" w:history="1">
        <w:r w:rsidR="00575CDB">
          <w:rPr>
            <w:rFonts w:hint="eastAsia"/>
            <w:sz w:val="28"/>
            <w:szCs w:val="28"/>
          </w:rPr>
          <w:t>34.1</w:t>
        </w:r>
        <w:r w:rsidR="00575CDB">
          <w:rPr>
            <w:rFonts w:hint="eastAsia"/>
            <w:sz w:val="28"/>
            <w:szCs w:val="28"/>
          </w:rPr>
          <w:t>增值税专用发票（增值税税控系统）最高开票限额审批（行政许可事项，编码</w:t>
        </w:r>
        <w:r w:rsidR="00575CDB">
          <w:rPr>
            <w:rFonts w:hint="eastAsia"/>
            <w:sz w:val="28"/>
            <w:szCs w:val="28"/>
          </w:rPr>
          <w:t>24005</w:t>
        </w:r>
        <w:r w:rsidR="00575CDB">
          <w:rPr>
            <w:rFonts w:hint="eastAsia"/>
            <w:sz w:val="28"/>
            <w:szCs w:val="28"/>
          </w:rPr>
          <w:t>）</w:t>
        </w:r>
        <w:r w:rsidR="00575CDB">
          <w:rPr>
            <w:sz w:val="28"/>
            <w:szCs w:val="28"/>
          </w:rPr>
          <w:tab/>
        </w:r>
        <w:r w:rsidR="00575CDB">
          <w:rPr>
            <w:sz w:val="28"/>
            <w:szCs w:val="28"/>
          </w:rPr>
          <w:fldChar w:fldCharType="begin"/>
        </w:r>
        <w:r w:rsidR="00575CDB">
          <w:rPr>
            <w:sz w:val="28"/>
            <w:szCs w:val="28"/>
          </w:rPr>
          <w:instrText xml:space="preserve"> PAGEREF _Toc15524 </w:instrText>
        </w:r>
        <w:r w:rsidR="00575CDB">
          <w:rPr>
            <w:sz w:val="28"/>
            <w:szCs w:val="28"/>
          </w:rPr>
          <w:fldChar w:fldCharType="separate"/>
        </w:r>
        <w:r w:rsidR="00575CDB">
          <w:rPr>
            <w:sz w:val="28"/>
            <w:szCs w:val="28"/>
          </w:rPr>
          <w:t>367</w:t>
        </w:r>
        <w:r w:rsidR="00575CDB">
          <w:rPr>
            <w:sz w:val="28"/>
            <w:szCs w:val="28"/>
          </w:rPr>
          <w:fldChar w:fldCharType="end"/>
        </w:r>
      </w:hyperlink>
    </w:p>
    <w:p w:rsidR="00013EC7" w:rsidRDefault="005262E6">
      <w:pPr>
        <w:pStyle w:val="10"/>
        <w:tabs>
          <w:tab w:val="right" w:leader="dot" w:pos="20128"/>
        </w:tabs>
        <w:rPr>
          <w:sz w:val="28"/>
          <w:szCs w:val="28"/>
        </w:rPr>
      </w:pPr>
      <w:hyperlink w:anchor="_Toc2327" w:history="1">
        <w:r w:rsidR="00575CDB">
          <w:rPr>
            <w:rFonts w:hint="eastAsia"/>
            <w:sz w:val="28"/>
            <w:szCs w:val="28"/>
          </w:rPr>
          <w:t>三十五、对采取实际利润额预缴以外的其他企业所得税预缴方式的核定（行政许可事项，编码</w:t>
        </w:r>
        <w:r w:rsidR="00575CDB">
          <w:rPr>
            <w:rFonts w:hint="eastAsia"/>
            <w:sz w:val="28"/>
            <w:szCs w:val="28"/>
          </w:rPr>
          <w:t>24006</w:t>
        </w:r>
        <w:r w:rsidR="00575CDB">
          <w:rPr>
            <w:rFonts w:hint="eastAsia"/>
            <w:sz w:val="28"/>
            <w:szCs w:val="28"/>
          </w:rPr>
          <w:t>）</w:t>
        </w:r>
        <w:r w:rsidR="00575CDB">
          <w:rPr>
            <w:sz w:val="28"/>
            <w:szCs w:val="28"/>
          </w:rPr>
          <w:tab/>
        </w:r>
        <w:r w:rsidR="00575CDB">
          <w:rPr>
            <w:sz w:val="28"/>
            <w:szCs w:val="28"/>
          </w:rPr>
          <w:fldChar w:fldCharType="begin"/>
        </w:r>
        <w:r w:rsidR="00575CDB">
          <w:rPr>
            <w:sz w:val="28"/>
            <w:szCs w:val="28"/>
          </w:rPr>
          <w:instrText xml:space="preserve"> PAGEREF _Toc2327 </w:instrText>
        </w:r>
        <w:r w:rsidR="00575CDB">
          <w:rPr>
            <w:sz w:val="28"/>
            <w:szCs w:val="28"/>
          </w:rPr>
          <w:fldChar w:fldCharType="separate"/>
        </w:r>
        <w:r w:rsidR="00575CDB">
          <w:rPr>
            <w:sz w:val="28"/>
            <w:szCs w:val="28"/>
          </w:rPr>
          <w:t>369</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14018" w:history="1">
        <w:r w:rsidR="00575CDB">
          <w:rPr>
            <w:rFonts w:hint="eastAsia"/>
            <w:sz w:val="28"/>
            <w:szCs w:val="28"/>
          </w:rPr>
          <w:t>35.1</w:t>
        </w:r>
        <w:r w:rsidR="00575CDB">
          <w:rPr>
            <w:rFonts w:hint="eastAsia"/>
            <w:sz w:val="28"/>
            <w:szCs w:val="28"/>
          </w:rPr>
          <w:t>对采取实际利润额预缴以外的其他企业所得税预缴方式的核定（行政许可事项，编码</w:t>
        </w:r>
        <w:r w:rsidR="00575CDB">
          <w:rPr>
            <w:rFonts w:hint="eastAsia"/>
            <w:sz w:val="28"/>
            <w:szCs w:val="28"/>
          </w:rPr>
          <w:t>24006</w:t>
        </w:r>
        <w:r w:rsidR="00575CDB">
          <w:rPr>
            <w:rFonts w:hint="eastAsia"/>
            <w:sz w:val="28"/>
            <w:szCs w:val="28"/>
          </w:rPr>
          <w:t>）</w:t>
        </w:r>
        <w:r w:rsidR="00575CDB">
          <w:rPr>
            <w:sz w:val="28"/>
            <w:szCs w:val="28"/>
          </w:rPr>
          <w:tab/>
        </w:r>
        <w:r w:rsidR="00575CDB">
          <w:rPr>
            <w:sz w:val="28"/>
            <w:szCs w:val="28"/>
          </w:rPr>
          <w:fldChar w:fldCharType="begin"/>
        </w:r>
        <w:r w:rsidR="00575CDB">
          <w:rPr>
            <w:sz w:val="28"/>
            <w:szCs w:val="28"/>
          </w:rPr>
          <w:instrText xml:space="preserve"> PAGEREF _Toc14018 </w:instrText>
        </w:r>
        <w:r w:rsidR="00575CDB">
          <w:rPr>
            <w:sz w:val="28"/>
            <w:szCs w:val="28"/>
          </w:rPr>
          <w:fldChar w:fldCharType="separate"/>
        </w:r>
        <w:r w:rsidR="00575CDB">
          <w:rPr>
            <w:sz w:val="28"/>
            <w:szCs w:val="28"/>
          </w:rPr>
          <w:t>369</w:t>
        </w:r>
        <w:r w:rsidR="00575CDB">
          <w:rPr>
            <w:sz w:val="28"/>
            <w:szCs w:val="28"/>
          </w:rPr>
          <w:fldChar w:fldCharType="end"/>
        </w:r>
      </w:hyperlink>
    </w:p>
    <w:p w:rsidR="00013EC7" w:rsidRDefault="005262E6">
      <w:pPr>
        <w:pStyle w:val="10"/>
        <w:tabs>
          <w:tab w:val="right" w:leader="dot" w:pos="20128"/>
        </w:tabs>
        <w:rPr>
          <w:sz w:val="28"/>
          <w:szCs w:val="28"/>
        </w:rPr>
      </w:pPr>
      <w:hyperlink w:anchor="_Toc19334" w:history="1">
        <w:r w:rsidR="00575CDB">
          <w:rPr>
            <w:rFonts w:hint="eastAsia"/>
            <w:sz w:val="28"/>
            <w:szCs w:val="28"/>
          </w:rPr>
          <w:t>三十六、非居民企业选择由其主要机构场所汇总缴纳企业所得税的审批（行政许可事项，编码</w:t>
        </w:r>
        <w:r w:rsidR="00575CDB">
          <w:rPr>
            <w:rFonts w:hint="eastAsia"/>
            <w:sz w:val="28"/>
            <w:szCs w:val="28"/>
          </w:rPr>
          <w:t>24007</w:t>
        </w:r>
        <w:r w:rsidR="00575CDB">
          <w:rPr>
            <w:rFonts w:hint="eastAsia"/>
            <w:sz w:val="28"/>
            <w:szCs w:val="28"/>
          </w:rPr>
          <w:t>）</w:t>
        </w:r>
        <w:r w:rsidR="00575CDB">
          <w:rPr>
            <w:sz w:val="28"/>
            <w:szCs w:val="28"/>
          </w:rPr>
          <w:tab/>
        </w:r>
        <w:r w:rsidR="00575CDB">
          <w:rPr>
            <w:sz w:val="28"/>
            <w:szCs w:val="28"/>
          </w:rPr>
          <w:fldChar w:fldCharType="begin"/>
        </w:r>
        <w:r w:rsidR="00575CDB">
          <w:rPr>
            <w:sz w:val="28"/>
            <w:szCs w:val="28"/>
          </w:rPr>
          <w:instrText xml:space="preserve"> PAGEREF _Toc19334 </w:instrText>
        </w:r>
        <w:r w:rsidR="00575CDB">
          <w:rPr>
            <w:sz w:val="28"/>
            <w:szCs w:val="28"/>
          </w:rPr>
          <w:fldChar w:fldCharType="separate"/>
        </w:r>
        <w:r w:rsidR="00575CDB">
          <w:rPr>
            <w:sz w:val="28"/>
            <w:szCs w:val="28"/>
          </w:rPr>
          <w:t>371</w:t>
        </w:r>
        <w:r w:rsidR="00575CDB">
          <w:rPr>
            <w:sz w:val="28"/>
            <w:szCs w:val="28"/>
          </w:rPr>
          <w:fldChar w:fldCharType="end"/>
        </w:r>
      </w:hyperlink>
    </w:p>
    <w:p w:rsidR="00013EC7" w:rsidRDefault="005262E6">
      <w:pPr>
        <w:pStyle w:val="21"/>
        <w:tabs>
          <w:tab w:val="right" w:leader="dot" w:pos="20128"/>
        </w:tabs>
        <w:ind w:leftChars="0" w:left="0" w:firstLineChars="200" w:firstLine="420"/>
        <w:rPr>
          <w:sz w:val="28"/>
          <w:szCs w:val="28"/>
        </w:rPr>
      </w:pPr>
      <w:hyperlink w:anchor="_Toc672" w:history="1">
        <w:r w:rsidR="00575CDB">
          <w:rPr>
            <w:rFonts w:hint="eastAsia"/>
            <w:sz w:val="28"/>
            <w:szCs w:val="28"/>
          </w:rPr>
          <w:t>36</w:t>
        </w:r>
        <w:r w:rsidR="00575CDB">
          <w:rPr>
            <w:sz w:val="28"/>
            <w:szCs w:val="28"/>
          </w:rPr>
          <w:t>.1</w:t>
        </w:r>
        <w:r w:rsidR="00575CDB">
          <w:rPr>
            <w:rFonts w:hint="eastAsia"/>
            <w:sz w:val="28"/>
            <w:szCs w:val="28"/>
          </w:rPr>
          <w:t>非居民企业选择由其主要机构场所汇总缴纳企业所得税的审批（行政许可事项，编码</w:t>
        </w:r>
        <w:r w:rsidR="00575CDB">
          <w:rPr>
            <w:rFonts w:hint="eastAsia"/>
            <w:sz w:val="28"/>
            <w:szCs w:val="28"/>
          </w:rPr>
          <w:t>24007</w:t>
        </w:r>
        <w:r w:rsidR="00575CDB">
          <w:rPr>
            <w:rFonts w:hint="eastAsia"/>
            <w:sz w:val="28"/>
            <w:szCs w:val="28"/>
          </w:rPr>
          <w:t>）</w:t>
        </w:r>
        <w:r w:rsidR="00575CDB">
          <w:rPr>
            <w:sz w:val="28"/>
            <w:szCs w:val="28"/>
          </w:rPr>
          <w:tab/>
        </w:r>
        <w:r w:rsidR="00575CDB">
          <w:rPr>
            <w:sz w:val="28"/>
            <w:szCs w:val="28"/>
          </w:rPr>
          <w:fldChar w:fldCharType="begin"/>
        </w:r>
        <w:r w:rsidR="00575CDB">
          <w:rPr>
            <w:sz w:val="28"/>
            <w:szCs w:val="28"/>
          </w:rPr>
          <w:instrText xml:space="preserve"> PAGEREF _Toc672 </w:instrText>
        </w:r>
        <w:r w:rsidR="00575CDB">
          <w:rPr>
            <w:sz w:val="28"/>
            <w:szCs w:val="28"/>
          </w:rPr>
          <w:fldChar w:fldCharType="separate"/>
        </w:r>
        <w:r w:rsidR="00575CDB">
          <w:rPr>
            <w:sz w:val="28"/>
            <w:szCs w:val="28"/>
          </w:rPr>
          <w:t>371</w:t>
        </w:r>
        <w:r w:rsidR="00575CDB">
          <w:rPr>
            <w:sz w:val="28"/>
            <w:szCs w:val="28"/>
          </w:rPr>
          <w:fldChar w:fldCharType="end"/>
        </w:r>
      </w:hyperlink>
    </w:p>
    <w:p w:rsidR="00013EC7" w:rsidRDefault="00575CDB">
      <w:pPr>
        <w:pStyle w:val="WPSOffice1"/>
        <w:tabs>
          <w:tab w:val="right" w:leader="dot" w:pos="20128"/>
        </w:tabs>
      </w:pPr>
      <w:r>
        <w:rPr>
          <w:sz w:val="28"/>
          <w:szCs w:val="28"/>
        </w:rPr>
        <w:fldChar w:fldCharType="end"/>
      </w:r>
    </w:p>
    <w:p w:rsidR="00013EC7" w:rsidRDefault="00013EC7">
      <w:pPr>
        <w:pStyle w:val="1"/>
        <w:sectPr w:rsidR="00013EC7" w:rsidSect="00AC3FFE">
          <w:footerReference w:type="default" r:id="rId10"/>
          <w:footerReference w:type="first" r:id="rId11"/>
          <w:pgSz w:w="23814" w:h="16840" w:orient="landscape"/>
          <w:pgMar w:top="1701" w:right="1843" w:bottom="1985" w:left="1843" w:header="851" w:footer="1247" w:gutter="0"/>
          <w:pgNumType w:fmt="numberInDash" w:start="1"/>
          <w:cols w:space="720"/>
          <w:titlePg/>
          <w:docGrid w:type="lines" w:linePitch="312"/>
        </w:sectPr>
      </w:pPr>
      <w:bookmarkStart w:id="6" w:name="_Toc10882"/>
    </w:p>
    <w:p w:rsidR="00013EC7" w:rsidRDefault="00575CDB">
      <w:pPr>
        <w:pStyle w:val="1"/>
      </w:pPr>
      <w:r>
        <w:rPr>
          <w:rFonts w:hint="eastAsia"/>
        </w:rPr>
        <w:lastRenderedPageBreak/>
        <w:t>一、设立登记</w:t>
      </w:r>
      <w:bookmarkEnd w:id="0"/>
      <w:bookmarkEnd w:id="1"/>
      <w:bookmarkEnd w:id="2"/>
      <w:bookmarkEnd w:id="6"/>
    </w:p>
    <w:p w:rsidR="00013EC7" w:rsidRDefault="00575CDB">
      <w:pPr>
        <w:pStyle w:val="1"/>
        <w:rPr>
          <w:rFonts w:ascii="宋体" w:hAnsi="宋体" w:cs="宋体"/>
        </w:rPr>
      </w:pPr>
      <w:bookmarkStart w:id="7" w:name="_Toc5559"/>
      <w:bookmarkStart w:id="8" w:name="_Toc12555"/>
      <w:bookmarkStart w:id="9" w:name="_Toc503467360"/>
      <w:bookmarkStart w:id="10" w:name="_Toc3712"/>
      <w:r>
        <w:rPr>
          <w:rFonts w:ascii="宋体" w:hAnsi="宋体" w:cs="宋体" w:hint="eastAsia"/>
        </w:rPr>
        <w:t>1.1临时经营纳税人设立登记</w:t>
      </w:r>
      <w:bookmarkEnd w:id="3"/>
      <w:bookmarkEnd w:id="7"/>
      <w:bookmarkEnd w:id="8"/>
      <w:bookmarkEnd w:id="9"/>
      <w:bookmarkEnd w:id="10"/>
    </w:p>
    <w:p w:rsidR="00013EC7" w:rsidRDefault="00575CDB">
      <w:pPr>
        <w:jc w:val="center"/>
        <w:rPr>
          <w:rFonts w:ascii="宋体" w:hAnsi="宋体" w:cs="宋体"/>
          <w:b/>
          <w:bCs/>
          <w:sz w:val="52"/>
          <w:szCs w:val="52"/>
        </w:rPr>
      </w:pPr>
      <w:r>
        <w:rPr>
          <w:rFonts w:ascii="宋体" w:hAnsi="宋体" w:cs="宋体" w:hint="eastAsia"/>
          <w:b/>
          <w:bCs/>
          <w:sz w:val="52"/>
          <w:szCs w:val="52"/>
        </w:rPr>
        <w:t>全省“最多跑一次”事项“八统一”梳理表</w:t>
      </w:r>
    </w:p>
    <w:tbl>
      <w:tblPr>
        <w:tblW w:w="204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3551"/>
        <w:gridCol w:w="3686"/>
        <w:gridCol w:w="709"/>
        <w:gridCol w:w="3402"/>
        <w:gridCol w:w="708"/>
        <w:gridCol w:w="1985"/>
        <w:gridCol w:w="992"/>
        <w:gridCol w:w="851"/>
        <w:gridCol w:w="850"/>
        <w:gridCol w:w="992"/>
        <w:gridCol w:w="1005"/>
      </w:tblGrid>
      <w:tr w:rsidR="00013EC7" w:rsidTr="009A1EE1">
        <w:trPr>
          <w:trHeight w:val="340"/>
          <w:tblHeader/>
        </w:trPr>
        <w:tc>
          <w:tcPr>
            <w:tcW w:w="672" w:type="dxa"/>
            <w:vMerge w:val="restart"/>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主项名称</w:t>
            </w:r>
          </w:p>
        </w:tc>
        <w:tc>
          <w:tcPr>
            <w:tcW w:w="1035" w:type="dxa"/>
            <w:vMerge w:val="restart"/>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子项名称</w:t>
            </w:r>
          </w:p>
        </w:tc>
        <w:tc>
          <w:tcPr>
            <w:tcW w:w="3551" w:type="dxa"/>
            <w:vMerge w:val="restart"/>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经办依据</w:t>
            </w:r>
          </w:p>
        </w:tc>
        <w:tc>
          <w:tcPr>
            <w:tcW w:w="4395" w:type="dxa"/>
            <w:gridSpan w:val="2"/>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原经办所需材料</w:t>
            </w:r>
          </w:p>
        </w:tc>
        <w:tc>
          <w:tcPr>
            <w:tcW w:w="6095" w:type="dxa"/>
            <w:gridSpan w:val="3"/>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精简后经办所需材料</w:t>
            </w:r>
          </w:p>
        </w:tc>
        <w:tc>
          <w:tcPr>
            <w:tcW w:w="1843" w:type="dxa"/>
            <w:gridSpan w:val="2"/>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办理时限</w:t>
            </w:r>
          </w:p>
        </w:tc>
        <w:tc>
          <w:tcPr>
            <w:tcW w:w="850" w:type="dxa"/>
            <w:vMerge w:val="restart"/>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是否实现跑零次</w:t>
            </w:r>
          </w:p>
        </w:tc>
        <w:tc>
          <w:tcPr>
            <w:tcW w:w="992" w:type="dxa"/>
            <w:vMerge w:val="restart"/>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省厅对口</w:t>
            </w:r>
          </w:p>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指导处室</w:t>
            </w:r>
          </w:p>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（单位）</w:t>
            </w:r>
          </w:p>
        </w:tc>
        <w:tc>
          <w:tcPr>
            <w:tcW w:w="1005" w:type="dxa"/>
            <w:vMerge w:val="restart"/>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进一步精简、规范建议</w:t>
            </w:r>
          </w:p>
        </w:tc>
      </w:tr>
      <w:tr w:rsidR="00013EC7" w:rsidTr="009A1EE1">
        <w:trPr>
          <w:trHeight w:val="340"/>
          <w:tblHeader/>
        </w:trPr>
        <w:tc>
          <w:tcPr>
            <w:tcW w:w="672" w:type="dxa"/>
            <w:vMerge/>
            <w:vAlign w:val="center"/>
          </w:tcPr>
          <w:p w:rsidR="00013EC7" w:rsidRDefault="00013EC7">
            <w:pPr>
              <w:jc w:val="center"/>
              <w:rPr>
                <w:rFonts w:ascii="仿宋" w:eastAsia="仿宋" w:hAnsi="仿宋" w:cs="仿宋"/>
                <w:sz w:val="24"/>
              </w:rPr>
            </w:pPr>
          </w:p>
        </w:tc>
        <w:tc>
          <w:tcPr>
            <w:tcW w:w="1035" w:type="dxa"/>
            <w:vMerge/>
            <w:vAlign w:val="center"/>
          </w:tcPr>
          <w:p w:rsidR="00013EC7" w:rsidRDefault="00013EC7">
            <w:pPr>
              <w:jc w:val="center"/>
              <w:rPr>
                <w:rFonts w:ascii="仿宋" w:eastAsia="仿宋" w:hAnsi="仿宋" w:cs="仿宋"/>
                <w:sz w:val="24"/>
              </w:rPr>
            </w:pPr>
          </w:p>
        </w:tc>
        <w:tc>
          <w:tcPr>
            <w:tcW w:w="3551" w:type="dxa"/>
            <w:vMerge/>
            <w:vAlign w:val="center"/>
          </w:tcPr>
          <w:p w:rsidR="00013EC7" w:rsidRDefault="00013EC7">
            <w:pPr>
              <w:jc w:val="center"/>
              <w:rPr>
                <w:rFonts w:ascii="仿宋" w:eastAsia="仿宋" w:hAnsi="仿宋" w:cs="仿宋"/>
                <w:sz w:val="24"/>
              </w:rPr>
            </w:pPr>
          </w:p>
        </w:tc>
        <w:tc>
          <w:tcPr>
            <w:tcW w:w="3686"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材料明细</w:t>
            </w:r>
          </w:p>
        </w:tc>
        <w:tc>
          <w:tcPr>
            <w:tcW w:w="709"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材料来源</w:t>
            </w:r>
          </w:p>
        </w:tc>
        <w:tc>
          <w:tcPr>
            <w:tcW w:w="3402"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材料明细</w:t>
            </w:r>
          </w:p>
        </w:tc>
        <w:tc>
          <w:tcPr>
            <w:tcW w:w="708"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材料来源</w:t>
            </w:r>
          </w:p>
        </w:tc>
        <w:tc>
          <w:tcPr>
            <w:tcW w:w="1985"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办理方式及材料</w:t>
            </w:r>
          </w:p>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信息获取方式说明</w:t>
            </w:r>
          </w:p>
        </w:tc>
        <w:tc>
          <w:tcPr>
            <w:tcW w:w="992"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优化前</w:t>
            </w:r>
          </w:p>
        </w:tc>
        <w:tc>
          <w:tcPr>
            <w:tcW w:w="851"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优化后</w:t>
            </w:r>
          </w:p>
        </w:tc>
        <w:tc>
          <w:tcPr>
            <w:tcW w:w="850" w:type="dxa"/>
            <w:vMerge/>
            <w:vAlign w:val="center"/>
          </w:tcPr>
          <w:p w:rsidR="00013EC7" w:rsidRDefault="00013EC7">
            <w:pPr>
              <w:rPr>
                <w:rFonts w:ascii="仿宋" w:eastAsia="仿宋" w:hAnsi="仿宋" w:cs="仿宋"/>
                <w:sz w:val="24"/>
              </w:rPr>
            </w:pPr>
          </w:p>
        </w:tc>
        <w:tc>
          <w:tcPr>
            <w:tcW w:w="992" w:type="dxa"/>
            <w:vMerge/>
            <w:vAlign w:val="center"/>
          </w:tcPr>
          <w:p w:rsidR="00013EC7" w:rsidRDefault="00013EC7">
            <w:pPr>
              <w:rPr>
                <w:rFonts w:ascii="仿宋" w:eastAsia="仿宋" w:hAnsi="仿宋" w:cs="仿宋"/>
                <w:sz w:val="24"/>
              </w:rPr>
            </w:pPr>
          </w:p>
        </w:tc>
        <w:tc>
          <w:tcPr>
            <w:tcW w:w="1005" w:type="dxa"/>
            <w:vMerge/>
            <w:vAlign w:val="center"/>
          </w:tcPr>
          <w:p w:rsidR="00013EC7" w:rsidRDefault="00013EC7">
            <w:pPr>
              <w:rPr>
                <w:rFonts w:ascii="仿宋" w:eastAsia="仿宋" w:hAnsi="仿宋" w:cs="仿宋"/>
                <w:sz w:val="24"/>
              </w:rPr>
            </w:pPr>
          </w:p>
        </w:tc>
      </w:tr>
      <w:tr w:rsidR="00013EC7" w:rsidTr="009A1EE1">
        <w:trPr>
          <w:trHeight w:val="1272"/>
        </w:trPr>
        <w:tc>
          <w:tcPr>
            <w:tcW w:w="672" w:type="dxa"/>
            <w:vMerge w:val="restart"/>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1.设立登记</w:t>
            </w:r>
          </w:p>
        </w:tc>
        <w:tc>
          <w:tcPr>
            <w:tcW w:w="1035" w:type="dxa"/>
            <w:vMerge w:val="restart"/>
            <w:vAlign w:val="center"/>
          </w:tcPr>
          <w:p w:rsidR="00013EC7" w:rsidRDefault="00575CDB">
            <w:pPr>
              <w:spacing w:line="310" w:lineRule="exact"/>
              <w:jc w:val="left"/>
              <w:rPr>
                <w:rFonts w:ascii="仿宋" w:eastAsia="仿宋" w:hAnsi="仿宋" w:cs="仿宋"/>
                <w:sz w:val="24"/>
              </w:rPr>
            </w:pPr>
            <w:r>
              <w:rPr>
                <w:rFonts w:ascii="仿宋" w:eastAsia="仿宋" w:hAnsi="仿宋" w:cs="仿宋" w:hint="eastAsia"/>
                <w:sz w:val="24"/>
              </w:rPr>
              <w:t>1.1临时经营纳税人设立登记</w:t>
            </w:r>
          </w:p>
        </w:tc>
        <w:tc>
          <w:tcPr>
            <w:tcW w:w="3551" w:type="dxa"/>
            <w:vMerge w:val="restart"/>
            <w:vAlign w:val="center"/>
          </w:tcPr>
          <w:p w:rsidR="00013EC7" w:rsidRDefault="00575CDB">
            <w:pPr>
              <w:jc w:val="left"/>
              <w:rPr>
                <w:rFonts w:ascii="仿宋" w:eastAsia="仿宋" w:hAnsi="仿宋" w:cs="仿宋"/>
                <w:sz w:val="24"/>
              </w:rPr>
            </w:pPr>
            <w:r>
              <w:rPr>
                <w:rFonts w:ascii="仿宋" w:eastAsia="仿宋" w:hAnsi="仿宋" w:cs="仿宋" w:hint="eastAsia"/>
                <w:sz w:val="24"/>
              </w:rPr>
              <w:t>（一）《中华人民共和国税收征收管理法》（2001年中华人民共和国主席令第49号）第十五条。</w:t>
            </w:r>
          </w:p>
          <w:p w:rsidR="00013EC7" w:rsidRDefault="00575CDB">
            <w:pPr>
              <w:jc w:val="left"/>
              <w:rPr>
                <w:rFonts w:ascii="仿宋" w:eastAsia="仿宋" w:hAnsi="仿宋" w:cs="仿宋"/>
                <w:sz w:val="24"/>
              </w:rPr>
            </w:pPr>
            <w:r>
              <w:rPr>
                <w:rFonts w:ascii="仿宋" w:eastAsia="仿宋" w:hAnsi="仿宋" w:cs="仿宋" w:hint="eastAsia"/>
                <w:sz w:val="24"/>
              </w:rPr>
              <w:t>（二）《全国人民代表大会常务委员会关于修改〈中华人民共和国文物保护法〉等十二部法律的决定》（2013年中华人民共和国主席令第5号）第五条。</w:t>
            </w:r>
          </w:p>
          <w:p w:rsidR="00013EC7" w:rsidRDefault="00575CDB">
            <w:pPr>
              <w:jc w:val="left"/>
              <w:rPr>
                <w:rFonts w:ascii="仿宋" w:eastAsia="仿宋" w:hAnsi="仿宋" w:cs="仿宋"/>
                <w:sz w:val="24"/>
              </w:rPr>
            </w:pPr>
            <w:r>
              <w:rPr>
                <w:rFonts w:ascii="仿宋" w:eastAsia="仿宋" w:hAnsi="仿宋" w:cs="仿宋" w:hint="eastAsia"/>
                <w:sz w:val="24"/>
              </w:rPr>
              <w:t>（三）《中华人民共和国税收征收管理法实施细则》（2002年中华人民共和国国务院令第362号）第十二条。</w:t>
            </w:r>
          </w:p>
          <w:p w:rsidR="00013EC7" w:rsidRDefault="00575CDB">
            <w:pPr>
              <w:jc w:val="left"/>
              <w:rPr>
                <w:rFonts w:ascii="仿宋" w:eastAsia="仿宋" w:hAnsi="仿宋" w:cs="仿宋"/>
                <w:sz w:val="24"/>
              </w:rPr>
            </w:pPr>
            <w:r>
              <w:rPr>
                <w:rFonts w:ascii="仿宋" w:eastAsia="仿宋" w:hAnsi="仿宋" w:cs="仿宋" w:hint="eastAsia"/>
                <w:sz w:val="24"/>
              </w:rPr>
              <w:t>（四）《国家税务总局关于修改〈税务登记管理办法〉的决定》（2014年国家税务总局令第36号）第三条、第四条。</w:t>
            </w:r>
          </w:p>
          <w:p w:rsidR="00013EC7" w:rsidRDefault="00575CDB">
            <w:pPr>
              <w:jc w:val="left"/>
              <w:rPr>
                <w:rFonts w:ascii="仿宋" w:eastAsia="仿宋" w:hAnsi="仿宋" w:cs="仿宋"/>
                <w:sz w:val="24"/>
              </w:rPr>
            </w:pPr>
            <w:r>
              <w:rPr>
                <w:rFonts w:ascii="仿宋" w:eastAsia="仿宋" w:hAnsi="仿宋" w:cs="仿宋" w:hint="eastAsia"/>
                <w:sz w:val="24"/>
              </w:rPr>
              <w:t>（五）《国家税务总局关于完善税务登记管理若干问题的通知》（国税发〔2006〕37 号）第一条。</w:t>
            </w:r>
          </w:p>
          <w:p w:rsidR="00013EC7" w:rsidRDefault="00575CDB">
            <w:pPr>
              <w:jc w:val="left"/>
              <w:rPr>
                <w:rFonts w:ascii="仿宋" w:eastAsia="仿宋" w:hAnsi="仿宋" w:cs="仿宋"/>
                <w:sz w:val="24"/>
              </w:rPr>
            </w:pPr>
            <w:r>
              <w:rPr>
                <w:rFonts w:ascii="仿宋" w:eastAsia="仿宋" w:hAnsi="仿宋" w:cs="仿宋" w:hint="eastAsia"/>
                <w:sz w:val="24"/>
              </w:rPr>
              <w:t>（六）《国家税务总局关于换发税务登记证件的通知》（国税发〔2006〕38号）第一条第二款、</w:t>
            </w:r>
            <w:r>
              <w:rPr>
                <w:rFonts w:ascii="仿宋" w:eastAsia="仿宋" w:hAnsi="仿宋" w:cs="仿宋" w:hint="eastAsia"/>
                <w:sz w:val="24"/>
              </w:rPr>
              <w:lastRenderedPageBreak/>
              <w:t xml:space="preserve">第二条第二款。 </w:t>
            </w:r>
          </w:p>
          <w:p w:rsidR="00013EC7" w:rsidRDefault="00575CDB">
            <w:pPr>
              <w:jc w:val="left"/>
              <w:rPr>
                <w:rFonts w:ascii="仿宋" w:eastAsia="仿宋" w:hAnsi="仿宋" w:cs="仿宋"/>
                <w:sz w:val="24"/>
              </w:rPr>
            </w:pPr>
            <w:r>
              <w:rPr>
                <w:rFonts w:ascii="仿宋" w:eastAsia="仿宋" w:hAnsi="仿宋" w:cs="仿宋" w:hint="eastAsia"/>
                <w:sz w:val="24"/>
              </w:rPr>
              <w:t>（七）《国家税务总局关于换发税务登记证件有关问题的补充通知》（国税发〔2006〕104号）第三条第一款、第二款。</w:t>
            </w:r>
          </w:p>
          <w:p w:rsidR="00013EC7" w:rsidRDefault="00575CDB">
            <w:pPr>
              <w:rPr>
                <w:rFonts w:ascii="仿宋" w:eastAsia="仿宋" w:hAnsi="仿宋" w:cs="仿宋"/>
                <w:sz w:val="24"/>
              </w:rPr>
            </w:pPr>
            <w:r>
              <w:rPr>
                <w:rFonts w:ascii="仿宋" w:eastAsia="仿宋" w:hAnsi="仿宋" w:cs="仿宋" w:hint="eastAsia"/>
                <w:sz w:val="24"/>
              </w:rPr>
              <w:t>（八）《国家税务总局关于进一步完善税务登记管理有关问题的公告》（国家税务总局公告2011年第21号）第一条。</w:t>
            </w:r>
          </w:p>
          <w:p w:rsidR="00013EC7" w:rsidRDefault="00575CDB">
            <w:pPr>
              <w:rPr>
                <w:rFonts w:ascii="仿宋" w:eastAsia="仿宋" w:hAnsi="仿宋" w:cs="仿宋"/>
                <w:sz w:val="24"/>
              </w:rPr>
            </w:pPr>
            <w:r>
              <w:rPr>
                <w:rFonts w:ascii="仿宋" w:eastAsia="仿宋" w:hAnsi="仿宋" w:cs="仿宋" w:hint="eastAsia"/>
                <w:sz w:val="24"/>
              </w:rPr>
              <w:t>（九）《非居民承包工程作业和提供劳务税收管理暂行办法》（2009年国家税务总局令第19号）第五条。</w:t>
            </w:r>
          </w:p>
          <w:p w:rsidR="00013EC7" w:rsidRDefault="00575CDB">
            <w:pPr>
              <w:rPr>
                <w:rFonts w:ascii="仿宋" w:eastAsia="仿宋" w:hAnsi="仿宋" w:cs="仿宋"/>
                <w:sz w:val="24"/>
              </w:rPr>
            </w:pPr>
            <w:r>
              <w:rPr>
                <w:rFonts w:ascii="仿宋" w:eastAsia="仿宋" w:hAnsi="仿宋" w:cs="仿宋" w:hint="eastAsia"/>
                <w:sz w:val="24"/>
              </w:rPr>
              <w:t>（十）《国家税务总局关于来华合作开采石油资源的外国石油公司有关纳税事项的通知》（国税发〔1995〕53号）第一条、第二条。</w:t>
            </w:r>
          </w:p>
          <w:p w:rsidR="00013EC7" w:rsidRDefault="00575CDB">
            <w:pPr>
              <w:rPr>
                <w:rFonts w:ascii="仿宋" w:eastAsia="仿宋" w:hAnsi="仿宋" w:cs="仿宋"/>
                <w:sz w:val="24"/>
              </w:rPr>
            </w:pPr>
            <w:r>
              <w:rPr>
                <w:rFonts w:ascii="仿宋" w:eastAsia="仿宋" w:hAnsi="仿宋" w:cs="仿宋" w:hint="eastAsia"/>
                <w:sz w:val="24"/>
              </w:rPr>
              <w:t>（十一）《国家税务总局关于印发〈外国企业常驻代表机构税收管理暂行办法〉的通知》（国税发〔2010〕18号）第四条。</w:t>
            </w:r>
          </w:p>
          <w:p w:rsidR="00013EC7" w:rsidRDefault="00575CDB">
            <w:pPr>
              <w:rPr>
                <w:rFonts w:ascii="仿宋" w:eastAsia="仿宋" w:hAnsi="仿宋" w:cs="仿宋"/>
                <w:sz w:val="24"/>
              </w:rPr>
            </w:pPr>
            <w:r>
              <w:rPr>
                <w:rFonts w:ascii="仿宋" w:eastAsia="仿宋" w:hAnsi="仿宋" w:cs="仿宋" w:hint="eastAsia"/>
                <w:sz w:val="24"/>
              </w:rPr>
              <w:t>（十二）《国家税务总局关于非居民企业派遣人员在中国境内提供劳务征收企业所得税有关问题的公告》（国家税务总局公告2013年第19号）第一条、第三条。</w:t>
            </w:r>
          </w:p>
          <w:p w:rsidR="00013EC7" w:rsidRDefault="00575CDB">
            <w:pPr>
              <w:rPr>
                <w:rFonts w:ascii="仿宋" w:eastAsia="仿宋" w:hAnsi="仿宋" w:cs="仿宋"/>
                <w:sz w:val="24"/>
              </w:rPr>
            </w:pPr>
            <w:r>
              <w:rPr>
                <w:rFonts w:ascii="仿宋" w:eastAsia="仿宋" w:hAnsi="仿宋" w:cs="仿宋" w:hint="eastAsia"/>
                <w:sz w:val="24"/>
              </w:rPr>
              <w:t>（十三）《国家税务总局关于发布〈非居民企业从事国际运输业务税收管理暂行办法〉的公告》（国家税务总局公告2014年第37号）第五条。</w:t>
            </w:r>
          </w:p>
          <w:p w:rsidR="00013EC7" w:rsidRDefault="00575CDB">
            <w:pPr>
              <w:rPr>
                <w:rFonts w:ascii="仿宋" w:eastAsia="仿宋" w:hAnsi="仿宋" w:cs="仿宋"/>
                <w:sz w:val="24"/>
              </w:rPr>
            </w:pPr>
            <w:r>
              <w:rPr>
                <w:rFonts w:ascii="仿宋" w:eastAsia="仿宋" w:hAnsi="仿宋" w:cs="仿宋" w:hint="eastAsia"/>
                <w:sz w:val="24"/>
              </w:rPr>
              <w:t>（十四）《国家税务总局关于印发〈境外注册中资控股居民企业所得税管理办法（试行）〉的公告》（国家税务总局公告2011年第45号）第十三条。</w:t>
            </w:r>
          </w:p>
        </w:tc>
        <w:tc>
          <w:tcPr>
            <w:tcW w:w="3686" w:type="dxa"/>
            <w:vAlign w:val="center"/>
          </w:tcPr>
          <w:p w:rsidR="00013EC7" w:rsidRDefault="00575CDB">
            <w:pPr>
              <w:jc w:val="left"/>
              <w:rPr>
                <w:rFonts w:ascii="仿宋" w:eastAsia="仿宋" w:hAnsi="仿宋" w:cs="仿宋"/>
                <w:sz w:val="24"/>
              </w:rPr>
            </w:pPr>
            <w:r>
              <w:rPr>
                <w:rFonts w:ascii="仿宋" w:eastAsia="仿宋" w:hAnsi="仿宋" w:cs="仿宋" w:hint="eastAsia"/>
                <w:sz w:val="24"/>
              </w:rPr>
              <w:lastRenderedPageBreak/>
              <w:t>（一）（A01003）《税务登记表（适用临时税务登记纳税人）》1份（实行国税局、地税局联合办理税务登记证的，应提供2份）。</w:t>
            </w:r>
          </w:p>
        </w:tc>
        <w:tc>
          <w:tcPr>
            <w:tcW w:w="709" w:type="dxa"/>
            <w:vMerge w:val="restart"/>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纳税人提交</w:t>
            </w:r>
          </w:p>
        </w:tc>
        <w:tc>
          <w:tcPr>
            <w:tcW w:w="3402" w:type="dxa"/>
            <w:vAlign w:val="center"/>
          </w:tcPr>
          <w:p w:rsidR="00013EC7" w:rsidRDefault="00575CDB">
            <w:pPr>
              <w:rPr>
                <w:rFonts w:ascii="仿宋" w:eastAsia="仿宋" w:hAnsi="仿宋" w:cs="仿宋"/>
                <w:sz w:val="24"/>
              </w:rPr>
            </w:pPr>
            <w:r>
              <w:rPr>
                <w:rFonts w:ascii="仿宋" w:eastAsia="仿宋" w:hAnsi="仿宋" w:cs="仿宋" w:hint="eastAsia"/>
                <w:sz w:val="24"/>
              </w:rPr>
              <w:t>（一）（A01003）《税务登记表（适用临时税务登记纳税人）》1份（实行国税局、地税局联合办理税务登记证的，应提供2份）。</w:t>
            </w:r>
          </w:p>
        </w:tc>
        <w:tc>
          <w:tcPr>
            <w:tcW w:w="708" w:type="dxa"/>
            <w:vMerge w:val="restart"/>
            <w:vAlign w:val="center"/>
          </w:tcPr>
          <w:p w:rsidR="00013EC7" w:rsidRDefault="00575CDB">
            <w:pPr>
              <w:spacing w:line="300" w:lineRule="exact"/>
              <w:rPr>
                <w:rFonts w:ascii="仿宋" w:eastAsia="仿宋" w:hAnsi="仿宋" w:cs="仿宋"/>
                <w:b/>
                <w:bCs/>
                <w:i/>
                <w:iCs/>
                <w:sz w:val="24"/>
              </w:rPr>
            </w:pPr>
            <w:r>
              <w:rPr>
                <w:rFonts w:ascii="仿宋" w:eastAsia="仿宋" w:hAnsi="仿宋" w:cs="仿宋" w:hint="eastAsia"/>
                <w:sz w:val="24"/>
              </w:rPr>
              <w:t>纳税人提交</w:t>
            </w:r>
          </w:p>
        </w:tc>
        <w:tc>
          <w:tcPr>
            <w:tcW w:w="1985" w:type="dxa"/>
            <w:vMerge w:val="restart"/>
            <w:vAlign w:val="center"/>
          </w:tcPr>
          <w:p w:rsidR="00013EC7" w:rsidRDefault="00575CDB">
            <w:pPr>
              <w:spacing w:line="300" w:lineRule="exact"/>
              <w:rPr>
                <w:rFonts w:ascii="仿宋" w:eastAsia="仿宋" w:hAnsi="仿宋" w:cs="仿宋"/>
                <w:bCs/>
                <w:sz w:val="24"/>
              </w:rPr>
            </w:pPr>
            <w:r>
              <w:rPr>
                <w:rFonts w:ascii="仿宋" w:eastAsia="仿宋" w:hAnsi="仿宋" w:cs="仿宋" w:hint="eastAsia"/>
                <w:b/>
                <w:sz w:val="24"/>
              </w:rPr>
              <w:t>现场办理：</w:t>
            </w:r>
            <w:r>
              <w:rPr>
                <w:rFonts w:ascii="仿宋" w:eastAsia="仿宋" w:hAnsi="仿宋" w:cs="仿宋" w:hint="eastAsia"/>
                <w:bCs/>
                <w:sz w:val="24"/>
              </w:rPr>
              <w:t>纳税人提交书面材料。</w:t>
            </w:r>
          </w:p>
          <w:p w:rsidR="00013EC7" w:rsidRDefault="00013EC7">
            <w:pPr>
              <w:spacing w:line="300" w:lineRule="exact"/>
              <w:rPr>
                <w:rFonts w:ascii="仿宋" w:eastAsia="仿宋" w:hAnsi="仿宋" w:cs="仿宋"/>
                <w:sz w:val="24"/>
              </w:rPr>
            </w:pPr>
          </w:p>
        </w:tc>
        <w:tc>
          <w:tcPr>
            <w:tcW w:w="992" w:type="dxa"/>
            <w:vMerge w:val="restart"/>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20个工作日</w:t>
            </w:r>
          </w:p>
        </w:tc>
        <w:tc>
          <w:tcPr>
            <w:tcW w:w="851" w:type="dxa"/>
            <w:vMerge w:val="restart"/>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即时办结</w:t>
            </w:r>
          </w:p>
        </w:tc>
        <w:tc>
          <w:tcPr>
            <w:tcW w:w="850" w:type="dxa"/>
            <w:vMerge w:val="restart"/>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否</w:t>
            </w:r>
          </w:p>
        </w:tc>
        <w:tc>
          <w:tcPr>
            <w:tcW w:w="992" w:type="dxa"/>
            <w:vMerge w:val="restart"/>
            <w:vAlign w:val="center"/>
          </w:tcPr>
          <w:p w:rsidR="00013EC7" w:rsidRDefault="00575CDB">
            <w:pPr>
              <w:spacing w:line="300" w:lineRule="exact"/>
              <w:rPr>
                <w:rFonts w:ascii="仿宋" w:eastAsia="仿宋" w:hAnsi="仿宋" w:cs="仿宋"/>
                <w:color w:val="000000"/>
                <w:sz w:val="24"/>
              </w:rPr>
            </w:pPr>
            <w:r>
              <w:rPr>
                <w:rFonts w:ascii="仿宋" w:eastAsia="仿宋" w:hAnsi="仿宋" w:cs="仿宋" w:hint="eastAsia"/>
                <w:color w:val="000000"/>
                <w:sz w:val="24"/>
              </w:rPr>
              <w:t>征管科技处</w:t>
            </w:r>
          </w:p>
        </w:tc>
        <w:tc>
          <w:tcPr>
            <w:tcW w:w="1005" w:type="dxa"/>
            <w:vMerge w:val="restart"/>
            <w:vAlign w:val="center"/>
          </w:tcPr>
          <w:p w:rsidR="00013EC7" w:rsidRDefault="00013EC7">
            <w:pPr>
              <w:spacing w:line="300" w:lineRule="exact"/>
              <w:rPr>
                <w:rFonts w:ascii="仿宋" w:eastAsia="仿宋" w:hAnsi="仿宋" w:cs="仿宋"/>
                <w:sz w:val="24"/>
              </w:rPr>
            </w:pPr>
          </w:p>
        </w:tc>
      </w:tr>
      <w:tr w:rsidR="00013EC7" w:rsidTr="009A1EE1">
        <w:trPr>
          <w:trHeight w:val="1271"/>
        </w:trPr>
        <w:tc>
          <w:tcPr>
            <w:tcW w:w="672" w:type="dxa"/>
            <w:vMerge/>
            <w:vAlign w:val="center"/>
          </w:tcPr>
          <w:p w:rsidR="00013EC7" w:rsidRDefault="00013EC7">
            <w:pPr>
              <w:spacing w:line="300" w:lineRule="exact"/>
              <w:rPr>
                <w:rFonts w:ascii="仿宋" w:eastAsia="仿宋" w:hAnsi="仿宋" w:cs="仿宋"/>
                <w:sz w:val="24"/>
              </w:rPr>
            </w:pPr>
          </w:p>
        </w:tc>
        <w:tc>
          <w:tcPr>
            <w:tcW w:w="1035" w:type="dxa"/>
            <w:vMerge/>
            <w:vAlign w:val="center"/>
          </w:tcPr>
          <w:p w:rsidR="00013EC7" w:rsidRDefault="00013EC7">
            <w:pPr>
              <w:spacing w:line="310" w:lineRule="exact"/>
              <w:rPr>
                <w:rFonts w:ascii="仿宋" w:eastAsia="仿宋" w:hAnsi="仿宋" w:cs="仿宋"/>
                <w:sz w:val="24"/>
              </w:rPr>
            </w:pPr>
          </w:p>
        </w:tc>
        <w:tc>
          <w:tcPr>
            <w:tcW w:w="3551" w:type="dxa"/>
            <w:vMerge/>
            <w:vAlign w:val="center"/>
          </w:tcPr>
          <w:p w:rsidR="00013EC7" w:rsidRDefault="00013EC7">
            <w:pPr>
              <w:rPr>
                <w:rFonts w:ascii="仿宋" w:eastAsia="仿宋" w:hAnsi="仿宋" w:cs="仿宋"/>
                <w:sz w:val="24"/>
              </w:rPr>
            </w:pPr>
          </w:p>
        </w:tc>
        <w:tc>
          <w:tcPr>
            <w:tcW w:w="3686" w:type="dxa"/>
            <w:vAlign w:val="center"/>
          </w:tcPr>
          <w:p w:rsidR="00013EC7" w:rsidRDefault="00575CDB">
            <w:pPr>
              <w:jc w:val="left"/>
              <w:rPr>
                <w:rFonts w:ascii="仿宋" w:eastAsia="仿宋" w:hAnsi="仿宋" w:cs="仿宋"/>
                <w:sz w:val="24"/>
              </w:rPr>
            </w:pPr>
            <w:r>
              <w:rPr>
                <w:rFonts w:ascii="仿宋" w:eastAsia="仿宋" w:hAnsi="仿宋" w:cs="仿宋" w:hint="eastAsia"/>
                <w:sz w:val="24"/>
              </w:rPr>
              <w:t>（二）法定代表人（负责人）、业主居民身份证、护照或其他证明身份的合法证件原件。</w:t>
            </w:r>
          </w:p>
        </w:tc>
        <w:tc>
          <w:tcPr>
            <w:tcW w:w="709" w:type="dxa"/>
            <w:vMerge/>
            <w:vAlign w:val="center"/>
          </w:tcPr>
          <w:p w:rsidR="00013EC7" w:rsidRDefault="00013EC7">
            <w:pPr>
              <w:spacing w:line="300" w:lineRule="exact"/>
              <w:rPr>
                <w:rFonts w:ascii="仿宋" w:eastAsia="仿宋" w:hAnsi="仿宋" w:cs="仿宋"/>
                <w:sz w:val="24"/>
              </w:rPr>
            </w:pPr>
          </w:p>
        </w:tc>
        <w:tc>
          <w:tcPr>
            <w:tcW w:w="3402" w:type="dxa"/>
            <w:vAlign w:val="center"/>
          </w:tcPr>
          <w:p w:rsidR="00013EC7" w:rsidRDefault="00575CDB">
            <w:pPr>
              <w:rPr>
                <w:rFonts w:ascii="仿宋" w:eastAsia="仿宋" w:hAnsi="仿宋" w:cs="仿宋"/>
                <w:sz w:val="24"/>
              </w:rPr>
            </w:pPr>
            <w:r>
              <w:rPr>
                <w:rFonts w:ascii="仿宋" w:eastAsia="仿宋" w:hAnsi="仿宋" w:cs="仿宋" w:hint="eastAsia"/>
                <w:sz w:val="24"/>
              </w:rPr>
              <w:t>（二）法定代表人（负责人）、业主居民身份证、护照或其他证明身份的合法证件原件。</w:t>
            </w:r>
          </w:p>
        </w:tc>
        <w:tc>
          <w:tcPr>
            <w:tcW w:w="708" w:type="dxa"/>
            <w:vMerge/>
            <w:vAlign w:val="center"/>
          </w:tcPr>
          <w:p w:rsidR="00013EC7" w:rsidRDefault="00013EC7">
            <w:pPr>
              <w:spacing w:line="300" w:lineRule="exact"/>
              <w:rPr>
                <w:rFonts w:ascii="仿宋" w:eastAsia="仿宋" w:hAnsi="仿宋" w:cs="仿宋"/>
                <w:sz w:val="24"/>
              </w:rPr>
            </w:pPr>
          </w:p>
        </w:tc>
        <w:tc>
          <w:tcPr>
            <w:tcW w:w="1985" w:type="dxa"/>
            <w:vMerge/>
            <w:vAlign w:val="center"/>
          </w:tcPr>
          <w:p w:rsidR="00013EC7" w:rsidRDefault="00013EC7">
            <w:pPr>
              <w:spacing w:line="300" w:lineRule="exact"/>
              <w:rPr>
                <w:rFonts w:ascii="仿宋" w:eastAsia="仿宋" w:hAnsi="仿宋" w:cs="仿宋"/>
                <w:sz w:val="24"/>
              </w:rPr>
            </w:pPr>
          </w:p>
        </w:tc>
        <w:tc>
          <w:tcPr>
            <w:tcW w:w="992" w:type="dxa"/>
            <w:vMerge/>
            <w:vAlign w:val="center"/>
          </w:tcPr>
          <w:p w:rsidR="00013EC7" w:rsidRDefault="00013EC7">
            <w:pPr>
              <w:spacing w:line="300" w:lineRule="exact"/>
              <w:rPr>
                <w:rFonts w:ascii="仿宋" w:eastAsia="仿宋" w:hAnsi="仿宋" w:cs="仿宋"/>
                <w:sz w:val="24"/>
              </w:rPr>
            </w:pPr>
          </w:p>
        </w:tc>
        <w:tc>
          <w:tcPr>
            <w:tcW w:w="851" w:type="dxa"/>
            <w:vMerge/>
            <w:vAlign w:val="center"/>
          </w:tcPr>
          <w:p w:rsidR="00013EC7" w:rsidRDefault="00013EC7">
            <w:pPr>
              <w:spacing w:line="300" w:lineRule="exact"/>
              <w:rPr>
                <w:rFonts w:ascii="仿宋" w:eastAsia="仿宋" w:hAnsi="仿宋" w:cs="仿宋"/>
                <w:sz w:val="24"/>
              </w:rPr>
            </w:pPr>
          </w:p>
        </w:tc>
        <w:tc>
          <w:tcPr>
            <w:tcW w:w="850" w:type="dxa"/>
            <w:vMerge/>
            <w:vAlign w:val="center"/>
          </w:tcPr>
          <w:p w:rsidR="00013EC7" w:rsidRDefault="00013EC7">
            <w:pPr>
              <w:spacing w:line="300" w:lineRule="exact"/>
              <w:rPr>
                <w:rFonts w:ascii="仿宋" w:eastAsia="仿宋" w:hAnsi="仿宋" w:cs="仿宋"/>
                <w:sz w:val="24"/>
              </w:rPr>
            </w:pPr>
          </w:p>
        </w:tc>
        <w:tc>
          <w:tcPr>
            <w:tcW w:w="992" w:type="dxa"/>
            <w:vMerge/>
            <w:vAlign w:val="center"/>
          </w:tcPr>
          <w:p w:rsidR="00013EC7" w:rsidRDefault="00013EC7">
            <w:pPr>
              <w:spacing w:line="300" w:lineRule="exact"/>
              <w:rPr>
                <w:rFonts w:ascii="仿宋" w:eastAsia="仿宋" w:hAnsi="仿宋" w:cs="仿宋"/>
                <w:color w:val="FF0000"/>
                <w:sz w:val="24"/>
              </w:rPr>
            </w:pPr>
          </w:p>
        </w:tc>
        <w:tc>
          <w:tcPr>
            <w:tcW w:w="1005" w:type="dxa"/>
            <w:vMerge/>
            <w:vAlign w:val="center"/>
          </w:tcPr>
          <w:p w:rsidR="00013EC7" w:rsidRDefault="00013EC7">
            <w:pPr>
              <w:spacing w:line="300" w:lineRule="exact"/>
              <w:rPr>
                <w:rFonts w:ascii="仿宋" w:eastAsia="仿宋" w:hAnsi="仿宋" w:cs="仿宋"/>
                <w:sz w:val="24"/>
              </w:rPr>
            </w:pPr>
          </w:p>
        </w:tc>
      </w:tr>
      <w:tr w:rsidR="00013EC7" w:rsidTr="009A1EE1">
        <w:trPr>
          <w:trHeight w:val="1271"/>
        </w:trPr>
        <w:tc>
          <w:tcPr>
            <w:tcW w:w="672" w:type="dxa"/>
            <w:vMerge/>
            <w:vAlign w:val="center"/>
          </w:tcPr>
          <w:p w:rsidR="00013EC7" w:rsidRDefault="00013EC7">
            <w:pPr>
              <w:spacing w:line="300" w:lineRule="exact"/>
              <w:rPr>
                <w:rFonts w:ascii="仿宋" w:eastAsia="仿宋" w:hAnsi="仿宋" w:cs="仿宋"/>
                <w:sz w:val="24"/>
              </w:rPr>
            </w:pPr>
          </w:p>
        </w:tc>
        <w:tc>
          <w:tcPr>
            <w:tcW w:w="1035" w:type="dxa"/>
            <w:vMerge/>
            <w:vAlign w:val="center"/>
          </w:tcPr>
          <w:p w:rsidR="00013EC7" w:rsidRDefault="00013EC7">
            <w:pPr>
              <w:spacing w:line="310" w:lineRule="exact"/>
              <w:rPr>
                <w:rFonts w:ascii="仿宋" w:eastAsia="仿宋" w:hAnsi="仿宋" w:cs="仿宋"/>
                <w:sz w:val="24"/>
              </w:rPr>
            </w:pPr>
          </w:p>
        </w:tc>
        <w:tc>
          <w:tcPr>
            <w:tcW w:w="3551" w:type="dxa"/>
            <w:vMerge/>
            <w:vAlign w:val="center"/>
          </w:tcPr>
          <w:p w:rsidR="00013EC7" w:rsidRDefault="00013EC7">
            <w:pPr>
              <w:rPr>
                <w:rFonts w:ascii="仿宋" w:eastAsia="仿宋" w:hAnsi="仿宋" w:cs="仿宋"/>
                <w:sz w:val="24"/>
              </w:rPr>
            </w:pPr>
          </w:p>
        </w:tc>
        <w:tc>
          <w:tcPr>
            <w:tcW w:w="3686" w:type="dxa"/>
            <w:vAlign w:val="center"/>
          </w:tcPr>
          <w:p w:rsidR="00013EC7" w:rsidRDefault="00575CDB">
            <w:pPr>
              <w:rPr>
                <w:rFonts w:ascii="仿宋" w:eastAsia="仿宋" w:hAnsi="仿宋" w:cs="仿宋"/>
                <w:sz w:val="24"/>
              </w:rPr>
            </w:pPr>
            <w:r>
              <w:rPr>
                <w:rFonts w:ascii="仿宋" w:eastAsia="仿宋" w:hAnsi="仿宋" w:cs="仿宋" w:hint="eastAsia"/>
                <w:sz w:val="24"/>
              </w:rPr>
              <w:t>（三）工商营业执照或核准执业证件的复印件。</w:t>
            </w:r>
          </w:p>
        </w:tc>
        <w:tc>
          <w:tcPr>
            <w:tcW w:w="709"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纳税人提交</w:t>
            </w:r>
          </w:p>
        </w:tc>
        <w:tc>
          <w:tcPr>
            <w:tcW w:w="3402" w:type="dxa"/>
            <w:vAlign w:val="center"/>
          </w:tcPr>
          <w:p w:rsidR="00013EC7" w:rsidRDefault="00575CDB">
            <w:pPr>
              <w:rPr>
                <w:rFonts w:ascii="仿宋" w:eastAsia="仿宋" w:hAnsi="仿宋" w:cs="仿宋"/>
                <w:sz w:val="24"/>
              </w:rPr>
            </w:pPr>
            <w:r>
              <w:rPr>
                <w:rFonts w:ascii="仿宋" w:eastAsia="仿宋" w:hAnsi="仿宋" w:cs="仿宋" w:hint="eastAsia"/>
                <w:sz w:val="24"/>
              </w:rPr>
              <w:t>（三）工商营业执照或核准执业证件（省内纳税人实现外部共享，无需提交。未办理工商营业执照也未经有关部门批准设立的纳税人无需提交）。</w:t>
            </w:r>
          </w:p>
        </w:tc>
        <w:tc>
          <w:tcPr>
            <w:tcW w:w="708"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b/>
                <w:bCs/>
                <w:i/>
                <w:iCs/>
                <w:sz w:val="24"/>
              </w:rPr>
              <w:t>经办机构自行获取</w:t>
            </w:r>
          </w:p>
        </w:tc>
        <w:tc>
          <w:tcPr>
            <w:tcW w:w="1985"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b/>
                <w:bCs/>
                <w:sz w:val="24"/>
              </w:rPr>
              <w:t>外部共享：</w:t>
            </w:r>
            <w:r>
              <w:rPr>
                <w:rFonts w:ascii="仿宋" w:eastAsia="仿宋" w:hAnsi="仿宋" w:cs="仿宋" w:hint="eastAsia"/>
                <w:sz w:val="24"/>
              </w:rPr>
              <w:t>由省工商局提供共享。</w:t>
            </w:r>
          </w:p>
        </w:tc>
        <w:tc>
          <w:tcPr>
            <w:tcW w:w="992" w:type="dxa"/>
            <w:vMerge/>
            <w:vAlign w:val="center"/>
          </w:tcPr>
          <w:p w:rsidR="00013EC7" w:rsidRDefault="00013EC7">
            <w:pPr>
              <w:spacing w:line="300" w:lineRule="exact"/>
              <w:rPr>
                <w:rFonts w:ascii="仿宋" w:eastAsia="仿宋" w:hAnsi="仿宋" w:cs="仿宋"/>
                <w:sz w:val="24"/>
              </w:rPr>
            </w:pPr>
          </w:p>
        </w:tc>
        <w:tc>
          <w:tcPr>
            <w:tcW w:w="851" w:type="dxa"/>
            <w:vMerge/>
            <w:vAlign w:val="center"/>
          </w:tcPr>
          <w:p w:rsidR="00013EC7" w:rsidRDefault="00013EC7">
            <w:pPr>
              <w:spacing w:line="300" w:lineRule="exact"/>
              <w:rPr>
                <w:rFonts w:ascii="仿宋" w:eastAsia="仿宋" w:hAnsi="仿宋" w:cs="仿宋"/>
                <w:sz w:val="24"/>
              </w:rPr>
            </w:pPr>
          </w:p>
        </w:tc>
        <w:tc>
          <w:tcPr>
            <w:tcW w:w="850" w:type="dxa"/>
            <w:vMerge/>
            <w:vAlign w:val="center"/>
          </w:tcPr>
          <w:p w:rsidR="00013EC7" w:rsidRDefault="00013EC7">
            <w:pPr>
              <w:spacing w:line="300" w:lineRule="exact"/>
              <w:rPr>
                <w:rFonts w:ascii="仿宋" w:eastAsia="仿宋" w:hAnsi="仿宋" w:cs="仿宋"/>
                <w:sz w:val="24"/>
              </w:rPr>
            </w:pPr>
          </w:p>
        </w:tc>
        <w:tc>
          <w:tcPr>
            <w:tcW w:w="992" w:type="dxa"/>
            <w:vMerge/>
            <w:vAlign w:val="center"/>
          </w:tcPr>
          <w:p w:rsidR="00013EC7" w:rsidRDefault="00013EC7">
            <w:pPr>
              <w:spacing w:line="300" w:lineRule="exact"/>
              <w:rPr>
                <w:rFonts w:ascii="仿宋" w:eastAsia="仿宋" w:hAnsi="仿宋" w:cs="仿宋"/>
                <w:color w:val="FF0000"/>
                <w:sz w:val="24"/>
              </w:rPr>
            </w:pPr>
          </w:p>
        </w:tc>
        <w:tc>
          <w:tcPr>
            <w:tcW w:w="1005" w:type="dxa"/>
            <w:vMerge/>
            <w:vAlign w:val="center"/>
          </w:tcPr>
          <w:p w:rsidR="00013EC7" w:rsidRDefault="00013EC7">
            <w:pPr>
              <w:spacing w:line="300" w:lineRule="exact"/>
              <w:rPr>
                <w:rFonts w:ascii="仿宋" w:eastAsia="仿宋" w:hAnsi="仿宋" w:cs="仿宋"/>
                <w:sz w:val="24"/>
              </w:rPr>
            </w:pPr>
          </w:p>
        </w:tc>
      </w:tr>
      <w:tr w:rsidR="00013EC7" w:rsidTr="009A1EE1">
        <w:trPr>
          <w:trHeight w:val="1271"/>
        </w:trPr>
        <w:tc>
          <w:tcPr>
            <w:tcW w:w="672" w:type="dxa"/>
            <w:vMerge/>
            <w:vAlign w:val="center"/>
          </w:tcPr>
          <w:p w:rsidR="00013EC7" w:rsidRDefault="00013EC7">
            <w:pPr>
              <w:spacing w:line="300" w:lineRule="exact"/>
              <w:rPr>
                <w:rFonts w:ascii="仿宋" w:eastAsia="仿宋" w:hAnsi="仿宋" w:cs="仿宋"/>
                <w:sz w:val="24"/>
              </w:rPr>
            </w:pPr>
          </w:p>
        </w:tc>
        <w:tc>
          <w:tcPr>
            <w:tcW w:w="1035" w:type="dxa"/>
            <w:vMerge/>
            <w:vAlign w:val="center"/>
          </w:tcPr>
          <w:p w:rsidR="00013EC7" w:rsidRDefault="00013EC7">
            <w:pPr>
              <w:spacing w:line="310" w:lineRule="exact"/>
              <w:rPr>
                <w:rFonts w:ascii="仿宋" w:eastAsia="仿宋" w:hAnsi="仿宋" w:cs="仿宋"/>
                <w:sz w:val="24"/>
              </w:rPr>
            </w:pPr>
          </w:p>
        </w:tc>
        <w:tc>
          <w:tcPr>
            <w:tcW w:w="3551" w:type="dxa"/>
            <w:vMerge/>
            <w:vAlign w:val="center"/>
          </w:tcPr>
          <w:p w:rsidR="00013EC7" w:rsidRDefault="00013EC7">
            <w:pPr>
              <w:rPr>
                <w:rFonts w:ascii="仿宋" w:eastAsia="仿宋" w:hAnsi="仿宋" w:cs="仿宋"/>
                <w:sz w:val="24"/>
              </w:rPr>
            </w:pPr>
          </w:p>
        </w:tc>
        <w:tc>
          <w:tcPr>
            <w:tcW w:w="3686" w:type="dxa"/>
            <w:vAlign w:val="center"/>
          </w:tcPr>
          <w:p w:rsidR="00013EC7" w:rsidRDefault="00575CDB">
            <w:pPr>
              <w:rPr>
                <w:rFonts w:ascii="仿宋" w:eastAsia="仿宋" w:hAnsi="仿宋" w:cs="仿宋"/>
                <w:sz w:val="24"/>
              </w:rPr>
            </w:pPr>
            <w:r>
              <w:rPr>
                <w:rFonts w:ascii="仿宋" w:eastAsia="仿宋" w:hAnsi="仿宋" w:cs="仿宋" w:hint="eastAsia"/>
                <w:sz w:val="24"/>
              </w:rPr>
              <w:t>（四）项目合同或协议复印件。</w:t>
            </w:r>
          </w:p>
        </w:tc>
        <w:tc>
          <w:tcPr>
            <w:tcW w:w="709"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承包承租人及境外企业提供</w:t>
            </w:r>
          </w:p>
        </w:tc>
        <w:tc>
          <w:tcPr>
            <w:tcW w:w="3402" w:type="dxa"/>
            <w:vAlign w:val="center"/>
          </w:tcPr>
          <w:p w:rsidR="00013EC7" w:rsidRDefault="00575CDB">
            <w:pPr>
              <w:rPr>
                <w:rFonts w:ascii="仿宋" w:eastAsia="仿宋" w:hAnsi="仿宋" w:cs="仿宋"/>
                <w:sz w:val="24"/>
              </w:rPr>
            </w:pPr>
            <w:r>
              <w:rPr>
                <w:rFonts w:ascii="仿宋" w:eastAsia="仿宋" w:hAnsi="仿宋" w:cs="仿宋" w:hint="eastAsia"/>
                <w:sz w:val="24"/>
              </w:rPr>
              <w:t>（四）项目合同或协议复印件（注明与原件一致，并加盖公章）。</w:t>
            </w:r>
          </w:p>
        </w:tc>
        <w:tc>
          <w:tcPr>
            <w:tcW w:w="708" w:type="dxa"/>
            <w:vAlign w:val="center"/>
          </w:tcPr>
          <w:p w:rsidR="00013EC7" w:rsidRDefault="00575CDB">
            <w:pPr>
              <w:spacing w:line="300" w:lineRule="exact"/>
              <w:rPr>
                <w:rFonts w:ascii="仿宋" w:eastAsia="仿宋" w:hAnsi="仿宋" w:cs="仿宋"/>
                <w:b/>
                <w:bCs/>
                <w:i/>
                <w:iCs/>
                <w:sz w:val="24"/>
              </w:rPr>
            </w:pPr>
            <w:r>
              <w:rPr>
                <w:rFonts w:ascii="仿宋" w:eastAsia="仿宋" w:hAnsi="仿宋" w:cs="仿宋" w:hint="eastAsia"/>
                <w:sz w:val="24"/>
              </w:rPr>
              <w:t>承包承租人及境外企业提交</w:t>
            </w:r>
          </w:p>
        </w:tc>
        <w:tc>
          <w:tcPr>
            <w:tcW w:w="1985" w:type="dxa"/>
            <w:vAlign w:val="center"/>
          </w:tcPr>
          <w:p w:rsidR="00013EC7" w:rsidRDefault="00575CDB">
            <w:pPr>
              <w:spacing w:line="300" w:lineRule="exact"/>
              <w:rPr>
                <w:rFonts w:ascii="仿宋" w:eastAsia="仿宋" w:hAnsi="仿宋" w:cs="仿宋"/>
                <w:bCs/>
                <w:sz w:val="24"/>
              </w:rPr>
            </w:pPr>
            <w:r>
              <w:rPr>
                <w:rFonts w:ascii="仿宋" w:eastAsia="仿宋" w:hAnsi="仿宋" w:cs="仿宋" w:hint="eastAsia"/>
                <w:b/>
                <w:sz w:val="24"/>
              </w:rPr>
              <w:t>现场办理：</w:t>
            </w:r>
            <w:r>
              <w:rPr>
                <w:rFonts w:ascii="仿宋" w:eastAsia="仿宋" w:hAnsi="仿宋" w:cs="仿宋" w:hint="eastAsia"/>
                <w:bCs/>
                <w:sz w:val="24"/>
              </w:rPr>
              <w:t>纳税人提交书面材料。</w:t>
            </w:r>
          </w:p>
        </w:tc>
        <w:tc>
          <w:tcPr>
            <w:tcW w:w="992" w:type="dxa"/>
            <w:vMerge/>
            <w:vAlign w:val="center"/>
          </w:tcPr>
          <w:p w:rsidR="00013EC7" w:rsidRDefault="00013EC7">
            <w:pPr>
              <w:spacing w:line="300" w:lineRule="exact"/>
              <w:rPr>
                <w:rFonts w:ascii="仿宋" w:eastAsia="仿宋" w:hAnsi="仿宋" w:cs="仿宋"/>
                <w:sz w:val="24"/>
              </w:rPr>
            </w:pPr>
          </w:p>
        </w:tc>
        <w:tc>
          <w:tcPr>
            <w:tcW w:w="851" w:type="dxa"/>
            <w:vMerge/>
            <w:vAlign w:val="center"/>
          </w:tcPr>
          <w:p w:rsidR="00013EC7" w:rsidRDefault="00013EC7">
            <w:pPr>
              <w:spacing w:line="300" w:lineRule="exact"/>
              <w:rPr>
                <w:rFonts w:ascii="仿宋" w:eastAsia="仿宋" w:hAnsi="仿宋" w:cs="仿宋"/>
                <w:sz w:val="24"/>
              </w:rPr>
            </w:pPr>
          </w:p>
        </w:tc>
        <w:tc>
          <w:tcPr>
            <w:tcW w:w="850" w:type="dxa"/>
            <w:vMerge/>
            <w:vAlign w:val="center"/>
          </w:tcPr>
          <w:p w:rsidR="00013EC7" w:rsidRDefault="00013EC7">
            <w:pPr>
              <w:spacing w:line="300" w:lineRule="exact"/>
              <w:rPr>
                <w:rFonts w:ascii="仿宋" w:eastAsia="仿宋" w:hAnsi="仿宋" w:cs="仿宋"/>
                <w:sz w:val="24"/>
              </w:rPr>
            </w:pPr>
          </w:p>
        </w:tc>
        <w:tc>
          <w:tcPr>
            <w:tcW w:w="992" w:type="dxa"/>
            <w:vMerge/>
            <w:vAlign w:val="center"/>
          </w:tcPr>
          <w:p w:rsidR="00013EC7" w:rsidRDefault="00013EC7">
            <w:pPr>
              <w:spacing w:line="300" w:lineRule="exact"/>
              <w:rPr>
                <w:rFonts w:ascii="仿宋" w:eastAsia="仿宋" w:hAnsi="仿宋" w:cs="仿宋"/>
                <w:color w:val="FF0000"/>
                <w:sz w:val="24"/>
              </w:rPr>
            </w:pPr>
          </w:p>
        </w:tc>
        <w:tc>
          <w:tcPr>
            <w:tcW w:w="1005" w:type="dxa"/>
            <w:vMerge/>
            <w:vAlign w:val="center"/>
          </w:tcPr>
          <w:p w:rsidR="00013EC7" w:rsidRDefault="00013EC7">
            <w:pPr>
              <w:spacing w:line="300" w:lineRule="exact"/>
              <w:rPr>
                <w:rFonts w:ascii="仿宋" w:eastAsia="仿宋" w:hAnsi="仿宋" w:cs="仿宋"/>
                <w:sz w:val="24"/>
              </w:rPr>
            </w:pPr>
          </w:p>
        </w:tc>
      </w:tr>
      <w:tr w:rsidR="00013EC7" w:rsidTr="009A1EE1">
        <w:trPr>
          <w:trHeight w:val="1271"/>
        </w:trPr>
        <w:tc>
          <w:tcPr>
            <w:tcW w:w="672" w:type="dxa"/>
            <w:vMerge/>
            <w:vAlign w:val="center"/>
          </w:tcPr>
          <w:p w:rsidR="00013EC7" w:rsidRDefault="00013EC7">
            <w:pPr>
              <w:spacing w:line="300" w:lineRule="exact"/>
              <w:rPr>
                <w:rFonts w:ascii="仿宋" w:eastAsia="仿宋" w:hAnsi="仿宋" w:cs="仿宋"/>
                <w:sz w:val="24"/>
              </w:rPr>
            </w:pPr>
          </w:p>
        </w:tc>
        <w:tc>
          <w:tcPr>
            <w:tcW w:w="1035" w:type="dxa"/>
            <w:vMerge/>
            <w:vAlign w:val="center"/>
          </w:tcPr>
          <w:p w:rsidR="00013EC7" w:rsidRDefault="00013EC7">
            <w:pPr>
              <w:spacing w:line="310" w:lineRule="exact"/>
              <w:rPr>
                <w:rFonts w:ascii="仿宋" w:eastAsia="仿宋" w:hAnsi="仿宋" w:cs="仿宋"/>
                <w:sz w:val="24"/>
              </w:rPr>
            </w:pPr>
          </w:p>
        </w:tc>
        <w:tc>
          <w:tcPr>
            <w:tcW w:w="3551" w:type="dxa"/>
            <w:vMerge/>
            <w:vAlign w:val="center"/>
          </w:tcPr>
          <w:p w:rsidR="00013EC7" w:rsidRDefault="00013EC7">
            <w:pPr>
              <w:rPr>
                <w:rFonts w:ascii="仿宋" w:eastAsia="仿宋" w:hAnsi="仿宋" w:cs="仿宋"/>
                <w:sz w:val="24"/>
              </w:rPr>
            </w:pPr>
          </w:p>
        </w:tc>
        <w:tc>
          <w:tcPr>
            <w:tcW w:w="3686" w:type="dxa"/>
            <w:vAlign w:val="center"/>
          </w:tcPr>
          <w:p w:rsidR="00013EC7" w:rsidRDefault="00575CDB">
            <w:pPr>
              <w:rPr>
                <w:rFonts w:ascii="仿宋" w:eastAsia="仿宋" w:hAnsi="仿宋" w:cs="仿宋"/>
                <w:sz w:val="24"/>
                <w:highlight w:val="lightGray"/>
              </w:rPr>
            </w:pPr>
            <w:r>
              <w:rPr>
                <w:rFonts w:ascii="仿宋" w:eastAsia="仿宋" w:hAnsi="仿宋" w:cs="仿宋" w:hint="eastAsia"/>
                <w:sz w:val="24"/>
              </w:rPr>
              <w:t>（五）居民身份认定书。</w:t>
            </w:r>
          </w:p>
        </w:tc>
        <w:tc>
          <w:tcPr>
            <w:tcW w:w="709" w:type="dxa"/>
            <w:vMerge w:val="restart"/>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境外注册中资控股</w:t>
            </w:r>
            <w:r>
              <w:rPr>
                <w:rFonts w:ascii="仿宋" w:eastAsia="仿宋" w:hAnsi="仿宋" w:cs="仿宋" w:hint="eastAsia"/>
                <w:sz w:val="24"/>
              </w:rPr>
              <w:lastRenderedPageBreak/>
              <w:t>居民企业</w:t>
            </w:r>
          </w:p>
        </w:tc>
        <w:tc>
          <w:tcPr>
            <w:tcW w:w="3402" w:type="dxa"/>
            <w:vAlign w:val="center"/>
          </w:tcPr>
          <w:p w:rsidR="00013EC7" w:rsidRDefault="00575CDB">
            <w:pPr>
              <w:rPr>
                <w:rFonts w:ascii="仿宋" w:eastAsia="仿宋" w:hAnsi="仿宋" w:cs="仿宋"/>
                <w:sz w:val="24"/>
              </w:rPr>
            </w:pPr>
            <w:r>
              <w:rPr>
                <w:rFonts w:ascii="仿宋" w:eastAsia="仿宋" w:hAnsi="仿宋" w:cs="仿宋" w:hint="eastAsia"/>
                <w:sz w:val="24"/>
              </w:rPr>
              <w:lastRenderedPageBreak/>
              <w:t>（五）居民身份认定书。</w:t>
            </w:r>
          </w:p>
        </w:tc>
        <w:tc>
          <w:tcPr>
            <w:tcW w:w="708"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b/>
                <w:bCs/>
                <w:i/>
                <w:iCs/>
                <w:sz w:val="24"/>
              </w:rPr>
              <w:t>经办机构自行获取</w:t>
            </w:r>
          </w:p>
        </w:tc>
        <w:tc>
          <w:tcPr>
            <w:tcW w:w="1985"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b/>
                <w:bCs/>
                <w:sz w:val="24"/>
              </w:rPr>
              <w:t>内部共享：</w:t>
            </w:r>
            <w:r>
              <w:rPr>
                <w:rFonts w:ascii="仿宋" w:eastAsia="仿宋" w:hAnsi="仿宋" w:cs="仿宋" w:hint="eastAsia"/>
                <w:sz w:val="24"/>
              </w:rPr>
              <w:t>内部共享获取相关信息。</w:t>
            </w:r>
          </w:p>
        </w:tc>
        <w:tc>
          <w:tcPr>
            <w:tcW w:w="992" w:type="dxa"/>
            <w:vMerge/>
            <w:vAlign w:val="center"/>
          </w:tcPr>
          <w:p w:rsidR="00013EC7" w:rsidRDefault="00013EC7">
            <w:pPr>
              <w:spacing w:line="300" w:lineRule="exact"/>
              <w:rPr>
                <w:rFonts w:ascii="仿宋" w:eastAsia="仿宋" w:hAnsi="仿宋" w:cs="仿宋"/>
                <w:sz w:val="24"/>
              </w:rPr>
            </w:pPr>
          </w:p>
        </w:tc>
        <w:tc>
          <w:tcPr>
            <w:tcW w:w="851" w:type="dxa"/>
            <w:vMerge/>
            <w:vAlign w:val="center"/>
          </w:tcPr>
          <w:p w:rsidR="00013EC7" w:rsidRDefault="00013EC7">
            <w:pPr>
              <w:spacing w:line="300" w:lineRule="exact"/>
              <w:rPr>
                <w:rFonts w:ascii="仿宋" w:eastAsia="仿宋" w:hAnsi="仿宋" w:cs="仿宋"/>
                <w:sz w:val="24"/>
              </w:rPr>
            </w:pPr>
          </w:p>
        </w:tc>
        <w:tc>
          <w:tcPr>
            <w:tcW w:w="850" w:type="dxa"/>
            <w:vMerge/>
            <w:vAlign w:val="center"/>
          </w:tcPr>
          <w:p w:rsidR="00013EC7" w:rsidRDefault="00013EC7">
            <w:pPr>
              <w:spacing w:line="300" w:lineRule="exact"/>
              <w:rPr>
                <w:rFonts w:ascii="仿宋" w:eastAsia="仿宋" w:hAnsi="仿宋" w:cs="仿宋"/>
                <w:sz w:val="24"/>
              </w:rPr>
            </w:pPr>
          </w:p>
        </w:tc>
        <w:tc>
          <w:tcPr>
            <w:tcW w:w="992" w:type="dxa"/>
            <w:vMerge/>
            <w:vAlign w:val="center"/>
          </w:tcPr>
          <w:p w:rsidR="00013EC7" w:rsidRDefault="00013EC7">
            <w:pPr>
              <w:spacing w:line="300" w:lineRule="exact"/>
              <w:rPr>
                <w:rFonts w:ascii="仿宋" w:eastAsia="仿宋" w:hAnsi="仿宋" w:cs="仿宋"/>
                <w:color w:val="FF0000"/>
                <w:sz w:val="24"/>
              </w:rPr>
            </w:pPr>
          </w:p>
        </w:tc>
        <w:tc>
          <w:tcPr>
            <w:tcW w:w="1005" w:type="dxa"/>
            <w:vMerge/>
            <w:vAlign w:val="center"/>
          </w:tcPr>
          <w:p w:rsidR="00013EC7" w:rsidRDefault="00013EC7">
            <w:pPr>
              <w:spacing w:line="300" w:lineRule="exact"/>
              <w:rPr>
                <w:rFonts w:ascii="仿宋" w:eastAsia="仿宋" w:hAnsi="仿宋" w:cs="仿宋"/>
                <w:sz w:val="24"/>
              </w:rPr>
            </w:pPr>
          </w:p>
        </w:tc>
      </w:tr>
      <w:tr w:rsidR="00013EC7" w:rsidTr="009A1EE1">
        <w:trPr>
          <w:trHeight w:val="1271"/>
        </w:trPr>
        <w:tc>
          <w:tcPr>
            <w:tcW w:w="672" w:type="dxa"/>
            <w:vMerge/>
            <w:vAlign w:val="center"/>
          </w:tcPr>
          <w:p w:rsidR="00013EC7" w:rsidRDefault="00013EC7">
            <w:pPr>
              <w:spacing w:line="300" w:lineRule="exact"/>
              <w:rPr>
                <w:rFonts w:ascii="仿宋" w:eastAsia="仿宋" w:hAnsi="仿宋" w:cs="仿宋"/>
                <w:sz w:val="24"/>
              </w:rPr>
            </w:pPr>
          </w:p>
        </w:tc>
        <w:tc>
          <w:tcPr>
            <w:tcW w:w="1035" w:type="dxa"/>
            <w:vMerge/>
            <w:vAlign w:val="center"/>
          </w:tcPr>
          <w:p w:rsidR="00013EC7" w:rsidRDefault="00013EC7">
            <w:pPr>
              <w:spacing w:line="310" w:lineRule="exact"/>
              <w:rPr>
                <w:rFonts w:ascii="仿宋" w:eastAsia="仿宋" w:hAnsi="仿宋" w:cs="仿宋"/>
                <w:sz w:val="24"/>
              </w:rPr>
            </w:pPr>
          </w:p>
        </w:tc>
        <w:tc>
          <w:tcPr>
            <w:tcW w:w="3551" w:type="dxa"/>
            <w:vMerge/>
            <w:vAlign w:val="center"/>
          </w:tcPr>
          <w:p w:rsidR="00013EC7" w:rsidRDefault="00013EC7">
            <w:pPr>
              <w:rPr>
                <w:rFonts w:ascii="仿宋" w:eastAsia="仿宋" w:hAnsi="仿宋" w:cs="仿宋"/>
                <w:sz w:val="24"/>
              </w:rPr>
            </w:pPr>
          </w:p>
        </w:tc>
        <w:tc>
          <w:tcPr>
            <w:tcW w:w="3686" w:type="dxa"/>
            <w:vAlign w:val="center"/>
          </w:tcPr>
          <w:p w:rsidR="00013EC7" w:rsidRDefault="00575CDB">
            <w:pPr>
              <w:rPr>
                <w:rFonts w:ascii="仿宋" w:eastAsia="仿宋" w:hAnsi="仿宋" w:cs="仿宋"/>
                <w:sz w:val="24"/>
              </w:rPr>
            </w:pPr>
            <w:r>
              <w:rPr>
                <w:rFonts w:ascii="仿宋" w:eastAsia="仿宋" w:hAnsi="仿宋" w:cs="仿宋" w:hint="eastAsia"/>
                <w:sz w:val="24"/>
              </w:rPr>
              <w:t>（六）境外注册登记证件复印件。</w:t>
            </w:r>
          </w:p>
        </w:tc>
        <w:tc>
          <w:tcPr>
            <w:tcW w:w="709" w:type="dxa"/>
            <w:vMerge/>
            <w:vAlign w:val="center"/>
          </w:tcPr>
          <w:p w:rsidR="00013EC7" w:rsidRDefault="00013EC7">
            <w:pPr>
              <w:spacing w:line="300" w:lineRule="exact"/>
              <w:rPr>
                <w:rFonts w:ascii="仿宋" w:eastAsia="仿宋" w:hAnsi="仿宋" w:cs="仿宋"/>
                <w:sz w:val="24"/>
              </w:rPr>
            </w:pPr>
          </w:p>
        </w:tc>
        <w:tc>
          <w:tcPr>
            <w:tcW w:w="3402" w:type="dxa"/>
            <w:vAlign w:val="center"/>
          </w:tcPr>
          <w:p w:rsidR="00013EC7" w:rsidRDefault="00575CDB">
            <w:pPr>
              <w:rPr>
                <w:rFonts w:ascii="仿宋" w:eastAsia="仿宋" w:hAnsi="仿宋" w:cs="仿宋"/>
                <w:sz w:val="24"/>
              </w:rPr>
            </w:pPr>
            <w:r>
              <w:rPr>
                <w:rFonts w:ascii="仿宋" w:eastAsia="仿宋" w:hAnsi="仿宋" w:cs="仿宋" w:hint="eastAsia"/>
                <w:sz w:val="24"/>
              </w:rPr>
              <w:t>（六）境外注册登记证件复印件（注明与原件一致，并加盖公章）。</w:t>
            </w:r>
          </w:p>
        </w:tc>
        <w:tc>
          <w:tcPr>
            <w:tcW w:w="708"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境外注册中资控股居民企业提交</w:t>
            </w:r>
          </w:p>
        </w:tc>
        <w:tc>
          <w:tcPr>
            <w:tcW w:w="1985"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bCs/>
                <w:sz w:val="24"/>
              </w:rPr>
              <w:t>纳税人提交书面材料。</w:t>
            </w:r>
          </w:p>
        </w:tc>
        <w:tc>
          <w:tcPr>
            <w:tcW w:w="992" w:type="dxa"/>
            <w:vMerge/>
            <w:vAlign w:val="center"/>
          </w:tcPr>
          <w:p w:rsidR="00013EC7" w:rsidRDefault="00013EC7">
            <w:pPr>
              <w:spacing w:line="300" w:lineRule="exact"/>
              <w:rPr>
                <w:rFonts w:ascii="仿宋" w:eastAsia="仿宋" w:hAnsi="仿宋" w:cs="仿宋"/>
                <w:sz w:val="24"/>
              </w:rPr>
            </w:pPr>
          </w:p>
        </w:tc>
        <w:tc>
          <w:tcPr>
            <w:tcW w:w="851" w:type="dxa"/>
            <w:vMerge/>
            <w:vAlign w:val="center"/>
          </w:tcPr>
          <w:p w:rsidR="00013EC7" w:rsidRDefault="00013EC7">
            <w:pPr>
              <w:spacing w:line="300" w:lineRule="exact"/>
              <w:rPr>
                <w:rFonts w:ascii="仿宋" w:eastAsia="仿宋" w:hAnsi="仿宋" w:cs="仿宋"/>
                <w:sz w:val="24"/>
              </w:rPr>
            </w:pPr>
          </w:p>
        </w:tc>
        <w:tc>
          <w:tcPr>
            <w:tcW w:w="850" w:type="dxa"/>
            <w:vMerge/>
            <w:vAlign w:val="center"/>
          </w:tcPr>
          <w:p w:rsidR="00013EC7" w:rsidRDefault="00013EC7">
            <w:pPr>
              <w:spacing w:line="300" w:lineRule="exact"/>
              <w:rPr>
                <w:rFonts w:ascii="仿宋" w:eastAsia="仿宋" w:hAnsi="仿宋" w:cs="仿宋"/>
                <w:sz w:val="24"/>
              </w:rPr>
            </w:pPr>
          </w:p>
        </w:tc>
        <w:tc>
          <w:tcPr>
            <w:tcW w:w="992" w:type="dxa"/>
            <w:vMerge/>
            <w:vAlign w:val="center"/>
          </w:tcPr>
          <w:p w:rsidR="00013EC7" w:rsidRDefault="00013EC7">
            <w:pPr>
              <w:spacing w:line="300" w:lineRule="exact"/>
              <w:rPr>
                <w:rFonts w:ascii="仿宋" w:eastAsia="仿宋" w:hAnsi="仿宋" w:cs="仿宋"/>
                <w:color w:val="FF0000"/>
                <w:sz w:val="24"/>
              </w:rPr>
            </w:pPr>
          </w:p>
        </w:tc>
        <w:tc>
          <w:tcPr>
            <w:tcW w:w="1005" w:type="dxa"/>
            <w:vMerge/>
            <w:vAlign w:val="center"/>
          </w:tcPr>
          <w:p w:rsidR="00013EC7" w:rsidRDefault="00013EC7">
            <w:pPr>
              <w:spacing w:line="300" w:lineRule="exact"/>
              <w:rPr>
                <w:rFonts w:ascii="仿宋" w:eastAsia="仿宋" w:hAnsi="仿宋" w:cs="仿宋"/>
                <w:sz w:val="24"/>
              </w:rPr>
            </w:pPr>
          </w:p>
        </w:tc>
      </w:tr>
    </w:tbl>
    <w:p w:rsidR="00013EC7" w:rsidRDefault="00013EC7"/>
    <w:p w:rsidR="00013EC7" w:rsidRDefault="00013EC7"/>
    <w:p w:rsidR="00013EC7" w:rsidRDefault="00013EC7">
      <w:pPr>
        <w:rPr>
          <w:rFonts w:eastAsia="方正书宋简体"/>
          <w:szCs w:val="21"/>
        </w:rPr>
      </w:pPr>
    </w:p>
    <w:p w:rsidR="00013EC7" w:rsidRDefault="005262E6">
      <w:r>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466" type="#_x0000_t75" style="position:absolute;left:0;text-align:left;margin-left:22.5pt;margin-top:106.15pt;width:424.85pt;height:555.35pt;z-index:251716608;mso-wrap-distance-top:0;mso-wrap-distance-bottom:0;mso-position-vertical-relative:page;mso-width-relative:page;mso-height-relative:page">
            <v:imagedata r:id="rId12" o:title=""/>
            <w10:wrap type="topAndBottom" anchory="page"/>
          </v:shape>
          <o:OLEObject Type="Embed" ProgID="Visio.Drawing.11" ShapeID="_x0000_s1466" DrawAspect="Content" ObjectID="_1577296146" r:id="rId13"/>
        </w:object>
      </w:r>
    </w:p>
    <w:p w:rsidR="00013EC7" w:rsidRDefault="00013EC7"/>
    <w:p w:rsidR="00013EC7" w:rsidRDefault="00013EC7"/>
    <w:p w:rsidR="00013EC7" w:rsidRDefault="00013EC7"/>
    <w:p w:rsidR="00013EC7" w:rsidRDefault="00013EC7"/>
    <w:p w:rsidR="00013EC7" w:rsidRDefault="00013EC7">
      <w:pPr>
        <w:sectPr w:rsidR="00013EC7">
          <w:footerReference w:type="default" r:id="rId14"/>
          <w:footerReference w:type="first" r:id="rId15"/>
          <w:pgSz w:w="23814" w:h="16840" w:orient="landscape"/>
          <w:pgMar w:top="1701" w:right="1843" w:bottom="1985" w:left="1843" w:header="851" w:footer="1701" w:gutter="0"/>
          <w:pgNumType w:fmt="numberInDash"/>
          <w:cols w:space="720"/>
          <w:titlePg/>
          <w:docGrid w:type="lines" w:linePitch="312"/>
        </w:sectPr>
      </w:pPr>
    </w:p>
    <w:p w:rsidR="00013EC7" w:rsidRDefault="00575CDB">
      <w:pPr>
        <w:pStyle w:val="2"/>
      </w:pPr>
      <w:bookmarkStart w:id="11" w:name="_Toc28880"/>
      <w:bookmarkStart w:id="12" w:name="_Toc12644"/>
      <w:bookmarkStart w:id="13" w:name="_Toc1738"/>
      <w:bookmarkStart w:id="14" w:name="_Toc503467361"/>
      <w:r>
        <w:rPr>
          <w:rFonts w:hint="eastAsia"/>
        </w:rPr>
        <w:lastRenderedPageBreak/>
        <w:t>1.2</w:t>
      </w:r>
      <w:r>
        <w:rPr>
          <w:rFonts w:hint="eastAsia"/>
        </w:rPr>
        <w:t>扣缴税款登记</w:t>
      </w:r>
      <w:bookmarkEnd w:id="4"/>
      <w:bookmarkEnd w:id="11"/>
      <w:bookmarkEnd w:id="12"/>
      <w:bookmarkEnd w:id="13"/>
      <w:bookmarkEnd w:id="14"/>
    </w:p>
    <w:p w:rsidR="00013EC7" w:rsidRDefault="00575CDB">
      <w:pPr>
        <w:jc w:val="center"/>
        <w:rPr>
          <w:rFonts w:ascii="宋体" w:hAnsi="宋体" w:cs="宋体"/>
          <w:b/>
          <w:bCs/>
          <w:sz w:val="52"/>
          <w:szCs w:val="52"/>
        </w:rPr>
      </w:pPr>
      <w:r>
        <w:rPr>
          <w:rFonts w:ascii="宋体" w:hAnsi="宋体" w:cs="宋体" w:hint="eastAsia"/>
          <w:b/>
          <w:bCs/>
          <w:sz w:val="52"/>
          <w:szCs w:val="52"/>
        </w:rPr>
        <w:t>全省“最多跑一次”事项“八统一”梳理表</w:t>
      </w:r>
    </w:p>
    <w:tbl>
      <w:tblPr>
        <w:tblW w:w="204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3233"/>
        <w:gridCol w:w="2149"/>
        <w:gridCol w:w="901"/>
        <w:gridCol w:w="2837"/>
        <w:gridCol w:w="1094"/>
        <w:gridCol w:w="3313"/>
        <w:gridCol w:w="868"/>
        <w:gridCol w:w="798"/>
        <w:gridCol w:w="958"/>
        <w:gridCol w:w="1104"/>
        <w:gridCol w:w="1476"/>
      </w:tblGrid>
      <w:tr w:rsidR="00013EC7" w:rsidTr="009A1EE1">
        <w:trPr>
          <w:trHeight w:val="340"/>
          <w:tblHeader/>
          <w:jc w:val="center"/>
        </w:trPr>
        <w:tc>
          <w:tcPr>
            <w:tcW w:w="672"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主项名称</w:t>
            </w:r>
          </w:p>
        </w:tc>
        <w:tc>
          <w:tcPr>
            <w:tcW w:w="1035"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子项名称</w:t>
            </w:r>
          </w:p>
        </w:tc>
        <w:tc>
          <w:tcPr>
            <w:tcW w:w="3233"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经办依据</w:t>
            </w:r>
          </w:p>
        </w:tc>
        <w:tc>
          <w:tcPr>
            <w:tcW w:w="3050"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原经办所需材料</w:t>
            </w:r>
          </w:p>
        </w:tc>
        <w:tc>
          <w:tcPr>
            <w:tcW w:w="7244" w:type="dxa"/>
            <w:gridSpan w:val="3"/>
            <w:vAlign w:val="center"/>
          </w:tcPr>
          <w:p w:rsidR="00013EC7" w:rsidRDefault="00575CDB">
            <w:pPr>
              <w:spacing w:line="280" w:lineRule="exact"/>
              <w:jc w:val="center"/>
              <w:rPr>
                <w:rFonts w:ascii="黑体" w:eastAsia="黑体"/>
                <w:sz w:val="24"/>
              </w:rPr>
            </w:pPr>
            <w:r>
              <w:rPr>
                <w:rFonts w:ascii="黑体" w:eastAsia="黑体" w:hint="eastAsia"/>
                <w:sz w:val="24"/>
              </w:rPr>
              <w:t>精简后经办所需材料</w:t>
            </w:r>
          </w:p>
        </w:tc>
        <w:tc>
          <w:tcPr>
            <w:tcW w:w="1666"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办理时限</w:t>
            </w:r>
          </w:p>
        </w:tc>
        <w:tc>
          <w:tcPr>
            <w:tcW w:w="958"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是否实现跑零次</w:t>
            </w:r>
          </w:p>
        </w:tc>
        <w:tc>
          <w:tcPr>
            <w:tcW w:w="1104"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省厅对口</w:t>
            </w:r>
          </w:p>
          <w:p w:rsidR="00013EC7" w:rsidRDefault="00575CDB">
            <w:pPr>
              <w:spacing w:line="280" w:lineRule="exact"/>
              <w:jc w:val="center"/>
              <w:rPr>
                <w:rFonts w:ascii="黑体" w:eastAsia="黑体"/>
                <w:sz w:val="24"/>
              </w:rPr>
            </w:pPr>
            <w:r>
              <w:rPr>
                <w:rFonts w:ascii="黑体" w:eastAsia="黑体" w:hint="eastAsia"/>
                <w:sz w:val="24"/>
              </w:rPr>
              <w:t>指导处室</w:t>
            </w:r>
          </w:p>
          <w:p w:rsidR="00013EC7" w:rsidRDefault="00575CDB">
            <w:pPr>
              <w:spacing w:line="280" w:lineRule="exact"/>
              <w:jc w:val="center"/>
              <w:rPr>
                <w:rFonts w:ascii="黑体" w:eastAsia="黑体"/>
                <w:sz w:val="24"/>
              </w:rPr>
            </w:pPr>
            <w:r>
              <w:rPr>
                <w:rFonts w:ascii="黑体" w:eastAsia="黑体" w:hint="eastAsia"/>
                <w:sz w:val="24"/>
              </w:rPr>
              <w:t>（单位）</w:t>
            </w:r>
          </w:p>
        </w:tc>
        <w:tc>
          <w:tcPr>
            <w:tcW w:w="1476"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进一步精简、</w:t>
            </w:r>
          </w:p>
          <w:p w:rsidR="00013EC7" w:rsidRDefault="00575CDB">
            <w:pPr>
              <w:spacing w:line="280" w:lineRule="exact"/>
              <w:jc w:val="center"/>
              <w:rPr>
                <w:rFonts w:ascii="黑体" w:eastAsia="黑体"/>
                <w:sz w:val="24"/>
              </w:rPr>
            </w:pPr>
            <w:r>
              <w:rPr>
                <w:rFonts w:ascii="黑体" w:eastAsia="黑体" w:hint="eastAsia"/>
                <w:sz w:val="24"/>
              </w:rPr>
              <w:t>规范建议</w:t>
            </w:r>
          </w:p>
        </w:tc>
      </w:tr>
      <w:tr w:rsidR="00013EC7" w:rsidTr="009A1EE1">
        <w:trPr>
          <w:trHeight w:val="340"/>
          <w:tblHeader/>
          <w:jc w:val="center"/>
        </w:trPr>
        <w:tc>
          <w:tcPr>
            <w:tcW w:w="672" w:type="dxa"/>
            <w:vMerge/>
            <w:vAlign w:val="center"/>
          </w:tcPr>
          <w:p w:rsidR="00013EC7" w:rsidRDefault="00013EC7">
            <w:pPr>
              <w:rPr>
                <w:sz w:val="24"/>
              </w:rPr>
            </w:pPr>
          </w:p>
        </w:tc>
        <w:tc>
          <w:tcPr>
            <w:tcW w:w="1035" w:type="dxa"/>
            <w:vMerge/>
          </w:tcPr>
          <w:p w:rsidR="00013EC7" w:rsidRDefault="00013EC7">
            <w:pPr>
              <w:rPr>
                <w:sz w:val="24"/>
              </w:rPr>
            </w:pPr>
          </w:p>
        </w:tc>
        <w:tc>
          <w:tcPr>
            <w:tcW w:w="3233" w:type="dxa"/>
            <w:vMerge/>
          </w:tcPr>
          <w:p w:rsidR="00013EC7" w:rsidRDefault="00013EC7">
            <w:pPr>
              <w:rPr>
                <w:sz w:val="24"/>
              </w:rPr>
            </w:pPr>
          </w:p>
        </w:tc>
        <w:tc>
          <w:tcPr>
            <w:tcW w:w="2149" w:type="dxa"/>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901"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2837" w:type="dxa"/>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094"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3313" w:type="dxa"/>
            <w:vAlign w:val="center"/>
          </w:tcPr>
          <w:p w:rsidR="00013EC7" w:rsidRDefault="00575CDB">
            <w:pPr>
              <w:spacing w:line="280" w:lineRule="exact"/>
              <w:jc w:val="center"/>
              <w:rPr>
                <w:rFonts w:ascii="黑体" w:eastAsia="黑体"/>
                <w:sz w:val="24"/>
              </w:rPr>
            </w:pPr>
            <w:r>
              <w:rPr>
                <w:rFonts w:ascii="黑体" w:eastAsia="黑体" w:hint="eastAsia"/>
                <w:sz w:val="24"/>
              </w:rPr>
              <w:t>办理方式及材料</w:t>
            </w:r>
          </w:p>
          <w:p w:rsidR="00013EC7" w:rsidRDefault="00575CDB">
            <w:pPr>
              <w:spacing w:line="280" w:lineRule="exact"/>
              <w:jc w:val="center"/>
              <w:rPr>
                <w:rFonts w:ascii="黑体" w:eastAsia="黑体"/>
                <w:sz w:val="24"/>
              </w:rPr>
            </w:pPr>
            <w:r>
              <w:rPr>
                <w:rFonts w:ascii="黑体" w:eastAsia="黑体" w:hint="eastAsia"/>
                <w:sz w:val="24"/>
              </w:rPr>
              <w:t>信息获取方式说明</w:t>
            </w:r>
          </w:p>
        </w:tc>
        <w:tc>
          <w:tcPr>
            <w:tcW w:w="868" w:type="dxa"/>
            <w:vAlign w:val="center"/>
          </w:tcPr>
          <w:p w:rsidR="00013EC7" w:rsidRDefault="00575CDB">
            <w:pPr>
              <w:spacing w:line="280" w:lineRule="exact"/>
              <w:jc w:val="center"/>
              <w:rPr>
                <w:rFonts w:ascii="黑体" w:eastAsia="黑体"/>
                <w:sz w:val="24"/>
              </w:rPr>
            </w:pPr>
            <w:r>
              <w:rPr>
                <w:rFonts w:ascii="黑体" w:eastAsia="黑体" w:hint="eastAsia"/>
                <w:sz w:val="24"/>
              </w:rPr>
              <w:t>优化前</w:t>
            </w:r>
          </w:p>
        </w:tc>
        <w:tc>
          <w:tcPr>
            <w:tcW w:w="798" w:type="dxa"/>
            <w:vAlign w:val="center"/>
          </w:tcPr>
          <w:p w:rsidR="00013EC7" w:rsidRDefault="00575CDB">
            <w:pPr>
              <w:spacing w:line="280" w:lineRule="exact"/>
              <w:jc w:val="center"/>
              <w:rPr>
                <w:rFonts w:ascii="黑体" w:eastAsia="黑体"/>
                <w:sz w:val="24"/>
              </w:rPr>
            </w:pPr>
            <w:r>
              <w:rPr>
                <w:rFonts w:ascii="黑体" w:eastAsia="黑体" w:hint="eastAsia"/>
                <w:sz w:val="24"/>
              </w:rPr>
              <w:t>优化后</w:t>
            </w:r>
          </w:p>
        </w:tc>
        <w:tc>
          <w:tcPr>
            <w:tcW w:w="958" w:type="dxa"/>
            <w:vMerge/>
            <w:vAlign w:val="center"/>
          </w:tcPr>
          <w:p w:rsidR="00013EC7" w:rsidRDefault="00013EC7"/>
        </w:tc>
        <w:tc>
          <w:tcPr>
            <w:tcW w:w="1104" w:type="dxa"/>
            <w:vMerge/>
            <w:vAlign w:val="center"/>
          </w:tcPr>
          <w:p w:rsidR="00013EC7" w:rsidRDefault="00013EC7"/>
        </w:tc>
        <w:tc>
          <w:tcPr>
            <w:tcW w:w="1476" w:type="dxa"/>
            <w:vMerge/>
            <w:vAlign w:val="center"/>
          </w:tcPr>
          <w:p w:rsidR="00013EC7" w:rsidRDefault="00013EC7"/>
        </w:tc>
      </w:tr>
      <w:tr w:rsidR="00013EC7" w:rsidTr="009A1EE1">
        <w:trPr>
          <w:trHeight w:val="4873"/>
          <w:jc w:val="center"/>
        </w:trPr>
        <w:tc>
          <w:tcPr>
            <w:tcW w:w="672" w:type="dxa"/>
            <w:vMerge w:val="restart"/>
            <w:vAlign w:val="center"/>
          </w:tcPr>
          <w:p w:rsidR="00013EC7" w:rsidRDefault="00575CDB">
            <w:pPr>
              <w:spacing w:line="310" w:lineRule="exact"/>
              <w:jc w:val="left"/>
              <w:rPr>
                <w:rFonts w:ascii="仿宋" w:eastAsia="仿宋" w:hAnsi="仿宋"/>
                <w:sz w:val="24"/>
              </w:rPr>
            </w:pPr>
            <w:r>
              <w:rPr>
                <w:rFonts w:ascii="仿宋" w:eastAsia="仿宋" w:hAnsi="仿宋" w:hint="eastAsia"/>
                <w:sz w:val="24"/>
              </w:rPr>
              <w:t>1设立登记</w:t>
            </w:r>
          </w:p>
        </w:tc>
        <w:tc>
          <w:tcPr>
            <w:tcW w:w="1035" w:type="dxa"/>
            <w:vMerge w:val="restart"/>
            <w:vAlign w:val="center"/>
          </w:tcPr>
          <w:p w:rsidR="00013EC7" w:rsidRDefault="00575CDB">
            <w:pPr>
              <w:spacing w:line="310" w:lineRule="exact"/>
              <w:jc w:val="left"/>
              <w:rPr>
                <w:rFonts w:ascii="仿宋" w:eastAsia="仿宋" w:hAnsi="仿宋"/>
                <w:sz w:val="24"/>
              </w:rPr>
            </w:pPr>
            <w:r>
              <w:rPr>
                <w:rFonts w:ascii="仿宋" w:eastAsia="仿宋" w:hAnsi="仿宋" w:hint="eastAsia"/>
                <w:sz w:val="24"/>
              </w:rPr>
              <w:t>1.2扣缴税款登记</w:t>
            </w:r>
          </w:p>
        </w:tc>
        <w:tc>
          <w:tcPr>
            <w:tcW w:w="3233" w:type="dxa"/>
            <w:vMerge w:val="restart"/>
            <w:vAlign w:val="center"/>
          </w:tcPr>
          <w:p w:rsidR="00013EC7" w:rsidRDefault="00575CDB">
            <w:pPr>
              <w:jc w:val="left"/>
              <w:rPr>
                <w:rFonts w:ascii="仿宋" w:eastAsia="仿宋" w:hAnsi="仿宋" w:cs="宋体"/>
                <w:kern w:val="1"/>
                <w:sz w:val="24"/>
              </w:rPr>
            </w:pPr>
            <w:r>
              <w:rPr>
                <w:rFonts w:ascii="仿宋" w:eastAsia="仿宋" w:hAnsi="仿宋" w:cs="宋体" w:hint="eastAsia"/>
                <w:kern w:val="1"/>
                <w:sz w:val="24"/>
              </w:rPr>
              <w:t>（一）《中华人民共和国税收征收管理法实施细则》（2002年中华人民共和国国务院令第362号）第十三条。</w:t>
            </w:r>
          </w:p>
          <w:p w:rsidR="00013EC7" w:rsidRDefault="00575CDB">
            <w:pPr>
              <w:jc w:val="left"/>
              <w:rPr>
                <w:rFonts w:ascii="仿宋" w:eastAsia="仿宋" w:hAnsi="仿宋" w:cs="宋体"/>
                <w:kern w:val="1"/>
                <w:sz w:val="24"/>
              </w:rPr>
            </w:pPr>
            <w:r>
              <w:rPr>
                <w:rFonts w:ascii="仿宋" w:eastAsia="仿宋" w:hAnsi="仿宋" w:cs="宋体" w:hint="eastAsia"/>
                <w:kern w:val="1"/>
                <w:sz w:val="24"/>
              </w:rPr>
              <w:t>（二）《国家税务总局关于修改〈税务登记管理办法〉的决定》（2014年国家税务总局令第36号）第六条。</w:t>
            </w:r>
          </w:p>
          <w:p w:rsidR="00013EC7" w:rsidRDefault="00575CDB">
            <w:pPr>
              <w:jc w:val="left"/>
              <w:rPr>
                <w:rFonts w:ascii="仿宋" w:eastAsia="仿宋" w:hAnsi="仿宋" w:cs="宋体"/>
                <w:kern w:val="1"/>
                <w:sz w:val="24"/>
              </w:rPr>
            </w:pPr>
            <w:r>
              <w:rPr>
                <w:rFonts w:ascii="仿宋" w:eastAsia="仿宋" w:hAnsi="仿宋" w:cs="宋体" w:hint="eastAsia"/>
                <w:kern w:val="1"/>
                <w:sz w:val="24"/>
              </w:rPr>
              <w:t>（三）《国家税务总局关于完善税务登记管理若干问题的通知》（国税发〔2006〕37 号）第四条。</w:t>
            </w:r>
          </w:p>
          <w:p w:rsidR="00013EC7" w:rsidRDefault="00575CDB">
            <w:pPr>
              <w:jc w:val="left"/>
              <w:rPr>
                <w:rFonts w:ascii="仿宋" w:eastAsia="仿宋" w:hAnsi="仿宋" w:cs="宋体"/>
                <w:kern w:val="1"/>
                <w:sz w:val="24"/>
              </w:rPr>
            </w:pPr>
            <w:r>
              <w:rPr>
                <w:rFonts w:ascii="仿宋" w:eastAsia="仿宋" w:hAnsi="仿宋" w:cs="宋体" w:hint="eastAsia"/>
                <w:kern w:val="1"/>
                <w:sz w:val="24"/>
              </w:rPr>
              <w:t>（四）《国家税务总局关于印发〈境外注册中资控股居民企业所得税管理办法（试行）〉的公告》（国家税务总局公告2011年第 45 号）第十五条。</w:t>
            </w:r>
          </w:p>
          <w:p w:rsidR="00013EC7" w:rsidRDefault="00575CDB">
            <w:pPr>
              <w:jc w:val="left"/>
              <w:rPr>
                <w:rFonts w:ascii="仿宋" w:eastAsia="仿宋" w:hAnsi="仿宋" w:cs="宋体"/>
                <w:kern w:val="1"/>
                <w:sz w:val="24"/>
              </w:rPr>
            </w:pPr>
            <w:r>
              <w:rPr>
                <w:rFonts w:ascii="仿宋" w:eastAsia="仿宋" w:hAnsi="仿宋" w:cs="宋体" w:hint="eastAsia"/>
                <w:kern w:val="1"/>
                <w:sz w:val="24"/>
              </w:rPr>
              <w:t>（五）《非居民承包工程作业和提供劳务税收管理暂行办法》（2009年国家税务总局令第19号）第五条。</w:t>
            </w:r>
          </w:p>
          <w:p w:rsidR="00013EC7" w:rsidRDefault="00575CDB">
            <w:pPr>
              <w:jc w:val="left"/>
              <w:rPr>
                <w:rFonts w:ascii="仿宋" w:eastAsia="仿宋" w:hAnsi="仿宋" w:cs="宋体"/>
                <w:kern w:val="1"/>
                <w:sz w:val="24"/>
              </w:rPr>
            </w:pPr>
            <w:r>
              <w:rPr>
                <w:rFonts w:ascii="仿宋" w:eastAsia="仿宋" w:hAnsi="仿宋" w:cs="宋体" w:hint="eastAsia"/>
                <w:kern w:val="1"/>
                <w:sz w:val="24"/>
              </w:rPr>
              <w:t>（六）《非居民企业所得税源泉扣缴管理暂行办法》（国税发〔2009〕3号）第四条。</w:t>
            </w:r>
          </w:p>
        </w:tc>
        <w:tc>
          <w:tcPr>
            <w:tcW w:w="2149" w:type="dxa"/>
            <w:vAlign w:val="center"/>
          </w:tcPr>
          <w:p w:rsidR="00013EC7" w:rsidRDefault="00575CDB">
            <w:pPr>
              <w:jc w:val="left"/>
              <w:rPr>
                <w:rFonts w:ascii="仿宋" w:eastAsia="仿宋" w:hAnsi="仿宋" w:cs="宋体"/>
                <w:sz w:val="24"/>
              </w:rPr>
            </w:pPr>
            <w:r>
              <w:rPr>
                <w:rFonts w:ascii="仿宋" w:eastAsia="仿宋" w:hAnsi="仿宋" w:cs="宋体" w:hint="eastAsia"/>
                <w:sz w:val="24"/>
              </w:rPr>
              <w:t>（一）（A01014）《扣缴义务人登记表》1份。</w:t>
            </w:r>
          </w:p>
        </w:tc>
        <w:tc>
          <w:tcPr>
            <w:tcW w:w="901" w:type="dxa"/>
            <w:vAlign w:val="center"/>
          </w:tcPr>
          <w:p w:rsidR="00013EC7" w:rsidRDefault="00575CDB">
            <w:pPr>
              <w:spacing w:line="300" w:lineRule="exact"/>
              <w:jc w:val="left"/>
              <w:rPr>
                <w:rFonts w:ascii="仿宋" w:eastAsia="仿宋" w:hAnsi="仿宋"/>
                <w:sz w:val="24"/>
              </w:rPr>
            </w:pPr>
            <w:r>
              <w:rPr>
                <w:rFonts w:ascii="仿宋" w:eastAsia="仿宋" w:hAnsi="仿宋" w:hint="eastAsia"/>
                <w:sz w:val="24"/>
              </w:rPr>
              <w:t>纳税人提交</w:t>
            </w:r>
          </w:p>
        </w:tc>
        <w:tc>
          <w:tcPr>
            <w:tcW w:w="2837" w:type="dxa"/>
            <w:vAlign w:val="center"/>
          </w:tcPr>
          <w:p w:rsidR="00013EC7" w:rsidRDefault="00575CDB">
            <w:pPr>
              <w:jc w:val="left"/>
              <w:rPr>
                <w:rFonts w:ascii="仿宋" w:eastAsia="仿宋" w:hAnsi="仿宋" w:cs="宋体"/>
                <w:sz w:val="24"/>
              </w:rPr>
            </w:pPr>
            <w:r>
              <w:rPr>
                <w:rFonts w:ascii="仿宋" w:eastAsia="仿宋" w:hAnsi="仿宋" w:cs="宋体" w:hint="eastAsia"/>
                <w:sz w:val="24"/>
              </w:rPr>
              <w:t>（一）（A01014）《扣缴义务人登记表》1份。</w:t>
            </w:r>
          </w:p>
        </w:tc>
        <w:tc>
          <w:tcPr>
            <w:tcW w:w="1094" w:type="dxa"/>
            <w:vAlign w:val="center"/>
          </w:tcPr>
          <w:p w:rsidR="00013EC7" w:rsidRDefault="00575CDB">
            <w:pPr>
              <w:spacing w:line="300" w:lineRule="exact"/>
              <w:jc w:val="left"/>
              <w:rPr>
                <w:rFonts w:ascii="仿宋" w:eastAsia="仿宋" w:hAnsi="仿宋"/>
                <w:b/>
                <w:bCs/>
                <w:i/>
                <w:iCs/>
                <w:sz w:val="24"/>
              </w:rPr>
            </w:pPr>
            <w:r>
              <w:rPr>
                <w:rFonts w:ascii="仿宋" w:eastAsia="仿宋" w:hAnsi="仿宋" w:hint="eastAsia"/>
                <w:sz w:val="24"/>
              </w:rPr>
              <w:t>纳税人提交</w:t>
            </w:r>
          </w:p>
        </w:tc>
        <w:tc>
          <w:tcPr>
            <w:tcW w:w="3313" w:type="dxa"/>
            <w:vAlign w:val="center"/>
          </w:tcPr>
          <w:p w:rsidR="00013EC7" w:rsidRDefault="00575CDB">
            <w:pPr>
              <w:jc w:val="left"/>
              <w:rPr>
                <w:rFonts w:ascii="仿宋" w:eastAsia="仿宋" w:hAnsi="仿宋"/>
                <w:sz w:val="24"/>
              </w:rPr>
            </w:pPr>
            <w:r>
              <w:rPr>
                <w:rFonts w:ascii="仿宋" w:eastAsia="仿宋" w:hAnsi="仿宋"/>
                <w:b/>
                <w:sz w:val="24"/>
              </w:rPr>
              <w:t>现场办理：</w:t>
            </w:r>
            <w:r>
              <w:rPr>
                <w:rFonts w:ascii="仿宋" w:eastAsia="仿宋" w:hAnsi="仿宋" w:hint="eastAsia"/>
                <w:bCs/>
                <w:sz w:val="24"/>
              </w:rPr>
              <w:t>纳税人</w:t>
            </w:r>
            <w:r>
              <w:rPr>
                <w:rFonts w:ascii="仿宋" w:eastAsia="仿宋" w:hAnsi="仿宋" w:hint="eastAsia"/>
                <w:sz w:val="24"/>
              </w:rPr>
              <w:t>提交书面材料，符合受理条件的当场受理办结。</w:t>
            </w:r>
          </w:p>
          <w:p w:rsidR="00013EC7" w:rsidRDefault="00575CDB">
            <w:pPr>
              <w:spacing w:line="300" w:lineRule="exact"/>
              <w:jc w:val="left"/>
              <w:rPr>
                <w:rFonts w:ascii="仿宋" w:eastAsia="仿宋" w:hAnsi="仿宋"/>
                <w:sz w:val="24"/>
              </w:rPr>
            </w:pPr>
            <w:r>
              <w:rPr>
                <w:rFonts w:ascii="仿宋" w:eastAsia="仿宋" w:hAnsi="仿宋" w:hint="eastAsia"/>
                <w:b/>
                <w:sz w:val="24"/>
              </w:rPr>
              <w:t>网上办理：</w:t>
            </w:r>
            <w:r>
              <w:rPr>
                <w:rFonts w:ascii="仿宋" w:eastAsia="仿宋" w:hAnsi="仿宋" w:hint="eastAsia"/>
                <w:sz w:val="24"/>
              </w:rPr>
              <w:t>登录浙江国税电子税务局（网址：</w:t>
            </w:r>
            <w:hyperlink r:id="rId16" w:tgtFrame="https://wx.qq.com/_blank" w:history="1">
              <w:r>
                <w:rPr>
                  <w:rFonts w:ascii="仿宋" w:eastAsia="仿宋" w:hAnsi="仿宋" w:hint="eastAsia"/>
                  <w:sz w:val="24"/>
                </w:rPr>
                <w:t>http://etax.zjtax.gov.cn/</w:t>
              </w:r>
            </w:hyperlink>
            <w:r>
              <w:rPr>
                <w:rFonts w:ascii="仿宋" w:eastAsia="仿宋" w:hAnsi="仿宋" w:hint="eastAsia"/>
                <w:sz w:val="24"/>
              </w:rPr>
              <w:t>）提交申请。</w:t>
            </w:r>
          </w:p>
        </w:tc>
        <w:tc>
          <w:tcPr>
            <w:tcW w:w="868" w:type="dxa"/>
            <w:vMerge w:val="restart"/>
            <w:vAlign w:val="center"/>
          </w:tcPr>
          <w:p w:rsidR="00013EC7" w:rsidRDefault="00575CDB">
            <w:pPr>
              <w:spacing w:line="300" w:lineRule="exact"/>
              <w:jc w:val="left"/>
              <w:rPr>
                <w:rFonts w:ascii="仿宋" w:eastAsia="仿宋" w:hAnsi="仿宋"/>
                <w:sz w:val="24"/>
              </w:rPr>
            </w:pPr>
            <w:r>
              <w:rPr>
                <w:rFonts w:ascii="仿宋" w:eastAsia="仿宋" w:hAnsi="仿宋" w:hint="eastAsia"/>
                <w:sz w:val="24"/>
              </w:rPr>
              <w:t>即时办结</w:t>
            </w:r>
          </w:p>
        </w:tc>
        <w:tc>
          <w:tcPr>
            <w:tcW w:w="798" w:type="dxa"/>
            <w:vMerge w:val="restart"/>
            <w:vAlign w:val="center"/>
          </w:tcPr>
          <w:p w:rsidR="00013EC7" w:rsidRDefault="00575CDB">
            <w:pPr>
              <w:spacing w:line="300" w:lineRule="exact"/>
              <w:jc w:val="left"/>
              <w:rPr>
                <w:rFonts w:ascii="仿宋" w:eastAsia="仿宋" w:hAnsi="仿宋"/>
                <w:sz w:val="24"/>
              </w:rPr>
            </w:pPr>
            <w:r>
              <w:rPr>
                <w:rFonts w:ascii="仿宋" w:eastAsia="仿宋" w:hAnsi="仿宋" w:hint="eastAsia"/>
                <w:sz w:val="24"/>
              </w:rPr>
              <w:t>即时办结</w:t>
            </w:r>
          </w:p>
        </w:tc>
        <w:tc>
          <w:tcPr>
            <w:tcW w:w="958" w:type="dxa"/>
            <w:vMerge w:val="restart"/>
            <w:vAlign w:val="center"/>
          </w:tcPr>
          <w:p w:rsidR="00013EC7" w:rsidRDefault="00575CDB">
            <w:pPr>
              <w:spacing w:line="300" w:lineRule="exact"/>
              <w:jc w:val="left"/>
              <w:rPr>
                <w:rFonts w:ascii="仿宋" w:eastAsia="仿宋" w:hAnsi="仿宋"/>
                <w:sz w:val="24"/>
              </w:rPr>
            </w:pPr>
            <w:r>
              <w:rPr>
                <w:rFonts w:ascii="仿宋" w:eastAsia="仿宋" w:hAnsi="仿宋" w:hint="eastAsia"/>
                <w:sz w:val="24"/>
              </w:rPr>
              <w:t>是</w:t>
            </w:r>
          </w:p>
        </w:tc>
        <w:tc>
          <w:tcPr>
            <w:tcW w:w="1104" w:type="dxa"/>
            <w:vMerge w:val="restart"/>
            <w:vAlign w:val="center"/>
          </w:tcPr>
          <w:p w:rsidR="00013EC7" w:rsidRDefault="00575CDB">
            <w:pPr>
              <w:spacing w:line="300" w:lineRule="exact"/>
              <w:jc w:val="left"/>
              <w:rPr>
                <w:rFonts w:ascii="仿宋" w:eastAsia="仿宋" w:hAnsi="仿宋"/>
                <w:sz w:val="24"/>
              </w:rPr>
            </w:pPr>
            <w:r>
              <w:rPr>
                <w:rFonts w:ascii="仿宋" w:eastAsia="仿宋" w:hAnsi="仿宋" w:hint="eastAsia"/>
                <w:sz w:val="24"/>
              </w:rPr>
              <w:t>征管科技处</w:t>
            </w:r>
          </w:p>
        </w:tc>
        <w:tc>
          <w:tcPr>
            <w:tcW w:w="1476" w:type="dxa"/>
            <w:vMerge w:val="restart"/>
            <w:vAlign w:val="center"/>
          </w:tcPr>
          <w:p w:rsidR="00013EC7" w:rsidRDefault="00013EC7">
            <w:pPr>
              <w:spacing w:line="300" w:lineRule="exact"/>
              <w:jc w:val="left"/>
              <w:rPr>
                <w:rFonts w:eastAsia="方正书宋简体"/>
                <w:sz w:val="24"/>
              </w:rPr>
            </w:pPr>
          </w:p>
        </w:tc>
      </w:tr>
      <w:tr w:rsidR="00013EC7" w:rsidTr="009A1EE1">
        <w:trPr>
          <w:trHeight w:val="3131"/>
          <w:jc w:val="center"/>
        </w:trPr>
        <w:tc>
          <w:tcPr>
            <w:tcW w:w="672" w:type="dxa"/>
            <w:vMerge/>
            <w:vAlign w:val="center"/>
          </w:tcPr>
          <w:p w:rsidR="00013EC7" w:rsidRDefault="00013EC7">
            <w:pPr>
              <w:spacing w:line="300" w:lineRule="exact"/>
              <w:jc w:val="left"/>
              <w:rPr>
                <w:rFonts w:ascii="仿宋" w:eastAsia="仿宋" w:hAnsi="仿宋"/>
                <w:sz w:val="24"/>
              </w:rPr>
            </w:pPr>
          </w:p>
        </w:tc>
        <w:tc>
          <w:tcPr>
            <w:tcW w:w="1035" w:type="dxa"/>
            <w:vMerge/>
            <w:vAlign w:val="center"/>
          </w:tcPr>
          <w:p w:rsidR="00013EC7" w:rsidRDefault="00013EC7">
            <w:pPr>
              <w:spacing w:line="310" w:lineRule="exact"/>
              <w:jc w:val="left"/>
              <w:rPr>
                <w:rFonts w:ascii="仿宋" w:eastAsia="仿宋" w:hAnsi="仿宋"/>
                <w:sz w:val="24"/>
              </w:rPr>
            </w:pPr>
          </w:p>
        </w:tc>
        <w:tc>
          <w:tcPr>
            <w:tcW w:w="3233" w:type="dxa"/>
            <w:vMerge/>
            <w:vAlign w:val="center"/>
          </w:tcPr>
          <w:p w:rsidR="00013EC7" w:rsidRDefault="00013EC7">
            <w:pPr>
              <w:jc w:val="left"/>
              <w:rPr>
                <w:rFonts w:ascii="仿宋" w:eastAsia="仿宋" w:hAnsi="仿宋" w:cs="宋体"/>
                <w:kern w:val="1"/>
                <w:sz w:val="24"/>
              </w:rPr>
            </w:pPr>
          </w:p>
        </w:tc>
        <w:tc>
          <w:tcPr>
            <w:tcW w:w="2149" w:type="dxa"/>
            <w:vAlign w:val="center"/>
          </w:tcPr>
          <w:p w:rsidR="00013EC7" w:rsidRDefault="00575CDB">
            <w:pPr>
              <w:jc w:val="left"/>
              <w:rPr>
                <w:rFonts w:ascii="仿宋" w:eastAsia="仿宋" w:hAnsi="仿宋" w:cs="宋体"/>
                <w:sz w:val="24"/>
              </w:rPr>
            </w:pPr>
            <w:r>
              <w:rPr>
                <w:rFonts w:ascii="仿宋" w:eastAsia="仿宋" w:hAnsi="仿宋" w:cs="宋体" w:hint="eastAsia"/>
                <w:sz w:val="24"/>
              </w:rPr>
              <w:t>（二）组织机构代码证书副本原件及复印件。</w:t>
            </w:r>
          </w:p>
        </w:tc>
        <w:tc>
          <w:tcPr>
            <w:tcW w:w="901" w:type="dxa"/>
            <w:vAlign w:val="center"/>
          </w:tcPr>
          <w:p w:rsidR="00013EC7" w:rsidRDefault="00575CDB">
            <w:pPr>
              <w:spacing w:line="300" w:lineRule="exact"/>
              <w:jc w:val="left"/>
              <w:rPr>
                <w:rFonts w:ascii="仿宋" w:eastAsia="仿宋" w:hAnsi="仿宋"/>
                <w:sz w:val="24"/>
              </w:rPr>
            </w:pPr>
            <w:r>
              <w:rPr>
                <w:rFonts w:ascii="仿宋" w:eastAsia="仿宋" w:hAnsi="仿宋" w:hint="eastAsia"/>
                <w:sz w:val="24"/>
              </w:rPr>
              <w:t>可不办理税务登记的扣缴义务人提交</w:t>
            </w:r>
          </w:p>
        </w:tc>
        <w:tc>
          <w:tcPr>
            <w:tcW w:w="2837" w:type="dxa"/>
            <w:vAlign w:val="center"/>
          </w:tcPr>
          <w:p w:rsidR="00013EC7" w:rsidRDefault="00575CDB">
            <w:pPr>
              <w:jc w:val="left"/>
              <w:rPr>
                <w:rFonts w:ascii="仿宋" w:eastAsia="仿宋" w:hAnsi="仿宋" w:cs="宋体"/>
                <w:sz w:val="24"/>
              </w:rPr>
            </w:pPr>
            <w:r>
              <w:rPr>
                <w:rFonts w:ascii="仿宋" w:eastAsia="仿宋" w:hAnsi="仿宋" w:cs="宋体" w:hint="eastAsia"/>
                <w:sz w:val="24"/>
              </w:rPr>
              <w:t>（二）组织机构代码证书。</w:t>
            </w:r>
          </w:p>
        </w:tc>
        <w:tc>
          <w:tcPr>
            <w:tcW w:w="1094" w:type="dxa"/>
            <w:vAlign w:val="center"/>
          </w:tcPr>
          <w:p w:rsidR="00013EC7" w:rsidRDefault="00575CDB">
            <w:pPr>
              <w:spacing w:line="300" w:lineRule="exact"/>
              <w:jc w:val="left"/>
              <w:rPr>
                <w:rFonts w:ascii="仿宋" w:eastAsia="仿宋" w:hAnsi="仿宋"/>
                <w:b/>
                <w:i/>
                <w:sz w:val="24"/>
              </w:rPr>
            </w:pPr>
            <w:r>
              <w:rPr>
                <w:rFonts w:ascii="仿宋" w:eastAsia="仿宋" w:hAnsi="仿宋" w:hint="eastAsia"/>
                <w:b/>
                <w:i/>
                <w:sz w:val="24"/>
              </w:rPr>
              <w:t>经办机构自行获取</w:t>
            </w:r>
          </w:p>
        </w:tc>
        <w:tc>
          <w:tcPr>
            <w:tcW w:w="3313" w:type="dxa"/>
            <w:vAlign w:val="center"/>
          </w:tcPr>
          <w:p w:rsidR="00013EC7" w:rsidRDefault="00575CDB">
            <w:pPr>
              <w:spacing w:line="300" w:lineRule="exact"/>
              <w:jc w:val="left"/>
              <w:rPr>
                <w:rFonts w:ascii="仿宋" w:eastAsia="仿宋" w:hAnsi="仿宋"/>
                <w:sz w:val="24"/>
              </w:rPr>
            </w:pPr>
            <w:r>
              <w:rPr>
                <w:rFonts w:ascii="仿宋" w:eastAsia="仿宋" w:hAnsi="仿宋" w:hint="eastAsia"/>
                <w:b/>
                <w:sz w:val="24"/>
              </w:rPr>
              <w:t>外部共享：</w:t>
            </w:r>
            <w:r>
              <w:rPr>
                <w:rFonts w:ascii="仿宋" w:eastAsia="仿宋" w:hAnsi="仿宋" w:hint="eastAsia"/>
                <w:sz w:val="24"/>
              </w:rPr>
              <w:t>由省质监局提供共享。</w:t>
            </w:r>
          </w:p>
        </w:tc>
        <w:tc>
          <w:tcPr>
            <w:tcW w:w="868" w:type="dxa"/>
            <w:vMerge/>
            <w:vAlign w:val="center"/>
          </w:tcPr>
          <w:p w:rsidR="00013EC7" w:rsidRDefault="00013EC7">
            <w:pPr>
              <w:spacing w:line="300" w:lineRule="exact"/>
              <w:rPr>
                <w:rFonts w:eastAsia="方正书宋简体"/>
                <w:szCs w:val="21"/>
              </w:rPr>
            </w:pPr>
          </w:p>
        </w:tc>
        <w:tc>
          <w:tcPr>
            <w:tcW w:w="798" w:type="dxa"/>
            <w:vMerge/>
            <w:vAlign w:val="center"/>
          </w:tcPr>
          <w:p w:rsidR="00013EC7" w:rsidRDefault="00013EC7">
            <w:pPr>
              <w:spacing w:line="300" w:lineRule="exact"/>
              <w:rPr>
                <w:rFonts w:eastAsia="方正书宋简体"/>
                <w:szCs w:val="21"/>
              </w:rPr>
            </w:pPr>
          </w:p>
        </w:tc>
        <w:tc>
          <w:tcPr>
            <w:tcW w:w="958" w:type="dxa"/>
            <w:vMerge/>
            <w:vAlign w:val="center"/>
          </w:tcPr>
          <w:p w:rsidR="00013EC7" w:rsidRDefault="00013EC7">
            <w:pPr>
              <w:spacing w:line="300" w:lineRule="exact"/>
              <w:rPr>
                <w:rFonts w:eastAsia="方正书宋简体"/>
                <w:szCs w:val="21"/>
              </w:rPr>
            </w:pPr>
          </w:p>
        </w:tc>
        <w:tc>
          <w:tcPr>
            <w:tcW w:w="1104" w:type="dxa"/>
            <w:vMerge/>
            <w:vAlign w:val="center"/>
          </w:tcPr>
          <w:p w:rsidR="00013EC7" w:rsidRDefault="00013EC7">
            <w:pPr>
              <w:spacing w:line="300" w:lineRule="exact"/>
              <w:rPr>
                <w:rFonts w:eastAsia="方正书宋简体"/>
                <w:szCs w:val="21"/>
              </w:rPr>
            </w:pPr>
          </w:p>
        </w:tc>
        <w:tc>
          <w:tcPr>
            <w:tcW w:w="1476" w:type="dxa"/>
            <w:vMerge/>
            <w:vAlign w:val="center"/>
          </w:tcPr>
          <w:p w:rsidR="00013EC7" w:rsidRDefault="00013EC7">
            <w:pPr>
              <w:spacing w:line="300" w:lineRule="exact"/>
              <w:rPr>
                <w:rFonts w:eastAsia="方正书宋简体"/>
                <w:szCs w:val="21"/>
              </w:rPr>
            </w:pPr>
          </w:p>
        </w:tc>
      </w:tr>
    </w:tbl>
    <w:p w:rsidR="00013EC7" w:rsidRDefault="00013EC7"/>
    <w:p w:rsidR="00013EC7" w:rsidRDefault="00013EC7"/>
    <w:p w:rsidR="00013EC7" w:rsidRDefault="00013EC7"/>
    <w:p w:rsidR="00013EC7" w:rsidRDefault="00013EC7"/>
    <w:p w:rsidR="00013EC7" w:rsidRDefault="00013EC7"/>
    <w:p w:rsidR="00013EC7" w:rsidRDefault="00013EC7">
      <w:pPr>
        <w:sectPr w:rsidR="00013EC7">
          <w:pgSz w:w="23814" w:h="16840" w:orient="landscape"/>
          <w:pgMar w:top="1701" w:right="1843" w:bottom="1985" w:left="1843" w:header="851" w:footer="1701" w:gutter="0"/>
          <w:pgNumType w:fmt="numberInDash"/>
          <w:cols w:space="720"/>
          <w:docGrid w:type="lines" w:linePitch="312"/>
        </w:sectPr>
      </w:pPr>
    </w:p>
    <w:p w:rsidR="00013EC7" w:rsidRDefault="005262E6">
      <w:r>
        <w:lastRenderedPageBreak/>
        <w:object w:dxaOrig="1440" w:dyaOrig="1440">
          <v:shape id="_x0000_s1315" type="#_x0000_t75" style="position:absolute;left:0;text-align:left;margin-left:624.7pt;margin-top:86.25pt;width:326.9pt;height:645.85pt;z-index:251640832;mso-wrap-distance-top:0;mso-wrap-distance-bottom:0;mso-position-vertical-relative:page;mso-width-relative:page;mso-height-relative:page">
            <v:imagedata r:id="rId17" o:title=""/>
            <w10:wrap type="topAndBottom" anchory="page"/>
          </v:shape>
          <o:OLEObject Type="Embed" ProgID="Visio.Drawing.11" ShapeID="_x0000_s1315" DrawAspect="Content" ObjectID="_1577296147" r:id="rId18"/>
        </w:object>
      </w:r>
      <w:r>
        <w:object w:dxaOrig="1440" w:dyaOrig="1440">
          <v:shape id="_x0000_s1316" type="#_x0000_t75" style="position:absolute;left:0;text-align:left;margin-left:15pt;margin-top:86.25pt;width:425pt;height:652pt;z-index:251641856;mso-wrap-distance-top:0;mso-wrap-distance-bottom:0;mso-position-vertical-relative:page;mso-width-relative:page;mso-height-relative:page">
            <v:imagedata r:id="rId19" o:title=""/>
            <w10:wrap type="topAndBottom" anchory="page"/>
          </v:shape>
          <o:OLEObject Type="Embed" ProgID="Visio.Drawing.11" ShapeID="_x0000_s1316" DrawAspect="Content" ObjectID="_1577296148" r:id="rId20"/>
        </w:object>
      </w:r>
    </w:p>
    <w:p w:rsidR="00013EC7" w:rsidRDefault="00575CDB">
      <w:pPr>
        <w:pStyle w:val="1"/>
      </w:pPr>
      <w:bookmarkStart w:id="15" w:name="_Toc2552"/>
      <w:bookmarkStart w:id="16" w:name="_Toc3663"/>
      <w:bookmarkStart w:id="17" w:name="_Toc503467362"/>
      <w:bookmarkStart w:id="18" w:name="_Toc18193"/>
      <w:r>
        <w:rPr>
          <w:rFonts w:hint="eastAsia"/>
        </w:rPr>
        <w:lastRenderedPageBreak/>
        <w:t>二、变更登记</w:t>
      </w:r>
      <w:bookmarkEnd w:id="15"/>
      <w:bookmarkEnd w:id="16"/>
      <w:bookmarkEnd w:id="17"/>
      <w:bookmarkEnd w:id="18"/>
    </w:p>
    <w:p w:rsidR="00013EC7" w:rsidRDefault="00575CDB">
      <w:pPr>
        <w:pStyle w:val="2"/>
      </w:pPr>
      <w:bookmarkStart w:id="19" w:name="_Toc5263"/>
      <w:bookmarkStart w:id="20" w:name="_Toc10367"/>
      <w:bookmarkStart w:id="21" w:name="_Toc503467363"/>
      <w:bookmarkStart w:id="22" w:name="_Toc2792"/>
      <w:r>
        <w:rPr>
          <w:rFonts w:hint="eastAsia"/>
        </w:rPr>
        <w:t>2.1</w:t>
      </w:r>
      <w:r>
        <w:rPr>
          <w:rFonts w:hint="eastAsia"/>
        </w:rPr>
        <w:t>纳税人跨县（区）迁入</w:t>
      </w:r>
      <w:bookmarkEnd w:id="5"/>
      <w:bookmarkEnd w:id="19"/>
      <w:bookmarkEnd w:id="20"/>
      <w:bookmarkEnd w:id="21"/>
      <w:bookmarkEnd w:id="22"/>
    </w:p>
    <w:p w:rsidR="00013EC7" w:rsidRDefault="00575CDB">
      <w:pPr>
        <w:jc w:val="center"/>
        <w:rPr>
          <w:rFonts w:ascii="宋体" w:hAnsi="宋体" w:cs="宋体"/>
          <w:b/>
          <w:bCs/>
          <w:sz w:val="52"/>
          <w:szCs w:val="52"/>
        </w:rPr>
      </w:pPr>
      <w:r>
        <w:rPr>
          <w:rFonts w:ascii="宋体" w:hAnsi="宋体" w:cs="宋体" w:hint="eastAsia"/>
          <w:b/>
          <w:bCs/>
          <w:sz w:val="52"/>
          <w:szCs w:val="52"/>
        </w:rPr>
        <w:t>全省“最多跑一次”事项“八统一”梳理表</w:t>
      </w:r>
    </w:p>
    <w:tbl>
      <w:tblPr>
        <w:tblW w:w="205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2622"/>
        <w:gridCol w:w="2760"/>
        <w:gridCol w:w="1288"/>
        <w:gridCol w:w="2837"/>
        <w:gridCol w:w="1326"/>
        <w:gridCol w:w="2848"/>
        <w:gridCol w:w="868"/>
        <w:gridCol w:w="798"/>
        <w:gridCol w:w="958"/>
        <w:gridCol w:w="1104"/>
        <w:gridCol w:w="1476"/>
      </w:tblGrid>
      <w:tr w:rsidR="00013EC7" w:rsidTr="009A1EE1">
        <w:trPr>
          <w:trHeight w:val="340"/>
          <w:tblHeader/>
          <w:jc w:val="center"/>
        </w:trPr>
        <w:tc>
          <w:tcPr>
            <w:tcW w:w="672" w:type="dxa"/>
            <w:vMerge w:val="restart"/>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主项名称</w:t>
            </w:r>
          </w:p>
        </w:tc>
        <w:tc>
          <w:tcPr>
            <w:tcW w:w="1035" w:type="dxa"/>
            <w:vMerge w:val="restart"/>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子项名称</w:t>
            </w:r>
          </w:p>
        </w:tc>
        <w:tc>
          <w:tcPr>
            <w:tcW w:w="2622" w:type="dxa"/>
            <w:vMerge w:val="restart"/>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经办依据</w:t>
            </w:r>
          </w:p>
        </w:tc>
        <w:tc>
          <w:tcPr>
            <w:tcW w:w="4048" w:type="dxa"/>
            <w:gridSpan w:val="2"/>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原经办所需材料</w:t>
            </w:r>
          </w:p>
        </w:tc>
        <w:tc>
          <w:tcPr>
            <w:tcW w:w="7011" w:type="dxa"/>
            <w:gridSpan w:val="3"/>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精简后经办所需材料</w:t>
            </w:r>
          </w:p>
        </w:tc>
        <w:tc>
          <w:tcPr>
            <w:tcW w:w="1666" w:type="dxa"/>
            <w:gridSpan w:val="2"/>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办理时限</w:t>
            </w:r>
          </w:p>
        </w:tc>
        <w:tc>
          <w:tcPr>
            <w:tcW w:w="958" w:type="dxa"/>
            <w:vMerge w:val="restart"/>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是否实现跑零次</w:t>
            </w:r>
          </w:p>
        </w:tc>
        <w:tc>
          <w:tcPr>
            <w:tcW w:w="1104" w:type="dxa"/>
            <w:vMerge w:val="restart"/>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省厅对口</w:t>
            </w:r>
          </w:p>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指导处室</w:t>
            </w:r>
          </w:p>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（单位）</w:t>
            </w:r>
          </w:p>
        </w:tc>
        <w:tc>
          <w:tcPr>
            <w:tcW w:w="1476" w:type="dxa"/>
            <w:vMerge w:val="restart"/>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进一步精简、</w:t>
            </w:r>
          </w:p>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规范建议</w:t>
            </w:r>
          </w:p>
        </w:tc>
      </w:tr>
      <w:tr w:rsidR="00013EC7" w:rsidTr="009A1EE1">
        <w:trPr>
          <w:trHeight w:val="340"/>
          <w:tblHeader/>
          <w:jc w:val="center"/>
        </w:trPr>
        <w:tc>
          <w:tcPr>
            <w:tcW w:w="672" w:type="dxa"/>
            <w:vMerge/>
            <w:vAlign w:val="center"/>
          </w:tcPr>
          <w:p w:rsidR="00013EC7" w:rsidRDefault="00013EC7">
            <w:pPr>
              <w:jc w:val="center"/>
              <w:rPr>
                <w:rFonts w:ascii="黑体" w:eastAsia="黑体" w:hAnsi="黑体" w:cs="黑体"/>
                <w:sz w:val="24"/>
              </w:rPr>
            </w:pPr>
          </w:p>
        </w:tc>
        <w:tc>
          <w:tcPr>
            <w:tcW w:w="1035" w:type="dxa"/>
            <w:vMerge/>
            <w:vAlign w:val="center"/>
          </w:tcPr>
          <w:p w:rsidR="00013EC7" w:rsidRDefault="00013EC7">
            <w:pPr>
              <w:jc w:val="center"/>
              <w:rPr>
                <w:rFonts w:ascii="黑体" w:eastAsia="黑体" w:hAnsi="黑体" w:cs="黑体"/>
                <w:sz w:val="24"/>
              </w:rPr>
            </w:pPr>
          </w:p>
        </w:tc>
        <w:tc>
          <w:tcPr>
            <w:tcW w:w="2622" w:type="dxa"/>
            <w:vMerge/>
            <w:vAlign w:val="center"/>
          </w:tcPr>
          <w:p w:rsidR="00013EC7" w:rsidRDefault="00013EC7">
            <w:pPr>
              <w:jc w:val="center"/>
              <w:rPr>
                <w:rFonts w:ascii="黑体" w:eastAsia="黑体" w:hAnsi="黑体" w:cs="黑体"/>
                <w:sz w:val="24"/>
              </w:rPr>
            </w:pPr>
          </w:p>
        </w:tc>
        <w:tc>
          <w:tcPr>
            <w:tcW w:w="2760"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材料明细</w:t>
            </w:r>
          </w:p>
        </w:tc>
        <w:tc>
          <w:tcPr>
            <w:tcW w:w="1288"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材料来源</w:t>
            </w:r>
          </w:p>
        </w:tc>
        <w:tc>
          <w:tcPr>
            <w:tcW w:w="2837"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材料明细</w:t>
            </w:r>
          </w:p>
        </w:tc>
        <w:tc>
          <w:tcPr>
            <w:tcW w:w="1326"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材料来源</w:t>
            </w:r>
          </w:p>
        </w:tc>
        <w:tc>
          <w:tcPr>
            <w:tcW w:w="2848"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办理方式及材料</w:t>
            </w:r>
          </w:p>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信息获取方式说明</w:t>
            </w:r>
          </w:p>
        </w:tc>
        <w:tc>
          <w:tcPr>
            <w:tcW w:w="868"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优化前</w:t>
            </w:r>
          </w:p>
        </w:tc>
        <w:tc>
          <w:tcPr>
            <w:tcW w:w="798"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优化后</w:t>
            </w: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rsidTr="009A1EE1">
        <w:trPr>
          <w:trHeight w:val="1357"/>
          <w:jc w:val="center"/>
        </w:trPr>
        <w:tc>
          <w:tcPr>
            <w:tcW w:w="672"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2变更登记</w:t>
            </w:r>
          </w:p>
        </w:tc>
        <w:tc>
          <w:tcPr>
            <w:tcW w:w="1035" w:type="dxa"/>
            <w:vMerge w:val="restart"/>
            <w:vAlign w:val="center"/>
          </w:tcPr>
          <w:p w:rsidR="00013EC7" w:rsidRDefault="00575CDB">
            <w:pPr>
              <w:spacing w:line="310" w:lineRule="exact"/>
              <w:jc w:val="left"/>
              <w:rPr>
                <w:rFonts w:ascii="仿宋" w:eastAsia="仿宋" w:hAnsi="仿宋" w:cs="仿宋"/>
                <w:sz w:val="24"/>
              </w:rPr>
            </w:pPr>
            <w:r>
              <w:rPr>
                <w:rFonts w:ascii="仿宋" w:eastAsia="仿宋" w:hAnsi="仿宋" w:cs="仿宋" w:hint="eastAsia"/>
                <w:sz w:val="24"/>
              </w:rPr>
              <w:t>2.1纳税人跨县（区）迁入</w:t>
            </w:r>
          </w:p>
        </w:tc>
        <w:tc>
          <w:tcPr>
            <w:tcW w:w="2622" w:type="dxa"/>
            <w:vMerge w:val="restart"/>
            <w:vAlign w:val="center"/>
          </w:tcPr>
          <w:p w:rsidR="00013EC7" w:rsidRDefault="00575CDB">
            <w:pPr>
              <w:jc w:val="left"/>
              <w:rPr>
                <w:rFonts w:ascii="仿宋" w:eastAsia="仿宋" w:hAnsi="仿宋" w:cs="仿宋"/>
                <w:kern w:val="1"/>
                <w:sz w:val="24"/>
              </w:rPr>
            </w:pPr>
            <w:r>
              <w:rPr>
                <w:rFonts w:ascii="仿宋" w:eastAsia="仿宋" w:hAnsi="仿宋" w:cs="仿宋" w:hint="eastAsia"/>
                <w:kern w:val="1"/>
                <w:sz w:val="24"/>
              </w:rPr>
              <w:t>（一）《中华人民共和国税收征收管理法实施细则》（2002年中华人民共和国国务院令第362号）第十五条。</w:t>
            </w:r>
          </w:p>
          <w:p w:rsidR="00013EC7" w:rsidRDefault="00575CDB">
            <w:pPr>
              <w:jc w:val="left"/>
              <w:rPr>
                <w:rFonts w:ascii="仿宋" w:eastAsia="仿宋" w:hAnsi="仿宋" w:cs="仿宋"/>
                <w:kern w:val="1"/>
                <w:sz w:val="24"/>
              </w:rPr>
            </w:pPr>
            <w:r>
              <w:rPr>
                <w:rFonts w:ascii="仿宋" w:eastAsia="仿宋" w:hAnsi="仿宋" w:cs="仿宋" w:hint="eastAsia"/>
                <w:kern w:val="1"/>
                <w:sz w:val="24"/>
              </w:rPr>
              <w:t>（二）《国家税务总局关于修改〈税务登记管理办法〉的决定》（2014年国家税务总局令第36号）第二十九条。</w:t>
            </w:r>
          </w:p>
          <w:p w:rsidR="00013EC7" w:rsidRDefault="00575CDB">
            <w:pPr>
              <w:jc w:val="left"/>
              <w:rPr>
                <w:rFonts w:ascii="仿宋" w:eastAsia="仿宋" w:hAnsi="仿宋" w:cs="仿宋"/>
                <w:kern w:val="1"/>
                <w:sz w:val="24"/>
              </w:rPr>
            </w:pPr>
            <w:r>
              <w:rPr>
                <w:rFonts w:ascii="仿宋" w:eastAsia="仿宋" w:hAnsi="仿宋" w:cs="仿宋" w:hint="eastAsia"/>
                <w:kern w:val="1"/>
                <w:sz w:val="24"/>
              </w:rPr>
              <w:t>（三）《国家税务总局关于一般纳税人迁移有关增值税问题的公告》（国家税务总局公告2011年第71号）全文。</w:t>
            </w:r>
          </w:p>
          <w:p w:rsidR="00013EC7" w:rsidRDefault="00013EC7">
            <w:pPr>
              <w:jc w:val="left"/>
              <w:rPr>
                <w:rFonts w:ascii="仿宋" w:eastAsia="仿宋" w:hAnsi="仿宋" w:cs="仿宋"/>
                <w:kern w:val="1"/>
                <w:sz w:val="24"/>
              </w:rPr>
            </w:pPr>
          </w:p>
        </w:tc>
        <w:tc>
          <w:tcPr>
            <w:tcW w:w="2760" w:type="dxa"/>
            <w:vAlign w:val="center"/>
          </w:tcPr>
          <w:p w:rsidR="00013EC7" w:rsidRDefault="00575CDB">
            <w:pPr>
              <w:jc w:val="left"/>
              <w:rPr>
                <w:rFonts w:ascii="仿宋" w:eastAsia="仿宋" w:hAnsi="仿宋" w:cs="仿宋"/>
                <w:kern w:val="1"/>
                <w:sz w:val="24"/>
              </w:rPr>
            </w:pPr>
            <w:r>
              <w:rPr>
                <w:rFonts w:ascii="仿宋" w:eastAsia="仿宋" w:hAnsi="仿宋" w:cs="仿宋" w:hint="eastAsia"/>
                <w:kern w:val="1"/>
                <w:sz w:val="24"/>
              </w:rPr>
              <w:t>（一）迁出地税务机关出具的（A13001）《税务事项通知书》。</w:t>
            </w:r>
          </w:p>
        </w:tc>
        <w:tc>
          <w:tcPr>
            <w:tcW w:w="1288"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纳税人提交</w:t>
            </w:r>
          </w:p>
          <w:p w:rsidR="00013EC7" w:rsidRDefault="00013EC7">
            <w:pPr>
              <w:spacing w:line="300" w:lineRule="exact"/>
              <w:jc w:val="left"/>
              <w:rPr>
                <w:rFonts w:ascii="仿宋" w:eastAsia="仿宋" w:hAnsi="仿宋" w:cs="仿宋"/>
                <w:sz w:val="24"/>
              </w:rPr>
            </w:pPr>
          </w:p>
        </w:tc>
        <w:tc>
          <w:tcPr>
            <w:tcW w:w="2837" w:type="dxa"/>
            <w:vAlign w:val="center"/>
          </w:tcPr>
          <w:p w:rsidR="00013EC7" w:rsidRDefault="00575CDB">
            <w:pPr>
              <w:jc w:val="left"/>
              <w:rPr>
                <w:rFonts w:ascii="仿宋" w:eastAsia="仿宋" w:hAnsi="仿宋" w:cs="仿宋"/>
                <w:kern w:val="1"/>
                <w:sz w:val="24"/>
              </w:rPr>
            </w:pPr>
            <w:r>
              <w:rPr>
                <w:rFonts w:ascii="仿宋" w:eastAsia="仿宋" w:hAnsi="仿宋" w:cs="仿宋" w:hint="eastAsia"/>
                <w:kern w:val="1"/>
                <w:sz w:val="24"/>
              </w:rPr>
              <w:t>（一）迁出地税务机关出具的（A13001）《税务事项通知书》。</w:t>
            </w:r>
          </w:p>
        </w:tc>
        <w:tc>
          <w:tcPr>
            <w:tcW w:w="1326"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纳税人提交</w:t>
            </w:r>
          </w:p>
        </w:tc>
        <w:tc>
          <w:tcPr>
            <w:tcW w:w="2848"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纳税人提交书面材料。</w:t>
            </w:r>
          </w:p>
        </w:tc>
        <w:tc>
          <w:tcPr>
            <w:tcW w:w="868"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即时办结</w:t>
            </w:r>
          </w:p>
        </w:tc>
        <w:tc>
          <w:tcPr>
            <w:tcW w:w="798"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即时办结</w:t>
            </w:r>
          </w:p>
        </w:tc>
        <w:tc>
          <w:tcPr>
            <w:tcW w:w="958"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否</w:t>
            </w:r>
          </w:p>
        </w:tc>
        <w:tc>
          <w:tcPr>
            <w:tcW w:w="1104"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征管科技处</w:t>
            </w:r>
          </w:p>
        </w:tc>
        <w:tc>
          <w:tcPr>
            <w:tcW w:w="1476" w:type="dxa"/>
            <w:vMerge w:val="restart"/>
            <w:vAlign w:val="center"/>
          </w:tcPr>
          <w:p w:rsidR="00013EC7" w:rsidRDefault="00013EC7">
            <w:pPr>
              <w:spacing w:line="300" w:lineRule="exact"/>
              <w:rPr>
                <w:rFonts w:ascii="仿宋" w:eastAsia="仿宋" w:hAnsi="仿宋" w:cs="仿宋"/>
                <w:sz w:val="24"/>
              </w:rPr>
            </w:pPr>
          </w:p>
        </w:tc>
      </w:tr>
      <w:tr w:rsidR="00013EC7" w:rsidTr="009A1EE1">
        <w:trPr>
          <w:trHeight w:val="3818"/>
          <w:jc w:val="center"/>
        </w:trPr>
        <w:tc>
          <w:tcPr>
            <w:tcW w:w="672" w:type="dxa"/>
            <w:vMerge/>
            <w:vAlign w:val="center"/>
          </w:tcPr>
          <w:p w:rsidR="00013EC7" w:rsidRDefault="00013EC7">
            <w:pPr>
              <w:spacing w:line="300" w:lineRule="exact"/>
              <w:rPr>
                <w:rFonts w:ascii="仿宋" w:eastAsia="仿宋" w:hAnsi="仿宋" w:cs="仿宋"/>
                <w:sz w:val="24"/>
              </w:rPr>
            </w:pPr>
          </w:p>
        </w:tc>
        <w:tc>
          <w:tcPr>
            <w:tcW w:w="1035" w:type="dxa"/>
            <w:vMerge/>
            <w:vAlign w:val="center"/>
          </w:tcPr>
          <w:p w:rsidR="00013EC7" w:rsidRDefault="00013EC7">
            <w:pPr>
              <w:spacing w:line="310" w:lineRule="exact"/>
              <w:rPr>
                <w:rFonts w:ascii="仿宋" w:eastAsia="仿宋" w:hAnsi="仿宋" w:cs="仿宋"/>
                <w:sz w:val="24"/>
              </w:rPr>
            </w:pPr>
          </w:p>
        </w:tc>
        <w:tc>
          <w:tcPr>
            <w:tcW w:w="2622" w:type="dxa"/>
            <w:vMerge/>
            <w:vAlign w:val="center"/>
          </w:tcPr>
          <w:p w:rsidR="00013EC7" w:rsidRDefault="00013EC7">
            <w:pPr>
              <w:rPr>
                <w:rFonts w:ascii="仿宋" w:eastAsia="仿宋" w:hAnsi="仿宋" w:cs="仿宋"/>
                <w:kern w:val="1"/>
                <w:sz w:val="24"/>
              </w:rPr>
            </w:pPr>
          </w:p>
        </w:tc>
        <w:tc>
          <w:tcPr>
            <w:tcW w:w="2760" w:type="dxa"/>
            <w:vAlign w:val="center"/>
          </w:tcPr>
          <w:p w:rsidR="00013EC7" w:rsidRDefault="00575CDB">
            <w:pPr>
              <w:jc w:val="left"/>
              <w:rPr>
                <w:rFonts w:ascii="仿宋" w:eastAsia="仿宋" w:hAnsi="仿宋" w:cs="仿宋"/>
                <w:kern w:val="1"/>
                <w:sz w:val="24"/>
              </w:rPr>
            </w:pPr>
            <w:r>
              <w:rPr>
                <w:rFonts w:ascii="仿宋" w:eastAsia="仿宋" w:hAnsi="仿宋" w:cs="仿宋" w:hint="eastAsia"/>
                <w:kern w:val="1"/>
                <w:sz w:val="24"/>
              </w:rPr>
              <w:t>（二）（A01049）《增值税一般纳税人迁移进项税额转移单》（增值税一般纳税人提供）。</w:t>
            </w:r>
          </w:p>
        </w:tc>
        <w:tc>
          <w:tcPr>
            <w:tcW w:w="1288" w:type="dxa"/>
            <w:vMerge/>
            <w:vAlign w:val="center"/>
          </w:tcPr>
          <w:p w:rsidR="00013EC7" w:rsidRDefault="00013EC7">
            <w:pPr>
              <w:spacing w:line="300" w:lineRule="exact"/>
              <w:rPr>
                <w:rFonts w:ascii="仿宋" w:eastAsia="仿宋" w:hAnsi="仿宋" w:cs="仿宋"/>
                <w:sz w:val="24"/>
              </w:rPr>
            </w:pPr>
          </w:p>
        </w:tc>
        <w:tc>
          <w:tcPr>
            <w:tcW w:w="2837" w:type="dxa"/>
            <w:vAlign w:val="center"/>
          </w:tcPr>
          <w:p w:rsidR="00013EC7" w:rsidRDefault="00575CDB">
            <w:pPr>
              <w:jc w:val="left"/>
              <w:rPr>
                <w:rFonts w:ascii="仿宋" w:eastAsia="仿宋" w:hAnsi="仿宋" w:cs="仿宋"/>
                <w:kern w:val="1"/>
                <w:sz w:val="24"/>
              </w:rPr>
            </w:pPr>
            <w:r>
              <w:rPr>
                <w:rFonts w:ascii="仿宋" w:eastAsia="仿宋" w:hAnsi="仿宋" w:cs="仿宋" w:hint="eastAsia"/>
                <w:kern w:val="1"/>
                <w:sz w:val="24"/>
              </w:rPr>
              <w:t>（二）（A01049）《增值税一般纳税人迁移进项税额转移单》（增值税一</w:t>
            </w:r>
            <w:bookmarkStart w:id="23" w:name="_GoBack"/>
            <w:bookmarkEnd w:id="23"/>
            <w:r>
              <w:rPr>
                <w:rFonts w:ascii="仿宋" w:eastAsia="仿宋" w:hAnsi="仿宋" w:cs="仿宋" w:hint="eastAsia"/>
                <w:kern w:val="1"/>
                <w:sz w:val="24"/>
              </w:rPr>
              <w:t>般纳税人提供）。</w:t>
            </w:r>
          </w:p>
        </w:tc>
        <w:tc>
          <w:tcPr>
            <w:tcW w:w="1326" w:type="dxa"/>
            <w:vMerge/>
            <w:vAlign w:val="center"/>
          </w:tcPr>
          <w:p w:rsidR="00013EC7" w:rsidRDefault="00013EC7">
            <w:pPr>
              <w:spacing w:line="300" w:lineRule="exact"/>
              <w:rPr>
                <w:rFonts w:ascii="仿宋" w:eastAsia="仿宋" w:hAnsi="仿宋" w:cs="仿宋"/>
                <w:sz w:val="24"/>
              </w:rPr>
            </w:pPr>
          </w:p>
        </w:tc>
        <w:tc>
          <w:tcPr>
            <w:tcW w:w="2848" w:type="dxa"/>
            <w:vMerge/>
            <w:vAlign w:val="center"/>
          </w:tcPr>
          <w:p w:rsidR="00013EC7" w:rsidRDefault="00013EC7">
            <w:pPr>
              <w:spacing w:line="300" w:lineRule="exact"/>
              <w:rPr>
                <w:rFonts w:ascii="仿宋" w:eastAsia="仿宋" w:hAnsi="仿宋" w:cs="仿宋"/>
                <w:b/>
                <w:sz w:val="24"/>
              </w:rPr>
            </w:pPr>
          </w:p>
        </w:tc>
        <w:tc>
          <w:tcPr>
            <w:tcW w:w="868" w:type="dxa"/>
            <w:vMerge/>
            <w:vAlign w:val="center"/>
          </w:tcPr>
          <w:p w:rsidR="00013EC7" w:rsidRDefault="00013EC7">
            <w:pPr>
              <w:spacing w:line="300" w:lineRule="exact"/>
              <w:rPr>
                <w:rFonts w:ascii="仿宋" w:eastAsia="仿宋" w:hAnsi="仿宋" w:cs="仿宋"/>
                <w:sz w:val="24"/>
              </w:rPr>
            </w:pPr>
          </w:p>
        </w:tc>
        <w:tc>
          <w:tcPr>
            <w:tcW w:w="798" w:type="dxa"/>
            <w:vMerge/>
            <w:vAlign w:val="center"/>
          </w:tcPr>
          <w:p w:rsidR="00013EC7" w:rsidRDefault="00013EC7">
            <w:pPr>
              <w:spacing w:line="300" w:lineRule="exact"/>
              <w:rPr>
                <w:rFonts w:ascii="仿宋" w:eastAsia="仿宋" w:hAnsi="仿宋" w:cs="仿宋"/>
                <w:sz w:val="24"/>
              </w:rPr>
            </w:pPr>
          </w:p>
        </w:tc>
        <w:tc>
          <w:tcPr>
            <w:tcW w:w="958" w:type="dxa"/>
            <w:vMerge/>
            <w:vAlign w:val="center"/>
          </w:tcPr>
          <w:p w:rsidR="00013EC7" w:rsidRDefault="00013EC7">
            <w:pPr>
              <w:spacing w:line="300" w:lineRule="exact"/>
              <w:rPr>
                <w:rFonts w:ascii="仿宋" w:eastAsia="仿宋" w:hAnsi="仿宋" w:cs="仿宋"/>
                <w:sz w:val="24"/>
              </w:rPr>
            </w:pPr>
          </w:p>
        </w:tc>
        <w:tc>
          <w:tcPr>
            <w:tcW w:w="1104" w:type="dxa"/>
            <w:vMerge/>
            <w:vAlign w:val="center"/>
          </w:tcPr>
          <w:p w:rsidR="00013EC7" w:rsidRDefault="00013EC7">
            <w:pPr>
              <w:spacing w:line="300" w:lineRule="exact"/>
              <w:rPr>
                <w:rFonts w:ascii="仿宋" w:eastAsia="仿宋" w:hAnsi="仿宋" w:cs="仿宋"/>
                <w:sz w:val="24"/>
              </w:rPr>
            </w:pPr>
          </w:p>
        </w:tc>
        <w:tc>
          <w:tcPr>
            <w:tcW w:w="1476" w:type="dxa"/>
            <w:vMerge/>
            <w:vAlign w:val="center"/>
          </w:tcPr>
          <w:p w:rsidR="00013EC7" w:rsidRDefault="00013EC7">
            <w:pPr>
              <w:spacing w:line="300" w:lineRule="exact"/>
              <w:rPr>
                <w:rFonts w:ascii="仿宋" w:eastAsia="仿宋" w:hAnsi="仿宋" w:cs="仿宋"/>
                <w:sz w:val="24"/>
              </w:rPr>
            </w:pPr>
          </w:p>
        </w:tc>
      </w:tr>
    </w:tbl>
    <w:p w:rsidR="00013EC7" w:rsidRDefault="00013EC7">
      <w:pPr>
        <w:jc w:val="right"/>
      </w:pPr>
    </w:p>
    <w:p w:rsidR="00013EC7" w:rsidRDefault="00013EC7">
      <w:pPr>
        <w:jc w:val="right"/>
      </w:pPr>
    </w:p>
    <w:p w:rsidR="00013EC7" w:rsidRDefault="00013EC7">
      <w:pPr>
        <w:jc w:val="right"/>
      </w:pPr>
    </w:p>
    <w:p w:rsidR="00013EC7" w:rsidRDefault="00013EC7">
      <w:pPr>
        <w:jc w:val="right"/>
      </w:pPr>
    </w:p>
    <w:p w:rsidR="00013EC7" w:rsidRDefault="00013EC7">
      <w:pPr>
        <w:jc w:val="right"/>
      </w:pPr>
    </w:p>
    <w:p w:rsidR="00013EC7" w:rsidRDefault="00013EC7">
      <w:pPr>
        <w:jc w:val="right"/>
      </w:pPr>
    </w:p>
    <w:p w:rsidR="00013EC7" w:rsidRDefault="00013EC7">
      <w:pPr>
        <w:jc w:val="right"/>
      </w:pPr>
    </w:p>
    <w:p w:rsidR="00013EC7" w:rsidRDefault="00013EC7">
      <w:pPr>
        <w:jc w:val="right"/>
      </w:pPr>
    </w:p>
    <w:p w:rsidR="00013EC7" w:rsidRDefault="00013EC7">
      <w:pPr>
        <w:jc w:val="right"/>
      </w:pPr>
    </w:p>
    <w:p w:rsidR="00013EC7" w:rsidRDefault="00013EC7">
      <w:pPr>
        <w:jc w:val="right"/>
      </w:pPr>
    </w:p>
    <w:p w:rsidR="00013EC7" w:rsidRDefault="00013EC7">
      <w:pPr>
        <w:jc w:val="right"/>
      </w:pPr>
    </w:p>
    <w:p w:rsidR="00013EC7" w:rsidRDefault="00013EC7"/>
    <w:p w:rsidR="00013EC7" w:rsidRDefault="00013EC7"/>
    <w:p w:rsidR="00013EC7" w:rsidRDefault="00013EC7"/>
    <w:p w:rsidR="00013EC7" w:rsidRDefault="00013EC7"/>
    <w:p w:rsidR="00013EC7" w:rsidRDefault="005262E6">
      <w:pPr>
        <w:sectPr w:rsidR="00013EC7">
          <w:pgSz w:w="23814" w:h="16840" w:orient="landscape"/>
          <w:pgMar w:top="1701" w:right="1843" w:bottom="1985" w:left="1843" w:header="851" w:footer="1701" w:gutter="0"/>
          <w:pgNumType w:fmt="numberInDash"/>
          <w:cols w:space="720"/>
          <w:docGrid w:type="lines" w:linePitch="312"/>
        </w:sectPr>
      </w:pPr>
      <w:bookmarkStart w:id="24" w:name="_Toc498705670"/>
      <w:r>
        <w:object w:dxaOrig="1440" w:dyaOrig="1440">
          <v:shape id="_x0000_s1419" type="#_x0000_t75" style="position:absolute;left:0;text-align:left;margin-left:21.55pt;margin-top:117.2pt;width:440.25pt;height:608.4pt;z-index:251746304;mso-wrap-distance-top:0;mso-wrap-distance-bottom:0;mso-position-vertical-relative:page;mso-width-relative:page;mso-height-relative:page">
            <v:imagedata r:id="rId21" o:title=""/>
            <o:lock v:ext="edit" aspectratio="f"/>
            <w10:wrap type="topAndBottom" anchory="page"/>
          </v:shape>
          <o:OLEObject Type="Embed" ProgID="Visio.Drawing.11" ShapeID="_x0000_s1419" DrawAspect="Content" ObjectID="_1577296149" r:id="rId22"/>
        </w:object>
      </w:r>
    </w:p>
    <w:p w:rsidR="00013EC7" w:rsidRDefault="00575CDB">
      <w:pPr>
        <w:pStyle w:val="2"/>
      </w:pPr>
      <w:bookmarkStart w:id="25" w:name="_Toc32671"/>
      <w:bookmarkStart w:id="26" w:name="_Toc18561"/>
      <w:bookmarkStart w:id="27" w:name="_Toc520"/>
      <w:bookmarkStart w:id="28" w:name="_Toc503467364"/>
      <w:r>
        <w:rPr>
          <w:rFonts w:hint="eastAsia"/>
        </w:rPr>
        <w:lastRenderedPageBreak/>
        <w:t>2.2</w:t>
      </w:r>
      <w:r>
        <w:rPr>
          <w:rFonts w:hint="eastAsia"/>
        </w:rPr>
        <w:t>停业登记</w:t>
      </w:r>
      <w:bookmarkEnd w:id="24"/>
      <w:bookmarkEnd w:id="25"/>
      <w:bookmarkEnd w:id="26"/>
      <w:bookmarkEnd w:id="27"/>
      <w:bookmarkEnd w:id="28"/>
    </w:p>
    <w:p w:rsidR="00013EC7" w:rsidRDefault="00575CDB">
      <w:pPr>
        <w:jc w:val="center"/>
        <w:rPr>
          <w:rFonts w:ascii="宋体" w:hAnsi="宋体" w:cs="宋体"/>
          <w:b/>
          <w:bCs/>
          <w:sz w:val="52"/>
          <w:szCs w:val="52"/>
        </w:rPr>
      </w:pPr>
      <w:r>
        <w:rPr>
          <w:rFonts w:ascii="宋体" w:hAnsi="宋体" w:cs="宋体" w:hint="eastAsia"/>
          <w:b/>
          <w:bCs/>
          <w:sz w:val="52"/>
          <w:szCs w:val="52"/>
        </w:rPr>
        <w:t>全省“最多跑一次”事项“八统一”梳理表</w:t>
      </w:r>
    </w:p>
    <w:tbl>
      <w:tblPr>
        <w:tblW w:w="205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2622"/>
        <w:gridCol w:w="2760"/>
        <w:gridCol w:w="1288"/>
        <w:gridCol w:w="2837"/>
        <w:gridCol w:w="1326"/>
        <w:gridCol w:w="2848"/>
        <w:gridCol w:w="868"/>
        <w:gridCol w:w="798"/>
        <w:gridCol w:w="958"/>
        <w:gridCol w:w="1104"/>
        <w:gridCol w:w="1476"/>
      </w:tblGrid>
      <w:tr w:rsidR="00013EC7" w:rsidTr="009A1EE1">
        <w:trPr>
          <w:trHeight w:val="340"/>
          <w:tblHeader/>
          <w:jc w:val="center"/>
        </w:trPr>
        <w:tc>
          <w:tcPr>
            <w:tcW w:w="672" w:type="dxa"/>
            <w:vMerge w:val="restart"/>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主项名称</w:t>
            </w:r>
          </w:p>
        </w:tc>
        <w:tc>
          <w:tcPr>
            <w:tcW w:w="1035" w:type="dxa"/>
            <w:vMerge w:val="restart"/>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子项名称</w:t>
            </w:r>
          </w:p>
        </w:tc>
        <w:tc>
          <w:tcPr>
            <w:tcW w:w="2622" w:type="dxa"/>
            <w:vMerge w:val="restart"/>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经办依据</w:t>
            </w:r>
          </w:p>
        </w:tc>
        <w:tc>
          <w:tcPr>
            <w:tcW w:w="4048" w:type="dxa"/>
            <w:gridSpan w:val="2"/>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原经办所需材料</w:t>
            </w:r>
          </w:p>
        </w:tc>
        <w:tc>
          <w:tcPr>
            <w:tcW w:w="7011" w:type="dxa"/>
            <w:gridSpan w:val="3"/>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精简后经办所需材料</w:t>
            </w:r>
          </w:p>
        </w:tc>
        <w:tc>
          <w:tcPr>
            <w:tcW w:w="1666" w:type="dxa"/>
            <w:gridSpan w:val="2"/>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办理时限</w:t>
            </w:r>
          </w:p>
        </w:tc>
        <w:tc>
          <w:tcPr>
            <w:tcW w:w="958" w:type="dxa"/>
            <w:vMerge w:val="restart"/>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是否实现跑零次</w:t>
            </w:r>
          </w:p>
        </w:tc>
        <w:tc>
          <w:tcPr>
            <w:tcW w:w="1104" w:type="dxa"/>
            <w:vMerge w:val="restart"/>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省厅对口</w:t>
            </w:r>
          </w:p>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指导处室</w:t>
            </w:r>
          </w:p>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（单位）</w:t>
            </w:r>
          </w:p>
        </w:tc>
        <w:tc>
          <w:tcPr>
            <w:tcW w:w="1476" w:type="dxa"/>
            <w:vMerge w:val="restart"/>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进一步精简、</w:t>
            </w:r>
          </w:p>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规范建议</w:t>
            </w:r>
          </w:p>
        </w:tc>
      </w:tr>
      <w:tr w:rsidR="00013EC7" w:rsidTr="009A1EE1">
        <w:trPr>
          <w:trHeight w:val="340"/>
          <w:tblHeader/>
          <w:jc w:val="center"/>
        </w:trPr>
        <w:tc>
          <w:tcPr>
            <w:tcW w:w="672" w:type="dxa"/>
            <w:vMerge/>
            <w:vAlign w:val="center"/>
          </w:tcPr>
          <w:p w:rsidR="00013EC7" w:rsidRDefault="00013EC7">
            <w:pPr>
              <w:jc w:val="center"/>
              <w:rPr>
                <w:rFonts w:ascii="黑体" w:eastAsia="黑体" w:hAnsi="黑体" w:cs="黑体"/>
                <w:sz w:val="24"/>
              </w:rPr>
            </w:pPr>
          </w:p>
        </w:tc>
        <w:tc>
          <w:tcPr>
            <w:tcW w:w="1035" w:type="dxa"/>
            <w:vMerge/>
            <w:vAlign w:val="center"/>
          </w:tcPr>
          <w:p w:rsidR="00013EC7" w:rsidRDefault="00013EC7">
            <w:pPr>
              <w:jc w:val="center"/>
              <w:rPr>
                <w:rFonts w:ascii="黑体" w:eastAsia="黑体" w:hAnsi="黑体" w:cs="黑体"/>
                <w:sz w:val="24"/>
              </w:rPr>
            </w:pPr>
          </w:p>
        </w:tc>
        <w:tc>
          <w:tcPr>
            <w:tcW w:w="2622" w:type="dxa"/>
            <w:vMerge/>
            <w:vAlign w:val="center"/>
          </w:tcPr>
          <w:p w:rsidR="00013EC7" w:rsidRDefault="00013EC7">
            <w:pPr>
              <w:jc w:val="center"/>
              <w:rPr>
                <w:rFonts w:ascii="黑体" w:eastAsia="黑体" w:hAnsi="黑体" w:cs="黑体"/>
                <w:sz w:val="24"/>
              </w:rPr>
            </w:pPr>
          </w:p>
        </w:tc>
        <w:tc>
          <w:tcPr>
            <w:tcW w:w="2760"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材料明细</w:t>
            </w:r>
          </w:p>
        </w:tc>
        <w:tc>
          <w:tcPr>
            <w:tcW w:w="1288"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材料来源</w:t>
            </w:r>
          </w:p>
        </w:tc>
        <w:tc>
          <w:tcPr>
            <w:tcW w:w="2837"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材料明细</w:t>
            </w:r>
          </w:p>
        </w:tc>
        <w:tc>
          <w:tcPr>
            <w:tcW w:w="1326"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材料来源</w:t>
            </w:r>
          </w:p>
        </w:tc>
        <w:tc>
          <w:tcPr>
            <w:tcW w:w="2848"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办理方式及材料</w:t>
            </w:r>
          </w:p>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信息获取方式说明</w:t>
            </w:r>
          </w:p>
        </w:tc>
        <w:tc>
          <w:tcPr>
            <w:tcW w:w="868"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优化前</w:t>
            </w:r>
          </w:p>
        </w:tc>
        <w:tc>
          <w:tcPr>
            <w:tcW w:w="798"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优化后</w:t>
            </w: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rsidTr="009A1EE1">
        <w:trPr>
          <w:trHeight w:val="1357"/>
          <w:jc w:val="center"/>
        </w:trPr>
        <w:tc>
          <w:tcPr>
            <w:tcW w:w="672"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2变更登记</w:t>
            </w:r>
          </w:p>
        </w:tc>
        <w:tc>
          <w:tcPr>
            <w:tcW w:w="1035" w:type="dxa"/>
            <w:vMerge w:val="restart"/>
            <w:vAlign w:val="center"/>
          </w:tcPr>
          <w:p w:rsidR="00013EC7" w:rsidRDefault="00575CDB">
            <w:pPr>
              <w:spacing w:line="310" w:lineRule="exact"/>
              <w:jc w:val="left"/>
              <w:rPr>
                <w:rFonts w:ascii="仿宋" w:eastAsia="仿宋" w:hAnsi="仿宋" w:cs="仿宋"/>
                <w:sz w:val="24"/>
              </w:rPr>
            </w:pPr>
            <w:r>
              <w:rPr>
                <w:rFonts w:ascii="仿宋" w:eastAsia="仿宋" w:hAnsi="仿宋" w:cs="仿宋" w:hint="eastAsia"/>
                <w:sz w:val="24"/>
              </w:rPr>
              <w:t>2.2停业登记</w:t>
            </w:r>
          </w:p>
        </w:tc>
        <w:tc>
          <w:tcPr>
            <w:tcW w:w="2622" w:type="dxa"/>
            <w:vMerge w:val="restart"/>
            <w:vAlign w:val="center"/>
          </w:tcPr>
          <w:p w:rsidR="00013EC7" w:rsidRDefault="00575CDB">
            <w:pPr>
              <w:jc w:val="left"/>
              <w:rPr>
                <w:rFonts w:ascii="仿宋" w:eastAsia="仿宋" w:hAnsi="仿宋" w:cs="仿宋"/>
                <w:sz w:val="24"/>
              </w:rPr>
            </w:pPr>
            <w:r>
              <w:rPr>
                <w:rFonts w:ascii="仿宋" w:eastAsia="仿宋" w:hAnsi="仿宋" w:cs="仿宋" w:hint="eastAsia"/>
                <w:sz w:val="24"/>
              </w:rPr>
              <w:t>（一）《中华人民共和国税收征收管理法实施细则》（2002年中华人民共和国国务院令第362号）第十八条。</w:t>
            </w:r>
          </w:p>
          <w:p w:rsidR="00013EC7" w:rsidRDefault="00575CDB">
            <w:pPr>
              <w:jc w:val="left"/>
              <w:rPr>
                <w:rFonts w:ascii="仿宋" w:eastAsia="仿宋" w:hAnsi="仿宋" w:cs="仿宋"/>
                <w:sz w:val="24"/>
              </w:rPr>
            </w:pPr>
            <w:r>
              <w:rPr>
                <w:rFonts w:ascii="仿宋" w:eastAsia="仿宋" w:hAnsi="仿宋" w:cs="仿宋" w:hint="eastAsia"/>
                <w:sz w:val="24"/>
              </w:rPr>
              <w:t>（二）《国家税务总局关于修改〈税务登记管理办法〉的决定》（2014年国家税务总局令第36号）第四章。</w:t>
            </w:r>
          </w:p>
          <w:p w:rsidR="00013EC7" w:rsidRDefault="00575CDB">
            <w:pPr>
              <w:jc w:val="left"/>
              <w:rPr>
                <w:rFonts w:ascii="仿宋" w:eastAsia="仿宋" w:hAnsi="仿宋" w:cs="仿宋"/>
                <w:sz w:val="24"/>
              </w:rPr>
            </w:pPr>
            <w:r>
              <w:rPr>
                <w:rFonts w:ascii="仿宋" w:eastAsia="仿宋" w:hAnsi="仿宋" w:cs="仿宋" w:hint="eastAsia"/>
                <w:sz w:val="24"/>
              </w:rPr>
              <w:t>（三）《个体工商户税收定期定额征收管理办法》（2006年国家税务总局令第16号）第二十一条。</w:t>
            </w:r>
          </w:p>
          <w:p w:rsidR="00013EC7" w:rsidRDefault="00013EC7">
            <w:pPr>
              <w:jc w:val="left"/>
              <w:rPr>
                <w:rFonts w:ascii="仿宋" w:eastAsia="仿宋" w:hAnsi="仿宋" w:cs="仿宋"/>
                <w:kern w:val="1"/>
                <w:sz w:val="24"/>
              </w:rPr>
            </w:pPr>
          </w:p>
        </w:tc>
        <w:tc>
          <w:tcPr>
            <w:tcW w:w="2760" w:type="dxa"/>
            <w:vAlign w:val="center"/>
          </w:tcPr>
          <w:p w:rsidR="00013EC7" w:rsidRDefault="00575CDB">
            <w:pPr>
              <w:jc w:val="left"/>
              <w:rPr>
                <w:rFonts w:ascii="仿宋" w:eastAsia="仿宋" w:hAnsi="仿宋" w:cs="仿宋"/>
                <w:kern w:val="1"/>
                <w:sz w:val="24"/>
              </w:rPr>
            </w:pPr>
            <w:r>
              <w:rPr>
                <w:rFonts w:ascii="仿宋" w:eastAsia="仿宋" w:hAnsi="仿宋" w:cs="仿宋" w:hint="eastAsia"/>
                <w:kern w:val="1"/>
                <w:sz w:val="24"/>
              </w:rPr>
              <w:t>（一）（A01012）《停业复业报告书》</w:t>
            </w:r>
            <w:r>
              <w:rPr>
                <w:rFonts w:ascii="仿宋" w:eastAsia="仿宋" w:hAnsi="仿宋" w:cs="仿宋" w:hint="eastAsia"/>
                <w:kern w:val="1"/>
                <w:sz w:val="24"/>
                <w:shd w:val="clear" w:color="FFFFFF" w:fill="D9D9D9"/>
              </w:rPr>
              <w:t>2份。</w:t>
            </w:r>
          </w:p>
        </w:tc>
        <w:tc>
          <w:tcPr>
            <w:tcW w:w="1288"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纳税人提交</w:t>
            </w:r>
          </w:p>
        </w:tc>
        <w:tc>
          <w:tcPr>
            <w:tcW w:w="2837" w:type="dxa"/>
            <w:vAlign w:val="center"/>
          </w:tcPr>
          <w:p w:rsidR="00013EC7" w:rsidRDefault="00575CDB">
            <w:pPr>
              <w:jc w:val="left"/>
              <w:rPr>
                <w:rFonts w:ascii="仿宋" w:eastAsia="仿宋" w:hAnsi="仿宋" w:cs="仿宋"/>
                <w:kern w:val="1"/>
                <w:sz w:val="24"/>
              </w:rPr>
            </w:pPr>
            <w:r>
              <w:rPr>
                <w:rFonts w:ascii="仿宋" w:eastAsia="仿宋" w:hAnsi="仿宋" w:cs="仿宋" w:hint="eastAsia"/>
                <w:kern w:val="1"/>
                <w:sz w:val="24"/>
              </w:rPr>
              <w:t>（一）（A01012）《停业复业报告书》1份。</w:t>
            </w:r>
          </w:p>
        </w:tc>
        <w:tc>
          <w:tcPr>
            <w:tcW w:w="1326"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纳税人提交</w:t>
            </w:r>
          </w:p>
        </w:tc>
        <w:tc>
          <w:tcPr>
            <w:tcW w:w="2848"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纳税人提交书面材料。</w:t>
            </w:r>
          </w:p>
          <w:p w:rsidR="00013EC7" w:rsidRDefault="00575CDB">
            <w:pPr>
              <w:spacing w:line="300" w:lineRule="exact"/>
              <w:jc w:val="left"/>
              <w:rPr>
                <w:rFonts w:ascii="仿宋" w:eastAsia="仿宋" w:hAnsi="仿宋" w:cs="仿宋"/>
                <w:b/>
                <w:sz w:val="24"/>
              </w:rPr>
            </w:pPr>
            <w:r>
              <w:rPr>
                <w:rFonts w:ascii="仿宋" w:eastAsia="仿宋" w:hAnsi="仿宋" w:cs="仿宋" w:hint="eastAsia"/>
                <w:b/>
                <w:sz w:val="24"/>
              </w:rPr>
              <w:t>网上办理：</w:t>
            </w:r>
            <w:r>
              <w:rPr>
                <w:rFonts w:ascii="仿宋" w:eastAsia="仿宋" w:hAnsi="仿宋" w:cs="仿宋" w:hint="eastAsia"/>
                <w:sz w:val="24"/>
              </w:rPr>
              <w:t>登录浙江国税电子税务局（网址：</w:t>
            </w:r>
            <w:hyperlink r:id="rId23" w:tgtFrame="https://wx.qq.com/_blank" w:history="1">
              <w:r>
                <w:rPr>
                  <w:rFonts w:ascii="仿宋" w:eastAsia="仿宋" w:hAnsi="仿宋" w:cs="仿宋" w:hint="eastAsia"/>
                  <w:sz w:val="24"/>
                </w:rPr>
                <w:t>http://etax.zjtax.gov.cn/</w:t>
              </w:r>
            </w:hyperlink>
            <w:r>
              <w:rPr>
                <w:rFonts w:ascii="仿宋" w:eastAsia="仿宋" w:hAnsi="仿宋" w:cs="仿宋" w:hint="eastAsia"/>
                <w:sz w:val="24"/>
              </w:rPr>
              <w:t>）提交申请。</w:t>
            </w:r>
          </w:p>
          <w:p w:rsidR="00013EC7" w:rsidRDefault="00575CDB">
            <w:pPr>
              <w:spacing w:line="300" w:lineRule="exact"/>
              <w:jc w:val="left"/>
              <w:rPr>
                <w:rFonts w:ascii="仿宋" w:eastAsia="仿宋" w:hAnsi="仿宋" w:cs="仿宋"/>
                <w:sz w:val="24"/>
              </w:rPr>
            </w:pPr>
            <w:r>
              <w:rPr>
                <w:rFonts w:ascii="仿宋" w:eastAsia="仿宋" w:hAnsi="仿宋" w:cs="仿宋" w:hint="eastAsia"/>
                <w:b/>
                <w:bCs/>
                <w:sz w:val="24"/>
              </w:rPr>
              <w:t>APP办理：</w:t>
            </w:r>
            <w:r w:rsidR="006776D1">
              <w:rPr>
                <w:rFonts w:ascii="仿宋" w:eastAsia="仿宋" w:hAnsi="仿宋" w:cs="仿宋" w:hint="eastAsia"/>
                <w:sz w:val="24"/>
              </w:rPr>
              <w:t>登录浙江国税APP提交申请。</w:t>
            </w:r>
          </w:p>
        </w:tc>
        <w:tc>
          <w:tcPr>
            <w:tcW w:w="868"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即时办结</w:t>
            </w:r>
          </w:p>
        </w:tc>
        <w:tc>
          <w:tcPr>
            <w:tcW w:w="798"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即时办结</w:t>
            </w:r>
          </w:p>
        </w:tc>
        <w:tc>
          <w:tcPr>
            <w:tcW w:w="958"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是</w:t>
            </w:r>
          </w:p>
        </w:tc>
        <w:tc>
          <w:tcPr>
            <w:tcW w:w="1104"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征管科技处</w:t>
            </w:r>
          </w:p>
        </w:tc>
        <w:tc>
          <w:tcPr>
            <w:tcW w:w="1476" w:type="dxa"/>
            <w:vMerge w:val="restart"/>
            <w:vAlign w:val="center"/>
          </w:tcPr>
          <w:p w:rsidR="00013EC7" w:rsidRDefault="00013EC7">
            <w:pPr>
              <w:pStyle w:val="14"/>
              <w:autoSpaceDE w:val="0"/>
              <w:autoSpaceDN w:val="0"/>
              <w:jc w:val="left"/>
              <w:rPr>
                <w:rFonts w:ascii="仿宋" w:eastAsia="仿宋" w:hAnsi="仿宋" w:cs="仿宋"/>
                <w:sz w:val="24"/>
              </w:rPr>
            </w:pPr>
          </w:p>
        </w:tc>
      </w:tr>
      <w:tr w:rsidR="00013EC7" w:rsidTr="009A1EE1">
        <w:trPr>
          <w:trHeight w:val="1354"/>
          <w:jc w:val="center"/>
        </w:trPr>
        <w:tc>
          <w:tcPr>
            <w:tcW w:w="672" w:type="dxa"/>
            <w:vMerge/>
            <w:vAlign w:val="center"/>
          </w:tcPr>
          <w:p w:rsidR="00013EC7" w:rsidRDefault="00013EC7">
            <w:pPr>
              <w:spacing w:line="300" w:lineRule="exact"/>
              <w:jc w:val="left"/>
              <w:rPr>
                <w:rFonts w:ascii="仿宋" w:eastAsia="仿宋" w:hAnsi="仿宋" w:cs="仿宋"/>
                <w:sz w:val="24"/>
              </w:rPr>
            </w:pPr>
          </w:p>
        </w:tc>
        <w:tc>
          <w:tcPr>
            <w:tcW w:w="1035" w:type="dxa"/>
            <w:vMerge/>
            <w:vAlign w:val="center"/>
          </w:tcPr>
          <w:p w:rsidR="00013EC7" w:rsidRDefault="00013EC7">
            <w:pPr>
              <w:spacing w:line="310" w:lineRule="exact"/>
              <w:jc w:val="left"/>
              <w:rPr>
                <w:rFonts w:ascii="仿宋" w:eastAsia="仿宋" w:hAnsi="仿宋" w:cs="仿宋"/>
                <w:sz w:val="24"/>
              </w:rPr>
            </w:pPr>
          </w:p>
        </w:tc>
        <w:tc>
          <w:tcPr>
            <w:tcW w:w="2622" w:type="dxa"/>
            <w:vMerge/>
            <w:vAlign w:val="center"/>
          </w:tcPr>
          <w:p w:rsidR="00013EC7" w:rsidRDefault="00013EC7">
            <w:pPr>
              <w:jc w:val="left"/>
              <w:rPr>
                <w:rFonts w:ascii="仿宋" w:eastAsia="仿宋" w:hAnsi="仿宋" w:cs="仿宋"/>
                <w:kern w:val="1"/>
                <w:sz w:val="24"/>
              </w:rPr>
            </w:pPr>
          </w:p>
        </w:tc>
        <w:tc>
          <w:tcPr>
            <w:tcW w:w="2760" w:type="dxa"/>
            <w:vAlign w:val="center"/>
          </w:tcPr>
          <w:p w:rsidR="00013EC7" w:rsidRDefault="00575CDB">
            <w:pPr>
              <w:jc w:val="left"/>
              <w:rPr>
                <w:rFonts w:ascii="仿宋" w:eastAsia="仿宋" w:hAnsi="仿宋" w:cs="仿宋"/>
                <w:kern w:val="1"/>
                <w:sz w:val="24"/>
              </w:rPr>
            </w:pPr>
            <w:r>
              <w:rPr>
                <w:rFonts w:ascii="仿宋" w:eastAsia="仿宋" w:hAnsi="仿宋" w:cs="仿宋" w:hint="eastAsia"/>
                <w:kern w:val="1"/>
                <w:sz w:val="24"/>
              </w:rPr>
              <w:t>（二）《税务登记证》及副本或加载统一社会信用代码的营业执照。</w:t>
            </w:r>
          </w:p>
        </w:tc>
        <w:tc>
          <w:tcPr>
            <w:tcW w:w="1288" w:type="dxa"/>
            <w:vMerge/>
            <w:vAlign w:val="center"/>
          </w:tcPr>
          <w:p w:rsidR="00013EC7" w:rsidRDefault="00013EC7">
            <w:pPr>
              <w:spacing w:line="300" w:lineRule="exact"/>
              <w:jc w:val="left"/>
              <w:rPr>
                <w:rFonts w:ascii="仿宋" w:eastAsia="仿宋" w:hAnsi="仿宋" w:cs="仿宋"/>
                <w:sz w:val="24"/>
              </w:rPr>
            </w:pPr>
          </w:p>
        </w:tc>
        <w:tc>
          <w:tcPr>
            <w:tcW w:w="2837" w:type="dxa"/>
            <w:vAlign w:val="center"/>
          </w:tcPr>
          <w:p w:rsidR="00013EC7" w:rsidRDefault="00575CDB">
            <w:pPr>
              <w:jc w:val="left"/>
              <w:rPr>
                <w:rFonts w:ascii="仿宋" w:eastAsia="仿宋" w:hAnsi="仿宋" w:cs="仿宋"/>
                <w:kern w:val="1"/>
                <w:sz w:val="24"/>
              </w:rPr>
            </w:pPr>
            <w:r>
              <w:rPr>
                <w:rFonts w:ascii="仿宋" w:eastAsia="仿宋" w:hAnsi="仿宋" w:cs="仿宋" w:hint="eastAsia"/>
                <w:kern w:val="1"/>
                <w:sz w:val="24"/>
              </w:rPr>
              <w:t>（二）《税务登记证》及副本或加载统一社会信用代码的营业执照（已实行实名制的可取消报送）。</w:t>
            </w:r>
          </w:p>
        </w:tc>
        <w:tc>
          <w:tcPr>
            <w:tcW w:w="1326" w:type="dxa"/>
            <w:vMerge/>
            <w:vAlign w:val="center"/>
          </w:tcPr>
          <w:p w:rsidR="00013EC7" w:rsidRDefault="00013EC7">
            <w:pPr>
              <w:spacing w:line="300" w:lineRule="exact"/>
              <w:jc w:val="left"/>
              <w:rPr>
                <w:rFonts w:ascii="仿宋" w:eastAsia="仿宋" w:hAnsi="仿宋" w:cs="仿宋"/>
                <w:sz w:val="24"/>
              </w:rPr>
            </w:pPr>
          </w:p>
        </w:tc>
        <w:tc>
          <w:tcPr>
            <w:tcW w:w="2848" w:type="dxa"/>
            <w:vMerge/>
            <w:vAlign w:val="center"/>
          </w:tcPr>
          <w:p w:rsidR="00013EC7" w:rsidRDefault="00013EC7">
            <w:pPr>
              <w:spacing w:line="300" w:lineRule="exact"/>
              <w:jc w:val="left"/>
              <w:rPr>
                <w:rFonts w:ascii="仿宋" w:eastAsia="仿宋" w:hAnsi="仿宋" w:cs="仿宋"/>
                <w:b/>
                <w:sz w:val="24"/>
              </w:rPr>
            </w:pPr>
          </w:p>
        </w:tc>
        <w:tc>
          <w:tcPr>
            <w:tcW w:w="868" w:type="dxa"/>
            <w:vMerge/>
            <w:vAlign w:val="center"/>
          </w:tcPr>
          <w:p w:rsidR="00013EC7" w:rsidRDefault="00013EC7">
            <w:pPr>
              <w:spacing w:line="300" w:lineRule="exact"/>
              <w:jc w:val="left"/>
              <w:rPr>
                <w:rFonts w:ascii="仿宋" w:eastAsia="仿宋" w:hAnsi="仿宋" w:cs="仿宋"/>
                <w:sz w:val="24"/>
              </w:rPr>
            </w:pPr>
          </w:p>
        </w:tc>
        <w:tc>
          <w:tcPr>
            <w:tcW w:w="798" w:type="dxa"/>
            <w:vMerge/>
            <w:vAlign w:val="center"/>
          </w:tcPr>
          <w:p w:rsidR="00013EC7" w:rsidRDefault="00013EC7">
            <w:pPr>
              <w:spacing w:line="300" w:lineRule="exact"/>
              <w:jc w:val="left"/>
              <w:rPr>
                <w:rFonts w:ascii="仿宋" w:eastAsia="仿宋" w:hAnsi="仿宋" w:cs="仿宋"/>
                <w:sz w:val="24"/>
              </w:rPr>
            </w:pPr>
          </w:p>
        </w:tc>
        <w:tc>
          <w:tcPr>
            <w:tcW w:w="958" w:type="dxa"/>
            <w:vMerge/>
            <w:vAlign w:val="center"/>
          </w:tcPr>
          <w:p w:rsidR="00013EC7" w:rsidRDefault="00013EC7">
            <w:pPr>
              <w:spacing w:line="300" w:lineRule="exact"/>
              <w:jc w:val="left"/>
              <w:rPr>
                <w:rFonts w:ascii="仿宋" w:eastAsia="仿宋" w:hAnsi="仿宋" w:cs="仿宋"/>
                <w:sz w:val="24"/>
              </w:rPr>
            </w:pPr>
          </w:p>
        </w:tc>
        <w:tc>
          <w:tcPr>
            <w:tcW w:w="1104" w:type="dxa"/>
            <w:vMerge/>
            <w:vAlign w:val="center"/>
          </w:tcPr>
          <w:p w:rsidR="00013EC7" w:rsidRDefault="00013EC7">
            <w:pPr>
              <w:spacing w:line="300" w:lineRule="exact"/>
              <w:jc w:val="left"/>
              <w:rPr>
                <w:rFonts w:ascii="仿宋" w:eastAsia="仿宋" w:hAnsi="仿宋" w:cs="仿宋"/>
                <w:sz w:val="24"/>
              </w:rPr>
            </w:pPr>
          </w:p>
        </w:tc>
        <w:tc>
          <w:tcPr>
            <w:tcW w:w="1476" w:type="dxa"/>
            <w:vMerge/>
            <w:vAlign w:val="center"/>
          </w:tcPr>
          <w:p w:rsidR="00013EC7" w:rsidRDefault="00013EC7">
            <w:pPr>
              <w:spacing w:line="300" w:lineRule="exact"/>
              <w:jc w:val="left"/>
              <w:rPr>
                <w:rFonts w:ascii="仿宋" w:eastAsia="仿宋" w:hAnsi="仿宋" w:cs="仿宋"/>
                <w:sz w:val="24"/>
              </w:rPr>
            </w:pPr>
          </w:p>
        </w:tc>
      </w:tr>
      <w:tr w:rsidR="00013EC7" w:rsidTr="009A1EE1">
        <w:trPr>
          <w:trHeight w:val="1099"/>
          <w:jc w:val="center"/>
        </w:trPr>
        <w:tc>
          <w:tcPr>
            <w:tcW w:w="672" w:type="dxa"/>
            <w:vMerge/>
            <w:vAlign w:val="center"/>
          </w:tcPr>
          <w:p w:rsidR="00013EC7" w:rsidRDefault="00013EC7">
            <w:pPr>
              <w:spacing w:line="300" w:lineRule="exact"/>
              <w:jc w:val="left"/>
              <w:rPr>
                <w:rFonts w:ascii="仿宋" w:eastAsia="仿宋" w:hAnsi="仿宋" w:cs="仿宋"/>
                <w:sz w:val="24"/>
              </w:rPr>
            </w:pPr>
          </w:p>
        </w:tc>
        <w:tc>
          <w:tcPr>
            <w:tcW w:w="1035" w:type="dxa"/>
            <w:vMerge/>
            <w:vAlign w:val="center"/>
          </w:tcPr>
          <w:p w:rsidR="00013EC7" w:rsidRDefault="00013EC7">
            <w:pPr>
              <w:spacing w:line="310" w:lineRule="exact"/>
              <w:jc w:val="left"/>
              <w:rPr>
                <w:rFonts w:ascii="仿宋" w:eastAsia="仿宋" w:hAnsi="仿宋" w:cs="仿宋"/>
                <w:sz w:val="24"/>
              </w:rPr>
            </w:pPr>
          </w:p>
        </w:tc>
        <w:tc>
          <w:tcPr>
            <w:tcW w:w="2622" w:type="dxa"/>
            <w:vMerge/>
            <w:vAlign w:val="center"/>
          </w:tcPr>
          <w:p w:rsidR="00013EC7" w:rsidRDefault="00013EC7">
            <w:pPr>
              <w:jc w:val="left"/>
              <w:rPr>
                <w:rFonts w:ascii="仿宋" w:eastAsia="仿宋" w:hAnsi="仿宋" w:cs="仿宋"/>
                <w:kern w:val="1"/>
                <w:sz w:val="24"/>
              </w:rPr>
            </w:pPr>
          </w:p>
        </w:tc>
        <w:tc>
          <w:tcPr>
            <w:tcW w:w="2760" w:type="dxa"/>
            <w:vAlign w:val="center"/>
          </w:tcPr>
          <w:p w:rsidR="00013EC7" w:rsidRDefault="00575CDB">
            <w:pPr>
              <w:jc w:val="left"/>
              <w:rPr>
                <w:rFonts w:ascii="仿宋" w:eastAsia="仿宋" w:hAnsi="仿宋" w:cs="仿宋"/>
                <w:kern w:val="1"/>
                <w:sz w:val="24"/>
              </w:rPr>
            </w:pPr>
            <w:r>
              <w:rPr>
                <w:rFonts w:ascii="仿宋" w:eastAsia="仿宋" w:hAnsi="仿宋" w:cs="仿宋" w:hint="eastAsia"/>
                <w:kern w:val="1"/>
                <w:sz w:val="24"/>
              </w:rPr>
              <w:t>（三）</w:t>
            </w:r>
            <w:r>
              <w:rPr>
                <w:rFonts w:ascii="仿宋" w:eastAsia="仿宋" w:hAnsi="仿宋" w:cs="仿宋" w:hint="eastAsia"/>
                <w:kern w:val="1"/>
                <w:sz w:val="24"/>
                <w:shd w:val="clear" w:color="FFFFFF" w:fill="D9D9D9"/>
              </w:rPr>
              <w:t>（A02009）《发票领用簿》</w:t>
            </w:r>
            <w:r>
              <w:rPr>
                <w:rFonts w:ascii="仿宋" w:eastAsia="仿宋" w:hAnsi="仿宋" w:cs="仿宋" w:hint="eastAsia"/>
                <w:kern w:val="1"/>
                <w:sz w:val="24"/>
              </w:rPr>
              <w:t>及未验旧、未使用的发票。</w:t>
            </w:r>
          </w:p>
        </w:tc>
        <w:tc>
          <w:tcPr>
            <w:tcW w:w="1288" w:type="dxa"/>
            <w:vMerge/>
            <w:vAlign w:val="center"/>
          </w:tcPr>
          <w:p w:rsidR="00013EC7" w:rsidRDefault="00013EC7">
            <w:pPr>
              <w:spacing w:line="300" w:lineRule="exact"/>
              <w:jc w:val="left"/>
              <w:rPr>
                <w:rFonts w:ascii="仿宋" w:eastAsia="仿宋" w:hAnsi="仿宋" w:cs="仿宋"/>
                <w:sz w:val="24"/>
              </w:rPr>
            </w:pPr>
          </w:p>
        </w:tc>
        <w:tc>
          <w:tcPr>
            <w:tcW w:w="2837" w:type="dxa"/>
            <w:vAlign w:val="center"/>
          </w:tcPr>
          <w:p w:rsidR="00013EC7" w:rsidRDefault="00575CDB">
            <w:pPr>
              <w:jc w:val="left"/>
              <w:rPr>
                <w:rFonts w:ascii="仿宋" w:eastAsia="仿宋" w:hAnsi="仿宋" w:cs="仿宋"/>
                <w:kern w:val="1"/>
                <w:sz w:val="24"/>
              </w:rPr>
            </w:pPr>
            <w:r>
              <w:rPr>
                <w:rFonts w:ascii="仿宋" w:eastAsia="仿宋" w:hAnsi="仿宋" w:cs="仿宋" w:hint="eastAsia"/>
                <w:kern w:val="1"/>
                <w:sz w:val="24"/>
              </w:rPr>
              <w:t>（三）未验旧、未使用的发票。</w:t>
            </w:r>
          </w:p>
        </w:tc>
        <w:tc>
          <w:tcPr>
            <w:tcW w:w="1326" w:type="dxa"/>
            <w:vMerge/>
            <w:vAlign w:val="center"/>
          </w:tcPr>
          <w:p w:rsidR="00013EC7" w:rsidRDefault="00013EC7">
            <w:pPr>
              <w:spacing w:line="300" w:lineRule="exact"/>
              <w:jc w:val="left"/>
              <w:rPr>
                <w:rFonts w:ascii="仿宋" w:eastAsia="仿宋" w:hAnsi="仿宋" w:cs="仿宋"/>
                <w:sz w:val="24"/>
              </w:rPr>
            </w:pPr>
          </w:p>
        </w:tc>
        <w:tc>
          <w:tcPr>
            <w:tcW w:w="2848" w:type="dxa"/>
            <w:vMerge/>
            <w:vAlign w:val="center"/>
          </w:tcPr>
          <w:p w:rsidR="00013EC7" w:rsidRDefault="00013EC7">
            <w:pPr>
              <w:spacing w:line="300" w:lineRule="exact"/>
              <w:jc w:val="left"/>
              <w:rPr>
                <w:rFonts w:ascii="仿宋" w:eastAsia="仿宋" w:hAnsi="仿宋" w:cs="仿宋"/>
                <w:b/>
                <w:sz w:val="24"/>
              </w:rPr>
            </w:pPr>
          </w:p>
        </w:tc>
        <w:tc>
          <w:tcPr>
            <w:tcW w:w="868" w:type="dxa"/>
            <w:vMerge/>
            <w:vAlign w:val="center"/>
          </w:tcPr>
          <w:p w:rsidR="00013EC7" w:rsidRDefault="00013EC7">
            <w:pPr>
              <w:spacing w:line="300" w:lineRule="exact"/>
              <w:jc w:val="left"/>
              <w:rPr>
                <w:rFonts w:ascii="仿宋" w:eastAsia="仿宋" w:hAnsi="仿宋" w:cs="仿宋"/>
                <w:sz w:val="24"/>
              </w:rPr>
            </w:pPr>
          </w:p>
        </w:tc>
        <w:tc>
          <w:tcPr>
            <w:tcW w:w="798" w:type="dxa"/>
            <w:vMerge/>
            <w:vAlign w:val="center"/>
          </w:tcPr>
          <w:p w:rsidR="00013EC7" w:rsidRDefault="00013EC7">
            <w:pPr>
              <w:spacing w:line="300" w:lineRule="exact"/>
              <w:jc w:val="left"/>
              <w:rPr>
                <w:rFonts w:ascii="仿宋" w:eastAsia="仿宋" w:hAnsi="仿宋" w:cs="仿宋"/>
                <w:sz w:val="24"/>
              </w:rPr>
            </w:pPr>
          </w:p>
        </w:tc>
        <w:tc>
          <w:tcPr>
            <w:tcW w:w="958" w:type="dxa"/>
            <w:vMerge/>
            <w:vAlign w:val="center"/>
          </w:tcPr>
          <w:p w:rsidR="00013EC7" w:rsidRDefault="00013EC7">
            <w:pPr>
              <w:spacing w:line="300" w:lineRule="exact"/>
              <w:jc w:val="left"/>
              <w:rPr>
                <w:rFonts w:ascii="仿宋" w:eastAsia="仿宋" w:hAnsi="仿宋" w:cs="仿宋"/>
                <w:sz w:val="24"/>
              </w:rPr>
            </w:pPr>
          </w:p>
        </w:tc>
        <w:tc>
          <w:tcPr>
            <w:tcW w:w="1104" w:type="dxa"/>
            <w:vMerge/>
            <w:vAlign w:val="center"/>
          </w:tcPr>
          <w:p w:rsidR="00013EC7" w:rsidRDefault="00013EC7">
            <w:pPr>
              <w:spacing w:line="300" w:lineRule="exact"/>
              <w:jc w:val="left"/>
              <w:rPr>
                <w:rFonts w:ascii="仿宋" w:eastAsia="仿宋" w:hAnsi="仿宋" w:cs="仿宋"/>
                <w:sz w:val="24"/>
              </w:rPr>
            </w:pPr>
          </w:p>
        </w:tc>
        <w:tc>
          <w:tcPr>
            <w:tcW w:w="1476" w:type="dxa"/>
            <w:vMerge/>
            <w:vAlign w:val="center"/>
          </w:tcPr>
          <w:p w:rsidR="00013EC7" w:rsidRDefault="00013EC7">
            <w:pPr>
              <w:spacing w:line="300" w:lineRule="exact"/>
              <w:jc w:val="left"/>
              <w:rPr>
                <w:rFonts w:ascii="仿宋" w:eastAsia="仿宋" w:hAnsi="仿宋" w:cs="仿宋"/>
                <w:sz w:val="24"/>
              </w:rPr>
            </w:pPr>
          </w:p>
        </w:tc>
      </w:tr>
    </w:tbl>
    <w:p w:rsidR="00013EC7" w:rsidRDefault="00013EC7">
      <w:pPr>
        <w:jc w:val="left"/>
        <w:rPr>
          <w:rFonts w:ascii="仿宋" w:eastAsia="仿宋" w:hAnsi="仿宋" w:cs="仿宋"/>
          <w:sz w:val="24"/>
        </w:rPr>
      </w:pPr>
    </w:p>
    <w:p w:rsidR="00013EC7" w:rsidRDefault="005262E6">
      <w:pPr>
        <w:tabs>
          <w:tab w:val="left" w:pos="13278"/>
        </w:tabs>
        <w:jc w:val="left"/>
      </w:pPr>
      <w:r>
        <w:lastRenderedPageBreak/>
        <w:object w:dxaOrig="1440" w:dyaOrig="1440">
          <v:shape id="_x0000_s1318" type="#_x0000_t75" style="position:absolute;margin-left:524.05pt;margin-top:103.85pt;width:481.9pt;height:622.25pt;z-index:251643904;mso-wrap-distance-top:0;mso-wrap-distance-bottom:0;mso-position-vertical-relative:page;mso-width-relative:page;mso-height-relative:page">
            <v:imagedata r:id="rId24" o:title=""/>
            <o:lock v:ext="edit" aspectratio="f"/>
            <w10:wrap type="topAndBottom" anchory="page"/>
          </v:shape>
          <o:OLEObject Type="Embed" ProgID="Visio.Drawing.11" ShapeID="_x0000_s1318" DrawAspect="Content" ObjectID="_1577296150" r:id="rId25"/>
        </w:object>
      </w:r>
      <w:r>
        <w:object w:dxaOrig="1440" w:dyaOrig="1440">
          <v:shape id="_x0000_s1317" type="#_x0000_t75" style="position:absolute;margin-left:14.1pt;margin-top:105.35pt;width:481.9pt;height:638pt;z-index:251642880;mso-wrap-distance-top:0;mso-wrap-distance-bottom:0;mso-position-vertical-relative:page;mso-width-relative:page;mso-height-relative:page">
            <v:imagedata r:id="rId26" o:title=""/>
            <o:lock v:ext="edit" aspectratio="f"/>
            <w10:wrap type="topAndBottom" anchory="page"/>
          </v:shape>
          <o:OLEObject Type="Embed" ProgID="Visio.Drawing.11" ShapeID="_x0000_s1317" DrawAspect="Content" ObjectID="_1577296151" r:id="rId27"/>
        </w:object>
      </w:r>
      <w:r w:rsidR="00575CDB">
        <w:br w:type="page"/>
      </w:r>
    </w:p>
    <w:p w:rsidR="00013EC7" w:rsidRDefault="00575CDB">
      <w:pPr>
        <w:pStyle w:val="2"/>
      </w:pPr>
      <w:bookmarkStart w:id="29" w:name="_Toc3150"/>
      <w:bookmarkStart w:id="30" w:name="_Toc503467365"/>
      <w:bookmarkStart w:id="31" w:name="_Toc498705671"/>
      <w:bookmarkStart w:id="32" w:name="_Toc13849"/>
      <w:bookmarkStart w:id="33" w:name="_Toc28635"/>
      <w:r>
        <w:rPr>
          <w:rFonts w:hint="eastAsia"/>
        </w:rPr>
        <w:lastRenderedPageBreak/>
        <w:t>2.3</w:t>
      </w:r>
      <w:r>
        <w:rPr>
          <w:rFonts w:hint="eastAsia"/>
        </w:rPr>
        <w:t>复业登记</w:t>
      </w:r>
      <w:bookmarkEnd w:id="29"/>
      <w:bookmarkEnd w:id="30"/>
      <w:bookmarkEnd w:id="31"/>
      <w:bookmarkEnd w:id="32"/>
      <w:bookmarkEnd w:id="33"/>
    </w:p>
    <w:p w:rsidR="00013EC7" w:rsidRDefault="00575CDB">
      <w:pPr>
        <w:jc w:val="center"/>
        <w:rPr>
          <w:rFonts w:ascii="宋体" w:hAnsi="宋体" w:cs="宋体"/>
          <w:b/>
          <w:bCs/>
          <w:sz w:val="44"/>
          <w:szCs w:val="44"/>
        </w:rPr>
      </w:pPr>
      <w:r>
        <w:rPr>
          <w:rFonts w:ascii="宋体" w:hAnsi="宋体" w:cs="宋体" w:hint="eastAsia"/>
          <w:b/>
          <w:bCs/>
          <w:sz w:val="52"/>
          <w:szCs w:val="52"/>
        </w:rPr>
        <w:t>全省“最多跑一次”事项“八统一”梳理表</w:t>
      </w:r>
    </w:p>
    <w:tbl>
      <w:tblPr>
        <w:tblW w:w="20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1250"/>
        <w:gridCol w:w="1316"/>
        <w:gridCol w:w="2114"/>
        <w:gridCol w:w="2785"/>
        <w:gridCol w:w="1118"/>
        <w:gridCol w:w="2403"/>
        <w:gridCol w:w="1196"/>
        <w:gridCol w:w="3318"/>
        <w:gridCol w:w="868"/>
        <w:gridCol w:w="798"/>
        <w:gridCol w:w="958"/>
        <w:gridCol w:w="1104"/>
        <w:gridCol w:w="1476"/>
      </w:tblGrid>
      <w:tr w:rsidR="00013EC7" w:rsidTr="009A1EE1">
        <w:trPr>
          <w:trHeight w:val="340"/>
          <w:tblHeader/>
          <w:jc w:val="center"/>
        </w:trPr>
        <w:tc>
          <w:tcPr>
            <w:tcW w:w="1250"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主项名称</w:t>
            </w:r>
          </w:p>
        </w:tc>
        <w:tc>
          <w:tcPr>
            <w:tcW w:w="1316"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子项名称</w:t>
            </w:r>
          </w:p>
        </w:tc>
        <w:tc>
          <w:tcPr>
            <w:tcW w:w="2114"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经办依据</w:t>
            </w:r>
          </w:p>
        </w:tc>
        <w:tc>
          <w:tcPr>
            <w:tcW w:w="3903"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原经办所需材料</w:t>
            </w:r>
          </w:p>
        </w:tc>
        <w:tc>
          <w:tcPr>
            <w:tcW w:w="6917" w:type="dxa"/>
            <w:gridSpan w:val="3"/>
            <w:vAlign w:val="center"/>
          </w:tcPr>
          <w:p w:rsidR="00013EC7" w:rsidRDefault="00575CDB">
            <w:pPr>
              <w:spacing w:line="280" w:lineRule="exact"/>
              <w:jc w:val="center"/>
              <w:rPr>
                <w:rFonts w:ascii="黑体" w:eastAsia="黑体"/>
                <w:sz w:val="24"/>
              </w:rPr>
            </w:pPr>
            <w:r>
              <w:rPr>
                <w:rFonts w:ascii="黑体" w:eastAsia="黑体" w:hint="eastAsia"/>
                <w:sz w:val="24"/>
              </w:rPr>
              <w:t>梳理后经办所需材料</w:t>
            </w:r>
          </w:p>
        </w:tc>
        <w:tc>
          <w:tcPr>
            <w:tcW w:w="1666"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办理时限</w:t>
            </w:r>
          </w:p>
        </w:tc>
        <w:tc>
          <w:tcPr>
            <w:tcW w:w="958"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是否实现跑零次</w:t>
            </w:r>
          </w:p>
        </w:tc>
        <w:tc>
          <w:tcPr>
            <w:tcW w:w="1104"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省厅对口</w:t>
            </w:r>
          </w:p>
          <w:p w:rsidR="00013EC7" w:rsidRDefault="00575CDB">
            <w:pPr>
              <w:spacing w:line="280" w:lineRule="exact"/>
              <w:jc w:val="center"/>
              <w:rPr>
                <w:rFonts w:ascii="黑体" w:eastAsia="黑体"/>
                <w:sz w:val="24"/>
              </w:rPr>
            </w:pPr>
            <w:r>
              <w:rPr>
                <w:rFonts w:ascii="黑体" w:eastAsia="黑体" w:hint="eastAsia"/>
                <w:sz w:val="24"/>
              </w:rPr>
              <w:t>指导处室</w:t>
            </w:r>
          </w:p>
          <w:p w:rsidR="00013EC7" w:rsidRDefault="00575CDB">
            <w:pPr>
              <w:spacing w:line="280" w:lineRule="exact"/>
              <w:jc w:val="center"/>
              <w:rPr>
                <w:rFonts w:ascii="黑体" w:eastAsia="黑体"/>
                <w:sz w:val="24"/>
              </w:rPr>
            </w:pPr>
            <w:r>
              <w:rPr>
                <w:rFonts w:ascii="黑体" w:eastAsia="黑体" w:hint="eastAsia"/>
                <w:sz w:val="24"/>
              </w:rPr>
              <w:t>（单位）</w:t>
            </w:r>
          </w:p>
        </w:tc>
        <w:tc>
          <w:tcPr>
            <w:tcW w:w="1476"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进一步精简、</w:t>
            </w:r>
          </w:p>
          <w:p w:rsidR="00013EC7" w:rsidRDefault="00575CDB">
            <w:pPr>
              <w:spacing w:line="280" w:lineRule="exact"/>
              <w:jc w:val="center"/>
              <w:rPr>
                <w:rFonts w:ascii="黑体" w:eastAsia="黑体"/>
                <w:sz w:val="24"/>
              </w:rPr>
            </w:pPr>
            <w:r>
              <w:rPr>
                <w:rFonts w:ascii="黑体" w:eastAsia="黑体" w:hint="eastAsia"/>
                <w:sz w:val="24"/>
              </w:rPr>
              <w:t>规范建议</w:t>
            </w:r>
          </w:p>
        </w:tc>
      </w:tr>
      <w:tr w:rsidR="00013EC7" w:rsidTr="009A1EE1">
        <w:trPr>
          <w:trHeight w:val="340"/>
          <w:tblHeader/>
          <w:jc w:val="center"/>
        </w:trPr>
        <w:tc>
          <w:tcPr>
            <w:tcW w:w="1250" w:type="dxa"/>
            <w:vMerge/>
            <w:vAlign w:val="center"/>
          </w:tcPr>
          <w:p w:rsidR="00013EC7" w:rsidRDefault="00013EC7">
            <w:pPr>
              <w:rPr>
                <w:sz w:val="24"/>
              </w:rPr>
            </w:pPr>
          </w:p>
        </w:tc>
        <w:tc>
          <w:tcPr>
            <w:tcW w:w="1316" w:type="dxa"/>
            <w:vMerge/>
          </w:tcPr>
          <w:p w:rsidR="00013EC7" w:rsidRDefault="00013EC7">
            <w:pPr>
              <w:rPr>
                <w:sz w:val="24"/>
              </w:rPr>
            </w:pPr>
          </w:p>
        </w:tc>
        <w:tc>
          <w:tcPr>
            <w:tcW w:w="2114" w:type="dxa"/>
            <w:vMerge/>
          </w:tcPr>
          <w:p w:rsidR="00013EC7" w:rsidRDefault="00013EC7">
            <w:pPr>
              <w:rPr>
                <w:sz w:val="24"/>
              </w:rPr>
            </w:pPr>
          </w:p>
        </w:tc>
        <w:tc>
          <w:tcPr>
            <w:tcW w:w="2785" w:type="dxa"/>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118"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2403" w:type="dxa"/>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196"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3318" w:type="dxa"/>
            <w:vAlign w:val="center"/>
          </w:tcPr>
          <w:p w:rsidR="00013EC7" w:rsidRDefault="00575CDB">
            <w:pPr>
              <w:spacing w:line="280" w:lineRule="exact"/>
              <w:jc w:val="center"/>
              <w:rPr>
                <w:rFonts w:ascii="黑体" w:eastAsia="黑体"/>
                <w:sz w:val="24"/>
              </w:rPr>
            </w:pPr>
            <w:r>
              <w:rPr>
                <w:rFonts w:ascii="黑体" w:eastAsia="黑体" w:hint="eastAsia"/>
                <w:sz w:val="24"/>
              </w:rPr>
              <w:t>办理方式及材料</w:t>
            </w:r>
          </w:p>
          <w:p w:rsidR="00013EC7" w:rsidRDefault="00575CDB">
            <w:pPr>
              <w:spacing w:line="280" w:lineRule="exact"/>
              <w:jc w:val="center"/>
              <w:rPr>
                <w:rFonts w:ascii="黑体" w:eastAsia="黑体"/>
                <w:sz w:val="24"/>
              </w:rPr>
            </w:pPr>
            <w:r>
              <w:rPr>
                <w:rFonts w:ascii="黑体" w:eastAsia="黑体" w:hint="eastAsia"/>
                <w:sz w:val="24"/>
              </w:rPr>
              <w:t>信息获取方式说明</w:t>
            </w:r>
          </w:p>
        </w:tc>
        <w:tc>
          <w:tcPr>
            <w:tcW w:w="868" w:type="dxa"/>
            <w:vAlign w:val="center"/>
          </w:tcPr>
          <w:p w:rsidR="00013EC7" w:rsidRDefault="00575CDB">
            <w:pPr>
              <w:spacing w:line="280" w:lineRule="exact"/>
              <w:jc w:val="center"/>
              <w:rPr>
                <w:rFonts w:ascii="黑体" w:eastAsia="黑体"/>
                <w:sz w:val="24"/>
              </w:rPr>
            </w:pPr>
            <w:r>
              <w:rPr>
                <w:rFonts w:ascii="黑体" w:eastAsia="黑体" w:hint="eastAsia"/>
                <w:sz w:val="24"/>
              </w:rPr>
              <w:t>优化前</w:t>
            </w:r>
          </w:p>
        </w:tc>
        <w:tc>
          <w:tcPr>
            <w:tcW w:w="798" w:type="dxa"/>
            <w:vAlign w:val="center"/>
          </w:tcPr>
          <w:p w:rsidR="00013EC7" w:rsidRDefault="00575CDB">
            <w:pPr>
              <w:spacing w:line="280" w:lineRule="exact"/>
              <w:jc w:val="center"/>
              <w:rPr>
                <w:rFonts w:ascii="黑体" w:eastAsia="黑体"/>
                <w:sz w:val="24"/>
              </w:rPr>
            </w:pPr>
            <w:r>
              <w:rPr>
                <w:rFonts w:ascii="黑体" w:eastAsia="黑体" w:hint="eastAsia"/>
                <w:sz w:val="24"/>
              </w:rPr>
              <w:t>优化后</w:t>
            </w:r>
          </w:p>
        </w:tc>
        <w:tc>
          <w:tcPr>
            <w:tcW w:w="958" w:type="dxa"/>
            <w:vMerge/>
            <w:vAlign w:val="center"/>
          </w:tcPr>
          <w:p w:rsidR="00013EC7" w:rsidRDefault="00013EC7">
            <w:pPr>
              <w:rPr>
                <w:sz w:val="24"/>
              </w:rPr>
            </w:pPr>
          </w:p>
        </w:tc>
        <w:tc>
          <w:tcPr>
            <w:tcW w:w="1104" w:type="dxa"/>
            <w:vMerge/>
            <w:vAlign w:val="center"/>
          </w:tcPr>
          <w:p w:rsidR="00013EC7" w:rsidRDefault="00013EC7">
            <w:pPr>
              <w:rPr>
                <w:sz w:val="24"/>
              </w:rPr>
            </w:pPr>
          </w:p>
        </w:tc>
        <w:tc>
          <w:tcPr>
            <w:tcW w:w="1476" w:type="dxa"/>
            <w:vMerge/>
            <w:vAlign w:val="center"/>
          </w:tcPr>
          <w:p w:rsidR="00013EC7" w:rsidRDefault="00013EC7">
            <w:pPr>
              <w:rPr>
                <w:sz w:val="24"/>
              </w:rPr>
            </w:pPr>
          </w:p>
        </w:tc>
      </w:tr>
      <w:tr w:rsidR="00013EC7" w:rsidTr="009A1EE1">
        <w:trPr>
          <w:trHeight w:val="1475"/>
          <w:jc w:val="center"/>
        </w:trPr>
        <w:tc>
          <w:tcPr>
            <w:tcW w:w="1250"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2变更登记</w:t>
            </w:r>
          </w:p>
        </w:tc>
        <w:tc>
          <w:tcPr>
            <w:tcW w:w="1316" w:type="dxa"/>
            <w:vAlign w:val="center"/>
          </w:tcPr>
          <w:p w:rsidR="00013EC7" w:rsidRDefault="00575CDB">
            <w:pPr>
              <w:spacing w:line="310" w:lineRule="exact"/>
              <w:jc w:val="left"/>
              <w:rPr>
                <w:rFonts w:ascii="仿宋" w:eastAsia="仿宋" w:hAnsi="仿宋" w:cs="仿宋"/>
                <w:sz w:val="24"/>
              </w:rPr>
            </w:pPr>
            <w:r>
              <w:rPr>
                <w:rFonts w:ascii="仿宋" w:eastAsia="仿宋" w:hAnsi="仿宋" w:cs="仿宋" w:hint="eastAsia"/>
                <w:sz w:val="24"/>
              </w:rPr>
              <w:t>2.3复业登记</w:t>
            </w:r>
          </w:p>
        </w:tc>
        <w:tc>
          <w:tcPr>
            <w:tcW w:w="2114" w:type="dxa"/>
            <w:vAlign w:val="center"/>
          </w:tcPr>
          <w:p w:rsidR="00013EC7" w:rsidRDefault="00575CDB">
            <w:pPr>
              <w:spacing w:line="310" w:lineRule="exact"/>
              <w:jc w:val="left"/>
              <w:rPr>
                <w:rFonts w:ascii="仿宋" w:eastAsia="仿宋" w:hAnsi="仿宋" w:cs="仿宋"/>
                <w:sz w:val="24"/>
              </w:rPr>
            </w:pPr>
            <w:r>
              <w:rPr>
                <w:rFonts w:ascii="仿宋" w:eastAsia="仿宋" w:hAnsi="仿宋" w:cs="仿宋" w:hint="eastAsia"/>
                <w:sz w:val="24"/>
              </w:rPr>
              <w:t>（一）《中华人民共和国税收征收管理法实施细则》（2002年中华人民共和国国务院令第362号）第十八条。</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（二）《国家税务总局关于修改〈税务登记管理办法〉的决定》（2014年国家税务总局令第36号）第四章。</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（三）《个体工商户税收定期定额征收管理办法》（2006年国家税务总局令第16号）第二十一条。</w:t>
            </w:r>
          </w:p>
          <w:p w:rsidR="00013EC7" w:rsidRDefault="00013EC7">
            <w:pPr>
              <w:spacing w:line="310" w:lineRule="exact"/>
              <w:jc w:val="left"/>
              <w:rPr>
                <w:rFonts w:ascii="仿宋" w:eastAsia="仿宋" w:hAnsi="仿宋" w:cs="仿宋"/>
                <w:sz w:val="24"/>
              </w:rPr>
            </w:pPr>
          </w:p>
        </w:tc>
        <w:tc>
          <w:tcPr>
            <w:tcW w:w="2785"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（一）（A01012）《停业复业报告书》</w:t>
            </w:r>
            <w:r>
              <w:rPr>
                <w:rFonts w:ascii="仿宋" w:eastAsia="仿宋" w:hAnsi="仿宋" w:cs="仿宋" w:hint="eastAsia"/>
                <w:sz w:val="24"/>
                <w:shd w:val="clear" w:color="FFFFFF" w:fill="D9D9D9"/>
              </w:rPr>
              <w:t>2份</w:t>
            </w:r>
            <w:r>
              <w:rPr>
                <w:rFonts w:ascii="仿宋" w:eastAsia="仿宋" w:hAnsi="仿宋" w:cs="仿宋" w:hint="eastAsia"/>
                <w:sz w:val="24"/>
              </w:rPr>
              <w:t>。</w:t>
            </w:r>
          </w:p>
        </w:tc>
        <w:tc>
          <w:tcPr>
            <w:tcW w:w="1118"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纳税人提交</w:t>
            </w:r>
          </w:p>
        </w:tc>
        <w:tc>
          <w:tcPr>
            <w:tcW w:w="2403"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（一）（A01012）《停业复业报告书》1份。</w:t>
            </w:r>
          </w:p>
        </w:tc>
        <w:tc>
          <w:tcPr>
            <w:tcW w:w="1196" w:type="dxa"/>
            <w:vAlign w:val="center"/>
          </w:tcPr>
          <w:p w:rsidR="00013EC7" w:rsidRDefault="00575CDB">
            <w:pPr>
              <w:spacing w:line="300" w:lineRule="exact"/>
              <w:jc w:val="left"/>
              <w:rPr>
                <w:rFonts w:ascii="仿宋" w:eastAsia="仿宋" w:hAnsi="仿宋" w:cs="仿宋"/>
                <w:b/>
                <w:bCs/>
                <w:i/>
                <w:iCs/>
                <w:sz w:val="24"/>
              </w:rPr>
            </w:pPr>
            <w:r>
              <w:rPr>
                <w:rFonts w:ascii="仿宋" w:eastAsia="仿宋" w:hAnsi="仿宋" w:cs="仿宋" w:hint="eastAsia"/>
                <w:sz w:val="24"/>
              </w:rPr>
              <w:t>纳税人提交</w:t>
            </w:r>
          </w:p>
        </w:tc>
        <w:tc>
          <w:tcPr>
            <w:tcW w:w="3318"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纳税人提交书面材料。</w:t>
            </w:r>
          </w:p>
          <w:p w:rsidR="00013EC7" w:rsidRDefault="00575CDB">
            <w:pPr>
              <w:spacing w:line="300" w:lineRule="exact"/>
              <w:jc w:val="left"/>
              <w:rPr>
                <w:rFonts w:ascii="仿宋" w:eastAsia="仿宋" w:hAnsi="仿宋" w:cs="仿宋"/>
                <w:sz w:val="24"/>
              </w:rPr>
            </w:pPr>
            <w:r>
              <w:rPr>
                <w:rFonts w:ascii="仿宋" w:eastAsia="仿宋" w:hAnsi="仿宋" w:cs="仿宋" w:hint="eastAsia"/>
                <w:b/>
                <w:sz w:val="24"/>
              </w:rPr>
              <w:t>网上办理：</w:t>
            </w:r>
            <w:r>
              <w:rPr>
                <w:rFonts w:ascii="仿宋" w:eastAsia="仿宋" w:hAnsi="仿宋" w:cs="仿宋" w:hint="eastAsia"/>
                <w:sz w:val="24"/>
              </w:rPr>
              <w:t>登录浙江国税电子税务局（网址：</w:t>
            </w:r>
            <w:hyperlink r:id="rId28" w:tgtFrame="https://wx.qq.com/_blank" w:history="1">
              <w:r>
                <w:rPr>
                  <w:rFonts w:ascii="仿宋" w:eastAsia="仿宋" w:hAnsi="仿宋" w:cs="仿宋" w:hint="eastAsia"/>
                  <w:sz w:val="24"/>
                </w:rPr>
                <w:t>http://etax.zjtax.gov.cn/</w:t>
              </w:r>
            </w:hyperlink>
          </w:p>
          <w:p w:rsidR="00013EC7" w:rsidRDefault="00575CDB">
            <w:pPr>
              <w:spacing w:line="300" w:lineRule="exact"/>
              <w:jc w:val="left"/>
              <w:rPr>
                <w:rFonts w:ascii="仿宋" w:eastAsia="仿宋" w:hAnsi="仿宋" w:cs="仿宋"/>
                <w:b/>
                <w:sz w:val="24"/>
              </w:rPr>
            </w:pPr>
            <w:r>
              <w:rPr>
                <w:rFonts w:ascii="仿宋" w:eastAsia="仿宋" w:hAnsi="仿宋" w:cs="仿宋" w:hint="eastAsia"/>
                <w:sz w:val="24"/>
              </w:rPr>
              <w:t>）提交申请。</w:t>
            </w:r>
          </w:p>
          <w:p w:rsidR="00013EC7" w:rsidRDefault="00575CDB">
            <w:pPr>
              <w:spacing w:line="300" w:lineRule="exact"/>
              <w:jc w:val="left"/>
              <w:rPr>
                <w:rFonts w:ascii="仿宋" w:eastAsia="仿宋" w:hAnsi="仿宋" w:cs="仿宋"/>
                <w:sz w:val="24"/>
              </w:rPr>
            </w:pPr>
            <w:r>
              <w:rPr>
                <w:rFonts w:ascii="仿宋" w:eastAsia="仿宋" w:hAnsi="仿宋" w:cs="仿宋" w:hint="eastAsia"/>
                <w:b/>
                <w:bCs/>
                <w:sz w:val="24"/>
              </w:rPr>
              <w:t>APP办理：</w:t>
            </w:r>
            <w:r w:rsidR="006776D1">
              <w:rPr>
                <w:rFonts w:ascii="仿宋" w:eastAsia="仿宋" w:hAnsi="仿宋" w:cs="仿宋" w:hint="eastAsia"/>
                <w:sz w:val="24"/>
              </w:rPr>
              <w:t>登录浙江国税APP提交申请。</w:t>
            </w:r>
          </w:p>
        </w:tc>
        <w:tc>
          <w:tcPr>
            <w:tcW w:w="868"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即时办结</w:t>
            </w:r>
          </w:p>
        </w:tc>
        <w:tc>
          <w:tcPr>
            <w:tcW w:w="798"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即时办结</w:t>
            </w:r>
          </w:p>
        </w:tc>
        <w:tc>
          <w:tcPr>
            <w:tcW w:w="958"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是</w:t>
            </w:r>
          </w:p>
        </w:tc>
        <w:tc>
          <w:tcPr>
            <w:tcW w:w="1104"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征管科技处</w:t>
            </w:r>
          </w:p>
        </w:tc>
        <w:tc>
          <w:tcPr>
            <w:tcW w:w="1476" w:type="dxa"/>
            <w:vAlign w:val="center"/>
          </w:tcPr>
          <w:p w:rsidR="00013EC7" w:rsidRDefault="00013EC7">
            <w:pPr>
              <w:spacing w:line="300" w:lineRule="exact"/>
              <w:jc w:val="left"/>
              <w:rPr>
                <w:rFonts w:ascii="仿宋" w:eastAsia="仿宋" w:hAnsi="仿宋" w:cs="仿宋"/>
                <w:sz w:val="24"/>
              </w:rPr>
            </w:pPr>
          </w:p>
        </w:tc>
      </w:tr>
    </w:tbl>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 w:rsidR="00013EC7" w:rsidRDefault="005262E6">
      <w:r>
        <w:lastRenderedPageBreak/>
        <w:object w:dxaOrig="1440" w:dyaOrig="1440">
          <v:shape id="对象 2" o:spid="_x0000_s1165" type="#_x0000_t75" style="position:absolute;left:0;text-align:left;margin-left:34.9pt;margin-top:92.6pt;width:454.7pt;height:601.35pt;z-index:251571200;mso-wrap-distance-top:0;mso-wrap-distance-bottom:0;mso-position-vertical-relative:page;mso-width-relative:page;mso-height-relative:page">
            <v:imagedata r:id="rId29" o:title=""/>
            <o:lock v:ext="edit" aspectratio="f"/>
            <w10:wrap type="topAndBottom" anchory="page"/>
          </v:shape>
          <o:OLEObject Type="Embed" ProgID="Visio.Drawing.11" ShapeID="对象 2" DrawAspect="Content" ObjectID="_1577296152" r:id="rId30"/>
        </w:object>
      </w:r>
      <w:r>
        <w:object w:dxaOrig="1440" w:dyaOrig="1440">
          <v:shape id="_x0000_s1319" type="#_x0000_t75" style="position:absolute;left:0;text-align:left;margin-left:545.7pt;margin-top:103.75pt;width:461.2pt;height:557.2pt;z-index:251644928;mso-wrap-distance-top:0;mso-wrap-distance-bottom:0;mso-position-vertical-relative:page;mso-width-relative:page;mso-height-relative:page">
            <v:imagedata r:id="rId31" o:title=""/>
            <o:lock v:ext="edit" aspectratio="f"/>
            <w10:wrap type="topAndBottom" anchory="page"/>
          </v:shape>
          <o:OLEObject Type="Embed" ProgID="Visio.Drawing.11" ShapeID="_x0000_s1319" DrawAspect="Content" ObjectID="_1577296153" r:id="rId32"/>
        </w:object>
      </w:r>
    </w:p>
    <w:p w:rsidR="00013EC7" w:rsidRDefault="00575CDB">
      <w:pPr>
        <w:pStyle w:val="2"/>
      </w:pPr>
      <w:bookmarkStart w:id="34" w:name="_Toc9970"/>
      <w:bookmarkStart w:id="35" w:name="_Toc498705672"/>
      <w:bookmarkStart w:id="36" w:name="_Toc9016"/>
      <w:bookmarkStart w:id="37" w:name="_Toc503467366"/>
      <w:bookmarkStart w:id="38" w:name="_Toc15174"/>
      <w:r>
        <w:rPr>
          <w:rFonts w:hint="eastAsia"/>
        </w:rPr>
        <w:lastRenderedPageBreak/>
        <w:t>2.4</w:t>
      </w:r>
      <w:r>
        <w:rPr>
          <w:rFonts w:hint="eastAsia"/>
        </w:rPr>
        <w:t>一照一码信息变更</w:t>
      </w:r>
      <w:bookmarkEnd w:id="34"/>
      <w:bookmarkEnd w:id="35"/>
      <w:bookmarkEnd w:id="36"/>
      <w:bookmarkEnd w:id="37"/>
      <w:bookmarkEnd w:id="38"/>
    </w:p>
    <w:p w:rsidR="00013EC7" w:rsidRDefault="00575CDB">
      <w:pPr>
        <w:jc w:val="center"/>
        <w:rPr>
          <w:rFonts w:ascii="宋体" w:hAnsi="宋体" w:cs="宋体"/>
          <w:b/>
          <w:bCs/>
          <w:sz w:val="44"/>
          <w:szCs w:val="44"/>
        </w:rPr>
      </w:pPr>
      <w:r>
        <w:rPr>
          <w:rFonts w:ascii="宋体" w:hAnsi="宋体" w:cs="宋体" w:hint="eastAsia"/>
          <w:b/>
          <w:bCs/>
          <w:sz w:val="52"/>
          <w:szCs w:val="52"/>
        </w:rPr>
        <w:t>全省“最多跑一次”事项“八统一”梳理表</w:t>
      </w:r>
    </w:p>
    <w:tbl>
      <w:tblPr>
        <w:tblW w:w="20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1250"/>
        <w:gridCol w:w="1316"/>
        <w:gridCol w:w="2272"/>
        <w:gridCol w:w="2627"/>
        <w:gridCol w:w="1118"/>
        <w:gridCol w:w="2403"/>
        <w:gridCol w:w="1196"/>
        <w:gridCol w:w="3318"/>
        <w:gridCol w:w="868"/>
        <w:gridCol w:w="798"/>
        <w:gridCol w:w="958"/>
        <w:gridCol w:w="1104"/>
        <w:gridCol w:w="1476"/>
      </w:tblGrid>
      <w:tr w:rsidR="00013EC7" w:rsidTr="00362C3A">
        <w:trPr>
          <w:trHeight w:val="340"/>
          <w:tblHeader/>
          <w:jc w:val="center"/>
        </w:trPr>
        <w:tc>
          <w:tcPr>
            <w:tcW w:w="1250"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主项名称</w:t>
            </w:r>
          </w:p>
        </w:tc>
        <w:tc>
          <w:tcPr>
            <w:tcW w:w="1316"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子项名称</w:t>
            </w:r>
          </w:p>
        </w:tc>
        <w:tc>
          <w:tcPr>
            <w:tcW w:w="2272"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经办依据</w:t>
            </w:r>
          </w:p>
        </w:tc>
        <w:tc>
          <w:tcPr>
            <w:tcW w:w="3745"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原经办所需材料</w:t>
            </w:r>
          </w:p>
        </w:tc>
        <w:tc>
          <w:tcPr>
            <w:tcW w:w="6917" w:type="dxa"/>
            <w:gridSpan w:val="3"/>
            <w:vAlign w:val="center"/>
          </w:tcPr>
          <w:p w:rsidR="00013EC7" w:rsidRDefault="00575CDB">
            <w:pPr>
              <w:spacing w:line="280" w:lineRule="exact"/>
              <w:jc w:val="center"/>
              <w:rPr>
                <w:rFonts w:ascii="黑体" w:eastAsia="黑体"/>
                <w:sz w:val="24"/>
              </w:rPr>
            </w:pPr>
            <w:r>
              <w:rPr>
                <w:rFonts w:ascii="黑体" w:eastAsia="黑体" w:hint="eastAsia"/>
                <w:sz w:val="24"/>
              </w:rPr>
              <w:t>梳理后经办所需材料</w:t>
            </w:r>
          </w:p>
        </w:tc>
        <w:tc>
          <w:tcPr>
            <w:tcW w:w="1666"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办理时限</w:t>
            </w:r>
          </w:p>
        </w:tc>
        <w:tc>
          <w:tcPr>
            <w:tcW w:w="958"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是否实现跑零次</w:t>
            </w:r>
          </w:p>
        </w:tc>
        <w:tc>
          <w:tcPr>
            <w:tcW w:w="1104"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省厅对口</w:t>
            </w:r>
          </w:p>
          <w:p w:rsidR="00013EC7" w:rsidRDefault="00575CDB">
            <w:pPr>
              <w:spacing w:line="280" w:lineRule="exact"/>
              <w:jc w:val="center"/>
              <w:rPr>
                <w:rFonts w:ascii="黑体" w:eastAsia="黑体"/>
                <w:sz w:val="24"/>
              </w:rPr>
            </w:pPr>
            <w:r>
              <w:rPr>
                <w:rFonts w:ascii="黑体" w:eastAsia="黑体" w:hint="eastAsia"/>
                <w:sz w:val="24"/>
              </w:rPr>
              <w:t>指导处室</w:t>
            </w:r>
          </w:p>
          <w:p w:rsidR="00013EC7" w:rsidRDefault="00575CDB">
            <w:pPr>
              <w:spacing w:line="280" w:lineRule="exact"/>
              <w:jc w:val="center"/>
              <w:rPr>
                <w:rFonts w:ascii="黑体" w:eastAsia="黑体"/>
                <w:sz w:val="24"/>
              </w:rPr>
            </w:pPr>
            <w:r>
              <w:rPr>
                <w:rFonts w:ascii="黑体" w:eastAsia="黑体" w:hint="eastAsia"/>
                <w:sz w:val="24"/>
              </w:rPr>
              <w:t>（单位）</w:t>
            </w:r>
          </w:p>
        </w:tc>
        <w:tc>
          <w:tcPr>
            <w:tcW w:w="1476"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进一步精简、</w:t>
            </w:r>
          </w:p>
          <w:p w:rsidR="00013EC7" w:rsidRDefault="00575CDB">
            <w:pPr>
              <w:spacing w:line="280" w:lineRule="exact"/>
              <w:jc w:val="center"/>
              <w:rPr>
                <w:rFonts w:ascii="黑体" w:eastAsia="黑体"/>
                <w:sz w:val="24"/>
              </w:rPr>
            </w:pPr>
            <w:r>
              <w:rPr>
                <w:rFonts w:ascii="黑体" w:eastAsia="黑体" w:hint="eastAsia"/>
                <w:sz w:val="24"/>
              </w:rPr>
              <w:t>规范建议</w:t>
            </w:r>
          </w:p>
        </w:tc>
      </w:tr>
      <w:tr w:rsidR="00013EC7" w:rsidTr="00362C3A">
        <w:trPr>
          <w:trHeight w:val="340"/>
          <w:tblHeader/>
          <w:jc w:val="center"/>
        </w:trPr>
        <w:tc>
          <w:tcPr>
            <w:tcW w:w="1250" w:type="dxa"/>
            <w:vMerge/>
            <w:vAlign w:val="center"/>
          </w:tcPr>
          <w:p w:rsidR="00013EC7" w:rsidRDefault="00013EC7">
            <w:pPr>
              <w:rPr>
                <w:sz w:val="24"/>
              </w:rPr>
            </w:pPr>
          </w:p>
        </w:tc>
        <w:tc>
          <w:tcPr>
            <w:tcW w:w="1316" w:type="dxa"/>
            <w:vMerge/>
          </w:tcPr>
          <w:p w:rsidR="00013EC7" w:rsidRDefault="00013EC7">
            <w:pPr>
              <w:rPr>
                <w:sz w:val="24"/>
              </w:rPr>
            </w:pPr>
          </w:p>
        </w:tc>
        <w:tc>
          <w:tcPr>
            <w:tcW w:w="2272" w:type="dxa"/>
            <w:vMerge/>
          </w:tcPr>
          <w:p w:rsidR="00013EC7" w:rsidRDefault="00013EC7">
            <w:pPr>
              <w:rPr>
                <w:sz w:val="24"/>
              </w:rPr>
            </w:pPr>
          </w:p>
        </w:tc>
        <w:tc>
          <w:tcPr>
            <w:tcW w:w="2627" w:type="dxa"/>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118"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2403" w:type="dxa"/>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196"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3318" w:type="dxa"/>
            <w:vAlign w:val="center"/>
          </w:tcPr>
          <w:p w:rsidR="00013EC7" w:rsidRDefault="00575CDB">
            <w:pPr>
              <w:spacing w:line="280" w:lineRule="exact"/>
              <w:jc w:val="center"/>
              <w:rPr>
                <w:rFonts w:ascii="黑体" w:eastAsia="黑体"/>
                <w:sz w:val="24"/>
              </w:rPr>
            </w:pPr>
            <w:r>
              <w:rPr>
                <w:rFonts w:ascii="黑体" w:eastAsia="黑体" w:hint="eastAsia"/>
                <w:sz w:val="24"/>
              </w:rPr>
              <w:t>办理方式及材料</w:t>
            </w:r>
          </w:p>
          <w:p w:rsidR="00013EC7" w:rsidRDefault="00575CDB">
            <w:pPr>
              <w:spacing w:line="280" w:lineRule="exact"/>
              <w:jc w:val="center"/>
              <w:rPr>
                <w:rFonts w:ascii="黑体" w:eastAsia="黑体"/>
                <w:sz w:val="24"/>
              </w:rPr>
            </w:pPr>
            <w:r>
              <w:rPr>
                <w:rFonts w:ascii="黑体" w:eastAsia="黑体" w:hint="eastAsia"/>
                <w:sz w:val="24"/>
              </w:rPr>
              <w:t>信息获取方式说明</w:t>
            </w:r>
          </w:p>
        </w:tc>
        <w:tc>
          <w:tcPr>
            <w:tcW w:w="868" w:type="dxa"/>
            <w:vAlign w:val="center"/>
          </w:tcPr>
          <w:p w:rsidR="00013EC7" w:rsidRDefault="00575CDB">
            <w:pPr>
              <w:spacing w:line="280" w:lineRule="exact"/>
              <w:jc w:val="center"/>
              <w:rPr>
                <w:rFonts w:ascii="黑体" w:eastAsia="黑体"/>
                <w:sz w:val="24"/>
              </w:rPr>
            </w:pPr>
            <w:r>
              <w:rPr>
                <w:rFonts w:ascii="黑体" w:eastAsia="黑体" w:hint="eastAsia"/>
                <w:sz w:val="24"/>
              </w:rPr>
              <w:t>优化前</w:t>
            </w:r>
          </w:p>
        </w:tc>
        <w:tc>
          <w:tcPr>
            <w:tcW w:w="798" w:type="dxa"/>
            <w:vAlign w:val="center"/>
          </w:tcPr>
          <w:p w:rsidR="00013EC7" w:rsidRDefault="00575CDB">
            <w:pPr>
              <w:spacing w:line="280" w:lineRule="exact"/>
              <w:jc w:val="center"/>
              <w:rPr>
                <w:rFonts w:ascii="黑体" w:eastAsia="黑体"/>
                <w:sz w:val="24"/>
              </w:rPr>
            </w:pPr>
            <w:r>
              <w:rPr>
                <w:rFonts w:ascii="黑体" w:eastAsia="黑体" w:hint="eastAsia"/>
                <w:sz w:val="24"/>
              </w:rPr>
              <w:t>优化后</w:t>
            </w:r>
          </w:p>
        </w:tc>
        <w:tc>
          <w:tcPr>
            <w:tcW w:w="958" w:type="dxa"/>
            <w:vMerge/>
            <w:vAlign w:val="center"/>
          </w:tcPr>
          <w:p w:rsidR="00013EC7" w:rsidRDefault="00013EC7">
            <w:pPr>
              <w:rPr>
                <w:sz w:val="24"/>
              </w:rPr>
            </w:pPr>
          </w:p>
        </w:tc>
        <w:tc>
          <w:tcPr>
            <w:tcW w:w="1104" w:type="dxa"/>
            <w:vMerge/>
            <w:vAlign w:val="center"/>
          </w:tcPr>
          <w:p w:rsidR="00013EC7" w:rsidRDefault="00013EC7">
            <w:pPr>
              <w:rPr>
                <w:sz w:val="24"/>
              </w:rPr>
            </w:pPr>
          </w:p>
        </w:tc>
        <w:tc>
          <w:tcPr>
            <w:tcW w:w="1476" w:type="dxa"/>
            <w:vMerge/>
            <w:vAlign w:val="center"/>
          </w:tcPr>
          <w:p w:rsidR="00013EC7" w:rsidRDefault="00013EC7">
            <w:pPr>
              <w:rPr>
                <w:sz w:val="24"/>
              </w:rPr>
            </w:pPr>
          </w:p>
        </w:tc>
      </w:tr>
      <w:tr w:rsidR="00013EC7" w:rsidTr="00362C3A">
        <w:trPr>
          <w:trHeight w:val="1877"/>
          <w:jc w:val="center"/>
        </w:trPr>
        <w:tc>
          <w:tcPr>
            <w:tcW w:w="1250"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2变更登记</w:t>
            </w:r>
          </w:p>
        </w:tc>
        <w:tc>
          <w:tcPr>
            <w:tcW w:w="1316" w:type="dxa"/>
            <w:vMerge w:val="restart"/>
            <w:vAlign w:val="center"/>
          </w:tcPr>
          <w:p w:rsidR="00013EC7" w:rsidRDefault="00575CDB">
            <w:pPr>
              <w:spacing w:line="310" w:lineRule="exact"/>
              <w:jc w:val="left"/>
              <w:rPr>
                <w:rFonts w:ascii="仿宋" w:eastAsia="仿宋" w:hAnsi="仿宋" w:cs="仿宋"/>
                <w:sz w:val="24"/>
              </w:rPr>
            </w:pPr>
            <w:r>
              <w:rPr>
                <w:rFonts w:ascii="仿宋" w:eastAsia="仿宋" w:hAnsi="仿宋" w:cs="仿宋" w:hint="eastAsia"/>
                <w:sz w:val="24"/>
              </w:rPr>
              <w:t>2.4一照一码信息变更</w:t>
            </w:r>
          </w:p>
        </w:tc>
        <w:tc>
          <w:tcPr>
            <w:tcW w:w="2272" w:type="dxa"/>
            <w:vMerge w:val="restart"/>
            <w:vAlign w:val="center"/>
          </w:tcPr>
          <w:p w:rsidR="00013EC7" w:rsidRDefault="00575CDB">
            <w:pPr>
              <w:spacing w:line="310" w:lineRule="exact"/>
              <w:jc w:val="left"/>
              <w:rPr>
                <w:rFonts w:ascii="仿宋" w:eastAsia="仿宋" w:hAnsi="仿宋" w:cs="仿宋"/>
                <w:sz w:val="24"/>
              </w:rPr>
            </w:pPr>
            <w:r>
              <w:rPr>
                <w:rFonts w:ascii="仿宋" w:eastAsia="仿宋" w:hAnsi="仿宋" w:cs="仿宋" w:hint="eastAsia"/>
                <w:sz w:val="24"/>
              </w:rPr>
              <w:t>（一）《国务院关于促进市场公平竞争维护市场正常秩序的若干意见》（国发〔2014〕20号）第二条。</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（二）《国务院关于批转发展改革委等部门法人和其他组织统一社会信用代码制度建设总体方案的通知》（国发〔2015〕33号）全文。</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（三）《国务院办公厅关于加快推进“三证合一”登记制度改革的意见》（国办发〔2015〕50号）全文。</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（四）《关于贯彻落实〈国务院办公厅关于加快推进“三证合一”登记制度改革的意见〉的通知》（工商企注字〔2015〕121号）全文。</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（五）《国家税务总局关于落实“三证合一”登记制度改革的通知》（税总函〔2015〕482</w:t>
            </w:r>
            <w:r>
              <w:rPr>
                <w:rFonts w:ascii="仿宋" w:eastAsia="仿宋" w:hAnsi="仿宋" w:cs="仿宋" w:hint="eastAsia"/>
                <w:sz w:val="24"/>
              </w:rPr>
              <w:lastRenderedPageBreak/>
              <w:t>号）全文。</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（六）《国家工商行政管理总局 国家税务总局关于做好“三证合一”有关工作衔接的通知》（工商企注字〔2015〕147号）全文。</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（七）《关于全面推进“五证合一、一照一码”登记制度改革的通知》（浙工商企〔2015〕10 号）全文。</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（八）《浙江省地方税务局 浙江省国家税务局关于做好“五证合一、一照一码”有关工作衔接的通知》（浙地税函〔2015〕209号）全文。</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（九）《国家税务总局关于推进“三证合一”进一步完善税源管理有关问题的通知》（税总函〔2015〕645号）全文。</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（十）《浙江省国家税务局 浙江省地方税务局关于贯彻实施个体工商户“两证整合”有关工作衔接的通知》（浙国税发</w:t>
            </w:r>
            <w:r>
              <w:rPr>
                <w:rFonts w:ascii="仿宋" w:eastAsia="仿宋" w:hAnsi="仿宋" w:cs="仿宋" w:hint="eastAsia"/>
                <w:sz w:val="24"/>
              </w:rPr>
              <w:lastRenderedPageBreak/>
              <w:t>〔2016〕178号）全文。</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（十一）《中华人民共和国税收征收管理法》（中华人民共和国主席令〔2001〕第49号）第十二六条。</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（十二）《中华人民共和国税收征收管理法实施细则》（中华人民共和国国务院令〔2002〕第362号）第十四条。</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（十三）《国家税务总局关于修改〈税务登记管理办法〉的决定》（2014年国家税务总局令第36号）第三章。</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（十四）《公司注册资本登记管理规定》（2014年国家工商行政总局令第64 号）第九至十四条。</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（十五）《国家税务总局关于明确社会组织等纳税人使用统一社会信用代码及办理税务登记有关问题的通知》（税总函〔2016〕121号）全文。</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（十六）《国家税务总局关于修订纳</w:t>
            </w:r>
            <w:r>
              <w:rPr>
                <w:rFonts w:ascii="仿宋" w:eastAsia="仿宋" w:hAnsi="仿宋" w:cs="仿宋" w:hint="eastAsia"/>
                <w:sz w:val="24"/>
              </w:rPr>
              <w:lastRenderedPageBreak/>
              <w:t>税人识别号代码标准的公告》（国家税务总局公告2015年第66号）全文。</w:t>
            </w:r>
          </w:p>
          <w:p w:rsidR="00013EC7" w:rsidRDefault="00013EC7">
            <w:pPr>
              <w:spacing w:line="310" w:lineRule="exact"/>
              <w:jc w:val="left"/>
              <w:rPr>
                <w:rFonts w:ascii="仿宋" w:eastAsia="仿宋" w:hAnsi="仿宋" w:cs="仿宋"/>
                <w:sz w:val="24"/>
              </w:rPr>
            </w:pPr>
          </w:p>
        </w:tc>
        <w:tc>
          <w:tcPr>
            <w:tcW w:w="2627"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lastRenderedPageBreak/>
              <w:t>（一）纳税人信息变更的证明文件原件</w:t>
            </w:r>
            <w:r>
              <w:rPr>
                <w:rFonts w:ascii="仿宋" w:eastAsia="仿宋" w:hAnsi="仿宋" w:cs="仿宋" w:hint="eastAsia"/>
                <w:sz w:val="24"/>
                <w:highlight w:val="lightGray"/>
              </w:rPr>
              <w:t>及复印件（加盖公章）</w:t>
            </w:r>
            <w:r>
              <w:rPr>
                <w:rFonts w:ascii="仿宋" w:eastAsia="仿宋" w:hAnsi="仿宋" w:cs="仿宋" w:hint="eastAsia"/>
                <w:sz w:val="24"/>
              </w:rPr>
              <w:t>。</w:t>
            </w:r>
          </w:p>
        </w:tc>
        <w:tc>
          <w:tcPr>
            <w:tcW w:w="1118"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涉及证件内容变更的纳税人需提交</w:t>
            </w:r>
          </w:p>
        </w:tc>
        <w:tc>
          <w:tcPr>
            <w:tcW w:w="2403"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（一）纳税人信息变更的证明文件原件查验。</w:t>
            </w:r>
          </w:p>
        </w:tc>
        <w:tc>
          <w:tcPr>
            <w:tcW w:w="1196" w:type="dxa"/>
            <w:vMerge w:val="restart"/>
            <w:shd w:val="clear" w:color="auto" w:fill="auto"/>
            <w:vAlign w:val="center"/>
          </w:tcPr>
          <w:p w:rsidR="00013EC7" w:rsidRDefault="00575CDB">
            <w:pPr>
              <w:jc w:val="left"/>
              <w:rPr>
                <w:rFonts w:ascii="仿宋" w:eastAsia="仿宋" w:hAnsi="仿宋" w:cs="仿宋"/>
                <w:sz w:val="24"/>
              </w:rPr>
            </w:pPr>
            <w:r>
              <w:rPr>
                <w:rFonts w:ascii="仿宋" w:eastAsia="仿宋" w:hAnsi="仿宋" w:cs="仿宋" w:hint="eastAsia"/>
                <w:sz w:val="24"/>
              </w:rPr>
              <w:t>涉及证件内容变更的纳税人需提交</w:t>
            </w:r>
          </w:p>
        </w:tc>
        <w:tc>
          <w:tcPr>
            <w:tcW w:w="3318"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 xml:space="preserve">纳税人提交书面材料。  </w:t>
            </w:r>
          </w:p>
          <w:p w:rsidR="00013EC7" w:rsidRDefault="00575CDB">
            <w:pPr>
              <w:spacing w:line="300" w:lineRule="exact"/>
              <w:jc w:val="left"/>
              <w:rPr>
                <w:rFonts w:ascii="仿宋" w:eastAsia="仿宋" w:hAnsi="仿宋" w:cs="仿宋"/>
                <w:sz w:val="24"/>
              </w:rPr>
            </w:pPr>
            <w:r>
              <w:rPr>
                <w:rFonts w:ascii="仿宋" w:eastAsia="仿宋" w:hAnsi="仿宋" w:cs="仿宋" w:hint="eastAsia"/>
                <w:b/>
                <w:sz w:val="24"/>
              </w:rPr>
              <w:t>网上办理：</w:t>
            </w:r>
            <w:r>
              <w:rPr>
                <w:rFonts w:ascii="仿宋" w:eastAsia="仿宋" w:hAnsi="仿宋" w:cs="仿宋" w:hint="eastAsia"/>
                <w:sz w:val="24"/>
              </w:rPr>
              <w:t>登录浙江国税电子税务局（网址：</w:t>
            </w:r>
            <w:hyperlink r:id="rId33" w:tgtFrame="https://wx.qq.com/_blank" w:history="1">
              <w:r>
                <w:rPr>
                  <w:rFonts w:ascii="仿宋" w:eastAsia="仿宋" w:hAnsi="仿宋" w:cs="仿宋" w:hint="eastAsia"/>
                  <w:sz w:val="24"/>
                </w:rPr>
                <w:t>http://etax.zjtax.gov.cn/</w:t>
              </w:r>
            </w:hyperlink>
          </w:p>
          <w:p w:rsidR="00013EC7" w:rsidRDefault="00575CDB">
            <w:pPr>
              <w:spacing w:line="300" w:lineRule="exact"/>
              <w:jc w:val="left"/>
              <w:rPr>
                <w:rFonts w:ascii="仿宋" w:eastAsia="仿宋" w:hAnsi="仿宋" w:cs="仿宋"/>
                <w:b/>
                <w:sz w:val="24"/>
              </w:rPr>
            </w:pPr>
            <w:r>
              <w:rPr>
                <w:rFonts w:ascii="仿宋" w:eastAsia="仿宋" w:hAnsi="仿宋" w:cs="仿宋" w:hint="eastAsia"/>
                <w:sz w:val="24"/>
              </w:rPr>
              <w:t>）提交申请。</w:t>
            </w:r>
          </w:p>
          <w:p w:rsidR="00013EC7" w:rsidRDefault="00575CDB">
            <w:pPr>
              <w:spacing w:line="300" w:lineRule="exact"/>
              <w:jc w:val="left"/>
              <w:rPr>
                <w:rFonts w:ascii="仿宋" w:eastAsia="仿宋" w:hAnsi="仿宋" w:cs="仿宋"/>
                <w:sz w:val="24"/>
              </w:rPr>
            </w:pPr>
            <w:r>
              <w:rPr>
                <w:rFonts w:ascii="仿宋" w:eastAsia="仿宋" w:hAnsi="仿宋" w:cs="仿宋" w:hint="eastAsia"/>
                <w:b/>
                <w:bCs/>
                <w:sz w:val="24"/>
              </w:rPr>
              <w:t>APP办理：</w:t>
            </w:r>
            <w:r w:rsidR="006776D1">
              <w:rPr>
                <w:rFonts w:ascii="仿宋" w:eastAsia="仿宋" w:hAnsi="仿宋" w:cs="仿宋" w:hint="eastAsia"/>
                <w:sz w:val="24"/>
              </w:rPr>
              <w:t>登录浙江国税APP提交申请。</w:t>
            </w:r>
          </w:p>
        </w:tc>
        <w:tc>
          <w:tcPr>
            <w:tcW w:w="868"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即时办结</w:t>
            </w:r>
          </w:p>
        </w:tc>
        <w:tc>
          <w:tcPr>
            <w:tcW w:w="798"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即时办结</w:t>
            </w:r>
          </w:p>
        </w:tc>
        <w:tc>
          <w:tcPr>
            <w:tcW w:w="958"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是</w:t>
            </w:r>
          </w:p>
        </w:tc>
        <w:tc>
          <w:tcPr>
            <w:tcW w:w="1104"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征管科技处</w:t>
            </w:r>
          </w:p>
        </w:tc>
        <w:tc>
          <w:tcPr>
            <w:tcW w:w="1476" w:type="dxa"/>
            <w:vMerge w:val="restart"/>
            <w:vAlign w:val="center"/>
          </w:tcPr>
          <w:p w:rsidR="00013EC7" w:rsidRDefault="00013EC7">
            <w:pPr>
              <w:spacing w:line="300" w:lineRule="exact"/>
              <w:jc w:val="left"/>
              <w:rPr>
                <w:rFonts w:ascii="仿宋" w:eastAsia="仿宋" w:hAnsi="仿宋" w:cs="仿宋"/>
                <w:sz w:val="24"/>
              </w:rPr>
            </w:pPr>
          </w:p>
        </w:tc>
      </w:tr>
      <w:tr w:rsidR="00013EC7" w:rsidTr="00362C3A">
        <w:trPr>
          <w:trHeight w:val="1952"/>
          <w:jc w:val="center"/>
        </w:trPr>
        <w:tc>
          <w:tcPr>
            <w:tcW w:w="1250" w:type="dxa"/>
            <w:vMerge/>
            <w:textDirection w:val="tbRlV"/>
            <w:vAlign w:val="center"/>
          </w:tcPr>
          <w:p w:rsidR="00013EC7" w:rsidRDefault="00013EC7">
            <w:pPr>
              <w:rPr>
                <w:rFonts w:ascii="仿宋" w:eastAsia="仿宋" w:hAnsi="仿宋" w:cs="仿宋"/>
                <w:sz w:val="24"/>
              </w:rPr>
            </w:pPr>
          </w:p>
        </w:tc>
        <w:tc>
          <w:tcPr>
            <w:tcW w:w="1316" w:type="dxa"/>
            <w:vMerge/>
            <w:vAlign w:val="center"/>
          </w:tcPr>
          <w:p w:rsidR="00013EC7" w:rsidRDefault="00013EC7">
            <w:pPr>
              <w:rPr>
                <w:rFonts w:ascii="仿宋" w:eastAsia="仿宋" w:hAnsi="仿宋" w:cs="仿宋"/>
                <w:sz w:val="24"/>
              </w:rPr>
            </w:pPr>
          </w:p>
        </w:tc>
        <w:tc>
          <w:tcPr>
            <w:tcW w:w="2272" w:type="dxa"/>
            <w:vMerge/>
            <w:vAlign w:val="center"/>
          </w:tcPr>
          <w:p w:rsidR="00013EC7" w:rsidRDefault="00013EC7">
            <w:pPr>
              <w:rPr>
                <w:rFonts w:ascii="仿宋" w:eastAsia="仿宋" w:hAnsi="仿宋" w:cs="仿宋"/>
                <w:sz w:val="24"/>
              </w:rPr>
            </w:pPr>
          </w:p>
        </w:tc>
        <w:tc>
          <w:tcPr>
            <w:tcW w:w="2627"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（二）经办人身份证明。</w:t>
            </w:r>
          </w:p>
        </w:tc>
        <w:tc>
          <w:tcPr>
            <w:tcW w:w="1118" w:type="dxa"/>
            <w:vMerge/>
            <w:vAlign w:val="center"/>
          </w:tcPr>
          <w:p w:rsidR="00013EC7" w:rsidRDefault="00013EC7">
            <w:pPr>
              <w:rPr>
                <w:rFonts w:ascii="仿宋" w:eastAsia="仿宋" w:hAnsi="仿宋" w:cs="仿宋"/>
                <w:sz w:val="24"/>
              </w:rPr>
            </w:pPr>
          </w:p>
        </w:tc>
        <w:tc>
          <w:tcPr>
            <w:tcW w:w="2403"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（二）经办人身份证明。</w:t>
            </w:r>
          </w:p>
        </w:tc>
        <w:tc>
          <w:tcPr>
            <w:tcW w:w="1196" w:type="dxa"/>
            <w:vMerge/>
            <w:vAlign w:val="center"/>
          </w:tcPr>
          <w:p w:rsidR="00013EC7" w:rsidRDefault="00013EC7">
            <w:pPr>
              <w:rPr>
                <w:rFonts w:ascii="仿宋" w:eastAsia="仿宋" w:hAnsi="仿宋" w:cs="仿宋"/>
                <w:sz w:val="24"/>
              </w:rPr>
            </w:pPr>
          </w:p>
        </w:tc>
        <w:tc>
          <w:tcPr>
            <w:tcW w:w="3318" w:type="dxa"/>
            <w:vMerge/>
            <w:vAlign w:val="center"/>
          </w:tcPr>
          <w:p w:rsidR="00013EC7" w:rsidRDefault="00013EC7">
            <w:pPr>
              <w:spacing w:line="300" w:lineRule="exact"/>
              <w:rPr>
                <w:rFonts w:ascii="仿宋" w:eastAsia="仿宋" w:hAnsi="仿宋" w:cs="仿宋"/>
                <w:sz w:val="24"/>
              </w:rPr>
            </w:pPr>
          </w:p>
        </w:tc>
        <w:tc>
          <w:tcPr>
            <w:tcW w:w="868" w:type="dxa"/>
            <w:vMerge/>
            <w:vAlign w:val="center"/>
          </w:tcPr>
          <w:p w:rsidR="00013EC7" w:rsidRDefault="00013EC7">
            <w:pPr>
              <w:rPr>
                <w:rFonts w:ascii="仿宋" w:eastAsia="仿宋" w:hAnsi="仿宋" w:cs="仿宋"/>
                <w:sz w:val="24"/>
              </w:rPr>
            </w:pPr>
          </w:p>
        </w:tc>
        <w:tc>
          <w:tcPr>
            <w:tcW w:w="798" w:type="dxa"/>
            <w:vMerge/>
            <w:vAlign w:val="center"/>
          </w:tcPr>
          <w:p w:rsidR="00013EC7" w:rsidRDefault="00013EC7">
            <w:pPr>
              <w:rPr>
                <w:rFonts w:ascii="仿宋" w:eastAsia="仿宋" w:hAnsi="仿宋" w:cs="仿宋"/>
                <w:sz w:val="24"/>
              </w:rPr>
            </w:pP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rsidTr="00362C3A">
        <w:trPr>
          <w:trHeight w:val="2188"/>
          <w:jc w:val="center"/>
        </w:trPr>
        <w:tc>
          <w:tcPr>
            <w:tcW w:w="1250" w:type="dxa"/>
            <w:vMerge/>
            <w:textDirection w:val="tbRlV"/>
            <w:vAlign w:val="center"/>
          </w:tcPr>
          <w:p w:rsidR="00013EC7" w:rsidRDefault="00013EC7">
            <w:pPr>
              <w:spacing w:line="300" w:lineRule="exact"/>
              <w:rPr>
                <w:sz w:val="24"/>
              </w:rPr>
            </w:pPr>
          </w:p>
        </w:tc>
        <w:tc>
          <w:tcPr>
            <w:tcW w:w="1316" w:type="dxa"/>
            <w:vMerge/>
            <w:vAlign w:val="center"/>
          </w:tcPr>
          <w:p w:rsidR="00013EC7" w:rsidRDefault="00013EC7">
            <w:pPr>
              <w:spacing w:line="300" w:lineRule="exact"/>
              <w:rPr>
                <w:sz w:val="24"/>
              </w:rPr>
            </w:pPr>
          </w:p>
        </w:tc>
        <w:tc>
          <w:tcPr>
            <w:tcW w:w="2272" w:type="dxa"/>
            <w:vMerge/>
            <w:vAlign w:val="center"/>
          </w:tcPr>
          <w:p w:rsidR="00013EC7" w:rsidRDefault="00013EC7">
            <w:pPr>
              <w:spacing w:line="300" w:lineRule="exact"/>
              <w:rPr>
                <w:sz w:val="24"/>
              </w:rPr>
            </w:pPr>
          </w:p>
        </w:tc>
        <w:tc>
          <w:tcPr>
            <w:tcW w:w="2627"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（三）（A01011）《变更税</w:t>
            </w:r>
            <w:bookmarkStart w:id="39" w:name="_Hlt483574694"/>
            <w:bookmarkStart w:id="40" w:name="_Hlt483574693"/>
            <w:bookmarkEnd w:id="39"/>
            <w:bookmarkEnd w:id="40"/>
            <w:r>
              <w:rPr>
                <w:rFonts w:ascii="仿宋" w:eastAsia="仿宋" w:hAnsi="仿宋" w:cs="仿宋" w:hint="eastAsia"/>
                <w:sz w:val="24"/>
              </w:rPr>
              <w:t>务登</w:t>
            </w:r>
            <w:bookmarkStart w:id="41" w:name="_Hlt483574677"/>
            <w:bookmarkEnd w:id="41"/>
            <w:r>
              <w:rPr>
                <w:rFonts w:ascii="仿宋" w:eastAsia="仿宋" w:hAnsi="仿宋" w:cs="仿宋" w:hint="eastAsia"/>
                <w:sz w:val="24"/>
              </w:rPr>
              <w:t>记表》1份。</w:t>
            </w:r>
          </w:p>
        </w:tc>
        <w:tc>
          <w:tcPr>
            <w:tcW w:w="1118" w:type="dxa"/>
            <w:vMerge w:val="restart"/>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不涉及证件内容变更的纳税人需提交</w:t>
            </w:r>
          </w:p>
        </w:tc>
        <w:tc>
          <w:tcPr>
            <w:tcW w:w="2403"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（三）（A01011）《变更税务登记表》1份。</w:t>
            </w:r>
          </w:p>
        </w:tc>
        <w:tc>
          <w:tcPr>
            <w:tcW w:w="1196" w:type="dxa"/>
            <w:vMerge w:val="restart"/>
            <w:shd w:val="clear" w:color="auto" w:fill="auto"/>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不涉及证件内容变更的纳税人需提交</w:t>
            </w:r>
          </w:p>
        </w:tc>
        <w:tc>
          <w:tcPr>
            <w:tcW w:w="3318" w:type="dxa"/>
            <w:vMerge/>
            <w:vAlign w:val="center"/>
          </w:tcPr>
          <w:p w:rsidR="00013EC7" w:rsidRDefault="00013EC7">
            <w:pPr>
              <w:spacing w:line="300" w:lineRule="exact"/>
              <w:rPr>
                <w:rFonts w:ascii="仿宋" w:eastAsia="仿宋" w:hAnsi="仿宋" w:cs="仿宋"/>
                <w:sz w:val="24"/>
              </w:rPr>
            </w:pPr>
          </w:p>
        </w:tc>
        <w:tc>
          <w:tcPr>
            <w:tcW w:w="868" w:type="dxa"/>
            <w:vMerge/>
            <w:vAlign w:val="center"/>
          </w:tcPr>
          <w:p w:rsidR="00013EC7" w:rsidRDefault="00013EC7">
            <w:pPr>
              <w:spacing w:line="300" w:lineRule="exact"/>
              <w:rPr>
                <w:rFonts w:ascii="仿宋" w:eastAsia="仿宋" w:hAnsi="仿宋" w:cs="仿宋"/>
                <w:sz w:val="24"/>
              </w:rPr>
            </w:pPr>
          </w:p>
        </w:tc>
        <w:tc>
          <w:tcPr>
            <w:tcW w:w="798" w:type="dxa"/>
            <w:vMerge/>
            <w:vAlign w:val="center"/>
          </w:tcPr>
          <w:p w:rsidR="00013EC7" w:rsidRDefault="00013EC7">
            <w:pPr>
              <w:spacing w:line="300" w:lineRule="exact"/>
              <w:rPr>
                <w:rFonts w:ascii="仿宋" w:eastAsia="仿宋" w:hAnsi="仿宋" w:cs="仿宋"/>
                <w:sz w:val="24"/>
              </w:rPr>
            </w:pPr>
          </w:p>
        </w:tc>
        <w:tc>
          <w:tcPr>
            <w:tcW w:w="958" w:type="dxa"/>
            <w:vMerge/>
            <w:vAlign w:val="center"/>
          </w:tcPr>
          <w:p w:rsidR="00013EC7" w:rsidRDefault="00013EC7">
            <w:pPr>
              <w:spacing w:line="300" w:lineRule="exact"/>
              <w:rPr>
                <w:rFonts w:ascii="仿宋" w:eastAsia="仿宋" w:hAnsi="仿宋" w:cs="仿宋"/>
                <w:sz w:val="24"/>
              </w:rPr>
            </w:pPr>
          </w:p>
        </w:tc>
        <w:tc>
          <w:tcPr>
            <w:tcW w:w="1104" w:type="dxa"/>
            <w:vMerge/>
            <w:vAlign w:val="center"/>
          </w:tcPr>
          <w:p w:rsidR="00013EC7" w:rsidRDefault="00013EC7">
            <w:pPr>
              <w:spacing w:line="300" w:lineRule="exact"/>
              <w:rPr>
                <w:rFonts w:ascii="仿宋" w:eastAsia="仿宋" w:hAnsi="仿宋" w:cs="仿宋"/>
                <w:sz w:val="24"/>
              </w:rPr>
            </w:pPr>
          </w:p>
        </w:tc>
        <w:tc>
          <w:tcPr>
            <w:tcW w:w="1476" w:type="dxa"/>
            <w:vMerge/>
            <w:vAlign w:val="center"/>
          </w:tcPr>
          <w:p w:rsidR="00013EC7" w:rsidRDefault="00013EC7">
            <w:pPr>
              <w:spacing w:line="300" w:lineRule="exact"/>
              <w:rPr>
                <w:rFonts w:ascii="仿宋" w:eastAsia="仿宋" w:hAnsi="仿宋" w:cs="仿宋"/>
                <w:sz w:val="24"/>
              </w:rPr>
            </w:pPr>
          </w:p>
        </w:tc>
      </w:tr>
      <w:tr w:rsidR="00013EC7" w:rsidTr="00362C3A">
        <w:trPr>
          <w:trHeight w:val="3324"/>
          <w:jc w:val="center"/>
        </w:trPr>
        <w:tc>
          <w:tcPr>
            <w:tcW w:w="1250" w:type="dxa"/>
            <w:vMerge/>
            <w:textDirection w:val="tbRlV"/>
            <w:vAlign w:val="center"/>
          </w:tcPr>
          <w:p w:rsidR="00013EC7" w:rsidRDefault="00013EC7">
            <w:pPr>
              <w:spacing w:line="300" w:lineRule="exact"/>
              <w:rPr>
                <w:sz w:val="24"/>
              </w:rPr>
            </w:pPr>
          </w:p>
        </w:tc>
        <w:tc>
          <w:tcPr>
            <w:tcW w:w="1316" w:type="dxa"/>
            <w:vMerge/>
            <w:vAlign w:val="center"/>
          </w:tcPr>
          <w:p w:rsidR="00013EC7" w:rsidRDefault="00013EC7">
            <w:pPr>
              <w:spacing w:line="300" w:lineRule="exact"/>
              <w:rPr>
                <w:sz w:val="24"/>
              </w:rPr>
            </w:pPr>
          </w:p>
        </w:tc>
        <w:tc>
          <w:tcPr>
            <w:tcW w:w="2272" w:type="dxa"/>
            <w:vMerge/>
            <w:vAlign w:val="center"/>
          </w:tcPr>
          <w:p w:rsidR="00013EC7" w:rsidRDefault="00013EC7">
            <w:pPr>
              <w:spacing w:line="300" w:lineRule="exact"/>
              <w:rPr>
                <w:sz w:val="24"/>
              </w:rPr>
            </w:pPr>
          </w:p>
        </w:tc>
        <w:tc>
          <w:tcPr>
            <w:tcW w:w="2627"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（四）纳税人变更登记内容的证明文件</w:t>
            </w:r>
            <w:r>
              <w:rPr>
                <w:rFonts w:ascii="仿宋" w:eastAsia="仿宋" w:hAnsi="仿宋" w:cs="仿宋" w:hint="eastAsia"/>
                <w:sz w:val="24"/>
                <w:highlight w:val="lightGray"/>
              </w:rPr>
              <w:t>原件及</w:t>
            </w:r>
            <w:r>
              <w:rPr>
                <w:rFonts w:ascii="仿宋" w:eastAsia="仿宋" w:hAnsi="仿宋" w:cs="仿宋" w:hint="eastAsia"/>
                <w:sz w:val="24"/>
              </w:rPr>
              <w:t>复印件（加盖公章）。</w:t>
            </w:r>
          </w:p>
        </w:tc>
        <w:tc>
          <w:tcPr>
            <w:tcW w:w="1118" w:type="dxa"/>
            <w:vMerge/>
            <w:vAlign w:val="center"/>
          </w:tcPr>
          <w:p w:rsidR="00013EC7" w:rsidRDefault="00013EC7">
            <w:pPr>
              <w:spacing w:line="300" w:lineRule="exact"/>
              <w:rPr>
                <w:rFonts w:ascii="仿宋" w:eastAsia="仿宋" w:hAnsi="仿宋" w:cs="仿宋"/>
                <w:sz w:val="24"/>
              </w:rPr>
            </w:pPr>
          </w:p>
        </w:tc>
        <w:tc>
          <w:tcPr>
            <w:tcW w:w="2403"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（四）纳税人信息变更的证明文件复印件（注明与原件一致，并加盖公章）。</w:t>
            </w:r>
          </w:p>
        </w:tc>
        <w:tc>
          <w:tcPr>
            <w:tcW w:w="1196" w:type="dxa"/>
            <w:vMerge/>
            <w:vAlign w:val="center"/>
          </w:tcPr>
          <w:p w:rsidR="00013EC7" w:rsidRDefault="00013EC7">
            <w:pPr>
              <w:spacing w:line="300" w:lineRule="exact"/>
              <w:rPr>
                <w:rFonts w:ascii="仿宋" w:eastAsia="仿宋" w:hAnsi="仿宋" w:cs="仿宋"/>
                <w:sz w:val="24"/>
              </w:rPr>
            </w:pPr>
          </w:p>
        </w:tc>
        <w:tc>
          <w:tcPr>
            <w:tcW w:w="3318" w:type="dxa"/>
            <w:vMerge/>
            <w:vAlign w:val="center"/>
          </w:tcPr>
          <w:p w:rsidR="00013EC7" w:rsidRDefault="00013EC7">
            <w:pPr>
              <w:spacing w:line="300" w:lineRule="exact"/>
              <w:rPr>
                <w:rFonts w:ascii="仿宋" w:eastAsia="仿宋" w:hAnsi="仿宋" w:cs="仿宋"/>
                <w:sz w:val="24"/>
              </w:rPr>
            </w:pPr>
          </w:p>
        </w:tc>
        <w:tc>
          <w:tcPr>
            <w:tcW w:w="868" w:type="dxa"/>
            <w:vMerge/>
            <w:vAlign w:val="center"/>
          </w:tcPr>
          <w:p w:rsidR="00013EC7" w:rsidRDefault="00013EC7">
            <w:pPr>
              <w:spacing w:line="300" w:lineRule="exact"/>
              <w:rPr>
                <w:rFonts w:ascii="仿宋" w:eastAsia="仿宋" w:hAnsi="仿宋" w:cs="仿宋"/>
                <w:sz w:val="24"/>
              </w:rPr>
            </w:pPr>
          </w:p>
        </w:tc>
        <w:tc>
          <w:tcPr>
            <w:tcW w:w="798" w:type="dxa"/>
            <w:vMerge/>
            <w:vAlign w:val="center"/>
          </w:tcPr>
          <w:p w:rsidR="00013EC7" w:rsidRDefault="00013EC7">
            <w:pPr>
              <w:spacing w:line="300" w:lineRule="exact"/>
              <w:rPr>
                <w:rFonts w:ascii="仿宋" w:eastAsia="仿宋" w:hAnsi="仿宋" w:cs="仿宋"/>
                <w:sz w:val="24"/>
              </w:rPr>
            </w:pPr>
          </w:p>
        </w:tc>
        <w:tc>
          <w:tcPr>
            <w:tcW w:w="958" w:type="dxa"/>
            <w:vMerge/>
            <w:vAlign w:val="center"/>
          </w:tcPr>
          <w:p w:rsidR="00013EC7" w:rsidRDefault="00013EC7">
            <w:pPr>
              <w:spacing w:line="300" w:lineRule="exact"/>
              <w:rPr>
                <w:rFonts w:ascii="仿宋" w:eastAsia="仿宋" w:hAnsi="仿宋" w:cs="仿宋"/>
                <w:sz w:val="24"/>
              </w:rPr>
            </w:pPr>
          </w:p>
        </w:tc>
        <w:tc>
          <w:tcPr>
            <w:tcW w:w="1104" w:type="dxa"/>
            <w:vMerge/>
            <w:vAlign w:val="center"/>
          </w:tcPr>
          <w:p w:rsidR="00013EC7" w:rsidRDefault="00013EC7">
            <w:pPr>
              <w:spacing w:line="300" w:lineRule="exact"/>
              <w:rPr>
                <w:rFonts w:ascii="仿宋" w:eastAsia="仿宋" w:hAnsi="仿宋" w:cs="仿宋"/>
                <w:sz w:val="24"/>
              </w:rPr>
            </w:pPr>
          </w:p>
        </w:tc>
        <w:tc>
          <w:tcPr>
            <w:tcW w:w="1476" w:type="dxa"/>
            <w:vMerge/>
            <w:vAlign w:val="center"/>
          </w:tcPr>
          <w:p w:rsidR="00013EC7" w:rsidRDefault="00013EC7">
            <w:pPr>
              <w:spacing w:line="300" w:lineRule="exact"/>
              <w:rPr>
                <w:rFonts w:ascii="仿宋" w:eastAsia="仿宋" w:hAnsi="仿宋" w:cs="仿宋"/>
                <w:sz w:val="24"/>
              </w:rPr>
            </w:pPr>
          </w:p>
        </w:tc>
      </w:tr>
    </w:tbl>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575CDB">
      <w:r>
        <w:br w:type="page"/>
      </w:r>
    </w:p>
    <w:p w:rsidR="00013EC7" w:rsidRDefault="00013EC7">
      <w:bookmarkStart w:id="42" w:name="_Toc498705673"/>
    </w:p>
    <w:p w:rsidR="00013EC7" w:rsidRDefault="005262E6">
      <w:r>
        <w:lastRenderedPageBreak/>
        <w:object w:dxaOrig="1440" w:dyaOrig="1440">
          <v:shape id="_x0000_s1191" type="#_x0000_t75" style="position:absolute;left:0;text-align:left;margin-left:562.7pt;margin-top:16.45pt;width:481.9pt;height:612.6pt;z-index:251579392;mso-wrap-distance-left:9pt;mso-wrap-distance-top:0;mso-wrap-distance-right:9pt;mso-wrap-distance-bottom:0;mso-width-relative:page;mso-height-relative:page">
            <v:imagedata r:id="rId34" o:title=""/>
            <o:lock v:ext="edit" aspectratio="f"/>
            <w10:wrap type="square"/>
          </v:shape>
          <o:OLEObject Type="Embed" ProgID="Visio.Drawing.11" ShapeID="_x0000_s1191" DrawAspect="Content" ObjectID="_1577296154" r:id="rId35"/>
        </w:object>
      </w:r>
      <w:r>
        <w:object w:dxaOrig="1440" w:dyaOrig="1440">
          <v:shape id="_x0000_s1172" type="#_x0000_t75" style="position:absolute;left:0;text-align:left;margin-left:4.7pt;margin-top:21.45pt;width:481.9pt;height:673.15pt;z-index:251572224;mso-wrap-distance-top:0;mso-wrap-distance-bottom:0;mso-width-relative:page;mso-height-relative:page">
            <v:imagedata r:id="rId36" o:title=""/>
            <w10:wrap type="topAndBottom"/>
          </v:shape>
          <o:OLEObject Type="Embed" ProgID="Visio.Drawing.11" ShapeID="_x0000_s1172" DrawAspect="Content" ObjectID="_1577296155" r:id="rId37"/>
        </w:object>
      </w:r>
    </w:p>
    <w:p w:rsidR="00013EC7" w:rsidRDefault="00575CDB">
      <w:pPr>
        <w:pStyle w:val="1"/>
      </w:pPr>
      <w:bookmarkStart w:id="43" w:name="_Toc19888"/>
      <w:bookmarkStart w:id="44" w:name="_Toc22057"/>
      <w:bookmarkStart w:id="45" w:name="_Toc503467367"/>
      <w:bookmarkStart w:id="46" w:name="_Toc32482"/>
      <w:r>
        <w:rPr>
          <w:rFonts w:hint="eastAsia"/>
        </w:rPr>
        <w:lastRenderedPageBreak/>
        <w:t>三、注销登记</w:t>
      </w:r>
      <w:bookmarkEnd w:id="43"/>
      <w:bookmarkEnd w:id="44"/>
      <w:bookmarkEnd w:id="45"/>
      <w:bookmarkEnd w:id="46"/>
    </w:p>
    <w:p w:rsidR="00013EC7" w:rsidRDefault="00575CDB">
      <w:pPr>
        <w:pStyle w:val="2"/>
      </w:pPr>
      <w:bookmarkStart w:id="47" w:name="_Toc17597"/>
      <w:bookmarkStart w:id="48" w:name="_Toc24177"/>
      <w:bookmarkStart w:id="49" w:name="_Toc30525"/>
      <w:bookmarkStart w:id="50" w:name="_Toc503467368"/>
      <w:r>
        <w:rPr>
          <w:rFonts w:hint="eastAsia"/>
        </w:rPr>
        <w:t>3.1</w:t>
      </w:r>
      <w:r>
        <w:rPr>
          <w:rFonts w:hint="eastAsia"/>
        </w:rPr>
        <w:t>注销登记（单位及查账征收个体工商户）</w:t>
      </w:r>
      <w:bookmarkEnd w:id="42"/>
      <w:bookmarkEnd w:id="47"/>
      <w:bookmarkEnd w:id="48"/>
      <w:bookmarkEnd w:id="49"/>
      <w:bookmarkEnd w:id="50"/>
    </w:p>
    <w:p w:rsidR="00013EC7" w:rsidRDefault="00575CDB">
      <w:pPr>
        <w:jc w:val="center"/>
        <w:rPr>
          <w:rFonts w:ascii="宋体" w:hAnsi="宋体" w:cs="宋体"/>
          <w:b/>
          <w:bCs/>
          <w:sz w:val="52"/>
          <w:szCs w:val="52"/>
        </w:rPr>
      </w:pPr>
      <w:r>
        <w:rPr>
          <w:rFonts w:ascii="宋体" w:hAnsi="宋体" w:cs="宋体" w:hint="eastAsia"/>
          <w:b/>
          <w:bCs/>
          <w:sz w:val="52"/>
          <w:szCs w:val="52"/>
        </w:rPr>
        <w:t>全省“最多跑一次”事项“八统一”梳理表</w:t>
      </w:r>
    </w:p>
    <w:tbl>
      <w:tblPr>
        <w:tblW w:w="204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2622"/>
        <w:gridCol w:w="3083"/>
        <w:gridCol w:w="934"/>
        <w:gridCol w:w="3253"/>
        <w:gridCol w:w="893"/>
        <w:gridCol w:w="2742"/>
        <w:gridCol w:w="868"/>
        <w:gridCol w:w="798"/>
        <w:gridCol w:w="958"/>
        <w:gridCol w:w="1104"/>
        <w:gridCol w:w="1476"/>
      </w:tblGrid>
      <w:tr w:rsidR="00013EC7" w:rsidTr="00362C3A">
        <w:trPr>
          <w:trHeight w:val="340"/>
          <w:tblHeader/>
          <w:jc w:val="center"/>
        </w:trPr>
        <w:tc>
          <w:tcPr>
            <w:tcW w:w="672" w:type="dxa"/>
            <w:vMerge w:val="restart"/>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主项名称</w:t>
            </w:r>
          </w:p>
        </w:tc>
        <w:tc>
          <w:tcPr>
            <w:tcW w:w="1035" w:type="dxa"/>
            <w:vMerge w:val="restart"/>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子项名称</w:t>
            </w:r>
          </w:p>
        </w:tc>
        <w:tc>
          <w:tcPr>
            <w:tcW w:w="2622" w:type="dxa"/>
            <w:vMerge w:val="restart"/>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经办依据</w:t>
            </w:r>
          </w:p>
        </w:tc>
        <w:tc>
          <w:tcPr>
            <w:tcW w:w="4017" w:type="dxa"/>
            <w:gridSpan w:val="2"/>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原经办所需材料</w:t>
            </w:r>
          </w:p>
        </w:tc>
        <w:tc>
          <w:tcPr>
            <w:tcW w:w="6888" w:type="dxa"/>
            <w:gridSpan w:val="3"/>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精简后经办所需材料</w:t>
            </w:r>
          </w:p>
        </w:tc>
        <w:tc>
          <w:tcPr>
            <w:tcW w:w="1666" w:type="dxa"/>
            <w:gridSpan w:val="2"/>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办理时限</w:t>
            </w:r>
          </w:p>
        </w:tc>
        <w:tc>
          <w:tcPr>
            <w:tcW w:w="958" w:type="dxa"/>
            <w:vMerge w:val="restart"/>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是否实现跑零次</w:t>
            </w:r>
          </w:p>
        </w:tc>
        <w:tc>
          <w:tcPr>
            <w:tcW w:w="1104" w:type="dxa"/>
            <w:vMerge w:val="restart"/>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省厅对口</w:t>
            </w:r>
          </w:p>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指导处室</w:t>
            </w:r>
          </w:p>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（单位）</w:t>
            </w:r>
          </w:p>
        </w:tc>
        <w:tc>
          <w:tcPr>
            <w:tcW w:w="1476" w:type="dxa"/>
            <w:vMerge w:val="restart"/>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进一步精简、</w:t>
            </w:r>
          </w:p>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规范建议</w:t>
            </w:r>
          </w:p>
        </w:tc>
      </w:tr>
      <w:tr w:rsidR="00013EC7" w:rsidTr="00362C3A">
        <w:trPr>
          <w:trHeight w:val="340"/>
          <w:tblHeader/>
          <w:jc w:val="center"/>
        </w:trPr>
        <w:tc>
          <w:tcPr>
            <w:tcW w:w="672" w:type="dxa"/>
            <w:vMerge/>
            <w:vAlign w:val="center"/>
          </w:tcPr>
          <w:p w:rsidR="00013EC7" w:rsidRDefault="00013EC7">
            <w:pPr>
              <w:jc w:val="left"/>
              <w:rPr>
                <w:rFonts w:ascii="仿宋" w:eastAsia="仿宋" w:hAnsi="仿宋" w:cs="仿宋"/>
                <w:sz w:val="24"/>
              </w:rPr>
            </w:pPr>
          </w:p>
        </w:tc>
        <w:tc>
          <w:tcPr>
            <w:tcW w:w="1035" w:type="dxa"/>
            <w:vMerge/>
            <w:vAlign w:val="center"/>
          </w:tcPr>
          <w:p w:rsidR="00013EC7" w:rsidRDefault="00013EC7">
            <w:pPr>
              <w:jc w:val="left"/>
              <w:rPr>
                <w:rFonts w:ascii="仿宋" w:eastAsia="仿宋" w:hAnsi="仿宋" w:cs="仿宋"/>
                <w:sz w:val="24"/>
              </w:rPr>
            </w:pPr>
          </w:p>
        </w:tc>
        <w:tc>
          <w:tcPr>
            <w:tcW w:w="2622" w:type="dxa"/>
            <w:vMerge/>
            <w:vAlign w:val="center"/>
          </w:tcPr>
          <w:p w:rsidR="00013EC7" w:rsidRDefault="00013EC7">
            <w:pPr>
              <w:jc w:val="left"/>
              <w:rPr>
                <w:rFonts w:ascii="仿宋" w:eastAsia="仿宋" w:hAnsi="仿宋" w:cs="仿宋"/>
                <w:sz w:val="24"/>
              </w:rPr>
            </w:pPr>
          </w:p>
        </w:tc>
        <w:tc>
          <w:tcPr>
            <w:tcW w:w="3083"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材料明细</w:t>
            </w:r>
          </w:p>
        </w:tc>
        <w:tc>
          <w:tcPr>
            <w:tcW w:w="934"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材料来源</w:t>
            </w:r>
          </w:p>
        </w:tc>
        <w:tc>
          <w:tcPr>
            <w:tcW w:w="3253"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材料明细</w:t>
            </w:r>
          </w:p>
        </w:tc>
        <w:tc>
          <w:tcPr>
            <w:tcW w:w="893"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材料来源</w:t>
            </w:r>
          </w:p>
        </w:tc>
        <w:tc>
          <w:tcPr>
            <w:tcW w:w="2742"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办理方式及材料</w:t>
            </w:r>
          </w:p>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信息获取方式说明</w:t>
            </w:r>
          </w:p>
        </w:tc>
        <w:tc>
          <w:tcPr>
            <w:tcW w:w="868"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优化前</w:t>
            </w:r>
          </w:p>
        </w:tc>
        <w:tc>
          <w:tcPr>
            <w:tcW w:w="798"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优化后</w:t>
            </w:r>
          </w:p>
        </w:tc>
        <w:tc>
          <w:tcPr>
            <w:tcW w:w="958" w:type="dxa"/>
            <w:vMerge/>
            <w:vAlign w:val="center"/>
          </w:tcPr>
          <w:p w:rsidR="00013EC7" w:rsidRDefault="00013EC7">
            <w:pPr>
              <w:jc w:val="left"/>
              <w:rPr>
                <w:rFonts w:ascii="仿宋" w:eastAsia="仿宋" w:hAnsi="仿宋" w:cs="仿宋"/>
                <w:sz w:val="24"/>
              </w:rPr>
            </w:pPr>
          </w:p>
        </w:tc>
        <w:tc>
          <w:tcPr>
            <w:tcW w:w="1104" w:type="dxa"/>
            <w:vMerge/>
            <w:vAlign w:val="center"/>
          </w:tcPr>
          <w:p w:rsidR="00013EC7" w:rsidRDefault="00013EC7">
            <w:pPr>
              <w:jc w:val="left"/>
              <w:rPr>
                <w:rFonts w:ascii="仿宋" w:eastAsia="仿宋" w:hAnsi="仿宋" w:cs="仿宋"/>
                <w:sz w:val="24"/>
              </w:rPr>
            </w:pPr>
          </w:p>
        </w:tc>
        <w:tc>
          <w:tcPr>
            <w:tcW w:w="1476" w:type="dxa"/>
            <w:vMerge/>
            <w:vAlign w:val="center"/>
          </w:tcPr>
          <w:p w:rsidR="00013EC7" w:rsidRDefault="00013EC7">
            <w:pPr>
              <w:jc w:val="left"/>
              <w:rPr>
                <w:rFonts w:ascii="仿宋" w:eastAsia="仿宋" w:hAnsi="仿宋" w:cs="仿宋"/>
                <w:sz w:val="24"/>
              </w:rPr>
            </w:pPr>
          </w:p>
        </w:tc>
      </w:tr>
      <w:tr w:rsidR="00013EC7" w:rsidTr="00362C3A">
        <w:trPr>
          <w:trHeight w:val="1272"/>
          <w:jc w:val="center"/>
        </w:trPr>
        <w:tc>
          <w:tcPr>
            <w:tcW w:w="672"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3注销登记</w:t>
            </w:r>
          </w:p>
        </w:tc>
        <w:tc>
          <w:tcPr>
            <w:tcW w:w="1035" w:type="dxa"/>
            <w:vMerge w:val="restart"/>
            <w:vAlign w:val="center"/>
          </w:tcPr>
          <w:p w:rsidR="00013EC7" w:rsidRDefault="00575CDB">
            <w:pPr>
              <w:spacing w:line="310" w:lineRule="exact"/>
              <w:jc w:val="left"/>
              <w:rPr>
                <w:rFonts w:ascii="仿宋" w:eastAsia="仿宋" w:hAnsi="仿宋" w:cs="仿宋"/>
                <w:sz w:val="24"/>
              </w:rPr>
            </w:pPr>
            <w:r>
              <w:rPr>
                <w:rFonts w:ascii="仿宋" w:eastAsia="仿宋" w:hAnsi="仿宋" w:cs="仿宋" w:hint="eastAsia"/>
                <w:sz w:val="24"/>
              </w:rPr>
              <w:t>3.1 注销登记（单位及查账征收个体工商户）</w:t>
            </w:r>
          </w:p>
        </w:tc>
        <w:tc>
          <w:tcPr>
            <w:tcW w:w="2622" w:type="dxa"/>
            <w:vMerge w:val="restart"/>
            <w:vAlign w:val="center"/>
          </w:tcPr>
          <w:p w:rsidR="00013EC7" w:rsidRDefault="00575CDB">
            <w:pPr>
              <w:jc w:val="left"/>
              <w:rPr>
                <w:rFonts w:ascii="仿宋" w:eastAsia="仿宋" w:hAnsi="仿宋" w:cs="仿宋"/>
                <w:sz w:val="24"/>
              </w:rPr>
            </w:pPr>
            <w:r>
              <w:rPr>
                <w:rFonts w:ascii="仿宋" w:eastAsia="仿宋" w:hAnsi="仿宋" w:cs="仿宋" w:hint="eastAsia"/>
                <w:sz w:val="24"/>
              </w:rPr>
              <w:t>（一）《中华人民共和国税收征收管理法》（中华人民共和国主席令〔2001〕第49号）第十六条。</w:t>
            </w:r>
          </w:p>
          <w:p w:rsidR="00013EC7" w:rsidRDefault="00575CDB">
            <w:pPr>
              <w:jc w:val="left"/>
              <w:rPr>
                <w:rFonts w:ascii="仿宋" w:eastAsia="仿宋" w:hAnsi="仿宋" w:cs="仿宋"/>
                <w:sz w:val="24"/>
              </w:rPr>
            </w:pPr>
            <w:r>
              <w:rPr>
                <w:rFonts w:ascii="仿宋" w:eastAsia="仿宋" w:hAnsi="仿宋" w:cs="仿宋" w:hint="eastAsia"/>
                <w:sz w:val="24"/>
              </w:rPr>
              <w:t>（二）《中华人民共和国税收征收管理法实施细则》（中华人民共和国国务院令〔2002〕第362号）第十五条、第十六条。</w:t>
            </w:r>
          </w:p>
          <w:p w:rsidR="00013EC7" w:rsidRDefault="00575CDB">
            <w:pPr>
              <w:jc w:val="left"/>
              <w:rPr>
                <w:rFonts w:ascii="仿宋" w:eastAsia="仿宋" w:hAnsi="仿宋" w:cs="仿宋"/>
                <w:sz w:val="24"/>
              </w:rPr>
            </w:pPr>
            <w:r>
              <w:rPr>
                <w:rFonts w:ascii="仿宋" w:eastAsia="仿宋" w:hAnsi="仿宋" w:cs="仿宋" w:hint="eastAsia"/>
                <w:sz w:val="24"/>
              </w:rPr>
              <w:t>（三）《国家税务总局关于修改〈税务登记管理办法〉的决定》（国家税务总局令第36号）第二十八条、第十九条、第三十条、第三十一条。</w:t>
            </w:r>
          </w:p>
          <w:p w:rsidR="00013EC7" w:rsidRDefault="00575CDB">
            <w:pPr>
              <w:jc w:val="left"/>
              <w:rPr>
                <w:rFonts w:ascii="仿宋" w:eastAsia="仿宋" w:hAnsi="仿宋" w:cs="仿宋"/>
                <w:sz w:val="24"/>
              </w:rPr>
            </w:pPr>
            <w:r>
              <w:rPr>
                <w:rFonts w:ascii="仿宋" w:eastAsia="仿宋" w:hAnsi="仿宋" w:cs="仿宋" w:hint="eastAsia"/>
                <w:sz w:val="24"/>
              </w:rPr>
              <w:t>（四）《国家税务总局关于进一步完善税务登记管理有关问题的公告》（国家税务总局公告2011年第21号）第二条。</w:t>
            </w:r>
          </w:p>
        </w:tc>
        <w:tc>
          <w:tcPr>
            <w:tcW w:w="3083" w:type="dxa"/>
            <w:vAlign w:val="center"/>
          </w:tcPr>
          <w:p w:rsidR="00013EC7" w:rsidRDefault="00575CDB">
            <w:pPr>
              <w:jc w:val="left"/>
              <w:rPr>
                <w:rFonts w:ascii="仿宋" w:eastAsia="仿宋" w:hAnsi="仿宋" w:cs="仿宋"/>
                <w:sz w:val="24"/>
              </w:rPr>
            </w:pPr>
            <w:r>
              <w:rPr>
                <w:rFonts w:ascii="仿宋" w:eastAsia="仿宋" w:hAnsi="仿宋" w:cs="仿宋" w:hint="eastAsia"/>
                <w:sz w:val="24"/>
              </w:rPr>
              <w:t>（一）（A01013）《注销税务登记申请表》</w:t>
            </w:r>
            <w:r>
              <w:rPr>
                <w:rFonts w:ascii="仿宋" w:eastAsia="仿宋" w:hAnsi="仿宋" w:cs="仿宋" w:hint="eastAsia"/>
                <w:sz w:val="24"/>
                <w:highlight w:val="lightGray"/>
              </w:rPr>
              <w:t>3份</w:t>
            </w:r>
            <w:r>
              <w:rPr>
                <w:rFonts w:ascii="仿宋" w:eastAsia="仿宋" w:hAnsi="仿宋" w:cs="仿宋" w:hint="eastAsia"/>
                <w:sz w:val="24"/>
              </w:rPr>
              <w:t>。</w:t>
            </w:r>
          </w:p>
        </w:tc>
        <w:tc>
          <w:tcPr>
            <w:tcW w:w="934"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纳税人提交</w:t>
            </w:r>
          </w:p>
        </w:tc>
        <w:tc>
          <w:tcPr>
            <w:tcW w:w="3253" w:type="dxa"/>
            <w:vAlign w:val="center"/>
          </w:tcPr>
          <w:p w:rsidR="00013EC7" w:rsidRDefault="00575CDB">
            <w:pPr>
              <w:jc w:val="left"/>
              <w:rPr>
                <w:rFonts w:ascii="仿宋" w:eastAsia="仿宋" w:hAnsi="仿宋" w:cs="仿宋"/>
                <w:sz w:val="24"/>
              </w:rPr>
            </w:pPr>
            <w:r>
              <w:rPr>
                <w:rFonts w:ascii="仿宋" w:eastAsia="仿宋" w:hAnsi="仿宋" w:cs="仿宋" w:hint="eastAsia"/>
                <w:sz w:val="24"/>
              </w:rPr>
              <w:t>（一）（A01013）《注销税务登记申请表》1份。</w:t>
            </w:r>
          </w:p>
        </w:tc>
        <w:tc>
          <w:tcPr>
            <w:tcW w:w="893" w:type="dxa"/>
            <w:vMerge w:val="restart"/>
            <w:vAlign w:val="center"/>
          </w:tcPr>
          <w:p w:rsidR="00013EC7" w:rsidRDefault="00575CDB">
            <w:pPr>
              <w:spacing w:line="300" w:lineRule="exact"/>
              <w:jc w:val="left"/>
              <w:rPr>
                <w:rFonts w:ascii="仿宋" w:eastAsia="仿宋" w:hAnsi="仿宋" w:cs="仿宋"/>
                <w:b/>
                <w:bCs/>
                <w:i/>
                <w:iCs/>
                <w:sz w:val="24"/>
              </w:rPr>
            </w:pPr>
            <w:r>
              <w:rPr>
                <w:rFonts w:ascii="仿宋" w:eastAsia="仿宋" w:hAnsi="仿宋" w:cs="仿宋" w:hint="eastAsia"/>
                <w:sz w:val="24"/>
              </w:rPr>
              <w:t>纳税人提交</w:t>
            </w:r>
          </w:p>
        </w:tc>
        <w:tc>
          <w:tcPr>
            <w:tcW w:w="2742" w:type="dxa"/>
            <w:vMerge w:val="restart"/>
            <w:vAlign w:val="center"/>
          </w:tcPr>
          <w:p w:rsidR="00013EC7" w:rsidRDefault="00575CDB">
            <w:pPr>
              <w:spacing w:line="300" w:lineRule="exact"/>
              <w:jc w:val="left"/>
              <w:rPr>
                <w:rFonts w:ascii="仿宋" w:eastAsia="仿宋" w:hAnsi="仿宋" w:cs="仿宋"/>
                <w:bCs/>
                <w:sz w:val="24"/>
              </w:rPr>
            </w:pPr>
            <w:r>
              <w:rPr>
                <w:rFonts w:ascii="仿宋" w:eastAsia="仿宋" w:hAnsi="仿宋" w:cs="仿宋" w:hint="eastAsia"/>
                <w:b/>
                <w:sz w:val="24"/>
              </w:rPr>
              <w:t>现场办理：</w:t>
            </w:r>
            <w:r>
              <w:rPr>
                <w:rFonts w:ascii="仿宋" w:eastAsia="仿宋" w:hAnsi="仿宋" w:cs="仿宋" w:hint="eastAsia"/>
                <w:bCs/>
                <w:sz w:val="24"/>
              </w:rPr>
              <w:t>纳税人提交书面材料。</w:t>
            </w:r>
          </w:p>
          <w:p w:rsidR="00013EC7" w:rsidRDefault="00575CDB">
            <w:pPr>
              <w:spacing w:line="300" w:lineRule="exact"/>
              <w:jc w:val="left"/>
              <w:rPr>
                <w:rFonts w:ascii="仿宋" w:eastAsia="仿宋" w:hAnsi="仿宋" w:cs="仿宋"/>
                <w:sz w:val="24"/>
              </w:rPr>
            </w:pPr>
            <w:r>
              <w:rPr>
                <w:rFonts w:ascii="仿宋" w:eastAsia="仿宋" w:hAnsi="仿宋" w:cs="仿宋" w:hint="eastAsia"/>
                <w:b/>
                <w:sz w:val="24"/>
              </w:rPr>
              <w:t>网上办理：</w:t>
            </w:r>
            <w:r>
              <w:rPr>
                <w:rFonts w:ascii="仿宋" w:eastAsia="仿宋" w:hAnsi="仿宋" w:cs="仿宋" w:hint="eastAsia"/>
                <w:sz w:val="24"/>
              </w:rPr>
              <w:t>登录浙江国税电子税务局（网址：</w:t>
            </w:r>
            <w:hyperlink r:id="rId38" w:tgtFrame="https://wx.qq.com/_blank" w:history="1">
              <w:r>
                <w:rPr>
                  <w:rFonts w:ascii="仿宋" w:eastAsia="仿宋" w:hAnsi="仿宋" w:cs="仿宋" w:hint="eastAsia"/>
                  <w:sz w:val="24"/>
                </w:rPr>
                <w:t>http://etax.zjtax.gov.cn/</w:t>
              </w:r>
            </w:hyperlink>
            <w:r>
              <w:rPr>
                <w:rFonts w:ascii="仿宋" w:eastAsia="仿宋" w:hAnsi="仿宋" w:cs="仿宋" w:hint="eastAsia"/>
                <w:sz w:val="24"/>
              </w:rPr>
              <w:t>）提交申请。</w:t>
            </w:r>
          </w:p>
          <w:p w:rsidR="00013EC7" w:rsidRDefault="00575CDB">
            <w:pPr>
              <w:spacing w:line="300" w:lineRule="exact"/>
              <w:jc w:val="left"/>
              <w:rPr>
                <w:rFonts w:ascii="仿宋" w:eastAsia="仿宋" w:hAnsi="仿宋" w:cs="仿宋"/>
                <w:sz w:val="24"/>
              </w:rPr>
            </w:pPr>
            <w:r>
              <w:rPr>
                <w:rFonts w:ascii="仿宋" w:eastAsia="仿宋" w:hAnsi="仿宋" w:cs="仿宋" w:hint="eastAsia"/>
                <w:b/>
                <w:bCs/>
                <w:sz w:val="24"/>
              </w:rPr>
              <w:t>APP办理：</w:t>
            </w:r>
            <w:r w:rsidR="006776D1">
              <w:rPr>
                <w:rFonts w:ascii="仿宋" w:eastAsia="仿宋" w:hAnsi="仿宋" w:cs="仿宋" w:hint="eastAsia"/>
                <w:sz w:val="24"/>
              </w:rPr>
              <w:t>登录浙江国税APP提交申请。</w:t>
            </w:r>
          </w:p>
        </w:tc>
        <w:tc>
          <w:tcPr>
            <w:tcW w:w="868"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20个工作日</w:t>
            </w:r>
          </w:p>
        </w:tc>
        <w:tc>
          <w:tcPr>
            <w:tcW w:w="798"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20个工作日</w:t>
            </w:r>
          </w:p>
        </w:tc>
        <w:tc>
          <w:tcPr>
            <w:tcW w:w="958"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否</w:t>
            </w:r>
          </w:p>
        </w:tc>
        <w:tc>
          <w:tcPr>
            <w:tcW w:w="1104" w:type="dxa"/>
            <w:vMerge w:val="restart"/>
            <w:vAlign w:val="center"/>
          </w:tcPr>
          <w:p w:rsidR="00013EC7" w:rsidRDefault="00575CDB">
            <w:pPr>
              <w:spacing w:line="300" w:lineRule="exact"/>
              <w:jc w:val="left"/>
              <w:rPr>
                <w:rFonts w:ascii="仿宋" w:eastAsia="仿宋" w:hAnsi="仿宋" w:cs="仿宋"/>
                <w:color w:val="000000"/>
                <w:sz w:val="24"/>
              </w:rPr>
            </w:pPr>
            <w:r>
              <w:rPr>
                <w:rFonts w:ascii="仿宋" w:eastAsia="仿宋" w:hAnsi="仿宋" w:cs="仿宋" w:hint="eastAsia"/>
                <w:color w:val="000000"/>
                <w:sz w:val="24"/>
              </w:rPr>
              <w:t>征管科技处</w:t>
            </w:r>
          </w:p>
        </w:tc>
        <w:tc>
          <w:tcPr>
            <w:tcW w:w="1476" w:type="dxa"/>
            <w:vMerge w:val="restart"/>
            <w:vAlign w:val="center"/>
          </w:tcPr>
          <w:p w:rsidR="00013EC7" w:rsidRDefault="00013EC7">
            <w:pPr>
              <w:spacing w:line="300" w:lineRule="exact"/>
              <w:jc w:val="left"/>
              <w:rPr>
                <w:rFonts w:ascii="仿宋" w:eastAsia="仿宋" w:hAnsi="仿宋" w:cs="仿宋"/>
                <w:sz w:val="24"/>
              </w:rPr>
            </w:pPr>
          </w:p>
        </w:tc>
      </w:tr>
      <w:tr w:rsidR="00013EC7" w:rsidTr="00362C3A">
        <w:trPr>
          <w:trHeight w:val="1271"/>
          <w:jc w:val="center"/>
        </w:trPr>
        <w:tc>
          <w:tcPr>
            <w:tcW w:w="672" w:type="dxa"/>
            <w:vMerge/>
            <w:vAlign w:val="center"/>
          </w:tcPr>
          <w:p w:rsidR="00013EC7" w:rsidRDefault="00013EC7">
            <w:pPr>
              <w:spacing w:line="300" w:lineRule="exact"/>
              <w:jc w:val="left"/>
              <w:rPr>
                <w:rFonts w:ascii="仿宋" w:eastAsia="仿宋" w:hAnsi="仿宋" w:cs="仿宋"/>
                <w:sz w:val="24"/>
              </w:rPr>
            </w:pPr>
          </w:p>
        </w:tc>
        <w:tc>
          <w:tcPr>
            <w:tcW w:w="1035" w:type="dxa"/>
            <w:vMerge/>
            <w:vAlign w:val="center"/>
          </w:tcPr>
          <w:p w:rsidR="00013EC7" w:rsidRDefault="00013EC7">
            <w:pPr>
              <w:spacing w:line="310" w:lineRule="exact"/>
              <w:jc w:val="left"/>
              <w:rPr>
                <w:rFonts w:ascii="仿宋" w:eastAsia="仿宋" w:hAnsi="仿宋" w:cs="仿宋"/>
                <w:sz w:val="24"/>
              </w:rPr>
            </w:pPr>
          </w:p>
        </w:tc>
        <w:tc>
          <w:tcPr>
            <w:tcW w:w="2622" w:type="dxa"/>
            <w:vMerge/>
            <w:vAlign w:val="center"/>
          </w:tcPr>
          <w:p w:rsidR="00013EC7" w:rsidRDefault="00013EC7">
            <w:pPr>
              <w:jc w:val="left"/>
              <w:rPr>
                <w:rFonts w:ascii="仿宋" w:eastAsia="仿宋" w:hAnsi="仿宋" w:cs="仿宋"/>
                <w:sz w:val="24"/>
              </w:rPr>
            </w:pPr>
          </w:p>
        </w:tc>
        <w:tc>
          <w:tcPr>
            <w:tcW w:w="3083" w:type="dxa"/>
            <w:vAlign w:val="center"/>
          </w:tcPr>
          <w:p w:rsidR="00013EC7" w:rsidRDefault="00575CDB">
            <w:pPr>
              <w:jc w:val="left"/>
              <w:rPr>
                <w:rFonts w:ascii="仿宋" w:eastAsia="仿宋" w:hAnsi="仿宋" w:cs="仿宋"/>
                <w:sz w:val="24"/>
              </w:rPr>
            </w:pPr>
            <w:r>
              <w:rPr>
                <w:rFonts w:ascii="仿宋" w:eastAsia="仿宋" w:hAnsi="仿宋" w:cs="仿宋" w:hint="eastAsia"/>
                <w:sz w:val="24"/>
              </w:rPr>
              <w:t>（二）税务登记证及副本</w:t>
            </w:r>
            <w:r>
              <w:rPr>
                <w:rFonts w:ascii="仿宋" w:eastAsia="仿宋" w:hAnsi="仿宋" w:cs="仿宋" w:hint="eastAsia"/>
                <w:sz w:val="24"/>
                <w:highlight w:val="lightGray"/>
              </w:rPr>
              <w:t>和其他税务证件</w:t>
            </w:r>
            <w:r>
              <w:rPr>
                <w:rFonts w:ascii="仿宋" w:eastAsia="仿宋" w:hAnsi="仿宋" w:cs="仿宋" w:hint="eastAsia"/>
                <w:sz w:val="24"/>
              </w:rPr>
              <w:t>。</w:t>
            </w:r>
          </w:p>
        </w:tc>
        <w:tc>
          <w:tcPr>
            <w:tcW w:w="934" w:type="dxa"/>
            <w:vMerge/>
            <w:vAlign w:val="center"/>
          </w:tcPr>
          <w:p w:rsidR="00013EC7" w:rsidRDefault="00013EC7">
            <w:pPr>
              <w:spacing w:line="300" w:lineRule="exact"/>
              <w:jc w:val="left"/>
              <w:rPr>
                <w:rFonts w:ascii="仿宋" w:eastAsia="仿宋" w:hAnsi="仿宋" w:cs="仿宋"/>
                <w:sz w:val="24"/>
              </w:rPr>
            </w:pPr>
          </w:p>
        </w:tc>
        <w:tc>
          <w:tcPr>
            <w:tcW w:w="3253" w:type="dxa"/>
            <w:vAlign w:val="center"/>
          </w:tcPr>
          <w:p w:rsidR="00013EC7" w:rsidRDefault="00575CDB">
            <w:pPr>
              <w:jc w:val="left"/>
              <w:rPr>
                <w:rFonts w:ascii="仿宋" w:eastAsia="仿宋" w:hAnsi="仿宋" w:cs="仿宋"/>
                <w:sz w:val="24"/>
              </w:rPr>
            </w:pPr>
            <w:r>
              <w:rPr>
                <w:rFonts w:ascii="仿宋" w:eastAsia="仿宋" w:hAnsi="仿宋" w:cs="仿宋" w:hint="eastAsia"/>
                <w:sz w:val="24"/>
              </w:rPr>
              <w:t>（二）税务登记证及副本（持有临时税务登记证件的纳税人提供临时税务登记证及副本）。</w:t>
            </w:r>
          </w:p>
        </w:tc>
        <w:tc>
          <w:tcPr>
            <w:tcW w:w="893" w:type="dxa"/>
            <w:vMerge/>
            <w:vAlign w:val="center"/>
          </w:tcPr>
          <w:p w:rsidR="00013EC7" w:rsidRDefault="00013EC7">
            <w:pPr>
              <w:spacing w:line="300" w:lineRule="exact"/>
              <w:jc w:val="left"/>
              <w:rPr>
                <w:rFonts w:ascii="仿宋" w:eastAsia="仿宋" w:hAnsi="仿宋" w:cs="仿宋"/>
                <w:sz w:val="24"/>
              </w:rPr>
            </w:pPr>
          </w:p>
        </w:tc>
        <w:tc>
          <w:tcPr>
            <w:tcW w:w="2742" w:type="dxa"/>
            <w:vMerge/>
            <w:vAlign w:val="center"/>
          </w:tcPr>
          <w:p w:rsidR="00013EC7" w:rsidRDefault="00013EC7">
            <w:pPr>
              <w:spacing w:line="300" w:lineRule="exact"/>
              <w:jc w:val="left"/>
              <w:rPr>
                <w:rFonts w:ascii="仿宋" w:eastAsia="仿宋" w:hAnsi="仿宋" w:cs="仿宋"/>
                <w:sz w:val="24"/>
              </w:rPr>
            </w:pPr>
          </w:p>
        </w:tc>
        <w:tc>
          <w:tcPr>
            <w:tcW w:w="868" w:type="dxa"/>
            <w:vMerge/>
            <w:vAlign w:val="center"/>
          </w:tcPr>
          <w:p w:rsidR="00013EC7" w:rsidRDefault="00013EC7">
            <w:pPr>
              <w:spacing w:line="300" w:lineRule="exact"/>
              <w:jc w:val="left"/>
              <w:rPr>
                <w:rFonts w:ascii="仿宋" w:eastAsia="仿宋" w:hAnsi="仿宋" w:cs="仿宋"/>
                <w:sz w:val="24"/>
              </w:rPr>
            </w:pPr>
          </w:p>
        </w:tc>
        <w:tc>
          <w:tcPr>
            <w:tcW w:w="798" w:type="dxa"/>
            <w:vMerge/>
            <w:vAlign w:val="center"/>
          </w:tcPr>
          <w:p w:rsidR="00013EC7" w:rsidRDefault="00013EC7">
            <w:pPr>
              <w:spacing w:line="300" w:lineRule="exact"/>
              <w:jc w:val="left"/>
              <w:rPr>
                <w:rFonts w:ascii="仿宋" w:eastAsia="仿宋" w:hAnsi="仿宋" w:cs="仿宋"/>
                <w:sz w:val="24"/>
              </w:rPr>
            </w:pPr>
          </w:p>
        </w:tc>
        <w:tc>
          <w:tcPr>
            <w:tcW w:w="958" w:type="dxa"/>
            <w:vMerge/>
            <w:vAlign w:val="center"/>
          </w:tcPr>
          <w:p w:rsidR="00013EC7" w:rsidRDefault="00013EC7">
            <w:pPr>
              <w:spacing w:line="300" w:lineRule="exact"/>
              <w:jc w:val="left"/>
              <w:rPr>
                <w:rFonts w:ascii="仿宋" w:eastAsia="仿宋" w:hAnsi="仿宋" w:cs="仿宋"/>
                <w:sz w:val="24"/>
              </w:rPr>
            </w:pPr>
          </w:p>
        </w:tc>
        <w:tc>
          <w:tcPr>
            <w:tcW w:w="1104" w:type="dxa"/>
            <w:vMerge/>
            <w:vAlign w:val="center"/>
          </w:tcPr>
          <w:p w:rsidR="00013EC7" w:rsidRDefault="00013EC7">
            <w:pPr>
              <w:spacing w:line="300" w:lineRule="exact"/>
              <w:jc w:val="left"/>
              <w:rPr>
                <w:rFonts w:ascii="仿宋" w:eastAsia="仿宋" w:hAnsi="仿宋" w:cs="仿宋"/>
                <w:color w:val="FF0000"/>
                <w:sz w:val="24"/>
              </w:rPr>
            </w:pPr>
          </w:p>
        </w:tc>
        <w:tc>
          <w:tcPr>
            <w:tcW w:w="1476" w:type="dxa"/>
            <w:vMerge/>
            <w:vAlign w:val="center"/>
          </w:tcPr>
          <w:p w:rsidR="00013EC7" w:rsidRDefault="00013EC7">
            <w:pPr>
              <w:spacing w:line="300" w:lineRule="exact"/>
              <w:jc w:val="left"/>
              <w:rPr>
                <w:rFonts w:ascii="仿宋" w:eastAsia="仿宋" w:hAnsi="仿宋" w:cs="仿宋"/>
                <w:sz w:val="24"/>
              </w:rPr>
            </w:pPr>
          </w:p>
        </w:tc>
      </w:tr>
      <w:tr w:rsidR="00013EC7" w:rsidTr="00362C3A">
        <w:trPr>
          <w:trHeight w:val="1271"/>
          <w:jc w:val="center"/>
        </w:trPr>
        <w:tc>
          <w:tcPr>
            <w:tcW w:w="672" w:type="dxa"/>
            <w:vMerge/>
            <w:vAlign w:val="center"/>
          </w:tcPr>
          <w:p w:rsidR="00013EC7" w:rsidRDefault="00013EC7">
            <w:pPr>
              <w:spacing w:line="300" w:lineRule="exact"/>
              <w:jc w:val="left"/>
              <w:rPr>
                <w:rFonts w:ascii="仿宋" w:eastAsia="仿宋" w:hAnsi="仿宋" w:cs="仿宋"/>
                <w:sz w:val="24"/>
              </w:rPr>
            </w:pPr>
          </w:p>
        </w:tc>
        <w:tc>
          <w:tcPr>
            <w:tcW w:w="1035" w:type="dxa"/>
            <w:vMerge/>
            <w:vAlign w:val="center"/>
          </w:tcPr>
          <w:p w:rsidR="00013EC7" w:rsidRDefault="00013EC7">
            <w:pPr>
              <w:spacing w:line="310" w:lineRule="exact"/>
              <w:jc w:val="left"/>
              <w:rPr>
                <w:rFonts w:ascii="仿宋" w:eastAsia="仿宋" w:hAnsi="仿宋" w:cs="仿宋"/>
                <w:sz w:val="24"/>
              </w:rPr>
            </w:pPr>
          </w:p>
        </w:tc>
        <w:tc>
          <w:tcPr>
            <w:tcW w:w="2622" w:type="dxa"/>
            <w:vMerge/>
            <w:vAlign w:val="center"/>
          </w:tcPr>
          <w:p w:rsidR="00013EC7" w:rsidRDefault="00013EC7">
            <w:pPr>
              <w:jc w:val="left"/>
              <w:rPr>
                <w:rFonts w:ascii="仿宋" w:eastAsia="仿宋" w:hAnsi="仿宋" w:cs="仿宋"/>
                <w:sz w:val="24"/>
              </w:rPr>
            </w:pPr>
          </w:p>
        </w:tc>
        <w:tc>
          <w:tcPr>
            <w:tcW w:w="3083" w:type="dxa"/>
            <w:vAlign w:val="center"/>
          </w:tcPr>
          <w:p w:rsidR="00013EC7" w:rsidRDefault="00575CDB">
            <w:pPr>
              <w:jc w:val="left"/>
              <w:rPr>
                <w:rFonts w:ascii="仿宋" w:eastAsia="仿宋" w:hAnsi="仿宋" w:cs="仿宋"/>
                <w:sz w:val="24"/>
              </w:rPr>
            </w:pPr>
            <w:r>
              <w:rPr>
                <w:rFonts w:ascii="仿宋" w:eastAsia="仿宋" w:hAnsi="仿宋" w:cs="仿宋" w:hint="eastAsia"/>
                <w:sz w:val="24"/>
              </w:rPr>
              <w:t>（三）（A02009）《发票领用簿》及未验旧、未使用的发票。</w:t>
            </w:r>
          </w:p>
        </w:tc>
        <w:tc>
          <w:tcPr>
            <w:tcW w:w="934" w:type="dxa"/>
            <w:vMerge/>
            <w:vAlign w:val="center"/>
          </w:tcPr>
          <w:p w:rsidR="00013EC7" w:rsidRDefault="00013EC7">
            <w:pPr>
              <w:spacing w:line="300" w:lineRule="exact"/>
              <w:jc w:val="left"/>
              <w:rPr>
                <w:rFonts w:ascii="仿宋" w:eastAsia="仿宋" w:hAnsi="仿宋" w:cs="仿宋"/>
                <w:sz w:val="24"/>
              </w:rPr>
            </w:pPr>
          </w:p>
        </w:tc>
        <w:tc>
          <w:tcPr>
            <w:tcW w:w="3253" w:type="dxa"/>
            <w:vAlign w:val="center"/>
          </w:tcPr>
          <w:p w:rsidR="00013EC7" w:rsidRDefault="00575CDB">
            <w:pPr>
              <w:jc w:val="left"/>
              <w:rPr>
                <w:rFonts w:ascii="仿宋" w:eastAsia="仿宋" w:hAnsi="仿宋" w:cs="仿宋"/>
                <w:sz w:val="24"/>
              </w:rPr>
            </w:pPr>
            <w:r>
              <w:rPr>
                <w:rFonts w:ascii="仿宋" w:eastAsia="仿宋" w:hAnsi="仿宋" w:cs="仿宋" w:hint="eastAsia"/>
                <w:sz w:val="24"/>
              </w:rPr>
              <w:t>（三）（A02009）《发票领用簿》及未验旧、未使用的发票。</w:t>
            </w:r>
          </w:p>
        </w:tc>
        <w:tc>
          <w:tcPr>
            <w:tcW w:w="893" w:type="dxa"/>
            <w:vMerge/>
            <w:vAlign w:val="center"/>
          </w:tcPr>
          <w:p w:rsidR="00013EC7" w:rsidRDefault="00013EC7">
            <w:pPr>
              <w:spacing w:line="300" w:lineRule="exact"/>
              <w:jc w:val="left"/>
              <w:rPr>
                <w:rFonts w:ascii="仿宋" w:eastAsia="仿宋" w:hAnsi="仿宋" w:cs="仿宋"/>
                <w:sz w:val="24"/>
              </w:rPr>
            </w:pPr>
          </w:p>
        </w:tc>
        <w:tc>
          <w:tcPr>
            <w:tcW w:w="2742" w:type="dxa"/>
            <w:vMerge/>
            <w:vAlign w:val="center"/>
          </w:tcPr>
          <w:p w:rsidR="00013EC7" w:rsidRDefault="00013EC7">
            <w:pPr>
              <w:spacing w:line="300" w:lineRule="exact"/>
              <w:jc w:val="left"/>
              <w:rPr>
                <w:rFonts w:ascii="仿宋" w:eastAsia="仿宋" w:hAnsi="仿宋" w:cs="仿宋"/>
                <w:sz w:val="24"/>
              </w:rPr>
            </w:pPr>
          </w:p>
        </w:tc>
        <w:tc>
          <w:tcPr>
            <w:tcW w:w="868" w:type="dxa"/>
            <w:vMerge/>
            <w:vAlign w:val="center"/>
          </w:tcPr>
          <w:p w:rsidR="00013EC7" w:rsidRDefault="00013EC7">
            <w:pPr>
              <w:spacing w:line="300" w:lineRule="exact"/>
              <w:jc w:val="left"/>
              <w:rPr>
                <w:rFonts w:ascii="仿宋" w:eastAsia="仿宋" w:hAnsi="仿宋" w:cs="仿宋"/>
                <w:sz w:val="24"/>
              </w:rPr>
            </w:pPr>
          </w:p>
        </w:tc>
        <w:tc>
          <w:tcPr>
            <w:tcW w:w="798" w:type="dxa"/>
            <w:vMerge/>
            <w:vAlign w:val="center"/>
          </w:tcPr>
          <w:p w:rsidR="00013EC7" w:rsidRDefault="00013EC7">
            <w:pPr>
              <w:spacing w:line="300" w:lineRule="exact"/>
              <w:jc w:val="left"/>
              <w:rPr>
                <w:rFonts w:ascii="仿宋" w:eastAsia="仿宋" w:hAnsi="仿宋" w:cs="仿宋"/>
                <w:sz w:val="24"/>
              </w:rPr>
            </w:pPr>
          </w:p>
        </w:tc>
        <w:tc>
          <w:tcPr>
            <w:tcW w:w="958" w:type="dxa"/>
            <w:vMerge/>
            <w:vAlign w:val="center"/>
          </w:tcPr>
          <w:p w:rsidR="00013EC7" w:rsidRDefault="00013EC7">
            <w:pPr>
              <w:spacing w:line="300" w:lineRule="exact"/>
              <w:jc w:val="left"/>
              <w:rPr>
                <w:rFonts w:ascii="仿宋" w:eastAsia="仿宋" w:hAnsi="仿宋" w:cs="仿宋"/>
                <w:sz w:val="24"/>
              </w:rPr>
            </w:pPr>
          </w:p>
        </w:tc>
        <w:tc>
          <w:tcPr>
            <w:tcW w:w="1104" w:type="dxa"/>
            <w:vMerge/>
            <w:vAlign w:val="center"/>
          </w:tcPr>
          <w:p w:rsidR="00013EC7" w:rsidRDefault="00013EC7">
            <w:pPr>
              <w:spacing w:line="300" w:lineRule="exact"/>
              <w:jc w:val="left"/>
              <w:rPr>
                <w:rFonts w:ascii="仿宋" w:eastAsia="仿宋" w:hAnsi="仿宋" w:cs="仿宋"/>
                <w:color w:val="FF0000"/>
                <w:sz w:val="24"/>
              </w:rPr>
            </w:pPr>
          </w:p>
        </w:tc>
        <w:tc>
          <w:tcPr>
            <w:tcW w:w="1476" w:type="dxa"/>
            <w:vMerge/>
            <w:vAlign w:val="center"/>
          </w:tcPr>
          <w:p w:rsidR="00013EC7" w:rsidRDefault="00013EC7">
            <w:pPr>
              <w:spacing w:line="300" w:lineRule="exact"/>
              <w:jc w:val="left"/>
              <w:rPr>
                <w:rFonts w:ascii="仿宋" w:eastAsia="仿宋" w:hAnsi="仿宋" w:cs="仿宋"/>
                <w:sz w:val="24"/>
              </w:rPr>
            </w:pPr>
          </w:p>
        </w:tc>
      </w:tr>
      <w:tr w:rsidR="00013EC7" w:rsidTr="00362C3A">
        <w:trPr>
          <w:trHeight w:val="1271"/>
          <w:jc w:val="center"/>
        </w:trPr>
        <w:tc>
          <w:tcPr>
            <w:tcW w:w="672" w:type="dxa"/>
            <w:vMerge/>
            <w:vAlign w:val="center"/>
          </w:tcPr>
          <w:p w:rsidR="00013EC7" w:rsidRDefault="00013EC7">
            <w:pPr>
              <w:spacing w:line="300" w:lineRule="exact"/>
              <w:jc w:val="left"/>
              <w:rPr>
                <w:rFonts w:ascii="仿宋" w:eastAsia="仿宋" w:hAnsi="仿宋" w:cs="仿宋"/>
                <w:sz w:val="24"/>
              </w:rPr>
            </w:pPr>
          </w:p>
        </w:tc>
        <w:tc>
          <w:tcPr>
            <w:tcW w:w="1035" w:type="dxa"/>
            <w:vMerge/>
            <w:vAlign w:val="center"/>
          </w:tcPr>
          <w:p w:rsidR="00013EC7" w:rsidRDefault="00013EC7">
            <w:pPr>
              <w:spacing w:line="310" w:lineRule="exact"/>
              <w:jc w:val="left"/>
              <w:rPr>
                <w:rFonts w:ascii="仿宋" w:eastAsia="仿宋" w:hAnsi="仿宋" w:cs="仿宋"/>
                <w:sz w:val="24"/>
              </w:rPr>
            </w:pPr>
          </w:p>
        </w:tc>
        <w:tc>
          <w:tcPr>
            <w:tcW w:w="2622" w:type="dxa"/>
            <w:vMerge/>
            <w:vAlign w:val="center"/>
          </w:tcPr>
          <w:p w:rsidR="00013EC7" w:rsidRDefault="00013EC7">
            <w:pPr>
              <w:jc w:val="left"/>
              <w:rPr>
                <w:rFonts w:ascii="仿宋" w:eastAsia="仿宋" w:hAnsi="仿宋" w:cs="仿宋"/>
                <w:sz w:val="24"/>
              </w:rPr>
            </w:pPr>
          </w:p>
        </w:tc>
        <w:tc>
          <w:tcPr>
            <w:tcW w:w="3083" w:type="dxa"/>
            <w:vAlign w:val="center"/>
          </w:tcPr>
          <w:p w:rsidR="00013EC7" w:rsidRDefault="00575CDB">
            <w:pPr>
              <w:jc w:val="left"/>
              <w:rPr>
                <w:rFonts w:ascii="仿宋" w:eastAsia="仿宋" w:hAnsi="仿宋" w:cs="仿宋"/>
                <w:sz w:val="24"/>
              </w:rPr>
            </w:pPr>
            <w:r>
              <w:rPr>
                <w:rFonts w:ascii="仿宋" w:eastAsia="仿宋" w:hAnsi="仿宋" w:cs="仿宋" w:hint="eastAsia"/>
                <w:sz w:val="24"/>
              </w:rPr>
              <w:t>（四）使用增值税税控系统的纳税人应提供金税盘、税控盘和报税盘，或者提供金税卡和IC卡。</w:t>
            </w:r>
          </w:p>
        </w:tc>
        <w:tc>
          <w:tcPr>
            <w:tcW w:w="934" w:type="dxa"/>
            <w:vMerge/>
            <w:vAlign w:val="center"/>
          </w:tcPr>
          <w:p w:rsidR="00013EC7" w:rsidRDefault="00013EC7">
            <w:pPr>
              <w:spacing w:line="300" w:lineRule="exact"/>
              <w:jc w:val="left"/>
              <w:rPr>
                <w:rFonts w:ascii="仿宋" w:eastAsia="仿宋" w:hAnsi="仿宋" w:cs="仿宋"/>
                <w:sz w:val="24"/>
              </w:rPr>
            </w:pPr>
          </w:p>
        </w:tc>
        <w:tc>
          <w:tcPr>
            <w:tcW w:w="3253" w:type="dxa"/>
            <w:vAlign w:val="center"/>
          </w:tcPr>
          <w:p w:rsidR="00013EC7" w:rsidRDefault="00575CDB">
            <w:pPr>
              <w:jc w:val="left"/>
              <w:rPr>
                <w:rFonts w:ascii="仿宋" w:eastAsia="仿宋" w:hAnsi="仿宋" w:cs="仿宋"/>
                <w:sz w:val="24"/>
              </w:rPr>
            </w:pPr>
            <w:r>
              <w:rPr>
                <w:rFonts w:ascii="仿宋" w:eastAsia="仿宋" w:hAnsi="仿宋" w:cs="仿宋" w:hint="eastAsia"/>
                <w:sz w:val="24"/>
              </w:rPr>
              <w:t>（四）使用增值税税控系统的纳税人应提供金税盘、税控盘和报税盘，或者提供金税卡和IC卡。</w:t>
            </w:r>
          </w:p>
        </w:tc>
        <w:tc>
          <w:tcPr>
            <w:tcW w:w="893" w:type="dxa"/>
            <w:vMerge/>
            <w:vAlign w:val="center"/>
          </w:tcPr>
          <w:p w:rsidR="00013EC7" w:rsidRDefault="00013EC7">
            <w:pPr>
              <w:spacing w:line="300" w:lineRule="exact"/>
              <w:jc w:val="left"/>
              <w:rPr>
                <w:rFonts w:ascii="仿宋" w:eastAsia="仿宋" w:hAnsi="仿宋" w:cs="仿宋"/>
                <w:sz w:val="24"/>
              </w:rPr>
            </w:pPr>
          </w:p>
        </w:tc>
        <w:tc>
          <w:tcPr>
            <w:tcW w:w="2742" w:type="dxa"/>
            <w:vMerge/>
            <w:vAlign w:val="center"/>
          </w:tcPr>
          <w:p w:rsidR="00013EC7" w:rsidRDefault="00013EC7">
            <w:pPr>
              <w:spacing w:line="300" w:lineRule="exact"/>
              <w:jc w:val="left"/>
              <w:rPr>
                <w:rFonts w:ascii="仿宋" w:eastAsia="仿宋" w:hAnsi="仿宋" w:cs="仿宋"/>
                <w:sz w:val="24"/>
              </w:rPr>
            </w:pPr>
          </w:p>
        </w:tc>
        <w:tc>
          <w:tcPr>
            <w:tcW w:w="868" w:type="dxa"/>
            <w:vMerge/>
            <w:vAlign w:val="center"/>
          </w:tcPr>
          <w:p w:rsidR="00013EC7" w:rsidRDefault="00013EC7">
            <w:pPr>
              <w:spacing w:line="300" w:lineRule="exact"/>
              <w:jc w:val="left"/>
              <w:rPr>
                <w:rFonts w:ascii="仿宋" w:eastAsia="仿宋" w:hAnsi="仿宋" w:cs="仿宋"/>
                <w:sz w:val="24"/>
              </w:rPr>
            </w:pPr>
          </w:p>
        </w:tc>
        <w:tc>
          <w:tcPr>
            <w:tcW w:w="798" w:type="dxa"/>
            <w:vMerge/>
            <w:vAlign w:val="center"/>
          </w:tcPr>
          <w:p w:rsidR="00013EC7" w:rsidRDefault="00013EC7">
            <w:pPr>
              <w:spacing w:line="300" w:lineRule="exact"/>
              <w:jc w:val="left"/>
              <w:rPr>
                <w:rFonts w:ascii="仿宋" w:eastAsia="仿宋" w:hAnsi="仿宋" w:cs="仿宋"/>
                <w:sz w:val="24"/>
              </w:rPr>
            </w:pPr>
          </w:p>
        </w:tc>
        <w:tc>
          <w:tcPr>
            <w:tcW w:w="958" w:type="dxa"/>
            <w:vMerge/>
            <w:vAlign w:val="center"/>
          </w:tcPr>
          <w:p w:rsidR="00013EC7" w:rsidRDefault="00013EC7">
            <w:pPr>
              <w:spacing w:line="300" w:lineRule="exact"/>
              <w:jc w:val="left"/>
              <w:rPr>
                <w:rFonts w:ascii="仿宋" w:eastAsia="仿宋" w:hAnsi="仿宋" w:cs="仿宋"/>
                <w:sz w:val="24"/>
              </w:rPr>
            </w:pPr>
          </w:p>
        </w:tc>
        <w:tc>
          <w:tcPr>
            <w:tcW w:w="1104" w:type="dxa"/>
            <w:vMerge/>
            <w:vAlign w:val="center"/>
          </w:tcPr>
          <w:p w:rsidR="00013EC7" w:rsidRDefault="00013EC7">
            <w:pPr>
              <w:spacing w:line="300" w:lineRule="exact"/>
              <w:jc w:val="left"/>
              <w:rPr>
                <w:rFonts w:ascii="仿宋" w:eastAsia="仿宋" w:hAnsi="仿宋" w:cs="仿宋"/>
                <w:color w:val="FF0000"/>
                <w:sz w:val="24"/>
              </w:rPr>
            </w:pPr>
          </w:p>
        </w:tc>
        <w:tc>
          <w:tcPr>
            <w:tcW w:w="1476" w:type="dxa"/>
            <w:vMerge/>
            <w:vAlign w:val="center"/>
          </w:tcPr>
          <w:p w:rsidR="00013EC7" w:rsidRDefault="00013EC7">
            <w:pPr>
              <w:spacing w:line="300" w:lineRule="exact"/>
              <w:jc w:val="left"/>
              <w:rPr>
                <w:rFonts w:ascii="仿宋" w:eastAsia="仿宋" w:hAnsi="仿宋" w:cs="仿宋"/>
                <w:sz w:val="24"/>
              </w:rPr>
            </w:pPr>
          </w:p>
        </w:tc>
      </w:tr>
      <w:tr w:rsidR="00013EC7" w:rsidTr="00362C3A">
        <w:trPr>
          <w:trHeight w:val="1271"/>
          <w:jc w:val="center"/>
        </w:trPr>
        <w:tc>
          <w:tcPr>
            <w:tcW w:w="672" w:type="dxa"/>
            <w:vMerge/>
            <w:vAlign w:val="center"/>
          </w:tcPr>
          <w:p w:rsidR="00013EC7" w:rsidRDefault="00013EC7">
            <w:pPr>
              <w:spacing w:line="300" w:lineRule="exact"/>
              <w:jc w:val="left"/>
              <w:rPr>
                <w:rFonts w:ascii="仿宋" w:eastAsia="仿宋" w:hAnsi="仿宋" w:cs="仿宋"/>
                <w:sz w:val="24"/>
              </w:rPr>
            </w:pPr>
          </w:p>
        </w:tc>
        <w:tc>
          <w:tcPr>
            <w:tcW w:w="1035" w:type="dxa"/>
            <w:vMerge/>
            <w:vAlign w:val="center"/>
          </w:tcPr>
          <w:p w:rsidR="00013EC7" w:rsidRDefault="00013EC7">
            <w:pPr>
              <w:spacing w:line="310" w:lineRule="exact"/>
              <w:jc w:val="left"/>
              <w:rPr>
                <w:rFonts w:ascii="仿宋" w:eastAsia="仿宋" w:hAnsi="仿宋" w:cs="仿宋"/>
                <w:sz w:val="24"/>
              </w:rPr>
            </w:pPr>
          </w:p>
        </w:tc>
        <w:tc>
          <w:tcPr>
            <w:tcW w:w="2622" w:type="dxa"/>
            <w:vMerge/>
            <w:vAlign w:val="center"/>
          </w:tcPr>
          <w:p w:rsidR="00013EC7" w:rsidRDefault="00013EC7">
            <w:pPr>
              <w:jc w:val="left"/>
              <w:rPr>
                <w:rFonts w:ascii="仿宋" w:eastAsia="仿宋" w:hAnsi="仿宋" w:cs="仿宋"/>
                <w:sz w:val="24"/>
              </w:rPr>
            </w:pPr>
          </w:p>
        </w:tc>
        <w:tc>
          <w:tcPr>
            <w:tcW w:w="3083" w:type="dxa"/>
            <w:vAlign w:val="center"/>
          </w:tcPr>
          <w:p w:rsidR="00013EC7" w:rsidRDefault="00575CDB">
            <w:pPr>
              <w:jc w:val="left"/>
              <w:rPr>
                <w:rFonts w:ascii="仿宋" w:eastAsia="仿宋" w:hAnsi="仿宋" w:cs="仿宋"/>
                <w:sz w:val="24"/>
              </w:rPr>
            </w:pPr>
            <w:r>
              <w:rPr>
                <w:rFonts w:ascii="仿宋" w:eastAsia="仿宋" w:hAnsi="仿宋" w:cs="仿宋" w:hint="eastAsia"/>
                <w:sz w:val="24"/>
              </w:rPr>
              <w:t>（五）涉及企业所得税的企业还需提供（A06213）《中华人民共和国企业清算所得税申报表》及附表。</w:t>
            </w:r>
          </w:p>
        </w:tc>
        <w:tc>
          <w:tcPr>
            <w:tcW w:w="934" w:type="dxa"/>
            <w:vMerge/>
            <w:vAlign w:val="center"/>
          </w:tcPr>
          <w:p w:rsidR="00013EC7" w:rsidRDefault="00013EC7">
            <w:pPr>
              <w:spacing w:line="300" w:lineRule="exact"/>
              <w:jc w:val="left"/>
              <w:rPr>
                <w:rFonts w:ascii="仿宋" w:eastAsia="仿宋" w:hAnsi="仿宋" w:cs="仿宋"/>
                <w:sz w:val="24"/>
              </w:rPr>
            </w:pPr>
          </w:p>
        </w:tc>
        <w:tc>
          <w:tcPr>
            <w:tcW w:w="3253" w:type="dxa"/>
            <w:vAlign w:val="center"/>
          </w:tcPr>
          <w:p w:rsidR="00013EC7" w:rsidRDefault="00575CDB">
            <w:pPr>
              <w:jc w:val="left"/>
              <w:rPr>
                <w:rFonts w:ascii="仿宋" w:eastAsia="仿宋" w:hAnsi="仿宋" w:cs="仿宋"/>
                <w:sz w:val="24"/>
              </w:rPr>
            </w:pPr>
            <w:r>
              <w:rPr>
                <w:rFonts w:ascii="仿宋" w:eastAsia="仿宋" w:hAnsi="仿宋" w:cs="仿宋" w:hint="eastAsia"/>
                <w:sz w:val="24"/>
              </w:rPr>
              <w:t>（五）涉及企业所得税的企业还需提供（A06213）《中华人民共和国企业清算所得税申报表》及附表1份。</w:t>
            </w:r>
          </w:p>
        </w:tc>
        <w:tc>
          <w:tcPr>
            <w:tcW w:w="893" w:type="dxa"/>
            <w:vMerge/>
            <w:vAlign w:val="center"/>
          </w:tcPr>
          <w:p w:rsidR="00013EC7" w:rsidRDefault="00013EC7">
            <w:pPr>
              <w:spacing w:line="300" w:lineRule="exact"/>
              <w:jc w:val="left"/>
              <w:rPr>
                <w:rFonts w:ascii="仿宋" w:eastAsia="仿宋" w:hAnsi="仿宋" w:cs="仿宋"/>
                <w:sz w:val="24"/>
              </w:rPr>
            </w:pPr>
          </w:p>
        </w:tc>
        <w:tc>
          <w:tcPr>
            <w:tcW w:w="2742" w:type="dxa"/>
            <w:vMerge/>
            <w:vAlign w:val="center"/>
          </w:tcPr>
          <w:p w:rsidR="00013EC7" w:rsidRDefault="00013EC7">
            <w:pPr>
              <w:spacing w:line="300" w:lineRule="exact"/>
              <w:jc w:val="left"/>
              <w:rPr>
                <w:rFonts w:ascii="仿宋" w:eastAsia="仿宋" w:hAnsi="仿宋" w:cs="仿宋"/>
                <w:sz w:val="24"/>
              </w:rPr>
            </w:pPr>
          </w:p>
        </w:tc>
        <w:tc>
          <w:tcPr>
            <w:tcW w:w="868" w:type="dxa"/>
            <w:vMerge/>
            <w:vAlign w:val="center"/>
          </w:tcPr>
          <w:p w:rsidR="00013EC7" w:rsidRDefault="00013EC7">
            <w:pPr>
              <w:spacing w:line="300" w:lineRule="exact"/>
              <w:jc w:val="left"/>
              <w:rPr>
                <w:rFonts w:ascii="仿宋" w:eastAsia="仿宋" w:hAnsi="仿宋" w:cs="仿宋"/>
                <w:sz w:val="24"/>
              </w:rPr>
            </w:pPr>
          </w:p>
        </w:tc>
        <w:tc>
          <w:tcPr>
            <w:tcW w:w="798" w:type="dxa"/>
            <w:vMerge/>
            <w:vAlign w:val="center"/>
          </w:tcPr>
          <w:p w:rsidR="00013EC7" w:rsidRDefault="00013EC7">
            <w:pPr>
              <w:spacing w:line="300" w:lineRule="exact"/>
              <w:jc w:val="left"/>
              <w:rPr>
                <w:rFonts w:ascii="仿宋" w:eastAsia="仿宋" w:hAnsi="仿宋" w:cs="仿宋"/>
                <w:sz w:val="24"/>
              </w:rPr>
            </w:pPr>
          </w:p>
        </w:tc>
        <w:tc>
          <w:tcPr>
            <w:tcW w:w="958" w:type="dxa"/>
            <w:vMerge/>
            <w:vAlign w:val="center"/>
          </w:tcPr>
          <w:p w:rsidR="00013EC7" w:rsidRDefault="00013EC7">
            <w:pPr>
              <w:spacing w:line="300" w:lineRule="exact"/>
              <w:jc w:val="left"/>
              <w:rPr>
                <w:rFonts w:ascii="仿宋" w:eastAsia="仿宋" w:hAnsi="仿宋" w:cs="仿宋"/>
                <w:sz w:val="24"/>
              </w:rPr>
            </w:pPr>
          </w:p>
        </w:tc>
        <w:tc>
          <w:tcPr>
            <w:tcW w:w="1104" w:type="dxa"/>
            <w:vMerge/>
            <w:vAlign w:val="center"/>
          </w:tcPr>
          <w:p w:rsidR="00013EC7" w:rsidRDefault="00013EC7">
            <w:pPr>
              <w:spacing w:line="300" w:lineRule="exact"/>
              <w:jc w:val="left"/>
              <w:rPr>
                <w:rFonts w:ascii="仿宋" w:eastAsia="仿宋" w:hAnsi="仿宋" w:cs="仿宋"/>
                <w:color w:val="FF0000"/>
                <w:sz w:val="24"/>
              </w:rPr>
            </w:pPr>
          </w:p>
        </w:tc>
        <w:tc>
          <w:tcPr>
            <w:tcW w:w="1476" w:type="dxa"/>
            <w:vMerge/>
            <w:vAlign w:val="center"/>
          </w:tcPr>
          <w:p w:rsidR="00013EC7" w:rsidRDefault="00013EC7">
            <w:pPr>
              <w:spacing w:line="300" w:lineRule="exact"/>
              <w:jc w:val="left"/>
              <w:rPr>
                <w:rFonts w:ascii="仿宋" w:eastAsia="仿宋" w:hAnsi="仿宋" w:cs="仿宋"/>
                <w:sz w:val="24"/>
              </w:rPr>
            </w:pPr>
          </w:p>
        </w:tc>
      </w:tr>
      <w:tr w:rsidR="00013EC7" w:rsidTr="00362C3A">
        <w:trPr>
          <w:trHeight w:val="1271"/>
          <w:jc w:val="center"/>
        </w:trPr>
        <w:tc>
          <w:tcPr>
            <w:tcW w:w="672" w:type="dxa"/>
            <w:vMerge/>
            <w:vAlign w:val="center"/>
          </w:tcPr>
          <w:p w:rsidR="00013EC7" w:rsidRDefault="00013EC7">
            <w:pPr>
              <w:spacing w:line="300" w:lineRule="exact"/>
              <w:jc w:val="left"/>
              <w:rPr>
                <w:rFonts w:ascii="仿宋" w:eastAsia="仿宋" w:hAnsi="仿宋" w:cs="仿宋"/>
                <w:sz w:val="24"/>
              </w:rPr>
            </w:pPr>
          </w:p>
        </w:tc>
        <w:tc>
          <w:tcPr>
            <w:tcW w:w="1035" w:type="dxa"/>
            <w:vMerge/>
            <w:vAlign w:val="center"/>
          </w:tcPr>
          <w:p w:rsidR="00013EC7" w:rsidRDefault="00013EC7">
            <w:pPr>
              <w:spacing w:line="310" w:lineRule="exact"/>
              <w:jc w:val="left"/>
              <w:rPr>
                <w:rFonts w:ascii="仿宋" w:eastAsia="仿宋" w:hAnsi="仿宋" w:cs="仿宋"/>
                <w:sz w:val="24"/>
              </w:rPr>
            </w:pPr>
          </w:p>
        </w:tc>
        <w:tc>
          <w:tcPr>
            <w:tcW w:w="2622" w:type="dxa"/>
            <w:vMerge/>
            <w:vAlign w:val="center"/>
          </w:tcPr>
          <w:p w:rsidR="00013EC7" w:rsidRDefault="00013EC7">
            <w:pPr>
              <w:jc w:val="left"/>
              <w:rPr>
                <w:rFonts w:ascii="仿宋" w:eastAsia="仿宋" w:hAnsi="仿宋" w:cs="仿宋"/>
                <w:sz w:val="24"/>
              </w:rPr>
            </w:pPr>
          </w:p>
        </w:tc>
        <w:tc>
          <w:tcPr>
            <w:tcW w:w="3083" w:type="dxa"/>
            <w:vAlign w:val="center"/>
          </w:tcPr>
          <w:p w:rsidR="00013EC7" w:rsidRDefault="00575CDB">
            <w:pPr>
              <w:jc w:val="left"/>
              <w:rPr>
                <w:rFonts w:ascii="仿宋" w:eastAsia="仿宋" w:hAnsi="仿宋" w:cs="仿宋"/>
                <w:sz w:val="24"/>
              </w:rPr>
            </w:pPr>
            <w:r>
              <w:rPr>
                <w:rFonts w:ascii="仿宋" w:eastAsia="仿宋" w:hAnsi="仿宋" w:cs="仿宋" w:hint="eastAsia"/>
                <w:sz w:val="24"/>
              </w:rPr>
              <w:t>（六）纳税人已经委托中介机构依法出具税款清算鉴证的，可以提供法定资质中介机构出具的专项报告等。</w:t>
            </w:r>
          </w:p>
        </w:tc>
        <w:tc>
          <w:tcPr>
            <w:tcW w:w="934" w:type="dxa"/>
            <w:vMerge/>
            <w:vAlign w:val="center"/>
          </w:tcPr>
          <w:p w:rsidR="00013EC7" w:rsidRDefault="00013EC7">
            <w:pPr>
              <w:spacing w:line="300" w:lineRule="exact"/>
              <w:jc w:val="left"/>
              <w:rPr>
                <w:rFonts w:ascii="仿宋" w:eastAsia="仿宋" w:hAnsi="仿宋" w:cs="仿宋"/>
                <w:sz w:val="24"/>
              </w:rPr>
            </w:pPr>
          </w:p>
        </w:tc>
        <w:tc>
          <w:tcPr>
            <w:tcW w:w="3253" w:type="dxa"/>
            <w:vAlign w:val="center"/>
          </w:tcPr>
          <w:p w:rsidR="00013EC7" w:rsidRDefault="00575CDB">
            <w:pPr>
              <w:jc w:val="left"/>
              <w:rPr>
                <w:rFonts w:ascii="仿宋" w:eastAsia="仿宋" w:hAnsi="仿宋" w:cs="仿宋"/>
                <w:sz w:val="24"/>
              </w:rPr>
            </w:pPr>
            <w:r>
              <w:rPr>
                <w:rFonts w:ascii="仿宋" w:eastAsia="仿宋" w:hAnsi="仿宋" w:cs="仿宋" w:hint="eastAsia"/>
                <w:sz w:val="24"/>
              </w:rPr>
              <w:t>（六）纳税人已经委托中介机构依法出具税款清算鉴证的，可以提供法定资质中介机构出具的专项报告等。</w:t>
            </w:r>
          </w:p>
        </w:tc>
        <w:tc>
          <w:tcPr>
            <w:tcW w:w="893" w:type="dxa"/>
            <w:vMerge/>
            <w:vAlign w:val="center"/>
          </w:tcPr>
          <w:p w:rsidR="00013EC7" w:rsidRDefault="00013EC7">
            <w:pPr>
              <w:spacing w:line="300" w:lineRule="exact"/>
              <w:jc w:val="left"/>
              <w:rPr>
                <w:rFonts w:ascii="仿宋" w:eastAsia="仿宋" w:hAnsi="仿宋" w:cs="仿宋"/>
                <w:sz w:val="24"/>
              </w:rPr>
            </w:pPr>
          </w:p>
        </w:tc>
        <w:tc>
          <w:tcPr>
            <w:tcW w:w="2742" w:type="dxa"/>
            <w:vMerge/>
            <w:vAlign w:val="center"/>
          </w:tcPr>
          <w:p w:rsidR="00013EC7" w:rsidRDefault="00013EC7">
            <w:pPr>
              <w:spacing w:line="300" w:lineRule="exact"/>
              <w:jc w:val="left"/>
              <w:rPr>
                <w:rFonts w:ascii="仿宋" w:eastAsia="仿宋" w:hAnsi="仿宋" w:cs="仿宋"/>
                <w:sz w:val="24"/>
              </w:rPr>
            </w:pPr>
          </w:p>
        </w:tc>
        <w:tc>
          <w:tcPr>
            <w:tcW w:w="868" w:type="dxa"/>
            <w:vMerge/>
            <w:vAlign w:val="center"/>
          </w:tcPr>
          <w:p w:rsidR="00013EC7" w:rsidRDefault="00013EC7">
            <w:pPr>
              <w:spacing w:line="300" w:lineRule="exact"/>
              <w:jc w:val="left"/>
              <w:rPr>
                <w:rFonts w:ascii="仿宋" w:eastAsia="仿宋" w:hAnsi="仿宋" w:cs="仿宋"/>
                <w:sz w:val="24"/>
              </w:rPr>
            </w:pPr>
          </w:p>
        </w:tc>
        <w:tc>
          <w:tcPr>
            <w:tcW w:w="798" w:type="dxa"/>
            <w:vMerge/>
            <w:vAlign w:val="center"/>
          </w:tcPr>
          <w:p w:rsidR="00013EC7" w:rsidRDefault="00013EC7">
            <w:pPr>
              <w:spacing w:line="300" w:lineRule="exact"/>
              <w:jc w:val="left"/>
              <w:rPr>
                <w:rFonts w:ascii="仿宋" w:eastAsia="仿宋" w:hAnsi="仿宋" w:cs="仿宋"/>
                <w:sz w:val="24"/>
              </w:rPr>
            </w:pPr>
          </w:p>
        </w:tc>
        <w:tc>
          <w:tcPr>
            <w:tcW w:w="958" w:type="dxa"/>
            <w:vMerge/>
            <w:vAlign w:val="center"/>
          </w:tcPr>
          <w:p w:rsidR="00013EC7" w:rsidRDefault="00013EC7">
            <w:pPr>
              <w:spacing w:line="300" w:lineRule="exact"/>
              <w:jc w:val="left"/>
              <w:rPr>
                <w:rFonts w:ascii="仿宋" w:eastAsia="仿宋" w:hAnsi="仿宋" w:cs="仿宋"/>
                <w:sz w:val="24"/>
              </w:rPr>
            </w:pPr>
          </w:p>
        </w:tc>
        <w:tc>
          <w:tcPr>
            <w:tcW w:w="1104" w:type="dxa"/>
            <w:vMerge/>
            <w:vAlign w:val="center"/>
          </w:tcPr>
          <w:p w:rsidR="00013EC7" w:rsidRDefault="00013EC7">
            <w:pPr>
              <w:spacing w:line="300" w:lineRule="exact"/>
              <w:jc w:val="left"/>
              <w:rPr>
                <w:rFonts w:ascii="仿宋" w:eastAsia="仿宋" w:hAnsi="仿宋" w:cs="仿宋"/>
                <w:color w:val="FF0000"/>
                <w:sz w:val="24"/>
              </w:rPr>
            </w:pPr>
          </w:p>
        </w:tc>
        <w:tc>
          <w:tcPr>
            <w:tcW w:w="1476" w:type="dxa"/>
            <w:vMerge/>
            <w:vAlign w:val="center"/>
          </w:tcPr>
          <w:p w:rsidR="00013EC7" w:rsidRDefault="00013EC7">
            <w:pPr>
              <w:spacing w:line="300" w:lineRule="exact"/>
              <w:jc w:val="left"/>
              <w:rPr>
                <w:rFonts w:ascii="仿宋" w:eastAsia="仿宋" w:hAnsi="仿宋" w:cs="仿宋"/>
                <w:sz w:val="24"/>
              </w:rPr>
            </w:pPr>
          </w:p>
        </w:tc>
      </w:tr>
      <w:tr w:rsidR="00013EC7" w:rsidTr="00362C3A">
        <w:trPr>
          <w:trHeight w:val="1271"/>
          <w:jc w:val="center"/>
        </w:trPr>
        <w:tc>
          <w:tcPr>
            <w:tcW w:w="672" w:type="dxa"/>
            <w:vMerge/>
            <w:vAlign w:val="center"/>
          </w:tcPr>
          <w:p w:rsidR="00013EC7" w:rsidRDefault="00013EC7">
            <w:pPr>
              <w:spacing w:line="300" w:lineRule="exact"/>
              <w:jc w:val="left"/>
              <w:rPr>
                <w:rFonts w:ascii="仿宋" w:eastAsia="仿宋" w:hAnsi="仿宋" w:cs="仿宋"/>
                <w:sz w:val="24"/>
              </w:rPr>
            </w:pPr>
          </w:p>
        </w:tc>
        <w:tc>
          <w:tcPr>
            <w:tcW w:w="1035" w:type="dxa"/>
            <w:vMerge/>
            <w:vAlign w:val="center"/>
          </w:tcPr>
          <w:p w:rsidR="00013EC7" w:rsidRDefault="00013EC7">
            <w:pPr>
              <w:spacing w:line="310" w:lineRule="exact"/>
              <w:jc w:val="left"/>
              <w:rPr>
                <w:rFonts w:ascii="仿宋" w:eastAsia="仿宋" w:hAnsi="仿宋" w:cs="仿宋"/>
                <w:sz w:val="24"/>
              </w:rPr>
            </w:pPr>
          </w:p>
        </w:tc>
        <w:tc>
          <w:tcPr>
            <w:tcW w:w="2622" w:type="dxa"/>
            <w:vMerge/>
            <w:vAlign w:val="center"/>
          </w:tcPr>
          <w:p w:rsidR="00013EC7" w:rsidRDefault="00013EC7">
            <w:pPr>
              <w:jc w:val="left"/>
              <w:rPr>
                <w:rFonts w:ascii="仿宋" w:eastAsia="仿宋" w:hAnsi="仿宋" w:cs="仿宋"/>
                <w:sz w:val="24"/>
              </w:rPr>
            </w:pPr>
          </w:p>
        </w:tc>
        <w:tc>
          <w:tcPr>
            <w:tcW w:w="3083" w:type="dxa"/>
            <w:vAlign w:val="center"/>
          </w:tcPr>
          <w:p w:rsidR="00013EC7" w:rsidRDefault="00575CDB">
            <w:pPr>
              <w:rPr>
                <w:rFonts w:ascii="仿宋" w:eastAsia="仿宋" w:hAnsi="仿宋" w:cs="仿宋"/>
                <w:sz w:val="24"/>
              </w:rPr>
            </w:pPr>
            <w:r>
              <w:rPr>
                <w:rFonts w:ascii="仿宋" w:eastAsia="仿宋" w:hAnsi="仿宋" w:cs="仿宋" w:hint="eastAsia"/>
                <w:sz w:val="24"/>
              </w:rPr>
              <w:t>（七）工商行政管理机关发出的吊销工商营业执照决定</w:t>
            </w:r>
            <w:r>
              <w:rPr>
                <w:rFonts w:ascii="仿宋" w:eastAsia="仿宋" w:hAnsi="仿宋" w:cs="仿宋" w:hint="eastAsia"/>
                <w:sz w:val="24"/>
                <w:highlight w:val="lightGray"/>
              </w:rPr>
              <w:t>原件及复印件</w:t>
            </w:r>
            <w:r>
              <w:rPr>
                <w:rFonts w:ascii="仿宋" w:eastAsia="仿宋" w:hAnsi="仿宋" w:cs="仿宋" w:hint="eastAsia"/>
                <w:sz w:val="24"/>
              </w:rPr>
              <w:t>。</w:t>
            </w:r>
          </w:p>
        </w:tc>
        <w:tc>
          <w:tcPr>
            <w:tcW w:w="934" w:type="dxa"/>
            <w:vMerge/>
            <w:vAlign w:val="center"/>
          </w:tcPr>
          <w:p w:rsidR="00013EC7" w:rsidRDefault="00013EC7">
            <w:pPr>
              <w:spacing w:line="300" w:lineRule="exact"/>
              <w:rPr>
                <w:rFonts w:ascii="仿宋" w:eastAsia="仿宋" w:hAnsi="仿宋" w:cs="仿宋"/>
                <w:sz w:val="24"/>
              </w:rPr>
            </w:pPr>
          </w:p>
        </w:tc>
        <w:tc>
          <w:tcPr>
            <w:tcW w:w="3253" w:type="dxa"/>
            <w:vAlign w:val="center"/>
          </w:tcPr>
          <w:p w:rsidR="00013EC7" w:rsidRDefault="00575CDB">
            <w:pPr>
              <w:rPr>
                <w:rFonts w:ascii="仿宋" w:eastAsia="仿宋" w:hAnsi="仿宋" w:cs="仿宋"/>
                <w:sz w:val="24"/>
              </w:rPr>
            </w:pPr>
            <w:r>
              <w:rPr>
                <w:rFonts w:ascii="仿宋" w:eastAsia="仿宋" w:hAnsi="仿宋" w:cs="仿宋" w:hint="eastAsia"/>
                <w:sz w:val="24"/>
              </w:rPr>
              <w:t>（七）工商营业执照被吊销的应提交工商行政管理部门发出的吊销决定信息。</w:t>
            </w:r>
          </w:p>
        </w:tc>
        <w:tc>
          <w:tcPr>
            <w:tcW w:w="893"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b/>
                <w:bCs/>
                <w:i/>
                <w:iCs/>
                <w:sz w:val="24"/>
              </w:rPr>
              <w:t>经办机构自行获取</w:t>
            </w:r>
          </w:p>
        </w:tc>
        <w:tc>
          <w:tcPr>
            <w:tcW w:w="2742"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b/>
                <w:bCs/>
                <w:sz w:val="24"/>
              </w:rPr>
              <w:t>外部共享：</w:t>
            </w:r>
            <w:r>
              <w:rPr>
                <w:rFonts w:ascii="仿宋" w:eastAsia="仿宋" w:hAnsi="仿宋" w:cs="仿宋" w:hint="eastAsia"/>
                <w:bCs/>
                <w:sz w:val="24"/>
              </w:rPr>
              <w:t>由</w:t>
            </w:r>
            <w:r>
              <w:rPr>
                <w:rFonts w:ascii="仿宋" w:eastAsia="仿宋" w:hAnsi="仿宋" w:cs="仿宋" w:hint="eastAsia"/>
                <w:sz w:val="24"/>
              </w:rPr>
              <w:t>省工商局提供共享。</w:t>
            </w:r>
          </w:p>
        </w:tc>
        <w:tc>
          <w:tcPr>
            <w:tcW w:w="868" w:type="dxa"/>
            <w:vMerge/>
            <w:vAlign w:val="center"/>
          </w:tcPr>
          <w:p w:rsidR="00013EC7" w:rsidRDefault="00013EC7">
            <w:pPr>
              <w:spacing w:line="300" w:lineRule="exact"/>
              <w:jc w:val="left"/>
              <w:rPr>
                <w:rFonts w:ascii="仿宋" w:eastAsia="仿宋" w:hAnsi="仿宋" w:cs="仿宋"/>
                <w:sz w:val="24"/>
              </w:rPr>
            </w:pPr>
          </w:p>
        </w:tc>
        <w:tc>
          <w:tcPr>
            <w:tcW w:w="798" w:type="dxa"/>
            <w:vMerge/>
            <w:vAlign w:val="center"/>
          </w:tcPr>
          <w:p w:rsidR="00013EC7" w:rsidRDefault="00013EC7">
            <w:pPr>
              <w:spacing w:line="300" w:lineRule="exact"/>
              <w:jc w:val="left"/>
              <w:rPr>
                <w:rFonts w:ascii="仿宋" w:eastAsia="仿宋" w:hAnsi="仿宋" w:cs="仿宋"/>
                <w:sz w:val="24"/>
              </w:rPr>
            </w:pPr>
          </w:p>
        </w:tc>
        <w:tc>
          <w:tcPr>
            <w:tcW w:w="958" w:type="dxa"/>
            <w:vMerge/>
            <w:vAlign w:val="center"/>
          </w:tcPr>
          <w:p w:rsidR="00013EC7" w:rsidRDefault="00013EC7">
            <w:pPr>
              <w:spacing w:line="300" w:lineRule="exact"/>
              <w:jc w:val="left"/>
              <w:rPr>
                <w:rFonts w:ascii="仿宋" w:eastAsia="仿宋" w:hAnsi="仿宋" w:cs="仿宋"/>
                <w:sz w:val="24"/>
              </w:rPr>
            </w:pPr>
          </w:p>
        </w:tc>
        <w:tc>
          <w:tcPr>
            <w:tcW w:w="1104" w:type="dxa"/>
            <w:vMerge/>
            <w:vAlign w:val="center"/>
          </w:tcPr>
          <w:p w:rsidR="00013EC7" w:rsidRDefault="00013EC7">
            <w:pPr>
              <w:spacing w:line="300" w:lineRule="exact"/>
              <w:jc w:val="left"/>
              <w:rPr>
                <w:rFonts w:ascii="仿宋" w:eastAsia="仿宋" w:hAnsi="仿宋" w:cs="仿宋"/>
                <w:color w:val="FF0000"/>
                <w:sz w:val="24"/>
              </w:rPr>
            </w:pPr>
          </w:p>
        </w:tc>
        <w:tc>
          <w:tcPr>
            <w:tcW w:w="1476" w:type="dxa"/>
            <w:vMerge/>
            <w:vAlign w:val="center"/>
          </w:tcPr>
          <w:p w:rsidR="00013EC7" w:rsidRDefault="00013EC7">
            <w:pPr>
              <w:spacing w:line="300" w:lineRule="exact"/>
              <w:jc w:val="left"/>
              <w:rPr>
                <w:rFonts w:ascii="仿宋" w:eastAsia="仿宋" w:hAnsi="仿宋" w:cs="仿宋"/>
                <w:sz w:val="24"/>
              </w:rPr>
            </w:pPr>
          </w:p>
        </w:tc>
      </w:tr>
      <w:tr w:rsidR="00013EC7" w:rsidTr="00362C3A">
        <w:trPr>
          <w:trHeight w:val="1271"/>
          <w:jc w:val="center"/>
        </w:trPr>
        <w:tc>
          <w:tcPr>
            <w:tcW w:w="672" w:type="dxa"/>
            <w:vMerge/>
            <w:vAlign w:val="center"/>
          </w:tcPr>
          <w:p w:rsidR="00013EC7" w:rsidRDefault="00013EC7">
            <w:pPr>
              <w:spacing w:line="300" w:lineRule="exact"/>
              <w:jc w:val="left"/>
              <w:rPr>
                <w:rFonts w:ascii="仿宋" w:eastAsia="仿宋" w:hAnsi="仿宋" w:cs="仿宋"/>
                <w:sz w:val="24"/>
              </w:rPr>
            </w:pPr>
          </w:p>
        </w:tc>
        <w:tc>
          <w:tcPr>
            <w:tcW w:w="1035" w:type="dxa"/>
            <w:vMerge/>
            <w:vAlign w:val="center"/>
          </w:tcPr>
          <w:p w:rsidR="00013EC7" w:rsidRDefault="00013EC7">
            <w:pPr>
              <w:spacing w:line="310" w:lineRule="exact"/>
              <w:jc w:val="left"/>
              <w:rPr>
                <w:rFonts w:ascii="仿宋" w:eastAsia="仿宋" w:hAnsi="仿宋" w:cs="仿宋"/>
                <w:sz w:val="24"/>
              </w:rPr>
            </w:pPr>
          </w:p>
        </w:tc>
        <w:tc>
          <w:tcPr>
            <w:tcW w:w="2622" w:type="dxa"/>
            <w:vMerge/>
            <w:vAlign w:val="center"/>
          </w:tcPr>
          <w:p w:rsidR="00013EC7" w:rsidRDefault="00013EC7">
            <w:pPr>
              <w:jc w:val="left"/>
              <w:rPr>
                <w:rFonts w:ascii="仿宋" w:eastAsia="仿宋" w:hAnsi="仿宋" w:cs="仿宋"/>
                <w:sz w:val="24"/>
              </w:rPr>
            </w:pPr>
          </w:p>
        </w:tc>
        <w:tc>
          <w:tcPr>
            <w:tcW w:w="3083" w:type="dxa"/>
            <w:vAlign w:val="center"/>
          </w:tcPr>
          <w:p w:rsidR="00013EC7" w:rsidRDefault="00575CDB">
            <w:pPr>
              <w:rPr>
                <w:rFonts w:ascii="仿宋" w:eastAsia="仿宋" w:hAnsi="仿宋" w:cs="仿宋"/>
                <w:sz w:val="24"/>
              </w:rPr>
            </w:pPr>
            <w:r>
              <w:rPr>
                <w:rFonts w:ascii="仿宋" w:eastAsia="仿宋" w:hAnsi="仿宋" w:cs="仿宋" w:hint="eastAsia"/>
                <w:sz w:val="24"/>
              </w:rPr>
              <w:t>（八）单位纳税人应提供上级主管部门批复文件或董事会决议</w:t>
            </w:r>
            <w:r>
              <w:rPr>
                <w:rFonts w:ascii="仿宋" w:eastAsia="仿宋" w:hAnsi="仿宋" w:cs="仿宋" w:hint="eastAsia"/>
                <w:sz w:val="24"/>
                <w:highlight w:val="lightGray"/>
              </w:rPr>
              <w:t>原件</w:t>
            </w:r>
            <w:r>
              <w:rPr>
                <w:rFonts w:ascii="仿宋" w:eastAsia="仿宋" w:hAnsi="仿宋" w:cs="仿宋" w:hint="eastAsia"/>
                <w:sz w:val="24"/>
              </w:rPr>
              <w:t>及复印件。</w:t>
            </w:r>
          </w:p>
        </w:tc>
        <w:tc>
          <w:tcPr>
            <w:tcW w:w="934" w:type="dxa"/>
            <w:vMerge/>
            <w:vAlign w:val="center"/>
          </w:tcPr>
          <w:p w:rsidR="00013EC7" w:rsidRDefault="00013EC7">
            <w:pPr>
              <w:spacing w:line="300" w:lineRule="exact"/>
              <w:rPr>
                <w:rFonts w:ascii="仿宋" w:eastAsia="仿宋" w:hAnsi="仿宋" w:cs="仿宋"/>
                <w:sz w:val="24"/>
              </w:rPr>
            </w:pPr>
          </w:p>
        </w:tc>
        <w:tc>
          <w:tcPr>
            <w:tcW w:w="3253" w:type="dxa"/>
            <w:vAlign w:val="center"/>
          </w:tcPr>
          <w:p w:rsidR="00013EC7" w:rsidRDefault="00575CDB">
            <w:pPr>
              <w:rPr>
                <w:rFonts w:ascii="仿宋" w:eastAsia="仿宋" w:hAnsi="仿宋" w:cs="仿宋"/>
                <w:sz w:val="24"/>
              </w:rPr>
            </w:pPr>
            <w:r>
              <w:rPr>
                <w:rFonts w:ascii="仿宋" w:eastAsia="仿宋" w:hAnsi="仿宋" w:cs="仿宋" w:hint="eastAsia"/>
                <w:sz w:val="24"/>
              </w:rPr>
              <w:t>（八）单位纳税人应提供上级主管部门批复文件或董事会决议复印件（注明与原件一致，并加盖公章）。</w:t>
            </w:r>
          </w:p>
        </w:tc>
        <w:tc>
          <w:tcPr>
            <w:tcW w:w="893"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单位纳税人提交</w:t>
            </w:r>
          </w:p>
        </w:tc>
        <w:tc>
          <w:tcPr>
            <w:tcW w:w="2742" w:type="dxa"/>
            <w:vMerge w:val="restart"/>
            <w:vAlign w:val="center"/>
          </w:tcPr>
          <w:p w:rsidR="00013EC7" w:rsidRDefault="00575CDB">
            <w:pPr>
              <w:spacing w:line="300" w:lineRule="exact"/>
              <w:jc w:val="left"/>
              <w:rPr>
                <w:rFonts w:ascii="仿宋" w:eastAsia="仿宋" w:hAnsi="仿宋" w:cs="仿宋"/>
                <w:bCs/>
                <w:sz w:val="24"/>
              </w:rPr>
            </w:pPr>
            <w:r>
              <w:rPr>
                <w:rFonts w:ascii="仿宋" w:eastAsia="仿宋" w:hAnsi="仿宋" w:cs="仿宋" w:hint="eastAsia"/>
                <w:b/>
                <w:sz w:val="24"/>
              </w:rPr>
              <w:t>现场办理：</w:t>
            </w:r>
            <w:r>
              <w:rPr>
                <w:rFonts w:ascii="仿宋" w:eastAsia="仿宋" w:hAnsi="仿宋" w:cs="仿宋" w:hint="eastAsia"/>
                <w:bCs/>
                <w:sz w:val="24"/>
              </w:rPr>
              <w:t>纳税人提交书面材料。</w:t>
            </w:r>
          </w:p>
        </w:tc>
        <w:tc>
          <w:tcPr>
            <w:tcW w:w="868" w:type="dxa"/>
            <w:vMerge/>
            <w:vAlign w:val="center"/>
          </w:tcPr>
          <w:p w:rsidR="00013EC7" w:rsidRDefault="00013EC7">
            <w:pPr>
              <w:spacing w:line="300" w:lineRule="exact"/>
              <w:jc w:val="left"/>
              <w:rPr>
                <w:rFonts w:ascii="仿宋" w:eastAsia="仿宋" w:hAnsi="仿宋" w:cs="仿宋"/>
                <w:sz w:val="24"/>
              </w:rPr>
            </w:pPr>
          </w:p>
        </w:tc>
        <w:tc>
          <w:tcPr>
            <w:tcW w:w="798" w:type="dxa"/>
            <w:vMerge/>
            <w:vAlign w:val="center"/>
          </w:tcPr>
          <w:p w:rsidR="00013EC7" w:rsidRDefault="00013EC7">
            <w:pPr>
              <w:spacing w:line="300" w:lineRule="exact"/>
              <w:jc w:val="left"/>
              <w:rPr>
                <w:rFonts w:ascii="仿宋" w:eastAsia="仿宋" w:hAnsi="仿宋" w:cs="仿宋"/>
                <w:sz w:val="24"/>
              </w:rPr>
            </w:pPr>
          </w:p>
        </w:tc>
        <w:tc>
          <w:tcPr>
            <w:tcW w:w="958" w:type="dxa"/>
            <w:vMerge/>
            <w:vAlign w:val="center"/>
          </w:tcPr>
          <w:p w:rsidR="00013EC7" w:rsidRDefault="00013EC7">
            <w:pPr>
              <w:spacing w:line="300" w:lineRule="exact"/>
              <w:jc w:val="left"/>
              <w:rPr>
                <w:rFonts w:ascii="仿宋" w:eastAsia="仿宋" w:hAnsi="仿宋" w:cs="仿宋"/>
                <w:sz w:val="24"/>
              </w:rPr>
            </w:pPr>
          </w:p>
        </w:tc>
        <w:tc>
          <w:tcPr>
            <w:tcW w:w="1104" w:type="dxa"/>
            <w:vMerge/>
            <w:vAlign w:val="center"/>
          </w:tcPr>
          <w:p w:rsidR="00013EC7" w:rsidRDefault="00013EC7">
            <w:pPr>
              <w:spacing w:line="300" w:lineRule="exact"/>
              <w:jc w:val="left"/>
              <w:rPr>
                <w:rFonts w:ascii="仿宋" w:eastAsia="仿宋" w:hAnsi="仿宋" w:cs="仿宋"/>
                <w:color w:val="FF0000"/>
                <w:sz w:val="24"/>
              </w:rPr>
            </w:pPr>
          </w:p>
        </w:tc>
        <w:tc>
          <w:tcPr>
            <w:tcW w:w="1476" w:type="dxa"/>
            <w:vMerge/>
            <w:vAlign w:val="center"/>
          </w:tcPr>
          <w:p w:rsidR="00013EC7" w:rsidRDefault="00013EC7">
            <w:pPr>
              <w:spacing w:line="300" w:lineRule="exact"/>
              <w:jc w:val="left"/>
              <w:rPr>
                <w:rFonts w:ascii="仿宋" w:eastAsia="仿宋" w:hAnsi="仿宋" w:cs="仿宋"/>
                <w:sz w:val="24"/>
              </w:rPr>
            </w:pPr>
          </w:p>
        </w:tc>
      </w:tr>
      <w:tr w:rsidR="00013EC7" w:rsidTr="00362C3A">
        <w:trPr>
          <w:trHeight w:val="1271"/>
          <w:jc w:val="center"/>
        </w:trPr>
        <w:tc>
          <w:tcPr>
            <w:tcW w:w="672" w:type="dxa"/>
            <w:vMerge/>
            <w:vAlign w:val="center"/>
          </w:tcPr>
          <w:p w:rsidR="00013EC7" w:rsidRDefault="00013EC7">
            <w:pPr>
              <w:spacing w:line="300" w:lineRule="exact"/>
              <w:jc w:val="left"/>
              <w:rPr>
                <w:rFonts w:ascii="仿宋" w:eastAsia="仿宋" w:hAnsi="仿宋" w:cs="仿宋"/>
                <w:sz w:val="24"/>
              </w:rPr>
            </w:pPr>
          </w:p>
        </w:tc>
        <w:tc>
          <w:tcPr>
            <w:tcW w:w="1035" w:type="dxa"/>
            <w:vMerge/>
            <w:vAlign w:val="center"/>
          </w:tcPr>
          <w:p w:rsidR="00013EC7" w:rsidRDefault="00013EC7">
            <w:pPr>
              <w:spacing w:line="310" w:lineRule="exact"/>
              <w:jc w:val="left"/>
              <w:rPr>
                <w:rFonts w:ascii="仿宋" w:eastAsia="仿宋" w:hAnsi="仿宋" w:cs="仿宋"/>
                <w:sz w:val="24"/>
              </w:rPr>
            </w:pPr>
          </w:p>
        </w:tc>
        <w:tc>
          <w:tcPr>
            <w:tcW w:w="2622" w:type="dxa"/>
            <w:vMerge/>
            <w:vAlign w:val="center"/>
          </w:tcPr>
          <w:p w:rsidR="00013EC7" w:rsidRDefault="00013EC7">
            <w:pPr>
              <w:jc w:val="left"/>
              <w:rPr>
                <w:rFonts w:ascii="仿宋" w:eastAsia="仿宋" w:hAnsi="仿宋" w:cs="仿宋"/>
                <w:sz w:val="24"/>
              </w:rPr>
            </w:pPr>
          </w:p>
        </w:tc>
        <w:tc>
          <w:tcPr>
            <w:tcW w:w="3083" w:type="dxa"/>
            <w:vAlign w:val="center"/>
          </w:tcPr>
          <w:p w:rsidR="00013EC7" w:rsidRDefault="00575CDB">
            <w:pPr>
              <w:rPr>
                <w:rFonts w:ascii="仿宋" w:eastAsia="仿宋" w:hAnsi="仿宋" w:cs="仿宋"/>
                <w:sz w:val="24"/>
              </w:rPr>
            </w:pPr>
            <w:r>
              <w:rPr>
                <w:rFonts w:ascii="仿宋" w:eastAsia="仿宋" w:hAnsi="仿宋" w:cs="仿宋" w:hint="eastAsia"/>
                <w:sz w:val="24"/>
              </w:rPr>
              <w:t>（九）非居民企业提供项目完工证明、验收证明等相关文件</w:t>
            </w:r>
            <w:r>
              <w:rPr>
                <w:rFonts w:ascii="仿宋" w:eastAsia="仿宋" w:hAnsi="仿宋" w:cs="仿宋" w:hint="eastAsia"/>
                <w:sz w:val="24"/>
                <w:highlight w:val="lightGray"/>
              </w:rPr>
              <w:t>原件</w:t>
            </w:r>
            <w:r>
              <w:rPr>
                <w:rFonts w:ascii="仿宋" w:eastAsia="仿宋" w:hAnsi="仿宋" w:cs="仿宋" w:hint="eastAsia"/>
                <w:sz w:val="24"/>
              </w:rPr>
              <w:t>及复印件。</w:t>
            </w:r>
          </w:p>
        </w:tc>
        <w:tc>
          <w:tcPr>
            <w:tcW w:w="934" w:type="dxa"/>
            <w:vMerge/>
            <w:vAlign w:val="center"/>
          </w:tcPr>
          <w:p w:rsidR="00013EC7" w:rsidRDefault="00013EC7">
            <w:pPr>
              <w:spacing w:line="300" w:lineRule="exact"/>
              <w:rPr>
                <w:rFonts w:ascii="仿宋" w:eastAsia="仿宋" w:hAnsi="仿宋" w:cs="仿宋"/>
                <w:sz w:val="24"/>
              </w:rPr>
            </w:pPr>
          </w:p>
        </w:tc>
        <w:tc>
          <w:tcPr>
            <w:tcW w:w="3253" w:type="dxa"/>
            <w:vAlign w:val="center"/>
          </w:tcPr>
          <w:p w:rsidR="00013EC7" w:rsidRDefault="00575CDB">
            <w:pPr>
              <w:rPr>
                <w:rFonts w:ascii="仿宋" w:eastAsia="仿宋" w:hAnsi="仿宋" w:cs="仿宋"/>
                <w:sz w:val="24"/>
              </w:rPr>
            </w:pPr>
            <w:r>
              <w:rPr>
                <w:rFonts w:ascii="仿宋" w:eastAsia="仿宋" w:hAnsi="仿宋" w:cs="仿宋" w:hint="eastAsia"/>
                <w:sz w:val="24"/>
              </w:rPr>
              <w:t>（九）非居民企业提供项目完工证明、验收证明等相关文件复印件（注明与原件一致，并加盖公章）。</w:t>
            </w:r>
          </w:p>
        </w:tc>
        <w:tc>
          <w:tcPr>
            <w:tcW w:w="893"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非居民企业在中国境内承包工程作业或提供劳务且项目完工纳税人</w:t>
            </w:r>
            <w:r>
              <w:rPr>
                <w:rFonts w:ascii="仿宋" w:eastAsia="仿宋" w:hAnsi="仿宋" w:cs="仿宋"/>
                <w:sz w:val="24"/>
              </w:rPr>
              <w:t>提供</w:t>
            </w:r>
          </w:p>
        </w:tc>
        <w:tc>
          <w:tcPr>
            <w:tcW w:w="2742" w:type="dxa"/>
            <w:vMerge/>
            <w:vAlign w:val="center"/>
          </w:tcPr>
          <w:p w:rsidR="00013EC7" w:rsidRDefault="00013EC7">
            <w:pPr>
              <w:spacing w:line="300" w:lineRule="exact"/>
              <w:rPr>
                <w:rFonts w:ascii="仿宋" w:eastAsia="仿宋" w:hAnsi="仿宋" w:cs="仿宋"/>
                <w:sz w:val="24"/>
              </w:rPr>
            </w:pPr>
          </w:p>
        </w:tc>
        <w:tc>
          <w:tcPr>
            <w:tcW w:w="868" w:type="dxa"/>
            <w:vMerge/>
            <w:vAlign w:val="center"/>
          </w:tcPr>
          <w:p w:rsidR="00013EC7" w:rsidRDefault="00013EC7">
            <w:pPr>
              <w:spacing w:line="300" w:lineRule="exact"/>
              <w:jc w:val="left"/>
              <w:rPr>
                <w:rFonts w:ascii="仿宋" w:eastAsia="仿宋" w:hAnsi="仿宋" w:cs="仿宋"/>
                <w:sz w:val="24"/>
              </w:rPr>
            </w:pPr>
          </w:p>
        </w:tc>
        <w:tc>
          <w:tcPr>
            <w:tcW w:w="798" w:type="dxa"/>
            <w:vMerge/>
            <w:vAlign w:val="center"/>
          </w:tcPr>
          <w:p w:rsidR="00013EC7" w:rsidRDefault="00013EC7">
            <w:pPr>
              <w:spacing w:line="300" w:lineRule="exact"/>
              <w:jc w:val="left"/>
              <w:rPr>
                <w:rFonts w:ascii="仿宋" w:eastAsia="仿宋" w:hAnsi="仿宋" w:cs="仿宋"/>
                <w:sz w:val="24"/>
              </w:rPr>
            </w:pPr>
          </w:p>
        </w:tc>
        <w:tc>
          <w:tcPr>
            <w:tcW w:w="958" w:type="dxa"/>
            <w:vMerge/>
            <w:vAlign w:val="center"/>
          </w:tcPr>
          <w:p w:rsidR="00013EC7" w:rsidRDefault="00013EC7">
            <w:pPr>
              <w:spacing w:line="300" w:lineRule="exact"/>
              <w:jc w:val="left"/>
              <w:rPr>
                <w:rFonts w:ascii="仿宋" w:eastAsia="仿宋" w:hAnsi="仿宋" w:cs="仿宋"/>
                <w:sz w:val="24"/>
              </w:rPr>
            </w:pPr>
          </w:p>
        </w:tc>
        <w:tc>
          <w:tcPr>
            <w:tcW w:w="1104" w:type="dxa"/>
            <w:vMerge/>
            <w:vAlign w:val="center"/>
          </w:tcPr>
          <w:p w:rsidR="00013EC7" w:rsidRDefault="00013EC7">
            <w:pPr>
              <w:spacing w:line="300" w:lineRule="exact"/>
              <w:jc w:val="left"/>
              <w:rPr>
                <w:rFonts w:ascii="仿宋" w:eastAsia="仿宋" w:hAnsi="仿宋" w:cs="仿宋"/>
                <w:color w:val="FF0000"/>
                <w:sz w:val="24"/>
              </w:rPr>
            </w:pPr>
          </w:p>
        </w:tc>
        <w:tc>
          <w:tcPr>
            <w:tcW w:w="1476" w:type="dxa"/>
            <w:vMerge/>
            <w:vAlign w:val="center"/>
          </w:tcPr>
          <w:p w:rsidR="00013EC7" w:rsidRDefault="00013EC7">
            <w:pPr>
              <w:spacing w:line="300" w:lineRule="exact"/>
              <w:jc w:val="left"/>
              <w:rPr>
                <w:rFonts w:ascii="仿宋" w:eastAsia="仿宋" w:hAnsi="仿宋" w:cs="仿宋"/>
                <w:sz w:val="24"/>
              </w:rPr>
            </w:pPr>
          </w:p>
        </w:tc>
      </w:tr>
    </w:tbl>
    <w:p w:rsidR="00013EC7" w:rsidRDefault="00013EC7"/>
    <w:p w:rsidR="00013EC7" w:rsidRDefault="00013EC7">
      <w:pPr>
        <w:jc w:val="cente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5262E6">
      <w:r>
        <w:rPr>
          <w:kern w:val="0"/>
        </w:rPr>
        <w:lastRenderedPageBreak/>
        <w:object w:dxaOrig="1440" w:dyaOrig="1440">
          <v:shape id="_x0000_s1320" type="#_x0000_t75" style="position:absolute;left:0;text-align:left;margin-left:578.4pt;margin-top:80.3pt;width:415.65pt;height:644.45pt;z-index:251645952;mso-wrap-distance-top:0;mso-wrap-distance-bottom:0;mso-position-vertical-relative:page;mso-width-relative:page;mso-height-relative:page">
            <v:imagedata r:id="rId39" o:title=""/>
            <w10:wrap type="topAndBottom" anchory="page"/>
          </v:shape>
          <o:OLEObject Type="Embed" ProgID="Visio.Drawing.11" ShapeID="_x0000_s1320" DrawAspect="Content" ObjectID="_1577296156" r:id="rId40"/>
        </w:object>
      </w:r>
      <w:r>
        <w:object w:dxaOrig="1440" w:dyaOrig="1440">
          <v:shape id="_x0000_s1321" type="#_x0000_t75" style="position:absolute;left:0;text-align:left;margin-left:10.3pt;margin-top:80.5pt;width:464pt;height:641.5pt;z-index:251646976;mso-wrap-distance-top:0;mso-wrap-distance-bottom:0;mso-position-vertical-relative:page;mso-width-relative:page;mso-height-relative:page">
            <v:imagedata r:id="rId41" o:title=""/>
            <w10:wrap type="topAndBottom" anchory="page"/>
          </v:shape>
          <o:OLEObject Type="Embed" ProgID="Visio.Drawing.11" ShapeID="_x0000_s1321" DrawAspect="Content" ObjectID="_1577296157" r:id="rId42"/>
        </w:object>
      </w:r>
    </w:p>
    <w:p w:rsidR="00013EC7" w:rsidRDefault="00575CDB">
      <w:pPr>
        <w:pStyle w:val="2"/>
      </w:pPr>
      <w:bookmarkStart w:id="51" w:name="_Toc503467369"/>
      <w:bookmarkStart w:id="52" w:name="_Toc17225"/>
      <w:bookmarkStart w:id="53" w:name="_Toc498705674"/>
      <w:bookmarkStart w:id="54" w:name="_Toc8803"/>
      <w:bookmarkStart w:id="55" w:name="_Toc25298"/>
      <w:r>
        <w:rPr>
          <w:rFonts w:hint="eastAsia"/>
        </w:rPr>
        <w:lastRenderedPageBreak/>
        <w:t>3.2</w:t>
      </w:r>
      <w:r>
        <w:rPr>
          <w:rFonts w:hint="eastAsia"/>
        </w:rPr>
        <w:t>注销登记（定期定额个体工商户）</w:t>
      </w:r>
      <w:bookmarkEnd w:id="51"/>
      <w:bookmarkEnd w:id="52"/>
      <w:bookmarkEnd w:id="53"/>
      <w:bookmarkEnd w:id="54"/>
      <w:bookmarkEnd w:id="55"/>
    </w:p>
    <w:p w:rsidR="00013EC7" w:rsidRDefault="00575CDB">
      <w:pPr>
        <w:jc w:val="center"/>
        <w:rPr>
          <w:rFonts w:ascii="宋体" w:hAnsi="宋体" w:cs="宋体"/>
          <w:b/>
          <w:bCs/>
          <w:sz w:val="52"/>
          <w:szCs w:val="52"/>
        </w:rPr>
      </w:pPr>
      <w:r>
        <w:rPr>
          <w:rFonts w:ascii="宋体" w:hAnsi="宋体" w:cs="宋体" w:hint="eastAsia"/>
          <w:b/>
          <w:bCs/>
          <w:sz w:val="52"/>
          <w:szCs w:val="52"/>
        </w:rPr>
        <w:t>全省“最多跑一次”事项“八统一”梳理表</w:t>
      </w:r>
    </w:p>
    <w:tbl>
      <w:tblPr>
        <w:tblW w:w="204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2622"/>
        <w:gridCol w:w="2977"/>
        <w:gridCol w:w="973"/>
        <w:gridCol w:w="2987"/>
        <w:gridCol w:w="1120"/>
        <w:gridCol w:w="2848"/>
        <w:gridCol w:w="868"/>
        <w:gridCol w:w="910"/>
        <w:gridCol w:w="846"/>
        <w:gridCol w:w="1104"/>
        <w:gridCol w:w="1476"/>
      </w:tblGrid>
      <w:tr w:rsidR="00013EC7" w:rsidTr="00362C3A">
        <w:trPr>
          <w:trHeight w:val="340"/>
          <w:tblHeader/>
          <w:jc w:val="center"/>
        </w:trPr>
        <w:tc>
          <w:tcPr>
            <w:tcW w:w="672" w:type="dxa"/>
            <w:vMerge w:val="restart"/>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主项名称</w:t>
            </w:r>
          </w:p>
        </w:tc>
        <w:tc>
          <w:tcPr>
            <w:tcW w:w="1035" w:type="dxa"/>
            <w:vMerge w:val="restart"/>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子项名称</w:t>
            </w:r>
          </w:p>
        </w:tc>
        <w:tc>
          <w:tcPr>
            <w:tcW w:w="2622" w:type="dxa"/>
            <w:vMerge w:val="restart"/>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经办依据</w:t>
            </w:r>
          </w:p>
        </w:tc>
        <w:tc>
          <w:tcPr>
            <w:tcW w:w="3950" w:type="dxa"/>
            <w:gridSpan w:val="2"/>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原经办所需材料</w:t>
            </w:r>
          </w:p>
        </w:tc>
        <w:tc>
          <w:tcPr>
            <w:tcW w:w="6955" w:type="dxa"/>
            <w:gridSpan w:val="3"/>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精简后经办所需材料</w:t>
            </w:r>
          </w:p>
        </w:tc>
        <w:tc>
          <w:tcPr>
            <w:tcW w:w="1778" w:type="dxa"/>
            <w:gridSpan w:val="2"/>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办理时限</w:t>
            </w:r>
          </w:p>
        </w:tc>
        <w:tc>
          <w:tcPr>
            <w:tcW w:w="846" w:type="dxa"/>
            <w:vMerge w:val="restart"/>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是否实现跑零次</w:t>
            </w:r>
          </w:p>
        </w:tc>
        <w:tc>
          <w:tcPr>
            <w:tcW w:w="1104" w:type="dxa"/>
            <w:vMerge w:val="restart"/>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省厅对口</w:t>
            </w:r>
          </w:p>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指导处室</w:t>
            </w:r>
          </w:p>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（单位）</w:t>
            </w:r>
          </w:p>
        </w:tc>
        <w:tc>
          <w:tcPr>
            <w:tcW w:w="1476" w:type="dxa"/>
            <w:vMerge w:val="restart"/>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进一步精简、</w:t>
            </w:r>
          </w:p>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规范建议</w:t>
            </w:r>
          </w:p>
        </w:tc>
      </w:tr>
      <w:tr w:rsidR="00013EC7" w:rsidTr="00362C3A">
        <w:trPr>
          <w:trHeight w:val="340"/>
          <w:tblHeader/>
          <w:jc w:val="center"/>
        </w:trPr>
        <w:tc>
          <w:tcPr>
            <w:tcW w:w="672" w:type="dxa"/>
            <w:vMerge/>
            <w:vAlign w:val="center"/>
          </w:tcPr>
          <w:p w:rsidR="00013EC7" w:rsidRDefault="00013EC7">
            <w:pPr>
              <w:jc w:val="center"/>
              <w:rPr>
                <w:rFonts w:ascii="仿宋" w:eastAsia="仿宋" w:hAnsi="仿宋" w:cs="仿宋"/>
                <w:sz w:val="24"/>
              </w:rPr>
            </w:pPr>
          </w:p>
        </w:tc>
        <w:tc>
          <w:tcPr>
            <w:tcW w:w="1035" w:type="dxa"/>
            <w:vMerge/>
            <w:vAlign w:val="center"/>
          </w:tcPr>
          <w:p w:rsidR="00013EC7" w:rsidRDefault="00013EC7">
            <w:pPr>
              <w:jc w:val="center"/>
              <w:rPr>
                <w:rFonts w:ascii="仿宋" w:eastAsia="仿宋" w:hAnsi="仿宋" w:cs="仿宋"/>
                <w:sz w:val="24"/>
              </w:rPr>
            </w:pPr>
          </w:p>
        </w:tc>
        <w:tc>
          <w:tcPr>
            <w:tcW w:w="2622" w:type="dxa"/>
            <w:vMerge/>
            <w:vAlign w:val="center"/>
          </w:tcPr>
          <w:p w:rsidR="00013EC7" w:rsidRDefault="00013EC7">
            <w:pPr>
              <w:jc w:val="center"/>
              <w:rPr>
                <w:rFonts w:ascii="仿宋" w:eastAsia="仿宋" w:hAnsi="仿宋" w:cs="仿宋"/>
                <w:sz w:val="24"/>
              </w:rPr>
            </w:pPr>
          </w:p>
        </w:tc>
        <w:tc>
          <w:tcPr>
            <w:tcW w:w="2977"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材料明细</w:t>
            </w:r>
          </w:p>
        </w:tc>
        <w:tc>
          <w:tcPr>
            <w:tcW w:w="973"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材料来源</w:t>
            </w:r>
          </w:p>
        </w:tc>
        <w:tc>
          <w:tcPr>
            <w:tcW w:w="2987"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材料明细</w:t>
            </w:r>
          </w:p>
        </w:tc>
        <w:tc>
          <w:tcPr>
            <w:tcW w:w="1120"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材料来源</w:t>
            </w:r>
          </w:p>
        </w:tc>
        <w:tc>
          <w:tcPr>
            <w:tcW w:w="2848"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办理方式及材料</w:t>
            </w:r>
          </w:p>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信息获取方式说明</w:t>
            </w:r>
          </w:p>
        </w:tc>
        <w:tc>
          <w:tcPr>
            <w:tcW w:w="868"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优化前</w:t>
            </w:r>
          </w:p>
        </w:tc>
        <w:tc>
          <w:tcPr>
            <w:tcW w:w="910"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优化后</w:t>
            </w:r>
          </w:p>
        </w:tc>
        <w:tc>
          <w:tcPr>
            <w:tcW w:w="846"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rsidTr="00362C3A">
        <w:trPr>
          <w:trHeight w:val="1716"/>
          <w:jc w:val="center"/>
        </w:trPr>
        <w:tc>
          <w:tcPr>
            <w:tcW w:w="672"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3注销登记</w:t>
            </w:r>
          </w:p>
        </w:tc>
        <w:tc>
          <w:tcPr>
            <w:tcW w:w="1035" w:type="dxa"/>
            <w:vMerge w:val="restart"/>
            <w:vAlign w:val="center"/>
          </w:tcPr>
          <w:p w:rsidR="00013EC7" w:rsidRDefault="00575CDB">
            <w:pPr>
              <w:spacing w:line="310" w:lineRule="exact"/>
              <w:jc w:val="left"/>
              <w:rPr>
                <w:rFonts w:ascii="仿宋" w:eastAsia="仿宋" w:hAnsi="仿宋" w:cs="仿宋"/>
                <w:sz w:val="24"/>
              </w:rPr>
            </w:pPr>
            <w:r>
              <w:rPr>
                <w:rFonts w:ascii="仿宋" w:eastAsia="仿宋" w:hAnsi="仿宋" w:cs="仿宋" w:hint="eastAsia"/>
                <w:sz w:val="24"/>
              </w:rPr>
              <w:t>3.2 注销登记（定期定额个体工商户）</w:t>
            </w:r>
          </w:p>
        </w:tc>
        <w:tc>
          <w:tcPr>
            <w:tcW w:w="2622" w:type="dxa"/>
            <w:vMerge w:val="restart"/>
            <w:vAlign w:val="center"/>
          </w:tcPr>
          <w:p w:rsidR="00013EC7" w:rsidRDefault="00575CDB">
            <w:pPr>
              <w:widowControl/>
              <w:jc w:val="left"/>
              <w:rPr>
                <w:rFonts w:ascii="仿宋" w:eastAsia="仿宋" w:hAnsi="仿宋" w:cs="仿宋"/>
                <w:sz w:val="24"/>
              </w:rPr>
            </w:pPr>
            <w:r>
              <w:rPr>
                <w:rFonts w:ascii="仿宋" w:eastAsia="仿宋" w:hAnsi="仿宋" w:cs="仿宋" w:hint="eastAsia"/>
                <w:sz w:val="24"/>
              </w:rPr>
              <w:t>（一）《中华人民共和国税收征收管理法》（2001年中华人民共和国主席令第49号）第十六条。</w:t>
            </w:r>
          </w:p>
          <w:p w:rsidR="00013EC7" w:rsidRDefault="00575CDB">
            <w:pPr>
              <w:widowControl/>
              <w:jc w:val="left"/>
              <w:rPr>
                <w:rFonts w:ascii="仿宋" w:eastAsia="仿宋" w:hAnsi="仿宋" w:cs="仿宋"/>
                <w:sz w:val="24"/>
              </w:rPr>
            </w:pPr>
            <w:r>
              <w:rPr>
                <w:rFonts w:ascii="仿宋" w:eastAsia="仿宋" w:hAnsi="仿宋" w:cs="仿宋" w:hint="eastAsia"/>
                <w:sz w:val="24"/>
              </w:rPr>
              <w:t>（二）《中华人民共和国税收征收管理法实施细则》（2002年中华人民共和国国务院令第362号）第十五条、第十六条。</w:t>
            </w:r>
          </w:p>
          <w:p w:rsidR="00013EC7" w:rsidRDefault="00575CDB">
            <w:pPr>
              <w:widowControl/>
              <w:jc w:val="left"/>
              <w:rPr>
                <w:rFonts w:ascii="仿宋" w:eastAsia="仿宋" w:hAnsi="仿宋" w:cs="仿宋"/>
                <w:sz w:val="24"/>
              </w:rPr>
            </w:pPr>
            <w:r>
              <w:rPr>
                <w:rFonts w:ascii="仿宋" w:eastAsia="仿宋" w:hAnsi="仿宋" w:cs="仿宋" w:hint="eastAsia"/>
                <w:sz w:val="24"/>
              </w:rPr>
              <w:t>（三）《国家税务总局关于修改〈税务登记管理办法〉的决定》（2014年国家税务总局令第36号）第二十八条、第十九条、第三十条、第三十一条。</w:t>
            </w:r>
          </w:p>
          <w:p w:rsidR="00013EC7" w:rsidRDefault="00575CDB">
            <w:pPr>
              <w:widowControl/>
              <w:jc w:val="left"/>
              <w:rPr>
                <w:rFonts w:ascii="仿宋" w:eastAsia="仿宋" w:hAnsi="仿宋" w:cs="仿宋"/>
                <w:sz w:val="24"/>
              </w:rPr>
            </w:pPr>
            <w:r>
              <w:rPr>
                <w:rFonts w:ascii="仿宋" w:eastAsia="仿宋" w:hAnsi="仿宋" w:cs="仿宋" w:hint="eastAsia"/>
                <w:sz w:val="24"/>
              </w:rPr>
              <w:t>（四）《国家税务总局关于进一步完善税务登记管理有关问题的公告》（国家税务总局公告2011年第21号）第二条。</w:t>
            </w:r>
          </w:p>
        </w:tc>
        <w:tc>
          <w:tcPr>
            <w:tcW w:w="2977" w:type="dxa"/>
            <w:vAlign w:val="center"/>
          </w:tcPr>
          <w:p w:rsidR="00013EC7" w:rsidRDefault="00575CDB">
            <w:pPr>
              <w:jc w:val="left"/>
              <w:rPr>
                <w:rFonts w:ascii="仿宋" w:eastAsia="仿宋" w:hAnsi="仿宋" w:cs="仿宋"/>
                <w:sz w:val="24"/>
              </w:rPr>
            </w:pPr>
            <w:r>
              <w:rPr>
                <w:rFonts w:ascii="仿宋" w:eastAsia="仿宋" w:hAnsi="仿宋" w:cs="仿宋" w:hint="eastAsia"/>
                <w:sz w:val="24"/>
              </w:rPr>
              <w:t>（一）（A01013）《注销税务登记申请表》</w:t>
            </w:r>
            <w:r>
              <w:rPr>
                <w:rFonts w:ascii="仿宋" w:eastAsia="仿宋" w:hAnsi="仿宋" w:cs="仿宋" w:hint="eastAsia"/>
                <w:sz w:val="24"/>
                <w:highlight w:val="lightGray"/>
              </w:rPr>
              <w:t>3份</w:t>
            </w:r>
            <w:r>
              <w:rPr>
                <w:rFonts w:ascii="仿宋" w:eastAsia="仿宋" w:hAnsi="仿宋" w:cs="仿宋" w:hint="eastAsia"/>
                <w:sz w:val="24"/>
              </w:rPr>
              <w:t>。</w:t>
            </w:r>
          </w:p>
        </w:tc>
        <w:tc>
          <w:tcPr>
            <w:tcW w:w="973"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纳税人提交</w:t>
            </w:r>
          </w:p>
        </w:tc>
        <w:tc>
          <w:tcPr>
            <w:tcW w:w="2987" w:type="dxa"/>
            <w:vAlign w:val="center"/>
          </w:tcPr>
          <w:p w:rsidR="00013EC7" w:rsidRDefault="00575CDB">
            <w:pPr>
              <w:jc w:val="left"/>
              <w:rPr>
                <w:rFonts w:ascii="仿宋" w:eastAsia="仿宋" w:hAnsi="仿宋" w:cs="仿宋"/>
                <w:sz w:val="24"/>
              </w:rPr>
            </w:pPr>
            <w:r>
              <w:rPr>
                <w:rFonts w:ascii="仿宋" w:eastAsia="仿宋" w:hAnsi="仿宋" w:cs="仿宋" w:hint="eastAsia"/>
                <w:sz w:val="24"/>
              </w:rPr>
              <w:t>（一）（A01013）《注销税务登记申请表》1份。</w:t>
            </w:r>
          </w:p>
        </w:tc>
        <w:tc>
          <w:tcPr>
            <w:tcW w:w="1120" w:type="dxa"/>
            <w:vMerge w:val="restart"/>
            <w:vAlign w:val="center"/>
          </w:tcPr>
          <w:p w:rsidR="00013EC7" w:rsidRDefault="00575CDB">
            <w:pPr>
              <w:spacing w:line="300" w:lineRule="exact"/>
              <w:jc w:val="left"/>
              <w:rPr>
                <w:rFonts w:ascii="仿宋" w:eastAsia="仿宋" w:hAnsi="仿宋" w:cs="仿宋"/>
                <w:b/>
                <w:bCs/>
                <w:i/>
                <w:iCs/>
                <w:sz w:val="24"/>
              </w:rPr>
            </w:pPr>
            <w:r>
              <w:rPr>
                <w:rFonts w:ascii="仿宋" w:eastAsia="仿宋" w:hAnsi="仿宋" w:cs="仿宋" w:hint="eastAsia"/>
                <w:sz w:val="24"/>
              </w:rPr>
              <w:t>纳税人提交</w:t>
            </w:r>
          </w:p>
        </w:tc>
        <w:tc>
          <w:tcPr>
            <w:tcW w:w="2848"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纳税人提交书面材料。</w:t>
            </w:r>
          </w:p>
          <w:p w:rsidR="00013EC7" w:rsidRDefault="00575CDB">
            <w:pPr>
              <w:spacing w:line="300" w:lineRule="exact"/>
              <w:jc w:val="left"/>
              <w:rPr>
                <w:rFonts w:ascii="仿宋" w:eastAsia="仿宋" w:hAnsi="仿宋" w:cs="仿宋"/>
                <w:sz w:val="24"/>
              </w:rPr>
            </w:pPr>
            <w:r>
              <w:rPr>
                <w:rFonts w:ascii="仿宋" w:eastAsia="仿宋" w:hAnsi="仿宋" w:cs="仿宋" w:hint="eastAsia"/>
                <w:b/>
                <w:sz w:val="24"/>
              </w:rPr>
              <w:t>网上办理：</w:t>
            </w:r>
            <w:r>
              <w:rPr>
                <w:rFonts w:ascii="仿宋" w:eastAsia="仿宋" w:hAnsi="仿宋" w:cs="仿宋" w:hint="eastAsia"/>
                <w:sz w:val="24"/>
              </w:rPr>
              <w:t>登录浙江国税电子税务局（网址：</w:t>
            </w:r>
            <w:hyperlink r:id="rId43" w:tgtFrame="https://wx.qq.com/_blank" w:history="1">
              <w:r>
                <w:rPr>
                  <w:rFonts w:ascii="仿宋" w:eastAsia="仿宋" w:hAnsi="仿宋" w:cs="仿宋" w:hint="eastAsia"/>
                  <w:sz w:val="24"/>
                </w:rPr>
                <w:t>http://etax.zjtax.gov.cn/</w:t>
              </w:r>
            </w:hyperlink>
            <w:r>
              <w:rPr>
                <w:rFonts w:ascii="仿宋" w:eastAsia="仿宋" w:hAnsi="仿宋" w:cs="仿宋" w:hint="eastAsia"/>
                <w:sz w:val="24"/>
              </w:rPr>
              <w:t>）提交申请。</w:t>
            </w:r>
          </w:p>
          <w:p w:rsidR="00013EC7" w:rsidRDefault="00575CDB">
            <w:pPr>
              <w:spacing w:line="300" w:lineRule="exact"/>
              <w:jc w:val="left"/>
              <w:rPr>
                <w:rFonts w:ascii="仿宋" w:eastAsia="仿宋" w:hAnsi="仿宋" w:cs="仿宋"/>
                <w:sz w:val="24"/>
              </w:rPr>
            </w:pPr>
            <w:r>
              <w:rPr>
                <w:rFonts w:ascii="仿宋" w:eastAsia="仿宋" w:hAnsi="仿宋" w:cs="仿宋" w:hint="eastAsia"/>
                <w:b/>
                <w:bCs/>
                <w:sz w:val="24"/>
              </w:rPr>
              <w:t>APP办理：</w:t>
            </w:r>
            <w:r w:rsidR="006776D1">
              <w:rPr>
                <w:rFonts w:ascii="仿宋" w:eastAsia="仿宋" w:hAnsi="仿宋" w:cs="仿宋" w:hint="eastAsia"/>
                <w:sz w:val="24"/>
              </w:rPr>
              <w:t>登录浙江国税APP提交申请。</w:t>
            </w:r>
          </w:p>
        </w:tc>
        <w:tc>
          <w:tcPr>
            <w:tcW w:w="868"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5个工作日</w:t>
            </w:r>
          </w:p>
        </w:tc>
        <w:tc>
          <w:tcPr>
            <w:tcW w:w="910"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5个工作日</w:t>
            </w:r>
          </w:p>
        </w:tc>
        <w:tc>
          <w:tcPr>
            <w:tcW w:w="846"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否</w:t>
            </w:r>
          </w:p>
        </w:tc>
        <w:tc>
          <w:tcPr>
            <w:tcW w:w="1104" w:type="dxa"/>
            <w:vMerge w:val="restart"/>
            <w:vAlign w:val="center"/>
          </w:tcPr>
          <w:p w:rsidR="00013EC7" w:rsidRDefault="00575CDB">
            <w:pPr>
              <w:spacing w:line="300" w:lineRule="exact"/>
              <w:jc w:val="left"/>
              <w:rPr>
                <w:rFonts w:ascii="仿宋" w:eastAsia="仿宋" w:hAnsi="仿宋" w:cs="仿宋"/>
                <w:color w:val="000000"/>
                <w:sz w:val="24"/>
              </w:rPr>
            </w:pPr>
            <w:r>
              <w:rPr>
                <w:rFonts w:ascii="仿宋" w:eastAsia="仿宋" w:hAnsi="仿宋" w:cs="仿宋" w:hint="eastAsia"/>
                <w:color w:val="000000"/>
                <w:sz w:val="24"/>
              </w:rPr>
              <w:t>征管科技处</w:t>
            </w:r>
          </w:p>
        </w:tc>
        <w:tc>
          <w:tcPr>
            <w:tcW w:w="1476" w:type="dxa"/>
            <w:vMerge w:val="restart"/>
            <w:vAlign w:val="center"/>
          </w:tcPr>
          <w:p w:rsidR="00013EC7" w:rsidRDefault="00013EC7">
            <w:pPr>
              <w:spacing w:line="300" w:lineRule="exact"/>
              <w:jc w:val="left"/>
              <w:rPr>
                <w:rFonts w:ascii="仿宋" w:eastAsia="仿宋" w:hAnsi="仿宋" w:cs="仿宋"/>
                <w:sz w:val="24"/>
              </w:rPr>
            </w:pPr>
          </w:p>
        </w:tc>
      </w:tr>
      <w:tr w:rsidR="00013EC7" w:rsidTr="00362C3A">
        <w:trPr>
          <w:trHeight w:val="1716"/>
          <w:jc w:val="center"/>
        </w:trPr>
        <w:tc>
          <w:tcPr>
            <w:tcW w:w="672" w:type="dxa"/>
            <w:vMerge/>
            <w:vAlign w:val="center"/>
          </w:tcPr>
          <w:p w:rsidR="00013EC7" w:rsidRDefault="00013EC7">
            <w:pPr>
              <w:spacing w:line="300" w:lineRule="exact"/>
              <w:jc w:val="left"/>
              <w:rPr>
                <w:rFonts w:ascii="仿宋" w:eastAsia="仿宋" w:hAnsi="仿宋" w:cs="仿宋"/>
                <w:sz w:val="24"/>
              </w:rPr>
            </w:pPr>
          </w:p>
        </w:tc>
        <w:tc>
          <w:tcPr>
            <w:tcW w:w="1035" w:type="dxa"/>
            <w:vMerge/>
            <w:vAlign w:val="center"/>
          </w:tcPr>
          <w:p w:rsidR="00013EC7" w:rsidRDefault="00013EC7">
            <w:pPr>
              <w:spacing w:line="310" w:lineRule="exact"/>
              <w:jc w:val="left"/>
              <w:rPr>
                <w:rFonts w:ascii="仿宋" w:eastAsia="仿宋" w:hAnsi="仿宋" w:cs="仿宋"/>
                <w:sz w:val="24"/>
              </w:rPr>
            </w:pPr>
          </w:p>
        </w:tc>
        <w:tc>
          <w:tcPr>
            <w:tcW w:w="2622" w:type="dxa"/>
            <w:vMerge/>
            <w:vAlign w:val="center"/>
          </w:tcPr>
          <w:p w:rsidR="00013EC7" w:rsidRDefault="00013EC7">
            <w:pPr>
              <w:widowControl/>
              <w:jc w:val="left"/>
              <w:rPr>
                <w:rFonts w:ascii="仿宋" w:eastAsia="仿宋" w:hAnsi="仿宋" w:cs="仿宋"/>
                <w:sz w:val="24"/>
              </w:rPr>
            </w:pPr>
          </w:p>
        </w:tc>
        <w:tc>
          <w:tcPr>
            <w:tcW w:w="2977" w:type="dxa"/>
            <w:vAlign w:val="center"/>
          </w:tcPr>
          <w:p w:rsidR="00013EC7" w:rsidRDefault="00575CDB">
            <w:pPr>
              <w:jc w:val="left"/>
              <w:rPr>
                <w:rFonts w:ascii="仿宋" w:eastAsia="仿宋" w:hAnsi="仿宋" w:cs="仿宋"/>
                <w:sz w:val="24"/>
              </w:rPr>
            </w:pPr>
            <w:r>
              <w:rPr>
                <w:rFonts w:ascii="仿宋" w:eastAsia="仿宋" w:hAnsi="仿宋" w:cs="仿宋" w:hint="eastAsia"/>
                <w:sz w:val="24"/>
              </w:rPr>
              <w:t>（二）税务登记证及其副本和其他税务证件。</w:t>
            </w:r>
          </w:p>
        </w:tc>
        <w:tc>
          <w:tcPr>
            <w:tcW w:w="973" w:type="dxa"/>
            <w:vMerge/>
            <w:vAlign w:val="center"/>
          </w:tcPr>
          <w:p w:rsidR="00013EC7" w:rsidRDefault="00013EC7">
            <w:pPr>
              <w:spacing w:line="300" w:lineRule="exact"/>
              <w:jc w:val="left"/>
              <w:rPr>
                <w:rFonts w:ascii="仿宋" w:eastAsia="仿宋" w:hAnsi="仿宋" w:cs="仿宋"/>
                <w:sz w:val="24"/>
              </w:rPr>
            </w:pPr>
          </w:p>
        </w:tc>
        <w:tc>
          <w:tcPr>
            <w:tcW w:w="2987" w:type="dxa"/>
            <w:vAlign w:val="center"/>
          </w:tcPr>
          <w:p w:rsidR="00013EC7" w:rsidRDefault="00575CDB">
            <w:pPr>
              <w:jc w:val="left"/>
              <w:rPr>
                <w:rFonts w:ascii="仿宋" w:eastAsia="仿宋" w:hAnsi="仿宋" w:cs="仿宋"/>
                <w:sz w:val="24"/>
              </w:rPr>
            </w:pPr>
            <w:r>
              <w:rPr>
                <w:rFonts w:ascii="仿宋" w:eastAsia="仿宋" w:hAnsi="仿宋" w:cs="仿宋" w:hint="eastAsia"/>
                <w:sz w:val="24"/>
              </w:rPr>
              <w:t>（二）税务登记证及其副本和其他税务证件。</w:t>
            </w:r>
          </w:p>
        </w:tc>
        <w:tc>
          <w:tcPr>
            <w:tcW w:w="1120" w:type="dxa"/>
            <w:vMerge/>
            <w:vAlign w:val="center"/>
          </w:tcPr>
          <w:p w:rsidR="00013EC7" w:rsidRDefault="00013EC7">
            <w:pPr>
              <w:spacing w:line="300" w:lineRule="exact"/>
              <w:jc w:val="left"/>
              <w:rPr>
                <w:rFonts w:ascii="仿宋" w:eastAsia="仿宋" w:hAnsi="仿宋" w:cs="仿宋"/>
                <w:sz w:val="24"/>
              </w:rPr>
            </w:pPr>
          </w:p>
        </w:tc>
        <w:tc>
          <w:tcPr>
            <w:tcW w:w="2848" w:type="dxa"/>
            <w:vMerge/>
            <w:vAlign w:val="center"/>
          </w:tcPr>
          <w:p w:rsidR="00013EC7" w:rsidRDefault="00013EC7">
            <w:pPr>
              <w:spacing w:line="300" w:lineRule="exact"/>
              <w:jc w:val="left"/>
              <w:rPr>
                <w:rFonts w:ascii="仿宋" w:eastAsia="仿宋" w:hAnsi="仿宋" w:cs="仿宋"/>
                <w:sz w:val="24"/>
              </w:rPr>
            </w:pPr>
          </w:p>
        </w:tc>
        <w:tc>
          <w:tcPr>
            <w:tcW w:w="868" w:type="dxa"/>
            <w:vMerge/>
            <w:vAlign w:val="center"/>
          </w:tcPr>
          <w:p w:rsidR="00013EC7" w:rsidRDefault="00013EC7">
            <w:pPr>
              <w:spacing w:line="300" w:lineRule="exact"/>
              <w:jc w:val="left"/>
              <w:rPr>
                <w:rFonts w:ascii="仿宋" w:eastAsia="仿宋" w:hAnsi="仿宋" w:cs="仿宋"/>
                <w:sz w:val="24"/>
              </w:rPr>
            </w:pPr>
          </w:p>
        </w:tc>
        <w:tc>
          <w:tcPr>
            <w:tcW w:w="910" w:type="dxa"/>
            <w:vMerge/>
            <w:vAlign w:val="center"/>
          </w:tcPr>
          <w:p w:rsidR="00013EC7" w:rsidRDefault="00013EC7">
            <w:pPr>
              <w:spacing w:line="300" w:lineRule="exact"/>
              <w:jc w:val="left"/>
              <w:rPr>
                <w:rFonts w:ascii="仿宋" w:eastAsia="仿宋" w:hAnsi="仿宋" w:cs="仿宋"/>
                <w:sz w:val="24"/>
              </w:rPr>
            </w:pPr>
          </w:p>
        </w:tc>
        <w:tc>
          <w:tcPr>
            <w:tcW w:w="846" w:type="dxa"/>
            <w:vMerge/>
            <w:vAlign w:val="center"/>
          </w:tcPr>
          <w:p w:rsidR="00013EC7" w:rsidRDefault="00013EC7">
            <w:pPr>
              <w:spacing w:line="300" w:lineRule="exact"/>
              <w:jc w:val="left"/>
              <w:rPr>
                <w:rFonts w:ascii="仿宋" w:eastAsia="仿宋" w:hAnsi="仿宋" w:cs="仿宋"/>
                <w:sz w:val="24"/>
              </w:rPr>
            </w:pPr>
          </w:p>
        </w:tc>
        <w:tc>
          <w:tcPr>
            <w:tcW w:w="1104" w:type="dxa"/>
            <w:vMerge/>
            <w:vAlign w:val="center"/>
          </w:tcPr>
          <w:p w:rsidR="00013EC7" w:rsidRDefault="00013EC7">
            <w:pPr>
              <w:spacing w:line="300" w:lineRule="exact"/>
              <w:jc w:val="left"/>
              <w:rPr>
                <w:rFonts w:ascii="仿宋" w:eastAsia="仿宋" w:hAnsi="仿宋" w:cs="仿宋"/>
                <w:color w:val="000000"/>
                <w:sz w:val="24"/>
              </w:rPr>
            </w:pPr>
          </w:p>
        </w:tc>
        <w:tc>
          <w:tcPr>
            <w:tcW w:w="1476" w:type="dxa"/>
            <w:vMerge/>
            <w:vAlign w:val="center"/>
          </w:tcPr>
          <w:p w:rsidR="00013EC7" w:rsidRDefault="00013EC7">
            <w:pPr>
              <w:spacing w:line="300" w:lineRule="exact"/>
              <w:jc w:val="left"/>
              <w:rPr>
                <w:rFonts w:ascii="仿宋" w:eastAsia="仿宋" w:hAnsi="仿宋" w:cs="仿宋"/>
                <w:sz w:val="24"/>
              </w:rPr>
            </w:pPr>
          </w:p>
        </w:tc>
      </w:tr>
      <w:tr w:rsidR="00013EC7" w:rsidTr="00362C3A">
        <w:trPr>
          <w:trHeight w:val="1716"/>
          <w:jc w:val="center"/>
        </w:trPr>
        <w:tc>
          <w:tcPr>
            <w:tcW w:w="672" w:type="dxa"/>
            <w:vMerge/>
            <w:vAlign w:val="center"/>
          </w:tcPr>
          <w:p w:rsidR="00013EC7" w:rsidRDefault="00013EC7">
            <w:pPr>
              <w:spacing w:line="300" w:lineRule="exact"/>
              <w:jc w:val="left"/>
              <w:rPr>
                <w:rFonts w:ascii="仿宋" w:eastAsia="仿宋" w:hAnsi="仿宋" w:cs="仿宋"/>
                <w:sz w:val="24"/>
              </w:rPr>
            </w:pPr>
          </w:p>
        </w:tc>
        <w:tc>
          <w:tcPr>
            <w:tcW w:w="1035" w:type="dxa"/>
            <w:vMerge/>
            <w:vAlign w:val="center"/>
          </w:tcPr>
          <w:p w:rsidR="00013EC7" w:rsidRDefault="00013EC7">
            <w:pPr>
              <w:spacing w:line="310" w:lineRule="exact"/>
              <w:jc w:val="left"/>
              <w:rPr>
                <w:rFonts w:ascii="仿宋" w:eastAsia="仿宋" w:hAnsi="仿宋" w:cs="仿宋"/>
                <w:sz w:val="24"/>
              </w:rPr>
            </w:pPr>
          </w:p>
        </w:tc>
        <w:tc>
          <w:tcPr>
            <w:tcW w:w="2622" w:type="dxa"/>
            <w:vMerge/>
            <w:vAlign w:val="center"/>
          </w:tcPr>
          <w:p w:rsidR="00013EC7" w:rsidRDefault="00013EC7">
            <w:pPr>
              <w:widowControl/>
              <w:jc w:val="left"/>
              <w:rPr>
                <w:rFonts w:ascii="仿宋" w:eastAsia="仿宋" w:hAnsi="仿宋" w:cs="仿宋"/>
                <w:sz w:val="24"/>
              </w:rPr>
            </w:pPr>
          </w:p>
        </w:tc>
        <w:tc>
          <w:tcPr>
            <w:tcW w:w="2977" w:type="dxa"/>
            <w:vAlign w:val="center"/>
          </w:tcPr>
          <w:p w:rsidR="00013EC7" w:rsidRDefault="00575CDB">
            <w:pPr>
              <w:jc w:val="left"/>
              <w:rPr>
                <w:rFonts w:ascii="仿宋" w:eastAsia="仿宋" w:hAnsi="仿宋" w:cs="仿宋"/>
                <w:sz w:val="24"/>
              </w:rPr>
            </w:pPr>
            <w:r>
              <w:rPr>
                <w:rFonts w:ascii="仿宋" w:eastAsia="仿宋" w:hAnsi="仿宋" w:cs="仿宋" w:hint="eastAsia"/>
                <w:sz w:val="24"/>
              </w:rPr>
              <w:t>（三）（A02009）《发票领用簿》及未验旧、未使用的发票。</w:t>
            </w:r>
          </w:p>
        </w:tc>
        <w:tc>
          <w:tcPr>
            <w:tcW w:w="973" w:type="dxa"/>
            <w:vMerge/>
            <w:vAlign w:val="center"/>
          </w:tcPr>
          <w:p w:rsidR="00013EC7" w:rsidRDefault="00013EC7">
            <w:pPr>
              <w:spacing w:line="300" w:lineRule="exact"/>
              <w:jc w:val="left"/>
              <w:rPr>
                <w:rFonts w:ascii="仿宋" w:eastAsia="仿宋" w:hAnsi="仿宋" w:cs="仿宋"/>
                <w:sz w:val="24"/>
              </w:rPr>
            </w:pPr>
          </w:p>
        </w:tc>
        <w:tc>
          <w:tcPr>
            <w:tcW w:w="2987" w:type="dxa"/>
            <w:vAlign w:val="center"/>
          </w:tcPr>
          <w:p w:rsidR="00013EC7" w:rsidRDefault="00575CDB">
            <w:pPr>
              <w:jc w:val="left"/>
              <w:rPr>
                <w:rFonts w:ascii="仿宋" w:eastAsia="仿宋" w:hAnsi="仿宋" w:cs="仿宋"/>
                <w:sz w:val="24"/>
              </w:rPr>
            </w:pPr>
            <w:r>
              <w:rPr>
                <w:rFonts w:ascii="仿宋" w:eastAsia="仿宋" w:hAnsi="仿宋" w:cs="仿宋" w:hint="eastAsia"/>
                <w:sz w:val="24"/>
              </w:rPr>
              <w:t>（三）（A02009）《发票领用簿》及未验旧、未使用的发票。</w:t>
            </w:r>
          </w:p>
        </w:tc>
        <w:tc>
          <w:tcPr>
            <w:tcW w:w="1120" w:type="dxa"/>
            <w:vMerge/>
            <w:vAlign w:val="center"/>
          </w:tcPr>
          <w:p w:rsidR="00013EC7" w:rsidRDefault="00013EC7">
            <w:pPr>
              <w:spacing w:line="300" w:lineRule="exact"/>
              <w:jc w:val="left"/>
              <w:rPr>
                <w:rFonts w:ascii="仿宋" w:eastAsia="仿宋" w:hAnsi="仿宋" w:cs="仿宋"/>
                <w:sz w:val="24"/>
              </w:rPr>
            </w:pPr>
          </w:p>
        </w:tc>
        <w:tc>
          <w:tcPr>
            <w:tcW w:w="2848" w:type="dxa"/>
            <w:vMerge/>
            <w:vAlign w:val="center"/>
          </w:tcPr>
          <w:p w:rsidR="00013EC7" w:rsidRDefault="00013EC7">
            <w:pPr>
              <w:spacing w:line="300" w:lineRule="exact"/>
              <w:jc w:val="left"/>
              <w:rPr>
                <w:rFonts w:ascii="仿宋" w:eastAsia="仿宋" w:hAnsi="仿宋" w:cs="仿宋"/>
                <w:sz w:val="24"/>
              </w:rPr>
            </w:pPr>
          </w:p>
        </w:tc>
        <w:tc>
          <w:tcPr>
            <w:tcW w:w="868" w:type="dxa"/>
            <w:vMerge/>
            <w:vAlign w:val="center"/>
          </w:tcPr>
          <w:p w:rsidR="00013EC7" w:rsidRDefault="00013EC7">
            <w:pPr>
              <w:spacing w:line="300" w:lineRule="exact"/>
              <w:jc w:val="left"/>
              <w:rPr>
                <w:rFonts w:ascii="仿宋" w:eastAsia="仿宋" w:hAnsi="仿宋" w:cs="仿宋"/>
                <w:sz w:val="24"/>
              </w:rPr>
            </w:pPr>
          </w:p>
        </w:tc>
        <w:tc>
          <w:tcPr>
            <w:tcW w:w="910" w:type="dxa"/>
            <w:vMerge/>
            <w:vAlign w:val="center"/>
          </w:tcPr>
          <w:p w:rsidR="00013EC7" w:rsidRDefault="00013EC7">
            <w:pPr>
              <w:spacing w:line="300" w:lineRule="exact"/>
              <w:jc w:val="left"/>
              <w:rPr>
                <w:rFonts w:ascii="仿宋" w:eastAsia="仿宋" w:hAnsi="仿宋" w:cs="仿宋"/>
                <w:sz w:val="24"/>
              </w:rPr>
            </w:pPr>
          </w:p>
        </w:tc>
        <w:tc>
          <w:tcPr>
            <w:tcW w:w="846" w:type="dxa"/>
            <w:vMerge/>
            <w:vAlign w:val="center"/>
          </w:tcPr>
          <w:p w:rsidR="00013EC7" w:rsidRDefault="00013EC7">
            <w:pPr>
              <w:spacing w:line="300" w:lineRule="exact"/>
              <w:jc w:val="left"/>
              <w:rPr>
                <w:rFonts w:ascii="仿宋" w:eastAsia="仿宋" w:hAnsi="仿宋" w:cs="仿宋"/>
                <w:sz w:val="24"/>
              </w:rPr>
            </w:pPr>
          </w:p>
        </w:tc>
        <w:tc>
          <w:tcPr>
            <w:tcW w:w="1104" w:type="dxa"/>
            <w:vMerge/>
            <w:vAlign w:val="center"/>
          </w:tcPr>
          <w:p w:rsidR="00013EC7" w:rsidRDefault="00013EC7">
            <w:pPr>
              <w:spacing w:line="300" w:lineRule="exact"/>
              <w:jc w:val="left"/>
              <w:rPr>
                <w:rFonts w:ascii="仿宋" w:eastAsia="仿宋" w:hAnsi="仿宋" w:cs="仿宋"/>
                <w:color w:val="000000"/>
                <w:sz w:val="24"/>
              </w:rPr>
            </w:pPr>
          </w:p>
        </w:tc>
        <w:tc>
          <w:tcPr>
            <w:tcW w:w="1476" w:type="dxa"/>
            <w:vMerge/>
            <w:vAlign w:val="center"/>
          </w:tcPr>
          <w:p w:rsidR="00013EC7" w:rsidRDefault="00013EC7">
            <w:pPr>
              <w:spacing w:line="300" w:lineRule="exact"/>
              <w:jc w:val="left"/>
              <w:rPr>
                <w:rFonts w:ascii="仿宋" w:eastAsia="仿宋" w:hAnsi="仿宋" w:cs="仿宋"/>
                <w:sz w:val="24"/>
              </w:rPr>
            </w:pPr>
          </w:p>
        </w:tc>
      </w:tr>
      <w:tr w:rsidR="00013EC7" w:rsidTr="00362C3A">
        <w:trPr>
          <w:trHeight w:val="1716"/>
          <w:jc w:val="center"/>
        </w:trPr>
        <w:tc>
          <w:tcPr>
            <w:tcW w:w="672" w:type="dxa"/>
            <w:vMerge/>
            <w:vAlign w:val="center"/>
          </w:tcPr>
          <w:p w:rsidR="00013EC7" w:rsidRDefault="00013EC7">
            <w:pPr>
              <w:spacing w:line="300" w:lineRule="exact"/>
              <w:jc w:val="left"/>
              <w:rPr>
                <w:rFonts w:ascii="仿宋" w:eastAsia="仿宋" w:hAnsi="仿宋" w:cs="仿宋"/>
                <w:sz w:val="24"/>
              </w:rPr>
            </w:pPr>
          </w:p>
        </w:tc>
        <w:tc>
          <w:tcPr>
            <w:tcW w:w="1035" w:type="dxa"/>
            <w:vMerge/>
            <w:vAlign w:val="center"/>
          </w:tcPr>
          <w:p w:rsidR="00013EC7" w:rsidRDefault="00013EC7">
            <w:pPr>
              <w:spacing w:line="310" w:lineRule="exact"/>
              <w:jc w:val="left"/>
              <w:rPr>
                <w:rFonts w:ascii="仿宋" w:eastAsia="仿宋" w:hAnsi="仿宋" w:cs="仿宋"/>
                <w:sz w:val="24"/>
              </w:rPr>
            </w:pPr>
          </w:p>
        </w:tc>
        <w:tc>
          <w:tcPr>
            <w:tcW w:w="2622" w:type="dxa"/>
            <w:vMerge/>
            <w:vAlign w:val="center"/>
          </w:tcPr>
          <w:p w:rsidR="00013EC7" w:rsidRDefault="00013EC7">
            <w:pPr>
              <w:widowControl/>
              <w:jc w:val="left"/>
              <w:rPr>
                <w:rFonts w:ascii="仿宋" w:eastAsia="仿宋" w:hAnsi="仿宋" w:cs="仿宋"/>
                <w:sz w:val="24"/>
              </w:rPr>
            </w:pPr>
          </w:p>
        </w:tc>
        <w:tc>
          <w:tcPr>
            <w:tcW w:w="2977"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（四）使用增值税税控系统的增值税纳税人应提供金税盘、税控盘和报税盘，或者提供金税卡和IC卡。</w:t>
            </w:r>
          </w:p>
        </w:tc>
        <w:tc>
          <w:tcPr>
            <w:tcW w:w="973" w:type="dxa"/>
            <w:vMerge/>
            <w:vAlign w:val="center"/>
          </w:tcPr>
          <w:p w:rsidR="00013EC7" w:rsidRDefault="00013EC7">
            <w:pPr>
              <w:spacing w:line="300" w:lineRule="exact"/>
              <w:jc w:val="left"/>
              <w:rPr>
                <w:rFonts w:ascii="仿宋" w:eastAsia="仿宋" w:hAnsi="仿宋" w:cs="仿宋"/>
                <w:sz w:val="24"/>
              </w:rPr>
            </w:pPr>
          </w:p>
        </w:tc>
        <w:tc>
          <w:tcPr>
            <w:tcW w:w="2987"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（四）使用增值税税控系统的增值税纳税人应提供金税盘、税控盘和报税盘，或者提供金税卡和IC卡。</w:t>
            </w:r>
          </w:p>
        </w:tc>
        <w:tc>
          <w:tcPr>
            <w:tcW w:w="1120" w:type="dxa"/>
            <w:vMerge/>
            <w:vAlign w:val="center"/>
          </w:tcPr>
          <w:p w:rsidR="00013EC7" w:rsidRDefault="00013EC7">
            <w:pPr>
              <w:spacing w:line="300" w:lineRule="exact"/>
              <w:jc w:val="left"/>
              <w:rPr>
                <w:rFonts w:ascii="仿宋" w:eastAsia="仿宋" w:hAnsi="仿宋" w:cs="仿宋"/>
                <w:sz w:val="24"/>
              </w:rPr>
            </w:pPr>
          </w:p>
        </w:tc>
        <w:tc>
          <w:tcPr>
            <w:tcW w:w="2848" w:type="dxa"/>
            <w:vMerge/>
            <w:vAlign w:val="center"/>
          </w:tcPr>
          <w:p w:rsidR="00013EC7" w:rsidRDefault="00013EC7">
            <w:pPr>
              <w:spacing w:line="300" w:lineRule="exact"/>
              <w:jc w:val="left"/>
              <w:rPr>
                <w:rFonts w:ascii="仿宋" w:eastAsia="仿宋" w:hAnsi="仿宋" w:cs="仿宋"/>
                <w:sz w:val="24"/>
              </w:rPr>
            </w:pPr>
          </w:p>
        </w:tc>
        <w:tc>
          <w:tcPr>
            <w:tcW w:w="868" w:type="dxa"/>
            <w:vMerge/>
            <w:vAlign w:val="center"/>
          </w:tcPr>
          <w:p w:rsidR="00013EC7" w:rsidRDefault="00013EC7">
            <w:pPr>
              <w:spacing w:line="300" w:lineRule="exact"/>
              <w:jc w:val="left"/>
              <w:rPr>
                <w:rFonts w:ascii="仿宋" w:eastAsia="仿宋" w:hAnsi="仿宋" w:cs="仿宋"/>
                <w:sz w:val="24"/>
              </w:rPr>
            </w:pPr>
          </w:p>
        </w:tc>
        <w:tc>
          <w:tcPr>
            <w:tcW w:w="910" w:type="dxa"/>
            <w:vMerge/>
            <w:vAlign w:val="center"/>
          </w:tcPr>
          <w:p w:rsidR="00013EC7" w:rsidRDefault="00013EC7">
            <w:pPr>
              <w:spacing w:line="300" w:lineRule="exact"/>
              <w:jc w:val="left"/>
              <w:rPr>
                <w:rFonts w:ascii="仿宋" w:eastAsia="仿宋" w:hAnsi="仿宋" w:cs="仿宋"/>
                <w:sz w:val="24"/>
              </w:rPr>
            </w:pPr>
          </w:p>
        </w:tc>
        <w:tc>
          <w:tcPr>
            <w:tcW w:w="846" w:type="dxa"/>
            <w:vMerge/>
            <w:vAlign w:val="center"/>
          </w:tcPr>
          <w:p w:rsidR="00013EC7" w:rsidRDefault="00013EC7">
            <w:pPr>
              <w:spacing w:line="300" w:lineRule="exact"/>
              <w:jc w:val="left"/>
              <w:rPr>
                <w:rFonts w:ascii="仿宋" w:eastAsia="仿宋" w:hAnsi="仿宋" w:cs="仿宋"/>
                <w:sz w:val="24"/>
              </w:rPr>
            </w:pPr>
          </w:p>
        </w:tc>
        <w:tc>
          <w:tcPr>
            <w:tcW w:w="1104" w:type="dxa"/>
            <w:vMerge/>
            <w:vAlign w:val="center"/>
          </w:tcPr>
          <w:p w:rsidR="00013EC7" w:rsidRDefault="00013EC7">
            <w:pPr>
              <w:spacing w:line="300" w:lineRule="exact"/>
              <w:jc w:val="left"/>
              <w:rPr>
                <w:rFonts w:ascii="仿宋" w:eastAsia="仿宋" w:hAnsi="仿宋" w:cs="仿宋"/>
                <w:color w:val="000000"/>
                <w:sz w:val="24"/>
              </w:rPr>
            </w:pPr>
          </w:p>
        </w:tc>
        <w:tc>
          <w:tcPr>
            <w:tcW w:w="1476" w:type="dxa"/>
            <w:vMerge/>
            <w:vAlign w:val="center"/>
          </w:tcPr>
          <w:p w:rsidR="00013EC7" w:rsidRDefault="00013EC7">
            <w:pPr>
              <w:spacing w:line="300" w:lineRule="exact"/>
              <w:jc w:val="left"/>
              <w:rPr>
                <w:rFonts w:ascii="仿宋" w:eastAsia="仿宋" w:hAnsi="仿宋" w:cs="仿宋"/>
                <w:sz w:val="24"/>
              </w:rPr>
            </w:pPr>
          </w:p>
        </w:tc>
      </w:tr>
      <w:tr w:rsidR="00013EC7" w:rsidTr="00362C3A">
        <w:trPr>
          <w:trHeight w:val="1716"/>
          <w:jc w:val="center"/>
        </w:trPr>
        <w:tc>
          <w:tcPr>
            <w:tcW w:w="672" w:type="dxa"/>
            <w:vMerge/>
            <w:vAlign w:val="center"/>
          </w:tcPr>
          <w:p w:rsidR="00013EC7" w:rsidRDefault="00013EC7">
            <w:pPr>
              <w:spacing w:line="300" w:lineRule="exact"/>
              <w:jc w:val="left"/>
              <w:rPr>
                <w:rFonts w:ascii="仿宋" w:eastAsia="仿宋" w:hAnsi="仿宋" w:cs="仿宋"/>
                <w:sz w:val="24"/>
              </w:rPr>
            </w:pPr>
          </w:p>
        </w:tc>
        <w:tc>
          <w:tcPr>
            <w:tcW w:w="1035" w:type="dxa"/>
            <w:vMerge/>
            <w:vAlign w:val="center"/>
          </w:tcPr>
          <w:p w:rsidR="00013EC7" w:rsidRDefault="00013EC7">
            <w:pPr>
              <w:spacing w:line="310" w:lineRule="exact"/>
              <w:jc w:val="left"/>
              <w:rPr>
                <w:rFonts w:ascii="仿宋" w:eastAsia="仿宋" w:hAnsi="仿宋" w:cs="仿宋"/>
                <w:sz w:val="24"/>
              </w:rPr>
            </w:pPr>
          </w:p>
        </w:tc>
        <w:tc>
          <w:tcPr>
            <w:tcW w:w="2622" w:type="dxa"/>
            <w:vMerge/>
            <w:vAlign w:val="center"/>
          </w:tcPr>
          <w:p w:rsidR="00013EC7" w:rsidRDefault="00013EC7">
            <w:pPr>
              <w:widowControl/>
              <w:jc w:val="left"/>
              <w:rPr>
                <w:rFonts w:ascii="仿宋" w:eastAsia="仿宋" w:hAnsi="仿宋" w:cs="仿宋"/>
                <w:sz w:val="24"/>
              </w:rPr>
            </w:pPr>
          </w:p>
        </w:tc>
        <w:tc>
          <w:tcPr>
            <w:tcW w:w="2977"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（五）工商行政管理机关发出的吊销工商营业执照决定</w:t>
            </w:r>
            <w:r>
              <w:rPr>
                <w:rFonts w:ascii="仿宋" w:eastAsia="仿宋" w:hAnsi="仿宋" w:cs="仿宋" w:hint="eastAsia"/>
                <w:sz w:val="24"/>
                <w:highlight w:val="lightGray"/>
              </w:rPr>
              <w:t>原件及</w:t>
            </w:r>
            <w:r>
              <w:rPr>
                <w:rFonts w:ascii="仿宋" w:eastAsia="仿宋" w:hAnsi="仿宋" w:cs="仿宋" w:hint="eastAsia"/>
                <w:sz w:val="24"/>
              </w:rPr>
              <w:t>复印件。</w:t>
            </w:r>
          </w:p>
        </w:tc>
        <w:tc>
          <w:tcPr>
            <w:tcW w:w="973" w:type="dxa"/>
            <w:vMerge/>
            <w:vAlign w:val="center"/>
          </w:tcPr>
          <w:p w:rsidR="00013EC7" w:rsidRDefault="00013EC7">
            <w:pPr>
              <w:spacing w:line="300" w:lineRule="exact"/>
              <w:jc w:val="left"/>
              <w:rPr>
                <w:rFonts w:ascii="仿宋" w:eastAsia="仿宋" w:hAnsi="仿宋" w:cs="仿宋"/>
                <w:sz w:val="24"/>
              </w:rPr>
            </w:pPr>
          </w:p>
        </w:tc>
        <w:tc>
          <w:tcPr>
            <w:tcW w:w="2987"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（五）工商营业执照被吊销的应提交工商行政管理部门发出的吊销决定信息。</w:t>
            </w:r>
          </w:p>
        </w:tc>
        <w:tc>
          <w:tcPr>
            <w:tcW w:w="1120" w:type="dxa"/>
            <w:vAlign w:val="center"/>
          </w:tcPr>
          <w:p w:rsidR="00013EC7" w:rsidRDefault="00575CDB">
            <w:pPr>
              <w:spacing w:line="300" w:lineRule="exact"/>
              <w:jc w:val="left"/>
              <w:rPr>
                <w:rFonts w:ascii="仿宋" w:eastAsia="仿宋" w:hAnsi="仿宋" w:cs="仿宋"/>
                <w:b/>
                <w:bCs/>
                <w:i/>
                <w:iCs/>
                <w:sz w:val="24"/>
              </w:rPr>
            </w:pPr>
            <w:r>
              <w:rPr>
                <w:rFonts w:ascii="仿宋" w:eastAsia="仿宋" w:hAnsi="仿宋" w:cs="仿宋" w:hint="eastAsia"/>
                <w:b/>
                <w:bCs/>
                <w:i/>
                <w:iCs/>
                <w:sz w:val="24"/>
              </w:rPr>
              <w:t>经办机构</w:t>
            </w:r>
          </w:p>
          <w:p w:rsidR="00013EC7" w:rsidRDefault="00575CDB">
            <w:pPr>
              <w:spacing w:line="300" w:lineRule="exact"/>
              <w:jc w:val="left"/>
              <w:rPr>
                <w:rFonts w:ascii="仿宋" w:eastAsia="仿宋" w:hAnsi="仿宋" w:cs="仿宋"/>
                <w:sz w:val="24"/>
              </w:rPr>
            </w:pPr>
            <w:r>
              <w:rPr>
                <w:rFonts w:ascii="仿宋" w:eastAsia="仿宋" w:hAnsi="仿宋" w:cs="仿宋" w:hint="eastAsia"/>
                <w:b/>
                <w:bCs/>
                <w:i/>
                <w:iCs/>
                <w:sz w:val="24"/>
              </w:rPr>
              <w:t>自行获取</w:t>
            </w:r>
          </w:p>
        </w:tc>
        <w:tc>
          <w:tcPr>
            <w:tcW w:w="2848"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b/>
                <w:bCs/>
                <w:sz w:val="24"/>
              </w:rPr>
              <w:t>外部共享：</w:t>
            </w:r>
            <w:r>
              <w:rPr>
                <w:rFonts w:ascii="仿宋" w:eastAsia="仿宋" w:hAnsi="仿宋" w:cs="仿宋" w:hint="eastAsia"/>
                <w:sz w:val="24"/>
              </w:rPr>
              <w:t>由省工商局提供共享。</w:t>
            </w:r>
          </w:p>
        </w:tc>
        <w:tc>
          <w:tcPr>
            <w:tcW w:w="868" w:type="dxa"/>
            <w:vMerge/>
            <w:vAlign w:val="center"/>
          </w:tcPr>
          <w:p w:rsidR="00013EC7" w:rsidRDefault="00013EC7">
            <w:pPr>
              <w:spacing w:line="300" w:lineRule="exact"/>
              <w:jc w:val="left"/>
              <w:rPr>
                <w:rFonts w:ascii="仿宋" w:eastAsia="仿宋" w:hAnsi="仿宋" w:cs="仿宋"/>
                <w:sz w:val="24"/>
              </w:rPr>
            </w:pPr>
          </w:p>
        </w:tc>
        <w:tc>
          <w:tcPr>
            <w:tcW w:w="910" w:type="dxa"/>
            <w:vMerge/>
            <w:vAlign w:val="center"/>
          </w:tcPr>
          <w:p w:rsidR="00013EC7" w:rsidRDefault="00013EC7">
            <w:pPr>
              <w:spacing w:line="300" w:lineRule="exact"/>
              <w:jc w:val="left"/>
              <w:rPr>
                <w:rFonts w:ascii="仿宋" w:eastAsia="仿宋" w:hAnsi="仿宋" w:cs="仿宋"/>
                <w:sz w:val="24"/>
              </w:rPr>
            </w:pPr>
          </w:p>
        </w:tc>
        <w:tc>
          <w:tcPr>
            <w:tcW w:w="846" w:type="dxa"/>
            <w:vMerge/>
            <w:vAlign w:val="center"/>
          </w:tcPr>
          <w:p w:rsidR="00013EC7" w:rsidRDefault="00013EC7">
            <w:pPr>
              <w:spacing w:line="300" w:lineRule="exact"/>
              <w:jc w:val="left"/>
              <w:rPr>
                <w:rFonts w:ascii="仿宋" w:eastAsia="仿宋" w:hAnsi="仿宋" w:cs="仿宋"/>
                <w:sz w:val="24"/>
              </w:rPr>
            </w:pPr>
          </w:p>
        </w:tc>
        <w:tc>
          <w:tcPr>
            <w:tcW w:w="1104" w:type="dxa"/>
            <w:vMerge/>
            <w:vAlign w:val="center"/>
          </w:tcPr>
          <w:p w:rsidR="00013EC7" w:rsidRDefault="00013EC7">
            <w:pPr>
              <w:spacing w:line="300" w:lineRule="exact"/>
              <w:jc w:val="left"/>
              <w:rPr>
                <w:rFonts w:ascii="仿宋" w:eastAsia="仿宋" w:hAnsi="仿宋" w:cs="仿宋"/>
                <w:color w:val="000000"/>
                <w:sz w:val="24"/>
              </w:rPr>
            </w:pPr>
          </w:p>
        </w:tc>
        <w:tc>
          <w:tcPr>
            <w:tcW w:w="1476" w:type="dxa"/>
            <w:vMerge/>
            <w:vAlign w:val="center"/>
          </w:tcPr>
          <w:p w:rsidR="00013EC7" w:rsidRDefault="00013EC7">
            <w:pPr>
              <w:spacing w:line="300" w:lineRule="exact"/>
              <w:jc w:val="left"/>
              <w:rPr>
                <w:rFonts w:ascii="仿宋" w:eastAsia="仿宋" w:hAnsi="仿宋" w:cs="仿宋"/>
                <w:sz w:val="24"/>
              </w:rPr>
            </w:pPr>
          </w:p>
        </w:tc>
      </w:tr>
    </w:tbl>
    <w:p w:rsidR="00013EC7" w:rsidRDefault="00013EC7">
      <w:pPr>
        <w:jc w:val="left"/>
        <w:rPr>
          <w:rFonts w:eastAsia="方正书宋简体"/>
          <w:sz w:val="24"/>
        </w:rPr>
      </w:pPr>
    </w:p>
    <w:p w:rsidR="00013EC7" w:rsidRDefault="00013EC7">
      <w:pPr>
        <w:rPr>
          <w:rFonts w:eastAsia="方正书宋简体"/>
          <w:szCs w:val="21"/>
        </w:rPr>
      </w:pPr>
    </w:p>
    <w:p w:rsidR="00013EC7" w:rsidRDefault="005262E6">
      <w:r>
        <w:lastRenderedPageBreak/>
        <w:object w:dxaOrig="1440" w:dyaOrig="1440">
          <v:shape id="_x0000_s1322" type="#_x0000_t75" style="position:absolute;left:0;text-align:left;margin-left:7.45pt;margin-top:58.95pt;width:427.5pt;height:631.5pt;z-index:251648000;mso-wrap-distance-top:0;mso-wrap-distance-bottom:0;mso-position-vertical-relative:page;mso-width-relative:page;mso-height-relative:page">
            <v:imagedata r:id="rId44" o:title=""/>
            <w10:wrap type="topAndBottom" anchory="page"/>
          </v:shape>
          <o:OLEObject Type="Embed" ProgID="Visio.Drawing.11" ShapeID="_x0000_s1322" DrawAspect="Content" ObjectID="_1577296158" r:id="rId45"/>
        </w:object>
      </w:r>
      <w:r>
        <w:rPr>
          <w:rFonts w:ascii="Calibri" w:hAnsi="Calibri"/>
          <w:kern w:val="0"/>
          <w:szCs w:val="22"/>
        </w:rPr>
        <w:object w:dxaOrig="1440" w:dyaOrig="1440">
          <v:shape id="_x0000_s1323" type="#_x0000_t75" style="position:absolute;left:0;text-align:left;margin-left:555.95pt;margin-top:59.1pt;width:415.15pt;height:635.15pt;z-index:251649024;mso-wrap-distance-top:0;mso-wrap-distance-bottom:0;mso-position-vertical-relative:page;mso-width-relative:page;mso-height-relative:page">
            <v:imagedata r:id="rId46" o:title=""/>
            <w10:wrap type="topAndBottom" anchory="page"/>
          </v:shape>
          <o:OLEObject Type="Embed" ProgID="Visio.Drawing.11" ShapeID="_x0000_s1323" DrawAspect="Content" ObjectID="_1577296159" r:id="rId47"/>
        </w:object>
      </w:r>
    </w:p>
    <w:p w:rsidR="00013EC7" w:rsidRDefault="00013EC7">
      <w:pPr>
        <w:jc w:val="center"/>
      </w:pPr>
    </w:p>
    <w:p w:rsidR="00013EC7" w:rsidRDefault="00575CDB">
      <w:pPr>
        <w:pStyle w:val="2"/>
      </w:pPr>
      <w:bookmarkStart w:id="56" w:name="_Toc18777"/>
      <w:bookmarkStart w:id="57" w:name="_Toc2836"/>
      <w:bookmarkStart w:id="58" w:name="_Toc24318"/>
      <w:bookmarkStart w:id="59" w:name="_Toc503467370"/>
      <w:r>
        <w:rPr>
          <w:rFonts w:hint="eastAsia"/>
        </w:rPr>
        <w:lastRenderedPageBreak/>
        <w:t>3.3</w:t>
      </w:r>
      <w:r>
        <w:rPr>
          <w:rFonts w:hint="eastAsia"/>
        </w:rPr>
        <w:t>纳税人跨县（区）迁出</w:t>
      </w:r>
      <w:bookmarkEnd w:id="56"/>
      <w:bookmarkEnd w:id="57"/>
      <w:bookmarkEnd w:id="58"/>
      <w:bookmarkEnd w:id="59"/>
    </w:p>
    <w:p w:rsidR="00013EC7" w:rsidRDefault="00575CDB">
      <w:pPr>
        <w:jc w:val="center"/>
        <w:rPr>
          <w:rFonts w:ascii="宋体" w:hAnsi="宋体" w:cs="宋体"/>
          <w:b/>
          <w:bCs/>
          <w:sz w:val="52"/>
          <w:szCs w:val="52"/>
        </w:rPr>
      </w:pPr>
      <w:r>
        <w:rPr>
          <w:rFonts w:ascii="宋体" w:hAnsi="宋体" w:cs="宋体" w:hint="eastAsia"/>
          <w:b/>
          <w:bCs/>
          <w:sz w:val="52"/>
          <w:szCs w:val="52"/>
        </w:rPr>
        <w:t>全省“最多跑一次”事项“八统一”梳理表</w:t>
      </w:r>
    </w:p>
    <w:tbl>
      <w:tblPr>
        <w:tblW w:w="205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2622"/>
        <w:gridCol w:w="2760"/>
        <w:gridCol w:w="1288"/>
        <w:gridCol w:w="2837"/>
        <w:gridCol w:w="1326"/>
        <w:gridCol w:w="2848"/>
        <w:gridCol w:w="868"/>
        <w:gridCol w:w="798"/>
        <w:gridCol w:w="958"/>
        <w:gridCol w:w="1104"/>
        <w:gridCol w:w="1476"/>
      </w:tblGrid>
      <w:tr w:rsidR="00013EC7" w:rsidTr="00362C3A">
        <w:trPr>
          <w:trHeight w:val="340"/>
          <w:tblHeader/>
          <w:jc w:val="center"/>
        </w:trPr>
        <w:tc>
          <w:tcPr>
            <w:tcW w:w="672" w:type="dxa"/>
            <w:vMerge w:val="restart"/>
            <w:vAlign w:val="center"/>
          </w:tcPr>
          <w:p w:rsidR="00013EC7" w:rsidRDefault="00575CDB">
            <w:pPr>
              <w:spacing w:line="280" w:lineRule="exact"/>
              <w:jc w:val="center"/>
              <w:rPr>
                <w:rFonts w:ascii="黑体" w:eastAsia="黑体"/>
                <w:szCs w:val="21"/>
              </w:rPr>
            </w:pPr>
            <w:r>
              <w:rPr>
                <w:rFonts w:ascii="黑体" w:eastAsia="黑体" w:hint="eastAsia"/>
                <w:sz w:val="24"/>
              </w:rPr>
              <w:t>主项名称</w:t>
            </w:r>
          </w:p>
        </w:tc>
        <w:tc>
          <w:tcPr>
            <w:tcW w:w="1035"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子项名称</w:t>
            </w:r>
          </w:p>
        </w:tc>
        <w:tc>
          <w:tcPr>
            <w:tcW w:w="2622"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经办依据</w:t>
            </w:r>
          </w:p>
        </w:tc>
        <w:tc>
          <w:tcPr>
            <w:tcW w:w="4048"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原经办所需材料</w:t>
            </w:r>
          </w:p>
        </w:tc>
        <w:tc>
          <w:tcPr>
            <w:tcW w:w="7011" w:type="dxa"/>
            <w:gridSpan w:val="3"/>
            <w:vAlign w:val="center"/>
          </w:tcPr>
          <w:p w:rsidR="00013EC7" w:rsidRDefault="00575CDB">
            <w:pPr>
              <w:spacing w:line="280" w:lineRule="exact"/>
              <w:jc w:val="center"/>
              <w:rPr>
                <w:rFonts w:ascii="黑体" w:eastAsia="黑体"/>
                <w:sz w:val="24"/>
              </w:rPr>
            </w:pPr>
            <w:r>
              <w:rPr>
                <w:rFonts w:ascii="黑体" w:eastAsia="黑体" w:hint="eastAsia"/>
                <w:sz w:val="24"/>
              </w:rPr>
              <w:t>精简后经办所需材料</w:t>
            </w:r>
          </w:p>
        </w:tc>
        <w:tc>
          <w:tcPr>
            <w:tcW w:w="1666"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办理时限</w:t>
            </w:r>
          </w:p>
        </w:tc>
        <w:tc>
          <w:tcPr>
            <w:tcW w:w="958"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是否实现跑零次</w:t>
            </w:r>
          </w:p>
        </w:tc>
        <w:tc>
          <w:tcPr>
            <w:tcW w:w="1104"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省厅对口</w:t>
            </w:r>
          </w:p>
          <w:p w:rsidR="00013EC7" w:rsidRDefault="00575CDB">
            <w:pPr>
              <w:spacing w:line="280" w:lineRule="exact"/>
              <w:jc w:val="center"/>
              <w:rPr>
                <w:rFonts w:ascii="黑体" w:eastAsia="黑体"/>
                <w:sz w:val="24"/>
              </w:rPr>
            </w:pPr>
            <w:r>
              <w:rPr>
                <w:rFonts w:ascii="黑体" w:eastAsia="黑体" w:hint="eastAsia"/>
                <w:sz w:val="24"/>
              </w:rPr>
              <w:t>指导处室</w:t>
            </w:r>
          </w:p>
          <w:p w:rsidR="00013EC7" w:rsidRDefault="00575CDB">
            <w:pPr>
              <w:spacing w:line="280" w:lineRule="exact"/>
              <w:jc w:val="center"/>
              <w:rPr>
                <w:rFonts w:ascii="黑体" w:eastAsia="黑体"/>
                <w:sz w:val="24"/>
              </w:rPr>
            </w:pPr>
            <w:r>
              <w:rPr>
                <w:rFonts w:ascii="黑体" w:eastAsia="黑体" w:hint="eastAsia"/>
                <w:sz w:val="24"/>
              </w:rPr>
              <w:t>（单位）</w:t>
            </w:r>
          </w:p>
        </w:tc>
        <w:tc>
          <w:tcPr>
            <w:tcW w:w="1476"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进一步精简、</w:t>
            </w:r>
          </w:p>
          <w:p w:rsidR="00013EC7" w:rsidRDefault="00575CDB">
            <w:pPr>
              <w:spacing w:line="280" w:lineRule="exact"/>
              <w:jc w:val="center"/>
              <w:rPr>
                <w:rFonts w:ascii="黑体" w:eastAsia="黑体"/>
                <w:sz w:val="24"/>
              </w:rPr>
            </w:pPr>
            <w:r>
              <w:rPr>
                <w:rFonts w:ascii="黑体" w:eastAsia="黑体" w:hint="eastAsia"/>
                <w:sz w:val="24"/>
              </w:rPr>
              <w:t>规范建议</w:t>
            </w:r>
          </w:p>
        </w:tc>
      </w:tr>
      <w:tr w:rsidR="00013EC7" w:rsidTr="00362C3A">
        <w:trPr>
          <w:trHeight w:val="340"/>
          <w:tblHeader/>
          <w:jc w:val="center"/>
        </w:trPr>
        <w:tc>
          <w:tcPr>
            <w:tcW w:w="672" w:type="dxa"/>
            <w:vMerge/>
            <w:vAlign w:val="center"/>
          </w:tcPr>
          <w:p w:rsidR="00013EC7" w:rsidRDefault="00013EC7"/>
        </w:tc>
        <w:tc>
          <w:tcPr>
            <w:tcW w:w="1035" w:type="dxa"/>
            <w:vMerge/>
          </w:tcPr>
          <w:p w:rsidR="00013EC7" w:rsidRDefault="00013EC7"/>
        </w:tc>
        <w:tc>
          <w:tcPr>
            <w:tcW w:w="2622" w:type="dxa"/>
            <w:vMerge/>
          </w:tcPr>
          <w:p w:rsidR="00013EC7" w:rsidRDefault="00013EC7"/>
        </w:tc>
        <w:tc>
          <w:tcPr>
            <w:tcW w:w="2760" w:type="dxa"/>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288"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2837" w:type="dxa"/>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326"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2848" w:type="dxa"/>
            <w:vAlign w:val="center"/>
          </w:tcPr>
          <w:p w:rsidR="00013EC7" w:rsidRDefault="00575CDB">
            <w:pPr>
              <w:spacing w:line="280" w:lineRule="exact"/>
              <w:jc w:val="center"/>
              <w:rPr>
                <w:rFonts w:ascii="黑体" w:eastAsia="黑体"/>
                <w:sz w:val="24"/>
              </w:rPr>
            </w:pPr>
            <w:r>
              <w:rPr>
                <w:rFonts w:ascii="黑体" w:eastAsia="黑体" w:hint="eastAsia"/>
                <w:sz w:val="24"/>
              </w:rPr>
              <w:t>办理方式及材料</w:t>
            </w:r>
          </w:p>
          <w:p w:rsidR="00013EC7" w:rsidRDefault="00575CDB">
            <w:pPr>
              <w:spacing w:line="280" w:lineRule="exact"/>
              <w:jc w:val="center"/>
              <w:rPr>
                <w:rFonts w:ascii="黑体" w:eastAsia="黑体"/>
                <w:sz w:val="24"/>
              </w:rPr>
            </w:pPr>
            <w:r>
              <w:rPr>
                <w:rFonts w:ascii="黑体" w:eastAsia="黑体" w:hint="eastAsia"/>
                <w:sz w:val="24"/>
              </w:rPr>
              <w:t>信息获取方式说明</w:t>
            </w:r>
          </w:p>
        </w:tc>
        <w:tc>
          <w:tcPr>
            <w:tcW w:w="868" w:type="dxa"/>
            <w:vAlign w:val="center"/>
          </w:tcPr>
          <w:p w:rsidR="00013EC7" w:rsidRDefault="00575CDB">
            <w:pPr>
              <w:spacing w:line="280" w:lineRule="exact"/>
              <w:jc w:val="center"/>
              <w:rPr>
                <w:rFonts w:ascii="黑体" w:eastAsia="黑体"/>
                <w:sz w:val="24"/>
              </w:rPr>
            </w:pPr>
            <w:r>
              <w:rPr>
                <w:rFonts w:ascii="黑体" w:eastAsia="黑体" w:hint="eastAsia"/>
                <w:sz w:val="24"/>
              </w:rPr>
              <w:t>优化前</w:t>
            </w:r>
          </w:p>
        </w:tc>
        <w:tc>
          <w:tcPr>
            <w:tcW w:w="798" w:type="dxa"/>
            <w:vAlign w:val="center"/>
          </w:tcPr>
          <w:p w:rsidR="00013EC7" w:rsidRDefault="00575CDB">
            <w:pPr>
              <w:spacing w:line="280" w:lineRule="exact"/>
              <w:jc w:val="center"/>
              <w:rPr>
                <w:rFonts w:ascii="黑体" w:eastAsia="黑体"/>
                <w:sz w:val="24"/>
              </w:rPr>
            </w:pPr>
            <w:r>
              <w:rPr>
                <w:rFonts w:ascii="黑体" w:eastAsia="黑体" w:hint="eastAsia"/>
                <w:sz w:val="24"/>
              </w:rPr>
              <w:t>优化后</w:t>
            </w:r>
          </w:p>
        </w:tc>
        <w:tc>
          <w:tcPr>
            <w:tcW w:w="958" w:type="dxa"/>
            <w:vMerge/>
            <w:vAlign w:val="center"/>
          </w:tcPr>
          <w:p w:rsidR="00013EC7" w:rsidRDefault="00013EC7"/>
        </w:tc>
        <w:tc>
          <w:tcPr>
            <w:tcW w:w="1104" w:type="dxa"/>
            <w:vMerge/>
            <w:vAlign w:val="center"/>
          </w:tcPr>
          <w:p w:rsidR="00013EC7" w:rsidRDefault="00013EC7"/>
        </w:tc>
        <w:tc>
          <w:tcPr>
            <w:tcW w:w="1476" w:type="dxa"/>
            <w:vMerge/>
            <w:vAlign w:val="center"/>
          </w:tcPr>
          <w:p w:rsidR="00013EC7" w:rsidRDefault="00013EC7"/>
        </w:tc>
      </w:tr>
      <w:tr w:rsidR="00013EC7" w:rsidTr="00362C3A">
        <w:trPr>
          <w:trHeight w:val="1100"/>
          <w:jc w:val="center"/>
        </w:trPr>
        <w:tc>
          <w:tcPr>
            <w:tcW w:w="672" w:type="dxa"/>
            <w:vMerge w:val="restart"/>
            <w:vAlign w:val="center"/>
          </w:tcPr>
          <w:p w:rsidR="00013EC7" w:rsidRDefault="00575CDB">
            <w:pPr>
              <w:spacing w:line="300" w:lineRule="exact"/>
              <w:jc w:val="left"/>
              <w:rPr>
                <w:rFonts w:eastAsia="方正书宋简体"/>
                <w:sz w:val="24"/>
              </w:rPr>
            </w:pPr>
            <w:r>
              <w:rPr>
                <w:rFonts w:ascii="仿宋" w:eastAsia="仿宋" w:hAnsi="仿宋" w:cs="仿宋" w:hint="eastAsia"/>
                <w:sz w:val="24"/>
              </w:rPr>
              <w:t>3注销登记</w:t>
            </w:r>
          </w:p>
        </w:tc>
        <w:tc>
          <w:tcPr>
            <w:tcW w:w="1035" w:type="dxa"/>
            <w:vMerge w:val="restart"/>
            <w:vAlign w:val="center"/>
          </w:tcPr>
          <w:p w:rsidR="00013EC7" w:rsidRDefault="00575CDB">
            <w:pPr>
              <w:spacing w:line="310" w:lineRule="exact"/>
              <w:jc w:val="left"/>
              <w:rPr>
                <w:rFonts w:eastAsia="方正书宋简体"/>
                <w:sz w:val="24"/>
              </w:rPr>
            </w:pPr>
            <w:r>
              <w:rPr>
                <w:rFonts w:ascii="仿宋" w:eastAsia="仿宋" w:hAnsi="仿宋" w:cs="仿宋" w:hint="eastAsia"/>
                <w:sz w:val="24"/>
              </w:rPr>
              <w:t>3.3纳税人跨县（区）迁出</w:t>
            </w:r>
          </w:p>
        </w:tc>
        <w:tc>
          <w:tcPr>
            <w:tcW w:w="2622" w:type="dxa"/>
            <w:vMerge w:val="restart"/>
            <w:vAlign w:val="center"/>
          </w:tcPr>
          <w:p w:rsidR="00013EC7" w:rsidRDefault="00575CDB">
            <w:pPr>
              <w:spacing w:line="310" w:lineRule="exact"/>
              <w:jc w:val="left"/>
              <w:rPr>
                <w:rFonts w:ascii="仿宋" w:eastAsia="仿宋" w:hAnsi="仿宋" w:cs="仿宋"/>
                <w:sz w:val="24"/>
              </w:rPr>
            </w:pPr>
            <w:r>
              <w:rPr>
                <w:rFonts w:ascii="仿宋" w:eastAsia="仿宋" w:hAnsi="仿宋" w:cs="仿宋" w:hint="eastAsia"/>
                <w:sz w:val="24"/>
              </w:rPr>
              <w:t>（一）《中华人民共和国税收征收管理法实施细则》（2002年中华人民共和国国务院令第362号）第十五条。</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（二）《国家税务总局关于修改〈税务登记管理办法〉的决定》（2014年国家税务总局令第36号）第二十八条、第十九条、第三十条、第三十一条。</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（三）《国家税务总局关于一般纳税人迁移有关增值税问题的公告》（国家税务总局公告2011年第71号）第一条、第二条。</w:t>
            </w:r>
          </w:p>
        </w:tc>
        <w:tc>
          <w:tcPr>
            <w:tcW w:w="2760" w:type="dxa"/>
            <w:vAlign w:val="center"/>
          </w:tcPr>
          <w:p w:rsidR="00013EC7" w:rsidRDefault="00575CDB">
            <w:pPr>
              <w:spacing w:line="310" w:lineRule="exact"/>
              <w:jc w:val="left"/>
              <w:rPr>
                <w:rFonts w:ascii="仿宋" w:eastAsia="仿宋" w:hAnsi="仿宋" w:cs="仿宋"/>
                <w:sz w:val="24"/>
              </w:rPr>
            </w:pPr>
            <w:r>
              <w:rPr>
                <w:rFonts w:ascii="仿宋" w:eastAsia="仿宋" w:hAnsi="仿宋" w:cs="仿宋" w:hint="eastAsia"/>
                <w:sz w:val="24"/>
              </w:rPr>
              <w:t>（一）（A01013）《注销税务登记申请表》</w:t>
            </w:r>
            <w:r>
              <w:rPr>
                <w:rFonts w:ascii="仿宋" w:eastAsia="仿宋" w:hAnsi="仿宋" w:cs="仿宋" w:hint="eastAsia"/>
                <w:sz w:val="24"/>
                <w:highlight w:val="lightGray"/>
              </w:rPr>
              <w:t>3份</w:t>
            </w:r>
            <w:r>
              <w:rPr>
                <w:rFonts w:ascii="仿宋" w:eastAsia="仿宋" w:hAnsi="仿宋" w:cs="仿宋" w:hint="eastAsia"/>
                <w:sz w:val="24"/>
              </w:rPr>
              <w:t>。</w:t>
            </w:r>
          </w:p>
        </w:tc>
        <w:tc>
          <w:tcPr>
            <w:tcW w:w="1288" w:type="dxa"/>
            <w:vMerge w:val="restart"/>
            <w:vAlign w:val="center"/>
          </w:tcPr>
          <w:p w:rsidR="00013EC7" w:rsidRDefault="00575CDB">
            <w:pPr>
              <w:spacing w:line="300" w:lineRule="exact"/>
              <w:jc w:val="left"/>
              <w:rPr>
                <w:rFonts w:eastAsia="方正书宋简体"/>
                <w:sz w:val="24"/>
              </w:rPr>
            </w:pPr>
            <w:r>
              <w:rPr>
                <w:rFonts w:ascii="仿宋" w:eastAsia="仿宋" w:hAnsi="仿宋" w:cs="仿宋" w:hint="eastAsia"/>
                <w:sz w:val="24"/>
              </w:rPr>
              <w:t>纳税人提交</w:t>
            </w:r>
          </w:p>
        </w:tc>
        <w:tc>
          <w:tcPr>
            <w:tcW w:w="2837" w:type="dxa"/>
            <w:vAlign w:val="center"/>
          </w:tcPr>
          <w:p w:rsidR="00013EC7" w:rsidRDefault="00575CDB">
            <w:pPr>
              <w:jc w:val="left"/>
              <w:rPr>
                <w:rFonts w:ascii="宋体" w:hAnsi="宋体" w:cs="宋体"/>
                <w:kern w:val="1"/>
                <w:sz w:val="24"/>
                <w:shd w:val="pct10" w:color="auto" w:fill="FFFFFF"/>
              </w:rPr>
            </w:pPr>
            <w:r>
              <w:rPr>
                <w:rFonts w:ascii="仿宋" w:eastAsia="仿宋" w:hAnsi="仿宋" w:cs="仿宋" w:hint="eastAsia"/>
                <w:sz w:val="24"/>
              </w:rPr>
              <w:t>（一）（A01013）《注销税务登记申请表》1份或（A01060）《清税申报表》1份。</w:t>
            </w:r>
          </w:p>
        </w:tc>
        <w:tc>
          <w:tcPr>
            <w:tcW w:w="1326" w:type="dxa"/>
            <w:vMerge w:val="restart"/>
            <w:vAlign w:val="center"/>
          </w:tcPr>
          <w:p w:rsidR="00013EC7" w:rsidRDefault="00575CDB">
            <w:pPr>
              <w:spacing w:line="300" w:lineRule="exact"/>
              <w:jc w:val="left"/>
              <w:rPr>
                <w:rFonts w:eastAsia="方正书宋简体"/>
                <w:b/>
                <w:bCs/>
                <w:i/>
                <w:iCs/>
                <w:sz w:val="24"/>
              </w:rPr>
            </w:pPr>
            <w:r>
              <w:rPr>
                <w:rFonts w:ascii="仿宋" w:eastAsia="仿宋" w:hAnsi="仿宋" w:cs="仿宋" w:hint="eastAsia"/>
                <w:sz w:val="24"/>
              </w:rPr>
              <w:t>纳税人提交</w:t>
            </w:r>
          </w:p>
        </w:tc>
        <w:tc>
          <w:tcPr>
            <w:tcW w:w="2848" w:type="dxa"/>
            <w:vMerge w:val="restart"/>
            <w:vAlign w:val="center"/>
          </w:tcPr>
          <w:p w:rsidR="00013EC7" w:rsidRDefault="00575CDB">
            <w:pPr>
              <w:jc w:val="left"/>
              <w:rPr>
                <w:rFonts w:ascii="仿宋" w:eastAsia="仿宋" w:hAnsi="仿宋" w:cs="仿宋"/>
                <w:sz w:val="24"/>
              </w:rPr>
            </w:pPr>
            <w:r>
              <w:rPr>
                <w:rFonts w:ascii="仿宋" w:eastAsia="仿宋" w:hAnsi="仿宋" w:cs="仿宋" w:hint="eastAsia"/>
                <w:b/>
                <w:bCs/>
                <w:sz w:val="24"/>
              </w:rPr>
              <w:t>现场办理：</w:t>
            </w:r>
            <w:r>
              <w:rPr>
                <w:rFonts w:ascii="仿宋" w:eastAsia="仿宋" w:hAnsi="仿宋" w:cs="仿宋" w:hint="eastAsia"/>
                <w:sz w:val="24"/>
              </w:rPr>
              <w:t>纳税人提交书面材料，符合受理条件的当场受理办结。</w:t>
            </w:r>
          </w:p>
          <w:p w:rsidR="00013EC7" w:rsidRDefault="00575CDB">
            <w:pPr>
              <w:spacing w:line="300" w:lineRule="exact"/>
              <w:jc w:val="left"/>
              <w:rPr>
                <w:rFonts w:ascii="仿宋" w:eastAsia="仿宋" w:hAnsi="仿宋" w:cs="仿宋"/>
                <w:sz w:val="24"/>
              </w:rPr>
            </w:pPr>
            <w:r>
              <w:rPr>
                <w:rFonts w:ascii="仿宋" w:eastAsia="仿宋" w:hAnsi="仿宋" w:cs="仿宋" w:hint="eastAsia"/>
                <w:b/>
                <w:sz w:val="24"/>
              </w:rPr>
              <w:t>网上办理：</w:t>
            </w:r>
            <w:r>
              <w:rPr>
                <w:rFonts w:ascii="仿宋" w:eastAsia="仿宋" w:hAnsi="仿宋" w:cs="仿宋" w:hint="eastAsia"/>
                <w:sz w:val="24"/>
              </w:rPr>
              <w:t>登录浙江国税电子税务局（网址：</w:t>
            </w:r>
            <w:hyperlink r:id="rId48" w:tgtFrame="https://wx.qq.com/_blank" w:history="1">
              <w:r>
                <w:rPr>
                  <w:rFonts w:ascii="仿宋" w:eastAsia="仿宋" w:hAnsi="仿宋" w:cs="仿宋" w:hint="eastAsia"/>
                  <w:sz w:val="24"/>
                </w:rPr>
                <w:t>http://etax.zjtax.gov.cn/</w:t>
              </w:r>
            </w:hyperlink>
            <w:r>
              <w:rPr>
                <w:rFonts w:ascii="仿宋" w:eastAsia="仿宋" w:hAnsi="仿宋" w:cs="仿宋" w:hint="eastAsia"/>
                <w:sz w:val="24"/>
              </w:rPr>
              <w:t>）提交申请。</w:t>
            </w:r>
          </w:p>
          <w:p w:rsidR="00013EC7" w:rsidRDefault="00575CDB">
            <w:pPr>
              <w:spacing w:line="300" w:lineRule="exact"/>
              <w:jc w:val="left"/>
              <w:rPr>
                <w:rFonts w:eastAsia="方正书宋简体"/>
                <w:sz w:val="24"/>
              </w:rPr>
            </w:pPr>
            <w:r>
              <w:rPr>
                <w:rFonts w:ascii="仿宋" w:eastAsia="仿宋" w:hAnsi="仿宋" w:hint="eastAsia"/>
                <w:b/>
                <w:sz w:val="24"/>
              </w:rPr>
              <w:t>APP办理：</w:t>
            </w:r>
            <w:r>
              <w:rPr>
                <w:rFonts w:ascii="仿宋" w:eastAsia="仿宋" w:hAnsi="仿宋" w:hint="eastAsia"/>
                <w:sz w:val="24"/>
              </w:rPr>
              <w:t>登录浙江国税APP提交申请。</w:t>
            </w:r>
          </w:p>
        </w:tc>
        <w:tc>
          <w:tcPr>
            <w:tcW w:w="868" w:type="dxa"/>
            <w:vMerge w:val="restart"/>
            <w:vAlign w:val="center"/>
          </w:tcPr>
          <w:p w:rsidR="00013EC7" w:rsidRDefault="00575CDB">
            <w:pPr>
              <w:spacing w:line="300" w:lineRule="exact"/>
              <w:jc w:val="left"/>
              <w:rPr>
                <w:rFonts w:eastAsia="方正书宋简体"/>
                <w:sz w:val="24"/>
              </w:rPr>
            </w:pPr>
            <w:r>
              <w:rPr>
                <w:rFonts w:ascii="仿宋" w:eastAsia="仿宋" w:hAnsi="仿宋" w:cs="仿宋" w:hint="eastAsia"/>
                <w:sz w:val="24"/>
              </w:rPr>
              <w:t>提供资料完整、填写内容准确、各项手续齐全的当场办结。有特殊情况的在20个工作日内办结（其中5天为纳税人补缴税款期限）</w:t>
            </w:r>
          </w:p>
        </w:tc>
        <w:tc>
          <w:tcPr>
            <w:tcW w:w="798" w:type="dxa"/>
            <w:vMerge w:val="restart"/>
            <w:vAlign w:val="center"/>
          </w:tcPr>
          <w:p w:rsidR="00013EC7" w:rsidRDefault="00575CDB">
            <w:pPr>
              <w:spacing w:line="300" w:lineRule="exact"/>
              <w:jc w:val="left"/>
              <w:rPr>
                <w:rFonts w:eastAsia="方正书宋简体"/>
                <w:sz w:val="24"/>
              </w:rPr>
            </w:pPr>
            <w:r>
              <w:rPr>
                <w:rFonts w:ascii="仿宋" w:eastAsia="仿宋" w:hAnsi="仿宋" w:cs="仿宋" w:hint="eastAsia"/>
                <w:sz w:val="24"/>
              </w:rPr>
              <w:t>提供资料完整、填写内容准确、各项手续齐全的当场办结。有特殊情况的在20个工作日内办结（其中5天为纳税人补缴税款期限）</w:t>
            </w:r>
          </w:p>
        </w:tc>
        <w:tc>
          <w:tcPr>
            <w:tcW w:w="958"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否</w:t>
            </w:r>
          </w:p>
        </w:tc>
        <w:tc>
          <w:tcPr>
            <w:tcW w:w="1104"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征管科技处</w:t>
            </w:r>
          </w:p>
        </w:tc>
        <w:tc>
          <w:tcPr>
            <w:tcW w:w="1476" w:type="dxa"/>
            <w:vMerge w:val="restart"/>
            <w:vAlign w:val="center"/>
          </w:tcPr>
          <w:p w:rsidR="00013EC7" w:rsidRDefault="00013EC7">
            <w:pPr>
              <w:spacing w:line="300" w:lineRule="exact"/>
              <w:jc w:val="left"/>
              <w:rPr>
                <w:rFonts w:eastAsia="方正书宋简体"/>
                <w:sz w:val="24"/>
              </w:rPr>
            </w:pPr>
          </w:p>
        </w:tc>
      </w:tr>
      <w:tr w:rsidR="00013EC7" w:rsidTr="00362C3A">
        <w:trPr>
          <w:trHeight w:val="1216"/>
          <w:jc w:val="center"/>
        </w:trPr>
        <w:tc>
          <w:tcPr>
            <w:tcW w:w="672" w:type="dxa"/>
            <w:vMerge/>
            <w:vAlign w:val="center"/>
          </w:tcPr>
          <w:p w:rsidR="00013EC7" w:rsidRDefault="00013EC7">
            <w:pPr>
              <w:spacing w:line="300" w:lineRule="exact"/>
              <w:jc w:val="left"/>
              <w:rPr>
                <w:rFonts w:eastAsia="方正书宋简体"/>
                <w:sz w:val="24"/>
              </w:rPr>
            </w:pPr>
          </w:p>
        </w:tc>
        <w:tc>
          <w:tcPr>
            <w:tcW w:w="1035" w:type="dxa"/>
            <w:vMerge/>
            <w:vAlign w:val="center"/>
          </w:tcPr>
          <w:p w:rsidR="00013EC7" w:rsidRDefault="00013EC7">
            <w:pPr>
              <w:spacing w:line="310" w:lineRule="exact"/>
              <w:jc w:val="left"/>
              <w:rPr>
                <w:rFonts w:eastAsia="方正书宋简体"/>
                <w:sz w:val="24"/>
              </w:rPr>
            </w:pPr>
          </w:p>
        </w:tc>
        <w:tc>
          <w:tcPr>
            <w:tcW w:w="2622" w:type="dxa"/>
            <w:vMerge/>
            <w:vAlign w:val="center"/>
          </w:tcPr>
          <w:p w:rsidR="00013EC7" w:rsidRDefault="00013EC7">
            <w:pPr>
              <w:spacing w:line="310" w:lineRule="exact"/>
              <w:jc w:val="left"/>
              <w:rPr>
                <w:rFonts w:ascii="仿宋" w:eastAsia="仿宋" w:hAnsi="仿宋" w:cs="仿宋"/>
                <w:sz w:val="24"/>
              </w:rPr>
            </w:pPr>
          </w:p>
        </w:tc>
        <w:tc>
          <w:tcPr>
            <w:tcW w:w="2760" w:type="dxa"/>
            <w:vAlign w:val="center"/>
          </w:tcPr>
          <w:p w:rsidR="00013EC7" w:rsidRDefault="00575CDB">
            <w:pPr>
              <w:spacing w:line="310" w:lineRule="exact"/>
              <w:jc w:val="left"/>
              <w:rPr>
                <w:rFonts w:ascii="仿宋" w:eastAsia="仿宋" w:hAnsi="仿宋" w:cs="仿宋"/>
                <w:sz w:val="24"/>
              </w:rPr>
            </w:pPr>
            <w:r>
              <w:rPr>
                <w:rFonts w:ascii="仿宋" w:eastAsia="仿宋" w:hAnsi="仿宋" w:cs="仿宋" w:hint="eastAsia"/>
                <w:sz w:val="24"/>
              </w:rPr>
              <w:t>（二）税务登记证及副本或加载统一社会信用代码的营业执照。</w:t>
            </w:r>
          </w:p>
        </w:tc>
        <w:tc>
          <w:tcPr>
            <w:tcW w:w="1288" w:type="dxa"/>
            <w:vMerge/>
            <w:vAlign w:val="center"/>
          </w:tcPr>
          <w:p w:rsidR="00013EC7" w:rsidRDefault="00013EC7">
            <w:pPr>
              <w:spacing w:line="300" w:lineRule="exact"/>
              <w:jc w:val="left"/>
              <w:rPr>
                <w:rFonts w:eastAsia="方正书宋简体"/>
                <w:sz w:val="24"/>
              </w:rPr>
            </w:pPr>
          </w:p>
        </w:tc>
        <w:tc>
          <w:tcPr>
            <w:tcW w:w="2837" w:type="dxa"/>
            <w:vAlign w:val="center"/>
          </w:tcPr>
          <w:p w:rsidR="00013EC7" w:rsidRDefault="00575CDB">
            <w:pPr>
              <w:jc w:val="left"/>
              <w:rPr>
                <w:rFonts w:ascii="宋体" w:hAnsi="宋体" w:cs="宋体"/>
                <w:kern w:val="1"/>
                <w:sz w:val="24"/>
                <w:shd w:val="pct10" w:color="auto" w:fill="FFFFFF"/>
              </w:rPr>
            </w:pPr>
            <w:r>
              <w:rPr>
                <w:rFonts w:ascii="仿宋" w:eastAsia="仿宋" w:hAnsi="仿宋" w:cs="仿宋" w:hint="eastAsia"/>
                <w:sz w:val="24"/>
              </w:rPr>
              <w:t>（二）税务登记证及副本或加载统一社会信用代码的营业执照。</w:t>
            </w:r>
          </w:p>
        </w:tc>
        <w:tc>
          <w:tcPr>
            <w:tcW w:w="1326" w:type="dxa"/>
            <w:vMerge/>
            <w:vAlign w:val="center"/>
          </w:tcPr>
          <w:p w:rsidR="00013EC7" w:rsidRDefault="00013EC7">
            <w:pPr>
              <w:spacing w:line="300" w:lineRule="exact"/>
              <w:jc w:val="left"/>
              <w:rPr>
                <w:rFonts w:eastAsia="方正书宋简体"/>
                <w:sz w:val="24"/>
              </w:rPr>
            </w:pPr>
          </w:p>
        </w:tc>
        <w:tc>
          <w:tcPr>
            <w:tcW w:w="2848" w:type="dxa"/>
            <w:vMerge/>
            <w:vAlign w:val="center"/>
          </w:tcPr>
          <w:p w:rsidR="00013EC7" w:rsidRDefault="00013EC7">
            <w:pPr>
              <w:spacing w:line="300" w:lineRule="exact"/>
              <w:jc w:val="left"/>
              <w:rPr>
                <w:rFonts w:eastAsia="方正书宋简体"/>
                <w:b/>
                <w:sz w:val="24"/>
              </w:rPr>
            </w:pPr>
          </w:p>
        </w:tc>
        <w:tc>
          <w:tcPr>
            <w:tcW w:w="868" w:type="dxa"/>
            <w:vMerge/>
            <w:vAlign w:val="center"/>
          </w:tcPr>
          <w:p w:rsidR="00013EC7" w:rsidRDefault="00013EC7">
            <w:pPr>
              <w:spacing w:line="300" w:lineRule="exact"/>
              <w:jc w:val="left"/>
              <w:rPr>
                <w:rFonts w:eastAsia="方正书宋简体"/>
                <w:sz w:val="24"/>
              </w:rPr>
            </w:pPr>
          </w:p>
        </w:tc>
        <w:tc>
          <w:tcPr>
            <w:tcW w:w="798" w:type="dxa"/>
            <w:vMerge/>
            <w:vAlign w:val="center"/>
          </w:tcPr>
          <w:p w:rsidR="00013EC7" w:rsidRDefault="00013EC7">
            <w:pPr>
              <w:spacing w:line="300" w:lineRule="exact"/>
              <w:jc w:val="left"/>
              <w:rPr>
                <w:rFonts w:eastAsia="方正书宋简体"/>
                <w:sz w:val="24"/>
              </w:rPr>
            </w:pPr>
          </w:p>
        </w:tc>
        <w:tc>
          <w:tcPr>
            <w:tcW w:w="958" w:type="dxa"/>
            <w:vMerge/>
            <w:vAlign w:val="center"/>
          </w:tcPr>
          <w:p w:rsidR="00013EC7" w:rsidRDefault="00013EC7">
            <w:pPr>
              <w:spacing w:line="300" w:lineRule="exact"/>
              <w:jc w:val="left"/>
              <w:rPr>
                <w:rFonts w:eastAsia="方正书宋简体"/>
                <w:sz w:val="24"/>
              </w:rPr>
            </w:pPr>
          </w:p>
        </w:tc>
        <w:tc>
          <w:tcPr>
            <w:tcW w:w="1104" w:type="dxa"/>
            <w:vMerge/>
            <w:vAlign w:val="center"/>
          </w:tcPr>
          <w:p w:rsidR="00013EC7" w:rsidRDefault="00013EC7">
            <w:pPr>
              <w:spacing w:line="300" w:lineRule="exact"/>
              <w:jc w:val="left"/>
              <w:rPr>
                <w:rFonts w:eastAsia="方正书宋简体"/>
                <w:sz w:val="24"/>
              </w:rPr>
            </w:pPr>
          </w:p>
        </w:tc>
        <w:tc>
          <w:tcPr>
            <w:tcW w:w="1476" w:type="dxa"/>
            <w:vMerge/>
            <w:vAlign w:val="center"/>
          </w:tcPr>
          <w:p w:rsidR="00013EC7" w:rsidRDefault="00013EC7">
            <w:pPr>
              <w:spacing w:line="300" w:lineRule="exact"/>
              <w:jc w:val="left"/>
              <w:rPr>
                <w:rFonts w:eastAsia="方正书宋简体"/>
                <w:sz w:val="24"/>
              </w:rPr>
            </w:pPr>
          </w:p>
        </w:tc>
      </w:tr>
      <w:tr w:rsidR="00013EC7" w:rsidTr="00362C3A">
        <w:trPr>
          <w:trHeight w:val="1064"/>
          <w:jc w:val="center"/>
        </w:trPr>
        <w:tc>
          <w:tcPr>
            <w:tcW w:w="672" w:type="dxa"/>
            <w:vMerge/>
            <w:vAlign w:val="center"/>
          </w:tcPr>
          <w:p w:rsidR="00013EC7" w:rsidRDefault="00013EC7">
            <w:pPr>
              <w:spacing w:line="300" w:lineRule="exact"/>
              <w:jc w:val="left"/>
              <w:rPr>
                <w:rFonts w:eastAsia="方正书宋简体"/>
                <w:sz w:val="24"/>
              </w:rPr>
            </w:pPr>
          </w:p>
        </w:tc>
        <w:tc>
          <w:tcPr>
            <w:tcW w:w="1035" w:type="dxa"/>
            <w:vMerge/>
            <w:vAlign w:val="center"/>
          </w:tcPr>
          <w:p w:rsidR="00013EC7" w:rsidRDefault="00013EC7">
            <w:pPr>
              <w:spacing w:line="310" w:lineRule="exact"/>
              <w:jc w:val="left"/>
              <w:rPr>
                <w:rFonts w:eastAsia="方正书宋简体"/>
                <w:sz w:val="24"/>
              </w:rPr>
            </w:pPr>
          </w:p>
        </w:tc>
        <w:tc>
          <w:tcPr>
            <w:tcW w:w="2622" w:type="dxa"/>
            <w:vMerge/>
            <w:vAlign w:val="center"/>
          </w:tcPr>
          <w:p w:rsidR="00013EC7" w:rsidRDefault="00013EC7">
            <w:pPr>
              <w:spacing w:line="310" w:lineRule="exact"/>
              <w:jc w:val="left"/>
              <w:rPr>
                <w:rFonts w:ascii="仿宋" w:eastAsia="仿宋" w:hAnsi="仿宋" w:cs="仿宋"/>
                <w:sz w:val="24"/>
              </w:rPr>
            </w:pPr>
          </w:p>
        </w:tc>
        <w:tc>
          <w:tcPr>
            <w:tcW w:w="2760" w:type="dxa"/>
            <w:vAlign w:val="center"/>
          </w:tcPr>
          <w:p w:rsidR="00013EC7" w:rsidRDefault="00575CDB">
            <w:pPr>
              <w:spacing w:line="310" w:lineRule="exact"/>
              <w:jc w:val="left"/>
              <w:rPr>
                <w:rFonts w:ascii="仿宋" w:eastAsia="仿宋" w:hAnsi="仿宋" w:cs="仿宋"/>
                <w:sz w:val="24"/>
              </w:rPr>
            </w:pPr>
            <w:r>
              <w:rPr>
                <w:rFonts w:ascii="仿宋" w:eastAsia="仿宋" w:hAnsi="仿宋" w:cs="仿宋" w:hint="eastAsia"/>
                <w:sz w:val="24"/>
              </w:rPr>
              <w:t>（三）（A02009）《发票领用簿》及未验旧、未使用发票。</w:t>
            </w:r>
          </w:p>
        </w:tc>
        <w:tc>
          <w:tcPr>
            <w:tcW w:w="1288" w:type="dxa"/>
            <w:vMerge/>
            <w:vAlign w:val="center"/>
          </w:tcPr>
          <w:p w:rsidR="00013EC7" w:rsidRDefault="00013EC7">
            <w:pPr>
              <w:spacing w:line="300" w:lineRule="exact"/>
              <w:jc w:val="left"/>
              <w:rPr>
                <w:rFonts w:eastAsia="方正书宋简体"/>
                <w:sz w:val="24"/>
              </w:rPr>
            </w:pPr>
          </w:p>
        </w:tc>
        <w:tc>
          <w:tcPr>
            <w:tcW w:w="2837" w:type="dxa"/>
            <w:vAlign w:val="center"/>
          </w:tcPr>
          <w:p w:rsidR="00013EC7" w:rsidRDefault="00575CDB">
            <w:pPr>
              <w:jc w:val="left"/>
              <w:rPr>
                <w:rFonts w:ascii="宋体" w:hAnsi="宋体" w:cs="宋体"/>
                <w:kern w:val="1"/>
                <w:sz w:val="24"/>
              </w:rPr>
            </w:pPr>
            <w:r>
              <w:rPr>
                <w:rFonts w:ascii="仿宋" w:eastAsia="仿宋" w:hAnsi="仿宋" w:cs="仿宋" w:hint="eastAsia"/>
                <w:sz w:val="24"/>
              </w:rPr>
              <w:t>（三）（A02009）《发票领用簿》及未验旧、未使用发票。</w:t>
            </w:r>
          </w:p>
        </w:tc>
        <w:tc>
          <w:tcPr>
            <w:tcW w:w="1326" w:type="dxa"/>
            <w:vMerge/>
            <w:vAlign w:val="center"/>
          </w:tcPr>
          <w:p w:rsidR="00013EC7" w:rsidRDefault="00013EC7">
            <w:pPr>
              <w:spacing w:line="300" w:lineRule="exact"/>
              <w:jc w:val="left"/>
              <w:rPr>
                <w:rFonts w:eastAsia="方正书宋简体"/>
                <w:sz w:val="24"/>
              </w:rPr>
            </w:pPr>
          </w:p>
        </w:tc>
        <w:tc>
          <w:tcPr>
            <w:tcW w:w="2848" w:type="dxa"/>
            <w:vMerge/>
            <w:vAlign w:val="center"/>
          </w:tcPr>
          <w:p w:rsidR="00013EC7" w:rsidRDefault="00013EC7">
            <w:pPr>
              <w:spacing w:line="300" w:lineRule="exact"/>
              <w:jc w:val="left"/>
              <w:rPr>
                <w:rFonts w:eastAsia="方正书宋简体"/>
                <w:b/>
                <w:sz w:val="24"/>
              </w:rPr>
            </w:pPr>
          </w:p>
        </w:tc>
        <w:tc>
          <w:tcPr>
            <w:tcW w:w="868" w:type="dxa"/>
            <w:vMerge/>
            <w:vAlign w:val="center"/>
          </w:tcPr>
          <w:p w:rsidR="00013EC7" w:rsidRDefault="00013EC7">
            <w:pPr>
              <w:spacing w:line="300" w:lineRule="exact"/>
              <w:jc w:val="left"/>
              <w:rPr>
                <w:rFonts w:eastAsia="方正书宋简体"/>
                <w:sz w:val="24"/>
              </w:rPr>
            </w:pPr>
          </w:p>
        </w:tc>
        <w:tc>
          <w:tcPr>
            <w:tcW w:w="798" w:type="dxa"/>
            <w:vMerge/>
            <w:vAlign w:val="center"/>
          </w:tcPr>
          <w:p w:rsidR="00013EC7" w:rsidRDefault="00013EC7">
            <w:pPr>
              <w:spacing w:line="300" w:lineRule="exact"/>
              <w:jc w:val="left"/>
              <w:rPr>
                <w:rFonts w:eastAsia="方正书宋简体"/>
                <w:sz w:val="24"/>
              </w:rPr>
            </w:pPr>
          </w:p>
        </w:tc>
        <w:tc>
          <w:tcPr>
            <w:tcW w:w="958" w:type="dxa"/>
            <w:vMerge/>
            <w:vAlign w:val="center"/>
          </w:tcPr>
          <w:p w:rsidR="00013EC7" w:rsidRDefault="00013EC7">
            <w:pPr>
              <w:spacing w:line="300" w:lineRule="exact"/>
              <w:jc w:val="left"/>
              <w:rPr>
                <w:rFonts w:eastAsia="方正书宋简体"/>
                <w:sz w:val="24"/>
              </w:rPr>
            </w:pPr>
          </w:p>
        </w:tc>
        <w:tc>
          <w:tcPr>
            <w:tcW w:w="1104" w:type="dxa"/>
            <w:vMerge/>
            <w:vAlign w:val="center"/>
          </w:tcPr>
          <w:p w:rsidR="00013EC7" w:rsidRDefault="00013EC7">
            <w:pPr>
              <w:spacing w:line="300" w:lineRule="exact"/>
              <w:jc w:val="left"/>
              <w:rPr>
                <w:rFonts w:eastAsia="方正书宋简体"/>
                <w:sz w:val="24"/>
              </w:rPr>
            </w:pPr>
          </w:p>
        </w:tc>
        <w:tc>
          <w:tcPr>
            <w:tcW w:w="1476" w:type="dxa"/>
            <w:vMerge/>
            <w:vAlign w:val="center"/>
          </w:tcPr>
          <w:p w:rsidR="00013EC7" w:rsidRDefault="00013EC7">
            <w:pPr>
              <w:spacing w:line="300" w:lineRule="exact"/>
              <w:jc w:val="left"/>
              <w:rPr>
                <w:rFonts w:eastAsia="方正书宋简体"/>
                <w:sz w:val="24"/>
              </w:rPr>
            </w:pPr>
          </w:p>
        </w:tc>
      </w:tr>
      <w:tr w:rsidR="00013EC7" w:rsidTr="00362C3A">
        <w:trPr>
          <w:trHeight w:val="1226"/>
          <w:jc w:val="center"/>
        </w:trPr>
        <w:tc>
          <w:tcPr>
            <w:tcW w:w="672" w:type="dxa"/>
            <w:vMerge/>
            <w:textDirection w:val="tbRlV"/>
            <w:vAlign w:val="center"/>
          </w:tcPr>
          <w:p w:rsidR="00013EC7" w:rsidRDefault="00013EC7">
            <w:pPr>
              <w:jc w:val="left"/>
              <w:rPr>
                <w:sz w:val="24"/>
              </w:rPr>
            </w:pPr>
          </w:p>
        </w:tc>
        <w:tc>
          <w:tcPr>
            <w:tcW w:w="1035" w:type="dxa"/>
            <w:vMerge/>
            <w:vAlign w:val="center"/>
          </w:tcPr>
          <w:p w:rsidR="00013EC7" w:rsidRDefault="00013EC7">
            <w:pPr>
              <w:jc w:val="left"/>
              <w:rPr>
                <w:sz w:val="24"/>
              </w:rPr>
            </w:pPr>
          </w:p>
        </w:tc>
        <w:tc>
          <w:tcPr>
            <w:tcW w:w="2622" w:type="dxa"/>
            <w:vMerge/>
            <w:vAlign w:val="center"/>
          </w:tcPr>
          <w:p w:rsidR="00013EC7" w:rsidRDefault="00013EC7">
            <w:pPr>
              <w:spacing w:line="310" w:lineRule="exact"/>
              <w:jc w:val="left"/>
              <w:rPr>
                <w:rFonts w:ascii="仿宋" w:eastAsia="仿宋" w:hAnsi="仿宋" w:cs="仿宋"/>
                <w:sz w:val="24"/>
              </w:rPr>
            </w:pPr>
          </w:p>
        </w:tc>
        <w:tc>
          <w:tcPr>
            <w:tcW w:w="2760" w:type="dxa"/>
            <w:vAlign w:val="center"/>
          </w:tcPr>
          <w:p w:rsidR="00013EC7" w:rsidRDefault="00575CDB">
            <w:pPr>
              <w:spacing w:line="310" w:lineRule="exact"/>
              <w:jc w:val="left"/>
              <w:rPr>
                <w:rFonts w:ascii="仿宋" w:eastAsia="仿宋" w:hAnsi="仿宋" w:cs="仿宋"/>
                <w:sz w:val="24"/>
              </w:rPr>
            </w:pPr>
            <w:r>
              <w:rPr>
                <w:rFonts w:ascii="仿宋" w:eastAsia="仿宋" w:hAnsi="仿宋" w:cs="仿宋" w:hint="eastAsia"/>
                <w:sz w:val="24"/>
                <w:highlight w:val="lightGray"/>
              </w:rPr>
              <w:t>（四）住所、经营地点变动的相关证明资料原件查看。</w:t>
            </w:r>
          </w:p>
        </w:tc>
        <w:tc>
          <w:tcPr>
            <w:tcW w:w="1288" w:type="dxa"/>
            <w:vMerge/>
            <w:vAlign w:val="center"/>
          </w:tcPr>
          <w:p w:rsidR="00013EC7" w:rsidRDefault="00013EC7">
            <w:pPr>
              <w:jc w:val="left"/>
              <w:rPr>
                <w:sz w:val="24"/>
              </w:rPr>
            </w:pPr>
          </w:p>
        </w:tc>
        <w:tc>
          <w:tcPr>
            <w:tcW w:w="2837" w:type="dxa"/>
            <w:vAlign w:val="center"/>
          </w:tcPr>
          <w:p w:rsidR="00013EC7" w:rsidRDefault="00013EC7">
            <w:pPr>
              <w:jc w:val="left"/>
              <w:rPr>
                <w:rFonts w:eastAsia="方正书宋简体"/>
                <w:sz w:val="24"/>
              </w:rPr>
            </w:pPr>
          </w:p>
        </w:tc>
        <w:tc>
          <w:tcPr>
            <w:tcW w:w="1326" w:type="dxa"/>
            <w:vAlign w:val="center"/>
          </w:tcPr>
          <w:p w:rsidR="00013EC7" w:rsidRDefault="00575CDB">
            <w:pPr>
              <w:jc w:val="left"/>
              <w:rPr>
                <w:rFonts w:ascii="方正书宋简体" w:eastAsia="方正书宋简体"/>
                <w:b/>
                <w:sz w:val="24"/>
              </w:rPr>
            </w:pPr>
            <w:r>
              <w:rPr>
                <w:rFonts w:ascii="仿宋" w:eastAsia="仿宋" w:hAnsi="仿宋" w:cs="仿宋" w:hint="eastAsia"/>
                <w:b/>
                <w:bCs/>
                <w:i/>
                <w:iCs/>
                <w:sz w:val="24"/>
              </w:rPr>
              <w:t>取消</w:t>
            </w:r>
          </w:p>
        </w:tc>
        <w:tc>
          <w:tcPr>
            <w:tcW w:w="2848" w:type="dxa"/>
            <w:vMerge/>
            <w:vAlign w:val="center"/>
          </w:tcPr>
          <w:p w:rsidR="00013EC7" w:rsidRDefault="00013EC7">
            <w:pPr>
              <w:spacing w:line="300" w:lineRule="exact"/>
              <w:jc w:val="left"/>
              <w:rPr>
                <w:rFonts w:eastAsia="方正书宋简体"/>
                <w:sz w:val="24"/>
              </w:rPr>
            </w:pPr>
          </w:p>
        </w:tc>
        <w:tc>
          <w:tcPr>
            <w:tcW w:w="868" w:type="dxa"/>
            <w:vMerge/>
            <w:vAlign w:val="center"/>
          </w:tcPr>
          <w:p w:rsidR="00013EC7" w:rsidRDefault="00013EC7">
            <w:pPr>
              <w:jc w:val="left"/>
              <w:rPr>
                <w:sz w:val="24"/>
              </w:rPr>
            </w:pPr>
          </w:p>
        </w:tc>
        <w:tc>
          <w:tcPr>
            <w:tcW w:w="798" w:type="dxa"/>
            <w:vMerge/>
            <w:vAlign w:val="center"/>
          </w:tcPr>
          <w:p w:rsidR="00013EC7" w:rsidRDefault="00013EC7">
            <w:pPr>
              <w:jc w:val="left"/>
              <w:rPr>
                <w:sz w:val="24"/>
              </w:rPr>
            </w:pPr>
          </w:p>
        </w:tc>
        <w:tc>
          <w:tcPr>
            <w:tcW w:w="958" w:type="dxa"/>
            <w:vMerge/>
            <w:vAlign w:val="center"/>
          </w:tcPr>
          <w:p w:rsidR="00013EC7" w:rsidRDefault="00013EC7">
            <w:pPr>
              <w:jc w:val="left"/>
              <w:rPr>
                <w:sz w:val="24"/>
              </w:rPr>
            </w:pPr>
          </w:p>
        </w:tc>
        <w:tc>
          <w:tcPr>
            <w:tcW w:w="1104" w:type="dxa"/>
            <w:vMerge/>
            <w:vAlign w:val="center"/>
          </w:tcPr>
          <w:p w:rsidR="00013EC7" w:rsidRDefault="00013EC7">
            <w:pPr>
              <w:jc w:val="left"/>
              <w:rPr>
                <w:sz w:val="24"/>
              </w:rPr>
            </w:pPr>
          </w:p>
        </w:tc>
        <w:tc>
          <w:tcPr>
            <w:tcW w:w="1476" w:type="dxa"/>
            <w:vMerge/>
            <w:vAlign w:val="center"/>
          </w:tcPr>
          <w:p w:rsidR="00013EC7" w:rsidRDefault="00013EC7">
            <w:pPr>
              <w:jc w:val="left"/>
              <w:rPr>
                <w:sz w:val="24"/>
              </w:rPr>
            </w:pPr>
          </w:p>
        </w:tc>
      </w:tr>
      <w:tr w:rsidR="00013EC7" w:rsidTr="00362C3A">
        <w:trPr>
          <w:trHeight w:val="3183"/>
          <w:jc w:val="center"/>
        </w:trPr>
        <w:tc>
          <w:tcPr>
            <w:tcW w:w="672" w:type="dxa"/>
            <w:vMerge/>
            <w:textDirection w:val="tbRlV"/>
            <w:vAlign w:val="center"/>
          </w:tcPr>
          <w:p w:rsidR="00013EC7" w:rsidRDefault="00013EC7">
            <w:pPr>
              <w:jc w:val="left"/>
              <w:rPr>
                <w:sz w:val="24"/>
              </w:rPr>
            </w:pPr>
          </w:p>
        </w:tc>
        <w:tc>
          <w:tcPr>
            <w:tcW w:w="1035" w:type="dxa"/>
            <w:vMerge/>
            <w:vAlign w:val="center"/>
          </w:tcPr>
          <w:p w:rsidR="00013EC7" w:rsidRDefault="00013EC7">
            <w:pPr>
              <w:jc w:val="left"/>
              <w:rPr>
                <w:sz w:val="24"/>
              </w:rPr>
            </w:pPr>
          </w:p>
        </w:tc>
        <w:tc>
          <w:tcPr>
            <w:tcW w:w="2622" w:type="dxa"/>
            <w:vMerge/>
            <w:vAlign w:val="center"/>
          </w:tcPr>
          <w:p w:rsidR="00013EC7" w:rsidRDefault="00013EC7">
            <w:pPr>
              <w:spacing w:line="310" w:lineRule="exact"/>
              <w:jc w:val="left"/>
              <w:rPr>
                <w:rFonts w:ascii="仿宋" w:eastAsia="仿宋" w:hAnsi="仿宋" w:cs="仿宋"/>
                <w:sz w:val="24"/>
              </w:rPr>
            </w:pPr>
          </w:p>
        </w:tc>
        <w:tc>
          <w:tcPr>
            <w:tcW w:w="2760" w:type="dxa"/>
            <w:vAlign w:val="center"/>
          </w:tcPr>
          <w:p w:rsidR="00013EC7" w:rsidRDefault="00575CDB">
            <w:pPr>
              <w:spacing w:line="310" w:lineRule="exact"/>
              <w:jc w:val="left"/>
              <w:rPr>
                <w:rFonts w:ascii="仿宋" w:eastAsia="仿宋" w:hAnsi="仿宋" w:cs="仿宋"/>
                <w:sz w:val="24"/>
              </w:rPr>
            </w:pPr>
            <w:r>
              <w:rPr>
                <w:rFonts w:ascii="仿宋" w:eastAsia="仿宋" w:hAnsi="仿宋" w:cs="仿宋" w:hint="eastAsia"/>
                <w:sz w:val="24"/>
              </w:rPr>
              <w:t>（五）使用增值税税控系统的增值税纳税人应提供金税盘、税控盘和报税盘，或者提供金税卡和IC卡。</w:t>
            </w:r>
          </w:p>
        </w:tc>
        <w:tc>
          <w:tcPr>
            <w:tcW w:w="1288" w:type="dxa"/>
            <w:vMerge/>
            <w:vAlign w:val="center"/>
          </w:tcPr>
          <w:p w:rsidR="00013EC7" w:rsidRDefault="00013EC7">
            <w:pPr>
              <w:jc w:val="left"/>
              <w:rPr>
                <w:sz w:val="24"/>
              </w:rPr>
            </w:pPr>
          </w:p>
        </w:tc>
        <w:tc>
          <w:tcPr>
            <w:tcW w:w="2837" w:type="dxa"/>
            <w:vAlign w:val="center"/>
          </w:tcPr>
          <w:p w:rsidR="00013EC7" w:rsidRDefault="00575CDB">
            <w:pPr>
              <w:jc w:val="left"/>
              <w:rPr>
                <w:rFonts w:eastAsia="方正书宋简体"/>
                <w:sz w:val="24"/>
              </w:rPr>
            </w:pPr>
            <w:r>
              <w:rPr>
                <w:rFonts w:ascii="仿宋" w:eastAsia="仿宋" w:hAnsi="仿宋" w:cs="仿宋" w:hint="eastAsia"/>
                <w:sz w:val="24"/>
              </w:rPr>
              <w:t>（四）使用增值税税控系统的增值税纳税人应提供金税盘、税控盘和报税盘，或者提供金税卡和IC卡。</w:t>
            </w:r>
          </w:p>
        </w:tc>
        <w:tc>
          <w:tcPr>
            <w:tcW w:w="1326" w:type="dxa"/>
            <w:vAlign w:val="center"/>
          </w:tcPr>
          <w:p w:rsidR="00013EC7" w:rsidRDefault="00575CDB">
            <w:pPr>
              <w:spacing w:line="300" w:lineRule="exact"/>
              <w:jc w:val="left"/>
              <w:rPr>
                <w:rFonts w:eastAsia="方正书宋简体"/>
                <w:b/>
                <w:bCs/>
                <w:i/>
                <w:iCs/>
                <w:sz w:val="24"/>
              </w:rPr>
            </w:pPr>
            <w:r>
              <w:rPr>
                <w:rFonts w:ascii="仿宋" w:eastAsia="仿宋" w:hAnsi="仿宋" w:cs="仿宋" w:hint="eastAsia"/>
                <w:sz w:val="24"/>
              </w:rPr>
              <w:t>纳税人提交</w:t>
            </w:r>
          </w:p>
        </w:tc>
        <w:tc>
          <w:tcPr>
            <w:tcW w:w="2848" w:type="dxa"/>
            <w:vMerge/>
            <w:vAlign w:val="center"/>
          </w:tcPr>
          <w:p w:rsidR="00013EC7" w:rsidRDefault="00013EC7">
            <w:pPr>
              <w:spacing w:line="300" w:lineRule="exact"/>
              <w:jc w:val="left"/>
              <w:rPr>
                <w:rFonts w:eastAsia="方正书宋简体"/>
                <w:sz w:val="24"/>
              </w:rPr>
            </w:pPr>
          </w:p>
        </w:tc>
        <w:tc>
          <w:tcPr>
            <w:tcW w:w="868" w:type="dxa"/>
            <w:vMerge/>
            <w:vAlign w:val="center"/>
          </w:tcPr>
          <w:p w:rsidR="00013EC7" w:rsidRDefault="00013EC7">
            <w:pPr>
              <w:jc w:val="left"/>
              <w:rPr>
                <w:sz w:val="24"/>
              </w:rPr>
            </w:pPr>
          </w:p>
        </w:tc>
        <w:tc>
          <w:tcPr>
            <w:tcW w:w="798" w:type="dxa"/>
            <w:vMerge/>
            <w:vAlign w:val="center"/>
          </w:tcPr>
          <w:p w:rsidR="00013EC7" w:rsidRDefault="00013EC7">
            <w:pPr>
              <w:jc w:val="left"/>
              <w:rPr>
                <w:sz w:val="24"/>
              </w:rPr>
            </w:pPr>
          </w:p>
        </w:tc>
        <w:tc>
          <w:tcPr>
            <w:tcW w:w="958" w:type="dxa"/>
            <w:vMerge/>
            <w:vAlign w:val="center"/>
          </w:tcPr>
          <w:p w:rsidR="00013EC7" w:rsidRDefault="00013EC7">
            <w:pPr>
              <w:jc w:val="left"/>
              <w:rPr>
                <w:sz w:val="24"/>
              </w:rPr>
            </w:pPr>
          </w:p>
        </w:tc>
        <w:tc>
          <w:tcPr>
            <w:tcW w:w="1104" w:type="dxa"/>
            <w:vMerge/>
            <w:vAlign w:val="center"/>
          </w:tcPr>
          <w:p w:rsidR="00013EC7" w:rsidRDefault="00013EC7">
            <w:pPr>
              <w:jc w:val="left"/>
              <w:rPr>
                <w:sz w:val="24"/>
              </w:rPr>
            </w:pPr>
          </w:p>
        </w:tc>
        <w:tc>
          <w:tcPr>
            <w:tcW w:w="1476" w:type="dxa"/>
            <w:vMerge/>
            <w:vAlign w:val="center"/>
          </w:tcPr>
          <w:p w:rsidR="00013EC7" w:rsidRDefault="00013EC7">
            <w:pPr>
              <w:jc w:val="left"/>
              <w:rPr>
                <w:sz w:val="24"/>
              </w:rPr>
            </w:pPr>
          </w:p>
        </w:tc>
      </w:tr>
    </w:tbl>
    <w:p w:rsidR="00013EC7" w:rsidRDefault="00013EC7">
      <w:pPr>
        <w:jc w:val="left"/>
        <w:rPr>
          <w:sz w:val="24"/>
        </w:rPr>
      </w:pPr>
    </w:p>
    <w:p w:rsidR="00013EC7" w:rsidRDefault="005262E6">
      <w:pPr>
        <w:jc w:val="center"/>
      </w:pPr>
      <w:r>
        <w:rPr>
          <w:rFonts w:ascii="Calibri" w:hAnsi="Calibri"/>
          <w:kern w:val="0"/>
          <w:szCs w:val="22"/>
        </w:rPr>
        <w:lastRenderedPageBreak/>
        <w:object w:dxaOrig="1440" w:dyaOrig="1440">
          <v:shape id="_x0000_s1325" type="#_x0000_t75" style="position:absolute;left:0;text-align:left;margin-left:573.2pt;margin-top:68.45pt;width:415.15pt;height:652.65pt;z-index:251650048;mso-wrap-distance-top:0;mso-wrap-distance-bottom:0;mso-position-vertical-relative:page;mso-width-relative:page;mso-height-relative:page">
            <v:imagedata r:id="rId49" o:title=""/>
            <w10:wrap type="topAndBottom" anchory="page"/>
          </v:shape>
          <o:OLEObject Type="Embed" ProgID="Visio.Drawing.11" ShapeID="_x0000_s1325" DrawAspect="Content" ObjectID="_1577296160" r:id="rId50"/>
        </w:object>
      </w:r>
      <w:r>
        <w:object w:dxaOrig="1440" w:dyaOrig="1440">
          <v:shape id="_x0000_s1324" type="#_x0000_t75" style="position:absolute;left:0;text-align:left;margin-left:30.5pt;margin-top:70.1pt;width:408.5pt;height:650pt;z-index:251651072;mso-wrap-distance-top:0;mso-wrap-distance-bottom:0;mso-position-vertical-relative:page;mso-width-relative:page;mso-height-relative:page">
            <v:imagedata r:id="rId51" o:title=""/>
            <w10:wrap type="topAndBottom" anchory="page"/>
          </v:shape>
          <o:OLEObject Type="Embed" ProgID="Visio.Drawing.11" ShapeID="_x0000_s1324" DrawAspect="Content" ObjectID="_1577296161" r:id="rId52"/>
        </w:object>
      </w:r>
    </w:p>
    <w:p w:rsidR="00013EC7" w:rsidRDefault="00013EC7">
      <w:pPr>
        <w:jc w:val="left"/>
        <w:rPr>
          <w:rFonts w:ascii="宋体" w:hAnsi="宋体" w:cs="宋体"/>
          <w:kern w:val="44"/>
          <w:sz w:val="28"/>
          <w:szCs w:val="28"/>
        </w:rPr>
        <w:sectPr w:rsidR="00013EC7">
          <w:pgSz w:w="23814" w:h="16840" w:orient="landscape"/>
          <w:pgMar w:top="1701" w:right="1843" w:bottom="1985" w:left="1843" w:header="851" w:footer="1701" w:gutter="0"/>
          <w:pgNumType w:fmt="numberInDash"/>
          <w:cols w:space="720"/>
          <w:docGrid w:type="lines" w:linePitch="312"/>
        </w:sectPr>
      </w:pPr>
      <w:bookmarkStart w:id="60" w:name="_Toc498705676"/>
    </w:p>
    <w:p w:rsidR="00013EC7" w:rsidRDefault="00575CDB">
      <w:pPr>
        <w:pStyle w:val="2"/>
      </w:pPr>
      <w:bookmarkStart w:id="61" w:name="_Toc22144"/>
      <w:bookmarkStart w:id="62" w:name="_Toc503467371"/>
      <w:bookmarkStart w:id="63" w:name="_Toc15299"/>
      <w:bookmarkStart w:id="64" w:name="_Toc9027"/>
      <w:r>
        <w:rPr>
          <w:rFonts w:hint="eastAsia"/>
        </w:rPr>
        <w:lastRenderedPageBreak/>
        <w:t>3.4</w:t>
      </w:r>
      <w:r>
        <w:rPr>
          <w:rFonts w:hint="eastAsia"/>
        </w:rPr>
        <w:t>开具清税证明</w:t>
      </w:r>
      <w:bookmarkEnd w:id="60"/>
      <w:bookmarkEnd w:id="61"/>
      <w:bookmarkEnd w:id="62"/>
      <w:bookmarkEnd w:id="63"/>
      <w:bookmarkEnd w:id="64"/>
    </w:p>
    <w:p w:rsidR="00013EC7" w:rsidRDefault="00575CDB">
      <w:pPr>
        <w:jc w:val="center"/>
        <w:rPr>
          <w:rFonts w:ascii="宋体" w:hAnsi="宋体" w:cs="宋体"/>
          <w:b/>
          <w:bCs/>
          <w:sz w:val="52"/>
          <w:szCs w:val="52"/>
        </w:rPr>
      </w:pPr>
      <w:r>
        <w:rPr>
          <w:rFonts w:ascii="宋体" w:hAnsi="宋体" w:cs="宋体" w:hint="eastAsia"/>
          <w:b/>
          <w:bCs/>
          <w:sz w:val="52"/>
          <w:szCs w:val="52"/>
        </w:rPr>
        <w:t>全省“最多跑一次”事项“八统一”梳理表</w:t>
      </w:r>
    </w:p>
    <w:tbl>
      <w:tblPr>
        <w:tblW w:w="205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3203"/>
        <w:gridCol w:w="2179"/>
        <w:gridCol w:w="1288"/>
        <w:gridCol w:w="2837"/>
        <w:gridCol w:w="1326"/>
        <w:gridCol w:w="2848"/>
        <w:gridCol w:w="868"/>
        <w:gridCol w:w="798"/>
        <w:gridCol w:w="958"/>
        <w:gridCol w:w="1104"/>
        <w:gridCol w:w="1476"/>
      </w:tblGrid>
      <w:tr w:rsidR="00013EC7" w:rsidTr="00362C3A">
        <w:trPr>
          <w:trHeight w:val="340"/>
          <w:tblHeader/>
          <w:jc w:val="center"/>
        </w:trPr>
        <w:tc>
          <w:tcPr>
            <w:tcW w:w="672"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主项名称</w:t>
            </w:r>
          </w:p>
        </w:tc>
        <w:tc>
          <w:tcPr>
            <w:tcW w:w="1035"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子项名称</w:t>
            </w:r>
          </w:p>
        </w:tc>
        <w:tc>
          <w:tcPr>
            <w:tcW w:w="3203"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经办依据</w:t>
            </w:r>
          </w:p>
        </w:tc>
        <w:tc>
          <w:tcPr>
            <w:tcW w:w="3467"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原经办所需材料</w:t>
            </w:r>
          </w:p>
        </w:tc>
        <w:tc>
          <w:tcPr>
            <w:tcW w:w="7011" w:type="dxa"/>
            <w:gridSpan w:val="3"/>
            <w:vAlign w:val="center"/>
          </w:tcPr>
          <w:p w:rsidR="00013EC7" w:rsidRDefault="00575CDB">
            <w:pPr>
              <w:spacing w:line="280" w:lineRule="exact"/>
              <w:jc w:val="center"/>
              <w:rPr>
                <w:rFonts w:ascii="黑体" w:eastAsia="黑体"/>
                <w:sz w:val="24"/>
              </w:rPr>
            </w:pPr>
            <w:r>
              <w:rPr>
                <w:rFonts w:ascii="黑体" w:eastAsia="黑体" w:hint="eastAsia"/>
                <w:sz w:val="24"/>
              </w:rPr>
              <w:t>精简后经办所需材料</w:t>
            </w:r>
          </w:p>
        </w:tc>
        <w:tc>
          <w:tcPr>
            <w:tcW w:w="1666"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办理时限</w:t>
            </w:r>
          </w:p>
        </w:tc>
        <w:tc>
          <w:tcPr>
            <w:tcW w:w="958"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是否实现跑零次</w:t>
            </w:r>
          </w:p>
        </w:tc>
        <w:tc>
          <w:tcPr>
            <w:tcW w:w="1104"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省厅对口</w:t>
            </w:r>
          </w:p>
          <w:p w:rsidR="00013EC7" w:rsidRDefault="00575CDB">
            <w:pPr>
              <w:spacing w:line="280" w:lineRule="exact"/>
              <w:jc w:val="center"/>
              <w:rPr>
                <w:rFonts w:ascii="黑体" w:eastAsia="黑体"/>
                <w:sz w:val="24"/>
              </w:rPr>
            </w:pPr>
            <w:r>
              <w:rPr>
                <w:rFonts w:ascii="黑体" w:eastAsia="黑体" w:hint="eastAsia"/>
                <w:sz w:val="24"/>
              </w:rPr>
              <w:t>指导处室</w:t>
            </w:r>
          </w:p>
          <w:p w:rsidR="00013EC7" w:rsidRDefault="00575CDB">
            <w:pPr>
              <w:spacing w:line="280" w:lineRule="exact"/>
              <w:jc w:val="center"/>
              <w:rPr>
                <w:rFonts w:ascii="黑体" w:eastAsia="黑体"/>
                <w:sz w:val="24"/>
              </w:rPr>
            </w:pPr>
            <w:r>
              <w:rPr>
                <w:rFonts w:ascii="黑体" w:eastAsia="黑体" w:hint="eastAsia"/>
                <w:sz w:val="24"/>
              </w:rPr>
              <w:t>（单位）</w:t>
            </w:r>
          </w:p>
        </w:tc>
        <w:tc>
          <w:tcPr>
            <w:tcW w:w="1476"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进一步精简、</w:t>
            </w:r>
          </w:p>
          <w:p w:rsidR="00013EC7" w:rsidRDefault="00575CDB">
            <w:pPr>
              <w:spacing w:line="280" w:lineRule="exact"/>
              <w:jc w:val="center"/>
              <w:rPr>
                <w:rFonts w:ascii="黑体" w:eastAsia="黑体"/>
                <w:sz w:val="24"/>
              </w:rPr>
            </w:pPr>
            <w:r>
              <w:rPr>
                <w:rFonts w:ascii="黑体" w:eastAsia="黑体" w:hint="eastAsia"/>
                <w:sz w:val="24"/>
              </w:rPr>
              <w:t>规范建议</w:t>
            </w:r>
          </w:p>
        </w:tc>
      </w:tr>
      <w:tr w:rsidR="00013EC7" w:rsidTr="00362C3A">
        <w:trPr>
          <w:trHeight w:val="340"/>
          <w:tblHeader/>
          <w:jc w:val="center"/>
        </w:trPr>
        <w:tc>
          <w:tcPr>
            <w:tcW w:w="672" w:type="dxa"/>
            <w:vMerge/>
            <w:vAlign w:val="center"/>
          </w:tcPr>
          <w:p w:rsidR="00013EC7" w:rsidRDefault="00013EC7"/>
        </w:tc>
        <w:tc>
          <w:tcPr>
            <w:tcW w:w="1035" w:type="dxa"/>
            <w:vMerge/>
          </w:tcPr>
          <w:p w:rsidR="00013EC7" w:rsidRDefault="00013EC7"/>
        </w:tc>
        <w:tc>
          <w:tcPr>
            <w:tcW w:w="3203" w:type="dxa"/>
            <w:vMerge/>
          </w:tcPr>
          <w:p w:rsidR="00013EC7" w:rsidRDefault="00013EC7"/>
        </w:tc>
        <w:tc>
          <w:tcPr>
            <w:tcW w:w="2179" w:type="dxa"/>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288"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2837" w:type="dxa"/>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326"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2848" w:type="dxa"/>
            <w:vAlign w:val="center"/>
          </w:tcPr>
          <w:p w:rsidR="00013EC7" w:rsidRDefault="00575CDB">
            <w:pPr>
              <w:spacing w:line="280" w:lineRule="exact"/>
              <w:jc w:val="center"/>
              <w:rPr>
                <w:rFonts w:ascii="黑体" w:eastAsia="黑体"/>
                <w:sz w:val="24"/>
              </w:rPr>
            </w:pPr>
            <w:r>
              <w:rPr>
                <w:rFonts w:ascii="黑体" w:eastAsia="黑体" w:hint="eastAsia"/>
                <w:sz w:val="24"/>
              </w:rPr>
              <w:t>办理方式及材料</w:t>
            </w:r>
          </w:p>
          <w:p w:rsidR="00013EC7" w:rsidRDefault="00575CDB">
            <w:pPr>
              <w:spacing w:line="280" w:lineRule="exact"/>
              <w:jc w:val="center"/>
              <w:rPr>
                <w:rFonts w:ascii="黑体" w:eastAsia="黑体"/>
                <w:sz w:val="24"/>
              </w:rPr>
            </w:pPr>
            <w:r>
              <w:rPr>
                <w:rFonts w:ascii="黑体" w:eastAsia="黑体" w:hint="eastAsia"/>
                <w:sz w:val="24"/>
              </w:rPr>
              <w:t>信息获取方式说明</w:t>
            </w:r>
          </w:p>
        </w:tc>
        <w:tc>
          <w:tcPr>
            <w:tcW w:w="868" w:type="dxa"/>
            <w:vAlign w:val="center"/>
          </w:tcPr>
          <w:p w:rsidR="00013EC7" w:rsidRDefault="00575CDB">
            <w:pPr>
              <w:spacing w:line="280" w:lineRule="exact"/>
              <w:jc w:val="center"/>
              <w:rPr>
                <w:rFonts w:ascii="黑体" w:eastAsia="黑体"/>
                <w:sz w:val="24"/>
              </w:rPr>
            </w:pPr>
            <w:r>
              <w:rPr>
                <w:rFonts w:ascii="黑体" w:eastAsia="黑体" w:hint="eastAsia"/>
                <w:sz w:val="24"/>
              </w:rPr>
              <w:t>优化前</w:t>
            </w:r>
          </w:p>
        </w:tc>
        <w:tc>
          <w:tcPr>
            <w:tcW w:w="798" w:type="dxa"/>
            <w:vAlign w:val="center"/>
          </w:tcPr>
          <w:p w:rsidR="00013EC7" w:rsidRDefault="00575CDB">
            <w:pPr>
              <w:spacing w:line="280" w:lineRule="exact"/>
              <w:jc w:val="center"/>
              <w:rPr>
                <w:rFonts w:ascii="黑体" w:eastAsia="黑体"/>
                <w:sz w:val="24"/>
              </w:rPr>
            </w:pPr>
            <w:r>
              <w:rPr>
                <w:rFonts w:ascii="黑体" w:eastAsia="黑体" w:hint="eastAsia"/>
                <w:sz w:val="24"/>
              </w:rPr>
              <w:t>优化后</w:t>
            </w:r>
          </w:p>
        </w:tc>
        <w:tc>
          <w:tcPr>
            <w:tcW w:w="958" w:type="dxa"/>
            <w:vMerge/>
            <w:vAlign w:val="center"/>
          </w:tcPr>
          <w:p w:rsidR="00013EC7" w:rsidRDefault="00013EC7"/>
        </w:tc>
        <w:tc>
          <w:tcPr>
            <w:tcW w:w="1104" w:type="dxa"/>
            <w:vMerge/>
            <w:vAlign w:val="center"/>
          </w:tcPr>
          <w:p w:rsidR="00013EC7" w:rsidRDefault="00013EC7"/>
        </w:tc>
        <w:tc>
          <w:tcPr>
            <w:tcW w:w="1476" w:type="dxa"/>
            <w:vMerge/>
            <w:vAlign w:val="center"/>
          </w:tcPr>
          <w:p w:rsidR="00013EC7" w:rsidRDefault="00013EC7"/>
        </w:tc>
      </w:tr>
      <w:tr w:rsidR="00013EC7" w:rsidTr="00362C3A">
        <w:trPr>
          <w:trHeight w:val="2259"/>
          <w:jc w:val="center"/>
        </w:trPr>
        <w:tc>
          <w:tcPr>
            <w:tcW w:w="672" w:type="dxa"/>
            <w:vMerge w:val="restart"/>
            <w:vAlign w:val="center"/>
          </w:tcPr>
          <w:p w:rsidR="00013EC7" w:rsidRDefault="00575CDB">
            <w:pPr>
              <w:spacing w:line="300" w:lineRule="exact"/>
              <w:jc w:val="left"/>
              <w:rPr>
                <w:rFonts w:eastAsia="方正书宋简体"/>
                <w:sz w:val="24"/>
              </w:rPr>
            </w:pPr>
            <w:r>
              <w:rPr>
                <w:rFonts w:ascii="仿宋" w:eastAsia="仿宋" w:hAnsi="仿宋" w:cs="仿宋" w:hint="eastAsia"/>
                <w:sz w:val="24"/>
              </w:rPr>
              <w:t>有条件的地方经国地税协商后可以升级为即办事项3注销登记</w:t>
            </w:r>
          </w:p>
        </w:tc>
        <w:tc>
          <w:tcPr>
            <w:tcW w:w="1035" w:type="dxa"/>
            <w:vMerge w:val="restart"/>
            <w:vAlign w:val="center"/>
          </w:tcPr>
          <w:p w:rsidR="00013EC7" w:rsidRDefault="00575CDB">
            <w:pPr>
              <w:spacing w:line="310" w:lineRule="exact"/>
              <w:jc w:val="left"/>
              <w:rPr>
                <w:rFonts w:eastAsia="方正书宋简体"/>
                <w:sz w:val="24"/>
              </w:rPr>
            </w:pPr>
            <w:r>
              <w:rPr>
                <w:rFonts w:ascii="仿宋" w:eastAsia="仿宋" w:hAnsi="仿宋" w:cs="仿宋" w:hint="eastAsia"/>
                <w:sz w:val="24"/>
              </w:rPr>
              <w:t>3.4开具清税证明</w:t>
            </w:r>
          </w:p>
        </w:tc>
        <w:tc>
          <w:tcPr>
            <w:tcW w:w="3203" w:type="dxa"/>
            <w:vMerge w:val="restart"/>
            <w:vAlign w:val="center"/>
          </w:tcPr>
          <w:p w:rsidR="00013EC7" w:rsidRDefault="00575CDB">
            <w:pPr>
              <w:spacing w:line="310" w:lineRule="exact"/>
              <w:jc w:val="left"/>
              <w:rPr>
                <w:rFonts w:ascii="仿宋" w:eastAsia="仿宋" w:hAnsi="仿宋" w:cs="仿宋"/>
                <w:sz w:val="24"/>
              </w:rPr>
            </w:pPr>
            <w:r>
              <w:rPr>
                <w:rFonts w:ascii="仿宋" w:eastAsia="仿宋" w:hAnsi="仿宋" w:cs="仿宋" w:hint="eastAsia"/>
                <w:sz w:val="24"/>
              </w:rPr>
              <w:t>（一）《国家税务总局关于落实“三证合一”登记制度改革的通知》（税总函〔2015〕482号）第三条。</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（二）《工商总局 税务总局关于做好“三证合一”有关工作衔接的通知》（工商企注字〔2015〕147号）第二条。</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（三）《国家税务总局关于推进“三证合一”进一步完善税源管理有关问题的通知》（税总函〔2015〕645号）第五条。</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（四）《国家工商行政管理总局 国家税务总局 国家发展和改革委员会 国务院法制办公室关于实施个体工商户营业执照和税务登记证”两证整合”的意见》（工商个字〔2016〕167号）第三条第六款。</w:t>
            </w:r>
          </w:p>
          <w:p w:rsidR="00013EC7" w:rsidRDefault="00575CDB">
            <w:pPr>
              <w:rPr>
                <w:sz w:val="24"/>
                <w:highlight w:val="yellow"/>
              </w:rPr>
            </w:pPr>
            <w:r>
              <w:rPr>
                <w:rFonts w:ascii="仿宋" w:eastAsia="仿宋" w:hAnsi="仿宋" w:cs="仿宋" w:hint="eastAsia"/>
                <w:sz w:val="24"/>
              </w:rPr>
              <w:t>（五）《浙江省国家税务局 浙江省地方税务局关于贯彻实施个体工商户“两证整合”有关工作衔接的通知》（浙国税发〔2016〕178号）第二条第三款。</w:t>
            </w:r>
          </w:p>
        </w:tc>
        <w:tc>
          <w:tcPr>
            <w:tcW w:w="2179" w:type="dxa"/>
            <w:vAlign w:val="center"/>
          </w:tcPr>
          <w:p w:rsidR="00013EC7" w:rsidRDefault="00575CDB">
            <w:pPr>
              <w:rPr>
                <w:rFonts w:ascii="宋体" w:hAnsi="宋体" w:cs="宋体"/>
                <w:kern w:val="1"/>
                <w:sz w:val="24"/>
              </w:rPr>
            </w:pPr>
            <w:r>
              <w:rPr>
                <w:rFonts w:ascii="仿宋" w:eastAsia="仿宋" w:hAnsi="仿宋" w:cs="仿宋" w:hint="eastAsia"/>
                <w:sz w:val="24"/>
              </w:rPr>
              <w:t>（一）（A01060）《清税申报表》</w:t>
            </w:r>
            <w:r>
              <w:rPr>
                <w:rFonts w:ascii="仿宋" w:eastAsia="仿宋" w:hAnsi="仿宋" w:cs="仿宋" w:hint="eastAsia"/>
                <w:sz w:val="24"/>
                <w:highlight w:val="lightGray"/>
              </w:rPr>
              <w:t>3份</w:t>
            </w:r>
            <w:r>
              <w:rPr>
                <w:rFonts w:ascii="仿宋" w:eastAsia="仿宋" w:hAnsi="仿宋" w:cs="仿宋" w:hint="eastAsia"/>
                <w:sz w:val="24"/>
              </w:rPr>
              <w:t>。</w:t>
            </w:r>
          </w:p>
        </w:tc>
        <w:tc>
          <w:tcPr>
            <w:tcW w:w="1288" w:type="dxa"/>
            <w:vMerge w:val="restart"/>
            <w:vAlign w:val="center"/>
          </w:tcPr>
          <w:p w:rsidR="00013EC7" w:rsidRDefault="00575CDB">
            <w:pPr>
              <w:spacing w:line="300" w:lineRule="exact"/>
              <w:rPr>
                <w:rFonts w:eastAsia="方正书宋简体"/>
                <w:sz w:val="24"/>
              </w:rPr>
            </w:pPr>
            <w:r>
              <w:rPr>
                <w:rFonts w:ascii="仿宋" w:eastAsia="仿宋" w:hAnsi="仿宋" w:cs="仿宋" w:hint="eastAsia"/>
                <w:kern w:val="1"/>
                <w:sz w:val="24"/>
              </w:rPr>
              <w:t>纳税人提交</w:t>
            </w:r>
          </w:p>
        </w:tc>
        <w:tc>
          <w:tcPr>
            <w:tcW w:w="2837" w:type="dxa"/>
            <w:vAlign w:val="center"/>
          </w:tcPr>
          <w:p w:rsidR="00013EC7" w:rsidRDefault="00575CDB">
            <w:pPr>
              <w:rPr>
                <w:rFonts w:ascii="宋体" w:hAnsi="宋体" w:cs="宋体"/>
                <w:kern w:val="1"/>
                <w:sz w:val="24"/>
              </w:rPr>
            </w:pPr>
            <w:r>
              <w:rPr>
                <w:rFonts w:ascii="仿宋" w:eastAsia="仿宋" w:hAnsi="仿宋" w:cs="仿宋" w:hint="eastAsia"/>
                <w:sz w:val="24"/>
              </w:rPr>
              <w:t>（一）</w:t>
            </w:r>
            <w:r>
              <w:rPr>
                <w:rFonts w:ascii="仿宋" w:eastAsia="仿宋" w:hAnsi="仿宋" w:cs="仿宋" w:hint="eastAsia"/>
                <w:kern w:val="1"/>
                <w:sz w:val="24"/>
              </w:rPr>
              <w:t>（A01060）《清税申报表》1份。</w:t>
            </w:r>
          </w:p>
        </w:tc>
        <w:tc>
          <w:tcPr>
            <w:tcW w:w="1326" w:type="dxa"/>
            <w:vMerge w:val="restart"/>
            <w:vAlign w:val="center"/>
          </w:tcPr>
          <w:p w:rsidR="00013EC7" w:rsidRDefault="00575CDB">
            <w:pPr>
              <w:spacing w:line="300" w:lineRule="exact"/>
              <w:rPr>
                <w:rFonts w:eastAsia="方正书宋简体"/>
                <w:b/>
                <w:bCs/>
                <w:i/>
                <w:iCs/>
                <w:sz w:val="24"/>
              </w:rPr>
            </w:pPr>
            <w:r>
              <w:rPr>
                <w:rFonts w:ascii="仿宋" w:eastAsia="仿宋" w:hAnsi="仿宋" w:cs="仿宋" w:hint="eastAsia"/>
                <w:kern w:val="1"/>
                <w:sz w:val="24"/>
              </w:rPr>
              <w:t>纳税人提交</w:t>
            </w:r>
          </w:p>
        </w:tc>
        <w:tc>
          <w:tcPr>
            <w:tcW w:w="2848" w:type="dxa"/>
            <w:vMerge w:val="restart"/>
            <w:vAlign w:val="center"/>
          </w:tcPr>
          <w:p w:rsidR="00013EC7" w:rsidRDefault="00575CDB">
            <w:pPr>
              <w:spacing w:line="300" w:lineRule="exact"/>
              <w:rPr>
                <w:rFonts w:ascii="仿宋" w:eastAsia="仿宋" w:hAnsi="仿宋" w:cs="仿宋"/>
                <w:kern w:val="1"/>
                <w:sz w:val="24"/>
              </w:rPr>
            </w:pPr>
            <w:r>
              <w:rPr>
                <w:rFonts w:ascii="仿宋" w:eastAsia="仿宋" w:hAnsi="仿宋" w:cs="仿宋" w:hint="eastAsia"/>
                <w:b/>
                <w:bCs/>
                <w:kern w:val="1"/>
                <w:sz w:val="24"/>
              </w:rPr>
              <w:t>现场办理：</w:t>
            </w:r>
            <w:r>
              <w:rPr>
                <w:rFonts w:ascii="仿宋" w:eastAsia="仿宋" w:hAnsi="仿宋" w:cs="仿宋" w:hint="eastAsia"/>
                <w:kern w:val="1"/>
                <w:sz w:val="24"/>
              </w:rPr>
              <w:t>纳税人提交书面材料，符合受理条件的当场受理办结。</w:t>
            </w:r>
          </w:p>
          <w:p w:rsidR="00013EC7" w:rsidRDefault="00575CDB">
            <w:pPr>
              <w:spacing w:line="300" w:lineRule="exact"/>
              <w:rPr>
                <w:rFonts w:ascii="仿宋" w:eastAsia="仿宋" w:hAnsi="仿宋" w:cs="仿宋"/>
                <w:sz w:val="24"/>
              </w:rPr>
            </w:pPr>
            <w:r>
              <w:rPr>
                <w:rFonts w:ascii="仿宋" w:eastAsia="仿宋" w:hAnsi="仿宋" w:cs="仿宋" w:hint="eastAsia"/>
                <w:b/>
                <w:sz w:val="24"/>
              </w:rPr>
              <w:t>网上办理：</w:t>
            </w:r>
            <w:r>
              <w:rPr>
                <w:rFonts w:ascii="仿宋" w:eastAsia="仿宋" w:hAnsi="仿宋" w:cs="仿宋" w:hint="eastAsia"/>
                <w:sz w:val="24"/>
              </w:rPr>
              <w:t>登录浙江国税电子税务局（网址：</w:t>
            </w:r>
            <w:hyperlink r:id="rId53" w:tgtFrame="https://wx.qq.com/_blank" w:history="1">
              <w:r>
                <w:rPr>
                  <w:rFonts w:ascii="仿宋" w:eastAsia="仿宋" w:hAnsi="仿宋" w:cs="仿宋" w:hint="eastAsia"/>
                  <w:sz w:val="24"/>
                </w:rPr>
                <w:t>http://etax.zjtax.gov.cn/</w:t>
              </w:r>
            </w:hyperlink>
            <w:r>
              <w:rPr>
                <w:rFonts w:ascii="仿宋" w:eastAsia="仿宋" w:hAnsi="仿宋" w:cs="仿宋" w:hint="eastAsia"/>
                <w:sz w:val="24"/>
              </w:rPr>
              <w:t>）提交申请。</w:t>
            </w:r>
          </w:p>
          <w:p w:rsidR="00013EC7" w:rsidRDefault="00575CDB">
            <w:pPr>
              <w:spacing w:line="300" w:lineRule="exact"/>
              <w:rPr>
                <w:rFonts w:eastAsia="方正书宋简体"/>
                <w:sz w:val="24"/>
              </w:rPr>
            </w:pPr>
            <w:r>
              <w:rPr>
                <w:rFonts w:ascii="仿宋" w:eastAsia="仿宋" w:hAnsi="仿宋" w:hint="eastAsia"/>
                <w:b/>
                <w:sz w:val="24"/>
              </w:rPr>
              <w:t>APP办理：</w:t>
            </w:r>
            <w:r>
              <w:rPr>
                <w:rFonts w:ascii="仿宋" w:eastAsia="仿宋" w:hAnsi="仿宋" w:hint="eastAsia"/>
                <w:sz w:val="24"/>
              </w:rPr>
              <w:t>登录浙江国税APP提交申请。</w:t>
            </w:r>
          </w:p>
        </w:tc>
        <w:tc>
          <w:tcPr>
            <w:tcW w:w="868" w:type="dxa"/>
            <w:vMerge w:val="restart"/>
            <w:vAlign w:val="center"/>
          </w:tcPr>
          <w:p w:rsidR="00013EC7" w:rsidRDefault="00575CDB">
            <w:pPr>
              <w:spacing w:line="300" w:lineRule="exact"/>
              <w:rPr>
                <w:rFonts w:eastAsia="方正书宋简体"/>
                <w:sz w:val="24"/>
              </w:rPr>
            </w:pPr>
            <w:r>
              <w:rPr>
                <w:rFonts w:ascii="仿宋" w:eastAsia="仿宋" w:hAnsi="仿宋" w:cs="仿宋" w:hint="eastAsia"/>
                <w:sz w:val="24"/>
              </w:rPr>
              <w:t>20个工作日</w:t>
            </w:r>
          </w:p>
        </w:tc>
        <w:tc>
          <w:tcPr>
            <w:tcW w:w="798" w:type="dxa"/>
            <w:vMerge w:val="restart"/>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20个工作日；</w:t>
            </w:r>
          </w:p>
          <w:p w:rsidR="00013EC7" w:rsidRDefault="00575CDB">
            <w:pPr>
              <w:spacing w:line="300" w:lineRule="exact"/>
              <w:rPr>
                <w:rFonts w:ascii="仿宋" w:eastAsia="仿宋" w:hAnsi="仿宋" w:cs="仿宋"/>
                <w:sz w:val="24"/>
              </w:rPr>
            </w:pPr>
            <w:r>
              <w:rPr>
                <w:rFonts w:ascii="仿宋" w:eastAsia="仿宋" w:hAnsi="仿宋" w:cs="仿宋" w:hint="eastAsia"/>
                <w:sz w:val="24"/>
              </w:rPr>
              <w:t>无欠税欠票和其他需处理涉税事项的纳税人，在5个工作日内出具清税证明。</w:t>
            </w:r>
          </w:p>
        </w:tc>
        <w:tc>
          <w:tcPr>
            <w:tcW w:w="958" w:type="dxa"/>
            <w:vMerge w:val="restart"/>
            <w:vAlign w:val="center"/>
          </w:tcPr>
          <w:p w:rsidR="00013EC7" w:rsidRDefault="00575CDB">
            <w:pPr>
              <w:spacing w:line="300" w:lineRule="exact"/>
              <w:jc w:val="left"/>
              <w:rPr>
                <w:rFonts w:eastAsia="方正书宋简体"/>
                <w:sz w:val="24"/>
              </w:rPr>
            </w:pPr>
            <w:r>
              <w:rPr>
                <w:rFonts w:ascii="仿宋" w:eastAsia="仿宋" w:hAnsi="仿宋" w:cs="仿宋" w:hint="eastAsia"/>
                <w:sz w:val="24"/>
              </w:rPr>
              <w:t>否</w:t>
            </w:r>
          </w:p>
        </w:tc>
        <w:tc>
          <w:tcPr>
            <w:tcW w:w="1104" w:type="dxa"/>
            <w:vMerge w:val="restart"/>
            <w:vAlign w:val="center"/>
          </w:tcPr>
          <w:p w:rsidR="00013EC7" w:rsidRDefault="00575CDB">
            <w:pPr>
              <w:spacing w:line="300" w:lineRule="exact"/>
              <w:jc w:val="left"/>
              <w:rPr>
                <w:rFonts w:eastAsia="方正书宋简体"/>
                <w:sz w:val="24"/>
              </w:rPr>
            </w:pPr>
            <w:r>
              <w:rPr>
                <w:rFonts w:ascii="仿宋" w:eastAsia="仿宋" w:hAnsi="仿宋" w:cs="仿宋" w:hint="eastAsia"/>
                <w:sz w:val="24"/>
              </w:rPr>
              <w:t>征管科技处</w:t>
            </w:r>
          </w:p>
        </w:tc>
        <w:tc>
          <w:tcPr>
            <w:tcW w:w="1476" w:type="dxa"/>
            <w:vMerge w:val="restart"/>
            <w:vAlign w:val="center"/>
          </w:tcPr>
          <w:p w:rsidR="00013EC7" w:rsidRDefault="00013EC7">
            <w:pPr>
              <w:spacing w:line="300" w:lineRule="exact"/>
              <w:jc w:val="left"/>
              <w:rPr>
                <w:rFonts w:ascii="仿宋" w:eastAsia="仿宋" w:hAnsi="仿宋" w:cs="仿宋"/>
                <w:kern w:val="1"/>
                <w:sz w:val="24"/>
              </w:rPr>
            </w:pPr>
          </w:p>
        </w:tc>
      </w:tr>
      <w:tr w:rsidR="00013EC7" w:rsidTr="00362C3A">
        <w:trPr>
          <w:trHeight w:val="2396"/>
          <w:jc w:val="center"/>
        </w:trPr>
        <w:tc>
          <w:tcPr>
            <w:tcW w:w="672" w:type="dxa"/>
            <w:vMerge/>
            <w:vAlign w:val="center"/>
          </w:tcPr>
          <w:p w:rsidR="00013EC7" w:rsidRDefault="00013EC7">
            <w:pPr>
              <w:spacing w:line="300" w:lineRule="exact"/>
              <w:jc w:val="left"/>
              <w:rPr>
                <w:rFonts w:eastAsia="方正书宋简体"/>
                <w:sz w:val="24"/>
              </w:rPr>
            </w:pPr>
          </w:p>
        </w:tc>
        <w:tc>
          <w:tcPr>
            <w:tcW w:w="1035" w:type="dxa"/>
            <w:vMerge/>
            <w:vAlign w:val="center"/>
          </w:tcPr>
          <w:p w:rsidR="00013EC7" w:rsidRDefault="00013EC7">
            <w:pPr>
              <w:spacing w:line="310" w:lineRule="exact"/>
              <w:jc w:val="left"/>
              <w:rPr>
                <w:rFonts w:eastAsia="方正书宋简体"/>
                <w:sz w:val="24"/>
              </w:rPr>
            </w:pPr>
          </w:p>
        </w:tc>
        <w:tc>
          <w:tcPr>
            <w:tcW w:w="3203" w:type="dxa"/>
            <w:vMerge/>
            <w:vAlign w:val="center"/>
          </w:tcPr>
          <w:p w:rsidR="00013EC7" w:rsidRDefault="00013EC7">
            <w:pPr>
              <w:jc w:val="left"/>
              <w:rPr>
                <w:sz w:val="24"/>
              </w:rPr>
            </w:pPr>
          </w:p>
        </w:tc>
        <w:tc>
          <w:tcPr>
            <w:tcW w:w="2179" w:type="dxa"/>
            <w:vAlign w:val="center"/>
          </w:tcPr>
          <w:p w:rsidR="00013EC7" w:rsidRDefault="00575CDB">
            <w:pPr>
              <w:rPr>
                <w:rFonts w:ascii="宋体" w:hAnsi="宋体" w:cs="宋体"/>
                <w:kern w:val="1"/>
                <w:sz w:val="24"/>
              </w:rPr>
            </w:pPr>
            <w:r>
              <w:rPr>
                <w:rFonts w:ascii="仿宋" w:eastAsia="仿宋" w:hAnsi="仿宋" w:cs="仿宋" w:hint="eastAsia"/>
                <w:sz w:val="24"/>
              </w:rPr>
              <w:t>（二）单位纳税人应提供上级主管部门批复文件或董事会决议</w:t>
            </w:r>
            <w:r>
              <w:rPr>
                <w:rFonts w:ascii="仿宋" w:eastAsia="仿宋" w:hAnsi="仿宋" w:cs="仿宋" w:hint="eastAsia"/>
                <w:sz w:val="24"/>
                <w:highlight w:val="lightGray"/>
              </w:rPr>
              <w:t>原件及</w:t>
            </w:r>
            <w:r>
              <w:rPr>
                <w:rFonts w:ascii="仿宋" w:eastAsia="仿宋" w:hAnsi="仿宋" w:cs="仿宋" w:hint="eastAsia"/>
                <w:sz w:val="24"/>
              </w:rPr>
              <w:t>复印件（加盖公章）。</w:t>
            </w:r>
          </w:p>
        </w:tc>
        <w:tc>
          <w:tcPr>
            <w:tcW w:w="1288" w:type="dxa"/>
            <w:vMerge/>
            <w:vAlign w:val="center"/>
          </w:tcPr>
          <w:p w:rsidR="00013EC7" w:rsidRDefault="00013EC7">
            <w:pPr>
              <w:spacing w:line="300" w:lineRule="exact"/>
              <w:rPr>
                <w:rFonts w:eastAsia="方正书宋简体"/>
                <w:sz w:val="24"/>
              </w:rPr>
            </w:pPr>
          </w:p>
        </w:tc>
        <w:tc>
          <w:tcPr>
            <w:tcW w:w="2837" w:type="dxa"/>
            <w:vAlign w:val="center"/>
          </w:tcPr>
          <w:p w:rsidR="00013EC7" w:rsidRDefault="00575CDB">
            <w:pPr>
              <w:rPr>
                <w:rFonts w:ascii="宋体" w:hAnsi="宋体" w:cs="宋体"/>
                <w:kern w:val="1"/>
                <w:sz w:val="24"/>
              </w:rPr>
            </w:pPr>
            <w:r>
              <w:rPr>
                <w:rFonts w:ascii="仿宋" w:eastAsia="仿宋" w:hAnsi="仿宋" w:cs="仿宋" w:hint="eastAsia"/>
                <w:sz w:val="24"/>
              </w:rPr>
              <w:t>（二）</w:t>
            </w:r>
            <w:r>
              <w:rPr>
                <w:rFonts w:ascii="仿宋" w:eastAsia="仿宋" w:hAnsi="仿宋" w:cs="仿宋" w:hint="eastAsia"/>
                <w:kern w:val="1"/>
                <w:sz w:val="24"/>
              </w:rPr>
              <w:t>单位纳税人应提供上级主管部门批复文件或董事会决议复印件（注明与原件一致，并加盖公章）。</w:t>
            </w:r>
          </w:p>
        </w:tc>
        <w:tc>
          <w:tcPr>
            <w:tcW w:w="1326" w:type="dxa"/>
            <w:vMerge/>
            <w:vAlign w:val="center"/>
          </w:tcPr>
          <w:p w:rsidR="00013EC7" w:rsidRDefault="00013EC7">
            <w:pPr>
              <w:spacing w:line="300" w:lineRule="exact"/>
              <w:rPr>
                <w:rFonts w:eastAsia="方正书宋简体"/>
                <w:sz w:val="24"/>
              </w:rPr>
            </w:pPr>
          </w:p>
        </w:tc>
        <w:tc>
          <w:tcPr>
            <w:tcW w:w="2848" w:type="dxa"/>
            <w:vMerge/>
            <w:vAlign w:val="center"/>
          </w:tcPr>
          <w:p w:rsidR="00013EC7" w:rsidRDefault="00013EC7">
            <w:pPr>
              <w:spacing w:line="300" w:lineRule="exact"/>
              <w:rPr>
                <w:rFonts w:eastAsia="方正书宋简体"/>
                <w:b/>
                <w:sz w:val="24"/>
              </w:rPr>
            </w:pPr>
          </w:p>
        </w:tc>
        <w:tc>
          <w:tcPr>
            <w:tcW w:w="868" w:type="dxa"/>
            <w:vMerge/>
            <w:vAlign w:val="center"/>
          </w:tcPr>
          <w:p w:rsidR="00013EC7" w:rsidRDefault="00013EC7">
            <w:pPr>
              <w:spacing w:line="300" w:lineRule="exact"/>
              <w:rPr>
                <w:rFonts w:eastAsia="方正书宋简体"/>
                <w:sz w:val="24"/>
              </w:rPr>
            </w:pPr>
          </w:p>
        </w:tc>
        <w:tc>
          <w:tcPr>
            <w:tcW w:w="798" w:type="dxa"/>
            <w:vMerge/>
            <w:vAlign w:val="center"/>
          </w:tcPr>
          <w:p w:rsidR="00013EC7" w:rsidRDefault="00013EC7">
            <w:pPr>
              <w:spacing w:line="300" w:lineRule="exact"/>
              <w:rPr>
                <w:rFonts w:eastAsia="方正书宋简体"/>
                <w:sz w:val="24"/>
              </w:rPr>
            </w:pPr>
          </w:p>
        </w:tc>
        <w:tc>
          <w:tcPr>
            <w:tcW w:w="958" w:type="dxa"/>
            <w:vMerge/>
            <w:vAlign w:val="center"/>
          </w:tcPr>
          <w:p w:rsidR="00013EC7" w:rsidRDefault="00013EC7">
            <w:pPr>
              <w:spacing w:line="300" w:lineRule="exact"/>
              <w:jc w:val="left"/>
              <w:rPr>
                <w:rFonts w:eastAsia="方正书宋简体"/>
                <w:sz w:val="24"/>
              </w:rPr>
            </w:pPr>
          </w:p>
        </w:tc>
        <w:tc>
          <w:tcPr>
            <w:tcW w:w="1104" w:type="dxa"/>
            <w:vMerge/>
            <w:vAlign w:val="center"/>
          </w:tcPr>
          <w:p w:rsidR="00013EC7" w:rsidRDefault="00013EC7">
            <w:pPr>
              <w:spacing w:line="300" w:lineRule="exact"/>
              <w:jc w:val="left"/>
              <w:rPr>
                <w:rFonts w:eastAsia="方正书宋简体"/>
                <w:sz w:val="24"/>
              </w:rPr>
            </w:pPr>
          </w:p>
        </w:tc>
        <w:tc>
          <w:tcPr>
            <w:tcW w:w="1476" w:type="dxa"/>
            <w:vMerge/>
            <w:vAlign w:val="center"/>
          </w:tcPr>
          <w:p w:rsidR="00013EC7" w:rsidRDefault="00013EC7">
            <w:pPr>
              <w:spacing w:line="300" w:lineRule="exact"/>
              <w:jc w:val="left"/>
              <w:rPr>
                <w:rFonts w:ascii="仿宋" w:eastAsia="仿宋" w:hAnsi="仿宋" w:cs="仿宋"/>
                <w:kern w:val="1"/>
                <w:sz w:val="24"/>
              </w:rPr>
            </w:pPr>
          </w:p>
        </w:tc>
      </w:tr>
      <w:tr w:rsidR="00013EC7" w:rsidTr="00362C3A">
        <w:trPr>
          <w:trHeight w:val="2257"/>
          <w:jc w:val="center"/>
        </w:trPr>
        <w:tc>
          <w:tcPr>
            <w:tcW w:w="672" w:type="dxa"/>
            <w:vMerge/>
            <w:vAlign w:val="center"/>
          </w:tcPr>
          <w:p w:rsidR="00013EC7" w:rsidRDefault="00013EC7">
            <w:pPr>
              <w:spacing w:line="300" w:lineRule="exact"/>
              <w:jc w:val="left"/>
              <w:rPr>
                <w:rFonts w:eastAsia="方正书宋简体"/>
                <w:sz w:val="24"/>
              </w:rPr>
            </w:pPr>
          </w:p>
        </w:tc>
        <w:tc>
          <w:tcPr>
            <w:tcW w:w="1035" w:type="dxa"/>
            <w:vMerge/>
            <w:vAlign w:val="center"/>
          </w:tcPr>
          <w:p w:rsidR="00013EC7" w:rsidRDefault="00013EC7">
            <w:pPr>
              <w:spacing w:line="310" w:lineRule="exact"/>
              <w:jc w:val="left"/>
              <w:rPr>
                <w:rFonts w:eastAsia="方正书宋简体"/>
                <w:sz w:val="24"/>
              </w:rPr>
            </w:pPr>
          </w:p>
        </w:tc>
        <w:tc>
          <w:tcPr>
            <w:tcW w:w="3203" w:type="dxa"/>
            <w:vMerge/>
            <w:vAlign w:val="center"/>
          </w:tcPr>
          <w:p w:rsidR="00013EC7" w:rsidRDefault="00013EC7">
            <w:pPr>
              <w:jc w:val="left"/>
              <w:rPr>
                <w:sz w:val="24"/>
              </w:rPr>
            </w:pPr>
          </w:p>
        </w:tc>
        <w:tc>
          <w:tcPr>
            <w:tcW w:w="2179" w:type="dxa"/>
            <w:vAlign w:val="center"/>
          </w:tcPr>
          <w:p w:rsidR="00013EC7" w:rsidRDefault="00575CDB">
            <w:pPr>
              <w:spacing w:line="310" w:lineRule="exact"/>
              <w:jc w:val="left"/>
              <w:rPr>
                <w:rFonts w:ascii="宋体" w:hAnsi="宋体" w:cs="宋体"/>
                <w:kern w:val="1"/>
                <w:sz w:val="24"/>
              </w:rPr>
            </w:pPr>
            <w:r>
              <w:rPr>
                <w:rFonts w:ascii="仿宋" w:eastAsia="仿宋" w:hAnsi="仿宋" w:cs="仿宋" w:hint="eastAsia"/>
                <w:sz w:val="24"/>
              </w:rPr>
              <w:t>（三）非居民企业应提供项目完工证明、验收证明等相关文件</w:t>
            </w:r>
            <w:r>
              <w:rPr>
                <w:rFonts w:ascii="仿宋" w:eastAsia="仿宋" w:hAnsi="仿宋" w:cs="仿宋" w:hint="eastAsia"/>
                <w:sz w:val="24"/>
                <w:highlight w:val="lightGray"/>
              </w:rPr>
              <w:t>原件及</w:t>
            </w:r>
            <w:r>
              <w:rPr>
                <w:rFonts w:ascii="仿宋" w:eastAsia="仿宋" w:hAnsi="仿宋" w:cs="仿宋" w:hint="eastAsia"/>
                <w:sz w:val="24"/>
              </w:rPr>
              <w:t>复印件（加盖公章）。</w:t>
            </w:r>
          </w:p>
        </w:tc>
        <w:tc>
          <w:tcPr>
            <w:tcW w:w="1288" w:type="dxa"/>
            <w:vMerge/>
            <w:vAlign w:val="center"/>
          </w:tcPr>
          <w:p w:rsidR="00013EC7" w:rsidRDefault="00013EC7">
            <w:pPr>
              <w:spacing w:line="300" w:lineRule="exact"/>
              <w:rPr>
                <w:rFonts w:eastAsia="方正书宋简体"/>
                <w:sz w:val="24"/>
              </w:rPr>
            </w:pPr>
          </w:p>
        </w:tc>
        <w:tc>
          <w:tcPr>
            <w:tcW w:w="2837" w:type="dxa"/>
            <w:vAlign w:val="center"/>
          </w:tcPr>
          <w:p w:rsidR="00013EC7" w:rsidRDefault="00575CDB">
            <w:pPr>
              <w:rPr>
                <w:rFonts w:ascii="宋体" w:hAnsi="宋体" w:cs="宋体"/>
                <w:kern w:val="1"/>
                <w:sz w:val="24"/>
              </w:rPr>
            </w:pPr>
            <w:r>
              <w:rPr>
                <w:rFonts w:ascii="仿宋" w:eastAsia="仿宋" w:hAnsi="仿宋" w:cs="仿宋" w:hint="eastAsia"/>
                <w:kern w:val="1"/>
                <w:sz w:val="24"/>
              </w:rPr>
              <w:t>（三）非居民企业提供项目完工证明、验收证明等相关文件复印件（注明与原件一致，并加盖公章）。</w:t>
            </w:r>
          </w:p>
        </w:tc>
        <w:tc>
          <w:tcPr>
            <w:tcW w:w="1326" w:type="dxa"/>
            <w:vMerge/>
            <w:vAlign w:val="center"/>
          </w:tcPr>
          <w:p w:rsidR="00013EC7" w:rsidRDefault="00013EC7">
            <w:pPr>
              <w:spacing w:line="300" w:lineRule="exact"/>
              <w:rPr>
                <w:rFonts w:eastAsia="方正书宋简体"/>
                <w:sz w:val="24"/>
              </w:rPr>
            </w:pPr>
          </w:p>
        </w:tc>
        <w:tc>
          <w:tcPr>
            <w:tcW w:w="2848" w:type="dxa"/>
            <w:vMerge/>
            <w:vAlign w:val="center"/>
          </w:tcPr>
          <w:p w:rsidR="00013EC7" w:rsidRDefault="00013EC7">
            <w:pPr>
              <w:spacing w:line="300" w:lineRule="exact"/>
              <w:rPr>
                <w:rFonts w:eastAsia="方正书宋简体"/>
                <w:b/>
                <w:sz w:val="24"/>
              </w:rPr>
            </w:pPr>
          </w:p>
        </w:tc>
        <w:tc>
          <w:tcPr>
            <w:tcW w:w="868" w:type="dxa"/>
            <w:vMerge/>
            <w:vAlign w:val="center"/>
          </w:tcPr>
          <w:p w:rsidR="00013EC7" w:rsidRDefault="00013EC7">
            <w:pPr>
              <w:spacing w:line="300" w:lineRule="exact"/>
              <w:rPr>
                <w:rFonts w:eastAsia="方正书宋简体"/>
                <w:sz w:val="24"/>
              </w:rPr>
            </w:pPr>
          </w:p>
        </w:tc>
        <w:tc>
          <w:tcPr>
            <w:tcW w:w="798" w:type="dxa"/>
            <w:vMerge/>
            <w:vAlign w:val="center"/>
          </w:tcPr>
          <w:p w:rsidR="00013EC7" w:rsidRDefault="00013EC7">
            <w:pPr>
              <w:spacing w:line="300" w:lineRule="exact"/>
              <w:rPr>
                <w:rFonts w:eastAsia="方正书宋简体"/>
                <w:sz w:val="24"/>
              </w:rPr>
            </w:pPr>
          </w:p>
        </w:tc>
        <w:tc>
          <w:tcPr>
            <w:tcW w:w="958" w:type="dxa"/>
            <w:vMerge/>
            <w:vAlign w:val="center"/>
          </w:tcPr>
          <w:p w:rsidR="00013EC7" w:rsidRDefault="00013EC7">
            <w:pPr>
              <w:spacing w:line="300" w:lineRule="exact"/>
              <w:jc w:val="left"/>
              <w:rPr>
                <w:rFonts w:eastAsia="方正书宋简体"/>
                <w:sz w:val="24"/>
              </w:rPr>
            </w:pPr>
          </w:p>
        </w:tc>
        <w:tc>
          <w:tcPr>
            <w:tcW w:w="1104" w:type="dxa"/>
            <w:vMerge/>
            <w:vAlign w:val="center"/>
          </w:tcPr>
          <w:p w:rsidR="00013EC7" w:rsidRDefault="00013EC7">
            <w:pPr>
              <w:spacing w:line="300" w:lineRule="exact"/>
              <w:jc w:val="left"/>
              <w:rPr>
                <w:rFonts w:eastAsia="方正书宋简体"/>
                <w:sz w:val="24"/>
              </w:rPr>
            </w:pPr>
          </w:p>
        </w:tc>
        <w:tc>
          <w:tcPr>
            <w:tcW w:w="1476" w:type="dxa"/>
            <w:vMerge/>
            <w:vAlign w:val="center"/>
          </w:tcPr>
          <w:p w:rsidR="00013EC7" w:rsidRDefault="00013EC7">
            <w:pPr>
              <w:spacing w:line="300" w:lineRule="exact"/>
              <w:jc w:val="left"/>
              <w:rPr>
                <w:rFonts w:ascii="仿宋" w:eastAsia="仿宋" w:hAnsi="仿宋" w:cs="仿宋"/>
                <w:kern w:val="1"/>
                <w:sz w:val="24"/>
              </w:rPr>
            </w:pPr>
          </w:p>
        </w:tc>
      </w:tr>
      <w:tr w:rsidR="00013EC7" w:rsidTr="00362C3A">
        <w:trPr>
          <w:trHeight w:val="1977"/>
          <w:jc w:val="center"/>
        </w:trPr>
        <w:tc>
          <w:tcPr>
            <w:tcW w:w="672" w:type="dxa"/>
            <w:vMerge/>
            <w:textDirection w:val="tbRlV"/>
            <w:vAlign w:val="center"/>
          </w:tcPr>
          <w:p w:rsidR="00013EC7" w:rsidRDefault="00013EC7">
            <w:pPr>
              <w:jc w:val="left"/>
              <w:rPr>
                <w:sz w:val="24"/>
              </w:rPr>
            </w:pPr>
          </w:p>
        </w:tc>
        <w:tc>
          <w:tcPr>
            <w:tcW w:w="1035" w:type="dxa"/>
            <w:vMerge/>
            <w:vAlign w:val="center"/>
          </w:tcPr>
          <w:p w:rsidR="00013EC7" w:rsidRDefault="00013EC7">
            <w:pPr>
              <w:jc w:val="left"/>
              <w:rPr>
                <w:sz w:val="24"/>
              </w:rPr>
            </w:pPr>
          </w:p>
        </w:tc>
        <w:tc>
          <w:tcPr>
            <w:tcW w:w="3203" w:type="dxa"/>
            <w:vMerge/>
            <w:vAlign w:val="center"/>
          </w:tcPr>
          <w:p w:rsidR="00013EC7" w:rsidRDefault="00013EC7">
            <w:pPr>
              <w:jc w:val="left"/>
              <w:rPr>
                <w:sz w:val="24"/>
              </w:rPr>
            </w:pPr>
          </w:p>
        </w:tc>
        <w:tc>
          <w:tcPr>
            <w:tcW w:w="2179" w:type="dxa"/>
            <w:vAlign w:val="center"/>
          </w:tcPr>
          <w:p w:rsidR="00013EC7" w:rsidRDefault="00575CDB">
            <w:pPr>
              <w:rPr>
                <w:rFonts w:ascii="宋体" w:hAnsi="宋体" w:cs="宋体"/>
                <w:kern w:val="1"/>
                <w:sz w:val="24"/>
              </w:rPr>
            </w:pPr>
            <w:r>
              <w:rPr>
                <w:rFonts w:ascii="仿宋" w:eastAsia="仿宋" w:hAnsi="仿宋" w:cs="仿宋" w:hint="eastAsia"/>
                <w:kern w:val="1"/>
                <w:sz w:val="24"/>
                <w:highlight w:val="lightGray"/>
              </w:rPr>
              <w:t>（四）经办人身份证明。</w:t>
            </w:r>
          </w:p>
        </w:tc>
        <w:tc>
          <w:tcPr>
            <w:tcW w:w="1288" w:type="dxa"/>
            <w:vMerge/>
            <w:vAlign w:val="center"/>
          </w:tcPr>
          <w:p w:rsidR="00013EC7" w:rsidRDefault="00013EC7">
            <w:pPr>
              <w:rPr>
                <w:sz w:val="24"/>
              </w:rPr>
            </w:pPr>
          </w:p>
        </w:tc>
        <w:tc>
          <w:tcPr>
            <w:tcW w:w="2837" w:type="dxa"/>
            <w:vAlign w:val="center"/>
          </w:tcPr>
          <w:p w:rsidR="00013EC7" w:rsidRDefault="00013EC7">
            <w:pPr>
              <w:rPr>
                <w:rFonts w:eastAsia="方正书宋简体"/>
                <w:sz w:val="24"/>
              </w:rPr>
            </w:pPr>
          </w:p>
        </w:tc>
        <w:tc>
          <w:tcPr>
            <w:tcW w:w="1326" w:type="dxa"/>
            <w:vAlign w:val="center"/>
          </w:tcPr>
          <w:p w:rsidR="00013EC7" w:rsidRDefault="00575CDB">
            <w:pPr>
              <w:rPr>
                <w:rFonts w:ascii="方正书宋简体" w:eastAsia="方正书宋简体"/>
                <w:b/>
                <w:sz w:val="24"/>
              </w:rPr>
            </w:pPr>
            <w:r>
              <w:rPr>
                <w:rFonts w:ascii="仿宋" w:eastAsia="仿宋" w:hAnsi="仿宋" w:cs="仿宋" w:hint="eastAsia"/>
                <w:b/>
                <w:bCs/>
                <w:i/>
                <w:iCs/>
                <w:sz w:val="24"/>
              </w:rPr>
              <w:t>取消</w:t>
            </w:r>
          </w:p>
        </w:tc>
        <w:tc>
          <w:tcPr>
            <w:tcW w:w="2848" w:type="dxa"/>
            <w:vAlign w:val="center"/>
          </w:tcPr>
          <w:p w:rsidR="00013EC7" w:rsidRDefault="00013EC7">
            <w:pPr>
              <w:spacing w:line="300" w:lineRule="exact"/>
              <w:rPr>
                <w:rFonts w:eastAsia="方正书宋简体"/>
                <w:sz w:val="24"/>
              </w:rPr>
            </w:pPr>
          </w:p>
        </w:tc>
        <w:tc>
          <w:tcPr>
            <w:tcW w:w="868" w:type="dxa"/>
            <w:vMerge/>
            <w:vAlign w:val="center"/>
          </w:tcPr>
          <w:p w:rsidR="00013EC7" w:rsidRDefault="00013EC7">
            <w:pPr>
              <w:rPr>
                <w:sz w:val="24"/>
              </w:rPr>
            </w:pPr>
          </w:p>
        </w:tc>
        <w:tc>
          <w:tcPr>
            <w:tcW w:w="798" w:type="dxa"/>
            <w:vMerge/>
            <w:vAlign w:val="center"/>
          </w:tcPr>
          <w:p w:rsidR="00013EC7" w:rsidRDefault="00013EC7">
            <w:pPr>
              <w:rPr>
                <w:sz w:val="24"/>
              </w:rPr>
            </w:pPr>
          </w:p>
        </w:tc>
        <w:tc>
          <w:tcPr>
            <w:tcW w:w="958" w:type="dxa"/>
            <w:vMerge/>
            <w:vAlign w:val="center"/>
          </w:tcPr>
          <w:p w:rsidR="00013EC7" w:rsidRDefault="00013EC7">
            <w:pPr>
              <w:jc w:val="left"/>
              <w:rPr>
                <w:sz w:val="24"/>
              </w:rPr>
            </w:pPr>
          </w:p>
        </w:tc>
        <w:tc>
          <w:tcPr>
            <w:tcW w:w="1104" w:type="dxa"/>
            <w:vMerge/>
            <w:vAlign w:val="center"/>
          </w:tcPr>
          <w:p w:rsidR="00013EC7" w:rsidRDefault="00013EC7">
            <w:pPr>
              <w:jc w:val="left"/>
              <w:rPr>
                <w:sz w:val="24"/>
              </w:rPr>
            </w:pPr>
          </w:p>
        </w:tc>
        <w:tc>
          <w:tcPr>
            <w:tcW w:w="1476" w:type="dxa"/>
            <w:vMerge/>
            <w:vAlign w:val="center"/>
          </w:tcPr>
          <w:p w:rsidR="00013EC7" w:rsidRDefault="00013EC7">
            <w:pPr>
              <w:spacing w:line="300" w:lineRule="exact"/>
              <w:jc w:val="left"/>
              <w:rPr>
                <w:rFonts w:ascii="仿宋" w:eastAsia="仿宋" w:hAnsi="仿宋" w:cs="仿宋"/>
                <w:kern w:val="1"/>
                <w:sz w:val="24"/>
              </w:rPr>
            </w:pPr>
          </w:p>
        </w:tc>
      </w:tr>
      <w:tr w:rsidR="00013EC7" w:rsidTr="00362C3A">
        <w:trPr>
          <w:trHeight w:val="947"/>
          <w:jc w:val="center"/>
        </w:trPr>
        <w:tc>
          <w:tcPr>
            <w:tcW w:w="672" w:type="dxa"/>
            <w:vMerge/>
            <w:textDirection w:val="tbRlV"/>
            <w:vAlign w:val="center"/>
          </w:tcPr>
          <w:p w:rsidR="00013EC7" w:rsidRDefault="00013EC7">
            <w:pPr>
              <w:jc w:val="left"/>
              <w:rPr>
                <w:sz w:val="24"/>
              </w:rPr>
            </w:pPr>
          </w:p>
        </w:tc>
        <w:tc>
          <w:tcPr>
            <w:tcW w:w="1035" w:type="dxa"/>
            <w:vMerge/>
            <w:vAlign w:val="center"/>
          </w:tcPr>
          <w:p w:rsidR="00013EC7" w:rsidRDefault="00013EC7">
            <w:pPr>
              <w:jc w:val="left"/>
              <w:rPr>
                <w:sz w:val="24"/>
              </w:rPr>
            </w:pPr>
          </w:p>
        </w:tc>
        <w:tc>
          <w:tcPr>
            <w:tcW w:w="3203" w:type="dxa"/>
            <w:vMerge/>
            <w:vAlign w:val="center"/>
          </w:tcPr>
          <w:p w:rsidR="00013EC7" w:rsidRDefault="00013EC7">
            <w:pPr>
              <w:jc w:val="left"/>
              <w:rPr>
                <w:sz w:val="24"/>
              </w:rPr>
            </w:pPr>
          </w:p>
        </w:tc>
        <w:tc>
          <w:tcPr>
            <w:tcW w:w="2179" w:type="dxa"/>
            <w:vAlign w:val="center"/>
          </w:tcPr>
          <w:p w:rsidR="00013EC7" w:rsidRDefault="00013EC7">
            <w:pPr>
              <w:rPr>
                <w:rFonts w:ascii="仿宋" w:eastAsia="仿宋" w:hAnsi="仿宋" w:cs="仿宋"/>
                <w:kern w:val="1"/>
                <w:sz w:val="24"/>
              </w:rPr>
            </w:pPr>
          </w:p>
          <w:p w:rsidR="00013EC7" w:rsidRDefault="00575CDB">
            <w:pPr>
              <w:rPr>
                <w:rFonts w:ascii="仿宋" w:eastAsia="仿宋" w:hAnsi="仿宋" w:cs="仿宋"/>
                <w:kern w:val="1"/>
                <w:sz w:val="24"/>
              </w:rPr>
            </w:pPr>
            <w:r>
              <w:rPr>
                <w:rFonts w:ascii="仿宋" w:eastAsia="仿宋" w:hAnsi="仿宋" w:cs="仿宋" w:hint="eastAsia"/>
                <w:kern w:val="1"/>
                <w:sz w:val="24"/>
              </w:rPr>
              <w:t>（五）工商行政管理机关发出的吊销工商营业执照决定</w:t>
            </w:r>
            <w:r>
              <w:rPr>
                <w:rFonts w:ascii="仿宋" w:eastAsia="仿宋" w:hAnsi="仿宋" w:cs="仿宋" w:hint="eastAsia"/>
                <w:kern w:val="1"/>
                <w:sz w:val="24"/>
                <w:highlight w:val="lightGray"/>
              </w:rPr>
              <w:t>原</w:t>
            </w:r>
            <w:r>
              <w:rPr>
                <w:rFonts w:ascii="仿宋" w:eastAsia="仿宋" w:hAnsi="仿宋" w:cs="仿宋" w:hint="eastAsia"/>
                <w:kern w:val="1"/>
                <w:sz w:val="24"/>
                <w:highlight w:val="lightGray"/>
              </w:rPr>
              <w:lastRenderedPageBreak/>
              <w:t>件及复印件</w:t>
            </w:r>
            <w:r>
              <w:rPr>
                <w:rFonts w:ascii="仿宋" w:eastAsia="仿宋" w:hAnsi="仿宋" w:cs="仿宋" w:hint="eastAsia"/>
                <w:kern w:val="1"/>
                <w:sz w:val="24"/>
              </w:rPr>
              <w:t>。</w:t>
            </w:r>
          </w:p>
          <w:p w:rsidR="00013EC7" w:rsidRDefault="00013EC7">
            <w:pPr>
              <w:rPr>
                <w:rFonts w:ascii="仿宋" w:eastAsia="仿宋" w:hAnsi="仿宋" w:cs="仿宋"/>
                <w:sz w:val="24"/>
              </w:rPr>
            </w:pPr>
          </w:p>
          <w:p w:rsidR="00013EC7" w:rsidRDefault="00013EC7">
            <w:pPr>
              <w:rPr>
                <w:rFonts w:ascii="仿宋" w:eastAsia="仿宋" w:hAnsi="仿宋" w:cs="仿宋"/>
                <w:sz w:val="24"/>
              </w:rPr>
            </w:pPr>
          </w:p>
        </w:tc>
        <w:tc>
          <w:tcPr>
            <w:tcW w:w="1288" w:type="dxa"/>
            <w:vMerge/>
            <w:vAlign w:val="center"/>
          </w:tcPr>
          <w:p w:rsidR="00013EC7" w:rsidRDefault="00013EC7">
            <w:pPr>
              <w:rPr>
                <w:sz w:val="24"/>
              </w:rPr>
            </w:pPr>
          </w:p>
        </w:tc>
        <w:tc>
          <w:tcPr>
            <w:tcW w:w="2837"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（四）工商营业执照被吊销的应提交工商行政管理部门发出的吊销决定信息。</w:t>
            </w:r>
          </w:p>
        </w:tc>
        <w:tc>
          <w:tcPr>
            <w:tcW w:w="1326" w:type="dxa"/>
            <w:vAlign w:val="center"/>
          </w:tcPr>
          <w:p w:rsidR="00013EC7" w:rsidRDefault="00575CDB">
            <w:pPr>
              <w:spacing w:line="300" w:lineRule="exact"/>
              <w:rPr>
                <w:rFonts w:ascii="仿宋" w:eastAsia="仿宋" w:hAnsi="仿宋" w:cs="仿宋"/>
                <w:b/>
                <w:bCs/>
                <w:i/>
                <w:iCs/>
                <w:sz w:val="24"/>
              </w:rPr>
            </w:pPr>
            <w:r>
              <w:rPr>
                <w:rFonts w:ascii="仿宋" w:eastAsia="仿宋" w:hAnsi="仿宋" w:cs="仿宋" w:hint="eastAsia"/>
                <w:b/>
                <w:bCs/>
                <w:i/>
                <w:iCs/>
                <w:sz w:val="24"/>
              </w:rPr>
              <w:t>经办机构</w:t>
            </w:r>
          </w:p>
          <w:p w:rsidR="00013EC7" w:rsidRDefault="00575CDB">
            <w:pPr>
              <w:rPr>
                <w:rFonts w:ascii="方正书宋简体" w:eastAsia="方正书宋简体"/>
                <w:b/>
                <w:sz w:val="24"/>
              </w:rPr>
            </w:pPr>
            <w:r>
              <w:rPr>
                <w:rFonts w:ascii="仿宋" w:eastAsia="仿宋" w:hAnsi="仿宋" w:cs="仿宋" w:hint="eastAsia"/>
                <w:b/>
                <w:bCs/>
                <w:i/>
                <w:iCs/>
                <w:sz w:val="24"/>
              </w:rPr>
              <w:t>自行获取</w:t>
            </w:r>
          </w:p>
        </w:tc>
        <w:tc>
          <w:tcPr>
            <w:tcW w:w="2848" w:type="dxa"/>
            <w:vAlign w:val="center"/>
          </w:tcPr>
          <w:p w:rsidR="00013EC7" w:rsidRDefault="00575CDB">
            <w:pPr>
              <w:spacing w:line="300" w:lineRule="exact"/>
              <w:rPr>
                <w:rFonts w:eastAsia="方正书宋简体"/>
                <w:sz w:val="24"/>
              </w:rPr>
            </w:pPr>
            <w:r>
              <w:rPr>
                <w:rFonts w:ascii="仿宋" w:eastAsia="仿宋" w:hAnsi="仿宋" w:cs="仿宋" w:hint="eastAsia"/>
                <w:b/>
                <w:bCs/>
                <w:sz w:val="24"/>
              </w:rPr>
              <w:t>外部共享：</w:t>
            </w:r>
            <w:r>
              <w:rPr>
                <w:rFonts w:ascii="仿宋" w:eastAsia="仿宋" w:hAnsi="仿宋" w:cs="仿宋" w:hint="eastAsia"/>
                <w:sz w:val="24"/>
              </w:rPr>
              <w:t>由省工商局提供共享。</w:t>
            </w:r>
          </w:p>
        </w:tc>
        <w:tc>
          <w:tcPr>
            <w:tcW w:w="868" w:type="dxa"/>
            <w:vMerge/>
            <w:vAlign w:val="center"/>
          </w:tcPr>
          <w:p w:rsidR="00013EC7" w:rsidRDefault="00013EC7">
            <w:pPr>
              <w:rPr>
                <w:sz w:val="24"/>
              </w:rPr>
            </w:pPr>
          </w:p>
        </w:tc>
        <w:tc>
          <w:tcPr>
            <w:tcW w:w="798" w:type="dxa"/>
            <w:vMerge/>
            <w:vAlign w:val="center"/>
          </w:tcPr>
          <w:p w:rsidR="00013EC7" w:rsidRDefault="00013EC7">
            <w:pPr>
              <w:rPr>
                <w:sz w:val="24"/>
              </w:rPr>
            </w:pPr>
          </w:p>
        </w:tc>
        <w:tc>
          <w:tcPr>
            <w:tcW w:w="958" w:type="dxa"/>
            <w:vMerge/>
            <w:vAlign w:val="center"/>
          </w:tcPr>
          <w:p w:rsidR="00013EC7" w:rsidRDefault="00013EC7">
            <w:pPr>
              <w:jc w:val="left"/>
              <w:rPr>
                <w:sz w:val="24"/>
              </w:rPr>
            </w:pPr>
          </w:p>
        </w:tc>
        <w:tc>
          <w:tcPr>
            <w:tcW w:w="1104" w:type="dxa"/>
            <w:vMerge/>
            <w:vAlign w:val="center"/>
          </w:tcPr>
          <w:p w:rsidR="00013EC7" w:rsidRDefault="00013EC7">
            <w:pPr>
              <w:jc w:val="left"/>
              <w:rPr>
                <w:sz w:val="24"/>
              </w:rPr>
            </w:pPr>
          </w:p>
        </w:tc>
        <w:tc>
          <w:tcPr>
            <w:tcW w:w="1476" w:type="dxa"/>
            <w:vMerge/>
            <w:vAlign w:val="center"/>
          </w:tcPr>
          <w:p w:rsidR="00013EC7" w:rsidRDefault="00013EC7">
            <w:pPr>
              <w:jc w:val="left"/>
              <w:rPr>
                <w:sz w:val="24"/>
              </w:rPr>
            </w:pPr>
          </w:p>
        </w:tc>
      </w:tr>
      <w:tr w:rsidR="00013EC7" w:rsidTr="00362C3A">
        <w:trPr>
          <w:trHeight w:val="800"/>
          <w:jc w:val="center"/>
        </w:trPr>
        <w:tc>
          <w:tcPr>
            <w:tcW w:w="672" w:type="dxa"/>
            <w:vMerge/>
            <w:textDirection w:val="tbRlV"/>
            <w:vAlign w:val="center"/>
          </w:tcPr>
          <w:p w:rsidR="00013EC7" w:rsidRDefault="00013EC7">
            <w:pPr>
              <w:jc w:val="left"/>
              <w:rPr>
                <w:sz w:val="24"/>
              </w:rPr>
            </w:pPr>
          </w:p>
        </w:tc>
        <w:tc>
          <w:tcPr>
            <w:tcW w:w="1035" w:type="dxa"/>
            <w:vMerge/>
            <w:vAlign w:val="center"/>
          </w:tcPr>
          <w:p w:rsidR="00013EC7" w:rsidRDefault="00013EC7">
            <w:pPr>
              <w:jc w:val="left"/>
              <w:rPr>
                <w:sz w:val="24"/>
              </w:rPr>
            </w:pPr>
          </w:p>
        </w:tc>
        <w:tc>
          <w:tcPr>
            <w:tcW w:w="3203" w:type="dxa"/>
            <w:vMerge/>
            <w:vAlign w:val="center"/>
          </w:tcPr>
          <w:p w:rsidR="00013EC7" w:rsidRDefault="00013EC7">
            <w:pPr>
              <w:jc w:val="left"/>
              <w:rPr>
                <w:sz w:val="24"/>
              </w:rPr>
            </w:pPr>
          </w:p>
        </w:tc>
        <w:tc>
          <w:tcPr>
            <w:tcW w:w="2179"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（六）（A02009）《发票领用簿》及未验旧、未使用发票。</w:t>
            </w:r>
          </w:p>
        </w:tc>
        <w:tc>
          <w:tcPr>
            <w:tcW w:w="1288" w:type="dxa"/>
            <w:vMerge/>
            <w:vAlign w:val="center"/>
          </w:tcPr>
          <w:p w:rsidR="00013EC7" w:rsidRDefault="00013EC7">
            <w:pPr>
              <w:rPr>
                <w:sz w:val="24"/>
              </w:rPr>
            </w:pPr>
          </w:p>
        </w:tc>
        <w:tc>
          <w:tcPr>
            <w:tcW w:w="2837"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（五）（A02009）《发票领用簿》及未验旧、未使用的发票。</w:t>
            </w:r>
          </w:p>
        </w:tc>
        <w:tc>
          <w:tcPr>
            <w:tcW w:w="1326" w:type="dxa"/>
            <w:vMerge w:val="restart"/>
            <w:vAlign w:val="center"/>
          </w:tcPr>
          <w:p w:rsidR="00013EC7" w:rsidRDefault="00575CDB">
            <w:pPr>
              <w:rPr>
                <w:rFonts w:ascii="方正书宋简体" w:eastAsia="方正书宋简体"/>
                <w:b/>
                <w:sz w:val="24"/>
              </w:rPr>
            </w:pPr>
            <w:r>
              <w:rPr>
                <w:rFonts w:ascii="仿宋" w:eastAsia="仿宋" w:hAnsi="仿宋" w:cs="仿宋" w:hint="eastAsia"/>
                <w:kern w:val="1"/>
                <w:sz w:val="24"/>
              </w:rPr>
              <w:t>纳税人提交</w:t>
            </w:r>
          </w:p>
        </w:tc>
        <w:tc>
          <w:tcPr>
            <w:tcW w:w="2848" w:type="dxa"/>
            <w:vMerge w:val="restart"/>
            <w:vAlign w:val="center"/>
          </w:tcPr>
          <w:p w:rsidR="00013EC7" w:rsidRDefault="00013EC7">
            <w:pPr>
              <w:spacing w:line="300" w:lineRule="exact"/>
              <w:rPr>
                <w:rFonts w:eastAsia="方正书宋简体"/>
                <w:sz w:val="24"/>
              </w:rPr>
            </w:pPr>
          </w:p>
        </w:tc>
        <w:tc>
          <w:tcPr>
            <w:tcW w:w="868" w:type="dxa"/>
            <w:vMerge/>
            <w:vAlign w:val="center"/>
          </w:tcPr>
          <w:p w:rsidR="00013EC7" w:rsidRDefault="00013EC7">
            <w:pPr>
              <w:rPr>
                <w:sz w:val="24"/>
              </w:rPr>
            </w:pPr>
          </w:p>
        </w:tc>
        <w:tc>
          <w:tcPr>
            <w:tcW w:w="798" w:type="dxa"/>
            <w:vMerge/>
            <w:vAlign w:val="center"/>
          </w:tcPr>
          <w:p w:rsidR="00013EC7" w:rsidRDefault="00013EC7">
            <w:pPr>
              <w:rPr>
                <w:sz w:val="24"/>
              </w:rPr>
            </w:pPr>
          </w:p>
        </w:tc>
        <w:tc>
          <w:tcPr>
            <w:tcW w:w="958" w:type="dxa"/>
            <w:vMerge/>
            <w:vAlign w:val="center"/>
          </w:tcPr>
          <w:p w:rsidR="00013EC7" w:rsidRDefault="00013EC7">
            <w:pPr>
              <w:jc w:val="left"/>
              <w:rPr>
                <w:sz w:val="24"/>
              </w:rPr>
            </w:pPr>
          </w:p>
        </w:tc>
        <w:tc>
          <w:tcPr>
            <w:tcW w:w="1104" w:type="dxa"/>
            <w:vMerge/>
            <w:vAlign w:val="center"/>
          </w:tcPr>
          <w:p w:rsidR="00013EC7" w:rsidRDefault="00013EC7">
            <w:pPr>
              <w:jc w:val="left"/>
              <w:rPr>
                <w:sz w:val="24"/>
              </w:rPr>
            </w:pPr>
          </w:p>
        </w:tc>
        <w:tc>
          <w:tcPr>
            <w:tcW w:w="1476" w:type="dxa"/>
            <w:vMerge/>
            <w:vAlign w:val="center"/>
          </w:tcPr>
          <w:p w:rsidR="00013EC7" w:rsidRDefault="00013EC7">
            <w:pPr>
              <w:jc w:val="left"/>
              <w:rPr>
                <w:sz w:val="24"/>
              </w:rPr>
            </w:pPr>
          </w:p>
        </w:tc>
      </w:tr>
      <w:tr w:rsidR="00013EC7" w:rsidTr="00362C3A">
        <w:trPr>
          <w:trHeight w:val="907"/>
          <w:jc w:val="center"/>
        </w:trPr>
        <w:tc>
          <w:tcPr>
            <w:tcW w:w="672" w:type="dxa"/>
            <w:vMerge/>
            <w:textDirection w:val="tbRlV"/>
            <w:vAlign w:val="center"/>
          </w:tcPr>
          <w:p w:rsidR="00013EC7" w:rsidRDefault="00013EC7">
            <w:pPr>
              <w:jc w:val="left"/>
              <w:rPr>
                <w:sz w:val="24"/>
              </w:rPr>
            </w:pPr>
          </w:p>
        </w:tc>
        <w:tc>
          <w:tcPr>
            <w:tcW w:w="1035" w:type="dxa"/>
            <w:vMerge/>
            <w:vAlign w:val="center"/>
          </w:tcPr>
          <w:p w:rsidR="00013EC7" w:rsidRDefault="00013EC7">
            <w:pPr>
              <w:jc w:val="left"/>
              <w:rPr>
                <w:sz w:val="24"/>
              </w:rPr>
            </w:pPr>
          </w:p>
        </w:tc>
        <w:tc>
          <w:tcPr>
            <w:tcW w:w="3203" w:type="dxa"/>
            <w:vMerge/>
            <w:vAlign w:val="center"/>
          </w:tcPr>
          <w:p w:rsidR="00013EC7" w:rsidRDefault="00013EC7">
            <w:pPr>
              <w:jc w:val="left"/>
              <w:rPr>
                <w:sz w:val="24"/>
              </w:rPr>
            </w:pPr>
          </w:p>
        </w:tc>
        <w:tc>
          <w:tcPr>
            <w:tcW w:w="2179"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（七）使用增值税税控系统的增值税纳税人应提供金税盘、税控盘和报税盘，或者提供金税卡和IC卡。</w:t>
            </w:r>
          </w:p>
        </w:tc>
        <w:tc>
          <w:tcPr>
            <w:tcW w:w="1288" w:type="dxa"/>
            <w:vMerge/>
            <w:vAlign w:val="center"/>
          </w:tcPr>
          <w:p w:rsidR="00013EC7" w:rsidRDefault="00013EC7">
            <w:pPr>
              <w:rPr>
                <w:sz w:val="24"/>
              </w:rPr>
            </w:pPr>
          </w:p>
        </w:tc>
        <w:tc>
          <w:tcPr>
            <w:tcW w:w="2837"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（六）使用增值税税控系统的纳税人应提供金税盘、税控盘和报税盘，或者提供金税卡和IC卡。</w:t>
            </w:r>
          </w:p>
        </w:tc>
        <w:tc>
          <w:tcPr>
            <w:tcW w:w="1326" w:type="dxa"/>
            <w:vMerge/>
            <w:vAlign w:val="center"/>
          </w:tcPr>
          <w:p w:rsidR="00013EC7" w:rsidRDefault="00013EC7">
            <w:pPr>
              <w:rPr>
                <w:rFonts w:ascii="方正书宋简体" w:eastAsia="方正书宋简体"/>
                <w:b/>
                <w:sz w:val="24"/>
              </w:rPr>
            </w:pPr>
          </w:p>
        </w:tc>
        <w:tc>
          <w:tcPr>
            <w:tcW w:w="2848" w:type="dxa"/>
            <w:vMerge/>
            <w:vAlign w:val="center"/>
          </w:tcPr>
          <w:p w:rsidR="00013EC7" w:rsidRDefault="00013EC7">
            <w:pPr>
              <w:spacing w:line="300" w:lineRule="exact"/>
              <w:rPr>
                <w:rFonts w:eastAsia="方正书宋简体"/>
                <w:sz w:val="24"/>
              </w:rPr>
            </w:pPr>
          </w:p>
        </w:tc>
        <w:tc>
          <w:tcPr>
            <w:tcW w:w="868" w:type="dxa"/>
            <w:vMerge/>
            <w:vAlign w:val="center"/>
          </w:tcPr>
          <w:p w:rsidR="00013EC7" w:rsidRDefault="00013EC7">
            <w:pPr>
              <w:rPr>
                <w:sz w:val="24"/>
              </w:rPr>
            </w:pPr>
          </w:p>
        </w:tc>
        <w:tc>
          <w:tcPr>
            <w:tcW w:w="798" w:type="dxa"/>
            <w:vMerge/>
            <w:vAlign w:val="center"/>
          </w:tcPr>
          <w:p w:rsidR="00013EC7" w:rsidRDefault="00013EC7">
            <w:pPr>
              <w:rPr>
                <w:sz w:val="24"/>
              </w:rPr>
            </w:pPr>
          </w:p>
        </w:tc>
        <w:tc>
          <w:tcPr>
            <w:tcW w:w="958" w:type="dxa"/>
            <w:vMerge/>
            <w:vAlign w:val="center"/>
          </w:tcPr>
          <w:p w:rsidR="00013EC7" w:rsidRDefault="00013EC7">
            <w:pPr>
              <w:jc w:val="left"/>
              <w:rPr>
                <w:sz w:val="24"/>
              </w:rPr>
            </w:pPr>
          </w:p>
        </w:tc>
        <w:tc>
          <w:tcPr>
            <w:tcW w:w="1104" w:type="dxa"/>
            <w:vMerge/>
            <w:vAlign w:val="center"/>
          </w:tcPr>
          <w:p w:rsidR="00013EC7" w:rsidRDefault="00013EC7">
            <w:pPr>
              <w:jc w:val="left"/>
              <w:rPr>
                <w:sz w:val="24"/>
              </w:rPr>
            </w:pPr>
          </w:p>
        </w:tc>
        <w:tc>
          <w:tcPr>
            <w:tcW w:w="1476" w:type="dxa"/>
            <w:vMerge/>
            <w:vAlign w:val="center"/>
          </w:tcPr>
          <w:p w:rsidR="00013EC7" w:rsidRDefault="00013EC7">
            <w:pPr>
              <w:jc w:val="left"/>
              <w:rPr>
                <w:sz w:val="24"/>
              </w:rPr>
            </w:pPr>
          </w:p>
        </w:tc>
      </w:tr>
      <w:tr w:rsidR="00013EC7" w:rsidTr="00362C3A">
        <w:trPr>
          <w:trHeight w:val="2496"/>
          <w:jc w:val="center"/>
        </w:trPr>
        <w:tc>
          <w:tcPr>
            <w:tcW w:w="672" w:type="dxa"/>
            <w:vMerge/>
            <w:textDirection w:val="tbRlV"/>
            <w:vAlign w:val="center"/>
          </w:tcPr>
          <w:p w:rsidR="00013EC7" w:rsidRDefault="00013EC7">
            <w:pPr>
              <w:jc w:val="left"/>
              <w:rPr>
                <w:sz w:val="24"/>
              </w:rPr>
            </w:pPr>
          </w:p>
        </w:tc>
        <w:tc>
          <w:tcPr>
            <w:tcW w:w="1035" w:type="dxa"/>
            <w:vMerge/>
            <w:vAlign w:val="center"/>
          </w:tcPr>
          <w:p w:rsidR="00013EC7" w:rsidRDefault="00013EC7">
            <w:pPr>
              <w:jc w:val="left"/>
              <w:rPr>
                <w:sz w:val="24"/>
              </w:rPr>
            </w:pPr>
          </w:p>
        </w:tc>
        <w:tc>
          <w:tcPr>
            <w:tcW w:w="3203" w:type="dxa"/>
            <w:vMerge/>
            <w:vAlign w:val="center"/>
          </w:tcPr>
          <w:p w:rsidR="00013EC7" w:rsidRDefault="00013EC7">
            <w:pPr>
              <w:jc w:val="left"/>
              <w:rPr>
                <w:sz w:val="24"/>
              </w:rPr>
            </w:pPr>
          </w:p>
        </w:tc>
        <w:tc>
          <w:tcPr>
            <w:tcW w:w="2179" w:type="dxa"/>
            <w:vAlign w:val="center"/>
          </w:tcPr>
          <w:p w:rsidR="00013EC7" w:rsidRDefault="00575CDB">
            <w:pPr>
              <w:rPr>
                <w:rFonts w:ascii="仿宋" w:eastAsia="仿宋" w:hAnsi="仿宋" w:cs="仿宋"/>
                <w:sz w:val="24"/>
              </w:rPr>
            </w:pPr>
            <w:r>
              <w:rPr>
                <w:rFonts w:ascii="仿宋" w:eastAsia="仿宋" w:hAnsi="仿宋" w:cs="仿宋" w:hint="eastAsia"/>
                <w:sz w:val="24"/>
              </w:rPr>
              <w:t>（八）涉及企业所得税的企业还需提供（A06213）《中华人民共和国企业清算所得税申报表》及附表。</w:t>
            </w:r>
          </w:p>
        </w:tc>
        <w:tc>
          <w:tcPr>
            <w:tcW w:w="1288" w:type="dxa"/>
            <w:vMerge/>
            <w:vAlign w:val="center"/>
          </w:tcPr>
          <w:p w:rsidR="00013EC7" w:rsidRDefault="00013EC7">
            <w:pPr>
              <w:rPr>
                <w:sz w:val="24"/>
              </w:rPr>
            </w:pPr>
          </w:p>
        </w:tc>
        <w:tc>
          <w:tcPr>
            <w:tcW w:w="2837"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（七）涉及企业所得税的企业还需提供（A06213）《中华人民共和国企业清算所得税申报表》及附表1份。</w:t>
            </w:r>
          </w:p>
        </w:tc>
        <w:tc>
          <w:tcPr>
            <w:tcW w:w="1326" w:type="dxa"/>
            <w:vMerge/>
            <w:vAlign w:val="center"/>
          </w:tcPr>
          <w:p w:rsidR="00013EC7" w:rsidRDefault="00013EC7">
            <w:pPr>
              <w:rPr>
                <w:rFonts w:ascii="方正书宋简体" w:eastAsia="方正书宋简体"/>
                <w:b/>
                <w:sz w:val="24"/>
              </w:rPr>
            </w:pPr>
          </w:p>
        </w:tc>
        <w:tc>
          <w:tcPr>
            <w:tcW w:w="2848" w:type="dxa"/>
            <w:vMerge/>
            <w:vAlign w:val="center"/>
          </w:tcPr>
          <w:p w:rsidR="00013EC7" w:rsidRDefault="00013EC7">
            <w:pPr>
              <w:spacing w:line="300" w:lineRule="exact"/>
              <w:rPr>
                <w:rFonts w:eastAsia="方正书宋简体"/>
                <w:sz w:val="24"/>
              </w:rPr>
            </w:pPr>
          </w:p>
        </w:tc>
        <w:tc>
          <w:tcPr>
            <w:tcW w:w="868" w:type="dxa"/>
            <w:vMerge/>
            <w:vAlign w:val="center"/>
          </w:tcPr>
          <w:p w:rsidR="00013EC7" w:rsidRDefault="00013EC7">
            <w:pPr>
              <w:rPr>
                <w:sz w:val="24"/>
              </w:rPr>
            </w:pPr>
          </w:p>
        </w:tc>
        <w:tc>
          <w:tcPr>
            <w:tcW w:w="798" w:type="dxa"/>
            <w:vMerge/>
            <w:vAlign w:val="center"/>
          </w:tcPr>
          <w:p w:rsidR="00013EC7" w:rsidRDefault="00013EC7">
            <w:pPr>
              <w:rPr>
                <w:sz w:val="24"/>
              </w:rPr>
            </w:pPr>
          </w:p>
        </w:tc>
        <w:tc>
          <w:tcPr>
            <w:tcW w:w="958" w:type="dxa"/>
            <w:vMerge/>
            <w:vAlign w:val="center"/>
          </w:tcPr>
          <w:p w:rsidR="00013EC7" w:rsidRDefault="00013EC7">
            <w:pPr>
              <w:jc w:val="left"/>
              <w:rPr>
                <w:sz w:val="24"/>
              </w:rPr>
            </w:pPr>
          </w:p>
        </w:tc>
        <w:tc>
          <w:tcPr>
            <w:tcW w:w="1104" w:type="dxa"/>
            <w:vMerge/>
            <w:vAlign w:val="center"/>
          </w:tcPr>
          <w:p w:rsidR="00013EC7" w:rsidRDefault="00013EC7">
            <w:pPr>
              <w:jc w:val="left"/>
              <w:rPr>
                <w:sz w:val="24"/>
              </w:rPr>
            </w:pPr>
          </w:p>
        </w:tc>
        <w:tc>
          <w:tcPr>
            <w:tcW w:w="1476" w:type="dxa"/>
            <w:vMerge/>
            <w:vAlign w:val="center"/>
          </w:tcPr>
          <w:p w:rsidR="00013EC7" w:rsidRDefault="00013EC7">
            <w:pPr>
              <w:jc w:val="left"/>
              <w:rPr>
                <w:sz w:val="24"/>
              </w:rPr>
            </w:pPr>
          </w:p>
        </w:tc>
      </w:tr>
      <w:tr w:rsidR="00013EC7" w:rsidTr="00362C3A">
        <w:trPr>
          <w:trHeight w:val="836"/>
          <w:jc w:val="center"/>
        </w:trPr>
        <w:tc>
          <w:tcPr>
            <w:tcW w:w="672" w:type="dxa"/>
            <w:vMerge/>
            <w:textDirection w:val="tbRlV"/>
            <w:vAlign w:val="center"/>
          </w:tcPr>
          <w:p w:rsidR="00013EC7" w:rsidRDefault="00013EC7"/>
        </w:tc>
        <w:tc>
          <w:tcPr>
            <w:tcW w:w="1035" w:type="dxa"/>
            <w:vMerge/>
            <w:vAlign w:val="center"/>
          </w:tcPr>
          <w:p w:rsidR="00013EC7" w:rsidRDefault="00013EC7"/>
        </w:tc>
        <w:tc>
          <w:tcPr>
            <w:tcW w:w="3203" w:type="dxa"/>
            <w:vMerge/>
            <w:vAlign w:val="center"/>
          </w:tcPr>
          <w:p w:rsidR="00013EC7" w:rsidRDefault="00013EC7"/>
        </w:tc>
        <w:tc>
          <w:tcPr>
            <w:tcW w:w="2179" w:type="dxa"/>
            <w:vAlign w:val="center"/>
          </w:tcPr>
          <w:p w:rsidR="00013EC7" w:rsidRDefault="00575CDB">
            <w:pPr>
              <w:jc w:val="left"/>
              <w:rPr>
                <w:rFonts w:ascii="仿宋" w:eastAsia="仿宋" w:hAnsi="仿宋" w:cs="仿宋"/>
                <w:sz w:val="24"/>
              </w:rPr>
            </w:pPr>
            <w:r>
              <w:rPr>
                <w:rFonts w:ascii="仿宋" w:eastAsia="仿宋" w:hAnsi="仿宋" w:cs="仿宋" w:hint="eastAsia"/>
                <w:sz w:val="24"/>
              </w:rPr>
              <w:t>（九）纳税人已经委托中介机构依法出具税款清算鉴证的，可以提供法定资质中介机构出具的专项报告等。</w:t>
            </w:r>
          </w:p>
        </w:tc>
        <w:tc>
          <w:tcPr>
            <w:tcW w:w="1288" w:type="dxa"/>
            <w:vMerge/>
            <w:vAlign w:val="center"/>
          </w:tcPr>
          <w:p w:rsidR="00013EC7" w:rsidRDefault="00013EC7">
            <w:pPr>
              <w:jc w:val="left"/>
              <w:rPr>
                <w:sz w:val="24"/>
              </w:rPr>
            </w:pPr>
          </w:p>
        </w:tc>
        <w:tc>
          <w:tcPr>
            <w:tcW w:w="2837" w:type="dxa"/>
            <w:vAlign w:val="center"/>
          </w:tcPr>
          <w:p w:rsidR="00013EC7" w:rsidRDefault="00575CDB">
            <w:pPr>
              <w:jc w:val="left"/>
              <w:rPr>
                <w:rFonts w:eastAsia="方正书宋简体"/>
                <w:sz w:val="24"/>
              </w:rPr>
            </w:pPr>
            <w:r>
              <w:rPr>
                <w:rFonts w:ascii="仿宋" w:eastAsia="仿宋" w:hAnsi="仿宋" w:cs="仿宋" w:hint="eastAsia"/>
                <w:sz w:val="24"/>
              </w:rPr>
              <w:t>（八）纳税人已经委托中介机构依法出具税款清算鉴证的，可以提供法定资质中介机构出具的专项报告等。</w:t>
            </w:r>
          </w:p>
        </w:tc>
        <w:tc>
          <w:tcPr>
            <w:tcW w:w="1326" w:type="dxa"/>
            <w:vMerge/>
            <w:vAlign w:val="center"/>
          </w:tcPr>
          <w:p w:rsidR="00013EC7" w:rsidRDefault="00013EC7">
            <w:pPr>
              <w:jc w:val="center"/>
              <w:rPr>
                <w:rFonts w:ascii="方正书宋简体" w:eastAsia="方正书宋简体"/>
                <w:b/>
              </w:rPr>
            </w:pPr>
          </w:p>
        </w:tc>
        <w:tc>
          <w:tcPr>
            <w:tcW w:w="2848" w:type="dxa"/>
            <w:vMerge/>
            <w:vAlign w:val="center"/>
          </w:tcPr>
          <w:p w:rsidR="00013EC7" w:rsidRDefault="00013EC7">
            <w:pPr>
              <w:spacing w:line="300" w:lineRule="exact"/>
              <w:rPr>
                <w:rFonts w:eastAsia="方正书宋简体"/>
                <w:szCs w:val="21"/>
              </w:rPr>
            </w:pPr>
          </w:p>
        </w:tc>
        <w:tc>
          <w:tcPr>
            <w:tcW w:w="868" w:type="dxa"/>
            <w:vMerge/>
            <w:vAlign w:val="center"/>
          </w:tcPr>
          <w:p w:rsidR="00013EC7" w:rsidRDefault="00013EC7"/>
        </w:tc>
        <w:tc>
          <w:tcPr>
            <w:tcW w:w="798" w:type="dxa"/>
            <w:vMerge/>
            <w:vAlign w:val="center"/>
          </w:tcPr>
          <w:p w:rsidR="00013EC7" w:rsidRDefault="00013EC7"/>
        </w:tc>
        <w:tc>
          <w:tcPr>
            <w:tcW w:w="958" w:type="dxa"/>
            <w:vMerge/>
            <w:vAlign w:val="center"/>
          </w:tcPr>
          <w:p w:rsidR="00013EC7" w:rsidRDefault="00013EC7"/>
        </w:tc>
        <w:tc>
          <w:tcPr>
            <w:tcW w:w="1104" w:type="dxa"/>
            <w:vMerge/>
            <w:vAlign w:val="center"/>
          </w:tcPr>
          <w:p w:rsidR="00013EC7" w:rsidRDefault="00013EC7"/>
        </w:tc>
        <w:tc>
          <w:tcPr>
            <w:tcW w:w="1476" w:type="dxa"/>
            <w:vMerge/>
            <w:vAlign w:val="center"/>
          </w:tcPr>
          <w:p w:rsidR="00013EC7" w:rsidRDefault="00013EC7"/>
        </w:tc>
      </w:tr>
    </w:tbl>
    <w:p w:rsidR="00013EC7" w:rsidRDefault="00013EC7"/>
    <w:p w:rsidR="00013EC7" w:rsidRDefault="00013EC7">
      <w:pPr>
        <w:jc w:val="center"/>
      </w:pPr>
    </w:p>
    <w:p w:rsidR="00013EC7" w:rsidRDefault="00013EC7">
      <w:pPr>
        <w:rPr>
          <w:rFonts w:eastAsia="方正书宋简体"/>
          <w:szCs w:val="21"/>
        </w:rPr>
      </w:pPr>
    </w:p>
    <w:p w:rsidR="00013EC7" w:rsidRDefault="005262E6">
      <w:r>
        <w:rPr>
          <w:rFonts w:ascii="Calibri" w:hAnsi="Calibri"/>
          <w:kern w:val="0"/>
          <w:szCs w:val="22"/>
        </w:rPr>
        <w:lastRenderedPageBreak/>
        <w:object w:dxaOrig="1440" w:dyaOrig="1440">
          <v:shape id="_x0000_s1327" type="#_x0000_t75" style="position:absolute;left:0;text-align:left;margin-left:549.05pt;margin-top:89.3pt;width:415.15pt;height:599.3pt;z-index:251653120;mso-wrap-distance-top:0;mso-wrap-distance-bottom:0;mso-position-vertical-relative:page;mso-width-relative:page;mso-height-relative:page">
            <v:imagedata r:id="rId54" o:title=""/>
            <w10:wrap type="topAndBottom" anchory="page"/>
          </v:shape>
          <o:OLEObject Type="Embed" ProgID="Visio.Drawing.11" ShapeID="_x0000_s1327" DrawAspect="Content" ObjectID="_1577296162" r:id="rId55"/>
        </w:object>
      </w:r>
      <w:r>
        <w:object w:dxaOrig="1440" w:dyaOrig="1440">
          <v:shape id="_x0000_s1326" type="#_x0000_t75" style="position:absolute;left:0;text-align:left;margin-left:0;margin-top:87.5pt;width:425pt;height:603.5pt;z-index:251652096;mso-wrap-distance-top:0;mso-wrap-distance-bottom:0;mso-position-vertical-relative:page;mso-width-relative:page;mso-height-relative:page">
            <v:imagedata r:id="rId56" o:title=""/>
            <w10:wrap type="topAndBottom" anchory="page"/>
          </v:shape>
          <o:OLEObject Type="Embed" ProgID="Visio.Drawing.11" ShapeID="_x0000_s1326" DrawAspect="Content" ObjectID="_1577296163" r:id="rId57"/>
        </w:object>
      </w:r>
    </w:p>
    <w:p w:rsidR="00013EC7" w:rsidRDefault="00575CDB">
      <w:pPr>
        <w:pStyle w:val="1"/>
      </w:pPr>
      <w:bookmarkStart w:id="65" w:name="_Toc12180"/>
      <w:bookmarkStart w:id="66" w:name="_Toc1172"/>
      <w:bookmarkStart w:id="67" w:name="_Toc2935"/>
      <w:bookmarkStart w:id="68" w:name="_Toc503467372"/>
      <w:bookmarkStart w:id="69" w:name="_Toc498705677"/>
      <w:r>
        <w:rPr>
          <w:rFonts w:hint="eastAsia"/>
        </w:rPr>
        <w:lastRenderedPageBreak/>
        <w:t>四、报告备案登记</w:t>
      </w:r>
      <w:bookmarkEnd w:id="65"/>
      <w:bookmarkEnd w:id="66"/>
      <w:bookmarkEnd w:id="67"/>
      <w:bookmarkEnd w:id="68"/>
    </w:p>
    <w:p w:rsidR="00013EC7" w:rsidRDefault="00575CDB">
      <w:pPr>
        <w:pStyle w:val="2"/>
      </w:pPr>
      <w:bookmarkStart w:id="70" w:name="_Toc503467373"/>
      <w:bookmarkStart w:id="71" w:name="_Toc12328"/>
      <w:bookmarkStart w:id="72" w:name="_Toc583"/>
      <w:bookmarkStart w:id="73" w:name="_Toc29311"/>
      <w:r>
        <w:rPr>
          <w:rFonts w:hint="eastAsia"/>
        </w:rPr>
        <w:t>4.1</w:t>
      </w:r>
      <w:r>
        <w:rPr>
          <w:rFonts w:hint="eastAsia"/>
        </w:rPr>
        <w:t>存款账户账号报告</w:t>
      </w:r>
      <w:bookmarkEnd w:id="69"/>
      <w:bookmarkEnd w:id="70"/>
      <w:bookmarkEnd w:id="71"/>
      <w:bookmarkEnd w:id="72"/>
      <w:bookmarkEnd w:id="73"/>
    </w:p>
    <w:p w:rsidR="00013EC7" w:rsidRDefault="00575CDB">
      <w:pPr>
        <w:jc w:val="center"/>
        <w:rPr>
          <w:rFonts w:ascii="宋体" w:hAnsi="宋体" w:cs="宋体"/>
          <w:b/>
          <w:bCs/>
          <w:sz w:val="52"/>
          <w:szCs w:val="52"/>
        </w:rPr>
      </w:pPr>
      <w:r>
        <w:rPr>
          <w:rFonts w:ascii="宋体" w:hAnsi="宋体" w:cs="宋体" w:hint="eastAsia"/>
          <w:b/>
          <w:bCs/>
          <w:sz w:val="52"/>
          <w:szCs w:val="52"/>
        </w:rPr>
        <w:t>全省“最多跑一次”事项“八统一”梳理表</w:t>
      </w:r>
    </w:p>
    <w:tbl>
      <w:tblPr>
        <w:tblW w:w="204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2622"/>
        <w:gridCol w:w="2760"/>
        <w:gridCol w:w="901"/>
        <w:gridCol w:w="2837"/>
        <w:gridCol w:w="1559"/>
        <w:gridCol w:w="2848"/>
        <w:gridCol w:w="868"/>
        <w:gridCol w:w="798"/>
        <w:gridCol w:w="958"/>
        <w:gridCol w:w="1104"/>
        <w:gridCol w:w="1476"/>
      </w:tblGrid>
      <w:tr w:rsidR="00013EC7" w:rsidTr="00362C3A">
        <w:trPr>
          <w:trHeight w:val="340"/>
          <w:tblHeader/>
          <w:jc w:val="center"/>
        </w:trPr>
        <w:tc>
          <w:tcPr>
            <w:tcW w:w="672"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主项名称</w:t>
            </w:r>
          </w:p>
        </w:tc>
        <w:tc>
          <w:tcPr>
            <w:tcW w:w="1035"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子项名称</w:t>
            </w:r>
          </w:p>
        </w:tc>
        <w:tc>
          <w:tcPr>
            <w:tcW w:w="2622"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经办依据</w:t>
            </w:r>
          </w:p>
        </w:tc>
        <w:tc>
          <w:tcPr>
            <w:tcW w:w="3661"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原经办所需材料</w:t>
            </w:r>
          </w:p>
        </w:tc>
        <w:tc>
          <w:tcPr>
            <w:tcW w:w="7244" w:type="dxa"/>
            <w:gridSpan w:val="3"/>
            <w:vAlign w:val="center"/>
          </w:tcPr>
          <w:p w:rsidR="00013EC7" w:rsidRDefault="00575CDB">
            <w:pPr>
              <w:spacing w:line="280" w:lineRule="exact"/>
              <w:jc w:val="center"/>
              <w:rPr>
                <w:rFonts w:ascii="黑体" w:eastAsia="黑体"/>
                <w:sz w:val="24"/>
              </w:rPr>
            </w:pPr>
            <w:r>
              <w:rPr>
                <w:rFonts w:ascii="黑体" w:eastAsia="黑体" w:hint="eastAsia"/>
                <w:sz w:val="24"/>
              </w:rPr>
              <w:t>精简后经办所需材料</w:t>
            </w:r>
          </w:p>
        </w:tc>
        <w:tc>
          <w:tcPr>
            <w:tcW w:w="1666"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办理时限</w:t>
            </w:r>
          </w:p>
        </w:tc>
        <w:tc>
          <w:tcPr>
            <w:tcW w:w="958"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是否实现跑零次</w:t>
            </w:r>
          </w:p>
        </w:tc>
        <w:tc>
          <w:tcPr>
            <w:tcW w:w="1104"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省厅对口</w:t>
            </w:r>
          </w:p>
          <w:p w:rsidR="00013EC7" w:rsidRDefault="00575CDB">
            <w:pPr>
              <w:spacing w:line="280" w:lineRule="exact"/>
              <w:jc w:val="center"/>
              <w:rPr>
                <w:rFonts w:ascii="黑体" w:eastAsia="黑体"/>
                <w:sz w:val="24"/>
              </w:rPr>
            </w:pPr>
            <w:r>
              <w:rPr>
                <w:rFonts w:ascii="黑体" w:eastAsia="黑体" w:hint="eastAsia"/>
                <w:sz w:val="24"/>
              </w:rPr>
              <w:t>指导处室</w:t>
            </w:r>
          </w:p>
          <w:p w:rsidR="00013EC7" w:rsidRDefault="00575CDB">
            <w:pPr>
              <w:spacing w:line="280" w:lineRule="exact"/>
              <w:jc w:val="center"/>
              <w:rPr>
                <w:rFonts w:ascii="黑体" w:eastAsia="黑体"/>
                <w:sz w:val="24"/>
              </w:rPr>
            </w:pPr>
            <w:r>
              <w:rPr>
                <w:rFonts w:ascii="黑体" w:eastAsia="黑体" w:hint="eastAsia"/>
                <w:sz w:val="24"/>
              </w:rPr>
              <w:t>（单位）</w:t>
            </w:r>
          </w:p>
        </w:tc>
        <w:tc>
          <w:tcPr>
            <w:tcW w:w="1476"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进一步精简、</w:t>
            </w:r>
          </w:p>
          <w:p w:rsidR="00013EC7" w:rsidRDefault="00575CDB">
            <w:pPr>
              <w:spacing w:line="280" w:lineRule="exact"/>
              <w:jc w:val="center"/>
              <w:rPr>
                <w:rFonts w:ascii="黑体" w:eastAsia="黑体"/>
                <w:sz w:val="24"/>
              </w:rPr>
            </w:pPr>
            <w:r>
              <w:rPr>
                <w:rFonts w:ascii="黑体" w:eastAsia="黑体" w:hint="eastAsia"/>
                <w:sz w:val="24"/>
              </w:rPr>
              <w:t>规范建议</w:t>
            </w:r>
          </w:p>
        </w:tc>
      </w:tr>
      <w:tr w:rsidR="00013EC7" w:rsidTr="00362C3A">
        <w:trPr>
          <w:trHeight w:val="340"/>
          <w:tblHeader/>
          <w:jc w:val="center"/>
        </w:trPr>
        <w:tc>
          <w:tcPr>
            <w:tcW w:w="672" w:type="dxa"/>
            <w:vMerge/>
            <w:vAlign w:val="center"/>
          </w:tcPr>
          <w:p w:rsidR="00013EC7" w:rsidRDefault="00013EC7">
            <w:pPr>
              <w:widowControl/>
              <w:jc w:val="left"/>
              <w:rPr>
                <w:rFonts w:ascii="黑体" w:eastAsia="黑体"/>
                <w:sz w:val="24"/>
              </w:rPr>
            </w:pPr>
          </w:p>
        </w:tc>
        <w:tc>
          <w:tcPr>
            <w:tcW w:w="1035" w:type="dxa"/>
            <w:vMerge/>
            <w:vAlign w:val="center"/>
          </w:tcPr>
          <w:p w:rsidR="00013EC7" w:rsidRDefault="00013EC7">
            <w:pPr>
              <w:widowControl/>
              <w:jc w:val="left"/>
              <w:rPr>
                <w:rFonts w:ascii="黑体" w:eastAsia="黑体"/>
                <w:sz w:val="24"/>
              </w:rPr>
            </w:pPr>
          </w:p>
        </w:tc>
        <w:tc>
          <w:tcPr>
            <w:tcW w:w="2622" w:type="dxa"/>
            <w:vMerge/>
            <w:vAlign w:val="center"/>
          </w:tcPr>
          <w:p w:rsidR="00013EC7" w:rsidRDefault="00013EC7">
            <w:pPr>
              <w:widowControl/>
              <w:jc w:val="left"/>
              <w:rPr>
                <w:rFonts w:ascii="黑体" w:eastAsia="黑体"/>
                <w:sz w:val="24"/>
              </w:rPr>
            </w:pPr>
          </w:p>
        </w:tc>
        <w:tc>
          <w:tcPr>
            <w:tcW w:w="2760" w:type="dxa"/>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901"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2837" w:type="dxa"/>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559"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2848" w:type="dxa"/>
            <w:vAlign w:val="center"/>
          </w:tcPr>
          <w:p w:rsidR="00013EC7" w:rsidRDefault="00575CDB">
            <w:pPr>
              <w:spacing w:line="280" w:lineRule="exact"/>
              <w:jc w:val="center"/>
              <w:rPr>
                <w:rFonts w:ascii="黑体" w:eastAsia="黑体"/>
                <w:sz w:val="24"/>
              </w:rPr>
            </w:pPr>
            <w:r>
              <w:rPr>
                <w:rFonts w:ascii="黑体" w:eastAsia="黑体" w:hint="eastAsia"/>
                <w:sz w:val="24"/>
              </w:rPr>
              <w:t>办理方式及材料</w:t>
            </w:r>
          </w:p>
          <w:p w:rsidR="00013EC7" w:rsidRDefault="00575CDB">
            <w:pPr>
              <w:spacing w:line="280" w:lineRule="exact"/>
              <w:jc w:val="center"/>
              <w:rPr>
                <w:rFonts w:ascii="黑体" w:eastAsia="黑体"/>
                <w:sz w:val="24"/>
              </w:rPr>
            </w:pPr>
            <w:r>
              <w:rPr>
                <w:rFonts w:ascii="黑体" w:eastAsia="黑体" w:hint="eastAsia"/>
                <w:sz w:val="24"/>
              </w:rPr>
              <w:t>信息获取方式说明</w:t>
            </w:r>
          </w:p>
        </w:tc>
        <w:tc>
          <w:tcPr>
            <w:tcW w:w="868" w:type="dxa"/>
            <w:vAlign w:val="center"/>
          </w:tcPr>
          <w:p w:rsidR="00013EC7" w:rsidRDefault="00575CDB">
            <w:pPr>
              <w:spacing w:line="280" w:lineRule="exact"/>
              <w:jc w:val="center"/>
              <w:rPr>
                <w:rFonts w:ascii="黑体" w:eastAsia="黑体"/>
                <w:sz w:val="24"/>
              </w:rPr>
            </w:pPr>
            <w:r>
              <w:rPr>
                <w:rFonts w:ascii="黑体" w:eastAsia="黑体" w:hint="eastAsia"/>
                <w:sz w:val="24"/>
              </w:rPr>
              <w:t>优化前</w:t>
            </w:r>
          </w:p>
        </w:tc>
        <w:tc>
          <w:tcPr>
            <w:tcW w:w="798" w:type="dxa"/>
            <w:vAlign w:val="center"/>
          </w:tcPr>
          <w:p w:rsidR="00013EC7" w:rsidRDefault="00575CDB">
            <w:pPr>
              <w:spacing w:line="280" w:lineRule="exact"/>
              <w:jc w:val="center"/>
              <w:rPr>
                <w:rFonts w:ascii="黑体" w:eastAsia="黑体"/>
                <w:sz w:val="24"/>
              </w:rPr>
            </w:pPr>
            <w:r>
              <w:rPr>
                <w:rFonts w:ascii="黑体" w:eastAsia="黑体" w:hint="eastAsia"/>
                <w:sz w:val="24"/>
              </w:rPr>
              <w:t>优化后</w:t>
            </w:r>
          </w:p>
        </w:tc>
        <w:tc>
          <w:tcPr>
            <w:tcW w:w="958" w:type="dxa"/>
            <w:vMerge/>
            <w:vAlign w:val="center"/>
          </w:tcPr>
          <w:p w:rsidR="00013EC7" w:rsidRDefault="00013EC7">
            <w:pPr>
              <w:widowControl/>
              <w:jc w:val="left"/>
              <w:rPr>
                <w:rFonts w:ascii="黑体" w:eastAsia="黑体"/>
                <w:sz w:val="24"/>
              </w:rPr>
            </w:pPr>
          </w:p>
        </w:tc>
        <w:tc>
          <w:tcPr>
            <w:tcW w:w="1104" w:type="dxa"/>
            <w:vMerge/>
            <w:vAlign w:val="center"/>
          </w:tcPr>
          <w:p w:rsidR="00013EC7" w:rsidRDefault="00013EC7">
            <w:pPr>
              <w:widowControl/>
              <w:jc w:val="left"/>
              <w:rPr>
                <w:rFonts w:ascii="黑体" w:eastAsia="黑体"/>
                <w:sz w:val="24"/>
              </w:rPr>
            </w:pPr>
          </w:p>
        </w:tc>
        <w:tc>
          <w:tcPr>
            <w:tcW w:w="1476" w:type="dxa"/>
            <w:vMerge/>
            <w:vAlign w:val="center"/>
          </w:tcPr>
          <w:p w:rsidR="00013EC7" w:rsidRDefault="00013EC7">
            <w:pPr>
              <w:widowControl/>
              <w:jc w:val="left"/>
              <w:rPr>
                <w:rFonts w:ascii="黑体" w:eastAsia="黑体"/>
                <w:sz w:val="24"/>
              </w:rPr>
            </w:pPr>
          </w:p>
        </w:tc>
      </w:tr>
      <w:tr w:rsidR="00013EC7" w:rsidTr="00362C3A">
        <w:trPr>
          <w:trHeight w:val="2454"/>
          <w:jc w:val="center"/>
        </w:trPr>
        <w:tc>
          <w:tcPr>
            <w:tcW w:w="672" w:type="dxa"/>
            <w:vAlign w:val="center"/>
          </w:tcPr>
          <w:p w:rsidR="00013EC7" w:rsidRDefault="00575CDB">
            <w:pPr>
              <w:spacing w:line="300" w:lineRule="exact"/>
              <w:jc w:val="left"/>
              <w:rPr>
                <w:rFonts w:eastAsia="方正书宋简体"/>
                <w:sz w:val="24"/>
              </w:rPr>
            </w:pPr>
            <w:r>
              <w:rPr>
                <w:rFonts w:ascii="仿宋" w:eastAsia="仿宋" w:hAnsi="仿宋" w:cs="仿宋" w:hint="eastAsia"/>
                <w:sz w:val="24"/>
              </w:rPr>
              <w:t>4报告备案登记</w:t>
            </w:r>
          </w:p>
        </w:tc>
        <w:tc>
          <w:tcPr>
            <w:tcW w:w="1035" w:type="dxa"/>
            <w:vAlign w:val="center"/>
          </w:tcPr>
          <w:p w:rsidR="00013EC7" w:rsidRDefault="00575CDB">
            <w:pPr>
              <w:spacing w:line="310" w:lineRule="exact"/>
              <w:jc w:val="left"/>
              <w:rPr>
                <w:rFonts w:eastAsia="方正书宋简体"/>
                <w:sz w:val="24"/>
              </w:rPr>
            </w:pPr>
            <w:r>
              <w:rPr>
                <w:rFonts w:ascii="仿宋" w:eastAsia="仿宋" w:hAnsi="仿宋" w:cs="仿宋" w:hint="eastAsia"/>
                <w:sz w:val="24"/>
              </w:rPr>
              <w:t>4.1存款账户账号报告</w:t>
            </w:r>
          </w:p>
        </w:tc>
        <w:tc>
          <w:tcPr>
            <w:tcW w:w="2622" w:type="dxa"/>
            <w:vAlign w:val="center"/>
          </w:tcPr>
          <w:p w:rsidR="00013EC7" w:rsidRDefault="00575CDB">
            <w:pPr>
              <w:jc w:val="left"/>
              <w:rPr>
                <w:rFonts w:ascii="仿宋" w:eastAsia="仿宋" w:hAnsi="仿宋" w:cs="仿宋"/>
                <w:sz w:val="24"/>
              </w:rPr>
            </w:pPr>
            <w:r>
              <w:rPr>
                <w:rFonts w:ascii="仿宋" w:eastAsia="仿宋" w:hAnsi="仿宋" w:cs="仿宋" w:hint="eastAsia"/>
                <w:sz w:val="24"/>
              </w:rPr>
              <w:t>（一）《中华人民共和国税收征收管理法》（2001年中华人民共和国主席令第49号）第十七条。</w:t>
            </w:r>
          </w:p>
          <w:p w:rsidR="00013EC7" w:rsidRDefault="00575CDB">
            <w:pPr>
              <w:jc w:val="left"/>
              <w:rPr>
                <w:rFonts w:ascii="宋体" w:hAnsi="宋体" w:cs="宋体"/>
                <w:sz w:val="24"/>
              </w:rPr>
            </w:pPr>
            <w:r>
              <w:rPr>
                <w:rFonts w:ascii="仿宋" w:eastAsia="仿宋" w:hAnsi="仿宋" w:cs="仿宋" w:hint="eastAsia"/>
                <w:sz w:val="24"/>
              </w:rPr>
              <w:t>（二）《中华人民共和国税收征收管理法实施细则》（2002年中华人民共和国国务院令第362号）第十七条。</w:t>
            </w:r>
          </w:p>
        </w:tc>
        <w:tc>
          <w:tcPr>
            <w:tcW w:w="2760" w:type="dxa"/>
            <w:vAlign w:val="center"/>
          </w:tcPr>
          <w:p w:rsidR="00013EC7" w:rsidRDefault="00575CDB">
            <w:pPr>
              <w:spacing w:line="300" w:lineRule="exact"/>
              <w:jc w:val="left"/>
              <w:rPr>
                <w:sz w:val="24"/>
              </w:rPr>
            </w:pPr>
            <w:r>
              <w:rPr>
                <w:rFonts w:ascii="仿宋" w:eastAsia="仿宋" w:hAnsi="仿宋" w:cs="仿宋" w:hint="eastAsia"/>
                <w:sz w:val="24"/>
              </w:rPr>
              <w:t>（一）（A01037）《纳税人存款账户账号报告表》1份。</w:t>
            </w:r>
          </w:p>
        </w:tc>
        <w:tc>
          <w:tcPr>
            <w:tcW w:w="901" w:type="dxa"/>
            <w:vAlign w:val="center"/>
          </w:tcPr>
          <w:p w:rsidR="00013EC7" w:rsidRDefault="00575CDB">
            <w:pPr>
              <w:spacing w:line="300" w:lineRule="exact"/>
              <w:jc w:val="left"/>
              <w:rPr>
                <w:rFonts w:eastAsia="方正书宋简体"/>
                <w:sz w:val="24"/>
              </w:rPr>
            </w:pPr>
            <w:r>
              <w:rPr>
                <w:rFonts w:ascii="仿宋" w:eastAsia="仿宋" w:hAnsi="仿宋" w:cs="仿宋" w:hint="eastAsia"/>
                <w:sz w:val="24"/>
              </w:rPr>
              <w:t>纳税人提交</w:t>
            </w:r>
          </w:p>
        </w:tc>
        <w:tc>
          <w:tcPr>
            <w:tcW w:w="2837" w:type="dxa"/>
            <w:vAlign w:val="center"/>
          </w:tcPr>
          <w:p w:rsidR="00013EC7" w:rsidRDefault="00575CDB">
            <w:pPr>
              <w:spacing w:line="300" w:lineRule="exact"/>
              <w:jc w:val="left"/>
              <w:rPr>
                <w:rFonts w:eastAsia="方正书宋简体"/>
                <w:sz w:val="24"/>
              </w:rPr>
            </w:pPr>
            <w:r>
              <w:rPr>
                <w:rFonts w:ascii="仿宋" w:eastAsia="仿宋" w:hAnsi="仿宋" w:cs="仿宋" w:hint="eastAsia"/>
                <w:sz w:val="24"/>
              </w:rPr>
              <w:t>（一）（A01037）《纳税人存款账户账号报告表》1份。</w:t>
            </w:r>
          </w:p>
        </w:tc>
        <w:tc>
          <w:tcPr>
            <w:tcW w:w="1559" w:type="dxa"/>
            <w:vAlign w:val="center"/>
          </w:tcPr>
          <w:p w:rsidR="00013EC7" w:rsidRDefault="00575CDB">
            <w:pPr>
              <w:spacing w:line="300" w:lineRule="exact"/>
              <w:jc w:val="left"/>
              <w:rPr>
                <w:rFonts w:eastAsia="方正书宋简体"/>
                <w:b/>
                <w:bCs/>
                <w:i/>
                <w:iCs/>
                <w:sz w:val="24"/>
              </w:rPr>
            </w:pPr>
            <w:r>
              <w:rPr>
                <w:rFonts w:ascii="仿宋" w:eastAsia="仿宋" w:hAnsi="仿宋" w:cs="仿宋" w:hint="eastAsia"/>
                <w:sz w:val="24"/>
              </w:rPr>
              <w:t>纳税人提交</w:t>
            </w:r>
          </w:p>
        </w:tc>
        <w:tc>
          <w:tcPr>
            <w:tcW w:w="2848"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b/>
                <w:bCs/>
                <w:sz w:val="24"/>
              </w:rPr>
              <w:t>现场办理：</w:t>
            </w:r>
            <w:r>
              <w:rPr>
                <w:rFonts w:ascii="仿宋" w:eastAsia="仿宋" w:hAnsi="仿宋" w:cs="仿宋" w:hint="eastAsia"/>
                <w:sz w:val="24"/>
              </w:rPr>
              <w:t>纳税人提交书面材料。</w:t>
            </w:r>
          </w:p>
          <w:p w:rsidR="00013EC7" w:rsidRDefault="00575CDB">
            <w:pPr>
              <w:spacing w:line="300" w:lineRule="exact"/>
              <w:jc w:val="left"/>
              <w:rPr>
                <w:rFonts w:ascii="仿宋" w:eastAsia="仿宋" w:hAnsi="仿宋" w:cs="仿宋"/>
                <w:sz w:val="24"/>
              </w:rPr>
            </w:pPr>
            <w:r>
              <w:rPr>
                <w:rFonts w:ascii="仿宋" w:eastAsia="仿宋" w:hAnsi="仿宋" w:cs="仿宋" w:hint="eastAsia"/>
                <w:b/>
                <w:bCs/>
                <w:sz w:val="24"/>
              </w:rPr>
              <w:t>网上</w:t>
            </w:r>
            <w:r>
              <w:rPr>
                <w:rFonts w:ascii="仿宋" w:eastAsia="仿宋" w:hAnsi="仿宋" w:cs="仿宋" w:hint="eastAsia"/>
                <w:sz w:val="24"/>
              </w:rPr>
              <w:t>办理：登录浙江国税电子税务局（网址：</w:t>
            </w:r>
            <w:hyperlink r:id="rId58" w:tgtFrame="https://wx.qq.com/_blank" w:history="1">
              <w:r>
                <w:rPr>
                  <w:rFonts w:ascii="仿宋" w:eastAsia="仿宋" w:hAnsi="仿宋" w:cs="仿宋" w:hint="eastAsia"/>
                  <w:sz w:val="24"/>
                </w:rPr>
                <w:t>http://etax.zjtax.gov.cn/</w:t>
              </w:r>
            </w:hyperlink>
            <w:r>
              <w:rPr>
                <w:rFonts w:ascii="仿宋" w:eastAsia="仿宋" w:hAnsi="仿宋" w:cs="仿宋" w:hint="eastAsia"/>
                <w:sz w:val="24"/>
              </w:rPr>
              <w:t>）提交申请。</w:t>
            </w:r>
          </w:p>
          <w:p w:rsidR="00013EC7" w:rsidRDefault="00575CDB">
            <w:pPr>
              <w:spacing w:line="300" w:lineRule="exact"/>
              <w:jc w:val="left"/>
              <w:rPr>
                <w:rFonts w:eastAsia="方正书宋简体"/>
                <w:sz w:val="24"/>
              </w:rPr>
            </w:pPr>
            <w:r>
              <w:rPr>
                <w:rFonts w:ascii="仿宋" w:eastAsia="仿宋" w:hAnsi="仿宋" w:cs="仿宋" w:hint="eastAsia"/>
                <w:b/>
                <w:bCs/>
                <w:sz w:val="24"/>
              </w:rPr>
              <w:t>APP办理</w:t>
            </w:r>
            <w:r>
              <w:rPr>
                <w:rFonts w:ascii="仿宋" w:eastAsia="仿宋" w:hAnsi="仿宋" w:cs="仿宋" w:hint="eastAsia"/>
                <w:sz w:val="24"/>
              </w:rPr>
              <w:t>：登录浙江国税APP提交申请。</w:t>
            </w:r>
          </w:p>
        </w:tc>
        <w:tc>
          <w:tcPr>
            <w:tcW w:w="868"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即时办结</w:t>
            </w:r>
          </w:p>
        </w:tc>
        <w:tc>
          <w:tcPr>
            <w:tcW w:w="798"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即时办结</w:t>
            </w:r>
          </w:p>
        </w:tc>
        <w:tc>
          <w:tcPr>
            <w:tcW w:w="958"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是</w:t>
            </w:r>
          </w:p>
        </w:tc>
        <w:tc>
          <w:tcPr>
            <w:tcW w:w="1104"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征管科技处</w:t>
            </w:r>
          </w:p>
        </w:tc>
        <w:tc>
          <w:tcPr>
            <w:tcW w:w="1476" w:type="dxa"/>
            <w:vAlign w:val="center"/>
          </w:tcPr>
          <w:p w:rsidR="00013EC7" w:rsidRDefault="00575CDB">
            <w:pPr>
              <w:spacing w:line="300" w:lineRule="exact"/>
              <w:jc w:val="left"/>
              <w:rPr>
                <w:rFonts w:eastAsia="方正书宋简体"/>
                <w:sz w:val="24"/>
              </w:rPr>
            </w:pPr>
            <w:r>
              <w:rPr>
                <w:rFonts w:ascii="仿宋" w:eastAsia="仿宋" w:hAnsi="仿宋" w:cs="仿宋" w:hint="eastAsia"/>
                <w:sz w:val="24"/>
              </w:rPr>
              <w:t>建议单位纳税人的存款账户账号直接从人民银行取数</w:t>
            </w:r>
          </w:p>
        </w:tc>
      </w:tr>
    </w:tbl>
    <w:p w:rsidR="00013EC7" w:rsidRDefault="005262E6">
      <w:r>
        <w:lastRenderedPageBreak/>
        <w:object w:dxaOrig="1440" w:dyaOrig="1440">
          <v:shape id="_x0000_s1329" type="#_x0000_t75" style="position:absolute;left:0;text-align:left;margin-left:558.75pt;margin-top:94.05pt;width:424.5pt;height:582pt;z-index:251655168;mso-wrap-distance-top:0;mso-wrap-distance-bottom:0;mso-position-horizontal-relative:text;mso-position-vertical-relative:page;mso-width-relative:page;mso-height-relative:page">
            <v:imagedata r:id="rId59" o:title=""/>
            <w10:wrap type="topAndBottom" anchory="page"/>
          </v:shape>
          <o:OLEObject Type="Embed" ProgID="Visio.Drawing.11" ShapeID="_x0000_s1329" DrawAspect="Content" ObjectID="_1577296164" r:id="rId60"/>
        </w:object>
      </w:r>
      <w:r>
        <w:object w:dxaOrig="1440" w:dyaOrig="1440">
          <v:shape id="_x0000_s1328" type="#_x0000_t75" style="position:absolute;left:0;text-align:left;margin-left:27.2pt;margin-top:91.1pt;width:362.25pt;height:584.5pt;z-index:251654144;mso-wrap-distance-top:0;mso-wrap-distance-bottom:0;mso-position-horizontal-relative:text;mso-position-vertical-relative:page;mso-width-relative:page;mso-height-relative:page">
            <v:imagedata r:id="rId61" o:title=""/>
            <w10:wrap type="topAndBottom" anchory="page"/>
          </v:shape>
          <o:OLEObject Type="Embed" ProgID="Visio.Drawing.11" ShapeID="_x0000_s1328" DrawAspect="Content" ObjectID="_1577296165" r:id="rId62"/>
        </w:object>
      </w:r>
    </w:p>
    <w:p w:rsidR="00013EC7" w:rsidRDefault="00013EC7">
      <w:pPr>
        <w:jc w:val="right"/>
      </w:pPr>
    </w:p>
    <w:p w:rsidR="00013EC7" w:rsidRDefault="00013EC7">
      <w:pPr>
        <w:jc w:val="right"/>
      </w:pPr>
    </w:p>
    <w:p w:rsidR="00013EC7" w:rsidRDefault="00013EC7">
      <w:pPr>
        <w:jc w:val="right"/>
      </w:pPr>
    </w:p>
    <w:p w:rsidR="00013EC7" w:rsidRDefault="00575CDB">
      <w:pPr>
        <w:pStyle w:val="2"/>
      </w:pPr>
      <w:bookmarkStart w:id="74" w:name="_Toc25661"/>
      <w:bookmarkStart w:id="75" w:name="_Toc8903"/>
      <w:bookmarkStart w:id="76" w:name="_Toc1211"/>
      <w:bookmarkStart w:id="77" w:name="_Toc498705678"/>
      <w:bookmarkStart w:id="78" w:name="_Toc503467374"/>
      <w:r>
        <w:rPr>
          <w:rFonts w:hint="eastAsia"/>
        </w:rPr>
        <w:lastRenderedPageBreak/>
        <w:t>4.2</w:t>
      </w:r>
      <w:r>
        <w:rPr>
          <w:rFonts w:hint="eastAsia"/>
        </w:rPr>
        <w:t>财务会计制度及核算软件备案报告</w:t>
      </w:r>
      <w:bookmarkEnd w:id="74"/>
      <w:bookmarkEnd w:id="75"/>
      <w:bookmarkEnd w:id="76"/>
      <w:bookmarkEnd w:id="77"/>
      <w:bookmarkEnd w:id="78"/>
    </w:p>
    <w:p w:rsidR="00013EC7" w:rsidRDefault="00575CDB">
      <w:pPr>
        <w:jc w:val="center"/>
        <w:rPr>
          <w:rFonts w:ascii="宋体" w:hAnsi="宋体" w:cs="宋体"/>
          <w:b/>
          <w:bCs/>
          <w:sz w:val="52"/>
          <w:szCs w:val="52"/>
        </w:rPr>
      </w:pPr>
      <w:r>
        <w:rPr>
          <w:rFonts w:ascii="宋体" w:hAnsi="宋体" w:cs="宋体" w:hint="eastAsia"/>
          <w:b/>
          <w:bCs/>
          <w:sz w:val="52"/>
          <w:szCs w:val="52"/>
        </w:rPr>
        <w:t>全省“最多跑一次”事项“八统一”梳理表</w:t>
      </w:r>
    </w:p>
    <w:tbl>
      <w:tblPr>
        <w:tblW w:w="205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2622"/>
        <w:gridCol w:w="2760"/>
        <w:gridCol w:w="1288"/>
        <w:gridCol w:w="2837"/>
        <w:gridCol w:w="1326"/>
        <w:gridCol w:w="2848"/>
        <w:gridCol w:w="868"/>
        <w:gridCol w:w="798"/>
        <w:gridCol w:w="1039"/>
        <w:gridCol w:w="1023"/>
        <w:gridCol w:w="1476"/>
      </w:tblGrid>
      <w:tr w:rsidR="00013EC7" w:rsidTr="00362C3A">
        <w:trPr>
          <w:trHeight w:val="340"/>
          <w:tblHeader/>
          <w:jc w:val="center"/>
        </w:trPr>
        <w:tc>
          <w:tcPr>
            <w:tcW w:w="672"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主项名称</w:t>
            </w:r>
          </w:p>
        </w:tc>
        <w:tc>
          <w:tcPr>
            <w:tcW w:w="1035"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子项名称</w:t>
            </w:r>
          </w:p>
        </w:tc>
        <w:tc>
          <w:tcPr>
            <w:tcW w:w="2622"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经办依据</w:t>
            </w:r>
          </w:p>
        </w:tc>
        <w:tc>
          <w:tcPr>
            <w:tcW w:w="4048"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原经办所需材料</w:t>
            </w:r>
          </w:p>
        </w:tc>
        <w:tc>
          <w:tcPr>
            <w:tcW w:w="7011" w:type="dxa"/>
            <w:gridSpan w:val="3"/>
            <w:vAlign w:val="center"/>
          </w:tcPr>
          <w:p w:rsidR="00013EC7" w:rsidRDefault="00575CDB">
            <w:pPr>
              <w:spacing w:line="280" w:lineRule="exact"/>
              <w:jc w:val="center"/>
              <w:rPr>
                <w:rFonts w:ascii="黑体" w:eastAsia="黑体"/>
                <w:sz w:val="24"/>
              </w:rPr>
            </w:pPr>
            <w:r>
              <w:rPr>
                <w:rFonts w:ascii="黑体" w:eastAsia="黑体" w:hint="eastAsia"/>
                <w:sz w:val="24"/>
              </w:rPr>
              <w:t>精简后经办所需材料</w:t>
            </w:r>
          </w:p>
        </w:tc>
        <w:tc>
          <w:tcPr>
            <w:tcW w:w="1666"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办理时限</w:t>
            </w:r>
          </w:p>
        </w:tc>
        <w:tc>
          <w:tcPr>
            <w:tcW w:w="1039"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是否实现跑零次</w:t>
            </w:r>
          </w:p>
        </w:tc>
        <w:tc>
          <w:tcPr>
            <w:tcW w:w="1023"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省厅对口</w:t>
            </w:r>
          </w:p>
          <w:p w:rsidR="00013EC7" w:rsidRDefault="00575CDB">
            <w:pPr>
              <w:spacing w:line="280" w:lineRule="exact"/>
              <w:jc w:val="center"/>
              <w:rPr>
                <w:rFonts w:ascii="黑体" w:eastAsia="黑体"/>
                <w:sz w:val="24"/>
              </w:rPr>
            </w:pPr>
            <w:r>
              <w:rPr>
                <w:rFonts w:ascii="黑体" w:eastAsia="黑体" w:hint="eastAsia"/>
                <w:sz w:val="24"/>
              </w:rPr>
              <w:t>指导处室</w:t>
            </w:r>
          </w:p>
          <w:p w:rsidR="00013EC7" w:rsidRDefault="00575CDB">
            <w:pPr>
              <w:spacing w:line="280" w:lineRule="exact"/>
              <w:jc w:val="center"/>
              <w:rPr>
                <w:rFonts w:ascii="黑体" w:eastAsia="黑体"/>
                <w:sz w:val="24"/>
              </w:rPr>
            </w:pPr>
            <w:r>
              <w:rPr>
                <w:rFonts w:ascii="黑体" w:eastAsia="黑体" w:hint="eastAsia"/>
                <w:sz w:val="24"/>
              </w:rPr>
              <w:t>（单位）</w:t>
            </w:r>
          </w:p>
        </w:tc>
        <w:tc>
          <w:tcPr>
            <w:tcW w:w="1476"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进一步精简、</w:t>
            </w:r>
          </w:p>
          <w:p w:rsidR="00013EC7" w:rsidRDefault="00575CDB">
            <w:pPr>
              <w:spacing w:line="280" w:lineRule="exact"/>
              <w:jc w:val="center"/>
              <w:rPr>
                <w:rFonts w:ascii="黑体" w:eastAsia="黑体"/>
                <w:sz w:val="24"/>
              </w:rPr>
            </w:pPr>
            <w:r>
              <w:rPr>
                <w:rFonts w:ascii="黑体" w:eastAsia="黑体" w:hint="eastAsia"/>
                <w:sz w:val="24"/>
              </w:rPr>
              <w:t>规范建议</w:t>
            </w:r>
          </w:p>
        </w:tc>
      </w:tr>
      <w:tr w:rsidR="00013EC7" w:rsidTr="00362C3A">
        <w:trPr>
          <w:trHeight w:val="340"/>
          <w:tblHeader/>
          <w:jc w:val="center"/>
        </w:trPr>
        <w:tc>
          <w:tcPr>
            <w:tcW w:w="672" w:type="dxa"/>
            <w:vMerge/>
            <w:vAlign w:val="center"/>
          </w:tcPr>
          <w:p w:rsidR="00013EC7" w:rsidRDefault="00013EC7">
            <w:pPr>
              <w:widowControl/>
              <w:jc w:val="left"/>
              <w:rPr>
                <w:rFonts w:ascii="黑体" w:eastAsia="黑体"/>
                <w:sz w:val="24"/>
              </w:rPr>
            </w:pPr>
          </w:p>
        </w:tc>
        <w:tc>
          <w:tcPr>
            <w:tcW w:w="1035" w:type="dxa"/>
            <w:vMerge/>
            <w:vAlign w:val="center"/>
          </w:tcPr>
          <w:p w:rsidR="00013EC7" w:rsidRDefault="00013EC7">
            <w:pPr>
              <w:widowControl/>
              <w:jc w:val="left"/>
              <w:rPr>
                <w:rFonts w:ascii="黑体" w:eastAsia="黑体"/>
                <w:sz w:val="24"/>
              </w:rPr>
            </w:pPr>
          </w:p>
        </w:tc>
        <w:tc>
          <w:tcPr>
            <w:tcW w:w="2622" w:type="dxa"/>
            <w:vMerge/>
            <w:vAlign w:val="center"/>
          </w:tcPr>
          <w:p w:rsidR="00013EC7" w:rsidRDefault="00013EC7">
            <w:pPr>
              <w:widowControl/>
              <w:jc w:val="left"/>
              <w:rPr>
                <w:rFonts w:ascii="黑体" w:eastAsia="黑体"/>
                <w:sz w:val="24"/>
              </w:rPr>
            </w:pPr>
          </w:p>
        </w:tc>
        <w:tc>
          <w:tcPr>
            <w:tcW w:w="2760" w:type="dxa"/>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288"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2837" w:type="dxa"/>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326"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2848" w:type="dxa"/>
            <w:vAlign w:val="center"/>
          </w:tcPr>
          <w:p w:rsidR="00013EC7" w:rsidRDefault="00575CDB">
            <w:pPr>
              <w:spacing w:line="280" w:lineRule="exact"/>
              <w:jc w:val="center"/>
              <w:rPr>
                <w:rFonts w:ascii="黑体" w:eastAsia="黑体"/>
                <w:sz w:val="24"/>
              </w:rPr>
            </w:pPr>
            <w:r>
              <w:rPr>
                <w:rFonts w:ascii="黑体" w:eastAsia="黑体" w:hint="eastAsia"/>
                <w:sz w:val="24"/>
              </w:rPr>
              <w:t>办理方式及材料</w:t>
            </w:r>
          </w:p>
          <w:p w:rsidR="00013EC7" w:rsidRDefault="00575CDB">
            <w:pPr>
              <w:spacing w:line="280" w:lineRule="exact"/>
              <w:jc w:val="center"/>
              <w:rPr>
                <w:rFonts w:ascii="黑体" w:eastAsia="黑体"/>
                <w:sz w:val="24"/>
              </w:rPr>
            </w:pPr>
            <w:r>
              <w:rPr>
                <w:rFonts w:ascii="黑体" w:eastAsia="黑体" w:hint="eastAsia"/>
                <w:sz w:val="24"/>
              </w:rPr>
              <w:t>信息获取方式说明</w:t>
            </w:r>
          </w:p>
        </w:tc>
        <w:tc>
          <w:tcPr>
            <w:tcW w:w="868" w:type="dxa"/>
            <w:vAlign w:val="center"/>
          </w:tcPr>
          <w:p w:rsidR="00013EC7" w:rsidRDefault="00575CDB">
            <w:pPr>
              <w:spacing w:line="280" w:lineRule="exact"/>
              <w:jc w:val="center"/>
              <w:rPr>
                <w:rFonts w:ascii="黑体" w:eastAsia="黑体"/>
                <w:sz w:val="24"/>
              </w:rPr>
            </w:pPr>
            <w:r>
              <w:rPr>
                <w:rFonts w:ascii="黑体" w:eastAsia="黑体" w:hint="eastAsia"/>
                <w:sz w:val="24"/>
              </w:rPr>
              <w:t>优化前</w:t>
            </w:r>
          </w:p>
        </w:tc>
        <w:tc>
          <w:tcPr>
            <w:tcW w:w="798" w:type="dxa"/>
            <w:vAlign w:val="center"/>
          </w:tcPr>
          <w:p w:rsidR="00013EC7" w:rsidRDefault="00575CDB">
            <w:pPr>
              <w:spacing w:line="280" w:lineRule="exact"/>
              <w:jc w:val="center"/>
              <w:rPr>
                <w:rFonts w:ascii="黑体" w:eastAsia="黑体"/>
                <w:sz w:val="24"/>
              </w:rPr>
            </w:pPr>
            <w:r>
              <w:rPr>
                <w:rFonts w:ascii="黑体" w:eastAsia="黑体" w:hint="eastAsia"/>
                <w:sz w:val="24"/>
              </w:rPr>
              <w:t>优化后</w:t>
            </w:r>
          </w:p>
        </w:tc>
        <w:tc>
          <w:tcPr>
            <w:tcW w:w="1039" w:type="dxa"/>
            <w:vMerge/>
            <w:vAlign w:val="center"/>
          </w:tcPr>
          <w:p w:rsidR="00013EC7" w:rsidRDefault="00013EC7">
            <w:pPr>
              <w:widowControl/>
              <w:jc w:val="left"/>
              <w:rPr>
                <w:rFonts w:ascii="黑体" w:eastAsia="黑体"/>
                <w:sz w:val="24"/>
              </w:rPr>
            </w:pPr>
          </w:p>
        </w:tc>
        <w:tc>
          <w:tcPr>
            <w:tcW w:w="1023" w:type="dxa"/>
            <w:vMerge/>
            <w:vAlign w:val="center"/>
          </w:tcPr>
          <w:p w:rsidR="00013EC7" w:rsidRDefault="00013EC7">
            <w:pPr>
              <w:widowControl/>
              <w:jc w:val="left"/>
              <w:rPr>
                <w:rFonts w:ascii="黑体" w:eastAsia="黑体"/>
                <w:sz w:val="24"/>
              </w:rPr>
            </w:pPr>
          </w:p>
        </w:tc>
        <w:tc>
          <w:tcPr>
            <w:tcW w:w="1476" w:type="dxa"/>
            <w:vMerge/>
            <w:vAlign w:val="center"/>
          </w:tcPr>
          <w:p w:rsidR="00013EC7" w:rsidRDefault="00013EC7">
            <w:pPr>
              <w:widowControl/>
              <w:jc w:val="left"/>
              <w:rPr>
                <w:rFonts w:ascii="黑体" w:eastAsia="黑体"/>
                <w:sz w:val="24"/>
              </w:rPr>
            </w:pPr>
          </w:p>
        </w:tc>
      </w:tr>
      <w:tr w:rsidR="00013EC7" w:rsidTr="00362C3A">
        <w:trPr>
          <w:trHeight w:val="3387"/>
          <w:jc w:val="center"/>
        </w:trPr>
        <w:tc>
          <w:tcPr>
            <w:tcW w:w="672"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4报告备案登记</w:t>
            </w:r>
          </w:p>
        </w:tc>
        <w:tc>
          <w:tcPr>
            <w:tcW w:w="1035" w:type="dxa"/>
            <w:vMerge w:val="restart"/>
            <w:vAlign w:val="center"/>
          </w:tcPr>
          <w:p w:rsidR="00013EC7" w:rsidRDefault="00575CDB">
            <w:pPr>
              <w:spacing w:line="310" w:lineRule="exact"/>
              <w:jc w:val="left"/>
              <w:rPr>
                <w:rFonts w:ascii="仿宋" w:eastAsia="仿宋" w:hAnsi="仿宋" w:cs="仿宋"/>
                <w:sz w:val="24"/>
              </w:rPr>
            </w:pPr>
            <w:r>
              <w:rPr>
                <w:rFonts w:ascii="仿宋" w:eastAsia="仿宋" w:hAnsi="仿宋" w:cs="仿宋" w:hint="eastAsia"/>
                <w:sz w:val="24"/>
              </w:rPr>
              <w:t>4.2财务会计制度及核算软件备案报告</w:t>
            </w:r>
          </w:p>
        </w:tc>
        <w:tc>
          <w:tcPr>
            <w:tcW w:w="2622" w:type="dxa"/>
            <w:vMerge w:val="restart"/>
            <w:vAlign w:val="center"/>
          </w:tcPr>
          <w:p w:rsidR="00013EC7" w:rsidRDefault="00575CDB">
            <w:pPr>
              <w:spacing w:line="310" w:lineRule="exact"/>
              <w:jc w:val="left"/>
              <w:rPr>
                <w:rFonts w:ascii="仿宋" w:eastAsia="仿宋" w:hAnsi="仿宋" w:cs="仿宋"/>
                <w:sz w:val="24"/>
              </w:rPr>
            </w:pPr>
            <w:r>
              <w:rPr>
                <w:rFonts w:ascii="仿宋" w:eastAsia="仿宋" w:hAnsi="仿宋" w:cs="仿宋" w:hint="eastAsia"/>
                <w:sz w:val="24"/>
              </w:rPr>
              <w:t>（一）《中华人民共和国税收征收管理法》（2001年中华人民共和国主席令第49号）第二十条。</w:t>
            </w:r>
          </w:p>
          <w:p w:rsidR="00013EC7" w:rsidRDefault="00575CDB">
            <w:pPr>
              <w:spacing w:line="310" w:lineRule="exact"/>
              <w:jc w:val="left"/>
              <w:rPr>
                <w:rFonts w:ascii="仿宋" w:eastAsia="仿宋" w:hAnsi="仿宋" w:cs="仿宋"/>
                <w:sz w:val="24"/>
                <w:highlight w:val="yellow"/>
              </w:rPr>
            </w:pPr>
            <w:r>
              <w:rPr>
                <w:rFonts w:ascii="仿宋" w:eastAsia="仿宋" w:hAnsi="仿宋" w:cs="仿宋" w:hint="eastAsia"/>
                <w:sz w:val="24"/>
              </w:rPr>
              <w:t>（二）《中华人民共和国税收征收管理法实施细则》（2002年中华人民共和国国务院令第362号）第二十四条。</w:t>
            </w:r>
          </w:p>
        </w:tc>
        <w:tc>
          <w:tcPr>
            <w:tcW w:w="2760" w:type="dxa"/>
            <w:vAlign w:val="center"/>
          </w:tcPr>
          <w:p w:rsidR="00013EC7" w:rsidRDefault="00575CDB">
            <w:pPr>
              <w:jc w:val="left"/>
              <w:rPr>
                <w:rFonts w:ascii="仿宋" w:eastAsia="仿宋" w:hAnsi="仿宋" w:cs="仿宋"/>
                <w:sz w:val="24"/>
              </w:rPr>
            </w:pPr>
            <w:r>
              <w:rPr>
                <w:rFonts w:ascii="仿宋" w:eastAsia="仿宋" w:hAnsi="仿宋" w:cs="仿宋" w:hint="eastAsia"/>
                <w:sz w:val="24"/>
              </w:rPr>
              <w:t>（一）（A01038）《财务会计制度及核算软件备案报告书》1份。</w:t>
            </w:r>
          </w:p>
        </w:tc>
        <w:tc>
          <w:tcPr>
            <w:tcW w:w="1288" w:type="dxa"/>
            <w:vMerge w:val="restart"/>
            <w:vAlign w:val="center"/>
          </w:tcPr>
          <w:p w:rsidR="00013EC7" w:rsidRDefault="00575CDB">
            <w:pPr>
              <w:jc w:val="left"/>
              <w:rPr>
                <w:rFonts w:ascii="仿宋" w:eastAsia="仿宋" w:hAnsi="仿宋" w:cs="仿宋"/>
                <w:sz w:val="24"/>
              </w:rPr>
            </w:pPr>
            <w:r>
              <w:rPr>
                <w:rFonts w:ascii="仿宋" w:eastAsia="仿宋" w:hAnsi="仿宋" w:cs="仿宋" w:hint="eastAsia"/>
                <w:sz w:val="24"/>
              </w:rPr>
              <w:t>纳税人提交</w:t>
            </w:r>
          </w:p>
        </w:tc>
        <w:tc>
          <w:tcPr>
            <w:tcW w:w="2837" w:type="dxa"/>
            <w:vAlign w:val="center"/>
          </w:tcPr>
          <w:p w:rsidR="00013EC7" w:rsidRDefault="00575CDB">
            <w:pPr>
              <w:jc w:val="left"/>
              <w:rPr>
                <w:rFonts w:ascii="仿宋" w:eastAsia="仿宋" w:hAnsi="仿宋" w:cs="仿宋"/>
                <w:sz w:val="24"/>
              </w:rPr>
            </w:pPr>
            <w:r>
              <w:rPr>
                <w:rFonts w:ascii="仿宋" w:eastAsia="仿宋" w:hAnsi="仿宋" w:cs="仿宋" w:hint="eastAsia"/>
                <w:sz w:val="24"/>
              </w:rPr>
              <w:t>（一）（A01038）《财务会计制度及核算软件备案报告书》1份。</w:t>
            </w:r>
          </w:p>
        </w:tc>
        <w:tc>
          <w:tcPr>
            <w:tcW w:w="1326" w:type="dxa"/>
            <w:vMerge w:val="restart"/>
            <w:vAlign w:val="center"/>
          </w:tcPr>
          <w:p w:rsidR="00013EC7" w:rsidRDefault="00575CDB">
            <w:pPr>
              <w:jc w:val="left"/>
              <w:rPr>
                <w:rFonts w:ascii="仿宋" w:eastAsia="仿宋" w:hAnsi="仿宋" w:cs="仿宋"/>
                <w:sz w:val="24"/>
              </w:rPr>
            </w:pPr>
            <w:r>
              <w:rPr>
                <w:rFonts w:ascii="仿宋" w:eastAsia="仿宋" w:hAnsi="仿宋" w:cs="仿宋" w:hint="eastAsia"/>
                <w:sz w:val="24"/>
              </w:rPr>
              <w:t>纳税人提交</w:t>
            </w:r>
          </w:p>
        </w:tc>
        <w:tc>
          <w:tcPr>
            <w:tcW w:w="2848" w:type="dxa"/>
            <w:vMerge w:val="restart"/>
            <w:vAlign w:val="center"/>
          </w:tcPr>
          <w:p w:rsidR="00013EC7" w:rsidRDefault="00575CDB">
            <w:pPr>
              <w:jc w:val="left"/>
              <w:rPr>
                <w:rFonts w:ascii="仿宋" w:eastAsia="仿宋" w:hAnsi="仿宋" w:cs="仿宋"/>
                <w:sz w:val="24"/>
              </w:rPr>
            </w:pPr>
            <w:r>
              <w:rPr>
                <w:rFonts w:ascii="仿宋" w:eastAsia="仿宋" w:hAnsi="仿宋" w:cs="仿宋" w:hint="eastAsia"/>
                <w:b/>
                <w:bCs/>
                <w:sz w:val="24"/>
              </w:rPr>
              <w:t>现场办理：</w:t>
            </w:r>
            <w:r>
              <w:rPr>
                <w:rFonts w:ascii="仿宋" w:eastAsia="仿宋" w:hAnsi="仿宋" w:cs="仿宋" w:hint="eastAsia"/>
                <w:sz w:val="24"/>
              </w:rPr>
              <w:t>纳税人提交书面材料。</w:t>
            </w:r>
          </w:p>
          <w:p w:rsidR="00013EC7" w:rsidRDefault="00575CDB">
            <w:pPr>
              <w:jc w:val="left"/>
              <w:rPr>
                <w:rFonts w:ascii="仿宋" w:eastAsia="仿宋" w:hAnsi="仿宋" w:cs="仿宋"/>
                <w:sz w:val="24"/>
              </w:rPr>
            </w:pPr>
            <w:r>
              <w:rPr>
                <w:rFonts w:ascii="仿宋" w:eastAsia="仿宋" w:hAnsi="仿宋" w:cs="仿宋" w:hint="eastAsia"/>
                <w:b/>
                <w:bCs/>
                <w:sz w:val="24"/>
              </w:rPr>
              <w:t>网上办理：</w:t>
            </w:r>
            <w:r>
              <w:rPr>
                <w:rFonts w:ascii="仿宋" w:eastAsia="仿宋" w:hAnsi="仿宋" w:cs="仿宋" w:hint="eastAsia"/>
                <w:sz w:val="24"/>
              </w:rPr>
              <w:t>登录浙江国税电子税务局（网址：</w:t>
            </w:r>
            <w:hyperlink r:id="rId63" w:tgtFrame="https://wx.qq.com/_blank" w:history="1">
              <w:r>
                <w:rPr>
                  <w:rFonts w:ascii="仿宋" w:eastAsia="仿宋" w:hAnsi="仿宋" w:cs="仿宋" w:hint="eastAsia"/>
                  <w:sz w:val="24"/>
                </w:rPr>
                <w:t>http://etax.zjtax.gov.cn/</w:t>
              </w:r>
            </w:hyperlink>
            <w:r>
              <w:rPr>
                <w:rFonts w:ascii="仿宋" w:eastAsia="仿宋" w:hAnsi="仿宋" w:cs="仿宋" w:hint="eastAsia"/>
                <w:sz w:val="24"/>
              </w:rPr>
              <w:t>）提交申请。</w:t>
            </w:r>
          </w:p>
          <w:p w:rsidR="00013EC7" w:rsidRDefault="00575CDB">
            <w:pPr>
              <w:jc w:val="left"/>
              <w:rPr>
                <w:rFonts w:ascii="仿宋" w:eastAsia="仿宋" w:hAnsi="仿宋" w:cs="仿宋"/>
                <w:sz w:val="24"/>
              </w:rPr>
            </w:pPr>
            <w:r>
              <w:rPr>
                <w:rFonts w:ascii="仿宋" w:eastAsia="仿宋" w:hAnsi="仿宋" w:cs="仿宋" w:hint="eastAsia"/>
                <w:b/>
                <w:bCs/>
                <w:sz w:val="24"/>
              </w:rPr>
              <w:t>APP办理：</w:t>
            </w:r>
            <w:r>
              <w:rPr>
                <w:rFonts w:ascii="仿宋" w:eastAsia="仿宋" w:hAnsi="仿宋" w:cs="仿宋" w:hint="eastAsia"/>
                <w:sz w:val="24"/>
              </w:rPr>
              <w:t>登录浙江国税APP提交申请。</w:t>
            </w:r>
          </w:p>
        </w:tc>
        <w:tc>
          <w:tcPr>
            <w:tcW w:w="868"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即时办结</w:t>
            </w:r>
          </w:p>
        </w:tc>
        <w:tc>
          <w:tcPr>
            <w:tcW w:w="798"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即时办结</w:t>
            </w:r>
          </w:p>
        </w:tc>
        <w:tc>
          <w:tcPr>
            <w:tcW w:w="1039"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是</w:t>
            </w:r>
          </w:p>
        </w:tc>
        <w:tc>
          <w:tcPr>
            <w:tcW w:w="1023"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征管科技处</w:t>
            </w:r>
          </w:p>
        </w:tc>
        <w:tc>
          <w:tcPr>
            <w:tcW w:w="1476" w:type="dxa"/>
            <w:vMerge w:val="restart"/>
            <w:vAlign w:val="center"/>
          </w:tcPr>
          <w:p w:rsidR="00013EC7" w:rsidRDefault="00013EC7">
            <w:pPr>
              <w:jc w:val="left"/>
              <w:rPr>
                <w:rFonts w:ascii="仿宋" w:eastAsia="仿宋" w:hAnsi="仿宋" w:cs="仿宋"/>
                <w:b/>
                <w:color w:val="FF0000"/>
                <w:sz w:val="24"/>
              </w:rPr>
            </w:pPr>
          </w:p>
        </w:tc>
      </w:tr>
      <w:tr w:rsidR="00013EC7" w:rsidTr="00362C3A">
        <w:trPr>
          <w:trHeight w:val="1426"/>
          <w:jc w:val="center"/>
        </w:trPr>
        <w:tc>
          <w:tcPr>
            <w:tcW w:w="672" w:type="dxa"/>
            <w:vMerge/>
            <w:vAlign w:val="center"/>
          </w:tcPr>
          <w:p w:rsidR="00013EC7" w:rsidRDefault="00013EC7">
            <w:pPr>
              <w:widowControl/>
              <w:jc w:val="left"/>
              <w:rPr>
                <w:rFonts w:ascii="仿宋" w:eastAsia="仿宋" w:hAnsi="仿宋" w:cs="仿宋"/>
                <w:sz w:val="24"/>
              </w:rPr>
            </w:pPr>
          </w:p>
        </w:tc>
        <w:tc>
          <w:tcPr>
            <w:tcW w:w="1035" w:type="dxa"/>
            <w:vMerge/>
            <w:vAlign w:val="center"/>
          </w:tcPr>
          <w:p w:rsidR="00013EC7" w:rsidRDefault="00013EC7">
            <w:pPr>
              <w:widowControl/>
              <w:jc w:val="left"/>
              <w:rPr>
                <w:rFonts w:ascii="仿宋" w:eastAsia="仿宋" w:hAnsi="仿宋" w:cs="仿宋"/>
                <w:sz w:val="24"/>
              </w:rPr>
            </w:pPr>
          </w:p>
        </w:tc>
        <w:tc>
          <w:tcPr>
            <w:tcW w:w="2622" w:type="dxa"/>
            <w:vMerge/>
            <w:vAlign w:val="center"/>
          </w:tcPr>
          <w:p w:rsidR="00013EC7" w:rsidRDefault="00013EC7">
            <w:pPr>
              <w:widowControl/>
              <w:jc w:val="left"/>
              <w:rPr>
                <w:rFonts w:ascii="仿宋" w:eastAsia="仿宋" w:hAnsi="仿宋" w:cs="仿宋"/>
                <w:sz w:val="24"/>
                <w:highlight w:val="yellow"/>
              </w:rPr>
            </w:pPr>
          </w:p>
        </w:tc>
        <w:tc>
          <w:tcPr>
            <w:tcW w:w="2760" w:type="dxa"/>
            <w:vAlign w:val="center"/>
          </w:tcPr>
          <w:p w:rsidR="00013EC7" w:rsidRDefault="00575CDB">
            <w:pPr>
              <w:jc w:val="left"/>
              <w:rPr>
                <w:rFonts w:ascii="仿宋" w:eastAsia="仿宋" w:hAnsi="仿宋" w:cs="仿宋"/>
                <w:sz w:val="24"/>
              </w:rPr>
            </w:pPr>
            <w:r>
              <w:rPr>
                <w:rFonts w:ascii="仿宋" w:eastAsia="仿宋" w:hAnsi="仿宋" w:cs="仿宋" w:hint="eastAsia"/>
                <w:sz w:val="24"/>
              </w:rPr>
              <w:t>（二）纳税人财务、会计制度或纳税人财务、会计核算办法查看。</w:t>
            </w:r>
          </w:p>
        </w:tc>
        <w:tc>
          <w:tcPr>
            <w:tcW w:w="1288" w:type="dxa"/>
            <w:vMerge/>
            <w:vAlign w:val="center"/>
          </w:tcPr>
          <w:p w:rsidR="00013EC7" w:rsidRDefault="00013EC7">
            <w:pPr>
              <w:widowControl/>
              <w:jc w:val="left"/>
              <w:rPr>
                <w:rFonts w:ascii="仿宋" w:eastAsia="仿宋" w:hAnsi="仿宋" w:cs="仿宋"/>
                <w:sz w:val="24"/>
              </w:rPr>
            </w:pPr>
          </w:p>
        </w:tc>
        <w:tc>
          <w:tcPr>
            <w:tcW w:w="2837" w:type="dxa"/>
            <w:vAlign w:val="center"/>
          </w:tcPr>
          <w:p w:rsidR="00013EC7" w:rsidRDefault="00575CDB">
            <w:pPr>
              <w:jc w:val="left"/>
              <w:rPr>
                <w:rFonts w:ascii="仿宋" w:eastAsia="仿宋" w:hAnsi="仿宋" w:cs="仿宋"/>
                <w:sz w:val="24"/>
              </w:rPr>
            </w:pPr>
            <w:r>
              <w:rPr>
                <w:rFonts w:ascii="仿宋" w:eastAsia="仿宋" w:hAnsi="仿宋" w:cs="仿宋" w:hint="eastAsia"/>
                <w:sz w:val="24"/>
              </w:rPr>
              <w:t>（二） 纳税人财务、会计制度或纳税人财务、会计核算办法查看。</w:t>
            </w:r>
          </w:p>
        </w:tc>
        <w:tc>
          <w:tcPr>
            <w:tcW w:w="1326" w:type="dxa"/>
            <w:vMerge/>
            <w:vAlign w:val="center"/>
          </w:tcPr>
          <w:p w:rsidR="00013EC7" w:rsidRDefault="00013EC7">
            <w:pPr>
              <w:spacing w:line="300" w:lineRule="exact"/>
              <w:jc w:val="left"/>
              <w:rPr>
                <w:rFonts w:ascii="仿宋" w:eastAsia="仿宋" w:hAnsi="仿宋" w:cs="仿宋"/>
                <w:sz w:val="24"/>
              </w:rPr>
            </w:pPr>
          </w:p>
        </w:tc>
        <w:tc>
          <w:tcPr>
            <w:tcW w:w="2848" w:type="dxa"/>
            <w:vMerge/>
            <w:vAlign w:val="center"/>
          </w:tcPr>
          <w:p w:rsidR="00013EC7" w:rsidRDefault="00013EC7">
            <w:pPr>
              <w:spacing w:line="300" w:lineRule="exact"/>
              <w:jc w:val="left"/>
              <w:rPr>
                <w:rFonts w:ascii="仿宋" w:eastAsia="仿宋" w:hAnsi="仿宋" w:cs="仿宋"/>
                <w:b/>
                <w:sz w:val="24"/>
              </w:rPr>
            </w:pPr>
          </w:p>
        </w:tc>
        <w:tc>
          <w:tcPr>
            <w:tcW w:w="868" w:type="dxa"/>
            <w:vMerge/>
            <w:vAlign w:val="center"/>
          </w:tcPr>
          <w:p w:rsidR="00013EC7" w:rsidRDefault="00013EC7">
            <w:pPr>
              <w:widowControl/>
              <w:jc w:val="left"/>
              <w:rPr>
                <w:rFonts w:ascii="仿宋" w:eastAsia="仿宋" w:hAnsi="仿宋" w:cs="仿宋"/>
                <w:sz w:val="24"/>
              </w:rPr>
            </w:pPr>
          </w:p>
        </w:tc>
        <w:tc>
          <w:tcPr>
            <w:tcW w:w="798" w:type="dxa"/>
            <w:vMerge/>
            <w:vAlign w:val="center"/>
          </w:tcPr>
          <w:p w:rsidR="00013EC7" w:rsidRDefault="00013EC7">
            <w:pPr>
              <w:widowControl/>
              <w:jc w:val="left"/>
              <w:rPr>
                <w:rFonts w:ascii="仿宋" w:eastAsia="仿宋" w:hAnsi="仿宋" w:cs="仿宋"/>
                <w:sz w:val="24"/>
              </w:rPr>
            </w:pPr>
          </w:p>
        </w:tc>
        <w:tc>
          <w:tcPr>
            <w:tcW w:w="1039" w:type="dxa"/>
            <w:vMerge/>
            <w:vAlign w:val="center"/>
          </w:tcPr>
          <w:p w:rsidR="00013EC7" w:rsidRDefault="00013EC7">
            <w:pPr>
              <w:widowControl/>
              <w:jc w:val="left"/>
              <w:rPr>
                <w:rFonts w:ascii="仿宋" w:eastAsia="仿宋" w:hAnsi="仿宋" w:cs="仿宋"/>
                <w:sz w:val="24"/>
              </w:rPr>
            </w:pPr>
          </w:p>
        </w:tc>
        <w:tc>
          <w:tcPr>
            <w:tcW w:w="1023" w:type="dxa"/>
            <w:vMerge/>
            <w:vAlign w:val="center"/>
          </w:tcPr>
          <w:p w:rsidR="00013EC7" w:rsidRDefault="00013EC7">
            <w:pPr>
              <w:widowControl/>
              <w:jc w:val="left"/>
              <w:rPr>
                <w:rFonts w:ascii="仿宋" w:eastAsia="仿宋" w:hAnsi="仿宋" w:cs="仿宋"/>
                <w:sz w:val="24"/>
              </w:rPr>
            </w:pPr>
          </w:p>
        </w:tc>
        <w:tc>
          <w:tcPr>
            <w:tcW w:w="1476" w:type="dxa"/>
            <w:vMerge/>
            <w:vAlign w:val="center"/>
          </w:tcPr>
          <w:p w:rsidR="00013EC7" w:rsidRDefault="00013EC7">
            <w:pPr>
              <w:widowControl/>
              <w:jc w:val="left"/>
              <w:rPr>
                <w:rFonts w:ascii="仿宋" w:eastAsia="仿宋" w:hAnsi="仿宋" w:cs="仿宋"/>
                <w:b/>
                <w:color w:val="FF0000"/>
                <w:sz w:val="24"/>
              </w:rPr>
            </w:pPr>
          </w:p>
        </w:tc>
      </w:tr>
    </w:tbl>
    <w:p w:rsidR="00013EC7" w:rsidRDefault="005262E6">
      <w:pPr>
        <w:tabs>
          <w:tab w:val="left" w:pos="10942"/>
        </w:tabs>
        <w:jc w:val="left"/>
      </w:pPr>
      <w:r>
        <w:rPr>
          <w:kern w:val="0"/>
        </w:rPr>
        <w:lastRenderedPageBreak/>
        <w:object w:dxaOrig="1440" w:dyaOrig="1440">
          <v:shape id="_x0000_s1331" type="#_x0000_t75" style="position:absolute;margin-left:530.65pt;margin-top:96.95pt;width:453pt;height:501pt;z-index:251657216;mso-wrap-distance-top:0;mso-wrap-distance-bottom:0;mso-position-horizontal-relative:text;mso-position-vertical-relative:page;mso-width-relative:page;mso-height-relative:page">
            <v:imagedata r:id="rId64" o:title=""/>
            <w10:wrap type="topAndBottom" anchory="page"/>
          </v:shape>
          <o:OLEObject Type="Embed" ProgID="Visio.Drawing.11" ShapeID="_x0000_s1331" DrawAspect="Content" ObjectID="_1577296166" r:id="rId65"/>
        </w:object>
      </w:r>
      <w:r>
        <w:rPr>
          <w:kern w:val="0"/>
        </w:rPr>
        <w:object w:dxaOrig="1440" w:dyaOrig="1440">
          <v:shape id="_x0000_s1330" type="#_x0000_t75" style="position:absolute;margin-left:0;margin-top:88.45pt;width:453pt;height:508pt;z-index:251656192;mso-wrap-distance-top:0;mso-wrap-distance-bottom:0;mso-position-horizontal-relative:text;mso-position-vertical-relative:page;mso-width-relative:page;mso-height-relative:page">
            <v:imagedata r:id="rId66" o:title=""/>
            <w10:wrap type="topAndBottom" anchory="page"/>
          </v:shape>
          <o:OLEObject Type="Embed" ProgID="Visio.Drawing.11" ShapeID="_x0000_s1330" DrawAspect="Content" ObjectID="_1577296167" r:id="rId67"/>
        </w:object>
      </w:r>
    </w:p>
    <w:p w:rsidR="00013EC7" w:rsidRDefault="00013EC7">
      <w:pPr>
        <w:jc w:val="left"/>
        <w:rPr>
          <w:rFonts w:ascii="仿宋" w:eastAsia="仿宋" w:hAnsi="仿宋"/>
          <w:color w:val="000000"/>
          <w:sz w:val="24"/>
        </w:rPr>
      </w:pPr>
    </w:p>
    <w:p w:rsidR="00013EC7" w:rsidRDefault="00013EC7">
      <w:pPr>
        <w:jc w:val="left"/>
        <w:rPr>
          <w:rFonts w:ascii="仿宋" w:eastAsia="仿宋" w:hAnsi="仿宋"/>
          <w:color w:val="000000"/>
          <w:sz w:val="24"/>
        </w:rPr>
      </w:pPr>
    </w:p>
    <w:p w:rsidR="00013EC7" w:rsidRDefault="00575CDB">
      <w:pPr>
        <w:widowControl/>
        <w:jc w:val="left"/>
        <w:rPr>
          <w:rFonts w:ascii="仿宋" w:eastAsia="仿宋" w:hAnsi="仿宋"/>
          <w:color w:val="000000"/>
          <w:sz w:val="24"/>
        </w:rPr>
      </w:pPr>
      <w:r>
        <w:rPr>
          <w:rFonts w:ascii="仿宋" w:eastAsia="仿宋" w:hAnsi="仿宋"/>
          <w:color w:val="000000"/>
          <w:sz w:val="24"/>
        </w:rPr>
        <w:br w:type="page"/>
      </w:r>
    </w:p>
    <w:p w:rsidR="00013EC7" w:rsidRDefault="00013EC7">
      <w:pPr>
        <w:jc w:val="left"/>
        <w:rPr>
          <w:rFonts w:ascii="仿宋" w:eastAsia="仿宋" w:hAnsi="仿宋"/>
          <w:color w:val="000000"/>
          <w:sz w:val="24"/>
        </w:rPr>
      </w:pPr>
    </w:p>
    <w:p w:rsidR="00013EC7" w:rsidRDefault="00575CDB">
      <w:pPr>
        <w:pStyle w:val="2"/>
      </w:pPr>
      <w:bookmarkStart w:id="79" w:name="_Toc11540"/>
      <w:bookmarkStart w:id="80" w:name="_Toc11457"/>
      <w:bookmarkStart w:id="81" w:name="_Toc503467375"/>
      <w:bookmarkStart w:id="82" w:name="_Toc5259"/>
      <w:r>
        <w:rPr>
          <w:rFonts w:hint="eastAsia"/>
        </w:rPr>
        <w:t>4.3</w:t>
      </w:r>
      <w:r>
        <w:rPr>
          <w:rFonts w:hint="eastAsia"/>
        </w:rPr>
        <w:t>企业所得税汇总纳税总分机构信息备案</w:t>
      </w:r>
      <w:bookmarkEnd w:id="79"/>
      <w:bookmarkEnd w:id="80"/>
      <w:bookmarkEnd w:id="81"/>
      <w:bookmarkEnd w:id="82"/>
    </w:p>
    <w:p w:rsidR="00013EC7" w:rsidRDefault="00575CDB">
      <w:pPr>
        <w:jc w:val="center"/>
        <w:rPr>
          <w:rFonts w:ascii="宋体" w:hAnsi="宋体" w:cs="宋体"/>
          <w:b/>
          <w:bCs/>
          <w:sz w:val="52"/>
          <w:szCs w:val="52"/>
        </w:rPr>
      </w:pPr>
      <w:r>
        <w:rPr>
          <w:rFonts w:ascii="宋体" w:hAnsi="宋体" w:cs="宋体" w:hint="eastAsia"/>
          <w:b/>
          <w:bCs/>
          <w:sz w:val="52"/>
          <w:szCs w:val="52"/>
        </w:rPr>
        <w:t>全省“最多跑一次”事项“八统一”梳理表</w:t>
      </w:r>
    </w:p>
    <w:tbl>
      <w:tblPr>
        <w:tblW w:w="19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2114"/>
        <w:gridCol w:w="2785"/>
        <w:gridCol w:w="930"/>
        <w:gridCol w:w="2822"/>
        <w:gridCol w:w="1005"/>
        <w:gridCol w:w="3278"/>
        <w:gridCol w:w="868"/>
        <w:gridCol w:w="798"/>
        <w:gridCol w:w="958"/>
        <w:gridCol w:w="1104"/>
        <w:gridCol w:w="1476"/>
      </w:tblGrid>
      <w:tr w:rsidR="00013EC7" w:rsidTr="00362C3A">
        <w:trPr>
          <w:trHeight w:val="340"/>
          <w:tblHeader/>
          <w:jc w:val="center"/>
        </w:trPr>
        <w:tc>
          <w:tcPr>
            <w:tcW w:w="672" w:type="dxa"/>
            <w:vMerge w:val="restart"/>
            <w:vAlign w:val="center"/>
          </w:tcPr>
          <w:p w:rsidR="00013EC7" w:rsidRDefault="00575CDB">
            <w:pPr>
              <w:spacing w:line="280" w:lineRule="exact"/>
              <w:jc w:val="center"/>
              <w:rPr>
                <w:rFonts w:ascii="黑体" w:eastAsia="黑体" w:hAnsi="黑体" w:cs="黑体"/>
                <w:bCs/>
                <w:sz w:val="24"/>
              </w:rPr>
            </w:pPr>
            <w:r>
              <w:rPr>
                <w:rFonts w:ascii="黑体" w:eastAsia="黑体" w:hAnsi="黑体" w:cs="黑体" w:hint="eastAsia"/>
                <w:bCs/>
                <w:sz w:val="24"/>
              </w:rPr>
              <w:t>主项名称</w:t>
            </w:r>
          </w:p>
        </w:tc>
        <w:tc>
          <w:tcPr>
            <w:tcW w:w="1035" w:type="dxa"/>
            <w:vMerge w:val="restart"/>
            <w:vAlign w:val="center"/>
          </w:tcPr>
          <w:p w:rsidR="00013EC7" w:rsidRDefault="00575CDB">
            <w:pPr>
              <w:spacing w:line="280" w:lineRule="exact"/>
              <w:jc w:val="center"/>
              <w:rPr>
                <w:rFonts w:ascii="黑体" w:eastAsia="黑体" w:hAnsi="黑体" w:cs="黑体"/>
                <w:bCs/>
                <w:sz w:val="24"/>
              </w:rPr>
            </w:pPr>
            <w:r>
              <w:rPr>
                <w:rFonts w:ascii="黑体" w:eastAsia="黑体" w:hAnsi="黑体" w:cs="黑体" w:hint="eastAsia"/>
                <w:bCs/>
                <w:sz w:val="24"/>
              </w:rPr>
              <w:t>子项名称</w:t>
            </w:r>
          </w:p>
        </w:tc>
        <w:tc>
          <w:tcPr>
            <w:tcW w:w="2114" w:type="dxa"/>
            <w:vMerge w:val="restart"/>
            <w:vAlign w:val="center"/>
          </w:tcPr>
          <w:p w:rsidR="00013EC7" w:rsidRDefault="00575CDB">
            <w:pPr>
              <w:spacing w:line="280" w:lineRule="exact"/>
              <w:jc w:val="center"/>
              <w:rPr>
                <w:rFonts w:ascii="黑体" w:eastAsia="黑体" w:hAnsi="黑体" w:cs="黑体"/>
                <w:bCs/>
                <w:sz w:val="24"/>
              </w:rPr>
            </w:pPr>
            <w:r>
              <w:rPr>
                <w:rFonts w:ascii="黑体" w:eastAsia="黑体" w:hAnsi="黑体" w:cs="黑体" w:hint="eastAsia"/>
                <w:bCs/>
                <w:sz w:val="24"/>
              </w:rPr>
              <w:t>经办依据</w:t>
            </w:r>
          </w:p>
        </w:tc>
        <w:tc>
          <w:tcPr>
            <w:tcW w:w="3715" w:type="dxa"/>
            <w:gridSpan w:val="2"/>
            <w:vAlign w:val="center"/>
          </w:tcPr>
          <w:p w:rsidR="00013EC7" w:rsidRDefault="00575CDB">
            <w:pPr>
              <w:spacing w:line="280" w:lineRule="exact"/>
              <w:jc w:val="center"/>
              <w:rPr>
                <w:rFonts w:ascii="黑体" w:eastAsia="黑体" w:hAnsi="黑体" w:cs="黑体"/>
                <w:bCs/>
                <w:sz w:val="24"/>
              </w:rPr>
            </w:pPr>
            <w:r>
              <w:rPr>
                <w:rFonts w:ascii="黑体" w:eastAsia="黑体" w:hAnsi="黑体" w:cs="黑体" w:hint="eastAsia"/>
                <w:bCs/>
                <w:sz w:val="24"/>
              </w:rPr>
              <w:t>原经办所需材料</w:t>
            </w:r>
          </w:p>
        </w:tc>
        <w:tc>
          <w:tcPr>
            <w:tcW w:w="7105" w:type="dxa"/>
            <w:gridSpan w:val="3"/>
            <w:vAlign w:val="center"/>
          </w:tcPr>
          <w:p w:rsidR="00013EC7" w:rsidRDefault="00575CDB">
            <w:pPr>
              <w:spacing w:line="280" w:lineRule="exact"/>
              <w:jc w:val="center"/>
              <w:rPr>
                <w:rFonts w:ascii="黑体" w:eastAsia="黑体" w:hAnsi="黑体" w:cs="黑体"/>
                <w:bCs/>
                <w:sz w:val="24"/>
              </w:rPr>
            </w:pPr>
            <w:r>
              <w:rPr>
                <w:rFonts w:ascii="黑体" w:eastAsia="黑体" w:hAnsi="黑体" w:cs="黑体" w:hint="eastAsia"/>
                <w:bCs/>
                <w:sz w:val="24"/>
              </w:rPr>
              <w:t>精简后经办所需材料</w:t>
            </w:r>
          </w:p>
        </w:tc>
        <w:tc>
          <w:tcPr>
            <w:tcW w:w="1666" w:type="dxa"/>
            <w:gridSpan w:val="2"/>
            <w:vAlign w:val="center"/>
          </w:tcPr>
          <w:p w:rsidR="00013EC7" w:rsidRDefault="00575CDB">
            <w:pPr>
              <w:spacing w:line="280" w:lineRule="exact"/>
              <w:jc w:val="center"/>
              <w:rPr>
                <w:rFonts w:ascii="黑体" w:eastAsia="黑体" w:hAnsi="黑体" w:cs="黑体"/>
                <w:bCs/>
                <w:sz w:val="24"/>
              </w:rPr>
            </w:pPr>
            <w:r>
              <w:rPr>
                <w:rFonts w:ascii="黑体" w:eastAsia="黑体" w:hAnsi="黑体" w:cs="黑体" w:hint="eastAsia"/>
                <w:bCs/>
                <w:sz w:val="24"/>
              </w:rPr>
              <w:t>办理时限</w:t>
            </w:r>
          </w:p>
        </w:tc>
        <w:tc>
          <w:tcPr>
            <w:tcW w:w="958" w:type="dxa"/>
            <w:vMerge w:val="restart"/>
            <w:vAlign w:val="center"/>
          </w:tcPr>
          <w:p w:rsidR="00013EC7" w:rsidRDefault="00575CDB">
            <w:pPr>
              <w:spacing w:line="280" w:lineRule="exact"/>
              <w:jc w:val="center"/>
              <w:rPr>
                <w:rFonts w:ascii="黑体" w:eastAsia="黑体" w:hAnsi="黑体" w:cs="黑体"/>
                <w:bCs/>
                <w:sz w:val="24"/>
              </w:rPr>
            </w:pPr>
            <w:r>
              <w:rPr>
                <w:rFonts w:ascii="黑体" w:eastAsia="黑体" w:hAnsi="黑体" w:cs="黑体" w:hint="eastAsia"/>
                <w:bCs/>
                <w:sz w:val="24"/>
              </w:rPr>
              <w:t>是否实现跑零次</w:t>
            </w:r>
          </w:p>
        </w:tc>
        <w:tc>
          <w:tcPr>
            <w:tcW w:w="1104" w:type="dxa"/>
            <w:vMerge w:val="restart"/>
            <w:vAlign w:val="center"/>
          </w:tcPr>
          <w:p w:rsidR="00013EC7" w:rsidRDefault="00575CDB">
            <w:pPr>
              <w:spacing w:line="280" w:lineRule="exact"/>
              <w:jc w:val="center"/>
              <w:rPr>
                <w:rFonts w:ascii="黑体" w:eastAsia="黑体" w:hAnsi="黑体" w:cs="黑体"/>
                <w:bCs/>
                <w:sz w:val="24"/>
              </w:rPr>
            </w:pPr>
            <w:r>
              <w:rPr>
                <w:rFonts w:ascii="黑体" w:eastAsia="黑体" w:hAnsi="黑体" w:cs="黑体" w:hint="eastAsia"/>
                <w:bCs/>
                <w:sz w:val="24"/>
              </w:rPr>
              <w:t>省厅对口</w:t>
            </w:r>
          </w:p>
          <w:p w:rsidR="00013EC7" w:rsidRDefault="00575CDB">
            <w:pPr>
              <w:spacing w:line="280" w:lineRule="exact"/>
              <w:jc w:val="center"/>
              <w:rPr>
                <w:rFonts w:ascii="黑体" w:eastAsia="黑体" w:hAnsi="黑体" w:cs="黑体"/>
                <w:bCs/>
                <w:sz w:val="24"/>
              </w:rPr>
            </w:pPr>
            <w:r>
              <w:rPr>
                <w:rFonts w:ascii="黑体" w:eastAsia="黑体" w:hAnsi="黑体" w:cs="黑体" w:hint="eastAsia"/>
                <w:bCs/>
                <w:sz w:val="24"/>
              </w:rPr>
              <w:t>指导处室</w:t>
            </w:r>
          </w:p>
          <w:p w:rsidR="00013EC7" w:rsidRDefault="00575CDB">
            <w:pPr>
              <w:spacing w:line="280" w:lineRule="exact"/>
              <w:jc w:val="center"/>
              <w:rPr>
                <w:rFonts w:ascii="黑体" w:eastAsia="黑体" w:hAnsi="黑体" w:cs="黑体"/>
                <w:bCs/>
                <w:sz w:val="24"/>
              </w:rPr>
            </w:pPr>
            <w:r>
              <w:rPr>
                <w:rFonts w:ascii="黑体" w:eastAsia="黑体" w:hAnsi="黑体" w:cs="黑体" w:hint="eastAsia"/>
                <w:bCs/>
                <w:sz w:val="24"/>
              </w:rPr>
              <w:t>（单位）</w:t>
            </w:r>
          </w:p>
        </w:tc>
        <w:tc>
          <w:tcPr>
            <w:tcW w:w="1476" w:type="dxa"/>
            <w:vMerge w:val="restart"/>
            <w:vAlign w:val="center"/>
          </w:tcPr>
          <w:p w:rsidR="00013EC7" w:rsidRDefault="00575CDB">
            <w:pPr>
              <w:spacing w:line="280" w:lineRule="exact"/>
              <w:jc w:val="center"/>
              <w:rPr>
                <w:rFonts w:ascii="黑体" w:eastAsia="黑体" w:hAnsi="黑体" w:cs="黑体"/>
                <w:bCs/>
                <w:sz w:val="24"/>
              </w:rPr>
            </w:pPr>
            <w:r>
              <w:rPr>
                <w:rFonts w:ascii="黑体" w:eastAsia="黑体" w:hAnsi="黑体" w:cs="黑体" w:hint="eastAsia"/>
                <w:bCs/>
                <w:sz w:val="24"/>
              </w:rPr>
              <w:t>进一步精简、</w:t>
            </w:r>
          </w:p>
          <w:p w:rsidR="00013EC7" w:rsidRDefault="00575CDB">
            <w:pPr>
              <w:spacing w:line="280" w:lineRule="exact"/>
              <w:jc w:val="center"/>
              <w:rPr>
                <w:rFonts w:ascii="黑体" w:eastAsia="黑体" w:hAnsi="黑体" w:cs="黑体"/>
                <w:bCs/>
                <w:sz w:val="24"/>
              </w:rPr>
            </w:pPr>
            <w:r>
              <w:rPr>
                <w:rFonts w:ascii="黑体" w:eastAsia="黑体" w:hAnsi="黑体" w:cs="黑体" w:hint="eastAsia"/>
                <w:bCs/>
                <w:sz w:val="24"/>
              </w:rPr>
              <w:t>规范建议</w:t>
            </w:r>
          </w:p>
        </w:tc>
      </w:tr>
      <w:tr w:rsidR="00013EC7" w:rsidTr="00362C3A">
        <w:trPr>
          <w:trHeight w:val="340"/>
          <w:tblHeader/>
          <w:jc w:val="center"/>
        </w:trPr>
        <w:tc>
          <w:tcPr>
            <w:tcW w:w="672" w:type="dxa"/>
            <w:vMerge/>
            <w:vAlign w:val="center"/>
          </w:tcPr>
          <w:p w:rsidR="00013EC7" w:rsidRDefault="00013EC7">
            <w:pPr>
              <w:widowControl/>
              <w:jc w:val="left"/>
              <w:rPr>
                <w:rFonts w:ascii="黑体" w:eastAsia="黑体" w:hAnsi="黑体" w:cs="黑体"/>
                <w:bCs/>
                <w:sz w:val="24"/>
              </w:rPr>
            </w:pPr>
          </w:p>
        </w:tc>
        <w:tc>
          <w:tcPr>
            <w:tcW w:w="1035" w:type="dxa"/>
            <w:vMerge/>
            <w:vAlign w:val="center"/>
          </w:tcPr>
          <w:p w:rsidR="00013EC7" w:rsidRDefault="00013EC7">
            <w:pPr>
              <w:widowControl/>
              <w:jc w:val="left"/>
              <w:rPr>
                <w:rFonts w:ascii="黑体" w:eastAsia="黑体" w:hAnsi="黑体" w:cs="黑体"/>
                <w:bCs/>
                <w:sz w:val="24"/>
              </w:rPr>
            </w:pPr>
          </w:p>
        </w:tc>
        <w:tc>
          <w:tcPr>
            <w:tcW w:w="2114" w:type="dxa"/>
            <w:vMerge/>
            <w:vAlign w:val="center"/>
          </w:tcPr>
          <w:p w:rsidR="00013EC7" w:rsidRDefault="00013EC7">
            <w:pPr>
              <w:widowControl/>
              <w:jc w:val="left"/>
              <w:rPr>
                <w:rFonts w:ascii="黑体" w:eastAsia="黑体" w:hAnsi="黑体" w:cs="黑体"/>
                <w:bCs/>
                <w:sz w:val="24"/>
              </w:rPr>
            </w:pPr>
          </w:p>
        </w:tc>
        <w:tc>
          <w:tcPr>
            <w:tcW w:w="2785" w:type="dxa"/>
            <w:vAlign w:val="center"/>
          </w:tcPr>
          <w:p w:rsidR="00013EC7" w:rsidRDefault="00575CDB">
            <w:pPr>
              <w:spacing w:line="280" w:lineRule="exact"/>
              <w:jc w:val="center"/>
              <w:rPr>
                <w:rFonts w:ascii="黑体" w:eastAsia="黑体" w:hAnsi="黑体" w:cs="黑体"/>
                <w:bCs/>
                <w:sz w:val="24"/>
              </w:rPr>
            </w:pPr>
            <w:r>
              <w:rPr>
                <w:rFonts w:ascii="黑体" w:eastAsia="黑体" w:hAnsi="黑体" w:cs="黑体" w:hint="eastAsia"/>
                <w:bCs/>
                <w:sz w:val="24"/>
              </w:rPr>
              <w:t>材料明细</w:t>
            </w:r>
          </w:p>
        </w:tc>
        <w:tc>
          <w:tcPr>
            <w:tcW w:w="930" w:type="dxa"/>
            <w:vAlign w:val="center"/>
          </w:tcPr>
          <w:p w:rsidR="00013EC7" w:rsidRDefault="00575CDB">
            <w:pPr>
              <w:spacing w:line="280" w:lineRule="exact"/>
              <w:jc w:val="center"/>
              <w:rPr>
                <w:rFonts w:ascii="黑体" w:eastAsia="黑体" w:hAnsi="黑体" w:cs="黑体"/>
                <w:bCs/>
                <w:sz w:val="24"/>
              </w:rPr>
            </w:pPr>
            <w:r>
              <w:rPr>
                <w:rFonts w:ascii="黑体" w:eastAsia="黑体" w:hAnsi="黑体" w:cs="黑体" w:hint="eastAsia"/>
                <w:bCs/>
                <w:sz w:val="24"/>
              </w:rPr>
              <w:t>材料来源</w:t>
            </w:r>
          </w:p>
        </w:tc>
        <w:tc>
          <w:tcPr>
            <w:tcW w:w="2822" w:type="dxa"/>
            <w:vAlign w:val="center"/>
          </w:tcPr>
          <w:p w:rsidR="00013EC7" w:rsidRDefault="00575CDB">
            <w:pPr>
              <w:spacing w:line="280" w:lineRule="exact"/>
              <w:jc w:val="center"/>
              <w:rPr>
                <w:rFonts w:ascii="黑体" w:eastAsia="黑体" w:hAnsi="黑体" w:cs="黑体"/>
                <w:bCs/>
                <w:sz w:val="24"/>
              </w:rPr>
            </w:pPr>
            <w:r>
              <w:rPr>
                <w:rFonts w:ascii="黑体" w:eastAsia="黑体" w:hAnsi="黑体" w:cs="黑体" w:hint="eastAsia"/>
                <w:bCs/>
                <w:sz w:val="24"/>
              </w:rPr>
              <w:t>材料明细</w:t>
            </w:r>
          </w:p>
        </w:tc>
        <w:tc>
          <w:tcPr>
            <w:tcW w:w="1005" w:type="dxa"/>
            <w:vAlign w:val="center"/>
          </w:tcPr>
          <w:p w:rsidR="00013EC7" w:rsidRDefault="00575CDB">
            <w:pPr>
              <w:spacing w:line="280" w:lineRule="exact"/>
              <w:jc w:val="center"/>
              <w:rPr>
                <w:rFonts w:ascii="黑体" w:eastAsia="黑体" w:hAnsi="黑体" w:cs="黑体"/>
                <w:bCs/>
                <w:sz w:val="24"/>
              </w:rPr>
            </w:pPr>
            <w:r>
              <w:rPr>
                <w:rFonts w:ascii="黑体" w:eastAsia="黑体" w:hAnsi="黑体" w:cs="黑体" w:hint="eastAsia"/>
                <w:bCs/>
                <w:sz w:val="24"/>
              </w:rPr>
              <w:t>材料来源</w:t>
            </w:r>
          </w:p>
        </w:tc>
        <w:tc>
          <w:tcPr>
            <w:tcW w:w="3278" w:type="dxa"/>
            <w:vAlign w:val="center"/>
          </w:tcPr>
          <w:p w:rsidR="00013EC7" w:rsidRDefault="00575CDB">
            <w:pPr>
              <w:spacing w:line="280" w:lineRule="exact"/>
              <w:jc w:val="center"/>
              <w:rPr>
                <w:rFonts w:ascii="黑体" w:eastAsia="黑体" w:hAnsi="黑体" w:cs="黑体"/>
                <w:bCs/>
                <w:sz w:val="24"/>
              </w:rPr>
            </w:pPr>
            <w:r>
              <w:rPr>
                <w:rFonts w:ascii="黑体" w:eastAsia="黑体" w:hAnsi="黑体" w:cs="黑体" w:hint="eastAsia"/>
                <w:bCs/>
                <w:sz w:val="24"/>
              </w:rPr>
              <w:t>办理方式及材料</w:t>
            </w:r>
          </w:p>
          <w:p w:rsidR="00013EC7" w:rsidRDefault="00575CDB">
            <w:pPr>
              <w:spacing w:line="280" w:lineRule="exact"/>
              <w:jc w:val="center"/>
              <w:rPr>
                <w:rFonts w:ascii="黑体" w:eastAsia="黑体" w:hAnsi="黑体" w:cs="黑体"/>
                <w:bCs/>
                <w:sz w:val="24"/>
              </w:rPr>
            </w:pPr>
            <w:r>
              <w:rPr>
                <w:rFonts w:ascii="黑体" w:eastAsia="黑体" w:hAnsi="黑体" w:cs="黑体" w:hint="eastAsia"/>
                <w:bCs/>
                <w:sz w:val="24"/>
              </w:rPr>
              <w:t>信息获取方式说明</w:t>
            </w:r>
          </w:p>
        </w:tc>
        <w:tc>
          <w:tcPr>
            <w:tcW w:w="868" w:type="dxa"/>
            <w:vAlign w:val="center"/>
          </w:tcPr>
          <w:p w:rsidR="00013EC7" w:rsidRDefault="00575CDB">
            <w:pPr>
              <w:spacing w:line="280" w:lineRule="exact"/>
              <w:jc w:val="center"/>
              <w:rPr>
                <w:rFonts w:ascii="黑体" w:eastAsia="黑体" w:hAnsi="黑体" w:cs="黑体"/>
                <w:bCs/>
                <w:sz w:val="24"/>
              </w:rPr>
            </w:pPr>
            <w:r>
              <w:rPr>
                <w:rFonts w:ascii="黑体" w:eastAsia="黑体" w:hAnsi="黑体" w:cs="黑体" w:hint="eastAsia"/>
                <w:bCs/>
                <w:sz w:val="24"/>
              </w:rPr>
              <w:t>优化前</w:t>
            </w:r>
          </w:p>
        </w:tc>
        <w:tc>
          <w:tcPr>
            <w:tcW w:w="798" w:type="dxa"/>
            <w:vAlign w:val="center"/>
          </w:tcPr>
          <w:p w:rsidR="00013EC7" w:rsidRDefault="00575CDB">
            <w:pPr>
              <w:spacing w:line="280" w:lineRule="exact"/>
              <w:jc w:val="center"/>
              <w:rPr>
                <w:rFonts w:ascii="黑体" w:eastAsia="黑体" w:hAnsi="黑体" w:cs="黑体"/>
                <w:bCs/>
                <w:sz w:val="24"/>
              </w:rPr>
            </w:pPr>
            <w:r>
              <w:rPr>
                <w:rFonts w:ascii="黑体" w:eastAsia="黑体" w:hAnsi="黑体" w:cs="黑体" w:hint="eastAsia"/>
                <w:bCs/>
                <w:sz w:val="24"/>
              </w:rPr>
              <w:t>优化后</w:t>
            </w:r>
          </w:p>
        </w:tc>
        <w:tc>
          <w:tcPr>
            <w:tcW w:w="958" w:type="dxa"/>
            <w:vMerge/>
            <w:vAlign w:val="center"/>
          </w:tcPr>
          <w:p w:rsidR="00013EC7" w:rsidRDefault="00013EC7">
            <w:pPr>
              <w:widowControl/>
              <w:jc w:val="left"/>
              <w:rPr>
                <w:rFonts w:ascii="黑体" w:eastAsia="黑体" w:hAnsi="黑体" w:cs="黑体"/>
                <w:bCs/>
                <w:sz w:val="24"/>
              </w:rPr>
            </w:pPr>
          </w:p>
        </w:tc>
        <w:tc>
          <w:tcPr>
            <w:tcW w:w="1104" w:type="dxa"/>
            <w:vMerge/>
            <w:vAlign w:val="center"/>
          </w:tcPr>
          <w:p w:rsidR="00013EC7" w:rsidRDefault="00013EC7">
            <w:pPr>
              <w:widowControl/>
              <w:jc w:val="left"/>
              <w:rPr>
                <w:rFonts w:ascii="黑体" w:eastAsia="黑体" w:hAnsi="黑体" w:cs="黑体"/>
                <w:bCs/>
                <w:sz w:val="24"/>
              </w:rPr>
            </w:pPr>
          </w:p>
        </w:tc>
        <w:tc>
          <w:tcPr>
            <w:tcW w:w="1476" w:type="dxa"/>
            <w:vMerge/>
            <w:vAlign w:val="center"/>
          </w:tcPr>
          <w:p w:rsidR="00013EC7" w:rsidRDefault="00013EC7">
            <w:pPr>
              <w:widowControl/>
              <w:jc w:val="left"/>
              <w:rPr>
                <w:rFonts w:ascii="黑体" w:eastAsia="黑体" w:hAnsi="黑体" w:cs="黑体"/>
                <w:bCs/>
                <w:sz w:val="24"/>
              </w:rPr>
            </w:pPr>
          </w:p>
        </w:tc>
      </w:tr>
      <w:tr w:rsidR="00013EC7" w:rsidTr="00362C3A">
        <w:trPr>
          <w:trHeight w:val="5933"/>
          <w:jc w:val="center"/>
        </w:trPr>
        <w:tc>
          <w:tcPr>
            <w:tcW w:w="672" w:type="dxa"/>
            <w:vAlign w:val="center"/>
          </w:tcPr>
          <w:p w:rsidR="00013EC7" w:rsidRDefault="00575CDB">
            <w:pPr>
              <w:jc w:val="left"/>
              <w:rPr>
                <w:rFonts w:ascii="仿宋" w:eastAsia="仿宋" w:hAnsi="仿宋"/>
                <w:sz w:val="24"/>
              </w:rPr>
            </w:pPr>
            <w:r>
              <w:rPr>
                <w:rFonts w:ascii="仿宋" w:eastAsia="仿宋" w:hAnsi="仿宋" w:hint="eastAsia"/>
                <w:sz w:val="24"/>
              </w:rPr>
              <w:t>4报告备案登记</w:t>
            </w:r>
          </w:p>
        </w:tc>
        <w:tc>
          <w:tcPr>
            <w:tcW w:w="1035" w:type="dxa"/>
            <w:vAlign w:val="center"/>
          </w:tcPr>
          <w:p w:rsidR="00013EC7" w:rsidRDefault="00575CDB">
            <w:pPr>
              <w:jc w:val="left"/>
              <w:rPr>
                <w:rFonts w:ascii="仿宋" w:eastAsia="仿宋" w:hAnsi="仿宋"/>
                <w:sz w:val="24"/>
              </w:rPr>
            </w:pPr>
            <w:r>
              <w:rPr>
                <w:rFonts w:ascii="仿宋" w:eastAsia="仿宋" w:hAnsi="仿宋" w:hint="eastAsia"/>
                <w:color w:val="000000"/>
                <w:sz w:val="24"/>
              </w:rPr>
              <w:t>4.3企业所得税汇总纳税总分机构信息备案</w:t>
            </w:r>
          </w:p>
        </w:tc>
        <w:tc>
          <w:tcPr>
            <w:tcW w:w="2114" w:type="dxa"/>
            <w:vAlign w:val="center"/>
          </w:tcPr>
          <w:p w:rsidR="00013EC7" w:rsidRDefault="00575CDB">
            <w:pPr>
              <w:jc w:val="left"/>
              <w:rPr>
                <w:rFonts w:ascii="仿宋" w:eastAsia="仿宋" w:hAnsi="仿宋"/>
                <w:sz w:val="24"/>
              </w:rPr>
            </w:pPr>
            <w:r>
              <w:rPr>
                <w:rFonts w:ascii="仿宋" w:eastAsia="仿宋" w:hAnsi="仿宋" w:hint="eastAsia"/>
                <w:sz w:val="24"/>
              </w:rPr>
              <w:t>（一）《国家税务总局关于印发〈跨地区经营汇总纳税企业所得税征收管理办法〉的公告》（国家税务总局公告2012年第57号）第四章第二十一条、二十二条。</w:t>
            </w:r>
          </w:p>
          <w:p w:rsidR="00013EC7" w:rsidRDefault="00575CDB">
            <w:pPr>
              <w:jc w:val="left"/>
              <w:rPr>
                <w:rFonts w:ascii="仿宋" w:eastAsia="仿宋" w:hAnsi="仿宋"/>
                <w:sz w:val="24"/>
              </w:rPr>
            </w:pPr>
            <w:r>
              <w:rPr>
                <w:rFonts w:ascii="仿宋" w:eastAsia="仿宋" w:hAnsi="仿宋" w:hint="eastAsia"/>
                <w:sz w:val="24"/>
              </w:rPr>
              <w:t>（二）《国家税务总局关于3项企业所得税事项取消审批后加强后续管理的公告》（国家税务总局公告2015年第6号）第三条。</w:t>
            </w:r>
          </w:p>
        </w:tc>
        <w:tc>
          <w:tcPr>
            <w:tcW w:w="2785" w:type="dxa"/>
            <w:shd w:val="clear" w:color="auto" w:fill="FFFFFF"/>
            <w:vAlign w:val="center"/>
          </w:tcPr>
          <w:p w:rsidR="00013EC7" w:rsidRDefault="00575CDB">
            <w:pPr>
              <w:ind w:firstLineChars="200" w:firstLine="480"/>
              <w:rPr>
                <w:rFonts w:ascii="仿宋" w:eastAsia="仿宋" w:hAnsi="仿宋"/>
                <w:sz w:val="24"/>
              </w:rPr>
            </w:pPr>
            <w:r>
              <w:rPr>
                <w:rFonts w:ascii="仿宋" w:eastAsia="仿宋" w:hAnsi="仿宋" w:hint="eastAsia"/>
                <w:sz w:val="24"/>
              </w:rPr>
              <w:t>总分机构信息相关材料，内容包括总机构和各分支机构名称、层级、地址、邮编、纳税人社会信用代码（纳税人识别号）及企业所得税主管税务机关名称、地址和邮编。</w:t>
            </w:r>
          </w:p>
        </w:tc>
        <w:tc>
          <w:tcPr>
            <w:tcW w:w="930" w:type="dxa"/>
            <w:vAlign w:val="center"/>
          </w:tcPr>
          <w:p w:rsidR="00013EC7" w:rsidRDefault="00575CDB">
            <w:pPr>
              <w:jc w:val="left"/>
              <w:rPr>
                <w:rFonts w:ascii="仿宋" w:eastAsia="仿宋" w:hAnsi="仿宋"/>
                <w:sz w:val="24"/>
              </w:rPr>
            </w:pPr>
            <w:r>
              <w:rPr>
                <w:rFonts w:ascii="仿宋" w:eastAsia="仿宋" w:hAnsi="仿宋" w:hint="eastAsia"/>
                <w:sz w:val="24"/>
              </w:rPr>
              <w:t>纳税人提交</w:t>
            </w:r>
          </w:p>
        </w:tc>
        <w:tc>
          <w:tcPr>
            <w:tcW w:w="2822" w:type="dxa"/>
            <w:vAlign w:val="center"/>
          </w:tcPr>
          <w:p w:rsidR="00013EC7" w:rsidRDefault="00575CDB">
            <w:pPr>
              <w:ind w:firstLineChars="200" w:firstLine="480"/>
              <w:rPr>
                <w:rFonts w:ascii="宋体" w:cs="宋体"/>
              </w:rPr>
            </w:pPr>
            <w:r>
              <w:rPr>
                <w:rFonts w:ascii="仿宋" w:eastAsia="仿宋" w:hAnsi="仿宋" w:hint="eastAsia"/>
                <w:sz w:val="24"/>
              </w:rPr>
              <w:t>总分机构信息相关材料，内容包括总机构和各分支机构名称、层级、地址、邮编、纳税人社会信用代码（纳税人识别号）及企业所得税主管税务机关名称、地址和邮编。</w:t>
            </w:r>
          </w:p>
        </w:tc>
        <w:tc>
          <w:tcPr>
            <w:tcW w:w="1005" w:type="dxa"/>
            <w:shd w:val="clear" w:color="auto" w:fill="FFFFFF"/>
            <w:vAlign w:val="center"/>
          </w:tcPr>
          <w:p w:rsidR="00013EC7" w:rsidRDefault="00575CDB">
            <w:pPr>
              <w:spacing w:line="300" w:lineRule="exact"/>
              <w:jc w:val="left"/>
              <w:rPr>
                <w:rFonts w:ascii="仿宋" w:eastAsia="仿宋" w:hAnsi="仿宋"/>
                <w:sz w:val="24"/>
              </w:rPr>
            </w:pPr>
            <w:r>
              <w:rPr>
                <w:rFonts w:ascii="仿宋" w:eastAsia="仿宋" w:hAnsi="仿宋" w:hint="eastAsia"/>
                <w:sz w:val="24"/>
              </w:rPr>
              <w:t>纳税人提交</w:t>
            </w:r>
          </w:p>
        </w:tc>
        <w:tc>
          <w:tcPr>
            <w:tcW w:w="3278" w:type="dxa"/>
            <w:shd w:val="clear" w:color="auto" w:fill="FFFFFF"/>
            <w:vAlign w:val="center"/>
          </w:tcPr>
          <w:p w:rsidR="00013EC7" w:rsidRDefault="00575CDB">
            <w:pPr>
              <w:spacing w:line="300" w:lineRule="exact"/>
              <w:jc w:val="left"/>
              <w:rPr>
                <w:rFonts w:ascii="仿宋" w:eastAsia="仿宋" w:hAnsi="仿宋"/>
                <w:sz w:val="24"/>
              </w:rPr>
            </w:pPr>
            <w:r>
              <w:rPr>
                <w:rFonts w:ascii="仿宋" w:eastAsia="仿宋" w:hAnsi="仿宋" w:hint="eastAsia"/>
                <w:b/>
                <w:sz w:val="24"/>
              </w:rPr>
              <w:t>现场办理：</w:t>
            </w:r>
            <w:r>
              <w:rPr>
                <w:rFonts w:ascii="仿宋" w:eastAsia="仿宋" w:hAnsi="仿宋" w:hint="eastAsia"/>
                <w:sz w:val="24"/>
              </w:rPr>
              <w:t>纳税人提交书面材料，符合受理条件的当场受理办结。</w:t>
            </w:r>
          </w:p>
        </w:tc>
        <w:tc>
          <w:tcPr>
            <w:tcW w:w="868" w:type="dxa"/>
            <w:vAlign w:val="center"/>
          </w:tcPr>
          <w:p w:rsidR="00013EC7" w:rsidRDefault="00575CDB">
            <w:pPr>
              <w:jc w:val="left"/>
              <w:rPr>
                <w:rFonts w:ascii="仿宋" w:eastAsia="仿宋" w:hAnsi="仿宋"/>
                <w:sz w:val="24"/>
              </w:rPr>
            </w:pPr>
            <w:r>
              <w:rPr>
                <w:rFonts w:ascii="仿宋" w:eastAsia="仿宋" w:hAnsi="仿宋" w:hint="eastAsia"/>
                <w:sz w:val="24"/>
              </w:rPr>
              <w:t>即时办结</w:t>
            </w:r>
          </w:p>
        </w:tc>
        <w:tc>
          <w:tcPr>
            <w:tcW w:w="798" w:type="dxa"/>
            <w:vAlign w:val="center"/>
          </w:tcPr>
          <w:p w:rsidR="00013EC7" w:rsidRDefault="00575CDB">
            <w:pPr>
              <w:jc w:val="left"/>
              <w:rPr>
                <w:rFonts w:ascii="仿宋" w:eastAsia="仿宋" w:hAnsi="仿宋"/>
                <w:sz w:val="24"/>
              </w:rPr>
            </w:pPr>
            <w:r>
              <w:rPr>
                <w:rFonts w:ascii="仿宋" w:eastAsia="仿宋" w:hAnsi="仿宋" w:hint="eastAsia"/>
                <w:sz w:val="24"/>
              </w:rPr>
              <w:t>即时办结</w:t>
            </w:r>
          </w:p>
        </w:tc>
        <w:tc>
          <w:tcPr>
            <w:tcW w:w="958" w:type="dxa"/>
            <w:vAlign w:val="center"/>
          </w:tcPr>
          <w:p w:rsidR="00013EC7" w:rsidRDefault="00575CDB">
            <w:pPr>
              <w:jc w:val="left"/>
              <w:rPr>
                <w:rFonts w:ascii="仿宋" w:eastAsia="仿宋" w:hAnsi="仿宋"/>
                <w:sz w:val="24"/>
              </w:rPr>
            </w:pPr>
            <w:r>
              <w:rPr>
                <w:rFonts w:ascii="仿宋" w:eastAsia="仿宋" w:hAnsi="仿宋" w:hint="eastAsia"/>
                <w:sz w:val="24"/>
              </w:rPr>
              <w:t>否</w:t>
            </w:r>
          </w:p>
        </w:tc>
        <w:tc>
          <w:tcPr>
            <w:tcW w:w="1104" w:type="dxa"/>
            <w:vAlign w:val="center"/>
          </w:tcPr>
          <w:p w:rsidR="00013EC7" w:rsidRDefault="00575CDB">
            <w:pPr>
              <w:spacing w:line="300" w:lineRule="exact"/>
              <w:jc w:val="left"/>
              <w:rPr>
                <w:rFonts w:ascii="仿宋" w:eastAsia="仿宋" w:hAnsi="仿宋"/>
                <w:sz w:val="24"/>
              </w:rPr>
            </w:pPr>
            <w:r>
              <w:rPr>
                <w:rFonts w:ascii="仿宋" w:eastAsia="仿宋" w:hAnsi="仿宋" w:hint="eastAsia"/>
                <w:sz w:val="24"/>
              </w:rPr>
              <w:t>所得税处</w:t>
            </w:r>
          </w:p>
        </w:tc>
        <w:tc>
          <w:tcPr>
            <w:tcW w:w="1476" w:type="dxa"/>
            <w:vAlign w:val="center"/>
          </w:tcPr>
          <w:p w:rsidR="00013EC7" w:rsidRDefault="00575CDB">
            <w:pPr>
              <w:jc w:val="left"/>
              <w:rPr>
                <w:rFonts w:ascii="仿宋" w:eastAsia="仿宋" w:hAnsi="仿宋"/>
                <w:sz w:val="24"/>
              </w:rPr>
            </w:pPr>
            <w:r>
              <w:rPr>
                <w:rFonts w:ascii="仿宋" w:eastAsia="仿宋" w:hAnsi="仿宋" w:hint="eastAsia"/>
                <w:sz w:val="24"/>
              </w:rPr>
              <w:t>建议开通电子税务局、浙江国税APP渠道可以以报代备。</w:t>
            </w:r>
          </w:p>
        </w:tc>
      </w:tr>
    </w:tbl>
    <w:p w:rsidR="00013EC7" w:rsidRDefault="00013EC7">
      <w:pPr>
        <w:jc w:val="left"/>
        <w:rPr>
          <w:rFonts w:ascii="仿宋" w:eastAsia="仿宋" w:hAnsi="仿宋"/>
          <w:sz w:val="24"/>
        </w:rPr>
      </w:pPr>
    </w:p>
    <w:p w:rsidR="00013EC7" w:rsidRDefault="005262E6">
      <w:r>
        <w:lastRenderedPageBreak/>
        <w:object w:dxaOrig="1440" w:dyaOrig="1440">
          <v:shape id="_x0000_s1332" type="#_x0000_t75" style="position:absolute;left:0;text-align:left;margin-left:44.1pt;margin-top:79.65pt;width:450.05pt;height:538.4pt;z-index:251658240;mso-wrap-distance-top:0;mso-wrap-distance-bottom:0;mso-position-vertical-relative:page;mso-width-relative:page;mso-height-relative:page">
            <v:imagedata r:id="rId68" o:title=""/>
            <w10:wrap type="topAndBottom" anchory="page"/>
          </v:shape>
          <o:OLEObject Type="Embed" ProgID="Visio.Drawing.11" ShapeID="_x0000_s1332" DrawAspect="Content" ObjectID="_1577296168" r:id="rId69"/>
        </w:object>
      </w:r>
    </w:p>
    <w:p w:rsidR="00013EC7" w:rsidRDefault="00013EC7">
      <w:pPr>
        <w:tabs>
          <w:tab w:val="left" w:pos="10942"/>
        </w:tabs>
        <w:jc w:val="left"/>
      </w:pPr>
    </w:p>
    <w:p w:rsidR="00013EC7" w:rsidRDefault="00013EC7">
      <w:pPr>
        <w:tabs>
          <w:tab w:val="left" w:pos="10942"/>
        </w:tabs>
        <w:jc w:val="left"/>
      </w:pPr>
    </w:p>
    <w:p w:rsidR="00013EC7" w:rsidRDefault="00013EC7">
      <w:pPr>
        <w:tabs>
          <w:tab w:val="left" w:pos="10942"/>
        </w:tabs>
        <w:jc w:val="left"/>
      </w:pPr>
    </w:p>
    <w:p w:rsidR="00013EC7" w:rsidRDefault="00013EC7">
      <w:pPr>
        <w:tabs>
          <w:tab w:val="left" w:pos="10942"/>
        </w:tabs>
        <w:jc w:val="left"/>
      </w:pPr>
    </w:p>
    <w:p w:rsidR="00013EC7" w:rsidRDefault="00013EC7">
      <w:pPr>
        <w:tabs>
          <w:tab w:val="left" w:pos="10942"/>
        </w:tabs>
        <w:jc w:val="left"/>
      </w:pPr>
    </w:p>
    <w:p w:rsidR="00013EC7" w:rsidRDefault="00013EC7">
      <w:pPr>
        <w:tabs>
          <w:tab w:val="left" w:pos="10942"/>
        </w:tabs>
        <w:jc w:val="left"/>
      </w:pPr>
    </w:p>
    <w:p w:rsidR="00013EC7" w:rsidRDefault="00013EC7">
      <w:pPr>
        <w:jc w:val="left"/>
        <w:rPr>
          <w:rFonts w:ascii="宋体" w:hAnsi="宋体" w:cs="宋体"/>
          <w:kern w:val="44"/>
          <w:sz w:val="28"/>
        </w:rPr>
        <w:sectPr w:rsidR="00013EC7">
          <w:pgSz w:w="23814" w:h="16840" w:orient="landscape"/>
          <w:pgMar w:top="1701" w:right="1843" w:bottom="1985" w:left="1843" w:header="851" w:footer="1701" w:gutter="0"/>
          <w:pgNumType w:fmt="numberInDash"/>
          <w:cols w:space="720"/>
          <w:docGrid w:type="lines" w:linePitch="312"/>
        </w:sectPr>
      </w:pPr>
    </w:p>
    <w:p w:rsidR="00013EC7" w:rsidRDefault="00575CDB">
      <w:pPr>
        <w:pStyle w:val="2"/>
      </w:pPr>
      <w:bookmarkStart w:id="83" w:name="_Toc149"/>
      <w:bookmarkStart w:id="84" w:name="_Toc11847"/>
      <w:bookmarkStart w:id="85" w:name="_Toc503467376"/>
      <w:bookmarkStart w:id="86" w:name="_Toc113"/>
      <w:r>
        <w:rPr>
          <w:rFonts w:hint="eastAsia"/>
        </w:rPr>
        <w:lastRenderedPageBreak/>
        <w:t>4.4</w:t>
      </w:r>
      <w:r>
        <w:rPr>
          <w:rFonts w:hint="eastAsia"/>
        </w:rPr>
        <w:t>货物运输业小规模纳税人申请代开增值税专用发票备案</w:t>
      </w:r>
      <w:bookmarkEnd w:id="83"/>
      <w:bookmarkEnd w:id="84"/>
      <w:bookmarkEnd w:id="85"/>
      <w:bookmarkEnd w:id="86"/>
    </w:p>
    <w:p w:rsidR="00013EC7" w:rsidRDefault="00575CDB">
      <w:pPr>
        <w:jc w:val="center"/>
        <w:rPr>
          <w:rFonts w:ascii="宋体" w:hAnsi="宋体" w:cs="宋体"/>
          <w:b/>
          <w:bCs/>
          <w:sz w:val="52"/>
          <w:szCs w:val="52"/>
        </w:rPr>
      </w:pPr>
      <w:r>
        <w:rPr>
          <w:rFonts w:ascii="宋体" w:hAnsi="宋体" w:cs="宋体" w:hint="eastAsia"/>
          <w:b/>
          <w:bCs/>
          <w:sz w:val="52"/>
          <w:szCs w:val="52"/>
        </w:rPr>
        <w:t>全省“最多跑一次”事项“八统一”梳理表</w:t>
      </w:r>
    </w:p>
    <w:tbl>
      <w:tblPr>
        <w:tblW w:w="205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2622"/>
        <w:gridCol w:w="2760"/>
        <w:gridCol w:w="1288"/>
        <w:gridCol w:w="2837"/>
        <w:gridCol w:w="1326"/>
        <w:gridCol w:w="3024"/>
        <w:gridCol w:w="692"/>
        <w:gridCol w:w="798"/>
        <w:gridCol w:w="1039"/>
        <w:gridCol w:w="1023"/>
        <w:gridCol w:w="1476"/>
      </w:tblGrid>
      <w:tr w:rsidR="00013EC7" w:rsidTr="00362C3A">
        <w:trPr>
          <w:trHeight w:val="340"/>
          <w:tblHeader/>
          <w:jc w:val="center"/>
        </w:trPr>
        <w:tc>
          <w:tcPr>
            <w:tcW w:w="672"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主项名称</w:t>
            </w:r>
          </w:p>
        </w:tc>
        <w:tc>
          <w:tcPr>
            <w:tcW w:w="1035"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子项名称</w:t>
            </w:r>
          </w:p>
        </w:tc>
        <w:tc>
          <w:tcPr>
            <w:tcW w:w="2622"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经办依据</w:t>
            </w:r>
          </w:p>
        </w:tc>
        <w:tc>
          <w:tcPr>
            <w:tcW w:w="4048"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原经办所需材料</w:t>
            </w:r>
          </w:p>
        </w:tc>
        <w:tc>
          <w:tcPr>
            <w:tcW w:w="7187" w:type="dxa"/>
            <w:gridSpan w:val="3"/>
            <w:vAlign w:val="center"/>
          </w:tcPr>
          <w:p w:rsidR="00013EC7" w:rsidRDefault="00575CDB">
            <w:pPr>
              <w:spacing w:line="280" w:lineRule="exact"/>
              <w:jc w:val="center"/>
              <w:rPr>
                <w:rFonts w:ascii="黑体" w:eastAsia="黑体"/>
                <w:sz w:val="24"/>
              </w:rPr>
            </w:pPr>
            <w:r>
              <w:rPr>
                <w:rFonts w:ascii="黑体" w:eastAsia="黑体" w:hint="eastAsia"/>
                <w:sz w:val="24"/>
              </w:rPr>
              <w:t>精简后经办所需材料</w:t>
            </w:r>
          </w:p>
        </w:tc>
        <w:tc>
          <w:tcPr>
            <w:tcW w:w="1490"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办理时限</w:t>
            </w:r>
          </w:p>
        </w:tc>
        <w:tc>
          <w:tcPr>
            <w:tcW w:w="1039"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是否实现跑零次</w:t>
            </w:r>
          </w:p>
        </w:tc>
        <w:tc>
          <w:tcPr>
            <w:tcW w:w="1023"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省厅对口</w:t>
            </w:r>
          </w:p>
          <w:p w:rsidR="00013EC7" w:rsidRDefault="00575CDB">
            <w:pPr>
              <w:spacing w:line="280" w:lineRule="exact"/>
              <w:jc w:val="center"/>
              <w:rPr>
                <w:rFonts w:ascii="黑体" w:eastAsia="黑体"/>
                <w:sz w:val="24"/>
              </w:rPr>
            </w:pPr>
            <w:r>
              <w:rPr>
                <w:rFonts w:ascii="黑体" w:eastAsia="黑体" w:hint="eastAsia"/>
                <w:sz w:val="24"/>
              </w:rPr>
              <w:t>指导处室</w:t>
            </w:r>
          </w:p>
          <w:p w:rsidR="00013EC7" w:rsidRDefault="00575CDB">
            <w:pPr>
              <w:spacing w:line="280" w:lineRule="exact"/>
              <w:jc w:val="center"/>
              <w:rPr>
                <w:rFonts w:ascii="黑体" w:eastAsia="黑体"/>
                <w:sz w:val="24"/>
              </w:rPr>
            </w:pPr>
            <w:r>
              <w:rPr>
                <w:rFonts w:ascii="黑体" w:eastAsia="黑体" w:hint="eastAsia"/>
                <w:sz w:val="24"/>
              </w:rPr>
              <w:t>（单位）</w:t>
            </w:r>
          </w:p>
        </w:tc>
        <w:tc>
          <w:tcPr>
            <w:tcW w:w="1476"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进一步精简、</w:t>
            </w:r>
          </w:p>
          <w:p w:rsidR="00013EC7" w:rsidRDefault="00575CDB">
            <w:pPr>
              <w:spacing w:line="280" w:lineRule="exact"/>
              <w:jc w:val="center"/>
              <w:rPr>
                <w:rFonts w:ascii="黑体" w:eastAsia="黑体"/>
                <w:sz w:val="24"/>
              </w:rPr>
            </w:pPr>
            <w:r>
              <w:rPr>
                <w:rFonts w:ascii="黑体" w:eastAsia="黑体" w:hint="eastAsia"/>
                <w:sz w:val="24"/>
              </w:rPr>
              <w:t>规范建议</w:t>
            </w:r>
          </w:p>
        </w:tc>
      </w:tr>
      <w:tr w:rsidR="00013EC7" w:rsidTr="00362C3A">
        <w:trPr>
          <w:trHeight w:val="340"/>
          <w:tblHeader/>
          <w:jc w:val="center"/>
        </w:trPr>
        <w:tc>
          <w:tcPr>
            <w:tcW w:w="672" w:type="dxa"/>
            <w:vMerge/>
            <w:vAlign w:val="center"/>
          </w:tcPr>
          <w:p w:rsidR="00013EC7" w:rsidRDefault="00013EC7">
            <w:pPr>
              <w:rPr>
                <w:sz w:val="24"/>
              </w:rPr>
            </w:pPr>
          </w:p>
        </w:tc>
        <w:tc>
          <w:tcPr>
            <w:tcW w:w="1035" w:type="dxa"/>
            <w:vMerge/>
          </w:tcPr>
          <w:p w:rsidR="00013EC7" w:rsidRDefault="00013EC7">
            <w:pPr>
              <w:rPr>
                <w:sz w:val="24"/>
              </w:rPr>
            </w:pPr>
          </w:p>
        </w:tc>
        <w:tc>
          <w:tcPr>
            <w:tcW w:w="2622" w:type="dxa"/>
            <w:vMerge/>
          </w:tcPr>
          <w:p w:rsidR="00013EC7" w:rsidRDefault="00013EC7">
            <w:pPr>
              <w:rPr>
                <w:sz w:val="24"/>
              </w:rPr>
            </w:pPr>
          </w:p>
        </w:tc>
        <w:tc>
          <w:tcPr>
            <w:tcW w:w="2760" w:type="dxa"/>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288"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2837" w:type="dxa"/>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326"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3024" w:type="dxa"/>
            <w:vAlign w:val="center"/>
          </w:tcPr>
          <w:p w:rsidR="00013EC7" w:rsidRDefault="00575CDB">
            <w:pPr>
              <w:spacing w:line="280" w:lineRule="exact"/>
              <w:jc w:val="center"/>
              <w:rPr>
                <w:rFonts w:ascii="黑体" w:eastAsia="黑体"/>
                <w:sz w:val="24"/>
              </w:rPr>
            </w:pPr>
            <w:r>
              <w:rPr>
                <w:rFonts w:ascii="黑体" w:eastAsia="黑体" w:hint="eastAsia"/>
                <w:sz w:val="24"/>
              </w:rPr>
              <w:t>办理方式及材料</w:t>
            </w:r>
          </w:p>
          <w:p w:rsidR="00013EC7" w:rsidRDefault="00575CDB">
            <w:pPr>
              <w:spacing w:line="280" w:lineRule="exact"/>
              <w:jc w:val="center"/>
              <w:rPr>
                <w:rFonts w:ascii="黑体" w:eastAsia="黑体"/>
                <w:sz w:val="24"/>
              </w:rPr>
            </w:pPr>
            <w:r>
              <w:rPr>
                <w:rFonts w:ascii="黑体" w:eastAsia="黑体" w:hint="eastAsia"/>
                <w:sz w:val="24"/>
              </w:rPr>
              <w:t>信息获取方式说明</w:t>
            </w:r>
          </w:p>
        </w:tc>
        <w:tc>
          <w:tcPr>
            <w:tcW w:w="692" w:type="dxa"/>
            <w:vAlign w:val="center"/>
          </w:tcPr>
          <w:p w:rsidR="00013EC7" w:rsidRDefault="00575CDB">
            <w:pPr>
              <w:spacing w:line="280" w:lineRule="exact"/>
              <w:jc w:val="center"/>
              <w:rPr>
                <w:rFonts w:ascii="黑体" w:eastAsia="黑体"/>
                <w:sz w:val="24"/>
              </w:rPr>
            </w:pPr>
            <w:r>
              <w:rPr>
                <w:rFonts w:ascii="黑体" w:eastAsia="黑体" w:hint="eastAsia"/>
                <w:sz w:val="24"/>
              </w:rPr>
              <w:t>优化前</w:t>
            </w:r>
          </w:p>
        </w:tc>
        <w:tc>
          <w:tcPr>
            <w:tcW w:w="798" w:type="dxa"/>
            <w:vAlign w:val="center"/>
          </w:tcPr>
          <w:p w:rsidR="00013EC7" w:rsidRDefault="00575CDB">
            <w:pPr>
              <w:spacing w:line="280" w:lineRule="exact"/>
              <w:jc w:val="center"/>
              <w:rPr>
                <w:rFonts w:ascii="黑体" w:eastAsia="黑体"/>
                <w:sz w:val="24"/>
              </w:rPr>
            </w:pPr>
            <w:r>
              <w:rPr>
                <w:rFonts w:ascii="黑体" w:eastAsia="黑体" w:hint="eastAsia"/>
                <w:sz w:val="24"/>
              </w:rPr>
              <w:t>优化后</w:t>
            </w:r>
          </w:p>
        </w:tc>
        <w:tc>
          <w:tcPr>
            <w:tcW w:w="1039" w:type="dxa"/>
            <w:vMerge/>
            <w:vAlign w:val="center"/>
          </w:tcPr>
          <w:p w:rsidR="00013EC7" w:rsidRDefault="00013EC7">
            <w:pPr>
              <w:spacing w:line="280" w:lineRule="exact"/>
              <w:jc w:val="center"/>
              <w:rPr>
                <w:rFonts w:ascii="黑体" w:eastAsia="黑体"/>
                <w:sz w:val="24"/>
              </w:rPr>
            </w:pPr>
          </w:p>
        </w:tc>
        <w:tc>
          <w:tcPr>
            <w:tcW w:w="1023" w:type="dxa"/>
            <w:vMerge/>
            <w:vAlign w:val="center"/>
          </w:tcPr>
          <w:p w:rsidR="00013EC7" w:rsidRDefault="00013EC7">
            <w:pPr>
              <w:rPr>
                <w:sz w:val="24"/>
              </w:rPr>
            </w:pPr>
          </w:p>
        </w:tc>
        <w:tc>
          <w:tcPr>
            <w:tcW w:w="1476" w:type="dxa"/>
            <w:vMerge/>
            <w:vAlign w:val="center"/>
          </w:tcPr>
          <w:p w:rsidR="00013EC7" w:rsidRDefault="00013EC7">
            <w:pPr>
              <w:rPr>
                <w:sz w:val="24"/>
              </w:rPr>
            </w:pPr>
          </w:p>
        </w:tc>
      </w:tr>
      <w:tr w:rsidR="00013EC7" w:rsidTr="00362C3A">
        <w:trPr>
          <w:trHeight w:val="1527"/>
          <w:jc w:val="center"/>
        </w:trPr>
        <w:tc>
          <w:tcPr>
            <w:tcW w:w="672"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4报告备案登记</w:t>
            </w:r>
          </w:p>
        </w:tc>
        <w:tc>
          <w:tcPr>
            <w:tcW w:w="1035" w:type="dxa"/>
            <w:vMerge w:val="restart"/>
            <w:vAlign w:val="center"/>
          </w:tcPr>
          <w:p w:rsidR="00013EC7" w:rsidRDefault="00575CDB">
            <w:pPr>
              <w:spacing w:line="310" w:lineRule="exact"/>
              <w:jc w:val="left"/>
              <w:rPr>
                <w:rFonts w:ascii="仿宋" w:eastAsia="仿宋" w:hAnsi="仿宋" w:cs="仿宋"/>
                <w:sz w:val="24"/>
              </w:rPr>
            </w:pPr>
            <w:r>
              <w:rPr>
                <w:rFonts w:ascii="仿宋" w:eastAsia="仿宋" w:hAnsi="仿宋" w:cs="仿宋" w:hint="eastAsia"/>
                <w:sz w:val="24"/>
              </w:rPr>
              <w:t>4.4 货物运输业小规模纳税人申请代开增值税专用发票备案</w:t>
            </w:r>
          </w:p>
        </w:tc>
        <w:tc>
          <w:tcPr>
            <w:tcW w:w="2622" w:type="dxa"/>
            <w:vMerge w:val="restart"/>
            <w:vAlign w:val="center"/>
          </w:tcPr>
          <w:p w:rsidR="00013EC7" w:rsidRDefault="00575CDB">
            <w:pPr>
              <w:spacing w:line="310" w:lineRule="exact"/>
              <w:jc w:val="left"/>
              <w:rPr>
                <w:rFonts w:ascii="仿宋" w:eastAsia="仿宋" w:hAnsi="仿宋" w:cs="仿宋"/>
                <w:sz w:val="24"/>
                <w:highlight w:val="yellow"/>
              </w:rPr>
            </w:pPr>
            <w:r>
              <w:rPr>
                <w:rFonts w:ascii="仿宋" w:eastAsia="仿宋" w:hAnsi="仿宋" w:cs="仿宋" w:hint="eastAsia"/>
                <w:sz w:val="24"/>
              </w:rPr>
              <w:t>（一）《货物运输业小规模纳税人申请代开增值税专用发票管理办法》（国家税务总局公告2017年第55号）</w:t>
            </w:r>
            <w:r w:rsidR="00945930">
              <w:rPr>
                <w:rFonts w:ascii="仿宋" w:eastAsia="仿宋" w:hAnsi="仿宋" w:cs="仿宋" w:hint="eastAsia"/>
                <w:sz w:val="24"/>
              </w:rPr>
              <w:t>第四条</w:t>
            </w:r>
            <w:r>
              <w:rPr>
                <w:rFonts w:ascii="仿宋" w:eastAsia="仿宋" w:hAnsi="仿宋" w:cs="仿宋" w:hint="eastAsia"/>
                <w:sz w:val="24"/>
              </w:rPr>
              <w:t>。</w:t>
            </w:r>
          </w:p>
        </w:tc>
        <w:tc>
          <w:tcPr>
            <w:tcW w:w="2760" w:type="dxa"/>
            <w:vAlign w:val="center"/>
          </w:tcPr>
          <w:p w:rsidR="00013EC7" w:rsidRDefault="00575CDB">
            <w:pPr>
              <w:jc w:val="left"/>
              <w:rPr>
                <w:rFonts w:ascii="仿宋" w:eastAsia="仿宋" w:hAnsi="仿宋" w:cs="仿宋"/>
                <w:sz w:val="24"/>
              </w:rPr>
            </w:pPr>
            <w:r>
              <w:rPr>
                <w:rFonts w:ascii="仿宋" w:eastAsia="仿宋" w:hAnsi="仿宋" w:cs="仿宋" w:hint="eastAsia"/>
                <w:sz w:val="24"/>
              </w:rPr>
              <w:t>（一）《中华人民共和国道路运输经营许可证》原件查验。</w:t>
            </w:r>
          </w:p>
        </w:tc>
        <w:tc>
          <w:tcPr>
            <w:tcW w:w="1288" w:type="dxa"/>
            <w:vMerge w:val="restart"/>
            <w:vAlign w:val="center"/>
          </w:tcPr>
          <w:p w:rsidR="00013EC7" w:rsidRDefault="00575CDB">
            <w:pPr>
              <w:jc w:val="left"/>
              <w:rPr>
                <w:rFonts w:ascii="仿宋" w:eastAsia="仿宋" w:hAnsi="仿宋" w:cs="仿宋"/>
                <w:sz w:val="24"/>
              </w:rPr>
            </w:pPr>
            <w:r>
              <w:rPr>
                <w:rFonts w:ascii="仿宋" w:eastAsia="仿宋" w:hAnsi="仿宋" w:cs="仿宋" w:hint="eastAsia"/>
                <w:sz w:val="24"/>
              </w:rPr>
              <w:t>提供公路货物运输服务的纳税人提供</w:t>
            </w:r>
          </w:p>
        </w:tc>
        <w:tc>
          <w:tcPr>
            <w:tcW w:w="2837" w:type="dxa"/>
            <w:vAlign w:val="center"/>
          </w:tcPr>
          <w:p w:rsidR="00013EC7" w:rsidRDefault="00575CDB">
            <w:pPr>
              <w:jc w:val="left"/>
              <w:rPr>
                <w:rFonts w:ascii="仿宋" w:eastAsia="仿宋" w:hAnsi="仿宋" w:cs="仿宋"/>
                <w:sz w:val="24"/>
              </w:rPr>
            </w:pPr>
            <w:r>
              <w:rPr>
                <w:rFonts w:ascii="仿宋" w:eastAsia="仿宋" w:hAnsi="仿宋" w:cs="仿宋" w:hint="eastAsia"/>
                <w:sz w:val="24"/>
              </w:rPr>
              <w:t>（一）《中华人民共和国道路运输经营许可证》原件查验。</w:t>
            </w:r>
          </w:p>
        </w:tc>
        <w:tc>
          <w:tcPr>
            <w:tcW w:w="1326" w:type="dxa"/>
            <w:vMerge w:val="restart"/>
            <w:vAlign w:val="center"/>
          </w:tcPr>
          <w:p w:rsidR="00013EC7" w:rsidRDefault="00575CDB">
            <w:pPr>
              <w:jc w:val="left"/>
              <w:rPr>
                <w:rFonts w:ascii="仿宋" w:eastAsia="仿宋" w:hAnsi="仿宋" w:cs="仿宋"/>
                <w:sz w:val="24"/>
              </w:rPr>
            </w:pPr>
            <w:r>
              <w:rPr>
                <w:rFonts w:ascii="仿宋" w:eastAsia="仿宋" w:hAnsi="仿宋" w:cs="仿宋" w:hint="eastAsia"/>
                <w:sz w:val="24"/>
              </w:rPr>
              <w:t>提供公路货物运输服务的纳税人提供</w:t>
            </w:r>
          </w:p>
        </w:tc>
        <w:tc>
          <w:tcPr>
            <w:tcW w:w="3024" w:type="dxa"/>
            <w:vMerge w:val="restart"/>
            <w:vAlign w:val="center"/>
          </w:tcPr>
          <w:p w:rsidR="00013EC7" w:rsidRDefault="00575CDB">
            <w:pPr>
              <w:jc w:val="left"/>
              <w:rPr>
                <w:rFonts w:ascii="仿宋" w:eastAsia="仿宋" w:hAnsi="仿宋" w:cs="仿宋"/>
                <w:sz w:val="24"/>
              </w:rPr>
            </w:pPr>
            <w:r>
              <w:rPr>
                <w:rFonts w:ascii="仿宋" w:eastAsia="仿宋" w:hAnsi="仿宋" w:cs="仿宋" w:hint="eastAsia"/>
                <w:b/>
                <w:bCs/>
                <w:sz w:val="24"/>
              </w:rPr>
              <w:t>现场办理：</w:t>
            </w:r>
            <w:r>
              <w:rPr>
                <w:rFonts w:ascii="仿宋" w:eastAsia="仿宋" w:hAnsi="仿宋" w:cs="仿宋" w:hint="eastAsia"/>
                <w:sz w:val="24"/>
              </w:rPr>
              <w:t>纳税人提交书面材料。</w:t>
            </w:r>
          </w:p>
        </w:tc>
        <w:tc>
          <w:tcPr>
            <w:tcW w:w="692"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即时办结</w:t>
            </w:r>
          </w:p>
        </w:tc>
        <w:tc>
          <w:tcPr>
            <w:tcW w:w="798"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即时办结</w:t>
            </w:r>
          </w:p>
        </w:tc>
        <w:tc>
          <w:tcPr>
            <w:tcW w:w="1039"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否</w:t>
            </w:r>
          </w:p>
        </w:tc>
        <w:tc>
          <w:tcPr>
            <w:tcW w:w="1023"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货物劳务处</w:t>
            </w:r>
          </w:p>
        </w:tc>
        <w:tc>
          <w:tcPr>
            <w:tcW w:w="1476" w:type="dxa"/>
            <w:vMerge w:val="restart"/>
            <w:vAlign w:val="center"/>
          </w:tcPr>
          <w:p w:rsidR="00013EC7" w:rsidRDefault="00013EC7">
            <w:pPr>
              <w:jc w:val="left"/>
              <w:rPr>
                <w:rFonts w:ascii="仿宋" w:eastAsia="仿宋" w:hAnsi="仿宋" w:cs="仿宋"/>
                <w:sz w:val="24"/>
              </w:rPr>
            </w:pPr>
          </w:p>
        </w:tc>
      </w:tr>
      <w:tr w:rsidR="00013EC7" w:rsidTr="00362C3A">
        <w:trPr>
          <w:trHeight w:val="1526"/>
          <w:jc w:val="center"/>
        </w:trPr>
        <w:tc>
          <w:tcPr>
            <w:tcW w:w="672" w:type="dxa"/>
            <w:vMerge/>
            <w:vAlign w:val="center"/>
          </w:tcPr>
          <w:p w:rsidR="00013EC7" w:rsidRDefault="00013EC7">
            <w:pPr>
              <w:spacing w:line="300" w:lineRule="exact"/>
              <w:jc w:val="left"/>
              <w:rPr>
                <w:rFonts w:ascii="仿宋" w:eastAsia="仿宋" w:hAnsi="仿宋" w:cs="仿宋"/>
                <w:sz w:val="24"/>
              </w:rPr>
            </w:pPr>
          </w:p>
        </w:tc>
        <w:tc>
          <w:tcPr>
            <w:tcW w:w="1035" w:type="dxa"/>
            <w:vMerge/>
            <w:vAlign w:val="center"/>
          </w:tcPr>
          <w:p w:rsidR="00013EC7" w:rsidRDefault="00013EC7">
            <w:pPr>
              <w:spacing w:line="310" w:lineRule="exact"/>
              <w:jc w:val="left"/>
              <w:rPr>
                <w:rFonts w:ascii="仿宋" w:eastAsia="仿宋" w:hAnsi="仿宋" w:cs="仿宋"/>
                <w:sz w:val="24"/>
              </w:rPr>
            </w:pPr>
          </w:p>
        </w:tc>
        <w:tc>
          <w:tcPr>
            <w:tcW w:w="2622" w:type="dxa"/>
            <w:vMerge/>
            <w:vAlign w:val="center"/>
          </w:tcPr>
          <w:p w:rsidR="00013EC7" w:rsidRDefault="00013EC7">
            <w:pPr>
              <w:spacing w:line="310" w:lineRule="exact"/>
              <w:jc w:val="left"/>
              <w:rPr>
                <w:rFonts w:ascii="仿宋" w:eastAsia="仿宋" w:hAnsi="仿宋" w:cs="仿宋"/>
                <w:sz w:val="24"/>
              </w:rPr>
            </w:pPr>
          </w:p>
        </w:tc>
        <w:tc>
          <w:tcPr>
            <w:tcW w:w="2760" w:type="dxa"/>
            <w:vAlign w:val="center"/>
          </w:tcPr>
          <w:p w:rsidR="00013EC7" w:rsidRDefault="00575CDB">
            <w:pPr>
              <w:jc w:val="left"/>
              <w:rPr>
                <w:rFonts w:ascii="仿宋" w:eastAsia="仿宋" w:hAnsi="仿宋" w:cs="仿宋"/>
                <w:sz w:val="24"/>
              </w:rPr>
            </w:pPr>
            <w:r>
              <w:rPr>
                <w:rFonts w:ascii="仿宋" w:eastAsia="仿宋" w:hAnsi="仿宋" w:cs="仿宋" w:hint="eastAsia"/>
                <w:sz w:val="24"/>
              </w:rPr>
              <w:t>（二）《中华人民共和国道路运输证》原件查验。</w:t>
            </w:r>
          </w:p>
        </w:tc>
        <w:tc>
          <w:tcPr>
            <w:tcW w:w="1288" w:type="dxa"/>
            <w:vMerge/>
            <w:vAlign w:val="center"/>
          </w:tcPr>
          <w:p w:rsidR="00013EC7" w:rsidRDefault="00013EC7">
            <w:pPr>
              <w:jc w:val="left"/>
              <w:rPr>
                <w:rFonts w:ascii="仿宋" w:eastAsia="仿宋" w:hAnsi="仿宋" w:cs="仿宋"/>
                <w:sz w:val="24"/>
              </w:rPr>
            </w:pPr>
          </w:p>
        </w:tc>
        <w:tc>
          <w:tcPr>
            <w:tcW w:w="2837" w:type="dxa"/>
            <w:vAlign w:val="center"/>
          </w:tcPr>
          <w:p w:rsidR="00013EC7" w:rsidRDefault="00575CDB">
            <w:pPr>
              <w:jc w:val="left"/>
              <w:rPr>
                <w:rFonts w:ascii="仿宋" w:eastAsia="仿宋" w:hAnsi="仿宋" w:cs="仿宋"/>
                <w:sz w:val="24"/>
              </w:rPr>
            </w:pPr>
            <w:r>
              <w:rPr>
                <w:rFonts w:ascii="仿宋" w:eastAsia="仿宋" w:hAnsi="仿宋" w:cs="仿宋" w:hint="eastAsia"/>
                <w:sz w:val="24"/>
              </w:rPr>
              <w:t>（二）《中华人民共和国道路运输证》原件查验。</w:t>
            </w:r>
          </w:p>
        </w:tc>
        <w:tc>
          <w:tcPr>
            <w:tcW w:w="1326" w:type="dxa"/>
            <w:vMerge/>
            <w:vAlign w:val="center"/>
          </w:tcPr>
          <w:p w:rsidR="00013EC7" w:rsidRDefault="00013EC7">
            <w:pPr>
              <w:jc w:val="left"/>
              <w:rPr>
                <w:rFonts w:ascii="仿宋" w:eastAsia="仿宋" w:hAnsi="仿宋" w:cs="仿宋"/>
                <w:sz w:val="24"/>
              </w:rPr>
            </w:pPr>
          </w:p>
        </w:tc>
        <w:tc>
          <w:tcPr>
            <w:tcW w:w="3024" w:type="dxa"/>
            <w:vMerge/>
            <w:vAlign w:val="center"/>
          </w:tcPr>
          <w:p w:rsidR="00013EC7" w:rsidRDefault="00013EC7">
            <w:pPr>
              <w:jc w:val="left"/>
              <w:rPr>
                <w:rFonts w:ascii="仿宋" w:eastAsia="仿宋" w:hAnsi="仿宋" w:cs="仿宋"/>
                <w:sz w:val="24"/>
              </w:rPr>
            </w:pPr>
          </w:p>
        </w:tc>
        <w:tc>
          <w:tcPr>
            <w:tcW w:w="692" w:type="dxa"/>
            <w:vMerge/>
            <w:vAlign w:val="center"/>
          </w:tcPr>
          <w:p w:rsidR="00013EC7" w:rsidRDefault="00013EC7">
            <w:pPr>
              <w:spacing w:line="300" w:lineRule="exact"/>
              <w:jc w:val="left"/>
              <w:rPr>
                <w:rFonts w:ascii="仿宋" w:eastAsia="仿宋" w:hAnsi="仿宋" w:cs="仿宋"/>
                <w:sz w:val="24"/>
              </w:rPr>
            </w:pPr>
          </w:p>
        </w:tc>
        <w:tc>
          <w:tcPr>
            <w:tcW w:w="798" w:type="dxa"/>
            <w:vMerge/>
            <w:vAlign w:val="center"/>
          </w:tcPr>
          <w:p w:rsidR="00013EC7" w:rsidRDefault="00013EC7">
            <w:pPr>
              <w:spacing w:line="300" w:lineRule="exact"/>
              <w:jc w:val="left"/>
              <w:rPr>
                <w:rFonts w:ascii="仿宋" w:eastAsia="仿宋" w:hAnsi="仿宋" w:cs="仿宋"/>
                <w:sz w:val="24"/>
              </w:rPr>
            </w:pPr>
          </w:p>
        </w:tc>
        <w:tc>
          <w:tcPr>
            <w:tcW w:w="1039" w:type="dxa"/>
            <w:vMerge/>
            <w:vAlign w:val="center"/>
          </w:tcPr>
          <w:p w:rsidR="00013EC7" w:rsidRDefault="00013EC7">
            <w:pPr>
              <w:spacing w:line="300" w:lineRule="exact"/>
              <w:jc w:val="left"/>
              <w:rPr>
                <w:rFonts w:ascii="仿宋" w:eastAsia="仿宋" w:hAnsi="仿宋" w:cs="仿宋"/>
                <w:sz w:val="24"/>
              </w:rPr>
            </w:pPr>
          </w:p>
        </w:tc>
        <w:tc>
          <w:tcPr>
            <w:tcW w:w="1023" w:type="dxa"/>
            <w:vMerge/>
            <w:vAlign w:val="center"/>
          </w:tcPr>
          <w:p w:rsidR="00013EC7" w:rsidRDefault="00013EC7">
            <w:pPr>
              <w:spacing w:line="300" w:lineRule="exact"/>
              <w:jc w:val="left"/>
              <w:rPr>
                <w:rFonts w:ascii="仿宋" w:eastAsia="仿宋" w:hAnsi="仿宋" w:cs="仿宋"/>
                <w:sz w:val="24"/>
              </w:rPr>
            </w:pPr>
          </w:p>
        </w:tc>
        <w:tc>
          <w:tcPr>
            <w:tcW w:w="1476" w:type="dxa"/>
            <w:vMerge/>
            <w:vAlign w:val="center"/>
          </w:tcPr>
          <w:p w:rsidR="00013EC7" w:rsidRDefault="00013EC7">
            <w:pPr>
              <w:jc w:val="left"/>
              <w:rPr>
                <w:rFonts w:ascii="仿宋" w:eastAsia="仿宋" w:hAnsi="仿宋" w:cs="仿宋"/>
                <w:b/>
                <w:color w:val="FF0000"/>
                <w:sz w:val="24"/>
              </w:rPr>
            </w:pPr>
          </w:p>
        </w:tc>
      </w:tr>
      <w:tr w:rsidR="00013EC7" w:rsidTr="00362C3A">
        <w:trPr>
          <w:trHeight w:val="1526"/>
          <w:jc w:val="center"/>
        </w:trPr>
        <w:tc>
          <w:tcPr>
            <w:tcW w:w="672" w:type="dxa"/>
            <w:vMerge/>
            <w:vAlign w:val="center"/>
          </w:tcPr>
          <w:p w:rsidR="00013EC7" w:rsidRDefault="00013EC7">
            <w:pPr>
              <w:spacing w:line="300" w:lineRule="exact"/>
              <w:jc w:val="left"/>
              <w:rPr>
                <w:rFonts w:ascii="仿宋" w:eastAsia="仿宋" w:hAnsi="仿宋" w:cs="仿宋"/>
                <w:sz w:val="24"/>
              </w:rPr>
            </w:pPr>
          </w:p>
        </w:tc>
        <w:tc>
          <w:tcPr>
            <w:tcW w:w="1035" w:type="dxa"/>
            <w:vMerge/>
            <w:vAlign w:val="center"/>
          </w:tcPr>
          <w:p w:rsidR="00013EC7" w:rsidRDefault="00013EC7">
            <w:pPr>
              <w:spacing w:line="310" w:lineRule="exact"/>
              <w:jc w:val="left"/>
              <w:rPr>
                <w:rFonts w:ascii="仿宋" w:eastAsia="仿宋" w:hAnsi="仿宋" w:cs="仿宋"/>
                <w:sz w:val="24"/>
              </w:rPr>
            </w:pPr>
          </w:p>
        </w:tc>
        <w:tc>
          <w:tcPr>
            <w:tcW w:w="2622" w:type="dxa"/>
            <w:vMerge/>
            <w:vAlign w:val="center"/>
          </w:tcPr>
          <w:p w:rsidR="00013EC7" w:rsidRDefault="00013EC7">
            <w:pPr>
              <w:spacing w:line="310" w:lineRule="exact"/>
              <w:jc w:val="left"/>
              <w:rPr>
                <w:rFonts w:ascii="仿宋" w:eastAsia="仿宋" w:hAnsi="仿宋" w:cs="仿宋"/>
                <w:sz w:val="24"/>
              </w:rPr>
            </w:pPr>
          </w:p>
        </w:tc>
        <w:tc>
          <w:tcPr>
            <w:tcW w:w="2760" w:type="dxa"/>
            <w:vAlign w:val="center"/>
          </w:tcPr>
          <w:p w:rsidR="00013EC7" w:rsidRDefault="00575CDB">
            <w:pPr>
              <w:jc w:val="left"/>
              <w:rPr>
                <w:rFonts w:ascii="仿宋" w:eastAsia="仿宋" w:hAnsi="仿宋" w:cs="仿宋"/>
                <w:sz w:val="24"/>
              </w:rPr>
            </w:pPr>
            <w:r>
              <w:rPr>
                <w:rFonts w:ascii="仿宋" w:eastAsia="仿宋" w:hAnsi="仿宋" w:cs="仿宋" w:hint="eastAsia"/>
                <w:sz w:val="24"/>
              </w:rPr>
              <w:t>（三）《中华人民共和国水路运输经营许可证》原件查验。</w:t>
            </w:r>
          </w:p>
        </w:tc>
        <w:tc>
          <w:tcPr>
            <w:tcW w:w="1288" w:type="dxa"/>
            <w:vMerge w:val="restart"/>
            <w:vAlign w:val="center"/>
          </w:tcPr>
          <w:p w:rsidR="00013EC7" w:rsidRDefault="00575CDB">
            <w:pPr>
              <w:jc w:val="left"/>
              <w:rPr>
                <w:rFonts w:ascii="仿宋" w:eastAsia="仿宋" w:hAnsi="仿宋" w:cs="仿宋"/>
                <w:sz w:val="24"/>
              </w:rPr>
            </w:pPr>
            <w:r>
              <w:rPr>
                <w:rFonts w:ascii="仿宋" w:eastAsia="仿宋" w:hAnsi="仿宋" w:cs="仿宋" w:hint="eastAsia"/>
                <w:sz w:val="24"/>
              </w:rPr>
              <w:t>提供内河货物运输服务的纳税人</w:t>
            </w:r>
          </w:p>
        </w:tc>
        <w:tc>
          <w:tcPr>
            <w:tcW w:w="2837" w:type="dxa"/>
            <w:vAlign w:val="center"/>
          </w:tcPr>
          <w:p w:rsidR="00013EC7" w:rsidRDefault="00575CDB">
            <w:pPr>
              <w:jc w:val="left"/>
              <w:rPr>
                <w:rFonts w:ascii="仿宋" w:eastAsia="仿宋" w:hAnsi="仿宋" w:cs="仿宋"/>
                <w:sz w:val="24"/>
              </w:rPr>
            </w:pPr>
            <w:r>
              <w:rPr>
                <w:rFonts w:ascii="仿宋" w:eastAsia="仿宋" w:hAnsi="仿宋" w:cs="仿宋" w:hint="eastAsia"/>
                <w:sz w:val="24"/>
              </w:rPr>
              <w:t>（三）《中华人民共和国水路运输经营许可证》原件查验。</w:t>
            </w:r>
          </w:p>
        </w:tc>
        <w:tc>
          <w:tcPr>
            <w:tcW w:w="1326" w:type="dxa"/>
            <w:vMerge w:val="restart"/>
            <w:vAlign w:val="center"/>
          </w:tcPr>
          <w:p w:rsidR="00013EC7" w:rsidRDefault="00575CDB">
            <w:pPr>
              <w:jc w:val="left"/>
              <w:rPr>
                <w:rFonts w:ascii="仿宋" w:eastAsia="仿宋" w:hAnsi="仿宋" w:cs="仿宋"/>
                <w:sz w:val="24"/>
              </w:rPr>
            </w:pPr>
            <w:r>
              <w:rPr>
                <w:rFonts w:ascii="仿宋" w:eastAsia="仿宋" w:hAnsi="仿宋" w:cs="仿宋" w:hint="eastAsia"/>
                <w:sz w:val="24"/>
              </w:rPr>
              <w:t>提供内河货物运输服务的纳税人</w:t>
            </w:r>
          </w:p>
        </w:tc>
        <w:tc>
          <w:tcPr>
            <w:tcW w:w="3024" w:type="dxa"/>
            <w:vMerge/>
            <w:vAlign w:val="center"/>
          </w:tcPr>
          <w:p w:rsidR="00013EC7" w:rsidRDefault="00013EC7">
            <w:pPr>
              <w:jc w:val="left"/>
              <w:rPr>
                <w:rFonts w:ascii="仿宋" w:eastAsia="仿宋" w:hAnsi="仿宋" w:cs="仿宋"/>
                <w:sz w:val="24"/>
              </w:rPr>
            </w:pPr>
          </w:p>
        </w:tc>
        <w:tc>
          <w:tcPr>
            <w:tcW w:w="692" w:type="dxa"/>
            <w:vMerge/>
            <w:vAlign w:val="center"/>
          </w:tcPr>
          <w:p w:rsidR="00013EC7" w:rsidRDefault="00013EC7">
            <w:pPr>
              <w:spacing w:line="300" w:lineRule="exact"/>
              <w:jc w:val="left"/>
              <w:rPr>
                <w:rFonts w:ascii="仿宋" w:eastAsia="仿宋" w:hAnsi="仿宋" w:cs="仿宋"/>
                <w:sz w:val="24"/>
              </w:rPr>
            </w:pPr>
          </w:p>
        </w:tc>
        <w:tc>
          <w:tcPr>
            <w:tcW w:w="798" w:type="dxa"/>
            <w:vMerge/>
            <w:vAlign w:val="center"/>
          </w:tcPr>
          <w:p w:rsidR="00013EC7" w:rsidRDefault="00013EC7">
            <w:pPr>
              <w:spacing w:line="300" w:lineRule="exact"/>
              <w:jc w:val="left"/>
              <w:rPr>
                <w:rFonts w:ascii="仿宋" w:eastAsia="仿宋" w:hAnsi="仿宋" w:cs="仿宋"/>
                <w:sz w:val="24"/>
              </w:rPr>
            </w:pPr>
          </w:p>
        </w:tc>
        <w:tc>
          <w:tcPr>
            <w:tcW w:w="1039" w:type="dxa"/>
            <w:vMerge/>
            <w:vAlign w:val="center"/>
          </w:tcPr>
          <w:p w:rsidR="00013EC7" w:rsidRDefault="00013EC7">
            <w:pPr>
              <w:spacing w:line="300" w:lineRule="exact"/>
              <w:jc w:val="left"/>
              <w:rPr>
                <w:rFonts w:ascii="仿宋" w:eastAsia="仿宋" w:hAnsi="仿宋" w:cs="仿宋"/>
                <w:sz w:val="24"/>
              </w:rPr>
            </w:pPr>
          </w:p>
        </w:tc>
        <w:tc>
          <w:tcPr>
            <w:tcW w:w="1023" w:type="dxa"/>
            <w:vMerge/>
            <w:vAlign w:val="center"/>
          </w:tcPr>
          <w:p w:rsidR="00013EC7" w:rsidRDefault="00013EC7">
            <w:pPr>
              <w:spacing w:line="300" w:lineRule="exact"/>
              <w:jc w:val="left"/>
              <w:rPr>
                <w:rFonts w:ascii="仿宋" w:eastAsia="仿宋" w:hAnsi="仿宋" w:cs="仿宋"/>
                <w:sz w:val="24"/>
              </w:rPr>
            </w:pPr>
          </w:p>
        </w:tc>
        <w:tc>
          <w:tcPr>
            <w:tcW w:w="1476" w:type="dxa"/>
            <w:vMerge/>
            <w:vAlign w:val="center"/>
          </w:tcPr>
          <w:p w:rsidR="00013EC7" w:rsidRDefault="00013EC7">
            <w:pPr>
              <w:jc w:val="left"/>
              <w:rPr>
                <w:rFonts w:ascii="仿宋" w:eastAsia="仿宋" w:hAnsi="仿宋" w:cs="仿宋"/>
                <w:b/>
                <w:color w:val="FF0000"/>
                <w:sz w:val="24"/>
              </w:rPr>
            </w:pPr>
          </w:p>
        </w:tc>
      </w:tr>
      <w:tr w:rsidR="00013EC7" w:rsidTr="00362C3A">
        <w:trPr>
          <w:trHeight w:val="1526"/>
          <w:jc w:val="center"/>
        </w:trPr>
        <w:tc>
          <w:tcPr>
            <w:tcW w:w="672" w:type="dxa"/>
            <w:vMerge/>
            <w:vAlign w:val="center"/>
          </w:tcPr>
          <w:p w:rsidR="00013EC7" w:rsidRDefault="00013EC7">
            <w:pPr>
              <w:spacing w:line="300" w:lineRule="exact"/>
              <w:jc w:val="left"/>
              <w:rPr>
                <w:rFonts w:ascii="仿宋" w:eastAsia="仿宋" w:hAnsi="仿宋" w:cs="仿宋"/>
                <w:sz w:val="24"/>
              </w:rPr>
            </w:pPr>
          </w:p>
        </w:tc>
        <w:tc>
          <w:tcPr>
            <w:tcW w:w="1035" w:type="dxa"/>
            <w:vMerge/>
            <w:vAlign w:val="center"/>
          </w:tcPr>
          <w:p w:rsidR="00013EC7" w:rsidRDefault="00013EC7">
            <w:pPr>
              <w:spacing w:line="310" w:lineRule="exact"/>
              <w:jc w:val="left"/>
              <w:rPr>
                <w:rFonts w:ascii="仿宋" w:eastAsia="仿宋" w:hAnsi="仿宋" w:cs="仿宋"/>
                <w:sz w:val="24"/>
              </w:rPr>
            </w:pPr>
          </w:p>
        </w:tc>
        <w:tc>
          <w:tcPr>
            <w:tcW w:w="2622" w:type="dxa"/>
            <w:vMerge/>
            <w:vAlign w:val="center"/>
          </w:tcPr>
          <w:p w:rsidR="00013EC7" w:rsidRDefault="00013EC7">
            <w:pPr>
              <w:spacing w:line="310" w:lineRule="exact"/>
              <w:jc w:val="left"/>
              <w:rPr>
                <w:rFonts w:ascii="仿宋" w:eastAsia="仿宋" w:hAnsi="仿宋" w:cs="仿宋"/>
                <w:sz w:val="24"/>
              </w:rPr>
            </w:pPr>
          </w:p>
        </w:tc>
        <w:tc>
          <w:tcPr>
            <w:tcW w:w="2760" w:type="dxa"/>
            <w:vAlign w:val="center"/>
          </w:tcPr>
          <w:p w:rsidR="00013EC7" w:rsidRDefault="00575CDB">
            <w:pPr>
              <w:jc w:val="left"/>
              <w:rPr>
                <w:rFonts w:ascii="仿宋" w:eastAsia="仿宋" w:hAnsi="仿宋" w:cs="仿宋"/>
                <w:sz w:val="24"/>
              </w:rPr>
            </w:pPr>
            <w:r>
              <w:rPr>
                <w:rFonts w:ascii="仿宋" w:eastAsia="仿宋" w:hAnsi="仿宋" w:cs="仿宋" w:hint="eastAsia"/>
                <w:sz w:val="24"/>
              </w:rPr>
              <w:t>（四）《中华人民共和国水路运输证》原件查验。</w:t>
            </w:r>
          </w:p>
        </w:tc>
        <w:tc>
          <w:tcPr>
            <w:tcW w:w="1288" w:type="dxa"/>
            <w:vMerge/>
            <w:vAlign w:val="center"/>
          </w:tcPr>
          <w:p w:rsidR="00013EC7" w:rsidRDefault="00013EC7">
            <w:pPr>
              <w:jc w:val="left"/>
              <w:rPr>
                <w:rFonts w:ascii="仿宋" w:eastAsia="仿宋" w:hAnsi="仿宋" w:cs="仿宋"/>
                <w:sz w:val="24"/>
              </w:rPr>
            </w:pPr>
          </w:p>
        </w:tc>
        <w:tc>
          <w:tcPr>
            <w:tcW w:w="2837" w:type="dxa"/>
            <w:vAlign w:val="center"/>
          </w:tcPr>
          <w:p w:rsidR="00013EC7" w:rsidRDefault="00575CDB">
            <w:pPr>
              <w:jc w:val="left"/>
              <w:rPr>
                <w:rFonts w:ascii="仿宋" w:eastAsia="仿宋" w:hAnsi="仿宋" w:cs="仿宋"/>
                <w:sz w:val="24"/>
              </w:rPr>
            </w:pPr>
            <w:r>
              <w:rPr>
                <w:rFonts w:ascii="仿宋" w:eastAsia="仿宋" w:hAnsi="仿宋" w:cs="仿宋" w:hint="eastAsia"/>
                <w:sz w:val="24"/>
              </w:rPr>
              <w:t>（四）《中华人民共和国水路运输证》原件查验。</w:t>
            </w:r>
          </w:p>
        </w:tc>
        <w:tc>
          <w:tcPr>
            <w:tcW w:w="1326" w:type="dxa"/>
            <w:vMerge/>
            <w:vAlign w:val="center"/>
          </w:tcPr>
          <w:p w:rsidR="00013EC7" w:rsidRDefault="00013EC7">
            <w:pPr>
              <w:jc w:val="left"/>
              <w:rPr>
                <w:rFonts w:ascii="仿宋" w:eastAsia="仿宋" w:hAnsi="仿宋" w:cs="仿宋"/>
                <w:sz w:val="24"/>
              </w:rPr>
            </w:pPr>
          </w:p>
        </w:tc>
        <w:tc>
          <w:tcPr>
            <w:tcW w:w="3024" w:type="dxa"/>
            <w:vMerge/>
            <w:vAlign w:val="center"/>
          </w:tcPr>
          <w:p w:rsidR="00013EC7" w:rsidRDefault="00013EC7">
            <w:pPr>
              <w:jc w:val="left"/>
              <w:rPr>
                <w:rFonts w:ascii="仿宋" w:eastAsia="仿宋" w:hAnsi="仿宋" w:cs="仿宋"/>
                <w:sz w:val="24"/>
              </w:rPr>
            </w:pPr>
          </w:p>
        </w:tc>
        <w:tc>
          <w:tcPr>
            <w:tcW w:w="692" w:type="dxa"/>
            <w:vMerge/>
            <w:vAlign w:val="center"/>
          </w:tcPr>
          <w:p w:rsidR="00013EC7" w:rsidRDefault="00013EC7">
            <w:pPr>
              <w:spacing w:line="300" w:lineRule="exact"/>
              <w:jc w:val="left"/>
              <w:rPr>
                <w:rFonts w:ascii="仿宋" w:eastAsia="仿宋" w:hAnsi="仿宋" w:cs="仿宋"/>
                <w:sz w:val="24"/>
              </w:rPr>
            </w:pPr>
          </w:p>
        </w:tc>
        <w:tc>
          <w:tcPr>
            <w:tcW w:w="798" w:type="dxa"/>
            <w:vMerge/>
            <w:vAlign w:val="center"/>
          </w:tcPr>
          <w:p w:rsidR="00013EC7" w:rsidRDefault="00013EC7">
            <w:pPr>
              <w:spacing w:line="300" w:lineRule="exact"/>
              <w:jc w:val="left"/>
              <w:rPr>
                <w:rFonts w:ascii="仿宋" w:eastAsia="仿宋" w:hAnsi="仿宋" w:cs="仿宋"/>
                <w:sz w:val="24"/>
              </w:rPr>
            </w:pPr>
          </w:p>
        </w:tc>
        <w:tc>
          <w:tcPr>
            <w:tcW w:w="1039" w:type="dxa"/>
            <w:vMerge/>
            <w:vAlign w:val="center"/>
          </w:tcPr>
          <w:p w:rsidR="00013EC7" w:rsidRDefault="00013EC7">
            <w:pPr>
              <w:spacing w:line="300" w:lineRule="exact"/>
              <w:jc w:val="left"/>
              <w:rPr>
                <w:rFonts w:ascii="仿宋" w:eastAsia="仿宋" w:hAnsi="仿宋" w:cs="仿宋"/>
                <w:sz w:val="24"/>
              </w:rPr>
            </w:pPr>
          </w:p>
        </w:tc>
        <w:tc>
          <w:tcPr>
            <w:tcW w:w="1023" w:type="dxa"/>
            <w:vMerge/>
            <w:vAlign w:val="center"/>
          </w:tcPr>
          <w:p w:rsidR="00013EC7" w:rsidRDefault="00013EC7">
            <w:pPr>
              <w:spacing w:line="300" w:lineRule="exact"/>
              <w:jc w:val="left"/>
              <w:rPr>
                <w:rFonts w:ascii="仿宋" w:eastAsia="仿宋" w:hAnsi="仿宋" w:cs="仿宋"/>
                <w:sz w:val="24"/>
              </w:rPr>
            </w:pPr>
          </w:p>
        </w:tc>
        <w:tc>
          <w:tcPr>
            <w:tcW w:w="1476" w:type="dxa"/>
            <w:vMerge/>
            <w:vAlign w:val="center"/>
          </w:tcPr>
          <w:p w:rsidR="00013EC7" w:rsidRDefault="00013EC7">
            <w:pPr>
              <w:jc w:val="left"/>
              <w:rPr>
                <w:rFonts w:ascii="仿宋" w:eastAsia="仿宋" w:hAnsi="仿宋" w:cs="仿宋"/>
                <w:b/>
                <w:color w:val="FF0000"/>
                <w:sz w:val="24"/>
              </w:rPr>
            </w:pPr>
          </w:p>
        </w:tc>
      </w:tr>
    </w:tbl>
    <w:p w:rsidR="00013EC7" w:rsidRDefault="00013EC7">
      <w:pPr>
        <w:tabs>
          <w:tab w:val="left" w:pos="10942"/>
        </w:tabs>
        <w:jc w:val="left"/>
      </w:pPr>
    </w:p>
    <w:p w:rsidR="00013EC7" w:rsidRDefault="00013EC7">
      <w:pPr>
        <w:tabs>
          <w:tab w:val="left" w:pos="10942"/>
        </w:tabs>
        <w:jc w:val="left"/>
      </w:pPr>
    </w:p>
    <w:p w:rsidR="00013EC7" w:rsidRDefault="005262E6">
      <w:pPr>
        <w:tabs>
          <w:tab w:val="left" w:pos="10942"/>
        </w:tabs>
        <w:jc w:val="left"/>
      </w:pPr>
      <w:r>
        <w:lastRenderedPageBreak/>
        <w:object w:dxaOrig="1440" w:dyaOrig="1440">
          <v:shape id="_x0000_s1465" type="#_x0000_t75" style="position:absolute;margin-left:24.65pt;margin-top:105.05pt;width:453.55pt;height:501.9pt;z-index:251717632;mso-wrap-distance-left:9pt;mso-wrap-distance-top:0;mso-wrap-distance-right:9pt;mso-wrap-distance-bottom:0;mso-position-vertical-relative:page;mso-width-relative:page;mso-height-relative:page">
            <v:imagedata r:id="rId70" o:title=""/>
            <w10:wrap type="square" anchory="page"/>
          </v:shape>
          <o:OLEObject Type="Embed" ProgID="Visio.Drawing.11" ShapeID="_x0000_s1465" DrawAspect="Content" ObjectID="_1577296169" r:id="rId71"/>
        </w:object>
      </w:r>
    </w:p>
    <w:p w:rsidR="00013EC7" w:rsidRDefault="00013EC7">
      <w:pPr>
        <w:tabs>
          <w:tab w:val="left" w:pos="10942"/>
        </w:tabs>
        <w:jc w:val="left"/>
      </w:pPr>
    </w:p>
    <w:p w:rsidR="00013EC7" w:rsidRDefault="00013EC7">
      <w:pPr>
        <w:rPr>
          <w:rStyle w:val="1Char"/>
        </w:rPr>
        <w:sectPr w:rsidR="00013EC7">
          <w:pgSz w:w="23814" w:h="16840" w:orient="landscape"/>
          <w:pgMar w:top="1701" w:right="1843" w:bottom="1985" w:left="1843" w:header="851" w:footer="1701" w:gutter="0"/>
          <w:pgNumType w:fmt="numberInDash"/>
          <w:cols w:space="720"/>
          <w:docGrid w:type="lines" w:linePitch="312"/>
        </w:sectPr>
      </w:pPr>
      <w:bookmarkStart w:id="87" w:name="_Toc498705679"/>
      <w:bookmarkStart w:id="88" w:name="_Toc498705680"/>
    </w:p>
    <w:p w:rsidR="00013EC7" w:rsidRDefault="00575CDB">
      <w:pPr>
        <w:pStyle w:val="1"/>
        <w:rPr>
          <w:szCs w:val="22"/>
        </w:rPr>
      </w:pPr>
      <w:bookmarkStart w:id="89" w:name="_Toc19827"/>
      <w:bookmarkStart w:id="90" w:name="_Toc10820"/>
      <w:r>
        <w:rPr>
          <w:rFonts w:hint="eastAsia"/>
          <w:szCs w:val="22"/>
        </w:rPr>
        <w:lastRenderedPageBreak/>
        <w:t>五、跨区域涉税事项</w:t>
      </w:r>
      <w:bookmarkEnd w:id="89"/>
      <w:bookmarkEnd w:id="90"/>
    </w:p>
    <w:p w:rsidR="00013EC7" w:rsidRDefault="00575CDB">
      <w:pPr>
        <w:pStyle w:val="2"/>
        <w:rPr>
          <w:szCs w:val="22"/>
        </w:rPr>
      </w:pPr>
      <w:bookmarkStart w:id="91" w:name="_Toc23657"/>
      <w:bookmarkStart w:id="92" w:name="_Toc26004"/>
      <w:r>
        <w:rPr>
          <w:rFonts w:hint="eastAsia"/>
          <w:szCs w:val="22"/>
        </w:rPr>
        <w:t>5.1</w:t>
      </w:r>
      <w:r>
        <w:rPr>
          <w:rFonts w:hint="eastAsia"/>
          <w:szCs w:val="22"/>
        </w:rPr>
        <w:t>跨区域涉税事项报告</w:t>
      </w:r>
      <w:bookmarkEnd w:id="87"/>
      <w:bookmarkEnd w:id="91"/>
      <w:bookmarkEnd w:id="92"/>
    </w:p>
    <w:p w:rsidR="00013EC7" w:rsidRDefault="00575CDB">
      <w:pPr>
        <w:jc w:val="center"/>
        <w:rPr>
          <w:rFonts w:ascii="宋体" w:hAnsi="宋体" w:cs="宋体"/>
          <w:b/>
          <w:bCs/>
          <w:sz w:val="52"/>
          <w:szCs w:val="52"/>
        </w:rPr>
      </w:pPr>
      <w:r>
        <w:rPr>
          <w:rFonts w:ascii="宋体" w:hAnsi="宋体" w:cs="宋体" w:hint="eastAsia"/>
          <w:b/>
          <w:bCs/>
          <w:sz w:val="52"/>
          <w:szCs w:val="52"/>
        </w:rPr>
        <w:t>全省“最多跑一次”事项“八统一”梳理表</w:t>
      </w:r>
    </w:p>
    <w:p w:rsidR="00013EC7" w:rsidRDefault="00013EC7">
      <w:pPr>
        <w:rPr>
          <w:rFonts w:ascii="宋体" w:hAnsi="宋体" w:cs="宋体"/>
          <w:b/>
          <w:bCs/>
          <w:sz w:val="44"/>
          <w:szCs w:val="44"/>
        </w:rPr>
      </w:pPr>
    </w:p>
    <w:tbl>
      <w:tblPr>
        <w:tblW w:w="20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1250"/>
        <w:gridCol w:w="1316"/>
        <w:gridCol w:w="3361"/>
        <w:gridCol w:w="2508"/>
        <w:gridCol w:w="1350"/>
        <w:gridCol w:w="2100"/>
        <w:gridCol w:w="1092"/>
        <w:gridCol w:w="2523"/>
        <w:gridCol w:w="868"/>
        <w:gridCol w:w="798"/>
        <w:gridCol w:w="958"/>
        <w:gridCol w:w="1104"/>
        <w:gridCol w:w="1476"/>
      </w:tblGrid>
      <w:tr w:rsidR="00013EC7" w:rsidTr="004616C1">
        <w:trPr>
          <w:trHeight w:val="340"/>
          <w:tblHeader/>
          <w:jc w:val="center"/>
        </w:trPr>
        <w:tc>
          <w:tcPr>
            <w:tcW w:w="1250"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主项名称</w:t>
            </w:r>
          </w:p>
        </w:tc>
        <w:tc>
          <w:tcPr>
            <w:tcW w:w="1316"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子项名称</w:t>
            </w:r>
          </w:p>
        </w:tc>
        <w:tc>
          <w:tcPr>
            <w:tcW w:w="3361"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经办依据</w:t>
            </w:r>
          </w:p>
        </w:tc>
        <w:tc>
          <w:tcPr>
            <w:tcW w:w="3858"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原经办所需材料</w:t>
            </w:r>
          </w:p>
        </w:tc>
        <w:tc>
          <w:tcPr>
            <w:tcW w:w="5715" w:type="dxa"/>
            <w:gridSpan w:val="3"/>
            <w:vAlign w:val="center"/>
          </w:tcPr>
          <w:p w:rsidR="00013EC7" w:rsidRDefault="00575CDB">
            <w:pPr>
              <w:spacing w:line="280" w:lineRule="exact"/>
              <w:jc w:val="center"/>
              <w:rPr>
                <w:rFonts w:ascii="黑体" w:eastAsia="黑体"/>
                <w:sz w:val="24"/>
              </w:rPr>
            </w:pPr>
            <w:r>
              <w:rPr>
                <w:rFonts w:ascii="黑体" w:eastAsia="黑体" w:hint="eastAsia"/>
                <w:sz w:val="24"/>
              </w:rPr>
              <w:t>梳理后经办所需材料</w:t>
            </w:r>
          </w:p>
        </w:tc>
        <w:tc>
          <w:tcPr>
            <w:tcW w:w="1666"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办理时限</w:t>
            </w:r>
          </w:p>
        </w:tc>
        <w:tc>
          <w:tcPr>
            <w:tcW w:w="958"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是否实现跑零次</w:t>
            </w:r>
          </w:p>
        </w:tc>
        <w:tc>
          <w:tcPr>
            <w:tcW w:w="1104"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省厅对口</w:t>
            </w:r>
          </w:p>
          <w:p w:rsidR="00013EC7" w:rsidRDefault="00575CDB">
            <w:pPr>
              <w:spacing w:line="280" w:lineRule="exact"/>
              <w:jc w:val="center"/>
              <w:rPr>
                <w:rFonts w:ascii="黑体" w:eastAsia="黑体"/>
                <w:sz w:val="24"/>
              </w:rPr>
            </w:pPr>
            <w:r>
              <w:rPr>
                <w:rFonts w:ascii="黑体" w:eastAsia="黑体" w:hint="eastAsia"/>
                <w:sz w:val="24"/>
              </w:rPr>
              <w:t>指导处室</w:t>
            </w:r>
          </w:p>
          <w:p w:rsidR="00013EC7" w:rsidRDefault="00575CDB">
            <w:pPr>
              <w:spacing w:line="280" w:lineRule="exact"/>
              <w:jc w:val="center"/>
              <w:rPr>
                <w:rFonts w:ascii="黑体" w:eastAsia="黑体"/>
                <w:sz w:val="24"/>
              </w:rPr>
            </w:pPr>
            <w:r>
              <w:rPr>
                <w:rFonts w:ascii="黑体" w:eastAsia="黑体" w:hint="eastAsia"/>
                <w:sz w:val="24"/>
              </w:rPr>
              <w:t>（单位）</w:t>
            </w:r>
          </w:p>
        </w:tc>
        <w:tc>
          <w:tcPr>
            <w:tcW w:w="1476"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进一步精简、</w:t>
            </w:r>
          </w:p>
          <w:p w:rsidR="00013EC7" w:rsidRDefault="00575CDB">
            <w:pPr>
              <w:spacing w:line="280" w:lineRule="exact"/>
              <w:jc w:val="center"/>
              <w:rPr>
                <w:rFonts w:ascii="黑体" w:eastAsia="黑体"/>
                <w:sz w:val="24"/>
              </w:rPr>
            </w:pPr>
            <w:r>
              <w:rPr>
                <w:rFonts w:ascii="黑体" w:eastAsia="黑体" w:hint="eastAsia"/>
                <w:sz w:val="24"/>
              </w:rPr>
              <w:t>规范建议</w:t>
            </w:r>
          </w:p>
        </w:tc>
      </w:tr>
      <w:tr w:rsidR="00013EC7" w:rsidTr="004616C1">
        <w:trPr>
          <w:trHeight w:val="340"/>
          <w:tblHeader/>
          <w:jc w:val="center"/>
        </w:trPr>
        <w:tc>
          <w:tcPr>
            <w:tcW w:w="1250" w:type="dxa"/>
            <w:vMerge/>
            <w:vAlign w:val="center"/>
          </w:tcPr>
          <w:p w:rsidR="00013EC7" w:rsidRDefault="00013EC7">
            <w:pPr>
              <w:rPr>
                <w:sz w:val="24"/>
              </w:rPr>
            </w:pPr>
          </w:p>
        </w:tc>
        <w:tc>
          <w:tcPr>
            <w:tcW w:w="1316" w:type="dxa"/>
            <w:vMerge/>
          </w:tcPr>
          <w:p w:rsidR="00013EC7" w:rsidRDefault="00013EC7">
            <w:pPr>
              <w:rPr>
                <w:sz w:val="24"/>
              </w:rPr>
            </w:pPr>
          </w:p>
        </w:tc>
        <w:tc>
          <w:tcPr>
            <w:tcW w:w="3361" w:type="dxa"/>
            <w:vMerge/>
          </w:tcPr>
          <w:p w:rsidR="00013EC7" w:rsidRDefault="00013EC7">
            <w:pPr>
              <w:rPr>
                <w:sz w:val="24"/>
              </w:rPr>
            </w:pPr>
          </w:p>
        </w:tc>
        <w:tc>
          <w:tcPr>
            <w:tcW w:w="2508" w:type="dxa"/>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350"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2100" w:type="dxa"/>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092"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2523" w:type="dxa"/>
            <w:vAlign w:val="center"/>
          </w:tcPr>
          <w:p w:rsidR="00013EC7" w:rsidRDefault="00575CDB">
            <w:pPr>
              <w:spacing w:line="280" w:lineRule="exact"/>
              <w:jc w:val="center"/>
              <w:rPr>
                <w:rFonts w:ascii="黑体" w:eastAsia="黑体"/>
                <w:sz w:val="24"/>
              </w:rPr>
            </w:pPr>
            <w:r>
              <w:rPr>
                <w:rFonts w:ascii="黑体" w:eastAsia="黑体" w:hint="eastAsia"/>
                <w:sz w:val="24"/>
              </w:rPr>
              <w:t>办理方式及材料</w:t>
            </w:r>
          </w:p>
          <w:p w:rsidR="00013EC7" w:rsidRDefault="00575CDB">
            <w:pPr>
              <w:spacing w:line="280" w:lineRule="exact"/>
              <w:jc w:val="center"/>
              <w:rPr>
                <w:rFonts w:ascii="黑体" w:eastAsia="黑体"/>
                <w:sz w:val="24"/>
              </w:rPr>
            </w:pPr>
            <w:r>
              <w:rPr>
                <w:rFonts w:ascii="黑体" w:eastAsia="黑体" w:hint="eastAsia"/>
                <w:sz w:val="24"/>
              </w:rPr>
              <w:t>信息获取方式说明</w:t>
            </w:r>
          </w:p>
        </w:tc>
        <w:tc>
          <w:tcPr>
            <w:tcW w:w="868" w:type="dxa"/>
            <w:vAlign w:val="center"/>
          </w:tcPr>
          <w:p w:rsidR="00013EC7" w:rsidRDefault="00575CDB">
            <w:pPr>
              <w:spacing w:line="280" w:lineRule="exact"/>
              <w:jc w:val="center"/>
              <w:rPr>
                <w:rFonts w:ascii="黑体" w:eastAsia="黑体"/>
                <w:sz w:val="24"/>
              </w:rPr>
            </w:pPr>
            <w:r>
              <w:rPr>
                <w:rFonts w:ascii="黑体" w:eastAsia="黑体" w:hint="eastAsia"/>
                <w:sz w:val="24"/>
              </w:rPr>
              <w:t>优化前</w:t>
            </w:r>
          </w:p>
        </w:tc>
        <w:tc>
          <w:tcPr>
            <w:tcW w:w="798" w:type="dxa"/>
            <w:vAlign w:val="center"/>
          </w:tcPr>
          <w:p w:rsidR="00013EC7" w:rsidRDefault="00575CDB">
            <w:pPr>
              <w:spacing w:line="280" w:lineRule="exact"/>
              <w:jc w:val="center"/>
              <w:rPr>
                <w:rFonts w:ascii="黑体" w:eastAsia="黑体"/>
                <w:sz w:val="24"/>
              </w:rPr>
            </w:pPr>
            <w:r>
              <w:rPr>
                <w:rFonts w:ascii="黑体" w:eastAsia="黑体" w:hint="eastAsia"/>
                <w:sz w:val="24"/>
              </w:rPr>
              <w:t>优化后</w:t>
            </w:r>
          </w:p>
        </w:tc>
        <w:tc>
          <w:tcPr>
            <w:tcW w:w="958" w:type="dxa"/>
            <w:vMerge/>
            <w:vAlign w:val="center"/>
          </w:tcPr>
          <w:p w:rsidR="00013EC7" w:rsidRDefault="00013EC7">
            <w:pPr>
              <w:rPr>
                <w:sz w:val="24"/>
              </w:rPr>
            </w:pPr>
          </w:p>
        </w:tc>
        <w:tc>
          <w:tcPr>
            <w:tcW w:w="1104" w:type="dxa"/>
            <w:vMerge/>
            <w:vAlign w:val="center"/>
          </w:tcPr>
          <w:p w:rsidR="00013EC7" w:rsidRDefault="00013EC7">
            <w:pPr>
              <w:rPr>
                <w:sz w:val="24"/>
              </w:rPr>
            </w:pPr>
          </w:p>
        </w:tc>
        <w:tc>
          <w:tcPr>
            <w:tcW w:w="1476" w:type="dxa"/>
            <w:vMerge/>
            <w:vAlign w:val="center"/>
          </w:tcPr>
          <w:p w:rsidR="00013EC7" w:rsidRDefault="00013EC7">
            <w:pPr>
              <w:rPr>
                <w:sz w:val="24"/>
              </w:rPr>
            </w:pPr>
          </w:p>
        </w:tc>
      </w:tr>
      <w:tr w:rsidR="00013EC7" w:rsidTr="004616C1">
        <w:trPr>
          <w:trHeight w:val="1579"/>
          <w:jc w:val="center"/>
        </w:trPr>
        <w:tc>
          <w:tcPr>
            <w:tcW w:w="1250"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5跨区域涉税事项</w:t>
            </w:r>
          </w:p>
        </w:tc>
        <w:tc>
          <w:tcPr>
            <w:tcW w:w="1316" w:type="dxa"/>
            <w:vMerge w:val="restart"/>
            <w:vAlign w:val="center"/>
          </w:tcPr>
          <w:p w:rsidR="00013EC7" w:rsidRDefault="00575CDB">
            <w:pPr>
              <w:spacing w:line="310" w:lineRule="exact"/>
              <w:jc w:val="left"/>
              <w:rPr>
                <w:rFonts w:ascii="仿宋" w:eastAsia="仿宋" w:hAnsi="仿宋" w:cs="仿宋"/>
                <w:sz w:val="24"/>
              </w:rPr>
            </w:pPr>
            <w:r>
              <w:rPr>
                <w:rFonts w:ascii="仿宋" w:eastAsia="仿宋" w:hAnsi="仿宋" w:cs="仿宋" w:hint="eastAsia"/>
                <w:sz w:val="24"/>
              </w:rPr>
              <w:t>5.1跨区域涉税事项报告</w:t>
            </w:r>
          </w:p>
        </w:tc>
        <w:tc>
          <w:tcPr>
            <w:tcW w:w="3361" w:type="dxa"/>
            <w:vMerge w:val="restart"/>
            <w:vAlign w:val="center"/>
          </w:tcPr>
          <w:p w:rsidR="00013EC7" w:rsidRDefault="00575CDB">
            <w:pPr>
              <w:spacing w:line="310" w:lineRule="exact"/>
              <w:jc w:val="left"/>
              <w:rPr>
                <w:rFonts w:ascii="仿宋" w:eastAsia="仿宋" w:hAnsi="仿宋" w:cs="仿宋"/>
                <w:sz w:val="24"/>
              </w:rPr>
            </w:pPr>
            <w:r>
              <w:rPr>
                <w:rFonts w:ascii="仿宋" w:eastAsia="仿宋" w:hAnsi="仿宋" w:cs="仿宋" w:hint="eastAsia"/>
                <w:sz w:val="24"/>
              </w:rPr>
              <w:t>（一）《中华人民共和国税收征收管理法实施细则》（2002年中华人民共和国国务院令第362号）第二十一条。</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（二）《国家税务总局关于修改〈税务登记管理办法〉的决定》（2014年国家税务总局令第36号）第三十二条、第三十三条。</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（三）《国家税务总局关于进一步完善税务登记管理有关问题的公告》（国家税务总局公告2011年第21号）第三条。</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（四）《国家税务总局关于发布&lt;纳税人跨县（市、区）提供建筑服务增值税征收管理暂行办法&gt;的公告》（国家税务总局公告2016年第17号）全文。</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（五）《国家税务总局关于进一步明确营改增有关征管问题的公告》（国家税务总局公告2017年第11号）第三条。</w:t>
            </w:r>
          </w:p>
          <w:p w:rsidR="00013EC7" w:rsidRDefault="00575CDB">
            <w:pPr>
              <w:spacing w:line="310" w:lineRule="exact"/>
              <w:rPr>
                <w:rFonts w:ascii="仿宋" w:eastAsia="仿宋" w:hAnsi="仿宋" w:cs="仿宋"/>
                <w:sz w:val="24"/>
              </w:rPr>
            </w:pPr>
            <w:r>
              <w:rPr>
                <w:rFonts w:ascii="仿宋" w:eastAsia="仿宋" w:hAnsi="仿宋" w:cs="仿宋" w:hint="eastAsia"/>
                <w:sz w:val="24"/>
              </w:rPr>
              <w:t>（六）《国家税务总局关于创新跨区域涉税事项报验管理制度的通知》（税总发〔2017〕103号）全文。</w:t>
            </w:r>
          </w:p>
        </w:tc>
        <w:tc>
          <w:tcPr>
            <w:tcW w:w="2508" w:type="dxa"/>
            <w:shd w:val="clear" w:color="auto" w:fill="auto"/>
            <w:vAlign w:val="center"/>
          </w:tcPr>
          <w:p w:rsidR="00013EC7" w:rsidRDefault="00575CDB">
            <w:pPr>
              <w:spacing w:line="300" w:lineRule="exact"/>
              <w:jc w:val="left"/>
              <w:rPr>
                <w:rFonts w:ascii="仿宋" w:eastAsia="仿宋" w:hAnsi="仿宋" w:cs="仿宋"/>
                <w:sz w:val="24"/>
                <w:shd w:val="clear" w:color="FFFFFF" w:fill="D9D9D9"/>
              </w:rPr>
            </w:pPr>
            <w:r>
              <w:rPr>
                <w:rFonts w:ascii="仿宋" w:eastAsia="仿宋" w:hAnsi="仿宋" w:cs="仿宋" w:hint="eastAsia"/>
                <w:sz w:val="24"/>
                <w:shd w:val="clear" w:color="FFFFFF" w:fill="D9D9D9"/>
              </w:rPr>
              <w:t>（一）《外出经营活动报告表》。</w:t>
            </w:r>
          </w:p>
        </w:tc>
        <w:tc>
          <w:tcPr>
            <w:tcW w:w="1350"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纳税人提交</w:t>
            </w:r>
          </w:p>
        </w:tc>
        <w:tc>
          <w:tcPr>
            <w:tcW w:w="2100" w:type="dxa"/>
            <w:shd w:val="clear" w:color="auto" w:fill="auto"/>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（一）《跨区域涉税事项报告表》。</w:t>
            </w:r>
          </w:p>
        </w:tc>
        <w:tc>
          <w:tcPr>
            <w:tcW w:w="1092" w:type="dxa"/>
            <w:shd w:val="clear" w:color="auto" w:fill="auto"/>
            <w:vAlign w:val="center"/>
          </w:tcPr>
          <w:p w:rsidR="00013EC7" w:rsidRDefault="00575CDB">
            <w:pPr>
              <w:spacing w:line="300" w:lineRule="exact"/>
              <w:jc w:val="left"/>
              <w:rPr>
                <w:rFonts w:ascii="仿宋" w:eastAsia="仿宋" w:hAnsi="仿宋" w:cs="仿宋"/>
                <w:b/>
                <w:bCs/>
                <w:i/>
                <w:iCs/>
                <w:sz w:val="24"/>
              </w:rPr>
            </w:pPr>
            <w:r>
              <w:rPr>
                <w:rFonts w:ascii="仿宋" w:eastAsia="仿宋" w:hAnsi="仿宋" w:cs="仿宋" w:hint="eastAsia"/>
                <w:sz w:val="24"/>
              </w:rPr>
              <w:t>纳税人提交</w:t>
            </w:r>
          </w:p>
        </w:tc>
        <w:tc>
          <w:tcPr>
            <w:tcW w:w="2523"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纳税人提交书面材料。</w:t>
            </w:r>
          </w:p>
          <w:p w:rsidR="00013EC7" w:rsidRDefault="00575CDB">
            <w:pPr>
              <w:spacing w:line="300" w:lineRule="exact"/>
              <w:jc w:val="left"/>
              <w:rPr>
                <w:rFonts w:ascii="仿宋" w:eastAsia="仿宋" w:hAnsi="仿宋" w:cs="仿宋"/>
                <w:sz w:val="24"/>
              </w:rPr>
            </w:pPr>
            <w:r>
              <w:rPr>
                <w:rFonts w:ascii="仿宋" w:eastAsia="仿宋" w:hAnsi="仿宋" w:cs="仿宋" w:hint="eastAsia"/>
                <w:b/>
                <w:sz w:val="24"/>
              </w:rPr>
              <w:t>网上办理：</w:t>
            </w:r>
            <w:r>
              <w:rPr>
                <w:rFonts w:ascii="仿宋" w:eastAsia="仿宋" w:hAnsi="仿宋" w:cs="仿宋" w:hint="eastAsia"/>
                <w:sz w:val="24"/>
              </w:rPr>
              <w:t>登录浙江国税电子税务局（网址：http://etax.zjtax.gov.cn/）提交申请。</w:t>
            </w:r>
          </w:p>
          <w:p w:rsidR="00013EC7" w:rsidRDefault="00575CDB">
            <w:pPr>
              <w:spacing w:line="300" w:lineRule="exact"/>
              <w:jc w:val="left"/>
              <w:rPr>
                <w:rFonts w:ascii="仿宋" w:eastAsia="仿宋" w:hAnsi="仿宋" w:cs="仿宋"/>
                <w:sz w:val="24"/>
              </w:rPr>
            </w:pPr>
            <w:r>
              <w:rPr>
                <w:rFonts w:ascii="仿宋" w:eastAsia="仿宋" w:hAnsi="仿宋" w:cs="仿宋" w:hint="eastAsia"/>
                <w:b/>
                <w:sz w:val="24"/>
              </w:rPr>
              <w:t>APP办理：</w:t>
            </w:r>
            <w:r>
              <w:rPr>
                <w:rFonts w:ascii="仿宋" w:eastAsia="仿宋" w:hAnsi="仿宋" w:cs="仿宋" w:hint="eastAsia"/>
                <w:sz w:val="24"/>
              </w:rPr>
              <w:t>登录浙江国税APP提交申请。</w:t>
            </w:r>
          </w:p>
        </w:tc>
        <w:tc>
          <w:tcPr>
            <w:tcW w:w="868"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即时办结</w:t>
            </w:r>
          </w:p>
        </w:tc>
        <w:tc>
          <w:tcPr>
            <w:tcW w:w="798"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即时办结</w:t>
            </w:r>
          </w:p>
        </w:tc>
        <w:tc>
          <w:tcPr>
            <w:tcW w:w="958"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是</w:t>
            </w:r>
          </w:p>
        </w:tc>
        <w:tc>
          <w:tcPr>
            <w:tcW w:w="1104"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征管科技处</w:t>
            </w:r>
          </w:p>
        </w:tc>
        <w:tc>
          <w:tcPr>
            <w:tcW w:w="1476" w:type="dxa"/>
            <w:vMerge w:val="restart"/>
            <w:vAlign w:val="center"/>
          </w:tcPr>
          <w:p w:rsidR="00013EC7" w:rsidRDefault="00013EC7">
            <w:pPr>
              <w:spacing w:line="300" w:lineRule="exact"/>
              <w:jc w:val="left"/>
              <w:rPr>
                <w:rFonts w:ascii="仿宋" w:eastAsia="仿宋" w:hAnsi="仿宋" w:cs="仿宋"/>
                <w:sz w:val="24"/>
              </w:rPr>
            </w:pPr>
          </w:p>
        </w:tc>
      </w:tr>
      <w:tr w:rsidR="00013EC7" w:rsidTr="004616C1">
        <w:trPr>
          <w:trHeight w:val="1577"/>
          <w:jc w:val="center"/>
        </w:trPr>
        <w:tc>
          <w:tcPr>
            <w:tcW w:w="1250" w:type="dxa"/>
            <w:vMerge/>
            <w:vAlign w:val="center"/>
          </w:tcPr>
          <w:p w:rsidR="00013EC7" w:rsidRDefault="00013EC7">
            <w:pPr>
              <w:spacing w:line="300" w:lineRule="exact"/>
              <w:jc w:val="left"/>
              <w:rPr>
                <w:rFonts w:ascii="仿宋" w:eastAsia="仿宋" w:hAnsi="仿宋" w:cs="仿宋"/>
                <w:sz w:val="24"/>
              </w:rPr>
            </w:pPr>
          </w:p>
        </w:tc>
        <w:tc>
          <w:tcPr>
            <w:tcW w:w="1316" w:type="dxa"/>
            <w:vMerge/>
            <w:vAlign w:val="center"/>
          </w:tcPr>
          <w:p w:rsidR="00013EC7" w:rsidRDefault="00013EC7">
            <w:pPr>
              <w:spacing w:line="310" w:lineRule="exact"/>
              <w:jc w:val="left"/>
              <w:rPr>
                <w:rFonts w:ascii="仿宋" w:eastAsia="仿宋" w:hAnsi="仿宋" w:cs="仿宋"/>
                <w:sz w:val="24"/>
              </w:rPr>
            </w:pPr>
          </w:p>
        </w:tc>
        <w:tc>
          <w:tcPr>
            <w:tcW w:w="3361" w:type="dxa"/>
            <w:vMerge/>
            <w:vAlign w:val="center"/>
          </w:tcPr>
          <w:p w:rsidR="00013EC7" w:rsidRDefault="00013EC7">
            <w:pPr>
              <w:spacing w:line="310" w:lineRule="exact"/>
              <w:jc w:val="left"/>
              <w:rPr>
                <w:rFonts w:ascii="仿宋" w:eastAsia="仿宋" w:hAnsi="仿宋" w:cs="仿宋"/>
                <w:sz w:val="24"/>
              </w:rPr>
            </w:pPr>
          </w:p>
        </w:tc>
        <w:tc>
          <w:tcPr>
            <w:tcW w:w="2508" w:type="dxa"/>
            <w:shd w:val="clear" w:color="auto" w:fill="auto"/>
            <w:vAlign w:val="center"/>
          </w:tcPr>
          <w:p w:rsidR="00013EC7" w:rsidRDefault="00575CDB">
            <w:pPr>
              <w:spacing w:line="300" w:lineRule="exact"/>
              <w:jc w:val="left"/>
              <w:rPr>
                <w:rFonts w:ascii="仿宋" w:eastAsia="仿宋" w:hAnsi="仿宋" w:cs="仿宋"/>
                <w:sz w:val="24"/>
                <w:shd w:val="clear" w:color="FFFFFF" w:fill="D9D9D9"/>
              </w:rPr>
            </w:pPr>
            <w:r>
              <w:rPr>
                <w:rFonts w:ascii="仿宋" w:eastAsia="仿宋" w:hAnsi="仿宋" w:cs="仿宋" w:hint="eastAsia"/>
                <w:sz w:val="24"/>
                <w:shd w:val="clear" w:color="FFFFFF" w:fill="D9D9D9"/>
              </w:rPr>
              <w:t>（二）税务登记证或加载统一社会信用代码的营业执照。</w:t>
            </w:r>
          </w:p>
        </w:tc>
        <w:tc>
          <w:tcPr>
            <w:tcW w:w="1350" w:type="dxa"/>
            <w:vMerge/>
            <w:vAlign w:val="center"/>
          </w:tcPr>
          <w:p w:rsidR="00013EC7" w:rsidRDefault="00013EC7">
            <w:pPr>
              <w:spacing w:line="300" w:lineRule="exact"/>
              <w:jc w:val="left"/>
              <w:rPr>
                <w:rFonts w:ascii="仿宋" w:eastAsia="仿宋" w:hAnsi="仿宋" w:cs="仿宋"/>
                <w:sz w:val="24"/>
              </w:rPr>
            </w:pPr>
          </w:p>
        </w:tc>
        <w:tc>
          <w:tcPr>
            <w:tcW w:w="2100" w:type="dxa"/>
            <w:shd w:val="clear" w:color="auto" w:fill="auto"/>
            <w:vAlign w:val="center"/>
          </w:tcPr>
          <w:p w:rsidR="00013EC7" w:rsidRDefault="00013EC7">
            <w:pPr>
              <w:spacing w:line="300" w:lineRule="exact"/>
              <w:jc w:val="left"/>
              <w:rPr>
                <w:rFonts w:ascii="仿宋" w:eastAsia="仿宋" w:hAnsi="仿宋" w:cs="仿宋"/>
                <w:sz w:val="24"/>
              </w:rPr>
            </w:pPr>
          </w:p>
        </w:tc>
        <w:tc>
          <w:tcPr>
            <w:tcW w:w="1092" w:type="dxa"/>
            <w:vMerge w:val="restart"/>
            <w:shd w:val="clear" w:color="auto" w:fill="auto"/>
            <w:vAlign w:val="center"/>
          </w:tcPr>
          <w:p w:rsidR="00013EC7" w:rsidRDefault="00575CDB">
            <w:pPr>
              <w:spacing w:line="300" w:lineRule="exact"/>
              <w:jc w:val="left"/>
              <w:rPr>
                <w:rFonts w:ascii="仿宋" w:eastAsia="仿宋" w:hAnsi="仿宋" w:cs="仿宋"/>
                <w:b/>
                <w:i/>
                <w:sz w:val="24"/>
              </w:rPr>
            </w:pPr>
            <w:r>
              <w:rPr>
                <w:rFonts w:ascii="仿宋" w:eastAsia="仿宋" w:hAnsi="仿宋" w:cs="仿宋" w:hint="eastAsia"/>
                <w:b/>
                <w:i/>
                <w:sz w:val="24"/>
              </w:rPr>
              <w:t>取消</w:t>
            </w:r>
          </w:p>
        </w:tc>
        <w:tc>
          <w:tcPr>
            <w:tcW w:w="2523" w:type="dxa"/>
            <w:vMerge/>
            <w:vAlign w:val="center"/>
          </w:tcPr>
          <w:p w:rsidR="00013EC7" w:rsidRDefault="00013EC7">
            <w:pPr>
              <w:spacing w:line="300" w:lineRule="exact"/>
              <w:jc w:val="left"/>
              <w:rPr>
                <w:rFonts w:ascii="仿宋" w:eastAsia="仿宋" w:hAnsi="仿宋" w:cs="仿宋"/>
                <w:b/>
                <w:sz w:val="24"/>
              </w:rPr>
            </w:pPr>
          </w:p>
        </w:tc>
        <w:tc>
          <w:tcPr>
            <w:tcW w:w="868" w:type="dxa"/>
            <w:vMerge/>
            <w:vAlign w:val="center"/>
          </w:tcPr>
          <w:p w:rsidR="00013EC7" w:rsidRDefault="00013EC7">
            <w:pPr>
              <w:spacing w:line="300" w:lineRule="exact"/>
              <w:jc w:val="left"/>
              <w:rPr>
                <w:rFonts w:ascii="仿宋" w:eastAsia="仿宋" w:hAnsi="仿宋" w:cs="仿宋"/>
                <w:sz w:val="24"/>
              </w:rPr>
            </w:pPr>
          </w:p>
        </w:tc>
        <w:tc>
          <w:tcPr>
            <w:tcW w:w="798" w:type="dxa"/>
            <w:vMerge/>
            <w:vAlign w:val="center"/>
          </w:tcPr>
          <w:p w:rsidR="00013EC7" w:rsidRDefault="00013EC7">
            <w:pPr>
              <w:spacing w:line="300" w:lineRule="exact"/>
              <w:jc w:val="left"/>
              <w:rPr>
                <w:rFonts w:ascii="仿宋" w:eastAsia="仿宋" w:hAnsi="仿宋" w:cs="仿宋"/>
                <w:sz w:val="24"/>
              </w:rPr>
            </w:pPr>
          </w:p>
        </w:tc>
        <w:tc>
          <w:tcPr>
            <w:tcW w:w="958" w:type="dxa"/>
            <w:vMerge/>
            <w:vAlign w:val="center"/>
          </w:tcPr>
          <w:p w:rsidR="00013EC7" w:rsidRDefault="00013EC7">
            <w:pPr>
              <w:spacing w:line="300" w:lineRule="exact"/>
              <w:jc w:val="left"/>
              <w:rPr>
                <w:rFonts w:ascii="仿宋" w:eastAsia="仿宋" w:hAnsi="仿宋" w:cs="仿宋"/>
                <w:sz w:val="24"/>
              </w:rPr>
            </w:pPr>
          </w:p>
        </w:tc>
        <w:tc>
          <w:tcPr>
            <w:tcW w:w="1104" w:type="dxa"/>
            <w:vMerge/>
            <w:vAlign w:val="center"/>
          </w:tcPr>
          <w:p w:rsidR="00013EC7" w:rsidRDefault="00013EC7">
            <w:pPr>
              <w:spacing w:line="300" w:lineRule="exact"/>
              <w:jc w:val="left"/>
              <w:rPr>
                <w:rFonts w:ascii="仿宋" w:eastAsia="仿宋" w:hAnsi="仿宋" w:cs="仿宋"/>
                <w:sz w:val="24"/>
              </w:rPr>
            </w:pPr>
          </w:p>
        </w:tc>
        <w:tc>
          <w:tcPr>
            <w:tcW w:w="1476" w:type="dxa"/>
            <w:vMerge/>
            <w:vAlign w:val="center"/>
          </w:tcPr>
          <w:p w:rsidR="00013EC7" w:rsidRDefault="00013EC7">
            <w:pPr>
              <w:spacing w:line="300" w:lineRule="exact"/>
              <w:jc w:val="left"/>
              <w:rPr>
                <w:rFonts w:ascii="仿宋" w:eastAsia="仿宋" w:hAnsi="仿宋" w:cs="仿宋"/>
                <w:sz w:val="24"/>
              </w:rPr>
            </w:pPr>
          </w:p>
        </w:tc>
      </w:tr>
      <w:tr w:rsidR="00013EC7" w:rsidTr="004616C1">
        <w:trPr>
          <w:trHeight w:val="1577"/>
          <w:jc w:val="center"/>
        </w:trPr>
        <w:tc>
          <w:tcPr>
            <w:tcW w:w="1250" w:type="dxa"/>
            <w:vMerge/>
            <w:vAlign w:val="center"/>
          </w:tcPr>
          <w:p w:rsidR="00013EC7" w:rsidRDefault="00013EC7">
            <w:pPr>
              <w:spacing w:line="300" w:lineRule="exact"/>
              <w:jc w:val="left"/>
              <w:rPr>
                <w:rFonts w:ascii="仿宋" w:eastAsia="仿宋" w:hAnsi="仿宋" w:cs="仿宋"/>
                <w:sz w:val="24"/>
              </w:rPr>
            </w:pPr>
          </w:p>
        </w:tc>
        <w:tc>
          <w:tcPr>
            <w:tcW w:w="1316" w:type="dxa"/>
            <w:vMerge/>
            <w:vAlign w:val="center"/>
          </w:tcPr>
          <w:p w:rsidR="00013EC7" w:rsidRDefault="00013EC7">
            <w:pPr>
              <w:spacing w:line="310" w:lineRule="exact"/>
              <w:jc w:val="left"/>
              <w:rPr>
                <w:rFonts w:ascii="仿宋" w:eastAsia="仿宋" w:hAnsi="仿宋" w:cs="仿宋"/>
                <w:sz w:val="24"/>
              </w:rPr>
            </w:pPr>
          </w:p>
        </w:tc>
        <w:tc>
          <w:tcPr>
            <w:tcW w:w="3361" w:type="dxa"/>
            <w:vMerge/>
            <w:vAlign w:val="center"/>
          </w:tcPr>
          <w:p w:rsidR="00013EC7" w:rsidRDefault="00013EC7">
            <w:pPr>
              <w:spacing w:line="310" w:lineRule="exact"/>
              <w:jc w:val="left"/>
              <w:rPr>
                <w:rFonts w:ascii="仿宋" w:eastAsia="仿宋" w:hAnsi="仿宋" w:cs="仿宋"/>
                <w:sz w:val="24"/>
              </w:rPr>
            </w:pPr>
          </w:p>
        </w:tc>
        <w:tc>
          <w:tcPr>
            <w:tcW w:w="2508" w:type="dxa"/>
            <w:shd w:val="clear" w:color="auto" w:fill="auto"/>
            <w:vAlign w:val="center"/>
          </w:tcPr>
          <w:p w:rsidR="00013EC7" w:rsidRDefault="00575CDB">
            <w:pPr>
              <w:spacing w:line="300" w:lineRule="exact"/>
              <w:jc w:val="left"/>
              <w:rPr>
                <w:rFonts w:ascii="仿宋" w:eastAsia="仿宋" w:hAnsi="仿宋" w:cs="仿宋"/>
                <w:sz w:val="24"/>
                <w:shd w:val="clear" w:color="FFFFFF" w:fill="D9D9D9"/>
              </w:rPr>
            </w:pPr>
            <w:r>
              <w:rPr>
                <w:rFonts w:ascii="仿宋" w:eastAsia="仿宋" w:hAnsi="仿宋" w:cs="仿宋" w:hint="eastAsia"/>
                <w:sz w:val="24"/>
                <w:shd w:val="clear" w:color="FFFFFF" w:fill="D9D9D9"/>
              </w:rPr>
              <w:t>（三）合同原件或复印件。</w:t>
            </w:r>
          </w:p>
        </w:tc>
        <w:tc>
          <w:tcPr>
            <w:tcW w:w="1350"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非长江经济带地区（上海、江苏、浙江、安徽、江西、湖北、湖南、重庆、四川、贵州、宁波、云南以外地区）的纳税人提交</w:t>
            </w:r>
          </w:p>
        </w:tc>
        <w:tc>
          <w:tcPr>
            <w:tcW w:w="2100" w:type="dxa"/>
            <w:shd w:val="clear" w:color="auto" w:fill="auto"/>
            <w:vAlign w:val="center"/>
          </w:tcPr>
          <w:p w:rsidR="00013EC7" w:rsidRDefault="00013EC7">
            <w:pPr>
              <w:spacing w:line="300" w:lineRule="exact"/>
              <w:jc w:val="left"/>
              <w:rPr>
                <w:rFonts w:ascii="仿宋" w:eastAsia="仿宋" w:hAnsi="仿宋" w:cs="仿宋"/>
                <w:sz w:val="24"/>
              </w:rPr>
            </w:pPr>
          </w:p>
        </w:tc>
        <w:tc>
          <w:tcPr>
            <w:tcW w:w="1092" w:type="dxa"/>
            <w:vMerge/>
            <w:shd w:val="clear" w:color="auto" w:fill="auto"/>
            <w:vAlign w:val="center"/>
          </w:tcPr>
          <w:p w:rsidR="00013EC7" w:rsidRDefault="00013EC7">
            <w:pPr>
              <w:spacing w:line="300" w:lineRule="exact"/>
              <w:jc w:val="left"/>
              <w:rPr>
                <w:rFonts w:ascii="仿宋" w:eastAsia="仿宋" w:hAnsi="仿宋" w:cs="仿宋"/>
                <w:sz w:val="24"/>
              </w:rPr>
            </w:pPr>
          </w:p>
        </w:tc>
        <w:tc>
          <w:tcPr>
            <w:tcW w:w="2523" w:type="dxa"/>
            <w:vMerge/>
            <w:vAlign w:val="center"/>
          </w:tcPr>
          <w:p w:rsidR="00013EC7" w:rsidRDefault="00013EC7">
            <w:pPr>
              <w:spacing w:line="300" w:lineRule="exact"/>
              <w:jc w:val="left"/>
              <w:rPr>
                <w:rFonts w:ascii="仿宋" w:eastAsia="仿宋" w:hAnsi="仿宋" w:cs="仿宋"/>
                <w:b/>
                <w:sz w:val="24"/>
              </w:rPr>
            </w:pPr>
          </w:p>
        </w:tc>
        <w:tc>
          <w:tcPr>
            <w:tcW w:w="868" w:type="dxa"/>
            <w:vMerge/>
            <w:vAlign w:val="center"/>
          </w:tcPr>
          <w:p w:rsidR="00013EC7" w:rsidRDefault="00013EC7">
            <w:pPr>
              <w:spacing w:line="300" w:lineRule="exact"/>
              <w:jc w:val="left"/>
              <w:rPr>
                <w:rFonts w:ascii="仿宋" w:eastAsia="仿宋" w:hAnsi="仿宋" w:cs="仿宋"/>
                <w:sz w:val="24"/>
              </w:rPr>
            </w:pPr>
          </w:p>
        </w:tc>
        <w:tc>
          <w:tcPr>
            <w:tcW w:w="798" w:type="dxa"/>
            <w:vMerge/>
            <w:vAlign w:val="center"/>
          </w:tcPr>
          <w:p w:rsidR="00013EC7" w:rsidRDefault="00013EC7">
            <w:pPr>
              <w:spacing w:line="300" w:lineRule="exact"/>
              <w:jc w:val="left"/>
              <w:rPr>
                <w:rFonts w:ascii="仿宋" w:eastAsia="仿宋" w:hAnsi="仿宋" w:cs="仿宋"/>
                <w:sz w:val="24"/>
              </w:rPr>
            </w:pPr>
          </w:p>
        </w:tc>
        <w:tc>
          <w:tcPr>
            <w:tcW w:w="958" w:type="dxa"/>
            <w:vMerge/>
            <w:vAlign w:val="center"/>
          </w:tcPr>
          <w:p w:rsidR="00013EC7" w:rsidRDefault="00013EC7">
            <w:pPr>
              <w:spacing w:line="300" w:lineRule="exact"/>
              <w:jc w:val="left"/>
              <w:rPr>
                <w:rFonts w:ascii="仿宋" w:eastAsia="仿宋" w:hAnsi="仿宋" w:cs="仿宋"/>
                <w:sz w:val="24"/>
              </w:rPr>
            </w:pPr>
          </w:p>
        </w:tc>
        <w:tc>
          <w:tcPr>
            <w:tcW w:w="1104" w:type="dxa"/>
            <w:vMerge/>
            <w:vAlign w:val="center"/>
          </w:tcPr>
          <w:p w:rsidR="00013EC7" w:rsidRDefault="00013EC7">
            <w:pPr>
              <w:spacing w:line="300" w:lineRule="exact"/>
              <w:jc w:val="left"/>
              <w:rPr>
                <w:rFonts w:ascii="仿宋" w:eastAsia="仿宋" w:hAnsi="仿宋" w:cs="仿宋"/>
                <w:sz w:val="24"/>
              </w:rPr>
            </w:pPr>
          </w:p>
        </w:tc>
        <w:tc>
          <w:tcPr>
            <w:tcW w:w="1476" w:type="dxa"/>
            <w:vMerge/>
            <w:vAlign w:val="center"/>
          </w:tcPr>
          <w:p w:rsidR="00013EC7" w:rsidRDefault="00013EC7">
            <w:pPr>
              <w:spacing w:line="300" w:lineRule="exact"/>
              <w:jc w:val="left"/>
              <w:rPr>
                <w:rFonts w:ascii="仿宋" w:eastAsia="仿宋" w:hAnsi="仿宋" w:cs="仿宋"/>
                <w:sz w:val="24"/>
              </w:rPr>
            </w:pPr>
          </w:p>
        </w:tc>
      </w:tr>
      <w:tr w:rsidR="00013EC7" w:rsidTr="004616C1">
        <w:trPr>
          <w:trHeight w:val="1577"/>
          <w:jc w:val="center"/>
        </w:trPr>
        <w:tc>
          <w:tcPr>
            <w:tcW w:w="1250" w:type="dxa"/>
            <w:vMerge/>
            <w:vAlign w:val="center"/>
          </w:tcPr>
          <w:p w:rsidR="00013EC7" w:rsidRDefault="00013EC7">
            <w:pPr>
              <w:spacing w:line="300" w:lineRule="exact"/>
              <w:jc w:val="left"/>
              <w:rPr>
                <w:rFonts w:ascii="仿宋" w:eastAsia="仿宋" w:hAnsi="仿宋" w:cs="仿宋"/>
                <w:sz w:val="24"/>
              </w:rPr>
            </w:pPr>
          </w:p>
        </w:tc>
        <w:tc>
          <w:tcPr>
            <w:tcW w:w="1316" w:type="dxa"/>
            <w:vMerge/>
            <w:vAlign w:val="center"/>
          </w:tcPr>
          <w:p w:rsidR="00013EC7" w:rsidRDefault="00013EC7">
            <w:pPr>
              <w:spacing w:line="310" w:lineRule="exact"/>
              <w:jc w:val="left"/>
              <w:rPr>
                <w:rFonts w:ascii="仿宋" w:eastAsia="仿宋" w:hAnsi="仿宋" w:cs="仿宋"/>
                <w:sz w:val="24"/>
              </w:rPr>
            </w:pPr>
          </w:p>
        </w:tc>
        <w:tc>
          <w:tcPr>
            <w:tcW w:w="3361" w:type="dxa"/>
            <w:vMerge/>
            <w:vAlign w:val="center"/>
          </w:tcPr>
          <w:p w:rsidR="00013EC7" w:rsidRDefault="00013EC7">
            <w:pPr>
              <w:spacing w:line="310" w:lineRule="exact"/>
              <w:jc w:val="left"/>
              <w:rPr>
                <w:rFonts w:ascii="仿宋" w:eastAsia="仿宋" w:hAnsi="仿宋" w:cs="仿宋"/>
                <w:sz w:val="24"/>
              </w:rPr>
            </w:pPr>
          </w:p>
        </w:tc>
        <w:tc>
          <w:tcPr>
            <w:tcW w:w="2508" w:type="dxa"/>
            <w:shd w:val="clear" w:color="auto" w:fill="auto"/>
            <w:vAlign w:val="center"/>
          </w:tcPr>
          <w:p w:rsidR="00013EC7" w:rsidRDefault="00575CDB">
            <w:pPr>
              <w:spacing w:line="300" w:lineRule="exact"/>
              <w:jc w:val="left"/>
              <w:rPr>
                <w:rFonts w:ascii="仿宋" w:eastAsia="仿宋" w:hAnsi="仿宋" w:cs="仿宋"/>
                <w:sz w:val="24"/>
                <w:shd w:val="clear" w:color="FFFFFF" w:fill="D9D9D9"/>
              </w:rPr>
            </w:pPr>
            <w:r>
              <w:rPr>
                <w:rFonts w:ascii="仿宋" w:eastAsia="仿宋" w:hAnsi="仿宋" w:cs="仿宋" w:hint="eastAsia"/>
                <w:sz w:val="24"/>
                <w:shd w:val="clear" w:color="FFFFFF" w:fill="D9D9D9"/>
              </w:rPr>
              <w:t>（四）外出经营活动情况说明。</w:t>
            </w:r>
          </w:p>
        </w:tc>
        <w:tc>
          <w:tcPr>
            <w:tcW w:w="1350" w:type="dxa"/>
            <w:vMerge/>
            <w:vAlign w:val="center"/>
          </w:tcPr>
          <w:p w:rsidR="00013EC7" w:rsidRDefault="00013EC7">
            <w:pPr>
              <w:spacing w:line="300" w:lineRule="exact"/>
              <w:jc w:val="left"/>
              <w:rPr>
                <w:rFonts w:ascii="仿宋" w:eastAsia="仿宋" w:hAnsi="仿宋" w:cs="仿宋"/>
                <w:sz w:val="24"/>
              </w:rPr>
            </w:pPr>
          </w:p>
        </w:tc>
        <w:tc>
          <w:tcPr>
            <w:tcW w:w="2100" w:type="dxa"/>
            <w:shd w:val="clear" w:color="auto" w:fill="auto"/>
            <w:vAlign w:val="center"/>
          </w:tcPr>
          <w:p w:rsidR="00013EC7" w:rsidRDefault="00013EC7">
            <w:pPr>
              <w:spacing w:line="300" w:lineRule="exact"/>
              <w:jc w:val="left"/>
              <w:rPr>
                <w:rFonts w:ascii="仿宋" w:eastAsia="仿宋" w:hAnsi="仿宋" w:cs="仿宋"/>
                <w:sz w:val="24"/>
              </w:rPr>
            </w:pPr>
          </w:p>
        </w:tc>
        <w:tc>
          <w:tcPr>
            <w:tcW w:w="1092" w:type="dxa"/>
            <w:vMerge/>
            <w:shd w:val="clear" w:color="auto" w:fill="auto"/>
            <w:vAlign w:val="center"/>
          </w:tcPr>
          <w:p w:rsidR="00013EC7" w:rsidRDefault="00013EC7">
            <w:pPr>
              <w:spacing w:line="300" w:lineRule="exact"/>
              <w:jc w:val="left"/>
              <w:rPr>
                <w:rFonts w:ascii="仿宋" w:eastAsia="仿宋" w:hAnsi="仿宋" w:cs="仿宋"/>
                <w:sz w:val="24"/>
              </w:rPr>
            </w:pPr>
          </w:p>
        </w:tc>
        <w:tc>
          <w:tcPr>
            <w:tcW w:w="2523" w:type="dxa"/>
            <w:vMerge/>
            <w:vAlign w:val="center"/>
          </w:tcPr>
          <w:p w:rsidR="00013EC7" w:rsidRDefault="00013EC7">
            <w:pPr>
              <w:spacing w:line="300" w:lineRule="exact"/>
              <w:jc w:val="left"/>
              <w:rPr>
                <w:rFonts w:ascii="仿宋" w:eastAsia="仿宋" w:hAnsi="仿宋" w:cs="仿宋"/>
                <w:b/>
                <w:sz w:val="24"/>
              </w:rPr>
            </w:pPr>
          </w:p>
        </w:tc>
        <w:tc>
          <w:tcPr>
            <w:tcW w:w="868" w:type="dxa"/>
            <w:vMerge/>
            <w:vAlign w:val="center"/>
          </w:tcPr>
          <w:p w:rsidR="00013EC7" w:rsidRDefault="00013EC7">
            <w:pPr>
              <w:spacing w:line="300" w:lineRule="exact"/>
              <w:jc w:val="left"/>
              <w:rPr>
                <w:rFonts w:ascii="仿宋" w:eastAsia="仿宋" w:hAnsi="仿宋" w:cs="仿宋"/>
                <w:sz w:val="24"/>
              </w:rPr>
            </w:pPr>
          </w:p>
        </w:tc>
        <w:tc>
          <w:tcPr>
            <w:tcW w:w="798" w:type="dxa"/>
            <w:vMerge/>
            <w:vAlign w:val="center"/>
          </w:tcPr>
          <w:p w:rsidR="00013EC7" w:rsidRDefault="00013EC7">
            <w:pPr>
              <w:spacing w:line="300" w:lineRule="exact"/>
              <w:jc w:val="left"/>
              <w:rPr>
                <w:rFonts w:ascii="仿宋" w:eastAsia="仿宋" w:hAnsi="仿宋" w:cs="仿宋"/>
                <w:sz w:val="24"/>
              </w:rPr>
            </w:pPr>
          </w:p>
        </w:tc>
        <w:tc>
          <w:tcPr>
            <w:tcW w:w="958" w:type="dxa"/>
            <w:vMerge/>
            <w:vAlign w:val="center"/>
          </w:tcPr>
          <w:p w:rsidR="00013EC7" w:rsidRDefault="00013EC7">
            <w:pPr>
              <w:spacing w:line="300" w:lineRule="exact"/>
              <w:jc w:val="left"/>
              <w:rPr>
                <w:rFonts w:ascii="仿宋" w:eastAsia="仿宋" w:hAnsi="仿宋" w:cs="仿宋"/>
                <w:sz w:val="24"/>
              </w:rPr>
            </w:pPr>
          </w:p>
        </w:tc>
        <w:tc>
          <w:tcPr>
            <w:tcW w:w="1104" w:type="dxa"/>
            <w:vMerge/>
            <w:vAlign w:val="center"/>
          </w:tcPr>
          <w:p w:rsidR="00013EC7" w:rsidRDefault="00013EC7">
            <w:pPr>
              <w:spacing w:line="300" w:lineRule="exact"/>
              <w:jc w:val="left"/>
              <w:rPr>
                <w:rFonts w:ascii="仿宋" w:eastAsia="仿宋" w:hAnsi="仿宋" w:cs="仿宋"/>
                <w:sz w:val="24"/>
              </w:rPr>
            </w:pPr>
          </w:p>
        </w:tc>
        <w:tc>
          <w:tcPr>
            <w:tcW w:w="1476" w:type="dxa"/>
            <w:vMerge/>
            <w:vAlign w:val="center"/>
          </w:tcPr>
          <w:p w:rsidR="00013EC7" w:rsidRDefault="00013EC7">
            <w:pPr>
              <w:spacing w:line="300" w:lineRule="exact"/>
              <w:jc w:val="left"/>
              <w:rPr>
                <w:rFonts w:ascii="仿宋" w:eastAsia="仿宋" w:hAnsi="仿宋" w:cs="仿宋"/>
                <w:sz w:val="24"/>
              </w:rPr>
            </w:pPr>
          </w:p>
        </w:tc>
      </w:tr>
    </w:tbl>
    <w:p w:rsidR="00013EC7" w:rsidRDefault="00013EC7">
      <w:pPr>
        <w:rPr>
          <w:rFonts w:eastAsia="方正书宋简体"/>
          <w:szCs w:val="21"/>
        </w:rPr>
      </w:pPr>
    </w:p>
    <w:p w:rsidR="00013EC7" w:rsidRDefault="00013EC7">
      <w:pPr>
        <w:rPr>
          <w:rFonts w:eastAsia="方正书宋简体"/>
          <w:szCs w:val="21"/>
        </w:rPr>
      </w:pPr>
    </w:p>
    <w:p w:rsidR="00013EC7" w:rsidRDefault="005262E6">
      <w:pPr>
        <w:rPr>
          <w:rFonts w:eastAsia="方正书宋简体"/>
          <w:szCs w:val="21"/>
        </w:rPr>
      </w:pPr>
      <w:r>
        <w:object w:dxaOrig="1440" w:dyaOrig="1440">
          <v:shape id="对象 13" o:spid="_x0000_s1194" type="#_x0000_t75" alt="5928676981508729125595" style="position:absolute;left:0;text-align:left;margin-left:491.25pt;margin-top:-8.3pt;width:508.25pt;height:570.55pt;z-index:251580416;mso-wrap-distance-left:9pt;mso-wrap-distance-top:0;mso-wrap-distance-right:9pt;mso-wrap-distance-bottom:0;mso-width-relative:page;mso-height-relative:page">
            <v:imagedata r:id="rId72" o:title="5928676981508729125595"/>
            <w10:wrap type="square"/>
          </v:shape>
          <o:OLEObject Type="Embed" ProgID="Visio.Drawing.11" ShapeID="对象 13" DrawAspect="Content" ObjectID="_1577296170" r:id="rId73"/>
        </w:object>
      </w:r>
      <w:r w:rsidR="00575CDB">
        <w:object w:dxaOrig="8055" w:dyaOrig="10693">
          <v:shape id="_x0000_i1727" type="#_x0000_t75" style="width:402.75pt;height:534.65pt" o:ole="">
            <v:imagedata r:id="rId74" o:title=""/>
          </v:shape>
          <o:OLEObject Type="Embed" ProgID="Visio.Drawing.11" ShapeID="_x0000_i1727" DrawAspect="Content" ObjectID="_1577296113" r:id="rId75"/>
        </w:object>
      </w:r>
      <w:r w:rsidR="00575CDB">
        <w:rPr>
          <w:rFonts w:ascii="宋体" w:hAnsi="宋体" w:cs="仿宋" w:hint="eastAsia"/>
          <w:b/>
          <w:szCs w:val="28"/>
        </w:rPr>
        <w:br w:type="page"/>
      </w:r>
    </w:p>
    <w:p w:rsidR="00013EC7" w:rsidRDefault="00575CDB">
      <w:pPr>
        <w:pStyle w:val="2"/>
      </w:pPr>
      <w:bookmarkStart w:id="93" w:name="_Toc503467377"/>
      <w:bookmarkStart w:id="94" w:name="_Toc28713"/>
      <w:bookmarkStart w:id="95" w:name="_Toc11201"/>
      <w:bookmarkStart w:id="96" w:name="_Toc21248"/>
      <w:r>
        <w:rPr>
          <w:rFonts w:hint="eastAsia"/>
        </w:rPr>
        <w:lastRenderedPageBreak/>
        <w:t>5.2</w:t>
      </w:r>
      <w:r>
        <w:rPr>
          <w:rFonts w:hint="eastAsia"/>
        </w:rPr>
        <w:t>跨区域涉税事项报验登记</w:t>
      </w:r>
      <w:bookmarkEnd w:id="88"/>
      <w:bookmarkEnd w:id="93"/>
      <w:bookmarkEnd w:id="94"/>
      <w:bookmarkEnd w:id="95"/>
      <w:bookmarkEnd w:id="96"/>
    </w:p>
    <w:p w:rsidR="00013EC7" w:rsidRDefault="00575CDB">
      <w:pPr>
        <w:jc w:val="center"/>
        <w:rPr>
          <w:rFonts w:ascii="宋体" w:hAnsi="宋体" w:cs="宋体"/>
          <w:b/>
          <w:bCs/>
          <w:sz w:val="52"/>
          <w:szCs w:val="52"/>
        </w:rPr>
      </w:pPr>
      <w:r>
        <w:rPr>
          <w:rFonts w:ascii="宋体" w:hAnsi="宋体" w:cs="宋体" w:hint="eastAsia"/>
          <w:b/>
          <w:bCs/>
          <w:sz w:val="52"/>
          <w:szCs w:val="52"/>
        </w:rPr>
        <w:t>全省“最多跑一次”事项“八统一”梳理表</w:t>
      </w:r>
    </w:p>
    <w:tbl>
      <w:tblPr>
        <w:tblW w:w="20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1250"/>
        <w:gridCol w:w="1142"/>
        <w:gridCol w:w="3283"/>
        <w:gridCol w:w="4252"/>
        <w:gridCol w:w="1276"/>
        <w:gridCol w:w="1559"/>
        <w:gridCol w:w="1134"/>
        <w:gridCol w:w="1843"/>
        <w:gridCol w:w="851"/>
        <w:gridCol w:w="850"/>
        <w:gridCol w:w="992"/>
        <w:gridCol w:w="993"/>
        <w:gridCol w:w="1279"/>
      </w:tblGrid>
      <w:tr w:rsidR="00013EC7" w:rsidTr="004616C1">
        <w:trPr>
          <w:trHeight w:val="340"/>
          <w:tblHeader/>
          <w:jc w:val="center"/>
        </w:trPr>
        <w:tc>
          <w:tcPr>
            <w:tcW w:w="1250"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主项名称</w:t>
            </w:r>
          </w:p>
        </w:tc>
        <w:tc>
          <w:tcPr>
            <w:tcW w:w="1142"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子项名称</w:t>
            </w:r>
          </w:p>
        </w:tc>
        <w:tc>
          <w:tcPr>
            <w:tcW w:w="3283"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经办依据</w:t>
            </w:r>
          </w:p>
        </w:tc>
        <w:tc>
          <w:tcPr>
            <w:tcW w:w="5528"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原经办所需材料</w:t>
            </w:r>
          </w:p>
        </w:tc>
        <w:tc>
          <w:tcPr>
            <w:tcW w:w="4536" w:type="dxa"/>
            <w:gridSpan w:val="3"/>
            <w:vAlign w:val="center"/>
          </w:tcPr>
          <w:p w:rsidR="00013EC7" w:rsidRDefault="00575CDB">
            <w:pPr>
              <w:spacing w:line="280" w:lineRule="exact"/>
              <w:jc w:val="center"/>
              <w:rPr>
                <w:rFonts w:ascii="黑体" w:eastAsia="黑体"/>
                <w:sz w:val="24"/>
              </w:rPr>
            </w:pPr>
            <w:r>
              <w:rPr>
                <w:rFonts w:ascii="黑体" w:eastAsia="黑体" w:hint="eastAsia"/>
                <w:sz w:val="24"/>
              </w:rPr>
              <w:t>梳理后经办所需材料</w:t>
            </w:r>
          </w:p>
        </w:tc>
        <w:tc>
          <w:tcPr>
            <w:tcW w:w="1701"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办理时限</w:t>
            </w:r>
          </w:p>
        </w:tc>
        <w:tc>
          <w:tcPr>
            <w:tcW w:w="992"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是否实现跑零次</w:t>
            </w:r>
          </w:p>
        </w:tc>
        <w:tc>
          <w:tcPr>
            <w:tcW w:w="993"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省厅对口</w:t>
            </w:r>
          </w:p>
          <w:p w:rsidR="00013EC7" w:rsidRDefault="00575CDB">
            <w:pPr>
              <w:spacing w:line="280" w:lineRule="exact"/>
              <w:jc w:val="center"/>
              <w:rPr>
                <w:rFonts w:ascii="黑体" w:eastAsia="黑体"/>
                <w:sz w:val="24"/>
              </w:rPr>
            </w:pPr>
            <w:r>
              <w:rPr>
                <w:rFonts w:ascii="黑体" w:eastAsia="黑体" w:hint="eastAsia"/>
                <w:sz w:val="24"/>
              </w:rPr>
              <w:t>指导处室</w:t>
            </w:r>
          </w:p>
          <w:p w:rsidR="00013EC7" w:rsidRDefault="00575CDB">
            <w:pPr>
              <w:spacing w:line="280" w:lineRule="exact"/>
              <w:jc w:val="center"/>
              <w:rPr>
                <w:rFonts w:ascii="黑体" w:eastAsia="黑体"/>
                <w:sz w:val="24"/>
              </w:rPr>
            </w:pPr>
            <w:r>
              <w:rPr>
                <w:rFonts w:ascii="黑体" w:eastAsia="黑体" w:hint="eastAsia"/>
                <w:sz w:val="24"/>
              </w:rPr>
              <w:t>（单位）</w:t>
            </w:r>
          </w:p>
        </w:tc>
        <w:tc>
          <w:tcPr>
            <w:tcW w:w="1279"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进一步精简、规范建议</w:t>
            </w:r>
          </w:p>
        </w:tc>
      </w:tr>
      <w:tr w:rsidR="00013EC7" w:rsidTr="004616C1">
        <w:trPr>
          <w:trHeight w:val="340"/>
          <w:tblHeader/>
          <w:jc w:val="center"/>
        </w:trPr>
        <w:tc>
          <w:tcPr>
            <w:tcW w:w="1250" w:type="dxa"/>
            <w:vMerge/>
            <w:vAlign w:val="center"/>
          </w:tcPr>
          <w:p w:rsidR="00013EC7" w:rsidRDefault="00013EC7">
            <w:pPr>
              <w:rPr>
                <w:sz w:val="24"/>
              </w:rPr>
            </w:pPr>
          </w:p>
        </w:tc>
        <w:tc>
          <w:tcPr>
            <w:tcW w:w="1142" w:type="dxa"/>
            <w:vMerge/>
          </w:tcPr>
          <w:p w:rsidR="00013EC7" w:rsidRDefault="00013EC7">
            <w:pPr>
              <w:rPr>
                <w:sz w:val="24"/>
              </w:rPr>
            </w:pPr>
          </w:p>
        </w:tc>
        <w:tc>
          <w:tcPr>
            <w:tcW w:w="3283" w:type="dxa"/>
            <w:vMerge/>
          </w:tcPr>
          <w:p w:rsidR="00013EC7" w:rsidRDefault="00013EC7">
            <w:pPr>
              <w:rPr>
                <w:sz w:val="24"/>
              </w:rPr>
            </w:pPr>
          </w:p>
        </w:tc>
        <w:tc>
          <w:tcPr>
            <w:tcW w:w="4252" w:type="dxa"/>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276"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1559" w:type="dxa"/>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134"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1843" w:type="dxa"/>
            <w:vAlign w:val="center"/>
          </w:tcPr>
          <w:p w:rsidR="00013EC7" w:rsidRDefault="00575CDB">
            <w:pPr>
              <w:spacing w:line="280" w:lineRule="exact"/>
              <w:jc w:val="center"/>
              <w:rPr>
                <w:rFonts w:ascii="黑体" w:eastAsia="黑体"/>
                <w:sz w:val="24"/>
              </w:rPr>
            </w:pPr>
            <w:r>
              <w:rPr>
                <w:rFonts w:ascii="黑体" w:eastAsia="黑体" w:hint="eastAsia"/>
                <w:sz w:val="24"/>
              </w:rPr>
              <w:t>办理方式及材料</w:t>
            </w:r>
          </w:p>
          <w:p w:rsidR="00013EC7" w:rsidRDefault="00575CDB">
            <w:pPr>
              <w:spacing w:line="280" w:lineRule="exact"/>
              <w:jc w:val="center"/>
              <w:rPr>
                <w:rFonts w:ascii="黑体" w:eastAsia="黑体"/>
                <w:sz w:val="24"/>
              </w:rPr>
            </w:pPr>
            <w:r>
              <w:rPr>
                <w:rFonts w:ascii="黑体" w:eastAsia="黑体" w:hint="eastAsia"/>
                <w:sz w:val="24"/>
              </w:rPr>
              <w:t>信息获取方式说明</w:t>
            </w:r>
          </w:p>
        </w:tc>
        <w:tc>
          <w:tcPr>
            <w:tcW w:w="851" w:type="dxa"/>
            <w:vAlign w:val="center"/>
          </w:tcPr>
          <w:p w:rsidR="00013EC7" w:rsidRDefault="00575CDB">
            <w:pPr>
              <w:spacing w:line="280" w:lineRule="exact"/>
              <w:jc w:val="center"/>
              <w:rPr>
                <w:rFonts w:ascii="黑体" w:eastAsia="黑体"/>
                <w:sz w:val="24"/>
              </w:rPr>
            </w:pPr>
            <w:r>
              <w:rPr>
                <w:rFonts w:ascii="黑体" w:eastAsia="黑体" w:hint="eastAsia"/>
                <w:sz w:val="24"/>
              </w:rPr>
              <w:t>优化前</w:t>
            </w:r>
          </w:p>
        </w:tc>
        <w:tc>
          <w:tcPr>
            <w:tcW w:w="850" w:type="dxa"/>
            <w:vAlign w:val="center"/>
          </w:tcPr>
          <w:p w:rsidR="00013EC7" w:rsidRDefault="00575CDB">
            <w:pPr>
              <w:spacing w:line="280" w:lineRule="exact"/>
              <w:jc w:val="center"/>
              <w:rPr>
                <w:rFonts w:ascii="黑体" w:eastAsia="黑体"/>
                <w:sz w:val="24"/>
              </w:rPr>
            </w:pPr>
            <w:r>
              <w:rPr>
                <w:rFonts w:ascii="黑体" w:eastAsia="黑体" w:hint="eastAsia"/>
                <w:sz w:val="24"/>
              </w:rPr>
              <w:t>优化后</w:t>
            </w:r>
          </w:p>
        </w:tc>
        <w:tc>
          <w:tcPr>
            <w:tcW w:w="992" w:type="dxa"/>
            <w:vMerge/>
            <w:vAlign w:val="center"/>
          </w:tcPr>
          <w:p w:rsidR="00013EC7" w:rsidRDefault="00013EC7">
            <w:pPr>
              <w:rPr>
                <w:sz w:val="24"/>
              </w:rPr>
            </w:pPr>
          </w:p>
        </w:tc>
        <w:tc>
          <w:tcPr>
            <w:tcW w:w="993" w:type="dxa"/>
            <w:vMerge/>
            <w:vAlign w:val="center"/>
          </w:tcPr>
          <w:p w:rsidR="00013EC7" w:rsidRDefault="00013EC7">
            <w:pPr>
              <w:rPr>
                <w:sz w:val="24"/>
              </w:rPr>
            </w:pPr>
          </w:p>
        </w:tc>
        <w:tc>
          <w:tcPr>
            <w:tcW w:w="1279" w:type="dxa"/>
            <w:vMerge/>
            <w:vAlign w:val="center"/>
          </w:tcPr>
          <w:p w:rsidR="00013EC7" w:rsidRDefault="00013EC7">
            <w:pPr>
              <w:rPr>
                <w:sz w:val="24"/>
              </w:rPr>
            </w:pPr>
          </w:p>
        </w:tc>
      </w:tr>
      <w:tr w:rsidR="00013EC7" w:rsidTr="004616C1">
        <w:trPr>
          <w:trHeight w:val="3250"/>
          <w:jc w:val="center"/>
        </w:trPr>
        <w:tc>
          <w:tcPr>
            <w:tcW w:w="1250"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5跨区域涉税事项</w:t>
            </w:r>
          </w:p>
        </w:tc>
        <w:tc>
          <w:tcPr>
            <w:tcW w:w="1142" w:type="dxa"/>
            <w:vMerge w:val="restart"/>
            <w:vAlign w:val="center"/>
          </w:tcPr>
          <w:p w:rsidR="00013EC7" w:rsidRDefault="00575CDB">
            <w:pPr>
              <w:spacing w:line="310" w:lineRule="exact"/>
              <w:jc w:val="left"/>
              <w:rPr>
                <w:rFonts w:ascii="仿宋" w:eastAsia="仿宋" w:hAnsi="仿宋" w:cs="仿宋"/>
                <w:sz w:val="24"/>
              </w:rPr>
            </w:pPr>
            <w:r>
              <w:rPr>
                <w:rFonts w:ascii="仿宋" w:eastAsia="仿宋" w:hAnsi="仿宋" w:cs="仿宋" w:hint="eastAsia"/>
                <w:sz w:val="24"/>
              </w:rPr>
              <w:t>5.2跨区域涉税事项报验登记</w:t>
            </w:r>
          </w:p>
        </w:tc>
        <w:tc>
          <w:tcPr>
            <w:tcW w:w="3283" w:type="dxa"/>
            <w:vMerge w:val="restart"/>
            <w:vAlign w:val="center"/>
          </w:tcPr>
          <w:p w:rsidR="00013EC7" w:rsidRDefault="00575CDB">
            <w:pPr>
              <w:spacing w:line="310" w:lineRule="exact"/>
              <w:jc w:val="left"/>
              <w:rPr>
                <w:rFonts w:ascii="仿宋" w:eastAsia="仿宋" w:hAnsi="仿宋" w:cs="仿宋"/>
                <w:sz w:val="24"/>
              </w:rPr>
            </w:pPr>
            <w:r>
              <w:rPr>
                <w:rFonts w:ascii="仿宋" w:eastAsia="仿宋" w:hAnsi="仿宋" w:cs="仿宋" w:hint="eastAsia"/>
                <w:sz w:val="24"/>
              </w:rPr>
              <w:t>（一） 《中华人民共和国税收征收管理法实施细则》（2002年中华人民共和国国务院令第362号）第二十一条。</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（二）《国家税务总局关于修改〈税务登记管理办法〉的决定》（2014年国家税务总局令第36号）第三十二条、第三十三条。</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（三）《国家税务总局关于换发税务登记证件有关问题的补充通知》（国税发〔2006〕104号）第三条。</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（四）《国家税务总局关于进一步完善税务登记管理有关问题的公告》（国家税务总局公告2011年第21号）第三条。</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（五）《国家税务总局关于发布&lt;纳税人跨县（市、区）提供建筑服务增值税征收管理暂行办法&gt;的公告》（2016年第17号）全文。</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（六）《国家税务总局关于进一步明确营改增有关征管问题的公告》（2017年第11号）全文。</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（七） 《国家税务总局关于创新跨区域涉税事项报验管理制度的通知》（税总发〔2017〕103号）全文。</w:t>
            </w:r>
          </w:p>
        </w:tc>
        <w:tc>
          <w:tcPr>
            <w:tcW w:w="4252" w:type="dxa"/>
            <w:vAlign w:val="center"/>
          </w:tcPr>
          <w:p w:rsidR="00013EC7" w:rsidRDefault="00575CDB">
            <w:pPr>
              <w:spacing w:line="300" w:lineRule="exact"/>
              <w:jc w:val="left"/>
              <w:rPr>
                <w:rFonts w:ascii="仿宋" w:eastAsia="仿宋" w:hAnsi="仿宋" w:cs="仿宋"/>
                <w:sz w:val="24"/>
                <w:shd w:val="clear" w:color="FFFFFF" w:fill="D9D9D9"/>
              </w:rPr>
            </w:pPr>
            <w:r>
              <w:rPr>
                <w:rFonts w:ascii="仿宋" w:eastAsia="仿宋" w:hAnsi="仿宋" w:cs="仿宋" w:hint="eastAsia"/>
                <w:kern w:val="1"/>
                <w:sz w:val="24"/>
              </w:rPr>
              <w:t>（一）</w:t>
            </w:r>
            <w:r>
              <w:rPr>
                <w:rFonts w:ascii="仿宋" w:eastAsia="仿宋" w:hAnsi="仿宋" w:cs="仿宋" w:hint="eastAsia"/>
                <w:sz w:val="24"/>
                <w:shd w:val="clear" w:color="FFFFFF" w:fill="D9D9D9"/>
              </w:rPr>
              <w:t>（A05008）《外出经营活动税收管理证明》。</w:t>
            </w:r>
          </w:p>
          <w:p w:rsidR="00013EC7" w:rsidRDefault="00013EC7">
            <w:pPr>
              <w:spacing w:line="300" w:lineRule="exact"/>
              <w:jc w:val="left"/>
              <w:rPr>
                <w:rFonts w:ascii="仿宋" w:eastAsia="仿宋" w:hAnsi="仿宋" w:cs="仿宋"/>
                <w:sz w:val="24"/>
              </w:rPr>
            </w:pPr>
          </w:p>
        </w:tc>
        <w:tc>
          <w:tcPr>
            <w:tcW w:w="1276"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纳税人提交</w:t>
            </w:r>
          </w:p>
        </w:tc>
        <w:tc>
          <w:tcPr>
            <w:tcW w:w="1559"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（一）《跨区域涉税事项报告表》。</w:t>
            </w:r>
          </w:p>
        </w:tc>
        <w:tc>
          <w:tcPr>
            <w:tcW w:w="1134" w:type="dxa"/>
            <w:vMerge w:val="restart"/>
            <w:vAlign w:val="center"/>
          </w:tcPr>
          <w:p w:rsidR="00013EC7" w:rsidRDefault="00575CDB">
            <w:pPr>
              <w:spacing w:line="300" w:lineRule="exact"/>
              <w:jc w:val="left"/>
              <w:rPr>
                <w:rFonts w:ascii="仿宋" w:eastAsia="仿宋" w:hAnsi="仿宋" w:cs="仿宋"/>
                <w:bCs/>
                <w:iCs/>
                <w:sz w:val="24"/>
              </w:rPr>
            </w:pPr>
            <w:r>
              <w:rPr>
                <w:rFonts w:ascii="仿宋" w:eastAsia="仿宋" w:hAnsi="仿宋" w:cs="仿宋" w:hint="eastAsia"/>
                <w:bCs/>
                <w:iCs/>
                <w:sz w:val="24"/>
              </w:rPr>
              <w:t>纳税人提交</w:t>
            </w:r>
          </w:p>
        </w:tc>
        <w:tc>
          <w:tcPr>
            <w:tcW w:w="1843"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纳税人提交书面材料。</w:t>
            </w:r>
          </w:p>
          <w:p w:rsidR="00013EC7" w:rsidRDefault="00575CDB">
            <w:pPr>
              <w:spacing w:line="300" w:lineRule="exact"/>
              <w:jc w:val="left"/>
              <w:rPr>
                <w:rFonts w:ascii="仿宋" w:eastAsia="仿宋" w:hAnsi="仿宋" w:cs="仿宋"/>
                <w:sz w:val="24"/>
              </w:rPr>
            </w:pPr>
            <w:r>
              <w:rPr>
                <w:rFonts w:ascii="仿宋" w:eastAsia="仿宋" w:hAnsi="仿宋" w:cs="仿宋" w:hint="eastAsia"/>
                <w:b/>
                <w:sz w:val="24"/>
              </w:rPr>
              <w:t>网上办理：</w:t>
            </w:r>
            <w:r>
              <w:rPr>
                <w:rFonts w:ascii="仿宋" w:eastAsia="仿宋" w:hAnsi="仿宋" w:cs="仿宋" w:hint="eastAsia"/>
                <w:sz w:val="24"/>
              </w:rPr>
              <w:t>登录浙江国税电子税务局（网址：http://etax.zjtax.gov.cn/</w:t>
            </w:r>
          </w:p>
          <w:p w:rsidR="00013EC7" w:rsidRDefault="00575CDB">
            <w:pPr>
              <w:spacing w:line="300" w:lineRule="exact"/>
              <w:jc w:val="left"/>
              <w:rPr>
                <w:rFonts w:ascii="仿宋" w:eastAsia="仿宋" w:hAnsi="仿宋" w:cs="仿宋"/>
                <w:sz w:val="24"/>
              </w:rPr>
            </w:pPr>
            <w:r>
              <w:rPr>
                <w:rFonts w:ascii="仿宋" w:eastAsia="仿宋" w:hAnsi="仿宋" w:cs="仿宋" w:hint="eastAsia"/>
                <w:sz w:val="24"/>
              </w:rPr>
              <w:t>）提交申请。</w:t>
            </w:r>
          </w:p>
          <w:p w:rsidR="00013EC7" w:rsidRDefault="00575CDB">
            <w:pPr>
              <w:spacing w:line="300" w:lineRule="exact"/>
              <w:jc w:val="left"/>
              <w:rPr>
                <w:rFonts w:ascii="仿宋" w:eastAsia="仿宋" w:hAnsi="仿宋" w:cs="仿宋"/>
                <w:sz w:val="24"/>
              </w:rPr>
            </w:pPr>
            <w:r>
              <w:rPr>
                <w:rFonts w:ascii="仿宋" w:eastAsia="仿宋" w:hAnsi="仿宋" w:cs="仿宋" w:hint="eastAsia"/>
                <w:b/>
                <w:sz w:val="24"/>
              </w:rPr>
              <w:t>APP办理：</w:t>
            </w:r>
            <w:r>
              <w:rPr>
                <w:rFonts w:ascii="仿宋" w:eastAsia="仿宋" w:hAnsi="仿宋" w:cs="仿宋" w:hint="eastAsia"/>
                <w:sz w:val="24"/>
              </w:rPr>
              <w:t>登录浙江国税APP提交申请。</w:t>
            </w:r>
          </w:p>
        </w:tc>
        <w:tc>
          <w:tcPr>
            <w:tcW w:w="851" w:type="dxa"/>
            <w:vMerge w:val="restart"/>
            <w:vAlign w:val="center"/>
          </w:tcPr>
          <w:p w:rsidR="00013EC7" w:rsidRDefault="00575CDB">
            <w:pPr>
              <w:jc w:val="left"/>
              <w:rPr>
                <w:rFonts w:ascii="仿宋" w:eastAsia="仿宋" w:hAnsi="仿宋" w:cs="仿宋"/>
                <w:sz w:val="24"/>
              </w:rPr>
            </w:pPr>
            <w:r>
              <w:rPr>
                <w:rFonts w:ascii="仿宋" w:eastAsia="仿宋" w:hAnsi="仿宋" w:cs="仿宋" w:hint="eastAsia"/>
                <w:sz w:val="24"/>
              </w:rPr>
              <w:t>即时办结</w:t>
            </w:r>
          </w:p>
        </w:tc>
        <w:tc>
          <w:tcPr>
            <w:tcW w:w="850" w:type="dxa"/>
            <w:vMerge w:val="restart"/>
            <w:vAlign w:val="center"/>
          </w:tcPr>
          <w:p w:rsidR="00013EC7" w:rsidRDefault="00575CDB">
            <w:pPr>
              <w:jc w:val="left"/>
              <w:rPr>
                <w:rFonts w:ascii="仿宋" w:eastAsia="仿宋" w:hAnsi="仿宋" w:cs="仿宋"/>
                <w:sz w:val="24"/>
              </w:rPr>
            </w:pPr>
            <w:r>
              <w:rPr>
                <w:rFonts w:ascii="仿宋" w:eastAsia="仿宋" w:hAnsi="仿宋" w:cs="仿宋" w:hint="eastAsia"/>
                <w:sz w:val="24"/>
              </w:rPr>
              <w:t>即时办结</w:t>
            </w:r>
          </w:p>
        </w:tc>
        <w:tc>
          <w:tcPr>
            <w:tcW w:w="992" w:type="dxa"/>
            <w:vMerge w:val="restart"/>
            <w:vAlign w:val="center"/>
          </w:tcPr>
          <w:p w:rsidR="00013EC7" w:rsidRDefault="00575CDB">
            <w:pPr>
              <w:jc w:val="left"/>
              <w:rPr>
                <w:rFonts w:ascii="仿宋" w:eastAsia="仿宋" w:hAnsi="仿宋" w:cs="仿宋"/>
                <w:sz w:val="24"/>
              </w:rPr>
            </w:pPr>
            <w:r>
              <w:rPr>
                <w:rFonts w:ascii="仿宋" w:eastAsia="仿宋" w:hAnsi="仿宋" w:cs="仿宋" w:hint="eastAsia"/>
                <w:sz w:val="24"/>
              </w:rPr>
              <w:t>是</w:t>
            </w:r>
          </w:p>
        </w:tc>
        <w:tc>
          <w:tcPr>
            <w:tcW w:w="993" w:type="dxa"/>
            <w:vMerge w:val="restart"/>
            <w:vAlign w:val="center"/>
          </w:tcPr>
          <w:p w:rsidR="00013EC7" w:rsidRDefault="00575CDB">
            <w:pPr>
              <w:jc w:val="left"/>
              <w:rPr>
                <w:rFonts w:ascii="仿宋" w:eastAsia="仿宋" w:hAnsi="仿宋" w:cs="仿宋"/>
                <w:sz w:val="24"/>
              </w:rPr>
            </w:pPr>
            <w:r>
              <w:rPr>
                <w:rFonts w:ascii="仿宋" w:eastAsia="仿宋" w:hAnsi="仿宋" w:cs="仿宋" w:hint="eastAsia"/>
                <w:sz w:val="24"/>
              </w:rPr>
              <w:t>征管科技处</w:t>
            </w:r>
          </w:p>
        </w:tc>
        <w:tc>
          <w:tcPr>
            <w:tcW w:w="1279" w:type="dxa"/>
            <w:vMerge w:val="restart"/>
            <w:vAlign w:val="center"/>
          </w:tcPr>
          <w:p w:rsidR="00013EC7" w:rsidRDefault="00013EC7">
            <w:pPr>
              <w:spacing w:line="300" w:lineRule="exact"/>
              <w:jc w:val="left"/>
              <w:rPr>
                <w:rFonts w:ascii="仿宋" w:eastAsia="仿宋" w:hAnsi="仿宋" w:cs="仿宋"/>
                <w:sz w:val="24"/>
              </w:rPr>
            </w:pPr>
          </w:p>
        </w:tc>
      </w:tr>
      <w:tr w:rsidR="00013EC7" w:rsidTr="004616C1">
        <w:trPr>
          <w:trHeight w:val="1162"/>
          <w:jc w:val="center"/>
        </w:trPr>
        <w:tc>
          <w:tcPr>
            <w:tcW w:w="1250" w:type="dxa"/>
            <w:vMerge/>
            <w:textDirection w:val="tbRlV"/>
            <w:vAlign w:val="center"/>
          </w:tcPr>
          <w:p w:rsidR="00013EC7" w:rsidRDefault="00013EC7">
            <w:pPr>
              <w:jc w:val="left"/>
              <w:rPr>
                <w:rFonts w:ascii="仿宋" w:eastAsia="仿宋" w:hAnsi="仿宋" w:cs="仿宋"/>
                <w:sz w:val="24"/>
              </w:rPr>
            </w:pPr>
          </w:p>
        </w:tc>
        <w:tc>
          <w:tcPr>
            <w:tcW w:w="1142" w:type="dxa"/>
            <w:vMerge/>
            <w:vAlign w:val="center"/>
          </w:tcPr>
          <w:p w:rsidR="00013EC7" w:rsidRDefault="00013EC7">
            <w:pPr>
              <w:jc w:val="left"/>
              <w:rPr>
                <w:rFonts w:ascii="仿宋" w:eastAsia="仿宋" w:hAnsi="仿宋" w:cs="仿宋"/>
                <w:sz w:val="24"/>
              </w:rPr>
            </w:pPr>
          </w:p>
        </w:tc>
        <w:tc>
          <w:tcPr>
            <w:tcW w:w="3283" w:type="dxa"/>
            <w:vMerge/>
            <w:vAlign w:val="center"/>
          </w:tcPr>
          <w:p w:rsidR="00013EC7" w:rsidRDefault="00013EC7">
            <w:pPr>
              <w:jc w:val="left"/>
              <w:rPr>
                <w:rFonts w:ascii="仿宋" w:eastAsia="仿宋" w:hAnsi="仿宋" w:cs="仿宋"/>
                <w:sz w:val="24"/>
              </w:rPr>
            </w:pPr>
          </w:p>
        </w:tc>
        <w:tc>
          <w:tcPr>
            <w:tcW w:w="4252" w:type="dxa"/>
            <w:vAlign w:val="center"/>
          </w:tcPr>
          <w:p w:rsidR="00013EC7" w:rsidRDefault="00575CDB">
            <w:pPr>
              <w:spacing w:line="300" w:lineRule="exact"/>
              <w:jc w:val="left"/>
              <w:rPr>
                <w:rFonts w:ascii="仿宋" w:eastAsia="仿宋" w:hAnsi="仿宋" w:cs="仿宋"/>
                <w:sz w:val="24"/>
                <w:shd w:val="clear" w:color="FFFFFF" w:fill="D9D9D9"/>
              </w:rPr>
            </w:pPr>
            <w:r>
              <w:rPr>
                <w:rFonts w:ascii="仿宋" w:eastAsia="仿宋" w:hAnsi="仿宋" w:cs="仿宋" w:hint="eastAsia"/>
                <w:sz w:val="24"/>
                <w:shd w:val="clear" w:color="FFFFFF" w:fill="D9D9D9"/>
              </w:rPr>
              <w:t>（二）建筑安装行业的纳税人还需提供外出经营合同原件及复印件（加盖公章）。</w:t>
            </w:r>
          </w:p>
          <w:p w:rsidR="00013EC7" w:rsidRDefault="00575CDB">
            <w:pPr>
              <w:spacing w:line="300" w:lineRule="exact"/>
              <w:jc w:val="left"/>
              <w:rPr>
                <w:rFonts w:ascii="仿宋" w:eastAsia="仿宋" w:hAnsi="仿宋" w:cs="仿宋"/>
                <w:sz w:val="24"/>
                <w:shd w:val="clear" w:color="FFFFFF" w:fill="D9D9D9"/>
              </w:rPr>
            </w:pPr>
            <w:r>
              <w:rPr>
                <w:rFonts w:ascii="仿宋" w:eastAsia="仿宋" w:hAnsi="仿宋" w:cs="仿宋" w:hint="eastAsia"/>
                <w:sz w:val="24"/>
                <w:shd w:val="clear" w:color="FFFFFF" w:fill="D9D9D9"/>
              </w:rPr>
              <w:t>注：自2017年6月20日起在长江经济带地区（上海、江苏、浙江、安徽、江西、湖北、湖南、重庆、四川、贵州、宁波、云南）开展跨省（市）《外管证》电子化试点。对机构所在地在长江经济带地区的纳税人，在长江经济带范围内跨省（市）开展外出经营活动的，税务机关按照试点工作要求为其提供《外管证》电子化办理服务。此时，纳税人可在其于经营地首次办理涉税事宜（如预缴税款、代开发票）时，持税务登记证件向经营地国税机关办理报验登记，无需提供纸质《外管证》、合同原件或复印件以及外出经营活动情况说明等资料。</w:t>
            </w:r>
          </w:p>
        </w:tc>
        <w:tc>
          <w:tcPr>
            <w:tcW w:w="1276" w:type="dxa"/>
            <w:vMerge/>
            <w:vAlign w:val="center"/>
          </w:tcPr>
          <w:p w:rsidR="00013EC7" w:rsidRDefault="00013EC7">
            <w:pPr>
              <w:jc w:val="left"/>
              <w:rPr>
                <w:rFonts w:ascii="仿宋" w:eastAsia="仿宋" w:hAnsi="仿宋" w:cs="仿宋"/>
                <w:sz w:val="24"/>
              </w:rPr>
            </w:pPr>
          </w:p>
        </w:tc>
        <w:tc>
          <w:tcPr>
            <w:tcW w:w="1559" w:type="dxa"/>
            <w:vAlign w:val="center"/>
          </w:tcPr>
          <w:p w:rsidR="00013EC7" w:rsidRDefault="00575CDB">
            <w:pPr>
              <w:spacing w:line="360" w:lineRule="auto"/>
              <w:jc w:val="left"/>
              <w:rPr>
                <w:rFonts w:ascii="仿宋" w:eastAsia="仿宋" w:hAnsi="仿宋" w:cs="仿宋"/>
                <w:sz w:val="24"/>
              </w:rPr>
            </w:pPr>
            <w:r>
              <w:rPr>
                <w:rFonts w:ascii="仿宋" w:eastAsia="仿宋" w:hAnsi="仿宋" w:cs="仿宋" w:hint="eastAsia"/>
                <w:sz w:val="24"/>
              </w:rPr>
              <w:t>（二）加载统一社会信用代码的营业执照（或税务登记证或组织机构代码）。</w:t>
            </w:r>
          </w:p>
          <w:p w:rsidR="00013EC7" w:rsidRDefault="00013EC7">
            <w:pPr>
              <w:spacing w:line="300" w:lineRule="exact"/>
              <w:jc w:val="left"/>
              <w:rPr>
                <w:rFonts w:ascii="仿宋" w:eastAsia="仿宋" w:hAnsi="仿宋" w:cs="仿宋"/>
                <w:sz w:val="24"/>
              </w:rPr>
            </w:pPr>
          </w:p>
        </w:tc>
        <w:tc>
          <w:tcPr>
            <w:tcW w:w="1134" w:type="dxa"/>
            <w:vMerge/>
            <w:vAlign w:val="center"/>
          </w:tcPr>
          <w:p w:rsidR="00013EC7" w:rsidRDefault="00013EC7">
            <w:pPr>
              <w:jc w:val="left"/>
              <w:rPr>
                <w:rFonts w:ascii="仿宋" w:eastAsia="仿宋" w:hAnsi="仿宋" w:cs="仿宋"/>
                <w:sz w:val="24"/>
              </w:rPr>
            </w:pPr>
          </w:p>
        </w:tc>
        <w:tc>
          <w:tcPr>
            <w:tcW w:w="1843" w:type="dxa"/>
            <w:vMerge/>
            <w:vAlign w:val="center"/>
          </w:tcPr>
          <w:p w:rsidR="00013EC7" w:rsidRDefault="00013EC7">
            <w:pPr>
              <w:spacing w:line="300" w:lineRule="exact"/>
              <w:jc w:val="left"/>
              <w:rPr>
                <w:rFonts w:ascii="仿宋" w:eastAsia="仿宋" w:hAnsi="仿宋" w:cs="仿宋"/>
                <w:sz w:val="24"/>
              </w:rPr>
            </w:pPr>
          </w:p>
        </w:tc>
        <w:tc>
          <w:tcPr>
            <w:tcW w:w="851" w:type="dxa"/>
            <w:vMerge/>
            <w:vAlign w:val="center"/>
          </w:tcPr>
          <w:p w:rsidR="00013EC7" w:rsidRDefault="00013EC7">
            <w:pPr>
              <w:jc w:val="left"/>
              <w:rPr>
                <w:rFonts w:ascii="仿宋" w:eastAsia="仿宋" w:hAnsi="仿宋" w:cs="仿宋"/>
                <w:sz w:val="24"/>
              </w:rPr>
            </w:pPr>
          </w:p>
        </w:tc>
        <w:tc>
          <w:tcPr>
            <w:tcW w:w="850" w:type="dxa"/>
            <w:vMerge/>
            <w:vAlign w:val="center"/>
          </w:tcPr>
          <w:p w:rsidR="00013EC7" w:rsidRDefault="00013EC7">
            <w:pPr>
              <w:jc w:val="left"/>
              <w:rPr>
                <w:rFonts w:ascii="仿宋" w:eastAsia="仿宋" w:hAnsi="仿宋" w:cs="仿宋"/>
                <w:sz w:val="24"/>
              </w:rPr>
            </w:pPr>
          </w:p>
        </w:tc>
        <w:tc>
          <w:tcPr>
            <w:tcW w:w="992" w:type="dxa"/>
            <w:vMerge/>
            <w:vAlign w:val="center"/>
          </w:tcPr>
          <w:p w:rsidR="00013EC7" w:rsidRDefault="00013EC7">
            <w:pPr>
              <w:jc w:val="left"/>
              <w:rPr>
                <w:rFonts w:ascii="仿宋" w:eastAsia="仿宋" w:hAnsi="仿宋" w:cs="仿宋"/>
                <w:sz w:val="24"/>
              </w:rPr>
            </w:pPr>
          </w:p>
        </w:tc>
        <w:tc>
          <w:tcPr>
            <w:tcW w:w="993" w:type="dxa"/>
            <w:vMerge/>
            <w:vAlign w:val="center"/>
          </w:tcPr>
          <w:p w:rsidR="00013EC7" w:rsidRDefault="00013EC7">
            <w:pPr>
              <w:jc w:val="left"/>
              <w:rPr>
                <w:rFonts w:ascii="仿宋" w:eastAsia="仿宋" w:hAnsi="仿宋" w:cs="仿宋"/>
                <w:sz w:val="24"/>
              </w:rPr>
            </w:pPr>
          </w:p>
        </w:tc>
        <w:tc>
          <w:tcPr>
            <w:tcW w:w="1279" w:type="dxa"/>
            <w:vMerge/>
            <w:vAlign w:val="center"/>
          </w:tcPr>
          <w:p w:rsidR="00013EC7" w:rsidRDefault="00013EC7">
            <w:pPr>
              <w:jc w:val="left"/>
              <w:rPr>
                <w:rFonts w:ascii="仿宋" w:eastAsia="仿宋" w:hAnsi="仿宋" w:cs="仿宋"/>
                <w:sz w:val="24"/>
              </w:rPr>
            </w:pPr>
          </w:p>
        </w:tc>
      </w:tr>
    </w:tbl>
    <w:p w:rsidR="00013EC7" w:rsidRDefault="00013EC7">
      <w:pPr>
        <w:jc w:val="left"/>
        <w:rPr>
          <w:rFonts w:eastAsia="方正书宋简体"/>
          <w:sz w:val="24"/>
        </w:rPr>
      </w:pPr>
    </w:p>
    <w:p w:rsidR="00013EC7" w:rsidRDefault="00013EC7">
      <w:pPr>
        <w:jc w:val="left"/>
        <w:rPr>
          <w:rFonts w:eastAsia="方正书宋简体"/>
          <w:sz w:val="24"/>
        </w:rPr>
      </w:pPr>
      <w:bookmarkStart w:id="97" w:name="_Toc498705681"/>
    </w:p>
    <w:p w:rsidR="00013EC7" w:rsidRDefault="005262E6">
      <w:pPr>
        <w:jc w:val="left"/>
        <w:rPr>
          <w:rFonts w:eastAsia="方正书宋简体"/>
          <w:sz w:val="24"/>
        </w:rPr>
      </w:pPr>
      <w:r>
        <w:rPr>
          <w:rFonts w:ascii="宋体" w:hAnsi="宋体" w:cs="宋体"/>
          <w:kern w:val="0"/>
          <w:sz w:val="24"/>
        </w:rPr>
        <w:object w:dxaOrig="1440" w:dyaOrig="1440">
          <v:shape id="对象 124" o:spid="_x0000_s1209" type="#_x0000_t75" alt="5928676981508729125595" style="position:absolute;margin-left:561.85pt;margin-top:57.65pt;width:442.45pt;height:576.5pt;z-index:251582464;mso-wrap-distance-top:0;mso-wrap-distance-bottom:0;mso-position-vertical-relative:page;mso-width-relative:page;mso-height-relative:page">
            <v:imagedata r:id="rId76" o:title="5928676981508729125595"/>
            <o:lock v:ext="edit" aspectratio="f"/>
            <w10:wrap type="topAndBottom" anchory="page"/>
          </v:shape>
          <o:OLEObject Type="Embed" ProgID="Visio.Drawing.11" ShapeID="对象 124" DrawAspect="Content" ObjectID="_1577296171" r:id="rId77"/>
        </w:object>
      </w:r>
      <w:r>
        <w:object w:dxaOrig="1440" w:dyaOrig="1440">
          <v:shape id="_x0000_s1467" type="#_x0000_t75" style="position:absolute;margin-left:25.7pt;margin-top:70.25pt;width:415.6pt;height:540.35pt;z-index:251718656;mso-wrap-distance-top:0;mso-wrap-distance-bottom:0;mso-position-vertical-relative:page;mso-width-relative:page;mso-height-relative:page">
            <v:imagedata r:id="rId78" o:title=""/>
            <w10:wrap type="topAndBottom" anchory="page"/>
          </v:shape>
          <o:OLEObject Type="Embed" ProgID="Visio.Drawing.11" ShapeID="_x0000_s1467" DrawAspect="Content" ObjectID="_1577296172" r:id="rId79"/>
        </w:object>
      </w:r>
    </w:p>
    <w:p w:rsidR="00013EC7" w:rsidRDefault="00575CDB">
      <w:pPr>
        <w:pStyle w:val="1"/>
        <w:spacing w:before="0" w:after="0" w:line="240" w:lineRule="auto"/>
        <w:rPr>
          <w:rFonts w:ascii="宋体" w:hAnsi="宋体" w:cs="黑体"/>
          <w:szCs w:val="28"/>
        </w:rPr>
      </w:pPr>
      <w:r>
        <w:rPr>
          <w:rFonts w:ascii="宋体" w:hAnsi="宋体" w:hint="eastAsia"/>
          <w:b/>
          <w:szCs w:val="28"/>
        </w:rPr>
        <w:br w:type="page"/>
      </w:r>
      <w:bookmarkStart w:id="98" w:name="_Toc503467378"/>
      <w:bookmarkStart w:id="99" w:name="_Toc3990"/>
      <w:bookmarkStart w:id="100" w:name="_Toc10421"/>
      <w:bookmarkStart w:id="101" w:name="_Toc29249"/>
      <w:r>
        <w:rPr>
          <w:rStyle w:val="20"/>
          <w:rFonts w:hint="eastAsia"/>
        </w:rPr>
        <w:lastRenderedPageBreak/>
        <w:t>5.3</w:t>
      </w:r>
      <w:r>
        <w:rPr>
          <w:rStyle w:val="20"/>
          <w:rFonts w:hint="eastAsia"/>
        </w:rPr>
        <w:t>跨区域涉税事项信息反馈</w:t>
      </w:r>
      <w:bookmarkEnd w:id="97"/>
      <w:bookmarkEnd w:id="98"/>
      <w:bookmarkEnd w:id="99"/>
      <w:bookmarkEnd w:id="100"/>
      <w:bookmarkEnd w:id="101"/>
    </w:p>
    <w:p w:rsidR="00013EC7" w:rsidRDefault="00575CDB">
      <w:pPr>
        <w:jc w:val="center"/>
        <w:rPr>
          <w:rFonts w:ascii="宋体" w:hAnsi="宋体" w:cs="宋体"/>
          <w:b/>
          <w:bCs/>
          <w:sz w:val="52"/>
          <w:szCs w:val="52"/>
        </w:rPr>
      </w:pPr>
      <w:r>
        <w:rPr>
          <w:rFonts w:ascii="宋体" w:hAnsi="宋体" w:cs="宋体" w:hint="eastAsia"/>
          <w:b/>
          <w:bCs/>
          <w:sz w:val="52"/>
          <w:szCs w:val="52"/>
        </w:rPr>
        <w:t>全省“最多跑一次”事项“八统一”梳理表</w:t>
      </w:r>
    </w:p>
    <w:tbl>
      <w:tblPr>
        <w:tblW w:w="20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1250"/>
        <w:gridCol w:w="1316"/>
        <w:gridCol w:w="2542"/>
        <w:gridCol w:w="2357"/>
        <w:gridCol w:w="1118"/>
        <w:gridCol w:w="2403"/>
        <w:gridCol w:w="1196"/>
        <w:gridCol w:w="3318"/>
        <w:gridCol w:w="868"/>
        <w:gridCol w:w="930"/>
        <w:gridCol w:w="993"/>
        <w:gridCol w:w="1134"/>
        <w:gridCol w:w="1279"/>
      </w:tblGrid>
      <w:tr w:rsidR="00013EC7" w:rsidTr="004616C1">
        <w:trPr>
          <w:trHeight w:val="340"/>
          <w:tblHeader/>
          <w:jc w:val="center"/>
        </w:trPr>
        <w:tc>
          <w:tcPr>
            <w:tcW w:w="1250"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主项名称</w:t>
            </w:r>
          </w:p>
        </w:tc>
        <w:tc>
          <w:tcPr>
            <w:tcW w:w="1316"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子项名称</w:t>
            </w:r>
          </w:p>
        </w:tc>
        <w:tc>
          <w:tcPr>
            <w:tcW w:w="2542"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经办依据</w:t>
            </w:r>
          </w:p>
        </w:tc>
        <w:tc>
          <w:tcPr>
            <w:tcW w:w="3475"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原经办所需材料</w:t>
            </w:r>
          </w:p>
        </w:tc>
        <w:tc>
          <w:tcPr>
            <w:tcW w:w="6917" w:type="dxa"/>
            <w:gridSpan w:val="3"/>
            <w:vAlign w:val="center"/>
          </w:tcPr>
          <w:p w:rsidR="00013EC7" w:rsidRDefault="00575CDB">
            <w:pPr>
              <w:spacing w:line="280" w:lineRule="exact"/>
              <w:jc w:val="center"/>
              <w:rPr>
                <w:rFonts w:ascii="黑体" w:eastAsia="黑体"/>
                <w:sz w:val="24"/>
              </w:rPr>
            </w:pPr>
            <w:r>
              <w:rPr>
                <w:rFonts w:ascii="黑体" w:eastAsia="黑体" w:hint="eastAsia"/>
                <w:sz w:val="24"/>
              </w:rPr>
              <w:t>梳理后经办所需材料</w:t>
            </w:r>
          </w:p>
        </w:tc>
        <w:tc>
          <w:tcPr>
            <w:tcW w:w="1798"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办理时限</w:t>
            </w:r>
          </w:p>
        </w:tc>
        <w:tc>
          <w:tcPr>
            <w:tcW w:w="993"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是否实现跑零次</w:t>
            </w:r>
          </w:p>
        </w:tc>
        <w:tc>
          <w:tcPr>
            <w:tcW w:w="1134"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省厅对口</w:t>
            </w:r>
          </w:p>
          <w:p w:rsidR="00013EC7" w:rsidRDefault="00575CDB">
            <w:pPr>
              <w:spacing w:line="280" w:lineRule="exact"/>
              <w:jc w:val="center"/>
              <w:rPr>
                <w:rFonts w:ascii="黑体" w:eastAsia="黑体"/>
                <w:sz w:val="24"/>
              </w:rPr>
            </w:pPr>
            <w:r>
              <w:rPr>
                <w:rFonts w:ascii="黑体" w:eastAsia="黑体" w:hint="eastAsia"/>
                <w:sz w:val="24"/>
              </w:rPr>
              <w:t>指导处室</w:t>
            </w:r>
          </w:p>
          <w:p w:rsidR="00013EC7" w:rsidRDefault="00575CDB">
            <w:pPr>
              <w:spacing w:line="280" w:lineRule="exact"/>
              <w:jc w:val="center"/>
              <w:rPr>
                <w:rFonts w:ascii="黑体" w:eastAsia="黑体"/>
                <w:sz w:val="24"/>
              </w:rPr>
            </w:pPr>
            <w:r>
              <w:rPr>
                <w:rFonts w:ascii="黑体" w:eastAsia="黑体" w:hint="eastAsia"/>
                <w:sz w:val="24"/>
              </w:rPr>
              <w:t>（单位）</w:t>
            </w:r>
          </w:p>
        </w:tc>
        <w:tc>
          <w:tcPr>
            <w:tcW w:w="1279"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进一步精简、</w:t>
            </w:r>
          </w:p>
          <w:p w:rsidR="00013EC7" w:rsidRDefault="00575CDB">
            <w:pPr>
              <w:spacing w:line="280" w:lineRule="exact"/>
              <w:jc w:val="center"/>
              <w:rPr>
                <w:rFonts w:ascii="黑体" w:eastAsia="黑体"/>
                <w:sz w:val="24"/>
              </w:rPr>
            </w:pPr>
            <w:r>
              <w:rPr>
                <w:rFonts w:ascii="黑体" w:eastAsia="黑体" w:hint="eastAsia"/>
                <w:sz w:val="24"/>
              </w:rPr>
              <w:t>规范建议</w:t>
            </w:r>
          </w:p>
        </w:tc>
      </w:tr>
      <w:tr w:rsidR="00013EC7" w:rsidTr="004616C1">
        <w:trPr>
          <w:trHeight w:val="340"/>
          <w:tblHeader/>
          <w:jc w:val="center"/>
        </w:trPr>
        <w:tc>
          <w:tcPr>
            <w:tcW w:w="1250" w:type="dxa"/>
            <w:vMerge/>
            <w:vAlign w:val="center"/>
          </w:tcPr>
          <w:p w:rsidR="00013EC7" w:rsidRDefault="00013EC7">
            <w:pPr>
              <w:rPr>
                <w:sz w:val="24"/>
              </w:rPr>
            </w:pPr>
          </w:p>
        </w:tc>
        <w:tc>
          <w:tcPr>
            <w:tcW w:w="1316" w:type="dxa"/>
            <w:vMerge/>
          </w:tcPr>
          <w:p w:rsidR="00013EC7" w:rsidRDefault="00013EC7">
            <w:pPr>
              <w:rPr>
                <w:sz w:val="24"/>
              </w:rPr>
            </w:pPr>
          </w:p>
        </w:tc>
        <w:tc>
          <w:tcPr>
            <w:tcW w:w="2542" w:type="dxa"/>
            <w:vMerge/>
          </w:tcPr>
          <w:p w:rsidR="00013EC7" w:rsidRDefault="00013EC7">
            <w:pPr>
              <w:rPr>
                <w:sz w:val="24"/>
              </w:rPr>
            </w:pPr>
          </w:p>
        </w:tc>
        <w:tc>
          <w:tcPr>
            <w:tcW w:w="2357" w:type="dxa"/>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118"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2403" w:type="dxa"/>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196"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3318" w:type="dxa"/>
            <w:vAlign w:val="center"/>
          </w:tcPr>
          <w:p w:rsidR="00013EC7" w:rsidRDefault="00575CDB">
            <w:pPr>
              <w:spacing w:line="280" w:lineRule="exact"/>
              <w:jc w:val="center"/>
              <w:rPr>
                <w:rFonts w:ascii="黑体" w:eastAsia="黑体"/>
                <w:sz w:val="24"/>
              </w:rPr>
            </w:pPr>
            <w:r>
              <w:rPr>
                <w:rFonts w:ascii="黑体" w:eastAsia="黑体" w:hint="eastAsia"/>
                <w:sz w:val="24"/>
              </w:rPr>
              <w:t>办理方式及材料</w:t>
            </w:r>
          </w:p>
          <w:p w:rsidR="00013EC7" w:rsidRDefault="00575CDB">
            <w:pPr>
              <w:spacing w:line="280" w:lineRule="exact"/>
              <w:jc w:val="center"/>
              <w:rPr>
                <w:rFonts w:ascii="黑体" w:eastAsia="黑体"/>
                <w:sz w:val="24"/>
              </w:rPr>
            </w:pPr>
            <w:r>
              <w:rPr>
                <w:rFonts w:ascii="黑体" w:eastAsia="黑体" w:hint="eastAsia"/>
                <w:sz w:val="24"/>
              </w:rPr>
              <w:t>信息获取方式说明</w:t>
            </w:r>
          </w:p>
        </w:tc>
        <w:tc>
          <w:tcPr>
            <w:tcW w:w="868" w:type="dxa"/>
            <w:vAlign w:val="center"/>
          </w:tcPr>
          <w:p w:rsidR="00013EC7" w:rsidRDefault="00575CDB">
            <w:pPr>
              <w:spacing w:line="280" w:lineRule="exact"/>
              <w:jc w:val="center"/>
              <w:rPr>
                <w:rFonts w:ascii="黑体" w:eastAsia="黑体"/>
                <w:sz w:val="24"/>
              </w:rPr>
            </w:pPr>
            <w:r>
              <w:rPr>
                <w:rFonts w:ascii="黑体" w:eastAsia="黑体" w:hint="eastAsia"/>
                <w:sz w:val="24"/>
              </w:rPr>
              <w:t>优化前</w:t>
            </w:r>
          </w:p>
        </w:tc>
        <w:tc>
          <w:tcPr>
            <w:tcW w:w="930" w:type="dxa"/>
            <w:vAlign w:val="center"/>
          </w:tcPr>
          <w:p w:rsidR="00013EC7" w:rsidRDefault="00575CDB">
            <w:pPr>
              <w:spacing w:line="280" w:lineRule="exact"/>
              <w:jc w:val="center"/>
              <w:rPr>
                <w:rFonts w:ascii="黑体" w:eastAsia="黑体"/>
                <w:sz w:val="24"/>
              </w:rPr>
            </w:pPr>
            <w:r>
              <w:rPr>
                <w:rFonts w:ascii="黑体" w:eastAsia="黑体" w:hint="eastAsia"/>
                <w:sz w:val="24"/>
              </w:rPr>
              <w:t>优化后</w:t>
            </w:r>
          </w:p>
        </w:tc>
        <w:tc>
          <w:tcPr>
            <w:tcW w:w="993" w:type="dxa"/>
            <w:vMerge/>
            <w:vAlign w:val="center"/>
          </w:tcPr>
          <w:p w:rsidR="00013EC7" w:rsidRDefault="00013EC7">
            <w:pPr>
              <w:rPr>
                <w:sz w:val="24"/>
              </w:rPr>
            </w:pPr>
          </w:p>
        </w:tc>
        <w:tc>
          <w:tcPr>
            <w:tcW w:w="1134" w:type="dxa"/>
            <w:vMerge/>
            <w:vAlign w:val="center"/>
          </w:tcPr>
          <w:p w:rsidR="00013EC7" w:rsidRDefault="00013EC7">
            <w:pPr>
              <w:rPr>
                <w:sz w:val="24"/>
              </w:rPr>
            </w:pPr>
          </w:p>
        </w:tc>
        <w:tc>
          <w:tcPr>
            <w:tcW w:w="1279" w:type="dxa"/>
            <w:vMerge/>
            <w:vAlign w:val="center"/>
          </w:tcPr>
          <w:p w:rsidR="00013EC7" w:rsidRDefault="00013EC7">
            <w:pPr>
              <w:rPr>
                <w:sz w:val="24"/>
              </w:rPr>
            </w:pPr>
          </w:p>
        </w:tc>
      </w:tr>
      <w:tr w:rsidR="00013EC7" w:rsidTr="004616C1">
        <w:trPr>
          <w:trHeight w:val="3250"/>
          <w:jc w:val="center"/>
        </w:trPr>
        <w:tc>
          <w:tcPr>
            <w:tcW w:w="1250"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5跨区域涉税事项办理</w:t>
            </w:r>
          </w:p>
        </w:tc>
        <w:tc>
          <w:tcPr>
            <w:tcW w:w="1316" w:type="dxa"/>
            <w:vMerge w:val="restart"/>
            <w:vAlign w:val="center"/>
          </w:tcPr>
          <w:p w:rsidR="00013EC7" w:rsidRDefault="00575CDB">
            <w:pPr>
              <w:spacing w:line="310" w:lineRule="exact"/>
              <w:jc w:val="left"/>
              <w:rPr>
                <w:rFonts w:ascii="仿宋" w:eastAsia="仿宋" w:hAnsi="仿宋" w:cs="仿宋"/>
                <w:sz w:val="24"/>
              </w:rPr>
            </w:pPr>
            <w:r>
              <w:rPr>
                <w:rFonts w:ascii="仿宋" w:eastAsia="仿宋" w:hAnsi="仿宋" w:cs="仿宋" w:hint="eastAsia"/>
                <w:sz w:val="24"/>
              </w:rPr>
              <w:t>5.3跨区域涉税事项信息反馈</w:t>
            </w:r>
          </w:p>
        </w:tc>
        <w:tc>
          <w:tcPr>
            <w:tcW w:w="2542"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（一）《中华人民共和国税收征收管理法实施细则》（2002年中华人民共和国国务院令第362号）第二十一条。</w:t>
            </w:r>
          </w:p>
          <w:p w:rsidR="00013EC7" w:rsidRDefault="00575CDB">
            <w:pPr>
              <w:spacing w:line="300" w:lineRule="exact"/>
              <w:jc w:val="left"/>
              <w:rPr>
                <w:rFonts w:ascii="仿宋" w:eastAsia="仿宋" w:hAnsi="仿宋" w:cs="仿宋"/>
                <w:sz w:val="24"/>
              </w:rPr>
            </w:pPr>
            <w:r>
              <w:rPr>
                <w:rFonts w:ascii="仿宋" w:eastAsia="仿宋" w:hAnsi="仿宋" w:cs="仿宋" w:hint="eastAsia"/>
                <w:sz w:val="24"/>
              </w:rPr>
              <w:t>（二）《国家税务总局关于修改〈税务登记管理办法〉的决定》（2014年国家税务总局令第36号）第三十六条。</w:t>
            </w:r>
          </w:p>
          <w:p w:rsidR="00013EC7" w:rsidRDefault="00575CDB">
            <w:pPr>
              <w:spacing w:line="300" w:lineRule="exact"/>
              <w:jc w:val="left"/>
              <w:rPr>
                <w:rFonts w:ascii="仿宋" w:eastAsia="仿宋" w:hAnsi="仿宋" w:cs="仿宋"/>
                <w:sz w:val="24"/>
              </w:rPr>
            </w:pPr>
            <w:r>
              <w:rPr>
                <w:rFonts w:ascii="仿宋" w:eastAsia="仿宋" w:hAnsi="仿宋" w:cs="仿宋" w:hint="eastAsia"/>
                <w:sz w:val="24"/>
              </w:rPr>
              <w:t>（三）《国家税务总局关于换发税务登记证件的通知》（国税发〔2006〕38号）第二条。</w:t>
            </w:r>
          </w:p>
          <w:p w:rsidR="00013EC7" w:rsidRDefault="00575CDB">
            <w:pPr>
              <w:spacing w:line="300" w:lineRule="exact"/>
              <w:jc w:val="left"/>
              <w:rPr>
                <w:rFonts w:ascii="仿宋" w:eastAsia="仿宋" w:hAnsi="仿宋" w:cs="仿宋"/>
                <w:sz w:val="24"/>
              </w:rPr>
            </w:pPr>
            <w:r>
              <w:rPr>
                <w:rFonts w:ascii="仿宋" w:eastAsia="仿宋" w:hAnsi="仿宋" w:cs="仿宋" w:hint="eastAsia"/>
                <w:sz w:val="24"/>
              </w:rPr>
              <w:t>（四）《国家税务总局关于换发税务登记证件有关问题的补充通知》（国税发〔2006〕104号）第三条。</w:t>
            </w:r>
          </w:p>
          <w:p w:rsidR="00013EC7" w:rsidRDefault="00575CDB">
            <w:pPr>
              <w:spacing w:line="300" w:lineRule="exact"/>
              <w:jc w:val="left"/>
              <w:rPr>
                <w:rFonts w:ascii="仿宋" w:eastAsia="仿宋" w:hAnsi="仿宋" w:cs="仿宋"/>
                <w:sz w:val="24"/>
              </w:rPr>
            </w:pPr>
            <w:r>
              <w:rPr>
                <w:rFonts w:ascii="仿宋" w:eastAsia="仿宋" w:hAnsi="仿宋" w:cs="仿宋" w:hint="eastAsia"/>
                <w:sz w:val="24"/>
              </w:rPr>
              <w:t>（五）《国家税务总局关于进一步完善税务登记管理有关问题的公告》（国家税务总局公告2011年第21号)全文。</w:t>
            </w:r>
          </w:p>
          <w:p w:rsidR="00013EC7" w:rsidRDefault="00575CDB">
            <w:pPr>
              <w:spacing w:line="300" w:lineRule="exact"/>
              <w:jc w:val="left"/>
              <w:rPr>
                <w:rFonts w:ascii="仿宋" w:eastAsia="仿宋" w:hAnsi="仿宋" w:cs="仿宋"/>
                <w:sz w:val="24"/>
              </w:rPr>
            </w:pPr>
            <w:r>
              <w:rPr>
                <w:rFonts w:ascii="仿宋" w:eastAsia="仿宋" w:hAnsi="仿宋" w:cs="仿宋" w:hint="eastAsia"/>
                <w:sz w:val="24"/>
              </w:rPr>
              <w:t>（六）《国家税务总局关于创新跨区域涉税事项报验管理制度的通知》（税总发〔2017〕103号）全文。</w:t>
            </w:r>
          </w:p>
          <w:p w:rsidR="00013EC7" w:rsidRDefault="00013EC7">
            <w:pPr>
              <w:spacing w:line="310" w:lineRule="exact"/>
              <w:jc w:val="left"/>
              <w:rPr>
                <w:rFonts w:ascii="仿宋" w:eastAsia="仿宋" w:hAnsi="仿宋" w:cs="仿宋"/>
                <w:sz w:val="24"/>
              </w:rPr>
            </w:pPr>
          </w:p>
        </w:tc>
        <w:tc>
          <w:tcPr>
            <w:tcW w:w="2357"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shd w:val="clear" w:color="FFFFFF" w:fill="D9D9D9"/>
              </w:rPr>
              <w:t>（一）（A01033）《外出经营活动情况申报表》2份。</w:t>
            </w:r>
          </w:p>
        </w:tc>
        <w:tc>
          <w:tcPr>
            <w:tcW w:w="1118"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纳税人提交</w:t>
            </w:r>
          </w:p>
        </w:tc>
        <w:tc>
          <w:tcPr>
            <w:tcW w:w="2403"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（一）《经营地涉税事项反馈表》。</w:t>
            </w:r>
          </w:p>
        </w:tc>
        <w:tc>
          <w:tcPr>
            <w:tcW w:w="1196" w:type="dxa"/>
            <w:vMerge w:val="restart"/>
            <w:vAlign w:val="center"/>
          </w:tcPr>
          <w:p w:rsidR="00013EC7" w:rsidRDefault="00575CDB">
            <w:pPr>
              <w:jc w:val="left"/>
              <w:rPr>
                <w:rFonts w:ascii="仿宋" w:eastAsia="仿宋" w:hAnsi="仿宋" w:cs="仿宋"/>
                <w:sz w:val="24"/>
              </w:rPr>
            </w:pPr>
            <w:r>
              <w:rPr>
                <w:rFonts w:ascii="仿宋" w:eastAsia="仿宋" w:hAnsi="仿宋" w:cs="仿宋" w:hint="eastAsia"/>
                <w:sz w:val="24"/>
              </w:rPr>
              <w:t>纳税人提供</w:t>
            </w:r>
          </w:p>
        </w:tc>
        <w:tc>
          <w:tcPr>
            <w:tcW w:w="3318" w:type="dxa"/>
            <w:vMerge w:val="restart"/>
            <w:vAlign w:val="center"/>
          </w:tcPr>
          <w:p w:rsidR="00013EC7" w:rsidRDefault="00575CDB">
            <w:pPr>
              <w:jc w:val="lef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纳税人提交书面材料。</w:t>
            </w:r>
            <w:r>
              <w:rPr>
                <w:rFonts w:ascii="仿宋" w:eastAsia="仿宋" w:hAnsi="仿宋" w:cs="仿宋" w:hint="eastAsia"/>
                <w:sz w:val="24"/>
              </w:rPr>
              <w:br/>
            </w:r>
            <w:r>
              <w:rPr>
                <w:rFonts w:ascii="仿宋" w:eastAsia="仿宋" w:hAnsi="仿宋" w:cs="仿宋" w:hint="eastAsia"/>
                <w:b/>
                <w:sz w:val="24"/>
              </w:rPr>
              <w:t>网上办理：</w:t>
            </w:r>
            <w:r>
              <w:rPr>
                <w:rFonts w:ascii="仿宋" w:eastAsia="仿宋" w:hAnsi="仿宋" w:cs="仿宋" w:hint="eastAsia"/>
                <w:sz w:val="24"/>
              </w:rPr>
              <w:t>登录浙江国税电子税务局（网址：http://etax.zjtax.gov.cn/</w:t>
            </w:r>
            <w:r>
              <w:rPr>
                <w:rFonts w:ascii="仿宋" w:eastAsia="仿宋" w:hAnsi="仿宋" w:cs="仿宋" w:hint="eastAsia"/>
                <w:sz w:val="24"/>
              </w:rPr>
              <w:br/>
              <w:t>）提交申请。</w:t>
            </w:r>
            <w:r>
              <w:rPr>
                <w:rFonts w:ascii="仿宋" w:eastAsia="仿宋" w:hAnsi="仿宋" w:cs="仿宋" w:hint="eastAsia"/>
                <w:sz w:val="24"/>
              </w:rPr>
              <w:br/>
            </w:r>
            <w:r>
              <w:rPr>
                <w:rFonts w:ascii="仿宋" w:eastAsia="仿宋" w:hAnsi="仿宋" w:cs="仿宋" w:hint="eastAsia"/>
                <w:b/>
                <w:sz w:val="24"/>
              </w:rPr>
              <w:t>APP办理：</w:t>
            </w:r>
            <w:r>
              <w:rPr>
                <w:rFonts w:ascii="仿宋" w:eastAsia="仿宋" w:hAnsi="仿宋" w:cs="仿宋" w:hint="eastAsia"/>
                <w:sz w:val="24"/>
              </w:rPr>
              <w:t>登录浙江国税APP提交申请。</w:t>
            </w:r>
          </w:p>
        </w:tc>
        <w:tc>
          <w:tcPr>
            <w:tcW w:w="868" w:type="dxa"/>
            <w:vMerge w:val="restart"/>
            <w:vAlign w:val="center"/>
          </w:tcPr>
          <w:p w:rsidR="00013EC7" w:rsidRDefault="00575CDB">
            <w:pPr>
              <w:jc w:val="left"/>
              <w:rPr>
                <w:rFonts w:ascii="仿宋" w:eastAsia="仿宋" w:hAnsi="仿宋" w:cs="仿宋"/>
                <w:sz w:val="24"/>
              </w:rPr>
            </w:pPr>
            <w:r>
              <w:rPr>
                <w:rFonts w:ascii="仿宋" w:eastAsia="仿宋" w:hAnsi="仿宋" w:cs="仿宋" w:hint="eastAsia"/>
                <w:sz w:val="24"/>
              </w:rPr>
              <w:t>即时办结</w:t>
            </w:r>
          </w:p>
        </w:tc>
        <w:tc>
          <w:tcPr>
            <w:tcW w:w="930" w:type="dxa"/>
            <w:vMerge w:val="restart"/>
            <w:vAlign w:val="center"/>
          </w:tcPr>
          <w:p w:rsidR="00013EC7" w:rsidRDefault="00575CDB">
            <w:pPr>
              <w:jc w:val="left"/>
              <w:rPr>
                <w:rFonts w:ascii="仿宋" w:eastAsia="仿宋" w:hAnsi="仿宋" w:cs="仿宋"/>
                <w:sz w:val="24"/>
              </w:rPr>
            </w:pPr>
            <w:r>
              <w:rPr>
                <w:rFonts w:ascii="仿宋" w:eastAsia="仿宋" w:hAnsi="仿宋" w:cs="仿宋" w:hint="eastAsia"/>
                <w:sz w:val="24"/>
              </w:rPr>
              <w:t>即时办结</w:t>
            </w:r>
          </w:p>
        </w:tc>
        <w:tc>
          <w:tcPr>
            <w:tcW w:w="993" w:type="dxa"/>
            <w:vMerge w:val="restart"/>
            <w:vAlign w:val="center"/>
          </w:tcPr>
          <w:p w:rsidR="00013EC7" w:rsidRDefault="00575CDB">
            <w:pPr>
              <w:jc w:val="left"/>
              <w:rPr>
                <w:rFonts w:ascii="仿宋" w:eastAsia="仿宋" w:hAnsi="仿宋" w:cs="仿宋"/>
                <w:sz w:val="24"/>
              </w:rPr>
            </w:pPr>
            <w:r>
              <w:rPr>
                <w:rFonts w:ascii="仿宋" w:eastAsia="仿宋" w:hAnsi="仿宋" w:cs="仿宋" w:hint="eastAsia"/>
                <w:sz w:val="24"/>
              </w:rPr>
              <w:t>是</w:t>
            </w:r>
          </w:p>
        </w:tc>
        <w:tc>
          <w:tcPr>
            <w:tcW w:w="1134" w:type="dxa"/>
            <w:vMerge w:val="restart"/>
            <w:vAlign w:val="center"/>
          </w:tcPr>
          <w:p w:rsidR="00013EC7" w:rsidRDefault="00575CDB">
            <w:pPr>
              <w:jc w:val="left"/>
              <w:rPr>
                <w:rFonts w:ascii="仿宋" w:eastAsia="仿宋" w:hAnsi="仿宋" w:cs="仿宋"/>
                <w:sz w:val="24"/>
              </w:rPr>
            </w:pPr>
            <w:r>
              <w:rPr>
                <w:rFonts w:ascii="仿宋" w:eastAsia="仿宋" w:hAnsi="仿宋" w:cs="仿宋" w:hint="eastAsia"/>
                <w:sz w:val="24"/>
              </w:rPr>
              <w:t>征管科技处</w:t>
            </w:r>
          </w:p>
        </w:tc>
        <w:tc>
          <w:tcPr>
            <w:tcW w:w="1279" w:type="dxa"/>
            <w:vMerge w:val="restart"/>
            <w:vAlign w:val="center"/>
          </w:tcPr>
          <w:p w:rsidR="00013EC7" w:rsidRDefault="00013EC7">
            <w:pPr>
              <w:spacing w:line="300" w:lineRule="exact"/>
              <w:jc w:val="left"/>
              <w:rPr>
                <w:rFonts w:ascii="仿宋" w:eastAsia="仿宋" w:hAnsi="仿宋" w:cs="仿宋"/>
                <w:sz w:val="24"/>
              </w:rPr>
            </w:pPr>
          </w:p>
        </w:tc>
      </w:tr>
      <w:tr w:rsidR="00013EC7" w:rsidTr="004616C1">
        <w:trPr>
          <w:trHeight w:val="1162"/>
          <w:jc w:val="center"/>
        </w:trPr>
        <w:tc>
          <w:tcPr>
            <w:tcW w:w="1250" w:type="dxa"/>
            <w:vMerge/>
            <w:textDirection w:val="tbRlV"/>
            <w:vAlign w:val="center"/>
          </w:tcPr>
          <w:p w:rsidR="00013EC7" w:rsidRDefault="00013EC7">
            <w:pPr>
              <w:jc w:val="left"/>
              <w:rPr>
                <w:rFonts w:ascii="仿宋" w:eastAsia="仿宋" w:hAnsi="仿宋" w:cs="仿宋"/>
                <w:sz w:val="24"/>
              </w:rPr>
            </w:pPr>
          </w:p>
        </w:tc>
        <w:tc>
          <w:tcPr>
            <w:tcW w:w="1316" w:type="dxa"/>
            <w:vMerge/>
            <w:vAlign w:val="center"/>
          </w:tcPr>
          <w:p w:rsidR="00013EC7" w:rsidRDefault="00013EC7">
            <w:pPr>
              <w:jc w:val="left"/>
              <w:rPr>
                <w:rFonts w:ascii="仿宋" w:eastAsia="仿宋" w:hAnsi="仿宋" w:cs="仿宋"/>
                <w:sz w:val="24"/>
              </w:rPr>
            </w:pPr>
          </w:p>
        </w:tc>
        <w:tc>
          <w:tcPr>
            <w:tcW w:w="2542" w:type="dxa"/>
            <w:vMerge/>
            <w:vAlign w:val="center"/>
          </w:tcPr>
          <w:p w:rsidR="00013EC7" w:rsidRDefault="00013EC7">
            <w:pPr>
              <w:jc w:val="left"/>
              <w:rPr>
                <w:rFonts w:ascii="仿宋" w:eastAsia="仿宋" w:hAnsi="仿宋" w:cs="仿宋"/>
                <w:sz w:val="24"/>
              </w:rPr>
            </w:pPr>
          </w:p>
        </w:tc>
        <w:tc>
          <w:tcPr>
            <w:tcW w:w="2357"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（二）未验旧、未使用完的发票（纳税人领用经营地发票的）。</w:t>
            </w:r>
          </w:p>
        </w:tc>
        <w:tc>
          <w:tcPr>
            <w:tcW w:w="1118" w:type="dxa"/>
            <w:vMerge/>
            <w:vAlign w:val="center"/>
          </w:tcPr>
          <w:p w:rsidR="00013EC7" w:rsidRDefault="00013EC7">
            <w:pPr>
              <w:jc w:val="left"/>
              <w:rPr>
                <w:rFonts w:ascii="仿宋" w:eastAsia="仿宋" w:hAnsi="仿宋" w:cs="仿宋"/>
                <w:sz w:val="24"/>
              </w:rPr>
            </w:pPr>
          </w:p>
        </w:tc>
        <w:tc>
          <w:tcPr>
            <w:tcW w:w="2403"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（二）未验旧、未使用完的发票（纳税人领用经营地发票的）。</w:t>
            </w:r>
          </w:p>
        </w:tc>
        <w:tc>
          <w:tcPr>
            <w:tcW w:w="1196" w:type="dxa"/>
            <w:vMerge/>
            <w:vAlign w:val="center"/>
          </w:tcPr>
          <w:p w:rsidR="00013EC7" w:rsidRDefault="00013EC7">
            <w:pPr>
              <w:jc w:val="left"/>
              <w:rPr>
                <w:rFonts w:ascii="仿宋" w:eastAsia="仿宋" w:hAnsi="仿宋" w:cs="仿宋"/>
                <w:sz w:val="24"/>
              </w:rPr>
            </w:pPr>
          </w:p>
        </w:tc>
        <w:tc>
          <w:tcPr>
            <w:tcW w:w="3318" w:type="dxa"/>
            <w:vMerge/>
            <w:vAlign w:val="center"/>
          </w:tcPr>
          <w:p w:rsidR="00013EC7" w:rsidRDefault="00013EC7">
            <w:pPr>
              <w:spacing w:line="300" w:lineRule="exact"/>
              <w:jc w:val="left"/>
              <w:rPr>
                <w:rFonts w:ascii="仿宋" w:eastAsia="仿宋" w:hAnsi="仿宋" w:cs="仿宋"/>
                <w:sz w:val="24"/>
              </w:rPr>
            </w:pPr>
          </w:p>
        </w:tc>
        <w:tc>
          <w:tcPr>
            <w:tcW w:w="868" w:type="dxa"/>
            <w:vMerge/>
            <w:vAlign w:val="center"/>
          </w:tcPr>
          <w:p w:rsidR="00013EC7" w:rsidRDefault="00013EC7">
            <w:pPr>
              <w:jc w:val="left"/>
              <w:rPr>
                <w:rFonts w:ascii="仿宋" w:eastAsia="仿宋" w:hAnsi="仿宋" w:cs="仿宋"/>
                <w:sz w:val="24"/>
              </w:rPr>
            </w:pPr>
          </w:p>
        </w:tc>
        <w:tc>
          <w:tcPr>
            <w:tcW w:w="930" w:type="dxa"/>
            <w:vMerge/>
            <w:vAlign w:val="center"/>
          </w:tcPr>
          <w:p w:rsidR="00013EC7" w:rsidRDefault="00013EC7">
            <w:pPr>
              <w:jc w:val="left"/>
              <w:rPr>
                <w:rFonts w:ascii="仿宋" w:eastAsia="仿宋" w:hAnsi="仿宋" w:cs="仿宋"/>
                <w:sz w:val="24"/>
              </w:rPr>
            </w:pPr>
          </w:p>
        </w:tc>
        <w:tc>
          <w:tcPr>
            <w:tcW w:w="993" w:type="dxa"/>
            <w:vMerge/>
            <w:vAlign w:val="center"/>
          </w:tcPr>
          <w:p w:rsidR="00013EC7" w:rsidRDefault="00013EC7">
            <w:pPr>
              <w:jc w:val="left"/>
              <w:rPr>
                <w:rFonts w:ascii="仿宋" w:eastAsia="仿宋" w:hAnsi="仿宋" w:cs="仿宋"/>
                <w:sz w:val="24"/>
              </w:rPr>
            </w:pPr>
          </w:p>
        </w:tc>
        <w:tc>
          <w:tcPr>
            <w:tcW w:w="1134" w:type="dxa"/>
            <w:vMerge/>
            <w:vAlign w:val="center"/>
          </w:tcPr>
          <w:p w:rsidR="00013EC7" w:rsidRDefault="00013EC7">
            <w:pPr>
              <w:jc w:val="left"/>
              <w:rPr>
                <w:rFonts w:ascii="仿宋" w:eastAsia="仿宋" w:hAnsi="仿宋" w:cs="仿宋"/>
                <w:sz w:val="24"/>
              </w:rPr>
            </w:pPr>
          </w:p>
        </w:tc>
        <w:tc>
          <w:tcPr>
            <w:tcW w:w="1279" w:type="dxa"/>
            <w:vMerge/>
            <w:vAlign w:val="center"/>
          </w:tcPr>
          <w:p w:rsidR="00013EC7" w:rsidRDefault="00013EC7">
            <w:pPr>
              <w:jc w:val="left"/>
              <w:rPr>
                <w:rFonts w:ascii="仿宋" w:eastAsia="仿宋" w:hAnsi="仿宋" w:cs="仿宋"/>
                <w:sz w:val="24"/>
              </w:rPr>
            </w:pPr>
          </w:p>
        </w:tc>
      </w:tr>
    </w:tbl>
    <w:p w:rsidR="00013EC7" w:rsidRDefault="00013EC7">
      <w:pPr>
        <w:jc w:val="left"/>
        <w:rPr>
          <w:rFonts w:eastAsia="方正书宋简体"/>
          <w:sz w:val="24"/>
        </w:rPr>
      </w:pPr>
    </w:p>
    <w:p w:rsidR="00013EC7" w:rsidRDefault="00013EC7">
      <w:pPr>
        <w:jc w:val="left"/>
        <w:rPr>
          <w:rFonts w:eastAsia="方正书宋简体"/>
          <w:sz w:val="24"/>
        </w:rPr>
      </w:pPr>
    </w:p>
    <w:p w:rsidR="00013EC7" w:rsidRDefault="00013EC7">
      <w:pPr>
        <w:jc w:val="left"/>
        <w:rPr>
          <w:rFonts w:eastAsia="方正书宋简体"/>
          <w:sz w:val="24"/>
        </w:rPr>
      </w:pPr>
    </w:p>
    <w:p w:rsidR="00013EC7" w:rsidRDefault="005262E6">
      <w:pPr>
        <w:rPr>
          <w:rFonts w:eastAsia="方正书宋简体"/>
          <w:szCs w:val="21"/>
        </w:rPr>
      </w:pPr>
      <w:r>
        <w:object w:dxaOrig="1440" w:dyaOrig="1440">
          <v:shape id="对象 144" o:spid="_x0000_s1211" type="#_x0000_t75" style="position:absolute;left:0;text-align:left;margin-left:544.9pt;margin-top:7.5pt;width:480.2pt;height:486.95pt;z-index:251583488;mso-wrap-distance-left:9pt;mso-wrap-distance-top:0;mso-wrap-distance-right:9pt;mso-wrap-distance-bottom:0;mso-width-relative:page;mso-height-relative:page">
            <v:imagedata r:id="rId80" o:title=""/>
            <w10:wrap type="square"/>
          </v:shape>
          <o:OLEObject Type="Embed" ProgID="Visio.Drawing.11" ShapeID="对象 144" DrawAspect="Content" ObjectID="_1577296173" r:id="rId81"/>
        </w:object>
      </w:r>
      <w:r>
        <w:object w:dxaOrig="1440" w:dyaOrig="1440">
          <v:shape id="对象 145" o:spid="_x0000_s1212" type="#_x0000_t75" style="position:absolute;left:0;text-align:left;margin-left:17.5pt;margin-top:3.85pt;width:460.8pt;height:480.7pt;z-index:251584512;mso-wrap-distance-left:9pt;mso-wrap-distance-top:0;mso-wrap-distance-right:9pt;mso-wrap-distance-bottom:0;mso-width-relative:page;mso-height-relative:page">
            <v:imagedata r:id="rId82" o:title=""/>
            <w10:wrap type="square"/>
          </v:shape>
          <o:OLEObject Type="Embed" ProgID="Visio.Drawing.11" ShapeID="对象 145" DrawAspect="Content" ObjectID="_1577296174" r:id="rId83"/>
        </w:object>
      </w: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575CDB">
      <w:pPr>
        <w:pStyle w:val="1"/>
        <w:spacing w:before="0" w:after="0" w:line="240" w:lineRule="auto"/>
      </w:pPr>
      <w:r>
        <w:br w:type="page"/>
      </w:r>
      <w:bookmarkStart w:id="102" w:name="_Toc498705682"/>
    </w:p>
    <w:p w:rsidR="00013EC7" w:rsidRDefault="00575CDB">
      <w:pPr>
        <w:pStyle w:val="1"/>
      </w:pPr>
      <w:bookmarkStart w:id="103" w:name="_Toc16935"/>
      <w:bookmarkStart w:id="104" w:name="_Toc17821"/>
      <w:bookmarkStart w:id="105" w:name="_Toc25199"/>
      <w:bookmarkStart w:id="106" w:name="_Toc503467379"/>
      <w:r>
        <w:rPr>
          <w:rFonts w:hint="eastAsia"/>
        </w:rPr>
        <w:lastRenderedPageBreak/>
        <w:t>六、增值税一般纳税人登记</w:t>
      </w:r>
      <w:bookmarkEnd w:id="103"/>
      <w:bookmarkEnd w:id="104"/>
      <w:bookmarkEnd w:id="105"/>
      <w:bookmarkEnd w:id="106"/>
    </w:p>
    <w:p w:rsidR="00013EC7" w:rsidRDefault="00575CDB">
      <w:pPr>
        <w:pStyle w:val="2"/>
      </w:pPr>
      <w:bookmarkStart w:id="107" w:name="_Toc503467380"/>
      <w:bookmarkStart w:id="108" w:name="_Toc18850"/>
      <w:bookmarkStart w:id="109" w:name="_Toc13184"/>
      <w:bookmarkStart w:id="110" w:name="_Toc19073"/>
      <w:r>
        <w:rPr>
          <w:rFonts w:hint="eastAsia"/>
        </w:rPr>
        <w:t>6.1</w:t>
      </w:r>
      <w:r>
        <w:rPr>
          <w:rFonts w:hint="eastAsia"/>
        </w:rPr>
        <w:t>增值税一般纳税人登记</w:t>
      </w:r>
      <w:bookmarkEnd w:id="102"/>
      <w:bookmarkEnd w:id="107"/>
      <w:bookmarkEnd w:id="108"/>
      <w:bookmarkEnd w:id="109"/>
      <w:bookmarkEnd w:id="110"/>
    </w:p>
    <w:p w:rsidR="00013EC7" w:rsidRDefault="00575CDB">
      <w:pPr>
        <w:jc w:val="center"/>
        <w:rPr>
          <w:rFonts w:ascii="宋体" w:hAnsi="宋体" w:cs="宋体"/>
          <w:b/>
          <w:bCs/>
          <w:sz w:val="52"/>
          <w:szCs w:val="52"/>
        </w:rPr>
      </w:pPr>
      <w:r>
        <w:rPr>
          <w:rFonts w:ascii="宋体" w:hAnsi="宋体" w:cs="宋体" w:hint="eastAsia"/>
          <w:b/>
          <w:bCs/>
          <w:sz w:val="52"/>
          <w:szCs w:val="52"/>
        </w:rPr>
        <w:t>全省“最多跑一次”事项“八统一”梳理表</w:t>
      </w:r>
    </w:p>
    <w:tbl>
      <w:tblPr>
        <w:tblW w:w="20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1250"/>
        <w:gridCol w:w="1120"/>
        <w:gridCol w:w="5743"/>
        <w:gridCol w:w="1222"/>
        <w:gridCol w:w="1350"/>
        <w:gridCol w:w="1950"/>
        <w:gridCol w:w="1092"/>
        <w:gridCol w:w="1773"/>
        <w:gridCol w:w="948"/>
        <w:gridCol w:w="850"/>
        <w:gridCol w:w="851"/>
        <w:gridCol w:w="1134"/>
        <w:gridCol w:w="1421"/>
      </w:tblGrid>
      <w:tr w:rsidR="00013EC7" w:rsidTr="004616C1">
        <w:trPr>
          <w:trHeight w:val="340"/>
          <w:tblHeader/>
          <w:jc w:val="center"/>
        </w:trPr>
        <w:tc>
          <w:tcPr>
            <w:tcW w:w="1250"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主项名称</w:t>
            </w:r>
          </w:p>
        </w:tc>
        <w:tc>
          <w:tcPr>
            <w:tcW w:w="1120"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子项名称</w:t>
            </w:r>
          </w:p>
        </w:tc>
        <w:tc>
          <w:tcPr>
            <w:tcW w:w="5743"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经办依据</w:t>
            </w:r>
          </w:p>
        </w:tc>
        <w:tc>
          <w:tcPr>
            <w:tcW w:w="2572"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原经办所需材料</w:t>
            </w:r>
          </w:p>
        </w:tc>
        <w:tc>
          <w:tcPr>
            <w:tcW w:w="4815" w:type="dxa"/>
            <w:gridSpan w:val="3"/>
            <w:vAlign w:val="center"/>
          </w:tcPr>
          <w:p w:rsidR="00013EC7" w:rsidRDefault="00575CDB">
            <w:pPr>
              <w:spacing w:line="280" w:lineRule="exact"/>
              <w:jc w:val="center"/>
              <w:rPr>
                <w:rFonts w:ascii="黑体" w:eastAsia="黑体"/>
                <w:sz w:val="24"/>
              </w:rPr>
            </w:pPr>
            <w:r>
              <w:rPr>
                <w:rFonts w:ascii="黑体" w:eastAsia="黑体" w:hint="eastAsia"/>
                <w:sz w:val="24"/>
              </w:rPr>
              <w:t>梳理后经办所需材料</w:t>
            </w:r>
          </w:p>
        </w:tc>
        <w:tc>
          <w:tcPr>
            <w:tcW w:w="1798"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办理时限</w:t>
            </w:r>
          </w:p>
        </w:tc>
        <w:tc>
          <w:tcPr>
            <w:tcW w:w="851"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是否实现跑零次</w:t>
            </w:r>
          </w:p>
        </w:tc>
        <w:tc>
          <w:tcPr>
            <w:tcW w:w="1134"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省厅对口</w:t>
            </w:r>
          </w:p>
          <w:p w:rsidR="00013EC7" w:rsidRDefault="00575CDB">
            <w:pPr>
              <w:spacing w:line="280" w:lineRule="exact"/>
              <w:jc w:val="center"/>
              <w:rPr>
                <w:rFonts w:ascii="黑体" w:eastAsia="黑体"/>
                <w:sz w:val="24"/>
              </w:rPr>
            </w:pPr>
            <w:r>
              <w:rPr>
                <w:rFonts w:ascii="黑体" w:eastAsia="黑体" w:hint="eastAsia"/>
                <w:sz w:val="24"/>
              </w:rPr>
              <w:t>指导处室</w:t>
            </w:r>
          </w:p>
          <w:p w:rsidR="00013EC7" w:rsidRDefault="00575CDB">
            <w:pPr>
              <w:spacing w:line="280" w:lineRule="exact"/>
              <w:jc w:val="center"/>
              <w:rPr>
                <w:rFonts w:ascii="黑体" w:eastAsia="黑体"/>
                <w:sz w:val="24"/>
              </w:rPr>
            </w:pPr>
            <w:r>
              <w:rPr>
                <w:rFonts w:ascii="黑体" w:eastAsia="黑体" w:hint="eastAsia"/>
                <w:sz w:val="24"/>
              </w:rPr>
              <w:t>（单位）</w:t>
            </w:r>
          </w:p>
        </w:tc>
        <w:tc>
          <w:tcPr>
            <w:tcW w:w="1421"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进一步精简、规范建议</w:t>
            </w:r>
          </w:p>
        </w:tc>
      </w:tr>
      <w:tr w:rsidR="00013EC7" w:rsidTr="004616C1">
        <w:trPr>
          <w:trHeight w:val="340"/>
          <w:tblHeader/>
          <w:jc w:val="center"/>
        </w:trPr>
        <w:tc>
          <w:tcPr>
            <w:tcW w:w="1250" w:type="dxa"/>
            <w:vMerge/>
            <w:vAlign w:val="center"/>
          </w:tcPr>
          <w:p w:rsidR="00013EC7" w:rsidRDefault="00013EC7">
            <w:pPr>
              <w:rPr>
                <w:sz w:val="24"/>
              </w:rPr>
            </w:pPr>
          </w:p>
        </w:tc>
        <w:tc>
          <w:tcPr>
            <w:tcW w:w="1120" w:type="dxa"/>
            <w:vMerge/>
          </w:tcPr>
          <w:p w:rsidR="00013EC7" w:rsidRDefault="00013EC7">
            <w:pPr>
              <w:rPr>
                <w:sz w:val="24"/>
              </w:rPr>
            </w:pPr>
          </w:p>
        </w:tc>
        <w:tc>
          <w:tcPr>
            <w:tcW w:w="5743" w:type="dxa"/>
            <w:vMerge/>
          </w:tcPr>
          <w:p w:rsidR="00013EC7" w:rsidRDefault="00013EC7">
            <w:pPr>
              <w:rPr>
                <w:sz w:val="24"/>
              </w:rPr>
            </w:pPr>
          </w:p>
        </w:tc>
        <w:tc>
          <w:tcPr>
            <w:tcW w:w="1222" w:type="dxa"/>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350"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1950" w:type="dxa"/>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092"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1773" w:type="dxa"/>
            <w:vAlign w:val="center"/>
          </w:tcPr>
          <w:p w:rsidR="00013EC7" w:rsidRDefault="00575CDB">
            <w:pPr>
              <w:spacing w:line="280" w:lineRule="exact"/>
              <w:jc w:val="center"/>
              <w:rPr>
                <w:rFonts w:ascii="黑体" w:eastAsia="黑体"/>
                <w:sz w:val="24"/>
              </w:rPr>
            </w:pPr>
            <w:r>
              <w:rPr>
                <w:rFonts w:ascii="黑体" w:eastAsia="黑体" w:hint="eastAsia"/>
                <w:sz w:val="24"/>
              </w:rPr>
              <w:t>办理方式及材料</w:t>
            </w:r>
          </w:p>
          <w:p w:rsidR="00013EC7" w:rsidRDefault="00575CDB">
            <w:pPr>
              <w:spacing w:line="280" w:lineRule="exact"/>
              <w:jc w:val="center"/>
              <w:rPr>
                <w:rFonts w:ascii="黑体" w:eastAsia="黑体"/>
                <w:sz w:val="24"/>
              </w:rPr>
            </w:pPr>
            <w:r>
              <w:rPr>
                <w:rFonts w:ascii="黑体" w:eastAsia="黑体" w:hint="eastAsia"/>
                <w:sz w:val="24"/>
              </w:rPr>
              <w:t>信息获取方式说明</w:t>
            </w:r>
          </w:p>
        </w:tc>
        <w:tc>
          <w:tcPr>
            <w:tcW w:w="948" w:type="dxa"/>
            <w:vAlign w:val="center"/>
          </w:tcPr>
          <w:p w:rsidR="00013EC7" w:rsidRDefault="00575CDB">
            <w:pPr>
              <w:spacing w:line="280" w:lineRule="exact"/>
              <w:jc w:val="center"/>
              <w:rPr>
                <w:rFonts w:ascii="黑体" w:eastAsia="黑体"/>
                <w:sz w:val="24"/>
              </w:rPr>
            </w:pPr>
            <w:r>
              <w:rPr>
                <w:rFonts w:ascii="黑体" w:eastAsia="黑体" w:hint="eastAsia"/>
                <w:sz w:val="24"/>
              </w:rPr>
              <w:t>优化前</w:t>
            </w:r>
          </w:p>
        </w:tc>
        <w:tc>
          <w:tcPr>
            <w:tcW w:w="850" w:type="dxa"/>
            <w:vAlign w:val="center"/>
          </w:tcPr>
          <w:p w:rsidR="00013EC7" w:rsidRDefault="00575CDB">
            <w:pPr>
              <w:spacing w:line="280" w:lineRule="exact"/>
              <w:jc w:val="center"/>
              <w:rPr>
                <w:rFonts w:ascii="黑体" w:eastAsia="黑体"/>
                <w:sz w:val="24"/>
              </w:rPr>
            </w:pPr>
            <w:r>
              <w:rPr>
                <w:rFonts w:ascii="黑体" w:eastAsia="黑体" w:hint="eastAsia"/>
                <w:sz w:val="24"/>
              </w:rPr>
              <w:t>优化后</w:t>
            </w:r>
          </w:p>
        </w:tc>
        <w:tc>
          <w:tcPr>
            <w:tcW w:w="851" w:type="dxa"/>
            <w:vMerge/>
            <w:vAlign w:val="center"/>
          </w:tcPr>
          <w:p w:rsidR="00013EC7" w:rsidRDefault="00013EC7">
            <w:pPr>
              <w:rPr>
                <w:sz w:val="24"/>
              </w:rPr>
            </w:pPr>
          </w:p>
        </w:tc>
        <w:tc>
          <w:tcPr>
            <w:tcW w:w="1134" w:type="dxa"/>
            <w:vMerge/>
            <w:vAlign w:val="center"/>
          </w:tcPr>
          <w:p w:rsidR="00013EC7" w:rsidRDefault="00013EC7">
            <w:pPr>
              <w:rPr>
                <w:sz w:val="24"/>
              </w:rPr>
            </w:pPr>
          </w:p>
        </w:tc>
        <w:tc>
          <w:tcPr>
            <w:tcW w:w="1421" w:type="dxa"/>
            <w:vMerge/>
            <w:vAlign w:val="center"/>
          </w:tcPr>
          <w:p w:rsidR="00013EC7" w:rsidRDefault="00013EC7">
            <w:pPr>
              <w:rPr>
                <w:sz w:val="24"/>
              </w:rPr>
            </w:pPr>
          </w:p>
        </w:tc>
      </w:tr>
      <w:tr w:rsidR="00013EC7" w:rsidTr="004616C1">
        <w:trPr>
          <w:trHeight w:val="2040"/>
          <w:jc w:val="center"/>
        </w:trPr>
        <w:tc>
          <w:tcPr>
            <w:tcW w:w="1250"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6增值税一般纳税人登记</w:t>
            </w:r>
          </w:p>
        </w:tc>
        <w:tc>
          <w:tcPr>
            <w:tcW w:w="1120" w:type="dxa"/>
            <w:vAlign w:val="center"/>
          </w:tcPr>
          <w:p w:rsidR="00013EC7" w:rsidRDefault="00575CDB">
            <w:pPr>
              <w:spacing w:line="310" w:lineRule="exact"/>
              <w:jc w:val="left"/>
              <w:rPr>
                <w:rFonts w:ascii="仿宋" w:eastAsia="仿宋" w:hAnsi="仿宋" w:cs="仿宋"/>
                <w:sz w:val="24"/>
              </w:rPr>
            </w:pPr>
            <w:r>
              <w:rPr>
                <w:rFonts w:ascii="仿宋" w:eastAsia="仿宋" w:hAnsi="仿宋" w:cs="仿宋" w:hint="eastAsia"/>
                <w:sz w:val="24"/>
              </w:rPr>
              <w:t>6.1增值税一般纳税人登记</w:t>
            </w:r>
          </w:p>
        </w:tc>
        <w:tc>
          <w:tcPr>
            <w:tcW w:w="5743" w:type="dxa"/>
            <w:vAlign w:val="center"/>
          </w:tcPr>
          <w:p w:rsidR="00013EC7" w:rsidRDefault="00575CDB">
            <w:pPr>
              <w:spacing w:line="310" w:lineRule="exact"/>
              <w:jc w:val="left"/>
              <w:rPr>
                <w:rFonts w:ascii="仿宋" w:eastAsia="仿宋" w:hAnsi="仿宋" w:cs="仿宋"/>
                <w:sz w:val="24"/>
              </w:rPr>
            </w:pPr>
            <w:r>
              <w:rPr>
                <w:rFonts w:ascii="仿宋" w:eastAsia="仿宋" w:hAnsi="仿宋" w:cs="仿宋" w:hint="eastAsia"/>
                <w:sz w:val="24"/>
              </w:rPr>
              <w:t>（一）《中华人民共和国增值税暂行条例》（2017年中华人民共和国国务院令691号）第十三条。</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（二）《中华人民共和国增值税暂行条例实施细则》（2008年财政部国家税务总局令第50号）第三十二条。</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（三）《增值税一般纳税人登记管理办法》（2017年国家税务总局令43号）全文。</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（四）《国家税务总局关于印发〈增值税一般纳税人纳税辅导期管理办法〉的通知》（国税发〔2010〕40号）第三条、第五条、第六条。</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（五）《国家税务总局关于发布〈航空运输企业增值税征收管理暂行办法〉的公告》（国家税务总局公告2013年第68号）第十五条。</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（六）《国家税务总局关于发布〈电信企业增值税征收管理暂行办法〉的公告》（国家税务总局公告2014年第26号）第十二条。</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（七）《国家税务总局关于界定超标准小规模纳税人偷税数额的批复》（税总函〔2015〕311号）全文。</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（八）《国家税务总局关于“三证合一”登记制度改革涉及增值税一般纳税人管理有关事项的公告》（国家税务总局公告2015年第74号）全文。</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（九）《国家税务总局关于全面推开营业税改征增值税试点有关税收征收管理事项的公告》（国家税务总局公告2016年第23号）全文。</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（十）《国家税务总局关于加快推行办税事项同城通办的通知》（税总发〔2016〕46号）全文。</w:t>
            </w:r>
          </w:p>
        </w:tc>
        <w:tc>
          <w:tcPr>
            <w:tcW w:w="1222"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（一）（A01057）《增值税一般纳税人资格登记表》</w:t>
            </w:r>
            <w:r>
              <w:rPr>
                <w:rFonts w:ascii="仿宋" w:eastAsia="仿宋" w:hAnsi="仿宋" w:cs="仿宋" w:hint="eastAsia"/>
                <w:sz w:val="24"/>
                <w:shd w:val="clear" w:color="FFFFFF" w:fill="D9D9D9"/>
              </w:rPr>
              <w:t>2份</w:t>
            </w:r>
            <w:r>
              <w:rPr>
                <w:rFonts w:ascii="仿宋" w:eastAsia="仿宋" w:hAnsi="仿宋" w:cs="仿宋" w:hint="eastAsia"/>
                <w:sz w:val="24"/>
              </w:rPr>
              <w:t>。</w:t>
            </w:r>
          </w:p>
        </w:tc>
        <w:tc>
          <w:tcPr>
            <w:tcW w:w="1350"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纳税人提交</w:t>
            </w:r>
          </w:p>
        </w:tc>
        <w:tc>
          <w:tcPr>
            <w:tcW w:w="1950"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（一）《增值税一般纳税人登记表》1份。</w:t>
            </w:r>
          </w:p>
        </w:tc>
        <w:tc>
          <w:tcPr>
            <w:tcW w:w="1092" w:type="dxa"/>
            <w:vAlign w:val="center"/>
          </w:tcPr>
          <w:p w:rsidR="00013EC7" w:rsidRDefault="00575CDB">
            <w:pPr>
              <w:spacing w:line="300" w:lineRule="exact"/>
              <w:jc w:val="left"/>
              <w:rPr>
                <w:rFonts w:ascii="仿宋" w:eastAsia="仿宋" w:hAnsi="仿宋" w:cs="仿宋"/>
                <w:bCs/>
                <w:iCs/>
                <w:sz w:val="24"/>
              </w:rPr>
            </w:pPr>
            <w:r>
              <w:rPr>
                <w:rFonts w:ascii="仿宋" w:eastAsia="仿宋" w:hAnsi="仿宋" w:cs="仿宋" w:hint="eastAsia"/>
                <w:bCs/>
                <w:iCs/>
                <w:sz w:val="24"/>
              </w:rPr>
              <w:t>纳税人提交</w:t>
            </w:r>
          </w:p>
        </w:tc>
        <w:tc>
          <w:tcPr>
            <w:tcW w:w="1773"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纳税人提交书面材料。</w:t>
            </w:r>
          </w:p>
          <w:p w:rsidR="00013EC7" w:rsidRDefault="00575CDB">
            <w:pPr>
              <w:spacing w:line="300" w:lineRule="exact"/>
              <w:jc w:val="left"/>
              <w:rPr>
                <w:rFonts w:ascii="仿宋" w:eastAsia="仿宋" w:hAnsi="仿宋" w:cs="仿宋"/>
                <w:sz w:val="24"/>
              </w:rPr>
            </w:pPr>
            <w:r>
              <w:rPr>
                <w:rFonts w:ascii="仿宋" w:eastAsia="仿宋" w:hAnsi="仿宋" w:cs="仿宋" w:hint="eastAsia"/>
                <w:b/>
                <w:sz w:val="24"/>
              </w:rPr>
              <w:t>网上办理：</w:t>
            </w:r>
            <w:r>
              <w:rPr>
                <w:rFonts w:ascii="仿宋" w:eastAsia="仿宋" w:hAnsi="仿宋" w:cs="仿宋" w:hint="eastAsia"/>
                <w:sz w:val="24"/>
              </w:rPr>
              <w:t>登录浙江国税电子税务局（网址：http://etax.zjtax.gov.cn/）提交申请。</w:t>
            </w:r>
          </w:p>
          <w:p w:rsidR="00013EC7" w:rsidRDefault="00575CDB">
            <w:pPr>
              <w:spacing w:line="300" w:lineRule="exact"/>
              <w:jc w:val="left"/>
              <w:rPr>
                <w:rFonts w:ascii="仿宋" w:eastAsia="仿宋" w:hAnsi="仿宋" w:cs="仿宋"/>
                <w:sz w:val="24"/>
              </w:rPr>
            </w:pPr>
            <w:r>
              <w:rPr>
                <w:rFonts w:ascii="仿宋" w:eastAsia="仿宋" w:hAnsi="仿宋" w:cs="仿宋" w:hint="eastAsia"/>
                <w:b/>
                <w:sz w:val="24"/>
              </w:rPr>
              <w:t>APP办理：</w:t>
            </w:r>
            <w:r>
              <w:rPr>
                <w:rFonts w:ascii="仿宋" w:eastAsia="仿宋" w:hAnsi="仿宋" w:cs="仿宋" w:hint="eastAsia"/>
                <w:sz w:val="24"/>
              </w:rPr>
              <w:t>登录浙江国税APP提交申请。</w:t>
            </w:r>
          </w:p>
        </w:tc>
        <w:tc>
          <w:tcPr>
            <w:tcW w:w="948" w:type="dxa"/>
            <w:vAlign w:val="center"/>
          </w:tcPr>
          <w:p w:rsidR="00013EC7" w:rsidRDefault="00575CDB">
            <w:pPr>
              <w:jc w:val="left"/>
              <w:rPr>
                <w:rFonts w:ascii="仿宋" w:eastAsia="仿宋" w:hAnsi="仿宋" w:cs="仿宋"/>
                <w:sz w:val="24"/>
              </w:rPr>
            </w:pPr>
            <w:r>
              <w:rPr>
                <w:rFonts w:ascii="仿宋" w:eastAsia="仿宋" w:hAnsi="仿宋" w:cs="仿宋" w:hint="eastAsia"/>
                <w:sz w:val="24"/>
              </w:rPr>
              <w:t>即时办结</w:t>
            </w:r>
          </w:p>
        </w:tc>
        <w:tc>
          <w:tcPr>
            <w:tcW w:w="850" w:type="dxa"/>
            <w:vAlign w:val="center"/>
          </w:tcPr>
          <w:p w:rsidR="00013EC7" w:rsidRDefault="00575CDB">
            <w:pPr>
              <w:jc w:val="left"/>
              <w:rPr>
                <w:rFonts w:ascii="仿宋" w:eastAsia="仿宋" w:hAnsi="仿宋" w:cs="仿宋"/>
                <w:sz w:val="24"/>
              </w:rPr>
            </w:pPr>
            <w:r>
              <w:rPr>
                <w:rFonts w:ascii="仿宋" w:eastAsia="仿宋" w:hAnsi="仿宋" w:cs="仿宋" w:hint="eastAsia"/>
                <w:sz w:val="24"/>
              </w:rPr>
              <w:t>即时办结</w:t>
            </w:r>
          </w:p>
        </w:tc>
        <w:tc>
          <w:tcPr>
            <w:tcW w:w="851" w:type="dxa"/>
            <w:vAlign w:val="center"/>
          </w:tcPr>
          <w:p w:rsidR="00013EC7" w:rsidRDefault="00575CDB">
            <w:pPr>
              <w:jc w:val="left"/>
              <w:rPr>
                <w:rFonts w:ascii="仿宋" w:eastAsia="仿宋" w:hAnsi="仿宋" w:cs="仿宋"/>
                <w:sz w:val="24"/>
              </w:rPr>
            </w:pPr>
            <w:r>
              <w:rPr>
                <w:rFonts w:ascii="仿宋" w:eastAsia="仿宋" w:hAnsi="仿宋" w:cs="仿宋" w:hint="eastAsia"/>
                <w:sz w:val="24"/>
              </w:rPr>
              <w:t>是</w:t>
            </w:r>
          </w:p>
        </w:tc>
        <w:tc>
          <w:tcPr>
            <w:tcW w:w="1134" w:type="dxa"/>
            <w:vAlign w:val="center"/>
          </w:tcPr>
          <w:p w:rsidR="00013EC7" w:rsidRDefault="00575CDB">
            <w:pPr>
              <w:jc w:val="left"/>
              <w:rPr>
                <w:rFonts w:ascii="仿宋" w:eastAsia="仿宋" w:hAnsi="仿宋" w:cs="仿宋"/>
                <w:sz w:val="24"/>
              </w:rPr>
            </w:pPr>
            <w:r>
              <w:rPr>
                <w:rFonts w:ascii="仿宋" w:eastAsia="仿宋" w:hAnsi="仿宋" w:cs="仿宋" w:hint="eastAsia"/>
                <w:sz w:val="24"/>
              </w:rPr>
              <w:t>货物劳务税处</w:t>
            </w:r>
          </w:p>
        </w:tc>
        <w:tc>
          <w:tcPr>
            <w:tcW w:w="1421" w:type="dxa"/>
            <w:vAlign w:val="center"/>
          </w:tcPr>
          <w:p w:rsidR="00013EC7" w:rsidRDefault="00013EC7">
            <w:pPr>
              <w:spacing w:line="300" w:lineRule="exact"/>
              <w:jc w:val="left"/>
              <w:rPr>
                <w:rFonts w:ascii="仿宋" w:eastAsia="仿宋" w:hAnsi="仿宋" w:cs="仿宋"/>
                <w:sz w:val="24"/>
              </w:rPr>
            </w:pPr>
          </w:p>
        </w:tc>
      </w:tr>
    </w:tbl>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5262E6">
      <w:pPr>
        <w:pStyle w:val="1"/>
        <w:spacing w:before="0" w:after="0" w:line="240" w:lineRule="auto"/>
        <w:rPr>
          <w:rFonts w:ascii="宋体" w:hAnsi="宋体" w:cs="黑体"/>
          <w:szCs w:val="28"/>
        </w:rPr>
      </w:pPr>
      <w:bookmarkStart w:id="111" w:name="_Toc20883"/>
      <w:bookmarkStart w:id="112" w:name="_Toc11062"/>
      <w:r>
        <w:object w:dxaOrig="1440" w:dyaOrig="1440">
          <v:shape id="_x0000_s1333" type="#_x0000_t75" style="position:absolute;left:0;text-align:left;margin-left:4.8pt;margin-top:89.15pt;width:466.3pt;height:569.8pt;z-index:251659264;mso-wrap-distance-top:0;mso-wrap-distance-bottom:0;mso-position-vertical-relative:page;mso-width-relative:page;mso-height-relative:page">
            <v:imagedata r:id="rId84" o:title=""/>
            <o:lock v:ext="edit" aspectratio="f"/>
            <w10:wrap type="topAndBottom" anchory="page"/>
          </v:shape>
          <o:OLEObject Type="Embed" ProgID="Visio.Drawing.11" ShapeID="_x0000_s1333" DrawAspect="Content" ObjectID="_1577296175" r:id="rId85"/>
        </w:object>
      </w:r>
      <w:r>
        <w:object w:dxaOrig="1440" w:dyaOrig="1440">
          <v:shape id="对象 55" o:spid="_x0000_s1213" type="#_x0000_t75" style="position:absolute;left:0;text-align:left;margin-left:514.1pt;margin-top:100.75pt;width:498.2pt;height:586.5pt;z-index:251585536;mso-wrap-distance-left:9pt;mso-wrap-distance-top:0;mso-wrap-distance-right:9pt;mso-wrap-distance-bottom:0;mso-position-vertical-relative:page;mso-width-relative:page;mso-height-relative:page">
            <v:imagedata r:id="rId86" o:title=""/>
            <o:lock v:ext="edit" aspectratio="f"/>
            <w10:wrap type="square" anchory="page"/>
          </v:shape>
          <o:OLEObject Type="Embed" ProgID="Visio.Drawing.11" ShapeID="对象 55" DrawAspect="Content" ObjectID="_1577296176" r:id="rId87"/>
        </w:object>
      </w:r>
      <w:r w:rsidR="00575CDB">
        <w:rPr>
          <w:rFonts w:ascii="宋体" w:hAnsi="宋体" w:hint="eastAsia"/>
          <w:b/>
          <w:szCs w:val="28"/>
        </w:rPr>
        <w:br w:type="page"/>
      </w:r>
      <w:bookmarkStart w:id="113" w:name="_Toc498705683"/>
      <w:bookmarkStart w:id="114" w:name="_Toc503467381"/>
      <w:r w:rsidR="00575CDB">
        <w:rPr>
          <w:rStyle w:val="20"/>
          <w:rFonts w:hint="eastAsia"/>
        </w:rPr>
        <w:lastRenderedPageBreak/>
        <w:t>6.2</w:t>
      </w:r>
      <w:r w:rsidR="00575CDB">
        <w:rPr>
          <w:rStyle w:val="20"/>
          <w:rFonts w:hint="eastAsia"/>
        </w:rPr>
        <w:t>选择按小规模纳税人纳税</w:t>
      </w:r>
      <w:bookmarkEnd w:id="111"/>
      <w:bookmarkEnd w:id="112"/>
      <w:bookmarkEnd w:id="113"/>
      <w:bookmarkEnd w:id="114"/>
    </w:p>
    <w:p w:rsidR="00013EC7" w:rsidRDefault="00575CDB">
      <w:pPr>
        <w:jc w:val="center"/>
        <w:rPr>
          <w:rFonts w:ascii="宋体" w:hAnsi="宋体" w:cs="宋体"/>
          <w:b/>
          <w:bCs/>
          <w:sz w:val="52"/>
          <w:szCs w:val="52"/>
        </w:rPr>
      </w:pPr>
      <w:r>
        <w:rPr>
          <w:rFonts w:ascii="宋体" w:hAnsi="宋体" w:cs="宋体" w:hint="eastAsia"/>
          <w:b/>
          <w:bCs/>
          <w:sz w:val="52"/>
          <w:szCs w:val="52"/>
        </w:rPr>
        <w:t>全省“最多跑一次”事项“八统一”梳理表</w:t>
      </w:r>
    </w:p>
    <w:tbl>
      <w:tblPr>
        <w:tblW w:w="20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1250"/>
        <w:gridCol w:w="1316"/>
        <w:gridCol w:w="4526"/>
        <w:gridCol w:w="1985"/>
        <w:gridCol w:w="1134"/>
        <w:gridCol w:w="1984"/>
        <w:gridCol w:w="1134"/>
        <w:gridCol w:w="2171"/>
        <w:gridCol w:w="868"/>
        <w:gridCol w:w="930"/>
        <w:gridCol w:w="993"/>
        <w:gridCol w:w="1134"/>
        <w:gridCol w:w="1279"/>
      </w:tblGrid>
      <w:tr w:rsidR="00013EC7" w:rsidTr="004616C1">
        <w:trPr>
          <w:trHeight w:val="340"/>
          <w:tblHeader/>
          <w:jc w:val="center"/>
        </w:trPr>
        <w:tc>
          <w:tcPr>
            <w:tcW w:w="1250"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主项名称</w:t>
            </w:r>
          </w:p>
        </w:tc>
        <w:tc>
          <w:tcPr>
            <w:tcW w:w="1316"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子项名称</w:t>
            </w:r>
          </w:p>
        </w:tc>
        <w:tc>
          <w:tcPr>
            <w:tcW w:w="4526"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经办依据</w:t>
            </w:r>
          </w:p>
        </w:tc>
        <w:tc>
          <w:tcPr>
            <w:tcW w:w="3119"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原经办所需材料</w:t>
            </w:r>
          </w:p>
        </w:tc>
        <w:tc>
          <w:tcPr>
            <w:tcW w:w="5289" w:type="dxa"/>
            <w:gridSpan w:val="3"/>
            <w:vAlign w:val="center"/>
          </w:tcPr>
          <w:p w:rsidR="00013EC7" w:rsidRDefault="00575CDB">
            <w:pPr>
              <w:spacing w:line="280" w:lineRule="exact"/>
              <w:jc w:val="center"/>
              <w:rPr>
                <w:rFonts w:ascii="黑体" w:eastAsia="黑体"/>
                <w:sz w:val="24"/>
              </w:rPr>
            </w:pPr>
            <w:r>
              <w:rPr>
                <w:rFonts w:ascii="黑体" w:eastAsia="黑体" w:hint="eastAsia"/>
                <w:sz w:val="24"/>
              </w:rPr>
              <w:t>梳理后经办所需材料</w:t>
            </w:r>
          </w:p>
        </w:tc>
        <w:tc>
          <w:tcPr>
            <w:tcW w:w="1798"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办理时限</w:t>
            </w:r>
          </w:p>
        </w:tc>
        <w:tc>
          <w:tcPr>
            <w:tcW w:w="993"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是否实现跑零次</w:t>
            </w:r>
          </w:p>
        </w:tc>
        <w:tc>
          <w:tcPr>
            <w:tcW w:w="1134"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省厅对口</w:t>
            </w:r>
          </w:p>
          <w:p w:rsidR="00013EC7" w:rsidRDefault="00575CDB">
            <w:pPr>
              <w:spacing w:line="280" w:lineRule="exact"/>
              <w:jc w:val="center"/>
              <w:rPr>
                <w:rFonts w:ascii="黑体" w:eastAsia="黑体"/>
                <w:sz w:val="24"/>
              </w:rPr>
            </w:pPr>
            <w:r>
              <w:rPr>
                <w:rFonts w:ascii="黑体" w:eastAsia="黑体" w:hint="eastAsia"/>
                <w:sz w:val="24"/>
              </w:rPr>
              <w:t>指导处室</w:t>
            </w:r>
          </w:p>
          <w:p w:rsidR="00013EC7" w:rsidRDefault="00575CDB">
            <w:pPr>
              <w:spacing w:line="280" w:lineRule="exact"/>
              <w:jc w:val="center"/>
              <w:rPr>
                <w:rFonts w:ascii="黑体" w:eastAsia="黑体"/>
                <w:sz w:val="24"/>
              </w:rPr>
            </w:pPr>
            <w:r>
              <w:rPr>
                <w:rFonts w:ascii="黑体" w:eastAsia="黑体" w:hint="eastAsia"/>
                <w:sz w:val="24"/>
              </w:rPr>
              <w:t>（单位）</w:t>
            </w:r>
          </w:p>
        </w:tc>
        <w:tc>
          <w:tcPr>
            <w:tcW w:w="1279"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进一步精简、规范建议</w:t>
            </w:r>
          </w:p>
        </w:tc>
      </w:tr>
      <w:tr w:rsidR="00013EC7" w:rsidTr="004616C1">
        <w:trPr>
          <w:trHeight w:val="340"/>
          <w:tblHeader/>
          <w:jc w:val="center"/>
        </w:trPr>
        <w:tc>
          <w:tcPr>
            <w:tcW w:w="1250" w:type="dxa"/>
            <w:vMerge/>
            <w:vAlign w:val="center"/>
          </w:tcPr>
          <w:p w:rsidR="00013EC7" w:rsidRDefault="00013EC7">
            <w:pPr>
              <w:rPr>
                <w:sz w:val="24"/>
              </w:rPr>
            </w:pPr>
          </w:p>
        </w:tc>
        <w:tc>
          <w:tcPr>
            <w:tcW w:w="1316" w:type="dxa"/>
            <w:vMerge/>
          </w:tcPr>
          <w:p w:rsidR="00013EC7" w:rsidRDefault="00013EC7">
            <w:pPr>
              <w:rPr>
                <w:sz w:val="24"/>
              </w:rPr>
            </w:pPr>
          </w:p>
        </w:tc>
        <w:tc>
          <w:tcPr>
            <w:tcW w:w="4526" w:type="dxa"/>
            <w:vMerge/>
          </w:tcPr>
          <w:p w:rsidR="00013EC7" w:rsidRDefault="00013EC7">
            <w:pPr>
              <w:rPr>
                <w:sz w:val="24"/>
              </w:rPr>
            </w:pPr>
          </w:p>
        </w:tc>
        <w:tc>
          <w:tcPr>
            <w:tcW w:w="1985" w:type="dxa"/>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134"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1984" w:type="dxa"/>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134"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2171" w:type="dxa"/>
            <w:vAlign w:val="center"/>
          </w:tcPr>
          <w:p w:rsidR="00013EC7" w:rsidRDefault="00575CDB">
            <w:pPr>
              <w:spacing w:line="280" w:lineRule="exact"/>
              <w:jc w:val="center"/>
              <w:rPr>
                <w:rFonts w:ascii="黑体" w:eastAsia="黑体"/>
                <w:sz w:val="24"/>
              </w:rPr>
            </w:pPr>
            <w:r>
              <w:rPr>
                <w:rFonts w:ascii="黑体" w:eastAsia="黑体" w:hint="eastAsia"/>
                <w:sz w:val="24"/>
              </w:rPr>
              <w:t>办理方式及材料</w:t>
            </w:r>
          </w:p>
          <w:p w:rsidR="00013EC7" w:rsidRDefault="00575CDB">
            <w:pPr>
              <w:spacing w:line="280" w:lineRule="exact"/>
              <w:jc w:val="center"/>
              <w:rPr>
                <w:rFonts w:ascii="黑体" w:eastAsia="黑体"/>
                <w:sz w:val="24"/>
              </w:rPr>
            </w:pPr>
            <w:r>
              <w:rPr>
                <w:rFonts w:ascii="黑体" w:eastAsia="黑体" w:hint="eastAsia"/>
                <w:sz w:val="24"/>
              </w:rPr>
              <w:t>信息获取方式说明</w:t>
            </w:r>
          </w:p>
        </w:tc>
        <w:tc>
          <w:tcPr>
            <w:tcW w:w="868" w:type="dxa"/>
            <w:vAlign w:val="center"/>
          </w:tcPr>
          <w:p w:rsidR="00013EC7" w:rsidRDefault="00575CDB">
            <w:pPr>
              <w:spacing w:line="280" w:lineRule="exact"/>
              <w:jc w:val="center"/>
              <w:rPr>
                <w:rFonts w:ascii="黑体" w:eastAsia="黑体"/>
                <w:sz w:val="24"/>
              </w:rPr>
            </w:pPr>
            <w:r>
              <w:rPr>
                <w:rFonts w:ascii="黑体" w:eastAsia="黑体" w:hint="eastAsia"/>
                <w:sz w:val="24"/>
              </w:rPr>
              <w:t>优化前</w:t>
            </w:r>
          </w:p>
        </w:tc>
        <w:tc>
          <w:tcPr>
            <w:tcW w:w="930" w:type="dxa"/>
            <w:vAlign w:val="center"/>
          </w:tcPr>
          <w:p w:rsidR="00013EC7" w:rsidRDefault="00575CDB">
            <w:pPr>
              <w:spacing w:line="280" w:lineRule="exact"/>
              <w:jc w:val="center"/>
              <w:rPr>
                <w:rFonts w:ascii="黑体" w:eastAsia="黑体"/>
                <w:sz w:val="24"/>
              </w:rPr>
            </w:pPr>
            <w:r>
              <w:rPr>
                <w:rFonts w:ascii="黑体" w:eastAsia="黑体" w:hint="eastAsia"/>
                <w:sz w:val="24"/>
              </w:rPr>
              <w:t>优化后</w:t>
            </w:r>
          </w:p>
        </w:tc>
        <w:tc>
          <w:tcPr>
            <w:tcW w:w="993" w:type="dxa"/>
            <w:vMerge/>
            <w:vAlign w:val="center"/>
          </w:tcPr>
          <w:p w:rsidR="00013EC7" w:rsidRDefault="00013EC7">
            <w:pPr>
              <w:rPr>
                <w:sz w:val="24"/>
              </w:rPr>
            </w:pPr>
          </w:p>
        </w:tc>
        <w:tc>
          <w:tcPr>
            <w:tcW w:w="1134" w:type="dxa"/>
            <w:vMerge/>
            <w:vAlign w:val="center"/>
          </w:tcPr>
          <w:p w:rsidR="00013EC7" w:rsidRDefault="00013EC7">
            <w:pPr>
              <w:rPr>
                <w:sz w:val="24"/>
              </w:rPr>
            </w:pPr>
          </w:p>
        </w:tc>
        <w:tc>
          <w:tcPr>
            <w:tcW w:w="1279" w:type="dxa"/>
            <w:vMerge/>
            <w:vAlign w:val="center"/>
          </w:tcPr>
          <w:p w:rsidR="00013EC7" w:rsidRDefault="00013EC7">
            <w:pPr>
              <w:rPr>
                <w:sz w:val="24"/>
              </w:rPr>
            </w:pPr>
          </w:p>
        </w:tc>
      </w:tr>
      <w:tr w:rsidR="00013EC7" w:rsidTr="004616C1">
        <w:trPr>
          <w:trHeight w:val="4062"/>
          <w:jc w:val="center"/>
        </w:trPr>
        <w:tc>
          <w:tcPr>
            <w:tcW w:w="1250"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6增值税一般纳税人登记</w:t>
            </w:r>
          </w:p>
        </w:tc>
        <w:tc>
          <w:tcPr>
            <w:tcW w:w="1316" w:type="dxa"/>
            <w:vAlign w:val="center"/>
          </w:tcPr>
          <w:p w:rsidR="00013EC7" w:rsidRDefault="00575CDB">
            <w:pPr>
              <w:spacing w:line="310" w:lineRule="exact"/>
              <w:jc w:val="left"/>
              <w:rPr>
                <w:rFonts w:ascii="仿宋" w:eastAsia="仿宋" w:hAnsi="仿宋" w:cs="仿宋"/>
                <w:sz w:val="24"/>
              </w:rPr>
            </w:pPr>
            <w:r>
              <w:rPr>
                <w:rFonts w:ascii="仿宋" w:eastAsia="仿宋" w:hAnsi="仿宋" w:cs="仿宋" w:hint="eastAsia"/>
                <w:sz w:val="24"/>
              </w:rPr>
              <w:t>6.2选择按小规模纳税人纳税</w:t>
            </w:r>
          </w:p>
        </w:tc>
        <w:tc>
          <w:tcPr>
            <w:tcW w:w="4526"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（一）《中华人民共和国增值税暂行条例实施细则》（2008年财政部国家税务总局令第50号）第二十九条。</w:t>
            </w:r>
          </w:p>
          <w:p w:rsidR="00013EC7" w:rsidRDefault="00575CDB">
            <w:pPr>
              <w:spacing w:line="300" w:lineRule="exact"/>
              <w:jc w:val="left"/>
              <w:rPr>
                <w:rFonts w:ascii="仿宋" w:eastAsia="仿宋" w:hAnsi="仿宋" w:cs="仿宋"/>
                <w:sz w:val="24"/>
              </w:rPr>
            </w:pPr>
            <w:r>
              <w:rPr>
                <w:rFonts w:ascii="仿宋" w:eastAsia="仿宋" w:hAnsi="仿宋" w:cs="仿宋" w:hint="eastAsia"/>
                <w:sz w:val="24"/>
              </w:rPr>
              <w:t>（二）《增值税一般纳税人登记管理办法》（2017年国家税务总局令43号）第四条第一款、第七条。</w:t>
            </w:r>
          </w:p>
          <w:p w:rsidR="00013EC7" w:rsidRDefault="00575CDB">
            <w:pPr>
              <w:spacing w:line="300" w:lineRule="exact"/>
              <w:jc w:val="left"/>
              <w:rPr>
                <w:rFonts w:ascii="仿宋" w:eastAsia="仿宋" w:hAnsi="仿宋" w:cs="仿宋"/>
                <w:sz w:val="24"/>
              </w:rPr>
            </w:pPr>
            <w:r>
              <w:rPr>
                <w:rFonts w:ascii="仿宋" w:eastAsia="仿宋" w:hAnsi="仿宋" w:cs="仿宋" w:hint="eastAsia"/>
                <w:sz w:val="24"/>
              </w:rPr>
              <w:t>（三）《国家税务总局关于发布第三批取消进户执法项目清单的公告》（国家税务总局公告2014年第31号）全文。</w:t>
            </w:r>
          </w:p>
          <w:p w:rsidR="00013EC7" w:rsidRDefault="00575CDB">
            <w:pPr>
              <w:spacing w:line="300" w:lineRule="exact"/>
              <w:jc w:val="left"/>
              <w:rPr>
                <w:rFonts w:ascii="仿宋" w:eastAsia="仿宋" w:hAnsi="仿宋" w:cs="仿宋"/>
                <w:sz w:val="24"/>
              </w:rPr>
            </w:pPr>
            <w:r>
              <w:rPr>
                <w:rFonts w:ascii="仿宋" w:eastAsia="仿宋" w:hAnsi="仿宋" w:cs="仿宋" w:hint="eastAsia"/>
                <w:sz w:val="24"/>
              </w:rPr>
              <w:t>（四）《国家税务总局关于“三证合一”登记制度改革涉及增值税一般纳税人管理有关事项的公告》（国家税务总局公告2015年第74号）全文。</w:t>
            </w:r>
          </w:p>
          <w:p w:rsidR="00013EC7" w:rsidRDefault="00575CDB">
            <w:pPr>
              <w:spacing w:line="300" w:lineRule="exact"/>
              <w:jc w:val="left"/>
              <w:rPr>
                <w:rFonts w:ascii="仿宋" w:eastAsia="仿宋" w:hAnsi="仿宋" w:cs="仿宋"/>
                <w:sz w:val="24"/>
              </w:rPr>
            </w:pPr>
            <w:r>
              <w:rPr>
                <w:rFonts w:ascii="仿宋" w:eastAsia="仿宋" w:hAnsi="仿宋" w:cs="仿宋" w:hint="eastAsia"/>
                <w:sz w:val="24"/>
              </w:rPr>
              <w:t>（五）《国家税务总局关于全面推开营业税改征增值税试点有关税收征收管理事项的公告》（国家税务总局公告2016年第23号）第二条第七款。</w:t>
            </w:r>
          </w:p>
          <w:p w:rsidR="00013EC7" w:rsidRDefault="00013EC7">
            <w:pPr>
              <w:spacing w:line="310" w:lineRule="exact"/>
              <w:jc w:val="left"/>
              <w:rPr>
                <w:rFonts w:ascii="仿宋" w:eastAsia="仿宋" w:hAnsi="仿宋" w:cs="仿宋"/>
                <w:sz w:val="24"/>
              </w:rPr>
            </w:pPr>
          </w:p>
        </w:tc>
        <w:tc>
          <w:tcPr>
            <w:tcW w:w="1985"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（一）(A01058)《选择按小规模纳税人纳税的情况说明》</w:t>
            </w:r>
            <w:r>
              <w:rPr>
                <w:rFonts w:ascii="仿宋" w:eastAsia="仿宋" w:hAnsi="仿宋" w:cs="仿宋" w:hint="eastAsia"/>
                <w:sz w:val="24"/>
                <w:shd w:val="clear" w:color="FFFFFF" w:fill="D9D9D9"/>
              </w:rPr>
              <w:t>2份</w:t>
            </w:r>
            <w:r>
              <w:rPr>
                <w:rFonts w:ascii="仿宋" w:eastAsia="仿宋" w:hAnsi="仿宋" w:cs="仿宋" w:hint="eastAsia"/>
                <w:sz w:val="24"/>
              </w:rPr>
              <w:t>。</w:t>
            </w:r>
          </w:p>
          <w:p w:rsidR="00013EC7" w:rsidRDefault="00575CDB">
            <w:pPr>
              <w:spacing w:line="300" w:lineRule="exact"/>
              <w:jc w:val="left"/>
              <w:rPr>
                <w:rFonts w:ascii="仿宋" w:eastAsia="仿宋" w:hAnsi="仿宋" w:cs="仿宋"/>
                <w:sz w:val="24"/>
              </w:rPr>
            </w:pPr>
            <w:r>
              <w:rPr>
                <w:rFonts w:ascii="仿宋" w:eastAsia="仿宋" w:hAnsi="仿宋" w:cs="仿宋" w:hint="eastAsia"/>
                <w:sz w:val="24"/>
              </w:rPr>
              <w:t>注：个体工商户以外的其他个人年应税销售额超过规定标准的，不需要向主管税务机关提交书面说明。</w:t>
            </w:r>
          </w:p>
        </w:tc>
        <w:tc>
          <w:tcPr>
            <w:tcW w:w="1134"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纳税人提交</w:t>
            </w:r>
          </w:p>
        </w:tc>
        <w:tc>
          <w:tcPr>
            <w:tcW w:w="1984"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（一）(A01058)《选择按小规模纳税人纳税的情况说明》1份。</w:t>
            </w:r>
          </w:p>
          <w:p w:rsidR="00013EC7" w:rsidRDefault="00575CDB">
            <w:pPr>
              <w:spacing w:line="300" w:lineRule="exact"/>
              <w:jc w:val="left"/>
              <w:rPr>
                <w:rFonts w:ascii="仿宋" w:eastAsia="仿宋" w:hAnsi="仿宋" w:cs="仿宋"/>
                <w:sz w:val="24"/>
              </w:rPr>
            </w:pPr>
            <w:r>
              <w:rPr>
                <w:rFonts w:ascii="仿宋" w:eastAsia="仿宋" w:hAnsi="仿宋" w:cs="仿宋" w:hint="eastAsia"/>
                <w:sz w:val="24"/>
              </w:rPr>
              <w:t>注：个体工商户以外的其他个人年应税销售额超过规定标准的，不需要向主管税务机关提交书面说明。</w:t>
            </w:r>
          </w:p>
        </w:tc>
        <w:tc>
          <w:tcPr>
            <w:tcW w:w="1134" w:type="dxa"/>
            <w:vAlign w:val="center"/>
          </w:tcPr>
          <w:p w:rsidR="00013EC7" w:rsidRDefault="00575CDB">
            <w:pPr>
              <w:spacing w:line="300" w:lineRule="exact"/>
              <w:jc w:val="left"/>
              <w:rPr>
                <w:rFonts w:ascii="仿宋" w:eastAsia="仿宋" w:hAnsi="仿宋" w:cs="仿宋"/>
                <w:bCs/>
                <w:iCs/>
                <w:sz w:val="24"/>
              </w:rPr>
            </w:pPr>
            <w:r>
              <w:rPr>
                <w:rFonts w:ascii="仿宋" w:eastAsia="仿宋" w:hAnsi="仿宋" w:cs="仿宋" w:hint="eastAsia"/>
                <w:bCs/>
                <w:iCs/>
                <w:sz w:val="24"/>
              </w:rPr>
              <w:t>纳税人提交</w:t>
            </w:r>
          </w:p>
        </w:tc>
        <w:tc>
          <w:tcPr>
            <w:tcW w:w="2171"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纳税人提交书面材料。</w:t>
            </w:r>
          </w:p>
          <w:p w:rsidR="00013EC7" w:rsidRDefault="00575CDB">
            <w:pPr>
              <w:spacing w:line="300" w:lineRule="exact"/>
              <w:jc w:val="left"/>
              <w:rPr>
                <w:rFonts w:ascii="仿宋" w:eastAsia="仿宋" w:hAnsi="仿宋" w:cs="仿宋"/>
                <w:sz w:val="24"/>
              </w:rPr>
            </w:pPr>
            <w:r>
              <w:rPr>
                <w:rFonts w:ascii="仿宋" w:eastAsia="仿宋" w:hAnsi="仿宋" w:cs="仿宋" w:hint="eastAsia"/>
                <w:b/>
                <w:sz w:val="24"/>
              </w:rPr>
              <w:t>网上办理：</w:t>
            </w:r>
            <w:r>
              <w:rPr>
                <w:rFonts w:ascii="仿宋" w:eastAsia="仿宋" w:hAnsi="仿宋" w:cs="仿宋" w:hint="eastAsia"/>
                <w:sz w:val="24"/>
              </w:rPr>
              <w:t>登录浙江国税电子税务局（网址：http://etax.zjtax.gov.cn/）提交申请。</w:t>
            </w:r>
          </w:p>
        </w:tc>
        <w:tc>
          <w:tcPr>
            <w:tcW w:w="868" w:type="dxa"/>
            <w:vAlign w:val="center"/>
          </w:tcPr>
          <w:p w:rsidR="00013EC7" w:rsidRDefault="00575CDB">
            <w:pPr>
              <w:jc w:val="left"/>
              <w:rPr>
                <w:rFonts w:ascii="仿宋" w:eastAsia="仿宋" w:hAnsi="仿宋" w:cs="仿宋"/>
                <w:sz w:val="24"/>
              </w:rPr>
            </w:pPr>
            <w:r>
              <w:rPr>
                <w:rFonts w:ascii="仿宋" w:eastAsia="仿宋" w:hAnsi="仿宋" w:cs="仿宋" w:hint="eastAsia"/>
                <w:sz w:val="24"/>
              </w:rPr>
              <w:t>即时办结</w:t>
            </w:r>
          </w:p>
        </w:tc>
        <w:tc>
          <w:tcPr>
            <w:tcW w:w="930" w:type="dxa"/>
            <w:vAlign w:val="center"/>
          </w:tcPr>
          <w:p w:rsidR="00013EC7" w:rsidRDefault="00575CDB">
            <w:pPr>
              <w:jc w:val="left"/>
              <w:rPr>
                <w:rFonts w:ascii="仿宋" w:eastAsia="仿宋" w:hAnsi="仿宋" w:cs="仿宋"/>
                <w:sz w:val="24"/>
              </w:rPr>
            </w:pPr>
            <w:r>
              <w:rPr>
                <w:rFonts w:ascii="仿宋" w:eastAsia="仿宋" w:hAnsi="仿宋" w:cs="仿宋" w:hint="eastAsia"/>
                <w:sz w:val="24"/>
              </w:rPr>
              <w:t>即时办结</w:t>
            </w:r>
          </w:p>
        </w:tc>
        <w:tc>
          <w:tcPr>
            <w:tcW w:w="993" w:type="dxa"/>
            <w:vAlign w:val="center"/>
          </w:tcPr>
          <w:p w:rsidR="00013EC7" w:rsidRDefault="00575CDB">
            <w:pPr>
              <w:jc w:val="left"/>
              <w:rPr>
                <w:rFonts w:ascii="仿宋" w:eastAsia="仿宋" w:hAnsi="仿宋" w:cs="仿宋"/>
                <w:sz w:val="24"/>
              </w:rPr>
            </w:pPr>
            <w:r>
              <w:rPr>
                <w:rFonts w:ascii="仿宋" w:eastAsia="仿宋" w:hAnsi="仿宋" w:cs="仿宋" w:hint="eastAsia"/>
                <w:sz w:val="24"/>
              </w:rPr>
              <w:t>是</w:t>
            </w:r>
          </w:p>
        </w:tc>
        <w:tc>
          <w:tcPr>
            <w:tcW w:w="1134" w:type="dxa"/>
            <w:vAlign w:val="center"/>
          </w:tcPr>
          <w:p w:rsidR="00013EC7" w:rsidRDefault="00575CDB">
            <w:pPr>
              <w:jc w:val="left"/>
              <w:rPr>
                <w:rFonts w:ascii="仿宋" w:eastAsia="仿宋" w:hAnsi="仿宋" w:cs="仿宋"/>
                <w:sz w:val="24"/>
              </w:rPr>
            </w:pPr>
            <w:r>
              <w:rPr>
                <w:rFonts w:ascii="仿宋" w:eastAsia="仿宋" w:hAnsi="仿宋" w:cs="仿宋" w:hint="eastAsia"/>
                <w:sz w:val="24"/>
              </w:rPr>
              <w:t>货物劳务税处</w:t>
            </w:r>
          </w:p>
        </w:tc>
        <w:tc>
          <w:tcPr>
            <w:tcW w:w="1279" w:type="dxa"/>
            <w:vAlign w:val="center"/>
          </w:tcPr>
          <w:p w:rsidR="00013EC7" w:rsidRDefault="00013EC7">
            <w:pPr>
              <w:jc w:val="left"/>
              <w:rPr>
                <w:rFonts w:ascii="仿宋" w:eastAsia="仿宋" w:hAnsi="仿宋" w:cs="仿宋"/>
                <w:sz w:val="24"/>
              </w:rPr>
            </w:pPr>
          </w:p>
        </w:tc>
      </w:tr>
    </w:tbl>
    <w:p w:rsidR="00013EC7" w:rsidRDefault="00013EC7">
      <w:pPr>
        <w:rPr>
          <w:rFonts w:eastAsia="方正书宋简体"/>
          <w:szCs w:val="21"/>
        </w:rPr>
      </w:pPr>
    </w:p>
    <w:p w:rsidR="00013EC7" w:rsidRPr="004616C1" w:rsidRDefault="005262E6" w:rsidP="004616C1">
      <w:pPr>
        <w:rPr>
          <w:rFonts w:eastAsia="方正书宋简体"/>
          <w:szCs w:val="21"/>
        </w:rPr>
      </w:pPr>
      <w:r>
        <w:lastRenderedPageBreak/>
        <w:object w:dxaOrig="1440" w:dyaOrig="1440">
          <v:shape id="对象 8" o:spid="_x0000_s1216" type="#_x0000_t75" alt="5928676981508729125595" style="position:absolute;left:0;text-align:left;margin-left:583.65pt;margin-top:119.7pt;width:438.45pt;height:693.4pt;z-index:251586560;mso-wrap-distance-top:0;mso-wrap-distance-bottom:0;mso-position-vertical-relative:page;mso-width-relative:page;mso-height-relative:page">
            <v:imagedata r:id="rId88" o:title=""/>
            <w10:wrap type="topAndBottom" anchory="page"/>
          </v:shape>
          <o:OLEObject Type="Embed" ProgID="Visio.Drawing.11" ShapeID="对象 8" DrawAspect="Content" ObjectID="_1577296177" r:id="rId89"/>
        </w:object>
      </w:r>
      <w:r>
        <w:object w:dxaOrig="1440" w:dyaOrig="1440">
          <v:shape id="对象 201" o:spid="_x0000_s1217" type="#_x0000_t75" alt="" style="position:absolute;left:0;text-align:left;margin-left:18.75pt;margin-top:126.35pt;width:508.95pt;height:612.05pt;z-index:251587584;mso-wrap-distance-top:0;mso-wrap-distance-bottom:0;mso-position-vertical-relative:page;mso-width-relative:page;mso-height-relative:page">
            <v:imagedata r:id="rId90" o:title=""/>
            <o:lock v:ext="edit" aspectratio="f"/>
            <w10:wrap type="topAndBottom" anchory="page"/>
          </v:shape>
          <o:OLEObject Type="Embed" ProgID="Visio.Drawing.11" ShapeID="对象 201" DrawAspect="Content" ObjectID="_1577296178" r:id="rId91"/>
        </w:object>
      </w:r>
      <w:bookmarkStart w:id="115" w:name="_Toc498705698"/>
    </w:p>
    <w:p w:rsidR="00013EC7" w:rsidRDefault="00575CDB">
      <w:pPr>
        <w:pStyle w:val="1"/>
      </w:pPr>
      <w:bookmarkStart w:id="116" w:name="_Toc17855"/>
      <w:bookmarkStart w:id="117" w:name="_Toc16678"/>
      <w:bookmarkStart w:id="118" w:name="_Toc503467382"/>
      <w:bookmarkStart w:id="119" w:name="_Toc24437"/>
      <w:r>
        <w:rPr>
          <w:rFonts w:hint="eastAsia"/>
        </w:rPr>
        <w:lastRenderedPageBreak/>
        <w:t>七、非居民企业相关事项办理</w:t>
      </w:r>
      <w:bookmarkEnd w:id="116"/>
      <w:bookmarkEnd w:id="117"/>
      <w:bookmarkEnd w:id="118"/>
      <w:bookmarkEnd w:id="119"/>
    </w:p>
    <w:p w:rsidR="00013EC7" w:rsidRDefault="00575CDB">
      <w:pPr>
        <w:pStyle w:val="2"/>
      </w:pPr>
      <w:bookmarkStart w:id="120" w:name="_Toc503467383"/>
      <w:bookmarkStart w:id="121" w:name="_Toc7832"/>
      <w:bookmarkStart w:id="122" w:name="_Toc24522"/>
      <w:bookmarkStart w:id="123" w:name="_Toc563"/>
      <w:r>
        <w:rPr>
          <w:rFonts w:hint="eastAsia"/>
        </w:rPr>
        <w:t>7.1</w:t>
      </w:r>
      <w:r>
        <w:rPr>
          <w:rFonts w:hint="eastAsia"/>
        </w:rPr>
        <w:t>非居民合同项目备案</w:t>
      </w:r>
      <w:bookmarkEnd w:id="115"/>
      <w:bookmarkEnd w:id="120"/>
      <w:bookmarkEnd w:id="121"/>
      <w:bookmarkEnd w:id="122"/>
      <w:bookmarkEnd w:id="123"/>
    </w:p>
    <w:p w:rsidR="00013EC7" w:rsidRDefault="00575CDB">
      <w:pPr>
        <w:jc w:val="center"/>
        <w:rPr>
          <w:rFonts w:ascii="宋体" w:hAnsi="宋体" w:cs="宋体"/>
          <w:b/>
          <w:bCs/>
          <w:sz w:val="52"/>
          <w:szCs w:val="52"/>
        </w:rPr>
      </w:pPr>
      <w:r>
        <w:rPr>
          <w:rFonts w:ascii="宋体" w:hAnsi="宋体" w:cs="宋体" w:hint="eastAsia"/>
          <w:b/>
          <w:bCs/>
          <w:sz w:val="52"/>
          <w:szCs w:val="52"/>
        </w:rPr>
        <w:t>全省“最多跑一次”事项“八统一”梳理表</w:t>
      </w:r>
    </w:p>
    <w:tbl>
      <w:tblPr>
        <w:tblW w:w="202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1226"/>
        <w:gridCol w:w="1291"/>
        <w:gridCol w:w="1833"/>
        <w:gridCol w:w="2861"/>
        <w:gridCol w:w="1104"/>
        <w:gridCol w:w="2303"/>
        <w:gridCol w:w="1343"/>
        <w:gridCol w:w="3114"/>
        <w:gridCol w:w="874"/>
        <w:gridCol w:w="805"/>
        <w:gridCol w:w="955"/>
        <w:gridCol w:w="1092"/>
        <w:gridCol w:w="1441"/>
      </w:tblGrid>
      <w:tr w:rsidR="00013EC7" w:rsidTr="0070369A">
        <w:trPr>
          <w:trHeight w:val="340"/>
          <w:tblHeader/>
          <w:jc w:val="center"/>
        </w:trPr>
        <w:tc>
          <w:tcPr>
            <w:tcW w:w="1226"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主项名称</w:t>
            </w:r>
          </w:p>
        </w:tc>
        <w:tc>
          <w:tcPr>
            <w:tcW w:w="1291"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子项名称</w:t>
            </w:r>
          </w:p>
        </w:tc>
        <w:tc>
          <w:tcPr>
            <w:tcW w:w="1833"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经办依据</w:t>
            </w:r>
          </w:p>
        </w:tc>
        <w:tc>
          <w:tcPr>
            <w:tcW w:w="3965"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原经办所需材料</w:t>
            </w:r>
          </w:p>
        </w:tc>
        <w:tc>
          <w:tcPr>
            <w:tcW w:w="6760" w:type="dxa"/>
            <w:gridSpan w:val="3"/>
            <w:vAlign w:val="center"/>
          </w:tcPr>
          <w:p w:rsidR="00013EC7" w:rsidRDefault="00575CDB">
            <w:pPr>
              <w:spacing w:line="280" w:lineRule="exact"/>
              <w:jc w:val="center"/>
              <w:rPr>
                <w:rFonts w:ascii="黑体" w:eastAsia="黑体"/>
                <w:sz w:val="24"/>
              </w:rPr>
            </w:pPr>
            <w:r>
              <w:rPr>
                <w:rFonts w:ascii="黑体" w:eastAsia="黑体" w:hint="eastAsia"/>
                <w:sz w:val="24"/>
              </w:rPr>
              <w:t>梳理后经办所需材料</w:t>
            </w:r>
          </w:p>
        </w:tc>
        <w:tc>
          <w:tcPr>
            <w:tcW w:w="1679"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办理时限</w:t>
            </w:r>
          </w:p>
        </w:tc>
        <w:tc>
          <w:tcPr>
            <w:tcW w:w="955"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是否实现跑零次</w:t>
            </w:r>
          </w:p>
        </w:tc>
        <w:tc>
          <w:tcPr>
            <w:tcW w:w="1092"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省厅对口</w:t>
            </w:r>
          </w:p>
          <w:p w:rsidR="00013EC7" w:rsidRDefault="00575CDB">
            <w:pPr>
              <w:spacing w:line="280" w:lineRule="exact"/>
              <w:jc w:val="center"/>
              <w:rPr>
                <w:rFonts w:ascii="黑体" w:eastAsia="黑体"/>
                <w:sz w:val="24"/>
              </w:rPr>
            </w:pPr>
            <w:r>
              <w:rPr>
                <w:rFonts w:ascii="黑体" w:eastAsia="黑体" w:hint="eastAsia"/>
                <w:sz w:val="24"/>
              </w:rPr>
              <w:t>指导处室</w:t>
            </w:r>
          </w:p>
          <w:p w:rsidR="00013EC7" w:rsidRDefault="00575CDB">
            <w:pPr>
              <w:spacing w:line="280" w:lineRule="exact"/>
              <w:jc w:val="center"/>
              <w:rPr>
                <w:rFonts w:ascii="黑体" w:eastAsia="黑体"/>
                <w:sz w:val="24"/>
              </w:rPr>
            </w:pPr>
            <w:r>
              <w:rPr>
                <w:rFonts w:ascii="黑体" w:eastAsia="黑体" w:hint="eastAsia"/>
                <w:sz w:val="24"/>
              </w:rPr>
              <w:t>（单位）</w:t>
            </w:r>
          </w:p>
        </w:tc>
        <w:tc>
          <w:tcPr>
            <w:tcW w:w="1441"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进一步精简、</w:t>
            </w:r>
          </w:p>
          <w:p w:rsidR="00013EC7" w:rsidRDefault="00575CDB">
            <w:pPr>
              <w:spacing w:line="280" w:lineRule="exact"/>
              <w:jc w:val="center"/>
              <w:rPr>
                <w:rFonts w:ascii="黑体" w:eastAsia="黑体"/>
                <w:sz w:val="24"/>
              </w:rPr>
            </w:pPr>
            <w:r>
              <w:rPr>
                <w:rFonts w:ascii="黑体" w:eastAsia="黑体" w:hint="eastAsia"/>
                <w:sz w:val="24"/>
              </w:rPr>
              <w:t>规范建议</w:t>
            </w:r>
          </w:p>
        </w:tc>
      </w:tr>
      <w:tr w:rsidR="00013EC7" w:rsidTr="0070369A">
        <w:trPr>
          <w:trHeight w:val="340"/>
          <w:tblHeader/>
          <w:jc w:val="center"/>
        </w:trPr>
        <w:tc>
          <w:tcPr>
            <w:tcW w:w="1226" w:type="dxa"/>
            <w:vMerge/>
            <w:vAlign w:val="center"/>
          </w:tcPr>
          <w:p w:rsidR="00013EC7" w:rsidRDefault="00013EC7">
            <w:pPr>
              <w:widowControl/>
              <w:jc w:val="left"/>
              <w:rPr>
                <w:rFonts w:ascii="黑体" w:eastAsia="黑体"/>
                <w:sz w:val="24"/>
              </w:rPr>
            </w:pPr>
          </w:p>
        </w:tc>
        <w:tc>
          <w:tcPr>
            <w:tcW w:w="1291" w:type="dxa"/>
            <w:vMerge/>
            <w:vAlign w:val="center"/>
          </w:tcPr>
          <w:p w:rsidR="00013EC7" w:rsidRDefault="00013EC7">
            <w:pPr>
              <w:widowControl/>
              <w:jc w:val="left"/>
              <w:rPr>
                <w:rFonts w:ascii="黑体" w:eastAsia="黑体"/>
                <w:sz w:val="24"/>
              </w:rPr>
            </w:pPr>
          </w:p>
        </w:tc>
        <w:tc>
          <w:tcPr>
            <w:tcW w:w="1833" w:type="dxa"/>
            <w:vMerge/>
            <w:vAlign w:val="center"/>
          </w:tcPr>
          <w:p w:rsidR="00013EC7" w:rsidRDefault="00013EC7">
            <w:pPr>
              <w:widowControl/>
              <w:jc w:val="left"/>
              <w:rPr>
                <w:rFonts w:ascii="黑体" w:eastAsia="黑体"/>
                <w:sz w:val="24"/>
              </w:rPr>
            </w:pPr>
          </w:p>
        </w:tc>
        <w:tc>
          <w:tcPr>
            <w:tcW w:w="2861" w:type="dxa"/>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104"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2303" w:type="dxa"/>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343"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3114" w:type="dxa"/>
            <w:vAlign w:val="center"/>
          </w:tcPr>
          <w:p w:rsidR="00013EC7" w:rsidRDefault="00575CDB">
            <w:pPr>
              <w:spacing w:line="280" w:lineRule="exact"/>
              <w:jc w:val="center"/>
              <w:rPr>
                <w:rFonts w:ascii="黑体" w:eastAsia="黑体"/>
                <w:sz w:val="24"/>
              </w:rPr>
            </w:pPr>
            <w:r>
              <w:rPr>
                <w:rFonts w:ascii="黑体" w:eastAsia="黑体" w:hint="eastAsia"/>
                <w:sz w:val="24"/>
              </w:rPr>
              <w:t>办理方式及材料</w:t>
            </w:r>
          </w:p>
          <w:p w:rsidR="00013EC7" w:rsidRDefault="00575CDB">
            <w:pPr>
              <w:spacing w:line="280" w:lineRule="exact"/>
              <w:jc w:val="center"/>
              <w:rPr>
                <w:rFonts w:ascii="黑体" w:eastAsia="黑体"/>
                <w:sz w:val="24"/>
              </w:rPr>
            </w:pPr>
            <w:r>
              <w:rPr>
                <w:rFonts w:ascii="黑体" w:eastAsia="黑体" w:hint="eastAsia"/>
                <w:sz w:val="24"/>
              </w:rPr>
              <w:t>信息获取方式说明</w:t>
            </w:r>
          </w:p>
        </w:tc>
        <w:tc>
          <w:tcPr>
            <w:tcW w:w="874" w:type="dxa"/>
            <w:vAlign w:val="center"/>
          </w:tcPr>
          <w:p w:rsidR="00013EC7" w:rsidRDefault="00575CDB">
            <w:pPr>
              <w:spacing w:line="280" w:lineRule="exact"/>
              <w:jc w:val="center"/>
              <w:rPr>
                <w:rFonts w:ascii="黑体" w:eastAsia="黑体"/>
                <w:sz w:val="24"/>
              </w:rPr>
            </w:pPr>
            <w:r>
              <w:rPr>
                <w:rFonts w:ascii="黑体" w:eastAsia="黑体" w:hint="eastAsia"/>
                <w:sz w:val="24"/>
              </w:rPr>
              <w:t>优化前</w:t>
            </w:r>
          </w:p>
        </w:tc>
        <w:tc>
          <w:tcPr>
            <w:tcW w:w="805" w:type="dxa"/>
            <w:vAlign w:val="center"/>
          </w:tcPr>
          <w:p w:rsidR="00013EC7" w:rsidRDefault="00575CDB">
            <w:pPr>
              <w:spacing w:line="280" w:lineRule="exact"/>
              <w:jc w:val="center"/>
              <w:rPr>
                <w:rFonts w:ascii="黑体" w:eastAsia="黑体"/>
                <w:sz w:val="24"/>
              </w:rPr>
            </w:pPr>
            <w:r>
              <w:rPr>
                <w:rFonts w:ascii="黑体" w:eastAsia="黑体" w:hint="eastAsia"/>
                <w:sz w:val="24"/>
              </w:rPr>
              <w:t>优化后</w:t>
            </w:r>
          </w:p>
        </w:tc>
        <w:tc>
          <w:tcPr>
            <w:tcW w:w="955" w:type="dxa"/>
            <w:vMerge/>
            <w:vAlign w:val="center"/>
          </w:tcPr>
          <w:p w:rsidR="00013EC7" w:rsidRDefault="00013EC7">
            <w:pPr>
              <w:widowControl/>
              <w:jc w:val="left"/>
              <w:rPr>
                <w:rFonts w:ascii="黑体" w:eastAsia="黑体"/>
                <w:sz w:val="24"/>
              </w:rPr>
            </w:pPr>
          </w:p>
        </w:tc>
        <w:tc>
          <w:tcPr>
            <w:tcW w:w="1092" w:type="dxa"/>
            <w:vMerge/>
            <w:vAlign w:val="center"/>
          </w:tcPr>
          <w:p w:rsidR="00013EC7" w:rsidRDefault="00013EC7">
            <w:pPr>
              <w:widowControl/>
              <w:jc w:val="left"/>
              <w:rPr>
                <w:rFonts w:ascii="黑体" w:eastAsia="黑体"/>
                <w:sz w:val="24"/>
              </w:rPr>
            </w:pPr>
          </w:p>
        </w:tc>
        <w:tc>
          <w:tcPr>
            <w:tcW w:w="1441" w:type="dxa"/>
            <w:vMerge/>
            <w:vAlign w:val="center"/>
          </w:tcPr>
          <w:p w:rsidR="00013EC7" w:rsidRDefault="00013EC7">
            <w:pPr>
              <w:widowControl/>
              <w:jc w:val="left"/>
              <w:rPr>
                <w:rFonts w:ascii="黑体" w:eastAsia="黑体"/>
                <w:sz w:val="24"/>
              </w:rPr>
            </w:pPr>
          </w:p>
        </w:tc>
      </w:tr>
      <w:tr w:rsidR="00013EC7" w:rsidTr="0070369A">
        <w:trPr>
          <w:trHeight w:val="1475"/>
          <w:jc w:val="center"/>
        </w:trPr>
        <w:tc>
          <w:tcPr>
            <w:tcW w:w="1226"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7非居民企业相关事项办理</w:t>
            </w:r>
          </w:p>
        </w:tc>
        <w:tc>
          <w:tcPr>
            <w:tcW w:w="1291" w:type="dxa"/>
            <w:vMerge w:val="restart"/>
            <w:vAlign w:val="center"/>
          </w:tcPr>
          <w:p w:rsidR="00013EC7" w:rsidRDefault="00575CDB">
            <w:pPr>
              <w:spacing w:line="310" w:lineRule="exact"/>
              <w:jc w:val="left"/>
              <w:rPr>
                <w:rFonts w:ascii="仿宋" w:eastAsia="仿宋" w:hAnsi="仿宋" w:cs="仿宋"/>
                <w:sz w:val="24"/>
              </w:rPr>
            </w:pPr>
            <w:r>
              <w:rPr>
                <w:rFonts w:ascii="仿宋" w:eastAsia="仿宋" w:hAnsi="仿宋" w:cs="仿宋" w:hint="eastAsia"/>
                <w:sz w:val="24"/>
              </w:rPr>
              <w:t>7.1非居民合同项目备案</w:t>
            </w:r>
          </w:p>
        </w:tc>
        <w:tc>
          <w:tcPr>
            <w:tcW w:w="1833" w:type="dxa"/>
            <w:vMerge w:val="restart"/>
            <w:vAlign w:val="center"/>
          </w:tcPr>
          <w:p w:rsidR="00013EC7" w:rsidRDefault="00575CDB">
            <w:pPr>
              <w:spacing w:line="310" w:lineRule="exact"/>
              <w:jc w:val="left"/>
              <w:rPr>
                <w:rFonts w:ascii="仿宋" w:eastAsia="仿宋" w:hAnsi="仿宋" w:cs="仿宋"/>
                <w:sz w:val="24"/>
              </w:rPr>
            </w:pPr>
            <w:r>
              <w:rPr>
                <w:rFonts w:ascii="仿宋" w:eastAsia="仿宋" w:hAnsi="仿宋" w:cs="仿宋" w:hint="eastAsia"/>
                <w:sz w:val="24"/>
              </w:rPr>
              <w:t>（一）《非居民承包工程作业和提供劳务税收管理暂行办法》（2009年国家税务总局令第19号）第五条、第七条。</w:t>
            </w:r>
          </w:p>
        </w:tc>
        <w:tc>
          <w:tcPr>
            <w:tcW w:w="2861"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（一）《境内机构和个人发包工程作业或劳务项目报告表》。</w:t>
            </w:r>
          </w:p>
        </w:tc>
        <w:tc>
          <w:tcPr>
            <w:tcW w:w="1104" w:type="dxa"/>
            <w:vMerge w:val="restart"/>
            <w:vAlign w:val="center"/>
          </w:tcPr>
          <w:p w:rsidR="00013EC7" w:rsidRDefault="00575CDB">
            <w:pPr>
              <w:jc w:val="left"/>
              <w:rPr>
                <w:rFonts w:ascii="仿宋" w:eastAsia="仿宋" w:hAnsi="仿宋" w:cs="仿宋"/>
                <w:sz w:val="24"/>
              </w:rPr>
            </w:pPr>
            <w:r>
              <w:rPr>
                <w:rFonts w:ascii="仿宋" w:eastAsia="仿宋" w:hAnsi="仿宋" w:cs="仿宋" w:hint="eastAsia"/>
                <w:sz w:val="24"/>
              </w:rPr>
              <w:t>申请备案的境内机构和个人发包方提交</w:t>
            </w:r>
          </w:p>
          <w:p w:rsidR="00013EC7" w:rsidRDefault="00013EC7">
            <w:pPr>
              <w:spacing w:line="300" w:lineRule="exact"/>
              <w:rPr>
                <w:rFonts w:ascii="仿宋" w:eastAsia="仿宋" w:hAnsi="仿宋" w:cs="仿宋"/>
                <w:sz w:val="24"/>
              </w:rPr>
            </w:pPr>
          </w:p>
        </w:tc>
        <w:tc>
          <w:tcPr>
            <w:tcW w:w="2303" w:type="dxa"/>
            <w:vAlign w:val="center"/>
          </w:tcPr>
          <w:p w:rsidR="00013EC7" w:rsidRDefault="00575CDB">
            <w:pPr>
              <w:jc w:val="left"/>
              <w:rPr>
                <w:rFonts w:ascii="仿宋" w:eastAsia="仿宋" w:hAnsi="仿宋" w:cs="仿宋"/>
                <w:sz w:val="24"/>
              </w:rPr>
            </w:pPr>
            <w:r>
              <w:rPr>
                <w:rFonts w:ascii="仿宋" w:eastAsia="仿宋" w:hAnsi="仿宋" w:cs="仿宋" w:hint="eastAsia"/>
                <w:sz w:val="24"/>
              </w:rPr>
              <w:t>（一）《境内机构和个人发包工程作业或劳务项目报告表》</w:t>
            </w:r>
            <w:r>
              <w:rPr>
                <w:rFonts w:ascii="仿宋" w:eastAsia="仿宋" w:hAnsi="仿宋" w:cs="仿宋" w:hint="eastAsia"/>
                <w:sz w:val="24"/>
                <w:shd w:val="clear" w:color="auto" w:fill="D9D9D9"/>
              </w:rPr>
              <w:t>1份</w:t>
            </w:r>
            <w:r>
              <w:rPr>
                <w:rFonts w:ascii="仿宋" w:eastAsia="仿宋" w:hAnsi="仿宋" w:cs="仿宋" w:hint="eastAsia"/>
                <w:sz w:val="24"/>
              </w:rPr>
              <w:t>。</w:t>
            </w:r>
          </w:p>
        </w:tc>
        <w:tc>
          <w:tcPr>
            <w:tcW w:w="1343" w:type="dxa"/>
            <w:vAlign w:val="center"/>
          </w:tcPr>
          <w:p w:rsidR="00013EC7" w:rsidRDefault="00575CDB">
            <w:pPr>
              <w:jc w:val="left"/>
              <w:rPr>
                <w:rFonts w:ascii="仿宋" w:eastAsia="仿宋" w:hAnsi="仿宋" w:cs="仿宋"/>
                <w:b/>
                <w:bCs/>
                <w:i/>
                <w:iCs/>
                <w:sz w:val="24"/>
              </w:rPr>
            </w:pPr>
            <w:r>
              <w:rPr>
                <w:rFonts w:ascii="仿宋" w:eastAsia="仿宋" w:hAnsi="仿宋" w:cs="仿宋" w:hint="eastAsia"/>
                <w:sz w:val="24"/>
              </w:rPr>
              <w:t>申请备案的境内机构和个人发包方提交</w:t>
            </w:r>
          </w:p>
        </w:tc>
        <w:tc>
          <w:tcPr>
            <w:tcW w:w="3114"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纳税人提交书面材料；</w:t>
            </w:r>
          </w:p>
          <w:p w:rsidR="00013EC7" w:rsidRDefault="00575CDB">
            <w:pPr>
              <w:spacing w:line="300" w:lineRule="exact"/>
              <w:jc w:val="left"/>
              <w:rPr>
                <w:rFonts w:ascii="仿宋" w:eastAsia="仿宋" w:hAnsi="仿宋" w:cs="仿宋"/>
                <w:sz w:val="24"/>
              </w:rPr>
            </w:pPr>
            <w:r>
              <w:rPr>
                <w:rFonts w:ascii="仿宋" w:eastAsia="仿宋" w:hAnsi="仿宋" w:cs="仿宋" w:hint="eastAsia"/>
                <w:b/>
                <w:sz w:val="24"/>
              </w:rPr>
              <w:t>网上办理：</w:t>
            </w:r>
            <w:r>
              <w:rPr>
                <w:rFonts w:ascii="仿宋" w:eastAsia="仿宋" w:hAnsi="仿宋" w:cs="仿宋" w:hint="eastAsia"/>
                <w:sz w:val="24"/>
              </w:rPr>
              <w:t>登录浙江国税电子税务局（网址：http://etax.zjtax.gov.cn/</w:t>
            </w:r>
          </w:p>
          <w:p w:rsidR="00013EC7" w:rsidRDefault="00575CDB">
            <w:pPr>
              <w:spacing w:line="300" w:lineRule="exact"/>
              <w:jc w:val="left"/>
              <w:rPr>
                <w:rFonts w:ascii="仿宋" w:eastAsia="仿宋" w:hAnsi="仿宋" w:cs="仿宋"/>
                <w:sz w:val="24"/>
              </w:rPr>
            </w:pPr>
            <w:r>
              <w:rPr>
                <w:rFonts w:ascii="仿宋" w:eastAsia="仿宋" w:hAnsi="仿宋" w:cs="仿宋" w:hint="eastAsia"/>
                <w:sz w:val="24"/>
              </w:rPr>
              <w:t>）提交申请。</w:t>
            </w:r>
          </w:p>
          <w:p w:rsidR="00013EC7" w:rsidRDefault="00013EC7">
            <w:pPr>
              <w:spacing w:line="300" w:lineRule="exact"/>
              <w:jc w:val="left"/>
              <w:rPr>
                <w:rFonts w:ascii="仿宋" w:eastAsia="仿宋" w:hAnsi="仿宋" w:cs="仿宋"/>
                <w:sz w:val="24"/>
              </w:rPr>
            </w:pPr>
          </w:p>
        </w:tc>
        <w:tc>
          <w:tcPr>
            <w:tcW w:w="874"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即时办结</w:t>
            </w:r>
          </w:p>
        </w:tc>
        <w:tc>
          <w:tcPr>
            <w:tcW w:w="805"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即时办结</w:t>
            </w:r>
          </w:p>
        </w:tc>
        <w:tc>
          <w:tcPr>
            <w:tcW w:w="955"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是</w:t>
            </w:r>
          </w:p>
        </w:tc>
        <w:tc>
          <w:tcPr>
            <w:tcW w:w="1092"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国际税务处</w:t>
            </w:r>
          </w:p>
        </w:tc>
        <w:tc>
          <w:tcPr>
            <w:tcW w:w="1441" w:type="dxa"/>
            <w:vMerge w:val="restart"/>
            <w:vAlign w:val="center"/>
          </w:tcPr>
          <w:p w:rsidR="00013EC7" w:rsidRDefault="00013EC7">
            <w:pPr>
              <w:spacing w:line="300" w:lineRule="exact"/>
              <w:jc w:val="left"/>
              <w:rPr>
                <w:rFonts w:ascii="仿宋" w:eastAsia="仿宋" w:hAnsi="仿宋" w:cs="仿宋"/>
                <w:sz w:val="24"/>
              </w:rPr>
            </w:pPr>
          </w:p>
        </w:tc>
      </w:tr>
      <w:tr w:rsidR="00013EC7" w:rsidTr="0070369A">
        <w:trPr>
          <w:trHeight w:val="77"/>
          <w:jc w:val="center"/>
        </w:trPr>
        <w:tc>
          <w:tcPr>
            <w:tcW w:w="1226" w:type="dxa"/>
            <w:vMerge/>
            <w:vAlign w:val="center"/>
          </w:tcPr>
          <w:p w:rsidR="00013EC7" w:rsidRDefault="00013EC7">
            <w:pPr>
              <w:widowControl/>
              <w:jc w:val="left"/>
              <w:rPr>
                <w:rFonts w:ascii="仿宋" w:eastAsia="仿宋" w:hAnsi="仿宋" w:cs="仿宋"/>
                <w:sz w:val="24"/>
              </w:rPr>
            </w:pPr>
          </w:p>
        </w:tc>
        <w:tc>
          <w:tcPr>
            <w:tcW w:w="1291" w:type="dxa"/>
            <w:vMerge/>
            <w:vAlign w:val="center"/>
          </w:tcPr>
          <w:p w:rsidR="00013EC7" w:rsidRDefault="00013EC7">
            <w:pPr>
              <w:widowControl/>
              <w:jc w:val="left"/>
              <w:rPr>
                <w:rFonts w:ascii="仿宋" w:eastAsia="仿宋" w:hAnsi="仿宋" w:cs="仿宋"/>
                <w:sz w:val="24"/>
              </w:rPr>
            </w:pPr>
          </w:p>
        </w:tc>
        <w:tc>
          <w:tcPr>
            <w:tcW w:w="1833" w:type="dxa"/>
            <w:vMerge/>
            <w:vAlign w:val="center"/>
          </w:tcPr>
          <w:p w:rsidR="00013EC7" w:rsidRDefault="00013EC7">
            <w:pPr>
              <w:widowControl/>
              <w:jc w:val="left"/>
              <w:rPr>
                <w:rFonts w:ascii="仿宋" w:eastAsia="仿宋" w:hAnsi="仿宋" w:cs="仿宋"/>
                <w:sz w:val="24"/>
              </w:rPr>
            </w:pPr>
          </w:p>
        </w:tc>
        <w:tc>
          <w:tcPr>
            <w:tcW w:w="2861"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highlight w:val="lightGray"/>
              </w:rPr>
              <w:t>（二）税务登记证副本（“五证合一”“两证整合”纳税人提供加载统一社会信用代码的营业执照）复印件。</w:t>
            </w:r>
          </w:p>
        </w:tc>
        <w:tc>
          <w:tcPr>
            <w:tcW w:w="1104" w:type="dxa"/>
            <w:vMerge/>
            <w:vAlign w:val="center"/>
          </w:tcPr>
          <w:p w:rsidR="00013EC7" w:rsidRDefault="00013EC7">
            <w:pPr>
              <w:widowControl/>
              <w:jc w:val="left"/>
              <w:rPr>
                <w:rFonts w:ascii="仿宋" w:eastAsia="仿宋" w:hAnsi="仿宋" w:cs="仿宋"/>
                <w:sz w:val="24"/>
              </w:rPr>
            </w:pPr>
          </w:p>
        </w:tc>
        <w:tc>
          <w:tcPr>
            <w:tcW w:w="2303"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（二）税务登记证副本（“五证合一”“两证整合”纳税人提供加载统一社会信用代码的营业执照）</w:t>
            </w:r>
            <w:r>
              <w:rPr>
                <w:rFonts w:ascii="仿宋" w:eastAsia="仿宋" w:hAnsi="仿宋" w:cs="仿宋" w:hint="eastAsia"/>
                <w:sz w:val="24"/>
                <w:highlight w:val="lightGray"/>
              </w:rPr>
              <w:t>（已实行实名制的可取消报送，</w:t>
            </w:r>
            <w:r>
              <w:rPr>
                <w:rFonts w:ascii="仿宋" w:eastAsia="仿宋" w:hAnsi="仿宋" w:cs="仿宋" w:hint="eastAsia"/>
                <w:sz w:val="24"/>
                <w:highlight w:val="lightGray"/>
                <w:shd w:val="clear" w:color="auto" w:fill="D9D9D9"/>
              </w:rPr>
              <w:t>注明与原件一致，并加盖公章）。</w:t>
            </w:r>
          </w:p>
        </w:tc>
        <w:tc>
          <w:tcPr>
            <w:tcW w:w="1343" w:type="dxa"/>
            <w:vAlign w:val="center"/>
          </w:tcPr>
          <w:p w:rsidR="00013EC7" w:rsidRPr="00575CDB" w:rsidRDefault="00575CDB">
            <w:pPr>
              <w:spacing w:line="300" w:lineRule="exact"/>
              <w:jc w:val="left"/>
              <w:rPr>
                <w:rFonts w:ascii="仿宋" w:eastAsia="仿宋" w:hAnsi="仿宋" w:cs="仿宋"/>
                <w:i/>
                <w:sz w:val="24"/>
              </w:rPr>
            </w:pPr>
            <w:r w:rsidRPr="00575CDB">
              <w:rPr>
                <w:rFonts w:ascii="仿宋" w:eastAsia="仿宋" w:hAnsi="仿宋" w:cs="仿宋" w:hint="eastAsia"/>
                <w:b/>
                <w:bCs/>
                <w:i/>
                <w:sz w:val="24"/>
              </w:rPr>
              <w:t>经办机构自行获取</w:t>
            </w:r>
          </w:p>
        </w:tc>
        <w:tc>
          <w:tcPr>
            <w:tcW w:w="3114"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b/>
                <w:bCs/>
                <w:sz w:val="24"/>
              </w:rPr>
              <w:t>内部共享</w:t>
            </w:r>
            <w:r>
              <w:rPr>
                <w:rFonts w:ascii="仿宋" w:eastAsia="仿宋" w:hAnsi="仿宋" w:cs="仿宋" w:hint="eastAsia"/>
                <w:sz w:val="24"/>
              </w:rPr>
              <w:t>：内部共享获取相关信息。</w:t>
            </w:r>
          </w:p>
        </w:tc>
        <w:tc>
          <w:tcPr>
            <w:tcW w:w="874" w:type="dxa"/>
            <w:vMerge/>
            <w:vAlign w:val="center"/>
          </w:tcPr>
          <w:p w:rsidR="00013EC7" w:rsidRDefault="00013EC7">
            <w:pPr>
              <w:widowControl/>
              <w:jc w:val="left"/>
              <w:rPr>
                <w:rFonts w:ascii="仿宋" w:eastAsia="仿宋" w:hAnsi="仿宋" w:cs="仿宋"/>
                <w:sz w:val="24"/>
              </w:rPr>
            </w:pPr>
          </w:p>
        </w:tc>
        <w:tc>
          <w:tcPr>
            <w:tcW w:w="805" w:type="dxa"/>
            <w:vMerge/>
            <w:vAlign w:val="center"/>
          </w:tcPr>
          <w:p w:rsidR="00013EC7" w:rsidRDefault="00013EC7">
            <w:pPr>
              <w:widowControl/>
              <w:jc w:val="left"/>
              <w:rPr>
                <w:rFonts w:ascii="仿宋" w:eastAsia="仿宋" w:hAnsi="仿宋" w:cs="仿宋"/>
                <w:sz w:val="24"/>
              </w:rPr>
            </w:pPr>
          </w:p>
        </w:tc>
        <w:tc>
          <w:tcPr>
            <w:tcW w:w="955" w:type="dxa"/>
            <w:vMerge/>
            <w:vAlign w:val="center"/>
          </w:tcPr>
          <w:p w:rsidR="00013EC7" w:rsidRDefault="00013EC7">
            <w:pPr>
              <w:widowControl/>
              <w:jc w:val="left"/>
              <w:rPr>
                <w:rFonts w:ascii="仿宋" w:eastAsia="仿宋" w:hAnsi="仿宋" w:cs="仿宋"/>
                <w:sz w:val="24"/>
              </w:rPr>
            </w:pPr>
          </w:p>
        </w:tc>
        <w:tc>
          <w:tcPr>
            <w:tcW w:w="1092" w:type="dxa"/>
            <w:vMerge/>
            <w:vAlign w:val="center"/>
          </w:tcPr>
          <w:p w:rsidR="00013EC7" w:rsidRDefault="00013EC7">
            <w:pPr>
              <w:widowControl/>
              <w:jc w:val="left"/>
              <w:rPr>
                <w:rFonts w:ascii="仿宋" w:eastAsia="仿宋" w:hAnsi="仿宋" w:cs="仿宋"/>
                <w:sz w:val="24"/>
              </w:rPr>
            </w:pPr>
          </w:p>
        </w:tc>
        <w:tc>
          <w:tcPr>
            <w:tcW w:w="1441" w:type="dxa"/>
            <w:vMerge/>
            <w:vAlign w:val="center"/>
          </w:tcPr>
          <w:p w:rsidR="00013EC7" w:rsidRDefault="00013EC7">
            <w:pPr>
              <w:widowControl/>
              <w:jc w:val="left"/>
              <w:rPr>
                <w:rFonts w:ascii="仿宋" w:eastAsia="仿宋" w:hAnsi="仿宋" w:cs="仿宋"/>
                <w:sz w:val="24"/>
              </w:rPr>
            </w:pPr>
          </w:p>
        </w:tc>
      </w:tr>
      <w:tr w:rsidR="00013EC7" w:rsidTr="0070369A">
        <w:trPr>
          <w:trHeight w:val="77"/>
          <w:jc w:val="center"/>
        </w:trPr>
        <w:tc>
          <w:tcPr>
            <w:tcW w:w="1226" w:type="dxa"/>
            <w:vMerge/>
            <w:vAlign w:val="center"/>
          </w:tcPr>
          <w:p w:rsidR="00013EC7" w:rsidRDefault="00013EC7">
            <w:pPr>
              <w:widowControl/>
              <w:jc w:val="left"/>
              <w:rPr>
                <w:rFonts w:ascii="仿宋" w:eastAsia="仿宋" w:hAnsi="仿宋" w:cs="仿宋"/>
                <w:sz w:val="24"/>
              </w:rPr>
            </w:pPr>
          </w:p>
        </w:tc>
        <w:tc>
          <w:tcPr>
            <w:tcW w:w="1291" w:type="dxa"/>
            <w:vMerge/>
            <w:vAlign w:val="center"/>
          </w:tcPr>
          <w:p w:rsidR="00013EC7" w:rsidRDefault="00013EC7">
            <w:pPr>
              <w:widowControl/>
              <w:jc w:val="left"/>
              <w:rPr>
                <w:rFonts w:ascii="仿宋" w:eastAsia="仿宋" w:hAnsi="仿宋" w:cs="仿宋"/>
                <w:sz w:val="24"/>
              </w:rPr>
            </w:pPr>
          </w:p>
        </w:tc>
        <w:tc>
          <w:tcPr>
            <w:tcW w:w="1833" w:type="dxa"/>
            <w:vMerge/>
            <w:vAlign w:val="center"/>
          </w:tcPr>
          <w:p w:rsidR="00013EC7" w:rsidRDefault="00013EC7">
            <w:pPr>
              <w:widowControl/>
              <w:jc w:val="left"/>
              <w:rPr>
                <w:rFonts w:ascii="仿宋" w:eastAsia="仿宋" w:hAnsi="仿宋" w:cs="仿宋"/>
                <w:sz w:val="24"/>
              </w:rPr>
            </w:pPr>
          </w:p>
        </w:tc>
        <w:tc>
          <w:tcPr>
            <w:tcW w:w="2861"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（三）与经营业务相关的合同复印件、合同中文译本；</w:t>
            </w:r>
          </w:p>
        </w:tc>
        <w:tc>
          <w:tcPr>
            <w:tcW w:w="1104" w:type="dxa"/>
            <w:vMerge/>
            <w:vAlign w:val="center"/>
          </w:tcPr>
          <w:p w:rsidR="00013EC7" w:rsidRDefault="00013EC7">
            <w:pPr>
              <w:widowControl/>
              <w:jc w:val="left"/>
              <w:rPr>
                <w:rFonts w:ascii="仿宋" w:eastAsia="仿宋" w:hAnsi="仿宋" w:cs="仿宋"/>
                <w:sz w:val="24"/>
              </w:rPr>
            </w:pPr>
          </w:p>
        </w:tc>
        <w:tc>
          <w:tcPr>
            <w:tcW w:w="2303"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（三）与经营业务相关的合同复印件</w:t>
            </w:r>
            <w:r>
              <w:rPr>
                <w:rFonts w:ascii="仿宋" w:eastAsia="仿宋" w:hAnsi="仿宋" w:cs="仿宋" w:hint="eastAsia"/>
                <w:sz w:val="24"/>
                <w:shd w:val="clear" w:color="auto" w:fill="D9D9D9"/>
              </w:rPr>
              <w:t>1份（注明与原件一致，并加盖公章）</w:t>
            </w:r>
            <w:r>
              <w:rPr>
                <w:rFonts w:ascii="仿宋" w:eastAsia="仿宋" w:hAnsi="仿宋" w:cs="仿宋" w:hint="eastAsia"/>
                <w:sz w:val="24"/>
              </w:rPr>
              <w:t>、合同中文译本</w:t>
            </w:r>
            <w:r>
              <w:rPr>
                <w:rFonts w:ascii="仿宋" w:eastAsia="仿宋" w:hAnsi="仿宋" w:cs="仿宋" w:hint="eastAsia"/>
                <w:sz w:val="24"/>
                <w:highlight w:val="lightGray"/>
                <w:shd w:val="clear" w:color="auto" w:fill="D9D9D9"/>
              </w:rPr>
              <w:t>1份</w:t>
            </w:r>
            <w:r>
              <w:rPr>
                <w:rFonts w:ascii="仿宋" w:eastAsia="仿宋" w:hAnsi="仿宋" w:cs="仿宋" w:hint="eastAsia"/>
                <w:sz w:val="24"/>
              </w:rPr>
              <w:t>。</w:t>
            </w:r>
          </w:p>
        </w:tc>
        <w:tc>
          <w:tcPr>
            <w:tcW w:w="1343" w:type="dxa"/>
            <w:vMerge w:val="restart"/>
            <w:vAlign w:val="center"/>
          </w:tcPr>
          <w:p w:rsidR="00013EC7" w:rsidRDefault="00575CDB">
            <w:pPr>
              <w:jc w:val="left"/>
              <w:rPr>
                <w:rFonts w:ascii="仿宋" w:eastAsia="仿宋" w:hAnsi="仿宋" w:cs="仿宋"/>
                <w:sz w:val="24"/>
              </w:rPr>
            </w:pPr>
            <w:r>
              <w:rPr>
                <w:rFonts w:ascii="仿宋" w:eastAsia="仿宋" w:hAnsi="仿宋" w:cs="仿宋" w:hint="eastAsia"/>
                <w:sz w:val="24"/>
              </w:rPr>
              <w:t>申请备案的境内机构和个人发包方提交</w:t>
            </w:r>
          </w:p>
        </w:tc>
        <w:tc>
          <w:tcPr>
            <w:tcW w:w="3114"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纳税人提交书面材料；</w:t>
            </w:r>
          </w:p>
          <w:p w:rsidR="00013EC7" w:rsidRDefault="00575CDB">
            <w:pPr>
              <w:spacing w:line="300" w:lineRule="exact"/>
              <w:jc w:val="left"/>
              <w:rPr>
                <w:rFonts w:ascii="仿宋" w:eastAsia="仿宋" w:hAnsi="仿宋" w:cs="仿宋"/>
                <w:sz w:val="24"/>
              </w:rPr>
            </w:pPr>
            <w:r>
              <w:rPr>
                <w:rFonts w:ascii="仿宋" w:eastAsia="仿宋" w:hAnsi="仿宋" w:cs="仿宋" w:hint="eastAsia"/>
                <w:b/>
                <w:sz w:val="24"/>
              </w:rPr>
              <w:t>网上办理：</w:t>
            </w:r>
            <w:r>
              <w:rPr>
                <w:rFonts w:ascii="仿宋" w:eastAsia="仿宋" w:hAnsi="仿宋" w:cs="仿宋" w:hint="eastAsia"/>
                <w:sz w:val="24"/>
              </w:rPr>
              <w:t>登录浙江国税电子税务局（网址：http://etax.zjtax.gov.cn/</w:t>
            </w:r>
          </w:p>
          <w:p w:rsidR="00013EC7" w:rsidRDefault="00575CDB">
            <w:pPr>
              <w:spacing w:line="300" w:lineRule="exact"/>
              <w:jc w:val="left"/>
              <w:rPr>
                <w:rFonts w:ascii="仿宋" w:eastAsia="仿宋" w:hAnsi="仿宋" w:cs="仿宋"/>
                <w:sz w:val="24"/>
              </w:rPr>
            </w:pPr>
            <w:r>
              <w:rPr>
                <w:rFonts w:ascii="仿宋" w:eastAsia="仿宋" w:hAnsi="仿宋" w:cs="仿宋" w:hint="eastAsia"/>
                <w:sz w:val="24"/>
              </w:rPr>
              <w:t>）提交申请。</w:t>
            </w:r>
          </w:p>
          <w:p w:rsidR="00013EC7" w:rsidRDefault="00013EC7">
            <w:pPr>
              <w:spacing w:line="300" w:lineRule="exact"/>
              <w:jc w:val="left"/>
              <w:rPr>
                <w:rFonts w:ascii="仿宋" w:eastAsia="仿宋" w:hAnsi="仿宋" w:cs="仿宋"/>
                <w:sz w:val="24"/>
              </w:rPr>
            </w:pPr>
          </w:p>
        </w:tc>
        <w:tc>
          <w:tcPr>
            <w:tcW w:w="874" w:type="dxa"/>
            <w:vMerge/>
            <w:vAlign w:val="center"/>
          </w:tcPr>
          <w:p w:rsidR="00013EC7" w:rsidRDefault="00013EC7">
            <w:pPr>
              <w:widowControl/>
              <w:jc w:val="left"/>
              <w:rPr>
                <w:rFonts w:ascii="仿宋" w:eastAsia="仿宋" w:hAnsi="仿宋" w:cs="仿宋"/>
                <w:sz w:val="24"/>
              </w:rPr>
            </w:pPr>
          </w:p>
        </w:tc>
        <w:tc>
          <w:tcPr>
            <w:tcW w:w="805" w:type="dxa"/>
            <w:vMerge/>
            <w:vAlign w:val="center"/>
          </w:tcPr>
          <w:p w:rsidR="00013EC7" w:rsidRDefault="00013EC7">
            <w:pPr>
              <w:widowControl/>
              <w:jc w:val="left"/>
              <w:rPr>
                <w:rFonts w:ascii="仿宋" w:eastAsia="仿宋" w:hAnsi="仿宋" w:cs="仿宋"/>
                <w:sz w:val="24"/>
              </w:rPr>
            </w:pPr>
          </w:p>
        </w:tc>
        <w:tc>
          <w:tcPr>
            <w:tcW w:w="955" w:type="dxa"/>
            <w:vMerge/>
            <w:vAlign w:val="center"/>
          </w:tcPr>
          <w:p w:rsidR="00013EC7" w:rsidRDefault="00013EC7">
            <w:pPr>
              <w:widowControl/>
              <w:jc w:val="left"/>
              <w:rPr>
                <w:rFonts w:ascii="仿宋" w:eastAsia="仿宋" w:hAnsi="仿宋" w:cs="仿宋"/>
                <w:sz w:val="24"/>
              </w:rPr>
            </w:pPr>
          </w:p>
        </w:tc>
        <w:tc>
          <w:tcPr>
            <w:tcW w:w="1092" w:type="dxa"/>
            <w:vMerge/>
            <w:vAlign w:val="center"/>
          </w:tcPr>
          <w:p w:rsidR="00013EC7" w:rsidRDefault="00013EC7">
            <w:pPr>
              <w:widowControl/>
              <w:jc w:val="left"/>
              <w:rPr>
                <w:rFonts w:ascii="仿宋" w:eastAsia="仿宋" w:hAnsi="仿宋" w:cs="仿宋"/>
                <w:sz w:val="24"/>
              </w:rPr>
            </w:pPr>
          </w:p>
        </w:tc>
        <w:tc>
          <w:tcPr>
            <w:tcW w:w="1441" w:type="dxa"/>
            <w:vMerge/>
            <w:vAlign w:val="center"/>
          </w:tcPr>
          <w:p w:rsidR="00013EC7" w:rsidRDefault="00013EC7">
            <w:pPr>
              <w:widowControl/>
              <w:jc w:val="left"/>
              <w:rPr>
                <w:rFonts w:ascii="仿宋" w:eastAsia="仿宋" w:hAnsi="仿宋" w:cs="仿宋"/>
                <w:sz w:val="24"/>
              </w:rPr>
            </w:pPr>
          </w:p>
        </w:tc>
      </w:tr>
      <w:tr w:rsidR="00013EC7" w:rsidTr="0070369A">
        <w:trPr>
          <w:trHeight w:val="77"/>
          <w:jc w:val="center"/>
        </w:trPr>
        <w:tc>
          <w:tcPr>
            <w:tcW w:w="1226" w:type="dxa"/>
            <w:vMerge/>
            <w:vAlign w:val="center"/>
          </w:tcPr>
          <w:p w:rsidR="00013EC7" w:rsidRDefault="00013EC7">
            <w:pPr>
              <w:widowControl/>
              <w:jc w:val="left"/>
              <w:rPr>
                <w:rFonts w:ascii="仿宋" w:eastAsia="仿宋" w:hAnsi="仿宋" w:cs="仿宋"/>
                <w:sz w:val="24"/>
              </w:rPr>
            </w:pPr>
          </w:p>
        </w:tc>
        <w:tc>
          <w:tcPr>
            <w:tcW w:w="1291" w:type="dxa"/>
            <w:vMerge/>
            <w:vAlign w:val="center"/>
          </w:tcPr>
          <w:p w:rsidR="00013EC7" w:rsidRDefault="00013EC7">
            <w:pPr>
              <w:widowControl/>
              <w:jc w:val="left"/>
              <w:rPr>
                <w:rFonts w:ascii="仿宋" w:eastAsia="仿宋" w:hAnsi="仿宋" w:cs="仿宋"/>
                <w:sz w:val="24"/>
              </w:rPr>
            </w:pPr>
          </w:p>
        </w:tc>
        <w:tc>
          <w:tcPr>
            <w:tcW w:w="1833" w:type="dxa"/>
            <w:vMerge/>
            <w:vAlign w:val="center"/>
          </w:tcPr>
          <w:p w:rsidR="00013EC7" w:rsidRDefault="00013EC7">
            <w:pPr>
              <w:widowControl/>
              <w:jc w:val="left"/>
              <w:rPr>
                <w:rFonts w:ascii="仿宋" w:eastAsia="仿宋" w:hAnsi="仿宋" w:cs="仿宋"/>
                <w:sz w:val="24"/>
              </w:rPr>
            </w:pPr>
          </w:p>
        </w:tc>
        <w:tc>
          <w:tcPr>
            <w:tcW w:w="2861"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（四）税务代理委托书复印件</w:t>
            </w:r>
          </w:p>
        </w:tc>
        <w:tc>
          <w:tcPr>
            <w:tcW w:w="1104" w:type="dxa"/>
            <w:vMerge/>
            <w:vAlign w:val="center"/>
          </w:tcPr>
          <w:p w:rsidR="00013EC7" w:rsidRDefault="00013EC7">
            <w:pPr>
              <w:widowControl/>
              <w:jc w:val="left"/>
              <w:rPr>
                <w:rFonts w:ascii="仿宋" w:eastAsia="仿宋" w:hAnsi="仿宋" w:cs="仿宋"/>
                <w:sz w:val="24"/>
              </w:rPr>
            </w:pPr>
          </w:p>
        </w:tc>
        <w:tc>
          <w:tcPr>
            <w:tcW w:w="2303"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（四）税务代理委托书复印件</w:t>
            </w:r>
            <w:r>
              <w:rPr>
                <w:rFonts w:ascii="仿宋" w:eastAsia="仿宋" w:hAnsi="仿宋" w:cs="仿宋" w:hint="eastAsia"/>
                <w:sz w:val="24"/>
                <w:highlight w:val="lightGray"/>
                <w:shd w:val="clear" w:color="auto" w:fill="D9D9D9"/>
              </w:rPr>
              <w:t>1份（注明与原件一致，并加盖公章）</w:t>
            </w:r>
            <w:r>
              <w:rPr>
                <w:rFonts w:ascii="仿宋" w:eastAsia="仿宋" w:hAnsi="仿宋" w:cs="仿宋" w:hint="eastAsia"/>
                <w:sz w:val="24"/>
              </w:rPr>
              <w:t>。</w:t>
            </w:r>
          </w:p>
        </w:tc>
        <w:tc>
          <w:tcPr>
            <w:tcW w:w="1343" w:type="dxa"/>
            <w:vMerge/>
            <w:vAlign w:val="center"/>
          </w:tcPr>
          <w:p w:rsidR="00013EC7" w:rsidRDefault="00013EC7">
            <w:pPr>
              <w:widowControl/>
              <w:jc w:val="left"/>
              <w:rPr>
                <w:rFonts w:ascii="仿宋" w:eastAsia="仿宋" w:hAnsi="仿宋" w:cs="仿宋"/>
                <w:sz w:val="24"/>
              </w:rPr>
            </w:pPr>
          </w:p>
        </w:tc>
        <w:tc>
          <w:tcPr>
            <w:tcW w:w="3114" w:type="dxa"/>
            <w:vMerge/>
            <w:vAlign w:val="center"/>
          </w:tcPr>
          <w:p w:rsidR="00013EC7" w:rsidRDefault="00013EC7">
            <w:pPr>
              <w:widowControl/>
              <w:jc w:val="left"/>
              <w:rPr>
                <w:rFonts w:ascii="仿宋" w:eastAsia="仿宋" w:hAnsi="仿宋" w:cs="仿宋"/>
                <w:sz w:val="24"/>
              </w:rPr>
            </w:pPr>
          </w:p>
        </w:tc>
        <w:tc>
          <w:tcPr>
            <w:tcW w:w="874" w:type="dxa"/>
            <w:vMerge/>
            <w:vAlign w:val="center"/>
          </w:tcPr>
          <w:p w:rsidR="00013EC7" w:rsidRDefault="00013EC7">
            <w:pPr>
              <w:widowControl/>
              <w:jc w:val="left"/>
              <w:rPr>
                <w:rFonts w:ascii="仿宋" w:eastAsia="仿宋" w:hAnsi="仿宋" w:cs="仿宋"/>
                <w:sz w:val="24"/>
              </w:rPr>
            </w:pPr>
          </w:p>
        </w:tc>
        <w:tc>
          <w:tcPr>
            <w:tcW w:w="805" w:type="dxa"/>
            <w:vMerge/>
            <w:vAlign w:val="center"/>
          </w:tcPr>
          <w:p w:rsidR="00013EC7" w:rsidRDefault="00013EC7">
            <w:pPr>
              <w:widowControl/>
              <w:jc w:val="left"/>
              <w:rPr>
                <w:rFonts w:ascii="仿宋" w:eastAsia="仿宋" w:hAnsi="仿宋" w:cs="仿宋"/>
                <w:sz w:val="24"/>
              </w:rPr>
            </w:pPr>
          </w:p>
        </w:tc>
        <w:tc>
          <w:tcPr>
            <w:tcW w:w="955" w:type="dxa"/>
            <w:vMerge/>
            <w:vAlign w:val="center"/>
          </w:tcPr>
          <w:p w:rsidR="00013EC7" w:rsidRDefault="00013EC7">
            <w:pPr>
              <w:widowControl/>
              <w:jc w:val="left"/>
              <w:rPr>
                <w:rFonts w:ascii="仿宋" w:eastAsia="仿宋" w:hAnsi="仿宋" w:cs="仿宋"/>
                <w:sz w:val="24"/>
              </w:rPr>
            </w:pPr>
          </w:p>
        </w:tc>
        <w:tc>
          <w:tcPr>
            <w:tcW w:w="1092" w:type="dxa"/>
            <w:vMerge/>
            <w:vAlign w:val="center"/>
          </w:tcPr>
          <w:p w:rsidR="00013EC7" w:rsidRDefault="00013EC7">
            <w:pPr>
              <w:widowControl/>
              <w:jc w:val="left"/>
              <w:rPr>
                <w:rFonts w:ascii="仿宋" w:eastAsia="仿宋" w:hAnsi="仿宋" w:cs="仿宋"/>
                <w:sz w:val="24"/>
              </w:rPr>
            </w:pPr>
          </w:p>
        </w:tc>
        <w:tc>
          <w:tcPr>
            <w:tcW w:w="1441" w:type="dxa"/>
            <w:vMerge/>
            <w:vAlign w:val="center"/>
          </w:tcPr>
          <w:p w:rsidR="00013EC7" w:rsidRDefault="00013EC7">
            <w:pPr>
              <w:widowControl/>
              <w:jc w:val="left"/>
              <w:rPr>
                <w:rFonts w:ascii="仿宋" w:eastAsia="仿宋" w:hAnsi="仿宋" w:cs="仿宋"/>
                <w:sz w:val="24"/>
              </w:rPr>
            </w:pPr>
          </w:p>
        </w:tc>
      </w:tr>
      <w:tr w:rsidR="00013EC7" w:rsidTr="0070369A">
        <w:trPr>
          <w:trHeight w:val="77"/>
          <w:jc w:val="center"/>
        </w:trPr>
        <w:tc>
          <w:tcPr>
            <w:tcW w:w="1226" w:type="dxa"/>
            <w:vMerge/>
            <w:vAlign w:val="center"/>
          </w:tcPr>
          <w:p w:rsidR="00013EC7" w:rsidRDefault="00013EC7">
            <w:pPr>
              <w:widowControl/>
              <w:jc w:val="left"/>
              <w:rPr>
                <w:rFonts w:ascii="仿宋" w:eastAsia="仿宋" w:hAnsi="仿宋" w:cs="仿宋"/>
                <w:sz w:val="24"/>
              </w:rPr>
            </w:pPr>
          </w:p>
        </w:tc>
        <w:tc>
          <w:tcPr>
            <w:tcW w:w="1291" w:type="dxa"/>
            <w:vMerge/>
            <w:vAlign w:val="center"/>
          </w:tcPr>
          <w:p w:rsidR="00013EC7" w:rsidRDefault="00013EC7">
            <w:pPr>
              <w:widowControl/>
              <w:jc w:val="left"/>
              <w:rPr>
                <w:rFonts w:ascii="仿宋" w:eastAsia="仿宋" w:hAnsi="仿宋" w:cs="仿宋"/>
                <w:sz w:val="24"/>
              </w:rPr>
            </w:pPr>
          </w:p>
        </w:tc>
        <w:tc>
          <w:tcPr>
            <w:tcW w:w="1833" w:type="dxa"/>
            <w:vMerge/>
            <w:vAlign w:val="center"/>
          </w:tcPr>
          <w:p w:rsidR="00013EC7" w:rsidRDefault="00013EC7">
            <w:pPr>
              <w:widowControl/>
              <w:jc w:val="left"/>
              <w:rPr>
                <w:rFonts w:ascii="仿宋" w:eastAsia="仿宋" w:hAnsi="仿宋" w:cs="仿宋"/>
                <w:sz w:val="24"/>
              </w:rPr>
            </w:pPr>
          </w:p>
        </w:tc>
        <w:tc>
          <w:tcPr>
            <w:tcW w:w="2861"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（五）非居民对有关事项的书面说明等资料。</w:t>
            </w:r>
          </w:p>
        </w:tc>
        <w:tc>
          <w:tcPr>
            <w:tcW w:w="1104" w:type="dxa"/>
            <w:vMerge/>
            <w:vAlign w:val="center"/>
          </w:tcPr>
          <w:p w:rsidR="00013EC7" w:rsidRDefault="00013EC7">
            <w:pPr>
              <w:widowControl/>
              <w:jc w:val="left"/>
              <w:rPr>
                <w:rFonts w:ascii="仿宋" w:eastAsia="仿宋" w:hAnsi="仿宋" w:cs="仿宋"/>
                <w:sz w:val="24"/>
              </w:rPr>
            </w:pPr>
          </w:p>
        </w:tc>
        <w:tc>
          <w:tcPr>
            <w:tcW w:w="2303"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（五）非居民对有关事项的书面说明。</w:t>
            </w:r>
          </w:p>
        </w:tc>
        <w:tc>
          <w:tcPr>
            <w:tcW w:w="1343" w:type="dxa"/>
            <w:vMerge/>
            <w:vAlign w:val="center"/>
          </w:tcPr>
          <w:p w:rsidR="00013EC7" w:rsidRDefault="00013EC7">
            <w:pPr>
              <w:widowControl/>
              <w:jc w:val="left"/>
              <w:rPr>
                <w:rFonts w:ascii="仿宋" w:eastAsia="仿宋" w:hAnsi="仿宋" w:cs="仿宋"/>
                <w:sz w:val="24"/>
              </w:rPr>
            </w:pPr>
          </w:p>
        </w:tc>
        <w:tc>
          <w:tcPr>
            <w:tcW w:w="3114" w:type="dxa"/>
            <w:vMerge/>
            <w:vAlign w:val="center"/>
          </w:tcPr>
          <w:p w:rsidR="00013EC7" w:rsidRDefault="00013EC7">
            <w:pPr>
              <w:widowControl/>
              <w:jc w:val="left"/>
              <w:rPr>
                <w:rFonts w:ascii="仿宋" w:eastAsia="仿宋" w:hAnsi="仿宋" w:cs="仿宋"/>
                <w:sz w:val="24"/>
              </w:rPr>
            </w:pPr>
          </w:p>
        </w:tc>
        <w:tc>
          <w:tcPr>
            <w:tcW w:w="874" w:type="dxa"/>
            <w:vMerge/>
            <w:vAlign w:val="center"/>
          </w:tcPr>
          <w:p w:rsidR="00013EC7" w:rsidRDefault="00013EC7">
            <w:pPr>
              <w:widowControl/>
              <w:jc w:val="left"/>
              <w:rPr>
                <w:rFonts w:ascii="仿宋" w:eastAsia="仿宋" w:hAnsi="仿宋" w:cs="仿宋"/>
                <w:sz w:val="24"/>
              </w:rPr>
            </w:pPr>
          </w:p>
        </w:tc>
        <w:tc>
          <w:tcPr>
            <w:tcW w:w="805" w:type="dxa"/>
            <w:vMerge/>
            <w:vAlign w:val="center"/>
          </w:tcPr>
          <w:p w:rsidR="00013EC7" w:rsidRDefault="00013EC7">
            <w:pPr>
              <w:widowControl/>
              <w:jc w:val="left"/>
              <w:rPr>
                <w:rFonts w:ascii="仿宋" w:eastAsia="仿宋" w:hAnsi="仿宋" w:cs="仿宋"/>
                <w:sz w:val="24"/>
              </w:rPr>
            </w:pPr>
          </w:p>
        </w:tc>
        <w:tc>
          <w:tcPr>
            <w:tcW w:w="955" w:type="dxa"/>
            <w:vMerge/>
            <w:vAlign w:val="center"/>
          </w:tcPr>
          <w:p w:rsidR="00013EC7" w:rsidRDefault="00013EC7">
            <w:pPr>
              <w:widowControl/>
              <w:jc w:val="left"/>
              <w:rPr>
                <w:rFonts w:ascii="仿宋" w:eastAsia="仿宋" w:hAnsi="仿宋" w:cs="仿宋"/>
                <w:sz w:val="24"/>
              </w:rPr>
            </w:pPr>
          </w:p>
        </w:tc>
        <w:tc>
          <w:tcPr>
            <w:tcW w:w="1092" w:type="dxa"/>
            <w:vMerge/>
            <w:vAlign w:val="center"/>
          </w:tcPr>
          <w:p w:rsidR="00013EC7" w:rsidRDefault="00013EC7">
            <w:pPr>
              <w:widowControl/>
              <w:jc w:val="left"/>
              <w:rPr>
                <w:rFonts w:ascii="仿宋" w:eastAsia="仿宋" w:hAnsi="仿宋" w:cs="仿宋"/>
                <w:sz w:val="24"/>
              </w:rPr>
            </w:pPr>
          </w:p>
        </w:tc>
        <w:tc>
          <w:tcPr>
            <w:tcW w:w="1441" w:type="dxa"/>
            <w:vMerge/>
            <w:vAlign w:val="center"/>
          </w:tcPr>
          <w:p w:rsidR="00013EC7" w:rsidRDefault="00013EC7">
            <w:pPr>
              <w:widowControl/>
              <w:jc w:val="left"/>
              <w:rPr>
                <w:rFonts w:ascii="仿宋" w:eastAsia="仿宋" w:hAnsi="仿宋" w:cs="仿宋"/>
                <w:sz w:val="24"/>
              </w:rPr>
            </w:pPr>
          </w:p>
        </w:tc>
      </w:tr>
      <w:tr w:rsidR="00013EC7" w:rsidTr="0070369A">
        <w:trPr>
          <w:trHeight w:val="970"/>
          <w:jc w:val="center"/>
        </w:trPr>
        <w:tc>
          <w:tcPr>
            <w:tcW w:w="1226" w:type="dxa"/>
            <w:vMerge/>
            <w:vAlign w:val="center"/>
          </w:tcPr>
          <w:p w:rsidR="00013EC7" w:rsidRDefault="00013EC7">
            <w:pPr>
              <w:widowControl/>
              <w:jc w:val="left"/>
              <w:rPr>
                <w:rFonts w:ascii="仿宋" w:eastAsia="仿宋" w:hAnsi="仿宋" w:cs="仿宋"/>
                <w:sz w:val="24"/>
              </w:rPr>
            </w:pPr>
          </w:p>
        </w:tc>
        <w:tc>
          <w:tcPr>
            <w:tcW w:w="1291" w:type="dxa"/>
            <w:vMerge/>
            <w:vAlign w:val="center"/>
          </w:tcPr>
          <w:p w:rsidR="00013EC7" w:rsidRDefault="00013EC7">
            <w:pPr>
              <w:widowControl/>
              <w:jc w:val="left"/>
              <w:rPr>
                <w:rFonts w:ascii="仿宋" w:eastAsia="仿宋" w:hAnsi="仿宋" w:cs="仿宋"/>
                <w:sz w:val="24"/>
              </w:rPr>
            </w:pPr>
          </w:p>
        </w:tc>
        <w:tc>
          <w:tcPr>
            <w:tcW w:w="1833" w:type="dxa"/>
            <w:vMerge/>
            <w:vAlign w:val="center"/>
          </w:tcPr>
          <w:p w:rsidR="00013EC7" w:rsidRDefault="00013EC7">
            <w:pPr>
              <w:widowControl/>
              <w:jc w:val="left"/>
              <w:rPr>
                <w:rFonts w:ascii="仿宋" w:eastAsia="仿宋" w:hAnsi="仿宋" w:cs="仿宋"/>
                <w:sz w:val="24"/>
              </w:rPr>
            </w:pPr>
          </w:p>
        </w:tc>
        <w:tc>
          <w:tcPr>
            <w:tcW w:w="2861"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（六）（A06166）《非居民项目合同变更情况报告表》。</w:t>
            </w:r>
          </w:p>
        </w:tc>
        <w:tc>
          <w:tcPr>
            <w:tcW w:w="1104" w:type="dxa"/>
            <w:vMerge w:val="restart"/>
            <w:vAlign w:val="center"/>
          </w:tcPr>
          <w:p w:rsidR="00013EC7" w:rsidRDefault="00575CDB">
            <w:pPr>
              <w:jc w:val="left"/>
              <w:rPr>
                <w:rFonts w:ascii="仿宋" w:eastAsia="仿宋" w:hAnsi="仿宋" w:cs="仿宋"/>
                <w:sz w:val="24"/>
              </w:rPr>
            </w:pPr>
            <w:r>
              <w:rPr>
                <w:rFonts w:ascii="仿宋" w:eastAsia="仿宋" w:hAnsi="仿宋" w:cs="仿宋" w:hint="eastAsia"/>
                <w:sz w:val="24"/>
              </w:rPr>
              <w:t>申请变更备案的境内机构和个人发包方提交</w:t>
            </w:r>
          </w:p>
          <w:p w:rsidR="00013EC7" w:rsidRDefault="00013EC7">
            <w:pPr>
              <w:rPr>
                <w:rFonts w:ascii="仿宋" w:eastAsia="仿宋" w:hAnsi="仿宋" w:cs="仿宋"/>
                <w:sz w:val="24"/>
              </w:rPr>
            </w:pPr>
          </w:p>
        </w:tc>
        <w:tc>
          <w:tcPr>
            <w:tcW w:w="2303"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（六）（A06166）《非居民项目合同变更情况报告表》</w:t>
            </w:r>
            <w:r>
              <w:rPr>
                <w:rFonts w:ascii="仿宋" w:eastAsia="仿宋" w:hAnsi="仿宋" w:cs="仿宋" w:hint="eastAsia"/>
                <w:sz w:val="24"/>
                <w:highlight w:val="lightGray"/>
                <w:shd w:val="clear" w:color="auto" w:fill="D9D9D9"/>
              </w:rPr>
              <w:t>1份</w:t>
            </w:r>
            <w:r>
              <w:rPr>
                <w:rFonts w:ascii="仿宋" w:eastAsia="仿宋" w:hAnsi="仿宋" w:cs="仿宋" w:hint="eastAsia"/>
                <w:sz w:val="24"/>
              </w:rPr>
              <w:t>。</w:t>
            </w:r>
          </w:p>
        </w:tc>
        <w:tc>
          <w:tcPr>
            <w:tcW w:w="1343" w:type="dxa"/>
            <w:vMerge w:val="restart"/>
            <w:vAlign w:val="center"/>
          </w:tcPr>
          <w:p w:rsidR="00013EC7" w:rsidRDefault="00575CDB">
            <w:pPr>
              <w:jc w:val="left"/>
              <w:rPr>
                <w:rFonts w:ascii="仿宋" w:eastAsia="仿宋" w:hAnsi="仿宋" w:cs="仿宋"/>
                <w:sz w:val="24"/>
              </w:rPr>
            </w:pPr>
            <w:r>
              <w:rPr>
                <w:rFonts w:ascii="仿宋" w:eastAsia="仿宋" w:hAnsi="仿宋" w:cs="仿宋" w:hint="eastAsia"/>
                <w:sz w:val="24"/>
              </w:rPr>
              <w:t>申请变更备案的境内机构和个人发包方提交</w:t>
            </w:r>
          </w:p>
        </w:tc>
        <w:tc>
          <w:tcPr>
            <w:tcW w:w="3114" w:type="dxa"/>
            <w:vMerge/>
            <w:vAlign w:val="center"/>
          </w:tcPr>
          <w:p w:rsidR="00013EC7" w:rsidRDefault="00013EC7">
            <w:pPr>
              <w:widowControl/>
              <w:jc w:val="left"/>
              <w:rPr>
                <w:rFonts w:ascii="仿宋" w:eastAsia="仿宋" w:hAnsi="仿宋" w:cs="仿宋"/>
                <w:sz w:val="24"/>
              </w:rPr>
            </w:pPr>
          </w:p>
        </w:tc>
        <w:tc>
          <w:tcPr>
            <w:tcW w:w="874" w:type="dxa"/>
            <w:vMerge/>
            <w:vAlign w:val="center"/>
          </w:tcPr>
          <w:p w:rsidR="00013EC7" w:rsidRDefault="00013EC7">
            <w:pPr>
              <w:widowControl/>
              <w:jc w:val="left"/>
              <w:rPr>
                <w:rFonts w:ascii="仿宋" w:eastAsia="仿宋" w:hAnsi="仿宋" w:cs="仿宋"/>
                <w:sz w:val="24"/>
              </w:rPr>
            </w:pPr>
          </w:p>
        </w:tc>
        <w:tc>
          <w:tcPr>
            <w:tcW w:w="805" w:type="dxa"/>
            <w:vMerge/>
            <w:vAlign w:val="center"/>
          </w:tcPr>
          <w:p w:rsidR="00013EC7" w:rsidRDefault="00013EC7">
            <w:pPr>
              <w:widowControl/>
              <w:jc w:val="left"/>
              <w:rPr>
                <w:rFonts w:ascii="仿宋" w:eastAsia="仿宋" w:hAnsi="仿宋" w:cs="仿宋"/>
                <w:sz w:val="24"/>
              </w:rPr>
            </w:pPr>
          </w:p>
        </w:tc>
        <w:tc>
          <w:tcPr>
            <w:tcW w:w="955" w:type="dxa"/>
            <w:vMerge/>
            <w:vAlign w:val="center"/>
          </w:tcPr>
          <w:p w:rsidR="00013EC7" w:rsidRDefault="00013EC7">
            <w:pPr>
              <w:widowControl/>
              <w:jc w:val="left"/>
              <w:rPr>
                <w:rFonts w:ascii="仿宋" w:eastAsia="仿宋" w:hAnsi="仿宋" w:cs="仿宋"/>
                <w:sz w:val="24"/>
              </w:rPr>
            </w:pPr>
          </w:p>
        </w:tc>
        <w:tc>
          <w:tcPr>
            <w:tcW w:w="1092" w:type="dxa"/>
            <w:vMerge/>
            <w:vAlign w:val="center"/>
          </w:tcPr>
          <w:p w:rsidR="00013EC7" w:rsidRDefault="00013EC7">
            <w:pPr>
              <w:widowControl/>
              <w:jc w:val="left"/>
              <w:rPr>
                <w:rFonts w:ascii="仿宋" w:eastAsia="仿宋" w:hAnsi="仿宋" w:cs="仿宋"/>
                <w:sz w:val="24"/>
              </w:rPr>
            </w:pPr>
          </w:p>
        </w:tc>
        <w:tc>
          <w:tcPr>
            <w:tcW w:w="1441" w:type="dxa"/>
            <w:vMerge/>
            <w:vAlign w:val="center"/>
          </w:tcPr>
          <w:p w:rsidR="00013EC7" w:rsidRDefault="00013EC7">
            <w:pPr>
              <w:widowControl/>
              <w:jc w:val="left"/>
              <w:rPr>
                <w:rFonts w:ascii="仿宋" w:eastAsia="仿宋" w:hAnsi="仿宋" w:cs="仿宋"/>
                <w:sz w:val="24"/>
              </w:rPr>
            </w:pPr>
          </w:p>
        </w:tc>
      </w:tr>
      <w:tr w:rsidR="00013EC7" w:rsidTr="0070369A">
        <w:trPr>
          <w:trHeight w:val="128"/>
          <w:jc w:val="center"/>
        </w:trPr>
        <w:tc>
          <w:tcPr>
            <w:tcW w:w="1226" w:type="dxa"/>
            <w:vMerge/>
            <w:vAlign w:val="center"/>
          </w:tcPr>
          <w:p w:rsidR="00013EC7" w:rsidRDefault="00013EC7">
            <w:pPr>
              <w:widowControl/>
              <w:jc w:val="left"/>
              <w:rPr>
                <w:rFonts w:ascii="仿宋" w:eastAsia="仿宋" w:hAnsi="仿宋" w:cs="仿宋"/>
                <w:sz w:val="24"/>
              </w:rPr>
            </w:pPr>
          </w:p>
        </w:tc>
        <w:tc>
          <w:tcPr>
            <w:tcW w:w="1291" w:type="dxa"/>
            <w:vMerge/>
            <w:vAlign w:val="center"/>
          </w:tcPr>
          <w:p w:rsidR="00013EC7" w:rsidRDefault="00013EC7">
            <w:pPr>
              <w:widowControl/>
              <w:jc w:val="left"/>
              <w:rPr>
                <w:rFonts w:ascii="仿宋" w:eastAsia="仿宋" w:hAnsi="仿宋" w:cs="仿宋"/>
                <w:sz w:val="24"/>
              </w:rPr>
            </w:pPr>
          </w:p>
        </w:tc>
        <w:tc>
          <w:tcPr>
            <w:tcW w:w="1833" w:type="dxa"/>
            <w:vMerge/>
            <w:vAlign w:val="center"/>
          </w:tcPr>
          <w:p w:rsidR="00013EC7" w:rsidRDefault="00013EC7">
            <w:pPr>
              <w:widowControl/>
              <w:jc w:val="left"/>
              <w:rPr>
                <w:rFonts w:ascii="仿宋" w:eastAsia="仿宋" w:hAnsi="仿宋" w:cs="仿宋"/>
                <w:sz w:val="24"/>
              </w:rPr>
            </w:pPr>
          </w:p>
        </w:tc>
        <w:tc>
          <w:tcPr>
            <w:tcW w:w="2861"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（七）与经营业务相关的合同复印件、合同中文译本。</w:t>
            </w:r>
          </w:p>
        </w:tc>
        <w:tc>
          <w:tcPr>
            <w:tcW w:w="1104" w:type="dxa"/>
            <w:vMerge/>
            <w:vAlign w:val="center"/>
          </w:tcPr>
          <w:p w:rsidR="00013EC7" w:rsidRDefault="00013EC7">
            <w:pPr>
              <w:widowControl/>
              <w:jc w:val="left"/>
              <w:rPr>
                <w:rFonts w:ascii="仿宋" w:eastAsia="仿宋" w:hAnsi="仿宋" w:cs="仿宋"/>
                <w:sz w:val="24"/>
              </w:rPr>
            </w:pPr>
          </w:p>
        </w:tc>
        <w:tc>
          <w:tcPr>
            <w:tcW w:w="2303"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（七）与经营业务相关的合同复印件</w:t>
            </w:r>
            <w:r>
              <w:rPr>
                <w:rFonts w:ascii="仿宋" w:eastAsia="仿宋" w:hAnsi="仿宋" w:cs="仿宋" w:hint="eastAsia"/>
                <w:sz w:val="24"/>
                <w:highlight w:val="lightGray"/>
                <w:shd w:val="clear" w:color="auto" w:fill="D9D9D9"/>
              </w:rPr>
              <w:t>1份（注明与原件一致，并加盖公章）</w:t>
            </w:r>
            <w:r>
              <w:rPr>
                <w:rFonts w:ascii="仿宋" w:eastAsia="仿宋" w:hAnsi="仿宋" w:cs="仿宋" w:hint="eastAsia"/>
                <w:sz w:val="24"/>
              </w:rPr>
              <w:t>、合同中文译本</w:t>
            </w:r>
            <w:r>
              <w:rPr>
                <w:rFonts w:ascii="仿宋" w:eastAsia="仿宋" w:hAnsi="仿宋" w:cs="仿宋" w:hint="eastAsia"/>
                <w:sz w:val="24"/>
                <w:highlight w:val="lightGray"/>
                <w:shd w:val="clear" w:color="auto" w:fill="D9D9D9"/>
              </w:rPr>
              <w:t>1份</w:t>
            </w:r>
            <w:r>
              <w:rPr>
                <w:rFonts w:ascii="仿宋" w:eastAsia="仿宋" w:hAnsi="仿宋" w:cs="仿宋" w:hint="eastAsia"/>
                <w:sz w:val="24"/>
              </w:rPr>
              <w:t>。</w:t>
            </w:r>
          </w:p>
        </w:tc>
        <w:tc>
          <w:tcPr>
            <w:tcW w:w="1343" w:type="dxa"/>
            <w:vMerge/>
            <w:vAlign w:val="center"/>
          </w:tcPr>
          <w:p w:rsidR="00013EC7" w:rsidRDefault="00013EC7">
            <w:pPr>
              <w:widowControl/>
              <w:jc w:val="left"/>
              <w:rPr>
                <w:rFonts w:ascii="仿宋" w:eastAsia="仿宋" w:hAnsi="仿宋" w:cs="仿宋"/>
                <w:sz w:val="24"/>
              </w:rPr>
            </w:pPr>
          </w:p>
        </w:tc>
        <w:tc>
          <w:tcPr>
            <w:tcW w:w="3114" w:type="dxa"/>
            <w:vMerge/>
            <w:vAlign w:val="center"/>
          </w:tcPr>
          <w:p w:rsidR="00013EC7" w:rsidRDefault="00013EC7">
            <w:pPr>
              <w:widowControl/>
              <w:jc w:val="left"/>
              <w:rPr>
                <w:rFonts w:ascii="仿宋" w:eastAsia="仿宋" w:hAnsi="仿宋" w:cs="仿宋"/>
                <w:sz w:val="24"/>
              </w:rPr>
            </w:pPr>
          </w:p>
        </w:tc>
        <w:tc>
          <w:tcPr>
            <w:tcW w:w="874" w:type="dxa"/>
            <w:vMerge/>
            <w:vAlign w:val="center"/>
          </w:tcPr>
          <w:p w:rsidR="00013EC7" w:rsidRDefault="00013EC7">
            <w:pPr>
              <w:widowControl/>
              <w:jc w:val="left"/>
              <w:rPr>
                <w:rFonts w:ascii="仿宋" w:eastAsia="仿宋" w:hAnsi="仿宋" w:cs="仿宋"/>
                <w:sz w:val="24"/>
              </w:rPr>
            </w:pPr>
          </w:p>
        </w:tc>
        <w:tc>
          <w:tcPr>
            <w:tcW w:w="805" w:type="dxa"/>
            <w:vMerge/>
            <w:vAlign w:val="center"/>
          </w:tcPr>
          <w:p w:rsidR="00013EC7" w:rsidRDefault="00013EC7">
            <w:pPr>
              <w:widowControl/>
              <w:jc w:val="left"/>
              <w:rPr>
                <w:rFonts w:ascii="仿宋" w:eastAsia="仿宋" w:hAnsi="仿宋" w:cs="仿宋"/>
                <w:sz w:val="24"/>
              </w:rPr>
            </w:pPr>
          </w:p>
        </w:tc>
        <w:tc>
          <w:tcPr>
            <w:tcW w:w="955" w:type="dxa"/>
            <w:vMerge/>
            <w:vAlign w:val="center"/>
          </w:tcPr>
          <w:p w:rsidR="00013EC7" w:rsidRDefault="00013EC7">
            <w:pPr>
              <w:widowControl/>
              <w:jc w:val="left"/>
              <w:rPr>
                <w:rFonts w:ascii="仿宋" w:eastAsia="仿宋" w:hAnsi="仿宋" w:cs="仿宋"/>
                <w:sz w:val="24"/>
              </w:rPr>
            </w:pPr>
          </w:p>
        </w:tc>
        <w:tc>
          <w:tcPr>
            <w:tcW w:w="1092" w:type="dxa"/>
            <w:vMerge/>
            <w:vAlign w:val="center"/>
          </w:tcPr>
          <w:p w:rsidR="00013EC7" w:rsidRDefault="00013EC7">
            <w:pPr>
              <w:widowControl/>
              <w:jc w:val="left"/>
              <w:rPr>
                <w:rFonts w:ascii="仿宋" w:eastAsia="仿宋" w:hAnsi="仿宋" w:cs="仿宋"/>
                <w:sz w:val="24"/>
              </w:rPr>
            </w:pPr>
          </w:p>
        </w:tc>
        <w:tc>
          <w:tcPr>
            <w:tcW w:w="1441" w:type="dxa"/>
            <w:vMerge/>
            <w:vAlign w:val="center"/>
          </w:tcPr>
          <w:p w:rsidR="00013EC7" w:rsidRDefault="00013EC7">
            <w:pPr>
              <w:widowControl/>
              <w:jc w:val="left"/>
              <w:rPr>
                <w:rFonts w:ascii="仿宋" w:eastAsia="仿宋" w:hAnsi="仿宋" w:cs="仿宋"/>
                <w:sz w:val="24"/>
              </w:rPr>
            </w:pPr>
          </w:p>
        </w:tc>
      </w:tr>
      <w:tr w:rsidR="00013EC7" w:rsidTr="0070369A">
        <w:trPr>
          <w:trHeight w:val="992"/>
          <w:jc w:val="center"/>
        </w:trPr>
        <w:tc>
          <w:tcPr>
            <w:tcW w:w="1226" w:type="dxa"/>
            <w:vMerge/>
            <w:vAlign w:val="center"/>
          </w:tcPr>
          <w:p w:rsidR="00013EC7" w:rsidRDefault="00013EC7">
            <w:pPr>
              <w:widowControl/>
              <w:jc w:val="left"/>
              <w:rPr>
                <w:rFonts w:ascii="仿宋" w:eastAsia="仿宋" w:hAnsi="仿宋" w:cs="仿宋"/>
                <w:sz w:val="24"/>
              </w:rPr>
            </w:pPr>
          </w:p>
        </w:tc>
        <w:tc>
          <w:tcPr>
            <w:tcW w:w="1291" w:type="dxa"/>
            <w:vMerge/>
            <w:vAlign w:val="center"/>
          </w:tcPr>
          <w:p w:rsidR="00013EC7" w:rsidRDefault="00013EC7">
            <w:pPr>
              <w:widowControl/>
              <w:jc w:val="left"/>
              <w:rPr>
                <w:rFonts w:ascii="仿宋" w:eastAsia="仿宋" w:hAnsi="仿宋" w:cs="仿宋"/>
                <w:sz w:val="24"/>
              </w:rPr>
            </w:pPr>
          </w:p>
        </w:tc>
        <w:tc>
          <w:tcPr>
            <w:tcW w:w="1833" w:type="dxa"/>
            <w:vMerge/>
            <w:vAlign w:val="center"/>
          </w:tcPr>
          <w:p w:rsidR="00013EC7" w:rsidRDefault="00013EC7">
            <w:pPr>
              <w:widowControl/>
              <w:jc w:val="left"/>
              <w:rPr>
                <w:rFonts w:ascii="仿宋" w:eastAsia="仿宋" w:hAnsi="仿宋" w:cs="仿宋"/>
                <w:sz w:val="24"/>
              </w:rPr>
            </w:pPr>
          </w:p>
        </w:tc>
        <w:tc>
          <w:tcPr>
            <w:tcW w:w="2861"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（八）（A06167）《非居民项目合同款项支付情况报告表》。</w:t>
            </w:r>
          </w:p>
        </w:tc>
        <w:tc>
          <w:tcPr>
            <w:tcW w:w="1104" w:type="dxa"/>
            <w:vMerge w:val="restart"/>
            <w:vAlign w:val="center"/>
          </w:tcPr>
          <w:p w:rsidR="00013EC7" w:rsidRDefault="00575CDB">
            <w:pPr>
              <w:jc w:val="center"/>
              <w:rPr>
                <w:rFonts w:ascii="仿宋" w:eastAsia="仿宋" w:hAnsi="仿宋" w:cs="仿宋"/>
                <w:sz w:val="24"/>
              </w:rPr>
            </w:pPr>
            <w:r>
              <w:rPr>
                <w:rFonts w:ascii="仿宋" w:eastAsia="仿宋" w:hAnsi="仿宋" w:cs="仿宋" w:hint="eastAsia"/>
                <w:sz w:val="24"/>
              </w:rPr>
              <w:t>申请办理境内机构和个人发包工程作业或劳务合同款项支付情况备案的纳税人提交</w:t>
            </w:r>
          </w:p>
        </w:tc>
        <w:tc>
          <w:tcPr>
            <w:tcW w:w="2303" w:type="dxa"/>
            <w:vAlign w:val="center"/>
          </w:tcPr>
          <w:p w:rsidR="00013EC7" w:rsidRDefault="00013EC7">
            <w:pPr>
              <w:spacing w:line="300" w:lineRule="exact"/>
              <w:rPr>
                <w:rFonts w:ascii="仿宋" w:eastAsia="仿宋" w:hAnsi="仿宋" w:cs="仿宋"/>
                <w:sz w:val="24"/>
              </w:rPr>
            </w:pPr>
          </w:p>
        </w:tc>
        <w:tc>
          <w:tcPr>
            <w:tcW w:w="1343"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b/>
                <w:bCs/>
                <w:i/>
                <w:iCs/>
                <w:sz w:val="24"/>
              </w:rPr>
              <w:t>取消</w:t>
            </w:r>
          </w:p>
        </w:tc>
        <w:tc>
          <w:tcPr>
            <w:tcW w:w="3114" w:type="dxa"/>
            <w:vMerge/>
            <w:vAlign w:val="center"/>
          </w:tcPr>
          <w:p w:rsidR="00013EC7" w:rsidRDefault="00013EC7">
            <w:pPr>
              <w:widowControl/>
              <w:jc w:val="left"/>
              <w:rPr>
                <w:rFonts w:ascii="仿宋" w:eastAsia="仿宋" w:hAnsi="仿宋" w:cs="仿宋"/>
                <w:sz w:val="24"/>
              </w:rPr>
            </w:pPr>
          </w:p>
        </w:tc>
        <w:tc>
          <w:tcPr>
            <w:tcW w:w="874" w:type="dxa"/>
            <w:vMerge/>
            <w:vAlign w:val="center"/>
          </w:tcPr>
          <w:p w:rsidR="00013EC7" w:rsidRDefault="00013EC7">
            <w:pPr>
              <w:widowControl/>
              <w:jc w:val="left"/>
              <w:rPr>
                <w:rFonts w:ascii="仿宋" w:eastAsia="仿宋" w:hAnsi="仿宋" w:cs="仿宋"/>
                <w:sz w:val="24"/>
              </w:rPr>
            </w:pPr>
          </w:p>
        </w:tc>
        <w:tc>
          <w:tcPr>
            <w:tcW w:w="805" w:type="dxa"/>
            <w:vMerge/>
            <w:vAlign w:val="center"/>
          </w:tcPr>
          <w:p w:rsidR="00013EC7" w:rsidRDefault="00013EC7">
            <w:pPr>
              <w:widowControl/>
              <w:jc w:val="left"/>
              <w:rPr>
                <w:rFonts w:ascii="仿宋" w:eastAsia="仿宋" w:hAnsi="仿宋" w:cs="仿宋"/>
                <w:sz w:val="24"/>
              </w:rPr>
            </w:pPr>
          </w:p>
        </w:tc>
        <w:tc>
          <w:tcPr>
            <w:tcW w:w="955" w:type="dxa"/>
            <w:vMerge/>
            <w:vAlign w:val="center"/>
          </w:tcPr>
          <w:p w:rsidR="00013EC7" w:rsidRDefault="00013EC7">
            <w:pPr>
              <w:widowControl/>
              <w:jc w:val="left"/>
              <w:rPr>
                <w:rFonts w:ascii="仿宋" w:eastAsia="仿宋" w:hAnsi="仿宋" w:cs="仿宋"/>
                <w:sz w:val="24"/>
              </w:rPr>
            </w:pPr>
          </w:p>
        </w:tc>
        <w:tc>
          <w:tcPr>
            <w:tcW w:w="1092" w:type="dxa"/>
            <w:vMerge/>
            <w:vAlign w:val="center"/>
          </w:tcPr>
          <w:p w:rsidR="00013EC7" w:rsidRDefault="00013EC7">
            <w:pPr>
              <w:widowControl/>
              <w:jc w:val="left"/>
              <w:rPr>
                <w:rFonts w:ascii="仿宋" w:eastAsia="仿宋" w:hAnsi="仿宋" w:cs="仿宋"/>
                <w:sz w:val="24"/>
              </w:rPr>
            </w:pPr>
          </w:p>
        </w:tc>
        <w:tc>
          <w:tcPr>
            <w:tcW w:w="1441" w:type="dxa"/>
            <w:vMerge/>
            <w:vAlign w:val="center"/>
          </w:tcPr>
          <w:p w:rsidR="00013EC7" w:rsidRDefault="00013EC7">
            <w:pPr>
              <w:widowControl/>
              <w:jc w:val="left"/>
              <w:rPr>
                <w:rFonts w:ascii="仿宋" w:eastAsia="仿宋" w:hAnsi="仿宋" w:cs="仿宋"/>
                <w:sz w:val="24"/>
              </w:rPr>
            </w:pPr>
          </w:p>
        </w:tc>
      </w:tr>
      <w:tr w:rsidR="00013EC7" w:rsidTr="0070369A">
        <w:trPr>
          <w:trHeight w:val="992"/>
          <w:jc w:val="center"/>
        </w:trPr>
        <w:tc>
          <w:tcPr>
            <w:tcW w:w="1226" w:type="dxa"/>
            <w:vMerge/>
            <w:vAlign w:val="center"/>
          </w:tcPr>
          <w:p w:rsidR="00013EC7" w:rsidRDefault="00013EC7">
            <w:pPr>
              <w:widowControl/>
              <w:jc w:val="left"/>
              <w:rPr>
                <w:rFonts w:ascii="仿宋" w:eastAsia="仿宋" w:hAnsi="仿宋" w:cs="仿宋"/>
                <w:sz w:val="24"/>
              </w:rPr>
            </w:pPr>
          </w:p>
        </w:tc>
        <w:tc>
          <w:tcPr>
            <w:tcW w:w="1291" w:type="dxa"/>
            <w:vMerge/>
            <w:vAlign w:val="center"/>
          </w:tcPr>
          <w:p w:rsidR="00013EC7" w:rsidRDefault="00013EC7">
            <w:pPr>
              <w:widowControl/>
              <w:jc w:val="left"/>
              <w:rPr>
                <w:rFonts w:ascii="仿宋" w:eastAsia="仿宋" w:hAnsi="仿宋" w:cs="仿宋"/>
                <w:sz w:val="24"/>
              </w:rPr>
            </w:pPr>
          </w:p>
        </w:tc>
        <w:tc>
          <w:tcPr>
            <w:tcW w:w="1833" w:type="dxa"/>
            <w:vMerge/>
            <w:vAlign w:val="center"/>
          </w:tcPr>
          <w:p w:rsidR="00013EC7" w:rsidRDefault="00013EC7">
            <w:pPr>
              <w:widowControl/>
              <w:jc w:val="left"/>
              <w:rPr>
                <w:rFonts w:ascii="仿宋" w:eastAsia="仿宋" w:hAnsi="仿宋" w:cs="仿宋"/>
                <w:sz w:val="24"/>
              </w:rPr>
            </w:pPr>
          </w:p>
        </w:tc>
        <w:tc>
          <w:tcPr>
            <w:tcW w:w="2861"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（九）付款凭证复印件。</w:t>
            </w:r>
          </w:p>
        </w:tc>
        <w:tc>
          <w:tcPr>
            <w:tcW w:w="1104" w:type="dxa"/>
            <w:vMerge/>
            <w:vAlign w:val="center"/>
          </w:tcPr>
          <w:p w:rsidR="00013EC7" w:rsidRDefault="00013EC7">
            <w:pPr>
              <w:widowControl/>
              <w:jc w:val="left"/>
              <w:rPr>
                <w:rFonts w:ascii="仿宋" w:eastAsia="仿宋" w:hAnsi="仿宋" w:cs="仿宋"/>
                <w:sz w:val="24"/>
              </w:rPr>
            </w:pPr>
          </w:p>
        </w:tc>
        <w:tc>
          <w:tcPr>
            <w:tcW w:w="2303"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（八）付款凭证复印件</w:t>
            </w:r>
            <w:r>
              <w:rPr>
                <w:rFonts w:ascii="仿宋" w:eastAsia="仿宋" w:hAnsi="仿宋" w:cs="仿宋" w:hint="eastAsia"/>
                <w:sz w:val="24"/>
                <w:highlight w:val="lightGray"/>
                <w:shd w:val="clear" w:color="auto" w:fill="D9D9D9"/>
              </w:rPr>
              <w:t>1份（注明与原件一致，并加盖公章）</w:t>
            </w:r>
            <w:r>
              <w:rPr>
                <w:rFonts w:ascii="仿宋" w:eastAsia="仿宋" w:hAnsi="仿宋" w:cs="仿宋" w:hint="eastAsia"/>
                <w:sz w:val="24"/>
              </w:rPr>
              <w:t>。</w:t>
            </w:r>
          </w:p>
        </w:tc>
        <w:tc>
          <w:tcPr>
            <w:tcW w:w="1343"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纳税人留存备查</w:t>
            </w:r>
          </w:p>
        </w:tc>
        <w:tc>
          <w:tcPr>
            <w:tcW w:w="3114" w:type="dxa"/>
            <w:vMerge/>
            <w:vAlign w:val="center"/>
          </w:tcPr>
          <w:p w:rsidR="00013EC7" w:rsidRDefault="00013EC7">
            <w:pPr>
              <w:widowControl/>
              <w:jc w:val="left"/>
              <w:rPr>
                <w:rFonts w:ascii="仿宋" w:eastAsia="仿宋" w:hAnsi="仿宋" w:cs="仿宋"/>
                <w:sz w:val="24"/>
              </w:rPr>
            </w:pPr>
          </w:p>
        </w:tc>
        <w:tc>
          <w:tcPr>
            <w:tcW w:w="874" w:type="dxa"/>
            <w:vMerge/>
            <w:vAlign w:val="center"/>
          </w:tcPr>
          <w:p w:rsidR="00013EC7" w:rsidRDefault="00013EC7">
            <w:pPr>
              <w:widowControl/>
              <w:jc w:val="left"/>
              <w:rPr>
                <w:rFonts w:ascii="仿宋" w:eastAsia="仿宋" w:hAnsi="仿宋" w:cs="仿宋"/>
                <w:sz w:val="24"/>
              </w:rPr>
            </w:pPr>
          </w:p>
        </w:tc>
        <w:tc>
          <w:tcPr>
            <w:tcW w:w="805" w:type="dxa"/>
            <w:vMerge/>
            <w:vAlign w:val="center"/>
          </w:tcPr>
          <w:p w:rsidR="00013EC7" w:rsidRDefault="00013EC7">
            <w:pPr>
              <w:widowControl/>
              <w:jc w:val="left"/>
              <w:rPr>
                <w:rFonts w:ascii="仿宋" w:eastAsia="仿宋" w:hAnsi="仿宋" w:cs="仿宋"/>
                <w:sz w:val="24"/>
              </w:rPr>
            </w:pPr>
          </w:p>
        </w:tc>
        <w:tc>
          <w:tcPr>
            <w:tcW w:w="955" w:type="dxa"/>
            <w:vMerge/>
            <w:vAlign w:val="center"/>
          </w:tcPr>
          <w:p w:rsidR="00013EC7" w:rsidRDefault="00013EC7">
            <w:pPr>
              <w:widowControl/>
              <w:jc w:val="left"/>
              <w:rPr>
                <w:rFonts w:ascii="仿宋" w:eastAsia="仿宋" w:hAnsi="仿宋" w:cs="仿宋"/>
                <w:sz w:val="24"/>
              </w:rPr>
            </w:pPr>
          </w:p>
        </w:tc>
        <w:tc>
          <w:tcPr>
            <w:tcW w:w="1092" w:type="dxa"/>
            <w:vMerge/>
            <w:vAlign w:val="center"/>
          </w:tcPr>
          <w:p w:rsidR="00013EC7" w:rsidRDefault="00013EC7">
            <w:pPr>
              <w:widowControl/>
              <w:jc w:val="left"/>
              <w:rPr>
                <w:rFonts w:ascii="仿宋" w:eastAsia="仿宋" w:hAnsi="仿宋" w:cs="仿宋"/>
                <w:sz w:val="24"/>
              </w:rPr>
            </w:pPr>
          </w:p>
        </w:tc>
        <w:tc>
          <w:tcPr>
            <w:tcW w:w="1441" w:type="dxa"/>
            <w:vMerge/>
            <w:vAlign w:val="center"/>
          </w:tcPr>
          <w:p w:rsidR="00013EC7" w:rsidRDefault="00013EC7">
            <w:pPr>
              <w:widowControl/>
              <w:jc w:val="left"/>
              <w:rPr>
                <w:rFonts w:ascii="仿宋" w:eastAsia="仿宋" w:hAnsi="仿宋" w:cs="仿宋"/>
                <w:sz w:val="24"/>
              </w:rPr>
            </w:pPr>
          </w:p>
        </w:tc>
      </w:tr>
    </w:tbl>
    <w:p w:rsidR="00013EC7" w:rsidRDefault="00013EC7"/>
    <w:p w:rsidR="00013EC7" w:rsidRDefault="00013EC7">
      <w:pPr>
        <w:tabs>
          <w:tab w:val="left" w:pos="10942"/>
        </w:tabs>
        <w:jc w:val="left"/>
      </w:pPr>
    </w:p>
    <w:p w:rsidR="00013EC7" w:rsidRDefault="00013EC7">
      <w:pPr>
        <w:tabs>
          <w:tab w:val="left" w:pos="10942"/>
        </w:tabs>
        <w:jc w:val="left"/>
      </w:pPr>
    </w:p>
    <w:p w:rsidR="00013EC7" w:rsidRDefault="00013EC7">
      <w:pPr>
        <w:tabs>
          <w:tab w:val="left" w:pos="10942"/>
        </w:tabs>
        <w:jc w:val="left"/>
      </w:pPr>
    </w:p>
    <w:p w:rsidR="00013EC7" w:rsidRDefault="005262E6">
      <w:r>
        <w:lastRenderedPageBreak/>
        <w:object w:dxaOrig="1440" w:dyaOrig="1440">
          <v:shape id="_x0000_s1334" type="#_x0000_t75" style="position:absolute;left:0;text-align:left;margin-left:563.05pt;margin-top:84.9pt;width:481.5pt;height:653.5pt;z-index:251660288;mso-wrap-distance-top:0;mso-wrap-distance-bottom:0;mso-position-vertical-relative:page;mso-width-relative:page;mso-height-relative:page">
            <v:imagedata r:id="rId92" o:title=""/>
            <w10:wrap type="topAndBottom" anchory="page"/>
          </v:shape>
          <o:OLEObject Type="Embed" ProgID="Visio.Drawing.11" ShapeID="_x0000_s1334" DrawAspect="Content" ObjectID="_1577296179" r:id="rId93"/>
        </w:object>
      </w:r>
      <w:r>
        <w:object w:dxaOrig="1440" w:dyaOrig="1440">
          <v:shape id="_x0000_s1335" type="#_x0000_t75" style="position:absolute;left:0;text-align:left;margin-left:0;margin-top:93.85pt;width:481.5pt;height:748.15pt;z-index:251661312;mso-wrap-distance-top:0;mso-wrap-distance-bottom:0;mso-position-vertical-relative:page;mso-width-relative:page;mso-height-relative:page">
            <v:imagedata r:id="rId94" o:title=""/>
            <w10:wrap type="topAndBottom" anchory="page"/>
          </v:shape>
          <o:OLEObject Type="Embed" ProgID="Visio.Drawing.11" ShapeID="_x0000_s1335" DrawAspect="Content" ObjectID="_1577296180" r:id="rId95"/>
        </w:object>
      </w:r>
    </w:p>
    <w:p w:rsidR="00013EC7" w:rsidRDefault="00575CDB">
      <w:pPr>
        <w:pStyle w:val="2"/>
      </w:pPr>
      <w:bookmarkStart w:id="124" w:name="_Toc498705699"/>
      <w:bookmarkStart w:id="125" w:name="_Toc6225"/>
      <w:bookmarkStart w:id="126" w:name="_Toc503467384"/>
      <w:bookmarkStart w:id="127" w:name="_Toc26302"/>
      <w:bookmarkStart w:id="128" w:name="_Toc7779"/>
      <w:r>
        <w:rPr>
          <w:rFonts w:hint="eastAsia"/>
        </w:rPr>
        <w:lastRenderedPageBreak/>
        <w:t>7.2</w:t>
      </w:r>
      <w:r>
        <w:rPr>
          <w:rFonts w:hint="eastAsia"/>
        </w:rPr>
        <w:t>非居民企业间接转让财产事项报告</w:t>
      </w:r>
      <w:bookmarkEnd w:id="124"/>
      <w:bookmarkEnd w:id="125"/>
      <w:bookmarkEnd w:id="126"/>
      <w:bookmarkEnd w:id="127"/>
      <w:bookmarkEnd w:id="128"/>
    </w:p>
    <w:p w:rsidR="00013EC7" w:rsidRDefault="00575CDB">
      <w:pPr>
        <w:jc w:val="center"/>
        <w:rPr>
          <w:rFonts w:ascii="宋体" w:hAnsi="宋体" w:cs="宋体"/>
          <w:b/>
          <w:bCs/>
          <w:sz w:val="44"/>
          <w:szCs w:val="44"/>
        </w:rPr>
      </w:pPr>
      <w:r>
        <w:rPr>
          <w:rFonts w:ascii="宋体" w:hAnsi="宋体" w:cs="宋体" w:hint="eastAsia"/>
          <w:b/>
          <w:bCs/>
          <w:sz w:val="52"/>
          <w:szCs w:val="52"/>
        </w:rPr>
        <w:t>全省“最多跑一次”事项“八统一”梳理表</w:t>
      </w:r>
    </w:p>
    <w:tbl>
      <w:tblPr>
        <w:tblW w:w="20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1250"/>
        <w:gridCol w:w="1316"/>
        <w:gridCol w:w="2114"/>
        <w:gridCol w:w="2785"/>
        <w:gridCol w:w="1118"/>
        <w:gridCol w:w="2403"/>
        <w:gridCol w:w="1196"/>
        <w:gridCol w:w="3318"/>
        <w:gridCol w:w="868"/>
        <w:gridCol w:w="798"/>
        <w:gridCol w:w="958"/>
        <w:gridCol w:w="1104"/>
        <w:gridCol w:w="1476"/>
      </w:tblGrid>
      <w:tr w:rsidR="00013EC7" w:rsidTr="0070369A">
        <w:trPr>
          <w:trHeight w:val="340"/>
          <w:tblHeader/>
          <w:jc w:val="center"/>
        </w:trPr>
        <w:tc>
          <w:tcPr>
            <w:tcW w:w="1250"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主项名称</w:t>
            </w:r>
          </w:p>
        </w:tc>
        <w:tc>
          <w:tcPr>
            <w:tcW w:w="1316"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子项名称</w:t>
            </w:r>
          </w:p>
        </w:tc>
        <w:tc>
          <w:tcPr>
            <w:tcW w:w="2114"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经办依据</w:t>
            </w:r>
          </w:p>
        </w:tc>
        <w:tc>
          <w:tcPr>
            <w:tcW w:w="3903"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原经办所需材料</w:t>
            </w:r>
          </w:p>
        </w:tc>
        <w:tc>
          <w:tcPr>
            <w:tcW w:w="6917" w:type="dxa"/>
            <w:gridSpan w:val="3"/>
            <w:vAlign w:val="center"/>
          </w:tcPr>
          <w:p w:rsidR="00013EC7" w:rsidRDefault="00575CDB">
            <w:pPr>
              <w:spacing w:line="280" w:lineRule="exact"/>
              <w:jc w:val="center"/>
              <w:rPr>
                <w:rFonts w:ascii="黑体" w:eastAsia="黑体"/>
                <w:sz w:val="24"/>
              </w:rPr>
            </w:pPr>
            <w:r>
              <w:rPr>
                <w:rFonts w:ascii="黑体" w:eastAsia="黑体" w:hint="eastAsia"/>
                <w:sz w:val="24"/>
              </w:rPr>
              <w:t>梳理后经办所需材料</w:t>
            </w:r>
          </w:p>
        </w:tc>
        <w:tc>
          <w:tcPr>
            <w:tcW w:w="1666"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办理时限</w:t>
            </w:r>
          </w:p>
        </w:tc>
        <w:tc>
          <w:tcPr>
            <w:tcW w:w="958"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是否实现跑零次</w:t>
            </w:r>
          </w:p>
        </w:tc>
        <w:tc>
          <w:tcPr>
            <w:tcW w:w="1104"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省厅对口</w:t>
            </w:r>
          </w:p>
          <w:p w:rsidR="00013EC7" w:rsidRDefault="00575CDB">
            <w:pPr>
              <w:spacing w:line="280" w:lineRule="exact"/>
              <w:jc w:val="center"/>
              <w:rPr>
                <w:rFonts w:ascii="黑体" w:eastAsia="黑体"/>
                <w:sz w:val="24"/>
              </w:rPr>
            </w:pPr>
            <w:r>
              <w:rPr>
                <w:rFonts w:ascii="黑体" w:eastAsia="黑体" w:hint="eastAsia"/>
                <w:sz w:val="24"/>
              </w:rPr>
              <w:t>指导处室</w:t>
            </w:r>
          </w:p>
          <w:p w:rsidR="00013EC7" w:rsidRDefault="00575CDB">
            <w:pPr>
              <w:spacing w:line="280" w:lineRule="exact"/>
              <w:jc w:val="center"/>
              <w:rPr>
                <w:rFonts w:ascii="黑体" w:eastAsia="黑体"/>
                <w:sz w:val="24"/>
              </w:rPr>
            </w:pPr>
            <w:r>
              <w:rPr>
                <w:rFonts w:ascii="黑体" w:eastAsia="黑体" w:hint="eastAsia"/>
                <w:sz w:val="24"/>
              </w:rPr>
              <w:t>（单位）</w:t>
            </w:r>
          </w:p>
        </w:tc>
        <w:tc>
          <w:tcPr>
            <w:tcW w:w="1476"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进一步精简、</w:t>
            </w:r>
          </w:p>
          <w:p w:rsidR="00013EC7" w:rsidRDefault="00575CDB">
            <w:pPr>
              <w:spacing w:line="280" w:lineRule="exact"/>
              <w:jc w:val="center"/>
              <w:rPr>
                <w:rFonts w:ascii="黑体" w:eastAsia="黑体"/>
                <w:sz w:val="24"/>
              </w:rPr>
            </w:pPr>
            <w:r>
              <w:rPr>
                <w:rFonts w:ascii="黑体" w:eastAsia="黑体" w:hint="eastAsia"/>
                <w:sz w:val="24"/>
              </w:rPr>
              <w:t>规范建议</w:t>
            </w:r>
          </w:p>
        </w:tc>
      </w:tr>
      <w:tr w:rsidR="00013EC7" w:rsidTr="0070369A">
        <w:trPr>
          <w:trHeight w:val="340"/>
          <w:tblHeader/>
          <w:jc w:val="center"/>
        </w:trPr>
        <w:tc>
          <w:tcPr>
            <w:tcW w:w="1250" w:type="dxa"/>
            <w:vMerge/>
            <w:vAlign w:val="center"/>
          </w:tcPr>
          <w:p w:rsidR="00013EC7" w:rsidRDefault="00013EC7">
            <w:pPr>
              <w:jc w:val="center"/>
              <w:rPr>
                <w:sz w:val="24"/>
              </w:rPr>
            </w:pPr>
          </w:p>
        </w:tc>
        <w:tc>
          <w:tcPr>
            <w:tcW w:w="1316" w:type="dxa"/>
            <w:vMerge/>
            <w:vAlign w:val="center"/>
          </w:tcPr>
          <w:p w:rsidR="00013EC7" w:rsidRDefault="00013EC7">
            <w:pPr>
              <w:jc w:val="center"/>
              <w:rPr>
                <w:sz w:val="24"/>
              </w:rPr>
            </w:pPr>
          </w:p>
        </w:tc>
        <w:tc>
          <w:tcPr>
            <w:tcW w:w="2114" w:type="dxa"/>
            <w:vMerge/>
            <w:vAlign w:val="center"/>
          </w:tcPr>
          <w:p w:rsidR="00013EC7" w:rsidRDefault="00013EC7">
            <w:pPr>
              <w:jc w:val="center"/>
              <w:rPr>
                <w:sz w:val="24"/>
              </w:rPr>
            </w:pPr>
          </w:p>
        </w:tc>
        <w:tc>
          <w:tcPr>
            <w:tcW w:w="2785" w:type="dxa"/>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118"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2403" w:type="dxa"/>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196"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3318" w:type="dxa"/>
            <w:vAlign w:val="center"/>
          </w:tcPr>
          <w:p w:rsidR="00013EC7" w:rsidRDefault="00575CDB">
            <w:pPr>
              <w:spacing w:line="280" w:lineRule="exact"/>
              <w:jc w:val="center"/>
              <w:rPr>
                <w:rFonts w:ascii="黑体" w:eastAsia="黑体"/>
                <w:sz w:val="24"/>
              </w:rPr>
            </w:pPr>
            <w:r>
              <w:rPr>
                <w:rFonts w:ascii="黑体" w:eastAsia="黑体" w:hint="eastAsia"/>
                <w:sz w:val="24"/>
              </w:rPr>
              <w:t>办理方式及材料</w:t>
            </w:r>
          </w:p>
          <w:p w:rsidR="00013EC7" w:rsidRDefault="00575CDB">
            <w:pPr>
              <w:spacing w:line="280" w:lineRule="exact"/>
              <w:jc w:val="center"/>
              <w:rPr>
                <w:rFonts w:ascii="黑体" w:eastAsia="黑体"/>
                <w:sz w:val="24"/>
              </w:rPr>
            </w:pPr>
            <w:r>
              <w:rPr>
                <w:rFonts w:ascii="黑体" w:eastAsia="黑体" w:hint="eastAsia"/>
                <w:sz w:val="24"/>
              </w:rPr>
              <w:t>信息获取方式说明</w:t>
            </w:r>
          </w:p>
        </w:tc>
        <w:tc>
          <w:tcPr>
            <w:tcW w:w="868" w:type="dxa"/>
            <w:vAlign w:val="center"/>
          </w:tcPr>
          <w:p w:rsidR="00013EC7" w:rsidRDefault="00575CDB">
            <w:pPr>
              <w:spacing w:line="280" w:lineRule="exact"/>
              <w:jc w:val="center"/>
              <w:rPr>
                <w:rFonts w:ascii="黑体" w:eastAsia="黑体"/>
                <w:sz w:val="24"/>
              </w:rPr>
            </w:pPr>
            <w:r>
              <w:rPr>
                <w:rFonts w:ascii="黑体" w:eastAsia="黑体" w:hint="eastAsia"/>
                <w:sz w:val="24"/>
              </w:rPr>
              <w:t>优化前</w:t>
            </w:r>
          </w:p>
        </w:tc>
        <w:tc>
          <w:tcPr>
            <w:tcW w:w="798" w:type="dxa"/>
            <w:vAlign w:val="center"/>
          </w:tcPr>
          <w:p w:rsidR="00013EC7" w:rsidRDefault="00575CDB">
            <w:pPr>
              <w:spacing w:line="280" w:lineRule="exact"/>
              <w:jc w:val="center"/>
              <w:rPr>
                <w:rFonts w:ascii="黑体" w:eastAsia="黑体"/>
                <w:sz w:val="24"/>
              </w:rPr>
            </w:pPr>
            <w:r>
              <w:rPr>
                <w:rFonts w:ascii="黑体" w:eastAsia="黑体" w:hint="eastAsia"/>
                <w:sz w:val="24"/>
              </w:rPr>
              <w:t>优化后</w:t>
            </w:r>
          </w:p>
        </w:tc>
        <w:tc>
          <w:tcPr>
            <w:tcW w:w="958" w:type="dxa"/>
            <w:vMerge/>
            <w:vAlign w:val="center"/>
          </w:tcPr>
          <w:p w:rsidR="00013EC7" w:rsidRDefault="00013EC7">
            <w:pPr>
              <w:jc w:val="center"/>
              <w:rPr>
                <w:sz w:val="24"/>
              </w:rPr>
            </w:pPr>
          </w:p>
        </w:tc>
        <w:tc>
          <w:tcPr>
            <w:tcW w:w="1104" w:type="dxa"/>
            <w:vMerge/>
            <w:vAlign w:val="center"/>
          </w:tcPr>
          <w:p w:rsidR="00013EC7" w:rsidRDefault="00013EC7">
            <w:pPr>
              <w:jc w:val="center"/>
              <w:rPr>
                <w:sz w:val="24"/>
              </w:rPr>
            </w:pPr>
          </w:p>
        </w:tc>
        <w:tc>
          <w:tcPr>
            <w:tcW w:w="1476" w:type="dxa"/>
            <w:vMerge/>
            <w:vAlign w:val="center"/>
          </w:tcPr>
          <w:p w:rsidR="00013EC7" w:rsidRDefault="00013EC7">
            <w:pPr>
              <w:jc w:val="center"/>
              <w:rPr>
                <w:sz w:val="24"/>
              </w:rPr>
            </w:pPr>
          </w:p>
        </w:tc>
      </w:tr>
      <w:tr w:rsidR="00013EC7" w:rsidTr="0070369A">
        <w:trPr>
          <w:trHeight w:val="976"/>
          <w:jc w:val="center"/>
        </w:trPr>
        <w:tc>
          <w:tcPr>
            <w:tcW w:w="1250"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7非居民企业相关事项办理</w:t>
            </w:r>
          </w:p>
        </w:tc>
        <w:tc>
          <w:tcPr>
            <w:tcW w:w="1316" w:type="dxa"/>
            <w:vMerge w:val="restart"/>
            <w:vAlign w:val="center"/>
          </w:tcPr>
          <w:p w:rsidR="00013EC7" w:rsidRDefault="00575CDB">
            <w:pPr>
              <w:spacing w:line="310" w:lineRule="exact"/>
              <w:jc w:val="left"/>
              <w:rPr>
                <w:rFonts w:ascii="仿宋" w:eastAsia="仿宋" w:hAnsi="仿宋" w:cs="仿宋"/>
                <w:sz w:val="24"/>
              </w:rPr>
            </w:pPr>
            <w:r>
              <w:rPr>
                <w:rFonts w:ascii="仿宋" w:eastAsia="仿宋" w:hAnsi="仿宋" w:cs="仿宋" w:hint="eastAsia"/>
                <w:sz w:val="24"/>
              </w:rPr>
              <w:t>7.2非居民企业间接转让财产事项报告</w:t>
            </w:r>
          </w:p>
        </w:tc>
        <w:tc>
          <w:tcPr>
            <w:tcW w:w="2114" w:type="dxa"/>
            <w:vMerge w:val="restart"/>
            <w:vAlign w:val="center"/>
          </w:tcPr>
          <w:p w:rsidR="00013EC7" w:rsidRDefault="00575CDB">
            <w:pPr>
              <w:spacing w:line="310" w:lineRule="exact"/>
              <w:jc w:val="left"/>
              <w:rPr>
                <w:rFonts w:ascii="仿宋" w:eastAsia="仿宋" w:hAnsi="仿宋" w:cs="仿宋"/>
                <w:sz w:val="24"/>
              </w:rPr>
            </w:pPr>
            <w:r>
              <w:rPr>
                <w:rFonts w:ascii="仿宋" w:eastAsia="仿宋" w:hAnsi="仿宋" w:cs="仿宋" w:hint="eastAsia"/>
                <w:sz w:val="24"/>
              </w:rPr>
              <w:t>（一）《国家税务总局关于非居民企业间接转让财产企业所得税若干问题的公告》（国家税务总局公告2015年第7号）第一条、第九条、第十条。</w:t>
            </w:r>
          </w:p>
        </w:tc>
        <w:tc>
          <w:tcPr>
            <w:tcW w:w="2785"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（一）</w:t>
            </w:r>
            <w:r>
              <w:rPr>
                <w:rFonts w:ascii="仿宋" w:eastAsia="仿宋" w:hAnsi="仿宋" w:cs="仿宋" w:hint="eastAsia"/>
                <w:sz w:val="24"/>
                <w:lang w:val="zh-CN"/>
              </w:rPr>
              <w:t>股权转让合同或协议（为外文文本的需同时附送中文译本，下同）。</w:t>
            </w:r>
          </w:p>
        </w:tc>
        <w:tc>
          <w:tcPr>
            <w:tcW w:w="1118"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纳税人提交</w:t>
            </w:r>
          </w:p>
        </w:tc>
        <w:tc>
          <w:tcPr>
            <w:tcW w:w="2403"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（一） 股权转让合同或协议１份（为外文文本的需同时附送中文译本１份，下同）。</w:t>
            </w:r>
          </w:p>
        </w:tc>
        <w:tc>
          <w:tcPr>
            <w:tcW w:w="1196" w:type="dxa"/>
            <w:vMerge w:val="restart"/>
            <w:vAlign w:val="center"/>
          </w:tcPr>
          <w:p w:rsidR="00013EC7" w:rsidRDefault="00575CDB">
            <w:pPr>
              <w:spacing w:line="300" w:lineRule="exact"/>
              <w:jc w:val="left"/>
              <w:rPr>
                <w:rFonts w:ascii="仿宋" w:eastAsia="仿宋" w:hAnsi="仿宋" w:cs="仿宋"/>
                <w:b/>
                <w:bCs/>
                <w:i/>
                <w:iCs/>
                <w:sz w:val="24"/>
              </w:rPr>
            </w:pPr>
            <w:r>
              <w:rPr>
                <w:rFonts w:ascii="仿宋" w:eastAsia="仿宋" w:hAnsi="仿宋" w:cs="仿宋" w:hint="eastAsia"/>
                <w:sz w:val="24"/>
              </w:rPr>
              <w:t>纳税人提交</w:t>
            </w:r>
          </w:p>
        </w:tc>
        <w:tc>
          <w:tcPr>
            <w:tcW w:w="3318"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纳税人提交书面材料。</w:t>
            </w:r>
          </w:p>
          <w:p w:rsidR="00013EC7" w:rsidRDefault="00575CDB">
            <w:pPr>
              <w:spacing w:line="300" w:lineRule="exact"/>
              <w:jc w:val="left"/>
              <w:rPr>
                <w:rFonts w:ascii="仿宋" w:eastAsia="仿宋" w:hAnsi="仿宋" w:cs="仿宋"/>
                <w:sz w:val="24"/>
              </w:rPr>
            </w:pPr>
            <w:r>
              <w:rPr>
                <w:rFonts w:ascii="仿宋" w:eastAsia="仿宋" w:hAnsi="仿宋" w:cs="仿宋" w:hint="eastAsia"/>
                <w:b/>
                <w:sz w:val="24"/>
              </w:rPr>
              <w:t>网上办理：</w:t>
            </w:r>
            <w:r>
              <w:rPr>
                <w:rFonts w:ascii="仿宋" w:eastAsia="仿宋" w:hAnsi="仿宋" w:cs="仿宋" w:hint="eastAsia"/>
                <w:sz w:val="24"/>
              </w:rPr>
              <w:t>登录浙江国税电子税务局（网址：http://etax.zjtax.gov.cn/</w:t>
            </w:r>
          </w:p>
          <w:p w:rsidR="00013EC7" w:rsidRDefault="00575CDB">
            <w:pPr>
              <w:spacing w:line="300" w:lineRule="exact"/>
              <w:jc w:val="left"/>
              <w:rPr>
                <w:rFonts w:ascii="仿宋" w:eastAsia="仿宋" w:hAnsi="仿宋" w:cs="仿宋"/>
                <w:sz w:val="24"/>
              </w:rPr>
            </w:pPr>
            <w:r>
              <w:rPr>
                <w:rFonts w:ascii="仿宋" w:eastAsia="仿宋" w:hAnsi="仿宋" w:cs="仿宋" w:hint="eastAsia"/>
                <w:sz w:val="24"/>
              </w:rPr>
              <w:t>）提交申请。</w:t>
            </w:r>
          </w:p>
          <w:p w:rsidR="00013EC7" w:rsidRDefault="00013EC7">
            <w:pPr>
              <w:spacing w:line="300" w:lineRule="exact"/>
              <w:jc w:val="left"/>
              <w:rPr>
                <w:rFonts w:ascii="仿宋" w:eastAsia="仿宋" w:hAnsi="仿宋" w:cs="仿宋"/>
                <w:sz w:val="24"/>
              </w:rPr>
            </w:pPr>
          </w:p>
        </w:tc>
        <w:tc>
          <w:tcPr>
            <w:tcW w:w="868"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即时办结</w:t>
            </w:r>
          </w:p>
        </w:tc>
        <w:tc>
          <w:tcPr>
            <w:tcW w:w="798"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即时办结</w:t>
            </w:r>
          </w:p>
        </w:tc>
        <w:tc>
          <w:tcPr>
            <w:tcW w:w="958"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是</w:t>
            </w:r>
          </w:p>
        </w:tc>
        <w:tc>
          <w:tcPr>
            <w:tcW w:w="1104"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国际税务处</w:t>
            </w:r>
          </w:p>
        </w:tc>
        <w:tc>
          <w:tcPr>
            <w:tcW w:w="1476" w:type="dxa"/>
            <w:vMerge w:val="restart"/>
            <w:vAlign w:val="center"/>
          </w:tcPr>
          <w:p w:rsidR="00013EC7" w:rsidRDefault="00013EC7">
            <w:pPr>
              <w:spacing w:line="300" w:lineRule="exact"/>
              <w:jc w:val="left"/>
              <w:rPr>
                <w:rFonts w:ascii="仿宋" w:eastAsia="仿宋" w:hAnsi="仿宋" w:cs="仿宋"/>
                <w:sz w:val="24"/>
              </w:rPr>
            </w:pPr>
          </w:p>
        </w:tc>
      </w:tr>
      <w:tr w:rsidR="00013EC7" w:rsidTr="0070369A">
        <w:trPr>
          <w:trHeight w:val="902"/>
          <w:jc w:val="center"/>
        </w:trPr>
        <w:tc>
          <w:tcPr>
            <w:tcW w:w="1250" w:type="dxa"/>
            <w:vMerge/>
            <w:textDirection w:val="tbRlV"/>
            <w:vAlign w:val="center"/>
          </w:tcPr>
          <w:p w:rsidR="00013EC7" w:rsidRDefault="00013EC7">
            <w:pPr>
              <w:rPr>
                <w:rFonts w:ascii="仿宋" w:eastAsia="仿宋" w:hAnsi="仿宋" w:cs="仿宋"/>
                <w:sz w:val="24"/>
              </w:rPr>
            </w:pPr>
          </w:p>
        </w:tc>
        <w:tc>
          <w:tcPr>
            <w:tcW w:w="1316" w:type="dxa"/>
            <w:vMerge/>
            <w:vAlign w:val="center"/>
          </w:tcPr>
          <w:p w:rsidR="00013EC7" w:rsidRDefault="00013EC7">
            <w:pPr>
              <w:rPr>
                <w:rFonts w:ascii="仿宋" w:eastAsia="仿宋" w:hAnsi="仿宋" w:cs="仿宋"/>
                <w:sz w:val="24"/>
              </w:rPr>
            </w:pPr>
          </w:p>
        </w:tc>
        <w:tc>
          <w:tcPr>
            <w:tcW w:w="2114" w:type="dxa"/>
            <w:vMerge/>
            <w:vAlign w:val="center"/>
          </w:tcPr>
          <w:p w:rsidR="00013EC7" w:rsidRDefault="00013EC7">
            <w:pPr>
              <w:rPr>
                <w:rFonts w:ascii="仿宋" w:eastAsia="仿宋" w:hAnsi="仿宋" w:cs="仿宋"/>
                <w:sz w:val="24"/>
              </w:rPr>
            </w:pPr>
          </w:p>
        </w:tc>
        <w:tc>
          <w:tcPr>
            <w:tcW w:w="2785"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 xml:space="preserve">（二） </w:t>
            </w:r>
            <w:r>
              <w:rPr>
                <w:rFonts w:ascii="仿宋" w:eastAsia="仿宋" w:hAnsi="仿宋" w:cs="仿宋" w:hint="eastAsia"/>
                <w:sz w:val="24"/>
                <w:lang w:val="zh-CN"/>
              </w:rPr>
              <w:t>股权转让前后的企业股权架构图。</w:t>
            </w:r>
          </w:p>
        </w:tc>
        <w:tc>
          <w:tcPr>
            <w:tcW w:w="1118" w:type="dxa"/>
            <w:vMerge/>
            <w:vAlign w:val="center"/>
          </w:tcPr>
          <w:p w:rsidR="00013EC7" w:rsidRDefault="00013EC7">
            <w:pPr>
              <w:jc w:val="left"/>
              <w:rPr>
                <w:rFonts w:ascii="仿宋" w:eastAsia="仿宋" w:hAnsi="仿宋" w:cs="仿宋"/>
                <w:sz w:val="24"/>
              </w:rPr>
            </w:pPr>
          </w:p>
        </w:tc>
        <w:tc>
          <w:tcPr>
            <w:tcW w:w="2403"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（二）股权转让前后的企业股权架构图１份。</w:t>
            </w:r>
          </w:p>
        </w:tc>
        <w:tc>
          <w:tcPr>
            <w:tcW w:w="1196" w:type="dxa"/>
            <w:vMerge/>
            <w:vAlign w:val="center"/>
          </w:tcPr>
          <w:p w:rsidR="00013EC7" w:rsidRDefault="00013EC7">
            <w:pPr>
              <w:spacing w:line="300" w:lineRule="exact"/>
              <w:rPr>
                <w:rFonts w:ascii="仿宋" w:eastAsia="仿宋" w:hAnsi="仿宋" w:cs="仿宋"/>
                <w:sz w:val="24"/>
              </w:rPr>
            </w:pPr>
          </w:p>
        </w:tc>
        <w:tc>
          <w:tcPr>
            <w:tcW w:w="3318" w:type="dxa"/>
            <w:vMerge/>
            <w:vAlign w:val="center"/>
          </w:tcPr>
          <w:p w:rsidR="00013EC7" w:rsidRDefault="00013EC7">
            <w:pPr>
              <w:spacing w:line="300" w:lineRule="exact"/>
              <w:rPr>
                <w:rFonts w:ascii="仿宋" w:eastAsia="仿宋" w:hAnsi="仿宋" w:cs="仿宋"/>
                <w:sz w:val="24"/>
              </w:rPr>
            </w:pPr>
          </w:p>
        </w:tc>
        <w:tc>
          <w:tcPr>
            <w:tcW w:w="868" w:type="dxa"/>
            <w:vMerge/>
            <w:vAlign w:val="center"/>
          </w:tcPr>
          <w:p w:rsidR="00013EC7" w:rsidRDefault="00013EC7">
            <w:pPr>
              <w:rPr>
                <w:rFonts w:ascii="仿宋" w:eastAsia="仿宋" w:hAnsi="仿宋" w:cs="仿宋"/>
                <w:sz w:val="24"/>
              </w:rPr>
            </w:pPr>
          </w:p>
        </w:tc>
        <w:tc>
          <w:tcPr>
            <w:tcW w:w="798" w:type="dxa"/>
            <w:vMerge/>
            <w:vAlign w:val="center"/>
          </w:tcPr>
          <w:p w:rsidR="00013EC7" w:rsidRDefault="00013EC7">
            <w:pPr>
              <w:rPr>
                <w:rFonts w:ascii="仿宋" w:eastAsia="仿宋" w:hAnsi="仿宋" w:cs="仿宋"/>
                <w:sz w:val="24"/>
              </w:rPr>
            </w:pP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rsidTr="0070369A">
        <w:trPr>
          <w:trHeight w:val="340"/>
          <w:jc w:val="center"/>
        </w:trPr>
        <w:tc>
          <w:tcPr>
            <w:tcW w:w="1250" w:type="dxa"/>
            <w:vMerge/>
            <w:textDirection w:val="tbRlV"/>
            <w:vAlign w:val="center"/>
          </w:tcPr>
          <w:p w:rsidR="00013EC7" w:rsidRDefault="00013EC7">
            <w:pPr>
              <w:rPr>
                <w:rFonts w:ascii="仿宋" w:eastAsia="仿宋" w:hAnsi="仿宋" w:cs="仿宋"/>
                <w:sz w:val="24"/>
              </w:rPr>
            </w:pPr>
          </w:p>
        </w:tc>
        <w:tc>
          <w:tcPr>
            <w:tcW w:w="1316" w:type="dxa"/>
            <w:vMerge/>
            <w:vAlign w:val="center"/>
          </w:tcPr>
          <w:p w:rsidR="00013EC7" w:rsidRDefault="00013EC7">
            <w:pPr>
              <w:rPr>
                <w:rFonts w:ascii="仿宋" w:eastAsia="仿宋" w:hAnsi="仿宋" w:cs="仿宋"/>
                <w:sz w:val="24"/>
              </w:rPr>
            </w:pPr>
          </w:p>
        </w:tc>
        <w:tc>
          <w:tcPr>
            <w:tcW w:w="2114" w:type="dxa"/>
            <w:vMerge/>
            <w:vAlign w:val="center"/>
          </w:tcPr>
          <w:p w:rsidR="00013EC7" w:rsidRDefault="00013EC7">
            <w:pPr>
              <w:rPr>
                <w:rFonts w:ascii="仿宋" w:eastAsia="仿宋" w:hAnsi="仿宋" w:cs="仿宋"/>
                <w:sz w:val="24"/>
              </w:rPr>
            </w:pPr>
          </w:p>
        </w:tc>
        <w:tc>
          <w:tcPr>
            <w:tcW w:w="2785"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（三）</w:t>
            </w:r>
            <w:r>
              <w:rPr>
                <w:rFonts w:ascii="仿宋" w:eastAsia="仿宋" w:hAnsi="仿宋" w:cs="仿宋" w:hint="eastAsia"/>
                <w:sz w:val="24"/>
                <w:lang w:val="zh-CN"/>
              </w:rPr>
              <w:t>境外企业及直接或间接持有中国应税财产的下属企业上两个年度财务、会计报表。</w:t>
            </w:r>
          </w:p>
        </w:tc>
        <w:tc>
          <w:tcPr>
            <w:tcW w:w="1118" w:type="dxa"/>
            <w:vMerge/>
            <w:vAlign w:val="center"/>
          </w:tcPr>
          <w:p w:rsidR="00013EC7" w:rsidRDefault="00013EC7">
            <w:pPr>
              <w:jc w:val="left"/>
              <w:rPr>
                <w:rFonts w:ascii="仿宋" w:eastAsia="仿宋" w:hAnsi="仿宋" w:cs="仿宋"/>
                <w:sz w:val="24"/>
              </w:rPr>
            </w:pPr>
          </w:p>
        </w:tc>
        <w:tc>
          <w:tcPr>
            <w:tcW w:w="2403"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（三）境外企业及直接或间接持有中国应税财产的下属企业上两个年度财务、会计报表各1份。</w:t>
            </w:r>
          </w:p>
        </w:tc>
        <w:tc>
          <w:tcPr>
            <w:tcW w:w="1196" w:type="dxa"/>
            <w:vMerge/>
            <w:vAlign w:val="center"/>
          </w:tcPr>
          <w:p w:rsidR="00013EC7" w:rsidRDefault="00013EC7">
            <w:pPr>
              <w:rPr>
                <w:rFonts w:ascii="仿宋" w:eastAsia="仿宋" w:hAnsi="仿宋" w:cs="仿宋"/>
                <w:sz w:val="24"/>
              </w:rPr>
            </w:pPr>
          </w:p>
        </w:tc>
        <w:tc>
          <w:tcPr>
            <w:tcW w:w="3318" w:type="dxa"/>
            <w:vMerge/>
            <w:vAlign w:val="center"/>
          </w:tcPr>
          <w:p w:rsidR="00013EC7" w:rsidRDefault="00013EC7">
            <w:pPr>
              <w:spacing w:line="300" w:lineRule="exact"/>
              <w:rPr>
                <w:rFonts w:ascii="仿宋" w:eastAsia="仿宋" w:hAnsi="仿宋" w:cs="仿宋"/>
                <w:sz w:val="24"/>
              </w:rPr>
            </w:pPr>
          </w:p>
        </w:tc>
        <w:tc>
          <w:tcPr>
            <w:tcW w:w="868" w:type="dxa"/>
            <w:vMerge/>
            <w:vAlign w:val="center"/>
          </w:tcPr>
          <w:p w:rsidR="00013EC7" w:rsidRDefault="00013EC7">
            <w:pPr>
              <w:rPr>
                <w:rFonts w:ascii="仿宋" w:eastAsia="仿宋" w:hAnsi="仿宋" w:cs="仿宋"/>
                <w:sz w:val="24"/>
              </w:rPr>
            </w:pPr>
          </w:p>
        </w:tc>
        <w:tc>
          <w:tcPr>
            <w:tcW w:w="798" w:type="dxa"/>
            <w:vMerge/>
            <w:vAlign w:val="center"/>
          </w:tcPr>
          <w:p w:rsidR="00013EC7" w:rsidRDefault="00013EC7">
            <w:pPr>
              <w:rPr>
                <w:rFonts w:ascii="仿宋" w:eastAsia="仿宋" w:hAnsi="仿宋" w:cs="仿宋"/>
                <w:sz w:val="24"/>
              </w:rPr>
            </w:pP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rsidTr="0070369A">
        <w:trPr>
          <w:trHeight w:val="340"/>
          <w:jc w:val="center"/>
        </w:trPr>
        <w:tc>
          <w:tcPr>
            <w:tcW w:w="1250" w:type="dxa"/>
            <w:vMerge/>
            <w:vAlign w:val="center"/>
          </w:tcPr>
          <w:p w:rsidR="00013EC7" w:rsidRDefault="00013EC7">
            <w:pPr>
              <w:rPr>
                <w:rFonts w:ascii="仿宋" w:eastAsia="仿宋" w:hAnsi="仿宋" w:cs="仿宋"/>
                <w:sz w:val="24"/>
              </w:rPr>
            </w:pPr>
          </w:p>
        </w:tc>
        <w:tc>
          <w:tcPr>
            <w:tcW w:w="1316" w:type="dxa"/>
            <w:vMerge/>
            <w:vAlign w:val="center"/>
          </w:tcPr>
          <w:p w:rsidR="00013EC7" w:rsidRDefault="00013EC7">
            <w:pPr>
              <w:rPr>
                <w:rFonts w:ascii="仿宋" w:eastAsia="仿宋" w:hAnsi="仿宋" w:cs="仿宋"/>
                <w:sz w:val="24"/>
              </w:rPr>
            </w:pPr>
          </w:p>
        </w:tc>
        <w:tc>
          <w:tcPr>
            <w:tcW w:w="2114" w:type="dxa"/>
            <w:vMerge/>
            <w:vAlign w:val="center"/>
          </w:tcPr>
          <w:p w:rsidR="00013EC7" w:rsidRDefault="00013EC7">
            <w:pPr>
              <w:rPr>
                <w:rFonts w:ascii="仿宋" w:eastAsia="仿宋" w:hAnsi="仿宋" w:cs="仿宋"/>
                <w:sz w:val="24"/>
              </w:rPr>
            </w:pPr>
          </w:p>
        </w:tc>
        <w:tc>
          <w:tcPr>
            <w:tcW w:w="2785"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（四）</w:t>
            </w:r>
            <w:r>
              <w:rPr>
                <w:rFonts w:ascii="仿宋" w:eastAsia="仿宋" w:hAnsi="仿宋" w:cs="仿宋" w:hint="eastAsia"/>
                <w:sz w:val="24"/>
                <w:lang w:val="zh-CN"/>
              </w:rPr>
              <w:t>对间接转让中国应税财产交易是否具有合理商业目的、是否规避企业所得税纳税义务的情况说明。</w:t>
            </w:r>
          </w:p>
        </w:tc>
        <w:tc>
          <w:tcPr>
            <w:tcW w:w="1118" w:type="dxa"/>
            <w:vMerge/>
            <w:vAlign w:val="center"/>
          </w:tcPr>
          <w:p w:rsidR="00013EC7" w:rsidRDefault="00013EC7">
            <w:pPr>
              <w:jc w:val="left"/>
              <w:rPr>
                <w:rFonts w:ascii="仿宋" w:eastAsia="仿宋" w:hAnsi="仿宋" w:cs="仿宋"/>
                <w:sz w:val="24"/>
              </w:rPr>
            </w:pPr>
          </w:p>
        </w:tc>
        <w:tc>
          <w:tcPr>
            <w:tcW w:w="2403"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（四）对间接转让中国应税财产交易是否具有合理商业目的、是否规避企业所得税纳税义务的情况说明１份。</w:t>
            </w:r>
          </w:p>
        </w:tc>
        <w:tc>
          <w:tcPr>
            <w:tcW w:w="1196" w:type="dxa"/>
            <w:vMerge/>
            <w:vAlign w:val="center"/>
          </w:tcPr>
          <w:p w:rsidR="00013EC7" w:rsidRDefault="00013EC7">
            <w:pPr>
              <w:rPr>
                <w:rFonts w:ascii="仿宋" w:eastAsia="仿宋" w:hAnsi="仿宋" w:cs="仿宋"/>
                <w:sz w:val="24"/>
              </w:rPr>
            </w:pPr>
          </w:p>
        </w:tc>
        <w:tc>
          <w:tcPr>
            <w:tcW w:w="3318" w:type="dxa"/>
            <w:vMerge/>
            <w:vAlign w:val="center"/>
          </w:tcPr>
          <w:p w:rsidR="00013EC7" w:rsidRDefault="00013EC7">
            <w:pPr>
              <w:spacing w:line="300" w:lineRule="exact"/>
              <w:rPr>
                <w:rFonts w:ascii="仿宋" w:eastAsia="仿宋" w:hAnsi="仿宋" w:cs="仿宋"/>
                <w:sz w:val="24"/>
              </w:rPr>
            </w:pPr>
          </w:p>
        </w:tc>
        <w:tc>
          <w:tcPr>
            <w:tcW w:w="868" w:type="dxa"/>
            <w:vMerge/>
            <w:vAlign w:val="center"/>
          </w:tcPr>
          <w:p w:rsidR="00013EC7" w:rsidRDefault="00013EC7">
            <w:pPr>
              <w:rPr>
                <w:rFonts w:ascii="仿宋" w:eastAsia="仿宋" w:hAnsi="仿宋" w:cs="仿宋"/>
                <w:sz w:val="24"/>
              </w:rPr>
            </w:pPr>
          </w:p>
        </w:tc>
        <w:tc>
          <w:tcPr>
            <w:tcW w:w="798" w:type="dxa"/>
            <w:vMerge/>
            <w:vAlign w:val="center"/>
          </w:tcPr>
          <w:p w:rsidR="00013EC7" w:rsidRDefault="00013EC7">
            <w:pPr>
              <w:rPr>
                <w:rFonts w:ascii="仿宋" w:eastAsia="仿宋" w:hAnsi="仿宋" w:cs="仿宋"/>
                <w:sz w:val="24"/>
              </w:rPr>
            </w:pP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rsidTr="0070369A">
        <w:trPr>
          <w:trHeight w:val="77"/>
          <w:jc w:val="center"/>
        </w:trPr>
        <w:tc>
          <w:tcPr>
            <w:tcW w:w="1250" w:type="dxa"/>
            <w:vMerge/>
            <w:vAlign w:val="center"/>
          </w:tcPr>
          <w:p w:rsidR="00013EC7" w:rsidRDefault="00013EC7">
            <w:pPr>
              <w:rPr>
                <w:rFonts w:ascii="仿宋" w:eastAsia="仿宋" w:hAnsi="仿宋" w:cs="仿宋"/>
                <w:sz w:val="24"/>
              </w:rPr>
            </w:pPr>
          </w:p>
        </w:tc>
        <w:tc>
          <w:tcPr>
            <w:tcW w:w="1316" w:type="dxa"/>
            <w:vMerge/>
            <w:vAlign w:val="center"/>
          </w:tcPr>
          <w:p w:rsidR="00013EC7" w:rsidRDefault="00013EC7">
            <w:pPr>
              <w:rPr>
                <w:rFonts w:ascii="仿宋" w:eastAsia="仿宋" w:hAnsi="仿宋" w:cs="仿宋"/>
                <w:sz w:val="24"/>
              </w:rPr>
            </w:pPr>
          </w:p>
        </w:tc>
        <w:tc>
          <w:tcPr>
            <w:tcW w:w="2114" w:type="dxa"/>
            <w:vMerge/>
            <w:vAlign w:val="center"/>
          </w:tcPr>
          <w:p w:rsidR="00013EC7" w:rsidRDefault="00013EC7">
            <w:pPr>
              <w:rPr>
                <w:rFonts w:ascii="仿宋" w:eastAsia="仿宋" w:hAnsi="仿宋" w:cs="仿宋"/>
                <w:sz w:val="24"/>
              </w:rPr>
            </w:pPr>
          </w:p>
        </w:tc>
        <w:tc>
          <w:tcPr>
            <w:tcW w:w="2785"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（五）</w:t>
            </w:r>
            <w:r>
              <w:rPr>
                <w:rFonts w:ascii="仿宋" w:eastAsia="仿宋" w:hAnsi="仿宋" w:cs="仿宋" w:hint="eastAsia"/>
                <w:sz w:val="24"/>
                <w:lang w:val="zh-CN"/>
              </w:rPr>
              <w:t>有关间接转让中国应税财产交易整体安排的决策或执行过程信息（按照主管税务机关要求提供）。</w:t>
            </w:r>
          </w:p>
        </w:tc>
        <w:tc>
          <w:tcPr>
            <w:tcW w:w="1118" w:type="dxa"/>
            <w:vMerge/>
            <w:vAlign w:val="center"/>
          </w:tcPr>
          <w:p w:rsidR="00013EC7" w:rsidRDefault="00013EC7">
            <w:pPr>
              <w:jc w:val="left"/>
              <w:rPr>
                <w:rFonts w:ascii="仿宋" w:eastAsia="仿宋" w:hAnsi="仿宋" w:cs="仿宋"/>
                <w:sz w:val="24"/>
              </w:rPr>
            </w:pPr>
          </w:p>
        </w:tc>
        <w:tc>
          <w:tcPr>
            <w:tcW w:w="2403"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（五）有关间接转让中国应税财产交易整体安排的决策或执行过程信息１份（按照主管税务机关要求提供）。</w:t>
            </w:r>
          </w:p>
        </w:tc>
        <w:tc>
          <w:tcPr>
            <w:tcW w:w="1196" w:type="dxa"/>
            <w:vMerge/>
            <w:vAlign w:val="center"/>
          </w:tcPr>
          <w:p w:rsidR="00013EC7" w:rsidRDefault="00013EC7">
            <w:pPr>
              <w:spacing w:line="300" w:lineRule="exact"/>
              <w:rPr>
                <w:rFonts w:ascii="仿宋" w:eastAsia="仿宋" w:hAnsi="仿宋" w:cs="仿宋"/>
                <w:sz w:val="24"/>
              </w:rPr>
            </w:pPr>
          </w:p>
        </w:tc>
        <w:tc>
          <w:tcPr>
            <w:tcW w:w="3318" w:type="dxa"/>
            <w:vMerge/>
            <w:vAlign w:val="center"/>
          </w:tcPr>
          <w:p w:rsidR="00013EC7" w:rsidRDefault="00013EC7">
            <w:pPr>
              <w:spacing w:line="300" w:lineRule="exact"/>
              <w:rPr>
                <w:rFonts w:ascii="仿宋" w:eastAsia="仿宋" w:hAnsi="仿宋" w:cs="仿宋"/>
                <w:sz w:val="24"/>
              </w:rPr>
            </w:pPr>
          </w:p>
        </w:tc>
        <w:tc>
          <w:tcPr>
            <w:tcW w:w="868" w:type="dxa"/>
            <w:vMerge/>
            <w:vAlign w:val="center"/>
          </w:tcPr>
          <w:p w:rsidR="00013EC7" w:rsidRDefault="00013EC7">
            <w:pPr>
              <w:rPr>
                <w:rFonts w:ascii="仿宋" w:eastAsia="仿宋" w:hAnsi="仿宋" w:cs="仿宋"/>
                <w:sz w:val="24"/>
              </w:rPr>
            </w:pPr>
          </w:p>
        </w:tc>
        <w:tc>
          <w:tcPr>
            <w:tcW w:w="798" w:type="dxa"/>
            <w:vMerge/>
            <w:vAlign w:val="center"/>
          </w:tcPr>
          <w:p w:rsidR="00013EC7" w:rsidRDefault="00013EC7">
            <w:pPr>
              <w:rPr>
                <w:rFonts w:ascii="仿宋" w:eastAsia="仿宋" w:hAnsi="仿宋" w:cs="仿宋"/>
                <w:sz w:val="24"/>
              </w:rPr>
            </w:pP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rsidTr="0070369A">
        <w:trPr>
          <w:trHeight w:val="77"/>
          <w:jc w:val="center"/>
        </w:trPr>
        <w:tc>
          <w:tcPr>
            <w:tcW w:w="1250" w:type="dxa"/>
            <w:vMerge/>
            <w:vAlign w:val="center"/>
          </w:tcPr>
          <w:p w:rsidR="00013EC7" w:rsidRDefault="00013EC7">
            <w:pPr>
              <w:spacing w:line="300" w:lineRule="exact"/>
            </w:pPr>
          </w:p>
        </w:tc>
        <w:tc>
          <w:tcPr>
            <w:tcW w:w="1316" w:type="dxa"/>
            <w:vMerge/>
            <w:vAlign w:val="center"/>
          </w:tcPr>
          <w:p w:rsidR="00013EC7" w:rsidRDefault="00013EC7">
            <w:pPr>
              <w:spacing w:line="300" w:lineRule="exact"/>
            </w:pPr>
          </w:p>
        </w:tc>
        <w:tc>
          <w:tcPr>
            <w:tcW w:w="2114" w:type="dxa"/>
            <w:vMerge/>
            <w:vAlign w:val="center"/>
          </w:tcPr>
          <w:p w:rsidR="00013EC7" w:rsidRDefault="00013EC7">
            <w:pPr>
              <w:spacing w:line="300" w:lineRule="exact"/>
            </w:pPr>
          </w:p>
        </w:tc>
        <w:tc>
          <w:tcPr>
            <w:tcW w:w="2785"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（六）境外企业及直接或间接持有中国应税财产的下属企业在生产经营、人员、账务、财产等方面的信息，以及内外部审计情况（按照主管税务机关要求提供）。</w:t>
            </w:r>
          </w:p>
        </w:tc>
        <w:tc>
          <w:tcPr>
            <w:tcW w:w="1118" w:type="dxa"/>
            <w:vMerge/>
            <w:vAlign w:val="center"/>
          </w:tcPr>
          <w:p w:rsidR="00013EC7" w:rsidRDefault="00013EC7">
            <w:pPr>
              <w:spacing w:line="300" w:lineRule="exact"/>
              <w:jc w:val="left"/>
              <w:rPr>
                <w:rFonts w:ascii="仿宋" w:eastAsia="仿宋" w:hAnsi="仿宋" w:cs="仿宋"/>
                <w:sz w:val="24"/>
              </w:rPr>
            </w:pPr>
          </w:p>
        </w:tc>
        <w:tc>
          <w:tcPr>
            <w:tcW w:w="2403"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（六）境外企业及直接或间接持有中国应税财产的下属企业在生产经营、人员、账务、财产等方面的信息，以及内外部审计情况１份（按照主管税务机关要求提</w:t>
            </w:r>
            <w:r>
              <w:rPr>
                <w:rFonts w:ascii="仿宋" w:eastAsia="仿宋" w:hAnsi="仿宋" w:cs="仿宋" w:hint="eastAsia"/>
                <w:sz w:val="24"/>
              </w:rPr>
              <w:lastRenderedPageBreak/>
              <w:t>供）。</w:t>
            </w:r>
          </w:p>
        </w:tc>
        <w:tc>
          <w:tcPr>
            <w:tcW w:w="1196" w:type="dxa"/>
            <w:vMerge/>
            <w:vAlign w:val="center"/>
          </w:tcPr>
          <w:p w:rsidR="00013EC7" w:rsidRDefault="00013EC7">
            <w:pPr>
              <w:spacing w:line="300" w:lineRule="exact"/>
              <w:rPr>
                <w:rFonts w:ascii="仿宋" w:eastAsia="仿宋" w:hAnsi="仿宋" w:cs="仿宋"/>
                <w:sz w:val="24"/>
              </w:rPr>
            </w:pPr>
          </w:p>
        </w:tc>
        <w:tc>
          <w:tcPr>
            <w:tcW w:w="3318" w:type="dxa"/>
            <w:vMerge/>
            <w:vAlign w:val="center"/>
          </w:tcPr>
          <w:p w:rsidR="00013EC7" w:rsidRDefault="00013EC7">
            <w:pPr>
              <w:spacing w:line="300" w:lineRule="exact"/>
              <w:rPr>
                <w:rFonts w:ascii="仿宋" w:eastAsia="仿宋" w:hAnsi="仿宋" w:cs="仿宋"/>
                <w:sz w:val="24"/>
              </w:rPr>
            </w:pPr>
          </w:p>
        </w:tc>
        <w:tc>
          <w:tcPr>
            <w:tcW w:w="868" w:type="dxa"/>
            <w:vMerge/>
            <w:vAlign w:val="center"/>
          </w:tcPr>
          <w:p w:rsidR="00013EC7" w:rsidRDefault="00013EC7">
            <w:pPr>
              <w:spacing w:line="300" w:lineRule="exact"/>
              <w:rPr>
                <w:rFonts w:ascii="仿宋" w:eastAsia="仿宋" w:hAnsi="仿宋" w:cs="仿宋"/>
                <w:sz w:val="24"/>
              </w:rPr>
            </w:pPr>
          </w:p>
        </w:tc>
        <w:tc>
          <w:tcPr>
            <w:tcW w:w="798" w:type="dxa"/>
            <w:vMerge/>
            <w:vAlign w:val="center"/>
          </w:tcPr>
          <w:p w:rsidR="00013EC7" w:rsidRDefault="00013EC7">
            <w:pPr>
              <w:spacing w:line="300" w:lineRule="exact"/>
              <w:rPr>
                <w:rFonts w:ascii="仿宋" w:eastAsia="仿宋" w:hAnsi="仿宋" w:cs="仿宋"/>
                <w:sz w:val="24"/>
              </w:rPr>
            </w:pPr>
          </w:p>
        </w:tc>
        <w:tc>
          <w:tcPr>
            <w:tcW w:w="958" w:type="dxa"/>
            <w:vMerge/>
            <w:vAlign w:val="center"/>
          </w:tcPr>
          <w:p w:rsidR="00013EC7" w:rsidRDefault="00013EC7">
            <w:pPr>
              <w:spacing w:line="300" w:lineRule="exact"/>
              <w:rPr>
                <w:rFonts w:ascii="仿宋" w:eastAsia="仿宋" w:hAnsi="仿宋" w:cs="仿宋"/>
                <w:sz w:val="24"/>
              </w:rPr>
            </w:pPr>
          </w:p>
        </w:tc>
        <w:tc>
          <w:tcPr>
            <w:tcW w:w="1104" w:type="dxa"/>
            <w:vMerge/>
            <w:vAlign w:val="center"/>
          </w:tcPr>
          <w:p w:rsidR="00013EC7" w:rsidRDefault="00013EC7">
            <w:pPr>
              <w:spacing w:line="300" w:lineRule="exact"/>
              <w:rPr>
                <w:rFonts w:ascii="仿宋" w:eastAsia="仿宋" w:hAnsi="仿宋" w:cs="仿宋"/>
                <w:sz w:val="24"/>
              </w:rPr>
            </w:pPr>
          </w:p>
        </w:tc>
        <w:tc>
          <w:tcPr>
            <w:tcW w:w="1476" w:type="dxa"/>
            <w:vMerge/>
            <w:vAlign w:val="center"/>
          </w:tcPr>
          <w:p w:rsidR="00013EC7" w:rsidRDefault="00013EC7">
            <w:pPr>
              <w:spacing w:line="300" w:lineRule="exact"/>
              <w:rPr>
                <w:rFonts w:ascii="仿宋" w:eastAsia="仿宋" w:hAnsi="仿宋" w:cs="仿宋"/>
                <w:sz w:val="24"/>
              </w:rPr>
            </w:pPr>
          </w:p>
        </w:tc>
      </w:tr>
      <w:tr w:rsidR="00013EC7" w:rsidTr="0070369A">
        <w:trPr>
          <w:trHeight w:val="77"/>
          <w:jc w:val="center"/>
        </w:trPr>
        <w:tc>
          <w:tcPr>
            <w:tcW w:w="1250" w:type="dxa"/>
            <w:vMerge/>
            <w:vAlign w:val="center"/>
          </w:tcPr>
          <w:p w:rsidR="00013EC7" w:rsidRDefault="00013EC7">
            <w:pPr>
              <w:spacing w:line="300" w:lineRule="exact"/>
              <w:rPr>
                <w:rFonts w:ascii="仿宋" w:eastAsia="仿宋" w:hAnsi="仿宋" w:cs="仿宋"/>
                <w:sz w:val="24"/>
              </w:rPr>
            </w:pPr>
          </w:p>
        </w:tc>
        <w:tc>
          <w:tcPr>
            <w:tcW w:w="1316" w:type="dxa"/>
            <w:vMerge/>
            <w:vAlign w:val="center"/>
          </w:tcPr>
          <w:p w:rsidR="00013EC7" w:rsidRDefault="00013EC7">
            <w:pPr>
              <w:spacing w:line="300" w:lineRule="exact"/>
              <w:rPr>
                <w:rFonts w:ascii="仿宋" w:eastAsia="仿宋" w:hAnsi="仿宋" w:cs="仿宋"/>
                <w:sz w:val="24"/>
              </w:rPr>
            </w:pPr>
          </w:p>
        </w:tc>
        <w:tc>
          <w:tcPr>
            <w:tcW w:w="2114" w:type="dxa"/>
            <w:vMerge/>
            <w:vAlign w:val="center"/>
          </w:tcPr>
          <w:p w:rsidR="00013EC7" w:rsidRDefault="00013EC7">
            <w:pPr>
              <w:spacing w:line="300" w:lineRule="exact"/>
              <w:rPr>
                <w:rFonts w:ascii="仿宋" w:eastAsia="仿宋" w:hAnsi="仿宋" w:cs="仿宋"/>
                <w:sz w:val="24"/>
              </w:rPr>
            </w:pPr>
          </w:p>
        </w:tc>
        <w:tc>
          <w:tcPr>
            <w:tcW w:w="2785"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（七）用以确定境外股权转让价款的资产评估报告等作价依据（按照主管税务机关要求提供）。</w:t>
            </w:r>
          </w:p>
        </w:tc>
        <w:tc>
          <w:tcPr>
            <w:tcW w:w="1118" w:type="dxa"/>
            <w:vMerge/>
            <w:vAlign w:val="center"/>
          </w:tcPr>
          <w:p w:rsidR="00013EC7" w:rsidRDefault="00013EC7">
            <w:pPr>
              <w:spacing w:line="300" w:lineRule="exact"/>
              <w:jc w:val="left"/>
              <w:rPr>
                <w:rFonts w:ascii="仿宋" w:eastAsia="仿宋" w:hAnsi="仿宋" w:cs="仿宋"/>
                <w:sz w:val="24"/>
              </w:rPr>
            </w:pPr>
          </w:p>
        </w:tc>
        <w:tc>
          <w:tcPr>
            <w:tcW w:w="2403"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（七）用以确定境外股权转让价款的资产评估报告等作价依据１份（按照主管税务机关要求提供）。</w:t>
            </w:r>
          </w:p>
        </w:tc>
        <w:tc>
          <w:tcPr>
            <w:tcW w:w="1196" w:type="dxa"/>
            <w:vMerge/>
            <w:vAlign w:val="center"/>
          </w:tcPr>
          <w:p w:rsidR="00013EC7" w:rsidRDefault="00013EC7">
            <w:pPr>
              <w:spacing w:line="300" w:lineRule="exact"/>
              <w:rPr>
                <w:rFonts w:ascii="仿宋" w:eastAsia="仿宋" w:hAnsi="仿宋" w:cs="仿宋"/>
                <w:sz w:val="24"/>
              </w:rPr>
            </w:pPr>
          </w:p>
        </w:tc>
        <w:tc>
          <w:tcPr>
            <w:tcW w:w="3318" w:type="dxa"/>
            <w:vMerge/>
            <w:vAlign w:val="center"/>
          </w:tcPr>
          <w:p w:rsidR="00013EC7" w:rsidRDefault="00013EC7">
            <w:pPr>
              <w:spacing w:line="300" w:lineRule="exact"/>
              <w:rPr>
                <w:rFonts w:ascii="仿宋" w:eastAsia="仿宋" w:hAnsi="仿宋" w:cs="仿宋"/>
                <w:sz w:val="24"/>
              </w:rPr>
            </w:pPr>
          </w:p>
        </w:tc>
        <w:tc>
          <w:tcPr>
            <w:tcW w:w="868" w:type="dxa"/>
            <w:vMerge/>
            <w:vAlign w:val="center"/>
          </w:tcPr>
          <w:p w:rsidR="00013EC7" w:rsidRDefault="00013EC7">
            <w:pPr>
              <w:spacing w:line="300" w:lineRule="exact"/>
              <w:rPr>
                <w:rFonts w:ascii="仿宋" w:eastAsia="仿宋" w:hAnsi="仿宋" w:cs="仿宋"/>
                <w:sz w:val="24"/>
              </w:rPr>
            </w:pPr>
          </w:p>
        </w:tc>
        <w:tc>
          <w:tcPr>
            <w:tcW w:w="798" w:type="dxa"/>
            <w:vMerge/>
            <w:vAlign w:val="center"/>
          </w:tcPr>
          <w:p w:rsidR="00013EC7" w:rsidRDefault="00013EC7">
            <w:pPr>
              <w:spacing w:line="300" w:lineRule="exact"/>
              <w:rPr>
                <w:rFonts w:ascii="仿宋" w:eastAsia="仿宋" w:hAnsi="仿宋" w:cs="仿宋"/>
                <w:sz w:val="24"/>
              </w:rPr>
            </w:pPr>
          </w:p>
        </w:tc>
        <w:tc>
          <w:tcPr>
            <w:tcW w:w="958" w:type="dxa"/>
            <w:vMerge/>
            <w:vAlign w:val="center"/>
          </w:tcPr>
          <w:p w:rsidR="00013EC7" w:rsidRDefault="00013EC7">
            <w:pPr>
              <w:spacing w:line="300" w:lineRule="exact"/>
              <w:rPr>
                <w:rFonts w:ascii="仿宋" w:eastAsia="仿宋" w:hAnsi="仿宋" w:cs="仿宋"/>
                <w:sz w:val="24"/>
              </w:rPr>
            </w:pPr>
          </w:p>
        </w:tc>
        <w:tc>
          <w:tcPr>
            <w:tcW w:w="1104" w:type="dxa"/>
            <w:vMerge/>
            <w:vAlign w:val="center"/>
          </w:tcPr>
          <w:p w:rsidR="00013EC7" w:rsidRDefault="00013EC7">
            <w:pPr>
              <w:spacing w:line="300" w:lineRule="exact"/>
              <w:rPr>
                <w:rFonts w:ascii="仿宋" w:eastAsia="仿宋" w:hAnsi="仿宋" w:cs="仿宋"/>
                <w:sz w:val="24"/>
              </w:rPr>
            </w:pPr>
          </w:p>
        </w:tc>
        <w:tc>
          <w:tcPr>
            <w:tcW w:w="1476" w:type="dxa"/>
            <w:vMerge/>
            <w:vAlign w:val="center"/>
          </w:tcPr>
          <w:p w:rsidR="00013EC7" w:rsidRDefault="00013EC7">
            <w:pPr>
              <w:spacing w:line="300" w:lineRule="exact"/>
              <w:rPr>
                <w:rFonts w:ascii="仿宋" w:eastAsia="仿宋" w:hAnsi="仿宋" w:cs="仿宋"/>
                <w:sz w:val="24"/>
              </w:rPr>
            </w:pPr>
          </w:p>
        </w:tc>
      </w:tr>
      <w:tr w:rsidR="00013EC7" w:rsidTr="0070369A">
        <w:trPr>
          <w:trHeight w:val="77"/>
          <w:jc w:val="center"/>
        </w:trPr>
        <w:tc>
          <w:tcPr>
            <w:tcW w:w="1250" w:type="dxa"/>
            <w:vMerge/>
            <w:vAlign w:val="center"/>
          </w:tcPr>
          <w:p w:rsidR="00013EC7" w:rsidRDefault="00013EC7">
            <w:pPr>
              <w:spacing w:line="300" w:lineRule="exact"/>
              <w:rPr>
                <w:rFonts w:ascii="仿宋" w:eastAsia="仿宋" w:hAnsi="仿宋" w:cs="仿宋"/>
                <w:sz w:val="24"/>
              </w:rPr>
            </w:pPr>
          </w:p>
        </w:tc>
        <w:tc>
          <w:tcPr>
            <w:tcW w:w="1316" w:type="dxa"/>
            <w:vMerge/>
            <w:vAlign w:val="center"/>
          </w:tcPr>
          <w:p w:rsidR="00013EC7" w:rsidRDefault="00013EC7">
            <w:pPr>
              <w:spacing w:line="300" w:lineRule="exact"/>
              <w:rPr>
                <w:rFonts w:ascii="仿宋" w:eastAsia="仿宋" w:hAnsi="仿宋" w:cs="仿宋"/>
                <w:sz w:val="24"/>
              </w:rPr>
            </w:pPr>
          </w:p>
        </w:tc>
        <w:tc>
          <w:tcPr>
            <w:tcW w:w="2114" w:type="dxa"/>
            <w:vMerge/>
            <w:vAlign w:val="center"/>
          </w:tcPr>
          <w:p w:rsidR="00013EC7" w:rsidRDefault="00013EC7">
            <w:pPr>
              <w:spacing w:line="300" w:lineRule="exact"/>
              <w:rPr>
                <w:rFonts w:ascii="仿宋" w:eastAsia="仿宋" w:hAnsi="仿宋" w:cs="仿宋"/>
                <w:sz w:val="24"/>
              </w:rPr>
            </w:pPr>
          </w:p>
        </w:tc>
        <w:tc>
          <w:tcPr>
            <w:tcW w:w="2785"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（八）间接转让中国应税财产交易在境外应缴纳所得税情况（按照主管税务机关要求提供）。</w:t>
            </w:r>
          </w:p>
        </w:tc>
        <w:tc>
          <w:tcPr>
            <w:tcW w:w="1118" w:type="dxa"/>
            <w:vMerge/>
            <w:vAlign w:val="center"/>
          </w:tcPr>
          <w:p w:rsidR="00013EC7" w:rsidRDefault="00013EC7">
            <w:pPr>
              <w:spacing w:line="300" w:lineRule="exact"/>
              <w:jc w:val="left"/>
              <w:rPr>
                <w:rFonts w:ascii="仿宋" w:eastAsia="仿宋" w:hAnsi="仿宋" w:cs="仿宋"/>
                <w:sz w:val="24"/>
              </w:rPr>
            </w:pPr>
          </w:p>
        </w:tc>
        <w:tc>
          <w:tcPr>
            <w:tcW w:w="2403"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（八）间接转让中国应税财产交易在境外应缴纳所得税情况１份（按照主管税务机关要求提供）。</w:t>
            </w:r>
          </w:p>
        </w:tc>
        <w:tc>
          <w:tcPr>
            <w:tcW w:w="1196" w:type="dxa"/>
            <w:vMerge/>
            <w:vAlign w:val="center"/>
          </w:tcPr>
          <w:p w:rsidR="00013EC7" w:rsidRDefault="00013EC7">
            <w:pPr>
              <w:spacing w:line="300" w:lineRule="exact"/>
              <w:rPr>
                <w:rFonts w:ascii="仿宋" w:eastAsia="仿宋" w:hAnsi="仿宋" w:cs="仿宋"/>
                <w:sz w:val="24"/>
              </w:rPr>
            </w:pPr>
          </w:p>
        </w:tc>
        <w:tc>
          <w:tcPr>
            <w:tcW w:w="3318" w:type="dxa"/>
            <w:vMerge/>
            <w:vAlign w:val="center"/>
          </w:tcPr>
          <w:p w:rsidR="00013EC7" w:rsidRDefault="00013EC7">
            <w:pPr>
              <w:spacing w:line="300" w:lineRule="exact"/>
              <w:rPr>
                <w:rFonts w:ascii="仿宋" w:eastAsia="仿宋" w:hAnsi="仿宋" w:cs="仿宋"/>
                <w:sz w:val="24"/>
              </w:rPr>
            </w:pPr>
          </w:p>
        </w:tc>
        <w:tc>
          <w:tcPr>
            <w:tcW w:w="868" w:type="dxa"/>
            <w:vMerge/>
            <w:vAlign w:val="center"/>
          </w:tcPr>
          <w:p w:rsidR="00013EC7" w:rsidRDefault="00013EC7">
            <w:pPr>
              <w:spacing w:line="300" w:lineRule="exact"/>
              <w:rPr>
                <w:rFonts w:ascii="仿宋" w:eastAsia="仿宋" w:hAnsi="仿宋" w:cs="仿宋"/>
                <w:sz w:val="24"/>
              </w:rPr>
            </w:pPr>
          </w:p>
        </w:tc>
        <w:tc>
          <w:tcPr>
            <w:tcW w:w="798" w:type="dxa"/>
            <w:vMerge/>
            <w:vAlign w:val="center"/>
          </w:tcPr>
          <w:p w:rsidR="00013EC7" w:rsidRDefault="00013EC7">
            <w:pPr>
              <w:spacing w:line="300" w:lineRule="exact"/>
              <w:rPr>
                <w:rFonts w:ascii="仿宋" w:eastAsia="仿宋" w:hAnsi="仿宋" w:cs="仿宋"/>
                <w:sz w:val="24"/>
              </w:rPr>
            </w:pPr>
          </w:p>
        </w:tc>
        <w:tc>
          <w:tcPr>
            <w:tcW w:w="958" w:type="dxa"/>
            <w:vMerge/>
            <w:vAlign w:val="center"/>
          </w:tcPr>
          <w:p w:rsidR="00013EC7" w:rsidRDefault="00013EC7">
            <w:pPr>
              <w:spacing w:line="300" w:lineRule="exact"/>
              <w:rPr>
                <w:rFonts w:ascii="仿宋" w:eastAsia="仿宋" w:hAnsi="仿宋" w:cs="仿宋"/>
                <w:sz w:val="24"/>
              </w:rPr>
            </w:pPr>
          </w:p>
        </w:tc>
        <w:tc>
          <w:tcPr>
            <w:tcW w:w="1104" w:type="dxa"/>
            <w:vMerge/>
            <w:vAlign w:val="center"/>
          </w:tcPr>
          <w:p w:rsidR="00013EC7" w:rsidRDefault="00013EC7">
            <w:pPr>
              <w:spacing w:line="300" w:lineRule="exact"/>
              <w:rPr>
                <w:rFonts w:ascii="仿宋" w:eastAsia="仿宋" w:hAnsi="仿宋" w:cs="仿宋"/>
                <w:sz w:val="24"/>
              </w:rPr>
            </w:pPr>
          </w:p>
        </w:tc>
        <w:tc>
          <w:tcPr>
            <w:tcW w:w="1476" w:type="dxa"/>
            <w:vMerge/>
            <w:vAlign w:val="center"/>
          </w:tcPr>
          <w:p w:rsidR="00013EC7" w:rsidRDefault="00013EC7">
            <w:pPr>
              <w:spacing w:line="300" w:lineRule="exact"/>
              <w:rPr>
                <w:rFonts w:ascii="仿宋" w:eastAsia="仿宋" w:hAnsi="仿宋" w:cs="仿宋"/>
                <w:sz w:val="24"/>
              </w:rPr>
            </w:pPr>
          </w:p>
        </w:tc>
      </w:tr>
      <w:tr w:rsidR="00013EC7" w:rsidTr="0070369A">
        <w:trPr>
          <w:trHeight w:val="77"/>
          <w:jc w:val="center"/>
        </w:trPr>
        <w:tc>
          <w:tcPr>
            <w:tcW w:w="1250" w:type="dxa"/>
            <w:vMerge/>
            <w:vAlign w:val="center"/>
          </w:tcPr>
          <w:p w:rsidR="00013EC7" w:rsidRDefault="00013EC7">
            <w:pPr>
              <w:spacing w:line="300" w:lineRule="exact"/>
              <w:rPr>
                <w:rFonts w:ascii="仿宋" w:eastAsia="仿宋" w:hAnsi="仿宋" w:cs="仿宋"/>
                <w:sz w:val="24"/>
              </w:rPr>
            </w:pPr>
          </w:p>
        </w:tc>
        <w:tc>
          <w:tcPr>
            <w:tcW w:w="1316" w:type="dxa"/>
            <w:vMerge/>
            <w:vAlign w:val="center"/>
          </w:tcPr>
          <w:p w:rsidR="00013EC7" w:rsidRDefault="00013EC7">
            <w:pPr>
              <w:spacing w:line="300" w:lineRule="exact"/>
              <w:rPr>
                <w:rFonts w:ascii="仿宋" w:eastAsia="仿宋" w:hAnsi="仿宋" w:cs="仿宋"/>
                <w:sz w:val="24"/>
              </w:rPr>
            </w:pPr>
          </w:p>
        </w:tc>
        <w:tc>
          <w:tcPr>
            <w:tcW w:w="2114" w:type="dxa"/>
            <w:vMerge/>
            <w:vAlign w:val="center"/>
          </w:tcPr>
          <w:p w:rsidR="00013EC7" w:rsidRDefault="00013EC7">
            <w:pPr>
              <w:spacing w:line="300" w:lineRule="exact"/>
              <w:rPr>
                <w:rFonts w:ascii="仿宋" w:eastAsia="仿宋" w:hAnsi="仿宋" w:cs="仿宋"/>
                <w:sz w:val="24"/>
              </w:rPr>
            </w:pPr>
          </w:p>
        </w:tc>
        <w:tc>
          <w:tcPr>
            <w:tcW w:w="2785"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（九）间接转让中国应税财产具有合理商业目的、未规避企业所得税纳税义务的证据信息（按照主管税务机关要求提供）。</w:t>
            </w:r>
          </w:p>
        </w:tc>
        <w:tc>
          <w:tcPr>
            <w:tcW w:w="1118" w:type="dxa"/>
            <w:vMerge/>
            <w:vAlign w:val="center"/>
          </w:tcPr>
          <w:p w:rsidR="00013EC7" w:rsidRDefault="00013EC7">
            <w:pPr>
              <w:spacing w:line="300" w:lineRule="exact"/>
              <w:jc w:val="left"/>
              <w:rPr>
                <w:rFonts w:ascii="仿宋" w:eastAsia="仿宋" w:hAnsi="仿宋" w:cs="仿宋"/>
                <w:sz w:val="24"/>
              </w:rPr>
            </w:pPr>
          </w:p>
        </w:tc>
        <w:tc>
          <w:tcPr>
            <w:tcW w:w="2403"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（九）间接转让中国应税财产具有合理商业目的、未规避企业所得税纳税义务的证据信息１份（按照主管税务机关要求提供）。</w:t>
            </w:r>
          </w:p>
        </w:tc>
        <w:tc>
          <w:tcPr>
            <w:tcW w:w="1196" w:type="dxa"/>
            <w:vMerge/>
            <w:vAlign w:val="center"/>
          </w:tcPr>
          <w:p w:rsidR="00013EC7" w:rsidRDefault="00013EC7">
            <w:pPr>
              <w:spacing w:line="300" w:lineRule="exact"/>
              <w:rPr>
                <w:rFonts w:ascii="仿宋" w:eastAsia="仿宋" w:hAnsi="仿宋" w:cs="仿宋"/>
                <w:sz w:val="24"/>
              </w:rPr>
            </w:pPr>
          </w:p>
        </w:tc>
        <w:tc>
          <w:tcPr>
            <w:tcW w:w="3318" w:type="dxa"/>
            <w:vMerge/>
            <w:vAlign w:val="center"/>
          </w:tcPr>
          <w:p w:rsidR="00013EC7" w:rsidRDefault="00013EC7">
            <w:pPr>
              <w:spacing w:line="300" w:lineRule="exact"/>
              <w:rPr>
                <w:rFonts w:ascii="仿宋" w:eastAsia="仿宋" w:hAnsi="仿宋" w:cs="仿宋"/>
                <w:sz w:val="24"/>
              </w:rPr>
            </w:pPr>
          </w:p>
        </w:tc>
        <w:tc>
          <w:tcPr>
            <w:tcW w:w="868" w:type="dxa"/>
            <w:vMerge/>
            <w:vAlign w:val="center"/>
          </w:tcPr>
          <w:p w:rsidR="00013EC7" w:rsidRDefault="00013EC7">
            <w:pPr>
              <w:spacing w:line="300" w:lineRule="exact"/>
              <w:rPr>
                <w:rFonts w:ascii="仿宋" w:eastAsia="仿宋" w:hAnsi="仿宋" w:cs="仿宋"/>
                <w:sz w:val="24"/>
              </w:rPr>
            </w:pPr>
          </w:p>
        </w:tc>
        <w:tc>
          <w:tcPr>
            <w:tcW w:w="798" w:type="dxa"/>
            <w:vMerge/>
            <w:vAlign w:val="center"/>
          </w:tcPr>
          <w:p w:rsidR="00013EC7" w:rsidRDefault="00013EC7">
            <w:pPr>
              <w:spacing w:line="300" w:lineRule="exact"/>
              <w:rPr>
                <w:rFonts w:ascii="仿宋" w:eastAsia="仿宋" w:hAnsi="仿宋" w:cs="仿宋"/>
                <w:sz w:val="24"/>
              </w:rPr>
            </w:pPr>
          </w:p>
        </w:tc>
        <w:tc>
          <w:tcPr>
            <w:tcW w:w="958" w:type="dxa"/>
            <w:vMerge/>
            <w:vAlign w:val="center"/>
          </w:tcPr>
          <w:p w:rsidR="00013EC7" w:rsidRDefault="00013EC7">
            <w:pPr>
              <w:spacing w:line="300" w:lineRule="exact"/>
              <w:rPr>
                <w:rFonts w:ascii="仿宋" w:eastAsia="仿宋" w:hAnsi="仿宋" w:cs="仿宋"/>
                <w:sz w:val="24"/>
              </w:rPr>
            </w:pPr>
          </w:p>
        </w:tc>
        <w:tc>
          <w:tcPr>
            <w:tcW w:w="1104" w:type="dxa"/>
            <w:vMerge/>
            <w:vAlign w:val="center"/>
          </w:tcPr>
          <w:p w:rsidR="00013EC7" w:rsidRDefault="00013EC7">
            <w:pPr>
              <w:spacing w:line="300" w:lineRule="exact"/>
              <w:rPr>
                <w:rFonts w:ascii="仿宋" w:eastAsia="仿宋" w:hAnsi="仿宋" w:cs="仿宋"/>
                <w:sz w:val="24"/>
              </w:rPr>
            </w:pPr>
          </w:p>
        </w:tc>
        <w:tc>
          <w:tcPr>
            <w:tcW w:w="1476" w:type="dxa"/>
            <w:vMerge/>
            <w:vAlign w:val="center"/>
          </w:tcPr>
          <w:p w:rsidR="00013EC7" w:rsidRDefault="00013EC7">
            <w:pPr>
              <w:spacing w:line="300" w:lineRule="exact"/>
              <w:rPr>
                <w:rFonts w:ascii="仿宋" w:eastAsia="仿宋" w:hAnsi="仿宋" w:cs="仿宋"/>
                <w:sz w:val="24"/>
              </w:rPr>
            </w:pPr>
          </w:p>
        </w:tc>
      </w:tr>
    </w:tbl>
    <w:p w:rsidR="00013EC7" w:rsidRDefault="00013EC7">
      <w:pPr>
        <w:rPr>
          <w:rFonts w:eastAsia="方正书宋简体"/>
          <w:szCs w:val="21"/>
        </w:rPr>
      </w:pPr>
    </w:p>
    <w:p w:rsidR="00013EC7" w:rsidRDefault="00013EC7">
      <w:pPr>
        <w:tabs>
          <w:tab w:val="left" w:pos="10942"/>
        </w:tabs>
        <w:jc w:val="left"/>
      </w:pPr>
    </w:p>
    <w:p w:rsidR="00013EC7" w:rsidRDefault="00013EC7">
      <w:pPr>
        <w:tabs>
          <w:tab w:val="left" w:pos="10942"/>
        </w:tabs>
        <w:jc w:val="left"/>
      </w:pPr>
    </w:p>
    <w:p w:rsidR="00013EC7" w:rsidRDefault="00013EC7">
      <w:pPr>
        <w:tabs>
          <w:tab w:val="left" w:pos="10942"/>
        </w:tabs>
        <w:jc w:val="left"/>
      </w:pPr>
    </w:p>
    <w:p w:rsidR="00013EC7" w:rsidRDefault="00013EC7">
      <w:pPr>
        <w:tabs>
          <w:tab w:val="left" w:pos="10942"/>
        </w:tabs>
        <w:jc w:val="left"/>
      </w:pPr>
    </w:p>
    <w:p w:rsidR="00013EC7" w:rsidRDefault="00013EC7">
      <w:pPr>
        <w:tabs>
          <w:tab w:val="left" w:pos="10942"/>
        </w:tabs>
        <w:jc w:val="left"/>
      </w:pPr>
      <w:bookmarkStart w:id="129" w:name="_Toc498705700"/>
    </w:p>
    <w:p w:rsidR="00013EC7" w:rsidRDefault="00013EC7">
      <w:pPr>
        <w:spacing w:line="300" w:lineRule="exact"/>
        <w:jc w:val="left"/>
        <w:rPr>
          <w:rFonts w:ascii="仿宋" w:eastAsia="仿宋" w:hAnsi="仿宋" w:cs="仿宋"/>
          <w:sz w:val="24"/>
        </w:rPr>
      </w:pPr>
    </w:p>
    <w:p w:rsidR="00013EC7" w:rsidRDefault="00013EC7">
      <w:pPr>
        <w:spacing w:line="300" w:lineRule="exact"/>
        <w:jc w:val="left"/>
        <w:rPr>
          <w:rFonts w:ascii="仿宋" w:eastAsia="仿宋" w:hAnsi="仿宋" w:cs="仿宋"/>
          <w:sz w:val="24"/>
        </w:rPr>
      </w:pPr>
    </w:p>
    <w:p w:rsidR="00013EC7" w:rsidRDefault="00013EC7">
      <w:pPr>
        <w:spacing w:line="300" w:lineRule="exact"/>
        <w:jc w:val="left"/>
        <w:rPr>
          <w:rFonts w:ascii="仿宋" w:eastAsia="仿宋" w:hAnsi="仿宋" w:cs="仿宋"/>
          <w:sz w:val="24"/>
        </w:rPr>
      </w:pPr>
    </w:p>
    <w:p w:rsidR="00013EC7" w:rsidRDefault="00013EC7">
      <w:pPr>
        <w:spacing w:line="300" w:lineRule="exact"/>
        <w:jc w:val="left"/>
        <w:rPr>
          <w:rFonts w:ascii="仿宋" w:eastAsia="仿宋" w:hAnsi="仿宋" w:cs="仿宋"/>
          <w:sz w:val="24"/>
        </w:rPr>
      </w:pPr>
    </w:p>
    <w:p w:rsidR="00013EC7" w:rsidRDefault="00013EC7">
      <w:pPr>
        <w:spacing w:line="300" w:lineRule="exact"/>
        <w:jc w:val="left"/>
        <w:rPr>
          <w:rFonts w:ascii="仿宋" w:eastAsia="仿宋" w:hAnsi="仿宋" w:cs="仿宋"/>
          <w:sz w:val="24"/>
        </w:rPr>
      </w:pPr>
    </w:p>
    <w:p w:rsidR="00013EC7" w:rsidRDefault="00013EC7">
      <w:pPr>
        <w:spacing w:line="300" w:lineRule="exact"/>
        <w:jc w:val="left"/>
        <w:rPr>
          <w:rFonts w:ascii="仿宋" w:eastAsia="仿宋" w:hAnsi="仿宋" w:cs="仿宋"/>
          <w:sz w:val="24"/>
        </w:rPr>
      </w:pPr>
    </w:p>
    <w:p w:rsidR="00013EC7" w:rsidRDefault="00013EC7">
      <w:pPr>
        <w:spacing w:line="300" w:lineRule="exact"/>
        <w:jc w:val="left"/>
        <w:rPr>
          <w:rFonts w:ascii="仿宋" w:eastAsia="仿宋" w:hAnsi="仿宋" w:cs="仿宋"/>
          <w:sz w:val="24"/>
        </w:rPr>
      </w:pPr>
    </w:p>
    <w:p w:rsidR="00013EC7" w:rsidRDefault="00013EC7">
      <w:pPr>
        <w:spacing w:line="300" w:lineRule="exact"/>
        <w:jc w:val="left"/>
        <w:rPr>
          <w:rFonts w:ascii="仿宋" w:eastAsia="仿宋" w:hAnsi="仿宋" w:cs="仿宋"/>
          <w:sz w:val="24"/>
        </w:rPr>
      </w:pPr>
    </w:p>
    <w:p w:rsidR="00013EC7" w:rsidRDefault="00013EC7">
      <w:pPr>
        <w:spacing w:line="300" w:lineRule="exact"/>
        <w:jc w:val="left"/>
        <w:rPr>
          <w:rFonts w:ascii="仿宋" w:eastAsia="仿宋" w:hAnsi="仿宋" w:cs="仿宋"/>
          <w:sz w:val="24"/>
        </w:rPr>
      </w:pPr>
    </w:p>
    <w:p w:rsidR="00013EC7" w:rsidRDefault="00013EC7">
      <w:pPr>
        <w:spacing w:line="300" w:lineRule="exact"/>
        <w:jc w:val="left"/>
        <w:rPr>
          <w:rFonts w:ascii="仿宋" w:eastAsia="仿宋" w:hAnsi="仿宋" w:cs="仿宋"/>
          <w:sz w:val="24"/>
        </w:rPr>
      </w:pPr>
    </w:p>
    <w:p w:rsidR="00013EC7" w:rsidRDefault="00013EC7">
      <w:pPr>
        <w:spacing w:line="300" w:lineRule="exact"/>
        <w:jc w:val="left"/>
        <w:rPr>
          <w:rFonts w:ascii="仿宋" w:eastAsia="仿宋" w:hAnsi="仿宋" w:cs="仿宋"/>
          <w:sz w:val="24"/>
        </w:rPr>
      </w:pPr>
    </w:p>
    <w:p w:rsidR="00013EC7" w:rsidRDefault="00013EC7">
      <w:pPr>
        <w:spacing w:line="300" w:lineRule="exact"/>
        <w:jc w:val="left"/>
        <w:rPr>
          <w:rFonts w:ascii="仿宋" w:eastAsia="仿宋" w:hAnsi="仿宋" w:cs="仿宋"/>
          <w:sz w:val="24"/>
        </w:rPr>
      </w:pPr>
    </w:p>
    <w:p w:rsidR="00013EC7" w:rsidRDefault="00013EC7">
      <w:pPr>
        <w:spacing w:line="300" w:lineRule="exact"/>
        <w:jc w:val="left"/>
        <w:rPr>
          <w:rFonts w:ascii="仿宋" w:eastAsia="仿宋" w:hAnsi="仿宋" w:cs="仿宋"/>
          <w:sz w:val="24"/>
        </w:rPr>
      </w:pPr>
    </w:p>
    <w:p w:rsidR="00013EC7" w:rsidRDefault="00013EC7">
      <w:pPr>
        <w:spacing w:line="300" w:lineRule="exact"/>
        <w:jc w:val="left"/>
        <w:rPr>
          <w:rFonts w:ascii="仿宋" w:eastAsia="仿宋" w:hAnsi="仿宋" w:cs="仿宋"/>
          <w:sz w:val="24"/>
        </w:rPr>
      </w:pPr>
    </w:p>
    <w:p w:rsidR="00013EC7" w:rsidRDefault="00013EC7">
      <w:pPr>
        <w:spacing w:line="300" w:lineRule="exact"/>
        <w:jc w:val="left"/>
        <w:rPr>
          <w:rFonts w:ascii="仿宋" w:eastAsia="仿宋" w:hAnsi="仿宋" w:cs="仿宋"/>
          <w:sz w:val="24"/>
        </w:rPr>
      </w:pPr>
    </w:p>
    <w:p w:rsidR="00013EC7" w:rsidRDefault="00013EC7">
      <w:pPr>
        <w:spacing w:line="300" w:lineRule="exact"/>
        <w:jc w:val="left"/>
        <w:rPr>
          <w:rFonts w:ascii="仿宋" w:eastAsia="仿宋" w:hAnsi="仿宋" w:cs="仿宋"/>
          <w:sz w:val="24"/>
        </w:rPr>
        <w:sectPr w:rsidR="00013EC7">
          <w:pgSz w:w="23814" w:h="16840" w:orient="landscape"/>
          <w:pgMar w:top="1701" w:right="1843" w:bottom="1985" w:left="1843" w:header="851" w:footer="1701" w:gutter="0"/>
          <w:pgNumType w:fmt="numberInDash"/>
          <w:cols w:space="720"/>
          <w:docGrid w:type="lines" w:linePitch="312"/>
        </w:sectPr>
      </w:pPr>
    </w:p>
    <w:p w:rsidR="00013EC7" w:rsidRDefault="005262E6">
      <w:pPr>
        <w:spacing w:line="300" w:lineRule="exact"/>
        <w:jc w:val="left"/>
        <w:rPr>
          <w:rFonts w:ascii="仿宋" w:eastAsia="仿宋" w:hAnsi="仿宋" w:cs="仿宋"/>
          <w:sz w:val="24"/>
        </w:rPr>
      </w:pPr>
      <w:r>
        <w:rPr>
          <w:rFonts w:ascii="宋体" w:hAnsi="宋体" w:cs="宋体"/>
          <w:kern w:val="0"/>
          <w:sz w:val="24"/>
        </w:rPr>
        <w:lastRenderedPageBreak/>
        <w:object w:dxaOrig="1440" w:dyaOrig="1440">
          <v:shape id="_x0000_s1220" type="#_x0000_t75" style="position:absolute;margin-left:8.15pt;margin-top:32.65pt;width:453.5pt;height:599.35pt;z-index:251589632;mso-wrap-distance-top:0;mso-wrap-distance-bottom:0;mso-position-vertical-relative:page;mso-width-relative:page;mso-height-relative:page">
            <v:imagedata r:id="rId96" o:title=""/>
            <w10:wrap type="topAndBottom" anchory="page"/>
          </v:shape>
          <o:OLEObject Type="Embed" ProgID="Visio.Drawing.11" ShapeID="_x0000_s1220" DrawAspect="Content" ObjectID="_1577296181" r:id="rId97"/>
        </w:object>
      </w:r>
      <w:r>
        <w:rPr>
          <w:rFonts w:ascii="仿宋" w:eastAsia="仿宋" w:hAnsi="仿宋" w:cs="仿宋"/>
          <w:sz w:val="24"/>
        </w:rPr>
        <w:object w:dxaOrig="1440" w:dyaOrig="1440">
          <v:shape id="_x0000_s1219" type="#_x0000_t75" style="position:absolute;margin-left:581.2pt;margin-top:74.65pt;width:405.8pt;height:540.45pt;z-index:251588608;mso-wrap-distance-top:0;mso-wrap-distance-bottom:0;mso-position-vertical-relative:page;mso-width-relative:page;mso-height-relative:page">
            <v:imagedata r:id="rId98" o:title=""/>
            <w10:wrap type="topAndBottom" anchory="page"/>
          </v:shape>
          <o:OLEObject Type="Embed" ProgID="Visio.Drawing.11" ShapeID="_x0000_s1219" DrawAspect="Content" ObjectID="_1577296182" r:id="rId99"/>
        </w:object>
      </w:r>
    </w:p>
    <w:p w:rsidR="00013EC7" w:rsidRDefault="00013EC7">
      <w:pPr>
        <w:spacing w:line="300" w:lineRule="exact"/>
        <w:jc w:val="left"/>
        <w:rPr>
          <w:rFonts w:ascii="仿宋" w:eastAsia="仿宋" w:hAnsi="仿宋" w:cs="仿宋"/>
          <w:sz w:val="24"/>
        </w:rPr>
      </w:pPr>
    </w:p>
    <w:p w:rsidR="00013EC7" w:rsidRDefault="00013EC7">
      <w:pPr>
        <w:spacing w:line="300" w:lineRule="exact"/>
        <w:jc w:val="left"/>
        <w:rPr>
          <w:rFonts w:ascii="仿宋" w:eastAsia="仿宋" w:hAnsi="仿宋" w:cs="仿宋"/>
          <w:sz w:val="24"/>
        </w:rPr>
      </w:pPr>
    </w:p>
    <w:p w:rsidR="00013EC7" w:rsidRDefault="00013EC7">
      <w:pPr>
        <w:spacing w:line="300" w:lineRule="exact"/>
        <w:jc w:val="left"/>
        <w:rPr>
          <w:rFonts w:ascii="仿宋" w:eastAsia="仿宋" w:hAnsi="仿宋" w:cs="仿宋"/>
          <w:sz w:val="24"/>
        </w:rPr>
      </w:pPr>
    </w:p>
    <w:p w:rsidR="00013EC7" w:rsidRDefault="00013EC7">
      <w:pPr>
        <w:spacing w:line="300" w:lineRule="exact"/>
        <w:jc w:val="left"/>
        <w:rPr>
          <w:rFonts w:ascii="仿宋" w:eastAsia="仿宋" w:hAnsi="仿宋" w:cs="仿宋"/>
          <w:sz w:val="24"/>
        </w:rPr>
      </w:pPr>
    </w:p>
    <w:p w:rsidR="00013EC7" w:rsidRDefault="00013EC7">
      <w:pPr>
        <w:spacing w:line="300" w:lineRule="exact"/>
        <w:jc w:val="left"/>
        <w:rPr>
          <w:rFonts w:ascii="仿宋" w:eastAsia="仿宋" w:hAnsi="仿宋" w:cs="仿宋"/>
          <w:sz w:val="24"/>
        </w:rPr>
      </w:pPr>
    </w:p>
    <w:p w:rsidR="00013EC7" w:rsidRDefault="00575CDB">
      <w:pPr>
        <w:pStyle w:val="2"/>
      </w:pPr>
      <w:bookmarkStart w:id="130" w:name="_Toc12902"/>
      <w:bookmarkStart w:id="131" w:name="_Toc8020"/>
      <w:bookmarkStart w:id="132" w:name="_Toc31998"/>
      <w:bookmarkStart w:id="133" w:name="_Toc503467385"/>
      <w:r>
        <w:rPr>
          <w:rFonts w:hint="eastAsia"/>
        </w:rPr>
        <w:lastRenderedPageBreak/>
        <w:t>7.3</w:t>
      </w:r>
      <w:r>
        <w:rPr>
          <w:rFonts w:hint="eastAsia"/>
        </w:rPr>
        <w:t>非居民企业股权转让适用特殊性税务处理的备案</w:t>
      </w:r>
      <w:bookmarkEnd w:id="129"/>
      <w:bookmarkEnd w:id="130"/>
      <w:bookmarkEnd w:id="131"/>
      <w:bookmarkEnd w:id="132"/>
      <w:bookmarkEnd w:id="133"/>
    </w:p>
    <w:p w:rsidR="00013EC7" w:rsidRDefault="00575CDB">
      <w:pPr>
        <w:jc w:val="center"/>
        <w:rPr>
          <w:rFonts w:ascii="宋体" w:hAnsi="宋体" w:cs="宋体"/>
          <w:b/>
          <w:bCs/>
          <w:sz w:val="44"/>
          <w:szCs w:val="44"/>
        </w:rPr>
      </w:pPr>
      <w:r>
        <w:rPr>
          <w:rFonts w:ascii="宋体" w:hAnsi="宋体" w:cs="宋体" w:hint="eastAsia"/>
          <w:b/>
          <w:bCs/>
          <w:sz w:val="52"/>
          <w:szCs w:val="52"/>
        </w:rPr>
        <w:t>全省“最多跑一次”事项“八统一”梳理表</w:t>
      </w:r>
    </w:p>
    <w:tbl>
      <w:tblPr>
        <w:tblW w:w="20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1250"/>
        <w:gridCol w:w="1316"/>
        <w:gridCol w:w="2114"/>
        <w:gridCol w:w="2785"/>
        <w:gridCol w:w="1118"/>
        <w:gridCol w:w="2403"/>
        <w:gridCol w:w="1196"/>
        <w:gridCol w:w="3318"/>
        <w:gridCol w:w="868"/>
        <w:gridCol w:w="798"/>
        <w:gridCol w:w="958"/>
        <w:gridCol w:w="1104"/>
        <w:gridCol w:w="1476"/>
      </w:tblGrid>
      <w:tr w:rsidR="00013EC7" w:rsidTr="0070369A">
        <w:trPr>
          <w:trHeight w:val="340"/>
          <w:tblHeader/>
          <w:jc w:val="center"/>
        </w:trPr>
        <w:tc>
          <w:tcPr>
            <w:tcW w:w="1250"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主项名称</w:t>
            </w:r>
          </w:p>
        </w:tc>
        <w:tc>
          <w:tcPr>
            <w:tcW w:w="1316"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子项名称</w:t>
            </w:r>
          </w:p>
        </w:tc>
        <w:tc>
          <w:tcPr>
            <w:tcW w:w="2114"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经办依据</w:t>
            </w:r>
          </w:p>
        </w:tc>
        <w:tc>
          <w:tcPr>
            <w:tcW w:w="3903"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原经办所需材料</w:t>
            </w:r>
          </w:p>
        </w:tc>
        <w:tc>
          <w:tcPr>
            <w:tcW w:w="6917" w:type="dxa"/>
            <w:gridSpan w:val="3"/>
            <w:vAlign w:val="center"/>
          </w:tcPr>
          <w:p w:rsidR="00013EC7" w:rsidRDefault="00575CDB">
            <w:pPr>
              <w:spacing w:line="280" w:lineRule="exact"/>
              <w:jc w:val="center"/>
              <w:rPr>
                <w:rFonts w:ascii="黑体" w:eastAsia="黑体"/>
                <w:sz w:val="24"/>
              </w:rPr>
            </w:pPr>
            <w:r>
              <w:rPr>
                <w:rFonts w:ascii="黑体" w:eastAsia="黑体" w:hint="eastAsia"/>
                <w:sz w:val="24"/>
              </w:rPr>
              <w:t>梳理后经办所需材料</w:t>
            </w:r>
          </w:p>
        </w:tc>
        <w:tc>
          <w:tcPr>
            <w:tcW w:w="1666"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办理时限</w:t>
            </w:r>
          </w:p>
        </w:tc>
        <w:tc>
          <w:tcPr>
            <w:tcW w:w="958"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是否实现跑零次</w:t>
            </w:r>
          </w:p>
        </w:tc>
        <w:tc>
          <w:tcPr>
            <w:tcW w:w="1104"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省厅对口</w:t>
            </w:r>
          </w:p>
          <w:p w:rsidR="00013EC7" w:rsidRDefault="00575CDB">
            <w:pPr>
              <w:spacing w:line="280" w:lineRule="exact"/>
              <w:jc w:val="center"/>
              <w:rPr>
                <w:rFonts w:ascii="黑体" w:eastAsia="黑体"/>
                <w:sz w:val="24"/>
              </w:rPr>
            </w:pPr>
            <w:r>
              <w:rPr>
                <w:rFonts w:ascii="黑体" w:eastAsia="黑体" w:hint="eastAsia"/>
                <w:sz w:val="24"/>
              </w:rPr>
              <w:t>指导处室</w:t>
            </w:r>
          </w:p>
          <w:p w:rsidR="00013EC7" w:rsidRDefault="00575CDB">
            <w:pPr>
              <w:spacing w:line="280" w:lineRule="exact"/>
              <w:jc w:val="center"/>
              <w:rPr>
                <w:rFonts w:ascii="黑体" w:eastAsia="黑体"/>
                <w:sz w:val="24"/>
              </w:rPr>
            </w:pPr>
            <w:r>
              <w:rPr>
                <w:rFonts w:ascii="黑体" w:eastAsia="黑体" w:hint="eastAsia"/>
                <w:sz w:val="24"/>
              </w:rPr>
              <w:t>（单位）</w:t>
            </w:r>
          </w:p>
        </w:tc>
        <w:tc>
          <w:tcPr>
            <w:tcW w:w="1476"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进一步精简、</w:t>
            </w:r>
          </w:p>
          <w:p w:rsidR="00013EC7" w:rsidRDefault="00575CDB">
            <w:pPr>
              <w:spacing w:line="280" w:lineRule="exact"/>
              <w:jc w:val="center"/>
              <w:rPr>
                <w:rFonts w:ascii="黑体" w:eastAsia="黑体"/>
                <w:sz w:val="24"/>
              </w:rPr>
            </w:pPr>
            <w:r>
              <w:rPr>
                <w:rFonts w:ascii="黑体" w:eastAsia="黑体" w:hint="eastAsia"/>
                <w:sz w:val="24"/>
              </w:rPr>
              <w:t>规范建议</w:t>
            </w:r>
          </w:p>
        </w:tc>
      </w:tr>
      <w:tr w:rsidR="00013EC7" w:rsidTr="0070369A">
        <w:trPr>
          <w:trHeight w:val="340"/>
          <w:tblHeader/>
          <w:jc w:val="center"/>
        </w:trPr>
        <w:tc>
          <w:tcPr>
            <w:tcW w:w="1250" w:type="dxa"/>
            <w:vMerge/>
            <w:vAlign w:val="center"/>
          </w:tcPr>
          <w:p w:rsidR="00013EC7" w:rsidRDefault="00013EC7">
            <w:pPr>
              <w:rPr>
                <w:sz w:val="24"/>
              </w:rPr>
            </w:pPr>
          </w:p>
        </w:tc>
        <w:tc>
          <w:tcPr>
            <w:tcW w:w="1316" w:type="dxa"/>
            <w:vMerge/>
            <w:vAlign w:val="center"/>
          </w:tcPr>
          <w:p w:rsidR="00013EC7" w:rsidRDefault="00013EC7">
            <w:pPr>
              <w:rPr>
                <w:sz w:val="24"/>
              </w:rPr>
            </w:pPr>
          </w:p>
        </w:tc>
        <w:tc>
          <w:tcPr>
            <w:tcW w:w="2114" w:type="dxa"/>
            <w:vMerge/>
            <w:vAlign w:val="center"/>
          </w:tcPr>
          <w:p w:rsidR="00013EC7" w:rsidRDefault="00013EC7">
            <w:pPr>
              <w:rPr>
                <w:sz w:val="24"/>
              </w:rPr>
            </w:pPr>
          </w:p>
        </w:tc>
        <w:tc>
          <w:tcPr>
            <w:tcW w:w="2785" w:type="dxa"/>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118"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2403" w:type="dxa"/>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196"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3318" w:type="dxa"/>
            <w:vAlign w:val="center"/>
          </w:tcPr>
          <w:p w:rsidR="00013EC7" w:rsidRDefault="00575CDB">
            <w:pPr>
              <w:spacing w:line="280" w:lineRule="exact"/>
              <w:jc w:val="center"/>
              <w:rPr>
                <w:rFonts w:ascii="黑体" w:eastAsia="黑体"/>
                <w:sz w:val="24"/>
              </w:rPr>
            </w:pPr>
            <w:r>
              <w:rPr>
                <w:rFonts w:ascii="黑体" w:eastAsia="黑体" w:hint="eastAsia"/>
                <w:sz w:val="24"/>
              </w:rPr>
              <w:t>办理方式及材料</w:t>
            </w:r>
          </w:p>
          <w:p w:rsidR="00013EC7" w:rsidRDefault="00575CDB">
            <w:pPr>
              <w:spacing w:line="280" w:lineRule="exact"/>
              <w:jc w:val="center"/>
              <w:rPr>
                <w:rFonts w:ascii="黑体" w:eastAsia="黑体"/>
                <w:sz w:val="24"/>
              </w:rPr>
            </w:pPr>
            <w:r>
              <w:rPr>
                <w:rFonts w:ascii="黑体" w:eastAsia="黑体" w:hint="eastAsia"/>
                <w:sz w:val="24"/>
              </w:rPr>
              <w:t>信息获取方式说明</w:t>
            </w:r>
          </w:p>
        </w:tc>
        <w:tc>
          <w:tcPr>
            <w:tcW w:w="868" w:type="dxa"/>
            <w:vAlign w:val="center"/>
          </w:tcPr>
          <w:p w:rsidR="00013EC7" w:rsidRDefault="00575CDB">
            <w:pPr>
              <w:spacing w:line="280" w:lineRule="exact"/>
              <w:rPr>
                <w:rFonts w:ascii="黑体" w:eastAsia="黑体"/>
                <w:sz w:val="24"/>
              </w:rPr>
            </w:pPr>
            <w:r>
              <w:rPr>
                <w:rFonts w:ascii="黑体" w:eastAsia="黑体" w:hint="eastAsia"/>
                <w:sz w:val="24"/>
              </w:rPr>
              <w:t>优化前</w:t>
            </w:r>
          </w:p>
        </w:tc>
        <w:tc>
          <w:tcPr>
            <w:tcW w:w="798" w:type="dxa"/>
            <w:vAlign w:val="center"/>
          </w:tcPr>
          <w:p w:rsidR="00013EC7" w:rsidRDefault="00575CDB">
            <w:pPr>
              <w:spacing w:line="280" w:lineRule="exact"/>
              <w:rPr>
                <w:rFonts w:ascii="黑体" w:eastAsia="黑体"/>
                <w:sz w:val="24"/>
              </w:rPr>
            </w:pPr>
            <w:r>
              <w:rPr>
                <w:rFonts w:ascii="黑体" w:eastAsia="黑体" w:hint="eastAsia"/>
                <w:sz w:val="24"/>
              </w:rPr>
              <w:t>优化后</w:t>
            </w:r>
          </w:p>
        </w:tc>
        <w:tc>
          <w:tcPr>
            <w:tcW w:w="958" w:type="dxa"/>
            <w:vMerge/>
            <w:vAlign w:val="center"/>
          </w:tcPr>
          <w:p w:rsidR="00013EC7" w:rsidRDefault="00013EC7">
            <w:pPr>
              <w:rPr>
                <w:sz w:val="24"/>
              </w:rPr>
            </w:pPr>
          </w:p>
        </w:tc>
        <w:tc>
          <w:tcPr>
            <w:tcW w:w="1104" w:type="dxa"/>
            <w:vMerge/>
            <w:vAlign w:val="center"/>
          </w:tcPr>
          <w:p w:rsidR="00013EC7" w:rsidRDefault="00013EC7">
            <w:pPr>
              <w:rPr>
                <w:sz w:val="24"/>
              </w:rPr>
            </w:pPr>
          </w:p>
        </w:tc>
        <w:tc>
          <w:tcPr>
            <w:tcW w:w="1476" w:type="dxa"/>
            <w:vMerge/>
            <w:vAlign w:val="center"/>
          </w:tcPr>
          <w:p w:rsidR="00013EC7" w:rsidRDefault="00013EC7">
            <w:pPr>
              <w:rPr>
                <w:sz w:val="24"/>
              </w:rPr>
            </w:pPr>
          </w:p>
        </w:tc>
      </w:tr>
      <w:tr w:rsidR="00013EC7" w:rsidTr="0070369A">
        <w:trPr>
          <w:trHeight w:val="1475"/>
          <w:jc w:val="center"/>
        </w:trPr>
        <w:tc>
          <w:tcPr>
            <w:tcW w:w="1250"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7非居民企业相关事项办理</w:t>
            </w:r>
          </w:p>
        </w:tc>
        <w:tc>
          <w:tcPr>
            <w:tcW w:w="1316" w:type="dxa"/>
            <w:vMerge w:val="restart"/>
            <w:vAlign w:val="center"/>
          </w:tcPr>
          <w:p w:rsidR="00013EC7" w:rsidRDefault="00575CDB">
            <w:pPr>
              <w:spacing w:line="310" w:lineRule="exact"/>
              <w:jc w:val="left"/>
              <w:rPr>
                <w:rFonts w:ascii="仿宋" w:eastAsia="仿宋" w:hAnsi="仿宋" w:cs="仿宋"/>
                <w:sz w:val="24"/>
              </w:rPr>
            </w:pPr>
            <w:r>
              <w:rPr>
                <w:rFonts w:ascii="仿宋" w:eastAsia="仿宋" w:hAnsi="仿宋" w:cs="仿宋" w:hint="eastAsia"/>
                <w:sz w:val="24"/>
              </w:rPr>
              <w:t>7.3非居民企业股权转让适用特殊性税务处理的备案</w:t>
            </w:r>
          </w:p>
        </w:tc>
        <w:tc>
          <w:tcPr>
            <w:tcW w:w="2114" w:type="dxa"/>
            <w:vMerge w:val="restart"/>
            <w:vAlign w:val="center"/>
          </w:tcPr>
          <w:p w:rsidR="00013EC7" w:rsidRDefault="00575CDB">
            <w:pPr>
              <w:spacing w:line="310" w:lineRule="exact"/>
              <w:jc w:val="left"/>
              <w:rPr>
                <w:rFonts w:ascii="仿宋" w:eastAsia="仿宋" w:hAnsi="仿宋" w:cs="仿宋"/>
                <w:sz w:val="24"/>
              </w:rPr>
            </w:pPr>
            <w:r>
              <w:rPr>
                <w:rFonts w:ascii="仿宋" w:eastAsia="仿宋" w:hAnsi="仿宋" w:cs="仿宋" w:hint="eastAsia"/>
                <w:sz w:val="24"/>
              </w:rPr>
              <w:t>（一）《财政部 国家税务总局关于企业重组业务企业所得税处理若干问题的通知》（财税〔2009〕59号）第七条。</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（二）《国家税务总局关于非居民企业股权转让适用特殊性税务处理有关问题的公告》（国家税务总局公告2013年第72号）第二条、第三条、第四条、第五条。</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（三）《国家税务总局关于修改〈非居民企业所得税核定征收管理办法〉等文件的公告》（国家税务总局公告2015年第22号）第三条。</w:t>
            </w:r>
          </w:p>
        </w:tc>
        <w:tc>
          <w:tcPr>
            <w:tcW w:w="2785"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（一）（</w:t>
            </w:r>
            <w:hyperlink r:id="rId100" w:history="1">
              <w:r>
                <w:rPr>
                  <w:rFonts w:ascii="仿宋" w:eastAsia="仿宋" w:hAnsi="仿宋" w:cs="仿宋" w:hint="eastAsia"/>
                  <w:sz w:val="24"/>
                </w:rPr>
                <w:t>A03047）《非居民企业股权转让适用特殊性税务处理备案表》</w:t>
              </w:r>
            </w:hyperlink>
            <w:r>
              <w:rPr>
                <w:rFonts w:ascii="仿宋" w:eastAsia="仿宋" w:hAnsi="仿宋" w:cs="仿宋" w:hint="eastAsia"/>
                <w:sz w:val="24"/>
                <w:shd w:val="clear" w:color="FFFFFF" w:fill="D9D9D9"/>
              </w:rPr>
              <w:t>2份。</w:t>
            </w:r>
          </w:p>
        </w:tc>
        <w:tc>
          <w:tcPr>
            <w:tcW w:w="1118"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纳税人提交</w:t>
            </w:r>
          </w:p>
        </w:tc>
        <w:tc>
          <w:tcPr>
            <w:tcW w:w="2403"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（一）（</w:t>
            </w:r>
            <w:hyperlink r:id="rId101" w:history="1">
              <w:r>
                <w:rPr>
                  <w:rFonts w:ascii="仿宋" w:eastAsia="仿宋" w:hAnsi="仿宋" w:cs="仿宋" w:hint="eastAsia"/>
                  <w:sz w:val="24"/>
                </w:rPr>
                <w:t>A03047）《非居民企业股权转让适用特殊性税务处理备案表》</w:t>
              </w:r>
            </w:hyperlink>
            <w:r>
              <w:rPr>
                <w:rFonts w:ascii="仿宋" w:eastAsia="仿宋" w:hAnsi="仿宋" w:cs="仿宋" w:hint="eastAsia"/>
                <w:sz w:val="24"/>
              </w:rPr>
              <w:t>1份。</w:t>
            </w:r>
          </w:p>
        </w:tc>
        <w:tc>
          <w:tcPr>
            <w:tcW w:w="1196" w:type="dxa"/>
            <w:vMerge w:val="restart"/>
            <w:vAlign w:val="center"/>
          </w:tcPr>
          <w:p w:rsidR="00013EC7" w:rsidRDefault="00575CDB">
            <w:pPr>
              <w:jc w:val="left"/>
              <w:rPr>
                <w:rFonts w:ascii="仿宋" w:eastAsia="仿宋" w:hAnsi="仿宋" w:cs="仿宋"/>
                <w:sz w:val="24"/>
              </w:rPr>
            </w:pPr>
            <w:r>
              <w:rPr>
                <w:rFonts w:ascii="仿宋" w:eastAsia="仿宋" w:hAnsi="仿宋" w:cs="仿宋" w:hint="eastAsia"/>
                <w:sz w:val="24"/>
              </w:rPr>
              <w:t>纳税人提交</w:t>
            </w:r>
          </w:p>
        </w:tc>
        <w:tc>
          <w:tcPr>
            <w:tcW w:w="3318"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申报单位提交书面材料。</w:t>
            </w:r>
          </w:p>
          <w:p w:rsidR="00013EC7" w:rsidRDefault="00575CDB">
            <w:pPr>
              <w:spacing w:line="300" w:lineRule="exact"/>
              <w:jc w:val="left"/>
              <w:rPr>
                <w:rFonts w:ascii="仿宋" w:eastAsia="仿宋" w:hAnsi="仿宋" w:cs="仿宋"/>
                <w:sz w:val="24"/>
              </w:rPr>
            </w:pPr>
            <w:r>
              <w:rPr>
                <w:rFonts w:ascii="仿宋" w:eastAsia="仿宋" w:hAnsi="仿宋" w:cs="仿宋" w:hint="eastAsia"/>
                <w:b/>
                <w:sz w:val="24"/>
              </w:rPr>
              <w:t>网上办理：</w:t>
            </w:r>
            <w:r>
              <w:rPr>
                <w:rFonts w:ascii="仿宋" w:eastAsia="仿宋" w:hAnsi="仿宋" w:cs="仿宋" w:hint="eastAsia"/>
                <w:sz w:val="24"/>
              </w:rPr>
              <w:t>登录浙江国税电子税务局（网址：http://etax.zjtax.gov.cn/</w:t>
            </w:r>
          </w:p>
          <w:p w:rsidR="00013EC7" w:rsidRDefault="00575CDB">
            <w:pPr>
              <w:spacing w:line="300" w:lineRule="exact"/>
              <w:jc w:val="left"/>
              <w:rPr>
                <w:rFonts w:ascii="仿宋" w:eastAsia="仿宋" w:hAnsi="仿宋" w:cs="仿宋"/>
                <w:sz w:val="24"/>
              </w:rPr>
            </w:pPr>
            <w:r>
              <w:rPr>
                <w:rFonts w:ascii="仿宋" w:eastAsia="仿宋" w:hAnsi="仿宋" w:cs="仿宋" w:hint="eastAsia"/>
                <w:sz w:val="24"/>
              </w:rPr>
              <w:t>）提交申请。</w:t>
            </w:r>
          </w:p>
          <w:p w:rsidR="00013EC7" w:rsidRDefault="00013EC7">
            <w:pPr>
              <w:spacing w:line="300" w:lineRule="exact"/>
              <w:jc w:val="left"/>
              <w:rPr>
                <w:rFonts w:ascii="仿宋" w:eastAsia="仿宋" w:hAnsi="仿宋" w:cs="仿宋"/>
                <w:sz w:val="24"/>
              </w:rPr>
            </w:pPr>
          </w:p>
        </w:tc>
        <w:tc>
          <w:tcPr>
            <w:tcW w:w="868"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即时办结</w:t>
            </w:r>
          </w:p>
        </w:tc>
        <w:tc>
          <w:tcPr>
            <w:tcW w:w="798"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即时办结</w:t>
            </w:r>
          </w:p>
        </w:tc>
        <w:tc>
          <w:tcPr>
            <w:tcW w:w="958"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是</w:t>
            </w:r>
          </w:p>
        </w:tc>
        <w:tc>
          <w:tcPr>
            <w:tcW w:w="1104"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国际税务处</w:t>
            </w:r>
          </w:p>
        </w:tc>
        <w:tc>
          <w:tcPr>
            <w:tcW w:w="1476" w:type="dxa"/>
            <w:vMerge w:val="restart"/>
            <w:vAlign w:val="center"/>
          </w:tcPr>
          <w:p w:rsidR="00013EC7" w:rsidRDefault="00013EC7">
            <w:pPr>
              <w:spacing w:line="300" w:lineRule="exact"/>
              <w:jc w:val="left"/>
              <w:rPr>
                <w:rFonts w:ascii="仿宋" w:eastAsia="仿宋" w:hAnsi="仿宋" w:cs="仿宋"/>
                <w:sz w:val="24"/>
              </w:rPr>
            </w:pPr>
          </w:p>
        </w:tc>
      </w:tr>
      <w:tr w:rsidR="00013EC7" w:rsidTr="0070369A">
        <w:trPr>
          <w:trHeight w:val="1699"/>
          <w:jc w:val="center"/>
        </w:trPr>
        <w:tc>
          <w:tcPr>
            <w:tcW w:w="1250" w:type="dxa"/>
            <w:vMerge/>
            <w:textDirection w:val="tbRlV"/>
            <w:vAlign w:val="center"/>
          </w:tcPr>
          <w:p w:rsidR="00013EC7" w:rsidRDefault="00013EC7">
            <w:pPr>
              <w:jc w:val="left"/>
              <w:rPr>
                <w:rFonts w:ascii="仿宋" w:eastAsia="仿宋" w:hAnsi="仿宋" w:cs="仿宋"/>
                <w:sz w:val="24"/>
              </w:rPr>
            </w:pPr>
          </w:p>
        </w:tc>
        <w:tc>
          <w:tcPr>
            <w:tcW w:w="1316" w:type="dxa"/>
            <w:vMerge/>
            <w:vAlign w:val="center"/>
          </w:tcPr>
          <w:p w:rsidR="00013EC7" w:rsidRDefault="00013EC7">
            <w:pPr>
              <w:jc w:val="left"/>
              <w:rPr>
                <w:rFonts w:ascii="仿宋" w:eastAsia="仿宋" w:hAnsi="仿宋" w:cs="仿宋"/>
                <w:sz w:val="24"/>
              </w:rPr>
            </w:pPr>
          </w:p>
        </w:tc>
        <w:tc>
          <w:tcPr>
            <w:tcW w:w="2114" w:type="dxa"/>
            <w:vMerge/>
            <w:vAlign w:val="center"/>
          </w:tcPr>
          <w:p w:rsidR="00013EC7" w:rsidRDefault="00013EC7">
            <w:pPr>
              <w:jc w:val="left"/>
              <w:rPr>
                <w:rFonts w:ascii="仿宋" w:eastAsia="仿宋" w:hAnsi="仿宋" w:cs="仿宋"/>
                <w:sz w:val="24"/>
              </w:rPr>
            </w:pPr>
          </w:p>
        </w:tc>
        <w:tc>
          <w:tcPr>
            <w:tcW w:w="2785"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（二）</w:t>
            </w:r>
            <w:r>
              <w:rPr>
                <w:rFonts w:ascii="仿宋" w:eastAsia="仿宋" w:hAnsi="仿宋" w:cs="仿宋" w:hint="eastAsia"/>
                <w:sz w:val="24"/>
                <w:lang w:val="zh-CN"/>
              </w:rPr>
              <w:t>股权转让业务总体情况说明，应包括股权转让的商业目的、证明股权转让符合特殊性税务处理条件、股权转让前后的公司股权架构图等资料。</w:t>
            </w:r>
          </w:p>
        </w:tc>
        <w:tc>
          <w:tcPr>
            <w:tcW w:w="1118" w:type="dxa"/>
            <w:vMerge/>
            <w:vAlign w:val="center"/>
          </w:tcPr>
          <w:p w:rsidR="00013EC7" w:rsidRDefault="00013EC7">
            <w:pPr>
              <w:jc w:val="left"/>
              <w:rPr>
                <w:rFonts w:ascii="仿宋" w:eastAsia="仿宋" w:hAnsi="仿宋" w:cs="仿宋"/>
                <w:sz w:val="24"/>
              </w:rPr>
            </w:pPr>
          </w:p>
        </w:tc>
        <w:tc>
          <w:tcPr>
            <w:tcW w:w="2403" w:type="dxa"/>
            <w:vAlign w:val="center"/>
          </w:tcPr>
          <w:p w:rsidR="00013EC7" w:rsidRDefault="00575CDB">
            <w:pPr>
              <w:spacing w:line="300" w:lineRule="exact"/>
              <w:jc w:val="left"/>
              <w:rPr>
                <w:rFonts w:ascii="仿宋" w:eastAsia="仿宋" w:hAnsi="仿宋" w:cs="仿宋"/>
                <w:sz w:val="24"/>
                <w:lang w:val="zh-CN"/>
              </w:rPr>
            </w:pPr>
            <w:r>
              <w:rPr>
                <w:rFonts w:ascii="仿宋" w:eastAsia="仿宋" w:hAnsi="仿宋" w:cs="仿宋" w:hint="eastAsia"/>
                <w:sz w:val="24"/>
                <w:lang w:val="zh-CN"/>
              </w:rPr>
              <w:t>（二）股权转让业务总体情况说明，应包括股权转让的商业目的、证明股权转让符合特殊性税务处理条件、股权转让前后的公司股权架构图等资料1份。</w:t>
            </w:r>
          </w:p>
        </w:tc>
        <w:tc>
          <w:tcPr>
            <w:tcW w:w="1196" w:type="dxa"/>
            <w:vMerge/>
            <w:vAlign w:val="center"/>
          </w:tcPr>
          <w:p w:rsidR="00013EC7" w:rsidRDefault="00013EC7">
            <w:pPr>
              <w:spacing w:line="300" w:lineRule="exact"/>
              <w:jc w:val="left"/>
              <w:rPr>
                <w:rFonts w:ascii="仿宋" w:eastAsia="仿宋" w:hAnsi="仿宋" w:cs="仿宋"/>
                <w:sz w:val="24"/>
              </w:rPr>
            </w:pPr>
          </w:p>
        </w:tc>
        <w:tc>
          <w:tcPr>
            <w:tcW w:w="3318" w:type="dxa"/>
            <w:vMerge/>
            <w:vAlign w:val="center"/>
          </w:tcPr>
          <w:p w:rsidR="00013EC7" w:rsidRDefault="00013EC7">
            <w:pPr>
              <w:spacing w:line="300" w:lineRule="exact"/>
              <w:jc w:val="left"/>
              <w:rPr>
                <w:rFonts w:ascii="仿宋" w:eastAsia="仿宋" w:hAnsi="仿宋" w:cs="仿宋"/>
                <w:sz w:val="24"/>
              </w:rPr>
            </w:pPr>
          </w:p>
        </w:tc>
        <w:tc>
          <w:tcPr>
            <w:tcW w:w="868" w:type="dxa"/>
            <w:vMerge/>
            <w:vAlign w:val="center"/>
          </w:tcPr>
          <w:p w:rsidR="00013EC7" w:rsidRDefault="00013EC7">
            <w:pPr>
              <w:jc w:val="left"/>
              <w:rPr>
                <w:rFonts w:ascii="仿宋" w:eastAsia="仿宋" w:hAnsi="仿宋" w:cs="仿宋"/>
                <w:sz w:val="24"/>
              </w:rPr>
            </w:pPr>
          </w:p>
        </w:tc>
        <w:tc>
          <w:tcPr>
            <w:tcW w:w="798" w:type="dxa"/>
            <w:vMerge/>
            <w:vAlign w:val="center"/>
          </w:tcPr>
          <w:p w:rsidR="00013EC7" w:rsidRDefault="00013EC7">
            <w:pPr>
              <w:jc w:val="left"/>
              <w:rPr>
                <w:rFonts w:ascii="仿宋" w:eastAsia="仿宋" w:hAnsi="仿宋" w:cs="仿宋"/>
                <w:sz w:val="24"/>
              </w:rPr>
            </w:pPr>
          </w:p>
        </w:tc>
        <w:tc>
          <w:tcPr>
            <w:tcW w:w="958" w:type="dxa"/>
            <w:vMerge/>
            <w:vAlign w:val="center"/>
          </w:tcPr>
          <w:p w:rsidR="00013EC7" w:rsidRDefault="00013EC7">
            <w:pPr>
              <w:jc w:val="left"/>
              <w:rPr>
                <w:rFonts w:ascii="仿宋" w:eastAsia="仿宋" w:hAnsi="仿宋" w:cs="仿宋"/>
                <w:sz w:val="24"/>
              </w:rPr>
            </w:pPr>
          </w:p>
        </w:tc>
        <w:tc>
          <w:tcPr>
            <w:tcW w:w="1104" w:type="dxa"/>
            <w:vMerge/>
            <w:vAlign w:val="center"/>
          </w:tcPr>
          <w:p w:rsidR="00013EC7" w:rsidRDefault="00013EC7">
            <w:pPr>
              <w:jc w:val="left"/>
              <w:rPr>
                <w:rFonts w:ascii="仿宋" w:eastAsia="仿宋" w:hAnsi="仿宋" w:cs="仿宋"/>
                <w:sz w:val="24"/>
              </w:rPr>
            </w:pPr>
          </w:p>
        </w:tc>
        <w:tc>
          <w:tcPr>
            <w:tcW w:w="1476" w:type="dxa"/>
            <w:vMerge/>
            <w:vAlign w:val="center"/>
          </w:tcPr>
          <w:p w:rsidR="00013EC7" w:rsidRDefault="00013EC7">
            <w:pPr>
              <w:jc w:val="left"/>
              <w:rPr>
                <w:rFonts w:ascii="仿宋" w:eastAsia="仿宋" w:hAnsi="仿宋" w:cs="仿宋"/>
                <w:sz w:val="24"/>
              </w:rPr>
            </w:pPr>
          </w:p>
        </w:tc>
      </w:tr>
      <w:tr w:rsidR="00013EC7" w:rsidTr="0070369A">
        <w:trPr>
          <w:trHeight w:val="340"/>
          <w:jc w:val="center"/>
        </w:trPr>
        <w:tc>
          <w:tcPr>
            <w:tcW w:w="1250" w:type="dxa"/>
            <w:vMerge/>
            <w:textDirection w:val="tbRlV"/>
            <w:vAlign w:val="center"/>
          </w:tcPr>
          <w:p w:rsidR="00013EC7" w:rsidRDefault="00013EC7">
            <w:pPr>
              <w:jc w:val="left"/>
              <w:rPr>
                <w:rFonts w:ascii="仿宋" w:eastAsia="仿宋" w:hAnsi="仿宋" w:cs="仿宋"/>
                <w:sz w:val="24"/>
              </w:rPr>
            </w:pPr>
          </w:p>
        </w:tc>
        <w:tc>
          <w:tcPr>
            <w:tcW w:w="1316" w:type="dxa"/>
            <w:vMerge/>
            <w:vAlign w:val="center"/>
          </w:tcPr>
          <w:p w:rsidR="00013EC7" w:rsidRDefault="00013EC7">
            <w:pPr>
              <w:jc w:val="left"/>
              <w:rPr>
                <w:rFonts w:ascii="仿宋" w:eastAsia="仿宋" w:hAnsi="仿宋" w:cs="仿宋"/>
                <w:sz w:val="24"/>
              </w:rPr>
            </w:pPr>
          </w:p>
        </w:tc>
        <w:tc>
          <w:tcPr>
            <w:tcW w:w="2114" w:type="dxa"/>
            <w:vMerge/>
            <w:vAlign w:val="center"/>
          </w:tcPr>
          <w:p w:rsidR="00013EC7" w:rsidRDefault="00013EC7">
            <w:pPr>
              <w:jc w:val="left"/>
              <w:rPr>
                <w:rFonts w:ascii="仿宋" w:eastAsia="仿宋" w:hAnsi="仿宋" w:cs="仿宋"/>
                <w:sz w:val="24"/>
              </w:rPr>
            </w:pPr>
          </w:p>
        </w:tc>
        <w:tc>
          <w:tcPr>
            <w:tcW w:w="2785"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（三）</w:t>
            </w:r>
            <w:r>
              <w:rPr>
                <w:rFonts w:ascii="仿宋" w:eastAsia="仿宋" w:hAnsi="仿宋" w:cs="仿宋" w:hint="eastAsia"/>
                <w:sz w:val="24"/>
                <w:lang w:val="zh-CN"/>
              </w:rPr>
              <w:t>股权转让业务合同或协议（外文文本的同时附送中文译本）。</w:t>
            </w:r>
          </w:p>
        </w:tc>
        <w:tc>
          <w:tcPr>
            <w:tcW w:w="1118" w:type="dxa"/>
            <w:vMerge/>
            <w:vAlign w:val="center"/>
          </w:tcPr>
          <w:p w:rsidR="00013EC7" w:rsidRDefault="00013EC7">
            <w:pPr>
              <w:jc w:val="left"/>
              <w:rPr>
                <w:rFonts w:ascii="仿宋" w:eastAsia="仿宋" w:hAnsi="仿宋" w:cs="仿宋"/>
                <w:sz w:val="24"/>
              </w:rPr>
            </w:pPr>
          </w:p>
        </w:tc>
        <w:tc>
          <w:tcPr>
            <w:tcW w:w="2403" w:type="dxa"/>
            <w:vAlign w:val="center"/>
          </w:tcPr>
          <w:p w:rsidR="00013EC7" w:rsidRDefault="00575CDB">
            <w:pPr>
              <w:spacing w:line="300" w:lineRule="exact"/>
              <w:jc w:val="left"/>
              <w:rPr>
                <w:rFonts w:ascii="仿宋" w:eastAsia="仿宋" w:hAnsi="仿宋" w:cs="仿宋"/>
                <w:sz w:val="24"/>
                <w:lang w:val="zh-CN"/>
              </w:rPr>
            </w:pPr>
            <w:r>
              <w:rPr>
                <w:rFonts w:ascii="仿宋" w:eastAsia="仿宋" w:hAnsi="仿宋" w:cs="仿宋" w:hint="eastAsia"/>
                <w:sz w:val="24"/>
                <w:lang w:val="zh-CN"/>
              </w:rPr>
              <w:t>（三）股权转让业务合同或协议1份（外文文本的同时附送中文译本1份）。</w:t>
            </w:r>
          </w:p>
        </w:tc>
        <w:tc>
          <w:tcPr>
            <w:tcW w:w="1196" w:type="dxa"/>
            <w:vMerge/>
            <w:vAlign w:val="center"/>
          </w:tcPr>
          <w:p w:rsidR="00013EC7" w:rsidRDefault="00013EC7">
            <w:pPr>
              <w:jc w:val="left"/>
              <w:rPr>
                <w:rFonts w:ascii="仿宋" w:eastAsia="仿宋" w:hAnsi="仿宋" w:cs="仿宋"/>
                <w:sz w:val="24"/>
              </w:rPr>
            </w:pPr>
          </w:p>
        </w:tc>
        <w:tc>
          <w:tcPr>
            <w:tcW w:w="3318" w:type="dxa"/>
            <w:vMerge/>
            <w:vAlign w:val="center"/>
          </w:tcPr>
          <w:p w:rsidR="00013EC7" w:rsidRDefault="00013EC7">
            <w:pPr>
              <w:spacing w:line="300" w:lineRule="exact"/>
              <w:jc w:val="left"/>
              <w:rPr>
                <w:rFonts w:ascii="仿宋" w:eastAsia="仿宋" w:hAnsi="仿宋" w:cs="仿宋"/>
                <w:sz w:val="24"/>
              </w:rPr>
            </w:pPr>
          </w:p>
        </w:tc>
        <w:tc>
          <w:tcPr>
            <w:tcW w:w="868" w:type="dxa"/>
            <w:vMerge/>
            <w:vAlign w:val="center"/>
          </w:tcPr>
          <w:p w:rsidR="00013EC7" w:rsidRDefault="00013EC7">
            <w:pPr>
              <w:jc w:val="left"/>
              <w:rPr>
                <w:rFonts w:ascii="仿宋" w:eastAsia="仿宋" w:hAnsi="仿宋" w:cs="仿宋"/>
                <w:sz w:val="24"/>
              </w:rPr>
            </w:pPr>
          </w:p>
        </w:tc>
        <w:tc>
          <w:tcPr>
            <w:tcW w:w="798" w:type="dxa"/>
            <w:vMerge/>
            <w:vAlign w:val="center"/>
          </w:tcPr>
          <w:p w:rsidR="00013EC7" w:rsidRDefault="00013EC7">
            <w:pPr>
              <w:jc w:val="left"/>
              <w:rPr>
                <w:rFonts w:ascii="仿宋" w:eastAsia="仿宋" w:hAnsi="仿宋" w:cs="仿宋"/>
                <w:sz w:val="24"/>
              </w:rPr>
            </w:pPr>
          </w:p>
        </w:tc>
        <w:tc>
          <w:tcPr>
            <w:tcW w:w="958" w:type="dxa"/>
            <w:vMerge/>
            <w:vAlign w:val="center"/>
          </w:tcPr>
          <w:p w:rsidR="00013EC7" w:rsidRDefault="00013EC7">
            <w:pPr>
              <w:jc w:val="left"/>
              <w:rPr>
                <w:rFonts w:ascii="仿宋" w:eastAsia="仿宋" w:hAnsi="仿宋" w:cs="仿宋"/>
                <w:sz w:val="24"/>
              </w:rPr>
            </w:pPr>
          </w:p>
        </w:tc>
        <w:tc>
          <w:tcPr>
            <w:tcW w:w="1104" w:type="dxa"/>
            <w:vMerge/>
            <w:vAlign w:val="center"/>
          </w:tcPr>
          <w:p w:rsidR="00013EC7" w:rsidRDefault="00013EC7">
            <w:pPr>
              <w:jc w:val="left"/>
              <w:rPr>
                <w:rFonts w:ascii="仿宋" w:eastAsia="仿宋" w:hAnsi="仿宋" w:cs="仿宋"/>
                <w:sz w:val="24"/>
              </w:rPr>
            </w:pPr>
          </w:p>
        </w:tc>
        <w:tc>
          <w:tcPr>
            <w:tcW w:w="1476" w:type="dxa"/>
            <w:vMerge/>
            <w:vAlign w:val="center"/>
          </w:tcPr>
          <w:p w:rsidR="00013EC7" w:rsidRDefault="00013EC7">
            <w:pPr>
              <w:jc w:val="left"/>
              <w:rPr>
                <w:rFonts w:ascii="仿宋" w:eastAsia="仿宋" w:hAnsi="仿宋" w:cs="仿宋"/>
                <w:sz w:val="24"/>
              </w:rPr>
            </w:pPr>
          </w:p>
        </w:tc>
      </w:tr>
      <w:tr w:rsidR="00013EC7" w:rsidTr="0070369A">
        <w:trPr>
          <w:trHeight w:val="340"/>
          <w:jc w:val="center"/>
        </w:trPr>
        <w:tc>
          <w:tcPr>
            <w:tcW w:w="1250" w:type="dxa"/>
            <w:vMerge/>
            <w:vAlign w:val="center"/>
          </w:tcPr>
          <w:p w:rsidR="00013EC7" w:rsidRDefault="00013EC7">
            <w:pPr>
              <w:jc w:val="left"/>
              <w:rPr>
                <w:rFonts w:ascii="仿宋" w:eastAsia="仿宋" w:hAnsi="仿宋" w:cs="仿宋"/>
                <w:sz w:val="24"/>
              </w:rPr>
            </w:pPr>
          </w:p>
        </w:tc>
        <w:tc>
          <w:tcPr>
            <w:tcW w:w="1316" w:type="dxa"/>
            <w:vMerge/>
            <w:vAlign w:val="center"/>
          </w:tcPr>
          <w:p w:rsidR="00013EC7" w:rsidRDefault="00013EC7">
            <w:pPr>
              <w:jc w:val="left"/>
              <w:rPr>
                <w:rFonts w:ascii="仿宋" w:eastAsia="仿宋" w:hAnsi="仿宋" w:cs="仿宋"/>
                <w:sz w:val="24"/>
              </w:rPr>
            </w:pPr>
          </w:p>
        </w:tc>
        <w:tc>
          <w:tcPr>
            <w:tcW w:w="2114" w:type="dxa"/>
            <w:vMerge/>
            <w:vAlign w:val="center"/>
          </w:tcPr>
          <w:p w:rsidR="00013EC7" w:rsidRDefault="00013EC7">
            <w:pPr>
              <w:jc w:val="left"/>
              <w:rPr>
                <w:rFonts w:ascii="仿宋" w:eastAsia="仿宋" w:hAnsi="仿宋" w:cs="仿宋"/>
                <w:sz w:val="24"/>
              </w:rPr>
            </w:pPr>
          </w:p>
        </w:tc>
        <w:tc>
          <w:tcPr>
            <w:tcW w:w="2785"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（四）</w:t>
            </w:r>
            <w:r>
              <w:rPr>
                <w:rFonts w:ascii="仿宋" w:eastAsia="仿宋" w:hAnsi="仿宋" w:cs="仿宋" w:hint="eastAsia"/>
                <w:sz w:val="24"/>
                <w:lang w:val="zh-CN"/>
              </w:rPr>
              <w:t>工商等相关部门核准企业股权变更事项证明资料。</w:t>
            </w:r>
          </w:p>
        </w:tc>
        <w:tc>
          <w:tcPr>
            <w:tcW w:w="1118" w:type="dxa"/>
            <w:vMerge/>
            <w:vAlign w:val="center"/>
          </w:tcPr>
          <w:p w:rsidR="00013EC7" w:rsidRDefault="00013EC7">
            <w:pPr>
              <w:jc w:val="left"/>
              <w:rPr>
                <w:rFonts w:ascii="仿宋" w:eastAsia="仿宋" w:hAnsi="仿宋" w:cs="仿宋"/>
                <w:sz w:val="24"/>
              </w:rPr>
            </w:pPr>
          </w:p>
        </w:tc>
        <w:tc>
          <w:tcPr>
            <w:tcW w:w="2403" w:type="dxa"/>
            <w:vAlign w:val="center"/>
          </w:tcPr>
          <w:p w:rsidR="00013EC7" w:rsidRDefault="00575CDB">
            <w:pPr>
              <w:spacing w:line="300" w:lineRule="exact"/>
              <w:jc w:val="left"/>
              <w:rPr>
                <w:rFonts w:ascii="仿宋" w:eastAsia="仿宋" w:hAnsi="仿宋" w:cs="仿宋"/>
                <w:sz w:val="24"/>
                <w:lang w:val="zh-CN"/>
              </w:rPr>
            </w:pPr>
            <w:r>
              <w:rPr>
                <w:rFonts w:ascii="仿宋" w:eastAsia="仿宋" w:hAnsi="仿宋" w:cs="仿宋" w:hint="eastAsia"/>
                <w:sz w:val="24"/>
                <w:lang w:val="zh-CN"/>
              </w:rPr>
              <w:t>（四）工商等相关部门核准企业股权变更事项证明资料1份。</w:t>
            </w:r>
          </w:p>
        </w:tc>
        <w:tc>
          <w:tcPr>
            <w:tcW w:w="1196" w:type="dxa"/>
            <w:vAlign w:val="center"/>
          </w:tcPr>
          <w:p w:rsidR="00013EC7" w:rsidRDefault="00575CDB">
            <w:pPr>
              <w:spacing w:line="300" w:lineRule="exact"/>
              <w:jc w:val="left"/>
              <w:rPr>
                <w:rFonts w:ascii="仿宋" w:eastAsia="仿宋" w:hAnsi="仿宋" w:cs="仿宋"/>
                <w:b/>
                <w:bCs/>
                <w:i/>
                <w:iCs/>
                <w:sz w:val="24"/>
              </w:rPr>
            </w:pPr>
            <w:r>
              <w:rPr>
                <w:rFonts w:ascii="仿宋" w:eastAsia="仿宋" w:hAnsi="仿宋" w:cs="仿宋" w:hint="eastAsia"/>
                <w:b/>
                <w:bCs/>
                <w:i/>
                <w:iCs/>
                <w:sz w:val="24"/>
              </w:rPr>
              <w:t>经办机构</w:t>
            </w:r>
          </w:p>
          <w:p w:rsidR="00013EC7" w:rsidRDefault="00575CDB">
            <w:pPr>
              <w:jc w:val="left"/>
              <w:rPr>
                <w:rFonts w:ascii="仿宋" w:eastAsia="仿宋" w:hAnsi="仿宋" w:cs="仿宋"/>
                <w:sz w:val="24"/>
              </w:rPr>
            </w:pPr>
            <w:r>
              <w:rPr>
                <w:rFonts w:ascii="仿宋" w:eastAsia="仿宋" w:hAnsi="仿宋" w:cs="仿宋" w:hint="eastAsia"/>
                <w:b/>
                <w:bCs/>
                <w:i/>
                <w:iCs/>
                <w:sz w:val="24"/>
              </w:rPr>
              <w:t>自行获取</w:t>
            </w:r>
          </w:p>
        </w:tc>
        <w:tc>
          <w:tcPr>
            <w:tcW w:w="3318"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b/>
                <w:sz w:val="24"/>
              </w:rPr>
              <w:t>外部共享：</w:t>
            </w:r>
            <w:r>
              <w:rPr>
                <w:rFonts w:ascii="仿宋" w:eastAsia="仿宋" w:hAnsi="仿宋" w:cs="仿宋" w:hint="eastAsia"/>
                <w:sz w:val="24"/>
              </w:rPr>
              <w:t>由省工商局提供共享。</w:t>
            </w:r>
          </w:p>
        </w:tc>
        <w:tc>
          <w:tcPr>
            <w:tcW w:w="868" w:type="dxa"/>
            <w:vMerge/>
            <w:vAlign w:val="center"/>
          </w:tcPr>
          <w:p w:rsidR="00013EC7" w:rsidRDefault="00013EC7">
            <w:pPr>
              <w:jc w:val="left"/>
              <w:rPr>
                <w:rFonts w:ascii="仿宋" w:eastAsia="仿宋" w:hAnsi="仿宋" w:cs="仿宋"/>
                <w:sz w:val="24"/>
              </w:rPr>
            </w:pPr>
          </w:p>
        </w:tc>
        <w:tc>
          <w:tcPr>
            <w:tcW w:w="798" w:type="dxa"/>
            <w:vMerge/>
            <w:vAlign w:val="center"/>
          </w:tcPr>
          <w:p w:rsidR="00013EC7" w:rsidRDefault="00013EC7">
            <w:pPr>
              <w:jc w:val="left"/>
              <w:rPr>
                <w:rFonts w:ascii="仿宋" w:eastAsia="仿宋" w:hAnsi="仿宋" w:cs="仿宋"/>
                <w:sz w:val="24"/>
              </w:rPr>
            </w:pPr>
          </w:p>
        </w:tc>
        <w:tc>
          <w:tcPr>
            <w:tcW w:w="958" w:type="dxa"/>
            <w:vMerge/>
            <w:vAlign w:val="center"/>
          </w:tcPr>
          <w:p w:rsidR="00013EC7" w:rsidRDefault="00013EC7">
            <w:pPr>
              <w:jc w:val="left"/>
              <w:rPr>
                <w:rFonts w:ascii="仿宋" w:eastAsia="仿宋" w:hAnsi="仿宋" w:cs="仿宋"/>
                <w:sz w:val="24"/>
              </w:rPr>
            </w:pPr>
          </w:p>
        </w:tc>
        <w:tc>
          <w:tcPr>
            <w:tcW w:w="1104" w:type="dxa"/>
            <w:vMerge/>
            <w:vAlign w:val="center"/>
          </w:tcPr>
          <w:p w:rsidR="00013EC7" w:rsidRDefault="00013EC7">
            <w:pPr>
              <w:jc w:val="left"/>
              <w:rPr>
                <w:rFonts w:ascii="仿宋" w:eastAsia="仿宋" w:hAnsi="仿宋" w:cs="仿宋"/>
                <w:sz w:val="24"/>
              </w:rPr>
            </w:pPr>
          </w:p>
        </w:tc>
        <w:tc>
          <w:tcPr>
            <w:tcW w:w="1476" w:type="dxa"/>
            <w:vMerge/>
            <w:vAlign w:val="center"/>
          </w:tcPr>
          <w:p w:rsidR="00013EC7" w:rsidRDefault="00013EC7">
            <w:pPr>
              <w:jc w:val="left"/>
              <w:rPr>
                <w:rFonts w:ascii="仿宋" w:eastAsia="仿宋" w:hAnsi="仿宋" w:cs="仿宋"/>
                <w:sz w:val="24"/>
              </w:rPr>
            </w:pPr>
          </w:p>
        </w:tc>
      </w:tr>
      <w:tr w:rsidR="00013EC7" w:rsidTr="0070369A">
        <w:trPr>
          <w:trHeight w:val="340"/>
          <w:jc w:val="center"/>
        </w:trPr>
        <w:tc>
          <w:tcPr>
            <w:tcW w:w="1250" w:type="dxa"/>
            <w:vMerge/>
            <w:vAlign w:val="center"/>
          </w:tcPr>
          <w:p w:rsidR="00013EC7" w:rsidRDefault="00013EC7">
            <w:pPr>
              <w:jc w:val="left"/>
              <w:rPr>
                <w:rFonts w:ascii="仿宋" w:eastAsia="仿宋" w:hAnsi="仿宋" w:cs="仿宋"/>
                <w:sz w:val="24"/>
              </w:rPr>
            </w:pPr>
          </w:p>
        </w:tc>
        <w:tc>
          <w:tcPr>
            <w:tcW w:w="1316" w:type="dxa"/>
            <w:vMerge/>
            <w:vAlign w:val="center"/>
          </w:tcPr>
          <w:p w:rsidR="00013EC7" w:rsidRDefault="00013EC7">
            <w:pPr>
              <w:jc w:val="left"/>
              <w:rPr>
                <w:rFonts w:ascii="仿宋" w:eastAsia="仿宋" w:hAnsi="仿宋" w:cs="仿宋"/>
                <w:sz w:val="24"/>
              </w:rPr>
            </w:pPr>
          </w:p>
        </w:tc>
        <w:tc>
          <w:tcPr>
            <w:tcW w:w="2114" w:type="dxa"/>
            <w:vMerge/>
            <w:vAlign w:val="center"/>
          </w:tcPr>
          <w:p w:rsidR="00013EC7" w:rsidRDefault="00013EC7">
            <w:pPr>
              <w:jc w:val="left"/>
              <w:rPr>
                <w:rFonts w:ascii="仿宋" w:eastAsia="仿宋" w:hAnsi="仿宋" w:cs="仿宋"/>
                <w:sz w:val="24"/>
              </w:rPr>
            </w:pPr>
          </w:p>
        </w:tc>
        <w:tc>
          <w:tcPr>
            <w:tcW w:w="2785"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（五）</w:t>
            </w:r>
            <w:r>
              <w:rPr>
                <w:rFonts w:ascii="仿宋" w:eastAsia="仿宋" w:hAnsi="仿宋" w:cs="仿宋" w:hint="eastAsia"/>
                <w:sz w:val="24"/>
                <w:lang w:val="zh-CN"/>
              </w:rPr>
              <w:t>截至股权转让时，被转让企业历年的未分配利润资料。</w:t>
            </w:r>
          </w:p>
        </w:tc>
        <w:tc>
          <w:tcPr>
            <w:tcW w:w="1118" w:type="dxa"/>
            <w:vMerge/>
            <w:vAlign w:val="center"/>
          </w:tcPr>
          <w:p w:rsidR="00013EC7" w:rsidRDefault="00013EC7">
            <w:pPr>
              <w:jc w:val="left"/>
              <w:rPr>
                <w:rFonts w:ascii="仿宋" w:eastAsia="仿宋" w:hAnsi="仿宋" w:cs="仿宋"/>
                <w:sz w:val="24"/>
              </w:rPr>
            </w:pPr>
          </w:p>
        </w:tc>
        <w:tc>
          <w:tcPr>
            <w:tcW w:w="2403" w:type="dxa"/>
            <w:vAlign w:val="center"/>
          </w:tcPr>
          <w:p w:rsidR="00013EC7" w:rsidRDefault="00575CDB">
            <w:pPr>
              <w:spacing w:line="300" w:lineRule="exact"/>
              <w:jc w:val="left"/>
              <w:rPr>
                <w:rFonts w:ascii="仿宋" w:eastAsia="仿宋" w:hAnsi="仿宋" w:cs="仿宋"/>
                <w:sz w:val="24"/>
                <w:lang w:val="zh-CN"/>
              </w:rPr>
            </w:pPr>
            <w:r>
              <w:rPr>
                <w:rFonts w:ascii="仿宋" w:eastAsia="仿宋" w:hAnsi="仿宋" w:cs="仿宋" w:hint="eastAsia"/>
                <w:sz w:val="24"/>
                <w:lang w:val="zh-CN"/>
              </w:rPr>
              <w:t>（五）截至股权转让时，被转让企业历年的未分配利润资料1份。</w:t>
            </w:r>
          </w:p>
        </w:tc>
        <w:tc>
          <w:tcPr>
            <w:tcW w:w="1196"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纳税人提交</w:t>
            </w:r>
          </w:p>
        </w:tc>
        <w:tc>
          <w:tcPr>
            <w:tcW w:w="3318"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申报单位提交书面材料。</w:t>
            </w:r>
          </w:p>
          <w:p w:rsidR="00013EC7" w:rsidRDefault="00575CDB">
            <w:pPr>
              <w:spacing w:line="300" w:lineRule="exact"/>
              <w:jc w:val="left"/>
              <w:rPr>
                <w:rFonts w:ascii="仿宋" w:eastAsia="仿宋" w:hAnsi="仿宋" w:cs="仿宋"/>
                <w:sz w:val="24"/>
              </w:rPr>
            </w:pPr>
            <w:r>
              <w:rPr>
                <w:rFonts w:ascii="仿宋" w:eastAsia="仿宋" w:hAnsi="仿宋" w:cs="仿宋" w:hint="eastAsia"/>
                <w:b/>
                <w:sz w:val="24"/>
              </w:rPr>
              <w:t>网上办理：</w:t>
            </w:r>
            <w:r>
              <w:rPr>
                <w:rFonts w:ascii="仿宋" w:eastAsia="仿宋" w:hAnsi="仿宋" w:cs="仿宋" w:hint="eastAsia"/>
                <w:sz w:val="24"/>
              </w:rPr>
              <w:t>登录浙江国税电子税务局（网址：http://etax.zjtax.gov.cn/</w:t>
            </w:r>
          </w:p>
          <w:p w:rsidR="00013EC7" w:rsidRDefault="00575CDB">
            <w:pPr>
              <w:spacing w:line="300" w:lineRule="exact"/>
              <w:jc w:val="left"/>
              <w:rPr>
                <w:rFonts w:ascii="仿宋" w:eastAsia="仿宋" w:hAnsi="仿宋" w:cs="仿宋"/>
                <w:sz w:val="24"/>
              </w:rPr>
            </w:pPr>
            <w:r>
              <w:rPr>
                <w:rFonts w:ascii="仿宋" w:eastAsia="仿宋" w:hAnsi="仿宋" w:cs="仿宋" w:hint="eastAsia"/>
                <w:sz w:val="24"/>
              </w:rPr>
              <w:t>）提交申请。</w:t>
            </w:r>
          </w:p>
          <w:p w:rsidR="00013EC7" w:rsidRDefault="00013EC7">
            <w:pPr>
              <w:spacing w:line="300" w:lineRule="exact"/>
              <w:jc w:val="left"/>
              <w:rPr>
                <w:rFonts w:ascii="仿宋" w:eastAsia="仿宋" w:hAnsi="仿宋" w:cs="仿宋"/>
                <w:sz w:val="24"/>
              </w:rPr>
            </w:pPr>
          </w:p>
        </w:tc>
        <w:tc>
          <w:tcPr>
            <w:tcW w:w="868" w:type="dxa"/>
            <w:vMerge/>
            <w:vAlign w:val="center"/>
          </w:tcPr>
          <w:p w:rsidR="00013EC7" w:rsidRDefault="00013EC7">
            <w:pPr>
              <w:jc w:val="left"/>
              <w:rPr>
                <w:rFonts w:ascii="仿宋" w:eastAsia="仿宋" w:hAnsi="仿宋" w:cs="仿宋"/>
                <w:sz w:val="24"/>
              </w:rPr>
            </w:pPr>
          </w:p>
        </w:tc>
        <w:tc>
          <w:tcPr>
            <w:tcW w:w="798" w:type="dxa"/>
            <w:vMerge/>
            <w:vAlign w:val="center"/>
          </w:tcPr>
          <w:p w:rsidR="00013EC7" w:rsidRDefault="00013EC7">
            <w:pPr>
              <w:jc w:val="left"/>
              <w:rPr>
                <w:rFonts w:ascii="仿宋" w:eastAsia="仿宋" w:hAnsi="仿宋" w:cs="仿宋"/>
                <w:sz w:val="24"/>
              </w:rPr>
            </w:pPr>
          </w:p>
        </w:tc>
        <w:tc>
          <w:tcPr>
            <w:tcW w:w="958" w:type="dxa"/>
            <w:vMerge/>
            <w:vAlign w:val="center"/>
          </w:tcPr>
          <w:p w:rsidR="00013EC7" w:rsidRDefault="00013EC7">
            <w:pPr>
              <w:jc w:val="left"/>
              <w:rPr>
                <w:rFonts w:ascii="仿宋" w:eastAsia="仿宋" w:hAnsi="仿宋" w:cs="仿宋"/>
                <w:sz w:val="24"/>
              </w:rPr>
            </w:pPr>
          </w:p>
        </w:tc>
        <w:tc>
          <w:tcPr>
            <w:tcW w:w="1104" w:type="dxa"/>
            <w:vMerge/>
            <w:vAlign w:val="center"/>
          </w:tcPr>
          <w:p w:rsidR="00013EC7" w:rsidRDefault="00013EC7">
            <w:pPr>
              <w:jc w:val="left"/>
              <w:rPr>
                <w:rFonts w:ascii="仿宋" w:eastAsia="仿宋" w:hAnsi="仿宋" w:cs="仿宋"/>
                <w:sz w:val="24"/>
              </w:rPr>
            </w:pPr>
          </w:p>
        </w:tc>
        <w:tc>
          <w:tcPr>
            <w:tcW w:w="1476" w:type="dxa"/>
            <w:vMerge/>
            <w:vAlign w:val="center"/>
          </w:tcPr>
          <w:p w:rsidR="00013EC7" w:rsidRDefault="00013EC7">
            <w:pPr>
              <w:jc w:val="left"/>
              <w:rPr>
                <w:rFonts w:ascii="仿宋" w:eastAsia="仿宋" w:hAnsi="仿宋" w:cs="仿宋"/>
                <w:sz w:val="24"/>
              </w:rPr>
            </w:pPr>
          </w:p>
        </w:tc>
      </w:tr>
    </w:tbl>
    <w:p w:rsidR="00013EC7" w:rsidRDefault="005262E6">
      <w:pPr>
        <w:tabs>
          <w:tab w:val="left" w:pos="10942"/>
        </w:tabs>
        <w:jc w:val="left"/>
      </w:pPr>
      <w:r>
        <w:lastRenderedPageBreak/>
        <w:object w:dxaOrig="1440" w:dyaOrig="1440">
          <v:shape id="_x0000_s1222" type="#_x0000_t75" style="position:absolute;margin-left:558.2pt;margin-top:88.15pt;width:408.6pt;height:548.9pt;z-index:251591680;mso-wrap-distance-left:9pt;mso-wrap-distance-top:0;mso-wrap-distance-right:9pt;mso-wrap-distance-bottom:0;mso-position-horizontal-relative:text;mso-position-vertical-relative:page;mso-width-relative:page;mso-height-relative:page">
            <v:imagedata r:id="rId102" o:title=""/>
            <w10:wrap type="square" anchory="page"/>
          </v:shape>
          <o:OLEObject Type="Embed" ProgID="Visio.Drawing.11" ShapeID="_x0000_s1222" DrawAspect="Content" ObjectID="_1577296183" r:id="rId103"/>
        </w:object>
      </w:r>
      <w:r>
        <w:object w:dxaOrig="1440" w:dyaOrig="1440">
          <v:shape id="_x0000_s1221" type="#_x0000_t75" style="position:absolute;margin-left:0;margin-top:19.45pt;width:477.8pt;height:618.3pt;z-index:251590656;mso-wrap-distance-left:9pt;mso-wrap-distance-top:0;mso-wrap-distance-right:9pt;mso-wrap-distance-bottom:0;mso-position-horizontal-relative:text;mso-position-vertical-relative:text;mso-width-relative:page;mso-height-relative:page">
            <v:imagedata r:id="rId104" o:title=""/>
            <w10:wrap type="square"/>
          </v:shape>
          <o:OLEObject Type="Embed" ProgID="Visio.Drawing.11" ShapeID="_x0000_s1221" DrawAspect="Content" ObjectID="_1577296184" r:id="rId105"/>
        </w:object>
      </w:r>
    </w:p>
    <w:p w:rsidR="00013EC7" w:rsidRDefault="00013EC7">
      <w:pPr>
        <w:tabs>
          <w:tab w:val="left" w:pos="10942"/>
        </w:tabs>
        <w:jc w:val="left"/>
      </w:pPr>
    </w:p>
    <w:p w:rsidR="00013EC7" w:rsidRDefault="00013EC7">
      <w:pPr>
        <w:tabs>
          <w:tab w:val="left" w:pos="10942"/>
        </w:tabs>
        <w:jc w:val="left"/>
      </w:pPr>
    </w:p>
    <w:p w:rsidR="00013EC7" w:rsidRDefault="00013EC7"/>
    <w:p w:rsidR="00013EC7" w:rsidRDefault="00013EC7"/>
    <w:p w:rsidR="00013EC7" w:rsidRDefault="00013EC7">
      <w:pPr>
        <w:tabs>
          <w:tab w:val="left" w:pos="10942"/>
        </w:tabs>
        <w:jc w:val="left"/>
      </w:pPr>
    </w:p>
    <w:p w:rsidR="00013EC7" w:rsidRDefault="00013EC7">
      <w:pPr>
        <w:tabs>
          <w:tab w:val="left" w:pos="10942"/>
        </w:tabs>
        <w:jc w:val="left"/>
      </w:pPr>
    </w:p>
    <w:p w:rsidR="00013EC7" w:rsidRDefault="00013EC7">
      <w:pPr>
        <w:tabs>
          <w:tab w:val="left" w:pos="10942"/>
        </w:tabs>
        <w:jc w:val="left"/>
      </w:pPr>
    </w:p>
    <w:p w:rsidR="00013EC7" w:rsidRDefault="00013EC7">
      <w:pPr>
        <w:tabs>
          <w:tab w:val="left" w:pos="10942"/>
        </w:tabs>
        <w:jc w:val="left"/>
      </w:pPr>
    </w:p>
    <w:p w:rsidR="00013EC7" w:rsidRDefault="00013EC7">
      <w:pPr>
        <w:tabs>
          <w:tab w:val="left" w:pos="10942"/>
        </w:tabs>
        <w:jc w:val="left"/>
      </w:pPr>
    </w:p>
    <w:p w:rsidR="00013EC7" w:rsidRDefault="00013EC7">
      <w:pPr>
        <w:tabs>
          <w:tab w:val="left" w:pos="10942"/>
        </w:tabs>
        <w:jc w:val="left"/>
      </w:pPr>
    </w:p>
    <w:p w:rsidR="00013EC7" w:rsidRDefault="00013EC7">
      <w:pPr>
        <w:tabs>
          <w:tab w:val="left" w:pos="10942"/>
        </w:tabs>
        <w:jc w:val="left"/>
      </w:pPr>
    </w:p>
    <w:p w:rsidR="00013EC7" w:rsidRDefault="00013EC7">
      <w:pPr>
        <w:tabs>
          <w:tab w:val="left" w:pos="10942"/>
        </w:tabs>
        <w:jc w:val="left"/>
      </w:pPr>
    </w:p>
    <w:p w:rsidR="00013EC7" w:rsidRDefault="00013EC7">
      <w:pPr>
        <w:tabs>
          <w:tab w:val="left" w:pos="10942"/>
        </w:tabs>
        <w:jc w:val="left"/>
      </w:pPr>
    </w:p>
    <w:p w:rsidR="00013EC7" w:rsidRDefault="00013EC7">
      <w:pPr>
        <w:tabs>
          <w:tab w:val="left" w:pos="10942"/>
        </w:tabs>
        <w:jc w:val="left"/>
      </w:pPr>
    </w:p>
    <w:p w:rsidR="00013EC7" w:rsidRDefault="00013EC7">
      <w:pPr>
        <w:tabs>
          <w:tab w:val="left" w:pos="10942"/>
        </w:tabs>
        <w:jc w:val="left"/>
      </w:pPr>
    </w:p>
    <w:p w:rsidR="00013EC7" w:rsidRDefault="00013EC7">
      <w:pPr>
        <w:tabs>
          <w:tab w:val="left" w:pos="10942"/>
        </w:tabs>
        <w:jc w:val="left"/>
      </w:pPr>
    </w:p>
    <w:p w:rsidR="00013EC7" w:rsidRDefault="00013EC7">
      <w:pPr>
        <w:tabs>
          <w:tab w:val="left" w:pos="10942"/>
        </w:tabs>
        <w:jc w:val="left"/>
      </w:pPr>
    </w:p>
    <w:p w:rsidR="00013EC7" w:rsidRDefault="00013EC7">
      <w:pPr>
        <w:tabs>
          <w:tab w:val="left" w:pos="10942"/>
        </w:tabs>
        <w:jc w:val="left"/>
      </w:pPr>
    </w:p>
    <w:p w:rsidR="00013EC7" w:rsidRDefault="00013EC7">
      <w:pPr>
        <w:tabs>
          <w:tab w:val="left" w:pos="10942"/>
        </w:tabs>
        <w:jc w:val="left"/>
      </w:pPr>
    </w:p>
    <w:p w:rsidR="00013EC7" w:rsidRDefault="00013EC7">
      <w:pPr>
        <w:tabs>
          <w:tab w:val="left" w:pos="10942"/>
        </w:tabs>
        <w:jc w:val="left"/>
      </w:pPr>
    </w:p>
    <w:p w:rsidR="00013EC7" w:rsidRDefault="00013EC7">
      <w:pPr>
        <w:tabs>
          <w:tab w:val="left" w:pos="10942"/>
        </w:tabs>
        <w:jc w:val="left"/>
      </w:pPr>
    </w:p>
    <w:p w:rsidR="00013EC7" w:rsidRDefault="00013EC7">
      <w:pPr>
        <w:tabs>
          <w:tab w:val="left" w:pos="10942"/>
        </w:tabs>
        <w:jc w:val="left"/>
      </w:pPr>
    </w:p>
    <w:p w:rsidR="00013EC7" w:rsidRDefault="00013EC7">
      <w:pPr>
        <w:tabs>
          <w:tab w:val="left" w:pos="10942"/>
        </w:tabs>
        <w:jc w:val="left"/>
      </w:pPr>
    </w:p>
    <w:p w:rsidR="00013EC7" w:rsidRDefault="00013EC7">
      <w:pPr>
        <w:tabs>
          <w:tab w:val="left" w:pos="10942"/>
        </w:tabs>
        <w:jc w:val="left"/>
      </w:pPr>
    </w:p>
    <w:p w:rsidR="00013EC7" w:rsidRDefault="00013EC7">
      <w:pPr>
        <w:tabs>
          <w:tab w:val="left" w:pos="10942"/>
        </w:tabs>
        <w:jc w:val="left"/>
      </w:pPr>
    </w:p>
    <w:p w:rsidR="00013EC7" w:rsidRDefault="00013EC7">
      <w:pPr>
        <w:tabs>
          <w:tab w:val="left" w:pos="10942"/>
        </w:tabs>
        <w:jc w:val="left"/>
      </w:pPr>
    </w:p>
    <w:p w:rsidR="00013EC7" w:rsidRDefault="00013EC7">
      <w:pPr>
        <w:tabs>
          <w:tab w:val="left" w:pos="10942"/>
        </w:tabs>
        <w:jc w:val="left"/>
      </w:pPr>
    </w:p>
    <w:p w:rsidR="00013EC7" w:rsidRDefault="00013EC7">
      <w:pPr>
        <w:tabs>
          <w:tab w:val="left" w:pos="10942"/>
        </w:tabs>
        <w:jc w:val="left"/>
      </w:pPr>
    </w:p>
    <w:p w:rsidR="00013EC7" w:rsidRDefault="00013EC7">
      <w:pPr>
        <w:tabs>
          <w:tab w:val="left" w:pos="10942"/>
        </w:tabs>
        <w:jc w:val="left"/>
      </w:pPr>
    </w:p>
    <w:p w:rsidR="00013EC7" w:rsidRDefault="00013EC7">
      <w:pPr>
        <w:tabs>
          <w:tab w:val="left" w:pos="10942"/>
        </w:tabs>
        <w:jc w:val="left"/>
      </w:pPr>
    </w:p>
    <w:p w:rsidR="00013EC7" w:rsidRDefault="00013EC7">
      <w:pPr>
        <w:tabs>
          <w:tab w:val="left" w:pos="10942"/>
        </w:tabs>
        <w:jc w:val="left"/>
      </w:pPr>
    </w:p>
    <w:p w:rsidR="00013EC7" w:rsidRDefault="00013EC7">
      <w:pPr>
        <w:tabs>
          <w:tab w:val="left" w:pos="10942"/>
        </w:tabs>
        <w:jc w:val="left"/>
      </w:pPr>
    </w:p>
    <w:p w:rsidR="00013EC7" w:rsidRDefault="00013EC7">
      <w:pPr>
        <w:tabs>
          <w:tab w:val="left" w:pos="10942"/>
        </w:tabs>
        <w:jc w:val="left"/>
      </w:pPr>
    </w:p>
    <w:p w:rsidR="00013EC7" w:rsidRDefault="00013EC7">
      <w:pPr>
        <w:tabs>
          <w:tab w:val="left" w:pos="10942"/>
        </w:tabs>
        <w:jc w:val="left"/>
      </w:pPr>
    </w:p>
    <w:p w:rsidR="00013EC7" w:rsidRDefault="00013EC7">
      <w:pPr>
        <w:tabs>
          <w:tab w:val="left" w:pos="10942"/>
        </w:tabs>
        <w:jc w:val="left"/>
      </w:pPr>
    </w:p>
    <w:p w:rsidR="00013EC7" w:rsidRDefault="00013EC7">
      <w:pPr>
        <w:tabs>
          <w:tab w:val="left" w:pos="10942"/>
        </w:tabs>
        <w:jc w:val="left"/>
      </w:pPr>
    </w:p>
    <w:p w:rsidR="00013EC7" w:rsidRDefault="00013EC7">
      <w:pPr>
        <w:tabs>
          <w:tab w:val="left" w:pos="10942"/>
        </w:tabs>
        <w:jc w:val="left"/>
      </w:pPr>
    </w:p>
    <w:p w:rsidR="00013EC7" w:rsidRDefault="00013EC7">
      <w:pPr>
        <w:tabs>
          <w:tab w:val="left" w:pos="10942"/>
        </w:tabs>
        <w:jc w:val="left"/>
      </w:pPr>
    </w:p>
    <w:p w:rsidR="00013EC7" w:rsidRDefault="00013EC7">
      <w:pPr>
        <w:tabs>
          <w:tab w:val="left" w:pos="10942"/>
        </w:tabs>
        <w:jc w:val="left"/>
      </w:pPr>
    </w:p>
    <w:p w:rsidR="00013EC7" w:rsidRDefault="00575CDB">
      <w:pPr>
        <w:pStyle w:val="1"/>
      </w:pPr>
      <w:bookmarkStart w:id="134" w:name="_Toc32125"/>
      <w:bookmarkStart w:id="135" w:name="_Toc12295"/>
      <w:bookmarkStart w:id="136" w:name="_Toc22045"/>
      <w:bookmarkStart w:id="137" w:name="_Toc503467386"/>
      <w:bookmarkStart w:id="138" w:name="_Toc498705701"/>
      <w:r>
        <w:rPr>
          <w:rFonts w:hint="eastAsia"/>
        </w:rPr>
        <w:lastRenderedPageBreak/>
        <w:t>八、增值税一般纳税人选择简易办法计算缴纳增值税</w:t>
      </w:r>
      <w:bookmarkEnd w:id="134"/>
      <w:bookmarkEnd w:id="135"/>
      <w:bookmarkEnd w:id="136"/>
      <w:bookmarkEnd w:id="137"/>
    </w:p>
    <w:p w:rsidR="00013EC7" w:rsidRDefault="00575CDB">
      <w:pPr>
        <w:pStyle w:val="2"/>
      </w:pPr>
      <w:bookmarkStart w:id="139" w:name="_Toc12603"/>
      <w:bookmarkStart w:id="140" w:name="_Toc14975"/>
      <w:bookmarkStart w:id="141" w:name="_Toc503467387"/>
      <w:bookmarkStart w:id="142" w:name="_Toc15878"/>
      <w:r>
        <w:rPr>
          <w:rFonts w:hint="eastAsia"/>
        </w:rPr>
        <w:t>8.1.</w:t>
      </w:r>
      <w:r>
        <w:rPr>
          <w:rFonts w:hint="eastAsia"/>
        </w:rPr>
        <w:t>增值税一般纳税人选择简易办法计算缴纳增值税</w:t>
      </w:r>
      <w:bookmarkEnd w:id="138"/>
      <w:bookmarkEnd w:id="139"/>
      <w:bookmarkEnd w:id="140"/>
      <w:bookmarkEnd w:id="141"/>
      <w:bookmarkEnd w:id="142"/>
    </w:p>
    <w:p w:rsidR="00013EC7" w:rsidRDefault="00575CDB">
      <w:pPr>
        <w:jc w:val="center"/>
        <w:rPr>
          <w:rFonts w:ascii="宋体" w:hAnsi="宋体" w:cs="宋体"/>
          <w:b/>
          <w:bCs/>
          <w:sz w:val="52"/>
          <w:szCs w:val="52"/>
        </w:rPr>
      </w:pPr>
      <w:r>
        <w:rPr>
          <w:rFonts w:ascii="宋体" w:hAnsi="宋体" w:cs="宋体" w:hint="eastAsia"/>
          <w:b/>
          <w:bCs/>
          <w:sz w:val="52"/>
          <w:szCs w:val="52"/>
        </w:rPr>
        <w:t>全省“最多跑一次”事项“八统一”梳理表</w:t>
      </w:r>
    </w:p>
    <w:tbl>
      <w:tblPr>
        <w:tblW w:w="20700"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1246"/>
        <w:gridCol w:w="1316"/>
        <w:gridCol w:w="4243"/>
        <w:gridCol w:w="2977"/>
        <w:gridCol w:w="708"/>
        <w:gridCol w:w="2694"/>
        <w:gridCol w:w="708"/>
        <w:gridCol w:w="1985"/>
        <w:gridCol w:w="850"/>
        <w:gridCol w:w="851"/>
        <w:gridCol w:w="850"/>
        <w:gridCol w:w="1134"/>
        <w:gridCol w:w="1138"/>
      </w:tblGrid>
      <w:tr w:rsidR="00013EC7" w:rsidTr="00BF0050">
        <w:trPr>
          <w:trHeight w:val="340"/>
          <w:tblHeader/>
          <w:jc w:val="center"/>
        </w:trPr>
        <w:tc>
          <w:tcPr>
            <w:tcW w:w="1246"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主项名称</w:t>
            </w:r>
          </w:p>
        </w:tc>
        <w:tc>
          <w:tcPr>
            <w:tcW w:w="1316"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子项名称</w:t>
            </w:r>
          </w:p>
        </w:tc>
        <w:tc>
          <w:tcPr>
            <w:tcW w:w="4243"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经办依据</w:t>
            </w:r>
          </w:p>
        </w:tc>
        <w:tc>
          <w:tcPr>
            <w:tcW w:w="3685"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原经办所需材料</w:t>
            </w:r>
          </w:p>
        </w:tc>
        <w:tc>
          <w:tcPr>
            <w:tcW w:w="5387" w:type="dxa"/>
            <w:gridSpan w:val="3"/>
            <w:vAlign w:val="center"/>
          </w:tcPr>
          <w:p w:rsidR="00013EC7" w:rsidRDefault="00575CDB">
            <w:pPr>
              <w:spacing w:line="280" w:lineRule="exact"/>
              <w:jc w:val="center"/>
              <w:rPr>
                <w:rFonts w:ascii="黑体" w:eastAsia="黑体"/>
                <w:sz w:val="24"/>
              </w:rPr>
            </w:pPr>
            <w:r>
              <w:rPr>
                <w:rFonts w:ascii="黑体" w:eastAsia="黑体" w:hint="eastAsia"/>
                <w:sz w:val="24"/>
              </w:rPr>
              <w:t>梳理后经办所需材料</w:t>
            </w:r>
          </w:p>
        </w:tc>
        <w:tc>
          <w:tcPr>
            <w:tcW w:w="1701"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办理时限</w:t>
            </w:r>
          </w:p>
        </w:tc>
        <w:tc>
          <w:tcPr>
            <w:tcW w:w="850"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是否实现跑零次</w:t>
            </w:r>
          </w:p>
        </w:tc>
        <w:tc>
          <w:tcPr>
            <w:tcW w:w="1134"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省厅对口</w:t>
            </w:r>
          </w:p>
          <w:p w:rsidR="00013EC7" w:rsidRDefault="00575CDB">
            <w:pPr>
              <w:spacing w:line="280" w:lineRule="exact"/>
              <w:jc w:val="center"/>
              <w:rPr>
                <w:rFonts w:ascii="黑体" w:eastAsia="黑体"/>
                <w:sz w:val="24"/>
              </w:rPr>
            </w:pPr>
            <w:r>
              <w:rPr>
                <w:rFonts w:ascii="黑体" w:eastAsia="黑体" w:hint="eastAsia"/>
                <w:sz w:val="24"/>
              </w:rPr>
              <w:t>指导处室</w:t>
            </w:r>
          </w:p>
          <w:p w:rsidR="00013EC7" w:rsidRDefault="00575CDB">
            <w:pPr>
              <w:spacing w:line="280" w:lineRule="exact"/>
              <w:jc w:val="center"/>
              <w:rPr>
                <w:rFonts w:ascii="黑体" w:eastAsia="黑体"/>
                <w:sz w:val="24"/>
              </w:rPr>
            </w:pPr>
            <w:r>
              <w:rPr>
                <w:rFonts w:ascii="黑体" w:eastAsia="黑体" w:hint="eastAsia"/>
                <w:sz w:val="24"/>
              </w:rPr>
              <w:t>（单位）</w:t>
            </w:r>
          </w:p>
        </w:tc>
        <w:tc>
          <w:tcPr>
            <w:tcW w:w="1138"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进一步精简、规范建议</w:t>
            </w:r>
          </w:p>
        </w:tc>
      </w:tr>
      <w:tr w:rsidR="00013EC7" w:rsidTr="00BF0050">
        <w:trPr>
          <w:trHeight w:val="340"/>
          <w:tblHeader/>
          <w:jc w:val="center"/>
        </w:trPr>
        <w:tc>
          <w:tcPr>
            <w:tcW w:w="1246" w:type="dxa"/>
            <w:vMerge/>
            <w:vAlign w:val="center"/>
          </w:tcPr>
          <w:p w:rsidR="00013EC7" w:rsidRDefault="00013EC7">
            <w:pPr>
              <w:rPr>
                <w:sz w:val="24"/>
              </w:rPr>
            </w:pPr>
          </w:p>
        </w:tc>
        <w:tc>
          <w:tcPr>
            <w:tcW w:w="1316" w:type="dxa"/>
            <w:vMerge/>
          </w:tcPr>
          <w:p w:rsidR="00013EC7" w:rsidRDefault="00013EC7">
            <w:pPr>
              <w:rPr>
                <w:sz w:val="24"/>
              </w:rPr>
            </w:pPr>
          </w:p>
        </w:tc>
        <w:tc>
          <w:tcPr>
            <w:tcW w:w="4243" w:type="dxa"/>
            <w:vMerge/>
          </w:tcPr>
          <w:p w:rsidR="00013EC7" w:rsidRDefault="00013EC7">
            <w:pPr>
              <w:rPr>
                <w:sz w:val="24"/>
              </w:rPr>
            </w:pPr>
          </w:p>
        </w:tc>
        <w:tc>
          <w:tcPr>
            <w:tcW w:w="2977" w:type="dxa"/>
            <w:tcBorders>
              <w:bottom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708"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2694" w:type="dxa"/>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708"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1985" w:type="dxa"/>
            <w:vAlign w:val="center"/>
          </w:tcPr>
          <w:p w:rsidR="00013EC7" w:rsidRDefault="00575CDB">
            <w:pPr>
              <w:spacing w:line="280" w:lineRule="exact"/>
              <w:jc w:val="center"/>
              <w:rPr>
                <w:rFonts w:ascii="黑体" w:eastAsia="黑体"/>
                <w:sz w:val="24"/>
              </w:rPr>
            </w:pPr>
            <w:r>
              <w:rPr>
                <w:rFonts w:ascii="黑体" w:eastAsia="黑体" w:hint="eastAsia"/>
                <w:sz w:val="24"/>
              </w:rPr>
              <w:t>办理方式及材料</w:t>
            </w:r>
          </w:p>
          <w:p w:rsidR="00013EC7" w:rsidRDefault="00575CDB">
            <w:pPr>
              <w:spacing w:line="280" w:lineRule="exact"/>
              <w:jc w:val="center"/>
              <w:rPr>
                <w:rFonts w:ascii="黑体" w:eastAsia="黑体"/>
                <w:sz w:val="24"/>
              </w:rPr>
            </w:pPr>
            <w:r>
              <w:rPr>
                <w:rFonts w:ascii="黑体" w:eastAsia="黑体" w:hint="eastAsia"/>
                <w:sz w:val="24"/>
              </w:rPr>
              <w:t>信息获取方式说明</w:t>
            </w:r>
          </w:p>
        </w:tc>
        <w:tc>
          <w:tcPr>
            <w:tcW w:w="850" w:type="dxa"/>
            <w:vAlign w:val="center"/>
          </w:tcPr>
          <w:p w:rsidR="00013EC7" w:rsidRDefault="00575CDB">
            <w:pPr>
              <w:spacing w:line="280" w:lineRule="exact"/>
              <w:jc w:val="center"/>
              <w:rPr>
                <w:rFonts w:ascii="黑体" w:eastAsia="黑体"/>
                <w:sz w:val="24"/>
              </w:rPr>
            </w:pPr>
            <w:r>
              <w:rPr>
                <w:rFonts w:ascii="黑体" w:eastAsia="黑体" w:hint="eastAsia"/>
                <w:sz w:val="24"/>
              </w:rPr>
              <w:t>优化前</w:t>
            </w:r>
          </w:p>
        </w:tc>
        <w:tc>
          <w:tcPr>
            <w:tcW w:w="851" w:type="dxa"/>
            <w:vAlign w:val="center"/>
          </w:tcPr>
          <w:p w:rsidR="00013EC7" w:rsidRDefault="00575CDB">
            <w:pPr>
              <w:spacing w:line="280" w:lineRule="exact"/>
              <w:jc w:val="center"/>
              <w:rPr>
                <w:rFonts w:ascii="黑体" w:eastAsia="黑体"/>
                <w:sz w:val="24"/>
              </w:rPr>
            </w:pPr>
            <w:r>
              <w:rPr>
                <w:rFonts w:ascii="黑体" w:eastAsia="黑体" w:hint="eastAsia"/>
                <w:sz w:val="24"/>
              </w:rPr>
              <w:t>优化后</w:t>
            </w:r>
          </w:p>
        </w:tc>
        <w:tc>
          <w:tcPr>
            <w:tcW w:w="850" w:type="dxa"/>
            <w:vMerge/>
            <w:vAlign w:val="center"/>
          </w:tcPr>
          <w:p w:rsidR="00013EC7" w:rsidRDefault="00013EC7">
            <w:pPr>
              <w:rPr>
                <w:sz w:val="24"/>
              </w:rPr>
            </w:pPr>
          </w:p>
        </w:tc>
        <w:tc>
          <w:tcPr>
            <w:tcW w:w="1134" w:type="dxa"/>
            <w:vMerge/>
            <w:vAlign w:val="center"/>
          </w:tcPr>
          <w:p w:rsidR="00013EC7" w:rsidRDefault="00013EC7">
            <w:pPr>
              <w:rPr>
                <w:sz w:val="24"/>
              </w:rPr>
            </w:pPr>
          </w:p>
        </w:tc>
        <w:tc>
          <w:tcPr>
            <w:tcW w:w="1138" w:type="dxa"/>
            <w:vMerge/>
            <w:vAlign w:val="center"/>
          </w:tcPr>
          <w:p w:rsidR="00013EC7" w:rsidRDefault="00013EC7">
            <w:pPr>
              <w:rPr>
                <w:sz w:val="24"/>
              </w:rPr>
            </w:pPr>
          </w:p>
        </w:tc>
      </w:tr>
      <w:tr w:rsidR="00BF0050" w:rsidTr="00BF0050">
        <w:trPr>
          <w:trHeight w:val="2412"/>
          <w:jc w:val="center"/>
        </w:trPr>
        <w:tc>
          <w:tcPr>
            <w:tcW w:w="1246" w:type="dxa"/>
            <w:vMerge w:val="restart"/>
            <w:vAlign w:val="center"/>
          </w:tcPr>
          <w:p w:rsidR="00BF0050" w:rsidRDefault="00BF0050">
            <w:pPr>
              <w:spacing w:line="300" w:lineRule="exact"/>
              <w:jc w:val="left"/>
              <w:rPr>
                <w:rFonts w:ascii="仿宋" w:eastAsia="仿宋" w:hAnsi="仿宋" w:cs="仿宋"/>
                <w:sz w:val="24"/>
              </w:rPr>
            </w:pPr>
            <w:r>
              <w:rPr>
                <w:rFonts w:ascii="仿宋" w:eastAsia="仿宋" w:hAnsi="仿宋" w:cs="仿宋" w:hint="eastAsia"/>
                <w:sz w:val="24"/>
              </w:rPr>
              <w:t>8增值税一般纳税人选择简易办法计算缴纳增值税</w:t>
            </w:r>
          </w:p>
        </w:tc>
        <w:tc>
          <w:tcPr>
            <w:tcW w:w="1316" w:type="dxa"/>
            <w:vMerge w:val="restart"/>
            <w:vAlign w:val="center"/>
          </w:tcPr>
          <w:p w:rsidR="00BF0050" w:rsidRDefault="00BF0050">
            <w:pPr>
              <w:spacing w:line="310" w:lineRule="exact"/>
              <w:jc w:val="left"/>
              <w:rPr>
                <w:rFonts w:ascii="仿宋" w:eastAsia="仿宋" w:hAnsi="仿宋" w:cs="仿宋"/>
                <w:sz w:val="24"/>
              </w:rPr>
            </w:pPr>
            <w:r>
              <w:rPr>
                <w:rFonts w:ascii="仿宋" w:eastAsia="仿宋" w:hAnsi="仿宋" w:cs="仿宋" w:hint="eastAsia"/>
                <w:sz w:val="24"/>
              </w:rPr>
              <w:t>8.1.增值税一般纳税人选择简易办法计算缴纳增值税</w:t>
            </w:r>
          </w:p>
        </w:tc>
        <w:tc>
          <w:tcPr>
            <w:tcW w:w="4243" w:type="dxa"/>
            <w:vMerge w:val="restart"/>
            <w:vAlign w:val="center"/>
          </w:tcPr>
          <w:p w:rsidR="00BF0050" w:rsidRDefault="00BF0050">
            <w:pPr>
              <w:adjustRightInd w:val="0"/>
              <w:snapToGrid w:val="0"/>
              <w:spacing w:line="240" w:lineRule="atLeast"/>
              <w:rPr>
                <w:rFonts w:ascii="仿宋" w:eastAsia="仿宋" w:hAnsi="仿宋" w:cs="仿宋"/>
                <w:sz w:val="24"/>
              </w:rPr>
            </w:pPr>
            <w:r>
              <w:rPr>
                <w:rFonts w:ascii="仿宋" w:eastAsia="仿宋" w:hAnsi="仿宋" w:cs="仿宋" w:hint="eastAsia"/>
                <w:sz w:val="24"/>
              </w:rPr>
              <w:t>（一）《财政部 国家税务总局关于部分货物适用增值税低税率和简易办法征收增值税政策的通知》（财税〔2009〕9号）第二条第（三）项、第（四）项。</w:t>
            </w:r>
          </w:p>
          <w:p w:rsidR="00BF0050" w:rsidRDefault="00BF0050">
            <w:pPr>
              <w:adjustRightInd w:val="0"/>
              <w:snapToGrid w:val="0"/>
              <w:spacing w:line="240" w:lineRule="atLeast"/>
              <w:rPr>
                <w:rFonts w:ascii="仿宋" w:eastAsia="仿宋" w:hAnsi="仿宋" w:cs="仿宋"/>
                <w:sz w:val="24"/>
              </w:rPr>
            </w:pPr>
            <w:r>
              <w:rPr>
                <w:rFonts w:ascii="仿宋" w:eastAsia="仿宋" w:hAnsi="仿宋" w:cs="仿宋" w:hint="eastAsia"/>
                <w:sz w:val="24"/>
              </w:rPr>
              <w:t>（二）《国家税务总局关于供应非临床用血增值税政策问题的批复》（国税函〔2009〕456号）全文。</w:t>
            </w:r>
          </w:p>
          <w:p w:rsidR="00BF0050" w:rsidRDefault="00BF0050">
            <w:pPr>
              <w:adjustRightInd w:val="0"/>
              <w:snapToGrid w:val="0"/>
              <w:spacing w:line="240" w:lineRule="atLeast"/>
              <w:rPr>
                <w:rFonts w:ascii="仿宋" w:eastAsia="仿宋" w:hAnsi="仿宋" w:cs="仿宋"/>
                <w:sz w:val="24"/>
              </w:rPr>
            </w:pPr>
            <w:r>
              <w:rPr>
                <w:rFonts w:ascii="仿宋" w:eastAsia="仿宋" w:hAnsi="仿宋" w:cs="仿宋" w:hint="eastAsia"/>
                <w:sz w:val="24"/>
              </w:rPr>
              <w:t>（三）《国家税务总局关于药品经营企业销售生物制品有关增值税问题的公告》（国家税务总局公告2012年第20号）全文。</w:t>
            </w:r>
          </w:p>
          <w:p w:rsidR="00BF0050" w:rsidRDefault="00BF0050">
            <w:pPr>
              <w:adjustRightInd w:val="0"/>
              <w:snapToGrid w:val="0"/>
              <w:spacing w:line="240" w:lineRule="atLeast"/>
              <w:rPr>
                <w:rFonts w:ascii="仿宋" w:eastAsia="仿宋" w:hAnsi="仿宋" w:cs="仿宋"/>
                <w:sz w:val="24"/>
              </w:rPr>
            </w:pPr>
            <w:r>
              <w:rPr>
                <w:rFonts w:ascii="仿宋" w:eastAsia="仿宋" w:hAnsi="仿宋" w:cs="仿宋" w:hint="eastAsia"/>
                <w:sz w:val="24"/>
              </w:rPr>
              <w:t>（四）《财政部 国家税务总局关于简并增值税征收率政策的通知》（财税〔2014〕57号）第二条、第三条。</w:t>
            </w:r>
          </w:p>
          <w:p w:rsidR="00BF0050" w:rsidRDefault="00BF0050">
            <w:pPr>
              <w:adjustRightInd w:val="0"/>
              <w:snapToGrid w:val="0"/>
              <w:spacing w:line="240" w:lineRule="atLeast"/>
              <w:rPr>
                <w:rFonts w:ascii="仿宋" w:eastAsia="仿宋" w:hAnsi="仿宋" w:cs="仿宋"/>
                <w:sz w:val="24"/>
              </w:rPr>
            </w:pPr>
            <w:r>
              <w:rPr>
                <w:rFonts w:ascii="仿宋" w:eastAsia="仿宋" w:hAnsi="仿宋" w:cs="仿宋" w:hint="eastAsia"/>
                <w:sz w:val="24"/>
              </w:rPr>
              <w:t>（五）《财政部 海关总署 国家税务总局关于继续实施支持文化企业发展若干税收政策的通知》（财税〔2014〕85号）第一条。</w:t>
            </w:r>
          </w:p>
          <w:p w:rsidR="00BF0050" w:rsidRDefault="00BF0050" w:rsidP="00BF0050">
            <w:pPr>
              <w:adjustRightInd w:val="0"/>
              <w:snapToGrid w:val="0"/>
              <w:spacing w:line="240" w:lineRule="atLeast"/>
              <w:rPr>
                <w:rFonts w:ascii="仿宋" w:eastAsia="仿宋" w:hAnsi="仿宋" w:cs="仿宋"/>
                <w:sz w:val="24"/>
              </w:rPr>
            </w:pPr>
            <w:r>
              <w:rPr>
                <w:rFonts w:ascii="仿宋" w:eastAsia="仿宋" w:hAnsi="仿宋" w:cs="仿宋" w:hint="eastAsia"/>
                <w:sz w:val="24"/>
              </w:rPr>
              <w:t>（六）《国家税务总局关于简并增值税征收率有关问题的公告》（国家税务总</w:t>
            </w:r>
          </w:p>
        </w:tc>
        <w:tc>
          <w:tcPr>
            <w:tcW w:w="2977" w:type="dxa"/>
            <w:tcBorders>
              <w:top w:val="single" w:sz="4" w:space="0" w:color="auto"/>
              <w:bottom w:val="single" w:sz="4" w:space="0" w:color="auto"/>
            </w:tcBorders>
            <w:vAlign w:val="center"/>
          </w:tcPr>
          <w:p w:rsidR="00BF0050" w:rsidRDefault="00BF0050">
            <w:pPr>
              <w:adjustRightInd w:val="0"/>
              <w:snapToGrid w:val="0"/>
              <w:spacing w:line="240" w:lineRule="atLeast"/>
              <w:rPr>
                <w:rFonts w:ascii="仿宋" w:eastAsia="仿宋" w:hAnsi="仿宋" w:cs="仿宋"/>
                <w:sz w:val="24"/>
              </w:rPr>
            </w:pPr>
            <w:r>
              <w:rPr>
                <w:rFonts w:ascii="仿宋" w:eastAsia="仿宋" w:hAnsi="仿宋" w:cs="仿宋" w:hint="eastAsia"/>
                <w:sz w:val="24"/>
              </w:rPr>
              <w:t>（一）A04038《增值税一般纳税人选择简易办法征收备案表》2份。</w:t>
            </w:r>
          </w:p>
        </w:tc>
        <w:tc>
          <w:tcPr>
            <w:tcW w:w="708" w:type="dxa"/>
            <w:vMerge w:val="restart"/>
            <w:vAlign w:val="center"/>
          </w:tcPr>
          <w:p w:rsidR="00BF0050" w:rsidRDefault="00BF0050">
            <w:pPr>
              <w:spacing w:line="300" w:lineRule="exact"/>
              <w:jc w:val="left"/>
              <w:rPr>
                <w:rFonts w:ascii="仿宋" w:eastAsia="仿宋" w:hAnsi="仿宋" w:cs="仿宋"/>
                <w:sz w:val="24"/>
              </w:rPr>
            </w:pPr>
            <w:r>
              <w:rPr>
                <w:rFonts w:ascii="仿宋" w:eastAsia="仿宋" w:hAnsi="仿宋" w:cs="仿宋" w:hint="eastAsia"/>
                <w:sz w:val="24"/>
              </w:rPr>
              <w:t>纳税人提交</w:t>
            </w:r>
          </w:p>
        </w:tc>
        <w:tc>
          <w:tcPr>
            <w:tcW w:w="2694" w:type="dxa"/>
            <w:vAlign w:val="center"/>
          </w:tcPr>
          <w:p w:rsidR="00BF0050" w:rsidRDefault="00BF0050">
            <w:pPr>
              <w:spacing w:line="300" w:lineRule="exact"/>
              <w:jc w:val="left"/>
              <w:rPr>
                <w:rFonts w:ascii="仿宋" w:eastAsia="仿宋" w:hAnsi="仿宋" w:cs="仿宋"/>
                <w:sz w:val="24"/>
              </w:rPr>
            </w:pPr>
            <w:r>
              <w:rPr>
                <w:rFonts w:ascii="仿宋" w:eastAsia="仿宋" w:hAnsi="仿宋" w:cs="仿宋" w:hint="eastAsia"/>
                <w:sz w:val="24"/>
              </w:rPr>
              <w:t>（一）（A04038）《增值税一般纳税人选择简易办法征收备案表》2份。</w:t>
            </w:r>
          </w:p>
        </w:tc>
        <w:tc>
          <w:tcPr>
            <w:tcW w:w="708" w:type="dxa"/>
            <w:vMerge w:val="restart"/>
            <w:shd w:val="clear" w:color="auto" w:fill="auto"/>
            <w:vAlign w:val="center"/>
          </w:tcPr>
          <w:p w:rsidR="00BF0050" w:rsidRDefault="00BF0050">
            <w:pPr>
              <w:spacing w:line="300" w:lineRule="exact"/>
              <w:jc w:val="left"/>
              <w:rPr>
                <w:rFonts w:ascii="仿宋" w:eastAsia="仿宋" w:hAnsi="仿宋" w:cs="仿宋"/>
                <w:bCs/>
                <w:iCs/>
                <w:sz w:val="24"/>
              </w:rPr>
            </w:pPr>
            <w:r>
              <w:rPr>
                <w:rFonts w:ascii="仿宋" w:eastAsia="仿宋" w:hAnsi="仿宋" w:cs="仿宋" w:hint="eastAsia"/>
                <w:bCs/>
                <w:iCs/>
                <w:sz w:val="24"/>
              </w:rPr>
              <w:t>纳税人提交</w:t>
            </w:r>
          </w:p>
        </w:tc>
        <w:tc>
          <w:tcPr>
            <w:tcW w:w="1985" w:type="dxa"/>
            <w:vMerge w:val="restart"/>
            <w:vAlign w:val="center"/>
          </w:tcPr>
          <w:p w:rsidR="00BF0050" w:rsidRDefault="00BF0050">
            <w:pPr>
              <w:spacing w:line="300" w:lineRule="exact"/>
              <w:jc w:val="lef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纳税人提交书面材料。</w:t>
            </w:r>
          </w:p>
          <w:p w:rsidR="00BF0050" w:rsidRDefault="00BF0050">
            <w:pPr>
              <w:spacing w:line="300" w:lineRule="exact"/>
              <w:jc w:val="left"/>
              <w:rPr>
                <w:rFonts w:ascii="仿宋" w:eastAsia="仿宋" w:hAnsi="仿宋" w:cs="仿宋"/>
                <w:sz w:val="24"/>
              </w:rPr>
            </w:pPr>
            <w:r>
              <w:rPr>
                <w:rFonts w:ascii="仿宋" w:eastAsia="仿宋" w:hAnsi="仿宋" w:cs="仿宋" w:hint="eastAsia"/>
                <w:b/>
                <w:sz w:val="24"/>
              </w:rPr>
              <w:t>网上办理：</w:t>
            </w:r>
            <w:r>
              <w:rPr>
                <w:rFonts w:ascii="仿宋" w:eastAsia="仿宋" w:hAnsi="仿宋" w:cs="仿宋" w:hint="eastAsia"/>
                <w:sz w:val="24"/>
              </w:rPr>
              <w:t>登录浙江国税电子税务局（网址：http://etax.zjtax.gov.cn/</w:t>
            </w:r>
          </w:p>
          <w:p w:rsidR="00BF0050" w:rsidRDefault="00BF0050">
            <w:pPr>
              <w:spacing w:line="300" w:lineRule="exact"/>
              <w:jc w:val="left"/>
              <w:rPr>
                <w:rFonts w:ascii="仿宋" w:eastAsia="仿宋" w:hAnsi="仿宋" w:cs="仿宋"/>
                <w:sz w:val="24"/>
              </w:rPr>
            </w:pPr>
            <w:r>
              <w:rPr>
                <w:rFonts w:ascii="仿宋" w:eastAsia="仿宋" w:hAnsi="仿宋" w:cs="仿宋" w:hint="eastAsia"/>
                <w:sz w:val="24"/>
              </w:rPr>
              <w:t>）提交申请。</w:t>
            </w:r>
          </w:p>
          <w:p w:rsidR="00BF0050" w:rsidRDefault="00BF0050">
            <w:pPr>
              <w:spacing w:line="300" w:lineRule="exact"/>
              <w:jc w:val="left"/>
              <w:rPr>
                <w:rFonts w:ascii="仿宋" w:eastAsia="仿宋" w:hAnsi="仿宋" w:cs="仿宋"/>
                <w:sz w:val="24"/>
              </w:rPr>
            </w:pPr>
            <w:r>
              <w:rPr>
                <w:rFonts w:ascii="仿宋" w:eastAsia="仿宋" w:hAnsi="仿宋" w:cs="仿宋" w:hint="eastAsia"/>
                <w:b/>
                <w:sz w:val="24"/>
              </w:rPr>
              <w:t>APP办理：</w:t>
            </w:r>
            <w:r>
              <w:rPr>
                <w:rFonts w:ascii="仿宋" w:eastAsia="仿宋" w:hAnsi="仿宋" w:cs="仿宋" w:hint="eastAsia"/>
                <w:sz w:val="24"/>
              </w:rPr>
              <w:t>登录浙江国税APP提交申请。</w:t>
            </w:r>
          </w:p>
        </w:tc>
        <w:tc>
          <w:tcPr>
            <w:tcW w:w="850" w:type="dxa"/>
            <w:vMerge w:val="restart"/>
            <w:vAlign w:val="center"/>
          </w:tcPr>
          <w:p w:rsidR="00BF0050" w:rsidRDefault="00BF0050">
            <w:pPr>
              <w:jc w:val="left"/>
              <w:rPr>
                <w:rFonts w:ascii="仿宋" w:eastAsia="仿宋" w:hAnsi="仿宋" w:cs="仿宋"/>
                <w:sz w:val="24"/>
              </w:rPr>
            </w:pPr>
            <w:r>
              <w:rPr>
                <w:rFonts w:ascii="仿宋" w:eastAsia="仿宋" w:hAnsi="仿宋" w:cs="仿宋" w:hint="eastAsia"/>
                <w:sz w:val="24"/>
              </w:rPr>
              <w:t>即时办结</w:t>
            </w:r>
          </w:p>
        </w:tc>
        <w:tc>
          <w:tcPr>
            <w:tcW w:w="851" w:type="dxa"/>
            <w:vMerge w:val="restart"/>
            <w:vAlign w:val="center"/>
          </w:tcPr>
          <w:p w:rsidR="00BF0050" w:rsidRDefault="00BF0050">
            <w:pPr>
              <w:jc w:val="left"/>
              <w:rPr>
                <w:rFonts w:ascii="仿宋" w:eastAsia="仿宋" w:hAnsi="仿宋" w:cs="仿宋"/>
                <w:sz w:val="24"/>
              </w:rPr>
            </w:pPr>
            <w:r>
              <w:rPr>
                <w:rFonts w:ascii="仿宋" w:eastAsia="仿宋" w:hAnsi="仿宋" w:cs="仿宋" w:hint="eastAsia"/>
                <w:sz w:val="24"/>
              </w:rPr>
              <w:t>即时办结</w:t>
            </w:r>
          </w:p>
        </w:tc>
        <w:tc>
          <w:tcPr>
            <w:tcW w:w="850" w:type="dxa"/>
            <w:vMerge w:val="restart"/>
            <w:vAlign w:val="center"/>
          </w:tcPr>
          <w:p w:rsidR="00BF0050" w:rsidRDefault="00BF0050">
            <w:pPr>
              <w:jc w:val="left"/>
              <w:rPr>
                <w:rFonts w:ascii="仿宋" w:eastAsia="仿宋" w:hAnsi="仿宋" w:cs="仿宋"/>
                <w:sz w:val="24"/>
              </w:rPr>
            </w:pPr>
            <w:r>
              <w:rPr>
                <w:rFonts w:ascii="仿宋" w:eastAsia="仿宋" w:hAnsi="仿宋" w:cs="仿宋" w:hint="eastAsia"/>
                <w:sz w:val="24"/>
              </w:rPr>
              <w:t>是</w:t>
            </w:r>
          </w:p>
        </w:tc>
        <w:tc>
          <w:tcPr>
            <w:tcW w:w="1134" w:type="dxa"/>
            <w:vMerge w:val="restart"/>
            <w:vAlign w:val="center"/>
          </w:tcPr>
          <w:p w:rsidR="00BF0050" w:rsidRDefault="00BF0050">
            <w:pPr>
              <w:jc w:val="left"/>
              <w:rPr>
                <w:rFonts w:ascii="仿宋" w:eastAsia="仿宋" w:hAnsi="仿宋" w:cs="仿宋"/>
                <w:sz w:val="24"/>
              </w:rPr>
            </w:pPr>
            <w:r>
              <w:rPr>
                <w:rFonts w:ascii="仿宋" w:eastAsia="仿宋" w:hAnsi="仿宋" w:cs="仿宋" w:hint="eastAsia"/>
                <w:sz w:val="24"/>
              </w:rPr>
              <w:t>货物和劳务税处</w:t>
            </w:r>
          </w:p>
        </w:tc>
        <w:tc>
          <w:tcPr>
            <w:tcW w:w="1138" w:type="dxa"/>
            <w:vMerge w:val="restart"/>
            <w:vAlign w:val="center"/>
          </w:tcPr>
          <w:p w:rsidR="00BF0050" w:rsidRDefault="00BF0050">
            <w:pPr>
              <w:spacing w:line="300" w:lineRule="exact"/>
              <w:jc w:val="left"/>
              <w:rPr>
                <w:rFonts w:ascii="仿宋" w:eastAsia="仿宋" w:hAnsi="仿宋" w:cs="仿宋"/>
                <w:sz w:val="24"/>
              </w:rPr>
            </w:pPr>
          </w:p>
        </w:tc>
      </w:tr>
      <w:tr w:rsidR="00BF0050" w:rsidTr="00BF0050">
        <w:trPr>
          <w:trHeight w:val="3984"/>
          <w:jc w:val="center"/>
        </w:trPr>
        <w:tc>
          <w:tcPr>
            <w:tcW w:w="1246" w:type="dxa"/>
            <w:vMerge/>
            <w:textDirection w:val="tbRlV"/>
            <w:vAlign w:val="center"/>
          </w:tcPr>
          <w:p w:rsidR="00BF0050" w:rsidRDefault="00BF0050">
            <w:pPr>
              <w:rPr>
                <w:rFonts w:ascii="仿宋" w:eastAsia="仿宋" w:hAnsi="仿宋" w:cs="仿宋"/>
                <w:sz w:val="24"/>
              </w:rPr>
            </w:pPr>
          </w:p>
        </w:tc>
        <w:tc>
          <w:tcPr>
            <w:tcW w:w="1316" w:type="dxa"/>
            <w:vMerge/>
            <w:vAlign w:val="center"/>
          </w:tcPr>
          <w:p w:rsidR="00BF0050" w:rsidRDefault="00BF0050">
            <w:pPr>
              <w:rPr>
                <w:rFonts w:ascii="仿宋" w:eastAsia="仿宋" w:hAnsi="仿宋" w:cs="仿宋"/>
                <w:sz w:val="24"/>
              </w:rPr>
            </w:pPr>
          </w:p>
        </w:tc>
        <w:tc>
          <w:tcPr>
            <w:tcW w:w="4243" w:type="dxa"/>
            <w:vMerge/>
            <w:vAlign w:val="center"/>
          </w:tcPr>
          <w:p w:rsidR="00BF0050" w:rsidRDefault="00BF0050">
            <w:pPr>
              <w:adjustRightInd w:val="0"/>
              <w:snapToGrid w:val="0"/>
              <w:spacing w:line="240" w:lineRule="atLeast"/>
              <w:rPr>
                <w:rFonts w:ascii="仿宋" w:eastAsia="仿宋" w:hAnsi="仿宋" w:cs="仿宋"/>
                <w:sz w:val="24"/>
              </w:rPr>
            </w:pPr>
          </w:p>
        </w:tc>
        <w:tc>
          <w:tcPr>
            <w:tcW w:w="2977" w:type="dxa"/>
            <w:tcBorders>
              <w:top w:val="single" w:sz="4" w:space="0" w:color="auto"/>
            </w:tcBorders>
            <w:vAlign w:val="center"/>
          </w:tcPr>
          <w:p w:rsidR="00BF0050" w:rsidRDefault="00BF0050">
            <w:pPr>
              <w:adjustRightInd w:val="0"/>
              <w:snapToGrid w:val="0"/>
              <w:spacing w:line="240" w:lineRule="atLeast"/>
              <w:rPr>
                <w:rFonts w:ascii="仿宋" w:eastAsia="仿宋" w:hAnsi="仿宋" w:cs="仿宋"/>
                <w:sz w:val="24"/>
              </w:rPr>
            </w:pPr>
            <w:r>
              <w:rPr>
                <w:rFonts w:ascii="仿宋" w:eastAsia="仿宋" w:hAnsi="仿宋" w:cs="仿宋" w:hint="eastAsia"/>
                <w:sz w:val="24"/>
              </w:rPr>
              <w:t>（二）选择简易征收的产品、服务符合条件的证明材料，或者企业符合条件的证明材料。</w:t>
            </w:r>
          </w:p>
        </w:tc>
        <w:tc>
          <w:tcPr>
            <w:tcW w:w="708" w:type="dxa"/>
            <w:vMerge/>
            <w:vAlign w:val="center"/>
          </w:tcPr>
          <w:p w:rsidR="00BF0050" w:rsidRDefault="00BF0050">
            <w:pPr>
              <w:jc w:val="left"/>
              <w:rPr>
                <w:rFonts w:ascii="仿宋" w:eastAsia="仿宋" w:hAnsi="仿宋" w:cs="仿宋"/>
                <w:sz w:val="24"/>
              </w:rPr>
            </w:pPr>
          </w:p>
        </w:tc>
        <w:tc>
          <w:tcPr>
            <w:tcW w:w="2694" w:type="dxa"/>
            <w:vAlign w:val="center"/>
          </w:tcPr>
          <w:p w:rsidR="00BF0050" w:rsidRDefault="00BF0050">
            <w:pPr>
              <w:jc w:val="left"/>
              <w:rPr>
                <w:rFonts w:ascii="仿宋" w:eastAsia="仿宋" w:hAnsi="仿宋" w:cs="仿宋"/>
                <w:sz w:val="24"/>
              </w:rPr>
            </w:pPr>
            <w:r>
              <w:rPr>
                <w:rFonts w:ascii="仿宋" w:eastAsia="仿宋" w:hAnsi="仿宋" w:cs="仿宋" w:hint="eastAsia"/>
                <w:sz w:val="24"/>
              </w:rPr>
              <w:t>（二）选择简易征收的产品、服务符合条件的证明材料，或者企业符合条件的证明材料。</w:t>
            </w:r>
          </w:p>
        </w:tc>
        <w:tc>
          <w:tcPr>
            <w:tcW w:w="708" w:type="dxa"/>
            <w:vMerge/>
            <w:shd w:val="clear" w:color="auto" w:fill="auto"/>
            <w:vAlign w:val="center"/>
          </w:tcPr>
          <w:p w:rsidR="00BF0050" w:rsidRDefault="00BF0050">
            <w:pPr>
              <w:spacing w:line="300" w:lineRule="exact"/>
              <w:jc w:val="center"/>
              <w:rPr>
                <w:rFonts w:ascii="仿宋" w:eastAsia="仿宋" w:hAnsi="仿宋" w:cs="仿宋"/>
                <w:sz w:val="24"/>
              </w:rPr>
            </w:pPr>
          </w:p>
        </w:tc>
        <w:tc>
          <w:tcPr>
            <w:tcW w:w="1985" w:type="dxa"/>
            <w:vMerge/>
            <w:vAlign w:val="center"/>
          </w:tcPr>
          <w:p w:rsidR="00BF0050" w:rsidRDefault="00BF0050">
            <w:pPr>
              <w:spacing w:line="300" w:lineRule="exact"/>
              <w:rPr>
                <w:rFonts w:ascii="仿宋" w:eastAsia="仿宋" w:hAnsi="仿宋" w:cs="仿宋"/>
                <w:sz w:val="24"/>
              </w:rPr>
            </w:pPr>
          </w:p>
        </w:tc>
        <w:tc>
          <w:tcPr>
            <w:tcW w:w="850" w:type="dxa"/>
            <w:vMerge/>
            <w:vAlign w:val="center"/>
          </w:tcPr>
          <w:p w:rsidR="00BF0050" w:rsidRDefault="00BF0050">
            <w:pPr>
              <w:rPr>
                <w:rFonts w:ascii="仿宋" w:eastAsia="仿宋" w:hAnsi="仿宋" w:cs="仿宋"/>
                <w:sz w:val="24"/>
              </w:rPr>
            </w:pPr>
          </w:p>
        </w:tc>
        <w:tc>
          <w:tcPr>
            <w:tcW w:w="851" w:type="dxa"/>
            <w:vMerge/>
            <w:vAlign w:val="center"/>
          </w:tcPr>
          <w:p w:rsidR="00BF0050" w:rsidRDefault="00BF0050">
            <w:pPr>
              <w:rPr>
                <w:rFonts w:ascii="仿宋" w:eastAsia="仿宋" w:hAnsi="仿宋" w:cs="仿宋"/>
                <w:sz w:val="24"/>
              </w:rPr>
            </w:pPr>
          </w:p>
        </w:tc>
        <w:tc>
          <w:tcPr>
            <w:tcW w:w="850" w:type="dxa"/>
            <w:vMerge/>
            <w:vAlign w:val="center"/>
          </w:tcPr>
          <w:p w:rsidR="00BF0050" w:rsidRDefault="00BF0050">
            <w:pPr>
              <w:rPr>
                <w:rFonts w:ascii="仿宋" w:eastAsia="仿宋" w:hAnsi="仿宋" w:cs="仿宋"/>
                <w:sz w:val="24"/>
              </w:rPr>
            </w:pPr>
          </w:p>
        </w:tc>
        <w:tc>
          <w:tcPr>
            <w:tcW w:w="1134" w:type="dxa"/>
            <w:vMerge/>
            <w:vAlign w:val="center"/>
          </w:tcPr>
          <w:p w:rsidR="00BF0050" w:rsidRDefault="00BF0050">
            <w:pPr>
              <w:rPr>
                <w:rFonts w:ascii="仿宋" w:eastAsia="仿宋" w:hAnsi="仿宋" w:cs="仿宋"/>
                <w:sz w:val="24"/>
              </w:rPr>
            </w:pPr>
          </w:p>
        </w:tc>
        <w:tc>
          <w:tcPr>
            <w:tcW w:w="1138" w:type="dxa"/>
            <w:vMerge/>
            <w:vAlign w:val="center"/>
          </w:tcPr>
          <w:p w:rsidR="00BF0050" w:rsidRDefault="00BF0050">
            <w:pPr>
              <w:rPr>
                <w:rFonts w:ascii="仿宋" w:eastAsia="仿宋" w:hAnsi="仿宋" w:cs="仿宋"/>
                <w:sz w:val="24"/>
              </w:rPr>
            </w:pPr>
          </w:p>
        </w:tc>
      </w:tr>
      <w:tr w:rsidR="00BF0050" w:rsidTr="00BF0050">
        <w:trPr>
          <w:trHeight w:val="3984"/>
          <w:jc w:val="center"/>
        </w:trPr>
        <w:tc>
          <w:tcPr>
            <w:tcW w:w="1246" w:type="dxa"/>
            <w:textDirection w:val="tbRlV"/>
            <w:vAlign w:val="center"/>
          </w:tcPr>
          <w:p w:rsidR="00BF0050" w:rsidRDefault="00BF0050">
            <w:pPr>
              <w:rPr>
                <w:rFonts w:ascii="仿宋" w:eastAsia="仿宋" w:hAnsi="仿宋" w:cs="仿宋"/>
                <w:sz w:val="24"/>
              </w:rPr>
            </w:pPr>
          </w:p>
          <w:p w:rsidR="00BF0050" w:rsidRDefault="00BF0050">
            <w:pPr>
              <w:rPr>
                <w:rFonts w:ascii="仿宋" w:eastAsia="仿宋" w:hAnsi="仿宋" w:cs="仿宋"/>
                <w:sz w:val="24"/>
              </w:rPr>
            </w:pPr>
          </w:p>
          <w:p w:rsidR="00BF0050" w:rsidRDefault="00BF0050">
            <w:pPr>
              <w:rPr>
                <w:rFonts w:ascii="仿宋" w:eastAsia="仿宋" w:hAnsi="仿宋" w:cs="仿宋"/>
                <w:sz w:val="24"/>
              </w:rPr>
            </w:pPr>
          </w:p>
        </w:tc>
        <w:tc>
          <w:tcPr>
            <w:tcW w:w="1316" w:type="dxa"/>
            <w:vAlign w:val="center"/>
          </w:tcPr>
          <w:p w:rsidR="00BF0050" w:rsidRDefault="00BF0050">
            <w:pPr>
              <w:rPr>
                <w:rFonts w:ascii="仿宋" w:eastAsia="仿宋" w:hAnsi="仿宋" w:cs="仿宋"/>
                <w:sz w:val="24"/>
              </w:rPr>
            </w:pPr>
          </w:p>
        </w:tc>
        <w:tc>
          <w:tcPr>
            <w:tcW w:w="4243" w:type="dxa"/>
            <w:vAlign w:val="center"/>
          </w:tcPr>
          <w:p w:rsidR="00BF0050" w:rsidRDefault="00BF0050" w:rsidP="00BF0050">
            <w:pPr>
              <w:adjustRightInd w:val="0"/>
              <w:snapToGrid w:val="0"/>
              <w:spacing w:line="240" w:lineRule="atLeast"/>
              <w:rPr>
                <w:rFonts w:ascii="仿宋" w:eastAsia="仿宋" w:hAnsi="仿宋" w:cs="仿宋"/>
                <w:sz w:val="24"/>
              </w:rPr>
            </w:pPr>
            <w:r>
              <w:rPr>
                <w:rFonts w:ascii="仿宋" w:eastAsia="仿宋" w:hAnsi="仿宋" w:cs="仿宋" w:hint="eastAsia"/>
                <w:sz w:val="24"/>
              </w:rPr>
              <w:t>局公告2014年第36号）第二条、第四条。</w:t>
            </w:r>
          </w:p>
          <w:p w:rsidR="00BF0050" w:rsidRDefault="00BF0050" w:rsidP="00BF0050">
            <w:pPr>
              <w:adjustRightInd w:val="0"/>
              <w:snapToGrid w:val="0"/>
              <w:spacing w:line="240" w:lineRule="atLeast"/>
              <w:rPr>
                <w:rFonts w:ascii="仿宋" w:eastAsia="仿宋" w:hAnsi="仿宋" w:cs="仿宋"/>
                <w:sz w:val="24"/>
              </w:rPr>
            </w:pPr>
            <w:r>
              <w:rPr>
                <w:rFonts w:ascii="仿宋" w:eastAsia="仿宋" w:hAnsi="仿宋" w:cs="仿宋" w:hint="eastAsia"/>
                <w:sz w:val="24"/>
              </w:rPr>
              <w:t>（七）《财政部 国家税务总局关于对化肥恢复征收增值税政策的补充通知》（财税〔2015〕97号）第一条、第三条、第四条、第五条。</w:t>
            </w:r>
          </w:p>
          <w:p w:rsidR="00BF0050" w:rsidRDefault="00BF0050" w:rsidP="00BF0050">
            <w:pPr>
              <w:adjustRightInd w:val="0"/>
              <w:snapToGrid w:val="0"/>
              <w:spacing w:line="240" w:lineRule="atLeast"/>
              <w:rPr>
                <w:rFonts w:ascii="仿宋" w:eastAsia="仿宋" w:hAnsi="仿宋" w:cs="仿宋"/>
                <w:sz w:val="24"/>
              </w:rPr>
            </w:pPr>
            <w:r>
              <w:rPr>
                <w:rFonts w:ascii="仿宋" w:eastAsia="仿宋" w:hAnsi="仿宋" w:cs="仿宋" w:hint="eastAsia"/>
                <w:sz w:val="24"/>
              </w:rPr>
              <w:t>（八）《营业税改征增值税试点实施办法》（财税〔2016〕36号）附件1）第十八条、第十九条，附件2第一条。</w:t>
            </w:r>
          </w:p>
          <w:p w:rsidR="00BF0050" w:rsidRDefault="00BF0050" w:rsidP="00BF0050">
            <w:pPr>
              <w:adjustRightInd w:val="0"/>
              <w:snapToGrid w:val="0"/>
              <w:spacing w:line="240" w:lineRule="atLeast"/>
              <w:rPr>
                <w:rFonts w:ascii="仿宋" w:eastAsia="仿宋" w:hAnsi="仿宋" w:cs="仿宋"/>
                <w:sz w:val="24"/>
              </w:rPr>
            </w:pPr>
            <w:r>
              <w:rPr>
                <w:rFonts w:ascii="仿宋" w:eastAsia="仿宋" w:hAnsi="仿宋" w:cs="仿宋" w:hint="eastAsia"/>
                <w:sz w:val="24"/>
              </w:rPr>
              <w:t>（九）《财政部 国家税务总局关于进一步明确全面推开营改增试点金融业有关政策的通知》（财税〔2016〕46号）全文。</w:t>
            </w:r>
          </w:p>
          <w:p w:rsidR="00BF0050" w:rsidRDefault="00BF0050" w:rsidP="00BF0050">
            <w:pPr>
              <w:adjustRightInd w:val="0"/>
              <w:snapToGrid w:val="0"/>
              <w:spacing w:line="240" w:lineRule="atLeast"/>
              <w:rPr>
                <w:rFonts w:ascii="仿宋" w:eastAsia="仿宋" w:hAnsi="仿宋" w:cs="仿宋"/>
                <w:sz w:val="24"/>
              </w:rPr>
            </w:pPr>
            <w:r>
              <w:rPr>
                <w:rFonts w:ascii="仿宋" w:eastAsia="仿宋" w:hAnsi="仿宋" w:cs="仿宋" w:hint="eastAsia"/>
                <w:sz w:val="24"/>
              </w:rPr>
              <w:t>（十）《财政部 国家税务总局关于进一步明确全面推开营改增试点有关劳务派遣服务、收费公路通行费抵扣等政策的通知》（财税〔2016〕47号）全文。</w:t>
            </w:r>
          </w:p>
          <w:p w:rsidR="00BF0050" w:rsidRDefault="00BF0050" w:rsidP="00BF0050">
            <w:pPr>
              <w:adjustRightInd w:val="0"/>
              <w:snapToGrid w:val="0"/>
              <w:spacing w:line="240" w:lineRule="atLeast"/>
              <w:rPr>
                <w:rFonts w:ascii="仿宋" w:eastAsia="仿宋" w:hAnsi="仿宋" w:cs="仿宋"/>
                <w:sz w:val="24"/>
              </w:rPr>
            </w:pPr>
            <w:r>
              <w:rPr>
                <w:rFonts w:ascii="仿宋" w:eastAsia="仿宋" w:hAnsi="仿宋" w:cs="仿宋" w:hint="eastAsia"/>
                <w:sz w:val="24"/>
              </w:rPr>
              <w:t>（十一）《国家税务总局关于发布〈纳税人转让不动产增值税征收管理暂行办法〉的公告》（国家税务总局公告2016年14号）第三条第一款第二款。</w:t>
            </w:r>
          </w:p>
          <w:p w:rsidR="00BF0050" w:rsidRDefault="00BF0050" w:rsidP="00BF0050">
            <w:pPr>
              <w:adjustRightInd w:val="0"/>
              <w:snapToGrid w:val="0"/>
              <w:spacing w:line="240" w:lineRule="atLeast"/>
              <w:rPr>
                <w:rFonts w:ascii="仿宋" w:eastAsia="仿宋" w:hAnsi="仿宋" w:cs="仿宋"/>
                <w:sz w:val="24"/>
              </w:rPr>
            </w:pPr>
            <w:r>
              <w:rPr>
                <w:rFonts w:ascii="仿宋" w:eastAsia="仿宋" w:hAnsi="仿宋" w:cs="仿宋" w:hint="eastAsia"/>
                <w:sz w:val="24"/>
              </w:rPr>
              <w:t>（十二）《国家税务总局关于发布〈纳税人提供不动产经营租赁服务增值税征收管理暂行办法〉的公告》（国家税务总局公告2016年第16号）第三条第一款第一项。</w:t>
            </w:r>
          </w:p>
          <w:p w:rsidR="00BF0050" w:rsidRDefault="00BF0050" w:rsidP="00BF0050">
            <w:pPr>
              <w:adjustRightInd w:val="0"/>
              <w:snapToGrid w:val="0"/>
              <w:spacing w:line="240" w:lineRule="atLeast"/>
              <w:rPr>
                <w:rFonts w:ascii="仿宋" w:eastAsia="仿宋" w:hAnsi="仿宋" w:cs="仿宋"/>
                <w:sz w:val="24"/>
              </w:rPr>
            </w:pPr>
            <w:r>
              <w:rPr>
                <w:rFonts w:ascii="仿宋" w:eastAsia="仿宋" w:hAnsi="仿宋" w:cs="仿宋" w:hint="eastAsia"/>
                <w:sz w:val="24"/>
              </w:rPr>
              <w:t>（十三）《国家税务总局关于发布〈纳税人跨县（市、区）提供建筑服务增值税征收管理暂行办法〉的公告》（国家税务总局公告2016年17号）第三条。</w:t>
            </w:r>
          </w:p>
          <w:p w:rsidR="00BF0050" w:rsidRDefault="00BF0050" w:rsidP="00BF0050">
            <w:pPr>
              <w:adjustRightInd w:val="0"/>
              <w:snapToGrid w:val="0"/>
              <w:spacing w:line="240" w:lineRule="atLeast"/>
              <w:rPr>
                <w:rFonts w:ascii="仿宋" w:eastAsia="仿宋" w:hAnsi="仿宋" w:cs="仿宋"/>
                <w:sz w:val="24"/>
              </w:rPr>
            </w:pPr>
            <w:r>
              <w:rPr>
                <w:rFonts w:ascii="仿宋" w:eastAsia="仿宋" w:hAnsi="仿宋" w:cs="仿宋" w:hint="eastAsia"/>
                <w:sz w:val="24"/>
              </w:rPr>
              <w:t>（十四）《国家税务总局关于发布〈房地产开发企业销售自行开发的房地产项目增值税征收管理暂行办法〉的公告》（国家税务总局公告2016年18号）第八条。</w:t>
            </w:r>
          </w:p>
          <w:p w:rsidR="00BF0050" w:rsidRDefault="00BF0050" w:rsidP="00BF0050">
            <w:pPr>
              <w:adjustRightInd w:val="0"/>
              <w:snapToGrid w:val="0"/>
              <w:spacing w:line="240" w:lineRule="atLeast"/>
              <w:rPr>
                <w:rFonts w:ascii="仿宋" w:eastAsia="仿宋" w:hAnsi="仿宋" w:cs="仿宋"/>
                <w:sz w:val="24"/>
              </w:rPr>
            </w:pPr>
            <w:r>
              <w:rPr>
                <w:rFonts w:ascii="仿宋" w:eastAsia="仿宋" w:hAnsi="仿宋" w:cs="仿宋" w:hint="eastAsia"/>
                <w:sz w:val="24"/>
              </w:rPr>
              <w:t>（十五）《国家税务总局关于兽用药品经营企业销售兽用生物制品有关增值税问题的公告》（国家税务总局公告2016年</w:t>
            </w:r>
            <w:r>
              <w:rPr>
                <w:rFonts w:ascii="仿宋" w:eastAsia="仿宋" w:hAnsi="仿宋" w:cs="仿宋" w:hint="eastAsia"/>
                <w:sz w:val="24"/>
              </w:rPr>
              <w:lastRenderedPageBreak/>
              <w:t>第8号）全文</w:t>
            </w:r>
          </w:p>
          <w:p w:rsidR="00BF0050" w:rsidRDefault="00BF0050" w:rsidP="00BF0050">
            <w:pPr>
              <w:adjustRightInd w:val="0"/>
              <w:snapToGrid w:val="0"/>
              <w:spacing w:line="240" w:lineRule="atLeast"/>
              <w:rPr>
                <w:rFonts w:ascii="仿宋" w:eastAsia="仿宋" w:hAnsi="仿宋" w:cs="仿宋"/>
                <w:sz w:val="24"/>
              </w:rPr>
            </w:pPr>
            <w:r>
              <w:rPr>
                <w:rFonts w:ascii="仿宋" w:eastAsia="仿宋" w:hAnsi="仿宋" w:cs="仿宋" w:hint="eastAsia"/>
                <w:sz w:val="24"/>
              </w:rPr>
              <w:t>（十六）《财政部 国家税务总局关于进一步明确全面推开营改增试点有关劳务派遣服务、收费公路通行费抵扣等政策的通知》（财税〔2016〕47号）第三条。</w:t>
            </w:r>
          </w:p>
          <w:p w:rsidR="00BF0050" w:rsidRDefault="00BF0050" w:rsidP="00BF0050">
            <w:pPr>
              <w:adjustRightInd w:val="0"/>
              <w:snapToGrid w:val="0"/>
              <w:spacing w:line="240" w:lineRule="atLeast"/>
              <w:rPr>
                <w:rFonts w:ascii="仿宋" w:eastAsia="仿宋" w:hAnsi="仿宋" w:cs="仿宋"/>
                <w:sz w:val="24"/>
              </w:rPr>
            </w:pPr>
            <w:r>
              <w:rPr>
                <w:rFonts w:ascii="仿宋" w:eastAsia="仿宋" w:hAnsi="仿宋" w:cs="仿宋" w:hint="eastAsia"/>
                <w:sz w:val="24"/>
              </w:rPr>
              <w:t>（十七）》</w:t>
            </w:r>
            <w:r w:rsidRPr="00BF0050">
              <w:rPr>
                <w:rFonts w:ascii="仿宋" w:eastAsia="仿宋" w:hAnsi="仿宋" w:cs="仿宋" w:hint="eastAsia"/>
                <w:sz w:val="24"/>
              </w:rPr>
              <w:t>《关于简化建筑服务增值税简易计税方法备案事项的公告》（国家税务总局公告2016年第43号）全文。</w:t>
            </w:r>
          </w:p>
        </w:tc>
        <w:tc>
          <w:tcPr>
            <w:tcW w:w="2977" w:type="dxa"/>
            <w:tcBorders>
              <w:top w:val="single" w:sz="4" w:space="0" w:color="auto"/>
            </w:tcBorders>
            <w:vAlign w:val="center"/>
          </w:tcPr>
          <w:p w:rsidR="00BF0050" w:rsidRDefault="00BF0050">
            <w:pPr>
              <w:adjustRightInd w:val="0"/>
              <w:snapToGrid w:val="0"/>
              <w:spacing w:line="240" w:lineRule="atLeast"/>
              <w:rPr>
                <w:rFonts w:ascii="仿宋" w:eastAsia="仿宋" w:hAnsi="仿宋" w:cs="仿宋"/>
                <w:sz w:val="24"/>
              </w:rPr>
            </w:pPr>
            <w:r w:rsidRPr="002C074D">
              <w:rPr>
                <w:rFonts w:ascii="仿宋" w:eastAsia="仿宋" w:hAnsi="仿宋" w:cs="仿宋" w:hint="eastAsia"/>
                <w:sz w:val="24"/>
                <w:highlight w:val="lightGray"/>
              </w:rPr>
              <w:lastRenderedPageBreak/>
              <w:t>（三）一般纳税人选择简易办法征收备案事项说明。</w:t>
            </w:r>
          </w:p>
        </w:tc>
        <w:tc>
          <w:tcPr>
            <w:tcW w:w="708" w:type="dxa"/>
            <w:vMerge/>
            <w:vAlign w:val="center"/>
          </w:tcPr>
          <w:p w:rsidR="00BF0050" w:rsidRDefault="00BF0050">
            <w:pPr>
              <w:jc w:val="left"/>
              <w:rPr>
                <w:rFonts w:ascii="仿宋" w:eastAsia="仿宋" w:hAnsi="仿宋" w:cs="仿宋"/>
                <w:sz w:val="24"/>
              </w:rPr>
            </w:pPr>
          </w:p>
        </w:tc>
        <w:tc>
          <w:tcPr>
            <w:tcW w:w="2694" w:type="dxa"/>
            <w:vAlign w:val="center"/>
          </w:tcPr>
          <w:p w:rsidR="00BF0050" w:rsidRDefault="00BF0050">
            <w:pPr>
              <w:jc w:val="left"/>
              <w:rPr>
                <w:rFonts w:ascii="仿宋" w:eastAsia="仿宋" w:hAnsi="仿宋" w:cs="仿宋"/>
                <w:sz w:val="24"/>
              </w:rPr>
            </w:pPr>
          </w:p>
        </w:tc>
        <w:tc>
          <w:tcPr>
            <w:tcW w:w="708" w:type="dxa"/>
            <w:shd w:val="clear" w:color="auto" w:fill="auto"/>
            <w:vAlign w:val="center"/>
          </w:tcPr>
          <w:p w:rsidR="00BF0050" w:rsidRPr="00BF0050" w:rsidRDefault="00BF0050">
            <w:pPr>
              <w:spacing w:line="300" w:lineRule="exact"/>
              <w:jc w:val="center"/>
              <w:rPr>
                <w:rFonts w:ascii="仿宋" w:eastAsia="仿宋" w:hAnsi="仿宋" w:cs="仿宋"/>
                <w:b/>
                <w:i/>
                <w:sz w:val="24"/>
              </w:rPr>
            </w:pPr>
            <w:r w:rsidRPr="00BF0050">
              <w:rPr>
                <w:rFonts w:ascii="仿宋" w:eastAsia="仿宋" w:hAnsi="仿宋" w:cs="仿宋" w:hint="eastAsia"/>
                <w:b/>
                <w:i/>
                <w:sz w:val="24"/>
              </w:rPr>
              <w:t>取消</w:t>
            </w:r>
          </w:p>
        </w:tc>
        <w:tc>
          <w:tcPr>
            <w:tcW w:w="1985" w:type="dxa"/>
            <w:vAlign w:val="center"/>
          </w:tcPr>
          <w:p w:rsidR="00BF0050" w:rsidRDefault="00BF0050">
            <w:pPr>
              <w:spacing w:line="300" w:lineRule="exact"/>
              <w:rPr>
                <w:rFonts w:ascii="仿宋" w:eastAsia="仿宋" w:hAnsi="仿宋" w:cs="仿宋"/>
                <w:sz w:val="24"/>
              </w:rPr>
            </w:pPr>
          </w:p>
        </w:tc>
        <w:tc>
          <w:tcPr>
            <w:tcW w:w="850" w:type="dxa"/>
            <w:vMerge/>
            <w:vAlign w:val="center"/>
          </w:tcPr>
          <w:p w:rsidR="00BF0050" w:rsidRDefault="00BF0050">
            <w:pPr>
              <w:rPr>
                <w:rFonts w:ascii="仿宋" w:eastAsia="仿宋" w:hAnsi="仿宋" w:cs="仿宋"/>
                <w:sz w:val="24"/>
              </w:rPr>
            </w:pPr>
          </w:p>
        </w:tc>
        <w:tc>
          <w:tcPr>
            <w:tcW w:w="851" w:type="dxa"/>
            <w:vMerge/>
            <w:vAlign w:val="center"/>
          </w:tcPr>
          <w:p w:rsidR="00BF0050" w:rsidRDefault="00BF0050">
            <w:pPr>
              <w:rPr>
                <w:rFonts w:ascii="仿宋" w:eastAsia="仿宋" w:hAnsi="仿宋" w:cs="仿宋"/>
                <w:sz w:val="24"/>
              </w:rPr>
            </w:pPr>
          </w:p>
        </w:tc>
        <w:tc>
          <w:tcPr>
            <w:tcW w:w="850" w:type="dxa"/>
            <w:vMerge/>
            <w:vAlign w:val="center"/>
          </w:tcPr>
          <w:p w:rsidR="00BF0050" w:rsidRDefault="00BF0050">
            <w:pPr>
              <w:rPr>
                <w:rFonts w:ascii="仿宋" w:eastAsia="仿宋" w:hAnsi="仿宋" w:cs="仿宋"/>
                <w:sz w:val="24"/>
              </w:rPr>
            </w:pPr>
          </w:p>
        </w:tc>
        <w:tc>
          <w:tcPr>
            <w:tcW w:w="1134" w:type="dxa"/>
            <w:vMerge/>
            <w:vAlign w:val="center"/>
          </w:tcPr>
          <w:p w:rsidR="00BF0050" w:rsidRDefault="00BF0050">
            <w:pPr>
              <w:rPr>
                <w:rFonts w:ascii="仿宋" w:eastAsia="仿宋" w:hAnsi="仿宋" w:cs="仿宋"/>
                <w:sz w:val="24"/>
              </w:rPr>
            </w:pPr>
          </w:p>
        </w:tc>
        <w:tc>
          <w:tcPr>
            <w:tcW w:w="1138" w:type="dxa"/>
            <w:vAlign w:val="center"/>
          </w:tcPr>
          <w:p w:rsidR="00BF0050" w:rsidRDefault="00BF0050">
            <w:pPr>
              <w:rPr>
                <w:rFonts w:ascii="仿宋" w:eastAsia="仿宋" w:hAnsi="仿宋" w:cs="仿宋"/>
                <w:sz w:val="24"/>
              </w:rPr>
            </w:pPr>
          </w:p>
        </w:tc>
      </w:tr>
    </w:tbl>
    <w:p w:rsidR="00013EC7" w:rsidRDefault="0070369A">
      <w:pPr>
        <w:rPr>
          <w:rFonts w:eastAsia="方正书宋简体"/>
          <w:szCs w:val="21"/>
        </w:rPr>
      </w:pPr>
      <w:r>
        <w:rPr>
          <w:rFonts w:eastAsia="方正书宋简体"/>
          <w:szCs w:val="21"/>
        </w:rPr>
        <w:lastRenderedPageBreak/>
        <w:br/>
      </w:r>
      <w:r w:rsidR="005262E6">
        <w:lastRenderedPageBreak/>
        <w:object w:dxaOrig="1440" w:dyaOrig="1440">
          <v:shape id="_x0000_s1224" type="#_x0000_t75" style="position:absolute;left:0;text-align:left;margin-left:540.05pt;margin-top:95.25pt;width:489.8pt;height:659.55pt;z-index:251593728;mso-wrap-distance-left:9pt;mso-wrap-distance-top:0;mso-wrap-distance-right:9pt;mso-wrap-distance-bottom:0;mso-position-horizontal-relative:text;mso-position-vertical-relative:page;mso-width-relative:page;mso-height-relative:page">
            <v:imagedata r:id="rId106" o:title=""/>
            <o:lock v:ext="edit" aspectratio="f"/>
            <w10:wrap type="square" anchory="page"/>
          </v:shape>
          <o:OLEObject Type="Embed" ProgID="Visio.Drawing.11" ShapeID="_x0000_s1224" DrawAspect="Content" ObjectID="_1577296185" r:id="rId107"/>
        </w:object>
      </w:r>
      <w:r w:rsidR="005262E6">
        <w:object w:dxaOrig="1440" w:dyaOrig="1440">
          <v:shape id="_x0000_s1223" type="#_x0000_t75" style="position:absolute;left:0;text-align:left;margin-left:-14.2pt;margin-top:100.5pt;width:490.45pt;height:585.2pt;z-index:251592704;mso-wrap-distance-top:0;mso-wrap-distance-bottom:0;mso-position-horizontal-relative:text;mso-position-vertical-relative:page;mso-width-relative:page;mso-height-relative:page">
            <v:imagedata r:id="rId108" o:title=""/>
            <w10:wrap type="topAndBottom" anchory="page"/>
          </v:shape>
          <o:OLEObject Type="Embed" ProgID="Visio.Drawing.11" ShapeID="_x0000_s1223" DrawAspect="Content" ObjectID="_1577296186" r:id="rId109"/>
        </w:object>
      </w:r>
    </w:p>
    <w:p w:rsidR="00013EC7" w:rsidRDefault="00013EC7">
      <w:pPr>
        <w:rPr>
          <w:rFonts w:eastAsia="方正书宋简体"/>
          <w:szCs w:val="21"/>
        </w:rPr>
      </w:pPr>
    </w:p>
    <w:p w:rsidR="00013EC7" w:rsidRDefault="00013EC7">
      <w:pPr>
        <w:rPr>
          <w:rFonts w:eastAsia="方正书宋简体"/>
          <w:szCs w:val="21"/>
        </w:rPr>
      </w:pPr>
    </w:p>
    <w:p w:rsidR="00013EC7" w:rsidRDefault="00575CDB">
      <w:pPr>
        <w:pStyle w:val="1"/>
      </w:pPr>
      <w:bookmarkStart w:id="143" w:name="_Toc21069"/>
      <w:bookmarkStart w:id="144" w:name="_Toc19893"/>
      <w:bookmarkStart w:id="145" w:name="_Toc503467388"/>
      <w:bookmarkStart w:id="146" w:name="_Toc11172"/>
      <w:bookmarkStart w:id="147" w:name="_Toc498705703"/>
      <w:r>
        <w:rPr>
          <w:rFonts w:hint="eastAsia"/>
        </w:rPr>
        <w:lastRenderedPageBreak/>
        <w:t>九、汇总纳税事项办理</w:t>
      </w:r>
      <w:bookmarkEnd w:id="143"/>
      <w:bookmarkEnd w:id="144"/>
      <w:bookmarkEnd w:id="145"/>
      <w:bookmarkEnd w:id="146"/>
    </w:p>
    <w:p w:rsidR="00013EC7" w:rsidRDefault="00575CDB">
      <w:pPr>
        <w:pStyle w:val="2"/>
      </w:pPr>
      <w:bookmarkStart w:id="148" w:name="_Toc503467389"/>
      <w:bookmarkStart w:id="149" w:name="_Toc7051"/>
      <w:bookmarkStart w:id="150" w:name="_Toc8677"/>
      <w:bookmarkStart w:id="151" w:name="_Toc850"/>
      <w:r>
        <w:rPr>
          <w:rFonts w:hint="eastAsia"/>
        </w:rPr>
        <w:t>9.1</w:t>
      </w:r>
      <w:r>
        <w:rPr>
          <w:rFonts w:hint="eastAsia"/>
        </w:rPr>
        <w:t>汇总缴纳增值税、消费税事项办理</w:t>
      </w:r>
      <w:bookmarkEnd w:id="147"/>
      <w:bookmarkEnd w:id="148"/>
      <w:bookmarkEnd w:id="149"/>
      <w:bookmarkEnd w:id="150"/>
      <w:bookmarkEnd w:id="151"/>
    </w:p>
    <w:p w:rsidR="00013EC7" w:rsidRDefault="00575CDB">
      <w:pPr>
        <w:jc w:val="center"/>
        <w:rPr>
          <w:rFonts w:ascii="宋体" w:hAnsi="宋体" w:cs="宋体"/>
          <w:b/>
          <w:bCs/>
          <w:sz w:val="44"/>
          <w:szCs w:val="44"/>
        </w:rPr>
      </w:pPr>
      <w:r>
        <w:rPr>
          <w:rFonts w:ascii="宋体" w:hAnsi="宋体" w:cs="宋体" w:hint="eastAsia"/>
          <w:b/>
          <w:bCs/>
          <w:sz w:val="52"/>
          <w:szCs w:val="52"/>
        </w:rPr>
        <w:t>全省“最多跑一次”事项“八统一”梳理表</w:t>
      </w:r>
    </w:p>
    <w:tbl>
      <w:tblPr>
        <w:tblW w:w="20704"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1250"/>
        <w:gridCol w:w="1185"/>
        <w:gridCol w:w="6321"/>
        <w:gridCol w:w="943"/>
        <w:gridCol w:w="1157"/>
        <w:gridCol w:w="1307"/>
        <w:gridCol w:w="922"/>
        <w:gridCol w:w="2415"/>
        <w:gridCol w:w="868"/>
        <w:gridCol w:w="798"/>
        <w:gridCol w:w="958"/>
        <w:gridCol w:w="1104"/>
        <w:gridCol w:w="1476"/>
      </w:tblGrid>
      <w:tr w:rsidR="00013EC7">
        <w:trPr>
          <w:trHeight w:val="450"/>
          <w:tblHeader/>
          <w:jc w:val="center"/>
        </w:trPr>
        <w:tc>
          <w:tcPr>
            <w:tcW w:w="1250" w:type="dxa"/>
            <w:vMerge w:val="restart"/>
            <w:tcBorders>
              <w:top w:val="single" w:sz="8" w:space="0" w:color="auto"/>
              <w:left w:val="single" w:sz="8"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主项名称</w:t>
            </w:r>
          </w:p>
        </w:tc>
        <w:tc>
          <w:tcPr>
            <w:tcW w:w="1185" w:type="dxa"/>
            <w:vMerge w:val="restart"/>
            <w:tcBorders>
              <w:top w:val="single" w:sz="8"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子项名称</w:t>
            </w:r>
          </w:p>
        </w:tc>
        <w:tc>
          <w:tcPr>
            <w:tcW w:w="6321" w:type="dxa"/>
            <w:vMerge w:val="restart"/>
            <w:tcBorders>
              <w:top w:val="single" w:sz="8"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经办依据</w:t>
            </w:r>
          </w:p>
        </w:tc>
        <w:tc>
          <w:tcPr>
            <w:tcW w:w="2100" w:type="dxa"/>
            <w:gridSpan w:val="2"/>
            <w:tcBorders>
              <w:top w:val="single" w:sz="8"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原经办所需材料</w:t>
            </w:r>
          </w:p>
        </w:tc>
        <w:tc>
          <w:tcPr>
            <w:tcW w:w="4644" w:type="dxa"/>
            <w:gridSpan w:val="3"/>
            <w:tcBorders>
              <w:top w:val="single" w:sz="8"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梳理后经办所需材料</w:t>
            </w:r>
          </w:p>
        </w:tc>
        <w:tc>
          <w:tcPr>
            <w:tcW w:w="1666" w:type="dxa"/>
            <w:gridSpan w:val="2"/>
            <w:tcBorders>
              <w:top w:val="single" w:sz="8"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办理时限</w:t>
            </w:r>
          </w:p>
        </w:tc>
        <w:tc>
          <w:tcPr>
            <w:tcW w:w="958" w:type="dxa"/>
            <w:vMerge w:val="restart"/>
            <w:tcBorders>
              <w:top w:val="single" w:sz="8"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是否实现跑零次</w:t>
            </w:r>
          </w:p>
        </w:tc>
        <w:tc>
          <w:tcPr>
            <w:tcW w:w="1104" w:type="dxa"/>
            <w:vMerge w:val="restart"/>
            <w:tcBorders>
              <w:top w:val="single" w:sz="8"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省厅对口</w:t>
            </w:r>
          </w:p>
          <w:p w:rsidR="00013EC7" w:rsidRDefault="00575CDB">
            <w:pPr>
              <w:spacing w:line="280" w:lineRule="exact"/>
              <w:jc w:val="center"/>
              <w:rPr>
                <w:rFonts w:ascii="黑体" w:eastAsia="黑体"/>
                <w:sz w:val="24"/>
              </w:rPr>
            </w:pPr>
            <w:r>
              <w:rPr>
                <w:rFonts w:ascii="黑体" w:eastAsia="黑体" w:hint="eastAsia"/>
                <w:sz w:val="24"/>
              </w:rPr>
              <w:t>指导处室</w:t>
            </w:r>
          </w:p>
          <w:p w:rsidR="00013EC7" w:rsidRDefault="00575CDB">
            <w:pPr>
              <w:spacing w:line="280" w:lineRule="exact"/>
              <w:jc w:val="center"/>
              <w:rPr>
                <w:rFonts w:ascii="黑体" w:eastAsia="黑体"/>
                <w:sz w:val="24"/>
              </w:rPr>
            </w:pPr>
            <w:r>
              <w:rPr>
                <w:rFonts w:ascii="黑体" w:eastAsia="黑体" w:hint="eastAsia"/>
                <w:sz w:val="24"/>
              </w:rPr>
              <w:t>（单位）</w:t>
            </w:r>
          </w:p>
        </w:tc>
        <w:tc>
          <w:tcPr>
            <w:tcW w:w="1476" w:type="dxa"/>
            <w:vMerge w:val="restart"/>
            <w:tcBorders>
              <w:top w:val="single" w:sz="8" w:space="0" w:color="auto"/>
              <w:left w:val="single" w:sz="4" w:space="0" w:color="auto"/>
              <w:bottom w:val="single" w:sz="4" w:space="0" w:color="auto"/>
              <w:right w:val="single" w:sz="8"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进一步精简、</w:t>
            </w:r>
          </w:p>
          <w:p w:rsidR="00013EC7" w:rsidRDefault="00575CDB">
            <w:pPr>
              <w:spacing w:line="280" w:lineRule="exact"/>
              <w:jc w:val="center"/>
              <w:rPr>
                <w:rFonts w:ascii="黑体" w:eastAsia="黑体"/>
                <w:sz w:val="24"/>
              </w:rPr>
            </w:pPr>
            <w:r>
              <w:rPr>
                <w:rFonts w:ascii="黑体" w:eastAsia="黑体" w:hint="eastAsia"/>
                <w:sz w:val="24"/>
              </w:rPr>
              <w:t>规范建议</w:t>
            </w:r>
          </w:p>
        </w:tc>
      </w:tr>
      <w:tr w:rsidR="00013EC7">
        <w:trPr>
          <w:trHeight w:val="340"/>
          <w:tblHeader/>
          <w:jc w:val="center"/>
        </w:trPr>
        <w:tc>
          <w:tcPr>
            <w:tcW w:w="1250" w:type="dxa"/>
            <w:vMerge/>
            <w:tcBorders>
              <w:top w:val="single" w:sz="8" w:space="0" w:color="auto"/>
              <w:left w:val="single" w:sz="8" w:space="0" w:color="auto"/>
              <w:bottom w:val="single" w:sz="4" w:space="0" w:color="auto"/>
              <w:right w:val="single" w:sz="4" w:space="0" w:color="auto"/>
            </w:tcBorders>
            <w:vAlign w:val="center"/>
          </w:tcPr>
          <w:p w:rsidR="00013EC7" w:rsidRDefault="00013EC7">
            <w:pPr>
              <w:widowControl/>
              <w:jc w:val="left"/>
              <w:rPr>
                <w:rFonts w:ascii="黑体" w:eastAsia="黑体"/>
                <w:sz w:val="24"/>
              </w:rPr>
            </w:pPr>
          </w:p>
        </w:tc>
        <w:tc>
          <w:tcPr>
            <w:tcW w:w="1185" w:type="dxa"/>
            <w:vMerge/>
            <w:tcBorders>
              <w:top w:val="single" w:sz="8" w:space="0" w:color="auto"/>
              <w:left w:val="single" w:sz="4" w:space="0" w:color="auto"/>
              <w:bottom w:val="single" w:sz="4" w:space="0" w:color="auto"/>
              <w:right w:val="single" w:sz="4" w:space="0" w:color="auto"/>
            </w:tcBorders>
            <w:vAlign w:val="center"/>
          </w:tcPr>
          <w:p w:rsidR="00013EC7" w:rsidRDefault="00013EC7">
            <w:pPr>
              <w:widowControl/>
              <w:jc w:val="left"/>
              <w:rPr>
                <w:rFonts w:ascii="黑体" w:eastAsia="黑体"/>
                <w:sz w:val="24"/>
              </w:rPr>
            </w:pPr>
          </w:p>
        </w:tc>
        <w:tc>
          <w:tcPr>
            <w:tcW w:w="6321" w:type="dxa"/>
            <w:vMerge/>
            <w:tcBorders>
              <w:top w:val="single" w:sz="8" w:space="0" w:color="auto"/>
              <w:left w:val="single" w:sz="4" w:space="0" w:color="auto"/>
              <w:bottom w:val="single" w:sz="4" w:space="0" w:color="auto"/>
              <w:right w:val="single" w:sz="4" w:space="0" w:color="auto"/>
            </w:tcBorders>
            <w:vAlign w:val="center"/>
          </w:tcPr>
          <w:p w:rsidR="00013EC7" w:rsidRDefault="00013EC7">
            <w:pPr>
              <w:widowControl/>
              <w:jc w:val="left"/>
              <w:rPr>
                <w:rFonts w:ascii="黑体" w:eastAsia="黑体"/>
                <w:sz w:val="24"/>
              </w:rPr>
            </w:pPr>
          </w:p>
        </w:tc>
        <w:tc>
          <w:tcPr>
            <w:tcW w:w="943"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157"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1307"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922"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2415"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办理方式及材料</w:t>
            </w:r>
          </w:p>
          <w:p w:rsidR="00013EC7" w:rsidRDefault="00575CDB">
            <w:pPr>
              <w:spacing w:line="280" w:lineRule="exact"/>
              <w:jc w:val="center"/>
              <w:rPr>
                <w:rFonts w:ascii="黑体" w:eastAsia="黑体"/>
                <w:sz w:val="24"/>
              </w:rPr>
            </w:pPr>
            <w:r>
              <w:rPr>
                <w:rFonts w:ascii="黑体" w:eastAsia="黑体" w:hint="eastAsia"/>
                <w:sz w:val="24"/>
              </w:rPr>
              <w:t>信息获取方式说明</w:t>
            </w:r>
          </w:p>
        </w:tc>
        <w:tc>
          <w:tcPr>
            <w:tcW w:w="868"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优化前</w:t>
            </w:r>
          </w:p>
        </w:tc>
        <w:tc>
          <w:tcPr>
            <w:tcW w:w="798"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优化后</w:t>
            </w:r>
          </w:p>
        </w:tc>
        <w:tc>
          <w:tcPr>
            <w:tcW w:w="958" w:type="dxa"/>
            <w:vMerge/>
            <w:tcBorders>
              <w:top w:val="single" w:sz="8" w:space="0" w:color="auto"/>
              <w:left w:val="single" w:sz="4" w:space="0" w:color="auto"/>
              <w:bottom w:val="single" w:sz="4" w:space="0" w:color="auto"/>
              <w:right w:val="single" w:sz="4" w:space="0" w:color="auto"/>
            </w:tcBorders>
            <w:vAlign w:val="center"/>
          </w:tcPr>
          <w:p w:rsidR="00013EC7" w:rsidRDefault="00013EC7">
            <w:pPr>
              <w:widowControl/>
              <w:jc w:val="left"/>
              <w:rPr>
                <w:rFonts w:ascii="黑体" w:eastAsia="黑体"/>
                <w:sz w:val="24"/>
              </w:rPr>
            </w:pPr>
          </w:p>
        </w:tc>
        <w:tc>
          <w:tcPr>
            <w:tcW w:w="1104" w:type="dxa"/>
            <w:vMerge/>
            <w:tcBorders>
              <w:top w:val="single" w:sz="8" w:space="0" w:color="auto"/>
              <w:left w:val="single" w:sz="4" w:space="0" w:color="auto"/>
              <w:bottom w:val="single" w:sz="4" w:space="0" w:color="auto"/>
              <w:right w:val="single" w:sz="4" w:space="0" w:color="auto"/>
            </w:tcBorders>
            <w:vAlign w:val="center"/>
          </w:tcPr>
          <w:p w:rsidR="00013EC7" w:rsidRDefault="00013EC7">
            <w:pPr>
              <w:widowControl/>
              <w:jc w:val="left"/>
              <w:rPr>
                <w:rFonts w:ascii="黑体" w:eastAsia="黑体"/>
                <w:sz w:val="24"/>
              </w:rPr>
            </w:pPr>
          </w:p>
        </w:tc>
        <w:tc>
          <w:tcPr>
            <w:tcW w:w="1476" w:type="dxa"/>
            <w:vMerge/>
            <w:tcBorders>
              <w:top w:val="single" w:sz="8" w:space="0" w:color="auto"/>
              <w:left w:val="single" w:sz="4" w:space="0" w:color="auto"/>
              <w:bottom w:val="single" w:sz="4" w:space="0" w:color="auto"/>
              <w:right w:val="single" w:sz="8" w:space="0" w:color="auto"/>
            </w:tcBorders>
            <w:vAlign w:val="center"/>
          </w:tcPr>
          <w:p w:rsidR="00013EC7" w:rsidRDefault="00013EC7">
            <w:pPr>
              <w:widowControl/>
              <w:jc w:val="left"/>
              <w:rPr>
                <w:rFonts w:ascii="黑体" w:eastAsia="黑体"/>
                <w:sz w:val="24"/>
              </w:rPr>
            </w:pPr>
          </w:p>
        </w:tc>
      </w:tr>
      <w:tr w:rsidR="00013EC7">
        <w:trPr>
          <w:trHeight w:val="2195"/>
          <w:jc w:val="center"/>
        </w:trPr>
        <w:tc>
          <w:tcPr>
            <w:tcW w:w="1250" w:type="dxa"/>
            <w:vMerge w:val="restart"/>
            <w:tcBorders>
              <w:top w:val="single" w:sz="4" w:space="0" w:color="auto"/>
              <w:left w:val="single" w:sz="8" w:space="0" w:color="auto"/>
              <w:bottom w:val="single" w:sz="8" w:space="0" w:color="auto"/>
              <w:right w:val="single" w:sz="4" w:space="0" w:color="auto"/>
            </w:tcBorders>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9汇总纳税事项办理</w:t>
            </w:r>
          </w:p>
        </w:tc>
        <w:tc>
          <w:tcPr>
            <w:tcW w:w="1185" w:type="dxa"/>
            <w:vMerge w:val="restart"/>
            <w:tcBorders>
              <w:top w:val="single" w:sz="4" w:space="0" w:color="auto"/>
              <w:left w:val="single" w:sz="4" w:space="0" w:color="auto"/>
              <w:bottom w:val="single" w:sz="8" w:space="0" w:color="auto"/>
              <w:right w:val="single" w:sz="4" w:space="0" w:color="auto"/>
            </w:tcBorders>
            <w:vAlign w:val="center"/>
          </w:tcPr>
          <w:p w:rsidR="00013EC7" w:rsidRDefault="00575CDB">
            <w:pPr>
              <w:spacing w:line="310" w:lineRule="exact"/>
              <w:jc w:val="left"/>
              <w:rPr>
                <w:rFonts w:ascii="仿宋" w:eastAsia="仿宋" w:hAnsi="仿宋" w:cs="仿宋"/>
                <w:sz w:val="24"/>
              </w:rPr>
            </w:pPr>
            <w:r>
              <w:rPr>
                <w:rFonts w:ascii="仿宋" w:eastAsia="仿宋" w:hAnsi="仿宋" w:cs="仿宋" w:hint="eastAsia"/>
                <w:sz w:val="24"/>
              </w:rPr>
              <w:t>9.1汇总缴纳增值税、消费税事项办理</w:t>
            </w:r>
          </w:p>
        </w:tc>
        <w:tc>
          <w:tcPr>
            <w:tcW w:w="6321" w:type="dxa"/>
            <w:vMerge w:val="restart"/>
            <w:tcBorders>
              <w:top w:val="single" w:sz="4" w:space="0" w:color="auto"/>
              <w:left w:val="single" w:sz="4" w:space="0" w:color="auto"/>
              <w:bottom w:val="single" w:sz="8" w:space="0" w:color="auto"/>
              <w:right w:val="single" w:sz="4" w:space="0" w:color="auto"/>
            </w:tcBorders>
            <w:vAlign w:val="center"/>
          </w:tcPr>
          <w:p w:rsidR="00013EC7" w:rsidRDefault="00575CDB">
            <w:pPr>
              <w:spacing w:line="310" w:lineRule="exact"/>
              <w:jc w:val="left"/>
              <w:rPr>
                <w:rFonts w:ascii="仿宋" w:eastAsia="仿宋" w:hAnsi="仿宋" w:cs="仿宋"/>
                <w:sz w:val="24"/>
              </w:rPr>
            </w:pPr>
            <w:r>
              <w:rPr>
                <w:rFonts w:ascii="仿宋" w:eastAsia="仿宋" w:hAnsi="仿宋" w:cs="仿宋" w:hint="eastAsia"/>
                <w:sz w:val="24"/>
              </w:rPr>
              <w:t>（一）《中华人民共和国增值税暂行条例》（2017年中华人民共和国国务院令691号）第二十二条。</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（二）《电力产品增值税征收管理办法》（2004年国家税务总局令第10号）第四条、第五条、第七条。</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（三）《财政部 国家税务总局关于连锁经营企业增值税纳税地点问题的通知》（财税字〔1997〕97号）第一条、第三条。</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 xml:space="preserve">（四）《财政部 国家税务总局关于固定业户总分支机构增值税汇总纳税有关政策的通知》（财税〔2012〕9号）全文。 </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（五）《国家税务总局关于发布〈邮政企业增值税征收管理暂行办法〉的公告》（国家税务总局公告2014年第5号）全文。</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 xml:space="preserve">（六）《国家税务总局关于发布〈铁路运输企业增值税征收管理暂行办法〉的公告》（国家税务总局公告2014年第6号）全文。 </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（七）《国家税务总局关于发布〈电信企业增值税征收管理暂行办法〉的公告》（国家税务总局公告2014年第26号）全文。</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 xml:space="preserve">（八）《营业税改征增值税试点实施办法》（财税〔2016〕36号）附件1第四十六条。 </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（九）《国家税务总局关于全面推开营业税改征增值税试点有关税收征收管理事项的公告》（国家税务总局公告</w:t>
            </w:r>
            <w:r>
              <w:rPr>
                <w:rFonts w:ascii="仿宋" w:eastAsia="仿宋" w:hAnsi="仿宋" w:cs="仿宋" w:hint="eastAsia"/>
                <w:sz w:val="24"/>
              </w:rPr>
              <w:lastRenderedPageBreak/>
              <w:t>2016年第23号）第六条第一款。</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 xml:space="preserve">（十）《中华人民共和国消费税暂行条例实施细则》（2008年财政部 国家税务总局令第51号）第二十四条。 </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 xml:space="preserve">（十一）《财政部 国家税务总局关于消费税纳税人总分支机构汇总缴纳消费税有关政策的通知》（财税〔2012〕42号）全文。 </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（十二）《国家税务总局关于进一步规范增值税、消费税车辆购置税有关涉税事项办理的通知》（税总函〔2017〕426</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号）第一条。</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（十三）《国家税务总局关于进一步优化增值税 消费税有关涉税事项办理程序的公告》（国家税务总局公告2017年第36号）第二条。</w:t>
            </w:r>
          </w:p>
        </w:tc>
        <w:tc>
          <w:tcPr>
            <w:tcW w:w="943"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310" w:lineRule="exact"/>
              <w:jc w:val="left"/>
              <w:rPr>
                <w:rFonts w:ascii="仿宋" w:eastAsia="仿宋" w:hAnsi="仿宋" w:cs="仿宋"/>
                <w:sz w:val="24"/>
              </w:rPr>
            </w:pPr>
            <w:r>
              <w:rPr>
                <w:rFonts w:ascii="仿宋" w:eastAsia="仿宋" w:hAnsi="仿宋" w:cs="仿宋" w:hint="eastAsia"/>
                <w:sz w:val="24"/>
              </w:rPr>
              <w:lastRenderedPageBreak/>
              <w:t>（一）纳税人申请报告。</w:t>
            </w:r>
          </w:p>
        </w:tc>
        <w:tc>
          <w:tcPr>
            <w:tcW w:w="1157" w:type="dxa"/>
            <w:vMerge w:val="restart"/>
            <w:tcBorders>
              <w:top w:val="single" w:sz="4" w:space="0" w:color="auto"/>
              <w:left w:val="single" w:sz="4" w:space="0" w:color="auto"/>
              <w:bottom w:val="single" w:sz="8" w:space="0" w:color="auto"/>
              <w:right w:val="single" w:sz="4" w:space="0" w:color="auto"/>
            </w:tcBorders>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纳税人提交</w:t>
            </w:r>
          </w:p>
          <w:p w:rsidR="00013EC7" w:rsidRDefault="00013EC7">
            <w:pPr>
              <w:jc w:val="left"/>
              <w:rPr>
                <w:rFonts w:ascii="仿宋" w:eastAsia="仿宋" w:hAnsi="仿宋" w:cs="仿宋"/>
                <w:sz w:val="24"/>
              </w:rPr>
            </w:pPr>
          </w:p>
        </w:tc>
        <w:tc>
          <w:tcPr>
            <w:tcW w:w="1307"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310" w:lineRule="exact"/>
              <w:jc w:val="left"/>
              <w:rPr>
                <w:rFonts w:ascii="仿宋" w:eastAsia="仿宋" w:hAnsi="仿宋" w:cs="仿宋"/>
                <w:sz w:val="24"/>
              </w:rPr>
            </w:pPr>
            <w:r>
              <w:rPr>
                <w:rFonts w:ascii="仿宋" w:eastAsia="仿宋" w:hAnsi="仿宋" w:cs="仿宋" w:hint="eastAsia"/>
                <w:sz w:val="24"/>
              </w:rPr>
              <w:t>（一）纳税人申请报告1份。</w:t>
            </w:r>
          </w:p>
        </w:tc>
        <w:tc>
          <w:tcPr>
            <w:tcW w:w="922" w:type="dxa"/>
            <w:vMerge w:val="restart"/>
            <w:tcBorders>
              <w:top w:val="single" w:sz="4" w:space="0" w:color="auto"/>
              <w:left w:val="single" w:sz="4" w:space="0" w:color="auto"/>
              <w:bottom w:val="single" w:sz="4" w:space="0" w:color="auto"/>
              <w:right w:val="single" w:sz="4" w:space="0" w:color="auto"/>
            </w:tcBorders>
            <w:vAlign w:val="center"/>
          </w:tcPr>
          <w:p w:rsidR="00013EC7" w:rsidRDefault="00575CDB">
            <w:pPr>
              <w:spacing w:line="300" w:lineRule="exact"/>
              <w:jc w:val="left"/>
              <w:rPr>
                <w:rFonts w:ascii="仿宋" w:eastAsia="仿宋" w:hAnsi="仿宋" w:cs="仿宋"/>
                <w:b/>
                <w:bCs/>
                <w:i/>
                <w:iCs/>
                <w:sz w:val="24"/>
              </w:rPr>
            </w:pPr>
            <w:r>
              <w:rPr>
                <w:rFonts w:ascii="仿宋" w:eastAsia="仿宋" w:hAnsi="仿宋" w:cs="仿宋" w:hint="eastAsia"/>
                <w:sz w:val="24"/>
              </w:rPr>
              <w:t>纳税人提交</w:t>
            </w:r>
          </w:p>
        </w:tc>
        <w:tc>
          <w:tcPr>
            <w:tcW w:w="2415" w:type="dxa"/>
            <w:vMerge w:val="restart"/>
            <w:tcBorders>
              <w:top w:val="single" w:sz="4" w:space="0" w:color="auto"/>
              <w:left w:val="single" w:sz="4" w:space="0" w:color="auto"/>
              <w:bottom w:val="single" w:sz="4" w:space="0" w:color="auto"/>
              <w:right w:val="single" w:sz="4" w:space="0" w:color="auto"/>
            </w:tcBorders>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申报单位提交书面材料。</w:t>
            </w:r>
          </w:p>
          <w:p w:rsidR="00013EC7" w:rsidRDefault="00575CDB">
            <w:pPr>
              <w:spacing w:line="300" w:lineRule="exact"/>
              <w:jc w:val="left"/>
              <w:rPr>
                <w:rFonts w:ascii="仿宋" w:eastAsia="仿宋" w:hAnsi="仿宋" w:cs="仿宋"/>
                <w:sz w:val="24"/>
              </w:rPr>
            </w:pPr>
            <w:r>
              <w:rPr>
                <w:rFonts w:ascii="仿宋" w:eastAsia="仿宋" w:hAnsi="仿宋" w:cs="仿宋" w:hint="eastAsia"/>
                <w:b/>
                <w:sz w:val="24"/>
              </w:rPr>
              <w:t>网上办理：</w:t>
            </w:r>
            <w:r>
              <w:rPr>
                <w:rFonts w:ascii="仿宋" w:eastAsia="仿宋" w:hAnsi="仿宋" w:cs="仿宋" w:hint="eastAsia"/>
                <w:sz w:val="24"/>
              </w:rPr>
              <w:t>登录浙江国税电子税务局（网址：http://etax.zjtax.gov.cn/</w:t>
            </w:r>
          </w:p>
          <w:p w:rsidR="00013EC7" w:rsidRDefault="00575CDB">
            <w:pPr>
              <w:spacing w:line="300" w:lineRule="exact"/>
              <w:jc w:val="left"/>
              <w:rPr>
                <w:rFonts w:ascii="仿宋" w:eastAsia="仿宋" w:hAnsi="仿宋" w:cs="仿宋"/>
                <w:sz w:val="24"/>
              </w:rPr>
            </w:pPr>
            <w:r>
              <w:rPr>
                <w:rFonts w:ascii="仿宋" w:eastAsia="仿宋" w:hAnsi="仿宋" w:cs="仿宋" w:hint="eastAsia"/>
                <w:sz w:val="24"/>
              </w:rPr>
              <w:t>）提交申请。</w:t>
            </w:r>
          </w:p>
          <w:p w:rsidR="00013EC7" w:rsidRDefault="00575CDB">
            <w:pPr>
              <w:spacing w:line="300" w:lineRule="exact"/>
              <w:jc w:val="left"/>
              <w:rPr>
                <w:rFonts w:ascii="仿宋" w:eastAsia="仿宋" w:hAnsi="仿宋" w:cs="仿宋"/>
                <w:sz w:val="24"/>
              </w:rPr>
            </w:pPr>
            <w:r>
              <w:rPr>
                <w:rFonts w:ascii="仿宋" w:eastAsia="仿宋" w:hAnsi="仿宋" w:hint="eastAsia"/>
                <w:b/>
                <w:sz w:val="24"/>
              </w:rPr>
              <w:t>APP办理：</w:t>
            </w:r>
            <w:r>
              <w:rPr>
                <w:rFonts w:ascii="仿宋" w:eastAsia="仿宋" w:hAnsi="仿宋" w:hint="eastAsia"/>
                <w:sz w:val="24"/>
              </w:rPr>
              <w:t>登录浙江国税APP提交申请。</w:t>
            </w:r>
          </w:p>
        </w:tc>
        <w:tc>
          <w:tcPr>
            <w:tcW w:w="868" w:type="dxa"/>
            <w:vMerge w:val="restart"/>
            <w:tcBorders>
              <w:top w:val="single" w:sz="4" w:space="0" w:color="auto"/>
              <w:left w:val="single" w:sz="4" w:space="0" w:color="auto"/>
              <w:bottom w:val="single" w:sz="8" w:space="0" w:color="auto"/>
              <w:right w:val="single" w:sz="4" w:space="0" w:color="auto"/>
            </w:tcBorders>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20个工作日</w:t>
            </w:r>
          </w:p>
          <w:p w:rsidR="00013EC7" w:rsidRDefault="00013EC7">
            <w:pPr>
              <w:spacing w:line="300" w:lineRule="exact"/>
              <w:jc w:val="left"/>
              <w:rPr>
                <w:rFonts w:ascii="仿宋" w:eastAsia="仿宋" w:hAnsi="仿宋" w:cs="仿宋"/>
                <w:sz w:val="24"/>
              </w:rPr>
            </w:pPr>
          </w:p>
        </w:tc>
        <w:tc>
          <w:tcPr>
            <w:tcW w:w="798" w:type="dxa"/>
            <w:vMerge w:val="restart"/>
            <w:tcBorders>
              <w:top w:val="single" w:sz="4" w:space="0" w:color="auto"/>
              <w:left w:val="single" w:sz="4" w:space="0" w:color="auto"/>
              <w:bottom w:val="single" w:sz="8" w:space="0" w:color="auto"/>
              <w:right w:val="single" w:sz="4" w:space="0" w:color="auto"/>
            </w:tcBorders>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20个工作日（县区材料核查）。15个工作日（市区或省局案头复核）。10个工作日（省局、总局批准</w:t>
            </w:r>
            <w:r>
              <w:rPr>
                <w:rFonts w:ascii="仿宋" w:eastAsia="仿宋" w:hAnsi="仿宋" w:cs="仿宋" w:hint="eastAsia"/>
                <w:sz w:val="24"/>
              </w:rPr>
              <w:lastRenderedPageBreak/>
              <w:t>机关）</w:t>
            </w:r>
          </w:p>
        </w:tc>
        <w:tc>
          <w:tcPr>
            <w:tcW w:w="958" w:type="dxa"/>
            <w:vMerge w:val="restart"/>
            <w:tcBorders>
              <w:top w:val="single" w:sz="4" w:space="0" w:color="auto"/>
              <w:left w:val="single" w:sz="4" w:space="0" w:color="auto"/>
              <w:bottom w:val="single" w:sz="8" w:space="0" w:color="auto"/>
              <w:right w:val="single" w:sz="4" w:space="0" w:color="auto"/>
            </w:tcBorders>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lastRenderedPageBreak/>
              <w:t>是</w:t>
            </w:r>
          </w:p>
        </w:tc>
        <w:tc>
          <w:tcPr>
            <w:tcW w:w="1104" w:type="dxa"/>
            <w:vMerge w:val="restart"/>
            <w:tcBorders>
              <w:top w:val="single" w:sz="4" w:space="0" w:color="auto"/>
              <w:left w:val="single" w:sz="4" w:space="0" w:color="auto"/>
              <w:bottom w:val="single" w:sz="8" w:space="0" w:color="auto"/>
              <w:right w:val="single" w:sz="4" w:space="0" w:color="auto"/>
            </w:tcBorders>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货物和劳务税处</w:t>
            </w:r>
          </w:p>
        </w:tc>
        <w:tc>
          <w:tcPr>
            <w:tcW w:w="1476" w:type="dxa"/>
            <w:vMerge w:val="restart"/>
            <w:tcBorders>
              <w:top w:val="single" w:sz="4" w:space="0" w:color="auto"/>
              <w:left w:val="single" w:sz="4" w:space="0" w:color="auto"/>
              <w:bottom w:val="single" w:sz="8" w:space="0" w:color="auto"/>
              <w:right w:val="single" w:sz="8" w:space="0" w:color="auto"/>
            </w:tcBorders>
            <w:vAlign w:val="center"/>
          </w:tcPr>
          <w:p w:rsidR="00013EC7" w:rsidRDefault="00013EC7">
            <w:pPr>
              <w:spacing w:line="300" w:lineRule="exact"/>
              <w:jc w:val="left"/>
              <w:rPr>
                <w:rFonts w:ascii="仿宋" w:eastAsia="仿宋" w:hAnsi="仿宋" w:cs="仿宋"/>
                <w:sz w:val="24"/>
              </w:rPr>
            </w:pPr>
          </w:p>
        </w:tc>
      </w:tr>
      <w:tr w:rsidR="00013EC7">
        <w:trPr>
          <w:trHeight w:val="4927"/>
          <w:jc w:val="center"/>
        </w:trPr>
        <w:tc>
          <w:tcPr>
            <w:tcW w:w="1250" w:type="dxa"/>
            <w:vMerge/>
            <w:tcBorders>
              <w:top w:val="single" w:sz="4" w:space="0" w:color="auto"/>
              <w:left w:val="single" w:sz="8" w:space="0" w:color="auto"/>
              <w:bottom w:val="single" w:sz="8" w:space="0" w:color="auto"/>
              <w:right w:val="single" w:sz="4" w:space="0" w:color="auto"/>
            </w:tcBorders>
            <w:vAlign w:val="center"/>
          </w:tcPr>
          <w:p w:rsidR="00013EC7" w:rsidRDefault="00013EC7">
            <w:pPr>
              <w:widowControl/>
              <w:jc w:val="left"/>
              <w:rPr>
                <w:rFonts w:ascii="仿宋" w:eastAsia="仿宋" w:hAnsi="仿宋" w:cs="仿宋"/>
                <w:sz w:val="24"/>
              </w:rPr>
            </w:pPr>
          </w:p>
        </w:tc>
        <w:tc>
          <w:tcPr>
            <w:tcW w:w="1185"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cs="仿宋"/>
                <w:sz w:val="24"/>
              </w:rPr>
            </w:pPr>
          </w:p>
        </w:tc>
        <w:tc>
          <w:tcPr>
            <w:tcW w:w="6321"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cs="仿宋"/>
                <w:sz w:val="24"/>
              </w:rPr>
            </w:pPr>
          </w:p>
        </w:tc>
        <w:tc>
          <w:tcPr>
            <w:tcW w:w="943"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310" w:lineRule="exact"/>
              <w:jc w:val="left"/>
              <w:rPr>
                <w:rFonts w:ascii="仿宋" w:eastAsia="仿宋" w:hAnsi="仿宋" w:cs="仿宋"/>
                <w:sz w:val="24"/>
              </w:rPr>
            </w:pPr>
            <w:r>
              <w:rPr>
                <w:rFonts w:ascii="仿宋" w:eastAsia="仿宋" w:hAnsi="仿宋" w:cs="仿宋" w:hint="eastAsia"/>
                <w:sz w:val="24"/>
              </w:rPr>
              <w:t>（二）批准设立分支机构文件</w:t>
            </w:r>
            <w:r>
              <w:rPr>
                <w:rFonts w:ascii="仿宋" w:eastAsia="仿宋" w:hAnsi="仿宋" w:cs="仿宋" w:hint="eastAsia"/>
                <w:sz w:val="24"/>
                <w:highlight w:val="lightGray"/>
              </w:rPr>
              <w:t>原件及</w:t>
            </w:r>
            <w:r>
              <w:rPr>
                <w:rFonts w:ascii="仿宋" w:eastAsia="仿宋" w:hAnsi="仿宋" w:cs="仿宋" w:hint="eastAsia"/>
                <w:sz w:val="24"/>
              </w:rPr>
              <w:t>复印件（加盖公章）。</w:t>
            </w:r>
          </w:p>
        </w:tc>
        <w:tc>
          <w:tcPr>
            <w:tcW w:w="1157"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cs="仿宋"/>
                <w:sz w:val="24"/>
              </w:rPr>
            </w:pPr>
          </w:p>
        </w:tc>
        <w:tc>
          <w:tcPr>
            <w:tcW w:w="1307"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310" w:lineRule="exact"/>
              <w:jc w:val="left"/>
              <w:rPr>
                <w:rFonts w:ascii="仿宋" w:eastAsia="仿宋" w:hAnsi="仿宋" w:cs="仿宋"/>
                <w:sz w:val="24"/>
              </w:rPr>
            </w:pPr>
            <w:r>
              <w:rPr>
                <w:rFonts w:ascii="仿宋" w:eastAsia="仿宋" w:hAnsi="仿宋" w:cs="仿宋" w:hint="eastAsia"/>
                <w:sz w:val="24"/>
              </w:rPr>
              <w:t>（二）批准设立分支机构文件复印件1份（注明与原件一致，并加盖公章）。</w:t>
            </w:r>
          </w:p>
        </w:tc>
        <w:tc>
          <w:tcPr>
            <w:tcW w:w="922" w:type="dxa"/>
            <w:vMerge/>
            <w:tcBorders>
              <w:top w:val="single" w:sz="4" w:space="0" w:color="auto"/>
              <w:left w:val="single" w:sz="4" w:space="0" w:color="auto"/>
              <w:bottom w:val="single" w:sz="4" w:space="0" w:color="auto"/>
              <w:right w:val="single" w:sz="4" w:space="0" w:color="auto"/>
            </w:tcBorders>
            <w:vAlign w:val="center"/>
          </w:tcPr>
          <w:p w:rsidR="00013EC7" w:rsidRDefault="00013EC7">
            <w:pPr>
              <w:widowControl/>
              <w:jc w:val="left"/>
              <w:rPr>
                <w:rFonts w:ascii="仿宋" w:eastAsia="仿宋" w:hAnsi="仿宋" w:cs="仿宋"/>
                <w:b/>
                <w:bCs/>
                <w:i/>
                <w:iCs/>
                <w:sz w:val="24"/>
              </w:rPr>
            </w:pPr>
          </w:p>
        </w:tc>
        <w:tc>
          <w:tcPr>
            <w:tcW w:w="2415" w:type="dxa"/>
            <w:vMerge/>
            <w:tcBorders>
              <w:top w:val="single" w:sz="4" w:space="0" w:color="auto"/>
              <w:left w:val="single" w:sz="4" w:space="0" w:color="auto"/>
              <w:bottom w:val="single" w:sz="4" w:space="0" w:color="auto"/>
              <w:right w:val="single" w:sz="4" w:space="0" w:color="auto"/>
            </w:tcBorders>
            <w:vAlign w:val="center"/>
          </w:tcPr>
          <w:p w:rsidR="00013EC7" w:rsidRDefault="00013EC7">
            <w:pPr>
              <w:widowControl/>
              <w:jc w:val="left"/>
              <w:rPr>
                <w:rFonts w:ascii="仿宋" w:eastAsia="仿宋" w:hAnsi="仿宋" w:cs="仿宋"/>
                <w:sz w:val="24"/>
              </w:rPr>
            </w:pPr>
          </w:p>
        </w:tc>
        <w:tc>
          <w:tcPr>
            <w:tcW w:w="868"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cs="仿宋"/>
                <w:sz w:val="24"/>
              </w:rPr>
            </w:pPr>
          </w:p>
        </w:tc>
        <w:tc>
          <w:tcPr>
            <w:tcW w:w="798"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cs="仿宋"/>
                <w:sz w:val="24"/>
              </w:rPr>
            </w:pPr>
          </w:p>
        </w:tc>
        <w:tc>
          <w:tcPr>
            <w:tcW w:w="958"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cs="仿宋"/>
                <w:sz w:val="24"/>
              </w:rPr>
            </w:pPr>
          </w:p>
        </w:tc>
        <w:tc>
          <w:tcPr>
            <w:tcW w:w="1104"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cs="仿宋"/>
                <w:sz w:val="24"/>
              </w:rPr>
            </w:pPr>
          </w:p>
        </w:tc>
        <w:tc>
          <w:tcPr>
            <w:tcW w:w="1476" w:type="dxa"/>
            <w:vMerge/>
            <w:tcBorders>
              <w:top w:val="single" w:sz="4" w:space="0" w:color="auto"/>
              <w:left w:val="single" w:sz="4" w:space="0" w:color="auto"/>
              <w:bottom w:val="single" w:sz="8" w:space="0" w:color="auto"/>
              <w:right w:val="single" w:sz="8" w:space="0" w:color="auto"/>
            </w:tcBorders>
            <w:vAlign w:val="center"/>
          </w:tcPr>
          <w:p w:rsidR="00013EC7" w:rsidRDefault="00013EC7">
            <w:pPr>
              <w:widowControl/>
              <w:jc w:val="left"/>
              <w:rPr>
                <w:rFonts w:ascii="仿宋" w:eastAsia="仿宋" w:hAnsi="仿宋" w:cs="仿宋"/>
                <w:sz w:val="24"/>
              </w:rPr>
            </w:pPr>
          </w:p>
        </w:tc>
      </w:tr>
      <w:tr w:rsidR="00013EC7">
        <w:trPr>
          <w:trHeight w:val="7880"/>
          <w:jc w:val="center"/>
        </w:trPr>
        <w:tc>
          <w:tcPr>
            <w:tcW w:w="1250" w:type="dxa"/>
            <w:vMerge/>
            <w:tcBorders>
              <w:top w:val="single" w:sz="4" w:space="0" w:color="auto"/>
              <w:left w:val="single" w:sz="8" w:space="0" w:color="auto"/>
              <w:bottom w:val="single" w:sz="8" w:space="0" w:color="auto"/>
              <w:right w:val="single" w:sz="4" w:space="0" w:color="auto"/>
            </w:tcBorders>
            <w:vAlign w:val="center"/>
          </w:tcPr>
          <w:p w:rsidR="00013EC7" w:rsidRDefault="00013EC7">
            <w:pPr>
              <w:widowControl/>
              <w:jc w:val="left"/>
              <w:rPr>
                <w:rFonts w:ascii="仿宋" w:eastAsia="仿宋" w:hAnsi="仿宋" w:cs="仿宋"/>
                <w:sz w:val="24"/>
              </w:rPr>
            </w:pPr>
          </w:p>
        </w:tc>
        <w:tc>
          <w:tcPr>
            <w:tcW w:w="1185"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cs="仿宋"/>
                <w:sz w:val="24"/>
              </w:rPr>
            </w:pPr>
          </w:p>
        </w:tc>
        <w:tc>
          <w:tcPr>
            <w:tcW w:w="6321"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cs="仿宋"/>
                <w:sz w:val="24"/>
              </w:rPr>
            </w:pPr>
          </w:p>
        </w:tc>
        <w:tc>
          <w:tcPr>
            <w:tcW w:w="943"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310" w:lineRule="exact"/>
              <w:jc w:val="left"/>
              <w:rPr>
                <w:rFonts w:ascii="仿宋" w:eastAsia="仿宋" w:hAnsi="仿宋" w:cs="仿宋"/>
                <w:sz w:val="24"/>
              </w:rPr>
            </w:pPr>
            <w:r>
              <w:rPr>
                <w:rFonts w:ascii="仿宋" w:eastAsia="仿宋" w:hAnsi="仿宋" w:cs="仿宋" w:hint="eastAsia"/>
                <w:sz w:val="24"/>
              </w:rPr>
              <w:t>（三）分支机构或者集团子公司所在地工商部门证明</w:t>
            </w:r>
            <w:r>
              <w:rPr>
                <w:rFonts w:ascii="仿宋" w:eastAsia="仿宋" w:hAnsi="仿宋" w:cs="仿宋" w:hint="eastAsia"/>
                <w:sz w:val="24"/>
                <w:highlight w:val="lightGray"/>
              </w:rPr>
              <w:t>原件及</w:t>
            </w:r>
            <w:r>
              <w:rPr>
                <w:rFonts w:ascii="仿宋" w:eastAsia="仿宋" w:hAnsi="仿宋" w:cs="仿宋" w:hint="eastAsia"/>
                <w:sz w:val="24"/>
              </w:rPr>
              <w:t>复印件（加盖公章）。</w:t>
            </w:r>
          </w:p>
        </w:tc>
        <w:tc>
          <w:tcPr>
            <w:tcW w:w="1157"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cs="仿宋"/>
                <w:sz w:val="24"/>
              </w:rPr>
            </w:pPr>
          </w:p>
        </w:tc>
        <w:tc>
          <w:tcPr>
            <w:tcW w:w="1307" w:type="dxa"/>
            <w:tcBorders>
              <w:top w:val="single" w:sz="4" w:space="0" w:color="auto"/>
              <w:left w:val="single" w:sz="4" w:space="0" w:color="auto"/>
              <w:bottom w:val="single" w:sz="4" w:space="0" w:color="auto"/>
              <w:right w:val="single" w:sz="4" w:space="0" w:color="auto"/>
            </w:tcBorders>
            <w:vAlign w:val="center"/>
          </w:tcPr>
          <w:p w:rsidR="00013EC7" w:rsidRDefault="00575CDB">
            <w:pPr>
              <w:rPr>
                <w:rFonts w:ascii="仿宋" w:eastAsia="仿宋" w:hAnsi="仿宋" w:cs="仿宋"/>
                <w:sz w:val="24"/>
              </w:rPr>
            </w:pPr>
            <w:r>
              <w:rPr>
                <w:rFonts w:ascii="仿宋" w:eastAsia="仿宋" w:hAnsi="仿宋" w:cs="仿宋" w:hint="eastAsia"/>
                <w:sz w:val="24"/>
              </w:rPr>
              <w:t>（三）分支机构或者集团子公司所在地工商部门证明。</w:t>
            </w:r>
          </w:p>
        </w:tc>
        <w:tc>
          <w:tcPr>
            <w:tcW w:w="922"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300" w:lineRule="exact"/>
              <w:rPr>
                <w:rFonts w:ascii="仿宋" w:eastAsia="仿宋" w:hAnsi="仿宋" w:cs="仿宋"/>
                <w:sz w:val="24"/>
              </w:rPr>
            </w:pPr>
            <w:r>
              <w:rPr>
                <w:rFonts w:ascii="仿宋" w:eastAsia="仿宋" w:hAnsi="仿宋" w:cs="仿宋" w:hint="eastAsia"/>
                <w:b/>
                <w:bCs/>
                <w:i/>
                <w:iCs/>
                <w:sz w:val="24"/>
              </w:rPr>
              <w:t>经办机构自行获取</w:t>
            </w:r>
          </w:p>
        </w:tc>
        <w:tc>
          <w:tcPr>
            <w:tcW w:w="2415"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300" w:lineRule="exact"/>
              <w:rPr>
                <w:rFonts w:ascii="仿宋" w:eastAsia="仿宋" w:hAnsi="仿宋" w:cs="仿宋"/>
                <w:sz w:val="24"/>
              </w:rPr>
            </w:pPr>
            <w:r>
              <w:rPr>
                <w:rFonts w:ascii="仿宋" w:eastAsia="仿宋" w:hAnsi="仿宋" w:cs="仿宋" w:hint="eastAsia"/>
                <w:b/>
                <w:bCs/>
                <w:sz w:val="24"/>
              </w:rPr>
              <w:t>外部共享：</w:t>
            </w:r>
            <w:r>
              <w:rPr>
                <w:rFonts w:ascii="仿宋" w:eastAsia="仿宋" w:hAnsi="仿宋" w:cs="仿宋" w:hint="eastAsia"/>
                <w:bCs/>
                <w:sz w:val="24"/>
              </w:rPr>
              <w:t>由</w:t>
            </w:r>
            <w:r>
              <w:rPr>
                <w:rFonts w:ascii="仿宋" w:eastAsia="仿宋" w:hAnsi="仿宋" w:cs="仿宋" w:hint="eastAsia"/>
                <w:sz w:val="24"/>
              </w:rPr>
              <w:t>省工商局提供共享。</w:t>
            </w:r>
          </w:p>
        </w:tc>
        <w:tc>
          <w:tcPr>
            <w:tcW w:w="868"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cs="仿宋"/>
                <w:sz w:val="24"/>
              </w:rPr>
            </w:pPr>
          </w:p>
        </w:tc>
        <w:tc>
          <w:tcPr>
            <w:tcW w:w="798"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cs="仿宋"/>
                <w:sz w:val="24"/>
              </w:rPr>
            </w:pPr>
          </w:p>
        </w:tc>
        <w:tc>
          <w:tcPr>
            <w:tcW w:w="958"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cs="仿宋"/>
                <w:sz w:val="24"/>
              </w:rPr>
            </w:pPr>
          </w:p>
        </w:tc>
        <w:tc>
          <w:tcPr>
            <w:tcW w:w="1104"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cs="仿宋"/>
                <w:sz w:val="24"/>
              </w:rPr>
            </w:pPr>
          </w:p>
        </w:tc>
        <w:tc>
          <w:tcPr>
            <w:tcW w:w="1476" w:type="dxa"/>
            <w:vMerge/>
            <w:tcBorders>
              <w:top w:val="single" w:sz="4" w:space="0" w:color="auto"/>
              <w:left w:val="single" w:sz="4" w:space="0" w:color="auto"/>
              <w:bottom w:val="single" w:sz="8" w:space="0" w:color="auto"/>
              <w:right w:val="single" w:sz="8" w:space="0" w:color="auto"/>
            </w:tcBorders>
            <w:vAlign w:val="center"/>
          </w:tcPr>
          <w:p w:rsidR="00013EC7" w:rsidRDefault="00013EC7">
            <w:pPr>
              <w:widowControl/>
              <w:jc w:val="left"/>
              <w:rPr>
                <w:rFonts w:ascii="仿宋" w:eastAsia="仿宋" w:hAnsi="仿宋" w:cs="仿宋"/>
                <w:sz w:val="24"/>
              </w:rPr>
            </w:pPr>
          </w:p>
        </w:tc>
      </w:tr>
    </w:tbl>
    <w:p w:rsidR="00013EC7" w:rsidRDefault="005262E6">
      <w:r>
        <w:rPr>
          <w:kern w:val="0"/>
        </w:rPr>
        <w:lastRenderedPageBreak/>
        <w:object w:dxaOrig="1440" w:dyaOrig="1440">
          <v:shape id="_x0000_s1337" type="#_x0000_t75" style="position:absolute;left:0;text-align:left;margin-left:578.4pt;margin-top:89.4pt;width:438.5pt;height:618.5pt;z-index:251663360;mso-wrap-distance-top:0;mso-wrap-distance-bottom:0;mso-position-horizontal-relative:text;mso-position-vertical-relative:page;mso-width-relative:page;mso-height-relative:page">
            <v:imagedata r:id="rId110" o:title=""/>
            <w10:wrap type="topAndBottom" anchory="page"/>
          </v:shape>
          <o:OLEObject Type="Embed" ProgID="Visio.Drawing.11" ShapeID="_x0000_s1337" DrawAspect="Content" ObjectID="_1577296187" r:id="rId111"/>
        </w:object>
      </w:r>
      <w:r>
        <w:rPr>
          <w:kern w:val="0"/>
        </w:rPr>
        <w:object w:dxaOrig="1440" w:dyaOrig="1440">
          <v:shape id="_x0000_s1336" type="#_x0000_t75" style="position:absolute;left:0;text-align:left;margin-left:10.35pt;margin-top:100.15pt;width:411.5pt;height:570.5pt;z-index:251662336;mso-wrap-distance-top:0;mso-wrap-distance-bottom:0;mso-position-horizontal-relative:text;mso-position-vertical-relative:page;mso-width-relative:page;mso-height-relative:page">
            <v:imagedata r:id="rId112" o:title=""/>
            <w10:wrap type="topAndBottom" anchory="page"/>
          </v:shape>
          <o:OLEObject Type="Embed" ProgID="Visio.Drawing.11" ShapeID="_x0000_s1336" DrawAspect="Content" ObjectID="_1577296188" r:id="rId113"/>
        </w:object>
      </w:r>
    </w:p>
    <w:p w:rsidR="00013EC7" w:rsidRDefault="00575CDB">
      <w:pPr>
        <w:pStyle w:val="1"/>
      </w:pPr>
      <w:bookmarkStart w:id="152" w:name="_Toc27372"/>
      <w:bookmarkStart w:id="153" w:name="_Toc503467390"/>
      <w:bookmarkStart w:id="154" w:name="_Toc25312"/>
      <w:bookmarkStart w:id="155" w:name="_Toc31880"/>
      <w:r>
        <w:rPr>
          <w:rFonts w:hint="eastAsia"/>
        </w:rPr>
        <w:lastRenderedPageBreak/>
        <w:t>十、境外注册中资控股居民企业相关事项认定</w:t>
      </w:r>
      <w:bookmarkEnd w:id="152"/>
      <w:bookmarkEnd w:id="153"/>
      <w:bookmarkEnd w:id="154"/>
      <w:bookmarkEnd w:id="155"/>
    </w:p>
    <w:p w:rsidR="00013EC7" w:rsidRDefault="00575CDB">
      <w:pPr>
        <w:pStyle w:val="2"/>
      </w:pPr>
      <w:bookmarkStart w:id="156" w:name="_Toc503467391"/>
      <w:bookmarkStart w:id="157" w:name="_Toc27253"/>
      <w:bookmarkStart w:id="158" w:name="_Toc22588"/>
      <w:bookmarkStart w:id="159" w:name="_Toc2606"/>
      <w:r>
        <w:rPr>
          <w:rFonts w:hint="eastAsia"/>
        </w:rPr>
        <w:t>10</w:t>
      </w:r>
      <w:r>
        <w:t>.</w:t>
      </w:r>
      <w:r>
        <w:rPr>
          <w:rFonts w:hint="eastAsia"/>
        </w:rPr>
        <w:t>1</w:t>
      </w:r>
      <w:r>
        <w:rPr>
          <w:rFonts w:hint="eastAsia"/>
        </w:rPr>
        <w:t>境外注册中资控股企业居民身份认定申请</w:t>
      </w:r>
      <w:bookmarkEnd w:id="156"/>
      <w:bookmarkEnd w:id="157"/>
      <w:bookmarkEnd w:id="158"/>
      <w:bookmarkEnd w:id="159"/>
    </w:p>
    <w:p w:rsidR="00013EC7" w:rsidRDefault="00575CDB">
      <w:pPr>
        <w:jc w:val="center"/>
        <w:rPr>
          <w:rFonts w:eastAsia="仿宋_GB2312"/>
          <w:szCs w:val="21"/>
        </w:rPr>
      </w:pPr>
      <w:r>
        <w:rPr>
          <w:rFonts w:ascii="宋体" w:hAnsi="宋体" w:cs="宋体" w:hint="eastAsia"/>
          <w:b/>
          <w:bCs/>
          <w:sz w:val="52"/>
          <w:szCs w:val="52"/>
        </w:rPr>
        <w:t>全省“最多跑一次”事项“八统一”梳理表</w:t>
      </w:r>
    </w:p>
    <w:tbl>
      <w:tblPr>
        <w:tblW w:w="19845"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3539"/>
        <w:gridCol w:w="2693"/>
        <w:gridCol w:w="1559"/>
        <w:gridCol w:w="2694"/>
        <w:gridCol w:w="1332"/>
        <w:gridCol w:w="1134"/>
        <w:gridCol w:w="851"/>
        <w:gridCol w:w="798"/>
        <w:gridCol w:w="958"/>
        <w:gridCol w:w="1104"/>
        <w:gridCol w:w="1476"/>
      </w:tblGrid>
      <w:tr w:rsidR="00013EC7">
        <w:trPr>
          <w:trHeight w:val="340"/>
          <w:tblHeader/>
        </w:trPr>
        <w:tc>
          <w:tcPr>
            <w:tcW w:w="672"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主项名称</w:t>
            </w:r>
          </w:p>
        </w:tc>
        <w:tc>
          <w:tcPr>
            <w:tcW w:w="1035"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子项名称</w:t>
            </w:r>
          </w:p>
        </w:tc>
        <w:tc>
          <w:tcPr>
            <w:tcW w:w="3539"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经办依据</w:t>
            </w:r>
          </w:p>
        </w:tc>
        <w:tc>
          <w:tcPr>
            <w:tcW w:w="4252"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原经办所需材料</w:t>
            </w:r>
          </w:p>
        </w:tc>
        <w:tc>
          <w:tcPr>
            <w:tcW w:w="5160" w:type="dxa"/>
            <w:gridSpan w:val="3"/>
            <w:vAlign w:val="center"/>
          </w:tcPr>
          <w:p w:rsidR="00013EC7" w:rsidRDefault="00575CDB">
            <w:pPr>
              <w:spacing w:line="280" w:lineRule="exact"/>
              <w:jc w:val="center"/>
              <w:rPr>
                <w:rFonts w:ascii="黑体" w:eastAsia="黑体"/>
                <w:sz w:val="24"/>
              </w:rPr>
            </w:pPr>
            <w:r>
              <w:rPr>
                <w:rFonts w:ascii="黑体" w:eastAsia="黑体" w:hint="eastAsia"/>
                <w:sz w:val="24"/>
              </w:rPr>
              <w:t>精简后经办所需材料</w:t>
            </w:r>
          </w:p>
        </w:tc>
        <w:tc>
          <w:tcPr>
            <w:tcW w:w="1649"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办理时限</w:t>
            </w:r>
          </w:p>
        </w:tc>
        <w:tc>
          <w:tcPr>
            <w:tcW w:w="958"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是否实现跑零次</w:t>
            </w:r>
          </w:p>
        </w:tc>
        <w:tc>
          <w:tcPr>
            <w:tcW w:w="1104"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省厅对口</w:t>
            </w:r>
          </w:p>
          <w:p w:rsidR="00013EC7" w:rsidRDefault="00575CDB">
            <w:pPr>
              <w:spacing w:line="280" w:lineRule="exact"/>
              <w:jc w:val="center"/>
              <w:rPr>
                <w:rFonts w:ascii="黑体" w:eastAsia="黑体"/>
                <w:sz w:val="24"/>
              </w:rPr>
            </w:pPr>
            <w:r>
              <w:rPr>
                <w:rFonts w:ascii="黑体" w:eastAsia="黑体" w:hint="eastAsia"/>
                <w:sz w:val="24"/>
              </w:rPr>
              <w:t>指导处室</w:t>
            </w:r>
          </w:p>
          <w:p w:rsidR="00013EC7" w:rsidRDefault="00575CDB">
            <w:pPr>
              <w:spacing w:line="280" w:lineRule="exact"/>
              <w:jc w:val="center"/>
              <w:rPr>
                <w:rFonts w:ascii="黑体" w:eastAsia="黑体"/>
                <w:sz w:val="24"/>
              </w:rPr>
            </w:pPr>
            <w:r>
              <w:rPr>
                <w:rFonts w:ascii="黑体" w:eastAsia="黑体" w:hint="eastAsia"/>
                <w:sz w:val="24"/>
              </w:rPr>
              <w:t>（单位）</w:t>
            </w:r>
          </w:p>
        </w:tc>
        <w:tc>
          <w:tcPr>
            <w:tcW w:w="1476"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进一步精简、</w:t>
            </w:r>
          </w:p>
          <w:p w:rsidR="00013EC7" w:rsidRDefault="00575CDB">
            <w:pPr>
              <w:spacing w:line="280" w:lineRule="exact"/>
              <w:jc w:val="center"/>
              <w:rPr>
                <w:rFonts w:ascii="黑体" w:eastAsia="黑体"/>
                <w:sz w:val="24"/>
              </w:rPr>
            </w:pPr>
            <w:r>
              <w:rPr>
                <w:rFonts w:ascii="黑体" w:eastAsia="黑体" w:hint="eastAsia"/>
                <w:sz w:val="24"/>
              </w:rPr>
              <w:t>规范建议</w:t>
            </w:r>
          </w:p>
        </w:tc>
      </w:tr>
      <w:tr w:rsidR="00013EC7">
        <w:trPr>
          <w:trHeight w:val="340"/>
          <w:tblHeader/>
        </w:trPr>
        <w:tc>
          <w:tcPr>
            <w:tcW w:w="672" w:type="dxa"/>
            <w:vMerge/>
            <w:vAlign w:val="center"/>
          </w:tcPr>
          <w:p w:rsidR="00013EC7" w:rsidRDefault="00013EC7">
            <w:pPr>
              <w:spacing w:line="280" w:lineRule="exact"/>
              <w:jc w:val="center"/>
              <w:rPr>
                <w:rFonts w:ascii="黑体" w:eastAsia="黑体"/>
                <w:sz w:val="24"/>
              </w:rPr>
            </w:pPr>
          </w:p>
        </w:tc>
        <w:tc>
          <w:tcPr>
            <w:tcW w:w="1035" w:type="dxa"/>
            <w:vMerge/>
          </w:tcPr>
          <w:p w:rsidR="00013EC7" w:rsidRDefault="00013EC7">
            <w:pPr>
              <w:spacing w:line="280" w:lineRule="exact"/>
              <w:jc w:val="center"/>
              <w:rPr>
                <w:rFonts w:ascii="黑体" w:eastAsia="黑体"/>
                <w:sz w:val="24"/>
              </w:rPr>
            </w:pPr>
          </w:p>
        </w:tc>
        <w:tc>
          <w:tcPr>
            <w:tcW w:w="3539" w:type="dxa"/>
            <w:vMerge/>
          </w:tcPr>
          <w:p w:rsidR="00013EC7" w:rsidRDefault="00013EC7">
            <w:pPr>
              <w:spacing w:line="280" w:lineRule="exact"/>
              <w:jc w:val="center"/>
              <w:rPr>
                <w:rFonts w:ascii="黑体" w:eastAsia="黑体"/>
                <w:sz w:val="24"/>
              </w:rPr>
            </w:pPr>
          </w:p>
        </w:tc>
        <w:tc>
          <w:tcPr>
            <w:tcW w:w="2693" w:type="dxa"/>
            <w:tcBorders>
              <w:bottom w:val="single" w:sz="4" w:space="0" w:color="auto"/>
            </w:tcBorders>
            <w:vAlign w:val="center"/>
          </w:tcPr>
          <w:p w:rsidR="00013EC7" w:rsidRDefault="00013EC7">
            <w:pPr>
              <w:spacing w:line="280" w:lineRule="exact"/>
              <w:jc w:val="center"/>
              <w:rPr>
                <w:rFonts w:ascii="黑体" w:eastAsia="黑体"/>
                <w:sz w:val="24"/>
              </w:rPr>
            </w:pPr>
          </w:p>
        </w:tc>
        <w:tc>
          <w:tcPr>
            <w:tcW w:w="1559"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2694" w:type="dxa"/>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332"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1134" w:type="dxa"/>
            <w:vAlign w:val="center"/>
          </w:tcPr>
          <w:p w:rsidR="00013EC7" w:rsidRDefault="00575CDB">
            <w:pPr>
              <w:spacing w:line="280" w:lineRule="exact"/>
              <w:jc w:val="center"/>
              <w:rPr>
                <w:rFonts w:ascii="黑体" w:eastAsia="黑体"/>
                <w:sz w:val="24"/>
              </w:rPr>
            </w:pPr>
            <w:r>
              <w:rPr>
                <w:rFonts w:ascii="黑体" w:eastAsia="黑体" w:hint="eastAsia"/>
                <w:sz w:val="24"/>
              </w:rPr>
              <w:t>办理方式及材料</w:t>
            </w:r>
          </w:p>
          <w:p w:rsidR="00013EC7" w:rsidRDefault="00575CDB">
            <w:pPr>
              <w:spacing w:line="280" w:lineRule="exact"/>
              <w:jc w:val="center"/>
              <w:rPr>
                <w:rFonts w:ascii="黑体" w:eastAsia="黑体"/>
                <w:sz w:val="24"/>
              </w:rPr>
            </w:pPr>
            <w:r>
              <w:rPr>
                <w:rFonts w:ascii="黑体" w:eastAsia="黑体" w:hint="eastAsia"/>
                <w:sz w:val="24"/>
              </w:rPr>
              <w:t>信息获取方式说明</w:t>
            </w:r>
          </w:p>
        </w:tc>
        <w:tc>
          <w:tcPr>
            <w:tcW w:w="851" w:type="dxa"/>
            <w:vAlign w:val="center"/>
          </w:tcPr>
          <w:p w:rsidR="00013EC7" w:rsidRDefault="00575CDB">
            <w:pPr>
              <w:spacing w:line="280" w:lineRule="exact"/>
              <w:jc w:val="center"/>
              <w:rPr>
                <w:rFonts w:ascii="黑体" w:eastAsia="黑体"/>
                <w:sz w:val="24"/>
              </w:rPr>
            </w:pPr>
            <w:r>
              <w:rPr>
                <w:rFonts w:ascii="黑体" w:eastAsia="黑体" w:hint="eastAsia"/>
                <w:sz w:val="24"/>
              </w:rPr>
              <w:t>优化前</w:t>
            </w:r>
          </w:p>
        </w:tc>
        <w:tc>
          <w:tcPr>
            <w:tcW w:w="798" w:type="dxa"/>
            <w:vAlign w:val="center"/>
          </w:tcPr>
          <w:p w:rsidR="00013EC7" w:rsidRDefault="00575CDB">
            <w:pPr>
              <w:spacing w:line="280" w:lineRule="exact"/>
              <w:jc w:val="center"/>
              <w:rPr>
                <w:rFonts w:ascii="黑体" w:eastAsia="黑体"/>
                <w:sz w:val="24"/>
              </w:rPr>
            </w:pPr>
            <w:r>
              <w:rPr>
                <w:rFonts w:ascii="黑体" w:eastAsia="黑体" w:hint="eastAsia"/>
                <w:sz w:val="24"/>
              </w:rPr>
              <w:t>优化后</w:t>
            </w:r>
          </w:p>
        </w:tc>
        <w:tc>
          <w:tcPr>
            <w:tcW w:w="958" w:type="dxa"/>
            <w:vMerge/>
            <w:vAlign w:val="center"/>
          </w:tcPr>
          <w:p w:rsidR="00013EC7" w:rsidRDefault="00013EC7">
            <w:pPr>
              <w:rPr>
                <w:rFonts w:ascii="黑体" w:eastAsia="黑体"/>
                <w:sz w:val="24"/>
              </w:rPr>
            </w:pPr>
          </w:p>
        </w:tc>
        <w:tc>
          <w:tcPr>
            <w:tcW w:w="1104" w:type="dxa"/>
            <w:vMerge/>
            <w:vAlign w:val="center"/>
          </w:tcPr>
          <w:p w:rsidR="00013EC7" w:rsidRDefault="00013EC7">
            <w:pPr>
              <w:rPr>
                <w:rFonts w:ascii="黑体" w:eastAsia="黑体"/>
                <w:sz w:val="24"/>
              </w:rPr>
            </w:pPr>
          </w:p>
        </w:tc>
        <w:tc>
          <w:tcPr>
            <w:tcW w:w="1476" w:type="dxa"/>
            <w:vMerge/>
            <w:vAlign w:val="center"/>
          </w:tcPr>
          <w:p w:rsidR="00013EC7" w:rsidRDefault="00013EC7">
            <w:pPr>
              <w:rPr>
                <w:rFonts w:ascii="黑体" w:eastAsia="黑体"/>
                <w:sz w:val="24"/>
              </w:rPr>
            </w:pPr>
          </w:p>
        </w:tc>
      </w:tr>
      <w:tr w:rsidR="00013EC7">
        <w:trPr>
          <w:trHeight w:val="1780"/>
        </w:trPr>
        <w:tc>
          <w:tcPr>
            <w:tcW w:w="672" w:type="dxa"/>
            <w:vMerge w:val="restart"/>
            <w:tcBorders>
              <w:top w:val="single" w:sz="4" w:space="0" w:color="auto"/>
            </w:tcBorders>
            <w:vAlign w:val="center"/>
          </w:tcPr>
          <w:p w:rsidR="00013EC7" w:rsidRDefault="00575CDB">
            <w:pPr>
              <w:spacing w:line="300" w:lineRule="exact"/>
              <w:rPr>
                <w:rFonts w:ascii="仿宋" w:eastAsia="仿宋" w:hAnsi="仿宋"/>
                <w:sz w:val="24"/>
              </w:rPr>
            </w:pPr>
            <w:r>
              <w:rPr>
                <w:rFonts w:ascii="仿宋" w:eastAsia="仿宋" w:hAnsi="仿宋" w:hint="eastAsia"/>
                <w:sz w:val="24"/>
              </w:rPr>
              <w:t>10境外注册中资控股居民企业相关事项认定</w:t>
            </w:r>
          </w:p>
        </w:tc>
        <w:tc>
          <w:tcPr>
            <w:tcW w:w="1035" w:type="dxa"/>
            <w:vMerge w:val="restart"/>
            <w:tcBorders>
              <w:top w:val="single" w:sz="4" w:space="0" w:color="auto"/>
            </w:tcBorders>
            <w:vAlign w:val="center"/>
          </w:tcPr>
          <w:p w:rsidR="00013EC7" w:rsidRDefault="00575CDB">
            <w:pPr>
              <w:spacing w:line="310" w:lineRule="exact"/>
              <w:rPr>
                <w:rFonts w:ascii="仿宋" w:eastAsia="仿宋" w:hAnsi="仿宋"/>
                <w:sz w:val="24"/>
              </w:rPr>
            </w:pPr>
            <w:r>
              <w:rPr>
                <w:rFonts w:ascii="仿宋" w:eastAsia="仿宋" w:hAnsi="仿宋" w:hint="eastAsia"/>
                <w:sz w:val="24"/>
              </w:rPr>
              <w:t>10</w:t>
            </w:r>
            <w:r>
              <w:rPr>
                <w:rFonts w:ascii="仿宋" w:eastAsia="仿宋" w:hAnsi="仿宋"/>
                <w:sz w:val="24"/>
              </w:rPr>
              <w:t>.1</w:t>
            </w:r>
            <w:r>
              <w:rPr>
                <w:rFonts w:ascii="仿宋" w:eastAsia="仿宋" w:hAnsi="仿宋" w:hint="eastAsia"/>
                <w:sz w:val="24"/>
              </w:rPr>
              <w:t xml:space="preserve"> 境外注册中资控股企业居民身份认定申请</w:t>
            </w:r>
          </w:p>
        </w:tc>
        <w:tc>
          <w:tcPr>
            <w:tcW w:w="3539" w:type="dxa"/>
            <w:vMerge w:val="restart"/>
            <w:tcBorders>
              <w:top w:val="single" w:sz="4" w:space="0" w:color="auto"/>
              <w:bottom w:val="single" w:sz="4" w:space="0" w:color="auto"/>
            </w:tcBorders>
            <w:vAlign w:val="center"/>
          </w:tcPr>
          <w:p w:rsidR="00013EC7" w:rsidRDefault="00575CDB">
            <w:pPr>
              <w:spacing w:line="310" w:lineRule="exact"/>
              <w:rPr>
                <w:rFonts w:ascii="仿宋" w:eastAsia="仿宋" w:hAnsi="仿宋"/>
                <w:sz w:val="24"/>
              </w:rPr>
            </w:pPr>
            <w:r>
              <w:rPr>
                <w:rFonts w:ascii="仿宋" w:eastAsia="仿宋" w:hAnsi="仿宋" w:hint="eastAsia"/>
                <w:sz w:val="24"/>
              </w:rPr>
              <w:t>（一）《国家税务总局关于境外注册中资控股企业依据实际管理机构标准认定为居民企业有关问题的通知》（国税发〔2009〕82号）全文。</w:t>
            </w:r>
          </w:p>
          <w:p w:rsidR="00013EC7" w:rsidRDefault="00575CDB">
            <w:pPr>
              <w:spacing w:line="310" w:lineRule="exact"/>
              <w:rPr>
                <w:rFonts w:ascii="仿宋" w:eastAsia="仿宋" w:hAnsi="仿宋"/>
                <w:sz w:val="24"/>
              </w:rPr>
            </w:pPr>
            <w:r>
              <w:rPr>
                <w:rFonts w:ascii="仿宋" w:eastAsia="仿宋" w:hAnsi="仿宋" w:hint="eastAsia"/>
                <w:sz w:val="24"/>
              </w:rPr>
              <w:t>（二）《国家税务总局关于印发〈境外注册中资控股居民企业所得税管理办法（试行）〉的公告》（国家税务总局公告2011年第45号）全文。</w:t>
            </w:r>
          </w:p>
          <w:p w:rsidR="00013EC7" w:rsidRDefault="00575CDB">
            <w:pPr>
              <w:spacing w:line="310" w:lineRule="exact"/>
              <w:rPr>
                <w:rFonts w:ascii="仿宋" w:eastAsia="仿宋" w:hAnsi="仿宋"/>
                <w:sz w:val="24"/>
              </w:rPr>
            </w:pPr>
            <w:r>
              <w:rPr>
                <w:rFonts w:ascii="仿宋" w:eastAsia="仿宋" w:hAnsi="仿宋" w:hint="eastAsia"/>
                <w:sz w:val="24"/>
              </w:rPr>
              <w:t>（三）《国家税务总局关于依据实际管理机构标准实施居民企业认定有关问题的公告》（国家税务总局公告2014年第9号）第一条。</w:t>
            </w:r>
          </w:p>
          <w:p w:rsidR="00013EC7" w:rsidRDefault="00575CDB">
            <w:pPr>
              <w:spacing w:line="310" w:lineRule="exact"/>
              <w:rPr>
                <w:rFonts w:ascii="仿宋" w:eastAsia="仿宋" w:hAnsi="仿宋"/>
                <w:sz w:val="24"/>
              </w:rPr>
            </w:pPr>
            <w:r>
              <w:rPr>
                <w:rFonts w:ascii="仿宋" w:eastAsia="仿宋" w:hAnsi="仿宋" w:hint="eastAsia"/>
                <w:sz w:val="24"/>
              </w:rPr>
              <w:t>（四）《国家税务总局关于贯彻落实〈国务院关于取消和下放一批行政审批项目的决定〉的通知》（税总发〔2014〕6号）全文。</w:t>
            </w:r>
          </w:p>
          <w:p w:rsidR="00013EC7" w:rsidRDefault="00575CDB">
            <w:pPr>
              <w:spacing w:line="310" w:lineRule="exact"/>
              <w:rPr>
                <w:rFonts w:ascii="仿宋" w:eastAsia="仿宋" w:hAnsi="仿宋"/>
                <w:sz w:val="24"/>
              </w:rPr>
            </w:pPr>
            <w:r>
              <w:rPr>
                <w:rFonts w:ascii="仿宋" w:eastAsia="仿宋" w:hAnsi="仿宋" w:hint="eastAsia"/>
                <w:sz w:val="24"/>
              </w:rPr>
              <w:t>（五）《国家税务总局关于修改〈非居民企业所得税核定征收管理办法〉等文件的公告》（国家税务总局公告2015年第22号）第二条。</w:t>
            </w:r>
          </w:p>
        </w:tc>
        <w:tc>
          <w:tcPr>
            <w:tcW w:w="2693" w:type="dxa"/>
            <w:tcBorders>
              <w:top w:val="single" w:sz="4" w:space="0" w:color="auto"/>
              <w:bottom w:val="single" w:sz="4" w:space="0" w:color="auto"/>
            </w:tcBorders>
            <w:vAlign w:val="center"/>
          </w:tcPr>
          <w:p w:rsidR="00013EC7" w:rsidRDefault="00575CDB">
            <w:pPr>
              <w:spacing w:line="310" w:lineRule="exact"/>
              <w:rPr>
                <w:rFonts w:ascii="仿宋" w:eastAsia="仿宋" w:hAnsi="仿宋"/>
                <w:sz w:val="24"/>
              </w:rPr>
            </w:pPr>
            <w:r>
              <w:rPr>
                <w:rFonts w:ascii="仿宋" w:eastAsia="仿宋" w:hAnsi="仿宋" w:hint="eastAsia"/>
                <w:sz w:val="24"/>
              </w:rPr>
              <w:t>（一）企业法律身份证明文件。</w:t>
            </w:r>
          </w:p>
        </w:tc>
        <w:tc>
          <w:tcPr>
            <w:tcW w:w="1559" w:type="dxa"/>
            <w:vMerge w:val="restart"/>
            <w:tcBorders>
              <w:top w:val="single" w:sz="4" w:space="0" w:color="auto"/>
              <w:bottom w:val="single" w:sz="4" w:space="0" w:color="auto"/>
            </w:tcBorders>
            <w:vAlign w:val="center"/>
          </w:tcPr>
          <w:p w:rsidR="00013EC7" w:rsidRDefault="00575CDB">
            <w:pPr>
              <w:spacing w:line="310" w:lineRule="exact"/>
              <w:rPr>
                <w:rFonts w:ascii="仿宋" w:eastAsia="仿宋" w:hAnsi="仿宋"/>
                <w:sz w:val="24"/>
              </w:rPr>
            </w:pPr>
            <w:r>
              <w:rPr>
                <w:rFonts w:ascii="仿宋" w:eastAsia="仿宋" w:hAnsi="仿宋" w:hint="eastAsia"/>
                <w:sz w:val="24"/>
              </w:rPr>
              <w:t>纳税人提交</w:t>
            </w:r>
          </w:p>
        </w:tc>
        <w:tc>
          <w:tcPr>
            <w:tcW w:w="2694" w:type="dxa"/>
            <w:tcBorders>
              <w:top w:val="single" w:sz="4" w:space="0" w:color="auto"/>
              <w:bottom w:val="single" w:sz="4" w:space="0" w:color="auto"/>
            </w:tcBorders>
            <w:vAlign w:val="center"/>
          </w:tcPr>
          <w:p w:rsidR="00013EC7" w:rsidRDefault="00575CDB">
            <w:pPr>
              <w:spacing w:line="310" w:lineRule="exact"/>
              <w:rPr>
                <w:rFonts w:ascii="仿宋" w:eastAsia="仿宋" w:hAnsi="仿宋"/>
                <w:sz w:val="24"/>
              </w:rPr>
            </w:pPr>
            <w:r>
              <w:rPr>
                <w:rFonts w:ascii="仿宋" w:eastAsia="仿宋" w:hAnsi="仿宋" w:hint="eastAsia"/>
                <w:sz w:val="24"/>
              </w:rPr>
              <w:t>（一）企业法律身份证明文件。</w:t>
            </w:r>
          </w:p>
        </w:tc>
        <w:tc>
          <w:tcPr>
            <w:tcW w:w="1332" w:type="dxa"/>
            <w:vMerge w:val="restart"/>
            <w:tcBorders>
              <w:top w:val="single" w:sz="4" w:space="0" w:color="auto"/>
              <w:bottom w:val="single" w:sz="4" w:space="0" w:color="auto"/>
            </w:tcBorders>
            <w:vAlign w:val="center"/>
          </w:tcPr>
          <w:p w:rsidR="00013EC7" w:rsidRDefault="00575CDB">
            <w:pPr>
              <w:spacing w:line="300" w:lineRule="exact"/>
              <w:rPr>
                <w:rFonts w:ascii="仿宋" w:eastAsia="仿宋" w:hAnsi="仿宋"/>
                <w:b/>
                <w:bCs/>
                <w:i/>
                <w:iCs/>
                <w:sz w:val="24"/>
              </w:rPr>
            </w:pPr>
            <w:r>
              <w:rPr>
                <w:rFonts w:ascii="仿宋" w:eastAsia="仿宋" w:hAnsi="仿宋" w:hint="eastAsia"/>
                <w:sz w:val="24"/>
              </w:rPr>
              <w:t>纳税人提交</w:t>
            </w:r>
          </w:p>
        </w:tc>
        <w:tc>
          <w:tcPr>
            <w:tcW w:w="1134" w:type="dxa"/>
            <w:vMerge w:val="restart"/>
            <w:tcBorders>
              <w:top w:val="single" w:sz="4" w:space="0" w:color="auto"/>
              <w:bottom w:val="single" w:sz="4" w:space="0" w:color="auto"/>
            </w:tcBorders>
            <w:vAlign w:val="center"/>
          </w:tcPr>
          <w:p w:rsidR="00013EC7" w:rsidRDefault="00575CDB">
            <w:pPr>
              <w:spacing w:line="300" w:lineRule="exac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申请单位提交书面材料。</w:t>
            </w:r>
          </w:p>
          <w:p w:rsidR="00013EC7" w:rsidRDefault="00013EC7">
            <w:pPr>
              <w:spacing w:line="300" w:lineRule="exact"/>
              <w:rPr>
                <w:rFonts w:ascii="仿宋" w:eastAsia="仿宋" w:hAnsi="仿宋"/>
                <w:sz w:val="24"/>
              </w:rPr>
            </w:pPr>
          </w:p>
        </w:tc>
        <w:tc>
          <w:tcPr>
            <w:tcW w:w="851" w:type="dxa"/>
            <w:vMerge w:val="restart"/>
            <w:tcBorders>
              <w:top w:val="single" w:sz="4" w:space="0" w:color="auto"/>
              <w:bottom w:val="single" w:sz="4" w:space="0" w:color="auto"/>
            </w:tcBorders>
            <w:vAlign w:val="center"/>
          </w:tcPr>
          <w:p w:rsidR="00013EC7" w:rsidRDefault="00575CDB">
            <w:pPr>
              <w:spacing w:line="310" w:lineRule="exact"/>
              <w:rPr>
                <w:rFonts w:ascii="仿宋" w:eastAsia="仿宋" w:hAnsi="仿宋"/>
                <w:sz w:val="24"/>
              </w:rPr>
            </w:pPr>
            <w:r>
              <w:rPr>
                <w:rFonts w:ascii="仿宋" w:eastAsia="仿宋" w:hAnsi="仿宋" w:hint="eastAsia"/>
                <w:sz w:val="24"/>
              </w:rPr>
              <w:t>办税服务厅1个工作日内将相关资料转部门，层报省局确认。省局确认后30日内抄报国家税务总局。</w:t>
            </w:r>
          </w:p>
        </w:tc>
        <w:tc>
          <w:tcPr>
            <w:tcW w:w="798" w:type="dxa"/>
            <w:vMerge w:val="restart"/>
            <w:tcBorders>
              <w:top w:val="single" w:sz="4" w:space="0" w:color="auto"/>
              <w:bottom w:val="single" w:sz="4" w:space="0" w:color="auto"/>
            </w:tcBorders>
            <w:vAlign w:val="center"/>
          </w:tcPr>
          <w:p w:rsidR="00013EC7" w:rsidRDefault="00575CDB">
            <w:pPr>
              <w:spacing w:line="310" w:lineRule="exact"/>
              <w:rPr>
                <w:rFonts w:ascii="仿宋" w:eastAsia="仿宋" w:hAnsi="仿宋"/>
                <w:sz w:val="24"/>
              </w:rPr>
            </w:pPr>
            <w:r>
              <w:rPr>
                <w:rFonts w:ascii="仿宋" w:eastAsia="仿宋" w:hAnsi="仿宋" w:hint="eastAsia"/>
                <w:sz w:val="24"/>
              </w:rPr>
              <w:t>办税服务厅1个工作日内将相关资料转部门，层报省局确认。省局确认后30日内抄报国家税务总局。非境内注册居</w:t>
            </w:r>
            <w:r>
              <w:rPr>
                <w:rFonts w:ascii="仿宋" w:eastAsia="仿宋" w:hAnsi="仿宋" w:hint="eastAsia"/>
                <w:sz w:val="24"/>
              </w:rPr>
              <w:lastRenderedPageBreak/>
              <w:t>民企业的主管税务机关收到关于境外中资企业居民身份的认定结果后，应当在10日内向该企业下达《境外注册中资控股企业居民身份认定书》。</w:t>
            </w:r>
          </w:p>
        </w:tc>
        <w:tc>
          <w:tcPr>
            <w:tcW w:w="958" w:type="dxa"/>
            <w:vMerge w:val="restart"/>
            <w:tcBorders>
              <w:top w:val="single" w:sz="4" w:space="0" w:color="auto"/>
              <w:bottom w:val="single" w:sz="4" w:space="0" w:color="auto"/>
            </w:tcBorders>
            <w:vAlign w:val="center"/>
          </w:tcPr>
          <w:p w:rsidR="00013EC7" w:rsidRDefault="00575CDB">
            <w:pPr>
              <w:spacing w:line="310" w:lineRule="exact"/>
              <w:rPr>
                <w:rFonts w:ascii="仿宋" w:eastAsia="仿宋" w:hAnsi="仿宋"/>
                <w:sz w:val="24"/>
              </w:rPr>
            </w:pPr>
            <w:r>
              <w:rPr>
                <w:rFonts w:ascii="仿宋" w:eastAsia="仿宋" w:hAnsi="仿宋" w:hint="eastAsia"/>
                <w:sz w:val="24"/>
              </w:rPr>
              <w:lastRenderedPageBreak/>
              <w:t>否</w:t>
            </w:r>
          </w:p>
        </w:tc>
        <w:tc>
          <w:tcPr>
            <w:tcW w:w="1104" w:type="dxa"/>
            <w:vMerge w:val="restart"/>
            <w:tcBorders>
              <w:top w:val="single" w:sz="4" w:space="0" w:color="auto"/>
              <w:bottom w:val="single" w:sz="4" w:space="0" w:color="auto"/>
            </w:tcBorders>
            <w:vAlign w:val="center"/>
          </w:tcPr>
          <w:p w:rsidR="00013EC7" w:rsidRDefault="00575CDB">
            <w:pPr>
              <w:spacing w:line="300" w:lineRule="exact"/>
              <w:rPr>
                <w:rFonts w:ascii="仿宋" w:eastAsia="仿宋" w:hAnsi="仿宋"/>
                <w:sz w:val="24"/>
              </w:rPr>
            </w:pPr>
            <w:r>
              <w:rPr>
                <w:rFonts w:ascii="仿宋" w:eastAsia="仿宋" w:hAnsi="仿宋" w:hint="eastAsia"/>
                <w:sz w:val="24"/>
              </w:rPr>
              <w:t>所得税处</w:t>
            </w:r>
          </w:p>
        </w:tc>
        <w:tc>
          <w:tcPr>
            <w:tcW w:w="1476" w:type="dxa"/>
            <w:vMerge w:val="restart"/>
            <w:tcBorders>
              <w:top w:val="single" w:sz="4" w:space="0" w:color="auto"/>
              <w:bottom w:val="single" w:sz="4" w:space="0" w:color="auto"/>
            </w:tcBorders>
            <w:vAlign w:val="center"/>
          </w:tcPr>
          <w:p w:rsidR="00013EC7" w:rsidRDefault="00013EC7">
            <w:pPr>
              <w:spacing w:line="300" w:lineRule="exact"/>
              <w:rPr>
                <w:rFonts w:ascii="仿宋" w:eastAsia="仿宋" w:hAnsi="仿宋"/>
                <w:sz w:val="24"/>
              </w:rPr>
            </w:pPr>
          </w:p>
        </w:tc>
      </w:tr>
      <w:tr w:rsidR="00013EC7">
        <w:trPr>
          <w:trHeight w:val="1780"/>
        </w:trPr>
        <w:tc>
          <w:tcPr>
            <w:tcW w:w="672" w:type="dxa"/>
            <w:vMerge/>
            <w:vAlign w:val="center"/>
          </w:tcPr>
          <w:p w:rsidR="00013EC7" w:rsidRDefault="00013EC7">
            <w:pPr>
              <w:spacing w:line="300" w:lineRule="exact"/>
              <w:jc w:val="left"/>
              <w:rPr>
                <w:rFonts w:ascii="仿宋" w:eastAsia="仿宋" w:hAnsi="仿宋"/>
                <w:sz w:val="24"/>
              </w:rPr>
            </w:pPr>
          </w:p>
        </w:tc>
        <w:tc>
          <w:tcPr>
            <w:tcW w:w="1035" w:type="dxa"/>
            <w:vMerge/>
            <w:vAlign w:val="center"/>
          </w:tcPr>
          <w:p w:rsidR="00013EC7" w:rsidRDefault="00013EC7">
            <w:pPr>
              <w:spacing w:line="310" w:lineRule="exact"/>
              <w:jc w:val="left"/>
              <w:rPr>
                <w:rFonts w:ascii="仿宋" w:eastAsia="仿宋" w:hAnsi="仿宋"/>
                <w:sz w:val="24"/>
              </w:rPr>
            </w:pPr>
          </w:p>
        </w:tc>
        <w:tc>
          <w:tcPr>
            <w:tcW w:w="3539" w:type="dxa"/>
            <w:vMerge/>
            <w:tcBorders>
              <w:bottom w:val="single" w:sz="4" w:space="0" w:color="auto"/>
            </w:tcBorders>
            <w:vAlign w:val="center"/>
          </w:tcPr>
          <w:p w:rsidR="00013EC7" w:rsidRDefault="00013EC7">
            <w:pPr>
              <w:spacing w:line="310" w:lineRule="exact"/>
              <w:jc w:val="left"/>
              <w:rPr>
                <w:rFonts w:ascii="仿宋" w:eastAsia="仿宋" w:hAnsi="仿宋"/>
                <w:sz w:val="24"/>
              </w:rPr>
            </w:pPr>
          </w:p>
        </w:tc>
        <w:tc>
          <w:tcPr>
            <w:tcW w:w="2693" w:type="dxa"/>
            <w:tcBorders>
              <w:top w:val="single" w:sz="4" w:space="0" w:color="auto"/>
              <w:bottom w:val="single" w:sz="4" w:space="0" w:color="auto"/>
            </w:tcBorders>
            <w:vAlign w:val="center"/>
          </w:tcPr>
          <w:p w:rsidR="00013EC7" w:rsidRDefault="00575CDB">
            <w:pPr>
              <w:spacing w:line="310" w:lineRule="exact"/>
              <w:rPr>
                <w:rFonts w:ascii="仿宋" w:eastAsia="仿宋" w:hAnsi="仿宋"/>
                <w:sz w:val="24"/>
              </w:rPr>
            </w:pPr>
            <w:r>
              <w:rPr>
                <w:rFonts w:ascii="仿宋" w:eastAsia="仿宋" w:hAnsi="仿宋" w:hint="eastAsia"/>
                <w:sz w:val="24"/>
              </w:rPr>
              <w:t>（二）企业集团组织结构说明及生产经营概况。</w:t>
            </w:r>
          </w:p>
        </w:tc>
        <w:tc>
          <w:tcPr>
            <w:tcW w:w="1559" w:type="dxa"/>
            <w:vMerge/>
            <w:tcBorders>
              <w:bottom w:val="single" w:sz="4" w:space="0" w:color="auto"/>
            </w:tcBorders>
            <w:vAlign w:val="center"/>
          </w:tcPr>
          <w:p w:rsidR="00013EC7" w:rsidRDefault="00013EC7">
            <w:pPr>
              <w:spacing w:line="310" w:lineRule="exact"/>
              <w:rPr>
                <w:rFonts w:ascii="仿宋" w:eastAsia="仿宋" w:hAnsi="仿宋"/>
                <w:sz w:val="24"/>
              </w:rPr>
            </w:pPr>
          </w:p>
        </w:tc>
        <w:tc>
          <w:tcPr>
            <w:tcW w:w="2694" w:type="dxa"/>
            <w:tcBorders>
              <w:top w:val="single" w:sz="4" w:space="0" w:color="auto"/>
            </w:tcBorders>
            <w:vAlign w:val="center"/>
          </w:tcPr>
          <w:p w:rsidR="00013EC7" w:rsidRDefault="00575CDB">
            <w:pPr>
              <w:spacing w:line="310" w:lineRule="exact"/>
              <w:rPr>
                <w:rFonts w:ascii="仿宋" w:eastAsia="仿宋" w:hAnsi="仿宋"/>
                <w:sz w:val="24"/>
              </w:rPr>
            </w:pPr>
            <w:r>
              <w:rPr>
                <w:rFonts w:ascii="仿宋" w:eastAsia="仿宋" w:hAnsi="仿宋" w:hint="eastAsia"/>
                <w:sz w:val="24"/>
              </w:rPr>
              <w:t>（二）企业集团组织结构说明及生产经营概况。</w:t>
            </w:r>
          </w:p>
        </w:tc>
        <w:tc>
          <w:tcPr>
            <w:tcW w:w="1332" w:type="dxa"/>
            <w:vMerge/>
            <w:tcBorders>
              <w:bottom w:val="single" w:sz="4" w:space="0" w:color="auto"/>
            </w:tcBorders>
            <w:vAlign w:val="center"/>
          </w:tcPr>
          <w:p w:rsidR="00013EC7" w:rsidRDefault="00013EC7">
            <w:pPr>
              <w:spacing w:line="300" w:lineRule="exact"/>
              <w:rPr>
                <w:rFonts w:ascii="仿宋" w:eastAsia="仿宋" w:hAnsi="仿宋"/>
                <w:sz w:val="24"/>
              </w:rPr>
            </w:pPr>
          </w:p>
        </w:tc>
        <w:tc>
          <w:tcPr>
            <w:tcW w:w="1134" w:type="dxa"/>
            <w:vMerge/>
            <w:tcBorders>
              <w:bottom w:val="single" w:sz="4" w:space="0" w:color="auto"/>
            </w:tcBorders>
            <w:vAlign w:val="center"/>
          </w:tcPr>
          <w:p w:rsidR="00013EC7" w:rsidRDefault="00013EC7">
            <w:pPr>
              <w:spacing w:line="300" w:lineRule="exact"/>
              <w:rPr>
                <w:rFonts w:ascii="仿宋" w:eastAsia="仿宋" w:hAnsi="仿宋"/>
                <w:sz w:val="24"/>
              </w:rPr>
            </w:pPr>
          </w:p>
        </w:tc>
        <w:tc>
          <w:tcPr>
            <w:tcW w:w="851" w:type="dxa"/>
            <w:vMerge/>
            <w:tcBorders>
              <w:bottom w:val="single" w:sz="4" w:space="0" w:color="auto"/>
            </w:tcBorders>
            <w:vAlign w:val="center"/>
          </w:tcPr>
          <w:p w:rsidR="00013EC7" w:rsidRDefault="00013EC7">
            <w:pPr>
              <w:spacing w:line="300" w:lineRule="exact"/>
              <w:rPr>
                <w:rFonts w:ascii="仿宋" w:eastAsia="仿宋" w:hAnsi="仿宋"/>
                <w:sz w:val="24"/>
              </w:rPr>
            </w:pPr>
          </w:p>
        </w:tc>
        <w:tc>
          <w:tcPr>
            <w:tcW w:w="798" w:type="dxa"/>
            <w:vMerge/>
            <w:tcBorders>
              <w:bottom w:val="single" w:sz="4" w:space="0" w:color="auto"/>
            </w:tcBorders>
            <w:vAlign w:val="center"/>
          </w:tcPr>
          <w:p w:rsidR="00013EC7" w:rsidRDefault="00013EC7">
            <w:pPr>
              <w:spacing w:line="300" w:lineRule="exact"/>
              <w:rPr>
                <w:rFonts w:ascii="仿宋" w:eastAsia="仿宋" w:hAnsi="仿宋"/>
                <w:sz w:val="24"/>
              </w:rPr>
            </w:pPr>
          </w:p>
        </w:tc>
        <w:tc>
          <w:tcPr>
            <w:tcW w:w="958" w:type="dxa"/>
            <w:vMerge/>
            <w:tcBorders>
              <w:bottom w:val="single" w:sz="4" w:space="0" w:color="auto"/>
            </w:tcBorders>
            <w:vAlign w:val="center"/>
          </w:tcPr>
          <w:p w:rsidR="00013EC7" w:rsidRDefault="00013EC7">
            <w:pPr>
              <w:spacing w:line="300" w:lineRule="exact"/>
              <w:rPr>
                <w:rFonts w:ascii="仿宋" w:eastAsia="仿宋" w:hAnsi="仿宋"/>
                <w:sz w:val="24"/>
              </w:rPr>
            </w:pPr>
          </w:p>
        </w:tc>
        <w:tc>
          <w:tcPr>
            <w:tcW w:w="1104" w:type="dxa"/>
            <w:vMerge/>
            <w:tcBorders>
              <w:bottom w:val="single" w:sz="4" w:space="0" w:color="auto"/>
            </w:tcBorders>
            <w:vAlign w:val="center"/>
          </w:tcPr>
          <w:p w:rsidR="00013EC7" w:rsidRDefault="00013EC7">
            <w:pPr>
              <w:spacing w:line="300" w:lineRule="exact"/>
              <w:rPr>
                <w:rFonts w:ascii="仿宋" w:eastAsia="仿宋" w:hAnsi="仿宋"/>
                <w:sz w:val="24"/>
              </w:rPr>
            </w:pPr>
          </w:p>
        </w:tc>
        <w:tc>
          <w:tcPr>
            <w:tcW w:w="1476" w:type="dxa"/>
            <w:vMerge/>
            <w:tcBorders>
              <w:bottom w:val="single" w:sz="4" w:space="0" w:color="auto"/>
            </w:tcBorders>
            <w:vAlign w:val="center"/>
          </w:tcPr>
          <w:p w:rsidR="00013EC7" w:rsidRDefault="00013EC7">
            <w:pPr>
              <w:spacing w:line="300" w:lineRule="exact"/>
              <w:rPr>
                <w:rFonts w:ascii="仿宋" w:eastAsia="仿宋" w:hAnsi="仿宋"/>
                <w:sz w:val="24"/>
              </w:rPr>
            </w:pPr>
          </w:p>
        </w:tc>
      </w:tr>
      <w:tr w:rsidR="00013EC7">
        <w:trPr>
          <w:trHeight w:val="1780"/>
        </w:trPr>
        <w:tc>
          <w:tcPr>
            <w:tcW w:w="672" w:type="dxa"/>
            <w:vMerge/>
            <w:vAlign w:val="center"/>
          </w:tcPr>
          <w:p w:rsidR="00013EC7" w:rsidRDefault="00013EC7">
            <w:pPr>
              <w:spacing w:line="300" w:lineRule="exact"/>
              <w:jc w:val="left"/>
              <w:rPr>
                <w:rFonts w:ascii="仿宋" w:eastAsia="仿宋" w:hAnsi="仿宋"/>
                <w:sz w:val="24"/>
              </w:rPr>
            </w:pPr>
          </w:p>
        </w:tc>
        <w:tc>
          <w:tcPr>
            <w:tcW w:w="1035" w:type="dxa"/>
            <w:vMerge/>
            <w:vAlign w:val="center"/>
          </w:tcPr>
          <w:p w:rsidR="00013EC7" w:rsidRDefault="00013EC7">
            <w:pPr>
              <w:spacing w:line="310" w:lineRule="exact"/>
              <w:jc w:val="left"/>
              <w:rPr>
                <w:rFonts w:ascii="仿宋" w:eastAsia="仿宋" w:hAnsi="仿宋"/>
                <w:sz w:val="24"/>
              </w:rPr>
            </w:pPr>
          </w:p>
        </w:tc>
        <w:tc>
          <w:tcPr>
            <w:tcW w:w="3539" w:type="dxa"/>
            <w:vMerge/>
            <w:tcBorders>
              <w:bottom w:val="single" w:sz="4" w:space="0" w:color="auto"/>
            </w:tcBorders>
            <w:vAlign w:val="center"/>
          </w:tcPr>
          <w:p w:rsidR="00013EC7" w:rsidRDefault="00013EC7">
            <w:pPr>
              <w:spacing w:line="310" w:lineRule="exact"/>
              <w:jc w:val="left"/>
              <w:rPr>
                <w:rFonts w:ascii="仿宋" w:eastAsia="仿宋" w:hAnsi="仿宋"/>
                <w:sz w:val="24"/>
              </w:rPr>
            </w:pPr>
          </w:p>
        </w:tc>
        <w:tc>
          <w:tcPr>
            <w:tcW w:w="2693" w:type="dxa"/>
            <w:tcBorders>
              <w:top w:val="single" w:sz="4" w:space="0" w:color="auto"/>
              <w:bottom w:val="single" w:sz="4" w:space="0" w:color="auto"/>
            </w:tcBorders>
            <w:vAlign w:val="center"/>
          </w:tcPr>
          <w:p w:rsidR="00013EC7" w:rsidRDefault="00575CDB">
            <w:pPr>
              <w:spacing w:line="310" w:lineRule="exact"/>
              <w:rPr>
                <w:rFonts w:ascii="仿宋" w:eastAsia="仿宋" w:hAnsi="仿宋"/>
                <w:sz w:val="24"/>
              </w:rPr>
            </w:pPr>
            <w:r>
              <w:rPr>
                <w:rFonts w:ascii="仿宋" w:eastAsia="仿宋" w:hAnsi="仿宋" w:hint="eastAsia"/>
                <w:sz w:val="24"/>
              </w:rPr>
              <w:t>（三）企业最近一个年度的公证会计师审计报告。</w:t>
            </w:r>
          </w:p>
        </w:tc>
        <w:tc>
          <w:tcPr>
            <w:tcW w:w="1559" w:type="dxa"/>
            <w:vMerge/>
            <w:tcBorders>
              <w:bottom w:val="single" w:sz="4" w:space="0" w:color="auto"/>
            </w:tcBorders>
            <w:vAlign w:val="center"/>
          </w:tcPr>
          <w:p w:rsidR="00013EC7" w:rsidRDefault="00013EC7">
            <w:pPr>
              <w:spacing w:line="310" w:lineRule="exact"/>
              <w:rPr>
                <w:rFonts w:ascii="仿宋" w:eastAsia="仿宋" w:hAnsi="仿宋"/>
                <w:sz w:val="24"/>
              </w:rPr>
            </w:pPr>
          </w:p>
        </w:tc>
        <w:tc>
          <w:tcPr>
            <w:tcW w:w="2694" w:type="dxa"/>
            <w:vAlign w:val="center"/>
          </w:tcPr>
          <w:p w:rsidR="00013EC7" w:rsidRDefault="00575CDB">
            <w:pPr>
              <w:spacing w:line="310" w:lineRule="exact"/>
              <w:rPr>
                <w:rFonts w:ascii="仿宋" w:eastAsia="仿宋" w:hAnsi="仿宋"/>
                <w:sz w:val="24"/>
              </w:rPr>
            </w:pPr>
            <w:r>
              <w:rPr>
                <w:rFonts w:ascii="仿宋" w:eastAsia="仿宋" w:hAnsi="仿宋" w:hint="eastAsia"/>
                <w:sz w:val="24"/>
              </w:rPr>
              <w:t>（三）企业最近一个年度的公证会计师审计报告。</w:t>
            </w:r>
          </w:p>
        </w:tc>
        <w:tc>
          <w:tcPr>
            <w:tcW w:w="1332" w:type="dxa"/>
            <w:vMerge/>
            <w:tcBorders>
              <w:bottom w:val="single" w:sz="4" w:space="0" w:color="auto"/>
            </w:tcBorders>
            <w:vAlign w:val="center"/>
          </w:tcPr>
          <w:p w:rsidR="00013EC7" w:rsidRDefault="00013EC7">
            <w:pPr>
              <w:spacing w:line="300" w:lineRule="exact"/>
              <w:rPr>
                <w:rFonts w:ascii="仿宋" w:eastAsia="仿宋" w:hAnsi="仿宋"/>
                <w:sz w:val="24"/>
              </w:rPr>
            </w:pPr>
          </w:p>
        </w:tc>
        <w:tc>
          <w:tcPr>
            <w:tcW w:w="1134" w:type="dxa"/>
            <w:vMerge/>
            <w:tcBorders>
              <w:bottom w:val="single" w:sz="4" w:space="0" w:color="auto"/>
            </w:tcBorders>
            <w:vAlign w:val="center"/>
          </w:tcPr>
          <w:p w:rsidR="00013EC7" w:rsidRDefault="00013EC7">
            <w:pPr>
              <w:spacing w:line="300" w:lineRule="exact"/>
              <w:rPr>
                <w:rFonts w:ascii="仿宋" w:eastAsia="仿宋" w:hAnsi="仿宋"/>
                <w:sz w:val="24"/>
              </w:rPr>
            </w:pPr>
          </w:p>
        </w:tc>
        <w:tc>
          <w:tcPr>
            <w:tcW w:w="851" w:type="dxa"/>
            <w:vMerge/>
            <w:tcBorders>
              <w:bottom w:val="single" w:sz="4" w:space="0" w:color="auto"/>
            </w:tcBorders>
            <w:vAlign w:val="center"/>
          </w:tcPr>
          <w:p w:rsidR="00013EC7" w:rsidRDefault="00013EC7">
            <w:pPr>
              <w:spacing w:line="300" w:lineRule="exact"/>
              <w:rPr>
                <w:rFonts w:ascii="仿宋" w:eastAsia="仿宋" w:hAnsi="仿宋"/>
                <w:sz w:val="24"/>
              </w:rPr>
            </w:pPr>
          </w:p>
        </w:tc>
        <w:tc>
          <w:tcPr>
            <w:tcW w:w="798" w:type="dxa"/>
            <w:vMerge/>
            <w:tcBorders>
              <w:bottom w:val="single" w:sz="4" w:space="0" w:color="auto"/>
            </w:tcBorders>
            <w:vAlign w:val="center"/>
          </w:tcPr>
          <w:p w:rsidR="00013EC7" w:rsidRDefault="00013EC7">
            <w:pPr>
              <w:spacing w:line="300" w:lineRule="exact"/>
              <w:rPr>
                <w:rFonts w:ascii="仿宋" w:eastAsia="仿宋" w:hAnsi="仿宋"/>
                <w:sz w:val="24"/>
              </w:rPr>
            </w:pPr>
          </w:p>
        </w:tc>
        <w:tc>
          <w:tcPr>
            <w:tcW w:w="958" w:type="dxa"/>
            <w:vMerge/>
            <w:tcBorders>
              <w:bottom w:val="single" w:sz="4" w:space="0" w:color="auto"/>
            </w:tcBorders>
            <w:vAlign w:val="center"/>
          </w:tcPr>
          <w:p w:rsidR="00013EC7" w:rsidRDefault="00013EC7">
            <w:pPr>
              <w:spacing w:line="300" w:lineRule="exact"/>
              <w:rPr>
                <w:rFonts w:ascii="仿宋" w:eastAsia="仿宋" w:hAnsi="仿宋"/>
                <w:sz w:val="24"/>
              </w:rPr>
            </w:pPr>
          </w:p>
        </w:tc>
        <w:tc>
          <w:tcPr>
            <w:tcW w:w="1104" w:type="dxa"/>
            <w:vMerge/>
            <w:tcBorders>
              <w:bottom w:val="single" w:sz="4" w:space="0" w:color="auto"/>
            </w:tcBorders>
            <w:vAlign w:val="center"/>
          </w:tcPr>
          <w:p w:rsidR="00013EC7" w:rsidRDefault="00013EC7">
            <w:pPr>
              <w:spacing w:line="300" w:lineRule="exact"/>
              <w:rPr>
                <w:rFonts w:ascii="仿宋" w:eastAsia="仿宋" w:hAnsi="仿宋"/>
                <w:sz w:val="24"/>
              </w:rPr>
            </w:pPr>
          </w:p>
        </w:tc>
        <w:tc>
          <w:tcPr>
            <w:tcW w:w="1476" w:type="dxa"/>
            <w:vMerge/>
            <w:tcBorders>
              <w:bottom w:val="single" w:sz="4" w:space="0" w:color="auto"/>
            </w:tcBorders>
            <w:vAlign w:val="center"/>
          </w:tcPr>
          <w:p w:rsidR="00013EC7" w:rsidRDefault="00013EC7">
            <w:pPr>
              <w:spacing w:line="300" w:lineRule="exact"/>
              <w:rPr>
                <w:rFonts w:ascii="仿宋" w:eastAsia="仿宋" w:hAnsi="仿宋"/>
                <w:sz w:val="24"/>
              </w:rPr>
            </w:pPr>
          </w:p>
        </w:tc>
      </w:tr>
      <w:tr w:rsidR="00013EC7">
        <w:trPr>
          <w:trHeight w:val="1780"/>
        </w:trPr>
        <w:tc>
          <w:tcPr>
            <w:tcW w:w="672" w:type="dxa"/>
            <w:vMerge/>
            <w:vAlign w:val="center"/>
          </w:tcPr>
          <w:p w:rsidR="00013EC7" w:rsidRDefault="00013EC7">
            <w:pPr>
              <w:spacing w:line="310" w:lineRule="exact"/>
              <w:rPr>
                <w:rFonts w:ascii="仿宋" w:eastAsia="仿宋" w:hAnsi="仿宋"/>
                <w:sz w:val="24"/>
              </w:rPr>
            </w:pPr>
          </w:p>
        </w:tc>
        <w:tc>
          <w:tcPr>
            <w:tcW w:w="1035" w:type="dxa"/>
            <w:vMerge/>
            <w:vAlign w:val="center"/>
          </w:tcPr>
          <w:p w:rsidR="00013EC7" w:rsidRDefault="00013EC7">
            <w:pPr>
              <w:spacing w:line="310" w:lineRule="exact"/>
              <w:rPr>
                <w:rFonts w:ascii="仿宋" w:eastAsia="仿宋" w:hAnsi="仿宋"/>
                <w:sz w:val="24"/>
              </w:rPr>
            </w:pPr>
          </w:p>
        </w:tc>
        <w:tc>
          <w:tcPr>
            <w:tcW w:w="3539" w:type="dxa"/>
            <w:vMerge/>
            <w:tcBorders>
              <w:bottom w:val="single" w:sz="4" w:space="0" w:color="auto"/>
            </w:tcBorders>
            <w:vAlign w:val="center"/>
          </w:tcPr>
          <w:p w:rsidR="00013EC7" w:rsidRDefault="00013EC7">
            <w:pPr>
              <w:spacing w:line="310" w:lineRule="exact"/>
              <w:rPr>
                <w:rFonts w:ascii="仿宋" w:eastAsia="仿宋" w:hAnsi="仿宋"/>
                <w:sz w:val="24"/>
              </w:rPr>
            </w:pPr>
          </w:p>
        </w:tc>
        <w:tc>
          <w:tcPr>
            <w:tcW w:w="2693" w:type="dxa"/>
            <w:tcBorders>
              <w:top w:val="single" w:sz="4" w:space="0" w:color="auto"/>
              <w:bottom w:val="single" w:sz="4" w:space="0" w:color="auto"/>
            </w:tcBorders>
            <w:vAlign w:val="center"/>
          </w:tcPr>
          <w:p w:rsidR="00013EC7" w:rsidRDefault="00575CDB">
            <w:pPr>
              <w:spacing w:line="310" w:lineRule="exact"/>
              <w:rPr>
                <w:rFonts w:ascii="仿宋" w:eastAsia="仿宋" w:hAnsi="仿宋"/>
                <w:sz w:val="24"/>
              </w:rPr>
            </w:pPr>
            <w:r>
              <w:rPr>
                <w:rFonts w:ascii="仿宋" w:eastAsia="仿宋" w:hAnsi="仿宋" w:hint="eastAsia"/>
                <w:sz w:val="24"/>
              </w:rPr>
              <w:t>（四）负责企业生产经营等事项的高层管理机构履行职责的场所的地址证明。</w:t>
            </w:r>
          </w:p>
        </w:tc>
        <w:tc>
          <w:tcPr>
            <w:tcW w:w="1559" w:type="dxa"/>
            <w:vMerge/>
            <w:tcBorders>
              <w:bottom w:val="single" w:sz="4" w:space="0" w:color="auto"/>
            </w:tcBorders>
            <w:vAlign w:val="center"/>
          </w:tcPr>
          <w:p w:rsidR="00013EC7" w:rsidRDefault="00013EC7">
            <w:pPr>
              <w:spacing w:line="310" w:lineRule="exact"/>
              <w:rPr>
                <w:rFonts w:ascii="仿宋" w:eastAsia="仿宋" w:hAnsi="仿宋"/>
                <w:sz w:val="24"/>
              </w:rPr>
            </w:pPr>
          </w:p>
        </w:tc>
        <w:tc>
          <w:tcPr>
            <w:tcW w:w="2694" w:type="dxa"/>
            <w:vAlign w:val="center"/>
          </w:tcPr>
          <w:p w:rsidR="00013EC7" w:rsidRDefault="00575CDB">
            <w:pPr>
              <w:spacing w:line="310" w:lineRule="exact"/>
              <w:rPr>
                <w:rFonts w:ascii="仿宋" w:eastAsia="仿宋" w:hAnsi="仿宋"/>
                <w:sz w:val="24"/>
              </w:rPr>
            </w:pPr>
            <w:r>
              <w:rPr>
                <w:rFonts w:ascii="仿宋" w:eastAsia="仿宋" w:hAnsi="仿宋" w:hint="eastAsia"/>
                <w:sz w:val="24"/>
              </w:rPr>
              <w:t>（四）负责企业生产经营等事项的高层管理机构履行职责的场所的地址证明。</w:t>
            </w:r>
          </w:p>
        </w:tc>
        <w:tc>
          <w:tcPr>
            <w:tcW w:w="1332" w:type="dxa"/>
            <w:vMerge/>
            <w:tcBorders>
              <w:bottom w:val="single" w:sz="4" w:space="0" w:color="auto"/>
            </w:tcBorders>
            <w:vAlign w:val="center"/>
          </w:tcPr>
          <w:p w:rsidR="00013EC7" w:rsidRDefault="00013EC7">
            <w:pPr>
              <w:spacing w:line="310" w:lineRule="exact"/>
              <w:rPr>
                <w:rFonts w:ascii="仿宋" w:eastAsia="仿宋" w:hAnsi="仿宋"/>
                <w:sz w:val="24"/>
              </w:rPr>
            </w:pPr>
          </w:p>
        </w:tc>
        <w:tc>
          <w:tcPr>
            <w:tcW w:w="1134" w:type="dxa"/>
            <w:vMerge/>
            <w:tcBorders>
              <w:bottom w:val="single" w:sz="4" w:space="0" w:color="auto"/>
            </w:tcBorders>
            <w:vAlign w:val="center"/>
          </w:tcPr>
          <w:p w:rsidR="00013EC7" w:rsidRDefault="00013EC7">
            <w:pPr>
              <w:spacing w:line="310" w:lineRule="exact"/>
              <w:rPr>
                <w:rFonts w:ascii="仿宋" w:eastAsia="仿宋" w:hAnsi="仿宋"/>
                <w:sz w:val="24"/>
              </w:rPr>
            </w:pPr>
          </w:p>
        </w:tc>
        <w:tc>
          <w:tcPr>
            <w:tcW w:w="851" w:type="dxa"/>
            <w:vMerge/>
            <w:tcBorders>
              <w:bottom w:val="single" w:sz="4" w:space="0" w:color="auto"/>
            </w:tcBorders>
            <w:vAlign w:val="center"/>
          </w:tcPr>
          <w:p w:rsidR="00013EC7" w:rsidRDefault="00013EC7">
            <w:pPr>
              <w:spacing w:line="310" w:lineRule="exact"/>
              <w:rPr>
                <w:rFonts w:ascii="仿宋" w:eastAsia="仿宋" w:hAnsi="仿宋"/>
                <w:sz w:val="24"/>
              </w:rPr>
            </w:pPr>
          </w:p>
        </w:tc>
        <w:tc>
          <w:tcPr>
            <w:tcW w:w="798" w:type="dxa"/>
            <w:vMerge/>
            <w:tcBorders>
              <w:bottom w:val="single" w:sz="4" w:space="0" w:color="auto"/>
            </w:tcBorders>
            <w:vAlign w:val="center"/>
          </w:tcPr>
          <w:p w:rsidR="00013EC7" w:rsidRDefault="00013EC7">
            <w:pPr>
              <w:spacing w:line="310" w:lineRule="exact"/>
              <w:rPr>
                <w:rFonts w:ascii="仿宋" w:eastAsia="仿宋" w:hAnsi="仿宋"/>
                <w:sz w:val="24"/>
              </w:rPr>
            </w:pPr>
          </w:p>
        </w:tc>
        <w:tc>
          <w:tcPr>
            <w:tcW w:w="958" w:type="dxa"/>
            <w:vMerge/>
            <w:tcBorders>
              <w:bottom w:val="single" w:sz="4" w:space="0" w:color="auto"/>
            </w:tcBorders>
            <w:vAlign w:val="center"/>
          </w:tcPr>
          <w:p w:rsidR="00013EC7" w:rsidRDefault="00013EC7">
            <w:pPr>
              <w:spacing w:line="310" w:lineRule="exact"/>
              <w:rPr>
                <w:rFonts w:ascii="仿宋" w:eastAsia="仿宋" w:hAnsi="仿宋"/>
                <w:sz w:val="24"/>
              </w:rPr>
            </w:pPr>
          </w:p>
        </w:tc>
        <w:tc>
          <w:tcPr>
            <w:tcW w:w="1104" w:type="dxa"/>
            <w:vMerge/>
            <w:tcBorders>
              <w:bottom w:val="single" w:sz="4" w:space="0" w:color="auto"/>
            </w:tcBorders>
            <w:vAlign w:val="center"/>
          </w:tcPr>
          <w:p w:rsidR="00013EC7" w:rsidRDefault="00013EC7">
            <w:pPr>
              <w:spacing w:line="310" w:lineRule="exact"/>
              <w:rPr>
                <w:rFonts w:ascii="仿宋" w:eastAsia="仿宋" w:hAnsi="仿宋"/>
                <w:sz w:val="24"/>
              </w:rPr>
            </w:pPr>
          </w:p>
        </w:tc>
        <w:tc>
          <w:tcPr>
            <w:tcW w:w="1476" w:type="dxa"/>
            <w:vMerge/>
            <w:tcBorders>
              <w:bottom w:val="single" w:sz="4" w:space="0" w:color="auto"/>
            </w:tcBorders>
            <w:vAlign w:val="center"/>
          </w:tcPr>
          <w:p w:rsidR="00013EC7" w:rsidRDefault="00013EC7">
            <w:pPr>
              <w:spacing w:line="310" w:lineRule="exact"/>
              <w:rPr>
                <w:rFonts w:ascii="仿宋" w:eastAsia="仿宋" w:hAnsi="仿宋"/>
                <w:sz w:val="24"/>
              </w:rPr>
            </w:pPr>
          </w:p>
        </w:tc>
      </w:tr>
      <w:tr w:rsidR="00013EC7">
        <w:trPr>
          <w:trHeight w:val="1780"/>
        </w:trPr>
        <w:tc>
          <w:tcPr>
            <w:tcW w:w="672" w:type="dxa"/>
            <w:vMerge/>
            <w:vAlign w:val="center"/>
          </w:tcPr>
          <w:p w:rsidR="00013EC7" w:rsidRDefault="00013EC7">
            <w:pPr>
              <w:spacing w:line="310" w:lineRule="exact"/>
              <w:rPr>
                <w:rFonts w:ascii="仿宋" w:eastAsia="仿宋" w:hAnsi="仿宋"/>
                <w:sz w:val="24"/>
              </w:rPr>
            </w:pPr>
          </w:p>
        </w:tc>
        <w:tc>
          <w:tcPr>
            <w:tcW w:w="1035" w:type="dxa"/>
            <w:vMerge/>
            <w:vAlign w:val="center"/>
          </w:tcPr>
          <w:p w:rsidR="00013EC7" w:rsidRDefault="00013EC7">
            <w:pPr>
              <w:spacing w:line="310" w:lineRule="exact"/>
              <w:rPr>
                <w:rFonts w:ascii="仿宋" w:eastAsia="仿宋" w:hAnsi="仿宋"/>
                <w:sz w:val="24"/>
              </w:rPr>
            </w:pPr>
          </w:p>
        </w:tc>
        <w:tc>
          <w:tcPr>
            <w:tcW w:w="3539" w:type="dxa"/>
            <w:vMerge/>
            <w:tcBorders>
              <w:bottom w:val="single" w:sz="4" w:space="0" w:color="auto"/>
            </w:tcBorders>
            <w:vAlign w:val="center"/>
          </w:tcPr>
          <w:p w:rsidR="00013EC7" w:rsidRDefault="00013EC7">
            <w:pPr>
              <w:spacing w:line="310" w:lineRule="exact"/>
              <w:rPr>
                <w:rFonts w:ascii="仿宋" w:eastAsia="仿宋" w:hAnsi="仿宋"/>
                <w:sz w:val="24"/>
              </w:rPr>
            </w:pPr>
          </w:p>
        </w:tc>
        <w:tc>
          <w:tcPr>
            <w:tcW w:w="2693" w:type="dxa"/>
            <w:tcBorders>
              <w:top w:val="single" w:sz="4" w:space="0" w:color="auto"/>
              <w:bottom w:val="single" w:sz="4" w:space="0" w:color="auto"/>
            </w:tcBorders>
            <w:vAlign w:val="center"/>
          </w:tcPr>
          <w:p w:rsidR="00013EC7" w:rsidRDefault="00575CDB">
            <w:pPr>
              <w:spacing w:line="310" w:lineRule="exact"/>
              <w:rPr>
                <w:rFonts w:ascii="仿宋" w:eastAsia="仿宋" w:hAnsi="仿宋"/>
                <w:sz w:val="24"/>
              </w:rPr>
            </w:pPr>
            <w:r>
              <w:rPr>
                <w:rFonts w:ascii="仿宋" w:eastAsia="仿宋" w:hAnsi="仿宋" w:hint="eastAsia"/>
                <w:sz w:val="24"/>
              </w:rPr>
              <w:t>（五）</w:t>
            </w:r>
            <w:r>
              <w:rPr>
                <w:rFonts w:ascii="仿宋" w:eastAsia="仿宋" w:hAnsi="仿宋"/>
                <w:sz w:val="24"/>
              </w:rPr>
              <w:t>企业董事及高层管理人员在中华人民共和国境内居住记录</w:t>
            </w:r>
            <w:r>
              <w:rPr>
                <w:rFonts w:ascii="仿宋" w:eastAsia="仿宋" w:hAnsi="仿宋" w:hint="eastAsia"/>
                <w:sz w:val="24"/>
              </w:rPr>
              <w:t>。</w:t>
            </w:r>
          </w:p>
        </w:tc>
        <w:tc>
          <w:tcPr>
            <w:tcW w:w="1559" w:type="dxa"/>
            <w:vMerge/>
            <w:tcBorders>
              <w:bottom w:val="single" w:sz="4" w:space="0" w:color="auto"/>
            </w:tcBorders>
            <w:vAlign w:val="center"/>
          </w:tcPr>
          <w:p w:rsidR="00013EC7" w:rsidRDefault="00013EC7">
            <w:pPr>
              <w:spacing w:line="310" w:lineRule="exact"/>
              <w:rPr>
                <w:rFonts w:ascii="仿宋" w:eastAsia="仿宋" w:hAnsi="仿宋"/>
                <w:sz w:val="24"/>
              </w:rPr>
            </w:pPr>
          </w:p>
        </w:tc>
        <w:tc>
          <w:tcPr>
            <w:tcW w:w="2694" w:type="dxa"/>
            <w:vAlign w:val="center"/>
          </w:tcPr>
          <w:p w:rsidR="00013EC7" w:rsidRDefault="00575CDB">
            <w:pPr>
              <w:spacing w:line="310" w:lineRule="exact"/>
              <w:rPr>
                <w:rFonts w:ascii="仿宋" w:eastAsia="仿宋" w:hAnsi="仿宋"/>
                <w:sz w:val="24"/>
              </w:rPr>
            </w:pPr>
            <w:r>
              <w:rPr>
                <w:rFonts w:ascii="仿宋" w:eastAsia="仿宋" w:hAnsi="仿宋" w:hint="eastAsia"/>
                <w:sz w:val="24"/>
              </w:rPr>
              <w:t>（五）</w:t>
            </w:r>
            <w:r>
              <w:rPr>
                <w:rFonts w:ascii="仿宋" w:eastAsia="仿宋" w:hAnsi="仿宋"/>
                <w:sz w:val="24"/>
              </w:rPr>
              <w:t>企业董事及高层管理人员在中华人民共和国境内居住记录</w:t>
            </w:r>
            <w:r>
              <w:rPr>
                <w:rFonts w:ascii="仿宋" w:eastAsia="仿宋" w:hAnsi="仿宋" w:hint="eastAsia"/>
                <w:sz w:val="24"/>
              </w:rPr>
              <w:t>。</w:t>
            </w:r>
          </w:p>
        </w:tc>
        <w:tc>
          <w:tcPr>
            <w:tcW w:w="1332" w:type="dxa"/>
            <w:vMerge/>
            <w:tcBorders>
              <w:bottom w:val="single" w:sz="4" w:space="0" w:color="auto"/>
            </w:tcBorders>
            <w:vAlign w:val="center"/>
          </w:tcPr>
          <w:p w:rsidR="00013EC7" w:rsidRDefault="00013EC7">
            <w:pPr>
              <w:spacing w:line="310" w:lineRule="exact"/>
              <w:rPr>
                <w:rFonts w:ascii="仿宋" w:eastAsia="仿宋" w:hAnsi="仿宋"/>
                <w:sz w:val="24"/>
              </w:rPr>
            </w:pPr>
          </w:p>
        </w:tc>
        <w:tc>
          <w:tcPr>
            <w:tcW w:w="1134" w:type="dxa"/>
            <w:vMerge/>
            <w:tcBorders>
              <w:bottom w:val="single" w:sz="4" w:space="0" w:color="auto"/>
            </w:tcBorders>
            <w:vAlign w:val="center"/>
          </w:tcPr>
          <w:p w:rsidR="00013EC7" w:rsidRDefault="00013EC7">
            <w:pPr>
              <w:spacing w:line="310" w:lineRule="exact"/>
              <w:rPr>
                <w:rFonts w:ascii="仿宋" w:eastAsia="仿宋" w:hAnsi="仿宋"/>
                <w:sz w:val="24"/>
              </w:rPr>
            </w:pPr>
          </w:p>
        </w:tc>
        <w:tc>
          <w:tcPr>
            <w:tcW w:w="851" w:type="dxa"/>
            <w:vMerge/>
            <w:tcBorders>
              <w:bottom w:val="single" w:sz="4" w:space="0" w:color="auto"/>
            </w:tcBorders>
            <w:vAlign w:val="center"/>
          </w:tcPr>
          <w:p w:rsidR="00013EC7" w:rsidRDefault="00013EC7">
            <w:pPr>
              <w:spacing w:line="310" w:lineRule="exact"/>
              <w:rPr>
                <w:rFonts w:ascii="仿宋" w:eastAsia="仿宋" w:hAnsi="仿宋"/>
                <w:sz w:val="24"/>
              </w:rPr>
            </w:pPr>
          </w:p>
        </w:tc>
        <w:tc>
          <w:tcPr>
            <w:tcW w:w="798" w:type="dxa"/>
            <w:vMerge/>
            <w:tcBorders>
              <w:bottom w:val="single" w:sz="4" w:space="0" w:color="auto"/>
            </w:tcBorders>
            <w:vAlign w:val="center"/>
          </w:tcPr>
          <w:p w:rsidR="00013EC7" w:rsidRDefault="00013EC7">
            <w:pPr>
              <w:spacing w:line="310" w:lineRule="exact"/>
              <w:rPr>
                <w:rFonts w:ascii="仿宋" w:eastAsia="仿宋" w:hAnsi="仿宋"/>
                <w:sz w:val="24"/>
              </w:rPr>
            </w:pPr>
          </w:p>
        </w:tc>
        <w:tc>
          <w:tcPr>
            <w:tcW w:w="958" w:type="dxa"/>
            <w:vMerge/>
            <w:tcBorders>
              <w:bottom w:val="single" w:sz="4" w:space="0" w:color="auto"/>
            </w:tcBorders>
            <w:vAlign w:val="center"/>
          </w:tcPr>
          <w:p w:rsidR="00013EC7" w:rsidRDefault="00013EC7">
            <w:pPr>
              <w:spacing w:line="310" w:lineRule="exact"/>
              <w:rPr>
                <w:rFonts w:ascii="仿宋" w:eastAsia="仿宋" w:hAnsi="仿宋"/>
                <w:sz w:val="24"/>
              </w:rPr>
            </w:pPr>
          </w:p>
        </w:tc>
        <w:tc>
          <w:tcPr>
            <w:tcW w:w="1104" w:type="dxa"/>
            <w:vMerge/>
            <w:tcBorders>
              <w:bottom w:val="single" w:sz="4" w:space="0" w:color="auto"/>
            </w:tcBorders>
            <w:vAlign w:val="center"/>
          </w:tcPr>
          <w:p w:rsidR="00013EC7" w:rsidRDefault="00013EC7">
            <w:pPr>
              <w:spacing w:line="310" w:lineRule="exact"/>
              <w:rPr>
                <w:rFonts w:ascii="仿宋" w:eastAsia="仿宋" w:hAnsi="仿宋"/>
                <w:sz w:val="24"/>
              </w:rPr>
            </w:pPr>
          </w:p>
        </w:tc>
        <w:tc>
          <w:tcPr>
            <w:tcW w:w="1476" w:type="dxa"/>
            <w:vMerge/>
            <w:tcBorders>
              <w:bottom w:val="single" w:sz="4" w:space="0" w:color="auto"/>
            </w:tcBorders>
            <w:vAlign w:val="center"/>
          </w:tcPr>
          <w:p w:rsidR="00013EC7" w:rsidRDefault="00013EC7">
            <w:pPr>
              <w:spacing w:line="310" w:lineRule="exact"/>
              <w:rPr>
                <w:rFonts w:ascii="仿宋" w:eastAsia="仿宋" w:hAnsi="仿宋"/>
                <w:sz w:val="24"/>
              </w:rPr>
            </w:pPr>
          </w:p>
        </w:tc>
      </w:tr>
      <w:tr w:rsidR="00013EC7">
        <w:trPr>
          <w:trHeight w:val="1780"/>
        </w:trPr>
        <w:tc>
          <w:tcPr>
            <w:tcW w:w="672" w:type="dxa"/>
            <w:vMerge/>
            <w:tcBorders>
              <w:bottom w:val="single" w:sz="4" w:space="0" w:color="auto"/>
            </w:tcBorders>
            <w:vAlign w:val="center"/>
          </w:tcPr>
          <w:p w:rsidR="00013EC7" w:rsidRDefault="00013EC7">
            <w:pPr>
              <w:spacing w:line="310" w:lineRule="exact"/>
              <w:rPr>
                <w:rFonts w:ascii="仿宋" w:eastAsia="仿宋" w:hAnsi="仿宋"/>
                <w:sz w:val="24"/>
              </w:rPr>
            </w:pPr>
          </w:p>
        </w:tc>
        <w:tc>
          <w:tcPr>
            <w:tcW w:w="1035" w:type="dxa"/>
            <w:vMerge/>
            <w:tcBorders>
              <w:bottom w:val="single" w:sz="4" w:space="0" w:color="auto"/>
            </w:tcBorders>
            <w:vAlign w:val="center"/>
          </w:tcPr>
          <w:p w:rsidR="00013EC7" w:rsidRDefault="00013EC7">
            <w:pPr>
              <w:spacing w:line="310" w:lineRule="exact"/>
              <w:rPr>
                <w:rFonts w:ascii="仿宋" w:eastAsia="仿宋" w:hAnsi="仿宋"/>
                <w:sz w:val="24"/>
              </w:rPr>
            </w:pPr>
          </w:p>
        </w:tc>
        <w:tc>
          <w:tcPr>
            <w:tcW w:w="3539" w:type="dxa"/>
            <w:vMerge/>
            <w:tcBorders>
              <w:bottom w:val="single" w:sz="4" w:space="0" w:color="auto"/>
            </w:tcBorders>
            <w:vAlign w:val="center"/>
          </w:tcPr>
          <w:p w:rsidR="00013EC7" w:rsidRDefault="00013EC7">
            <w:pPr>
              <w:spacing w:line="310" w:lineRule="exact"/>
              <w:rPr>
                <w:rFonts w:ascii="仿宋" w:eastAsia="仿宋" w:hAnsi="仿宋"/>
                <w:sz w:val="24"/>
              </w:rPr>
            </w:pPr>
          </w:p>
        </w:tc>
        <w:tc>
          <w:tcPr>
            <w:tcW w:w="2693" w:type="dxa"/>
            <w:tcBorders>
              <w:top w:val="single" w:sz="4" w:space="0" w:color="auto"/>
              <w:bottom w:val="single" w:sz="4" w:space="0" w:color="auto"/>
            </w:tcBorders>
            <w:vAlign w:val="center"/>
          </w:tcPr>
          <w:p w:rsidR="00013EC7" w:rsidRDefault="00575CDB">
            <w:pPr>
              <w:spacing w:line="310" w:lineRule="exact"/>
              <w:rPr>
                <w:rFonts w:ascii="仿宋" w:eastAsia="仿宋" w:hAnsi="仿宋"/>
                <w:sz w:val="24"/>
              </w:rPr>
            </w:pPr>
            <w:r>
              <w:rPr>
                <w:rFonts w:ascii="仿宋" w:eastAsia="仿宋" w:hAnsi="仿宋" w:hint="eastAsia"/>
                <w:sz w:val="24"/>
              </w:rPr>
              <w:t>（六）企业重大事项的董事会决议及会议记录。</w:t>
            </w:r>
          </w:p>
        </w:tc>
        <w:tc>
          <w:tcPr>
            <w:tcW w:w="1559" w:type="dxa"/>
            <w:vMerge/>
            <w:tcBorders>
              <w:bottom w:val="single" w:sz="4" w:space="0" w:color="auto"/>
            </w:tcBorders>
            <w:vAlign w:val="center"/>
          </w:tcPr>
          <w:p w:rsidR="00013EC7" w:rsidRDefault="00013EC7">
            <w:pPr>
              <w:spacing w:line="310" w:lineRule="exact"/>
              <w:rPr>
                <w:rFonts w:ascii="仿宋" w:eastAsia="仿宋" w:hAnsi="仿宋"/>
                <w:sz w:val="24"/>
              </w:rPr>
            </w:pPr>
          </w:p>
        </w:tc>
        <w:tc>
          <w:tcPr>
            <w:tcW w:w="2694" w:type="dxa"/>
            <w:tcBorders>
              <w:bottom w:val="single" w:sz="4" w:space="0" w:color="auto"/>
            </w:tcBorders>
            <w:vAlign w:val="center"/>
          </w:tcPr>
          <w:p w:rsidR="00013EC7" w:rsidRDefault="00575CDB">
            <w:pPr>
              <w:spacing w:line="310" w:lineRule="exact"/>
              <w:rPr>
                <w:rFonts w:ascii="仿宋" w:eastAsia="仿宋" w:hAnsi="仿宋"/>
                <w:sz w:val="24"/>
              </w:rPr>
            </w:pPr>
            <w:r>
              <w:rPr>
                <w:rFonts w:ascii="仿宋" w:eastAsia="仿宋" w:hAnsi="仿宋" w:hint="eastAsia"/>
                <w:sz w:val="24"/>
              </w:rPr>
              <w:t>（六）企业重大事项的董事会决议及会议记录。</w:t>
            </w:r>
          </w:p>
        </w:tc>
        <w:tc>
          <w:tcPr>
            <w:tcW w:w="1332" w:type="dxa"/>
            <w:vMerge/>
            <w:tcBorders>
              <w:bottom w:val="single" w:sz="4" w:space="0" w:color="auto"/>
            </w:tcBorders>
            <w:vAlign w:val="center"/>
          </w:tcPr>
          <w:p w:rsidR="00013EC7" w:rsidRDefault="00013EC7">
            <w:pPr>
              <w:spacing w:line="310" w:lineRule="exact"/>
              <w:rPr>
                <w:rFonts w:ascii="仿宋" w:eastAsia="仿宋" w:hAnsi="仿宋"/>
                <w:sz w:val="24"/>
              </w:rPr>
            </w:pPr>
          </w:p>
        </w:tc>
        <w:tc>
          <w:tcPr>
            <w:tcW w:w="1134" w:type="dxa"/>
            <w:vMerge/>
            <w:tcBorders>
              <w:bottom w:val="single" w:sz="4" w:space="0" w:color="auto"/>
            </w:tcBorders>
            <w:vAlign w:val="center"/>
          </w:tcPr>
          <w:p w:rsidR="00013EC7" w:rsidRDefault="00013EC7">
            <w:pPr>
              <w:spacing w:line="310" w:lineRule="exact"/>
              <w:rPr>
                <w:rFonts w:ascii="仿宋" w:eastAsia="仿宋" w:hAnsi="仿宋"/>
                <w:sz w:val="24"/>
              </w:rPr>
            </w:pPr>
          </w:p>
        </w:tc>
        <w:tc>
          <w:tcPr>
            <w:tcW w:w="851" w:type="dxa"/>
            <w:vMerge/>
            <w:tcBorders>
              <w:bottom w:val="single" w:sz="4" w:space="0" w:color="auto"/>
            </w:tcBorders>
            <w:vAlign w:val="center"/>
          </w:tcPr>
          <w:p w:rsidR="00013EC7" w:rsidRDefault="00013EC7">
            <w:pPr>
              <w:spacing w:line="310" w:lineRule="exact"/>
              <w:rPr>
                <w:rFonts w:ascii="仿宋" w:eastAsia="仿宋" w:hAnsi="仿宋"/>
                <w:sz w:val="24"/>
              </w:rPr>
            </w:pPr>
          </w:p>
        </w:tc>
        <w:tc>
          <w:tcPr>
            <w:tcW w:w="798" w:type="dxa"/>
            <w:vMerge/>
            <w:tcBorders>
              <w:bottom w:val="single" w:sz="4" w:space="0" w:color="auto"/>
            </w:tcBorders>
            <w:vAlign w:val="center"/>
          </w:tcPr>
          <w:p w:rsidR="00013EC7" w:rsidRDefault="00013EC7">
            <w:pPr>
              <w:spacing w:line="310" w:lineRule="exact"/>
              <w:rPr>
                <w:rFonts w:ascii="仿宋" w:eastAsia="仿宋" w:hAnsi="仿宋"/>
                <w:sz w:val="24"/>
              </w:rPr>
            </w:pPr>
          </w:p>
        </w:tc>
        <w:tc>
          <w:tcPr>
            <w:tcW w:w="958" w:type="dxa"/>
            <w:vMerge/>
            <w:tcBorders>
              <w:bottom w:val="single" w:sz="4" w:space="0" w:color="auto"/>
            </w:tcBorders>
            <w:vAlign w:val="center"/>
          </w:tcPr>
          <w:p w:rsidR="00013EC7" w:rsidRDefault="00013EC7">
            <w:pPr>
              <w:spacing w:line="310" w:lineRule="exact"/>
              <w:rPr>
                <w:rFonts w:ascii="仿宋" w:eastAsia="仿宋" w:hAnsi="仿宋"/>
                <w:sz w:val="24"/>
              </w:rPr>
            </w:pPr>
          </w:p>
        </w:tc>
        <w:tc>
          <w:tcPr>
            <w:tcW w:w="1104" w:type="dxa"/>
            <w:vMerge/>
            <w:tcBorders>
              <w:bottom w:val="single" w:sz="4" w:space="0" w:color="auto"/>
            </w:tcBorders>
            <w:vAlign w:val="center"/>
          </w:tcPr>
          <w:p w:rsidR="00013EC7" w:rsidRDefault="00013EC7">
            <w:pPr>
              <w:spacing w:line="310" w:lineRule="exact"/>
              <w:rPr>
                <w:rFonts w:ascii="仿宋" w:eastAsia="仿宋" w:hAnsi="仿宋"/>
                <w:sz w:val="24"/>
              </w:rPr>
            </w:pPr>
          </w:p>
        </w:tc>
        <w:tc>
          <w:tcPr>
            <w:tcW w:w="1476" w:type="dxa"/>
            <w:vMerge/>
            <w:tcBorders>
              <w:bottom w:val="single" w:sz="4" w:space="0" w:color="auto"/>
            </w:tcBorders>
            <w:vAlign w:val="center"/>
          </w:tcPr>
          <w:p w:rsidR="00013EC7" w:rsidRDefault="00013EC7">
            <w:pPr>
              <w:spacing w:line="310" w:lineRule="exact"/>
              <w:rPr>
                <w:rFonts w:ascii="仿宋" w:eastAsia="仿宋" w:hAnsi="仿宋"/>
                <w:sz w:val="24"/>
              </w:rPr>
            </w:pPr>
          </w:p>
        </w:tc>
      </w:tr>
    </w:tbl>
    <w:p w:rsidR="00013EC7" w:rsidRDefault="00013EC7">
      <w:pPr>
        <w:spacing w:line="310" w:lineRule="exact"/>
        <w:rPr>
          <w:rFonts w:ascii="仿宋" w:eastAsia="仿宋" w:hAnsi="仿宋"/>
          <w:sz w:val="24"/>
        </w:rPr>
      </w:pPr>
    </w:p>
    <w:p w:rsidR="00013EC7" w:rsidRDefault="00013EC7">
      <w:pPr>
        <w:spacing w:line="310" w:lineRule="exact"/>
        <w:rPr>
          <w:rFonts w:ascii="仿宋" w:eastAsia="仿宋" w:hAnsi="仿宋"/>
          <w:sz w:val="24"/>
        </w:rPr>
      </w:pPr>
    </w:p>
    <w:p w:rsidR="00013EC7" w:rsidRDefault="00575CDB">
      <w:r>
        <w:object w:dxaOrig="9424" w:dyaOrig="13145">
          <v:shape id="_x0000_i1728" type="#_x0000_t75" style="width:471.65pt;height:657.25pt" o:ole="">
            <v:imagedata r:id="rId114" o:title=""/>
          </v:shape>
          <o:OLEObject Type="Embed" ProgID="Visio.Drawing.11" ShapeID="_x0000_i1728" DrawAspect="Content" ObjectID="_1577296114" r:id="rId115"/>
        </w:object>
      </w:r>
    </w:p>
    <w:p w:rsidR="00013EC7" w:rsidRDefault="00575CDB">
      <w:pPr>
        <w:pStyle w:val="1"/>
      </w:pPr>
      <w:bookmarkStart w:id="160" w:name="_Toc13420"/>
      <w:bookmarkStart w:id="161" w:name="_Toc11171"/>
      <w:bookmarkStart w:id="162" w:name="_Toc4839"/>
      <w:bookmarkStart w:id="163" w:name="_Toc503467392"/>
      <w:r>
        <w:rPr>
          <w:rFonts w:hint="eastAsia"/>
        </w:rPr>
        <w:lastRenderedPageBreak/>
        <w:t>十一、涉外税收事项认定</w:t>
      </w:r>
      <w:bookmarkEnd w:id="160"/>
      <w:bookmarkEnd w:id="161"/>
      <w:bookmarkEnd w:id="162"/>
      <w:bookmarkEnd w:id="163"/>
    </w:p>
    <w:p w:rsidR="00013EC7" w:rsidRDefault="00575CDB">
      <w:pPr>
        <w:pStyle w:val="2"/>
      </w:pPr>
      <w:bookmarkStart w:id="164" w:name="_Toc503467393"/>
      <w:bookmarkStart w:id="165" w:name="_Toc2141"/>
      <w:bookmarkStart w:id="166" w:name="_Toc1969"/>
      <w:bookmarkStart w:id="167" w:name="_Toc5167"/>
      <w:r>
        <w:rPr>
          <w:rFonts w:hint="eastAsia"/>
        </w:rPr>
        <w:t>11.1</w:t>
      </w:r>
      <w:r>
        <w:rPr>
          <w:rFonts w:hint="eastAsia"/>
        </w:rPr>
        <w:t>成本分摊协议报告</w:t>
      </w:r>
      <w:bookmarkEnd w:id="164"/>
      <w:bookmarkEnd w:id="165"/>
      <w:bookmarkEnd w:id="166"/>
      <w:bookmarkEnd w:id="167"/>
    </w:p>
    <w:p w:rsidR="00013EC7" w:rsidRDefault="00575CDB">
      <w:pPr>
        <w:jc w:val="center"/>
        <w:rPr>
          <w:rFonts w:eastAsia="仿宋_GB2312"/>
          <w:szCs w:val="21"/>
        </w:rPr>
      </w:pPr>
      <w:r>
        <w:rPr>
          <w:rFonts w:ascii="宋体" w:hAnsi="宋体" w:cs="宋体" w:hint="eastAsia"/>
          <w:b/>
          <w:bCs/>
          <w:sz w:val="52"/>
          <w:szCs w:val="52"/>
        </w:rPr>
        <w:t>全省“最多跑一次”事项“八统一”梳理表</w:t>
      </w:r>
    </w:p>
    <w:tbl>
      <w:tblPr>
        <w:tblW w:w="19845"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2114"/>
        <w:gridCol w:w="2785"/>
        <w:gridCol w:w="1118"/>
        <w:gridCol w:w="2058"/>
        <w:gridCol w:w="2126"/>
        <w:gridCol w:w="2733"/>
        <w:gridCol w:w="868"/>
        <w:gridCol w:w="798"/>
        <w:gridCol w:w="958"/>
        <w:gridCol w:w="1104"/>
        <w:gridCol w:w="1476"/>
      </w:tblGrid>
      <w:tr w:rsidR="00013EC7">
        <w:trPr>
          <w:trHeight w:val="340"/>
          <w:tblHeader/>
          <w:jc w:val="center"/>
        </w:trPr>
        <w:tc>
          <w:tcPr>
            <w:tcW w:w="672"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主项名称</w:t>
            </w:r>
          </w:p>
        </w:tc>
        <w:tc>
          <w:tcPr>
            <w:tcW w:w="1035"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子项名称</w:t>
            </w:r>
          </w:p>
        </w:tc>
        <w:tc>
          <w:tcPr>
            <w:tcW w:w="2114"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经办依据</w:t>
            </w:r>
          </w:p>
        </w:tc>
        <w:tc>
          <w:tcPr>
            <w:tcW w:w="3903"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原经办所需材料</w:t>
            </w:r>
          </w:p>
        </w:tc>
        <w:tc>
          <w:tcPr>
            <w:tcW w:w="6917" w:type="dxa"/>
            <w:gridSpan w:val="3"/>
            <w:vAlign w:val="center"/>
          </w:tcPr>
          <w:p w:rsidR="00013EC7" w:rsidRDefault="00575CDB">
            <w:pPr>
              <w:spacing w:line="280" w:lineRule="exact"/>
              <w:jc w:val="center"/>
              <w:rPr>
                <w:rFonts w:ascii="黑体" w:eastAsia="黑体"/>
                <w:sz w:val="24"/>
              </w:rPr>
            </w:pPr>
            <w:r>
              <w:rPr>
                <w:rFonts w:ascii="黑体" w:eastAsia="黑体" w:hint="eastAsia"/>
                <w:sz w:val="24"/>
              </w:rPr>
              <w:t>精简后经办所需材料</w:t>
            </w:r>
          </w:p>
        </w:tc>
        <w:tc>
          <w:tcPr>
            <w:tcW w:w="1666"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办理时限</w:t>
            </w:r>
          </w:p>
        </w:tc>
        <w:tc>
          <w:tcPr>
            <w:tcW w:w="958"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是否实现跑零次</w:t>
            </w:r>
          </w:p>
        </w:tc>
        <w:tc>
          <w:tcPr>
            <w:tcW w:w="1104"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省厅对口</w:t>
            </w:r>
          </w:p>
          <w:p w:rsidR="00013EC7" w:rsidRDefault="00575CDB">
            <w:pPr>
              <w:spacing w:line="280" w:lineRule="exact"/>
              <w:jc w:val="center"/>
              <w:rPr>
                <w:rFonts w:ascii="黑体" w:eastAsia="黑体"/>
                <w:sz w:val="24"/>
              </w:rPr>
            </w:pPr>
            <w:r>
              <w:rPr>
                <w:rFonts w:ascii="黑体" w:eastAsia="黑体" w:hint="eastAsia"/>
                <w:sz w:val="24"/>
              </w:rPr>
              <w:t>指导处室</w:t>
            </w:r>
          </w:p>
          <w:p w:rsidR="00013EC7" w:rsidRDefault="00575CDB">
            <w:pPr>
              <w:spacing w:line="280" w:lineRule="exact"/>
              <w:jc w:val="center"/>
              <w:rPr>
                <w:rFonts w:ascii="黑体" w:eastAsia="黑体"/>
                <w:sz w:val="24"/>
              </w:rPr>
            </w:pPr>
            <w:r>
              <w:rPr>
                <w:rFonts w:ascii="黑体" w:eastAsia="黑体" w:hint="eastAsia"/>
                <w:sz w:val="24"/>
              </w:rPr>
              <w:t>（单位）</w:t>
            </w:r>
          </w:p>
        </w:tc>
        <w:tc>
          <w:tcPr>
            <w:tcW w:w="1476"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进一步精简、</w:t>
            </w:r>
          </w:p>
          <w:p w:rsidR="00013EC7" w:rsidRDefault="00575CDB">
            <w:pPr>
              <w:spacing w:line="280" w:lineRule="exact"/>
              <w:jc w:val="center"/>
              <w:rPr>
                <w:rFonts w:ascii="黑体" w:eastAsia="黑体"/>
                <w:sz w:val="24"/>
              </w:rPr>
            </w:pPr>
            <w:r>
              <w:rPr>
                <w:rFonts w:ascii="黑体" w:eastAsia="黑体" w:hint="eastAsia"/>
                <w:sz w:val="24"/>
              </w:rPr>
              <w:t>规范建议</w:t>
            </w:r>
          </w:p>
        </w:tc>
      </w:tr>
      <w:tr w:rsidR="00013EC7">
        <w:trPr>
          <w:trHeight w:val="340"/>
          <w:tblHeader/>
          <w:jc w:val="center"/>
        </w:trPr>
        <w:tc>
          <w:tcPr>
            <w:tcW w:w="672" w:type="dxa"/>
            <w:vMerge/>
            <w:vAlign w:val="center"/>
          </w:tcPr>
          <w:p w:rsidR="00013EC7" w:rsidRDefault="00013EC7">
            <w:pPr>
              <w:spacing w:line="280" w:lineRule="exact"/>
              <w:jc w:val="center"/>
              <w:rPr>
                <w:rFonts w:ascii="黑体" w:eastAsia="黑体"/>
                <w:sz w:val="24"/>
              </w:rPr>
            </w:pPr>
          </w:p>
        </w:tc>
        <w:tc>
          <w:tcPr>
            <w:tcW w:w="1035" w:type="dxa"/>
            <w:vMerge/>
          </w:tcPr>
          <w:p w:rsidR="00013EC7" w:rsidRDefault="00013EC7">
            <w:pPr>
              <w:spacing w:line="280" w:lineRule="exact"/>
              <w:jc w:val="center"/>
              <w:rPr>
                <w:rFonts w:ascii="黑体" w:eastAsia="黑体"/>
                <w:sz w:val="24"/>
              </w:rPr>
            </w:pPr>
          </w:p>
        </w:tc>
        <w:tc>
          <w:tcPr>
            <w:tcW w:w="2114" w:type="dxa"/>
            <w:vMerge/>
          </w:tcPr>
          <w:p w:rsidR="00013EC7" w:rsidRDefault="00013EC7">
            <w:pPr>
              <w:spacing w:line="280" w:lineRule="exact"/>
              <w:jc w:val="center"/>
              <w:rPr>
                <w:rFonts w:ascii="黑体" w:eastAsia="黑体"/>
                <w:sz w:val="24"/>
              </w:rPr>
            </w:pPr>
          </w:p>
        </w:tc>
        <w:tc>
          <w:tcPr>
            <w:tcW w:w="2785" w:type="dxa"/>
            <w:tcBorders>
              <w:bottom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118"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2058" w:type="dxa"/>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2126"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2733" w:type="dxa"/>
            <w:vAlign w:val="center"/>
          </w:tcPr>
          <w:p w:rsidR="00013EC7" w:rsidRDefault="00575CDB">
            <w:pPr>
              <w:spacing w:line="280" w:lineRule="exact"/>
              <w:jc w:val="center"/>
              <w:rPr>
                <w:rFonts w:ascii="黑体" w:eastAsia="黑体"/>
                <w:sz w:val="24"/>
              </w:rPr>
            </w:pPr>
            <w:r>
              <w:rPr>
                <w:rFonts w:ascii="黑体" w:eastAsia="黑体" w:hint="eastAsia"/>
                <w:sz w:val="24"/>
              </w:rPr>
              <w:t>办理方式及材料</w:t>
            </w:r>
          </w:p>
          <w:p w:rsidR="00013EC7" w:rsidRDefault="00575CDB">
            <w:pPr>
              <w:spacing w:line="280" w:lineRule="exact"/>
              <w:jc w:val="center"/>
              <w:rPr>
                <w:rFonts w:ascii="黑体" w:eastAsia="黑体"/>
                <w:sz w:val="24"/>
              </w:rPr>
            </w:pPr>
            <w:r>
              <w:rPr>
                <w:rFonts w:ascii="黑体" w:eastAsia="黑体" w:hint="eastAsia"/>
                <w:sz w:val="24"/>
              </w:rPr>
              <w:t>信息获取方式说明</w:t>
            </w:r>
          </w:p>
        </w:tc>
        <w:tc>
          <w:tcPr>
            <w:tcW w:w="868" w:type="dxa"/>
            <w:vAlign w:val="center"/>
          </w:tcPr>
          <w:p w:rsidR="00013EC7" w:rsidRDefault="00575CDB">
            <w:pPr>
              <w:spacing w:line="280" w:lineRule="exact"/>
              <w:jc w:val="center"/>
              <w:rPr>
                <w:rFonts w:ascii="黑体" w:eastAsia="黑体"/>
                <w:sz w:val="24"/>
              </w:rPr>
            </w:pPr>
            <w:r>
              <w:rPr>
                <w:rFonts w:ascii="黑体" w:eastAsia="黑体" w:hint="eastAsia"/>
                <w:sz w:val="24"/>
              </w:rPr>
              <w:t>优化前</w:t>
            </w:r>
          </w:p>
        </w:tc>
        <w:tc>
          <w:tcPr>
            <w:tcW w:w="798" w:type="dxa"/>
            <w:vAlign w:val="center"/>
          </w:tcPr>
          <w:p w:rsidR="00013EC7" w:rsidRDefault="00575CDB">
            <w:pPr>
              <w:spacing w:line="280" w:lineRule="exact"/>
              <w:jc w:val="center"/>
              <w:rPr>
                <w:rFonts w:ascii="黑体" w:eastAsia="黑体"/>
                <w:sz w:val="24"/>
              </w:rPr>
            </w:pPr>
            <w:r>
              <w:rPr>
                <w:rFonts w:ascii="黑体" w:eastAsia="黑体" w:hint="eastAsia"/>
                <w:sz w:val="24"/>
              </w:rPr>
              <w:t>优化后</w:t>
            </w:r>
          </w:p>
        </w:tc>
        <w:tc>
          <w:tcPr>
            <w:tcW w:w="958" w:type="dxa"/>
            <w:vMerge/>
            <w:vAlign w:val="center"/>
          </w:tcPr>
          <w:p w:rsidR="00013EC7" w:rsidRDefault="00013EC7"/>
        </w:tc>
        <w:tc>
          <w:tcPr>
            <w:tcW w:w="1104" w:type="dxa"/>
            <w:vMerge/>
            <w:vAlign w:val="center"/>
          </w:tcPr>
          <w:p w:rsidR="00013EC7" w:rsidRDefault="00013EC7"/>
        </w:tc>
        <w:tc>
          <w:tcPr>
            <w:tcW w:w="1476" w:type="dxa"/>
            <w:vMerge/>
            <w:vAlign w:val="center"/>
          </w:tcPr>
          <w:p w:rsidR="00013EC7" w:rsidRDefault="00013EC7"/>
        </w:tc>
      </w:tr>
      <w:tr w:rsidR="00013EC7">
        <w:trPr>
          <w:trHeight w:val="6203"/>
          <w:jc w:val="center"/>
        </w:trPr>
        <w:tc>
          <w:tcPr>
            <w:tcW w:w="672" w:type="dxa"/>
            <w:tcBorders>
              <w:bottom w:val="single" w:sz="4" w:space="0" w:color="auto"/>
            </w:tcBorders>
            <w:vAlign w:val="center"/>
          </w:tcPr>
          <w:p w:rsidR="00013EC7" w:rsidRDefault="00575CDB">
            <w:pPr>
              <w:spacing w:line="310" w:lineRule="exact"/>
              <w:jc w:val="left"/>
              <w:rPr>
                <w:rFonts w:ascii="仿宋" w:eastAsia="仿宋" w:hAnsi="仿宋"/>
                <w:sz w:val="24"/>
              </w:rPr>
            </w:pPr>
            <w:r>
              <w:rPr>
                <w:rFonts w:ascii="仿宋" w:eastAsia="仿宋" w:hAnsi="仿宋" w:hint="eastAsia"/>
                <w:sz w:val="24"/>
              </w:rPr>
              <w:t>11涉外税收事项认定</w:t>
            </w:r>
          </w:p>
        </w:tc>
        <w:tc>
          <w:tcPr>
            <w:tcW w:w="1035" w:type="dxa"/>
            <w:tcBorders>
              <w:bottom w:val="single" w:sz="4" w:space="0" w:color="auto"/>
            </w:tcBorders>
            <w:vAlign w:val="center"/>
          </w:tcPr>
          <w:p w:rsidR="00013EC7" w:rsidRDefault="00575CDB">
            <w:pPr>
              <w:spacing w:line="310" w:lineRule="exact"/>
              <w:jc w:val="left"/>
              <w:rPr>
                <w:rFonts w:ascii="仿宋" w:eastAsia="仿宋" w:hAnsi="仿宋"/>
                <w:sz w:val="24"/>
              </w:rPr>
            </w:pPr>
            <w:r>
              <w:rPr>
                <w:rFonts w:ascii="仿宋" w:eastAsia="仿宋" w:hAnsi="仿宋" w:hint="eastAsia"/>
                <w:sz w:val="24"/>
              </w:rPr>
              <w:t>11</w:t>
            </w:r>
            <w:r>
              <w:rPr>
                <w:rFonts w:ascii="仿宋" w:eastAsia="仿宋" w:hAnsi="仿宋"/>
                <w:sz w:val="24"/>
              </w:rPr>
              <w:t>.1</w:t>
            </w:r>
            <w:r>
              <w:rPr>
                <w:rFonts w:ascii="仿宋" w:eastAsia="仿宋" w:hAnsi="仿宋" w:hint="eastAsia"/>
                <w:sz w:val="24"/>
              </w:rPr>
              <w:t>成本分摊协议报告</w:t>
            </w:r>
          </w:p>
        </w:tc>
        <w:tc>
          <w:tcPr>
            <w:tcW w:w="2114" w:type="dxa"/>
            <w:tcBorders>
              <w:bottom w:val="single" w:sz="4" w:space="0" w:color="auto"/>
            </w:tcBorders>
            <w:vAlign w:val="center"/>
          </w:tcPr>
          <w:p w:rsidR="00013EC7" w:rsidRDefault="00575CDB">
            <w:pPr>
              <w:spacing w:line="310" w:lineRule="exact"/>
              <w:jc w:val="left"/>
              <w:rPr>
                <w:rFonts w:ascii="仿宋" w:eastAsia="仿宋" w:hAnsi="仿宋"/>
                <w:sz w:val="24"/>
              </w:rPr>
            </w:pPr>
            <w:r>
              <w:rPr>
                <w:rFonts w:ascii="仿宋" w:eastAsia="仿宋" w:hAnsi="仿宋" w:hint="eastAsia"/>
                <w:sz w:val="24"/>
              </w:rPr>
              <w:t>（一）《中华人民共和国企业所得税法》（2007年中华人民共和国主席令第63号）第四十一条第二款。</w:t>
            </w:r>
          </w:p>
          <w:p w:rsidR="00013EC7" w:rsidRDefault="00575CDB">
            <w:pPr>
              <w:spacing w:line="310" w:lineRule="exact"/>
              <w:jc w:val="left"/>
              <w:rPr>
                <w:rFonts w:ascii="仿宋" w:eastAsia="仿宋" w:hAnsi="仿宋"/>
                <w:sz w:val="24"/>
              </w:rPr>
            </w:pPr>
            <w:r>
              <w:rPr>
                <w:rFonts w:ascii="仿宋" w:eastAsia="仿宋" w:hAnsi="仿宋" w:hint="eastAsia"/>
                <w:sz w:val="24"/>
              </w:rPr>
              <w:t>（二）《国家税务总局关于印发&lt;特别纳税调整实施办法（试行）&gt;的通知》（国税发〔2009〕2号）第六十四条至第六十八条、第七十条至第七十三条、第七十五条。</w:t>
            </w:r>
          </w:p>
          <w:p w:rsidR="00013EC7" w:rsidRDefault="00575CDB">
            <w:pPr>
              <w:spacing w:line="310" w:lineRule="exact"/>
              <w:jc w:val="left"/>
              <w:rPr>
                <w:rFonts w:ascii="仿宋" w:eastAsia="仿宋" w:hAnsi="仿宋"/>
                <w:sz w:val="24"/>
              </w:rPr>
            </w:pPr>
            <w:r>
              <w:rPr>
                <w:rFonts w:ascii="仿宋" w:eastAsia="仿宋" w:hAnsi="仿宋" w:hint="eastAsia"/>
                <w:sz w:val="24"/>
              </w:rPr>
              <w:t>（三）《国家税务总局关于规范成本分摊协议管理的公告》（国家税务总局公告2015年第45号）全文。</w:t>
            </w:r>
          </w:p>
        </w:tc>
        <w:tc>
          <w:tcPr>
            <w:tcW w:w="2785" w:type="dxa"/>
            <w:tcBorders>
              <w:top w:val="single" w:sz="4" w:space="0" w:color="auto"/>
              <w:bottom w:val="single" w:sz="4" w:space="0" w:color="auto"/>
            </w:tcBorders>
            <w:vAlign w:val="center"/>
          </w:tcPr>
          <w:p w:rsidR="00013EC7" w:rsidRDefault="00575CDB">
            <w:pPr>
              <w:spacing w:line="300" w:lineRule="exact"/>
              <w:jc w:val="left"/>
              <w:rPr>
                <w:rFonts w:ascii="仿宋" w:eastAsia="仿宋" w:hAnsi="仿宋"/>
                <w:sz w:val="24"/>
              </w:rPr>
            </w:pPr>
            <w:r>
              <w:rPr>
                <w:rFonts w:ascii="仿宋" w:eastAsia="仿宋" w:hAnsi="仿宋" w:hint="eastAsia"/>
                <w:sz w:val="24"/>
              </w:rPr>
              <w:t>（一）成本分摊协议。</w:t>
            </w:r>
          </w:p>
        </w:tc>
        <w:tc>
          <w:tcPr>
            <w:tcW w:w="1118" w:type="dxa"/>
            <w:tcBorders>
              <w:bottom w:val="single" w:sz="4" w:space="0" w:color="auto"/>
            </w:tcBorders>
            <w:vAlign w:val="center"/>
          </w:tcPr>
          <w:p w:rsidR="00013EC7" w:rsidRDefault="00575CDB">
            <w:pPr>
              <w:spacing w:line="300" w:lineRule="exact"/>
              <w:jc w:val="left"/>
              <w:rPr>
                <w:rFonts w:ascii="仿宋" w:eastAsia="仿宋" w:hAnsi="仿宋"/>
                <w:sz w:val="24"/>
              </w:rPr>
            </w:pPr>
            <w:r>
              <w:rPr>
                <w:rFonts w:ascii="仿宋" w:eastAsia="仿宋" w:hAnsi="仿宋" w:hint="eastAsia"/>
                <w:sz w:val="24"/>
              </w:rPr>
              <w:t>纳税人</w:t>
            </w:r>
            <w:r>
              <w:rPr>
                <w:rFonts w:ascii="仿宋" w:eastAsia="仿宋" w:hAnsi="仿宋"/>
                <w:sz w:val="24"/>
              </w:rPr>
              <w:t>提交</w:t>
            </w:r>
          </w:p>
        </w:tc>
        <w:tc>
          <w:tcPr>
            <w:tcW w:w="2058" w:type="dxa"/>
            <w:tcBorders>
              <w:bottom w:val="single" w:sz="4" w:space="0" w:color="auto"/>
            </w:tcBorders>
            <w:vAlign w:val="center"/>
          </w:tcPr>
          <w:p w:rsidR="00013EC7" w:rsidRDefault="00575CDB">
            <w:pPr>
              <w:spacing w:line="300" w:lineRule="exact"/>
              <w:jc w:val="left"/>
              <w:rPr>
                <w:rFonts w:ascii="仿宋" w:eastAsia="仿宋" w:hAnsi="仿宋"/>
                <w:sz w:val="24"/>
              </w:rPr>
            </w:pPr>
            <w:r>
              <w:rPr>
                <w:rFonts w:ascii="仿宋" w:eastAsia="仿宋" w:hAnsi="仿宋" w:hint="eastAsia"/>
                <w:sz w:val="24"/>
              </w:rPr>
              <w:t>（一）成本分摊协议。</w:t>
            </w:r>
          </w:p>
        </w:tc>
        <w:tc>
          <w:tcPr>
            <w:tcW w:w="2126" w:type="dxa"/>
            <w:tcBorders>
              <w:bottom w:val="single" w:sz="4" w:space="0" w:color="auto"/>
            </w:tcBorders>
            <w:vAlign w:val="center"/>
          </w:tcPr>
          <w:p w:rsidR="00013EC7" w:rsidRDefault="00575CDB">
            <w:pPr>
              <w:spacing w:line="300" w:lineRule="exact"/>
              <w:jc w:val="left"/>
              <w:rPr>
                <w:rFonts w:ascii="仿宋" w:eastAsia="仿宋" w:hAnsi="仿宋"/>
                <w:b/>
                <w:bCs/>
                <w:i/>
                <w:iCs/>
                <w:sz w:val="24"/>
              </w:rPr>
            </w:pPr>
            <w:r>
              <w:rPr>
                <w:rFonts w:ascii="仿宋" w:eastAsia="仿宋" w:hAnsi="仿宋" w:hint="eastAsia"/>
                <w:sz w:val="24"/>
              </w:rPr>
              <w:t>纳税人</w:t>
            </w:r>
            <w:r>
              <w:rPr>
                <w:rFonts w:ascii="仿宋" w:eastAsia="仿宋" w:hAnsi="仿宋"/>
                <w:sz w:val="24"/>
              </w:rPr>
              <w:t>提交</w:t>
            </w:r>
          </w:p>
        </w:tc>
        <w:tc>
          <w:tcPr>
            <w:tcW w:w="2733" w:type="dxa"/>
            <w:tcBorders>
              <w:bottom w:val="single" w:sz="4" w:space="0" w:color="auto"/>
            </w:tcBorders>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报告单位提交书面材料。</w:t>
            </w:r>
          </w:p>
          <w:p w:rsidR="00013EC7" w:rsidRDefault="00575CDB">
            <w:pPr>
              <w:spacing w:line="300" w:lineRule="exact"/>
              <w:jc w:val="left"/>
              <w:rPr>
                <w:rFonts w:ascii="仿宋" w:eastAsia="仿宋" w:hAnsi="仿宋" w:cs="仿宋"/>
                <w:sz w:val="24"/>
              </w:rPr>
            </w:pPr>
            <w:r>
              <w:rPr>
                <w:rFonts w:ascii="仿宋" w:eastAsia="仿宋" w:hAnsi="仿宋" w:cs="仿宋" w:hint="eastAsia"/>
                <w:b/>
                <w:sz w:val="24"/>
              </w:rPr>
              <w:t>网上办理：</w:t>
            </w:r>
            <w:r>
              <w:rPr>
                <w:rFonts w:ascii="仿宋" w:eastAsia="仿宋" w:hAnsi="仿宋" w:cs="仿宋" w:hint="eastAsia"/>
                <w:sz w:val="24"/>
              </w:rPr>
              <w:t>登录浙江国税电子税务局（网址：http://etax.zjtax.gov.cn/）提交申请。</w:t>
            </w:r>
          </w:p>
          <w:p w:rsidR="00013EC7" w:rsidRDefault="00013EC7">
            <w:pPr>
              <w:spacing w:line="300" w:lineRule="exact"/>
              <w:jc w:val="left"/>
              <w:rPr>
                <w:rFonts w:ascii="仿宋" w:eastAsia="仿宋" w:hAnsi="仿宋"/>
                <w:sz w:val="24"/>
              </w:rPr>
            </w:pPr>
          </w:p>
        </w:tc>
        <w:tc>
          <w:tcPr>
            <w:tcW w:w="868" w:type="dxa"/>
            <w:tcBorders>
              <w:bottom w:val="single" w:sz="4" w:space="0" w:color="auto"/>
            </w:tcBorders>
            <w:vAlign w:val="center"/>
          </w:tcPr>
          <w:p w:rsidR="00013EC7" w:rsidRDefault="00575CDB">
            <w:pPr>
              <w:spacing w:line="300" w:lineRule="exact"/>
              <w:jc w:val="left"/>
              <w:rPr>
                <w:rFonts w:ascii="仿宋" w:eastAsia="仿宋" w:hAnsi="仿宋"/>
                <w:sz w:val="24"/>
              </w:rPr>
            </w:pPr>
            <w:r>
              <w:rPr>
                <w:rFonts w:ascii="仿宋" w:eastAsia="仿宋" w:hAnsi="仿宋" w:hint="eastAsia"/>
                <w:sz w:val="24"/>
              </w:rPr>
              <w:t>即时办结</w:t>
            </w:r>
          </w:p>
        </w:tc>
        <w:tc>
          <w:tcPr>
            <w:tcW w:w="798" w:type="dxa"/>
            <w:tcBorders>
              <w:bottom w:val="single" w:sz="4" w:space="0" w:color="auto"/>
            </w:tcBorders>
            <w:vAlign w:val="center"/>
          </w:tcPr>
          <w:p w:rsidR="00013EC7" w:rsidRDefault="00575CDB">
            <w:pPr>
              <w:spacing w:line="300" w:lineRule="exact"/>
              <w:jc w:val="left"/>
              <w:rPr>
                <w:rFonts w:ascii="仿宋" w:eastAsia="仿宋" w:hAnsi="仿宋"/>
                <w:sz w:val="24"/>
              </w:rPr>
            </w:pPr>
            <w:r>
              <w:rPr>
                <w:rFonts w:ascii="仿宋" w:eastAsia="仿宋" w:hAnsi="仿宋" w:hint="eastAsia"/>
                <w:sz w:val="24"/>
              </w:rPr>
              <w:t>即时办结</w:t>
            </w:r>
          </w:p>
        </w:tc>
        <w:tc>
          <w:tcPr>
            <w:tcW w:w="958" w:type="dxa"/>
            <w:tcBorders>
              <w:bottom w:val="single" w:sz="4" w:space="0" w:color="auto"/>
            </w:tcBorders>
            <w:vAlign w:val="center"/>
          </w:tcPr>
          <w:p w:rsidR="00013EC7" w:rsidRDefault="00575CDB">
            <w:pPr>
              <w:spacing w:line="300" w:lineRule="exact"/>
              <w:jc w:val="left"/>
              <w:rPr>
                <w:rFonts w:ascii="仿宋" w:eastAsia="仿宋" w:hAnsi="仿宋"/>
                <w:sz w:val="24"/>
              </w:rPr>
            </w:pPr>
            <w:r>
              <w:rPr>
                <w:rFonts w:ascii="仿宋" w:eastAsia="仿宋" w:hAnsi="仿宋" w:hint="eastAsia"/>
                <w:sz w:val="24"/>
              </w:rPr>
              <w:t>是</w:t>
            </w:r>
          </w:p>
        </w:tc>
        <w:tc>
          <w:tcPr>
            <w:tcW w:w="1104" w:type="dxa"/>
            <w:tcBorders>
              <w:bottom w:val="single" w:sz="4" w:space="0" w:color="auto"/>
            </w:tcBorders>
            <w:vAlign w:val="center"/>
          </w:tcPr>
          <w:p w:rsidR="00013EC7" w:rsidRDefault="00575CDB">
            <w:pPr>
              <w:spacing w:line="300" w:lineRule="exact"/>
              <w:jc w:val="left"/>
              <w:rPr>
                <w:rFonts w:ascii="仿宋" w:eastAsia="仿宋" w:hAnsi="仿宋"/>
                <w:sz w:val="24"/>
              </w:rPr>
            </w:pPr>
            <w:r>
              <w:rPr>
                <w:rFonts w:ascii="仿宋" w:eastAsia="仿宋" w:hAnsi="仿宋"/>
                <w:sz w:val="24"/>
              </w:rPr>
              <w:t>国际税务处</w:t>
            </w:r>
          </w:p>
        </w:tc>
        <w:tc>
          <w:tcPr>
            <w:tcW w:w="1476" w:type="dxa"/>
            <w:tcBorders>
              <w:bottom w:val="single" w:sz="4" w:space="0" w:color="auto"/>
            </w:tcBorders>
            <w:vAlign w:val="center"/>
          </w:tcPr>
          <w:p w:rsidR="00013EC7" w:rsidRDefault="00013EC7">
            <w:pPr>
              <w:spacing w:line="300" w:lineRule="exact"/>
              <w:jc w:val="left"/>
              <w:rPr>
                <w:rFonts w:ascii="仿宋" w:eastAsia="仿宋" w:hAnsi="仿宋"/>
                <w:sz w:val="24"/>
              </w:rPr>
            </w:pPr>
          </w:p>
        </w:tc>
      </w:tr>
    </w:tbl>
    <w:p w:rsidR="00013EC7" w:rsidRDefault="00013EC7"/>
    <w:p w:rsidR="00013EC7" w:rsidRDefault="00013EC7"/>
    <w:p w:rsidR="00013EC7" w:rsidRDefault="00013EC7"/>
    <w:p w:rsidR="00013EC7" w:rsidRDefault="00013EC7"/>
    <w:p w:rsidR="00013EC7" w:rsidRDefault="00013EC7"/>
    <w:p w:rsidR="00013EC7" w:rsidRDefault="00013EC7"/>
    <w:p w:rsidR="00013EC7" w:rsidRDefault="00013EC7"/>
    <w:p w:rsidR="00013EC7" w:rsidRDefault="00013EC7"/>
    <w:p w:rsidR="00013EC7" w:rsidRDefault="00013EC7"/>
    <w:p w:rsidR="00013EC7" w:rsidRDefault="00013EC7"/>
    <w:p w:rsidR="00013EC7" w:rsidRDefault="00013EC7"/>
    <w:p w:rsidR="00013EC7" w:rsidRDefault="005262E6">
      <w:r>
        <w:object w:dxaOrig="1440" w:dyaOrig="1440">
          <v:shape id="_x0000_s1339" type="#_x0000_t75" style="position:absolute;left:0;text-align:left;margin-left:5.7pt;margin-top:99.75pt;width:482.5pt;height:453.5pt;z-index:251665408;mso-wrap-distance-top:0;mso-wrap-distance-bottom:0;mso-position-vertical-relative:page;mso-width-relative:page;mso-height-relative:page">
            <v:imagedata r:id="rId116" o:title=""/>
            <w10:wrap type="topAndBottom" anchory="page"/>
          </v:shape>
          <o:OLEObject Type="Embed" ProgID="Visio.Drawing.11" ShapeID="_x0000_s1339" DrawAspect="Content" ObjectID="_1577296189" r:id="rId117"/>
        </w:object>
      </w:r>
      <w:r>
        <w:object w:dxaOrig="1440" w:dyaOrig="1440">
          <v:shape id="_x0000_s1338" type="#_x0000_t75" style="position:absolute;left:0;text-align:left;margin-left:572.55pt;margin-top:85.25pt;width:482.5pt;height:468pt;z-index:251664384;mso-wrap-distance-top:0;mso-wrap-distance-bottom:0;mso-position-vertical-relative:page;mso-width-relative:page;mso-height-relative:page">
            <v:imagedata r:id="rId118" o:title=""/>
            <w10:wrap type="topAndBottom" anchory="page"/>
          </v:shape>
          <o:OLEObject Type="Embed" ProgID="Visio.Drawing.11" ShapeID="_x0000_s1338" DrawAspect="Content" ObjectID="_1577296190" r:id="rId119"/>
        </w:object>
      </w:r>
    </w:p>
    <w:p w:rsidR="00013EC7" w:rsidRDefault="00013EC7"/>
    <w:p w:rsidR="00013EC7" w:rsidRDefault="00013EC7">
      <w:pPr>
        <w:tabs>
          <w:tab w:val="left" w:pos="12399"/>
        </w:tabs>
        <w:jc w:val="left"/>
      </w:pPr>
    </w:p>
    <w:p w:rsidR="00013EC7" w:rsidRDefault="00013EC7">
      <w:pPr>
        <w:tabs>
          <w:tab w:val="left" w:pos="12399"/>
        </w:tabs>
        <w:jc w:val="left"/>
      </w:pPr>
    </w:p>
    <w:p w:rsidR="00013EC7" w:rsidRDefault="00013EC7">
      <w:pPr>
        <w:tabs>
          <w:tab w:val="left" w:pos="12399"/>
        </w:tabs>
        <w:jc w:val="left"/>
      </w:pPr>
    </w:p>
    <w:p w:rsidR="00013EC7" w:rsidRDefault="00013EC7">
      <w:pPr>
        <w:tabs>
          <w:tab w:val="left" w:pos="12399"/>
        </w:tabs>
        <w:jc w:val="left"/>
      </w:pPr>
    </w:p>
    <w:p w:rsidR="00013EC7" w:rsidRDefault="00013EC7">
      <w:pPr>
        <w:pStyle w:val="1"/>
        <w:rPr>
          <w:rFonts w:ascii="宋体" w:hAnsi="宋体" w:cs="宋体"/>
          <w:szCs w:val="22"/>
        </w:rPr>
        <w:sectPr w:rsidR="00013EC7">
          <w:pgSz w:w="23814" w:h="16840" w:orient="landscape"/>
          <w:pgMar w:top="1701" w:right="1843" w:bottom="1985" w:left="1843" w:header="851" w:footer="1701" w:gutter="0"/>
          <w:pgNumType w:fmt="numberInDash"/>
          <w:cols w:space="720"/>
          <w:docGrid w:type="lines" w:linePitch="312"/>
        </w:sectPr>
      </w:pPr>
    </w:p>
    <w:p w:rsidR="00013EC7" w:rsidRDefault="00575CDB">
      <w:pPr>
        <w:pStyle w:val="2"/>
      </w:pPr>
      <w:bookmarkStart w:id="168" w:name="_Toc12943"/>
      <w:bookmarkStart w:id="169" w:name="_Toc503467394"/>
      <w:bookmarkStart w:id="170" w:name="_Toc18134"/>
      <w:bookmarkStart w:id="171" w:name="_Toc14315"/>
      <w:r>
        <w:rPr>
          <w:rFonts w:hint="eastAsia"/>
        </w:rPr>
        <w:lastRenderedPageBreak/>
        <w:t>11.2</w:t>
      </w:r>
      <w:r>
        <w:rPr>
          <w:rFonts w:hint="eastAsia"/>
        </w:rPr>
        <w:t>中国居民（国民）申请启动税务相互协商程序</w:t>
      </w:r>
      <w:bookmarkEnd w:id="168"/>
      <w:bookmarkEnd w:id="169"/>
      <w:bookmarkEnd w:id="170"/>
      <w:bookmarkEnd w:id="171"/>
    </w:p>
    <w:p w:rsidR="00013EC7" w:rsidRDefault="00575CDB">
      <w:pPr>
        <w:jc w:val="center"/>
        <w:rPr>
          <w:rFonts w:eastAsia="仿宋_GB2312"/>
          <w:szCs w:val="21"/>
        </w:rPr>
      </w:pPr>
      <w:r>
        <w:rPr>
          <w:rFonts w:ascii="宋体" w:hAnsi="宋体" w:cs="宋体" w:hint="eastAsia"/>
          <w:b/>
          <w:bCs/>
          <w:sz w:val="52"/>
          <w:szCs w:val="52"/>
        </w:rPr>
        <w:t>全省“最多跑一次”事项“八统一”梳理表</w:t>
      </w:r>
    </w:p>
    <w:tbl>
      <w:tblPr>
        <w:tblW w:w="19845"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2114"/>
        <w:gridCol w:w="2785"/>
        <w:gridCol w:w="1118"/>
        <w:gridCol w:w="2767"/>
        <w:gridCol w:w="1417"/>
        <w:gridCol w:w="2733"/>
        <w:gridCol w:w="868"/>
        <w:gridCol w:w="798"/>
        <w:gridCol w:w="958"/>
        <w:gridCol w:w="1104"/>
        <w:gridCol w:w="1476"/>
      </w:tblGrid>
      <w:tr w:rsidR="00013EC7">
        <w:trPr>
          <w:trHeight w:val="340"/>
          <w:tblHeader/>
          <w:jc w:val="center"/>
        </w:trPr>
        <w:tc>
          <w:tcPr>
            <w:tcW w:w="672"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主项名称</w:t>
            </w:r>
          </w:p>
        </w:tc>
        <w:tc>
          <w:tcPr>
            <w:tcW w:w="1035"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子项名称</w:t>
            </w:r>
          </w:p>
        </w:tc>
        <w:tc>
          <w:tcPr>
            <w:tcW w:w="2114"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经办依据</w:t>
            </w:r>
          </w:p>
        </w:tc>
        <w:tc>
          <w:tcPr>
            <w:tcW w:w="3903"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原经办所需材料</w:t>
            </w:r>
          </w:p>
        </w:tc>
        <w:tc>
          <w:tcPr>
            <w:tcW w:w="6917" w:type="dxa"/>
            <w:gridSpan w:val="3"/>
            <w:vAlign w:val="center"/>
          </w:tcPr>
          <w:p w:rsidR="00013EC7" w:rsidRDefault="00575CDB">
            <w:pPr>
              <w:spacing w:line="280" w:lineRule="exact"/>
              <w:jc w:val="center"/>
              <w:rPr>
                <w:rFonts w:ascii="黑体" w:eastAsia="黑体"/>
                <w:sz w:val="24"/>
              </w:rPr>
            </w:pPr>
            <w:r>
              <w:rPr>
                <w:rFonts w:ascii="黑体" w:eastAsia="黑体" w:hint="eastAsia"/>
                <w:sz w:val="24"/>
              </w:rPr>
              <w:t>精简后经办所需材料</w:t>
            </w:r>
          </w:p>
        </w:tc>
        <w:tc>
          <w:tcPr>
            <w:tcW w:w="1666"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办理时限</w:t>
            </w:r>
          </w:p>
        </w:tc>
        <w:tc>
          <w:tcPr>
            <w:tcW w:w="958"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是否实现跑零次</w:t>
            </w:r>
          </w:p>
        </w:tc>
        <w:tc>
          <w:tcPr>
            <w:tcW w:w="1104"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省厅对口</w:t>
            </w:r>
          </w:p>
          <w:p w:rsidR="00013EC7" w:rsidRDefault="00575CDB">
            <w:pPr>
              <w:spacing w:line="280" w:lineRule="exact"/>
              <w:jc w:val="center"/>
              <w:rPr>
                <w:rFonts w:ascii="黑体" w:eastAsia="黑体"/>
                <w:sz w:val="24"/>
              </w:rPr>
            </w:pPr>
            <w:r>
              <w:rPr>
                <w:rFonts w:ascii="黑体" w:eastAsia="黑体" w:hint="eastAsia"/>
                <w:sz w:val="24"/>
              </w:rPr>
              <w:t>指导处室</w:t>
            </w:r>
          </w:p>
          <w:p w:rsidR="00013EC7" w:rsidRDefault="00575CDB">
            <w:pPr>
              <w:spacing w:line="280" w:lineRule="exact"/>
              <w:jc w:val="center"/>
              <w:rPr>
                <w:rFonts w:ascii="黑体" w:eastAsia="黑体"/>
                <w:sz w:val="24"/>
              </w:rPr>
            </w:pPr>
            <w:r>
              <w:rPr>
                <w:rFonts w:ascii="黑体" w:eastAsia="黑体" w:hint="eastAsia"/>
                <w:sz w:val="24"/>
              </w:rPr>
              <w:t>（单位）</w:t>
            </w:r>
          </w:p>
        </w:tc>
        <w:tc>
          <w:tcPr>
            <w:tcW w:w="1476"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进一步精简、</w:t>
            </w:r>
          </w:p>
          <w:p w:rsidR="00013EC7" w:rsidRDefault="00575CDB">
            <w:pPr>
              <w:spacing w:line="280" w:lineRule="exact"/>
              <w:jc w:val="center"/>
              <w:rPr>
                <w:rFonts w:ascii="黑体" w:eastAsia="黑体"/>
                <w:sz w:val="24"/>
              </w:rPr>
            </w:pPr>
            <w:r>
              <w:rPr>
                <w:rFonts w:ascii="黑体" w:eastAsia="黑体" w:hint="eastAsia"/>
                <w:sz w:val="24"/>
              </w:rPr>
              <w:t>规范建议</w:t>
            </w:r>
          </w:p>
        </w:tc>
      </w:tr>
      <w:tr w:rsidR="00013EC7">
        <w:trPr>
          <w:trHeight w:val="340"/>
          <w:tblHeader/>
          <w:jc w:val="center"/>
        </w:trPr>
        <w:tc>
          <w:tcPr>
            <w:tcW w:w="672" w:type="dxa"/>
            <w:vMerge/>
            <w:vAlign w:val="center"/>
          </w:tcPr>
          <w:p w:rsidR="00013EC7" w:rsidRDefault="00013EC7">
            <w:pPr>
              <w:spacing w:line="280" w:lineRule="exact"/>
              <w:jc w:val="center"/>
              <w:rPr>
                <w:rFonts w:ascii="黑体" w:eastAsia="黑体"/>
                <w:sz w:val="24"/>
              </w:rPr>
            </w:pPr>
          </w:p>
        </w:tc>
        <w:tc>
          <w:tcPr>
            <w:tcW w:w="1035" w:type="dxa"/>
            <w:vMerge/>
          </w:tcPr>
          <w:p w:rsidR="00013EC7" w:rsidRDefault="00013EC7">
            <w:pPr>
              <w:spacing w:line="280" w:lineRule="exact"/>
              <w:jc w:val="center"/>
              <w:rPr>
                <w:rFonts w:ascii="黑体" w:eastAsia="黑体"/>
                <w:sz w:val="24"/>
              </w:rPr>
            </w:pPr>
          </w:p>
        </w:tc>
        <w:tc>
          <w:tcPr>
            <w:tcW w:w="2114" w:type="dxa"/>
            <w:vMerge/>
          </w:tcPr>
          <w:p w:rsidR="00013EC7" w:rsidRDefault="00013EC7">
            <w:pPr>
              <w:spacing w:line="280" w:lineRule="exact"/>
              <w:jc w:val="center"/>
              <w:rPr>
                <w:rFonts w:ascii="黑体" w:eastAsia="黑体"/>
                <w:sz w:val="24"/>
              </w:rPr>
            </w:pPr>
          </w:p>
        </w:tc>
        <w:tc>
          <w:tcPr>
            <w:tcW w:w="2785" w:type="dxa"/>
            <w:tcBorders>
              <w:bottom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118"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2767" w:type="dxa"/>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417"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2733" w:type="dxa"/>
            <w:vAlign w:val="center"/>
          </w:tcPr>
          <w:p w:rsidR="00013EC7" w:rsidRDefault="00575CDB">
            <w:pPr>
              <w:spacing w:line="280" w:lineRule="exact"/>
              <w:jc w:val="center"/>
              <w:rPr>
                <w:rFonts w:ascii="黑体" w:eastAsia="黑体"/>
                <w:sz w:val="24"/>
              </w:rPr>
            </w:pPr>
            <w:r>
              <w:rPr>
                <w:rFonts w:ascii="黑体" w:eastAsia="黑体" w:hint="eastAsia"/>
                <w:sz w:val="24"/>
              </w:rPr>
              <w:t>办理方式及材料</w:t>
            </w:r>
          </w:p>
          <w:p w:rsidR="00013EC7" w:rsidRDefault="00575CDB">
            <w:pPr>
              <w:spacing w:line="280" w:lineRule="exact"/>
              <w:jc w:val="center"/>
              <w:rPr>
                <w:rFonts w:ascii="黑体" w:eastAsia="黑体"/>
                <w:sz w:val="24"/>
              </w:rPr>
            </w:pPr>
            <w:r>
              <w:rPr>
                <w:rFonts w:ascii="黑体" w:eastAsia="黑体" w:hint="eastAsia"/>
                <w:sz w:val="24"/>
              </w:rPr>
              <w:t>信息获取方式说明</w:t>
            </w:r>
          </w:p>
        </w:tc>
        <w:tc>
          <w:tcPr>
            <w:tcW w:w="868" w:type="dxa"/>
            <w:vAlign w:val="center"/>
          </w:tcPr>
          <w:p w:rsidR="00013EC7" w:rsidRDefault="00575CDB">
            <w:pPr>
              <w:spacing w:line="280" w:lineRule="exact"/>
              <w:jc w:val="center"/>
              <w:rPr>
                <w:rFonts w:ascii="黑体" w:eastAsia="黑体"/>
                <w:sz w:val="24"/>
              </w:rPr>
            </w:pPr>
            <w:r>
              <w:rPr>
                <w:rFonts w:ascii="黑体" w:eastAsia="黑体" w:hint="eastAsia"/>
                <w:sz w:val="24"/>
              </w:rPr>
              <w:t>优化前</w:t>
            </w:r>
          </w:p>
        </w:tc>
        <w:tc>
          <w:tcPr>
            <w:tcW w:w="798" w:type="dxa"/>
            <w:vAlign w:val="center"/>
          </w:tcPr>
          <w:p w:rsidR="00013EC7" w:rsidRDefault="00575CDB">
            <w:pPr>
              <w:spacing w:line="280" w:lineRule="exact"/>
              <w:jc w:val="center"/>
              <w:rPr>
                <w:rFonts w:ascii="黑体" w:eastAsia="黑体"/>
                <w:sz w:val="24"/>
              </w:rPr>
            </w:pPr>
            <w:r>
              <w:rPr>
                <w:rFonts w:ascii="黑体" w:eastAsia="黑体" w:hint="eastAsia"/>
                <w:sz w:val="24"/>
              </w:rPr>
              <w:t>优化后</w:t>
            </w:r>
          </w:p>
        </w:tc>
        <w:tc>
          <w:tcPr>
            <w:tcW w:w="958" w:type="dxa"/>
            <w:vMerge/>
            <w:vAlign w:val="center"/>
          </w:tcPr>
          <w:p w:rsidR="00013EC7" w:rsidRDefault="00013EC7"/>
        </w:tc>
        <w:tc>
          <w:tcPr>
            <w:tcW w:w="1104" w:type="dxa"/>
            <w:vMerge/>
            <w:vAlign w:val="center"/>
          </w:tcPr>
          <w:p w:rsidR="00013EC7" w:rsidRDefault="00013EC7"/>
        </w:tc>
        <w:tc>
          <w:tcPr>
            <w:tcW w:w="1476" w:type="dxa"/>
            <w:vMerge/>
            <w:vAlign w:val="center"/>
          </w:tcPr>
          <w:p w:rsidR="00013EC7" w:rsidRDefault="00013EC7"/>
        </w:tc>
      </w:tr>
      <w:tr w:rsidR="00013EC7">
        <w:trPr>
          <w:trHeight w:val="5243"/>
          <w:jc w:val="center"/>
        </w:trPr>
        <w:tc>
          <w:tcPr>
            <w:tcW w:w="672" w:type="dxa"/>
            <w:vMerge w:val="restart"/>
            <w:vAlign w:val="center"/>
          </w:tcPr>
          <w:p w:rsidR="00013EC7" w:rsidRDefault="00575CDB">
            <w:pPr>
              <w:spacing w:line="300" w:lineRule="exact"/>
              <w:rPr>
                <w:rFonts w:ascii="仿宋" w:eastAsia="仿宋" w:hAnsi="仿宋"/>
                <w:sz w:val="24"/>
              </w:rPr>
            </w:pPr>
            <w:r>
              <w:rPr>
                <w:rFonts w:ascii="仿宋" w:eastAsia="仿宋" w:hAnsi="仿宋" w:hint="eastAsia"/>
                <w:sz w:val="24"/>
              </w:rPr>
              <w:t>11涉外税收事项认定</w:t>
            </w:r>
          </w:p>
        </w:tc>
        <w:tc>
          <w:tcPr>
            <w:tcW w:w="1035" w:type="dxa"/>
            <w:vMerge w:val="restart"/>
            <w:vAlign w:val="center"/>
          </w:tcPr>
          <w:p w:rsidR="00013EC7" w:rsidRDefault="00575CDB">
            <w:pPr>
              <w:spacing w:line="310" w:lineRule="exact"/>
              <w:rPr>
                <w:rFonts w:ascii="仿宋" w:eastAsia="仿宋" w:hAnsi="仿宋"/>
                <w:sz w:val="24"/>
              </w:rPr>
            </w:pPr>
            <w:r>
              <w:rPr>
                <w:rFonts w:ascii="仿宋" w:eastAsia="仿宋" w:hAnsi="仿宋" w:hint="eastAsia"/>
                <w:sz w:val="24"/>
              </w:rPr>
              <w:t>11.2中国居民（国民）申请启动税务相互协商程序</w:t>
            </w:r>
          </w:p>
        </w:tc>
        <w:tc>
          <w:tcPr>
            <w:tcW w:w="2114" w:type="dxa"/>
            <w:vMerge w:val="restart"/>
            <w:vAlign w:val="center"/>
          </w:tcPr>
          <w:p w:rsidR="00013EC7" w:rsidRDefault="00575CDB">
            <w:pPr>
              <w:spacing w:line="310" w:lineRule="exact"/>
              <w:rPr>
                <w:rFonts w:ascii="仿宋" w:eastAsia="仿宋" w:hAnsi="仿宋"/>
                <w:sz w:val="24"/>
              </w:rPr>
            </w:pPr>
            <w:r>
              <w:rPr>
                <w:rFonts w:ascii="仿宋" w:eastAsia="仿宋" w:hAnsi="仿宋" w:hint="eastAsia"/>
                <w:sz w:val="24"/>
              </w:rPr>
              <w:t>（一）《国家税务总局关于发布〈税收协定相互协商程序实施办法〉的公告》（国家税务总局公告2013年第56号）全文。</w:t>
            </w:r>
          </w:p>
          <w:p w:rsidR="00013EC7" w:rsidRDefault="00575CDB">
            <w:pPr>
              <w:spacing w:line="310" w:lineRule="exact"/>
              <w:rPr>
                <w:rFonts w:ascii="仿宋" w:eastAsia="仿宋" w:hAnsi="仿宋"/>
                <w:sz w:val="24"/>
              </w:rPr>
            </w:pPr>
            <w:r>
              <w:rPr>
                <w:rFonts w:ascii="仿宋" w:eastAsia="仿宋" w:hAnsi="仿宋" w:hint="eastAsia"/>
                <w:sz w:val="24"/>
              </w:rPr>
              <w:t>（二）《国家税务总局关于印发〈境外注册中资控股居民企业所得税管理办法（试行）〉的公告》（国家税务总局公告2011年第45号）第二十九条。</w:t>
            </w:r>
          </w:p>
          <w:p w:rsidR="00013EC7" w:rsidRDefault="00575CDB">
            <w:pPr>
              <w:spacing w:line="310" w:lineRule="exact"/>
              <w:rPr>
                <w:rFonts w:ascii="仿宋" w:eastAsia="仿宋" w:hAnsi="仿宋"/>
                <w:sz w:val="24"/>
              </w:rPr>
            </w:pPr>
            <w:r>
              <w:rPr>
                <w:rFonts w:ascii="仿宋" w:eastAsia="仿宋" w:hAnsi="仿宋" w:hint="eastAsia"/>
                <w:sz w:val="24"/>
              </w:rPr>
              <w:t>（三）《国家税务总</w:t>
            </w:r>
            <w:r>
              <w:rPr>
                <w:rFonts w:ascii="仿宋" w:eastAsia="仿宋" w:hAnsi="仿宋" w:hint="eastAsia"/>
                <w:sz w:val="24"/>
              </w:rPr>
              <w:lastRenderedPageBreak/>
              <w:t>局关于发布&lt;特别纳税调查调整及相互协商程序管理办法&gt;的公告》（国家税务总局公告2017年第6号）第四十七条至第六十一条。</w:t>
            </w:r>
          </w:p>
        </w:tc>
        <w:tc>
          <w:tcPr>
            <w:tcW w:w="2785" w:type="dxa"/>
            <w:tcBorders>
              <w:top w:val="single" w:sz="4" w:space="0" w:color="auto"/>
              <w:bottom w:val="single" w:sz="4" w:space="0" w:color="auto"/>
            </w:tcBorders>
            <w:vAlign w:val="center"/>
          </w:tcPr>
          <w:p w:rsidR="00013EC7" w:rsidRDefault="00575CDB">
            <w:pPr>
              <w:spacing w:line="310" w:lineRule="exact"/>
              <w:rPr>
                <w:rFonts w:ascii="仿宋" w:eastAsia="仿宋" w:hAnsi="仿宋"/>
                <w:sz w:val="24"/>
              </w:rPr>
            </w:pPr>
            <w:r>
              <w:rPr>
                <w:rFonts w:ascii="仿宋" w:eastAsia="仿宋" w:hAnsi="仿宋" w:hint="eastAsia"/>
                <w:sz w:val="24"/>
              </w:rPr>
              <w:lastRenderedPageBreak/>
              <w:t>（一）（A12114）《启动税收协定相互协商程序申请表》3份及电子数据。（申请人提出启动税收协定相互协商程序提供）。</w:t>
            </w:r>
          </w:p>
        </w:tc>
        <w:tc>
          <w:tcPr>
            <w:tcW w:w="1118" w:type="dxa"/>
            <w:vAlign w:val="center"/>
          </w:tcPr>
          <w:p w:rsidR="00013EC7" w:rsidRDefault="00575CDB">
            <w:pPr>
              <w:spacing w:line="300" w:lineRule="exact"/>
              <w:rPr>
                <w:rFonts w:ascii="仿宋" w:eastAsia="仿宋" w:hAnsi="仿宋"/>
                <w:sz w:val="24"/>
              </w:rPr>
            </w:pPr>
            <w:r>
              <w:rPr>
                <w:rFonts w:ascii="仿宋" w:eastAsia="仿宋" w:hAnsi="仿宋" w:hint="eastAsia"/>
                <w:sz w:val="24"/>
              </w:rPr>
              <w:t>纳税人</w:t>
            </w:r>
            <w:r>
              <w:rPr>
                <w:rFonts w:ascii="仿宋" w:eastAsia="仿宋" w:hAnsi="仿宋"/>
                <w:sz w:val="24"/>
              </w:rPr>
              <w:t>提交</w:t>
            </w:r>
          </w:p>
        </w:tc>
        <w:tc>
          <w:tcPr>
            <w:tcW w:w="2767" w:type="dxa"/>
            <w:vAlign w:val="center"/>
          </w:tcPr>
          <w:p w:rsidR="00013EC7" w:rsidRDefault="00575CDB">
            <w:pPr>
              <w:spacing w:line="300" w:lineRule="exact"/>
              <w:rPr>
                <w:rFonts w:ascii="仿宋" w:eastAsia="仿宋" w:hAnsi="仿宋"/>
                <w:sz w:val="24"/>
              </w:rPr>
            </w:pPr>
            <w:r>
              <w:rPr>
                <w:rFonts w:ascii="仿宋" w:eastAsia="仿宋" w:hAnsi="仿宋" w:hint="eastAsia"/>
                <w:sz w:val="24"/>
              </w:rPr>
              <w:t>（一）（A12114）《启动税收协定相互协商程序申请表》3份及电子数据。（申请人提出启动税收协定相互协商程序提供）。</w:t>
            </w:r>
          </w:p>
        </w:tc>
        <w:tc>
          <w:tcPr>
            <w:tcW w:w="1417" w:type="dxa"/>
            <w:vAlign w:val="center"/>
          </w:tcPr>
          <w:p w:rsidR="00013EC7" w:rsidRDefault="00575CDB">
            <w:pPr>
              <w:spacing w:line="300" w:lineRule="exact"/>
              <w:rPr>
                <w:rFonts w:ascii="仿宋" w:eastAsia="仿宋" w:hAnsi="仿宋"/>
                <w:sz w:val="24"/>
              </w:rPr>
            </w:pPr>
            <w:r>
              <w:rPr>
                <w:rFonts w:ascii="仿宋" w:eastAsia="仿宋" w:hAnsi="仿宋" w:hint="eastAsia"/>
                <w:sz w:val="24"/>
              </w:rPr>
              <w:t>纳税人</w:t>
            </w:r>
            <w:r>
              <w:rPr>
                <w:rFonts w:ascii="仿宋" w:eastAsia="仿宋" w:hAnsi="仿宋"/>
                <w:sz w:val="24"/>
              </w:rPr>
              <w:t>提交</w:t>
            </w:r>
          </w:p>
        </w:tc>
        <w:tc>
          <w:tcPr>
            <w:tcW w:w="2733" w:type="dxa"/>
            <w:vMerge w:val="restart"/>
            <w:vAlign w:val="center"/>
          </w:tcPr>
          <w:p w:rsidR="00013EC7" w:rsidRDefault="00575CDB">
            <w:pPr>
              <w:spacing w:line="300" w:lineRule="exac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申请单位提交书面及电子材料。</w:t>
            </w:r>
          </w:p>
        </w:tc>
        <w:tc>
          <w:tcPr>
            <w:tcW w:w="868" w:type="dxa"/>
            <w:vMerge w:val="restart"/>
            <w:vAlign w:val="center"/>
          </w:tcPr>
          <w:p w:rsidR="00013EC7" w:rsidRDefault="00575CDB">
            <w:pPr>
              <w:spacing w:line="300" w:lineRule="exact"/>
              <w:rPr>
                <w:rFonts w:ascii="仿宋" w:eastAsia="仿宋" w:hAnsi="仿宋"/>
                <w:sz w:val="24"/>
              </w:rPr>
            </w:pPr>
            <w:r>
              <w:rPr>
                <w:rFonts w:ascii="仿宋" w:eastAsia="仿宋" w:hAnsi="仿宋" w:hint="eastAsia"/>
                <w:sz w:val="24"/>
              </w:rPr>
              <w:t>主管税务机关代为转报申请资料至省局或省局直接接收资料，核对资料是否符合法定形式、内容是否完整，符合的</w:t>
            </w:r>
            <w:r>
              <w:rPr>
                <w:rFonts w:ascii="仿宋" w:eastAsia="仿宋" w:hAnsi="仿宋" w:hint="eastAsia"/>
                <w:sz w:val="24"/>
              </w:rPr>
              <w:lastRenderedPageBreak/>
              <w:t>即时受理，15个工作日内上报税务总局，并将情况告知申请人，同时通知省以下主管税务机关。</w:t>
            </w:r>
          </w:p>
        </w:tc>
        <w:tc>
          <w:tcPr>
            <w:tcW w:w="798" w:type="dxa"/>
            <w:vMerge w:val="restart"/>
            <w:vAlign w:val="center"/>
          </w:tcPr>
          <w:p w:rsidR="00013EC7" w:rsidRDefault="00575CDB">
            <w:pPr>
              <w:spacing w:line="300" w:lineRule="exact"/>
              <w:rPr>
                <w:rFonts w:ascii="仿宋" w:eastAsia="仿宋" w:hAnsi="仿宋"/>
                <w:sz w:val="24"/>
              </w:rPr>
            </w:pPr>
            <w:r>
              <w:rPr>
                <w:rFonts w:ascii="仿宋" w:eastAsia="仿宋" w:hAnsi="仿宋" w:hint="eastAsia"/>
                <w:sz w:val="24"/>
              </w:rPr>
              <w:lastRenderedPageBreak/>
              <w:t>15个工作日内上报税务总局</w:t>
            </w:r>
          </w:p>
        </w:tc>
        <w:tc>
          <w:tcPr>
            <w:tcW w:w="958" w:type="dxa"/>
            <w:vMerge w:val="restart"/>
            <w:vAlign w:val="center"/>
          </w:tcPr>
          <w:p w:rsidR="00013EC7" w:rsidRDefault="00575CDB">
            <w:pPr>
              <w:spacing w:line="300" w:lineRule="exact"/>
              <w:rPr>
                <w:rFonts w:ascii="仿宋" w:eastAsia="仿宋" w:hAnsi="仿宋"/>
                <w:sz w:val="24"/>
              </w:rPr>
            </w:pPr>
            <w:r>
              <w:rPr>
                <w:rFonts w:ascii="仿宋" w:eastAsia="仿宋" w:hAnsi="仿宋" w:hint="eastAsia"/>
                <w:sz w:val="24"/>
              </w:rPr>
              <w:t>否</w:t>
            </w:r>
          </w:p>
        </w:tc>
        <w:tc>
          <w:tcPr>
            <w:tcW w:w="1104" w:type="dxa"/>
            <w:vMerge w:val="restart"/>
            <w:vAlign w:val="center"/>
          </w:tcPr>
          <w:p w:rsidR="00013EC7" w:rsidRDefault="00575CDB">
            <w:pPr>
              <w:spacing w:line="300" w:lineRule="exact"/>
              <w:rPr>
                <w:rFonts w:ascii="仿宋" w:eastAsia="仿宋" w:hAnsi="仿宋"/>
                <w:sz w:val="24"/>
              </w:rPr>
            </w:pPr>
            <w:r>
              <w:rPr>
                <w:rFonts w:ascii="仿宋" w:eastAsia="仿宋" w:hAnsi="仿宋"/>
                <w:sz w:val="24"/>
              </w:rPr>
              <w:t>国际税务处</w:t>
            </w:r>
          </w:p>
        </w:tc>
        <w:tc>
          <w:tcPr>
            <w:tcW w:w="1476" w:type="dxa"/>
            <w:vMerge w:val="restart"/>
            <w:vAlign w:val="center"/>
          </w:tcPr>
          <w:p w:rsidR="00013EC7" w:rsidRDefault="00013EC7">
            <w:pPr>
              <w:spacing w:line="300" w:lineRule="exact"/>
              <w:rPr>
                <w:rFonts w:ascii="仿宋" w:eastAsia="仿宋" w:hAnsi="仿宋"/>
                <w:sz w:val="24"/>
              </w:rPr>
            </w:pPr>
          </w:p>
        </w:tc>
      </w:tr>
      <w:tr w:rsidR="00013EC7">
        <w:trPr>
          <w:trHeight w:val="5242"/>
          <w:jc w:val="center"/>
        </w:trPr>
        <w:tc>
          <w:tcPr>
            <w:tcW w:w="672" w:type="dxa"/>
            <w:vMerge/>
            <w:tcBorders>
              <w:bottom w:val="single" w:sz="4" w:space="0" w:color="auto"/>
            </w:tcBorders>
            <w:vAlign w:val="center"/>
          </w:tcPr>
          <w:p w:rsidR="00013EC7" w:rsidRDefault="00013EC7">
            <w:pPr>
              <w:spacing w:line="300" w:lineRule="exact"/>
              <w:jc w:val="left"/>
              <w:rPr>
                <w:rFonts w:ascii="仿宋" w:eastAsia="仿宋" w:hAnsi="仿宋"/>
                <w:sz w:val="24"/>
              </w:rPr>
            </w:pPr>
          </w:p>
        </w:tc>
        <w:tc>
          <w:tcPr>
            <w:tcW w:w="1035" w:type="dxa"/>
            <w:vMerge/>
            <w:tcBorders>
              <w:bottom w:val="single" w:sz="4" w:space="0" w:color="auto"/>
            </w:tcBorders>
            <w:vAlign w:val="center"/>
          </w:tcPr>
          <w:p w:rsidR="00013EC7" w:rsidRDefault="00013EC7">
            <w:pPr>
              <w:spacing w:line="310" w:lineRule="exact"/>
              <w:jc w:val="left"/>
              <w:rPr>
                <w:rFonts w:ascii="仿宋" w:eastAsia="仿宋" w:hAnsi="仿宋"/>
                <w:sz w:val="24"/>
              </w:rPr>
            </w:pPr>
          </w:p>
        </w:tc>
        <w:tc>
          <w:tcPr>
            <w:tcW w:w="2114" w:type="dxa"/>
            <w:vMerge/>
            <w:tcBorders>
              <w:bottom w:val="single" w:sz="4" w:space="0" w:color="auto"/>
            </w:tcBorders>
            <w:vAlign w:val="center"/>
          </w:tcPr>
          <w:p w:rsidR="00013EC7" w:rsidRDefault="00013EC7">
            <w:pPr>
              <w:spacing w:line="310" w:lineRule="exact"/>
              <w:jc w:val="left"/>
              <w:rPr>
                <w:rFonts w:ascii="仿宋" w:eastAsia="仿宋" w:hAnsi="仿宋"/>
                <w:sz w:val="24"/>
              </w:rPr>
            </w:pPr>
          </w:p>
        </w:tc>
        <w:tc>
          <w:tcPr>
            <w:tcW w:w="2785" w:type="dxa"/>
            <w:tcBorders>
              <w:top w:val="single" w:sz="4" w:space="0" w:color="auto"/>
              <w:bottom w:val="single" w:sz="4" w:space="0" w:color="auto"/>
            </w:tcBorders>
            <w:vAlign w:val="center"/>
          </w:tcPr>
          <w:p w:rsidR="00013EC7" w:rsidRDefault="00575CDB">
            <w:pPr>
              <w:spacing w:line="310" w:lineRule="exact"/>
              <w:jc w:val="left"/>
              <w:rPr>
                <w:rFonts w:ascii="仿宋" w:eastAsia="仿宋" w:hAnsi="仿宋"/>
                <w:sz w:val="24"/>
              </w:rPr>
            </w:pPr>
            <w:r>
              <w:rPr>
                <w:rFonts w:ascii="仿宋" w:eastAsia="仿宋" w:hAnsi="仿宋" w:hint="eastAsia"/>
                <w:sz w:val="24"/>
              </w:rPr>
              <w:t>（二）（A12129）《税收协定相互协商程序异议申请表》。（申请人对省税务机关拒绝受理的决定不服向省税务机关或国家税务总局提出异议申请）。</w:t>
            </w:r>
          </w:p>
        </w:tc>
        <w:tc>
          <w:tcPr>
            <w:tcW w:w="1118" w:type="dxa"/>
            <w:tcBorders>
              <w:bottom w:val="single" w:sz="4" w:space="0" w:color="auto"/>
            </w:tcBorders>
            <w:vAlign w:val="center"/>
          </w:tcPr>
          <w:p w:rsidR="00013EC7" w:rsidRDefault="00575CDB">
            <w:pPr>
              <w:spacing w:line="300" w:lineRule="exact"/>
              <w:jc w:val="left"/>
              <w:rPr>
                <w:rFonts w:ascii="仿宋" w:eastAsia="仿宋" w:hAnsi="仿宋"/>
                <w:sz w:val="24"/>
              </w:rPr>
            </w:pPr>
            <w:r>
              <w:rPr>
                <w:rFonts w:ascii="仿宋" w:eastAsia="仿宋" w:hAnsi="仿宋"/>
                <w:sz w:val="24"/>
              </w:rPr>
              <w:t>向省税务机关或国家税务总局提出异议申请</w:t>
            </w:r>
            <w:r>
              <w:rPr>
                <w:rFonts w:ascii="仿宋" w:eastAsia="仿宋" w:hAnsi="仿宋" w:hint="eastAsia"/>
                <w:sz w:val="24"/>
              </w:rPr>
              <w:t>纳税人提交</w:t>
            </w:r>
          </w:p>
        </w:tc>
        <w:tc>
          <w:tcPr>
            <w:tcW w:w="2767" w:type="dxa"/>
            <w:tcBorders>
              <w:bottom w:val="single" w:sz="4" w:space="0" w:color="auto"/>
            </w:tcBorders>
            <w:vAlign w:val="center"/>
          </w:tcPr>
          <w:p w:rsidR="00013EC7" w:rsidRDefault="00575CDB">
            <w:pPr>
              <w:spacing w:line="300" w:lineRule="exact"/>
              <w:jc w:val="left"/>
              <w:rPr>
                <w:rFonts w:ascii="仿宋" w:eastAsia="仿宋" w:hAnsi="仿宋" w:cs="宋体"/>
                <w:sz w:val="24"/>
              </w:rPr>
            </w:pPr>
            <w:r>
              <w:rPr>
                <w:rFonts w:ascii="仿宋" w:eastAsia="仿宋" w:hAnsi="仿宋" w:hint="eastAsia"/>
                <w:sz w:val="24"/>
              </w:rPr>
              <w:t>（二）（A12129）《税收协定相互协商程序异议申请表》。（申请人对省税务机关拒绝受理的决定不服向省税务机关或国家税务总局提出异议申请）。</w:t>
            </w:r>
          </w:p>
        </w:tc>
        <w:tc>
          <w:tcPr>
            <w:tcW w:w="1417" w:type="dxa"/>
            <w:tcBorders>
              <w:bottom w:val="single" w:sz="4" w:space="0" w:color="auto"/>
            </w:tcBorders>
            <w:vAlign w:val="center"/>
          </w:tcPr>
          <w:p w:rsidR="00013EC7" w:rsidRDefault="00575CDB">
            <w:pPr>
              <w:spacing w:line="300" w:lineRule="exact"/>
              <w:jc w:val="left"/>
              <w:rPr>
                <w:rFonts w:ascii="仿宋" w:eastAsia="仿宋" w:hAnsi="仿宋"/>
                <w:sz w:val="24"/>
              </w:rPr>
            </w:pPr>
            <w:r>
              <w:rPr>
                <w:rFonts w:ascii="仿宋" w:eastAsia="仿宋" w:hAnsi="仿宋"/>
                <w:sz w:val="24"/>
              </w:rPr>
              <w:t>向省税务机关或国家税务总局提出异议申请</w:t>
            </w:r>
            <w:r>
              <w:rPr>
                <w:rFonts w:ascii="仿宋" w:eastAsia="仿宋" w:hAnsi="仿宋" w:hint="eastAsia"/>
                <w:sz w:val="24"/>
              </w:rPr>
              <w:t>纳税人提交</w:t>
            </w:r>
          </w:p>
        </w:tc>
        <w:tc>
          <w:tcPr>
            <w:tcW w:w="2733" w:type="dxa"/>
            <w:vMerge/>
            <w:tcBorders>
              <w:bottom w:val="single" w:sz="4" w:space="0" w:color="auto"/>
            </w:tcBorders>
            <w:vAlign w:val="center"/>
          </w:tcPr>
          <w:p w:rsidR="00013EC7" w:rsidRDefault="00013EC7">
            <w:pPr>
              <w:spacing w:line="310" w:lineRule="exact"/>
              <w:jc w:val="left"/>
              <w:rPr>
                <w:rFonts w:ascii="仿宋" w:eastAsia="仿宋" w:hAnsi="仿宋"/>
                <w:sz w:val="24"/>
              </w:rPr>
            </w:pPr>
          </w:p>
        </w:tc>
        <w:tc>
          <w:tcPr>
            <w:tcW w:w="868" w:type="dxa"/>
            <w:vMerge/>
            <w:tcBorders>
              <w:bottom w:val="single" w:sz="4" w:space="0" w:color="auto"/>
            </w:tcBorders>
            <w:vAlign w:val="center"/>
          </w:tcPr>
          <w:p w:rsidR="00013EC7" w:rsidRDefault="00013EC7">
            <w:pPr>
              <w:spacing w:line="300" w:lineRule="exact"/>
              <w:jc w:val="left"/>
              <w:rPr>
                <w:rFonts w:ascii="仿宋" w:eastAsia="仿宋" w:hAnsi="仿宋"/>
                <w:sz w:val="24"/>
              </w:rPr>
            </w:pPr>
          </w:p>
        </w:tc>
        <w:tc>
          <w:tcPr>
            <w:tcW w:w="798" w:type="dxa"/>
            <w:vMerge/>
            <w:tcBorders>
              <w:bottom w:val="single" w:sz="4" w:space="0" w:color="auto"/>
            </w:tcBorders>
            <w:vAlign w:val="center"/>
          </w:tcPr>
          <w:p w:rsidR="00013EC7" w:rsidRDefault="00013EC7">
            <w:pPr>
              <w:spacing w:line="300" w:lineRule="exact"/>
              <w:jc w:val="left"/>
              <w:rPr>
                <w:rFonts w:ascii="仿宋" w:eastAsia="仿宋" w:hAnsi="仿宋"/>
                <w:sz w:val="24"/>
              </w:rPr>
            </w:pPr>
          </w:p>
        </w:tc>
        <w:tc>
          <w:tcPr>
            <w:tcW w:w="958" w:type="dxa"/>
            <w:vMerge/>
            <w:tcBorders>
              <w:bottom w:val="single" w:sz="4" w:space="0" w:color="auto"/>
            </w:tcBorders>
            <w:vAlign w:val="center"/>
          </w:tcPr>
          <w:p w:rsidR="00013EC7" w:rsidRDefault="00013EC7">
            <w:pPr>
              <w:spacing w:line="300" w:lineRule="exact"/>
              <w:jc w:val="left"/>
              <w:rPr>
                <w:rFonts w:ascii="仿宋" w:eastAsia="仿宋" w:hAnsi="仿宋"/>
                <w:sz w:val="24"/>
              </w:rPr>
            </w:pPr>
          </w:p>
        </w:tc>
        <w:tc>
          <w:tcPr>
            <w:tcW w:w="1104" w:type="dxa"/>
            <w:vMerge/>
            <w:tcBorders>
              <w:bottom w:val="single" w:sz="4" w:space="0" w:color="auto"/>
            </w:tcBorders>
            <w:vAlign w:val="center"/>
          </w:tcPr>
          <w:p w:rsidR="00013EC7" w:rsidRDefault="00013EC7">
            <w:pPr>
              <w:spacing w:line="300" w:lineRule="exact"/>
              <w:jc w:val="left"/>
              <w:rPr>
                <w:rFonts w:ascii="仿宋" w:eastAsia="仿宋" w:hAnsi="仿宋"/>
                <w:sz w:val="24"/>
              </w:rPr>
            </w:pPr>
          </w:p>
        </w:tc>
        <w:tc>
          <w:tcPr>
            <w:tcW w:w="1476" w:type="dxa"/>
            <w:vMerge/>
            <w:tcBorders>
              <w:bottom w:val="single" w:sz="4" w:space="0" w:color="auto"/>
            </w:tcBorders>
            <w:vAlign w:val="center"/>
          </w:tcPr>
          <w:p w:rsidR="00013EC7" w:rsidRDefault="00013EC7">
            <w:pPr>
              <w:spacing w:line="300" w:lineRule="exact"/>
              <w:jc w:val="left"/>
              <w:rPr>
                <w:rFonts w:ascii="仿宋" w:eastAsia="仿宋" w:hAnsi="仿宋"/>
                <w:sz w:val="24"/>
              </w:rPr>
            </w:pPr>
          </w:p>
        </w:tc>
      </w:tr>
    </w:tbl>
    <w:p w:rsidR="00013EC7" w:rsidRDefault="00013EC7">
      <w:pPr>
        <w:jc w:val="left"/>
        <w:rPr>
          <w:rFonts w:ascii="仿宋" w:eastAsia="仿宋" w:hAnsi="仿宋"/>
          <w:sz w:val="24"/>
        </w:rPr>
      </w:pPr>
    </w:p>
    <w:p w:rsidR="00013EC7" w:rsidRDefault="00013EC7">
      <w:pPr>
        <w:tabs>
          <w:tab w:val="left" w:pos="12399"/>
        </w:tabs>
        <w:jc w:val="left"/>
      </w:pPr>
    </w:p>
    <w:p w:rsidR="00013EC7" w:rsidRDefault="00013EC7">
      <w:pPr>
        <w:tabs>
          <w:tab w:val="left" w:pos="12399"/>
        </w:tabs>
        <w:jc w:val="left"/>
      </w:pPr>
    </w:p>
    <w:p w:rsidR="00013EC7" w:rsidRDefault="00013EC7">
      <w:pPr>
        <w:tabs>
          <w:tab w:val="left" w:pos="12399"/>
        </w:tabs>
        <w:jc w:val="left"/>
      </w:pPr>
    </w:p>
    <w:p w:rsidR="00013EC7" w:rsidRDefault="00013EC7">
      <w:pPr>
        <w:tabs>
          <w:tab w:val="left" w:pos="12399"/>
        </w:tabs>
        <w:jc w:val="left"/>
      </w:pPr>
    </w:p>
    <w:p w:rsidR="00013EC7" w:rsidRDefault="00013EC7">
      <w:pPr>
        <w:tabs>
          <w:tab w:val="left" w:pos="12399"/>
        </w:tabs>
        <w:jc w:val="left"/>
      </w:pPr>
    </w:p>
    <w:p w:rsidR="00013EC7" w:rsidRDefault="00013EC7">
      <w:pPr>
        <w:tabs>
          <w:tab w:val="left" w:pos="12399"/>
        </w:tabs>
        <w:jc w:val="left"/>
      </w:pPr>
    </w:p>
    <w:p w:rsidR="00013EC7" w:rsidRDefault="00013EC7">
      <w:pPr>
        <w:tabs>
          <w:tab w:val="left" w:pos="12399"/>
        </w:tabs>
        <w:jc w:val="left"/>
      </w:pPr>
    </w:p>
    <w:p w:rsidR="00013EC7" w:rsidRDefault="00013EC7">
      <w:pPr>
        <w:tabs>
          <w:tab w:val="left" w:pos="12399"/>
        </w:tabs>
        <w:jc w:val="left"/>
      </w:pPr>
    </w:p>
    <w:p w:rsidR="00013EC7" w:rsidRDefault="00013EC7">
      <w:pPr>
        <w:tabs>
          <w:tab w:val="left" w:pos="12399"/>
        </w:tabs>
        <w:jc w:val="left"/>
      </w:pPr>
    </w:p>
    <w:p w:rsidR="00013EC7" w:rsidRDefault="00013EC7">
      <w:pPr>
        <w:tabs>
          <w:tab w:val="left" w:pos="12399"/>
        </w:tabs>
        <w:jc w:val="left"/>
      </w:pPr>
    </w:p>
    <w:p w:rsidR="00013EC7" w:rsidRDefault="00013EC7">
      <w:pPr>
        <w:tabs>
          <w:tab w:val="left" w:pos="12399"/>
        </w:tabs>
        <w:jc w:val="left"/>
      </w:pPr>
    </w:p>
    <w:p w:rsidR="00013EC7" w:rsidRDefault="00013EC7">
      <w:pPr>
        <w:tabs>
          <w:tab w:val="left" w:pos="12399"/>
        </w:tabs>
        <w:jc w:val="left"/>
      </w:pPr>
    </w:p>
    <w:p w:rsidR="00013EC7" w:rsidRDefault="005262E6">
      <w:pPr>
        <w:tabs>
          <w:tab w:val="left" w:pos="12399"/>
        </w:tabs>
        <w:jc w:val="left"/>
      </w:pPr>
      <w:r>
        <w:lastRenderedPageBreak/>
        <w:object w:dxaOrig="1440" w:dyaOrig="1440">
          <v:shape id="_x0000_s1340" type="#_x0000_t75" style="position:absolute;margin-left:-18.75pt;margin-top:70.3pt;width:545.5pt;height:649.1pt;z-index:251666432;mso-wrap-distance-top:0;mso-wrap-distance-bottom:0;mso-position-vertical-relative:page;mso-width-relative:page;mso-height-relative:page">
            <v:imagedata r:id="rId120" o:title=""/>
            <w10:wrap type="topAndBottom" anchory="page"/>
          </v:shape>
          <o:OLEObject Type="Embed" ProgID="Visio.Drawing.11" ShapeID="_x0000_s1340" DrawAspect="Content" ObjectID="_1577296191" r:id="rId121"/>
        </w:object>
      </w:r>
    </w:p>
    <w:p w:rsidR="00013EC7" w:rsidRDefault="00575CDB">
      <w:pPr>
        <w:pStyle w:val="2"/>
      </w:pPr>
      <w:bookmarkStart w:id="172" w:name="_Toc4541"/>
      <w:bookmarkStart w:id="173" w:name="_Toc20399"/>
      <w:bookmarkStart w:id="174" w:name="_Toc503467395"/>
      <w:bookmarkStart w:id="175" w:name="_Toc25414"/>
      <w:r>
        <w:rPr>
          <w:rFonts w:hint="eastAsia"/>
        </w:rPr>
        <w:lastRenderedPageBreak/>
        <w:t>11.3</w:t>
      </w:r>
      <w:r>
        <w:rPr>
          <w:rFonts w:hint="eastAsia"/>
        </w:rPr>
        <w:t>《中国税收居民身份证明》开具</w:t>
      </w:r>
      <w:bookmarkEnd w:id="172"/>
      <w:bookmarkEnd w:id="173"/>
      <w:bookmarkEnd w:id="174"/>
      <w:bookmarkEnd w:id="175"/>
    </w:p>
    <w:p w:rsidR="00013EC7" w:rsidRDefault="00575CDB">
      <w:pPr>
        <w:jc w:val="center"/>
        <w:rPr>
          <w:rFonts w:eastAsia="仿宋_GB2312"/>
          <w:szCs w:val="21"/>
        </w:rPr>
      </w:pPr>
      <w:r>
        <w:rPr>
          <w:rFonts w:ascii="宋体" w:hAnsi="宋体" w:cs="宋体" w:hint="eastAsia"/>
          <w:b/>
          <w:bCs/>
          <w:sz w:val="52"/>
          <w:szCs w:val="52"/>
        </w:rPr>
        <w:t>全省“最多跑一次”事项“八统一”梳理表</w:t>
      </w:r>
    </w:p>
    <w:tbl>
      <w:tblPr>
        <w:tblW w:w="20242"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50"/>
        <w:gridCol w:w="1097"/>
        <w:gridCol w:w="2416"/>
        <w:gridCol w:w="2788"/>
        <w:gridCol w:w="498"/>
        <w:gridCol w:w="2788"/>
        <w:gridCol w:w="1349"/>
        <w:gridCol w:w="4254"/>
        <w:gridCol w:w="507"/>
        <w:gridCol w:w="489"/>
        <w:gridCol w:w="1966"/>
        <w:gridCol w:w="702"/>
        <w:gridCol w:w="738"/>
      </w:tblGrid>
      <w:tr w:rsidR="00013EC7">
        <w:trPr>
          <w:trHeight w:val="340"/>
          <w:tblHeader/>
          <w:jc w:val="center"/>
        </w:trPr>
        <w:tc>
          <w:tcPr>
            <w:tcW w:w="650" w:type="dxa"/>
            <w:vMerge w:val="restart"/>
            <w:tcBorders>
              <w:top w:val="single" w:sz="8" w:space="0" w:color="auto"/>
              <w:left w:val="single" w:sz="8"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主项名称</w:t>
            </w:r>
          </w:p>
        </w:tc>
        <w:tc>
          <w:tcPr>
            <w:tcW w:w="1097" w:type="dxa"/>
            <w:vMerge w:val="restart"/>
            <w:tcBorders>
              <w:top w:val="single" w:sz="8"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子项名称</w:t>
            </w:r>
          </w:p>
        </w:tc>
        <w:tc>
          <w:tcPr>
            <w:tcW w:w="2416" w:type="dxa"/>
            <w:vMerge w:val="restart"/>
            <w:tcBorders>
              <w:top w:val="single" w:sz="8"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经办依据</w:t>
            </w:r>
          </w:p>
        </w:tc>
        <w:tc>
          <w:tcPr>
            <w:tcW w:w="3286" w:type="dxa"/>
            <w:gridSpan w:val="2"/>
            <w:tcBorders>
              <w:top w:val="single" w:sz="8"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原经办所需材料</w:t>
            </w:r>
          </w:p>
        </w:tc>
        <w:tc>
          <w:tcPr>
            <w:tcW w:w="8391" w:type="dxa"/>
            <w:gridSpan w:val="3"/>
            <w:tcBorders>
              <w:top w:val="single" w:sz="8"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精简后经办所需材料</w:t>
            </w:r>
          </w:p>
        </w:tc>
        <w:tc>
          <w:tcPr>
            <w:tcW w:w="996" w:type="dxa"/>
            <w:gridSpan w:val="2"/>
            <w:tcBorders>
              <w:top w:val="single" w:sz="8"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办理时限</w:t>
            </w:r>
          </w:p>
        </w:tc>
        <w:tc>
          <w:tcPr>
            <w:tcW w:w="1966" w:type="dxa"/>
            <w:vMerge w:val="restart"/>
            <w:tcBorders>
              <w:top w:val="single" w:sz="8"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是否实现跑零次</w:t>
            </w:r>
          </w:p>
        </w:tc>
        <w:tc>
          <w:tcPr>
            <w:tcW w:w="702" w:type="dxa"/>
            <w:vMerge w:val="restart"/>
            <w:tcBorders>
              <w:top w:val="single" w:sz="8"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省厅对口</w:t>
            </w:r>
          </w:p>
          <w:p w:rsidR="00013EC7" w:rsidRDefault="00575CDB">
            <w:pPr>
              <w:spacing w:line="280" w:lineRule="exact"/>
              <w:jc w:val="center"/>
              <w:rPr>
                <w:rFonts w:ascii="黑体" w:eastAsia="黑体"/>
                <w:sz w:val="24"/>
              </w:rPr>
            </w:pPr>
            <w:r>
              <w:rPr>
                <w:rFonts w:ascii="黑体" w:eastAsia="黑体" w:hint="eastAsia"/>
                <w:sz w:val="24"/>
              </w:rPr>
              <w:t>指导处室</w:t>
            </w:r>
          </w:p>
          <w:p w:rsidR="00013EC7" w:rsidRDefault="00575CDB">
            <w:pPr>
              <w:spacing w:line="280" w:lineRule="exact"/>
              <w:jc w:val="center"/>
              <w:rPr>
                <w:rFonts w:ascii="黑体" w:eastAsia="黑体"/>
                <w:sz w:val="24"/>
              </w:rPr>
            </w:pPr>
            <w:r>
              <w:rPr>
                <w:rFonts w:ascii="黑体" w:eastAsia="黑体" w:hint="eastAsia"/>
                <w:sz w:val="24"/>
              </w:rPr>
              <w:t>（单位）</w:t>
            </w:r>
          </w:p>
        </w:tc>
        <w:tc>
          <w:tcPr>
            <w:tcW w:w="738" w:type="dxa"/>
            <w:vMerge w:val="restart"/>
            <w:tcBorders>
              <w:top w:val="single" w:sz="8" w:space="0" w:color="auto"/>
              <w:left w:val="single" w:sz="4" w:space="0" w:color="auto"/>
              <w:bottom w:val="single" w:sz="4" w:space="0" w:color="auto"/>
              <w:right w:val="single" w:sz="8"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进一步精简、</w:t>
            </w:r>
          </w:p>
          <w:p w:rsidR="00013EC7" w:rsidRDefault="00575CDB">
            <w:pPr>
              <w:spacing w:line="280" w:lineRule="exact"/>
              <w:jc w:val="center"/>
              <w:rPr>
                <w:rFonts w:ascii="黑体" w:eastAsia="黑体"/>
                <w:sz w:val="24"/>
              </w:rPr>
            </w:pPr>
            <w:r>
              <w:rPr>
                <w:rFonts w:ascii="黑体" w:eastAsia="黑体" w:hint="eastAsia"/>
                <w:sz w:val="24"/>
              </w:rPr>
              <w:t>规范建议</w:t>
            </w:r>
          </w:p>
        </w:tc>
      </w:tr>
      <w:tr w:rsidR="00013EC7">
        <w:trPr>
          <w:trHeight w:val="340"/>
          <w:tblHeader/>
          <w:jc w:val="center"/>
        </w:trPr>
        <w:tc>
          <w:tcPr>
            <w:tcW w:w="650" w:type="dxa"/>
            <w:vMerge/>
            <w:tcBorders>
              <w:top w:val="single" w:sz="8" w:space="0" w:color="auto"/>
              <w:left w:val="single" w:sz="8" w:space="0" w:color="auto"/>
              <w:bottom w:val="single" w:sz="4" w:space="0" w:color="auto"/>
              <w:right w:val="single" w:sz="4" w:space="0" w:color="auto"/>
            </w:tcBorders>
            <w:vAlign w:val="center"/>
          </w:tcPr>
          <w:p w:rsidR="00013EC7" w:rsidRDefault="00013EC7">
            <w:pPr>
              <w:widowControl/>
              <w:jc w:val="left"/>
              <w:rPr>
                <w:rFonts w:ascii="黑体" w:eastAsia="黑体"/>
                <w:sz w:val="24"/>
              </w:rPr>
            </w:pPr>
          </w:p>
        </w:tc>
        <w:tc>
          <w:tcPr>
            <w:tcW w:w="1097" w:type="dxa"/>
            <w:vMerge/>
            <w:tcBorders>
              <w:top w:val="single" w:sz="8" w:space="0" w:color="auto"/>
              <w:left w:val="single" w:sz="4" w:space="0" w:color="auto"/>
              <w:bottom w:val="single" w:sz="4" w:space="0" w:color="auto"/>
              <w:right w:val="single" w:sz="4" w:space="0" w:color="auto"/>
            </w:tcBorders>
            <w:vAlign w:val="center"/>
          </w:tcPr>
          <w:p w:rsidR="00013EC7" w:rsidRDefault="00013EC7">
            <w:pPr>
              <w:widowControl/>
              <w:jc w:val="left"/>
              <w:rPr>
                <w:rFonts w:ascii="黑体" w:eastAsia="黑体"/>
                <w:sz w:val="24"/>
              </w:rPr>
            </w:pPr>
          </w:p>
        </w:tc>
        <w:tc>
          <w:tcPr>
            <w:tcW w:w="2416" w:type="dxa"/>
            <w:vMerge/>
            <w:tcBorders>
              <w:top w:val="single" w:sz="8" w:space="0" w:color="auto"/>
              <w:left w:val="single" w:sz="4" w:space="0" w:color="auto"/>
              <w:bottom w:val="single" w:sz="4" w:space="0" w:color="auto"/>
              <w:right w:val="single" w:sz="4" w:space="0" w:color="auto"/>
            </w:tcBorders>
            <w:vAlign w:val="center"/>
          </w:tcPr>
          <w:p w:rsidR="00013EC7" w:rsidRDefault="00013EC7">
            <w:pPr>
              <w:widowControl/>
              <w:jc w:val="left"/>
              <w:rPr>
                <w:rFonts w:ascii="黑体" w:eastAsia="黑体"/>
                <w:sz w:val="24"/>
              </w:rPr>
            </w:pPr>
          </w:p>
        </w:tc>
        <w:tc>
          <w:tcPr>
            <w:tcW w:w="2788"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498"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2788"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349"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4254"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办理方式及材料</w:t>
            </w:r>
          </w:p>
          <w:p w:rsidR="00013EC7" w:rsidRDefault="00575CDB">
            <w:pPr>
              <w:spacing w:line="280" w:lineRule="exact"/>
              <w:jc w:val="center"/>
              <w:rPr>
                <w:rFonts w:ascii="黑体" w:eastAsia="黑体"/>
                <w:sz w:val="24"/>
              </w:rPr>
            </w:pPr>
            <w:r>
              <w:rPr>
                <w:rFonts w:ascii="黑体" w:eastAsia="黑体" w:hint="eastAsia"/>
                <w:sz w:val="24"/>
              </w:rPr>
              <w:t>信息获取方式说明</w:t>
            </w:r>
          </w:p>
        </w:tc>
        <w:tc>
          <w:tcPr>
            <w:tcW w:w="507"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优化前</w:t>
            </w:r>
          </w:p>
        </w:tc>
        <w:tc>
          <w:tcPr>
            <w:tcW w:w="489"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优化后</w:t>
            </w:r>
          </w:p>
        </w:tc>
        <w:tc>
          <w:tcPr>
            <w:tcW w:w="1966" w:type="dxa"/>
            <w:vMerge/>
            <w:tcBorders>
              <w:top w:val="single" w:sz="8" w:space="0" w:color="auto"/>
              <w:left w:val="single" w:sz="4" w:space="0" w:color="auto"/>
              <w:bottom w:val="single" w:sz="4" w:space="0" w:color="auto"/>
              <w:right w:val="single" w:sz="4" w:space="0" w:color="auto"/>
            </w:tcBorders>
            <w:vAlign w:val="center"/>
          </w:tcPr>
          <w:p w:rsidR="00013EC7" w:rsidRDefault="00013EC7">
            <w:pPr>
              <w:widowControl/>
              <w:jc w:val="left"/>
              <w:rPr>
                <w:rFonts w:ascii="黑体" w:eastAsia="黑体"/>
                <w:sz w:val="24"/>
              </w:rPr>
            </w:pPr>
          </w:p>
        </w:tc>
        <w:tc>
          <w:tcPr>
            <w:tcW w:w="702" w:type="dxa"/>
            <w:vMerge/>
            <w:tcBorders>
              <w:top w:val="single" w:sz="8" w:space="0" w:color="auto"/>
              <w:left w:val="single" w:sz="4" w:space="0" w:color="auto"/>
              <w:bottom w:val="single" w:sz="4" w:space="0" w:color="auto"/>
              <w:right w:val="single" w:sz="4" w:space="0" w:color="auto"/>
            </w:tcBorders>
            <w:vAlign w:val="center"/>
          </w:tcPr>
          <w:p w:rsidR="00013EC7" w:rsidRDefault="00013EC7">
            <w:pPr>
              <w:widowControl/>
              <w:jc w:val="left"/>
              <w:rPr>
                <w:rFonts w:ascii="黑体" w:eastAsia="黑体"/>
                <w:sz w:val="24"/>
              </w:rPr>
            </w:pPr>
          </w:p>
        </w:tc>
        <w:tc>
          <w:tcPr>
            <w:tcW w:w="738" w:type="dxa"/>
            <w:vMerge/>
            <w:tcBorders>
              <w:top w:val="single" w:sz="8" w:space="0" w:color="auto"/>
              <w:left w:val="single" w:sz="4" w:space="0" w:color="auto"/>
              <w:bottom w:val="single" w:sz="4" w:space="0" w:color="auto"/>
              <w:right w:val="single" w:sz="8" w:space="0" w:color="auto"/>
            </w:tcBorders>
            <w:vAlign w:val="center"/>
          </w:tcPr>
          <w:p w:rsidR="00013EC7" w:rsidRDefault="00013EC7">
            <w:pPr>
              <w:widowControl/>
              <w:jc w:val="left"/>
              <w:rPr>
                <w:rFonts w:ascii="黑体" w:eastAsia="黑体"/>
                <w:sz w:val="24"/>
              </w:rPr>
            </w:pPr>
          </w:p>
        </w:tc>
      </w:tr>
      <w:tr w:rsidR="00013EC7">
        <w:trPr>
          <w:trHeight w:val="1040"/>
          <w:jc w:val="center"/>
        </w:trPr>
        <w:tc>
          <w:tcPr>
            <w:tcW w:w="650" w:type="dxa"/>
            <w:vMerge w:val="restart"/>
            <w:tcBorders>
              <w:top w:val="single" w:sz="4" w:space="0" w:color="auto"/>
              <w:left w:val="single" w:sz="8" w:space="0" w:color="auto"/>
              <w:bottom w:val="single" w:sz="8" w:space="0" w:color="auto"/>
              <w:right w:val="single" w:sz="4" w:space="0" w:color="auto"/>
            </w:tcBorders>
            <w:vAlign w:val="center"/>
          </w:tcPr>
          <w:p w:rsidR="00013EC7" w:rsidRDefault="00575CDB">
            <w:pPr>
              <w:spacing w:line="300" w:lineRule="exact"/>
              <w:jc w:val="left"/>
              <w:rPr>
                <w:rFonts w:ascii="仿宋" w:eastAsia="仿宋" w:hAnsi="仿宋"/>
                <w:sz w:val="24"/>
              </w:rPr>
            </w:pPr>
            <w:r>
              <w:rPr>
                <w:rFonts w:ascii="仿宋" w:eastAsia="仿宋" w:hAnsi="仿宋" w:hint="eastAsia"/>
                <w:sz w:val="24"/>
              </w:rPr>
              <w:t>11涉外税收事项认定</w:t>
            </w:r>
          </w:p>
        </w:tc>
        <w:tc>
          <w:tcPr>
            <w:tcW w:w="1097" w:type="dxa"/>
            <w:vMerge w:val="restart"/>
            <w:tcBorders>
              <w:top w:val="single" w:sz="4" w:space="0" w:color="auto"/>
              <w:left w:val="single" w:sz="4" w:space="0" w:color="auto"/>
              <w:bottom w:val="single" w:sz="8" w:space="0" w:color="auto"/>
              <w:right w:val="single" w:sz="4" w:space="0" w:color="auto"/>
            </w:tcBorders>
            <w:vAlign w:val="center"/>
          </w:tcPr>
          <w:p w:rsidR="00013EC7" w:rsidRDefault="00575CDB">
            <w:pPr>
              <w:spacing w:line="310" w:lineRule="exact"/>
              <w:jc w:val="left"/>
              <w:rPr>
                <w:rFonts w:ascii="仿宋" w:eastAsia="仿宋" w:hAnsi="仿宋"/>
                <w:sz w:val="24"/>
              </w:rPr>
            </w:pPr>
            <w:r>
              <w:rPr>
                <w:rFonts w:ascii="仿宋" w:eastAsia="仿宋" w:hAnsi="仿宋" w:hint="eastAsia"/>
                <w:sz w:val="24"/>
              </w:rPr>
              <w:t>11.3《中国税收居民身份证明》开具</w:t>
            </w:r>
          </w:p>
        </w:tc>
        <w:tc>
          <w:tcPr>
            <w:tcW w:w="2416" w:type="dxa"/>
            <w:vMerge w:val="restart"/>
            <w:tcBorders>
              <w:top w:val="single" w:sz="4" w:space="0" w:color="auto"/>
              <w:left w:val="single" w:sz="4" w:space="0" w:color="auto"/>
              <w:bottom w:val="single" w:sz="8" w:space="0" w:color="auto"/>
              <w:right w:val="single" w:sz="4" w:space="0" w:color="auto"/>
            </w:tcBorders>
            <w:vAlign w:val="center"/>
          </w:tcPr>
          <w:p w:rsidR="00013EC7" w:rsidRDefault="00575CDB">
            <w:pPr>
              <w:spacing w:line="310" w:lineRule="exact"/>
              <w:jc w:val="left"/>
              <w:rPr>
                <w:rFonts w:ascii="仿宋" w:eastAsia="仿宋" w:hAnsi="仿宋"/>
                <w:sz w:val="24"/>
              </w:rPr>
            </w:pPr>
            <w:r>
              <w:rPr>
                <w:rFonts w:ascii="仿宋" w:eastAsia="仿宋" w:hAnsi="仿宋" w:hint="eastAsia"/>
                <w:sz w:val="24"/>
              </w:rPr>
              <w:t>（一）《关于开具&lt;中国税收居民身份证明&gt;有关事项的公告》（国家税务总局公告2016年第40号）全文。</w:t>
            </w:r>
          </w:p>
        </w:tc>
        <w:tc>
          <w:tcPr>
            <w:tcW w:w="2788"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310" w:lineRule="exact"/>
              <w:jc w:val="left"/>
              <w:rPr>
                <w:rFonts w:ascii="仿宋" w:eastAsia="仿宋" w:hAnsi="仿宋" w:cs="宋体"/>
                <w:sz w:val="24"/>
              </w:rPr>
            </w:pPr>
            <w:r>
              <w:rPr>
                <w:rFonts w:ascii="仿宋" w:eastAsia="仿宋" w:hAnsi="仿宋" w:hint="eastAsia"/>
                <w:sz w:val="24"/>
              </w:rPr>
              <w:t>（一）</w:t>
            </w:r>
            <w:r>
              <w:rPr>
                <w:rFonts w:ascii="仿宋" w:eastAsia="仿宋" w:hAnsi="仿宋" w:cs="宋体" w:hint="eastAsia"/>
                <w:sz w:val="24"/>
              </w:rPr>
              <w:t>（A05005）《〈中国税收居民身份证明〉申请表》</w:t>
            </w:r>
            <w:r>
              <w:rPr>
                <w:rFonts w:ascii="仿宋" w:eastAsia="仿宋" w:hAnsi="仿宋" w:cs="宋体" w:hint="eastAsia"/>
                <w:sz w:val="24"/>
                <w:shd w:val="pct10" w:color="auto" w:fill="FFFFFF"/>
              </w:rPr>
              <w:t>3份</w:t>
            </w:r>
            <w:r>
              <w:rPr>
                <w:rFonts w:ascii="仿宋" w:eastAsia="仿宋" w:hAnsi="仿宋" w:cs="宋体" w:hint="eastAsia"/>
                <w:sz w:val="24"/>
              </w:rPr>
              <w:t>。</w:t>
            </w:r>
          </w:p>
        </w:tc>
        <w:tc>
          <w:tcPr>
            <w:tcW w:w="498" w:type="dxa"/>
            <w:vMerge w:val="restart"/>
            <w:tcBorders>
              <w:top w:val="single" w:sz="4" w:space="0" w:color="auto"/>
              <w:left w:val="single" w:sz="4" w:space="0" w:color="auto"/>
              <w:bottom w:val="single" w:sz="8" w:space="0" w:color="auto"/>
              <w:right w:val="single" w:sz="4" w:space="0" w:color="auto"/>
            </w:tcBorders>
            <w:vAlign w:val="center"/>
          </w:tcPr>
          <w:p w:rsidR="00013EC7" w:rsidRDefault="00575CDB">
            <w:pPr>
              <w:spacing w:line="300" w:lineRule="exact"/>
              <w:jc w:val="left"/>
              <w:rPr>
                <w:rFonts w:ascii="仿宋" w:eastAsia="仿宋" w:hAnsi="仿宋"/>
                <w:sz w:val="24"/>
              </w:rPr>
            </w:pPr>
            <w:r>
              <w:rPr>
                <w:rFonts w:ascii="仿宋" w:eastAsia="仿宋" w:hAnsi="仿宋" w:hint="eastAsia"/>
                <w:sz w:val="24"/>
              </w:rPr>
              <w:t>纳税人提交</w:t>
            </w:r>
          </w:p>
        </w:tc>
        <w:tc>
          <w:tcPr>
            <w:tcW w:w="2788"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310" w:lineRule="exact"/>
              <w:jc w:val="left"/>
              <w:rPr>
                <w:rFonts w:ascii="仿宋" w:eastAsia="仿宋" w:hAnsi="仿宋" w:cs="宋体"/>
                <w:sz w:val="24"/>
              </w:rPr>
            </w:pPr>
            <w:r>
              <w:rPr>
                <w:rFonts w:ascii="仿宋" w:eastAsia="仿宋" w:hAnsi="仿宋" w:hint="eastAsia"/>
                <w:sz w:val="24"/>
              </w:rPr>
              <w:t>（一）</w:t>
            </w:r>
            <w:r>
              <w:rPr>
                <w:rFonts w:ascii="仿宋" w:eastAsia="仿宋" w:hAnsi="仿宋" w:cs="宋体" w:hint="eastAsia"/>
                <w:sz w:val="24"/>
              </w:rPr>
              <w:t>（A05005）《〈中国税收居民身份证明〉申请表》1份。</w:t>
            </w:r>
          </w:p>
        </w:tc>
        <w:tc>
          <w:tcPr>
            <w:tcW w:w="1349"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310" w:lineRule="exact"/>
              <w:jc w:val="left"/>
              <w:rPr>
                <w:rFonts w:ascii="仿宋" w:eastAsia="仿宋" w:hAnsi="仿宋"/>
                <w:sz w:val="24"/>
              </w:rPr>
            </w:pPr>
            <w:r>
              <w:rPr>
                <w:rFonts w:ascii="仿宋" w:eastAsia="仿宋" w:hAnsi="仿宋" w:hint="eastAsia"/>
                <w:sz w:val="24"/>
              </w:rPr>
              <w:t>纳税人提交</w:t>
            </w:r>
          </w:p>
        </w:tc>
        <w:tc>
          <w:tcPr>
            <w:tcW w:w="4254" w:type="dxa"/>
            <w:tcBorders>
              <w:top w:val="single" w:sz="4" w:space="0" w:color="auto"/>
              <w:left w:val="single" w:sz="4" w:space="0" w:color="auto"/>
              <w:bottom w:val="single" w:sz="8" w:space="0" w:color="auto"/>
              <w:right w:val="single" w:sz="4" w:space="0" w:color="auto"/>
            </w:tcBorders>
            <w:shd w:val="clear" w:color="auto" w:fill="auto"/>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申请单位提交书面材料；</w:t>
            </w:r>
          </w:p>
          <w:p w:rsidR="00013EC7" w:rsidRDefault="00575CDB">
            <w:pPr>
              <w:spacing w:line="300" w:lineRule="exact"/>
              <w:jc w:val="left"/>
              <w:rPr>
                <w:rFonts w:ascii="仿宋" w:eastAsia="仿宋" w:hAnsi="仿宋" w:cs="仿宋"/>
                <w:sz w:val="24"/>
              </w:rPr>
            </w:pPr>
            <w:r>
              <w:rPr>
                <w:rFonts w:ascii="仿宋" w:eastAsia="仿宋" w:hAnsi="仿宋" w:cs="仿宋" w:hint="eastAsia"/>
                <w:b/>
                <w:sz w:val="24"/>
              </w:rPr>
              <w:t>网上办理：</w:t>
            </w:r>
            <w:r>
              <w:rPr>
                <w:rFonts w:ascii="仿宋" w:eastAsia="仿宋" w:hAnsi="仿宋" w:cs="仿宋" w:hint="eastAsia"/>
                <w:sz w:val="24"/>
              </w:rPr>
              <w:t>登录浙江国税电子税务局（网址：http://etax.zjtax.gov.cn/）提交申请。</w:t>
            </w:r>
          </w:p>
        </w:tc>
        <w:tc>
          <w:tcPr>
            <w:tcW w:w="507" w:type="dxa"/>
            <w:vMerge w:val="restart"/>
            <w:tcBorders>
              <w:top w:val="single" w:sz="4" w:space="0" w:color="auto"/>
              <w:left w:val="single" w:sz="4" w:space="0" w:color="auto"/>
              <w:bottom w:val="single" w:sz="8" w:space="0" w:color="auto"/>
              <w:right w:val="single" w:sz="4" w:space="0" w:color="auto"/>
            </w:tcBorders>
            <w:vAlign w:val="center"/>
          </w:tcPr>
          <w:p w:rsidR="00013EC7" w:rsidRDefault="00575CDB">
            <w:pPr>
              <w:spacing w:line="300" w:lineRule="exact"/>
              <w:jc w:val="left"/>
              <w:rPr>
                <w:rFonts w:ascii="仿宋" w:eastAsia="仿宋" w:hAnsi="仿宋"/>
                <w:color w:val="FF0000"/>
                <w:sz w:val="24"/>
              </w:rPr>
            </w:pPr>
            <w:r>
              <w:rPr>
                <w:rFonts w:ascii="仿宋" w:eastAsia="仿宋" w:hAnsi="仿宋" w:cs="宋体" w:hint="eastAsia"/>
                <w:sz w:val="24"/>
              </w:rPr>
              <w:t>10个工作日</w:t>
            </w:r>
          </w:p>
        </w:tc>
        <w:tc>
          <w:tcPr>
            <w:tcW w:w="489" w:type="dxa"/>
            <w:vMerge w:val="restart"/>
            <w:tcBorders>
              <w:top w:val="single" w:sz="4" w:space="0" w:color="auto"/>
              <w:left w:val="single" w:sz="4" w:space="0" w:color="auto"/>
              <w:bottom w:val="single" w:sz="8" w:space="0" w:color="auto"/>
              <w:right w:val="single" w:sz="4" w:space="0" w:color="auto"/>
            </w:tcBorders>
            <w:vAlign w:val="center"/>
          </w:tcPr>
          <w:p w:rsidR="00013EC7" w:rsidRDefault="00575CDB">
            <w:pPr>
              <w:spacing w:line="300" w:lineRule="exact"/>
              <w:jc w:val="left"/>
              <w:rPr>
                <w:rFonts w:ascii="仿宋" w:eastAsia="仿宋" w:hAnsi="仿宋"/>
                <w:sz w:val="24"/>
              </w:rPr>
            </w:pPr>
            <w:r>
              <w:rPr>
                <w:rFonts w:ascii="仿宋" w:eastAsia="仿宋" w:hAnsi="仿宋" w:hint="eastAsia"/>
                <w:sz w:val="24"/>
              </w:rPr>
              <w:t>5个工作日</w:t>
            </w:r>
          </w:p>
        </w:tc>
        <w:tc>
          <w:tcPr>
            <w:tcW w:w="1966" w:type="dxa"/>
            <w:vMerge w:val="restart"/>
            <w:tcBorders>
              <w:top w:val="single" w:sz="4" w:space="0" w:color="auto"/>
              <w:left w:val="single" w:sz="4" w:space="0" w:color="auto"/>
              <w:bottom w:val="single" w:sz="8" w:space="0" w:color="auto"/>
              <w:right w:val="single" w:sz="4" w:space="0" w:color="auto"/>
            </w:tcBorders>
            <w:vAlign w:val="center"/>
          </w:tcPr>
          <w:p w:rsidR="00013EC7" w:rsidRDefault="00575CDB">
            <w:pPr>
              <w:spacing w:line="300" w:lineRule="exact"/>
              <w:jc w:val="left"/>
              <w:rPr>
                <w:rFonts w:ascii="仿宋" w:eastAsia="仿宋" w:hAnsi="仿宋"/>
                <w:sz w:val="24"/>
              </w:rPr>
            </w:pPr>
            <w:r>
              <w:rPr>
                <w:rFonts w:ascii="仿宋" w:eastAsia="仿宋" w:hAnsi="仿宋" w:hint="eastAsia"/>
                <w:sz w:val="24"/>
              </w:rPr>
              <w:t>否（因个别国家/地区对证明表样要求不一，存在需要手工开具送达的情况。）</w:t>
            </w:r>
          </w:p>
        </w:tc>
        <w:tc>
          <w:tcPr>
            <w:tcW w:w="702" w:type="dxa"/>
            <w:vMerge w:val="restart"/>
            <w:tcBorders>
              <w:top w:val="single" w:sz="4" w:space="0" w:color="auto"/>
              <w:left w:val="single" w:sz="4" w:space="0" w:color="auto"/>
              <w:bottom w:val="single" w:sz="8" w:space="0" w:color="auto"/>
              <w:right w:val="single" w:sz="4" w:space="0" w:color="auto"/>
            </w:tcBorders>
            <w:vAlign w:val="center"/>
          </w:tcPr>
          <w:p w:rsidR="00013EC7" w:rsidRDefault="00575CDB">
            <w:pPr>
              <w:spacing w:line="280" w:lineRule="exact"/>
              <w:jc w:val="left"/>
              <w:rPr>
                <w:rFonts w:ascii="仿宋" w:eastAsia="仿宋" w:hAnsi="仿宋"/>
                <w:sz w:val="24"/>
              </w:rPr>
            </w:pPr>
            <w:r>
              <w:rPr>
                <w:rFonts w:ascii="仿宋" w:eastAsia="仿宋" w:hAnsi="仿宋" w:hint="eastAsia"/>
                <w:sz w:val="24"/>
              </w:rPr>
              <w:t>国际税务处</w:t>
            </w:r>
          </w:p>
        </w:tc>
        <w:tc>
          <w:tcPr>
            <w:tcW w:w="738" w:type="dxa"/>
            <w:vMerge w:val="restart"/>
            <w:tcBorders>
              <w:top w:val="single" w:sz="4" w:space="0" w:color="auto"/>
              <w:left w:val="single" w:sz="4" w:space="0" w:color="auto"/>
              <w:bottom w:val="single" w:sz="8" w:space="0" w:color="auto"/>
              <w:right w:val="single" w:sz="8" w:space="0" w:color="auto"/>
            </w:tcBorders>
            <w:vAlign w:val="center"/>
          </w:tcPr>
          <w:p w:rsidR="00013EC7" w:rsidRDefault="00013EC7">
            <w:pPr>
              <w:spacing w:line="300" w:lineRule="exact"/>
              <w:jc w:val="left"/>
              <w:rPr>
                <w:rFonts w:ascii="仿宋" w:eastAsia="仿宋" w:hAnsi="仿宋"/>
                <w:sz w:val="24"/>
              </w:rPr>
            </w:pPr>
          </w:p>
        </w:tc>
      </w:tr>
      <w:tr w:rsidR="00013EC7">
        <w:trPr>
          <w:trHeight w:val="1040"/>
          <w:jc w:val="center"/>
        </w:trPr>
        <w:tc>
          <w:tcPr>
            <w:tcW w:w="650" w:type="dxa"/>
            <w:vMerge/>
            <w:tcBorders>
              <w:top w:val="single" w:sz="4" w:space="0" w:color="auto"/>
              <w:left w:val="single" w:sz="8" w:space="0" w:color="auto"/>
              <w:bottom w:val="single" w:sz="8" w:space="0" w:color="auto"/>
              <w:right w:val="single" w:sz="4" w:space="0" w:color="auto"/>
            </w:tcBorders>
            <w:vAlign w:val="center"/>
          </w:tcPr>
          <w:p w:rsidR="00013EC7" w:rsidRDefault="00013EC7">
            <w:pPr>
              <w:widowControl/>
              <w:jc w:val="left"/>
              <w:rPr>
                <w:rFonts w:ascii="仿宋" w:eastAsia="仿宋" w:hAnsi="仿宋"/>
                <w:sz w:val="24"/>
              </w:rPr>
            </w:pPr>
          </w:p>
        </w:tc>
        <w:tc>
          <w:tcPr>
            <w:tcW w:w="1097"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sz w:val="24"/>
              </w:rPr>
            </w:pPr>
          </w:p>
        </w:tc>
        <w:tc>
          <w:tcPr>
            <w:tcW w:w="2416"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sz w:val="24"/>
              </w:rPr>
            </w:pPr>
          </w:p>
        </w:tc>
        <w:tc>
          <w:tcPr>
            <w:tcW w:w="2788"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310" w:lineRule="exact"/>
              <w:jc w:val="left"/>
              <w:rPr>
                <w:rFonts w:ascii="仿宋" w:eastAsia="仿宋" w:hAnsi="仿宋" w:cs="宋体"/>
                <w:sz w:val="24"/>
              </w:rPr>
            </w:pPr>
            <w:r>
              <w:rPr>
                <w:rFonts w:ascii="仿宋" w:eastAsia="仿宋" w:hAnsi="仿宋" w:hint="eastAsia"/>
                <w:sz w:val="24"/>
              </w:rPr>
              <w:t>（二）</w:t>
            </w:r>
            <w:r>
              <w:rPr>
                <w:rFonts w:ascii="仿宋" w:eastAsia="仿宋" w:hAnsi="仿宋" w:cs="宋体" w:hint="eastAsia"/>
                <w:sz w:val="24"/>
                <w:shd w:val="pct10" w:color="auto" w:fill="FFFFFF"/>
              </w:rPr>
              <w:t>申请年度在中华人民共和国境内的完税证明复印件。如在境内未交税，应以书面形式说明理由。</w:t>
            </w:r>
          </w:p>
        </w:tc>
        <w:tc>
          <w:tcPr>
            <w:tcW w:w="498"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sz w:val="24"/>
              </w:rPr>
            </w:pPr>
          </w:p>
        </w:tc>
        <w:tc>
          <w:tcPr>
            <w:tcW w:w="2788"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310" w:lineRule="exact"/>
              <w:jc w:val="left"/>
              <w:rPr>
                <w:rFonts w:ascii="仿宋" w:eastAsia="仿宋" w:hAnsi="仿宋" w:cs="宋体"/>
                <w:color w:val="FF0000"/>
                <w:sz w:val="24"/>
              </w:rPr>
            </w:pPr>
            <w:r>
              <w:rPr>
                <w:rFonts w:ascii="仿宋" w:eastAsia="仿宋" w:hAnsi="仿宋" w:hint="eastAsia"/>
                <w:sz w:val="24"/>
              </w:rPr>
              <w:t>（二）申请年度在中华人民共和国境内的完税证明。如在境内未交税，应以书面形式说明理由。</w:t>
            </w:r>
          </w:p>
        </w:tc>
        <w:tc>
          <w:tcPr>
            <w:tcW w:w="1349"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310" w:lineRule="exact"/>
              <w:jc w:val="left"/>
              <w:rPr>
                <w:rFonts w:ascii="仿宋" w:eastAsia="仿宋" w:hAnsi="仿宋"/>
                <w:b/>
                <w:i/>
                <w:iCs/>
                <w:sz w:val="24"/>
              </w:rPr>
            </w:pPr>
            <w:r>
              <w:rPr>
                <w:rFonts w:ascii="仿宋" w:eastAsia="仿宋" w:hAnsi="仿宋" w:hint="eastAsia"/>
                <w:b/>
                <w:i/>
                <w:iCs/>
                <w:sz w:val="24"/>
              </w:rPr>
              <w:t>经办机构</w:t>
            </w:r>
          </w:p>
          <w:p w:rsidR="00013EC7" w:rsidRDefault="00575CDB">
            <w:pPr>
              <w:spacing w:line="310" w:lineRule="exact"/>
              <w:jc w:val="left"/>
              <w:rPr>
                <w:rFonts w:ascii="仿宋" w:eastAsia="仿宋" w:hAnsi="仿宋"/>
                <w:b/>
                <w:sz w:val="24"/>
              </w:rPr>
            </w:pPr>
            <w:r>
              <w:rPr>
                <w:rFonts w:ascii="仿宋" w:eastAsia="仿宋" w:hAnsi="仿宋" w:hint="eastAsia"/>
                <w:b/>
                <w:i/>
                <w:iCs/>
                <w:sz w:val="24"/>
              </w:rPr>
              <w:t>自行获取</w:t>
            </w:r>
          </w:p>
        </w:tc>
        <w:tc>
          <w:tcPr>
            <w:tcW w:w="4254" w:type="dxa"/>
            <w:tcBorders>
              <w:top w:val="single" w:sz="4" w:space="0" w:color="auto"/>
              <w:left w:val="single" w:sz="4" w:space="0" w:color="auto"/>
              <w:bottom w:val="single" w:sz="8" w:space="0" w:color="auto"/>
              <w:right w:val="single" w:sz="4" w:space="0" w:color="auto"/>
            </w:tcBorders>
            <w:shd w:val="clear" w:color="auto" w:fill="auto"/>
            <w:vAlign w:val="center"/>
          </w:tcPr>
          <w:p w:rsidR="00013EC7" w:rsidRDefault="00575CDB">
            <w:pPr>
              <w:widowControl/>
              <w:jc w:val="left"/>
              <w:rPr>
                <w:rFonts w:ascii="仿宋" w:eastAsia="仿宋" w:hAnsi="仿宋"/>
                <w:sz w:val="24"/>
              </w:rPr>
            </w:pPr>
            <w:r>
              <w:rPr>
                <w:rFonts w:ascii="仿宋" w:eastAsia="仿宋" w:hAnsi="仿宋" w:cs="仿宋" w:hint="eastAsia"/>
                <w:b/>
                <w:sz w:val="24"/>
              </w:rPr>
              <w:t>内部共享：</w:t>
            </w:r>
            <w:r>
              <w:rPr>
                <w:rFonts w:ascii="仿宋" w:eastAsia="仿宋" w:hAnsi="仿宋" w:cs="仿宋" w:hint="eastAsia"/>
                <w:sz w:val="24"/>
              </w:rPr>
              <w:t>内部共享获取相关信息。</w:t>
            </w:r>
          </w:p>
        </w:tc>
        <w:tc>
          <w:tcPr>
            <w:tcW w:w="507"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color w:val="FF0000"/>
                <w:sz w:val="24"/>
              </w:rPr>
            </w:pPr>
          </w:p>
        </w:tc>
        <w:tc>
          <w:tcPr>
            <w:tcW w:w="489"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sz w:val="24"/>
              </w:rPr>
            </w:pPr>
          </w:p>
        </w:tc>
        <w:tc>
          <w:tcPr>
            <w:tcW w:w="1966"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sz w:val="24"/>
              </w:rPr>
            </w:pPr>
          </w:p>
        </w:tc>
        <w:tc>
          <w:tcPr>
            <w:tcW w:w="702"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sz w:val="24"/>
              </w:rPr>
            </w:pPr>
          </w:p>
        </w:tc>
        <w:tc>
          <w:tcPr>
            <w:tcW w:w="738" w:type="dxa"/>
            <w:vMerge/>
            <w:tcBorders>
              <w:top w:val="single" w:sz="4" w:space="0" w:color="auto"/>
              <w:left w:val="single" w:sz="4" w:space="0" w:color="auto"/>
              <w:bottom w:val="single" w:sz="8" w:space="0" w:color="auto"/>
              <w:right w:val="single" w:sz="8" w:space="0" w:color="auto"/>
            </w:tcBorders>
            <w:vAlign w:val="center"/>
          </w:tcPr>
          <w:p w:rsidR="00013EC7" w:rsidRDefault="00013EC7">
            <w:pPr>
              <w:widowControl/>
              <w:jc w:val="left"/>
              <w:rPr>
                <w:rFonts w:ascii="仿宋" w:eastAsia="仿宋" w:hAnsi="仿宋"/>
                <w:sz w:val="24"/>
              </w:rPr>
            </w:pPr>
          </w:p>
        </w:tc>
      </w:tr>
      <w:tr w:rsidR="00013EC7">
        <w:trPr>
          <w:trHeight w:val="1040"/>
          <w:jc w:val="center"/>
        </w:trPr>
        <w:tc>
          <w:tcPr>
            <w:tcW w:w="650" w:type="dxa"/>
            <w:vMerge/>
            <w:tcBorders>
              <w:top w:val="single" w:sz="4" w:space="0" w:color="auto"/>
              <w:left w:val="single" w:sz="8" w:space="0" w:color="auto"/>
              <w:bottom w:val="single" w:sz="8" w:space="0" w:color="auto"/>
              <w:right w:val="single" w:sz="4" w:space="0" w:color="auto"/>
            </w:tcBorders>
            <w:vAlign w:val="center"/>
          </w:tcPr>
          <w:p w:rsidR="00013EC7" w:rsidRDefault="00013EC7">
            <w:pPr>
              <w:widowControl/>
              <w:jc w:val="left"/>
              <w:rPr>
                <w:rFonts w:ascii="仿宋" w:eastAsia="仿宋" w:hAnsi="仿宋"/>
                <w:sz w:val="24"/>
              </w:rPr>
            </w:pPr>
          </w:p>
        </w:tc>
        <w:tc>
          <w:tcPr>
            <w:tcW w:w="1097"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sz w:val="24"/>
              </w:rPr>
            </w:pPr>
          </w:p>
        </w:tc>
        <w:tc>
          <w:tcPr>
            <w:tcW w:w="2416"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sz w:val="24"/>
              </w:rPr>
            </w:pPr>
          </w:p>
        </w:tc>
        <w:tc>
          <w:tcPr>
            <w:tcW w:w="2788"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310" w:lineRule="exact"/>
              <w:jc w:val="left"/>
              <w:rPr>
                <w:rFonts w:ascii="仿宋" w:eastAsia="仿宋" w:hAnsi="仿宋"/>
                <w:sz w:val="24"/>
              </w:rPr>
            </w:pPr>
            <w:r>
              <w:rPr>
                <w:rFonts w:ascii="仿宋" w:eastAsia="仿宋" w:hAnsi="仿宋" w:hint="eastAsia"/>
                <w:sz w:val="24"/>
              </w:rPr>
              <w:t>（三）</w:t>
            </w:r>
            <w:r>
              <w:rPr>
                <w:rFonts w:ascii="仿宋" w:eastAsia="仿宋" w:hAnsi="仿宋" w:cs="宋体" w:hint="eastAsia"/>
                <w:sz w:val="24"/>
              </w:rPr>
              <w:t>与拟享受税收协定待遇的收入有关的合同、协议、董事会或者股东会决议、支付凭证等证明资料。</w:t>
            </w:r>
          </w:p>
        </w:tc>
        <w:tc>
          <w:tcPr>
            <w:tcW w:w="498"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sz w:val="24"/>
              </w:rPr>
            </w:pPr>
          </w:p>
        </w:tc>
        <w:tc>
          <w:tcPr>
            <w:tcW w:w="2788"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310" w:lineRule="exact"/>
              <w:jc w:val="left"/>
              <w:rPr>
                <w:rFonts w:ascii="仿宋" w:eastAsia="仿宋" w:hAnsi="仿宋"/>
                <w:sz w:val="24"/>
              </w:rPr>
            </w:pPr>
            <w:r>
              <w:rPr>
                <w:rFonts w:ascii="仿宋" w:eastAsia="仿宋" w:hAnsi="仿宋" w:hint="eastAsia"/>
                <w:sz w:val="24"/>
              </w:rPr>
              <w:t>（三）</w:t>
            </w:r>
            <w:r>
              <w:rPr>
                <w:rFonts w:ascii="仿宋" w:eastAsia="仿宋" w:hAnsi="仿宋" w:cs="宋体" w:hint="eastAsia"/>
                <w:sz w:val="24"/>
              </w:rPr>
              <w:t>与拟享受税收协定待遇的收入有关的合同、协议、董事会或者股东会决议、支付凭证等证明资料。</w:t>
            </w:r>
          </w:p>
        </w:tc>
        <w:tc>
          <w:tcPr>
            <w:tcW w:w="1349"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310" w:lineRule="exact"/>
              <w:jc w:val="left"/>
              <w:rPr>
                <w:rFonts w:ascii="仿宋" w:eastAsia="仿宋" w:hAnsi="仿宋"/>
                <w:sz w:val="24"/>
              </w:rPr>
            </w:pPr>
            <w:r>
              <w:rPr>
                <w:rFonts w:ascii="仿宋" w:eastAsia="仿宋" w:hAnsi="仿宋" w:hint="eastAsia"/>
                <w:sz w:val="24"/>
              </w:rPr>
              <w:t>纳税人提交</w:t>
            </w:r>
          </w:p>
        </w:tc>
        <w:tc>
          <w:tcPr>
            <w:tcW w:w="4254" w:type="dxa"/>
            <w:vMerge w:val="restart"/>
            <w:tcBorders>
              <w:top w:val="single" w:sz="4" w:space="0" w:color="auto"/>
              <w:left w:val="single" w:sz="4" w:space="0" w:color="auto"/>
              <w:right w:val="single" w:sz="4" w:space="0" w:color="auto"/>
            </w:tcBorders>
            <w:shd w:val="clear" w:color="auto" w:fill="auto"/>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申请单位提交书面材料；</w:t>
            </w:r>
          </w:p>
          <w:p w:rsidR="00013EC7" w:rsidRDefault="00575CDB">
            <w:pPr>
              <w:widowControl/>
              <w:jc w:val="left"/>
              <w:rPr>
                <w:rFonts w:ascii="仿宋" w:eastAsia="仿宋" w:hAnsi="仿宋"/>
                <w:sz w:val="24"/>
              </w:rPr>
            </w:pPr>
            <w:r>
              <w:rPr>
                <w:rFonts w:ascii="仿宋" w:eastAsia="仿宋" w:hAnsi="仿宋" w:cs="仿宋" w:hint="eastAsia"/>
                <w:b/>
                <w:sz w:val="24"/>
              </w:rPr>
              <w:t>网上办理：</w:t>
            </w:r>
            <w:r>
              <w:rPr>
                <w:rFonts w:ascii="仿宋" w:eastAsia="仿宋" w:hAnsi="仿宋" w:cs="仿宋" w:hint="eastAsia"/>
                <w:sz w:val="24"/>
              </w:rPr>
              <w:t>登录浙江国税电子税务局（网址：http://etax.zjtax.gov.cn/）提交申请。</w:t>
            </w:r>
          </w:p>
        </w:tc>
        <w:tc>
          <w:tcPr>
            <w:tcW w:w="507"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color w:val="FF0000"/>
                <w:sz w:val="24"/>
              </w:rPr>
            </w:pPr>
          </w:p>
        </w:tc>
        <w:tc>
          <w:tcPr>
            <w:tcW w:w="489"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sz w:val="24"/>
              </w:rPr>
            </w:pPr>
          </w:p>
        </w:tc>
        <w:tc>
          <w:tcPr>
            <w:tcW w:w="1966"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sz w:val="24"/>
              </w:rPr>
            </w:pPr>
          </w:p>
        </w:tc>
        <w:tc>
          <w:tcPr>
            <w:tcW w:w="702"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sz w:val="24"/>
              </w:rPr>
            </w:pPr>
          </w:p>
        </w:tc>
        <w:tc>
          <w:tcPr>
            <w:tcW w:w="738" w:type="dxa"/>
            <w:vMerge/>
            <w:tcBorders>
              <w:top w:val="single" w:sz="4" w:space="0" w:color="auto"/>
              <w:left w:val="single" w:sz="4" w:space="0" w:color="auto"/>
              <w:bottom w:val="single" w:sz="8" w:space="0" w:color="auto"/>
              <w:right w:val="single" w:sz="8" w:space="0" w:color="auto"/>
            </w:tcBorders>
            <w:vAlign w:val="center"/>
          </w:tcPr>
          <w:p w:rsidR="00013EC7" w:rsidRDefault="00013EC7">
            <w:pPr>
              <w:widowControl/>
              <w:jc w:val="left"/>
              <w:rPr>
                <w:rFonts w:ascii="仿宋" w:eastAsia="仿宋" w:hAnsi="仿宋"/>
                <w:sz w:val="24"/>
              </w:rPr>
            </w:pPr>
          </w:p>
        </w:tc>
      </w:tr>
      <w:tr w:rsidR="00013EC7">
        <w:trPr>
          <w:trHeight w:val="1047"/>
          <w:jc w:val="center"/>
        </w:trPr>
        <w:tc>
          <w:tcPr>
            <w:tcW w:w="650" w:type="dxa"/>
            <w:vMerge/>
            <w:tcBorders>
              <w:top w:val="single" w:sz="4" w:space="0" w:color="auto"/>
              <w:left w:val="single" w:sz="8" w:space="0" w:color="auto"/>
              <w:bottom w:val="single" w:sz="8" w:space="0" w:color="auto"/>
              <w:right w:val="single" w:sz="4" w:space="0" w:color="auto"/>
            </w:tcBorders>
            <w:vAlign w:val="center"/>
          </w:tcPr>
          <w:p w:rsidR="00013EC7" w:rsidRDefault="00013EC7">
            <w:pPr>
              <w:widowControl/>
              <w:jc w:val="left"/>
              <w:rPr>
                <w:rFonts w:ascii="仿宋" w:eastAsia="仿宋" w:hAnsi="仿宋"/>
                <w:sz w:val="24"/>
              </w:rPr>
            </w:pPr>
          </w:p>
        </w:tc>
        <w:tc>
          <w:tcPr>
            <w:tcW w:w="1097"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sz w:val="24"/>
              </w:rPr>
            </w:pPr>
          </w:p>
        </w:tc>
        <w:tc>
          <w:tcPr>
            <w:tcW w:w="2416"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sz w:val="24"/>
              </w:rPr>
            </w:pPr>
          </w:p>
        </w:tc>
        <w:tc>
          <w:tcPr>
            <w:tcW w:w="2788"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310" w:lineRule="exact"/>
              <w:jc w:val="left"/>
              <w:rPr>
                <w:rFonts w:ascii="仿宋" w:eastAsia="仿宋" w:hAnsi="仿宋" w:cs="宋体"/>
                <w:sz w:val="24"/>
              </w:rPr>
            </w:pPr>
            <w:r>
              <w:rPr>
                <w:rFonts w:ascii="仿宋" w:eastAsia="仿宋" w:hAnsi="仿宋" w:hint="eastAsia"/>
                <w:sz w:val="24"/>
              </w:rPr>
              <w:t>（四）</w:t>
            </w:r>
            <w:r>
              <w:rPr>
                <w:rFonts w:ascii="仿宋" w:eastAsia="仿宋" w:hAnsi="仿宋" w:cs="宋体" w:hint="eastAsia"/>
                <w:sz w:val="24"/>
              </w:rPr>
              <w:t>境内、外分支机构通过其总机构提出申请时，还需提供总分机构的登记注册情况。</w:t>
            </w:r>
          </w:p>
        </w:tc>
        <w:tc>
          <w:tcPr>
            <w:tcW w:w="498"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sz w:val="24"/>
              </w:rPr>
            </w:pPr>
          </w:p>
        </w:tc>
        <w:tc>
          <w:tcPr>
            <w:tcW w:w="2788"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310" w:lineRule="exact"/>
              <w:jc w:val="left"/>
              <w:rPr>
                <w:rFonts w:ascii="仿宋" w:eastAsia="仿宋" w:hAnsi="仿宋" w:cs="宋体"/>
                <w:sz w:val="24"/>
              </w:rPr>
            </w:pPr>
            <w:r>
              <w:rPr>
                <w:rFonts w:ascii="仿宋" w:eastAsia="仿宋" w:hAnsi="仿宋" w:hint="eastAsia"/>
                <w:sz w:val="24"/>
              </w:rPr>
              <w:t>（四）</w:t>
            </w:r>
            <w:r>
              <w:rPr>
                <w:rFonts w:ascii="仿宋" w:eastAsia="仿宋" w:hAnsi="仿宋" w:cs="宋体" w:hint="eastAsia"/>
                <w:sz w:val="24"/>
              </w:rPr>
              <w:t>境内、外分支机构通过其总机构提出申请时，还需提供总分机构的登记注册情况。</w:t>
            </w:r>
          </w:p>
        </w:tc>
        <w:tc>
          <w:tcPr>
            <w:tcW w:w="1349"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310" w:lineRule="exact"/>
              <w:jc w:val="left"/>
              <w:rPr>
                <w:rFonts w:ascii="仿宋" w:eastAsia="仿宋" w:hAnsi="仿宋"/>
                <w:sz w:val="24"/>
              </w:rPr>
            </w:pPr>
            <w:r>
              <w:rPr>
                <w:rFonts w:ascii="仿宋" w:eastAsia="仿宋" w:hAnsi="仿宋" w:cs="宋体" w:hint="eastAsia"/>
                <w:sz w:val="24"/>
              </w:rPr>
              <w:t>境内、外分支机构通过其总机构提出申请纳税人提交</w:t>
            </w:r>
          </w:p>
        </w:tc>
        <w:tc>
          <w:tcPr>
            <w:tcW w:w="4254" w:type="dxa"/>
            <w:vMerge/>
            <w:tcBorders>
              <w:left w:val="single" w:sz="4" w:space="0" w:color="auto"/>
              <w:right w:val="single" w:sz="4" w:space="0" w:color="auto"/>
            </w:tcBorders>
            <w:shd w:val="clear" w:color="auto" w:fill="auto"/>
            <w:vAlign w:val="center"/>
          </w:tcPr>
          <w:p w:rsidR="00013EC7" w:rsidRDefault="00013EC7">
            <w:pPr>
              <w:widowControl/>
              <w:jc w:val="left"/>
              <w:rPr>
                <w:rFonts w:ascii="仿宋" w:eastAsia="仿宋" w:hAnsi="仿宋"/>
                <w:sz w:val="24"/>
              </w:rPr>
            </w:pPr>
          </w:p>
        </w:tc>
        <w:tc>
          <w:tcPr>
            <w:tcW w:w="507"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color w:val="FF0000"/>
                <w:sz w:val="24"/>
              </w:rPr>
            </w:pPr>
          </w:p>
        </w:tc>
        <w:tc>
          <w:tcPr>
            <w:tcW w:w="489"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sz w:val="24"/>
              </w:rPr>
            </w:pPr>
          </w:p>
        </w:tc>
        <w:tc>
          <w:tcPr>
            <w:tcW w:w="1966"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sz w:val="24"/>
              </w:rPr>
            </w:pPr>
          </w:p>
        </w:tc>
        <w:tc>
          <w:tcPr>
            <w:tcW w:w="702"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sz w:val="24"/>
              </w:rPr>
            </w:pPr>
          </w:p>
        </w:tc>
        <w:tc>
          <w:tcPr>
            <w:tcW w:w="738" w:type="dxa"/>
            <w:vMerge/>
            <w:tcBorders>
              <w:top w:val="single" w:sz="4" w:space="0" w:color="auto"/>
              <w:left w:val="single" w:sz="4" w:space="0" w:color="auto"/>
              <w:bottom w:val="single" w:sz="8" w:space="0" w:color="auto"/>
              <w:right w:val="single" w:sz="8" w:space="0" w:color="auto"/>
            </w:tcBorders>
            <w:vAlign w:val="center"/>
          </w:tcPr>
          <w:p w:rsidR="00013EC7" w:rsidRDefault="00013EC7">
            <w:pPr>
              <w:widowControl/>
              <w:jc w:val="left"/>
              <w:rPr>
                <w:rFonts w:ascii="仿宋" w:eastAsia="仿宋" w:hAnsi="仿宋"/>
                <w:sz w:val="24"/>
              </w:rPr>
            </w:pPr>
          </w:p>
        </w:tc>
      </w:tr>
      <w:tr w:rsidR="00013EC7">
        <w:trPr>
          <w:trHeight w:val="312"/>
          <w:jc w:val="center"/>
        </w:trPr>
        <w:tc>
          <w:tcPr>
            <w:tcW w:w="650" w:type="dxa"/>
            <w:vMerge/>
            <w:tcBorders>
              <w:top w:val="single" w:sz="4" w:space="0" w:color="auto"/>
              <w:left w:val="single" w:sz="8" w:space="0" w:color="auto"/>
              <w:bottom w:val="single" w:sz="8" w:space="0" w:color="auto"/>
              <w:right w:val="single" w:sz="4" w:space="0" w:color="auto"/>
            </w:tcBorders>
            <w:vAlign w:val="center"/>
          </w:tcPr>
          <w:p w:rsidR="00013EC7" w:rsidRDefault="00013EC7">
            <w:pPr>
              <w:widowControl/>
              <w:jc w:val="left"/>
              <w:rPr>
                <w:rFonts w:ascii="仿宋" w:eastAsia="仿宋" w:hAnsi="仿宋"/>
                <w:sz w:val="24"/>
              </w:rPr>
            </w:pPr>
          </w:p>
        </w:tc>
        <w:tc>
          <w:tcPr>
            <w:tcW w:w="1097"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sz w:val="24"/>
              </w:rPr>
            </w:pPr>
          </w:p>
        </w:tc>
        <w:tc>
          <w:tcPr>
            <w:tcW w:w="2416"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sz w:val="24"/>
              </w:rPr>
            </w:pPr>
          </w:p>
        </w:tc>
        <w:tc>
          <w:tcPr>
            <w:tcW w:w="2788" w:type="dxa"/>
            <w:tcBorders>
              <w:top w:val="single" w:sz="4" w:space="0" w:color="auto"/>
              <w:left w:val="single" w:sz="4" w:space="0" w:color="auto"/>
              <w:bottom w:val="single" w:sz="8" w:space="0" w:color="auto"/>
              <w:right w:val="single" w:sz="4" w:space="0" w:color="auto"/>
            </w:tcBorders>
            <w:vAlign w:val="center"/>
          </w:tcPr>
          <w:p w:rsidR="00013EC7" w:rsidRDefault="00575CDB">
            <w:pPr>
              <w:widowControl/>
              <w:spacing w:line="360" w:lineRule="auto"/>
              <w:jc w:val="left"/>
              <w:rPr>
                <w:rFonts w:ascii="仿宋" w:eastAsia="仿宋" w:hAnsi="仿宋"/>
                <w:sz w:val="24"/>
              </w:rPr>
            </w:pPr>
            <w:r>
              <w:rPr>
                <w:rFonts w:ascii="仿宋" w:eastAsia="仿宋" w:hAnsi="仿宋" w:hint="eastAsia"/>
                <w:sz w:val="24"/>
              </w:rPr>
              <w:t>（五）以合伙企业的中国居民合伙人提出申请时，还需提供合伙企业登记注册情况。</w:t>
            </w:r>
          </w:p>
        </w:tc>
        <w:tc>
          <w:tcPr>
            <w:tcW w:w="498"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sz w:val="24"/>
              </w:rPr>
            </w:pPr>
          </w:p>
        </w:tc>
        <w:tc>
          <w:tcPr>
            <w:tcW w:w="2788" w:type="dxa"/>
            <w:tcBorders>
              <w:top w:val="single" w:sz="4" w:space="0" w:color="auto"/>
              <w:left w:val="single" w:sz="4" w:space="0" w:color="auto"/>
              <w:bottom w:val="single" w:sz="8" w:space="0" w:color="auto"/>
              <w:right w:val="single" w:sz="4" w:space="0" w:color="auto"/>
            </w:tcBorders>
            <w:vAlign w:val="center"/>
          </w:tcPr>
          <w:p w:rsidR="00013EC7" w:rsidRDefault="00575CDB">
            <w:pPr>
              <w:widowControl/>
              <w:spacing w:line="360" w:lineRule="auto"/>
              <w:jc w:val="left"/>
              <w:rPr>
                <w:rFonts w:ascii="仿宋" w:eastAsia="仿宋" w:hAnsi="仿宋"/>
                <w:sz w:val="24"/>
              </w:rPr>
            </w:pPr>
            <w:r>
              <w:rPr>
                <w:rFonts w:ascii="仿宋" w:eastAsia="仿宋" w:hAnsi="仿宋" w:hint="eastAsia"/>
                <w:sz w:val="24"/>
              </w:rPr>
              <w:t>（五）以合伙企业的中国居民合伙人提出申请时，还需提供合伙企业登记注册情况。</w:t>
            </w:r>
          </w:p>
        </w:tc>
        <w:tc>
          <w:tcPr>
            <w:tcW w:w="1349" w:type="dxa"/>
            <w:tcBorders>
              <w:top w:val="single" w:sz="4" w:space="0" w:color="auto"/>
              <w:left w:val="single" w:sz="4" w:space="0" w:color="auto"/>
              <w:bottom w:val="single" w:sz="8" w:space="0" w:color="auto"/>
              <w:right w:val="single" w:sz="4" w:space="0" w:color="auto"/>
            </w:tcBorders>
            <w:vAlign w:val="center"/>
          </w:tcPr>
          <w:p w:rsidR="00013EC7" w:rsidRDefault="00575CDB">
            <w:pPr>
              <w:spacing w:line="310" w:lineRule="exact"/>
              <w:jc w:val="left"/>
              <w:rPr>
                <w:rFonts w:ascii="仿宋" w:eastAsia="仿宋" w:hAnsi="仿宋"/>
                <w:sz w:val="24"/>
              </w:rPr>
            </w:pPr>
            <w:r>
              <w:rPr>
                <w:rFonts w:ascii="仿宋" w:eastAsia="仿宋" w:hAnsi="仿宋" w:hint="eastAsia"/>
                <w:sz w:val="24"/>
              </w:rPr>
              <w:t>以合伙企业的中国居民合伙人提出申请纳税人提交</w:t>
            </w:r>
          </w:p>
        </w:tc>
        <w:tc>
          <w:tcPr>
            <w:tcW w:w="4254" w:type="dxa"/>
            <w:vMerge/>
            <w:tcBorders>
              <w:left w:val="single" w:sz="4" w:space="0" w:color="auto"/>
              <w:bottom w:val="single" w:sz="8" w:space="0" w:color="auto"/>
              <w:right w:val="single" w:sz="4" w:space="0" w:color="auto"/>
            </w:tcBorders>
            <w:shd w:val="clear" w:color="auto" w:fill="auto"/>
            <w:vAlign w:val="center"/>
          </w:tcPr>
          <w:p w:rsidR="00013EC7" w:rsidRDefault="00013EC7">
            <w:pPr>
              <w:widowControl/>
              <w:jc w:val="left"/>
              <w:rPr>
                <w:rFonts w:ascii="仿宋" w:eastAsia="仿宋" w:hAnsi="仿宋"/>
                <w:sz w:val="24"/>
              </w:rPr>
            </w:pPr>
          </w:p>
        </w:tc>
        <w:tc>
          <w:tcPr>
            <w:tcW w:w="507"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color w:val="FF0000"/>
                <w:sz w:val="24"/>
              </w:rPr>
            </w:pPr>
          </w:p>
        </w:tc>
        <w:tc>
          <w:tcPr>
            <w:tcW w:w="489"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sz w:val="24"/>
              </w:rPr>
            </w:pPr>
          </w:p>
        </w:tc>
        <w:tc>
          <w:tcPr>
            <w:tcW w:w="1966"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sz w:val="24"/>
              </w:rPr>
            </w:pPr>
          </w:p>
        </w:tc>
        <w:tc>
          <w:tcPr>
            <w:tcW w:w="702"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sz w:val="24"/>
              </w:rPr>
            </w:pPr>
          </w:p>
        </w:tc>
        <w:tc>
          <w:tcPr>
            <w:tcW w:w="738" w:type="dxa"/>
            <w:vMerge/>
            <w:tcBorders>
              <w:top w:val="single" w:sz="4" w:space="0" w:color="auto"/>
              <w:left w:val="single" w:sz="4" w:space="0" w:color="auto"/>
              <w:bottom w:val="single" w:sz="8" w:space="0" w:color="auto"/>
              <w:right w:val="single" w:sz="8" w:space="0" w:color="auto"/>
            </w:tcBorders>
            <w:vAlign w:val="center"/>
          </w:tcPr>
          <w:p w:rsidR="00013EC7" w:rsidRDefault="00013EC7">
            <w:pPr>
              <w:widowControl/>
              <w:jc w:val="left"/>
              <w:rPr>
                <w:rFonts w:ascii="仿宋" w:eastAsia="仿宋" w:hAnsi="仿宋"/>
                <w:sz w:val="24"/>
              </w:rPr>
            </w:pPr>
          </w:p>
        </w:tc>
      </w:tr>
    </w:tbl>
    <w:p w:rsidR="00013EC7" w:rsidRDefault="00013EC7">
      <w:pPr>
        <w:rPr>
          <w:rFonts w:ascii="仿宋" w:eastAsia="仿宋" w:hAnsi="仿宋"/>
          <w:sz w:val="24"/>
        </w:rPr>
      </w:pPr>
    </w:p>
    <w:p w:rsidR="00013EC7" w:rsidRDefault="00013EC7"/>
    <w:p w:rsidR="00013EC7" w:rsidRDefault="005262E6">
      <w:pPr>
        <w:tabs>
          <w:tab w:val="left" w:pos="11971"/>
        </w:tabs>
        <w:jc w:val="left"/>
      </w:pPr>
      <w:r>
        <w:lastRenderedPageBreak/>
        <w:object w:dxaOrig="1440" w:dyaOrig="1440">
          <v:shape id="_x0000_s1342" type="#_x0000_t75" style="position:absolute;margin-left:569.1pt;margin-top:105.1pt;width:397.05pt;height:593.5pt;z-index:251668480;mso-wrap-distance-top:0;mso-wrap-distance-bottom:0;mso-position-vertical-relative:page;mso-width-relative:page;mso-height-relative:page">
            <v:imagedata r:id="rId122" o:title=""/>
            <w10:wrap type="topAndBottom" anchory="page"/>
          </v:shape>
          <o:OLEObject Type="Embed" ProgID="Visio.Drawing.11" ShapeID="_x0000_s1342" DrawAspect="Content" ObjectID="_1577296192" r:id="rId123"/>
        </w:object>
      </w:r>
      <w:r>
        <w:object w:dxaOrig="1440" w:dyaOrig="1440">
          <v:shape id="_x0000_s1341" type="#_x0000_t75" alt="" style="position:absolute;margin-left:0;margin-top:101pt;width:471pt;height:585pt;z-index:251667456;mso-wrap-distance-top:0;mso-wrap-distance-bottom:0;mso-position-vertical-relative:page;mso-width-relative:page;mso-height-relative:page">
            <v:imagedata r:id="rId124" o:title=""/>
            <o:lock v:ext="edit" aspectratio="f"/>
            <w10:wrap type="topAndBottom" anchory="page"/>
          </v:shape>
          <o:OLEObject Type="Embed" ProgID="Visio.Drawing.11" ShapeID="_x0000_s1341" DrawAspect="Content" ObjectID="_1577296193" r:id="rId125"/>
        </w:object>
      </w:r>
    </w:p>
    <w:p w:rsidR="00013EC7" w:rsidRDefault="00013EC7"/>
    <w:p w:rsidR="00013EC7" w:rsidRDefault="00013EC7">
      <w:pPr>
        <w:tabs>
          <w:tab w:val="left" w:pos="11971"/>
        </w:tabs>
        <w:jc w:val="left"/>
      </w:pPr>
    </w:p>
    <w:p w:rsidR="00013EC7" w:rsidRDefault="00013EC7">
      <w:pPr>
        <w:pStyle w:val="1"/>
        <w:spacing w:before="0" w:after="0" w:line="240" w:lineRule="auto"/>
        <w:rPr>
          <w:rFonts w:ascii="宋体" w:hAnsi="宋体"/>
        </w:rPr>
        <w:sectPr w:rsidR="00013EC7">
          <w:pgSz w:w="23814" w:h="16840" w:orient="landscape"/>
          <w:pgMar w:top="1701" w:right="1843" w:bottom="1985" w:left="1843" w:header="851" w:footer="1701" w:gutter="0"/>
          <w:pgNumType w:fmt="numberInDash"/>
          <w:cols w:space="720"/>
          <w:docGrid w:type="lines" w:linePitch="312"/>
        </w:sectPr>
      </w:pPr>
      <w:bookmarkStart w:id="176" w:name="_Toc498705709"/>
    </w:p>
    <w:p w:rsidR="00013EC7" w:rsidRDefault="00575CDB">
      <w:pPr>
        <w:pStyle w:val="1"/>
      </w:pPr>
      <w:bookmarkStart w:id="177" w:name="_Toc21099"/>
      <w:bookmarkStart w:id="178" w:name="_Toc15986"/>
      <w:bookmarkStart w:id="179" w:name="_Toc12781"/>
      <w:bookmarkStart w:id="180" w:name="_Toc503467396"/>
      <w:r>
        <w:rPr>
          <w:rFonts w:hint="eastAsia"/>
        </w:rPr>
        <w:lastRenderedPageBreak/>
        <w:t>十二、发票领用</w:t>
      </w:r>
      <w:bookmarkEnd w:id="177"/>
      <w:bookmarkEnd w:id="178"/>
      <w:bookmarkEnd w:id="179"/>
      <w:bookmarkEnd w:id="180"/>
    </w:p>
    <w:p w:rsidR="00013EC7" w:rsidRDefault="00575CDB">
      <w:pPr>
        <w:pStyle w:val="2"/>
      </w:pPr>
      <w:bookmarkStart w:id="181" w:name="_Toc6018"/>
      <w:bookmarkStart w:id="182" w:name="_Toc23746"/>
      <w:bookmarkStart w:id="183" w:name="_Toc503467397"/>
      <w:bookmarkStart w:id="184" w:name="_Toc13134"/>
      <w:r>
        <w:rPr>
          <w:rFonts w:hint="eastAsia"/>
        </w:rPr>
        <w:t>12.1</w:t>
      </w:r>
      <w:r>
        <w:rPr>
          <w:rFonts w:hint="eastAsia"/>
        </w:rPr>
        <w:t>发票票种核定</w:t>
      </w:r>
      <w:bookmarkEnd w:id="176"/>
      <w:bookmarkEnd w:id="181"/>
      <w:bookmarkEnd w:id="182"/>
      <w:bookmarkEnd w:id="183"/>
      <w:bookmarkEnd w:id="184"/>
    </w:p>
    <w:p w:rsidR="00013EC7" w:rsidRDefault="00575CDB">
      <w:pPr>
        <w:jc w:val="center"/>
        <w:rPr>
          <w:rFonts w:ascii="宋体" w:hAnsi="宋体" w:cs="宋体"/>
          <w:b/>
          <w:bCs/>
          <w:sz w:val="52"/>
          <w:szCs w:val="52"/>
        </w:rPr>
      </w:pPr>
      <w:r>
        <w:rPr>
          <w:rFonts w:ascii="宋体" w:hAnsi="宋体" w:cs="宋体" w:hint="eastAsia"/>
          <w:b/>
          <w:bCs/>
          <w:sz w:val="52"/>
          <w:szCs w:val="52"/>
        </w:rPr>
        <w:t>全省“最多跑一次”事项“八统一”梳理表</w:t>
      </w:r>
    </w:p>
    <w:tbl>
      <w:tblPr>
        <w:tblW w:w="20704"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1250"/>
        <w:gridCol w:w="1316"/>
        <w:gridCol w:w="3959"/>
        <w:gridCol w:w="2835"/>
        <w:gridCol w:w="709"/>
        <w:gridCol w:w="2835"/>
        <w:gridCol w:w="709"/>
        <w:gridCol w:w="2126"/>
        <w:gridCol w:w="851"/>
        <w:gridCol w:w="850"/>
        <w:gridCol w:w="1134"/>
        <w:gridCol w:w="1134"/>
        <w:gridCol w:w="996"/>
      </w:tblGrid>
      <w:tr w:rsidR="00013EC7">
        <w:trPr>
          <w:trHeight w:val="340"/>
          <w:tblHeader/>
          <w:jc w:val="center"/>
        </w:trPr>
        <w:tc>
          <w:tcPr>
            <w:tcW w:w="1250"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主项名称</w:t>
            </w:r>
          </w:p>
        </w:tc>
        <w:tc>
          <w:tcPr>
            <w:tcW w:w="1316"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子项名称</w:t>
            </w:r>
          </w:p>
        </w:tc>
        <w:tc>
          <w:tcPr>
            <w:tcW w:w="3959"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经办依据</w:t>
            </w:r>
          </w:p>
        </w:tc>
        <w:tc>
          <w:tcPr>
            <w:tcW w:w="3544"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原经办所需材料</w:t>
            </w:r>
          </w:p>
        </w:tc>
        <w:tc>
          <w:tcPr>
            <w:tcW w:w="5670" w:type="dxa"/>
            <w:gridSpan w:val="3"/>
            <w:vAlign w:val="center"/>
          </w:tcPr>
          <w:p w:rsidR="00013EC7" w:rsidRDefault="00575CDB">
            <w:pPr>
              <w:spacing w:line="280" w:lineRule="exact"/>
              <w:jc w:val="center"/>
              <w:rPr>
                <w:rFonts w:ascii="黑体" w:eastAsia="黑体"/>
                <w:sz w:val="24"/>
              </w:rPr>
            </w:pPr>
            <w:r>
              <w:rPr>
                <w:rFonts w:ascii="黑体" w:eastAsia="黑体" w:hint="eastAsia"/>
                <w:sz w:val="24"/>
              </w:rPr>
              <w:t>梳理后经办所需材料</w:t>
            </w:r>
          </w:p>
        </w:tc>
        <w:tc>
          <w:tcPr>
            <w:tcW w:w="1701"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办理时限</w:t>
            </w:r>
          </w:p>
        </w:tc>
        <w:tc>
          <w:tcPr>
            <w:tcW w:w="1134"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是否实现跑零次</w:t>
            </w:r>
          </w:p>
        </w:tc>
        <w:tc>
          <w:tcPr>
            <w:tcW w:w="1134"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省厅对口</w:t>
            </w:r>
          </w:p>
          <w:p w:rsidR="00013EC7" w:rsidRDefault="00575CDB">
            <w:pPr>
              <w:spacing w:line="280" w:lineRule="exact"/>
              <w:jc w:val="center"/>
              <w:rPr>
                <w:rFonts w:ascii="黑体" w:eastAsia="黑体"/>
                <w:sz w:val="24"/>
              </w:rPr>
            </w:pPr>
            <w:r>
              <w:rPr>
                <w:rFonts w:ascii="黑体" w:eastAsia="黑体" w:hint="eastAsia"/>
                <w:sz w:val="24"/>
              </w:rPr>
              <w:t>指导处室</w:t>
            </w:r>
          </w:p>
          <w:p w:rsidR="00013EC7" w:rsidRDefault="00575CDB">
            <w:pPr>
              <w:spacing w:line="280" w:lineRule="exact"/>
              <w:jc w:val="center"/>
              <w:rPr>
                <w:rFonts w:ascii="黑体" w:eastAsia="黑体"/>
                <w:sz w:val="24"/>
              </w:rPr>
            </w:pPr>
            <w:r>
              <w:rPr>
                <w:rFonts w:ascii="黑体" w:eastAsia="黑体" w:hint="eastAsia"/>
                <w:sz w:val="24"/>
              </w:rPr>
              <w:t>（单位）</w:t>
            </w:r>
          </w:p>
        </w:tc>
        <w:tc>
          <w:tcPr>
            <w:tcW w:w="996"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进一步精简、规范建议</w:t>
            </w:r>
          </w:p>
        </w:tc>
      </w:tr>
      <w:tr w:rsidR="00013EC7">
        <w:trPr>
          <w:trHeight w:val="340"/>
          <w:tblHeader/>
          <w:jc w:val="center"/>
        </w:trPr>
        <w:tc>
          <w:tcPr>
            <w:tcW w:w="1250" w:type="dxa"/>
            <w:vMerge/>
            <w:vAlign w:val="center"/>
          </w:tcPr>
          <w:p w:rsidR="00013EC7" w:rsidRDefault="00013EC7">
            <w:pPr>
              <w:rPr>
                <w:sz w:val="24"/>
              </w:rPr>
            </w:pPr>
          </w:p>
        </w:tc>
        <w:tc>
          <w:tcPr>
            <w:tcW w:w="1316" w:type="dxa"/>
            <w:vMerge/>
          </w:tcPr>
          <w:p w:rsidR="00013EC7" w:rsidRDefault="00013EC7">
            <w:pPr>
              <w:rPr>
                <w:sz w:val="24"/>
              </w:rPr>
            </w:pPr>
          </w:p>
        </w:tc>
        <w:tc>
          <w:tcPr>
            <w:tcW w:w="3959" w:type="dxa"/>
            <w:vMerge/>
          </w:tcPr>
          <w:p w:rsidR="00013EC7" w:rsidRDefault="00013EC7">
            <w:pPr>
              <w:rPr>
                <w:sz w:val="24"/>
              </w:rPr>
            </w:pPr>
          </w:p>
        </w:tc>
        <w:tc>
          <w:tcPr>
            <w:tcW w:w="2835" w:type="dxa"/>
            <w:tcBorders>
              <w:bottom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709"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2835" w:type="dxa"/>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709"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2126" w:type="dxa"/>
            <w:vAlign w:val="center"/>
          </w:tcPr>
          <w:p w:rsidR="00013EC7" w:rsidRDefault="00575CDB">
            <w:pPr>
              <w:spacing w:line="280" w:lineRule="exact"/>
              <w:jc w:val="center"/>
              <w:rPr>
                <w:rFonts w:ascii="黑体" w:eastAsia="黑体"/>
                <w:sz w:val="24"/>
              </w:rPr>
            </w:pPr>
            <w:r>
              <w:rPr>
                <w:rFonts w:ascii="黑体" w:eastAsia="黑体" w:hint="eastAsia"/>
                <w:sz w:val="24"/>
              </w:rPr>
              <w:t>办理方式及材料</w:t>
            </w:r>
          </w:p>
          <w:p w:rsidR="00013EC7" w:rsidRDefault="00575CDB">
            <w:pPr>
              <w:spacing w:line="280" w:lineRule="exact"/>
              <w:jc w:val="center"/>
              <w:rPr>
                <w:rFonts w:ascii="黑体" w:eastAsia="黑体"/>
                <w:sz w:val="24"/>
              </w:rPr>
            </w:pPr>
            <w:r>
              <w:rPr>
                <w:rFonts w:ascii="黑体" w:eastAsia="黑体" w:hint="eastAsia"/>
                <w:sz w:val="24"/>
              </w:rPr>
              <w:t>信息获取方式说明</w:t>
            </w:r>
          </w:p>
        </w:tc>
        <w:tc>
          <w:tcPr>
            <w:tcW w:w="851" w:type="dxa"/>
            <w:vAlign w:val="center"/>
          </w:tcPr>
          <w:p w:rsidR="00013EC7" w:rsidRDefault="00575CDB">
            <w:pPr>
              <w:spacing w:line="280" w:lineRule="exact"/>
              <w:jc w:val="center"/>
              <w:rPr>
                <w:rFonts w:ascii="黑体" w:eastAsia="黑体"/>
                <w:sz w:val="24"/>
              </w:rPr>
            </w:pPr>
            <w:r>
              <w:rPr>
                <w:rFonts w:ascii="黑体" w:eastAsia="黑体" w:hint="eastAsia"/>
                <w:sz w:val="24"/>
              </w:rPr>
              <w:t>优化前</w:t>
            </w:r>
          </w:p>
        </w:tc>
        <w:tc>
          <w:tcPr>
            <w:tcW w:w="850" w:type="dxa"/>
            <w:vAlign w:val="center"/>
          </w:tcPr>
          <w:p w:rsidR="00013EC7" w:rsidRDefault="00575CDB">
            <w:pPr>
              <w:spacing w:line="280" w:lineRule="exact"/>
              <w:jc w:val="center"/>
              <w:rPr>
                <w:rFonts w:ascii="黑体" w:eastAsia="黑体"/>
                <w:sz w:val="24"/>
              </w:rPr>
            </w:pPr>
            <w:r>
              <w:rPr>
                <w:rFonts w:ascii="黑体" w:eastAsia="黑体" w:hint="eastAsia"/>
                <w:sz w:val="24"/>
              </w:rPr>
              <w:t>优化后</w:t>
            </w:r>
          </w:p>
        </w:tc>
        <w:tc>
          <w:tcPr>
            <w:tcW w:w="1134" w:type="dxa"/>
            <w:vMerge/>
            <w:vAlign w:val="center"/>
          </w:tcPr>
          <w:p w:rsidR="00013EC7" w:rsidRDefault="00013EC7">
            <w:pPr>
              <w:rPr>
                <w:sz w:val="24"/>
              </w:rPr>
            </w:pPr>
          </w:p>
        </w:tc>
        <w:tc>
          <w:tcPr>
            <w:tcW w:w="1134" w:type="dxa"/>
            <w:vMerge/>
            <w:vAlign w:val="center"/>
          </w:tcPr>
          <w:p w:rsidR="00013EC7" w:rsidRDefault="00013EC7">
            <w:pPr>
              <w:rPr>
                <w:sz w:val="24"/>
              </w:rPr>
            </w:pPr>
          </w:p>
        </w:tc>
        <w:tc>
          <w:tcPr>
            <w:tcW w:w="996" w:type="dxa"/>
            <w:vMerge/>
            <w:vAlign w:val="center"/>
          </w:tcPr>
          <w:p w:rsidR="00013EC7" w:rsidRDefault="00013EC7">
            <w:pPr>
              <w:rPr>
                <w:sz w:val="24"/>
              </w:rPr>
            </w:pPr>
          </w:p>
        </w:tc>
      </w:tr>
      <w:tr w:rsidR="00013EC7">
        <w:trPr>
          <w:trHeight w:val="2266"/>
          <w:jc w:val="center"/>
        </w:trPr>
        <w:tc>
          <w:tcPr>
            <w:tcW w:w="1250"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12发票领用</w:t>
            </w:r>
          </w:p>
        </w:tc>
        <w:tc>
          <w:tcPr>
            <w:tcW w:w="1316" w:type="dxa"/>
            <w:vMerge w:val="restart"/>
            <w:vAlign w:val="center"/>
          </w:tcPr>
          <w:p w:rsidR="00013EC7" w:rsidRDefault="00575CDB">
            <w:pPr>
              <w:spacing w:line="310" w:lineRule="exact"/>
              <w:jc w:val="left"/>
              <w:rPr>
                <w:rFonts w:ascii="仿宋" w:eastAsia="仿宋" w:hAnsi="仿宋" w:cs="仿宋"/>
                <w:sz w:val="24"/>
              </w:rPr>
            </w:pPr>
            <w:r>
              <w:rPr>
                <w:rFonts w:ascii="仿宋" w:eastAsia="仿宋" w:hAnsi="仿宋" w:cs="仿宋" w:hint="eastAsia"/>
                <w:sz w:val="24"/>
              </w:rPr>
              <w:t>12.1发票票种核定</w:t>
            </w:r>
          </w:p>
        </w:tc>
        <w:tc>
          <w:tcPr>
            <w:tcW w:w="3959"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（一）《中华人民共和国发票管理办法》（2010年中华人民共和国国务院令第587号）第十五条、第十六条、第十七条、第十八条。</w:t>
            </w:r>
          </w:p>
          <w:p w:rsidR="00013EC7" w:rsidRDefault="00575CDB">
            <w:pPr>
              <w:spacing w:line="300" w:lineRule="exact"/>
              <w:jc w:val="left"/>
              <w:rPr>
                <w:rFonts w:ascii="仿宋" w:eastAsia="仿宋" w:hAnsi="仿宋" w:cs="仿宋"/>
                <w:sz w:val="24"/>
              </w:rPr>
            </w:pPr>
            <w:r>
              <w:rPr>
                <w:rFonts w:ascii="仿宋" w:eastAsia="仿宋" w:hAnsi="仿宋" w:cs="仿宋" w:hint="eastAsia"/>
                <w:sz w:val="24"/>
              </w:rPr>
              <w:t>（二）《国家税务总局关于修改〈中华人民共和国发票管理办法实施细则〉的决定》（2014国家税务总局令第37号）第十二条、第十三条、第十四条、第十五条、第十六条、第二十条、第二十三条。</w:t>
            </w:r>
          </w:p>
          <w:p w:rsidR="00013EC7" w:rsidRDefault="00575CDB">
            <w:pPr>
              <w:spacing w:line="300" w:lineRule="exact"/>
              <w:jc w:val="left"/>
              <w:rPr>
                <w:rFonts w:ascii="仿宋" w:eastAsia="仿宋" w:hAnsi="仿宋" w:cs="仿宋"/>
                <w:sz w:val="24"/>
              </w:rPr>
            </w:pPr>
            <w:r>
              <w:rPr>
                <w:rFonts w:ascii="仿宋" w:eastAsia="仿宋" w:hAnsi="仿宋" w:cs="仿宋" w:hint="eastAsia"/>
                <w:sz w:val="24"/>
              </w:rPr>
              <w:t>（三）《国家税务总局关于普通发票行政审批取消和调整后有关税收管理问题的通知》（国税发〔2008〕15号）第一条。</w:t>
            </w:r>
          </w:p>
          <w:p w:rsidR="00013EC7" w:rsidRDefault="00575CDB">
            <w:pPr>
              <w:spacing w:line="300" w:lineRule="exact"/>
              <w:jc w:val="left"/>
              <w:rPr>
                <w:rFonts w:ascii="仿宋" w:eastAsia="仿宋" w:hAnsi="仿宋" w:cs="仿宋"/>
                <w:sz w:val="24"/>
              </w:rPr>
            </w:pPr>
            <w:r>
              <w:rPr>
                <w:rFonts w:ascii="仿宋" w:eastAsia="仿宋" w:hAnsi="仿宋" w:cs="仿宋" w:hint="eastAsia"/>
                <w:sz w:val="24"/>
              </w:rPr>
              <w:t>（四）《国家税务总局关于印发&lt;税控收款机管理系统业务操作规程&gt;的通知》（国税发〔2005〕126号）第二条第一项。</w:t>
            </w:r>
          </w:p>
          <w:p w:rsidR="00013EC7" w:rsidRDefault="00575CDB">
            <w:pPr>
              <w:spacing w:line="300" w:lineRule="exact"/>
              <w:jc w:val="left"/>
              <w:rPr>
                <w:rFonts w:ascii="仿宋" w:eastAsia="仿宋" w:hAnsi="仿宋" w:cs="仿宋"/>
                <w:sz w:val="24"/>
              </w:rPr>
            </w:pPr>
            <w:r>
              <w:rPr>
                <w:rFonts w:ascii="仿宋" w:eastAsia="仿宋" w:hAnsi="仿宋" w:cs="仿宋" w:hint="eastAsia"/>
                <w:sz w:val="24"/>
              </w:rPr>
              <w:t>（五）《国家税务总局关于发布&lt;纳税信用管理办法（试行）&gt;的公告》（国家税务总局公告2014年第40号）第二十九条、第三十二条。</w:t>
            </w:r>
          </w:p>
          <w:p w:rsidR="00013EC7" w:rsidRDefault="00575CDB">
            <w:pPr>
              <w:spacing w:line="300" w:lineRule="exact"/>
              <w:jc w:val="left"/>
              <w:rPr>
                <w:rFonts w:ascii="仿宋" w:eastAsia="仿宋" w:hAnsi="仿宋" w:cs="仿宋"/>
                <w:sz w:val="24"/>
              </w:rPr>
            </w:pPr>
            <w:r>
              <w:rPr>
                <w:rFonts w:ascii="仿宋" w:eastAsia="仿宋" w:hAnsi="仿宋" w:cs="仿宋" w:hint="eastAsia"/>
                <w:sz w:val="24"/>
              </w:rPr>
              <w:t>（六）《国家税务总局关于创新税收服务和管理的意见》（税总发〔2014〕85号）全文。</w:t>
            </w:r>
          </w:p>
          <w:p w:rsidR="00013EC7" w:rsidRDefault="00575CDB">
            <w:pPr>
              <w:spacing w:line="300" w:lineRule="exact"/>
              <w:jc w:val="left"/>
              <w:rPr>
                <w:rFonts w:ascii="仿宋" w:eastAsia="仿宋" w:hAnsi="仿宋" w:cs="仿宋"/>
                <w:sz w:val="24"/>
              </w:rPr>
            </w:pPr>
            <w:r>
              <w:rPr>
                <w:rFonts w:ascii="仿宋" w:eastAsia="仿宋" w:hAnsi="仿宋" w:cs="仿宋" w:hint="eastAsia"/>
                <w:sz w:val="24"/>
              </w:rPr>
              <w:t>（七）《国家税务总局关于推行增值税发票系统升级版工作有关问题的通知》（税总发〔2014〕156号）第五条、第六条、第十三条。</w:t>
            </w:r>
          </w:p>
          <w:p w:rsidR="00013EC7" w:rsidRDefault="00575CDB">
            <w:pPr>
              <w:spacing w:line="300" w:lineRule="exact"/>
              <w:jc w:val="left"/>
              <w:rPr>
                <w:rFonts w:ascii="仿宋" w:eastAsia="仿宋" w:hAnsi="仿宋" w:cs="仿宋"/>
                <w:sz w:val="24"/>
              </w:rPr>
            </w:pPr>
            <w:r>
              <w:rPr>
                <w:rFonts w:ascii="仿宋" w:eastAsia="仿宋" w:hAnsi="仿宋" w:cs="仿宋" w:hint="eastAsia"/>
                <w:sz w:val="24"/>
              </w:rPr>
              <w:lastRenderedPageBreak/>
              <w:t>（八）《国家税务总局关于全面推行增值税发票系统升级版工作有关问题》（税总发〔2015〕42号）第五条。</w:t>
            </w:r>
          </w:p>
          <w:p w:rsidR="00013EC7" w:rsidRDefault="00575CDB">
            <w:pPr>
              <w:spacing w:line="300" w:lineRule="exact"/>
              <w:jc w:val="left"/>
              <w:rPr>
                <w:rFonts w:ascii="仿宋" w:eastAsia="仿宋" w:hAnsi="仿宋" w:cs="仿宋"/>
                <w:sz w:val="24"/>
              </w:rPr>
            </w:pPr>
            <w:r>
              <w:rPr>
                <w:rFonts w:ascii="仿宋" w:eastAsia="仿宋" w:hAnsi="仿宋" w:cs="仿宋" w:hint="eastAsia"/>
                <w:sz w:val="24"/>
              </w:rPr>
              <w:t>（九）《国家税务总局关于再次明确不得将不达增值税起征点的小规模纳税人纳入增值税发票系统升级版推行范围的通知》（税总函〔2015〕199号）第一条、第三条。</w:t>
            </w:r>
          </w:p>
          <w:p w:rsidR="00013EC7" w:rsidRDefault="00575CDB">
            <w:pPr>
              <w:spacing w:line="300" w:lineRule="exact"/>
              <w:jc w:val="left"/>
              <w:rPr>
                <w:rFonts w:ascii="仿宋" w:eastAsia="仿宋" w:hAnsi="仿宋" w:cs="仿宋"/>
                <w:sz w:val="24"/>
              </w:rPr>
            </w:pPr>
            <w:r>
              <w:rPr>
                <w:rFonts w:ascii="仿宋" w:eastAsia="仿宋" w:hAnsi="仿宋" w:cs="仿宋" w:hint="eastAsia"/>
                <w:sz w:val="24"/>
              </w:rPr>
              <w:t>（十）《国家税务总局关于推行通过增值税电子发票系统开具的增值税电子普通发票有关问题的公告》（国家税务总局公告2015年第84号）全文。</w:t>
            </w:r>
          </w:p>
          <w:p w:rsidR="00013EC7" w:rsidRDefault="00575CDB">
            <w:pPr>
              <w:spacing w:line="300" w:lineRule="exact"/>
              <w:jc w:val="left"/>
              <w:rPr>
                <w:rFonts w:ascii="仿宋" w:eastAsia="仿宋" w:hAnsi="仿宋" w:cs="仿宋"/>
                <w:sz w:val="24"/>
              </w:rPr>
            </w:pPr>
            <w:r>
              <w:rPr>
                <w:rFonts w:ascii="仿宋" w:eastAsia="仿宋" w:hAnsi="仿宋" w:cs="仿宋" w:hint="eastAsia"/>
                <w:sz w:val="24"/>
              </w:rPr>
              <w:t>（十一）《国家税务总局关于停止使用货物运输业增值税专用发票有关问题的公告》（国家税务总局公告2015年第99号）全文。</w:t>
            </w:r>
          </w:p>
          <w:p w:rsidR="00013EC7" w:rsidRDefault="00575CDB">
            <w:pPr>
              <w:spacing w:line="300" w:lineRule="exact"/>
              <w:jc w:val="left"/>
              <w:rPr>
                <w:rFonts w:ascii="仿宋" w:eastAsia="仿宋" w:hAnsi="仿宋" w:cs="仿宋"/>
                <w:sz w:val="24"/>
              </w:rPr>
            </w:pPr>
            <w:r>
              <w:rPr>
                <w:rFonts w:ascii="仿宋" w:eastAsia="仿宋" w:hAnsi="仿宋" w:cs="仿宋" w:hint="eastAsia"/>
                <w:sz w:val="24"/>
              </w:rPr>
              <w:t>（十二）《国家税务总局关于全面推开营业税改征增值税试点有关税收征收管理事项的公告》（国家税务总局公告2016年第23号）第三条。</w:t>
            </w:r>
          </w:p>
          <w:p w:rsidR="00013EC7" w:rsidRDefault="00575CDB">
            <w:pPr>
              <w:spacing w:line="300" w:lineRule="exact"/>
              <w:jc w:val="left"/>
              <w:rPr>
                <w:rFonts w:ascii="仿宋" w:eastAsia="仿宋" w:hAnsi="仿宋" w:cs="仿宋"/>
                <w:sz w:val="24"/>
              </w:rPr>
            </w:pPr>
            <w:r>
              <w:rPr>
                <w:rFonts w:ascii="仿宋" w:eastAsia="仿宋" w:hAnsi="仿宋" w:cs="仿宋" w:hint="eastAsia"/>
                <w:sz w:val="24"/>
              </w:rPr>
              <w:t>（十三）《国家税务总局关于开展鉴证咨询业增值税小规模纳税人自开增值税专用发票试点工作有关事项的公告》（国家税务总局公告2017年第4号 ）全文。</w:t>
            </w:r>
          </w:p>
          <w:p w:rsidR="00013EC7" w:rsidRDefault="00575CDB">
            <w:pPr>
              <w:spacing w:line="300" w:lineRule="exact"/>
              <w:jc w:val="left"/>
              <w:rPr>
                <w:rFonts w:ascii="仿宋" w:eastAsia="仿宋" w:hAnsi="仿宋" w:cs="仿宋"/>
                <w:sz w:val="24"/>
              </w:rPr>
            </w:pPr>
            <w:r>
              <w:rPr>
                <w:rFonts w:ascii="仿宋" w:eastAsia="仿宋" w:hAnsi="仿宋" w:cs="仿宋" w:hint="eastAsia"/>
                <w:sz w:val="24"/>
              </w:rPr>
              <w:t>（十四）《国家税务总局关于在境外提供建筑服务等有关问题的公告》（国家税务总局公告2016年第69号）第十条。</w:t>
            </w:r>
          </w:p>
          <w:p w:rsidR="00013EC7" w:rsidRDefault="00575CDB">
            <w:pPr>
              <w:spacing w:line="300" w:lineRule="exact"/>
              <w:jc w:val="left"/>
              <w:rPr>
                <w:rFonts w:ascii="仿宋" w:eastAsia="仿宋" w:hAnsi="仿宋" w:cs="仿宋"/>
                <w:sz w:val="24"/>
              </w:rPr>
            </w:pPr>
            <w:r>
              <w:rPr>
                <w:rFonts w:ascii="仿宋" w:eastAsia="仿宋" w:hAnsi="仿宋" w:cs="仿宋" w:hint="eastAsia"/>
                <w:sz w:val="24"/>
              </w:rPr>
              <w:t>（十五）《国家税务总局关于进一步明确营改增有关征管问题的公告》（国家税务总局公告2017年第11号）第七条、第九条、第十条。</w:t>
            </w:r>
          </w:p>
          <w:p w:rsidR="00013EC7" w:rsidRDefault="00575CDB">
            <w:pPr>
              <w:spacing w:line="300" w:lineRule="exact"/>
              <w:jc w:val="left"/>
              <w:rPr>
                <w:rFonts w:ascii="宋体" w:hAnsi="宋体" w:cs="宋体"/>
                <w:kern w:val="1"/>
                <w:sz w:val="24"/>
              </w:rPr>
            </w:pPr>
            <w:r>
              <w:rPr>
                <w:rFonts w:ascii="仿宋" w:eastAsia="仿宋" w:hAnsi="仿宋" w:cs="仿宋" w:hint="eastAsia"/>
                <w:sz w:val="24"/>
              </w:rPr>
              <w:t>（十六）《国家税务总局关于在部分地区试点取消有关涉税事项和报送资料的通知》（税总函〔2017〕448号）附件2。</w:t>
            </w:r>
          </w:p>
          <w:p w:rsidR="00013EC7" w:rsidRDefault="00013EC7">
            <w:pPr>
              <w:spacing w:line="310" w:lineRule="exact"/>
              <w:jc w:val="left"/>
              <w:rPr>
                <w:rFonts w:ascii="仿宋" w:eastAsia="仿宋" w:hAnsi="仿宋" w:cs="仿宋"/>
                <w:sz w:val="24"/>
              </w:rPr>
            </w:pPr>
          </w:p>
        </w:tc>
        <w:tc>
          <w:tcPr>
            <w:tcW w:w="2835" w:type="dxa"/>
            <w:tcBorders>
              <w:top w:val="single" w:sz="4" w:space="0" w:color="auto"/>
              <w:bottom w:val="single" w:sz="4" w:space="0" w:color="auto"/>
            </w:tcBorders>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lastRenderedPageBreak/>
              <w:t>（一）（A02008）《纳税人领用发票票种核定表》1份。</w:t>
            </w:r>
          </w:p>
        </w:tc>
        <w:tc>
          <w:tcPr>
            <w:tcW w:w="709"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纳税人提交</w:t>
            </w:r>
          </w:p>
        </w:tc>
        <w:tc>
          <w:tcPr>
            <w:tcW w:w="2835"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（一）（A02008）《纳税人领用发票票种核定表》1份。</w:t>
            </w:r>
          </w:p>
        </w:tc>
        <w:tc>
          <w:tcPr>
            <w:tcW w:w="709" w:type="dxa"/>
            <w:vMerge w:val="restart"/>
            <w:vAlign w:val="center"/>
          </w:tcPr>
          <w:p w:rsidR="00013EC7" w:rsidRDefault="00575CDB">
            <w:pPr>
              <w:spacing w:line="300" w:lineRule="exact"/>
              <w:jc w:val="left"/>
              <w:rPr>
                <w:rFonts w:ascii="仿宋" w:eastAsia="仿宋" w:hAnsi="仿宋" w:cs="仿宋"/>
                <w:bCs/>
                <w:iCs/>
                <w:sz w:val="24"/>
              </w:rPr>
            </w:pPr>
            <w:r>
              <w:rPr>
                <w:rFonts w:ascii="仿宋" w:eastAsia="仿宋" w:hAnsi="仿宋" w:cs="仿宋" w:hint="eastAsia"/>
                <w:bCs/>
                <w:iCs/>
                <w:sz w:val="24"/>
              </w:rPr>
              <w:t>纳税人提交</w:t>
            </w:r>
          </w:p>
        </w:tc>
        <w:tc>
          <w:tcPr>
            <w:tcW w:w="2126"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纳税人提交书面材料。</w:t>
            </w:r>
          </w:p>
          <w:p w:rsidR="00013EC7" w:rsidRDefault="00575CDB">
            <w:pPr>
              <w:spacing w:line="300" w:lineRule="exact"/>
              <w:jc w:val="left"/>
              <w:rPr>
                <w:rFonts w:ascii="仿宋" w:eastAsia="仿宋" w:hAnsi="仿宋" w:cs="仿宋"/>
                <w:sz w:val="24"/>
              </w:rPr>
            </w:pPr>
            <w:r>
              <w:rPr>
                <w:rFonts w:ascii="仿宋" w:eastAsia="仿宋" w:hAnsi="仿宋" w:cs="仿宋" w:hint="eastAsia"/>
                <w:b/>
                <w:sz w:val="24"/>
              </w:rPr>
              <w:t>网上办理：</w:t>
            </w:r>
            <w:r>
              <w:rPr>
                <w:rFonts w:ascii="仿宋" w:eastAsia="仿宋" w:hAnsi="仿宋" w:cs="仿宋" w:hint="eastAsia"/>
                <w:sz w:val="24"/>
              </w:rPr>
              <w:t>登录浙江国税电子税务局（网址：http://etax.zjtax.gov.cn/</w:t>
            </w:r>
          </w:p>
          <w:p w:rsidR="00013EC7" w:rsidRDefault="00575CDB">
            <w:pPr>
              <w:spacing w:line="300" w:lineRule="exact"/>
              <w:jc w:val="left"/>
              <w:rPr>
                <w:rFonts w:ascii="仿宋" w:eastAsia="仿宋" w:hAnsi="仿宋" w:cs="仿宋"/>
                <w:sz w:val="24"/>
              </w:rPr>
            </w:pPr>
            <w:r>
              <w:rPr>
                <w:rFonts w:ascii="仿宋" w:eastAsia="仿宋" w:hAnsi="仿宋" w:cs="仿宋" w:hint="eastAsia"/>
                <w:sz w:val="24"/>
              </w:rPr>
              <w:t>）提交申请。</w:t>
            </w:r>
          </w:p>
          <w:p w:rsidR="00013EC7" w:rsidRDefault="00575CDB">
            <w:pPr>
              <w:spacing w:line="300" w:lineRule="exact"/>
              <w:jc w:val="left"/>
              <w:rPr>
                <w:rFonts w:ascii="仿宋" w:eastAsia="仿宋" w:hAnsi="仿宋" w:cs="仿宋"/>
                <w:sz w:val="24"/>
              </w:rPr>
            </w:pPr>
            <w:r>
              <w:rPr>
                <w:rFonts w:ascii="仿宋" w:eastAsia="仿宋" w:hAnsi="仿宋" w:cs="仿宋" w:hint="eastAsia"/>
                <w:b/>
                <w:sz w:val="24"/>
              </w:rPr>
              <w:t>APP办理：</w:t>
            </w:r>
            <w:r>
              <w:rPr>
                <w:rFonts w:ascii="仿宋" w:eastAsia="仿宋" w:hAnsi="仿宋" w:cs="仿宋" w:hint="eastAsia"/>
                <w:sz w:val="24"/>
              </w:rPr>
              <w:t>登录浙江国税APP提交申请。</w:t>
            </w:r>
          </w:p>
        </w:tc>
        <w:tc>
          <w:tcPr>
            <w:tcW w:w="851" w:type="dxa"/>
            <w:vMerge w:val="restart"/>
            <w:vAlign w:val="center"/>
          </w:tcPr>
          <w:p w:rsidR="00013EC7" w:rsidRDefault="00575CDB">
            <w:pPr>
              <w:jc w:val="left"/>
              <w:rPr>
                <w:rFonts w:ascii="仿宋" w:eastAsia="仿宋" w:hAnsi="仿宋" w:cs="仿宋"/>
                <w:sz w:val="24"/>
              </w:rPr>
            </w:pPr>
            <w:r>
              <w:rPr>
                <w:rFonts w:ascii="仿宋" w:eastAsia="仿宋" w:hAnsi="仿宋" w:cs="仿宋" w:hint="eastAsia"/>
                <w:sz w:val="24"/>
              </w:rPr>
              <w:t>即时办结</w:t>
            </w:r>
          </w:p>
        </w:tc>
        <w:tc>
          <w:tcPr>
            <w:tcW w:w="850" w:type="dxa"/>
            <w:vMerge w:val="restart"/>
            <w:vAlign w:val="center"/>
          </w:tcPr>
          <w:p w:rsidR="00013EC7" w:rsidRDefault="00575CDB">
            <w:pPr>
              <w:jc w:val="left"/>
              <w:rPr>
                <w:rFonts w:ascii="仿宋" w:eastAsia="仿宋" w:hAnsi="仿宋" w:cs="仿宋"/>
                <w:sz w:val="24"/>
              </w:rPr>
            </w:pPr>
            <w:r>
              <w:rPr>
                <w:rFonts w:ascii="仿宋" w:eastAsia="仿宋" w:hAnsi="仿宋" w:cs="仿宋" w:hint="eastAsia"/>
                <w:sz w:val="24"/>
              </w:rPr>
              <w:t>即时办结</w:t>
            </w:r>
          </w:p>
        </w:tc>
        <w:tc>
          <w:tcPr>
            <w:tcW w:w="1134" w:type="dxa"/>
            <w:vMerge w:val="restart"/>
            <w:vAlign w:val="center"/>
          </w:tcPr>
          <w:p w:rsidR="00013EC7" w:rsidRDefault="00575CDB">
            <w:pPr>
              <w:jc w:val="left"/>
              <w:rPr>
                <w:rFonts w:ascii="仿宋" w:eastAsia="仿宋" w:hAnsi="仿宋" w:cs="仿宋"/>
                <w:sz w:val="24"/>
              </w:rPr>
            </w:pPr>
            <w:r>
              <w:rPr>
                <w:rFonts w:ascii="仿宋" w:eastAsia="仿宋" w:hAnsi="仿宋" w:cs="仿宋" w:hint="eastAsia"/>
                <w:sz w:val="24"/>
              </w:rPr>
              <w:t>是</w:t>
            </w:r>
          </w:p>
        </w:tc>
        <w:tc>
          <w:tcPr>
            <w:tcW w:w="1134" w:type="dxa"/>
            <w:vMerge w:val="restart"/>
            <w:vAlign w:val="center"/>
          </w:tcPr>
          <w:p w:rsidR="00013EC7" w:rsidRDefault="00575CDB">
            <w:pPr>
              <w:jc w:val="left"/>
              <w:rPr>
                <w:rFonts w:ascii="仿宋" w:eastAsia="仿宋" w:hAnsi="仿宋" w:cs="仿宋"/>
                <w:sz w:val="24"/>
              </w:rPr>
            </w:pPr>
            <w:r>
              <w:rPr>
                <w:rFonts w:ascii="仿宋" w:eastAsia="仿宋" w:hAnsi="仿宋" w:cs="仿宋" w:hint="eastAsia"/>
                <w:sz w:val="24"/>
              </w:rPr>
              <w:t>货物和劳务税处（增值税发票）</w:t>
            </w:r>
            <w:r>
              <w:rPr>
                <w:rFonts w:ascii="仿宋" w:eastAsia="仿宋" w:hAnsi="仿宋" w:cs="仿宋" w:hint="eastAsia"/>
                <w:sz w:val="24"/>
              </w:rPr>
              <w:br/>
              <w:t>征管科技处（通用机打发票）</w:t>
            </w:r>
          </w:p>
        </w:tc>
        <w:tc>
          <w:tcPr>
            <w:tcW w:w="996" w:type="dxa"/>
            <w:vMerge w:val="restart"/>
            <w:vAlign w:val="center"/>
          </w:tcPr>
          <w:p w:rsidR="00013EC7" w:rsidRDefault="00013EC7">
            <w:pPr>
              <w:spacing w:line="300" w:lineRule="exact"/>
              <w:jc w:val="left"/>
              <w:rPr>
                <w:rFonts w:ascii="仿宋" w:eastAsia="仿宋" w:hAnsi="仿宋" w:cs="仿宋"/>
                <w:sz w:val="24"/>
              </w:rPr>
            </w:pPr>
          </w:p>
        </w:tc>
      </w:tr>
      <w:tr w:rsidR="00013EC7">
        <w:trPr>
          <w:trHeight w:val="2571"/>
          <w:jc w:val="center"/>
        </w:trPr>
        <w:tc>
          <w:tcPr>
            <w:tcW w:w="1250" w:type="dxa"/>
            <w:vMerge/>
            <w:textDirection w:val="tbRlV"/>
            <w:vAlign w:val="center"/>
          </w:tcPr>
          <w:p w:rsidR="00013EC7" w:rsidRDefault="00013EC7">
            <w:pPr>
              <w:rPr>
                <w:rFonts w:ascii="仿宋" w:eastAsia="仿宋" w:hAnsi="仿宋" w:cs="仿宋"/>
                <w:sz w:val="24"/>
              </w:rPr>
            </w:pPr>
          </w:p>
        </w:tc>
        <w:tc>
          <w:tcPr>
            <w:tcW w:w="1316" w:type="dxa"/>
            <w:vMerge/>
            <w:vAlign w:val="center"/>
          </w:tcPr>
          <w:p w:rsidR="00013EC7" w:rsidRDefault="00013EC7">
            <w:pPr>
              <w:rPr>
                <w:rFonts w:ascii="仿宋" w:eastAsia="仿宋" w:hAnsi="仿宋" w:cs="仿宋"/>
                <w:sz w:val="24"/>
              </w:rPr>
            </w:pPr>
          </w:p>
        </w:tc>
        <w:tc>
          <w:tcPr>
            <w:tcW w:w="3959" w:type="dxa"/>
            <w:vMerge/>
            <w:vAlign w:val="center"/>
          </w:tcPr>
          <w:p w:rsidR="00013EC7" w:rsidRDefault="00013EC7">
            <w:pPr>
              <w:jc w:val="left"/>
              <w:rPr>
                <w:rFonts w:ascii="仿宋" w:eastAsia="仿宋" w:hAnsi="仿宋" w:cs="仿宋"/>
                <w:sz w:val="24"/>
              </w:rPr>
            </w:pPr>
          </w:p>
        </w:tc>
        <w:tc>
          <w:tcPr>
            <w:tcW w:w="2835" w:type="dxa"/>
            <w:tcBorders>
              <w:top w:val="single" w:sz="4" w:space="0" w:color="auto"/>
            </w:tcBorders>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（二）经办人身份证明（原件查验）。</w:t>
            </w:r>
          </w:p>
        </w:tc>
        <w:tc>
          <w:tcPr>
            <w:tcW w:w="709" w:type="dxa"/>
            <w:vMerge/>
            <w:vAlign w:val="center"/>
          </w:tcPr>
          <w:p w:rsidR="00013EC7" w:rsidRDefault="00013EC7">
            <w:pPr>
              <w:jc w:val="left"/>
              <w:rPr>
                <w:rFonts w:ascii="仿宋" w:eastAsia="仿宋" w:hAnsi="仿宋" w:cs="仿宋"/>
                <w:sz w:val="24"/>
              </w:rPr>
            </w:pPr>
          </w:p>
        </w:tc>
        <w:tc>
          <w:tcPr>
            <w:tcW w:w="2835" w:type="dxa"/>
            <w:vAlign w:val="center"/>
          </w:tcPr>
          <w:p w:rsidR="00013EC7" w:rsidRDefault="00575CDB">
            <w:pPr>
              <w:jc w:val="left"/>
              <w:rPr>
                <w:rFonts w:ascii="仿宋" w:eastAsia="仿宋" w:hAnsi="仿宋" w:cs="仿宋"/>
                <w:sz w:val="24"/>
              </w:rPr>
            </w:pPr>
            <w:r>
              <w:rPr>
                <w:rFonts w:ascii="仿宋" w:eastAsia="仿宋" w:hAnsi="仿宋" w:cs="仿宋" w:hint="eastAsia"/>
                <w:sz w:val="24"/>
              </w:rPr>
              <w:t>（二）经办人身份证明（原件查验）。</w:t>
            </w:r>
          </w:p>
        </w:tc>
        <w:tc>
          <w:tcPr>
            <w:tcW w:w="709" w:type="dxa"/>
            <w:vMerge/>
            <w:vAlign w:val="center"/>
          </w:tcPr>
          <w:p w:rsidR="00013EC7" w:rsidRDefault="00013EC7">
            <w:pPr>
              <w:spacing w:line="300" w:lineRule="exact"/>
              <w:jc w:val="left"/>
              <w:rPr>
                <w:rFonts w:ascii="仿宋" w:eastAsia="仿宋" w:hAnsi="仿宋" w:cs="仿宋"/>
                <w:sz w:val="24"/>
              </w:rPr>
            </w:pPr>
          </w:p>
        </w:tc>
        <w:tc>
          <w:tcPr>
            <w:tcW w:w="2126" w:type="dxa"/>
            <w:vMerge/>
            <w:vAlign w:val="center"/>
          </w:tcPr>
          <w:p w:rsidR="00013EC7" w:rsidRDefault="00013EC7">
            <w:pPr>
              <w:spacing w:line="300" w:lineRule="exact"/>
              <w:jc w:val="left"/>
              <w:rPr>
                <w:rFonts w:ascii="仿宋" w:eastAsia="仿宋" w:hAnsi="仿宋" w:cs="仿宋"/>
                <w:sz w:val="24"/>
              </w:rPr>
            </w:pPr>
          </w:p>
        </w:tc>
        <w:tc>
          <w:tcPr>
            <w:tcW w:w="851" w:type="dxa"/>
            <w:vMerge/>
            <w:vAlign w:val="center"/>
          </w:tcPr>
          <w:p w:rsidR="00013EC7" w:rsidRDefault="00013EC7">
            <w:pPr>
              <w:jc w:val="left"/>
              <w:rPr>
                <w:rFonts w:ascii="仿宋" w:eastAsia="仿宋" w:hAnsi="仿宋" w:cs="仿宋"/>
                <w:sz w:val="24"/>
              </w:rPr>
            </w:pPr>
          </w:p>
        </w:tc>
        <w:tc>
          <w:tcPr>
            <w:tcW w:w="850" w:type="dxa"/>
            <w:vMerge/>
            <w:vAlign w:val="center"/>
          </w:tcPr>
          <w:p w:rsidR="00013EC7" w:rsidRDefault="00013EC7">
            <w:pPr>
              <w:jc w:val="left"/>
              <w:rPr>
                <w:rFonts w:ascii="仿宋" w:eastAsia="仿宋" w:hAnsi="仿宋" w:cs="仿宋"/>
                <w:sz w:val="24"/>
              </w:rPr>
            </w:pPr>
          </w:p>
        </w:tc>
        <w:tc>
          <w:tcPr>
            <w:tcW w:w="1134" w:type="dxa"/>
            <w:vMerge/>
            <w:vAlign w:val="center"/>
          </w:tcPr>
          <w:p w:rsidR="00013EC7" w:rsidRDefault="00013EC7">
            <w:pPr>
              <w:jc w:val="left"/>
              <w:rPr>
                <w:rFonts w:ascii="仿宋" w:eastAsia="仿宋" w:hAnsi="仿宋" w:cs="仿宋"/>
                <w:sz w:val="24"/>
              </w:rPr>
            </w:pPr>
          </w:p>
        </w:tc>
        <w:tc>
          <w:tcPr>
            <w:tcW w:w="1134" w:type="dxa"/>
            <w:vMerge/>
            <w:vAlign w:val="center"/>
          </w:tcPr>
          <w:p w:rsidR="00013EC7" w:rsidRDefault="00013EC7">
            <w:pPr>
              <w:jc w:val="left"/>
              <w:rPr>
                <w:rFonts w:ascii="仿宋" w:eastAsia="仿宋" w:hAnsi="仿宋" w:cs="仿宋"/>
                <w:sz w:val="24"/>
              </w:rPr>
            </w:pPr>
          </w:p>
        </w:tc>
        <w:tc>
          <w:tcPr>
            <w:tcW w:w="996" w:type="dxa"/>
            <w:vMerge/>
            <w:vAlign w:val="center"/>
          </w:tcPr>
          <w:p w:rsidR="00013EC7" w:rsidRDefault="00013EC7">
            <w:pPr>
              <w:jc w:val="left"/>
              <w:rPr>
                <w:rFonts w:ascii="仿宋" w:eastAsia="仿宋" w:hAnsi="仿宋" w:cs="仿宋"/>
                <w:sz w:val="24"/>
              </w:rPr>
            </w:pPr>
          </w:p>
        </w:tc>
      </w:tr>
      <w:tr w:rsidR="00013EC7">
        <w:trPr>
          <w:trHeight w:val="2535"/>
          <w:jc w:val="center"/>
        </w:trPr>
        <w:tc>
          <w:tcPr>
            <w:tcW w:w="1250" w:type="dxa"/>
            <w:vMerge/>
            <w:textDirection w:val="tbRlV"/>
            <w:vAlign w:val="center"/>
          </w:tcPr>
          <w:p w:rsidR="00013EC7" w:rsidRDefault="00013EC7">
            <w:pPr>
              <w:rPr>
                <w:rFonts w:ascii="仿宋" w:eastAsia="仿宋" w:hAnsi="仿宋" w:cs="仿宋"/>
                <w:sz w:val="24"/>
              </w:rPr>
            </w:pPr>
          </w:p>
        </w:tc>
        <w:tc>
          <w:tcPr>
            <w:tcW w:w="1316" w:type="dxa"/>
            <w:vMerge/>
            <w:vAlign w:val="center"/>
          </w:tcPr>
          <w:p w:rsidR="00013EC7" w:rsidRDefault="00013EC7">
            <w:pPr>
              <w:rPr>
                <w:rFonts w:ascii="仿宋" w:eastAsia="仿宋" w:hAnsi="仿宋" w:cs="仿宋"/>
                <w:sz w:val="24"/>
              </w:rPr>
            </w:pPr>
          </w:p>
        </w:tc>
        <w:tc>
          <w:tcPr>
            <w:tcW w:w="3959" w:type="dxa"/>
            <w:vMerge/>
            <w:vAlign w:val="center"/>
          </w:tcPr>
          <w:p w:rsidR="00013EC7" w:rsidRDefault="00013EC7">
            <w:pPr>
              <w:jc w:val="left"/>
              <w:rPr>
                <w:rFonts w:ascii="仿宋" w:eastAsia="仿宋" w:hAnsi="仿宋" w:cs="仿宋"/>
                <w:sz w:val="24"/>
              </w:rPr>
            </w:pPr>
          </w:p>
        </w:tc>
        <w:tc>
          <w:tcPr>
            <w:tcW w:w="2835"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（三）发票专用章印模。</w:t>
            </w:r>
          </w:p>
        </w:tc>
        <w:tc>
          <w:tcPr>
            <w:tcW w:w="709" w:type="dxa"/>
            <w:vAlign w:val="center"/>
          </w:tcPr>
          <w:p w:rsidR="00013EC7" w:rsidRDefault="00575CDB">
            <w:pPr>
              <w:jc w:val="left"/>
              <w:rPr>
                <w:rFonts w:ascii="仿宋" w:eastAsia="仿宋" w:hAnsi="仿宋" w:cs="仿宋"/>
                <w:sz w:val="24"/>
              </w:rPr>
            </w:pPr>
            <w:r>
              <w:rPr>
                <w:rFonts w:ascii="仿宋" w:eastAsia="仿宋" w:hAnsi="仿宋" w:cs="仿宋" w:hint="eastAsia"/>
                <w:sz w:val="24"/>
              </w:rPr>
              <w:t>首次申请时提供</w:t>
            </w:r>
          </w:p>
        </w:tc>
        <w:tc>
          <w:tcPr>
            <w:tcW w:w="2835"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（三）发票专用章印模。</w:t>
            </w:r>
          </w:p>
        </w:tc>
        <w:tc>
          <w:tcPr>
            <w:tcW w:w="709" w:type="dxa"/>
            <w:vAlign w:val="center"/>
          </w:tcPr>
          <w:p w:rsidR="00013EC7" w:rsidRDefault="00575CDB">
            <w:pPr>
              <w:jc w:val="left"/>
              <w:rPr>
                <w:rFonts w:ascii="仿宋" w:eastAsia="仿宋" w:hAnsi="仿宋" w:cs="仿宋"/>
                <w:sz w:val="24"/>
              </w:rPr>
            </w:pPr>
            <w:r>
              <w:rPr>
                <w:rFonts w:ascii="仿宋" w:eastAsia="仿宋" w:hAnsi="仿宋" w:cs="仿宋" w:hint="eastAsia"/>
                <w:sz w:val="24"/>
              </w:rPr>
              <w:t>纳税人留存备查</w:t>
            </w:r>
          </w:p>
        </w:tc>
        <w:tc>
          <w:tcPr>
            <w:tcW w:w="2126" w:type="dxa"/>
            <w:vMerge/>
            <w:vAlign w:val="center"/>
          </w:tcPr>
          <w:p w:rsidR="00013EC7" w:rsidRDefault="00013EC7">
            <w:pPr>
              <w:spacing w:line="300" w:lineRule="exact"/>
              <w:jc w:val="left"/>
              <w:rPr>
                <w:rFonts w:ascii="仿宋" w:eastAsia="仿宋" w:hAnsi="仿宋" w:cs="仿宋"/>
                <w:sz w:val="24"/>
              </w:rPr>
            </w:pPr>
          </w:p>
        </w:tc>
        <w:tc>
          <w:tcPr>
            <w:tcW w:w="851" w:type="dxa"/>
            <w:vMerge/>
            <w:vAlign w:val="center"/>
          </w:tcPr>
          <w:p w:rsidR="00013EC7" w:rsidRDefault="00013EC7">
            <w:pPr>
              <w:jc w:val="left"/>
              <w:rPr>
                <w:rFonts w:ascii="仿宋" w:eastAsia="仿宋" w:hAnsi="仿宋" w:cs="仿宋"/>
                <w:sz w:val="24"/>
              </w:rPr>
            </w:pPr>
          </w:p>
        </w:tc>
        <w:tc>
          <w:tcPr>
            <w:tcW w:w="850" w:type="dxa"/>
            <w:vMerge/>
            <w:vAlign w:val="center"/>
          </w:tcPr>
          <w:p w:rsidR="00013EC7" w:rsidRDefault="00013EC7">
            <w:pPr>
              <w:jc w:val="left"/>
              <w:rPr>
                <w:rFonts w:ascii="仿宋" w:eastAsia="仿宋" w:hAnsi="仿宋" w:cs="仿宋"/>
                <w:sz w:val="24"/>
              </w:rPr>
            </w:pPr>
          </w:p>
        </w:tc>
        <w:tc>
          <w:tcPr>
            <w:tcW w:w="1134" w:type="dxa"/>
            <w:vMerge/>
            <w:vAlign w:val="center"/>
          </w:tcPr>
          <w:p w:rsidR="00013EC7" w:rsidRDefault="00013EC7">
            <w:pPr>
              <w:jc w:val="left"/>
              <w:rPr>
                <w:rFonts w:ascii="仿宋" w:eastAsia="仿宋" w:hAnsi="仿宋" w:cs="仿宋"/>
                <w:sz w:val="24"/>
              </w:rPr>
            </w:pPr>
          </w:p>
        </w:tc>
        <w:tc>
          <w:tcPr>
            <w:tcW w:w="1134" w:type="dxa"/>
            <w:vMerge/>
            <w:vAlign w:val="center"/>
          </w:tcPr>
          <w:p w:rsidR="00013EC7" w:rsidRDefault="00013EC7">
            <w:pPr>
              <w:jc w:val="left"/>
              <w:rPr>
                <w:rFonts w:ascii="仿宋" w:eastAsia="仿宋" w:hAnsi="仿宋" w:cs="仿宋"/>
                <w:sz w:val="24"/>
              </w:rPr>
            </w:pPr>
          </w:p>
        </w:tc>
        <w:tc>
          <w:tcPr>
            <w:tcW w:w="996" w:type="dxa"/>
            <w:vMerge/>
            <w:vAlign w:val="center"/>
          </w:tcPr>
          <w:p w:rsidR="00013EC7" w:rsidRDefault="00013EC7">
            <w:pPr>
              <w:jc w:val="left"/>
              <w:rPr>
                <w:rFonts w:ascii="仿宋" w:eastAsia="仿宋" w:hAnsi="仿宋" w:cs="仿宋"/>
                <w:sz w:val="24"/>
              </w:rPr>
            </w:pPr>
          </w:p>
        </w:tc>
      </w:tr>
      <w:tr w:rsidR="00013EC7">
        <w:trPr>
          <w:trHeight w:val="1040"/>
          <w:jc w:val="center"/>
        </w:trPr>
        <w:tc>
          <w:tcPr>
            <w:tcW w:w="1250" w:type="dxa"/>
            <w:vMerge/>
            <w:tcBorders>
              <w:bottom w:val="single" w:sz="8" w:space="0" w:color="auto"/>
            </w:tcBorders>
            <w:vAlign w:val="center"/>
          </w:tcPr>
          <w:p w:rsidR="00013EC7" w:rsidRDefault="00013EC7">
            <w:pPr>
              <w:rPr>
                <w:rFonts w:ascii="仿宋" w:eastAsia="仿宋" w:hAnsi="仿宋" w:cs="仿宋"/>
                <w:sz w:val="24"/>
              </w:rPr>
            </w:pPr>
          </w:p>
        </w:tc>
        <w:tc>
          <w:tcPr>
            <w:tcW w:w="1316" w:type="dxa"/>
            <w:vMerge/>
            <w:tcBorders>
              <w:bottom w:val="single" w:sz="8" w:space="0" w:color="auto"/>
            </w:tcBorders>
            <w:vAlign w:val="center"/>
          </w:tcPr>
          <w:p w:rsidR="00013EC7" w:rsidRDefault="00013EC7">
            <w:pPr>
              <w:rPr>
                <w:rFonts w:ascii="仿宋" w:eastAsia="仿宋" w:hAnsi="仿宋" w:cs="仿宋"/>
                <w:sz w:val="24"/>
              </w:rPr>
            </w:pPr>
          </w:p>
        </w:tc>
        <w:tc>
          <w:tcPr>
            <w:tcW w:w="3959" w:type="dxa"/>
            <w:vMerge/>
            <w:tcBorders>
              <w:bottom w:val="single" w:sz="8" w:space="0" w:color="auto"/>
            </w:tcBorders>
            <w:vAlign w:val="center"/>
          </w:tcPr>
          <w:p w:rsidR="00013EC7" w:rsidRDefault="00013EC7">
            <w:pPr>
              <w:jc w:val="left"/>
              <w:rPr>
                <w:rFonts w:ascii="仿宋" w:eastAsia="仿宋" w:hAnsi="仿宋" w:cs="仿宋"/>
                <w:sz w:val="24"/>
              </w:rPr>
            </w:pPr>
          </w:p>
        </w:tc>
        <w:tc>
          <w:tcPr>
            <w:tcW w:w="2835" w:type="dxa"/>
            <w:tcBorders>
              <w:bottom w:val="single" w:sz="4" w:space="0" w:color="auto"/>
            </w:tcBorders>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（四）金税盘（税控盘）、报税盘（使用税控设备的纳税人提供）。</w:t>
            </w:r>
          </w:p>
        </w:tc>
        <w:tc>
          <w:tcPr>
            <w:tcW w:w="709" w:type="dxa"/>
            <w:tcBorders>
              <w:bottom w:val="single" w:sz="8" w:space="0" w:color="auto"/>
            </w:tcBorders>
            <w:vAlign w:val="center"/>
          </w:tcPr>
          <w:p w:rsidR="00013EC7" w:rsidRDefault="00575CDB">
            <w:pPr>
              <w:jc w:val="left"/>
              <w:rPr>
                <w:rFonts w:ascii="仿宋" w:eastAsia="仿宋" w:hAnsi="仿宋" w:cs="仿宋"/>
                <w:sz w:val="24"/>
              </w:rPr>
            </w:pPr>
            <w:r>
              <w:rPr>
                <w:rFonts w:ascii="仿宋" w:eastAsia="仿宋" w:hAnsi="仿宋" w:cs="仿宋" w:hint="eastAsia"/>
                <w:sz w:val="24"/>
              </w:rPr>
              <w:t>申请调整时提供</w:t>
            </w:r>
          </w:p>
        </w:tc>
        <w:tc>
          <w:tcPr>
            <w:tcW w:w="2835" w:type="dxa"/>
            <w:tcBorders>
              <w:bottom w:val="single" w:sz="8" w:space="0" w:color="auto"/>
            </w:tcBorders>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（四）金税盘（税控盘）、报税盘（使用税控设备的纳税人提供）。</w:t>
            </w:r>
          </w:p>
        </w:tc>
        <w:tc>
          <w:tcPr>
            <w:tcW w:w="709" w:type="dxa"/>
            <w:tcBorders>
              <w:bottom w:val="single" w:sz="8" w:space="0" w:color="auto"/>
            </w:tcBorders>
            <w:vAlign w:val="center"/>
          </w:tcPr>
          <w:p w:rsidR="00013EC7" w:rsidRDefault="00575CDB">
            <w:pPr>
              <w:jc w:val="left"/>
              <w:rPr>
                <w:rFonts w:ascii="仿宋" w:eastAsia="仿宋" w:hAnsi="仿宋" w:cs="仿宋"/>
                <w:sz w:val="24"/>
              </w:rPr>
            </w:pPr>
            <w:r>
              <w:rPr>
                <w:rFonts w:ascii="仿宋" w:eastAsia="仿宋" w:hAnsi="仿宋" w:cs="仿宋" w:hint="eastAsia"/>
                <w:sz w:val="24"/>
              </w:rPr>
              <w:t>申请调整时提供</w:t>
            </w:r>
          </w:p>
        </w:tc>
        <w:tc>
          <w:tcPr>
            <w:tcW w:w="2126" w:type="dxa"/>
            <w:vMerge/>
            <w:tcBorders>
              <w:bottom w:val="single" w:sz="8" w:space="0" w:color="auto"/>
            </w:tcBorders>
            <w:vAlign w:val="center"/>
          </w:tcPr>
          <w:p w:rsidR="00013EC7" w:rsidRDefault="00013EC7">
            <w:pPr>
              <w:spacing w:line="300" w:lineRule="exact"/>
              <w:jc w:val="left"/>
              <w:rPr>
                <w:rFonts w:ascii="仿宋" w:eastAsia="仿宋" w:hAnsi="仿宋" w:cs="仿宋"/>
                <w:sz w:val="24"/>
              </w:rPr>
            </w:pPr>
          </w:p>
        </w:tc>
        <w:tc>
          <w:tcPr>
            <w:tcW w:w="851" w:type="dxa"/>
            <w:vMerge/>
            <w:tcBorders>
              <w:bottom w:val="single" w:sz="8" w:space="0" w:color="auto"/>
            </w:tcBorders>
            <w:vAlign w:val="center"/>
          </w:tcPr>
          <w:p w:rsidR="00013EC7" w:rsidRDefault="00013EC7">
            <w:pPr>
              <w:jc w:val="left"/>
              <w:rPr>
                <w:rFonts w:ascii="仿宋" w:eastAsia="仿宋" w:hAnsi="仿宋" w:cs="仿宋"/>
                <w:sz w:val="24"/>
              </w:rPr>
            </w:pPr>
          </w:p>
        </w:tc>
        <w:tc>
          <w:tcPr>
            <w:tcW w:w="850" w:type="dxa"/>
            <w:vMerge/>
            <w:tcBorders>
              <w:bottom w:val="single" w:sz="8" w:space="0" w:color="auto"/>
            </w:tcBorders>
            <w:vAlign w:val="center"/>
          </w:tcPr>
          <w:p w:rsidR="00013EC7" w:rsidRDefault="00013EC7">
            <w:pPr>
              <w:jc w:val="left"/>
              <w:rPr>
                <w:rFonts w:ascii="仿宋" w:eastAsia="仿宋" w:hAnsi="仿宋" w:cs="仿宋"/>
                <w:sz w:val="24"/>
              </w:rPr>
            </w:pPr>
          </w:p>
        </w:tc>
        <w:tc>
          <w:tcPr>
            <w:tcW w:w="1134" w:type="dxa"/>
            <w:vMerge/>
            <w:tcBorders>
              <w:bottom w:val="single" w:sz="8" w:space="0" w:color="auto"/>
            </w:tcBorders>
            <w:vAlign w:val="center"/>
          </w:tcPr>
          <w:p w:rsidR="00013EC7" w:rsidRDefault="00013EC7">
            <w:pPr>
              <w:jc w:val="left"/>
              <w:rPr>
                <w:rFonts w:ascii="仿宋" w:eastAsia="仿宋" w:hAnsi="仿宋" w:cs="仿宋"/>
                <w:sz w:val="24"/>
              </w:rPr>
            </w:pPr>
          </w:p>
        </w:tc>
        <w:tc>
          <w:tcPr>
            <w:tcW w:w="1134" w:type="dxa"/>
            <w:vMerge/>
            <w:tcBorders>
              <w:bottom w:val="single" w:sz="8" w:space="0" w:color="auto"/>
            </w:tcBorders>
            <w:vAlign w:val="center"/>
          </w:tcPr>
          <w:p w:rsidR="00013EC7" w:rsidRDefault="00013EC7">
            <w:pPr>
              <w:jc w:val="left"/>
              <w:rPr>
                <w:rFonts w:ascii="仿宋" w:eastAsia="仿宋" w:hAnsi="仿宋" w:cs="仿宋"/>
                <w:sz w:val="24"/>
              </w:rPr>
            </w:pPr>
          </w:p>
        </w:tc>
        <w:tc>
          <w:tcPr>
            <w:tcW w:w="996" w:type="dxa"/>
            <w:vMerge/>
            <w:tcBorders>
              <w:bottom w:val="single" w:sz="8" w:space="0" w:color="auto"/>
            </w:tcBorders>
            <w:vAlign w:val="center"/>
          </w:tcPr>
          <w:p w:rsidR="00013EC7" w:rsidRDefault="00013EC7">
            <w:pPr>
              <w:jc w:val="left"/>
              <w:rPr>
                <w:rFonts w:ascii="仿宋" w:eastAsia="仿宋" w:hAnsi="仿宋" w:cs="仿宋"/>
                <w:sz w:val="24"/>
              </w:rPr>
            </w:pPr>
          </w:p>
        </w:tc>
      </w:tr>
    </w:tbl>
    <w:p w:rsidR="00013EC7" w:rsidRDefault="00013EC7">
      <w:pPr>
        <w:rPr>
          <w:rFonts w:eastAsia="方正书宋简体"/>
          <w:szCs w:val="21"/>
        </w:rPr>
      </w:pPr>
    </w:p>
    <w:p w:rsidR="00013EC7" w:rsidRDefault="00013EC7">
      <w:pPr>
        <w:rPr>
          <w:rFonts w:eastAsia="方正书宋简体"/>
          <w:szCs w:val="21"/>
        </w:rPr>
      </w:pPr>
    </w:p>
    <w:p w:rsidR="00013EC7" w:rsidRDefault="005262E6">
      <w:pPr>
        <w:rPr>
          <w:rFonts w:ascii="宋体" w:hAnsi="宋体"/>
          <w:b/>
          <w:szCs w:val="28"/>
        </w:rPr>
        <w:sectPr w:rsidR="00013EC7">
          <w:pgSz w:w="23814" w:h="16840" w:orient="landscape"/>
          <w:pgMar w:top="1701" w:right="1843" w:bottom="1985" w:left="1843" w:header="851" w:footer="1701" w:gutter="0"/>
          <w:pgNumType w:fmt="numberInDash"/>
          <w:cols w:space="720"/>
          <w:docGrid w:type="lines" w:linePitch="312"/>
        </w:sectPr>
      </w:pPr>
      <w:r>
        <w:lastRenderedPageBreak/>
        <w:object w:dxaOrig="1440" w:dyaOrig="1440">
          <v:shape id="_x0000_s1226" type="#_x0000_t75" alt="5928676981508729125595" style="position:absolute;left:0;text-align:left;margin-left:538.6pt;margin-top:87.75pt;width:463.8pt;height:669.2pt;z-index:251595776;mso-wrap-distance-top:0;mso-wrap-distance-bottom:0;mso-position-vertical-relative:page;mso-width-relative:page;mso-height-relative:page">
            <v:imagedata r:id="rId126" o:title=""/>
            <w10:wrap type="topAndBottom" anchory="page"/>
          </v:shape>
          <o:OLEObject Type="Embed" ProgID="Visio.Drawing.11" ShapeID="_x0000_s1226" DrawAspect="Content" ObjectID="_1577296194" r:id="rId127"/>
        </w:object>
      </w:r>
      <w:r>
        <w:object w:dxaOrig="1440" w:dyaOrig="1440">
          <v:shape id="_x0000_s1225" type="#_x0000_t75" alt="2111217721508729125585" style="position:absolute;left:0;text-align:left;margin-left:-1.8pt;margin-top:92.15pt;width:498.9pt;height:593.35pt;z-index:251594752;mso-wrap-distance-top:0;mso-wrap-distance-bottom:0;mso-position-vertical-relative:page;mso-width-relative:page;mso-height-relative:page">
            <v:imagedata r:id="rId128" o:title="2111217721508729125585"/>
            <w10:wrap type="topAndBottom" anchory="page"/>
          </v:shape>
          <o:OLEObject Type="Embed" ProgID="Visio.Drawing.11" ShapeID="_x0000_s1225" DrawAspect="Content" ObjectID="_1577296195" r:id="rId129"/>
        </w:object>
      </w:r>
      <w:r w:rsidR="00575CDB">
        <w:rPr>
          <w:rFonts w:ascii="宋体" w:hAnsi="宋体" w:hint="eastAsia"/>
          <w:b/>
          <w:szCs w:val="28"/>
        </w:rPr>
        <w:br w:type="page"/>
      </w:r>
      <w:bookmarkStart w:id="185" w:name="_Toc498705710"/>
    </w:p>
    <w:p w:rsidR="00013EC7" w:rsidRDefault="00575CDB">
      <w:pPr>
        <w:pStyle w:val="2"/>
      </w:pPr>
      <w:bookmarkStart w:id="186" w:name="_Toc28280"/>
      <w:bookmarkStart w:id="187" w:name="_Toc503467398"/>
      <w:bookmarkStart w:id="188" w:name="_Toc22098"/>
      <w:bookmarkStart w:id="189" w:name="_Toc16334"/>
      <w:r>
        <w:rPr>
          <w:rFonts w:hint="eastAsia"/>
        </w:rPr>
        <w:lastRenderedPageBreak/>
        <w:t>12.2</w:t>
      </w:r>
      <w:r>
        <w:rPr>
          <w:rFonts w:hint="eastAsia"/>
        </w:rPr>
        <w:t>印有本单位名称发票核定</w:t>
      </w:r>
      <w:bookmarkEnd w:id="185"/>
      <w:bookmarkEnd w:id="186"/>
      <w:bookmarkEnd w:id="187"/>
      <w:bookmarkEnd w:id="188"/>
      <w:bookmarkEnd w:id="189"/>
    </w:p>
    <w:p w:rsidR="00013EC7" w:rsidRDefault="00575CDB">
      <w:pPr>
        <w:jc w:val="center"/>
        <w:rPr>
          <w:rFonts w:ascii="宋体" w:hAnsi="宋体" w:cs="宋体"/>
          <w:b/>
          <w:bCs/>
          <w:sz w:val="52"/>
          <w:szCs w:val="52"/>
        </w:rPr>
      </w:pPr>
      <w:r>
        <w:rPr>
          <w:rFonts w:ascii="宋体" w:hAnsi="宋体" w:cs="宋体" w:hint="eastAsia"/>
          <w:b/>
          <w:bCs/>
          <w:sz w:val="52"/>
          <w:szCs w:val="52"/>
        </w:rPr>
        <w:t>全省“最多跑一次”事项“八统一”梳理表</w:t>
      </w:r>
    </w:p>
    <w:tbl>
      <w:tblPr>
        <w:tblW w:w="20704"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1250"/>
        <w:gridCol w:w="1316"/>
        <w:gridCol w:w="2582"/>
        <w:gridCol w:w="2317"/>
        <w:gridCol w:w="1118"/>
        <w:gridCol w:w="2403"/>
        <w:gridCol w:w="1196"/>
        <w:gridCol w:w="3318"/>
        <w:gridCol w:w="868"/>
        <w:gridCol w:w="930"/>
        <w:gridCol w:w="851"/>
        <w:gridCol w:w="1079"/>
        <w:gridCol w:w="1476"/>
      </w:tblGrid>
      <w:tr w:rsidR="00013EC7">
        <w:trPr>
          <w:trHeight w:val="340"/>
          <w:tblHeader/>
          <w:jc w:val="center"/>
        </w:trPr>
        <w:tc>
          <w:tcPr>
            <w:tcW w:w="1250"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主项名称</w:t>
            </w:r>
          </w:p>
        </w:tc>
        <w:tc>
          <w:tcPr>
            <w:tcW w:w="1316"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子项名称</w:t>
            </w:r>
          </w:p>
        </w:tc>
        <w:tc>
          <w:tcPr>
            <w:tcW w:w="2582"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经办依据</w:t>
            </w:r>
          </w:p>
        </w:tc>
        <w:tc>
          <w:tcPr>
            <w:tcW w:w="3435"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原经办所需材料</w:t>
            </w:r>
          </w:p>
        </w:tc>
        <w:tc>
          <w:tcPr>
            <w:tcW w:w="6917" w:type="dxa"/>
            <w:gridSpan w:val="3"/>
            <w:vAlign w:val="center"/>
          </w:tcPr>
          <w:p w:rsidR="00013EC7" w:rsidRDefault="00575CDB">
            <w:pPr>
              <w:spacing w:line="280" w:lineRule="exact"/>
              <w:jc w:val="center"/>
              <w:rPr>
                <w:rFonts w:ascii="黑体" w:eastAsia="黑体"/>
                <w:sz w:val="24"/>
              </w:rPr>
            </w:pPr>
            <w:r>
              <w:rPr>
                <w:rFonts w:ascii="黑体" w:eastAsia="黑体" w:hint="eastAsia"/>
                <w:sz w:val="24"/>
              </w:rPr>
              <w:t>梳理后经办所需材料</w:t>
            </w:r>
          </w:p>
        </w:tc>
        <w:tc>
          <w:tcPr>
            <w:tcW w:w="1798"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办理时限</w:t>
            </w:r>
          </w:p>
        </w:tc>
        <w:tc>
          <w:tcPr>
            <w:tcW w:w="851"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是否实现跑零次</w:t>
            </w:r>
          </w:p>
        </w:tc>
        <w:tc>
          <w:tcPr>
            <w:tcW w:w="1079"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省厅对口</w:t>
            </w:r>
          </w:p>
          <w:p w:rsidR="00013EC7" w:rsidRDefault="00575CDB">
            <w:pPr>
              <w:spacing w:line="280" w:lineRule="exact"/>
              <w:jc w:val="center"/>
              <w:rPr>
                <w:rFonts w:ascii="黑体" w:eastAsia="黑体"/>
                <w:sz w:val="24"/>
              </w:rPr>
            </w:pPr>
            <w:r>
              <w:rPr>
                <w:rFonts w:ascii="黑体" w:eastAsia="黑体" w:hint="eastAsia"/>
                <w:sz w:val="24"/>
              </w:rPr>
              <w:t>指导处室</w:t>
            </w:r>
          </w:p>
          <w:p w:rsidR="00013EC7" w:rsidRDefault="00575CDB">
            <w:pPr>
              <w:spacing w:line="280" w:lineRule="exact"/>
              <w:jc w:val="center"/>
              <w:rPr>
                <w:rFonts w:ascii="黑体" w:eastAsia="黑体"/>
                <w:sz w:val="24"/>
              </w:rPr>
            </w:pPr>
            <w:r>
              <w:rPr>
                <w:rFonts w:ascii="黑体" w:eastAsia="黑体" w:hint="eastAsia"/>
                <w:sz w:val="24"/>
              </w:rPr>
              <w:t>（单位）</w:t>
            </w:r>
          </w:p>
        </w:tc>
        <w:tc>
          <w:tcPr>
            <w:tcW w:w="1476"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进一步精简、</w:t>
            </w:r>
          </w:p>
          <w:p w:rsidR="00013EC7" w:rsidRDefault="00575CDB">
            <w:pPr>
              <w:spacing w:line="280" w:lineRule="exact"/>
              <w:jc w:val="center"/>
              <w:rPr>
                <w:rFonts w:ascii="黑体" w:eastAsia="黑体"/>
                <w:sz w:val="24"/>
              </w:rPr>
            </w:pPr>
            <w:r>
              <w:rPr>
                <w:rFonts w:ascii="黑体" w:eastAsia="黑体" w:hint="eastAsia"/>
                <w:sz w:val="24"/>
              </w:rPr>
              <w:t>规范建议</w:t>
            </w:r>
          </w:p>
        </w:tc>
      </w:tr>
      <w:tr w:rsidR="00013EC7">
        <w:trPr>
          <w:trHeight w:val="340"/>
          <w:tblHeader/>
          <w:jc w:val="center"/>
        </w:trPr>
        <w:tc>
          <w:tcPr>
            <w:tcW w:w="1250" w:type="dxa"/>
            <w:vMerge/>
            <w:vAlign w:val="center"/>
          </w:tcPr>
          <w:p w:rsidR="00013EC7" w:rsidRDefault="00013EC7">
            <w:pPr>
              <w:rPr>
                <w:sz w:val="24"/>
              </w:rPr>
            </w:pPr>
          </w:p>
        </w:tc>
        <w:tc>
          <w:tcPr>
            <w:tcW w:w="1316" w:type="dxa"/>
            <w:vMerge/>
          </w:tcPr>
          <w:p w:rsidR="00013EC7" w:rsidRDefault="00013EC7">
            <w:pPr>
              <w:rPr>
                <w:sz w:val="24"/>
              </w:rPr>
            </w:pPr>
          </w:p>
        </w:tc>
        <w:tc>
          <w:tcPr>
            <w:tcW w:w="2582" w:type="dxa"/>
            <w:vMerge/>
          </w:tcPr>
          <w:p w:rsidR="00013EC7" w:rsidRDefault="00013EC7">
            <w:pPr>
              <w:rPr>
                <w:sz w:val="24"/>
              </w:rPr>
            </w:pPr>
          </w:p>
        </w:tc>
        <w:tc>
          <w:tcPr>
            <w:tcW w:w="2317" w:type="dxa"/>
            <w:tcBorders>
              <w:bottom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118"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2403" w:type="dxa"/>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196"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3318" w:type="dxa"/>
            <w:vAlign w:val="center"/>
          </w:tcPr>
          <w:p w:rsidR="00013EC7" w:rsidRDefault="00575CDB">
            <w:pPr>
              <w:spacing w:line="280" w:lineRule="exact"/>
              <w:jc w:val="center"/>
              <w:rPr>
                <w:rFonts w:ascii="黑体" w:eastAsia="黑体"/>
                <w:sz w:val="24"/>
              </w:rPr>
            </w:pPr>
            <w:r>
              <w:rPr>
                <w:rFonts w:ascii="黑体" w:eastAsia="黑体" w:hint="eastAsia"/>
                <w:sz w:val="24"/>
              </w:rPr>
              <w:t>办理方式及材料</w:t>
            </w:r>
          </w:p>
          <w:p w:rsidR="00013EC7" w:rsidRDefault="00575CDB">
            <w:pPr>
              <w:spacing w:line="280" w:lineRule="exact"/>
              <w:jc w:val="center"/>
              <w:rPr>
                <w:rFonts w:ascii="黑体" w:eastAsia="黑体"/>
                <w:sz w:val="24"/>
              </w:rPr>
            </w:pPr>
            <w:r>
              <w:rPr>
                <w:rFonts w:ascii="黑体" w:eastAsia="黑体" w:hint="eastAsia"/>
                <w:sz w:val="24"/>
              </w:rPr>
              <w:t>信息获取方式说明</w:t>
            </w:r>
          </w:p>
        </w:tc>
        <w:tc>
          <w:tcPr>
            <w:tcW w:w="868" w:type="dxa"/>
            <w:vAlign w:val="center"/>
          </w:tcPr>
          <w:p w:rsidR="00013EC7" w:rsidRDefault="00575CDB">
            <w:pPr>
              <w:spacing w:line="280" w:lineRule="exact"/>
              <w:jc w:val="center"/>
              <w:rPr>
                <w:rFonts w:ascii="黑体" w:eastAsia="黑体"/>
                <w:sz w:val="24"/>
              </w:rPr>
            </w:pPr>
            <w:r>
              <w:rPr>
                <w:rFonts w:ascii="黑体" w:eastAsia="黑体" w:hint="eastAsia"/>
                <w:sz w:val="24"/>
              </w:rPr>
              <w:t>优化前</w:t>
            </w:r>
          </w:p>
        </w:tc>
        <w:tc>
          <w:tcPr>
            <w:tcW w:w="930" w:type="dxa"/>
            <w:vAlign w:val="center"/>
          </w:tcPr>
          <w:p w:rsidR="00013EC7" w:rsidRDefault="00575CDB">
            <w:pPr>
              <w:spacing w:line="280" w:lineRule="exact"/>
              <w:jc w:val="center"/>
              <w:rPr>
                <w:rFonts w:ascii="黑体" w:eastAsia="黑体"/>
                <w:sz w:val="24"/>
              </w:rPr>
            </w:pPr>
            <w:r>
              <w:rPr>
                <w:rFonts w:ascii="黑体" w:eastAsia="黑体" w:hint="eastAsia"/>
                <w:sz w:val="24"/>
              </w:rPr>
              <w:t>优化后</w:t>
            </w:r>
          </w:p>
        </w:tc>
        <w:tc>
          <w:tcPr>
            <w:tcW w:w="851" w:type="dxa"/>
            <w:vMerge/>
            <w:vAlign w:val="center"/>
          </w:tcPr>
          <w:p w:rsidR="00013EC7" w:rsidRDefault="00013EC7">
            <w:pPr>
              <w:rPr>
                <w:sz w:val="24"/>
              </w:rPr>
            </w:pPr>
          </w:p>
        </w:tc>
        <w:tc>
          <w:tcPr>
            <w:tcW w:w="1079" w:type="dxa"/>
            <w:vMerge/>
            <w:vAlign w:val="center"/>
          </w:tcPr>
          <w:p w:rsidR="00013EC7" w:rsidRDefault="00013EC7">
            <w:pPr>
              <w:rPr>
                <w:sz w:val="24"/>
              </w:rPr>
            </w:pPr>
          </w:p>
        </w:tc>
        <w:tc>
          <w:tcPr>
            <w:tcW w:w="1476" w:type="dxa"/>
            <w:vMerge/>
            <w:vAlign w:val="center"/>
          </w:tcPr>
          <w:p w:rsidR="00013EC7" w:rsidRDefault="00013EC7">
            <w:pPr>
              <w:rPr>
                <w:sz w:val="24"/>
              </w:rPr>
            </w:pPr>
          </w:p>
        </w:tc>
      </w:tr>
      <w:tr w:rsidR="00013EC7">
        <w:trPr>
          <w:trHeight w:val="2124"/>
          <w:jc w:val="center"/>
        </w:trPr>
        <w:tc>
          <w:tcPr>
            <w:tcW w:w="1250" w:type="dxa"/>
            <w:vMerge w:val="restart"/>
            <w:tcBorders>
              <w:bottom w:val="single" w:sz="4" w:space="0" w:color="auto"/>
            </w:tcBorders>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12发票领用</w:t>
            </w:r>
          </w:p>
        </w:tc>
        <w:tc>
          <w:tcPr>
            <w:tcW w:w="1316" w:type="dxa"/>
            <w:vMerge w:val="restart"/>
            <w:tcBorders>
              <w:bottom w:val="single" w:sz="4" w:space="0" w:color="auto"/>
            </w:tcBorders>
            <w:vAlign w:val="center"/>
          </w:tcPr>
          <w:p w:rsidR="00013EC7" w:rsidRDefault="00575CDB">
            <w:pPr>
              <w:spacing w:line="310" w:lineRule="exact"/>
              <w:jc w:val="left"/>
              <w:rPr>
                <w:rFonts w:ascii="仿宋" w:eastAsia="仿宋" w:hAnsi="仿宋" w:cs="仿宋"/>
                <w:sz w:val="24"/>
              </w:rPr>
            </w:pPr>
            <w:r>
              <w:rPr>
                <w:rFonts w:ascii="仿宋" w:eastAsia="仿宋" w:hAnsi="仿宋" w:cs="仿宋" w:hint="eastAsia"/>
                <w:sz w:val="24"/>
              </w:rPr>
              <w:t>12.2印有本单位名称发票核定</w:t>
            </w:r>
          </w:p>
        </w:tc>
        <w:tc>
          <w:tcPr>
            <w:tcW w:w="2582" w:type="dxa"/>
            <w:vMerge w:val="restart"/>
            <w:tcBorders>
              <w:bottom w:val="single" w:sz="4" w:space="0" w:color="auto"/>
            </w:tcBorders>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（一）《中华人民共和国发票管理办法》（2010年中华人民共和国国务院令第587号）第十五条、第十六条、第十七条、第十八条。</w:t>
            </w:r>
          </w:p>
          <w:p w:rsidR="00013EC7" w:rsidRDefault="00575CDB">
            <w:pPr>
              <w:spacing w:line="300" w:lineRule="exact"/>
              <w:jc w:val="left"/>
              <w:rPr>
                <w:rFonts w:ascii="仿宋" w:eastAsia="仿宋" w:hAnsi="仿宋" w:cs="仿宋"/>
                <w:sz w:val="24"/>
              </w:rPr>
            </w:pPr>
            <w:r>
              <w:rPr>
                <w:rFonts w:ascii="仿宋" w:eastAsia="仿宋" w:hAnsi="仿宋" w:cs="仿宋" w:hint="eastAsia"/>
                <w:sz w:val="24"/>
              </w:rPr>
              <w:t>（二）《国家税务总局关于修改〈中华人民共和国发票管理办法实施细则〉的决定》（2014年国家税务总局令第37号）第十二条、第十三条、第十四条、第十五条、第十六条、第二十条、第二十三条。</w:t>
            </w:r>
          </w:p>
          <w:p w:rsidR="00013EC7" w:rsidRDefault="00575CDB">
            <w:pPr>
              <w:spacing w:line="300" w:lineRule="exact"/>
              <w:jc w:val="left"/>
              <w:rPr>
                <w:rFonts w:ascii="仿宋" w:eastAsia="仿宋" w:hAnsi="仿宋" w:cs="仿宋"/>
                <w:sz w:val="24"/>
              </w:rPr>
            </w:pPr>
            <w:r>
              <w:rPr>
                <w:rFonts w:ascii="仿宋" w:eastAsia="仿宋" w:hAnsi="仿宋" w:cs="仿宋" w:hint="eastAsia"/>
                <w:sz w:val="24"/>
              </w:rPr>
              <w:t>（三）《国家税务总局 财政部关于冠名发票印制费结算问题的通知》（税总发〔2013〕53号）全文。</w:t>
            </w:r>
          </w:p>
          <w:p w:rsidR="00013EC7" w:rsidRDefault="00575CDB">
            <w:pPr>
              <w:spacing w:line="300" w:lineRule="exact"/>
              <w:jc w:val="left"/>
              <w:rPr>
                <w:rFonts w:ascii="仿宋" w:eastAsia="仿宋" w:hAnsi="仿宋" w:cs="仿宋"/>
                <w:sz w:val="24"/>
              </w:rPr>
            </w:pPr>
            <w:r>
              <w:rPr>
                <w:rFonts w:ascii="仿宋" w:eastAsia="仿宋" w:hAnsi="仿宋" w:cs="仿宋" w:hint="eastAsia"/>
                <w:sz w:val="24"/>
              </w:rPr>
              <w:t>（四）《国务院关于取消和下放一批行政审批项目等事项的决定》（国发〔2013〕19号）附件一。</w:t>
            </w:r>
          </w:p>
          <w:p w:rsidR="00013EC7" w:rsidRDefault="00575CDB">
            <w:pPr>
              <w:spacing w:line="300" w:lineRule="exact"/>
              <w:jc w:val="left"/>
              <w:rPr>
                <w:rFonts w:ascii="仿宋" w:eastAsia="仿宋" w:hAnsi="仿宋" w:cs="仿宋"/>
                <w:sz w:val="24"/>
              </w:rPr>
            </w:pPr>
            <w:r>
              <w:rPr>
                <w:rFonts w:ascii="仿宋" w:eastAsia="仿宋" w:hAnsi="仿宋" w:cs="仿宋" w:hint="eastAsia"/>
                <w:sz w:val="24"/>
              </w:rPr>
              <w:t>（五）《国家税务总局关于部分税务行政审批事项取消后有关管理问题的公告》（国家税务总局公告2015年第8号）第二条。</w:t>
            </w:r>
          </w:p>
          <w:p w:rsidR="00013EC7" w:rsidRDefault="00013EC7">
            <w:pPr>
              <w:spacing w:line="310" w:lineRule="exact"/>
              <w:jc w:val="left"/>
              <w:rPr>
                <w:rFonts w:ascii="仿宋" w:eastAsia="仿宋" w:hAnsi="仿宋" w:cs="仿宋"/>
                <w:sz w:val="24"/>
              </w:rPr>
            </w:pPr>
          </w:p>
        </w:tc>
        <w:tc>
          <w:tcPr>
            <w:tcW w:w="2317" w:type="dxa"/>
            <w:tcBorders>
              <w:top w:val="single" w:sz="4" w:space="0" w:color="auto"/>
              <w:bottom w:val="single" w:sz="4" w:space="0" w:color="auto"/>
            </w:tcBorders>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（一）（A02084）《印有本单位名称发票印制表》。</w:t>
            </w:r>
          </w:p>
        </w:tc>
        <w:tc>
          <w:tcPr>
            <w:tcW w:w="1118" w:type="dxa"/>
            <w:vMerge w:val="restart"/>
            <w:tcBorders>
              <w:bottom w:val="single" w:sz="4" w:space="0" w:color="auto"/>
            </w:tcBorders>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纳税人提交</w:t>
            </w:r>
          </w:p>
        </w:tc>
        <w:tc>
          <w:tcPr>
            <w:tcW w:w="2403" w:type="dxa"/>
            <w:tcBorders>
              <w:bottom w:val="single" w:sz="4" w:space="0" w:color="auto"/>
            </w:tcBorders>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（一）（A02084）《印有本单位名称发票印制表》。</w:t>
            </w:r>
          </w:p>
        </w:tc>
        <w:tc>
          <w:tcPr>
            <w:tcW w:w="1196" w:type="dxa"/>
            <w:vMerge w:val="restart"/>
            <w:tcBorders>
              <w:bottom w:val="single" w:sz="4" w:space="0" w:color="auto"/>
            </w:tcBorders>
            <w:vAlign w:val="center"/>
          </w:tcPr>
          <w:p w:rsidR="00013EC7" w:rsidRDefault="00575CDB">
            <w:pPr>
              <w:spacing w:line="300" w:lineRule="exact"/>
              <w:jc w:val="left"/>
              <w:rPr>
                <w:rFonts w:ascii="仿宋" w:eastAsia="仿宋" w:hAnsi="仿宋" w:cs="仿宋"/>
                <w:bCs/>
                <w:iCs/>
                <w:sz w:val="24"/>
              </w:rPr>
            </w:pPr>
            <w:r>
              <w:rPr>
                <w:rFonts w:ascii="仿宋" w:eastAsia="仿宋" w:hAnsi="仿宋" w:cs="仿宋" w:hint="eastAsia"/>
                <w:bCs/>
                <w:iCs/>
                <w:sz w:val="24"/>
              </w:rPr>
              <w:t>纳税人提交</w:t>
            </w:r>
          </w:p>
        </w:tc>
        <w:tc>
          <w:tcPr>
            <w:tcW w:w="3318" w:type="dxa"/>
            <w:vMerge w:val="restart"/>
            <w:tcBorders>
              <w:bottom w:val="single" w:sz="4" w:space="0" w:color="auto"/>
            </w:tcBorders>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纳税人提交书面材料。</w:t>
            </w:r>
          </w:p>
        </w:tc>
        <w:tc>
          <w:tcPr>
            <w:tcW w:w="868" w:type="dxa"/>
            <w:vMerge w:val="restart"/>
            <w:tcBorders>
              <w:bottom w:val="single" w:sz="4" w:space="0" w:color="auto"/>
            </w:tcBorders>
            <w:vAlign w:val="center"/>
          </w:tcPr>
          <w:p w:rsidR="00013EC7" w:rsidRDefault="00575CDB">
            <w:pPr>
              <w:jc w:val="left"/>
              <w:rPr>
                <w:rFonts w:ascii="仿宋" w:eastAsia="仿宋" w:hAnsi="仿宋" w:cs="仿宋"/>
                <w:sz w:val="24"/>
              </w:rPr>
            </w:pPr>
            <w:r>
              <w:rPr>
                <w:rFonts w:ascii="仿宋" w:eastAsia="仿宋" w:hAnsi="仿宋" w:cs="仿宋" w:hint="eastAsia"/>
                <w:sz w:val="24"/>
              </w:rPr>
              <w:t>5个工作日</w:t>
            </w:r>
          </w:p>
        </w:tc>
        <w:tc>
          <w:tcPr>
            <w:tcW w:w="930" w:type="dxa"/>
            <w:vMerge w:val="restart"/>
            <w:tcBorders>
              <w:bottom w:val="single" w:sz="4" w:space="0" w:color="auto"/>
            </w:tcBorders>
            <w:vAlign w:val="center"/>
          </w:tcPr>
          <w:p w:rsidR="00013EC7" w:rsidRDefault="00575CDB">
            <w:pPr>
              <w:jc w:val="left"/>
              <w:rPr>
                <w:rFonts w:ascii="仿宋" w:eastAsia="仿宋" w:hAnsi="仿宋" w:cs="仿宋"/>
                <w:sz w:val="24"/>
              </w:rPr>
            </w:pPr>
            <w:r>
              <w:rPr>
                <w:rFonts w:ascii="仿宋" w:eastAsia="仿宋" w:hAnsi="仿宋" w:cs="仿宋" w:hint="eastAsia"/>
                <w:sz w:val="24"/>
              </w:rPr>
              <w:t>5个工作日</w:t>
            </w:r>
          </w:p>
        </w:tc>
        <w:tc>
          <w:tcPr>
            <w:tcW w:w="851" w:type="dxa"/>
            <w:vMerge w:val="restart"/>
            <w:tcBorders>
              <w:bottom w:val="single" w:sz="4" w:space="0" w:color="auto"/>
            </w:tcBorders>
            <w:vAlign w:val="center"/>
          </w:tcPr>
          <w:p w:rsidR="00013EC7" w:rsidRDefault="00575CDB">
            <w:pPr>
              <w:jc w:val="left"/>
              <w:rPr>
                <w:rFonts w:ascii="仿宋" w:eastAsia="仿宋" w:hAnsi="仿宋" w:cs="仿宋"/>
                <w:sz w:val="24"/>
              </w:rPr>
            </w:pPr>
            <w:r>
              <w:rPr>
                <w:rFonts w:ascii="仿宋" w:eastAsia="仿宋" w:hAnsi="仿宋" w:cs="仿宋" w:hint="eastAsia"/>
                <w:sz w:val="24"/>
              </w:rPr>
              <w:t>是</w:t>
            </w:r>
          </w:p>
        </w:tc>
        <w:tc>
          <w:tcPr>
            <w:tcW w:w="1079" w:type="dxa"/>
            <w:vMerge w:val="restart"/>
            <w:tcBorders>
              <w:bottom w:val="single" w:sz="4" w:space="0" w:color="auto"/>
            </w:tcBorders>
            <w:vAlign w:val="center"/>
          </w:tcPr>
          <w:p w:rsidR="00013EC7" w:rsidRDefault="00575CDB">
            <w:pPr>
              <w:jc w:val="left"/>
              <w:rPr>
                <w:rFonts w:ascii="仿宋" w:eastAsia="仿宋" w:hAnsi="仿宋" w:cs="仿宋"/>
                <w:sz w:val="24"/>
              </w:rPr>
            </w:pPr>
            <w:r>
              <w:rPr>
                <w:rFonts w:ascii="仿宋" w:eastAsia="仿宋" w:hAnsi="仿宋" w:cs="仿宋" w:hint="eastAsia"/>
                <w:sz w:val="24"/>
              </w:rPr>
              <w:t>征管科技处</w:t>
            </w:r>
          </w:p>
        </w:tc>
        <w:tc>
          <w:tcPr>
            <w:tcW w:w="1476" w:type="dxa"/>
            <w:vMerge w:val="restart"/>
            <w:tcBorders>
              <w:bottom w:val="single" w:sz="4" w:space="0" w:color="auto"/>
            </w:tcBorders>
            <w:vAlign w:val="center"/>
          </w:tcPr>
          <w:p w:rsidR="00013EC7" w:rsidRDefault="00013EC7">
            <w:pPr>
              <w:spacing w:line="300" w:lineRule="exact"/>
              <w:jc w:val="left"/>
              <w:rPr>
                <w:rFonts w:ascii="仿宋" w:eastAsia="仿宋" w:hAnsi="仿宋" w:cs="仿宋"/>
                <w:sz w:val="24"/>
              </w:rPr>
            </w:pPr>
          </w:p>
        </w:tc>
      </w:tr>
      <w:tr w:rsidR="00013EC7">
        <w:trPr>
          <w:trHeight w:val="1928"/>
          <w:jc w:val="center"/>
        </w:trPr>
        <w:tc>
          <w:tcPr>
            <w:tcW w:w="1250" w:type="dxa"/>
            <w:vMerge/>
            <w:textDirection w:val="tbRlV"/>
            <w:vAlign w:val="center"/>
          </w:tcPr>
          <w:p w:rsidR="00013EC7" w:rsidRDefault="00013EC7">
            <w:pPr>
              <w:jc w:val="left"/>
              <w:rPr>
                <w:rFonts w:ascii="仿宋" w:eastAsia="仿宋" w:hAnsi="仿宋" w:cs="仿宋"/>
                <w:sz w:val="24"/>
              </w:rPr>
            </w:pPr>
          </w:p>
        </w:tc>
        <w:tc>
          <w:tcPr>
            <w:tcW w:w="1316" w:type="dxa"/>
            <w:vMerge/>
            <w:vAlign w:val="center"/>
          </w:tcPr>
          <w:p w:rsidR="00013EC7" w:rsidRDefault="00013EC7">
            <w:pPr>
              <w:jc w:val="left"/>
              <w:rPr>
                <w:rFonts w:ascii="仿宋" w:eastAsia="仿宋" w:hAnsi="仿宋" w:cs="仿宋"/>
                <w:sz w:val="24"/>
              </w:rPr>
            </w:pPr>
          </w:p>
        </w:tc>
        <w:tc>
          <w:tcPr>
            <w:tcW w:w="2582" w:type="dxa"/>
            <w:vMerge/>
            <w:vAlign w:val="center"/>
          </w:tcPr>
          <w:p w:rsidR="00013EC7" w:rsidRDefault="00013EC7">
            <w:pPr>
              <w:jc w:val="left"/>
              <w:rPr>
                <w:rFonts w:ascii="仿宋" w:eastAsia="仿宋" w:hAnsi="仿宋" w:cs="仿宋"/>
                <w:sz w:val="24"/>
              </w:rPr>
            </w:pPr>
          </w:p>
        </w:tc>
        <w:tc>
          <w:tcPr>
            <w:tcW w:w="2317"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（二）发票专用章印模（首次办理时提供。。</w:t>
            </w:r>
          </w:p>
        </w:tc>
        <w:tc>
          <w:tcPr>
            <w:tcW w:w="1118" w:type="dxa"/>
            <w:vMerge/>
            <w:vAlign w:val="center"/>
          </w:tcPr>
          <w:p w:rsidR="00013EC7" w:rsidRDefault="00013EC7">
            <w:pPr>
              <w:jc w:val="left"/>
              <w:rPr>
                <w:rFonts w:ascii="仿宋" w:eastAsia="仿宋" w:hAnsi="仿宋" w:cs="仿宋"/>
                <w:sz w:val="24"/>
              </w:rPr>
            </w:pPr>
          </w:p>
        </w:tc>
        <w:tc>
          <w:tcPr>
            <w:tcW w:w="2403"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（二）发票专用章印模（首次申请发票票种核定时提供）。</w:t>
            </w:r>
          </w:p>
        </w:tc>
        <w:tc>
          <w:tcPr>
            <w:tcW w:w="1196" w:type="dxa"/>
            <w:vMerge/>
            <w:vAlign w:val="center"/>
          </w:tcPr>
          <w:p w:rsidR="00013EC7" w:rsidRDefault="00013EC7">
            <w:pPr>
              <w:jc w:val="left"/>
              <w:rPr>
                <w:rFonts w:ascii="仿宋" w:eastAsia="仿宋" w:hAnsi="仿宋" w:cs="仿宋"/>
                <w:sz w:val="24"/>
              </w:rPr>
            </w:pPr>
          </w:p>
        </w:tc>
        <w:tc>
          <w:tcPr>
            <w:tcW w:w="3318" w:type="dxa"/>
            <w:vMerge/>
            <w:vAlign w:val="center"/>
          </w:tcPr>
          <w:p w:rsidR="00013EC7" w:rsidRDefault="00013EC7">
            <w:pPr>
              <w:spacing w:line="300" w:lineRule="exact"/>
              <w:jc w:val="left"/>
              <w:rPr>
                <w:rFonts w:ascii="仿宋" w:eastAsia="仿宋" w:hAnsi="仿宋" w:cs="仿宋"/>
                <w:sz w:val="24"/>
              </w:rPr>
            </w:pPr>
          </w:p>
        </w:tc>
        <w:tc>
          <w:tcPr>
            <w:tcW w:w="868" w:type="dxa"/>
            <w:vMerge/>
            <w:vAlign w:val="center"/>
          </w:tcPr>
          <w:p w:rsidR="00013EC7" w:rsidRDefault="00013EC7">
            <w:pPr>
              <w:jc w:val="left"/>
              <w:rPr>
                <w:rFonts w:ascii="仿宋" w:eastAsia="仿宋" w:hAnsi="仿宋" w:cs="仿宋"/>
                <w:sz w:val="24"/>
              </w:rPr>
            </w:pPr>
          </w:p>
        </w:tc>
        <w:tc>
          <w:tcPr>
            <w:tcW w:w="930" w:type="dxa"/>
            <w:vMerge/>
            <w:vAlign w:val="center"/>
          </w:tcPr>
          <w:p w:rsidR="00013EC7" w:rsidRDefault="00013EC7">
            <w:pPr>
              <w:jc w:val="left"/>
              <w:rPr>
                <w:rFonts w:ascii="仿宋" w:eastAsia="仿宋" w:hAnsi="仿宋" w:cs="仿宋"/>
                <w:sz w:val="24"/>
              </w:rPr>
            </w:pPr>
          </w:p>
        </w:tc>
        <w:tc>
          <w:tcPr>
            <w:tcW w:w="851" w:type="dxa"/>
            <w:vMerge/>
            <w:vAlign w:val="center"/>
          </w:tcPr>
          <w:p w:rsidR="00013EC7" w:rsidRDefault="00013EC7">
            <w:pPr>
              <w:jc w:val="left"/>
              <w:rPr>
                <w:rFonts w:ascii="仿宋" w:eastAsia="仿宋" w:hAnsi="仿宋" w:cs="仿宋"/>
                <w:sz w:val="24"/>
              </w:rPr>
            </w:pPr>
          </w:p>
        </w:tc>
        <w:tc>
          <w:tcPr>
            <w:tcW w:w="1079" w:type="dxa"/>
            <w:vMerge/>
            <w:vAlign w:val="center"/>
          </w:tcPr>
          <w:p w:rsidR="00013EC7" w:rsidRDefault="00013EC7">
            <w:pPr>
              <w:jc w:val="left"/>
              <w:rPr>
                <w:rFonts w:ascii="仿宋" w:eastAsia="仿宋" w:hAnsi="仿宋" w:cs="仿宋"/>
                <w:sz w:val="24"/>
              </w:rPr>
            </w:pPr>
          </w:p>
        </w:tc>
        <w:tc>
          <w:tcPr>
            <w:tcW w:w="1476" w:type="dxa"/>
            <w:vMerge/>
            <w:vAlign w:val="center"/>
          </w:tcPr>
          <w:p w:rsidR="00013EC7" w:rsidRDefault="00013EC7">
            <w:pPr>
              <w:jc w:val="left"/>
              <w:rPr>
                <w:rFonts w:ascii="仿宋" w:eastAsia="仿宋" w:hAnsi="仿宋" w:cs="仿宋"/>
                <w:sz w:val="24"/>
              </w:rPr>
            </w:pPr>
          </w:p>
        </w:tc>
      </w:tr>
      <w:tr w:rsidR="00013EC7">
        <w:trPr>
          <w:trHeight w:val="2057"/>
          <w:jc w:val="center"/>
        </w:trPr>
        <w:tc>
          <w:tcPr>
            <w:tcW w:w="1250" w:type="dxa"/>
            <w:vMerge/>
            <w:vAlign w:val="center"/>
          </w:tcPr>
          <w:p w:rsidR="00013EC7" w:rsidRDefault="00013EC7">
            <w:pPr>
              <w:jc w:val="left"/>
              <w:rPr>
                <w:rFonts w:ascii="仿宋" w:eastAsia="仿宋" w:hAnsi="仿宋" w:cs="仿宋"/>
                <w:sz w:val="24"/>
              </w:rPr>
            </w:pPr>
          </w:p>
        </w:tc>
        <w:tc>
          <w:tcPr>
            <w:tcW w:w="1316" w:type="dxa"/>
            <w:vMerge/>
            <w:vAlign w:val="center"/>
          </w:tcPr>
          <w:p w:rsidR="00013EC7" w:rsidRDefault="00013EC7">
            <w:pPr>
              <w:jc w:val="left"/>
              <w:rPr>
                <w:rFonts w:ascii="仿宋" w:eastAsia="仿宋" w:hAnsi="仿宋" w:cs="仿宋"/>
                <w:sz w:val="24"/>
              </w:rPr>
            </w:pPr>
          </w:p>
        </w:tc>
        <w:tc>
          <w:tcPr>
            <w:tcW w:w="2582" w:type="dxa"/>
            <w:vMerge/>
            <w:vAlign w:val="center"/>
          </w:tcPr>
          <w:p w:rsidR="00013EC7" w:rsidRDefault="00013EC7">
            <w:pPr>
              <w:jc w:val="left"/>
              <w:rPr>
                <w:rFonts w:ascii="仿宋" w:eastAsia="仿宋" w:hAnsi="仿宋" w:cs="仿宋"/>
                <w:sz w:val="24"/>
              </w:rPr>
            </w:pPr>
          </w:p>
        </w:tc>
        <w:tc>
          <w:tcPr>
            <w:tcW w:w="2317"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（三）自行设计的发票样式（使用非税控电子器具开具发票的，报送软件程序说明资料）。</w:t>
            </w:r>
          </w:p>
        </w:tc>
        <w:tc>
          <w:tcPr>
            <w:tcW w:w="1118" w:type="dxa"/>
            <w:vMerge/>
            <w:vAlign w:val="center"/>
          </w:tcPr>
          <w:p w:rsidR="00013EC7" w:rsidRDefault="00013EC7">
            <w:pPr>
              <w:jc w:val="left"/>
              <w:rPr>
                <w:rFonts w:ascii="仿宋" w:eastAsia="仿宋" w:hAnsi="仿宋" w:cs="仿宋"/>
                <w:sz w:val="24"/>
              </w:rPr>
            </w:pPr>
          </w:p>
        </w:tc>
        <w:tc>
          <w:tcPr>
            <w:tcW w:w="2403"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（三）自行设计的发票样式（使用非税控电子器具开具发票的，报送软件程序说明资料）。</w:t>
            </w:r>
          </w:p>
        </w:tc>
        <w:tc>
          <w:tcPr>
            <w:tcW w:w="1196" w:type="dxa"/>
            <w:vMerge/>
            <w:vAlign w:val="center"/>
          </w:tcPr>
          <w:p w:rsidR="00013EC7" w:rsidRDefault="00013EC7">
            <w:pPr>
              <w:jc w:val="left"/>
              <w:rPr>
                <w:rFonts w:ascii="仿宋" w:eastAsia="仿宋" w:hAnsi="仿宋" w:cs="仿宋"/>
                <w:sz w:val="24"/>
              </w:rPr>
            </w:pPr>
          </w:p>
        </w:tc>
        <w:tc>
          <w:tcPr>
            <w:tcW w:w="3318" w:type="dxa"/>
            <w:vMerge/>
            <w:vAlign w:val="center"/>
          </w:tcPr>
          <w:p w:rsidR="00013EC7" w:rsidRDefault="00013EC7">
            <w:pPr>
              <w:spacing w:line="300" w:lineRule="exact"/>
              <w:jc w:val="left"/>
              <w:rPr>
                <w:rFonts w:ascii="仿宋" w:eastAsia="仿宋" w:hAnsi="仿宋" w:cs="仿宋"/>
                <w:sz w:val="24"/>
              </w:rPr>
            </w:pPr>
          </w:p>
        </w:tc>
        <w:tc>
          <w:tcPr>
            <w:tcW w:w="868" w:type="dxa"/>
            <w:vMerge/>
            <w:vAlign w:val="center"/>
          </w:tcPr>
          <w:p w:rsidR="00013EC7" w:rsidRDefault="00013EC7">
            <w:pPr>
              <w:jc w:val="left"/>
              <w:rPr>
                <w:rFonts w:ascii="仿宋" w:eastAsia="仿宋" w:hAnsi="仿宋" w:cs="仿宋"/>
                <w:sz w:val="24"/>
              </w:rPr>
            </w:pPr>
          </w:p>
        </w:tc>
        <w:tc>
          <w:tcPr>
            <w:tcW w:w="930" w:type="dxa"/>
            <w:vMerge/>
            <w:vAlign w:val="center"/>
          </w:tcPr>
          <w:p w:rsidR="00013EC7" w:rsidRDefault="00013EC7">
            <w:pPr>
              <w:jc w:val="left"/>
              <w:rPr>
                <w:rFonts w:ascii="仿宋" w:eastAsia="仿宋" w:hAnsi="仿宋" w:cs="仿宋"/>
                <w:sz w:val="24"/>
              </w:rPr>
            </w:pPr>
          </w:p>
        </w:tc>
        <w:tc>
          <w:tcPr>
            <w:tcW w:w="851" w:type="dxa"/>
            <w:vMerge/>
            <w:vAlign w:val="center"/>
          </w:tcPr>
          <w:p w:rsidR="00013EC7" w:rsidRDefault="00013EC7">
            <w:pPr>
              <w:jc w:val="left"/>
              <w:rPr>
                <w:rFonts w:ascii="仿宋" w:eastAsia="仿宋" w:hAnsi="仿宋" w:cs="仿宋"/>
                <w:sz w:val="24"/>
              </w:rPr>
            </w:pPr>
          </w:p>
        </w:tc>
        <w:tc>
          <w:tcPr>
            <w:tcW w:w="1079" w:type="dxa"/>
            <w:vMerge/>
            <w:vAlign w:val="center"/>
          </w:tcPr>
          <w:p w:rsidR="00013EC7" w:rsidRDefault="00013EC7">
            <w:pPr>
              <w:jc w:val="left"/>
              <w:rPr>
                <w:rFonts w:ascii="仿宋" w:eastAsia="仿宋" w:hAnsi="仿宋" w:cs="仿宋"/>
                <w:sz w:val="24"/>
              </w:rPr>
            </w:pPr>
          </w:p>
        </w:tc>
        <w:tc>
          <w:tcPr>
            <w:tcW w:w="1476" w:type="dxa"/>
            <w:vMerge/>
            <w:vAlign w:val="center"/>
          </w:tcPr>
          <w:p w:rsidR="00013EC7" w:rsidRDefault="00013EC7">
            <w:pPr>
              <w:jc w:val="left"/>
              <w:rPr>
                <w:rFonts w:ascii="仿宋" w:eastAsia="仿宋" w:hAnsi="仿宋" w:cs="仿宋"/>
                <w:sz w:val="24"/>
              </w:rPr>
            </w:pPr>
          </w:p>
        </w:tc>
      </w:tr>
      <w:tr w:rsidR="00013EC7">
        <w:trPr>
          <w:trHeight w:val="340"/>
          <w:jc w:val="center"/>
        </w:trPr>
        <w:tc>
          <w:tcPr>
            <w:tcW w:w="1250" w:type="dxa"/>
            <w:vMerge/>
            <w:vAlign w:val="center"/>
          </w:tcPr>
          <w:p w:rsidR="00013EC7" w:rsidRDefault="00013EC7">
            <w:pPr>
              <w:jc w:val="left"/>
              <w:rPr>
                <w:rFonts w:ascii="仿宋" w:eastAsia="仿宋" w:hAnsi="仿宋" w:cs="仿宋"/>
                <w:sz w:val="24"/>
              </w:rPr>
            </w:pPr>
          </w:p>
        </w:tc>
        <w:tc>
          <w:tcPr>
            <w:tcW w:w="1316" w:type="dxa"/>
            <w:vMerge/>
            <w:vAlign w:val="center"/>
          </w:tcPr>
          <w:p w:rsidR="00013EC7" w:rsidRDefault="00013EC7">
            <w:pPr>
              <w:jc w:val="left"/>
              <w:rPr>
                <w:rFonts w:ascii="仿宋" w:eastAsia="仿宋" w:hAnsi="仿宋" w:cs="仿宋"/>
                <w:sz w:val="24"/>
              </w:rPr>
            </w:pPr>
          </w:p>
        </w:tc>
        <w:tc>
          <w:tcPr>
            <w:tcW w:w="2582" w:type="dxa"/>
            <w:vMerge/>
            <w:vAlign w:val="center"/>
          </w:tcPr>
          <w:p w:rsidR="00013EC7" w:rsidRDefault="00013EC7">
            <w:pPr>
              <w:jc w:val="left"/>
              <w:rPr>
                <w:rFonts w:ascii="仿宋" w:eastAsia="仿宋" w:hAnsi="仿宋" w:cs="仿宋"/>
                <w:sz w:val="24"/>
              </w:rPr>
            </w:pPr>
          </w:p>
        </w:tc>
        <w:tc>
          <w:tcPr>
            <w:tcW w:w="2317" w:type="dxa"/>
            <w:tcBorders>
              <w:bottom w:val="single" w:sz="4" w:space="0" w:color="auto"/>
            </w:tcBorders>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（四）经办人身份证明（原件查验）。</w:t>
            </w:r>
          </w:p>
        </w:tc>
        <w:tc>
          <w:tcPr>
            <w:tcW w:w="1118" w:type="dxa"/>
            <w:vMerge/>
            <w:vAlign w:val="center"/>
          </w:tcPr>
          <w:p w:rsidR="00013EC7" w:rsidRDefault="00013EC7">
            <w:pPr>
              <w:jc w:val="left"/>
              <w:rPr>
                <w:rFonts w:ascii="仿宋" w:eastAsia="仿宋" w:hAnsi="仿宋" w:cs="仿宋"/>
                <w:sz w:val="24"/>
              </w:rPr>
            </w:pPr>
          </w:p>
        </w:tc>
        <w:tc>
          <w:tcPr>
            <w:tcW w:w="2403" w:type="dxa"/>
            <w:vAlign w:val="center"/>
          </w:tcPr>
          <w:p w:rsidR="00013EC7" w:rsidRDefault="00575CDB">
            <w:pPr>
              <w:jc w:val="left"/>
              <w:rPr>
                <w:rFonts w:ascii="仿宋" w:eastAsia="仿宋" w:hAnsi="仿宋" w:cs="仿宋"/>
                <w:sz w:val="24"/>
              </w:rPr>
            </w:pPr>
            <w:r>
              <w:rPr>
                <w:rFonts w:ascii="仿宋" w:eastAsia="仿宋" w:hAnsi="仿宋" w:cs="仿宋" w:hint="eastAsia"/>
                <w:sz w:val="24"/>
              </w:rPr>
              <w:t>（四）经办人身份证明（原件查验）。</w:t>
            </w:r>
          </w:p>
        </w:tc>
        <w:tc>
          <w:tcPr>
            <w:tcW w:w="1196" w:type="dxa"/>
            <w:vMerge/>
            <w:vAlign w:val="center"/>
          </w:tcPr>
          <w:p w:rsidR="00013EC7" w:rsidRDefault="00013EC7">
            <w:pPr>
              <w:spacing w:line="300" w:lineRule="exact"/>
              <w:jc w:val="left"/>
              <w:rPr>
                <w:rFonts w:ascii="仿宋" w:eastAsia="仿宋" w:hAnsi="仿宋" w:cs="仿宋"/>
                <w:sz w:val="24"/>
              </w:rPr>
            </w:pPr>
          </w:p>
        </w:tc>
        <w:tc>
          <w:tcPr>
            <w:tcW w:w="3318" w:type="dxa"/>
            <w:vMerge/>
            <w:vAlign w:val="center"/>
          </w:tcPr>
          <w:p w:rsidR="00013EC7" w:rsidRDefault="00013EC7">
            <w:pPr>
              <w:spacing w:line="300" w:lineRule="exact"/>
              <w:jc w:val="left"/>
              <w:rPr>
                <w:rFonts w:ascii="仿宋" w:eastAsia="仿宋" w:hAnsi="仿宋" w:cs="仿宋"/>
                <w:sz w:val="24"/>
              </w:rPr>
            </w:pPr>
          </w:p>
        </w:tc>
        <w:tc>
          <w:tcPr>
            <w:tcW w:w="868" w:type="dxa"/>
            <w:vMerge/>
            <w:vAlign w:val="center"/>
          </w:tcPr>
          <w:p w:rsidR="00013EC7" w:rsidRDefault="00013EC7">
            <w:pPr>
              <w:jc w:val="left"/>
              <w:rPr>
                <w:rFonts w:ascii="仿宋" w:eastAsia="仿宋" w:hAnsi="仿宋" w:cs="仿宋"/>
                <w:sz w:val="24"/>
              </w:rPr>
            </w:pPr>
          </w:p>
        </w:tc>
        <w:tc>
          <w:tcPr>
            <w:tcW w:w="930" w:type="dxa"/>
            <w:vMerge/>
            <w:vAlign w:val="center"/>
          </w:tcPr>
          <w:p w:rsidR="00013EC7" w:rsidRDefault="00013EC7">
            <w:pPr>
              <w:jc w:val="left"/>
              <w:rPr>
                <w:rFonts w:ascii="仿宋" w:eastAsia="仿宋" w:hAnsi="仿宋" w:cs="仿宋"/>
                <w:sz w:val="24"/>
              </w:rPr>
            </w:pPr>
          </w:p>
        </w:tc>
        <w:tc>
          <w:tcPr>
            <w:tcW w:w="851" w:type="dxa"/>
            <w:vMerge/>
            <w:vAlign w:val="center"/>
          </w:tcPr>
          <w:p w:rsidR="00013EC7" w:rsidRDefault="00013EC7">
            <w:pPr>
              <w:jc w:val="left"/>
              <w:rPr>
                <w:rFonts w:ascii="仿宋" w:eastAsia="仿宋" w:hAnsi="仿宋" w:cs="仿宋"/>
                <w:sz w:val="24"/>
              </w:rPr>
            </w:pPr>
          </w:p>
        </w:tc>
        <w:tc>
          <w:tcPr>
            <w:tcW w:w="1079" w:type="dxa"/>
            <w:vMerge/>
            <w:vAlign w:val="center"/>
          </w:tcPr>
          <w:p w:rsidR="00013EC7" w:rsidRDefault="00013EC7">
            <w:pPr>
              <w:jc w:val="left"/>
              <w:rPr>
                <w:rFonts w:ascii="仿宋" w:eastAsia="仿宋" w:hAnsi="仿宋" w:cs="仿宋"/>
                <w:sz w:val="24"/>
              </w:rPr>
            </w:pPr>
          </w:p>
        </w:tc>
        <w:tc>
          <w:tcPr>
            <w:tcW w:w="1476" w:type="dxa"/>
            <w:vMerge/>
            <w:vAlign w:val="center"/>
          </w:tcPr>
          <w:p w:rsidR="00013EC7" w:rsidRDefault="00013EC7">
            <w:pPr>
              <w:jc w:val="left"/>
              <w:rPr>
                <w:rFonts w:ascii="仿宋" w:eastAsia="仿宋" w:hAnsi="仿宋" w:cs="仿宋"/>
                <w:sz w:val="24"/>
              </w:rPr>
            </w:pPr>
          </w:p>
        </w:tc>
      </w:tr>
    </w:tbl>
    <w:p w:rsidR="00013EC7" w:rsidRDefault="00013EC7">
      <w:pPr>
        <w:jc w:val="left"/>
        <w:rPr>
          <w:rFonts w:eastAsia="方正书宋简体"/>
          <w:sz w:val="24"/>
        </w:rPr>
      </w:pPr>
    </w:p>
    <w:p w:rsidR="00013EC7" w:rsidRDefault="005262E6">
      <w:pPr>
        <w:rPr>
          <w:rFonts w:eastAsia="方正书宋简体"/>
          <w:szCs w:val="21"/>
        </w:rPr>
      </w:pPr>
      <w:r>
        <w:lastRenderedPageBreak/>
        <w:object w:dxaOrig="1440" w:dyaOrig="1440">
          <v:shape id="对象 136" o:spid="_x0000_s1062" type="#_x0000_t75" alt="2111217721508729125585" style="position:absolute;left:0;text-align:left;margin-left:-29.1pt;margin-top:5.1pt;width:530.8pt;height:620.35pt;z-index:251565056;mso-wrap-distance-left:9pt;mso-wrap-distance-top:0;mso-wrap-distance-right:9pt;mso-wrap-distance-bottom:0;mso-width-relative:page;mso-height-relative:page">
            <v:imagedata r:id="rId130" o:title="2111217721508729125585"/>
            <w10:wrap type="square"/>
          </v:shape>
          <o:OLEObject Type="Embed" ProgID="Visio.Drawing.11" ShapeID="对象 136" DrawAspect="Content" ObjectID="_1577296196" r:id="rId131"/>
        </w:object>
      </w: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575CDB">
      <w:pPr>
        <w:pStyle w:val="1"/>
        <w:spacing w:before="0" w:after="0" w:line="240" w:lineRule="auto"/>
        <w:rPr>
          <w:rFonts w:eastAsia="方正书宋简体"/>
          <w:szCs w:val="21"/>
        </w:rPr>
        <w:sectPr w:rsidR="00013EC7">
          <w:pgSz w:w="23814" w:h="16840" w:orient="landscape"/>
          <w:pgMar w:top="1701" w:right="1843" w:bottom="1985" w:left="1843" w:header="851" w:footer="1701" w:gutter="0"/>
          <w:pgNumType w:fmt="numberInDash"/>
          <w:cols w:space="720"/>
          <w:docGrid w:type="lines" w:linePitch="312"/>
        </w:sectPr>
      </w:pPr>
      <w:r>
        <w:rPr>
          <w:rFonts w:eastAsia="方正书宋简体"/>
          <w:szCs w:val="21"/>
        </w:rPr>
        <w:br w:type="page"/>
      </w:r>
      <w:bookmarkStart w:id="190" w:name="_Toc498705711"/>
    </w:p>
    <w:p w:rsidR="00013EC7" w:rsidRDefault="00575CDB">
      <w:pPr>
        <w:pStyle w:val="2"/>
      </w:pPr>
      <w:bookmarkStart w:id="191" w:name="_Toc503467399"/>
      <w:bookmarkStart w:id="192" w:name="_Toc24233"/>
      <w:bookmarkStart w:id="193" w:name="_Toc3462"/>
      <w:bookmarkStart w:id="194" w:name="_Toc9620"/>
      <w:r>
        <w:rPr>
          <w:rFonts w:hint="eastAsia"/>
        </w:rPr>
        <w:lastRenderedPageBreak/>
        <w:t>12.3</w:t>
      </w:r>
      <w:r>
        <w:rPr>
          <w:rFonts w:hint="eastAsia"/>
        </w:rPr>
        <w:t>申请使用经营地发票</w:t>
      </w:r>
      <w:bookmarkEnd w:id="190"/>
      <w:bookmarkEnd w:id="191"/>
      <w:bookmarkEnd w:id="192"/>
      <w:bookmarkEnd w:id="193"/>
      <w:bookmarkEnd w:id="194"/>
    </w:p>
    <w:p w:rsidR="00013EC7" w:rsidRDefault="00575CDB">
      <w:pPr>
        <w:jc w:val="center"/>
        <w:rPr>
          <w:rFonts w:ascii="宋体" w:hAnsi="宋体" w:cs="宋体"/>
          <w:b/>
          <w:bCs/>
          <w:sz w:val="52"/>
          <w:szCs w:val="52"/>
        </w:rPr>
      </w:pPr>
      <w:r>
        <w:rPr>
          <w:rFonts w:ascii="宋体" w:hAnsi="宋体" w:cs="宋体" w:hint="eastAsia"/>
          <w:b/>
          <w:bCs/>
          <w:sz w:val="52"/>
          <w:szCs w:val="52"/>
        </w:rPr>
        <w:t>全省“最多跑一次”事项“八统一”梳理表</w:t>
      </w:r>
    </w:p>
    <w:tbl>
      <w:tblPr>
        <w:tblW w:w="20704"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1250"/>
        <w:gridCol w:w="1316"/>
        <w:gridCol w:w="2114"/>
        <w:gridCol w:w="2785"/>
        <w:gridCol w:w="1118"/>
        <w:gridCol w:w="2403"/>
        <w:gridCol w:w="1196"/>
        <w:gridCol w:w="3318"/>
        <w:gridCol w:w="868"/>
        <w:gridCol w:w="1072"/>
        <w:gridCol w:w="709"/>
        <w:gridCol w:w="1079"/>
        <w:gridCol w:w="1476"/>
      </w:tblGrid>
      <w:tr w:rsidR="00013EC7">
        <w:trPr>
          <w:trHeight w:val="340"/>
          <w:tblHeader/>
          <w:jc w:val="center"/>
        </w:trPr>
        <w:tc>
          <w:tcPr>
            <w:tcW w:w="1250"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主项名称</w:t>
            </w:r>
          </w:p>
        </w:tc>
        <w:tc>
          <w:tcPr>
            <w:tcW w:w="1316"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子项名称</w:t>
            </w:r>
          </w:p>
        </w:tc>
        <w:tc>
          <w:tcPr>
            <w:tcW w:w="2114"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经办依据</w:t>
            </w:r>
          </w:p>
        </w:tc>
        <w:tc>
          <w:tcPr>
            <w:tcW w:w="3903"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原经办所需材料</w:t>
            </w:r>
          </w:p>
        </w:tc>
        <w:tc>
          <w:tcPr>
            <w:tcW w:w="6917" w:type="dxa"/>
            <w:gridSpan w:val="3"/>
            <w:vAlign w:val="center"/>
          </w:tcPr>
          <w:p w:rsidR="00013EC7" w:rsidRDefault="00575CDB">
            <w:pPr>
              <w:spacing w:line="280" w:lineRule="exact"/>
              <w:jc w:val="center"/>
              <w:rPr>
                <w:rFonts w:ascii="黑体" w:eastAsia="黑体"/>
                <w:sz w:val="24"/>
              </w:rPr>
            </w:pPr>
            <w:r>
              <w:rPr>
                <w:rFonts w:ascii="黑体" w:eastAsia="黑体" w:hint="eastAsia"/>
                <w:sz w:val="24"/>
              </w:rPr>
              <w:t>梳理后经办所需材料</w:t>
            </w:r>
          </w:p>
        </w:tc>
        <w:tc>
          <w:tcPr>
            <w:tcW w:w="1940"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办理时限</w:t>
            </w:r>
          </w:p>
        </w:tc>
        <w:tc>
          <w:tcPr>
            <w:tcW w:w="709"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是否实现跑零次</w:t>
            </w:r>
          </w:p>
        </w:tc>
        <w:tc>
          <w:tcPr>
            <w:tcW w:w="1079"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省厅对口</w:t>
            </w:r>
          </w:p>
          <w:p w:rsidR="00013EC7" w:rsidRDefault="00575CDB">
            <w:pPr>
              <w:spacing w:line="280" w:lineRule="exact"/>
              <w:jc w:val="center"/>
              <w:rPr>
                <w:rFonts w:ascii="黑体" w:eastAsia="黑体"/>
                <w:sz w:val="24"/>
              </w:rPr>
            </w:pPr>
            <w:r>
              <w:rPr>
                <w:rFonts w:ascii="黑体" w:eastAsia="黑体" w:hint="eastAsia"/>
                <w:sz w:val="24"/>
              </w:rPr>
              <w:t>指导处室</w:t>
            </w:r>
          </w:p>
          <w:p w:rsidR="00013EC7" w:rsidRDefault="00575CDB">
            <w:pPr>
              <w:spacing w:line="280" w:lineRule="exact"/>
              <w:jc w:val="center"/>
              <w:rPr>
                <w:rFonts w:ascii="黑体" w:eastAsia="黑体"/>
                <w:sz w:val="24"/>
              </w:rPr>
            </w:pPr>
            <w:r>
              <w:rPr>
                <w:rFonts w:ascii="黑体" w:eastAsia="黑体" w:hint="eastAsia"/>
                <w:sz w:val="24"/>
              </w:rPr>
              <w:t>（单位）</w:t>
            </w:r>
          </w:p>
        </w:tc>
        <w:tc>
          <w:tcPr>
            <w:tcW w:w="1476"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进一步精简、</w:t>
            </w:r>
          </w:p>
          <w:p w:rsidR="00013EC7" w:rsidRDefault="00575CDB">
            <w:pPr>
              <w:spacing w:line="280" w:lineRule="exact"/>
              <w:jc w:val="center"/>
              <w:rPr>
                <w:rFonts w:ascii="黑体" w:eastAsia="黑体"/>
                <w:sz w:val="24"/>
              </w:rPr>
            </w:pPr>
            <w:r>
              <w:rPr>
                <w:rFonts w:ascii="黑体" w:eastAsia="黑体" w:hint="eastAsia"/>
                <w:sz w:val="24"/>
              </w:rPr>
              <w:t>规范建议</w:t>
            </w:r>
          </w:p>
        </w:tc>
      </w:tr>
      <w:tr w:rsidR="00013EC7">
        <w:trPr>
          <w:trHeight w:val="340"/>
          <w:tblHeader/>
          <w:jc w:val="center"/>
        </w:trPr>
        <w:tc>
          <w:tcPr>
            <w:tcW w:w="1250" w:type="dxa"/>
            <w:vMerge/>
            <w:vAlign w:val="center"/>
          </w:tcPr>
          <w:p w:rsidR="00013EC7" w:rsidRDefault="00013EC7">
            <w:pPr>
              <w:rPr>
                <w:sz w:val="24"/>
              </w:rPr>
            </w:pPr>
          </w:p>
        </w:tc>
        <w:tc>
          <w:tcPr>
            <w:tcW w:w="1316" w:type="dxa"/>
            <w:vMerge/>
          </w:tcPr>
          <w:p w:rsidR="00013EC7" w:rsidRDefault="00013EC7">
            <w:pPr>
              <w:rPr>
                <w:sz w:val="24"/>
              </w:rPr>
            </w:pPr>
          </w:p>
        </w:tc>
        <w:tc>
          <w:tcPr>
            <w:tcW w:w="2114" w:type="dxa"/>
            <w:vMerge/>
          </w:tcPr>
          <w:p w:rsidR="00013EC7" w:rsidRDefault="00013EC7">
            <w:pPr>
              <w:rPr>
                <w:sz w:val="24"/>
              </w:rPr>
            </w:pPr>
          </w:p>
        </w:tc>
        <w:tc>
          <w:tcPr>
            <w:tcW w:w="2785" w:type="dxa"/>
            <w:tcBorders>
              <w:bottom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118"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2403" w:type="dxa"/>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196"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3318" w:type="dxa"/>
            <w:vAlign w:val="center"/>
          </w:tcPr>
          <w:p w:rsidR="00013EC7" w:rsidRDefault="00575CDB">
            <w:pPr>
              <w:spacing w:line="280" w:lineRule="exact"/>
              <w:jc w:val="center"/>
              <w:rPr>
                <w:rFonts w:ascii="黑体" w:eastAsia="黑体"/>
                <w:sz w:val="24"/>
              </w:rPr>
            </w:pPr>
            <w:r>
              <w:rPr>
                <w:rFonts w:ascii="黑体" w:eastAsia="黑体" w:hint="eastAsia"/>
                <w:sz w:val="24"/>
              </w:rPr>
              <w:t>办理方式及材料</w:t>
            </w:r>
          </w:p>
          <w:p w:rsidR="00013EC7" w:rsidRDefault="00575CDB">
            <w:pPr>
              <w:spacing w:line="280" w:lineRule="exact"/>
              <w:jc w:val="center"/>
              <w:rPr>
                <w:rFonts w:ascii="黑体" w:eastAsia="黑体"/>
                <w:sz w:val="24"/>
              </w:rPr>
            </w:pPr>
            <w:r>
              <w:rPr>
                <w:rFonts w:ascii="黑体" w:eastAsia="黑体" w:hint="eastAsia"/>
                <w:sz w:val="24"/>
              </w:rPr>
              <w:t>信息获取方式说明</w:t>
            </w:r>
          </w:p>
        </w:tc>
        <w:tc>
          <w:tcPr>
            <w:tcW w:w="868" w:type="dxa"/>
            <w:vAlign w:val="center"/>
          </w:tcPr>
          <w:p w:rsidR="00013EC7" w:rsidRDefault="00575CDB">
            <w:pPr>
              <w:spacing w:line="280" w:lineRule="exact"/>
              <w:jc w:val="center"/>
              <w:rPr>
                <w:rFonts w:ascii="黑体" w:eastAsia="黑体"/>
                <w:sz w:val="24"/>
              </w:rPr>
            </w:pPr>
            <w:r>
              <w:rPr>
                <w:rFonts w:ascii="黑体" w:eastAsia="黑体" w:hint="eastAsia"/>
                <w:sz w:val="24"/>
              </w:rPr>
              <w:t>优化前</w:t>
            </w:r>
          </w:p>
        </w:tc>
        <w:tc>
          <w:tcPr>
            <w:tcW w:w="1072" w:type="dxa"/>
            <w:vAlign w:val="center"/>
          </w:tcPr>
          <w:p w:rsidR="00013EC7" w:rsidRDefault="00575CDB">
            <w:pPr>
              <w:spacing w:line="280" w:lineRule="exact"/>
              <w:jc w:val="center"/>
              <w:rPr>
                <w:rFonts w:ascii="黑体" w:eastAsia="黑体"/>
                <w:sz w:val="24"/>
              </w:rPr>
            </w:pPr>
            <w:r>
              <w:rPr>
                <w:rFonts w:ascii="黑体" w:eastAsia="黑体" w:hint="eastAsia"/>
                <w:sz w:val="24"/>
              </w:rPr>
              <w:t>优化后</w:t>
            </w:r>
          </w:p>
        </w:tc>
        <w:tc>
          <w:tcPr>
            <w:tcW w:w="709" w:type="dxa"/>
            <w:vMerge/>
            <w:vAlign w:val="center"/>
          </w:tcPr>
          <w:p w:rsidR="00013EC7" w:rsidRDefault="00013EC7">
            <w:pPr>
              <w:rPr>
                <w:sz w:val="24"/>
              </w:rPr>
            </w:pPr>
          </w:p>
        </w:tc>
        <w:tc>
          <w:tcPr>
            <w:tcW w:w="1079" w:type="dxa"/>
            <w:vMerge/>
            <w:vAlign w:val="center"/>
          </w:tcPr>
          <w:p w:rsidR="00013EC7" w:rsidRDefault="00013EC7">
            <w:pPr>
              <w:rPr>
                <w:sz w:val="24"/>
              </w:rPr>
            </w:pPr>
          </w:p>
        </w:tc>
        <w:tc>
          <w:tcPr>
            <w:tcW w:w="1476" w:type="dxa"/>
            <w:vMerge/>
            <w:vAlign w:val="center"/>
          </w:tcPr>
          <w:p w:rsidR="00013EC7" w:rsidRDefault="00013EC7">
            <w:pPr>
              <w:rPr>
                <w:sz w:val="24"/>
              </w:rPr>
            </w:pPr>
          </w:p>
        </w:tc>
      </w:tr>
      <w:tr w:rsidR="00013EC7">
        <w:trPr>
          <w:trHeight w:val="1132"/>
          <w:jc w:val="center"/>
        </w:trPr>
        <w:tc>
          <w:tcPr>
            <w:tcW w:w="1250" w:type="dxa"/>
            <w:vMerge w:val="restart"/>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12发票领用</w:t>
            </w:r>
          </w:p>
        </w:tc>
        <w:tc>
          <w:tcPr>
            <w:tcW w:w="1316" w:type="dxa"/>
            <w:vMerge w:val="restart"/>
            <w:vAlign w:val="center"/>
          </w:tcPr>
          <w:p w:rsidR="00013EC7" w:rsidRDefault="00575CDB">
            <w:pPr>
              <w:spacing w:line="310" w:lineRule="exact"/>
              <w:rPr>
                <w:rFonts w:ascii="仿宋" w:eastAsia="仿宋" w:hAnsi="仿宋" w:cs="仿宋"/>
                <w:sz w:val="24"/>
              </w:rPr>
            </w:pPr>
            <w:r>
              <w:rPr>
                <w:rFonts w:ascii="仿宋" w:eastAsia="仿宋" w:hAnsi="仿宋" w:cs="仿宋" w:hint="eastAsia"/>
                <w:sz w:val="24"/>
              </w:rPr>
              <w:t>12.3申请使用经营地发票</w:t>
            </w:r>
          </w:p>
        </w:tc>
        <w:tc>
          <w:tcPr>
            <w:tcW w:w="2114" w:type="dxa"/>
            <w:vMerge w:val="restart"/>
            <w:vAlign w:val="center"/>
          </w:tcPr>
          <w:p w:rsidR="00013EC7" w:rsidRDefault="00575CDB">
            <w:pPr>
              <w:spacing w:line="310" w:lineRule="exact"/>
              <w:rPr>
                <w:rFonts w:ascii="仿宋" w:eastAsia="仿宋" w:hAnsi="仿宋" w:cs="仿宋"/>
                <w:sz w:val="24"/>
              </w:rPr>
            </w:pPr>
            <w:r>
              <w:rPr>
                <w:rFonts w:ascii="仿宋" w:eastAsia="仿宋" w:hAnsi="仿宋" w:cs="仿宋" w:hint="eastAsia"/>
                <w:sz w:val="24"/>
              </w:rPr>
              <w:t>（一）《中华人民共和国发票管理办法》（2010年中华人民共和国国务院令第587号）第十七条。</w:t>
            </w:r>
          </w:p>
          <w:p w:rsidR="00013EC7" w:rsidRDefault="00575CDB">
            <w:pPr>
              <w:spacing w:line="310" w:lineRule="exact"/>
              <w:rPr>
                <w:rFonts w:ascii="仿宋" w:eastAsia="仿宋" w:hAnsi="仿宋" w:cs="仿宋"/>
                <w:sz w:val="24"/>
              </w:rPr>
            </w:pPr>
            <w:r>
              <w:rPr>
                <w:rFonts w:ascii="仿宋" w:eastAsia="仿宋" w:hAnsi="仿宋" w:cs="仿宋" w:hint="eastAsia"/>
                <w:sz w:val="24"/>
              </w:rPr>
              <w:t>（二）国家税务总局关于创新跨区域涉税事项报验管理制度的通知（税总发〔2017〕103号）第一条第二款。</w:t>
            </w:r>
          </w:p>
        </w:tc>
        <w:tc>
          <w:tcPr>
            <w:tcW w:w="2785" w:type="dxa"/>
            <w:tcBorders>
              <w:top w:val="single" w:sz="4" w:space="0" w:color="auto"/>
              <w:bottom w:val="single" w:sz="4" w:space="0" w:color="auto"/>
            </w:tcBorders>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（一）（A02008）《纳税人领用发票票种核定表》1份。</w:t>
            </w:r>
          </w:p>
        </w:tc>
        <w:tc>
          <w:tcPr>
            <w:tcW w:w="1118" w:type="dxa"/>
            <w:vMerge w:val="restart"/>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纳税人提交</w:t>
            </w:r>
          </w:p>
        </w:tc>
        <w:tc>
          <w:tcPr>
            <w:tcW w:w="2403"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（一）（A02008）《纳税人领用发票票种核定表》1份。</w:t>
            </w:r>
          </w:p>
        </w:tc>
        <w:tc>
          <w:tcPr>
            <w:tcW w:w="1196" w:type="dxa"/>
            <w:vMerge w:val="restart"/>
            <w:vAlign w:val="center"/>
          </w:tcPr>
          <w:p w:rsidR="00013EC7" w:rsidRDefault="00575CDB">
            <w:pPr>
              <w:spacing w:line="300" w:lineRule="exact"/>
              <w:rPr>
                <w:rFonts w:ascii="仿宋" w:eastAsia="仿宋" w:hAnsi="仿宋" w:cs="仿宋"/>
                <w:bCs/>
                <w:iCs/>
                <w:sz w:val="24"/>
              </w:rPr>
            </w:pPr>
            <w:r>
              <w:rPr>
                <w:rFonts w:ascii="仿宋" w:eastAsia="仿宋" w:hAnsi="仿宋" w:cs="仿宋" w:hint="eastAsia"/>
                <w:bCs/>
                <w:iCs/>
                <w:sz w:val="24"/>
              </w:rPr>
              <w:t>纳税人提交</w:t>
            </w:r>
          </w:p>
        </w:tc>
        <w:tc>
          <w:tcPr>
            <w:tcW w:w="3318" w:type="dxa"/>
            <w:vMerge w:val="restart"/>
            <w:vAlign w:val="center"/>
          </w:tcPr>
          <w:p w:rsidR="00013EC7" w:rsidRDefault="00575CDB">
            <w:pPr>
              <w:spacing w:line="300" w:lineRule="exac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纳税人提交书面材料,税务机关现场受理审核。</w:t>
            </w:r>
          </w:p>
        </w:tc>
        <w:tc>
          <w:tcPr>
            <w:tcW w:w="868" w:type="dxa"/>
            <w:vMerge w:val="restart"/>
            <w:vAlign w:val="center"/>
          </w:tcPr>
          <w:p w:rsidR="00013EC7" w:rsidRDefault="00575CDB">
            <w:pPr>
              <w:rPr>
                <w:rFonts w:ascii="仿宋" w:eastAsia="仿宋" w:hAnsi="仿宋" w:cs="仿宋"/>
                <w:sz w:val="24"/>
              </w:rPr>
            </w:pPr>
            <w:r>
              <w:rPr>
                <w:rFonts w:ascii="仿宋" w:eastAsia="仿宋" w:hAnsi="仿宋" w:cs="仿宋" w:hint="eastAsia"/>
                <w:sz w:val="24"/>
              </w:rPr>
              <w:t>即时办结</w:t>
            </w:r>
          </w:p>
        </w:tc>
        <w:tc>
          <w:tcPr>
            <w:tcW w:w="1072" w:type="dxa"/>
            <w:vMerge w:val="restart"/>
            <w:vAlign w:val="center"/>
          </w:tcPr>
          <w:p w:rsidR="00013EC7" w:rsidRDefault="00575CDB">
            <w:pPr>
              <w:rPr>
                <w:rFonts w:ascii="仿宋" w:eastAsia="仿宋" w:hAnsi="仿宋" w:cs="仿宋"/>
                <w:sz w:val="24"/>
              </w:rPr>
            </w:pPr>
            <w:r>
              <w:rPr>
                <w:rFonts w:ascii="仿宋" w:eastAsia="仿宋" w:hAnsi="仿宋" w:cs="仿宋" w:hint="eastAsia"/>
                <w:sz w:val="24"/>
              </w:rPr>
              <w:t>即时办结</w:t>
            </w:r>
          </w:p>
        </w:tc>
        <w:tc>
          <w:tcPr>
            <w:tcW w:w="709" w:type="dxa"/>
            <w:vMerge w:val="restart"/>
            <w:vAlign w:val="center"/>
          </w:tcPr>
          <w:p w:rsidR="00013EC7" w:rsidRDefault="00575CDB">
            <w:pPr>
              <w:rPr>
                <w:rFonts w:ascii="仿宋" w:eastAsia="仿宋" w:hAnsi="仿宋" w:cs="仿宋"/>
                <w:sz w:val="24"/>
              </w:rPr>
            </w:pPr>
            <w:r>
              <w:rPr>
                <w:rFonts w:ascii="仿宋" w:eastAsia="仿宋" w:hAnsi="仿宋" w:cs="仿宋" w:hint="eastAsia"/>
                <w:sz w:val="24"/>
              </w:rPr>
              <w:t>否</w:t>
            </w:r>
          </w:p>
        </w:tc>
        <w:tc>
          <w:tcPr>
            <w:tcW w:w="1079" w:type="dxa"/>
            <w:vMerge w:val="restart"/>
            <w:vAlign w:val="center"/>
          </w:tcPr>
          <w:p w:rsidR="00013EC7" w:rsidRDefault="00575CDB">
            <w:pPr>
              <w:rPr>
                <w:rFonts w:ascii="仿宋" w:eastAsia="仿宋" w:hAnsi="仿宋" w:cs="仿宋"/>
                <w:sz w:val="24"/>
              </w:rPr>
            </w:pPr>
            <w:r>
              <w:rPr>
                <w:rFonts w:ascii="仿宋" w:eastAsia="仿宋" w:hAnsi="仿宋" w:cs="仿宋" w:hint="eastAsia"/>
                <w:sz w:val="24"/>
              </w:rPr>
              <w:t>货物劳务税处</w:t>
            </w:r>
          </w:p>
        </w:tc>
        <w:tc>
          <w:tcPr>
            <w:tcW w:w="1476" w:type="dxa"/>
            <w:vMerge w:val="restart"/>
            <w:vAlign w:val="center"/>
          </w:tcPr>
          <w:p w:rsidR="00013EC7" w:rsidRDefault="00575CDB">
            <w:pPr>
              <w:rPr>
                <w:rFonts w:ascii="仿宋" w:eastAsia="仿宋" w:hAnsi="仿宋" w:cs="仿宋"/>
                <w:sz w:val="24"/>
              </w:rPr>
            </w:pPr>
            <w:r>
              <w:rPr>
                <w:rFonts w:ascii="仿宋" w:eastAsia="仿宋" w:hAnsi="仿宋" w:cs="仿宋" w:hint="eastAsia"/>
                <w:sz w:val="24"/>
              </w:rPr>
              <w:t>计划提交总局，建议取消该事项</w:t>
            </w:r>
          </w:p>
        </w:tc>
      </w:tr>
      <w:tr w:rsidR="00013EC7">
        <w:trPr>
          <w:trHeight w:val="1154"/>
          <w:jc w:val="center"/>
        </w:trPr>
        <w:tc>
          <w:tcPr>
            <w:tcW w:w="1250" w:type="dxa"/>
            <w:vMerge/>
            <w:textDirection w:val="tbRlV"/>
            <w:vAlign w:val="center"/>
          </w:tcPr>
          <w:p w:rsidR="00013EC7" w:rsidRDefault="00013EC7">
            <w:pPr>
              <w:rPr>
                <w:rFonts w:ascii="仿宋" w:eastAsia="仿宋" w:hAnsi="仿宋" w:cs="仿宋"/>
                <w:sz w:val="24"/>
              </w:rPr>
            </w:pPr>
          </w:p>
        </w:tc>
        <w:tc>
          <w:tcPr>
            <w:tcW w:w="1316" w:type="dxa"/>
            <w:vMerge/>
            <w:vAlign w:val="center"/>
          </w:tcPr>
          <w:p w:rsidR="00013EC7" w:rsidRDefault="00013EC7">
            <w:pPr>
              <w:rPr>
                <w:rFonts w:ascii="仿宋" w:eastAsia="仿宋" w:hAnsi="仿宋" w:cs="仿宋"/>
                <w:sz w:val="24"/>
              </w:rPr>
            </w:pPr>
          </w:p>
        </w:tc>
        <w:tc>
          <w:tcPr>
            <w:tcW w:w="2114" w:type="dxa"/>
            <w:vMerge/>
            <w:vAlign w:val="center"/>
          </w:tcPr>
          <w:p w:rsidR="00013EC7" w:rsidRDefault="00013EC7">
            <w:pPr>
              <w:rPr>
                <w:rFonts w:ascii="仿宋" w:eastAsia="仿宋" w:hAnsi="仿宋" w:cs="仿宋"/>
                <w:sz w:val="24"/>
              </w:rPr>
            </w:pPr>
          </w:p>
        </w:tc>
        <w:tc>
          <w:tcPr>
            <w:tcW w:w="2785" w:type="dxa"/>
            <w:tcBorders>
              <w:top w:val="single" w:sz="4" w:space="0" w:color="auto"/>
            </w:tcBorders>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（二）</w:t>
            </w:r>
            <w:r>
              <w:rPr>
                <w:rFonts w:ascii="仿宋" w:eastAsia="仿宋" w:hAnsi="仿宋" w:cs="仿宋" w:hint="eastAsia"/>
                <w:sz w:val="24"/>
                <w:shd w:val="clear" w:color="FFFFFF" w:fill="D9D9D9"/>
              </w:rPr>
              <w:t>《外出经营活动报告表》</w:t>
            </w:r>
            <w:r>
              <w:rPr>
                <w:rFonts w:ascii="仿宋" w:eastAsia="仿宋" w:hAnsi="仿宋" w:cs="仿宋" w:hint="eastAsia"/>
                <w:sz w:val="24"/>
              </w:rPr>
              <w:t>。</w:t>
            </w:r>
          </w:p>
        </w:tc>
        <w:tc>
          <w:tcPr>
            <w:tcW w:w="1118" w:type="dxa"/>
            <w:vMerge/>
            <w:vAlign w:val="center"/>
          </w:tcPr>
          <w:p w:rsidR="00013EC7" w:rsidRDefault="00013EC7">
            <w:pPr>
              <w:rPr>
                <w:rFonts w:ascii="仿宋" w:eastAsia="仿宋" w:hAnsi="仿宋" w:cs="仿宋"/>
                <w:sz w:val="24"/>
              </w:rPr>
            </w:pPr>
          </w:p>
        </w:tc>
        <w:tc>
          <w:tcPr>
            <w:tcW w:w="2403" w:type="dxa"/>
            <w:vAlign w:val="center"/>
          </w:tcPr>
          <w:p w:rsidR="00013EC7" w:rsidRDefault="00575CDB">
            <w:pPr>
              <w:rPr>
                <w:rFonts w:ascii="仿宋" w:eastAsia="仿宋" w:hAnsi="仿宋" w:cs="仿宋"/>
                <w:sz w:val="24"/>
              </w:rPr>
            </w:pPr>
            <w:r>
              <w:rPr>
                <w:rFonts w:ascii="仿宋" w:eastAsia="仿宋" w:hAnsi="仿宋" w:cs="仿宋" w:hint="eastAsia"/>
                <w:sz w:val="24"/>
              </w:rPr>
              <w:t>（二）《跨区域涉税事项报告表》。</w:t>
            </w:r>
          </w:p>
        </w:tc>
        <w:tc>
          <w:tcPr>
            <w:tcW w:w="1196" w:type="dxa"/>
            <w:vMerge/>
            <w:vAlign w:val="center"/>
          </w:tcPr>
          <w:p w:rsidR="00013EC7" w:rsidRDefault="00013EC7">
            <w:pPr>
              <w:spacing w:line="300" w:lineRule="exact"/>
              <w:rPr>
                <w:rFonts w:ascii="仿宋" w:eastAsia="仿宋" w:hAnsi="仿宋" w:cs="仿宋"/>
                <w:sz w:val="24"/>
              </w:rPr>
            </w:pPr>
          </w:p>
        </w:tc>
        <w:tc>
          <w:tcPr>
            <w:tcW w:w="3318" w:type="dxa"/>
            <w:vMerge/>
            <w:vAlign w:val="center"/>
          </w:tcPr>
          <w:p w:rsidR="00013EC7" w:rsidRDefault="00013EC7">
            <w:pPr>
              <w:spacing w:line="300" w:lineRule="exact"/>
              <w:rPr>
                <w:rFonts w:ascii="仿宋" w:eastAsia="仿宋" w:hAnsi="仿宋" w:cs="仿宋"/>
                <w:sz w:val="24"/>
              </w:rPr>
            </w:pPr>
          </w:p>
        </w:tc>
        <w:tc>
          <w:tcPr>
            <w:tcW w:w="868" w:type="dxa"/>
            <w:vMerge/>
            <w:vAlign w:val="center"/>
          </w:tcPr>
          <w:p w:rsidR="00013EC7" w:rsidRDefault="00013EC7">
            <w:pPr>
              <w:rPr>
                <w:rFonts w:ascii="仿宋" w:eastAsia="仿宋" w:hAnsi="仿宋" w:cs="仿宋"/>
                <w:sz w:val="24"/>
              </w:rPr>
            </w:pPr>
          </w:p>
        </w:tc>
        <w:tc>
          <w:tcPr>
            <w:tcW w:w="1072" w:type="dxa"/>
            <w:vMerge/>
            <w:vAlign w:val="center"/>
          </w:tcPr>
          <w:p w:rsidR="00013EC7" w:rsidRDefault="00013EC7">
            <w:pPr>
              <w:rPr>
                <w:rFonts w:ascii="仿宋" w:eastAsia="仿宋" w:hAnsi="仿宋" w:cs="仿宋"/>
                <w:sz w:val="24"/>
              </w:rPr>
            </w:pPr>
          </w:p>
        </w:tc>
        <w:tc>
          <w:tcPr>
            <w:tcW w:w="709" w:type="dxa"/>
            <w:vMerge/>
            <w:vAlign w:val="center"/>
          </w:tcPr>
          <w:p w:rsidR="00013EC7" w:rsidRDefault="00013EC7">
            <w:pPr>
              <w:rPr>
                <w:rFonts w:ascii="仿宋" w:eastAsia="仿宋" w:hAnsi="仿宋" w:cs="仿宋"/>
                <w:sz w:val="24"/>
              </w:rPr>
            </w:pPr>
          </w:p>
        </w:tc>
        <w:tc>
          <w:tcPr>
            <w:tcW w:w="1079"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1200"/>
          <w:jc w:val="center"/>
        </w:trPr>
        <w:tc>
          <w:tcPr>
            <w:tcW w:w="1250" w:type="dxa"/>
            <w:vMerge/>
            <w:textDirection w:val="tbRlV"/>
            <w:vAlign w:val="center"/>
          </w:tcPr>
          <w:p w:rsidR="00013EC7" w:rsidRDefault="00013EC7">
            <w:pPr>
              <w:rPr>
                <w:rFonts w:ascii="仿宋" w:eastAsia="仿宋" w:hAnsi="仿宋" w:cs="仿宋"/>
                <w:sz w:val="24"/>
              </w:rPr>
            </w:pPr>
          </w:p>
        </w:tc>
        <w:tc>
          <w:tcPr>
            <w:tcW w:w="1316" w:type="dxa"/>
            <w:vMerge/>
            <w:vAlign w:val="center"/>
          </w:tcPr>
          <w:p w:rsidR="00013EC7" w:rsidRDefault="00013EC7">
            <w:pPr>
              <w:rPr>
                <w:rFonts w:ascii="仿宋" w:eastAsia="仿宋" w:hAnsi="仿宋" w:cs="仿宋"/>
                <w:sz w:val="24"/>
              </w:rPr>
            </w:pPr>
          </w:p>
        </w:tc>
        <w:tc>
          <w:tcPr>
            <w:tcW w:w="2114" w:type="dxa"/>
            <w:vMerge/>
            <w:vAlign w:val="center"/>
          </w:tcPr>
          <w:p w:rsidR="00013EC7" w:rsidRDefault="00013EC7">
            <w:pPr>
              <w:rPr>
                <w:rFonts w:ascii="仿宋" w:eastAsia="仿宋" w:hAnsi="仿宋" w:cs="仿宋"/>
                <w:sz w:val="24"/>
              </w:rPr>
            </w:pPr>
          </w:p>
        </w:tc>
        <w:tc>
          <w:tcPr>
            <w:tcW w:w="2785"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（三）经办人身份证明（原件查验）。</w:t>
            </w:r>
          </w:p>
        </w:tc>
        <w:tc>
          <w:tcPr>
            <w:tcW w:w="1118" w:type="dxa"/>
            <w:vMerge/>
            <w:vAlign w:val="center"/>
          </w:tcPr>
          <w:p w:rsidR="00013EC7" w:rsidRDefault="00013EC7">
            <w:pPr>
              <w:rPr>
                <w:rFonts w:ascii="仿宋" w:eastAsia="仿宋" w:hAnsi="仿宋" w:cs="仿宋"/>
                <w:sz w:val="24"/>
              </w:rPr>
            </w:pPr>
          </w:p>
        </w:tc>
        <w:tc>
          <w:tcPr>
            <w:tcW w:w="2403"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（三）经办人身份证明（原件查验）。</w:t>
            </w:r>
          </w:p>
        </w:tc>
        <w:tc>
          <w:tcPr>
            <w:tcW w:w="1196" w:type="dxa"/>
            <w:vMerge/>
            <w:vAlign w:val="center"/>
          </w:tcPr>
          <w:p w:rsidR="00013EC7" w:rsidRDefault="00013EC7">
            <w:pPr>
              <w:rPr>
                <w:rFonts w:ascii="仿宋" w:eastAsia="仿宋" w:hAnsi="仿宋" w:cs="仿宋"/>
                <w:sz w:val="24"/>
              </w:rPr>
            </w:pPr>
          </w:p>
        </w:tc>
        <w:tc>
          <w:tcPr>
            <w:tcW w:w="3318" w:type="dxa"/>
            <w:vMerge/>
            <w:vAlign w:val="center"/>
          </w:tcPr>
          <w:p w:rsidR="00013EC7" w:rsidRDefault="00013EC7">
            <w:pPr>
              <w:spacing w:line="300" w:lineRule="exact"/>
              <w:rPr>
                <w:rFonts w:ascii="仿宋" w:eastAsia="仿宋" w:hAnsi="仿宋" w:cs="仿宋"/>
                <w:sz w:val="24"/>
              </w:rPr>
            </w:pPr>
          </w:p>
        </w:tc>
        <w:tc>
          <w:tcPr>
            <w:tcW w:w="868" w:type="dxa"/>
            <w:vMerge/>
            <w:vAlign w:val="center"/>
          </w:tcPr>
          <w:p w:rsidR="00013EC7" w:rsidRDefault="00013EC7">
            <w:pPr>
              <w:rPr>
                <w:rFonts w:ascii="仿宋" w:eastAsia="仿宋" w:hAnsi="仿宋" w:cs="仿宋"/>
                <w:sz w:val="24"/>
              </w:rPr>
            </w:pPr>
          </w:p>
        </w:tc>
        <w:tc>
          <w:tcPr>
            <w:tcW w:w="1072" w:type="dxa"/>
            <w:vMerge/>
            <w:vAlign w:val="center"/>
          </w:tcPr>
          <w:p w:rsidR="00013EC7" w:rsidRDefault="00013EC7">
            <w:pPr>
              <w:rPr>
                <w:rFonts w:ascii="仿宋" w:eastAsia="仿宋" w:hAnsi="仿宋" w:cs="仿宋"/>
                <w:sz w:val="24"/>
              </w:rPr>
            </w:pPr>
          </w:p>
        </w:tc>
        <w:tc>
          <w:tcPr>
            <w:tcW w:w="709" w:type="dxa"/>
            <w:vMerge/>
            <w:vAlign w:val="center"/>
          </w:tcPr>
          <w:p w:rsidR="00013EC7" w:rsidRDefault="00013EC7">
            <w:pPr>
              <w:rPr>
                <w:rFonts w:ascii="仿宋" w:eastAsia="仿宋" w:hAnsi="仿宋" w:cs="仿宋"/>
                <w:sz w:val="24"/>
              </w:rPr>
            </w:pPr>
          </w:p>
        </w:tc>
        <w:tc>
          <w:tcPr>
            <w:tcW w:w="1079"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986"/>
          <w:jc w:val="center"/>
        </w:trPr>
        <w:tc>
          <w:tcPr>
            <w:tcW w:w="1250" w:type="dxa"/>
            <w:vMerge/>
            <w:tcBorders>
              <w:bottom w:val="single" w:sz="8" w:space="0" w:color="auto"/>
            </w:tcBorders>
            <w:vAlign w:val="center"/>
          </w:tcPr>
          <w:p w:rsidR="00013EC7" w:rsidRDefault="00013EC7">
            <w:pPr>
              <w:rPr>
                <w:rFonts w:ascii="仿宋" w:eastAsia="仿宋" w:hAnsi="仿宋" w:cs="仿宋"/>
                <w:sz w:val="24"/>
              </w:rPr>
            </w:pPr>
          </w:p>
        </w:tc>
        <w:tc>
          <w:tcPr>
            <w:tcW w:w="1316" w:type="dxa"/>
            <w:vMerge/>
            <w:tcBorders>
              <w:bottom w:val="single" w:sz="8" w:space="0" w:color="auto"/>
            </w:tcBorders>
            <w:vAlign w:val="center"/>
          </w:tcPr>
          <w:p w:rsidR="00013EC7" w:rsidRDefault="00013EC7">
            <w:pPr>
              <w:rPr>
                <w:rFonts w:ascii="仿宋" w:eastAsia="仿宋" w:hAnsi="仿宋" w:cs="仿宋"/>
                <w:sz w:val="24"/>
              </w:rPr>
            </w:pPr>
          </w:p>
        </w:tc>
        <w:tc>
          <w:tcPr>
            <w:tcW w:w="2114" w:type="dxa"/>
            <w:vMerge/>
            <w:tcBorders>
              <w:bottom w:val="single" w:sz="8" w:space="0" w:color="auto"/>
            </w:tcBorders>
            <w:vAlign w:val="center"/>
          </w:tcPr>
          <w:p w:rsidR="00013EC7" w:rsidRDefault="00013EC7">
            <w:pPr>
              <w:rPr>
                <w:rFonts w:ascii="仿宋" w:eastAsia="仿宋" w:hAnsi="仿宋" w:cs="仿宋"/>
                <w:sz w:val="24"/>
              </w:rPr>
            </w:pPr>
          </w:p>
        </w:tc>
        <w:tc>
          <w:tcPr>
            <w:tcW w:w="2785" w:type="dxa"/>
            <w:tcBorders>
              <w:bottom w:val="single" w:sz="4" w:space="0" w:color="auto"/>
            </w:tcBorders>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（四）发票专用章印模。</w:t>
            </w:r>
          </w:p>
        </w:tc>
        <w:tc>
          <w:tcPr>
            <w:tcW w:w="1118" w:type="dxa"/>
            <w:vMerge/>
            <w:tcBorders>
              <w:bottom w:val="single" w:sz="8" w:space="0" w:color="auto"/>
            </w:tcBorders>
            <w:vAlign w:val="center"/>
          </w:tcPr>
          <w:p w:rsidR="00013EC7" w:rsidRDefault="00013EC7">
            <w:pPr>
              <w:rPr>
                <w:rFonts w:ascii="仿宋" w:eastAsia="仿宋" w:hAnsi="仿宋" w:cs="仿宋"/>
                <w:sz w:val="24"/>
              </w:rPr>
            </w:pPr>
          </w:p>
        </w:tc>
        <w:tc>
          <w:tcPr>
            <w:tcW w:w="2403" w:type="dxa"/>
            <w:tcBorders>
              <w:bottom w:val="single" w:sz="8" w:space="0" w:color="auto"/>
            </w:tcBorders>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（四）发票专用章印模。</w:t>
            </w:r>
          </w:p>
        </w:tc>
        <w:tc>
          <w:tcPr>
            <w:tcW w:w="1196" w:type="dxa"/>
            <w:vMerge/>
            <w:tcBorders>
              <w:bottom w:val="single" w:sz="8" w:space="0" w:color="auto"/>
            </w:tcBorders>
            <w:vAlign w:val="center"/>
          </w:tcPr>
          <w:p w:rsidR="00013EC7" w:rsidRDefault="00013EC7">
            <w:pPr>
              <w:rPr>
                <w:rFonts w:ascii="仿宋" w:eastAsia="仿宋" w:hAnsi="仿宋" w:cs="仿宋"/>
                <w:sz w:val="24"/>
              </w:rPr>
            </w:pPr>
          </w:p>
        </w:tc>
        <w:tc>
          <w:tcPr>
            <w:tcW w:w="3318" w:type="dxa"/>
            <w:vMerge/>
            <w:tcBorders>
              <w:bottom w:val="single" w:sz="8" w:space="0" w:color="auto"/>
            </w:tcBorders>
            <w:vAlign w:val="center"/>
          </w:tcPr>
          <w:p w:rsidR="00013EC7" w:rsidRDefault="00013EC7">
            <w:pPr>
              <w:spacing w:line="300" w:lineRule="exact"/>
              <w:rPr>
                <w:rFonts w:ascii="仿宋" w:eastAsia="仿宋" w:hAnsi="仿宋" w:cs="仿宋"/>
                <w:sz w:val="24"/>
              </w:rPr>
            </w:pPr>
          </w:p>
        </w:tc>
        <w:tc>
          <w:tcPr>
            <w:tcW w:w="868" w:type="dxa"/>
            <w:vMerge/>
            <w:tcBorders>
              <w:bottom w:val="single" w:sz="8" w:space="0" w:color="auto"/>
            </w:tcBorders>
            <w:vAlign w:val="center"/>
          </w:tcPr>
          <w:p w:rsidR="00013EC7" w:rsidRDefault="00013EC7">
            <w:pPr>
              <w:rPr>
                <w:rFonts w:ascii="仿宋" w:eastAsia="仿宋" w:hAnsi="仿宋" w:cs="仿宋"/>
                <w:sz w:val="24"/>
              </w:rPr>
            </w:pPr>
          </w:p>
        </w:tc>
        <w:tc>
          <w:tcPr>
            <w:tcW w:w="1072" w:type="dxa"/>
            <w:vMerge/>
            <w:tcBorders>
              <w:bottom w:val="single" w:sz="8" w:space="0" w:color="auto"/>
            </w:tcBorders>
            <w:vAlign w:val="center"/>
          </w:tcPr>
          <w:p w:rsidR="00013EC7" w:rsidRDefault="00013EC7">
            <w:pPr>
              <w:rPr>
                <w:rFonts w:ascii="仿宋" w:eastAsia="仿宋" w:hAnsi="仿宋" w:cs="仿宋"/>
                <w:sz w:val="24"/>
              </w:rPr>
            </w:pPr>
          </w:p>
        </w:tc>
        <w:tc>
          <w:tcPr>
            <w:tcW w:w="709" w:type="dxa"/>
            <w:vMerge/>
            <w:tcBorders>
              <w:bottom w:val="single" w:sz="8" w:space="0" w:color="auto"/>
            </w:tcBorders>
            <w:vAlign w:val="center"/>
          </w:tcPr>
          <w:p w:rsidR="00013EC7" w:rsidRDefault="00013EC7">
            <w:pPr>
              <w:rPr>
                <w:rFonts w:ascii="仿宋" w:eastAsia="仿宋" w:hAnsi="仿宋" w:cs="仿宋"/>
                <w:sz w:val="24"/>
              </w:rPr>
            </w:pPr>
          </w:p>
        </w:tc>
        <w:tc>
          <w:tcPr>
            <w:tcW w:w="1079" w:type="dxa"/>
            <w:vMerge/>
            <w:tcBorders>
              <w:bottom w:val="single" w:sz="8" w:space="0" w:color="auto"/>
            </w:tcBorders>
            <w:vAlign w:val="center"/>
          </w:tcPr>
          <w:p w:rsidR="00013EC7" w:rsidRDefault="00013EC7">
            <w:pPr>
              <w:rPr>
                <w:rFonts w:ascii="仿宋" w:eastAsia="仿宋" w:hAnsi="仿宋" w:cs="仿宋"/>
                <w:sz w:val="24"/>
              </w:rPr>
            </w:pPr>
          </w:p>
        </w:tc>
        <w:tc>
          <w:tcPr>
            <w:tcW w:w="1476" w:type="dxa"/>
            <w:vMerge/>
            <w:tcBorders>
              <w:bottom w:val="single" w:sz="8" w:space="0" w:color="auto"/>
            </w:tcBorders>
            <w:vAlign w:val="center"/>
          </w:tcPr>
          <w:p w:rsidR="00013EC7" w:rsidRDefault="00013EC7">
            <w:pPr>
              <w:rPr>
                <w:rFonts w:ascii="仿宋" w:eastAsia="仿宋" w:hAnsi="仿宋" w:cs="仿宋"/>
                <w:sz w:val="24"/>
              </w:rPr>
            </w:pPr>
          </w:p>
        </w:tc>
      </w:tr>
    </w:tbl>
    <w:p w:rsidR="00013EC7" w:rsidRDefault="00013EC7">
      <w:pPr>
        <w:rPr>
          <w:rFonts w:eastAsia="方正书宋简体"/>
          <w:sz w:val="24"/>
        </w:rPr>
      </w:pPr>
    </w:p>
    <w:p w:rsidR="00013EC7" w:rsidRDefault="00013EC7">
      <w:pPr>
        <w:rPr>
          <w:rFonts w:eastAsia="方正书宋简体"/>
          <w:sz w:val="24"/>
        </w:rPr>
      </w:pPr>
    </w:p>
    <w:p w:rsidR="00013EC7" w:rsidRDefault="00013EC7">
      <w:pPr>
        <w:rPr>
          <w:rFonts w:eastAsia="方正书宋简体"/>
          <w:sz w:val="24"/>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jc w:val="center"/>
        <w:rPr>
          <w:rFonts w:eastAsia="方正书宋简体"/>
          <w:szCs w:val="21"/>
        </w:rPr>
      </w:pPr>
    </w:p>
    <w:p w:rsidR="00013EC7" w:rsidRDefault="00575CDB">
      <w:pPr>
        <w:rPr>
          <w:rFonts w:eastAsia="方正书宋简体"/>
          <w:szCs w:val="21"/>
        </w:rPr>
      </w:pPr>
      <w:r>
        <w:object w:dxaOrig="8797" w:dyaOrig="11164">
          <v:shape id="_x0000_i1729" type="#_x0000_t75" style="width:440.3pt;height:558.2pt" o:ole="">
            <v:imagedata r:id="rId132" o:title=""/>
          </v:shape>
          <o:OLEObject Type="Embed" ProgID="Visio.Drawing.11" ShapeID="_x0000_i1729" DrawAspect="Content" ObjectID="_1577296115" r:id="rId133"/>
        </w:object>
      </w: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575CDB">
      <w:pPr>
        <w:pStyle w:val="1"/>
        <w:spacing w:before="0" w:after="0" w:line="240" w:lineRule="auto"/>
        <w:rPr>
          <w:rFonts w:ascii="宋体" w:hAnsi="宋体"/>
          <w:b/>
          <w:szCs w:val="28"/>
        </w:rPr>
        <w:sectPr w:rsidR="00013EC7">
          <w:pgSz w:w="23814" w:h="16840" w:orient="landscape"/>
          <w:pgMar w:top="1701" w:right="1843" w:bottom="1985" w:left="1843" w:header="851" w:footer="1701" w:gutter="0"/>
          <w:pgNumType w:fmt="numberInDash"/>
          <w:cols w:space="720"/>
          <w:docGrid w:type="lines" w:linePitch="312"/>
        </w:sectPr>
      </w:pPr>
      <w:r>
        <w:rPr>
          <w:rFonts w:ascii="宋体" w:hAnsi="宋体" w:hint="eastAsia"/>
          <w:b/>
          <w:szCs w:val="28"/>
        </w:rPr>
        <w:br w:type="page"/>
      </w:r>
      <w:bookmarkStart w:id="195" w:name="_Toc498705712"/>
      <w:bookmarkStart w:id="196" w:name="_Toc498705728"/>
    </w:p>
    <w:p w:rsidR="00013EC7" w:rsidRDefault="00575CDB">
      <w:pPr>
        <w:pStyle w:val="2"/>
      </w:pPr>
      <w:bookmarkStart w:id="197" w:name="_Toc32001"/>
      <w:bookmarkStart w:id="198" w:name="_Toc503467400"/>
      <w:bookmarkStart w:id="199" w:name="_Toc2217"/>
      <w:bookmarkStart w:id="200" w:name="_Toc25853"/>
      <w:r>
        <w:rPr>
          <w:rFonts w:hint="eastAsia"/>
        </w:rPr>
        <w:lastRenderedPageBreak/>
        <w:t>12.4</w:t>
      </w:r>
      <w:r>
        <w:rPr>
          <w:rFonts w:hint="eastAsia"/>
        </w:rPr>
        <w:t>增值税税控系统专用设备发行及变更</w:t>
      </w:r>
      <w:bookmarkEnd w:id="195"/>
      <w:bookmarkEnd w:id="197"/>
      <w:bookmarkEnd w:id="198"/>
      <w:bookmarkEnd w:id="199"/>
      <w:bookmarkEnd w:id="200"/>
    </w:p>
    <w:p w:rsidR="00013EC7" w:rsidRDefault="00575CDB">
      <w:pPr>
        <w:jc w:val="center"/>
        <w:rPr>
          <w:rFonts w:ascii="宋体" w:hAnsi="宋体" w:cs="宋体"/>
          <w:b/>
          <w:bCs/>
          <w:sz w:val="52"/>
          <w:szCs w:val="52"/>
        </w:rPr>
      </w:pPr>
      <w:r>
        <w:rPr>
          <w:rFonts w:ascii="宋体" w:hAnsi="宋体" w:cs="宋体" w:hint="eastAsia"/>
          <w:b/>
          <w:bCs/>
          <w:sz w:val="52"/>
          <w:szCs w:val="52"/>
        </w:rPr>
        <w:t>全省“最多跑一次”事项“八统一”梳理表</w:t>
      </w:r>
    </w:p>
    <w:tbl>
      <w:tblPr>
        <w:tblW w:w="20559"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1250"/>
        <w:gridCol w:w="1316"/>
        <w:gridCol w:w="3109"/>
        <w:gridCol w:w="1790"/>
        <w:gridCol w:w="1612"/>
        <w:gridCol w:w="1909"/>
        <w:gridCol w:w="1196"/>
        <w:gridCol w:w="3318"/>
        <w:gridCol w:w="868"/>
        <w:gridCol w:w="930"/>
        <w:gridCol w:w="993"/>
        <w:gridCol w:w="1134"/>
        <w:gridCol w:w="1134"/>
      </w:tblGrid>
      <w:tr w:rsidR="00013EC7">
        <w:trPr>
          <w:trHeight w:val="340"/>
          <w:tblHeader/>
          <w:jc w:val="center"/>
        </w:trPr>
        <w:tc>
          <w:tcPr>
            <w:tcW w:w="1250"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主项名称</w:t>
            </w:r>
          </w:p>
        </w:tc>
        <w:tc>
          <w:tcPr>
            <w:tcW w:w="1316"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子项名称</w:t>
            </w:r>
          </w:p>
        </w:tc>
        <w:tc>
          <w:tcPr>
            <w:tcW w:w="3109"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经办依据</w:t>
            </w:r>
          </w:p>
        </w:tc>
        <w:tc>
          <w:tcPr>
            <w:tcW w:w="3402"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原经办所需材料</w:t>
            </w:r>
          </w:p>
        </w:tc>
        <w:tc>
          <w:tcPr>
            <w:tcW w:w="6423" w:type="dxa"/>
            <w:gridSpan w:val="3"/>
            <w:vAlign w:val="center"/>
          </w:tcPr>
          <w:p w:rsidR="00013EC7" w:rsidRDefault="00575CDB">
            <w:pPr>
              <w:spacing w:line="280" w:lineRule="exact"/>
              <w:jc w:val="center"/>
              <w:rPr>
                <w:rFonts w:ascii="黑体" w:eastAsia="黑体"/>
                <w:sz w:val="24"/>
              </w:rPr>
            </w:pPr>
            <w:r>
              <w:rPr>
                <w:rFonts w:ascii="黑体" w:eastAsia="黑体" w:hint="eastAsia"/>
                <w:sz w:val="24"/>
              </w:rPr>
              <w:t>梳理后经办所需材料</w:t>
            </w:r>
          </w:p>
        </w:tc>
        <w:tc>
          <w:tcPr>
            <w:tcW w:w="1798"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办理时限</w:t>
            </w:r>
          </w:p>
        </w:tc>
        <w:tc>
          <w:tcPr>
            <w:tcW w:w="993"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是否实现跑零次</w:t>
            </w:r>
          </w:p>
        </w:tc>
        <w:tc>
          <w:tcPr>
            <w:tcW w:w="1134"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省厅对口</w:t>
            </w:r>
          </w:p>
          <w:p w:rsidR="00013EC7" w:rsidRDefault="00575CDB">
            <w:pPr>
              <w:spacing w:line="280" w:lineRule="exact"/>
              <w:jc w:val="center"/>
              <w:rPr>
                <w:rFonts w:ascii="黑体" w:eastAsia="黑体"/>
                <w:sz w:val="24"/>
              </w:rPr>
            </w:pPr>
            <w:r>
              <w:rPr>
                <w:rFonts w:ascii="黑体" w:eastAsia="黑体" w:hint="eastAsia"/>
                <w:sz w:val="24"/>
              </w:rPr>
              <w:t>指导处室</w:t>
            </w:r>
          </w:p>
          <w:p w:rsidR="00013EC7" w:rsidRDefault="00575CDB">
            <w:pPr>
              <w:spacing w:line="280" w:lineRule="exact"/>
              <w:jc w:val="center"/>
              <w:rPr>
                <w:rFonts w:ascii="黑体" w:eastAsia="黑体"/>
                <w:sz w:val="24"/>
              </w:rPr>
            </w:pPr>
            <w:r>
              <w:rPr>
                <w:rFonts w:ascii="黑体" w:eastAsia="黑体" w:hint="eastAsia"/>
                <w:sz w:val="24"/>
              </w:rPr>
              <w:t>（单位）</w:t>
            </w:r>
          </w:p>
        </w:tc>
        <w:tc>
          <w:tcPr>
            <w:tcW w:w="1134"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进一步精简、规范建议</w:t>
            </w:r>
          </w:p>
        </w:tc>
      </w:tr>
      <w:tr w:rsidR="00013EC7">
        <w:trPr>
          <w:trHeight w:val="340"/>
          <w:tblHeader/>
          <w:jc w:val="center"/>
        </w:trPr>
        <w:tc>
          <w:tcPr>
            <w:tcW w:w="1250" w:type="dxa"/>
            <w:vMerge/>
            <w:vAlign w:val="center"/>
          </w:tcPr>
          <w:p w:rsidR="00013EC7" w:rsidRDefault="00013EC7">
            <w:pPr>
              <w:rPr>
                <w:sz w:val="24"/>
              </w:rPr>
            </w:pPr>
          </w:p>
        </w:tc>
        <w:tc>
          <w:tcPr>
            <w:tcW w:w="1316" w:type="dxa"/>
            <w:vMerge/>
          </w:tcPr>
          <w:p w:rsidR="00013EC7" w:rsidRDefault="00013EC7">
            <w:pPr>
              <w:rPr>
                <w:sz w:val="24"/>
              </w:rPr>
            </w:pPr>
          </w:p>
        </w:tc>
        <w:tc>
          <w:tcPr>
            <w:tcW w:w="3109" w:type="dxa"/>
            <w:vMerge/>
          </w:tcPr>
          <w:p w:rsidR="00013EC7" w:rsidRDefault="00013EC7">
            <w:pPr>
              <w:rPr>
                <w:sz w:val="24"/>
              </w:rPr>
            </w:pPr>
          </w:p>
        </w:tc>
        <w:tc>
          <w:tcPr>
            <w:tcW w:w="1790" w:type="dxa"/>
            <w:tcBorders>
              <w:bottom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612"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1909" w:type="dxa"/>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196"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3318" w:type="dxa"/>
            <w:vAlign w:val="center"/>
          </w:tcPr>
          <w:p w:rsidR="00013EC7" w:rsidRDefault="00575CDB">
            <w:pPr>
              <w:spacing w:line="280" w:lineRule="exact"/>
              <w:jc w:val="center"/>
              <w:rPr>
                <w:rFonts w:ascii="黑体" w:eastAsia="黑体"/>
                <w:sz w:val="24"/>
              </w:rPr>
            </w:pPr>
            <w:r>
              <w:rPr>
                <w:rFonts w:ascii="黑体" w:eastAsia="黑体" w:hint="eastAsia"/>
                <w:sz w:val="24"/>
              </w:rPr>
              <w:t>办理方式及材料</w:t>
            </w:r>
          </w:p>
          <w:p w:rsidR="00013EC7" w:rsidRDefault="00575CDB">
            <w:pPr>
              <w:spacing w:line="280" w:lineRule="exact"/>
              <w:jc w:val="center"/>
              <w:rPr>
                <w:rFonts w:ascii="黑体" w:eastAsia="黑体"/>
                <w:sz w:val="24"/>
              </w:rPr>
            </w:pPr>
            <w:r>
              <w:rPr>
                <w:rFonts w:ascii="黑体" w:eastAsia="黑体" w:hint="eastAsia"/>
                <w:sz w:val="24"/>
              </w:rPr>
              <w:t>信息获取方式说明</w:t>
            </w:r>
          </w:p>
        </w:tc>
        <w:tc>
          <w:tcPr>
            <w:tcW w:w="868" w:type="dxa"/>
            <w:vAlign w:val="center"/>
          </w:tcPr>
          <w:p w:rsidR="00013EC7" w:rsidRDefault="00575CDB">
            <w:pPr>
              <w:spacing w:line="280" w:lineRule="exact"/>
              <w:jc w:val="center"/>
              <w:rPr>
                <w:rFonts w:ascii="黑体" w:eastAsia="黑体"/>
                <w:sz w:val="24"/>
              </w:rPr>
            </w:pPr>
            <w:r>
              <w:rPr>
                <w:rFonts w:ascii="黑体" w:eastAsia="黑体" w:hint="eastAsia"/>
                <w:sz w:val="24"/>
              </w:rPr>
              <w:t>优化前</w:t>
            </w:r>
          </w:p>
        </w:tc>
        <w:tc>
          <w:tcPr>
            <w:tcW w:w="930" w:type="dxa"/>
            <w:vAlign w:val="center"/>
          </w:tcPr>
          <w:p w:rsidR="00013EC7" w:rsidRDefault="00575CDB">
            <w:pPr>
              <w:spacing w:line="280" w:lineRule="exact"/>
              <w:jc w:val="center"/>
              <w:rPr>
                <w:rFonts w:ascii="黑体" w:eastAsia="黑体"/>
                <w:sz w:val="24"/>
              </w:rPr>
            </w:pPr>
            <w:r>
              <w:rPr>
                <w:rFonts w:ascii="黑体" w:eastAsia="黑体" w:hint="eastAsia"/>
                <w:sz w:val="24"/>
              </w:rPr>
              <w:t>优化后</w:t>
            </w:r>
          </w:p>
        </w:tc>
        <w:tc>
          <w:tcPr>
            <w:tcW w:w="993" w:type="dxa"/>
            <w:vMerge/>
            <w:vAlign w:val="center"/>
          </w:tcPr>
          <w:p w:rsidR="00013EC7" w:rsidRDefault="00013EC7">
            <w:pPr>
              <w:rPr>
                <w:sz w:val="24"/>
              </w:rPr>
            </w:pPr>
          </w:p>
        </w:tc>
        <w:tc>
          <w:tcPr>
            <w:tcW w:w="1134" w:type="dxa"/>
            <w:vMerge/>
            <w:vAlign w:val="center"/>
          </w:tcPr>
          <w:p w:rsidR="00013EC7" w:rsidRDefault="00013EC7">
            <w:pPr>
              <w:rPr>
                <w:sz w:val="24"/>
              </w:rPr>
            </w:pPr>
          </w:p>
        </w:tc>
        <w:tc>
          <w:tcPr>
            <w:tcW w:w="1134" w:type="dxa"/>
            <w:vMerge/>
            <w:vAlign w:val="center"/>
          </w:tcPr>
          <w:p w:rsidR="00013EC7" w:rsidRDefault="00013EC7">
            <w:pPr>
              <w:rPr>
                <w:sz w:val="24"/>
              </w:rPr>
            </w:pPr>
          </w:p>
        </w:tc>
      </w:tr>
      <w:tr w:rsidR="00013EC7">
        <w:trPr>
          <w:trHeight w:val="1475"/>
          <w:jc w:val="center"/>
        </w:trPr>
        <w:tc>
          <w:tcPr>
            <w:tcW w:w="1250"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12发票领用</w:t>
            </w:r>
          </w:p>
        </w:tc>
        <w:tc>
          <w:tcPr>
            <w:tcW w:w="1316" w:type="dxa"/>
            <w:vAlign w:val="center"/>
          </w:tcPr>
          <w:p w:rsidR="00013EC7" w:rsidRDefault="00575CDB">
            <w:pPr>
              <w:spacing w:line="310" w:lineRule="exact"/>
              <w:jc w:val="left"/>
              <w:rPr>
                <w:rFonts w:ascii="仿宋" w:eastAsia="仿宋" w:hAnsi="仿宋" w:cs="仿宋"/>
                <w:sz w:val="24"/>
              </w:rPr>
            </w:pPr>
            <w:r>
              <w:rPr>
                <w:rFonts w:ascii="仿宋" w:eastAsia="仿宋" w:hAnsi="仿宋" w:cs="仿宋" w:hint="eastAsia"/>
                <w:sz w:val="24"/>
              </w:rPr>
              <w:t>12.4增值税税控系统专用设备发行及变更</w:t>
            </w:r>
          </w:p>
        </w:tc>
        <w:tc>
          <w:tcPr>
            <w:tcW w:w="3109" w:type="dxa"/>
            <w:vAlign w:val="center"/>
          </w:tcPr>
          <w:p w:rsidR="00013EC7" w:rsidRDefault="00575CDB">
            <w:pPr>
              <w:spacing w:line="310" w:lineRule="exact"/>
              <w:jc w:val="left"/>
              <w:rPr>
                <w:rFonts w:ascii="仿宋" w:eastAsia="仿宋" w:hAnsi="仿宋" w:cs="仿宋"/>
                <w:sz w:val="24"/>
              </w:rPr>
            </w:pPr>
            <w:r>
              <w:rPr>
                <w:rFonts w:ascii="仿宋" w:eastAsia="仿宋" w:hAnsi="仿宋" w:cs="仿宋" w:hint="eastAsia"/>
                <w:sz w:val="24"/>
              </w:rPr>
              <w:t>（一）《中华人民共和国税收征收管理法》第二十三条。</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（二）《中华人民共和国税收征收管理法实施细则》第二十八条。</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（三）《国家税务总局关于修订&lt;增值税专用发票使用规定&gt;的通知》（国税发〔2006〕156号）第三条、第六条、第八条第三款。</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（四）《国家税务总局关于全面推开营业税改征增值税试点有关税收征收管理事项的公告》（国家税务总局公告2016年第23号）第三条、第四条。</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（五）《国家税务总局关于全面推行增值税发票系统升级版有关问题的公告》（国家税务总局公告2015年第19号）全文。</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（六）《国家税务总局关于做好增值税电子普通发票推行所需税控设备管理工作的通知》（税总函〔2017〕232号 ）全文。</w:t>
            </w:r>
          </w:p>
        </w:tc>
        <w:tc>
          <w:tcPr>
            <w:tcW w:w="1790" w:type="dxa"/>
            <w:tcBorders>
              <w:top w:val="single" w:sz="4" w:space="0" w:color="auto"/>
              <w:bottom w:val="single" w:sz="4" w:space="0" w:color="auto"/>
            </w:tcBorders>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（一）金税盘（税控盘）、报税盘。</w:t>
            </w:r>
          </w:p>
        </w:tc>
        <w:tc>
          <w:tcPr>
            <w:tcW w:w="1612"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纳税人提交</w:t>
            </w:r>
          </w:p>
        </w:tc>
        <w:tc>
          <w:tcPr>
            <w:tcW w:w="1909"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（一）金税盘（税控盘）、报税盘。</w:t>
            </w:r>
          </w:p>
        </w:tc>
        <w:tc>
          <w:tcPr>
            <w:tcW w:w="1196"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纳税人提交</w:t>
            </w:r>
          </w:p>
        </w:tc>
        <w:tc>
          <w:tcPr>
            <w:tcW w:w="3318"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税务机关依据纳税人的申请，在增值税税控系统中将相关信息载入金税盘（税控盘）。</w:t>
            </w:r>
          </w:p>
          <w:p w:rsidR="00013EC7" w:rsidRDefault="00575CDB">
            <w:pPr>
              <w:spacing w:line="300" w:lineRule="exact"/>
              <w:jc w:val="left"/>
              <w:rPr>
                <w:rFonts w:ascii="仿宋" w:eastAsia="仿宋" w:hAnsi="仿宋" w:cs="仿宋"/>
                <w:b/>
                <w:sz w:val="24"/>
              </w:rPr>
            </w:pPr>
            <w:r>
              <w:rPr>
                <w:rFonts w:ascii="仿宋" w:eastAsia="仿宋" w:hAnsi="仿宋" w:cs="仿宋" w:hint="eastAsia"/>
                <w:b/>
                <w:sz w:val="24"/>
              </w:rPr>
              <w:t>网上办理：</w:t>
            </w:r>
            <w:r>
              <w:rPr>
                <w:rFonts w:ascii="仿宋" w:eastAsia="仿宋" w:hAnsi="仿宋" w:cs="仿宋" w:hint="eastAsia"/>
                <w:sz w:val="24"/>
              </w:rPr>
              <w:t>登录浙江国税电子税务局（网址：http://etax.zjtax.gov.cn/）</w:t>
            </w:r>
          </w:p>
          <w:p w:rsidR="00013EC7" w:rsidRDefault="00013EC7">
            <w:pPr>
              <w:spacing w:line="300" w:lineRule="exact"/>
              <w:jc w:val="left"/>
              <w:rPr>
                <w:rFonts w:ascii="仿宋" w:eastAsia="仿宋" w:hAnsi="仿宋" w:cs="仿宋"/>
                <w:sz w:val="24"/>
              </w:rPr>
            </w:pPr>
          </w:p>
        </w:tc>
        <w:tc>
          <w:tcPr>
            <w:tcW w:w="868" w:type="dxa"/>
            <w:vAlign w:val="center"/>
          </w:tcPr>
          <w:p w:rsidR="00013EC7" w:rsidRDefault="00575CDB">
            <w:pPr>
              <w:jc w:val="left"/>
              <w:rPr>
                <w:rFonts w:ascii="仿宋" w:eastAsia="仿宋" w:hAnsi="仿宋" w:cs="仿宋"/>
                <w:sz w:val="24"/>
              </w:rPr>
            </w:pPr>
            <w:r>
              <w:rPr>
                <w:rFonts w:ascii="仿宋" w:eastAsia="仿宋" w:hAnsi="仿宋" w:cs="仿宋" w:hint="eastAsia"/>
                <w:sz w:val="24"/>
              </w:rPr>
              <w:t>即时办结</w:t>
            </w:r>
          </w:p>
        </w:tc>
        <w:tc>
          <w:tcPr>
            <w:tcW w:w="930" w:type="dxa"/>
            <w:vAlign w:val="center"/>
          </w:tcPr>
          <w:p w:rsidR="00013EC7" w:rsidRDefault="00575CDB">
            <w:pPr>
              <w:jc w:val="left"/>
              <w:rPr>
                <w:rFonts w:ascii="仿宋" w:eastAsia="仿宋" w:hAnsi="仿宋" w:cs="仿宋"/>
                <w:sz w:val="24"/>
              </w:rPr>
            </w:pPr>
            <w:r>
              <w:rPr>
                <w:rFonts w:ascii="仿宋" w:eastAsia="仿宋" w:hAnsi="仿宋" w:cs="仿宋" w:hint="eastAsia"/>
                <w:sz w:val="24"/>
              </w:rPr>
              <w:t>即时办结</w:t>
            </w:r>
          </w:p>
        </w:tc>
        <w:tc>
          <w:tcPr>
            <w:tcW w:w="993" w:type="dxa"/>
            <w:vAlign w:val="center"/>
          </w:tcPr>
          <w:p w:rsidR="00013EC7" w:rsidRDefault="00575CDB">
            <w:pPr>
              <w:jc w:val="left"/>
              <w:rPr>
                <w:rFonts w:ascii="仿宋" w:eastAsia="仿宋" w:hAnsi="仿宋" w:cs="仿宋"/>
                <w:sz w:val="24"/>
              </w:rPr>
            </w:pPr>
            <w:r>
              <w:rPr>
                <w:rFonts w:ascii="仿宋" w:eastAsia="仿宋" w:hAnsi="仿宋" w:cs="仿宋" w:hint="eastAsia"/>
                <w:sz w:val="24"/>
              </w:rPr>
              <w:t>否</w:t>
            </w:r>
          </w:p>
        </w:tc>
        <w:tc>
          <w:tcPr>
            <w:tcW w:w="1134" w:type="dxa"/>
            <w:vAlign w:val="center"/>
          </w:tcPr>
          <w:p w:rsidR="00013EC7" w:rsidRDefault="00575CDB">
            <w:pPr>
              <w:jc w:val="left"/>
              <w:rPr>
                <w:rFonts w:ascii="仿宋" w:eastAsia="仿宋" w:hAnsi="仿宋" w:cs="仿宋"/>
                <w:sz w:val="24"/>
              </w:rPr>
            </w:pPr>
            <w:r>
              <w:rPr>
                <w:rFonts w:ascii="仿宋" w:eastAsia="仿宋" w:hAnsi="仿宋" w:cs="仿宋" w:hint="eastAsia"/>
                <w:sz w:val="24"/>
              </w:rPr>
              <w:t>货物和劳务税处</w:t>
            </w:r>
          </w:p>
        </w:tc>
        <w:tc>
          <w:tcPr>
            <w:tcW w:w="1134" w:type="dxa"/>
            <w:vAlign w:val="center"/>
          </w:tcPr>
          <w:p w:rsidR="00013EC7" w:rsidRDefault="00013EC7">
            <w:pPr>
              <w:spacing w:line="300" w:lineRule="exact"/>
              <w:jc w:val="left"/>
              <w:rPr>
                <w:rFonts w:ascii="仿宋" w:eastAsia="仿宋" w:hAnsi="仿宋" w:cs="仿宋"/>
                <w:sz w:val="24"/>
              </w:rPr>
            </w:pPr>
          </w:p>
        </w:tc>
      </w:tr>
    </w:tbl>
    <w:p w:rsidR="00013EC7" w:rsidRDefault="00013EC7"/>
    <w:p w:rsidR="00013EC7" w:rsidRDefault="00013EC7"/>
    <w:p w:rsidR="00013EC7" w:rsidRDefault="00013EC7"/>
    <w:p w:rsidR="00013EC7" w:rsidRDefault="00013EC7"/>
    <w:p w:rsidR="00013EC7" w:rsidRDefault="00013EC7"/>
    <w:p w:rsidR="00013EC7" w:rsidRDefault="005262E6">
      <w:r>
        <w:lastRenderedPageBreak/>
        <w:object w:dxaOrig="1440" w:dyaOrig="1440">
          <v:shape id="对象 212" o:spid="_x0000_s1290" type="#_x0000_t75" alt="2111217721508729125585" style="position:absolute;left:0;text-align:left;margin-left:38.7pt;margin-top:77.65pt;width:455.95pt;height:593.7pt;z-index:251628544;mso-wrap-distance-top:0;mso-wrap-distance-bottom:0;mso-position-vertical-relative:page;mso-width-relative:page;mso-height-relative:page">
            <v:imagedata r:id="rId134" o:title="2111217721508729125585"/>
            <w10:wrap type="topAndBottom" anchory="page"/>
          </v:shape>
          <o:OLEObject Type="Embed" ProgID="Visio.Drawing.11" ShapeID="对象 212" DrawAspect="Content" ObjectID="_1577296197" r:id="rId135"/>
        </w:object>
      </w:r>
      <w:r>
        <w:object w:dxaOrig="1440" w:dyaOrig="1440">
          <v:shape id="_x0000_s1283" type="#_x0000_t75" alt="2111217721508729125585" style="position:absolute;left:0;text-align:left;margin-left:613.55pt;margin-top:81.8pt;width:432.65pt;height:600.25pt;z-index:251622400;mso-wrap-distance-top:0;mso-wrap-distance-bottom:0;mso-position-vertical-relative:page;mso-width-relative:page;mso-height-relative:page">
            <v:imagedata r:id="rId136" o:title="2111217721508729125585"/>
            <w10:wrap type="topAndBottom" anchory="page"/>
          </v:shape>
          <o:OLEObject Type="Embed" ProgID="Visio.Drawing.11" ShapeID="_x0000_s1283" DrawAspect="Content" ObjectID="_1577296198" r:id="rId137"/>
        </w:object>
      </w:r>
    </w:p>
    <w:p w:rsidR="00013EC7" w:rsidRDefault="00013EC7">
      <w:pPr>
        <w:pStyle w:val="1"/>
        <w:spacing w:before="0" w:after="0" w:line="240" w:lineRule="auto"/>
        <w:rPr>
          <w:rFonts w:ascii="宋体" w:hAnsi="宋体"/>
          <w:szCs w:val="28"/>
        </w:rPr>
        <w:sectPr w:rsidR="00013EC7">
          <w:pgSz w:w="23814" w:h="16840" w:orient="landscape"/>
          <w:pgMar w:top="1701" w:right="1843" w:bottom="1985" w:left="1843" w:header="851" w:footer="1701" w:gutter="0"/>
          <w:pgNumType w:fmt="numberInDash"/>
          <w:cols w:space="720"/>
          <w:docGrid w:type="lines" w:linePitch="312"/>
        </w:sectPr>
      </w:pPr>
      <w:bookmarkStart w:id="201" w:name="_Toc498705713"/>
    </w:p>
    <w:p w:rsidR="00013EC7" w:rsidRDefault="00575CDB">
      <w:pPr>
        <w:pStyle w:val="2"/>
      </w:pPr>
      <w:bookmarkStart w:id="202" w:name="_Toc10958"/>
      <w:bookmarkStart w:id="203" w:name="_Toc15417"/>
      <w:bookmarkStart w:id="204" w:name="_Toc28812"/>
      <w:bookmarkStart w:id="205" w:name="_Toc503467401"/>
      <w:r>
        <w:rPr>
          <w:rFonts w:hint="eastAsia"/>
        </w:rPr>
        <w:lastRenderedPageBreak/>
        <w:t>12.5</w:t>
      </w:r>
      <w:r>
        <w:rPr>
          <w:rFonts w:hint="eastAsia"/>
        </w:rPr>
        <w:t>增值税税控系统专用设备注销发行</w:t>
      </w:r>
      <w:bookmarkEnd w:id="201"/>
      <w:bookmarkEnd w:id="202"/>
      <w:bookmarkEnd w:id="203"/>
      <w:bookmarkEnd w:id="204"/>
      <w:bookmarkEnd w:id="205"/>
    </w:p>
    <w:p w:rsidR="00013EC7" w:rsidRDefault="00575CDB">
      <w:pPr>
        <w:jc w:val="center"/>
        <w:rPr>
          <w:rFonts w:ascii="宋体" w:hAnsi="宋体" w:cs="宋体"/>
          <w:b/>
          <w:bCs/>
          <w:sz w:val="52"/>
          <w:szCs w:val="52"/>
        </w:rPr>
      </w:pPr>
      <w:r>
        <w:rPr>
          <w:rFonts w:ascii="宋体" w:hAnsi="宋体" w:cs="宋体" w:hint="eastAsia"/>
          <w:b/>
          <w:bCs/>
          <w:sz w:val="52"/>
          <w:szCs w:val="52"/>
        </w:rPr>
        <w:t>全省“最多跑一次”事项“八统一”梳理表</w:t>
      </w:r>
    </w:p>
    <w:tbl>
      <w:tblPr>
        <w:tblW w:w="20704"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1250"/>
        <w:gridCol w:w="1316"/>
        <w:gridCol w:w="2967"/>
        <w:gridCol w:w="1932"/>
        <w:gridCol w:w="1470"/>
        <w:gridCol w:w="2051"/>
        <w:gridCol w:w="1351"/>
        <w:gridCol w:w="3163"/>
        <w:gridCol w:w="868"/>
        <w:gridCol w:w="930"/>
        <w:gridCol w:w="993"/>
        <w:gridCol w:w="1134"/>
        <w:gridCol w:w="1279"/>
      </w:tblGrid>
      <w:tr w:rsidR="00013EC7">
        <w:trPr>
          <w:trHeight w:val="340"/>
          <w:tblHeader/>
          <w:jc w:val="center"/>
        </w:trPr>
        <w:tc>
          <w:tcPr>
            <w:tcW w:w="1250"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主项名称</w:t>
            </w:r>
          </w:p>
        </w:tc>
        <w:tc>
          <w:tcPr>
            <w:tcW w:w="1316"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子项名称</w:t>
            </w:r>
          </w:p>
        </w:tc>
        <w:tc>
          <w:tcPr>
            <w:tcW w:w="2967"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经办依据</w:t>
            </w:r>
          </w:p>
        </w:tc>
        <w:tc>
          <w:tcPr>
            <w:tcW w:w="3402"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原经办所需材料</w:t>
            </w:r>
          </w:p>
        </w:tc>
        <w:tc>
          <w:tcPr>
            <w:tcW w:w="6565" w:type="dxa"/>
            <w:gridSpan w:val="3"/>
            <w:vAlign w:val="center"/>
          </w:tcPr>
          <w:p w:rsidR="00013EC7" w:rsidRDefault="00575CDB">
            <w:pPr>
              <w:spacing w:line="280" w:lineRule="exact"/>
              <w:jc w:val="center"/>
              <w:rPr>
                <w:rFonts w:ascii="黑体" w:eastAsia="黑体"/>
                <w:sz w:val="24"/>
              </w:rPr>
            </w:pPr>
            <w:r>
              <w:rPr>
                <w:rFonts w:ascii="黑体" w:eastAsia="黑体" w:hint="eastAsia"/>
                <w:sz w:val="24"/>
              </w:rPr>
              <w:t>梳理后经办所需材料</w:t>
            </w:r>
          </w:p>
        </w:tc>
        <w:tc>
          <w:tcPr>
            <w:tcW w:w="1798"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办理时限</w:t>
            </w:r>
          </w:p>
        </w:tc>
        <w:tc>
          <w:tcPr>
            <w:tcW w:w="993"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是否实现跑零次</w:t>
            </w:r>
          </w:p>
        </w:tc>
        <w:tc>
          <w:tcPr>
            <w:tcW w:w="1134"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省厅对口</w:t>
            </w:r>
          </w:p>
          <w:p w:rsidR="00013EC7" w:rsidRDefault="00575CDB">
            <w:pPr>
              <w:spacing w:line="280" w:lineRule="exact"/>
              <w:jc w:val="center"/>
              <w:rPr>
                <w:rFonts w:ascii="黑体" w:eastAsia="黑体"/>
                <w:sz w:val="24"/>
              </w:rPr>
            </w:pPr>
            <w:r>
              <w:rPr>
                <w:rFonts w:ascii="黑体" w:eastAsia="黑体" w:hint="eastAsia"/>
                <w:sz w:val="24"/>
              </w:rPr>
              <w:t>指导处室</w:t>
            </w:r>
          </w:p>
          <w:p w:rsidR="00013EC7" w:rsidRDefault="00575CDB">
            <w:pPr>
              <w:spacing w:line="280" w:lineRule="exact"/>
              <w:jc w:val="center"/>
              <w:rPr>
                <w:rFonts w:ascii="黑体" w:eastAsia="黑体"/>
                <w:sz w:val="24"/>
              </w:rPr>
            </w:pPr>
            <w:r>
              <w:rPr>
                <w:rFonts w:ascii="黑体" w:eastAsia="黑体" w:hint="eastAsia"/>
                <w:sz w:val="24"/>
              </w:rPr>
              <w:t>（单位）</w:t>
            </w:r>
          </w:p>
        </w:tc>
        <w:tc>
          <w:tcPr>
            <w:tcW w:w="1279"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进一步精简、规范建议</w:t>
            </w:r>
          </w:p>
        </w:tc>
      </w:tr>
      <w:tr w:rsidR="00013EC7">
        <w:trPr>
          <w:trHeight w:val="340"/>
          <w:tblHeader/>
          <w:jc w:val="center"/>
        </w:trPr>
        <w:tc>
          <w:tcPr>
            <w:tcW w:w="1250" w:type="dxa"/>
            <w:vMerge/>
            <w:vAlign w:val="center"/>
          </w:tcPr>
          <w:p w:rsidR="00013EC7" w:rsidRDefault="00013EC7">
            <w:pPr>
              <w:rPr>
                <w:sz w:val="24"/>
              </w:rPr>
            </w:pPr>
          </w:p>
        </w:tc>
        <w:tc>
          <w:tcPr>
            <w:tcW w:w="1316" w:type="dxa"/>
            <w:vMerge/>
          </w:tcPr>
          <w:p w:rsidR="00013EC7" w:rsidRDefault="00013EC7">
            <w:pPr>
              <w:rPr>
                <w:sz w:val="24"/>
              </w:rPr>
            </w:pPr>
          </w:p>
        </w:tc>
        <w:tc>
          <w:tcPr>
            <w:tcW w:w="2967" w:type="dxa"/>
            <w:vMerge/>
          </w:tcPr>
          <w:p w:rsidR="00013EC7" w:rsidRDefault="00013EC7">
            <w:pPr>
              <w:rPr>
                <w:sz w:val="24"/>
              </w:rPr>
            </w:pPr>
          </w:p>
        </w:tc>
        <w:tc>
          <w:tcPr>
            <w:tcW w:w="1932" w:type="dxa"/>
            <w:tcBorders>
              <w:bottom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470"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2051" w:type="dxa"/>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351"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3163" w:type="dxa"/>
            <w:vAlign w:val="center"/>
          </w:tcPr>
          <w:p w:rsidR="00013EC7" w:rsidRDefault="00575CDB">
            <w:pPr>
              <w:spacing w:line="280" w:lineRule="exact"/>
              <w:jc w:val="center"/>
              <w:rPr>
                <w:rFonts w:ascii="黑体" w:eastAsia="黑体"/>
                <w:sz w:val="24"/>
              </w:rPr>
            </w:pPr>
            <w:r>
              <w:rPr>
                <w:rFonts w:ascii="黑体" w:eastAsia="黑体" w:hint="eastAsia"/>
                <w:sz w:val="24"/>
              </w:rPr>
              <w:t>办理方式及材料</w:t>
            </w:r>
          </w:p>
          <w:p w:rsidR="00013EC7" w:rsidRDefault="00575CDB">
            <w:pPr>
              <w:spacing w:line="280" w:lineRule="exact"/>
              <w:jc w:val="center"/>
              <w:rPr>
                <w:rFonts w:ascii="黑体" w:eastAsia="黑体"/>
                <w:sz w:val="24"/>
              </w:rPr>
            </w:pPr>
            <w:r>
              <w:rPr>
                <w:rFonts w:ascii="黑体" w:eastAsia="黑体" w:hint="eastAsia"/>
                <w:sz w:val="24"/>
              </w:rPr>
              <w:t>信息获取方式说明</w:t>
            </w:r>
          </w:p>
        </w:tc>
        <w:tc>
          <w:tcPr>
            <w:tcW w:w="868" w:type="dxa"/>
            <w:vAlign w:val="center"/>
          </w:tcPr>
          <w:p w:rsidR="00013EC7" w:rsidRDefault="00575CDB">
            <w:pPr>
              <w:spacing w:line="280" w:lineRule="exact"/>
              <w:jc w:val="center"/>
              <w:rPr>
                <w:rFonts w:ascii="黑体" w:eastAsia="黑体"/>
                <w:sz w:val="24"/>
              </w:rPr>
            </w:pPr>
            <w:r>
              <w:rPr>
                <w:rFonts w:ascii="黑体" w:eastAsia="黑体" w:hint="eastAsia"/>
                <w:sz w:val="24"/>
              </w:rPr>
              <w:t>优化前</w:t>
            </w:r>
          </w:p>
        </w:tc>
        <w:tc>
          <w:tcPr>
            <w:tcW w:w="930" w:type="dxa"/>
            <w:vAlign w:val="center"/>
          </w:tcPr>
          <w:p w:rsidR="00013EC7" w:rsidRDefault="00575CDB">
            <w:pPr>
              <w:spacing w:line="280" w:lineRule="exact"/>
              <w:jc w:val="center"/>
              <w:rPr>
                <w:rFonts w:ascii="黑体" w:eastAsia="黑体"/>
                <w:sz w:val="24"/>
              </w:rPr>
            </w:pPr>
            <w:r>
              <w:rPr>
                <w:rFonts w:ascii="黑体" w:eastAsia="黑体" w:hint="eastAsia"/>
                <w:sz w:val="24"/>
              </w:rPr>
              <w:t>优化后</w:t>
            </w:r>
          </w:p>
        </w:tc>
        <w:tc>
          <w:tcPr>
            <w:tcW w:w="993" w:type="dxa"/>
            <w:vMerge/>
            <w:vAlign w:val="center"/>
          </w:tcPr>
          <w:p w:rsidR="00013EC7" w:rsidRDefault="00013EC7">
            <w:pPr>
              <w:rPr>
                <w:sz w:val="24"/>
              </w:rPr>
            </w:pPr>
          </w:p>
        </w:tc>
        <w:tc>
          <w:tcPr>
            <w:tcW w:w="1134" w:type="dxa"/>
            <w:vMerge/>
            <w:vAlign w:val="center"/>
          </w:tcPr>
          <w:p w:rsidR="00013EC7" w:rsidRDefault="00013EC7">
            <w:pPr>
              <w:rPr>
                <w:sz w:val="24"/>
              </w:rPr>
            </w:pPr>
          </w:p>
        </w:tc>
        <w:tc>
          <w:tcPr>
            <w:tcW w:w="1279" w:type="dxa"/>
            <w:vMerge/>
            <w:vAlign w:val="center"/>
          </w:tcPr>
          <w:p w:rsidR="00013EC7" w:rsidRDefault="00013EC7">
            <w:pPr>
              <w:rPr>
                <w:sz w:val="24"/>
              </w:rPr>
            </w:pPr>
          </w:p>
        </w:tc>
      </w:tr>
      <w:tr w:rsidR="00013EC7">
        <w:trPr>
          <w:trHeight w:val="3250"/>
          <w:jc w:val="center"/>
        </w:trPr>
        <w:tc>
          <w:tcPr>
            <w:tcW w:w="1250" w:type="dxa"/>
            <w:vMerge w:val="restart"/>
            <w:tcBorders>
              <w:bottom w:val="single" w:sz="4" w:space="0" w:color="auto"/>
            </w:tcBorders>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12发票领用</w:t>
            </w:r>
          </w:p>
        </w:tc>
        <w:tc>
          <w:tcPr>
            <w:tcW w:w="1316" w:type="dxa"/>
            <w:vMerge w:val="restart"/>
            <w:tcBorders>
              <w:bottom w:val="single" w:sz="4" w:space="0" w:color="auto"/>
            </w:tcBorders>
            <w:vAlign w:val="center"/>
          </w:tcPr>
          <w:p w:rsidR="00013EC7" w:rsidRDefault="00575CDB">
            <w:pPr>
              <w:spacing w:line="310" w:lineRule="exact"/>
              <w:jc w:val="left"/>
              <w:rPr>
                <w:rFonts w:ascii="仿宋" w:eastAsia="仿宋" w:hAnsi="仿宋" w:cs="仿宋"/>
                <w:sz w:val="24"/>
              </w:rPr>
            </w:pPr>
            <w:r>
              <w:rPr>
                <w:rFonts w:ascii="仿宋" w:eastAsia="仿宋" w:hAnsi="仿宋" w:cs="仿宋" w:hint="eastAsia"/>
                <w:sz w:val="24"/>
              </w:rPr>
              <w:t>12.5增值税税控系统专用设备注销发行</w:t>
            </w:r>
          </w:p>
        </w:tc>
        <w:tc>
          <w:tcPr>
            <w:tcW w:w="2967" w:type="dxa"/>
            <w:vMerge w:val="restart"/>
            <w:tcBorders>
              <w:bottom w:val="single" w:sz="4" w:space="0" w:color="auto"/>
            </w:tcBorders>
            <w:vAlign w:val="center"/>
          </w:tcPr>
          <w:p w:rsidR="00013EC7" w:rsidRDefault="00575CDB">
            <w:pPr>
              <w:spacing w:line="310" w:lineRule="exact"/>
              <w:jc w:val="left"/>
              <w:rPr>
                <w:rFonts w:ascii="仿宋" w:eastAsia="仿宋" w:hAnsi="仿宋" w:cs="仿宋"/>
                <w:sz w:val="24"/>
              </w:rPr>
            </w:pPr>
            <w:r>
              <w:rPr>
                <w:rFonts w:ascii="仿宋" w:eastAsia="仿宋" w:hAnsi="仿宋" w:cs="仿宋" w:hint="eastAsia"/>
                <w:sz w:val="24"/>
              </w:rPr>
              <w:t>（一）《中华人民共和国税收征收管理法》（2012年中华人民共和国主席令第49号）第二十三条。</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（二）《中华人民共和国税收征收管理法实施细则》（2002年中华人民共和国国务院令第362号）第二十八条。</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（三）《国家税务总局关于修订&lt;增值税专用发票使用规定&gt;的通知》（国税发〔2006〕156号）第三条、第六条、第八条第三款。</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（四）《国家税务总局关于全面推开营业税改征增值税试点有关税收征收管理事项的公告》（国家税务总局公告2016年第23号）第三条、第四条。</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（五）《国家税务总局关于全面推行增值税发票系统升级版有关问题的公告》（国家税务总局公告2015年第19号）全文。</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（六）《国家税务总局关于做好增值税电子普通发票推行所需税控设备管理工作的通知》（税总函〔2017〕232号 ）全文。</w:t>
            </w:r>
          </w:p>
        </w:tc>
        <w:tc>
          <w:tcPr>
            <w:tcW w:w="1932" w:type="dxa"/>
            <w:tcBorders>
              <w:top w:val="single" w:sz="4" w:space="0" w:color="auto"/>
              <w:bottom w:val="single" w:sz="4" w:space="0" w:color="auto"/>
            </w:tcBorders>
            <w:vAlign w:val="center"/>
          </w:tcPr>
          <w:p w:rsidR="00013EC7" w:rsidRDefault="00575CDB">
            <w:pPr>
              <w:spacing w:line="310" w:lineRule="exact"/>
              <w:jc w:val="left"/>
              <w:rPr>
                <w:rFonts w:ascii="仿宋" w:eastAsia="仿宋" w:hAnsi="仿宋" w:cs="仿宋"/>
                <w:sz w:val="24"/>
              </w:rPr>
            </w:pPr>
            <w:r>
              <w:rPr>
                <w:rFonts w:ascii="仿宋" w:eastAsia="仿宋" w:hAnsi="仿宋" w:cs="仿宋" w:hint="eastAsia"/>
                <w:sz w:val="24"/>
              </w:rPr>
              <w:t>（一）《增值税税控系统专用设备注销发行登记表》1份。</w:t>
            </w:r>
          </w:p>
        </w:tc>
        <w:tc>
          <w:tcPr>
            <w:tcW w:w="1470" w:type="dxa"/>
            <w:vMerge w:val="restart"/>
            <w:tcBorders>
              <w:bottom w:val="single" w:sz="4" w:space="0" w:color="auto"/>
            </w:tcBorders>
            <w:vAlign w:val="center"/>
          </w:tcPr>
          <w:p w:rsidR="00013EC7" w:rsidRDefault="00575CDB">
            <w:pPr>
              <w:spacing w:line="310" w:lineRule="exact"/>
              <w:jc w:val="left"/>
              <w:rPr>
                <w:rFonts w:ascii="仿宋" w:eastAsia="仿宋" w:hAnsi="仿宋" w:cs="仿宋"/>
                <w:sz w:val="24"/>
              </w:rPr>
            </w:pPr>
            <w:r>
              <w:rPr>
                <w:rFonts w:ascii="仿宋" w:eastAsia="仿宋" w:hAnsi="仿宋" w:cs="仿宋" w:hint="eastAsia"/>
                <w:sz w:val="24"/>
              </w:rPr>
              <w:t>纳税人提交</w:t>
            </w:r>
          </w:p>
        </w:tc>
        <w:tc>
          <w:tcPr>
            <w:tcW w:w="2051" w:type="dxa"/>
            <w:tcBorders>
              <w:bottom w:val="single" w:sz="4" w:space="0" w:color="auto"/>
            </w:tcBorders>
            <w:vAlign w:val="center"/>
          </w:tcPr>
          <w:p w:rsidR="00013EC7" w:rsidRDefault="00575CDB">
            <w:pPr>
              <w:spacing w:line="310" w:lineRule="exact"/>
              <w:jc w:val="left"/>
              <w:rPr>
                <w:rFonts w:ascii="仿宋" w:eastAsia="仿宋" w:hAnsi="仿宋" w:cs="仿宋"/>
                <w:sz w:val="24"/>
              </w:rPr>
            </w:pPr>
            <w:r>
              <w:rPr>
                <w:rFonts w:ascii="仿宋" w:eastAsia="仿宋" w:hAnsi="仿宋" w:cs="仿宋" w:hint="eastAsia"/>
                <w:sz w:val="24"/>
              </w:rPr>
              <w:t>（一）《增值税税控系统专用设备注销发行登记表》1份。</w:t>
            </w:r>
          </w:p>
        </w:tc>
        <w:tc>
          <w:tcPr>
            <w:tcW w:w="1351" w:type="dxa"/>
            <w:vMerge w:val="restart"/>
            <w:tcBorders>
              <w:bottom w:val="single" w:sz="4" w:space="0" w:color="auto"/>
            </w:tcBorders>
            <w:vAlign w:val="center"/>
          </w:tcPr>
          <w:p w:rsidR="00013EC7" w:rsidRDefault="00575CDB">
            <w:pPr>
              <w:spacing w:line="300" w:lineRule="exact"/>
              <w:jc w:val="left"/>
              <w:rPr>
                <w:rFonts w:ascii="仿宋" w:eastAsia="仿宋" w:hAnsi="仿宋" w:cs="仿宋"/>
                <w:b/>
                <w:bCs/>
                <w:i/>
                <w:iCs/>
                <w:sz w:val="24"/>
              </w:rPr>
            </w:pPr>
            <w:r>
              <w:rPr>
                <w:rFonts w:ascii="仿宋" w:eastAsia="仿宋" w:hAnsi="仿宋" w:cs="仿宋" w:hint="eastAsia"/>
                <w:sz w:val="24"/>
              </w:rPr>
              <w:t>纳税人提交</w:t>
            </w:r>
          </w:p>
        </w:tc>
        <w:tc>
          <w:tcPr>
            <w:tcW w:w="3163" w:type="dxa"/>
            <w:vMerge w:val="restart"/>
            <w:tcBorders>
              <w:bottom w:val="single" w:sz="4" w:space="0" w:color="auto"/>
            </w:tcBorders>
            <w:vAlign w:val="center"/>
          </w:tcPr>
          <w:p w:rsidR="00013EC7" w:rsidRDefault="00575CDB">
            <w:pPr>
              <w:spacing w:line="300" w:lineRule="exact"/>
              <w:jc w:val="left"/>
              <w:rPr>
                <w:rFonts w:ascii="仿宋" w:eastAsia="仿宋" w:hAnsi="仿宋" w:cs="仿宋"/>
                <w:b/>
                <w:sz w:val="24"/>
              </w:rPr>
            </w:pPr>
            <w:r>
              <w:rPr>
                <w:rFonts w:ascii="仿宋" w:eastAsia="仿宋" w:hAnsi="仿宋" w:cs="仿宋" w:hint="eastAsia"/>
                <w:b/>
                <w:sz w:val="24"/>
              </w:rPr>
              <w:t>现场办理：</w:t>
            </w:r>
            <w:r>
              <w:rPr>
                <w:rFonts w:ascii="仿宋" w:eastAsia="仿宋" w:hAnsi="仿宋" w:cs="仿宋" w:hint="eastAsia"/>
                <w:sz w:val="24"/>
              </w:rPr>
              <w:t>纳税人提交税控设备。</w:t>
            </w:r>
          </w:p>
          <w:p w:rsidR="00013EC7" w:rsidRDefault="00575CDB">
            <w:pPr>
              <w:spacing w:line="300" w:lineRule="exact"/>
              <w:jc w:val="left"/>
              <w:rPr>
                <w:rFonts w:ascii="仿宋" w:eastAsia="仿宋" w:hAnsi="仿宋" w:cs="仿宋"/>
                <w:b/>
                <w:sz w:val="24"/>
              </w:rPr>
            </w:pPr>
            <w:r>
              <w:rPr>
                <w:rFonts w:ascii="仿宋" w:eastAsia="仿宋" w:hAnsi="仿宋" w:cs="仿宋" w:hint="eastAsia"/>
                <w:b/>
                <w:sz w:val="24"/>
              </w:rPr>
              <w:t>网上办理：</w:t>
            </w:r>
            <w:r>
              <w:rPr>
                <w:rFonts w:ascii="仿宋" w:eastAsia="仿宋" w:hAnsi="仿宋" w:cs="仿宋" w:hint="eastAsia"/>
                <w:sz w:val="24"/>
              </w:rPr>
              <w:t>登录浙江国税电子税务局（网址：http://etax.zjtax.gov.cn/）</w:t>
            </w:r>
          </w:p>
          <w:p w:rsidR="00013EC7" w:rsidRDefault="00013EC7">
            <w:pPr>
              <w:spacing w:line="300" w:lineRule="exact"/>
              <w:jc w:val="left"/>
              <w:rPr>
                <w:rFonts w:ascii="仿宋" w:eastAsia="仿宋" w:hAnsi="仿宋" w:cs="仿宋"/>
                <w:sz w:val="24"/>
              </w:rPr>
            </w:pPr>
          </w:p>
        </w:tc>
        <w:tc>
          <w:tcPr>
            <w:tcW w:w="868" w:type="dxa"/>
            <w:vMerge w:val="restart"/>
            <w:tcBorders>
              <w:bottom w:val="single" w:sz="4" w:space="0" w:color="auto"/>
            </w:tcBorders>
            <w:vAlign w:val="center"/>
          </w:tcPr>
          <w:p w:rsidR="00013EC7" w:rsidRDefault="00575CDB">
            <w:pPr>
              <w:jc w:val="left"/>
              <w:rPr>
                <w:rFonts w:ascii="仿宋" w:eastAsia="仿宋" w:hAnsi="仿宋" w:cs="仿宋"/>
                <w:sz w:val="24"/>
              </w:rPr>
            </w:pPr>
            <w:r>
              <w:rPr>
                <w:rFonts w:ascii="仿宋" w:eastAsia="仿宋" w:hAnsi="仿宋" w:cs="仿宋" w:hint="eastAsia"/>
                <w:sz w:val="24"/>
              </w:rPr>
              <w:t>即时办结</w:t>
            </w:r>
          </w:p>
        </w:tc>
        <w:tc>
          <w:tcPr>
            <w:tcW w:w="930" w:type="dxa"/>
            <w:vMerge w:val="restart"/>
            <w:tcBorders>
              <w:bottom w:val="single" w:sz="4" w:space="0" w:color="auto"/>
            </w:tcBorders>
            <w:vAlign w:val="center"/>
          </w:tcPr>
          <w:p w:rsidR="00013EC7" w:rsidRDefault="00575CDB">
            <w:pPr>
              <w:jc w:val="left"/>
              <w:rPr>
                <w:rFonts w:ascii="仿宋" w:eastAsia="仿宋" w:hAnsi="仿宋" w:cs="仿宋"/>
                <w:sz w:val="24"/>
              </w:rPr>
            </w:pPr>
            <w:r>
              <w:rPr>
                <w:rFonts w:ascii="仿宋" w:eastAsia="仿宋" w:hAnsi="仿宋" w:cs="仿宋" w:hint="eastAsia"/>
                <w:sz w:val="24"/>
              </w:rPr>
              <w:t>即时办结</w:t>
            </w:r>
          </w:p>
        </w:tc>
        <w:tc>
          <w:tcPr>
            <w:tcW w:w="993" w:type="dxa"/>
            <w:vMerge w:val="restart"/>
            <w:tcBorders>
              <w:bottom w:val="single" w:sz="4" w:space="0" w:color="auto"/>
            </w:tcBorders>
            <w:vAlign w:val="center"/>
          </w:tcPr>
          <w:p w:rsidR="00013EC7" w:rsidRDefault="00575CDB">
            <w:pPr>
              <w:jc w:val="left"/>
              <w:rPr>
                <w:rFonts w:ascii="仿宋" w:eastAsia="仿宋" w:hAnsi="仿宋" w:cs="仿宋"/>
                <w:sz w:val="24"/>
              </w:rPr>
            </w:pPr>
            <w:r>
              <w:rPr>
                <w:rFonts w:ascii="仿宋" w:eastAsia="仿宋" w:hAnsi="仿宋" w:cs="仿宋" w:hint="eastAsia"/>
                <w:sz w:val="24"/>
              </w:rPr>
              <w:t>否</w:t>
            </w:r>
          </w:p>
        </w:tc>
        <w:tc>
          <w:tcPr>
            <w:tcW w:w="1134" w:type="dxa"/>
            <w:vMerge w:val="restart"/>
            <w:tcBorders>
              <w:bottom w:val="single" w:sz="4" w:space="0" w:color="auto"/>
            </w:tcBorders>
            <w:vAlign w:val="center"/>
          </w:tcPr>
          <w:p w:rsidR="00013EC7" w:rsidRDefault="00575CDB">
            <w:pPr>
              <w:jc w:val="left"/>
              <w:rPr>
                <w:rFonts w:ascii="仿宋" w:eastAsia="仿宋" w:hAnsi="仿宋" w:cs="仿宋"/>
                <w:sz w:val="24"/>
              </w:rPr>
            </w:pPr>
            <w:r>
              <w:rPr>
                <w:rFonts w:ascii="仿宋" w:eastAsia="仿宋" w:hAnsi="仿宋" w:cs="仿宋" w:hint="eastAsia"/>
                <w:sz w:val="24"/>
              </w:rPr>
              <w:t>货物和劳务税处</w:t>
            </w:r>
          </w:p>
        </w:tc>
        <w:tc>
          <w:tcPr>
            <w:tcW w:w="1279" w:type="dxa"/>
            <w:vMerge w:val="restart"/>
            <w:tcBorders>
              <w:bottom w:val="single" w:sz="4" w:space="0" w:color="auto"/>
            </w:tcBorders>
            <w:vAlign w:val="center"/>
          </w:tcPr>
          <w:p w:rsidR="00013EC7" w:rsidRDefault="00013EC7">
            <w:pPr>
              <w:spacing w:line="300" w:lineRule="exact"/>
              <w:jc w:val="left"/>
              <w:rPr>
                <w:rFonts w:ascii="仿宋" w:eastAsia="仿宋" w:hAnsi="仿宋" w:cs="仿宋"/>
                <w:sz w:val="24"/>
              </w:rPr>
            </w:pPr>
          </w:p>
        </w:tc>
      </w:tr>
      <w:tr w:rsidR="00013EC7">
        <w:trPr>
          <w:trHeight w:val="1162"/>
          <w:jc w:val="center"/>
        </w:trPr>
        <w:tc>
          <w:tcPr>
            <w:tcW w:w="1250" w:type="dxa"/>
            <w:vMerge/>
            <w:tcBorders>
              <w:bottom w:val="single" w:sz="4" w:space="0" w:color="auto"/>
            </w:tcBorders>
            <w:textDirection w:val="tbRlV"/>
            <w:vAlign w:val="center"/>
          </w:tcPr>
          <w:p w:rsidR="00013EC7" w:rsidRDefault="00013EC7">
            <w:pPr>
              <w:jc w:val="left"/>
              <w:rPr>
                <w:rFonts w:ascii="仿宋" w:eastAsia="仿宋" w:hAnsi="仿宋" w:cs="仿宋"/>
                <w:sz w:val="24"/>
              </w:rPr>
            </w:pPr>
          </w:p>
        </w:tc>
        <w:tc>
          <w:tcPr>
            <w:tcW w:w="1316" w:type="dxa"/>
            <w:vMerge/>
            <w:tcBorders>
              <w:bottom w:val="single" w:sz="4" w:space="0" w:color="auto"/>
            </w:tcBorders>
            <w:vAlign w:val="center"/>
          </w:tcPr>
          <w:p w:rsidR="00013EC7" w:rsidRDefault="00013EC7">
            <w:pPr>
              <w:jc w:val="left"/>
              <w:rPr>
                <w:rFonts w:ascii="仿宋" w:eastAsia="仿宋" w:hAnsi="仿宋" w:cs="仿宋"/>
                <w:sz w:val="24"/>
              </w:rPr>
            </w:pPr>
          </w:p>
        </w:tc>
        <w:tc>
          <w:tcPr>
            <w:tcW w:w="2967" w:type="dxa"/>
            <w:vMerge/>
            <w:tcBorders>
              <w:bottom w:val="single" w:sz="4" w:space="0" w:color="auto"/>
            </w:tcBorders>
            <w:vAlign w:val="center"/>
          </w:tcPr>
          <w:p w:rsidR="00013EC7" w:rsidRDefault="00013EC7">
            <w:pPr>
              <w:jc w:val="left"/>
              <w:rPr>
                <w:rFonts w:ascii="仿宋" w:eastAsia="仿宋" w:hAnsi="仿宋" w:cs="仿宋"/>
                <w:sz w:val="24"/>
              </w:rPr>
            </w:pPr>
          </w:p>
        </w:tc>
        <w:tc>
          <w:tcPr>
            <w:tcW w:w="1932" w:type="dxa"/>
            <w:tcBorders>
              <w:bottom w:val="single" w:sz="4" w:space="0" w:color="auto"/>
            </w:tcBorders>
            <w:vAlign w:val="center"/>
          </w:tcPr>
          <w:p w:rsidR="00013EC7" w:rsidRDefault="00575CDB">
            <w:pPr>
              <w:widowControl/>
              <w:spacing w:line="310" w:lineRule="exact"/>
              <w:jc w:val="left"/>
              <w:rPr>
                <w:rFonts w:ascii="仿宋" w:eastAsia="仿宋" w:hAnsi="仿宋" w:cs="仿宋"/>
                <w:sz w:val="24"/>
              </w:rPr>
            </w:pPr>
            <w:r>
              <w:rPr>
                <w:rFonts w:ascii="仿宋" w:eastAsia="仿宋" w:hAnsi="仿宋" w:cs="仿宋" w:hint="eastAsia"/>
                <w:sz w:val="24"/>
              </w:rPr>
              <w:t>（二）</w:t>
            </w:r>
            <w:r>
              <w:rPr>
                <w:rFonts w:ascii="仿宋" w:eastAsia="仿宋" w:hAnsi="仿宋" w:cs="仿宋"/>
                <w:sz w:val="24"/>
              </w:rPr>
              <w:t>金税盘（税控盘）、报税盘。</w:t>
            </w:r>
          </w:p>
        </w:tc>
        <w:tc>
          <w:tcPr>
            <w:tcW w:w="1470" w:type="dxa"/>
            <w:vMerge/>
            <w:tcBorders>
              <w:bottom w:val="single" w:sz="4" w:space="0" w:color="auto"/>
            </w:tcBorders>
            <w:vAlign w:val="center"/>
          </w:tcPr>
          <w:p w:rsidR="00013EC7" w:rsidRDefault="00013EC7">
            <w:pPr>
              <w:spacing w:line="310" w:lineRule="exact"/>
              <w:jc w:val="left"/>
              <w:rPr>
                <w:rFonts w:ascii="仿宋" w:eastAsia="仿宋" w:hAnsi="仿宋" w:cs="仿宋"/>
                <w:sz w:val="24"/>
              </w:rPr>
            </w:pPr>
          </w:p>
        </w:tc>
        <w:tc>
          <w:tcPr>
            <w:tcW w:w="2051" w:type="dxa"/>
            <w:tcBorders>
              <w:bottom w:val="single" w:sz="4" w:space="0" w:color="auto"/>
            </w:tcBorders>
            <w:vAlign w:val="center"/>
          </w:tcPr>
          <w:p w:rsidR="00013EC7" w:rsidRDefault="00575CDB">
            <w:pPr>
              <w:widowControl/>
              <w:spacing w:line="310" w:lineRule="exact"/>
              <w:jc w:val="left"/>
              <w:rPr>
                <w:rFonts w:ascii="仿宋" w:eastAsia="仿宋" w:hAnsi="仿宋" w:cs="仿宋"/>
                <w:sz w:val="24"/>
              </w:rPr>
            </w:pPr>
            <w:r>
              <w:rPr>
                <w:rFonts w:ascii="仿宋" w:eastAsia="仿宋" w:hAnsi="仿宋" w:cs="仿宋" w:hint="eastAsia"/>
                <w:sz w:val="24"/>
              </w:rPr>
              <w:t>（二）</w:t>
            </w:r>
            <w:r>
              <w:rPr>
                <w:rFonts w:ascii="仿宋" w:eastAsia="仿宋" w:hAnsi="仿宋" w:cs="仿宋"/>
                <w:sz w:val="24"/>
              </w:rPr>
              <w:t>金税盘（税控盘）、报税盘。</w:t>
            </w:r>
          </w:p>
        </w:tc>
        <w:tc>
          <w:tcPr>
            <w:tcW w:w="1351" w:type="dxa"/>
            <w:vMerge/>
            <w:tcBorders>
              <w:bottom w:val="single" w:sz="4" w:space="0" w:color="auto"/>
            </w:tcBorders>
            <w:vAlign w:val="center"/>
          </w:tcPr>
          <w:p w:rsidR="00013EC7" w:rsidRDefault="00013EC7">
            <w:pPr>
              <w:spacing w:line="300" w:lineRule="exact"/>
              <w:jc w:val="left"/>
              <w:rPr>
                <w:rFonts w:ascii="仿宋" w:eastAsia="仿宋" w:hAnsi="仿宋" w:cs="仿宋"/>
                <w:sz w:val="24"/>
              </w:rPr>
            </w:pPr>
          </w:p>
        </w:tc>
        <w:tc>
          <w:tcPr>
            <w:tcW w:w="3163" w:type="dxa"/>
            <w:vMerge/>
            <w:tcBorders>
              <w:bottom w:val="single" w:sz="4" w:space="0" w:color="auto"/>
            </w:tcBorders>
            <w:vAlign w:val="center"/>
          </w:tcPr>
          <w:p w:rsidR="00013EC7" w:rsidRDefault="00013EC7">
            <w:pPr>
              <w:spacing w:line="300" w:lineRule="exact"/>
              <w:jc w:val="left"/>
              <w:rPr>
                <w:rFonts w:ascii="仿宋" w:eastAsia="仿宋" w:hAnsi="仿宋" w:cs="仿宋"/>
                <w:sz w:val="24"/>
              </w:rPr>
            </w:pPr>
          </w:p>
        </w:tc>
        <w:tc>
          <w:tcPr>
            <w:tcW w:w="868" w:type="dxa"/>
            <w:vMerge/>
            <w:tcBorders>
              <w:bottom w:val="single" w:sz="4" w:space="0" w:color="auto"/>
            </w:tcBorders>
            <w:vAlign w:val="center"/>
          </w:tcPr>
          <w:p w:rsidR="00013EC7" w:rsidRDefault="00013EC7">
            <w:pPr>
              <w:jc w:val="left"/>
              <w:rPr>
                <w:rFonts w:ascii="仿宋" w:eastAsia="仿宋" w:hAnsi="仿宋" w:cs="仿宋"/>
                <w:sz w:val="24"/>
              </w:rPr>
            </w:pPr>
          </w:p>
        </w:tc>
        <w:tc>
          <w:tcPr>
            <w:tcW w:w="930" w:type="dxa"/>
            <w:vMerge/>
            <w:tcBorders>
              <w:bottom w:val="single" w:sz="4" w:space="0" w:color="auto"/>
            </w:tcBorders>
            <w:vAlign w:val="center"/>
          </w:tcPr>
          <w:p w:rsidR="00013EC7" w:rsidRDefault="00013EC7">
            <w:pPr>
              <w:jc w:val="left"/>
              <w:rPr>
                <w:rFonts w:ascii="仿宋" w:eastAsia="仿宋" w:hAnsi="仿宋" w:cs="仿宋"/>
                <w:sz w:val="24"/>
              </w:rPr>
            </w:pPr>
          </w:p>
        </w:tc>
        <w:tc>
          <w:tcPr>
            <w:tcW w:w="993" w:type="dxa"/>
            <w:vMerge/>
            <w:tcBorders>
              <w:bottom w:val="single" w:sz="4" w:space="0" w:color="auto"/>
            </w:tcBorders>
            <w:vAlign w:val="center"/>
          </w:tcPr>
          <w:p w:rsidR="00013EC7" w:rsidRDefault="00013EC7">
            <w:pPr>
              <w:jc w:val="left"/>
              <w:rPr>
                <w:rFonts w:ascii="仿宋" w:eastAsia="仿宋" w:hAnsi="仿宋" w:cs="仿宋"/>
                <w:sz w:val="24"/>
              </w:rPr>
            </w:pPr>
          </w:p>
        </w:tc>
        <w:tc>
          <w:tcPr>
            <w:tcW w:w="1134" w:type="dxa"/>
            <w:vMerge/>
            <w:tcBorders>
              <w:bottom w:val="single" w:sz="4" w:space="0" w:color="auto"/>
            </w:tcBorders>
            <w:vAlign w:val="center"/>
          </w:tcPr>
          <w:p w:rsidR="00013EC7" w:rsidRDefault="00013EC7">
            <w:pPr>
              <w:jc w:val="left"/>
              <w:rPr>
                <w:rFonts w:ascii="仿宋" w:eastAsia="仿宋" w:hAnsi="仿宋" w:cs="仿宋"/>
                <w:sz w:val="24"/>
              </w:rPr>
            </w:pPr>
          </w:p>
        </w:tc>
        <w:tc>
          <w:tcPr>
            <w:tcW w:w="1279" w:type="dxa"/>
            <w:vMerge/>
            <w:tcBorders>
              <w:bottom w:val="single" w:sz="4" w:space="0" w:color="auto"/>
            </w:tcBorders>
            <w:vAlign w:val="center"/>
          </w:tcPr>
          <w:p w:rsidR="00013EC7" w:rsidRDefault="00013EC7">
            <w:pPr>
              <w:jc w:val="left"/>
              <w:rPr>
                <w:rFonts w:ascii="仿宋" w:eastAsia="仿宋" w:hAnsi="仿宋" w:cs="仿宋"/>
                <w:sz w:val="24"/>
              </w:rPr>
            </w:pPr>
          </w:p>
        </w:tc>
      </w:tr>
    </w:tbl>
    <w:p w:rsidR="00013EC7" w:rsidRDefault="00013EC7">
      <w:pPr>
        <w:jc w:val="left"/>
        <w:rPr>
          <w:rFonts w:eastAsia="方正书宋简体"/>
          <w:sz w:val="24"/>
        </w:rPr>
      </w:pPr>
    </w:p>
    <w:p w:rsidR="00013EC7" w:rsidRDefault="00013EC7">
      <w:pPr>
        <w:jc w:val="left"/>
        <w:rPr>
          <w:rFonts w:eastAsia="方正书宋简体"/>
          <w:sz w:val="24"/>
        </w:rPr>
      </w:pPr>
    </w:p>
    <w:p w:rsidR="00013EC7" w:rsidRDefault="00013EC7">
      <w:pPr>
        <w:rPr>
          <w:rFonts w:eastAsia="方正书宋简体"/>
          <w:szCs w:val="21"/>
        </w:rPr>
      </w:pPr>
    </w:p>
    <w:p w:rsidR="00013EC7" w:rsidRDefault="005262E6">
      <w:pPr>
        <w:rPr>
          <w:rFonts w:eastAsia="方正书宋简体"/>
          <w:szCs w:val="21"/>
        </w:rPr>
      </w:pPr>
      <w:r>
        <w:lastRenderedPageBreak/>
        <w:object w:dxaOrig="1440" w:dyaOrig="1440">
          <v:shape id="对象 193" o:spid="_x0000_s1282" type="#_x0000_t75" alt="2111217721508729125585" style="position:absolute;left:0;text-align:left;margin-left:593.1pt;margin-top:85.95pt;width:397.3pt;height:557.35pt;z-index:251621376;mso-wrap-distance-top:0;mso-wrap-distance-bottom:0;mso-position-vertical-relative:page;mso-width-relative:page;mso-height-relative:page">
            <v:imagedata r:id="rId138" o:title="2111217721508729125585"/>
            <w10:wrap type="topAndBottom" anchory="page"/>
          </v:shape>
          <o:OLEObject Type="Embed" ProgID="Visio.Drawing.11" ShapeID="对象 193" DrawAspect="Content" ObjectID="_1577296199" r:id="rId139"/>
        </w:object>
      </w:r>
      <w:r>
        <w:object w:dxaOrig="1440" w:dyaOrig="1440">
          <v:shape id="对象 118" o:spid="_x0000_s1281" type="#_x0000_t75" alt="2111217721508729125585" style="position:absolute;left:0;text-align:left;margin-left:112.4pt;margin-top:106.2pt;width:442.85pt;height:570pt;z-index:251620352;mso-wrap-distance-top:0;mso-wrap-distance-bottom:0;mso-position-horizontal-relative:page;mso-position-vertical-relative:page;mso-width-relative:page;mso-height-relative:page">
            <v:imagedata r:id="rId140" o:title="2111217721508729125585"/>
            <w10:wrap type="topAndBottom" anchorx="page" anchory="page"/>
          </v:shape>
          <o:OLEObject Type="Embed" ProgID="Visio.Drawing.11" ShapeID="对象 118" DrawAspect="Content" ObjectID="_1577296200" r:id="rId141"/>
        </w:object>
      </w:r>
    </w:p>
    <w:p w:rsidR="00013EC7" w:rsidRDefault="00013EC7">
      <w:pPr>
        <w:rPr>
          <w:rFonts w:eastAsia="方正书宋简体"/>
          <w:szCs w:val="21"/>
        </w:rPr>
      </w:pPr>
    </w:p>
    <w:p w:rsidR="00013EC7" w:rsidRDefault="00013EC7">
      <w:pPr>
        <w:rPr>
          <w:rFonts w:eastAsia="方正书宋简体"/>
          <w:szCs w:val="21"/>
        </w:rPr>
      </w:pPr>
    </w:p>
    <w:p w:rsidR="00013EC7" w:rsidRDefault="00013EC7">
      <w:pPr>
        <w:pStyle w:val="1"/>
        <w:spacing w:before="0" w:after="0" w:line="240" w:lineRule="auto"/>
        <w:rPr>
          <w:rFonts w:ascii="宋体" w:hAnsi="宋体"/>
          <w:szCs w:val="28"/>
        </w:rPr>
        <w:sectPr w:rsidR="00013EC7">
          <w:pgSz w:w="23814" w:h="16840" w:orient="landscape"/>
          <w:pgMar w:top="1701" w:right="1843" w:bottom="1985" w:left="1843" w:header="851" w:footer="1701" w:gutter="0"/>
          <w:pgNumType w:fmt="numberInDash"/>
          <w:cols w:space="720"/>
          <w:docGrid w:type="lines" w:linePitch="312"/>
        </w:sectPr>
      </w:pPr>
      <w:bookmarkStart w:id="206" w:name="_Toc498705714"/>
    </w:p>
    <w:p w:rsidR="00013EC7" w:rsidRDefault="00575CDB">
      <w:pPr>
        <w:pStyle w:val="2"/>
      </w:pPr>
      <w:bookmarkStart w:id="207" w:name="_Toc14876"/>
      <w:bookmarkStart w:id="208" w:name="_Toc27405"/>
      <w:bookmarkStart w:id="209" w:name="_Toc23150"/>
      <w:bookmarkStart w:id="210" w:name="_Toc503467402"/>
      <w:r>
        <w:rPr>
          <w:rFonts w:hint="eastAsia"/>
        </w:rPr>
        <w:lastRenderedPageBreak/>
        <w:t>12.6</w:t>
      </w:r>
      <w:r>
        <w:rPr>
          <w:rFonts w:hint="eastAsia"/>
        </w:rPr>
        <w:t>发票发放</w:t>
      </w:r>
      <w:bookmarkEnd w:id="206"/>
      <w:bookmarkEnd w:id="207"/>
      <w:bookmarkEnd w:id="208"/>
      <w:bookmarkEnd w:id="209"/>
      <w:bookmarkEnd w:id="210"/>
    </w:p>
    <w:p w:rsidR="00013EC7" w:rsidRDefault="00575CDB">
      <w:pPr>
        <w:jc w:val="center"/>
        <w:rPr>
          <w:rFonts w:ascii="宋体" w:hAnsi="宋体" w:cs="宋体"/>
          <w:b/>
          <w:bCs/>
          <w:sz w:val="52"/>
          <w:szCs w:val="52"/>
        </w:rPr>
      </w:pPr>
      <w:r>
        <w:rPr>
          <w:rFonts w:ascii="宋体" w:hAnsi="宋体" w:cs="宋体" w:hint="eastAsia"/>
          <w:b/>
          <w:bCs/>
          <w:sz w:val="52"/>
          <w:szCs w:val="52"/>
        </w:rPr>
        <w:t>全省“最多跑一次”事项“八统一”梳理表</w:t>
      </w:r>
    </w:p>
    <w:tbl>
      <w:tblPr>
        <w:tblW w:w="20704"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1139"/>
        <w:gridCol w:w="1134"/>
        <w:gridCol w:w="3969"/>
        <w:gridCol w:w="2126"/>
        <w:gridCol w:w="1134"/>
        <w:gridCol w:w="1559"/>
        <w:gridCol w:w="1121"/>
        <w:gridCol w:w="3318"/>
        <w:gridCol w:w="868"/>
        <w:gridCol w:w="930"/>
        <w:gridCol w:w="993"/>
        <w:gridCol w:w="1134"/>
        <w:gridCol w:w="1279"/>
      </w:tblGrid>
      <w:tr w:rsidR="00013EC7">
        <w:trPr>
          <w:trHeight w:val="340"/>
          <w:tblHeader/>
          <w:jc w:val="center"/>
        </w:trPr>
        <w:tc>
          <w:tcPr>
            <w:tcW w:w="1139"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主项名称</w:t>
            </w:r>
          </w:p>
        </w:tc>
        <w:tc>
          <w:tcPr>
            <w:tcW w:w="1134"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子项名称</w:t>
            </w:r>
          </w:p>
        </w:tc>
        <w:tc>
          <w:tcPr>
            <w:tcW w:w="3969"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经办依据</w:t>
            </w:r>
          </w:p>
        </w:tc>
        <w:tc>
          <w:tcPr>
            <w:tcW w:w="3260"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原经办所需材料</w:t>
            </w:r>
          </w:p>
        </w:tc>
        <w:tc>
          <w:tcPr>
            <w:tcW w:w="5998" w:type="dxa"/>
            <w:gridSpan w:val="3"/>
            <w:vAlign w:val="center"/>
          </w:tcPr>
          <w:p w:rsidR="00013EC7" w:rsidRDefault="00575CDB">
            <w:pPr>
              <w:spacing w:line="280" w:lineRule="exact"/>
              <w:jc w:val="center"/>
              <w:rPr>
                <w:rFonts w:ascii="黑体" w:eastAsia="黑体"/>
                <w:sz w:val="24"/>
              </w:rPr>
            </w:pPr>
            <w:r>
              <w:rPr>
                <w:rFonts w:ascii="黑体" w:eastAsia="黑体" w:hint="eastAsia"/>
                <w:sz w:val="24"/>
              </w:rPr>
              <w:t>梳理后经办所需材料</w:t>
            </w:r>
          </w:p>
        </w:tc>
        <w:tc>
          <w:tcPr>
            <w:tcW w:w="1798"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办理时限</w:t>
            </w:r>
          </w:p>
        </w:tc>
        <w:tc>
          <w:tcPr>
            <w:tcW w:w="993"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是否实现跑零次</w:t>
            </w:r>
          </w:p>
        </w:tc>
        <w:tc>
          <w:tcPr>
            <w:tcW w:w="1134"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省厅对口</w:t>
            </w:r>
          </w:p>
          <w:p w:rsidR="00013EC7" w:rsidRDefault="00575CDB">
            <w:pPr>
              <w:spacing w:line="280" w:lineRule="exact"/>
              <w:jc w:val="center"/>
              <w:rPr>
                <w:rFonts w:ascii="黑体" w:eastAsia="黑体"/>
                <w:sz w:val="24"/>
              </w:rPr>
            </w:pPr>
            <w:r>
              <w:rPr>
                <w:rFonts w:ascii="黑体" w:eastAsia="黑体" w:hint="eastAsia"/>
                <w:sz w:val="24"/>
              </w:rPr>
              <w:t>指导处室</w:t>
            </w:r>
          </w:p>
          <w:p w:rsidR="00013EC7" w:rsidRDefault="00575CDB">
            <w:pPr>
              <w:spacing w:line="280" w:lineRule="exact"/>
              <w:jc w:val="center"/>
              <w:rPr>
                <w:rFonts w:ascii="黑体" w:eastAsia="黑体"/>
                <w:sz w:val="24"/>
              </w:rPr>
            </w:pPr>
            <w:r>
              <w:rPr>
                <w:rFonts w:ascii="黑体" w:eastAsia="黑体" w:hint="eastAsia"/>
                <w:sz w:val="24"/>
              </w:rPr>
              <w:t>（单位）</w:t>
            </w:r>
          </w:p>
        </w:tc>
        <w:tc>
          <w:tcPr>
            <w:tcW w:w="1279"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进一步精简、规范建议</w:t>
            </w:r>
          </w:p>
        </w:tc>
      </w:tr>
      <w:tr w:rsidR="00013EC7">
        <w:trPr>
          <w:trHeight w:val="340"/>
          <w:tblHeader/>
          <w:jc w:val="center"/>
        </w:trPr>
        <w:tc>
          <w:tcPr>
            <w:tcW w:w="1139" w:type="dxa"/>
            <w:vMerge/>
            <w:vAlign w:val="center"/>
          </w:tcPr>
          <w:p w:rsidR="00013EC7" w:rsidRDefault="00013EC7">
            <w:pPr>
              <w:rPr>
                <w:sz w:val="24"/>
              </w:rPr>
            </w:pPr>
          </w:p>
        </w:tc>
        <w:tc>
          <w:tcPr>
            <w:tcW w:w="1134" w:type="dxa"/>
            <w:vMerge/>
          </w:tcPr>
          <w:p w:rsidR="00013EC7" w:rsidRDefault="00013EC7">
            <w:pPr>
              <w:rPr>
                <w:sz w:val="24"/>
              </w:rPr>
            </w:pPr>
          </w:p>
        </w:tc>
        <w:tc>
          <w:tcPr>
            <w:tcW w:w="3969" w:type="dxa"/>
            <w:vMerge/>
          </w:tcPr>
          <w:p w:rsidR="00013EC7" w:rsidRDefault="00013EC7">
            <w:pPr>
              <w:rPr>
                <w:sz w:val="24"/>
              </w:rPr>
            </w:pPr>
          </w:p>
        </w:tc>
        <w:tc>
          <w:tcPr>
            <w:tcW w:w="2126" w:type="dxa"/>
            <w:tcBorders>
              <w:bottom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134"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1559" w:type="dxa"/>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121"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3318" w:type="dxa"/>
            <w:vAlign w:val="center"/>
          </w:tcPr>
          <w:p w:rsidR="00013EC7" w:rsidRDefault="00575CDB">
            <w:pPr>
              <w:spacing w:line="280" w:lineRule="exact"/>
              <w:jc w:val="center"/>
              <w:rPr>
                <w:rFonts w:ascii="黑体" w:eastAsia="黑体"/>
                <w:sz w:val="24"/>
              </w:rPr>
            </w:pPr>
            <w:r>
              <w:rPr>
                <w:rFonts w:ascii="黑体" w:eastAsia="黑体" w:hint="eastAsia"/>
                <w:sz w:val="24"/>
              </w:rPr>
              <w:t>办理方式及材料</w:t>
            </w:r>
          </w:p>
          <w:p w:rsidR="00013EC7" w:rsidRDefault="00575CDB">
            <w:pPr>
              <w:spacing w:line="280" w:lineRule="exact"/>
              <w:jc w:val="center"/>
              <w:rPr>
                <w:rFonts w:ascii="黑体" w:eastAsia="黑体"/>
                <w:sz w:val="24"/>
              </w:rPr>
            </w:pPr>
            <w:r>
              <w:rPr>
                <w:rFonts w:ascii="黑体" w:eastAsia="黑体" w:hint="eastAsia"/>
                <w:sz w:val="24"/>
              </w:rPr>
              <w:t>信息获取方式说明</w:t>
            </w:r>
          </w:p>
        </w:tc>
        <w:tc>
          <w:tcPr>
            <w:tcW w:w="868" w:type="dxa"/>
            <w:vAlign w:val="center"/>
          </w:tcPr>
          <w:p w:rsidR="00013EC7" w:rsidRDefault="00575CDB">
            <w:pPr>
              <w:spacing w:line="280" w:lineRule="exact"/>
              <w:jc w:val="center"/>
              <w:rPr>
                <w:rFonts w:ascii="黑体" w:eastAsia="黑体"/>
                <w:sz w:val="24"/>
              </w:rPr>
            </w:pPr>
            <w:r>
              <w:rPr>
                <w:rFonts w:ascii="黑体" w:eastAsia="黑体" w:hint="eastAsia"/>
                <w:sz w:val="24"/>
              </w:rPr>
              <w:t>优化前</w:t>
            </w:r>
          </w:p>
        </w:tc>
        <w:tc>
          <w:tcPr>
            <w:tcW w:w="930" w:type="dxa"/>
            <w:vAlign w:val="center"/>
          </w:tcPr>
          <w:p w:rsidR="00013EC7" w:rsidRDefault="00575CDB">
            <w:pPr>
              <w:spacing w:line="280" w:lineRule="exact"/>
              <w:jc w:val="center"/>
              <w:rPr>
                <w:rFonts w:ascii="黑体" w:eastAsia="黑体"/>
                <w:sz w:val="24"/>
              </w:rPr>
            </w:pPr>
            <w:r>
              <w:rPr>
                <w:rFonts w:ascii="黑体" w:eastAsia="黑体" w:hint="eastAsia"/>
                <w:sz w:val="24"/>
              </w:rPr>
              <w:t>优化后</w:t>
            </w:r>
          </w:p>
        </w:tc>
        <w:tc>
          <w:tcPr>
            <w:tcW w:w="993" w:type="dxa"/>
            <w:vMerge/>
            <w:vAlign w:val="center"/>
          </w:tcPr>
          <w:p w:rsidR="00013EC7" w:rsidRDefault="00013EC7">
            <w:pPr>
              <w:rPr>
                <w:sz w:val="24"/>
              </w:rPr>
            </w:pPr>
          </w:p>
        </w:tc>
        <w:tc>
          <w:tcPr>
            <w:tcW w:w="1134" w:type="dxa"/>
            <w:vMerge/>
            <w:vAlign w:val="center"/>
          </w:tcPr>
          <w:p w:rsidR="00013EC7" w:rsidRDefault="00013EC7">
            <w:pPr>
              <w:rPr>
                <w:sz w:val="24"/>
              </w:rPr>
            </w:pPr>
          </w:p>
        </w:tc>
        <w:tc>
          <w:tcPr>
            <w:tcW w:w="1279" w:type="dxa"/>
            <w:vMerge/>
            <w:vAlign w:val="center"/>
          </w:tcPr>
          <w:p w:rsidR="00013EC7" w:rsidRDefault="00013EC7">
            <w:pPr>
              <w:rPr>
                <w:sz w:val="24"/>
              </w:rPr>
            </w:pPr>
          </w:p>
        </w:tc>
      </w:tr>
      <w:tr w:rsidR="00013EC7">
        <w:trPr>
          <w:trHeight w:val="2549"/>
          <w:jc w:val="center"/>
        </w:trPr>
        <w:tc>
          <w:tcPr>
            <w:tcW w:w="1139"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12发票领用</w:t>
            </w:r>
          </w:p>
        </w:tc>
        <w:tc>
          <w:tcPr>
            <w:tcW w:w="1134" w:type="dxa"/>
            <w:vMerge w:val="restart"/>
            <w:vAlign w:val="center"/>
          </w:tcPr>
          <w:p w:rsidR="00013EC7" w:rsidRDefault="00575CDB">
            <w:pPr>
              <w:spacing w:line="310" w:lineRule="exact"/>
              <w:jc w:val="left"/>
              <w:rPr>
                <w:rFonts w:ascii="仿宋" w:eastAsia="仿宋" w:hAnsi="仿宋" w:cs="仿宋"/>
                <w:sz w:val="24"/>
              </w:rPr>
            </w:pPr>
            <w:r>
              <w:rPr>
                <w:rFonts w:ascii="仿宋" w:eastAsia="仿宋" w:hAnsi="仿宋" w:cs="仿宋" w:hint="eastAsia"/>
                <w:sz w:val="24"/>
              </w:rPr>
              <w:t>12.6发票发放</w:t>
            </w:r>
          </w:p>
        </w:tc>
        <w:tc>
          <w:tcPr>
            <w:tcW w:w="3969" w:type="dxa"/>
            <w:vMerge w:val="restart"/>
            <w:vAlign w:val="center"/>
          </w:tcPr>
          <w:p w:rsidR="00013EC7" w:rsidRDefault="00575CDB">
            <w:pPr>
              <w:spacing w:line="310" w:lineRule="exact"/>
              <w:jc w:val="left"/>
              <w:rPr>
                <w:rFonts w:ascii="仿宋" w:eastAsia="仿宋" w:hAnsi="仿宋" w:cs="仿宋"/>
                <w:sz w:val="24"/>
              </w:rPr>
            </w:pPr>
            <w:r>
              <w:rPr>
                <w:rFonts w:ascii="仿宋" w:eastAsia="仿宋" w:hAnsi="仿宋" w:cs="仿宋" w:hint="eastAsia"/>
                <w:sz w:val="24"/>
              </w:rPr>
              <w:t>（一）《中华人民共和国税收征收管理法》（2001年中华人民共和国主席令第49号）第二十一条。</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（二）《中华人民共和国税收征收管理法实施细则》（2002年中华人民共和国国务院令第362号）第二十九条。</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（三）《中华人民共和国发票管理办法》（2010年中华人民共和国国务院令第587号）第十五条、第十七条。</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（四）《国家税务总局关于修改〈中华人民共和国发票管理办法实施细则〉的决定》（2014年国家税务总局令第37号）全文。</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 xml:space="preserve">（五）《国家税务总局关于印发〈增值税一般纳税人纳税辅导期管理办法〉的通知》（国税发〔2010〕40号）第八条、第九条、第十条。 </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 xml:space="preserve">（六）《浙江省国家税务局转发国家税务总局关于印发〈 增值税一般纳税人纳税辅导期管理办法〉的通知》（浙国税函〔2010〕122号）第三条。 </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（七）《国家税务总局关于简化增值税发票领用和使用程序有关问题的公告》（国家税务总局公告2014年第19号）第五条。</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（八）《国家税务总局关于发布&lt; 纳税信用管理办法（试行）&gt; 的公告》（国家税务总局公告2014年第40号）第二十九条、第三十二条。</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（九）《国家税务总局关于加快推行</w:t>
            </w:r>
            <w:r>
              <w:rPr>
                <w:rFonts w:ascii="仿宋" w:eastAsia="仿宋" w:hAnsi="仿宋" w:cs="仿宋" w:hint="eastAsia"/>
                <w:sz w:val="24"/>
              </w:rPr>
              <w:lastRenderedPageBreak/>
              <w:t>办税事项同城通办的通知》（税总发〔2016〕46 号）全文。</w:t>
            </w:r>
          </w:p>
        </w:tc>
        <w:tc>
          <w:tcPr>
            <w:tcW w:w="2126" w:type="dxa"/>
            <w:tcBorders>
              <w:top w:val="single" w:sz="4" w:space="0" w:color="auto"/>
              <w:bottom w:val="single" w:sz="4" w:space="0" w:color="auto"/>
            </w:tcBorders>
            <w:vAlign w:val="center"/>
          </w:tcPr>
          <w:p w:rsidR="00013EC7" w:rsidRDefault="00575CDB">
            <w:pPr>
              <w:spacing w:line="300" w:lineRule="exact"/>
              <w:jc w:val="left"/>
              <w:rPr>
                <w:rFonts w:ascii="仿宋" w:eastAsia="仿宋" w:hAnsi="仿宋" w:cs="仿宋"/>
                <w:sz w:val="24"/>
                <w:shd w:val="clear" w:color="FFFFFF" w:fill="D9D9D9"/>
              </w:rPr>
            </w:pPr>
            <w:r>
              <w:rPr>
                <w:rFonts w:ascii="仿宋" w:eastAsia="仿宋" w:hAnsi="仿宋" w:cs="仿宋" w:hint="eastAsia"/>
                <w:sz w:val="24"/>
                <w:shd w:val="clear" w:color="FFFFFF" w:fill="D9D9D9"/>
              </w:rPr>
              <w:lastRenderedPageBreak/>
              <w:t>（一）（A02009）《发票领用簿》。</w:t>
            </w:r>
          </w:p>
        </w:tc>
        <w:tc>
          <w:tcPr>
            <w:tcW w:w="1134"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纳税人提交</w:t>
            </w:r>
          </w:p>
        </w:tc>
        <w:tc>
          <w:tcPr>
            <w:tcW w:w="1559" w:type="dxa"/>
            <w:vAlign w:val="center"/>
          </w:tcPr>
          <w:p w:rsidR="00013EC7" w:rsidRDefault="00013EC7">
            <w:pPr>
              <w:spacing w:line="300" w:lineRule="exact"/>
              <w:jc w:val="left"/>
              <w:rPr>
                <w:rFonts w:ascii="仿宋" w:eastAsia="仿宋" w:hAnsi="仿宋" w:cs="仿宋"/>
                <w:sz w:val="24"/>
              </w:rPr>
            </w:pPr>
          </w:p>
        </w:tc>
        <w:tc>
          <w:tcPr>
            <w:tcW w:w="1121" w:type="dxa"/>
            <w:vAlign w:val="center"/>
          </w:tcPr>
          <w:p w:rsidR="00013EC7" w:rsidRDefault="00575CDB">
            <w:pPr>
              <w:spacing w:line="300" w:lineRule="exact"/>
              <w:jc w:val="left"/>
              <w:rPr>
                <w:rFonts w:ascii="仿宋" w:eastAsia="仿宋" w:hAnsi="仿宋" w:cs="仿宋"/>
                <w:b/>
                <w:bCs/>
                <w:iCs/>
                <w:sz w:val="24"/>
              </w:rPr>
            </w:pPr>
            <w:r>
              <w:rPr>
                <w:rFonts w:ascii="仿宋" w:eastAsia="仿宋" w:hAnsi="仿宋" w:cs="仿宋" w:hint="eastAsia"/>
                <w:b/>
                <w:bCs/>
                <w:i/>
                <w:sz w:val="24"/>
              </w:rPr>
              <w:t>取消</w:t>
            </w:r>
          </w:p>
        </w:tc>
        <w:tc>
          <w:tcPr>
            <w:tcW w:w="3318" w:type="dxa"/>
            <w:vAlign w:val="center"/>
          </w:tcPr>
          <w:p w:rsidR="00013EC7" w:rsidRDefault="00013EC7">
            <w:pPr>
              <w:spacing w:line="300" w:lineRule="exact"/>
              <w:jc w:val="left"/>
              <w:rPr>
                <w:rFonts w:ascii="仿宋" w:eastAsia="仿宋" w:hAnsi="仿宋" w:cs="仿宋"/>
                <w:sz w:val="24"/>
              </w:rPr>
            </w:pPr>
          </w:p>
        </w:tc>
        <w:tc>
          <w:tcPr>
            <w:tcW w:w="868" w:type="dxa"/>
            <w:vMerge w:val="restart"/>
            <w:vAlign w:val="center"/>
          </w:tcPr>
          <w:p w:rsidR="00013EC7" w:rsidRDefault="00575CDB">
            <w:pPr>
              <w:jc w:val="left"/>
              <w:rPr>
                <w:rFonts w:ascii="仿宋" w:eastAsia="仿宋" w:hAnsi="仿宋" w:cs="仿宋"/>
                <w:sz w:val="24"/>
              </w:rPr>
            </w:pPr>
            <w:r>
              <w:rPr>
                <w:rFonts w:ascii="仿宋" w:eastAsia="仿宋" w:hAnsi="仿宋" w:cs="仿宋" w:hint="eastAsia"/>
                <w:sz w:val="24"/>
              </w:rPr>
              <w:t>即时办结</w:t>
            </w:r>
          </w:p>
        </w:tc>
        <w:tc>
          <w:tcPr>
            <w:tcW w:w="930" w:type="dxa"/>
            <w:vMerge w:val="restart"/>
            <w:vAlign w:val="center"/>
          </w:tcPr>
          <w:p w:rsidR="00013EC7" w:rsidRDefault="00575CDB">
            <w:pPr>
              <w:jc w:val="left"/>
              <w:rPr>
                <w:rFonts w:ascii="仿宋" w:eastAsia="仿宋" w:hAnsi="仿宋" w:cs="仿宋"/>
                <w:sz w:val="24"/>
              </w:rPr>
            </w:pPr>
            <w:r>
              <w:rPr>
                <w:rFonts w:ascii="仿宋" w:eastAsia="仿宋" w:hAnsi="仿宋" w:cs="仿宋" w:hint="eastAsia"/>
                <w:sz w:val="24"/>
              </w:rPr>
              <w:t>即时办结</w:t>
            </w:r>
          </w:p>
        </w:tc>
        <w:tc>
          <w:tcPr>
            <w:tcW w:w="993" w:type="dxa"/>
            <w:vMerge w:val="restart"/>
            <w:vAlign w:val="center"/>
          </w:tcPr>
          <w:p w:rsidR="00013EC7" w:rsidRDefault="00575CDB">
            <w:pPr>
              <w:jc w:val="left"/>
              <w:rPr>
                <w:rFonts w:ascii="仿宋" w:eastAsia="仿宋" w:hAnsi="仿宋" w:cs="仿宋"/>
                <w:sz w:val="24"/>
              </w:rPr>
            </w:pPr>
            <w:r>
              <w:rPr>
                <w:rFonts w:ascii="仿宋" w:eastAsia="仿宋" w:hAnsi="仿宋" w:cs="仿宋" w:hint="eastAsia"/>
                <w:sz w:val="24"/>
              </w:rPr>
              <w:t>是</w:t>
            </w:r>
          </w:p>
        </w:tc>
        <w:tc>
          <w:tcPr>
            <w:tcW w:w="1134" w:type="dxa"/>
            <w:vMerge w:val="restart"/>
            <w:vAlign w:val="center"/>
          </w:tcPr>
          <w:p w:rsidR="00013EC7" w:rsidRDefault="00575CDB">
            <w:pPr>
              <w:jc w:val="left"/>
              <w:rPr>
                <w:rFonts w:ascii="仿宋" w:eastAsia="仿宋" w:hAnsi="仿宋" w:cs="仿宋"/>
                <w:sz w:val="24"/>
              </w:rPr>
            </w:pPr>
            <w:r>
              <w:rPr>
                <w:rFonts w:ascii="仿宋" w:eastAsia="仿宋" w:hAnsi="仿宋" w:cs="仿宋" w:hint="eastAsia"/>
                <w:sz w:val="24"/>
              </w:rPr>
              <w:t>货物和劳务税处（增值税发票）、</w:t>
            </w:r>
            <w:r>
              <w:rPr>
                <w:rFonts w:ascii="仿宋" w:eastAsia="仿宋" w:hAnsi="仿宋" w:cs="仿宋" w:hint="eastAsia"/>
                <w:sz w:val="24"/>
              </w:rPr>
              <w:br/>
              <w:t>征管科技处（通用机打发票）</w:t>
            </w:r>
          </w:p>
        </w:tc>
        <w:tc>
          <w:tcPr>
            <w:tcW w:w="1279" w:type="dxa"/>
            <w:vMerge w:val="restart"/>
            <w:vAlign w:val="center"/>
          </w:tcPr>
          <w:p w:rsidR="00013EC7" w:rsidRDefault="00013EC7">
            <w:pPr>
              <w:spacing w:line="300" w:lineRule="exact"/>
              <w:jc w:val="left"/>
              <w:rPr>
                <w:rFonts w:ascii="仿宋" w:eastAsia="仿宋" w:hAnsi="仿宋" w:cs="仿宋"/>
                <w:sz w:val="24"/>
              </w:rPr>
            </w:pPr>
          </w:p>
        </w:tc>
      </w:tr>
      <w:tr w:rsidR="00013EC7">
        <w:trPr>
          <w:trHeight w:val="3488"/>
          <w:jc w:val="center"/>
        </w:trPr>
        <w:tc>
          <w:tcPr>
            <w:tcW w:w="1139" w:type="dxa"/>
            <w:vMerge/>
            <w:textDirection w:val="tbRlV"/>
            <w:vAlign w:val="center"/>
          </w:tcPr>
          <w:p w:rsidR="00013EC7" w:rsidRDefault="00013EC7">
            <w:pPr>
              <w:jc w:val="left"/>
              <w:rPr>
                <w:rFonts w:ascii="仿宋" w:eastAsia="仿宋" w:hAnsi="仿宋" w:cs="仿宋"/>
                <w:sz w:val="24"/>
              </w:rPr>
            </w:pPr>
          </w:p>
        </w:tc>
        <w:tc>
          <w:tcPr>
            <w:tcW w:w="1134" w:type="dxa"/>
            <w:vMerge/>
            <w:vAlign w:val="center"/>
          </w:tcPr>
          <w:p w:rsidR="00013EC7" w:rsidRDefault="00013EC7">
            <w:pPr>
              <w:jc w:val="left"/>
              <w:rPr>
                <w:rFonts w:ascii="仿宋" w:eastAsia="仿宋" w:hAnsi="仿宋" w:cs="仿宋"/>
                <w:sz w:val="24"/>
              </w:rPr>
            </w:pPr>
          </w:p>
        </w:tc>
        <w:tc>
          <w:tcPr>
            <w:tcW w:w="3969" w:type="dxa"/>
            <w:vMerge/>
            <w:vAlign w:val="center"/>
          </w:tcPr>
          <w:p w:rsidR="00013EC7" w:rsidRDefault="00013EC7">
            <w:pPr>
              <w:jc w:val="left"/>
              <w:rPr>
                <w:rFonts w:ascii="仿宋" w:eastAsia="仿宋" w:hAnsi="仿宋" w:cs="仿宋"/>
                <w:sz w:val="24"/>
              </w:rPr>
            </w:pPr>
          </w:p>
        </w:tc>
        <w:tc>
          <w:tcPr>
            <w:tcW w:w="2126" w:type="dxa"/>
            <w:tcBorders>
              <w:top w:val="single" w:sz="4" w:space="0" w:color="auto"/>
            </w:tcBorders>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（二）领用增值税专用发票、机动车销售统一发票和增值税普通发票的，应提供金税盘（税控盘）、报税盘。</w:t>
            </w:r>
          </w:p>
        </w:tc>
        <w:tc>
          <w:tcPr>
            <w:tcW w:w="1134" w:type="dxa"/>
            <w:vMerge/>
            <w:vAlign w:val="center"/>
          </w:tcPr>
          <w:p w:rsidR="00013EC7" w:rsidRDefault="00013EC7">
            <w:pPr>
              <w:jc w:val="left"/>
              <w:rPr>
                <w:rFonts w:ascii="仿宋" w:eastAsia="仿宋" w:hAnsi="仿宋" w:cs="仿宋"/>
                <w:sz w:val="24"/>
              </w:rPr>
            </w:pPr>
          </w:p>
        </w:tc>
        <w:tc>
          <w:tcPr>
            <w:tcW w:w="1559" w:type="dxa"/>
            <w:vAlign w:val="center"/>
          </w:tcPr>
          <w:p w:rsidR="00013EC7" w:rsidRDefault="00575CDB">
            <w:pPr>
              <w:jc w:val="left"/>
              <w:rPr>
                <w:rFonts w:ascii="仿宋" w:eastAsia="仿宋" w:hAnsi="仿宋" w:cs="仿宋"/>
                <w:sz w:val="24"/>
              </w:rPr>
            </w:pPr>
            <w:r>
              <w:rPr>
                <w:rFonts w:ascii="仿宋" w:eastAsia="仿宋" w:hAnsi="仿宋" w:cs="仿宋" w:hint="eastAsia"/>
                <w:sz w:val="24"/>
              </w:rPr>
              <w:t>（一）领用增值税专用发票、机动车销售统一发票和增值税普通发票的，应提供金税盘（税控盘）、报税盘。</w:t>
            </w:r>
          </w:p>
        </w:tc>
        <w:tc>
          <w:tcPr>
            <w:tcW w:w="1121"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纳税人提交</w:t>
            </w:r>
          </w:p>
        </w:tc>
        <w:tc>
          <w:tcPr>
            <w:tcW w:w="3318"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纳税人提交书面材料。</w:t>
            </w:r>
          </w:p>
          <w:p w:rsidR="00013EC7" w:rsidRDefault="00575CDB">
            <w:pPr>
              <w:spacing w:line="300" w:lineRule="exact"/>
              <w:jc w:val="left"/>
              <w:rPr>
                <w:rFonts w:ascii="仿宋" w:eastAsia="仿宋" w:hAnsi="仿宋" w:cs="仿宋"/>
                <w:sz w:val="24"/>
              </w:rPr>
            </w:pPr>
            <w:r>
              <w:rPr>
                <w:rFonts w:ascii="仿宋" w:eastAsia="仿宋" w:hAnsi="仿宋" w:cs="仿宋" w:hint="eastAsia"/>
                <w:b/>
                <w:sz w:val="24"/>
              </w:rPr>
              <w:t>网上办理：</w:t>
            </w:r>
            <w:r>
              <w:rPr>
                <w:rFonts w:ascii="仿宋" w:eastAsia="仿宋" w:hAnsi="仿宋" w:cs="仿宋" w:hint="eastAsia"/>
                <w:sz w:val="24"/>
              </w:rPr>
              <w:t>登录浙江国税电子税务局（网址：http://etax.zjtax.gov.cn/）提交申请。</w:t>
            </w:r>
          </w:p>
          <w:p w:rsidR="00013EC7" w:rsidRDefault="00575CDB">
            <w:pPr>
              <w:spacing w:line="300" w:lineRule="exact"/>
              <w:jc w:val="left"/>
              <w:rPr>
                <w:rFonts w:ascii="仿宋" w:eastAsia="仿宋" w:hAnsi="仿宋" w:cs="仿宋"/>
                <w:sz w:val="24"/>
              </w:rPr>
            </w:pPr>
            <w:r>
              <w:rPr>
                <w:rFonts w:ascii="仿宋" w:eastAsia="仿宋" w:hAnsi="仿宋" w:cs="仿宋" w:hint="eastAsia"/>
                <w:b/>
                <w:sz w:val="24"/>
              </w:rPr>
              <w:t>APP办理：</w:t>
            </w:r>
            <w:r>
              <w:rPr>
                <w:rFonts w:ascii="仿宋" w:eastAsia="仿宋" w:hAnsi="仿宋" w:cs="仿宋" w:hint="eastAsia"/>
                <w:sz w:val="24"/>
              </w:rPr>
              <w:t>登录浙江国税APP提交申请。</w:t>
            </w:r>
          </w:p>
        </w:tc>
        <w:tc>
          <w:tcPr>
            <w:tcW w:w="868" w:type="dxa"/>
            <w:vMerge/>
            <w:vAlign w:val="center"/>
          </w:tcPr>
          <w:p w:rsidR="00013EC7" w:rsidRDefault="00013EC7">
            <w:pPr>
              <w:jc w:val="left"/>
              <w:rPr>
                <w:rFonts w:ascii="仿宋" w:eastAsia="仿宋" w:hAnsi="仿宋" w:cs="仿宋"/>
                <w:sz w:val="24"/>
              </w:rPr>
            </w:pPr>
          </w:p>
        </w:tc>
        <w:tc>
          <w:tcPr>
            <w:tcW w:w="930" w:type="dxa"/>
            <w:vMerge/>
            <w:vAlign w:val="center"/>
          </w:tcPr>
          <w:p w:rsidR="00013EC7" w:rsidRDefault="00013EC7">
            <w:pPr>
              <w:jc w:val="left"/>
              <w:rPr>
                <w:rFonts w:ascii="仿宋" w:eastAsia="仿宋" w:hAnsi="仿宋" w:cs="仿宋"/>
                <w:sz w:val="24"/>
              </w:rPr>
            </w:pPr>
          </w:p>
        </w:tc>
        <w:tc>
          <w:tcPr>
            <w:tcW w:w="993" w:type="dxa"/>
            <w:vMerge/>
            <w:vAlign w:val="center"/>
          </w:tcPr>
          <w:p w:rsidR="00013EC7" w:rsidRDefault="00013EC7">
            <w:pPr>
              <w:jc w:val="left"/>
              <w:rPr>
                <w:rFonts w:ascii="仿宋" w:eastAsia="仿宋" w:hAnsi="仿宋" w:cs="仿宋"/>
                <w:sz w:val="24"/>
              </w:rPr>
            </w:pPr>
          </w:p>
        </w:tc>
        <w:tc>
          <w:tcPr>
            <w:tcW w:w="1134" w:type="dxa"/>
            <w:vMerge/>
            <w:vAlign w:val="center"/>
          </w:tcPr>
          <w:p w:rsidR="00013EC7" w:rsidRDefault="00013EC7">
            <w:pPr>
              <w:jc w:val="left"/>
              <w:rPr>
                <w:rFonts w:ascii="仿宋" w:eastAsia="仿宋" w:hAnsi="仿宋" w:cs="仿宋"/>
                <w:sz w:val="24"/>
              </w:rPr>
            </w:pPr>
          </w:p>
        </w:tc>
        <w:tc>
          <w:tcPr>
            <w:tcW w:w="1279" w:type="dxa"/>
            <w:vMerge/>
            <w:vAlign w:val="center"/>
          </w:tcPr>
          <w:p w:rsidR="00013EC7" w:rsidRDefault="00013EC7">
            <w:pPr>
              <w:jc w:val="left"/>
              <w:rPr>
                <w:rFonts w:ascii="仿宋" w:eastAsia="仿宋" w:hAnsi="仿宋" w:cs="仿宋"/>
                <w:sz w:val="24"/>
              </w:rPr>
            </w:pPr>
          </w:p>
        </w:tc>
      </w:tr>
      <w:tr w:rsidR="00013EC7">
        <w:trPr>
          <w:trHeight w:val="1162"/>
          <w:jc w:val="center"/>
        </w:trPr>
        <w:tc>
          <w:tcPr>
            <w:tcW w:w="1139" w:type="dxa"/>
            <w:vMerge/>
            <w:tcBorders>
              <w:bottom w:val="single" w:sz="4" w:space="0" w:color="auto"/>
            </w:tcBorders>
            <w:textDirection w:val="tbRlV"/>
            <w:vAlign w:val="center"/>
          </w:tcPr>
          <w:p w:rsidR="00013EC7" w:rsidRDefault="00013EC7">
            <w:pPr>
              <w:jc w:val="left"/>
              <w:rPr>
                <w:rFonts w:ascii="仿宋" w:eastAsia="仿宋" w:hAnsi="仿宋" w:cs="仿宋"/>
                <w:sz w:val="24"/>
              </w:rPr>
            </w:pPr>
          </w:p>
        </w:tc>
        <w:tc>
          <w:tcPr>
            <w:tcW w:w="1134" w:type="dxa"/>
            <w:vMerge/>
            <w:tcBorders>
              <w:bottom w:val="single" w:sz="4" w:space="0" w:color="auto"/>
            </w:tcBorders>
            <w:vAlign w:val="center"/>
          </w:tcPr>
          <w:p w:rsidR="00013EC7" w:rsidRDefault="00013EC7">
            <w:pPr>
              <w:jc w:val="left"/>
              <w:rPr>
                <w:rFonts w:ascii="仿宋" w:eastAsia="仿宋" w:hAnsi="仿宋" w:cs="仿宋"/>
                <w:sz w:val="24"/>
              </w:rPr>
            </w:pPr>
          </w:p>
        </w:tc>
        <w:tc>
          <w:tcPr>
            <w:tcW w:w="3969" w:type="dxa"/>
            <w:vMerge/>
            <w:tcBorders>
              <w:bottom w:val="single" w:sz="4" w:space="0" w:color="auto"/>
            </w:tcBorders>
            <w:vAlign w:val="center"/>
          </w:tcPr>
          <w:p w:rsidR="00013EC7" w:rsidRDefault="00013EC7">
            <w:pPr>
              <w:jc w:val="left"/>
              <w:rPr>
                <w:rFonts w:ascii="仿宋" w:eastAsia="仿宋" w:hAnsi="仿宋" w:cs="仿宋"/>
                <w:sz w:val="24"/>
              </w:rPr>
            </w:pPr>
          </w:p>
        </w:tc>
        <w:tc>
          <w:tcPr>
            <w:tcW w:w="2126" w:type="dxa"/>
            <w:tcBorders>
              <w:bottom w:val="single" w:sz="4" w:space="0" w:color="auto"/>
            </w:tcBorders>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（三）经办人身份证明（原件查验）。</w:t>
            </w:r>
          </w:p>
        </w:tc>
        <w:tc>
          <w:tcPr>
            <w:tcW w:w="1134" w:type="dxa"/>
            <w:vMerge/>
            <w:tcBorders>
              <w:bottom w:val="single" w:sz="4" w:space="0" w:color="auto"/>
            </w:tcBorders>
            <w:vAlign w:val="center"/>
          </w:tcPr>
          <w:p w:rsidR="00013EC7" w:rsidRDefault="00013EC7">
            <w:pPr>
              <w:jc w:val="left"/>
              <w:rPr>
                <w:rFonts w:ascii="仿宋" w:eastAsia="仿宋" w:hAnsi="仿宋" w:cs="仿宋"/>
                <w:sz w:val="24"/>
              </w:rPr>
            </w:pPr>
          </w:p>
        </w:tc>
        <w:tc>
          <w:tcPr>
            <w:tcW w:w="1559" w:type="dxa"/>
            <w:tcBorders>
              <w:bottom w:val="single" w:sz="4" w:space="0" w:color="auto"/>
            </w:tcBorders>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（二）经办人身份证明（原件查验）。</w:t>
            </w:r>
          </w:p>
        </w:tc>
        <w:tc>
          <w:tcPr>
            <w:tcW w:w="1121" w:type="dxa"/>
            <w:vMerge/>
            <w:tcBorders>
              <w:bottom w:val="single" w:sz="4" w:space="0" w:color="auto"/>
            </w:tcBorders>
            <w:vAlign w:val="center"/>
          </w:tcPr>
          <w:p w:rsidR="00013EC7" w:rsidRDefault="00013EC7">
            <w:pPr>
              <w:jc w:val="left"/>
              <w:rPr>
                <w:rFonts w:ascii="仿宋" w:eastAsia="仿宋" w:hAnsi="仿宋" w:cs="仿宋"/>
                <w:sz w:val="24"/>
              </w:rPr>
            </w:pPr>
          </w:p>
        </w:tc>
        <w:tc>
          <w:tcPr>
            <w:tcW w:w="3318" w:type="dxa"/>
            <w:vMerge/>
            <w:tcBorders>
              <w:bottom w:val="single" w:sz="4" w:space="0" w:color="auto"/>
            </w:tcBorders>
            <w:vAlign w:val="center"/>
          </w:tcPr>
          <w:p w:rsidR="00013EC7" w:rsidRDefault="00013EC7">
            <w:pPr>
              <w:spacing w:line="300" w:lineRule="exact"/>
              <w:jc w:val="left"/>
              <w:rPr>
                <w:rFonts w:ascii="仿宋" w:eastAsia="仿宋" w:hAnsi="仿宋" w:cs="仿宋"/>
                <w:sz w:val="24"/>
              </w:rPr>
            </w:pPr>
          </w:p>
        </w:tc>
        <w:tc>
          <w:tcPr>
            <w:tcW w:w="868" w:type="dxa"/>
            <w:vMerge/>
            <w:tcBorders>
              <w:bottom w:val="single" w:sz="4" w:space="0" w:color="auto"/>
            </w:tcBorders>
            <w:vAlign w:val="center"/>
          </w:tcPr>
          <w:p w:rsidR="00013EC7" w:rsidRDefault="00013EC7">
            <w:pPr>
              <w:jc w:val="left"/>
              <w:rPr>
                <w:rFonts w:ascii="仿宋" w:eastAsia="仿宋" w:hAnsi="仿宋" w:cs="仿宋"/>
                <w:sz w:val="24"/>
              </w:rPr>
            </w:pPr>
          </w:p>
        </w:tc>
        <w:tc>
          <w:tcPr>
            <w:tcW w:w="930" w:type="dxa"/>
            <w:vMerge/>
            <w:tcBorders>
              <w:bottom w:val="single" w:sz="4" w:space="0" w:color="auto"/>
            </w:tcBorders>
            <w:vAlign w:val="center"/>
          </w:tcPr>
          <w:p w:rsidR="00013EC7" w:rsidRDefault="00013EC7">
            <w:pPr>
              <w:jc w:val="left"/>
              <w:rPr>
                <w:rFonts w:ascii="仿宋" w:eastAsia="仿宋" w:hAnsi="仿宋" w:cs="仿宋"/>
                <w:sz w:val="24"/>
              </w:rPr>
            </w:pPr>
          </w:p>
        </w:tc>
        <w:tc>
          <w:tcPr>
            <w:tcW w:w="993" w:type="dxa"/>
            <w:vMerge/>
            <w:tcBorders>
              <w:bottom w:val="single" w:sz="4" w:space="0" w:color="auto"/>
            </w:tcBorders>
            <w:vAlign w:val="center"/>
          </w:tcPr>
          <w:p w:rsidR="00013EC7" w:rsidRDefault="00013EC7">
            <w:pPr>
              <w:jc w:val="left"/>
              <w:rPr>
                <w:rFonts w:ascii="仿宋" w:eastAsia="仿宋" w:hAnsi="仿宋" w:cs="仿宋"/>
                <w:sz w:val="24"/>
              </w:rPr>
            </w:pPr>
          </w:p>
        </w:tc>
        <w:tc>
          <w:tcPr>
            <w:tcW w:w="1134" w:type="dxa"/>
            <w:vMerge/>
            <w:tcBorders>
              <w:bottom w:val="single" w:sz="4" w:space="0" w:color="auto"/>
            </w:tcBorders>
            <w:vAlign w:val="center"/>
          </w:tcPr>
          <w:p w:rsidR="00013EC7" w:rsidRDefault="00013EC7">
            <w:pPr>
              <w:jc w:val="left"/>
              <w:rPr>
                <w:rFonts w:ascii="仿宋" w:eastAsia="仿宋" w:hAnsi="仿宋" w:cs="仿宋"/>
                <w:sz w:val="24"/>
              </w:rPr>
            </w:pPr>
          </w:p>
        </w:tc>
        <w:tc>
          <w:tcPr>
            <w:tcW w:w="1279" w:type="dxa"/>
            <w:vMerge/>
            <w:tcBorders>
              <w:bottom w:val="single" w:sz="4" w:space="0" w:color="auto"/>
            </w:tcBorders>
            <w:vAlign w:val="center"/>
          </w:tcPr>
          <w:p w:rsidR="00013EC7" w:rsidRDefault="00013EC7">
            <w:pPr>
              <w:jc w:val="left"/>
              <w:rPr>
                <w:rFonts w:ascii="仿宋" w:eastAsia="仿宋" w:hAnsi="仿宋" w:cs="仿宋"/>
                <w:sz w:val="24"/>
              </w:rPr>
            </w:pPr>
          </w:p>
        </w:tc>
      </w:tr>
    </w:tbl>
    <w:p w:rsidR="00013EC7" w:rsidRDefault="00013EC7">
      <w:pPr>
        <w:jc w:val="left"/>
        <w:rPr>
          <w:rFonts w:eastAsia="方正书宋简体"/>
          <w:sz w:val="24"/>
        </w:rPr>
      </w:pPr>
    </w:p>
    <w:p w:rsidR="00013EC7" w:rsidRDefault="005262E6">
      <w:r>
        <w:lastRenderedPageBreak/>
        <w:object w:dxaOrig="1440" w:dyaOrig="1440">
          <v:shape id="对象 190" o:spid="_x0000_s1279" type="#_x0000_t75" style="position:absolute;left:0;text-align:left;margin-left:7.2pt;margin-top:94.25pt;width:435.95pt;height:539.1pt;z-index:251618304;mso-wrap-distance-top:0;mso-wrap-distance-bottom:0;mso-position-vertical-relative:page;mso-width-relative:page;mso-height-relative:page">
            <v:imagedata r:id="rId142" o:title=""/>
            <w10:wrap type="topAndBottom" anchory="page"/>
          </v:shape>
          <o:OLEObject Type="Embed" ProgID="Visio.Drawing.11" ShapeID="对象 190" DrawAspect="Content" ObjectID="_1577296201" r:id="rId143"/>
        </w:object>
      </w:r>
      <w:r>
        <w:rPr>
          <w:lang w:val="zh-CN"/>
        </w:rPr>
        <w:object w:dxaOrig="1440" w:dyaOrig="1440">
          <v:shape id="对象 191" o:spid="_x0000_s1280" type="#_x0000_t75" alt="5928676981508729125595" style="position:absolute;left:0;text-align:left;margin-left:581.05pt;margin-top:92.15pt;width:432.65pt;height:571.6pt;z-index:251619328;mso-wrap-distance-left:9pt;mso-wrap-distance-top:0;mso-wrap-distance-right:9pt;mso-wrap-distance-bottom:0;mso-position-vertical-relative:page;mso-width-relative:page;mso-height-relative:page">
            <v:imagedata r:id="rId144" o:title="5928676981508729125595"/>
            <o:lock v:ext="edit" aspectratio="f"/>
            <w10:wrap type="square" anchory="page"/>
          </v:shape>
          <o:OLEObject Type="Embed" ProgID="Visio.Drawing.11" ShapeID="对象 191" DrawAspect="Content" ObjectID="_1577296202" r:id="rId145"/>
        </w:object>
      </w:r>
    </w:p>
    <w:p w:rsidR="00013EC7" w:rsidRDefault="00575CDB">
      <w:pPr>
        <w:widowControl/>
        <w:jc w:val="left"/>
        <w:rPr>
          <w:rFonts w:eastAsia="方正书宋简体"/>
          <w:szCs w:val="21"/>
        </w:rPr>
      </w:pPr>
      <w:r>
        <w:rPr>
          <w:rFonts w:eastAsia="方正书宋简体"/>
          <w:szCs w:val="21"/>
        </w:rPr>
        <w:br w:type="page"/>
      </w:r>
    </w:p>
    <w:p w:rsidR="00013EC7" w:rsidRDefault="00013EC7">
      <w:pPr>
        <w:rPr>
          <w:rFonts w:eastAsia="方正书宋简体"/>
          <w:szCs w:val="21"/>
        </w:rPr>
      </w:pPr>
    </w:p>
    <w:p w:rsidR="00013EC7" w:rsidRDefault="00575CDB">
      <w:pPr>
        <w:pStyle w:val="2"/>
      </w:pPr>
      <w:bookmarkStart w:id="211" w:name="_Toc498705715"/>
      <w:bookmarkStart w:id="212" w:name="_Toc28633"/>
      <w:bookmarkStart w:id="213" w:name="_Toc26750"/>
      <w:bookmarkStart w:id="214" w:name="_Toc8749"/>
      <w:bookmarkStart w:id="215" w:name="_Toc503467403"/>
      <w:r>
        <w:rPr>
          <w:rFonts w:hint="eastAsia"/>
        </w:rPr>
        <w:t>12.7</w:t>
      </w:r>
      <w:r>
        <w:rPr>
          <w:rFonts w:hint="eastAsia"/>
        </w:rPr>
        <w:t>发票退回</w:t>
      </w:r>
      <w:bookmarkEnd w:id="211"/>
      <w:bookmarkEnd w:id="212"/>
      <w:bookmarkEnd w:id="213"/>
      <w:bookmarkEnd w:id="214"/>
      <w:bookmarkEnd w:id="215"/>
    </w:p>
    <w:p w:rsidR="00013EC7" w:rsidRDefault="00575CDB">
      <w:pPr>
        <w:jc w:val="center"/>
        <w:rPr>
          <w:rFonts w:ascii="宋体" w:hAnsi="宋体" w:cs="宋体"/>
          <w:b/>
          <w:bCs/>
          <w:sz w:val="52"/>
          <w:szCs w:val="52"/>
        </w:rPr>
      </w:pPr>
      <w:r>
        <w:rPr>
          <w:rFonts w:ascii="宋体" w:hAnsi="宋体" w:cs="宋体" w:hint="eastAsia"/>
          <w:b/>
          <w:bCs/>
          <w:sz w:val="52"/>
          <w:szCs w:val="52"/>
        </w:rPr>
        <w:t>全省“最多跑一次”事项“八统一”梳理表</w:t>
      </w:r>
    </w:p>
    <w:tbl>
      <w:tblPr>
        <w:tblW w:w="20704"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1250"/>
        <w:gridCol w:w="1316"/>
        <w:gridCol w:w="2114"/>
        <w:gridCol w:w="2785"/>
        <w:gridCol w:w="1118"/>
        <w:gridCol w:w="2403"/>
        <w:gridCol w:w="1196"/>
        <w:gridCol w:w="3318"/>
        <w:gridCol w:w="868"/>
        <w:gridCol w:w="930"/>
        <w:gridCol w:w="993"/>
        <w:gridCol w:w="1134"/>
        <w:gridCol w:w="1279"/>
      </w:tblGrid>
      <w:tr w:rsidR="00013EC7">
        <w:trPr>
          <w:trHeight w:val="340"/>
          <w:tblHeader/>
          <w:jc w:val="center"/>
        </w:trPr>
        <w:tc>
          <w:tcPr>
            <w:tcW w:w="1250"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主项名称</w:t>
            </w:r>
          </w:p>
        </w:tc>
        <w:tc>
          <w:tcPr>
            <w:tcW w:w="1316"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子项名称</w:t>
            </w:r>
          </w:p>
        </w:tc>
        <w:tc>
          <w:tcPr>
            <w:tcW w:w="2114"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经办依据</w:t>
            </w:r>
          </w:p>
        </w:tc>
        <w:tc>
          <w:tcPr>
            <w:tcW w:w="3903"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原经办所需材料</w:t>
            </w:r>
          </w:p>
        </w:tc>
        <w:tc>
          <w:tcPr>
            <w:tcW w:w="6917" w:type="dxa"/>
            <w:gridSpan w:val="3"/>
            <w:vAlign w:val="center"/>
          </w:tcPr>
          <w:p w:rsidR="00013EC7" w:rsidRDefault="00575CDB">
            <w:pPr>
              <w:spacing w:line="280" w:lineRule="exact"/>
              <w:jc w:val="center"/>
              <w:rPr>
                <w:rFonts w:ascii="黑体" w:eastAsia="黑体"/>
                <w:sz w:val="24"/>
              </w:rPr>
            </w:pPr>
            <w:r>
              <w:rPr>
                <w:rFonts w:ascii="黑体" w:eastAsia="黑体" w:hint="eastAsia"/>
                <w:sz w:val="24"/>
              </w:rPr>
              <w:t>梳理后经办所需材料</w:t>
            </w:r>
          </w:p>
        </w:tc>
        <w:tc>
          <w:tcPr>
            <w:tcW w:w="1798"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办理时限</w:t>
            </w:r>
          </w:p>
        </w:tc>
        <w:tc>
          <w:tcPr>
            <w:tcW w:w="993"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是否实现跑零次</w:t>
            </w:r>
          </w:p>
        </w:tc>
        <w:tc>
          <w:tcPr>
            <w:tcW w:w="1134"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省厅对口</w:t>
            </w:r>
          </w:p>
          <w:p w:rsidR="00013EC7" w:rsidRDefault="00575CDB">
            <w:pPr>
              <w:spacing w:line="280" w:lineRule="exact"/>
              <w:jc w:val="center"/>
              <w:rPr>
                <w:rFonts w:ascii="黑体" w:eastAsia="黑体"/>
                <w:sz w:val="24"/>
              </w:rPr>
            </w:pPr>
            <w:r>
              <w:rPr>
                <w:rFonts w:ascii="黑体" w:eastAsia="黑体" w:hint="eastAsia"/>
                <w:sz w:val="24"/>
              </w:rPr>
              <w:t>指导处室</w:t>
            </w:r>
          </w:p>
          <w:p w:rsidR="00013EC7" w:rsidRDefault="00575CDB">
            <w:pPr>
              <w:spacing w:line="280" w:lineRule="exact"/>
              <w:jc w:val="center"/>
              <w:rPr>
                <w:rFonts w:ascii="黑体" w:eastAsia="黑体"/>
                <w:sz w:val="24"/>
              </w:rPr>
            </w:pPr>
            <w:r>
              <w:rPr>
                <w:rFonts w:ascii="黑体" w:eastAsia="黑体" w:hint="eastAsia"/>
                <w:sz w:val="24"/>
              </w:rPr>
              <w:t>（单位）</w:t>
            </w:r>
          </w:p>
        </w:tc>
        <w:tc>
          <w:tcPr>
            <w:tcW w:w="1279"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进一步精简、规范建议</w:t>
            </w:r>
          </w:p>
        </w:tc>
      </w:tr>
      <w:tr w:rsidR="00013EC7">
        <w:trPr>
          <w:trHeight w:val="340"/>
          <w:tblHeader/>
          <w:jc w:val="center"/>
        </w:trPr>
        <w:tc>
          <w:tcPr>
            <w:tcW w:w="1250" w:type="dxa"/>
            <w:vMerge/>
            <w:vAlign w:val="center"/>
          </w:tcPr>
          <w:p w:rsidR="00013EC7" w:rsidRDefault="00013EC7">
            <w:pPr>
              <w:rPr>
                <w:sz w:val="24"/>
              </w:rPr>
            </w:pPr>
          </w:p>
        </w:tc>
        <w:tc>
          <w:tcPr>
            <w:tcW w:w="1316" w:type="dxa"/>
            <w:vMerge/>
          </w:tcPr>
          <w:p w:rsidR="00013EC7" w:rsidRDefault="00013EC7">
            <w:pPr>
              <w:rPr>
                <w:sz w:val="24"/>
              </w:rPr>
            </w:pPr>
          </w:p>
        </w:tc>
        <w:tc>
          <w:tcPr>
            <w:tcW w:w="2114" w:type="dxa"/>
            <w:vMerge/>
          </w:tcPr>
          <w:p w:rsidR="00013EC7" w:rsidRDefault="00013EC7">
            <w:pPr>
              <w:rPr>
                <w:sz w:val="24"/>
              </w:rPr>
            </w:pPr>
          </w:p>
        </w:tc>
        <w:tc>
          <w:tcPr>
            <w:tcW w:w="2785" w:type="dxa"/>
            <w:tcBorders>
              <w:bottom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118"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2403" w:type="dxa"/>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196"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3318" w:type="dxa"/>
            <w:vAlign w:val="center"/>
          </w:tcPr>
          <w:p w:rsidR="00013EC7" w:rsidRDefault="00575CDB">
            <w:pPr>
              <w:spacing w:line="280" w:lineRule="exact"/>
              <w:jc w:val="center"/>
              <w:rPr>
                <w:rFonts w:ascii="黑体" w:eastAsia="黑体"/>
                <w:sz w:val="24"/>
              </w:rPr>
            </w:pPr>
            <w:r>
              <w:rPr>
                <w:rFonts w:ascii="黑体" w:eastAsia="黑体" w:hint="eastAsia"/>
                <w:sz w:val="24"/>
              </w:rPr>
              <w:t>办理方式及材料</w:t>
            </w:r>
          </w:p>
          <w:p w:rsidR="00013EC7" w:rsidRDefault="00575CDB">
            <w:pPr>
              <w:spacing w:line="280" w:lineRule="exact"/>
              <w:jc w:val="center"/>
              <w:rPr>
                <w:rFonts w:ascii="黑体" w:eastAsia="黑体"/>
                <w:sz w:val="24"/>
              </w:rPr>
            </w:pPr>
            <w:r>
              <w:rPr>
                <w:rFonts w:ascii="黑体" w:eastAsia="黑体" w:hint="eastAsia"/>
                <w:sz w:val="24"/>
              </w:rPr>
              <w:t>信息获取方式说明</w:t>
            </w:r>
          </w:p>
        </w:tc>
        <w:tc>
          <w:tcPr>
            <w:tcW w:w="868" w:type="dxa"/>
            <w:vAlign w:val="center"/>
          </w:tcPr>
          <w:p w:rsidR="00013EC7" w:rsidRDefault="00575CDB">
            <w:pPr>
              <w:spacing w:line="280" w:lineRule="exact"/>
              <w:jc w:val="center"/>
              <w:rPr>
                <w:rFonts w:ascii="黑体" w:eastAsia="黑体"/>
                <w:sz w:val="24"/>
              </w:rPr>
            </w:pPr>
            <w:r>
              <w:rPr>
                <w:rFonts w:ascii="黑体" w:eastAsia="黑体" w:hint="eastAsia"/>
                <w:sz w:val="24"/>
              </w:rPr>
              <w:t>优化前</w:t>
            </w:r>
          </w:p>
        </w:tc>
        <w:tc>
          <w:tcPr>
            <w:tcW w:w="930" w:type="dxa"/>
            <w:vAlign w:val="center"/>
          </w:tcPr>
          <w:p w:rsidR="00013EC7" w:rsidRDefault="00575CDB">
            <w:pPr>
              <w:spacing w:line="280" w:lineRule="exact"/>
              <w:jc w:val="center"/>
              <w:rPr>
                <w:rFonts w:ascii="黑体" w:eastAsia="黑体"/>
                <w:sz w:val="24"/>
              </w:rPr>
            </w:pPr>
            <w:r>
              <w:rPr>
                <w:rFonts w:ascii="黑体" w:eastAsia="黑体" w:hint="eastAsia"/>
                <w:sz w:val="24"/>
              </w:rPr>
              <w:t>优化后</w:t>
            </w:r>
          </w:p>
        </w:tc>
        <w:tc>
          <w:tcPr>
            <w:tcW w:w="993" w:type="dxa"/>
            <w:vMerge/>
            <w:vAlign w:val="center"/>
          </w:tcPr>
          <w:p w:rsidR="00013EC7" w:rsidRDefault="00013EC7">
            <w:pPr>
              <w:rPr>
                <w:sz w:val="24"/>
              </w:rPr>
            </w:pPr>
          </w:p>
        </w:tc>
        <w:tc>
          <w:tcPr>
            <w:tcW w:w="1134" w:type="dxa"/>
            <w:vMerge/>
            <w:vAlign w:val="center"/>
          </w:tcPr>
          <w:p w:rsidR="00013EC7" w:rsidRDefault="00013EC7">
            <w:pPr>
              <w:rPr>
                <w:sz w:val="24"/>
              </w:rPr>
            </w:pPr>
          </w:p>
        </w:tc>
        <w:tc>
          <w:tcPr>
            <w:tcW w:w="1279" w:type="dxa"/>
            <w:vMerge/>
            <w:vAlign w:val="center"/>
          </w:tcPr>
          <w:p w:rsidR="00013EC7" w:rsidRDefault="00013EC7">
            <w:pPr>
              <w:rPr>
                <w:sz w:val="24"/>
              </w:rPr>
            </w:pPr>
          </w:p>
        </w:tc>
      </w:tr>
      <w:tr w:rsidR="00013EC7">
        <w:trPr>
          <w:trHeight w:val="1475"/>
          <w:jc w:val="center"/>
        </w:trPr>
        <w:tc>
          <w:tcPr>
            <w:tcW w:w="1250"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12发票领用</w:t>
            </w:r>
          </w:p>
        </w:tc>
        <w:tc>
          <w:tcPr>
            <w:tcW w:w="1316" w:type="dxa"/>
            <w:vMerge w:val="restart"/>
            <w:vAlign w:val="center"/>
          </w:tcPr>
          <w:p w:rsidR="00013EC7" w:rsidRDefault="00575CDB">
            <w:pPr>
              <w:spacing w:line="310" w:lineRule="exact"/>
              <w:jc w:val="left"/>
              <w:rPr>
                <w:rFonts w:ascii="仿宋" w:eastAsia="仿宋" w:hAnsi="仿宋" w:cs="仿宋"/>
                <w:sz w:val="24"/>
              </w:rPr>
            </w:pPr>
            <w:r>
              <w:rPr>
                <w:rFonts w:ascii="仿宋" w:eastAsia="仿宋" w:hAnsi="仿宋" w:cs="仿宋" w:hint="eastAsia"/>
                <w:sz w:val="24"/>
              </w:rPr>
              <w:t>12.7发票退回</w:t>
            </w:r>
          </w:p>
        </w:tc>
        <w:tc>
          <w:tcPr>
            <w:tcW w:w="2114" w:type="dxa"/>
            <w:vMerge w:val="restart"/>
            <w:vAlign w:val="center"/>
          </w:tcPr>
          <w:p w:rsidR="00013EC7" w:rsidRDefault="00575CDB">
            <w:pPr>
              <w:spacing w:line="310" w:lineRule="exact"/>
              <w:jc w:val="left"/>
              <w:rPr>
                <w:rFonts w:ascii="仿宋" w:eastAsia="仿宋" w:hAnsi="仿宋" w:cs="仿宋"/>
                <w:sz w:val="24"/>
              </w:rPr>
            </w:pPr>
            <w:r>
              <w:rPr>
                <w:rFonts w:ascii="仿宋" w:eastAsia="仿宋" w:hAnsi="仿宋" w:cs="仿宋" w:hint="eastAsia"/>
                <w:sz w:val="24"/>
              </w:rPr>
              <w:t>（一）《中华人民共和国税收征收管理法》（2001年中华人民共和国主席令第49号）第二十一条。</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 xml:space="preserve">（二）《中华人民共和国税收征收管理法实施细则》（2002年中华人民共和国国务院令第362号）第十六条。 </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（三）《中华人民共和国发票管理办法》（2001年中华人民共和国国务院令第587号）第二条、第三十条。</w:t>
            </w:r>
          </w:p>
        </w:tc>
        <w:tc>
          <w:tcPr>
            <w:tcW w:w="2785" w:type="dxa"/>
            <w:tcBorders>
              <w:top w:val="single" w:sz="4" w:space="0" w:color="auto"/>
              <w:bottom w:val="single" w:sz="4" w:space="0" w:color="auto"/>
            </w:tcBorders>
            <w:vAlign w:val="center"/>
          </w:tcPr>
          <w:p w:rsidR="00013EC7" w:rsidRDefault="00575CDB">
            <w:pPr>
              <w:spacing w:line="300" w:lineRule="exact"/>
              <w:jc w:val="left"/>
              <w:rPr>
                <w:rFonts w:ascii="仿宋" w:eastAsia="仿宋" w:hAnsi="仿宋" w:cs="仿宋"/>
                <w:sz w:val="24"/>
                <w:shd w:val="clear" w:color="FFFFFF" w:fill="D9D9D9"/>
              </w:rPr>
            </w:pPr>
            <w:r>
              <w:rPr>
                <w:rFonts w:ascii="仿宋" w:eastAsia="仿宋" w:hAnsi="仿宋" w:cs="仿宋" w:hint="eastAsia"/>
                <w:sz w:val="24"/>
                <w:shd w:val="clear" w:color="FFFFFF" w:fill="D9D9D9"/>
              </w:rPr>
              <w:t>（一）（A02009）《发票领用簿》。</w:t>
            </w:r>
          </w:p>
        </w:tc>
        <w:tc>
          <w:tcPr>
            <w:tcW w:w="1118"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纳税人提交</w:t>
            </w:r>
          </w:p>
        </w:tc>
        <w:tc>
          <w:tcPr>
            <w:tcW w:w="2403" w:type="dxa"/>
            <w:vAlign w:val="center"/>
          </w:tcPr>
          <w:p w:rsidR="00013EC7" w:rsidRDefault="00013EC7">
            <w:pPr>
              <w:spacing w:line="300" w:lineRule="exact"/>
              <w:jc w:val="left"/>
              <w:rPr>
                <w:rFonts w:ascii="仿宋" w:eastAsia="仿宋" w:hAnsi="仿宋" w:cs="仿宋"/>
                <w:sz w:val="24"/>
              </w:rPr>
            </w:pPr>
          </w:p>
        </w:tc>
        <w:tc>
          <w:tcPr>
            <w:tcW w:w="1196" w:type="dxa"/>
            <w:vAlign w:val="center"/>
          </w:tcPr>
          <w:p w:rsidR="00013EC7" w:rsidRDefault="00575CDB">
            <w:pPr>
              <w:spacing w:line="300" w:lineRule="exact"/>
              <w:jc w:val="left"/>
              <w:rPr>
                <w:rFonts w:ascii="仿宋" w:eastAsia="仿宋" w:hAnsi="仿宋" w:cs="仿宋"/>
                <w:b/>
                <w:bCs/>
                <w:iCs/>
                <w:sz w:val="24"/>
              </w:rPr>
            </w:pPr>
            <w:r>
              <w:rPr>
                <w:rFonts w:ascii="仿宋" w:eastAsia="仿宋" w:hAnsi="仿宋" w:cs="仿宋" w:hint="eastAsia"/>
                <w:b/>
                <w:bCs/>
                <w:i/>
                <w:sz w:val="24"/>
              </w:rPr>
              <w:t>取消</w:t>
            </w:r>
          </w:p>
        </w:tc>
        <w:tc>
          <w:tcPr>
            <w:tcW w:w="3318"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纳税人提交税控设备、空白发票。</w:t>
            </w:r>
          </w:p>
        </w:tc>
        <w:tc>
          <w:tcPr>
            <w:tcW w:w="868" w:type="dxa"/>
            <w:vMerge w:val="restart"/>
            <w:vAlign w:val="center"/>
          </w:tcPr>
          <w:p w:rsidR="00013EC7" w:rsidRDefault="00575CDB">
            <w:pPr>
              <w:jc w:val="left"/>
              <w:rPr>
                <w:rFonts w:ascii="仿宋" w:eastAsia="仿宋" w:hAnsi="仿宋" w:cs="仿宋"/>
                <w:sz w:val="24"/>
              </w:rPr>
            </w:pPr>
            <w:r>
              <w:rPr>
                <w:rFonts w:ascii="仿宋" w:eastAsia="仿宋" w:hAnsi="仿宋" w:cs="仿宋" w:hint="eastAsia"/>
                <w:sz w:val="24"/>
              </w:rPr>
              <w:t>即时办结</w:t>
            </w:r>
          </w:p>
        </w:tc>
        <w:tc>
          <w:tcPr>
            <w:tcW w:w="930" w:type="dxa"/>
            <w:vMerge w:val="restart"/>
            <w:vAlign w:val="center"/>
          </w:tcPr>
          <w:p w:rsidR="00013EC7" w:rsidRDefault="00575CDB">
            <w:pPr>
              <w:jc w:val="left"/>
              <w:rPr>
                <w:rFonts w:ascii="仿宋" w:eastAsia="仿宋" w:hAnsi="仿宋" w:cs="仿宋"/>
                <w:sz w:val="24"/>
              </w:rPr>
            </w:pPr>
            <w:r>
              <w:rPr>
                <w:rFonts w:ascii="仿宋" w:eastAsia="仿宋" w:hAnsi="仿宋" w:cs="仿宋" w:hint="eastAsia"/>
                <w:sz w:val="24"/>
              </w:rPr>
              <w:t>即时办结</w:t>
            </w:r>
          </w:p>
        </w:tc>
        <w:tc>
          <w:tcPr>
            <w:tcW w:w="993" w:type="dxa"/>
            <w:vMerge w:val="restart"/>
            <w:vAlign w:val="center"/>
          </w:tcPr>
          <w:p w:rsidR="00013EC7" w:rsidRDefault="00575CDB">
            <w:pPr>
              <w:jc w:val="left"/>
              <w:rPr>
                <w:rFonts w:ascii="仿宋" w:eastAsia="仿宋" w:hAnsi="仿宋" w:cs="仿宋"/>
                <w:sz w:val="24"/>
              </w:rPr>
            </w:pPr>
            <w:r>
              <w:rPr>
                <w:rFonts w:ascii="仿宋" w:eastAsia="仿宋" w:hAnsi="仿宋" w:cs="仿宋" w:hint="eastAsia"/>
                <w:sz w:val="24"/>
              </w:rPr>
              <w:t>否</w:t>
            </w:r>
          </w:p>
        </w:tc>
        <w:tc>
          <w:tcPr>
            <w:tcW w:w="1134" w:type="dxa"/>
            <w:vMerge w:val="restart"/>
            <w:vAlign w:val="center"/>
          </w:tcPr>
          <w:p w:rsidR="00013EC7" w:rsidRDefault="00575CDB">
            <w:pPr>
              <w:jc w:val="left"/>
              <w:rPr>
                <w:rFonts w:ascii="仿宋" w:eastAsia="仿宋" w:hAnsi="仿宋" w:cs="仿宋"/>
                <w:sz w:val="24"/>
              </w:rPr>
            </w:pPr>
            <w:r>
              <w:rPr>
                <w:rFonts w:ascii="仿宋" w:eastAsia="仿宋" w:hAnsi="仿宋" w:cs="仿宋" w:hint="eastAsia"/>
                <w:sz w:val="24"/>
              </w:rPr>
              <w:t>货物和劳务税处（增值税发票）、</w:t>
            </w:r>
            <w:r>
              <w:rPr>
                <w:rFonts w:ascii="仿宋" w:eastAsia="仿宋" w:hAnsi="仿宋" w:cs="仿宋" w:hint="eastAsia"/>
                <w:sz w:val="24"/>
              </w:rPr>
              <w:br/>
              <w:t>征管科技处（通用机打发票）</w:t>
            </w:r>
          </w:p>
        </w:tc>
        <w:tc>
          <w:tcPr>
            <w:tcW w:w="1279" w:type="dxa"/>
            <w:vMerge w:val="restart"/>
            <w:vAlign w:val="center"/>
          </w:tcPr>
          <w:p w:rsidR="00013EC7" w:rsidRDefault="00013EC7">
            <w:pPr>
              <w:spacing w:line="300" w:lineRule="exact"/>
              <w:jc w:val="left"/>
              <w:rPr>
                <w:rFonts w:ascii="仿宋" w:eastAsia="仿宋" w:hAnsi="仿宋" w:cs="仿宋"/>
                <w:sz w:val="24"/>
              </w:rPr>
            </w:pPr>
          </w:p>
        </w:tc>
      </w:tr>
      <w:tr w:rsidR="00013EC7">
        <w:trPr>
          <w:trHeight w:val="4274"/>
          <w:jc w:val="center"/>
        </w:trPr>
        <w:tc>
          <w:tcPr>
            <w:tcW w:w="1250" w:type="dxa"/>
            <w:vMerge/>
            <w:tcBorders>
              <w:bottom w:val="single" w:sz="4" w:space="0" w:color="auto"/>
            </w:tcBorders>
            <w:textDirection w:val="tbRlV"/>
            <w:vAlign w:val="center"/>
          </w:tcPr>
          <w:p w:rsidR="00013EC7" w:rsidRDefault="00013EC7">
            <w:pPr>
              <w:jc w:val="left"/>
              <w:rPr>
                <w:rFonts w:ascii="仿宋" w:eastAsia="仿宋" w:hAnsi="仿宋" w:cs="仿宋"/>
                <w:sz w:val="24"/>
              </w:rPr>
            </w:pPr>
          </w:p>
        </w:tc>
        <w:tc>
          <w:tcPr>
            <w:tcW w:w="1316" w:type="dxa"/>
            <w:vMerge/>
            <w:tcBorders>
              <w:bottom w:val="single" w:sz="4" w:space="0" w:color="auto"/>
            </w:tcBorders>
            <w:vAlign w:val="center"/>
          </w:tcPr>
          <w:p w:rsidR="00013EC7" w:rsidRDefault="00013EC7">
            <w:pPr>
              <w:jc w:val="left"/>
              <w:rPr>
                <w:rFonts w:ascii="仿宋" w:eastAsia="仿宋" w:hAnsi="仿宋" w:cs="仿宋"/>
                <w:sz w:val="24"/>
              </w:rPr>
            </w:pPr>
          </w:p>
        </w:tc>
        <w:tc>
          <w:tcPr>
            <w:tcW w:w="2114" w:type="dxa"/>
            <w:vMerge/>
            <w:tcBorders>
              <w:bottom w:val="single" w:sz="4" w:space="0" w:color="auto"/>
            </w:tcBorders>
            <w:vAlign w:val="center"/>
          </w:tcPr>
          <w:p w:rsidR="00013EC7" w:rsidRDefault="00013EC7">
            <w:pPr>
              <w:jc w:val="left"/>
              <w:rPr>
                <w:rFonts w:ascii="仿宋" w:eastAsia="仿宋" w:hAnsi="仿宋" w:cs="仿宋"/>
                <w:sz w:val="24"/>
              </w:rPr>
            </w:pPr>
          </w:p>
        </w:tc>
        <w:tc>
          <w:tcPr>
            <w:tcW w:w="2785" w:type="dxa"/>
            <w:tcBorders>
              <w:top w:val="single" w:sz="4" w:space="0" w:color="auto"/>
              <w:bottom w:val="single" w:sz="4" w:space="0" w:color="auto"/>
            </w:tcBorders>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（二）退回增值税专用发票、机动车销售统一发票和增值税普通发票的，应提供金税盘（税控盘）、报税盘。</w:t>
            </w:r>
          </w:p>
        </w:tc>
        <w:tc>
          <w:tcPr>
            <w:tcW w:w="1118" w:type="dxa"/>
            <w:vMerge/>
            <w:tcBorders>
              <w:bottom w:val="single" w:sz="4" w:space="0" w:color="auto"/>
            </w:tcBorders>
            <w:vAlign w:val="center"/>
          </w:tcPr>
          <w:p w:rsidR="00013EC7" w:rsidRDefault="00013EC7">
            <w:pPr>
              <w:jc w:val="left"/>
              <w:rPr>
                <w:rFonts w:ascii="仿宋" w:eastAsia="仿宋" w:hAnsi="仿宋" w:cs="仿宋"/>
                <w:sz w:val="24"/>
              </w:rPr>
            </w:pPr>
          </w:p>
        </w:tc>
        <w:tc>
          <w:tcPr>
            <w:tcW w:w="2403" w:type="dxa"/>
            <w:tcBorders>
              <w:bottom w:val="single" w:sz="4" w:space="0" w:color="auto"/>
            </w:tcBorders>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（一）退回增值税专用发票、机动车销售统一发票和增值税普通发票的，应提供金税盘（税控盘）、报税盘。</w:t>
            </w:r>
          </w:p>
        </w:tc>
        <w:tc>
          <w:tcPr>
            <w:tcW w:w="1196" w:type="dxa"/>
            <w:vMerge w:val="restart"/>
            <w:tcBorders>
              <w:bottom w:val="single" w:sz="4" w:space="0" w:color="auto"/>
            </w:tcBorders>
            <w:vAlign w:val="center"/>
          </w:tcPr>
          <w:p w:rsidR="00013EC7" w:rsidRDefault="00575CDB">
            <w:pPr>
              <w:jc w:val="left"/>
              <w:rPr>
                <w:rFonts w:ascii="仿宋" w:eastAsia="仿宋" w:hAnsi="仿宋" w:cs="仿宋"/>
                <w:sz w:val="24"/>
              </w:rPr>
            </w:pPr>
            <w:r>
              <w:rPr>
                <w:rFonts w:ascii="仿宋" w:eastAsia="仿宋" w:hAnsi="仿宋" w:cs="仿宋" w:hint="eastAsia"/>
                <w:sz w:val="24"/>
              </w:rPr>
              <w:t>纳税人提交</w:t>
            </w:r>
          </w:p>
        </w:tc>
        <w:tc>
          <w:tcPr>
            <w:tcW w:w="3318" w:type="dxa"/>
            <w:vMerge/>
            <w:tcBorders>
              <w:bottom w:val="single" w:sz="4" w:space="0" w:color="auto"/>
            </w:tcBorders>
            <w:vAlign w:val="center"/>
          </w:tcPr>
          <w:p w:rsidR="00013EC7" w:rsidRDefault="00013EC7">
            <w:pPr>
              <w:spacing w:line="300" w:lineRule="exact"/>
              <w:jc w:val="left"/>
              <w:rPr>
                <w:rFonts w:ascii="仿宋" w:eastAsia="仿宋" w:hAnsi="仿宋" w:cs="仿宋"/>
                <w:sz w:val="24"/>
              </w:rPr>
            </w:pPr>
          </w:p>
        </w:tc>
        <w:tc>
          <w:tcPr>
            <w:tcW w:w="868" w:type="dxa"/>
            <w:vMerge/>
            <w:tcBorders>
              <w:bottom w:val="single" w:sz="4" w:space="0" w:color="auto"/>
            </w:tcBorders>
            <w:vAlign w:val="center"/>
          </w:tcPr>
          <w:p w:rsidR="00013EC7" w:rsidRDefault="00013EC7">
            <w:pPr>
              <w:jc w:val="left"/>
              <w:rPr>
                <w:rFonts w:ascii="仿宋" w:eastAsia="仿宋" w:hAnsi="仿宋" w:cs="仿宋"/>
                <w:sz w:val="24"/>
              </w:rPr>
            </w:pPr>
          </w:p>
        </w:tc>
        <w:tc>
          <w:tcPr>
            <w:tcW w:w="930" w:type="dxa"/>
            <w:vMerge/>
            <w:tcBorders>
              <w:bottom w:val="single" w:sz="4" w:space="0" w:color="auto"/>
            </w:tcBorders>
            <w:vAlign w:val="center"/>
          </w:tcPr>
          <w:p w:rsidR="00013EC7" w:rsidRDefault="00013EC7">
            <w:pPr>
              <w:jc w:val="left"/>
              <w:rPr>
                <w:rFonts w:ascii="仿宋" w:eastAsia="仿宋" w:hAnsi="仿宋" w:cs="仿宋"/>
                <w:sz w:val="24"/>
              </w:rPr>
            </w:pPr>
          </w:p>
        </w:tc>
        <w:tc>
          <w:tcPr>
            <w:tcW w:w="993" w:type="dxa"/>
            <w:vMerge/>
            <w:tcBorders>
              <w:bottom w:val="single" w:sz="4" w:space="0" w:color="auto"/>
            </w:tcBorders>
            <w:vAlign w:val="center"/>
          </w:tcPr>
          <w:p w:rsidR="00013EC7" w:rsidRDefault="00013EC7">
            <w:pPr>
              <w:jc w:val="left"/>
              <w:rPr>
                <w:rFonts w:ascii="仿宋" w:eastAsia="仿宋" w:hAnsi="仿宋" w:cs="仿宋"/>
                <w:sz w:val="24"/>
              </w:rPr>
            </w:pPr>
          </w:p>
        </w:tc>
        <w:tc>
          <w:tcPr>
            <w:tcW w:w="1134" w:type="dxa"/>
            <w:vMerge/>
            <w:tcBorders>
              <w:bottom w:val="single" w:sz="4" w:space="0" w:color="auto"/>
            </w:tcBorders>
            <w:vAlign w:val="center"/>
          </w:tcPr>
          <w:p w:rsidR="00013EC7" w:rsidRDefault="00013EC7">
            <w:pPr>
              <w:jc w:val="left"/>
              <w:rPr>
                <w:rFonts w:ascii="仿宋" w:eastAsia="仿宋" w:hAnsi="仿宋" w:cs="仿宋"/>
                <w:sz w:val="24"/>
              </w:rPr>
            </w:pPr>
          </w:p>
        </w:tc>
        <w:tc>
          <w:tcPr>
            <w:tcW w:w="1279" w:type="dxa"/>
            <w:vMerge/>
            <w:tcBorders>
              <w:bottom w:val="single" w:sz="4" w:space="0" w:color="auto"/>
            </w:tcBorders>
            <w:vAlign w:val="center"/>
          </w:tcPr>
          <w:p w:rsidR="00013EC7" w:rsidRDefault="00013EC7">
            <w:pPr>
              <w:jc w:val="left"/>
              <w:rPr>
                <w:rFonts w:ascii="仿宋" w:eastAsia="仿宋" w:hAnsi="仿宋" w:cs="仿宋"/>
                <w:sz w:val="24"/>
              </w:rPr>
            </w:pPr>
          </w:p>
        </w:tc>
      </w:tr>
      <w:tr w:rsidR="00013EC7">
        <w:trPr>
          <w:trHeight w:val="1040"/>
          <w:jc w:val="center"/>
        </w:trPr>
        <w:tc>
          <w:tcPr>
            <w:tcW w:w="1250" w:type="dxa"/>
            <w:vMerge/>
            <w:vAlign w:val="center"/>
          </w:tcPr>
          <w:p w:rsidR="00013EC7" w:rsidRDefault="00013EC7">
            <w:pPr>
              <w:jc w:val="left"/>
              <w:rPr>
                <w:rFonts w:ascii="仿宋" w:eastAsia="仿宋" w:hAnsi="仿宋" w:cs="仿宋"/>
                <w:sz w:val="24"/>
              </w:rPr>
            </w:pPr>
          </w:p>
        </w:tc>
        <w:tc>
          <w:tcPr>
            <w:tcW w:w="1316" w:type="dxa"/>
            <w:vMerge/>
            <w:vAlign w:val="center"/>
          </w:tcPr>
          <w:p w:rsidR="00013EC7" w:rsidRDefault="00013EC7">
            <w:pPr>
              <w:jc w:val="left"/>
              <w:rPr>
                <w:rFonts w:ascii="仿宋" w:eastAsia="仿宋" w:hAnsi="仿宋" w:cs="仿宋"/>
                <w:sz w:val="24"/>
              </w:rPr>
            </w:pPr>
          </w:p>
        </w:tc>
        <w:tc>
          <w:tcPr>
            <w:tcW w:w="2114" w:type="dxa"/>
            <w:vMerge/>
            <w:vAlign w:val="center"/>
          </w:tcPr>
          <w:p w:rsidR="00013EC7" w:rsidRDefault="00013EC7">
            <w:pPr>
              <w:jc w:val="left"/>
              <w:rPr>
                <w:rFonts w:ascii="仿宋" w:eastAsia="仿宋" w:hAnsi="仿宋" w:cs="仿宋"/>
                <w:sz w:val="24"/>
              </w:rPr>
            </w:pPr>
          </w:p>
        </w:tc>
        <w:tc>
          <w:tcPr>
            <w:tcW w:w="2785"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（三）未使用的空白发票。</w:t>
            </w:r>
          </w:p>
        </w:tc>
        <w:tc>
          <w:tcPr>
            <w:tcW w:w="1118" w:type="dxa"/>
            <w:vMerge/>
            <w:vAlign w:val="center"/>
          </w:tcPr>
          <w:p w:rsidR="00013EC7" w:rsidRDefault="00013EC7">
            <w:pPr>
              <w:jc w:val="left"/>
              <w:rPr>
                <w:rFonts w:ascii="仿宋" w:eastAsia="仿宋" w:hAnsi="仿宋" w:cs="仿宋"/>
                <w:sz w:val="24"/>
              </w:rPr>
            </w:pPr>
          </w:p>
        </w:tc>
        <w:tc>
          <w:tcPr>
            <w:tcW w:w="2403"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（二）未使用的空白发票。</w:t>
            </w:r>
          </w:p>
        </w:tc>
        <w:tc>
          <w:tcPr>
            <w:tcW w:w="1196" w:type="dxa"/>
            <w:vMerge/>
            <w:vAlign w:val="center"/>
          </w:tcPr>
          <w:p w:rsidR="00013EC7" w:rsidRDefault="00013EC7">
            <w:pPr>
              <w:jc w:val="left"/>
              <w:rPr>
                <w:rFonts w:ascii="仿宋" w:eastAsia="仿宋" w:hAnsi="仿宋" w:cs="仿宋"/>
                <w:sz w:val="24"/>
              </w:rPr>
            </w:pPr>
          </w:p>
        </w:tc>
        <w:tc>
          <w:tcPr>
            <w:tcW w:w="3318" w:type="dxa"/>
            <w:vMerge/>
            <w:vAlign w:val="center"/>
          </w:tcPr>
          <w:p w:rsidR="00013EC7" w:rsidRDefault="00013EC7">
            <w:pPr>
              <w:spacing w:line="300" w:lineRule="exact"/>
              <w:jc w:val="left"/>
              <w:rPr>
                <w:rFonts w:ascii="仿宋" w:eastAsia="仿宋" w:hAnsi="仿宋" w:cs="仿宋"/>
                <w:sz w:val="24"/>
              </w:rPr>
            </w:pPr>
          </w:p>
        </w:tc>
        <w:tc>
          <w:tcPr>
            <w:tcW w:w="868" w:type="dxa"/>
            <w:vMerge/>
            <w:vAlign w:val="center"/>
          </w:tcPr>
          <w:p w:rsidR="00013EC7" w:rsidRDefault="00013EC7">
            <w:pPr>
              <w:jc w:val="left"/>
              <w:rPr>
                <w:rFonts w:ascii="仿宋" w:eastAsia="仿宋" w:hAnsi="仿宋" w:cs="仿宋"/>
                <w:sz w:val="24"/>
              </w:rPr>
            </w:pPr>
          </w:p>
        </w:tc>
        <w:tc>
          <w:tcPr>
            <w:tcW w:w="930" w:type="dxa"/>
            <w:vMerge/>
            <w:vAlign w:val="center"/>
          </w:tcPr>
          <w:p w:rsidR="00013EC7" w:rsidRDefault="00013EC7">
            <w:pPr>
              <w:jc w:val="left"/>
              <w:rPr>
                <w:rFonts w:ascii="仿宋" w:eastAsia="仿宋" w:hAnsi="仿宋" w:cs="仿宋"/>
                <w:sz w:val="24"/>
              </w:rPr>
            </w:pPr>
          </w:p>
        </w:tc>
        <w:tc>
          <w:tcPr>
            <w:tcW w:w="993" w:type="dxa"/>
            <w:vMerge/>
            <w:vAlign w:val="center"/>
          </w:tcPr>
          <w:p w:rsidR="00013EC7" w:rsidRDefault="00013EC7">
            <w:pPr>
              <w:jc w:val="left"/>
              <w:rPr>
                <w:rFonts w:ascii="仿宋" w:eastAsia="仿宋" w:hAnsi="仿宋" w:cs="仿宋"/>
                <w:sz w:val="24"/>
              </w:rPr>
            </w:pPr>
          </w:p>
        </w:tc>
        <w:tc>
          <w:tcPr>
            <w:tcW w:w="1134" w:type="dxa"/>
            <w:vMerge/>
            <w:vAlign w:val="center"/>
          </w:tcPr>
          <w:p w:rsidR="00013EC7" w:rsidRDefault="00013EC7">
            <w:pPr>
              <w:jc w:val="left"/>
              <w:rPr>
                <w:rFonts w:ascii="仿宋" w:eastAsia="仿宋" w:hAnsi="仿宋" w:cs="仿宋"/>
                <w:sz w:val="24"/>
              </w:rPr>
            </w:pPr>
          </w:p>
        </w:tc>
        <w:tc>
          <w:tcPr>
            <w:tcW w:w="1279" w:type="dxa"/>
            <w:vMerge/>
            <w:vAlign w:val="center"/>
          </w:tcPr>
          <w:p w:rsidR="00013EC7" w:rsidRDefault="00013EC7">
            <w:pPr>
              <w:jc w:val="left"/>
              <w:rPr>
                <w:rFonts w:ascii="仿宋" w:eastAsia="仿宋" w:hAnsi="仿宋" w:cs="仿宋"/>
                <w:sz w:val="24"/>
              </w:rPr>
            </w:pPr>
          </w:p>
        </w:tc>
      </w:tr>
    </w:tbl>
    <w:p w:rsidR="00013EC7" w:rsidRDefault="00013EC7">
      <w:pPr>
        <w:jc w:val="left"/>
        <w:rPr>
          <w:rFonts w:eastAsia="方正书宋简体"/>
          <w:sz w:val="24"/>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575CDB">
      <w:pPr>
        <w:pStyle w:val="1"/>
      </w:pPr>
      <w:bookmarkStart w:id="216" w:name="_Toc5414"/>
      <w:bookmarkStart w:id="217" w:name="_Toc20072"/>
      <w:bookmarkStart w:id="218" w:name="_Toc503467404"/>
      <w:bookmarkStart w:id="219" w:name="_Toc18144"/>
      <w:r>
        <w:rPr>
          <w:rFonts w:hint="eastAsia"/>
        </w:rPr>
        <w:lastRenderedPageBreak/>
        <w:t>十三、发票开具</w:t>
      </w:r>
      <w:bookmarkEnd w:id="216"/>
      <w:bookmarkEnd w:id="217"/>
      <w:bookmarkEnd w:id="218"/>
      <w:bookmarkEnd w:id="219"/>
    </w:p>
    <w:p w:rsidR="00013EC7" w:rsidRDefault="00575CDB">
      <w:pPr>
        <w:pStyle w:val="2"/>
      </w:pPr>
      <w:bookmarkStart w:id="220" w:name="_Toc16278"/>
      <w:bookmarkStart w:id="221" w:name="_Toc16820"/>
      <w:bookmarkStart w:id="222" w:name="_Toc32437"/>
      <w:bookmarkStart w:id="223" w:name="_Toc503467405"/>
      <w:r>
        <w:rPr>
          <w:rFonts w:hint="eastAsia"/>
        </w:rPr>
        <w:t>13.1</w:t>
      </w:r>
      <w:r>
        <w:rPr>
          <w:rFonts w:hint="eastAsia"/>
        </w:rPr>
        <w:t>专用发票代开</w:t>
      </w:r>
      <w:bookmarkEnd w:id="220"/>
      <w:bookmarkEnd w:id="221"/>
      <w:bookmarkEnd w:id="222"/>
      <w:bookmarkEnd w:id="223"/>
    </w:p>
    <w:p w:rsidR="00013EC7" w:rsidRDefault="00575CDB">
      <w:pPr>
        <w:jc w:val="center"/>
        <w:rPr>
          <w:rFonts w:ascii="宋体" w:hAnsi="宋体" w:cs="宋体"/>
          <w:b/>
          <w:bCs/>
          <w:sz w:val="52"/>
          <w:szCs w:val="52"/>
        </w:rPr>
      </w:pPr>
      <w:r>
        <w:rPr>
          <w:rFonts w:ascii="宋体" w:hAnsi="宋体" w:cs="宋体" w:hint="eastAsia"/>
          <w:b/>
          <w:bCs/>
          <w:sz w:val="52"/>
          <w:szCs w:val="52"/>
        </w:rPr>
        <w:t>全省“最多跑一次”事项“八统一”梳理表</w:t>
      </w:r>
    </w:p>
    <w:tbl>
      <w:tblPr>
        <w:tblW w:w="20108"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530"/>
        <w:gridCol w:w="854"/>
        <w:gridCol w:w="4190"/>
        <w:gridCol w:w="2496"/>
        <w:gridCol w:w="1701"/>
        <w:gridCol w:w="1701"/>
        <w:gridCol w:w="1843"/>
        <w:gridCol w:w="3504"/>
        <w:gridCol w:w="479"/>
        <w:gridCol w:w="479"/>
        <w:gridCol w:w="603"/>
        <w:gridCol w:w="802"/>
        <w:gridCol w:w="926"/>
      </w:tblGrid>
      <w:tr w:rsidR="00013EC7">
        <w:trPr>
          <w:trHeight w:val="340"/>
          <w:tblHeader/>
          <w:jc w:val="center"/>
        </w:trPr>
        <w:tc>
          <w:tcPr>
            <w:tcW w:w="530"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主项名称</w:t>
            </w:r>
          </w:p>
        </w:tc>
        <w:tc>
          <w:tcPr>
            <w:tcW w:w="854"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子项名称</w:t>
            </w:r>
          </w:p>
        </w:tc>
        <w:tc>
          <w:tcPr>
            <w:tcW w:w="4190"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经办依据</w:t>
            </w:r>
          </w:p>
        </w:tc>
        <w:tc>
          <w:tcPr>
            <w:tcW w:w="4197"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原经办所需材料</w:t>
            </w:r>
          </w:p>
        </w:tc>
        <w:tc>
          <w:tcPr>
            <w:tcW w:w="7048" w:type="dxa"/>
            <w:gridSpan w:val="3"/>
            <w:vAlign w:val="center"/>
          </w:tcPr>
          <w:p w:rsidR="00013EC7" w:rsidRDefault="00575CDB">
            <w:pPr>
              <w:spacing w:line="280" w:lineRule="exact"/>
              <w:jc w:val="center"/>
              <w:rPr>
                <w:rFonts w:ascii="黑体" w:eastAsia="黑体"/>
                <w:sz w:val="24"/>
              </w:rPr>
            </w:pPr>
            <w:r>
              <w:rPr>
                <w:rFonts w:ascii="黑体" w:eastAsia="黑体" w:hint="eastAsia"/>
                <w:sz w:val="24"/>
              </w:rPr>
              <w:t>梳理后经办所需材料</w:t>
            </w:r>
          </w:p>
        </w:tc>
        <w:tc>
          <w:tcPr>
            <w:tcW w:w="958"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办理时限</w:t>
            </w:r>
          </w:p>
        </w:tc>
        <w:tc>
          <w:tcPr>
            <w:tcW w:w="603"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是否实现跑零次</w:t>
            </w:r>
          </w:p>
        </w:tc>
        <w:tc>
          <w:tcPr>
            <w:tcW w:w="802"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省厅对口</w:t>
            </w:r>
          </w:p>
          <w:p w:rsidR="00013EC7" w:rsidRDefault="00575CDB">
            <w:pPr>
              <w:spacing w:line="280" w:lineRule="exact"/>
              <w:jc w:val="center"/>
              <w:rPr>
                <w:rFonts w:ascii="黑体" w:eastAsia="黑体"/>
                <w:sz w:val="24"/>
              </w:rPr>
            </w:pPr>
            <w:r>
              <w:rPr>
                <w:rFonts w:ascii="黑体" w:eastAsia="黑体" w:hint="eastAsia"/>
                <w:sz w:val="24"/>
              </w:rPr>
              <w:t>指导处室</w:t>
            </w:r>
          </w:p>
          <w:p w:rsidR="00013EC7" w:rsidRDefault="00575CDB">
            <w:pPr>
              <w:spacing w:line="280" w:lineRule="exact"/>
              <w:jc w:val="center"/>
              <w:rPr>
                <w:rFonts w:ascii="黑体" w:eastAsia="黑体"/>
                <w:sz w:val="24"/>
              </w:rPr>
            </w:pPr>
            <w:r>
              <w:rPr>
                <w:rFonts w:ascii="黑体" w:eastAsia="黑体" w:hint="eastAsia"/>
                <w:sz w:val="24"/>
              </w:rPr>
              <w:t>（单位）</w:t>
            </w:r>
          </w:p>
        </w:tc>
        <w:tc>
          <w:tcPr>
            <w:tcW w:w="926"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进一步精简、规范建议</w:t>
            </w:r>
          </w:p>
        </w:tc>
      </w:tr>
      <w:tr w:rsidR="00013EC7">
        <w:trPr>
          <w:trHeight w:val="340"/>
          <w:tblHeader/>
          <w:jc w:val="center"/>
        </w:trPr>
        <w:tc>
          <w:tcPr>
            <w:tcW w:w="530" w:type="dxa"/>
            <w:vMerge/>
            <w:vAlign w:val="center"/>
          </w:tcPr>
          <w:p w:rsidR="00013EC7" w:rsidRDefault="00013EC7">
            <w:pPr>
              <w:rPr>
                <w:sz w:val="24"/>
              </w:rPr>
            </w:pPr>
          </w:p>
        </w:tc>
        <w:tc>
          <w:tcPr>
            <w:tcW w:w="854" w:type="dxa"/>
            <w:vMerge/>
          </w:tcPr>
          <w:p w:rsidR="00013EC7" w:rsidRDefault="00013EC7">
            <w:pPr>
              <w:rPr>
                <w:sz w:val="24"/>
              </w:rPr>
            </w:pPr>
          </w:p>
        </w:tc>
        <w:tc>
          <w:tcPr>
            <w:tcW w:w="4190" w:type="dxa"/>
            <w:vMerge/>
          </w:tcPr>
          <w:p w:rsidR="00013EC7" w:rsidRDefault="00013EC7">
            <w:pPr>
              <w:rPr>
                <w:sz w:val="24"/>
              </w:rPr>
            </w:pPr>
          </w:p>
        </w:tc>
        <w:tc>
          <w:tcPr>
            <w:tcW w:w="2496" w:type="dxa"/>
            <w:tcBorders>
              <w:bottom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701"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1701" w:type="dxa"/>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843"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3504" w:type="dxa"/>
            <w:vAlign w:val="center"/>
          </w:tcPr>
          <w:p w:rsidR="00013EC7" w:rsidRDefault="00575CDB">
            <w:pPr>
              <w:spacing w:line="280" w:lineRule="exact"/>
              <w:jc w:val="center"/>
              <w:rPr>
                <w:rFonts w:ascii="黑体" w:eastAsia="黑体"/>
                <w:sz w:val="24"/>
              </w:rPr>
            </w:pPr>
            <w:r>
              <w:rPr>
                <w:rFonts w:ascii="黑体" w:eastAsia="黑体" w:hint="eastAsia"/>
                <w:sz w:val="24"/>
              </w:rPr>
              <w:t>办理方式及材料</w:t>
            </w:r>
          </w:p>
          <w:p w:rsidR="00013EC7" w:rsidRDefault="00575CDB">
            <w:pPr>
              <w:spacing w:line="280" w:lineRule="exact"/>
              <w:jc w:val="center"/>
              <w:rPr>
                <w:rFonts w:ascii="黑体" w:eastAsia="黑体"/>
                <w:sz w:val="24"/>
              </w:rPr>
            </w:pPr>
            <w:r>
              <w:rPr>
                <w:rFonts w:ascii="黑体" w:eastAsia="黑体" w:hint="eastAsia"/>
                <w:sz w:val="24"/>
              </w:rPr>
              <w:t>信息获取方式说明</w:t>
            </w:r>
          </w:p>
        </w:tc>
        <w:tc>
          <w:tcPr>
            <w:tcW w:w="479" w:type="dxa"/>
            <w:vAlign w:val="center"/>
          </w:tcPr>
          <w:p w:rsidR="00013EC7" w:rsidRDefault="00575CDB">
            <w:pPr>
              <w:spacing w:line="280" w:lineRule="exact"/>
              <w:jc w:val="center"/>
              <w:rPr>
                <w:rFonts w:ascii="黑体" w:eastAsia="黑体"/>
                <w:sz w:val="24"/>
              </w:rPr>
            </w:pPr>
            <w:r>
              <w:rPr>
                <w:rFonts w:ascii="黑体" w:eastAsia="黑体" w:hint="eastAsia"/>
                <w:sz w:val="24"/>
              </w:rPr>
              <w:t>优化前</w:t>
            </w:r>
          </w:p>
        </w:tc>
        <w:tc>
          <w:tcPr>
            <w:tcW w:w="479" w:type="dxa"/>
            <w:vAlign w:val="center"/>
          </w:tcPr>
          <w:p w:rsidR="00013EC7" w:rsidRDefault="00575CDB">
            <w:pPr>
              <w:spacing w:line="280" w:lineRule="exact"/>
              <w:jc w:val="center"/>
              <w:rPr>
                <w:rFonts w:ascii="黑体" w:eastAsia="黑体"/>
                <w:sz w:val="24"/>
              </w:rPr>
            </w:pPr>
            <w:r>
              <w:rPr>
                <w:rFonts w:ascii="黑体" w:eastAsia="黑体" w:hint="eastAsia"/>
                <w:sz w:val="24"/>
              </w:rPr>
              <w:t>优化后</w:t>
            </w:r>
          </w:p>
        </w:tc>
        <w:tc>
          <w:tcPr>
            <w:tcW w:w="603" w:type="dxa"/>
            <w:vMerge/>
            <w:vAlign w:val="center"/>
          </w:tcPr>
          <w:p w:rsidR="00013EC7" w:rsidRDefault="00013EC7">
            <w:pPr>
              <w:rPr>
                <w:sz w:val="24"/>
              </w:rPr>
            </w:pPr>
          </w:p>
        </w:tc>
        <w:tc>
          <w:tcPr>
            <w:tcW w:w="802" w:type="dxa"/>
            <w:vMerge/>
            <w:vAlign w:val="center"/>
          </w:tcPr>
          <w:p w:rsidR="00013EC7" w:rsidRDefault="00013EC7">
            <w:pPr>
              <w:rPr>
                <w:sz w:val="24"/>
              </w:rPr>
            </w:pPr>
          </w:p>
        </w:tc>
        <w:tc>
          <w:tcPr>
            <w:tcW w:w="926" w:type="dxa"/>
            <w:vMerge/>
            <w:vAlign w:val="center"/>
          </w:tcPr>
          <w:p w:rsidR="00013EC7" w:rsidRDefault="00013EC7">
            <w:pPr>
              <w:rPr>
                <w:sz w:val="24"/>
              </w:rPr>
            </w:pPr>
          </w:p>
        </w:tc>
      </w:tr>
      <w:tr w:rsidR="00013EC7">
        <w:trPr>
          <w:trHeight w:val="1798"/>
          <w:jc w:val="center"/>
        </w:trPr>
        <w:tc>
          <w:tcPr>
            <w:tcW w:w="530"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13发票开具</w:t>
            </w:r>
          </w:p>
        </w:tc>
        <w:tc>
          <w:tcPr>
            <w:tcW w:w="854" w:type="dxa"/>
            <w:vMerge w:val="restart"/>
            <w:vAlign w:val="center"/>
          </w:tcPr>
          <w:p w:rsidR="00013EC7" w:rsidRDefault="00575CDB">
            <w:pPr>
              <w:spacing w:line="310" w:lineRule="exact"/>
              <w:jc w:val="left"/>
              <w:rPr>
                <w:rFonts w:ascii="仿宋" w:eastAsia="仿宋" w:hAnsi="仿宋" w:cs="仿宋"/>
                <w:sz w:val="24"/>
              </w:rPr>
            </w:pPr>
            <w:r>
              <w:rPr>
                <w:rFonts w:ascii="仿宋" w:eastAsia="仿宋" w:hAnsi="仿宋" w:cs="仿宋" w:hint="eastAsia"/>
                <w:sz w:val="24"/>
              </w:rPr>
              <w:t>13.1专用发票代开</w:t>
            </w:r>
          </w:p>
        </w:tc>
        <w:tc>
          <w:tcPr>
            <w:tcW w:w="4190" w:type="dxa"/>
            <w:vMerge w:val="restart"/>
            <w:vAlign w:val="center"/>
          </w:tcPr>
          <w:p w:rsidR="00013EC7" w:rsidRDefault="00575CDB">
            <w:pPr>
              <w:spacing w:line="310" w:lineRule="exact"/>
              <w:jc w:val="left"/>
              <w:rPr>
                <w:rFonts w:ascii="仿宋" w:eastAsia="仿宋" w:hAnsi="仿宋" w:cs="仿宋"/>
                <w:sz w:val="24"/>
              </w:rPr>
            </w:pPr>
            <w:r>
              <w:rPr>
                <w:rFonts w:ascii="仿宋" w:eastAsia="仿宋" w:hAnsi="仿宋" w:cs="仿宋" w:hint="eastAsia"/>
                <w:sz w:val="24"/>
              </w:rPr>
              <w:t xml:space="preserve">（一）《中华人民共和国发票管理办法》（2010年中华人民共和国国务院令第587号）第十六条。 </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 xml:space="preserve">（二）《国家税务总局关于修改〈中华人民共和国发票管理办法实施细则〉的决定》（2014年国家税务总局令第37号）第二十六条、第二十八条、第二十九条。 </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 xml:space="preserve">（三）《国家税务总局关于印发〈税务机关代开增值税专用发票管理办法（试行）〉的通知》（国税发〔2004〕153号）全文。 </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 xml:space="preserve">（四）《国家税务总局关于加强税务机关代开增值税专用发票管理问题的通知》（国税函〔2004〕1404号）全文。  </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（五）《国家税务总局关于小微企业免征增值税和营业税有关问题的公告》（国家税务总局公告2014年第57号）第三条。</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（六）《国家税务总局关于加快推行办税事项同城通办的通知》（税总发</w:t>
            </w:r>
            <w:r>
              <w:rPr>
                <w:rFonts w:ascii="仿宋" w:eastAsia="仿宋" w:hAnsi="仿宋" w:cs="仿宋" w:hint="eastAsia"/>
                <w:sz w:val="24"/>
              </w:rPr>
              <w:lastRenderedPageBreak/>
              <w:t>〔2016〕46号）全文。</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（七）《国家税务总局关于营业税改征增值税委托地税机关代征税款和代开增值税发票的公告》（国家税务总局公告2016年第19号）全文。</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（八）《国家税务总局关于发布〈纳税人转让不动产增值税征收管理暂行办法〉的公告》（国家税务总局公告2016年第14号）第十条、第十一条。</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（九）《国家税务总局关于发布〈纳税人提供不动产经营租赁服务增值税征收管理暂行办法〉的公告》（国家税务总局公告2016年第16号）第十一条、第十二条。</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（十）《国家税务总局关于发布〈房地产开发企业销售自行开发的房地产项目增值税征收管理暂行办法〉的公告》（国家税务总局公告2016年第18号）第二十三条、第二十四条。</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（十一）《国家税务总局关于全面推开营业税改征增值税试点有关税收征收管理事项的公告》（国家税务总局公告2016年第23号）第四条。</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（十二）《国家税务总局关于纳税人申请代开增值税发票办理流程的公告》（国家税务总局公告2016年第59号）全文。</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（十三）《货物运输业小规模纳税人申请代开增值税专用发票管理办法的公告》（国家税务总局公告2017年第55号）全文。</w:t>
            </w:r>
          </w:p>
          <w:p w:rsidR="00013EC7" w:rsidRDefault="00013EC7">
            <w:pPr>
              <w:spacing w:line="310" w:lineRule="exact"/>
              <w:jc w:val="left"/>
              <w:rPr>
                <w:rFonts w:ascii="仿宋" w:eastAsia="仿宋" w:hAnsi="仿宋" w:cs="仿宋"/>
                <w:sz w:val="24"/>
              </w:rPr>
            </w:pPr>
          </w:p>
        </w:tc>
        <w:tc>
          <w:tcPr>
            <w:tcW w:w="2496" w:type="dxa"/>
            <w:tcBorders>
              <w:top w:val="single" w:sz="4" w:space="0" w:color="auto"/>
            </w:tcBorders>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lastRenderedPageBreak/>
              <w:t>（一）《代开增值税发票缴纳税款申报单》1份。</w:t>
            </w:r>
          </w:p>
        </w:tc>
        <w:tc>
          <w:tcPr>
            <w:tcW w:w="1701"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纳税人提交</w:t>
            </w:r>
          </w:p>
        </w:tc>
        <w:tc>
          <w:tcPr>
            <w:tcW w:w="1701"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（一）《代开增值税专用发票缴纳税款申报单》1份。</w:t>
            </w:r>
          </w:p>
          <w:p w:rsidR="00013EC7" w:rsidRDefault="00013EC7">
            <w:pPr>
              <w:spacing w:line="300" w:lineRule="exact"/>
              <w:jc w:val="left"/>
              <w:rPr>
                <w:rFonts w:ascii="仿宋" w:eastAsia="仿宋" w:hAnsi="仿宋" w:cs="仿宋"/>
                <w:sz w:val="24"/>
              </w:rPr>
            </w:pPr>
          </w:p>
        </w:tc>
        <w:tc>
          <w:tcPr>
            <w:tcW w:w="1843"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申请代开增值税专用发票的纳税人提交</w:t>
            </w:r>
          </w:p>
          <w:p w:rsidR="00013EC7" w:rsidRDefault="00013EC7">
            <w:pPr>
              <w:spacing w:line="300" w:lineRule="exact"/>
              <w:jc w:val="left"/>
              <w:rPr>
                <w:rFonts w:ascii="仿宋" w:eastAsia="仿宋" w:hAnsi="仿宋" w:cs="仿宋"/>
                <w:sz w:val="24"/>
              </w:rPr>
            </w:pPr>
          </w:p>
        </w:tc>
        <w:tc>
          <w:tcPr>
            <w:tcW w:w="3504"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纳税人提交书面材料。</w:t>
            </w:r>
          </w:p>
          <w:p w:rsidR="00013EC7" w:rsidRDefault="00575CDB">
            <w:pPr>
              <w:spacing w:line="300" w:lineRule="exact"/>
              <w:jc w:val="left"/>
              <w:rPr>
                <w:rFonts w:ascii="仿宋" w:eastAsia="仿宋" w:hAnsi="仿宋" w:cs="仿宋"/>
                <w:sz w:val="24"/>
              </w:rPr>
            </w:pPr>
            <w:r>
              <w:rPr>
                <w:rFonts w:ascii="仿宋" w:eastAsia="仿宋" w:hAnsi="仿宋" w:cs="仿宋" w:hint="eastAsia"/>
                <w:b/>
                <w:sz w:val="24"/>
              </w:rPr>
              <w:t>网上办理：</w:t>
            </w:r>
            <w:r>
              <w:rPr>
                <w:rFonts w:ascii="仿宋" w:eastAsia="仿宋" w:hAnsi="仿宋" w:cs="仿宋" w:hint="eastAsia"/>
                <w:sz w:val="24"/>
              </w:rPr>
              <w:t>登录浙江国税电子税务局（网址：http://etax.zjtax.gov.cn/）提交申请。（注：目前货物运输业增值税专用发票代开网上办理暂未开通。）</w:t>
            </w:r>
          </w:p>
          <w:p w:rsidR="00013EC7" w:rsidRDefault="00575CDB">
            <w:pPr>
              <w:spacing w:line="300" w:lineRule="exact"/>
              <w:jc w:val="left"/>
              <w:rPr>
                <w:rFonts w:ascii="仿宋" w:eastAsia="仿宋" w:hAnsi="仿宋" w:cs="仿宋"/>
                <w:sz w:val="24"/>
              </w:rPr>
            </w:pPr>
            <w:r>
              <w:rPr>
                <w:rFonts w:ascii="仿宋" w:eastAsia="仿宋" w:hAnsi="仿宋" w:cs="仿宋" w:hint="eastAsia"/>
                <w:b/>
                <w:sz w:val="24"/>
              </w:rPr>
              <w:t>APP办理：</w:t>
            </w:r>
            <w:r>
              <w:rPr>
                <w:rFonts w:ascii="仿宋" w:eastAsia="仿宋" w:hAnsi="仿宋" w:cs="仿宋" w:hint="eastAsia"/>
                <w:sz w:val="24"/>
              </w:rPr>
              <w:t>登录浙江国税APP提交申请。（注：目前货物运输业增值税专用发票代开A</w:t>
            </w:r>
            <w:r>
              <w:rPr>
                <w:rFonts w:ascii="仿宋" w:eastAsia="仿宋" w:hAnsi="仿宋" w:cs="仿宋"/>
                <w:sz w:val="24"/>
              </w:rPr>
              <w:t>PP</w:t>
            </w:r>
            <w:r>
              <w:rPr>
                <w:rFonts w:ascii="仿宋" w:eastAsia="仿宋" w:hAnsi="仿宋" w:cs="仿宋" w:hint="eastAsia"/>
                <w:sz w:val="24"/>
              </w:rPr>
              <w:t>办理暂未开通。）</w:t>
            </w:r>
          </w:p>
          <w:p w:rsidR="00013EC7" w:rsidRDefault="00013EC7">
            <w:pPr>
              <w:spacing w:line="300" w:lineRule="exact"/>
              <w:jc w:val="left"/>
              <w:rPr>
                <w:rFonts w:ascii="仿宋" w:eastAsia="仿宋" w:hAnsi="仿宋" w:cs="仿宋"/>
                <w:sz w:val="24"/>
              </w:rPr>
            </w:pPr>
          </w:p>
        </w:tc>
        <w:tc>
          <w:tcPr>
            <w:tcW w:w="479" w:type="dxa"/>
            <w:vMerge w:val="restart"/>
            <w:vAlign w:val="center"/>
          </w:tcPr>
          <w:p w:rsidR="00013EC7" w:rsidRDefault="00575CDB">
            <w:pPr>
              <w:jc w:val="left"/>
              <w:rPr>
                <w:rFonts w:ascii="仿宋" w:eastAsia="仿宋" w:hAnsi="仿宋" w:cs="仿宋"/>
                <w:sz w:val="24"/>
              </w:rPr>
            </w:pPr>
            <w:r>
              <w:rPr>
                <w:rFonts w:ascii="仿宋" w:eastAsia="仿宋" w:hAnsi="仿宋" w:cs="仿宋" w:hint="eastAsia"/>
                <w:sz w:val="24"/>
              </w:rPr>
              <w:t>即时办结</w:t>
            </w:r>
          </w:p>
        </w:tc>
        <w:tc>
          <w:tcPr>
            <w:tcW w:w="479" w:type="dxa"/>
            <w:vMerge w:val="restart"/>
            <w:vAlign w:val="center"/>
          </w:tcPr>
          <w:p w:rsidR="00013EC7" w:rsidRDefault="00575CDB">
            <w:pPr>
              <w:jc w:val="left"/>
              <w:rPr>
                <w:rFonts w:ascii="仿宋" w:eastAsia="仿宋" w:hAnsi="仿宋" w:cs="仿宋"/>
                <w:sz w:val="24"/>
              </w:rPr>
            </w:pPr>
            <w:r>
              <w:rPr>
                <w:rFonts w:ascii="仿宋" w:eastAsia="仿宋" w:hAnsi="仿宋" w:cs="仿宋" w:hint="eastAsia"/>
                <w:sz w:val="24"/>
              </w:rPr>
              <w:t>即时办结</w:t>
            </w:r>
          </w:p>
        </w:tc>
        <w:tc>
          <w:tcPr>
            <w:tcW w:w="603" w:type="dxa"/>
            <w:vMerge w:val="restart"/>
            <w:vAlign w:val="center"/>
          </w:tcPr>
          <w:p w:rsidR="00013EC7" w:rsidRDefault="00575CDB">
            <w:pPr>
              <w:jc w:val="left"/>
              <w:rPr>
                <w:rFonts w:ascii="仿宋" w:eastAsia="仿宋" w:hAnsi="仿宋" w:cs="仿宋"/>
                <w:sz w:val="24"/>
              </w:rPr>
            </w:pPr>
            <w:r>
              <w:rPr>
                <w:rFonts w:ascii="仿宋" w:eastAsia="仿宋" w:hAnsi="仿宋" w:cs="仿宋" w:hint="eastAsia"/>
                <w:sz w:val="24"/>
              </w:rPr>
              <w:t>是</w:t>
            </w:r>
          </w:p>
        </w:tc>
        <w:tc>
          <w:tcPr>
            <w:tcW w:w="802" w:type="dxa"/>
            <w:vMerge w:val="restart"/>
            <w:vAlign w:val="center"/>
          </w:tcPr>
          <w:p w:rsidR="00013EC7" w:rsidRDefault="00575CDB">
            <w:pPr>
              <w:jc w:val="left"/>
              <w:rPr>
                <w:rFonts w:ascii="仿宋" w:eastAsia="仿宋" w:hAnsi="仿宋" w:cs="仿宋"/>
                <w:sz w:val="24"/>
              </w:rPr>
            </w:pPr>
            <w:r>
              <w:rPr>
                <w:rFonts w:ascii="仿宋" w:eastAsia="仿宋" w:hAnsi="仿宋" w:cs="仿宋" w:hint="eastAsia"/>
                <w:sz w:val="24"/>
              </w:rPr>
              <w:t>货物和劳务税处</w:t>
            </w:r>
          </w:p>
        </w:tc>
        <w:tc>
          <w:tcPr>
            <w:tcW w:w="926" w:type="dxa"/>
            <w:vMerge w:val="restart"/>
            <w:vAlign w:val="center"/>
          </w:tcPr>
          <w:p w:rsidR="00013EC7" w:rsidRDefault="00013EC7">
            <w:pPr>
              <w:spacing w:line="300" w:lineRule="exact"/>
              <w:jc w:val="left"/>
              <w:rPr>
                <w:rFonts w:ascii="仿宋" w:eastAsia="仿宋" w:hAnsi="仿宋" w:cs="仿宋"/>
                <w:sz w:val="24"/>
              </w:rPr>
            </w:pPr>
          </w:p>
        </w:tc>
      </w:tr>
      <w:tr w:rsidR="00013EC7">
        <w:trPr>
          <w:trHeight w:val="1567"/>
          <w:jc w:val="center"/>
        </w:trPr>
        <w:tc>
          <w:tcPr>
            <w:tcW w:w="530" w:type="dxa"/>
            <w:vMerge/>
            <w:vAlign w:val="center"/>
          </w:tcPr>
          <w:p w:rsidR="00013EC7" w:rsidRDefault="00013EC7">
            <w:pPr>
              <w:spacing w:line="300" w:lineRule="exact"/>
              <w:jc w:val="left"/>
            </w:pPr>
          </w:p>
        </w:tc>
        <w:tc>
          <w:tcPr>
            <w:tcW w:w="854" w:type="dxa"/>
            <w:vMerge/>
            <w:vAlign w:val="center"/>
          </w:tcPr>
          <w:p w:rsidR="00013EC7" w:rsidRDefault="00013EC7">
            <w:pPr>
              <w:spacing w:line="300" w:lineRule="exact"/>
              <w:jc w:val="left"/>
            </w:pPr>
          </w:p>
        </w:tc>
        <w:tc>
          <w:tcPr>
            <w:tcW w:w="4190" w:type="dxa"/>
            <w:vMerge/>
            <w:vAlign w:val="center"/>
          </w:tcPr>
          <w:p w:rsidR="00013EC7" w:rsidRDefault="00013EC7">
            <w:pPr>
              <w:spacing w:line="300" w:lineRule="exact"/>
              <w:jc w:val="left"/>
            </w:pPr>
          </w:p>
        </w:tc>
        <w:tc>
          <w:tcPr>
            <w:tcW w:w="2496" w:type="dxa"/>
            <w:vAlign w:val="center"/>
          </w:tcPr>
          <w:p w:rsidR="00013EC7" w:rsidRDefault="00013EC7">
            <w:pPr>
              <w:spacing w:line="300" w:lineRule="exact"/>
              <w:jc w:val="left"/>
            </w:pPr>
          </w:p>
        </w:tc>
        <w:tc>
          <w:tcPr>
            <w:tcW w:w="1701" w:type="dxa"/>
            <w:vMerge/>
            <w:vAlign w:val="center"/>
          </w:tcPr>
          <w:p w:rsidR="00013EC7" w:rsidRDefault="00013EC7">
            <w:pPr>
              <w:spacing w:line="300" w:lineRule="exact"/>
              <w:jc w:val="left"/>
            </w:pPr>
          </w:p>
        </w:tc>
        <w:tc>
          <w:tcPr>
            <w:tcW w:w="1701"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（二）《代开货物运输业增值税专用发票缴纳税款申报单》一式三份。</w:t>
            </w:r>
          </w:p>
          <w:p w:rsidR="00013EC7" w:rsidRDefault="00013EC7">
            <w:pPr>
              <w:spacing w:line="300" w:lineRule="exact"/>
              <w:jc w:val="left"/>
              <w:rPr>
                <w:rFonts w:ascii="仿宋" w:eastAsia="仿宋" w:hAnsi="仿宋" w:cs="仿宋"/>
                <w:sz w:val="24"/>
              </w:rPr>
            </w:pPr>
          </w:p>
        </w:tc>
        <w:tc>
          <w:tcPr>
            <w:tcW w:w="1843"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申请代开货物运输业增值税专用发票的纳税人提交</w:t>
            </w:r>
          </w:p>
        </w:tc>
        <w:tc>
          <w:tcPr>
            <w:tcW w:w="3504" w:type="dxa"/>
            <w:vMerge/>
            <w:vAlign w:val="center"/>
          </w:tcPr>
          <w:p w:rsidR="00013EC7" w:rsidRDefault="00013EC7">
            <w:pPr>
              <w:spacing w:line="300" w:lineRule="exact"/>
              <w:jc w:val="left"/>
              <w:rPr>
                <w:rFonts w:ascii="仿宋" w:eastAsia="仿宋" w:hAnsi="仿宋" w:cs="仿宋"/>
                <w:sz w:val="24"/>
              </w:rPr>
            </w:pPr>
          </w:p>
        </w:tc>
        <w:tc>
          <w:tcPr>
            <w:tcW w:w="479" w:type="dxa"/>
            <w:vMerge/>
            <w:vAlign w:val="center"/>
          </w:tcPr>
          <w:p w:rsidR="00013EC7" w:rsidRDefault="00013EC7">
            <w:pPr>
              <w:spacing w:line="300" w:lineRule="exact"/>
              <w:jc w:val="left"/>
              <w:rPr>
                <w:rFonts w:ascii="仿宋" w:eastAsia="仿宋" w:hAnsi="仿宋" w:cs="仿宋"/>
                <w:sz w:val="24"/>
              </w:rPr>
            </w:pPr>
          </w:p>
        </w:tc>
        <w:tc>
          <w:tcPr>
            <w:tcW w:w="479" w:type="dxa"/>
            <w:vMerge/>
            <w:vAlign w:val="center"/>
          </w:tcPr>
          <w:p w:rsidR="00013EC7" w:rsidRDefault="00013EC7">
            <w:pPr>
              <w:spacing w:line="300" w:lineRule="exact"/>
              <w:jc w:val="left"/>
              <w:rPr>
                <w:rFonts w:ascii="仿宋" w:eastAsia="仿宋" w:hAnsi="仿宋" w:cs="仿宋"/>
                <w:sz w:val="24"/>
              </w:rPr>
            </w:pPr>
          </w:p>
        </w:tc>
        <w:tc>
          <w:tcPr>
            <w:tcW w:w="603" w:type="dxa"/>
            <w:vMerge/>
            <w:vAlign w:val="center"/>
          </w:tcPr>
          <w:p w:rsidR="00013EC7" w:rsidRDefault="00013EC7">
            <w:pPr>
              <w:spacing w:line="300" w:lineRule="exact"/>
              <w:jc w:val="left"/>
              <w:rPr>
                <w:rFonts w:ascii="仿宋" w:eastAsia="仿宋" w:hAnsi="仿宋" w:cs="仿宋"/>
                <w:sz w:val="24"/>
              </w:rPr>
            </w:pPr>
          </w:p>
        </w:tc>
        <w:tc>
          <w:tcPr>
            <w:tcW w:w="802" w:type="dxa"/>
            <w:vMerge/>
            <w:vAlign w:val="center"/>
          </w:tcPr>
          <w:p w:rsidR="00013EC7" w:rsidRDefault="00013EC7">
            <w:pPr>
              <w:spacing w:line="300" w:lineRule="exact"/>
              <w:jc w:val="left"/>
              <w:rPr>
                <w:rFonts w:ascii="仿宋" w:eastAsia="仿宋" w:hAnsi="仿宋" w:cs="仿宋"/>
                <w:sz w:val="24"/>
              </w:rPr>
            </w:pPr>
          </w:p>
        </w:tc>
        <w:tc>
          <w:tcPr>
            <w:tcW w:w="926" w:type="dxa"/>
            <w:vMerge/>
            <w:vAlign w:val="center"/>
          </w:tcPr>
          <w:p w:rsidR="00013EC7" w:rsidRDefault="00013EC7">
            <w:pPr>
              <w:spacing w:line="300" w:lineRule="exact"/>
              <w:jc w:val="left"/>
              <w:rPr>
                <w:rFonts w:ascii="仿宋" w:eastAsia="仿宋" w:hAnsi="仿宋" w:cs="仿宋"/>
                <w:sz w:val="24"/>
              </w:rPr>
            </w:pPr>
          </w:p>
        </w:tc>
      </w:tr>
      <w:tr w:rsidR="00013EC7">
        <w:trPr>
          <w:trHeight w:val="1632"/>
          <w:jc w:val="center"/>
        </w:trPr>
        <w:tc>
          <w:tcPr>
            <w:tcW w:w="530" w:type="dxa"/>
            <w:vMerge/>
            <w:vAlign w:val="center"/>
          </w:tcPr>
          <w:p w:rsidR="00013EC7" w:rsidRDefault="00013EC7">
            <w:pPr>
              <w:spacing w:line="300" w:lineRule="exact"/>
              <w:jc w:val="left"/>
              <w:rPr>
                <w:rFonts w:ascii="仿宋" w:eastAsia="仿宋" w:hAnsi="仿宋" w:cs="仿宋"/>
                <w:sz w:val="24"/>
              </w:rPr>
            </w:pPr>
          </w:p>
        </w:tc>
        <w:tc>
          <w:tcPr>
            <w:tcW w:w="854" w:type="dxa"/>
            <w:vMerge/>
            <w:vAlign w:val="center"/>
          </w:tcPr>
          <w:p w:rsidR="00013EC7" w:rsidRDefault="00013EC7">
            <w:pPr>
              <w:spacing w:line="300" w:lineRule="exact"/>
              <w:jc w:val="left"/>
              <w:rPr>
                <w:rFonts w:ascii="仿宋" w:eastAsia="仿宋" w:hAnsi="仿宋" w:cs="仿宋"/>
                <w:sz w:val="24"/>
              </w:rPr>
            </w:pPr>
          </w:p>
        </w:tc>
        <w:tc>
          <w:tcPr>
            <w:tcW w:w="4190" w:type="dxa"/>
            <w:vMerge/>
            <w:vAlign w:val="center"/>
          </w:tcPr>
          <w:p w:rsidR="00013EC7" w:rsidRDefault="00013EC7">
            <w:pPr>
              <w:spacing w:line="300" w:lineRule="exact"/>
              <w:jc w:val="left"/>
              <w:rPr>
                <w:rFonts w:ascii="仿宋" w:eastAsia="仿宋" w:hAnsi="仿宋" w:cs="仿宋"/>
                <w:sz w:val="24"/>
              </w:rPr>
            </w:pPr>
          </w:p>
        </w:tc>
        <w:tc>
          <w:tcPr>
            <w:tcW w:w="2496" w:type="dxa"/>
            <w:vAlign w:val="center"/>
          </w:tcPr>
          <w:p w:rsidR="00013EC7" w:rsidRDefault="00013EC7">
            <w:pPr>
              <w:spacing w:line="300" w:lineRule="exact"/>
              <w:jc w:val="left"/>
              <w:rPr>
                <w:rFonts w:ascii="仿宋" w:eastAsia="仿宋" w:hAnsi="仿宋" w:cs="仿宋"/>
                <w:sz w:val="24"/>
              </w:rPr>
            </w:pPr>
          </w:p>
        </w:tc>
        <w:tc>
          <w:tcPr>
            <w:tcW w:w="1701" w:type="dxa"/>
            <w:vMerge/>
            <w:vAlign w:val="center"/>
          </w:tcPr>
          <w:p w:rsidR="00013EC7" w:rsidRDefault="00013EC7">
            <w:pPr>
              <w:spacing w:line="300" w:lineRule="exact"/>
              <w:jc w:val="left"/>
              <w:rPr>
                <w:rFonts w:ascii="仿宋" w:eastAsia="仿宋" w:hAnsi="仿宋" w:cs="仿宋"/>
                <w:sz w:val="24"/>
              </w:rPr>
            </w:pPr>
          </w:p>
        </w:tc>
        <w:tc>
          <w:tcPr>
            <w:tcW w:w="1701"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（三）加载统一社会信用代码的营业执照（或税务登记证或组织机构代码证）复印件（注明与原件一致，并加盖公章）。</w:t>
            </w:r>
          </w:p>
          <w:p w:rsidR="00013EC7" w:rsidRDefault="00013EC7">
            <w:pPr>
              <w:spacing w:line="300" w:lineRule="exact"/>
              <w:jc w:val="left"/>
              <w:rPr>
                <w:rFonts w:ascii="仿宋" w:eastAsia="仿宋" w:hAnsi="仿宋" w:cs="仿宋"/>
                <w:sz w:val="24"/>
              </w:rPr>
            </w:pPr>
          </w:p>
        </w:tc>
        <w:tc>
          <w:tcPr>
            <w:tcW w:w="1843" w:type="dxa"/>
            <w:vMerge/>
            <w:vAlign w:val="center"/>
          </w:tcPr>
          <w:p w:rsidR="00013EC7" w:rsidRDefault="00013EC7">
            <w:pPr>
              <w:spacing w:line="300" w:lineRule="exact"/>
              <w:jc w:val="left"/>
              <w:rPr>
                <w:rFonts w:ascii="仿宋" w:eastAsia="仿宋" w:hAnsi="仿宋" w:cs="仿宋"/>
                <w:sz w:val="24"/>
              </w:rPr>
            </w:pPr>
          </w:p>
        </w:tc>
        <w:tc>
          <w:tcPr>
            <w:tcW w:w="3504" w:type="dxa"/>
            <w:vMerge/>
            <w:vAlign w:val="center"/>
          </w:tcPr>
          <w:p w:rsidR="00013EC7" w:rsidRDefault="00013EC7">
            <w:pPr>
              <w:spacing w:line="300" w:lineRule="exact"/>
              <w:jc w:val="left"/>
              <w:rPr>
                <w:rFonts w:ascii="仿宋" w:eastAsia="仿宋" w:hAnsi="仿宋" w:cs="仿宋"/>
                <w:sz w:val="24"/>
              </w:rPr>
            </w:pPr>
          </w:p>
        </w:tc>
        <w:tc>
          <w:tcPr>
            <w:tcW w:w="479" w:type="dxa"/>
            <w:vMerge/>
            <w:vAlign w:val="center"/>
          </w:tcPr>
          <w:p w:rsidR="00013EC7" w:rsidRDefault="00013EC7">
            <w:pPr>
              <w:spacing w:line="300" w:lineRule="exact"/>
              <w:jc w:val="left"/>
              <w:rPr>
                <w:rFonts w:ascii="仿宋" w:eastAsia="仿宋" w:hAnsi="仿宋" w:cs="仿宋"/>
                <w:sz w:val="24"/>
              </w:rPr>
            </w:pPr>
          </w:p>
        </w:tc>
        <w:tc>
          <w:tcPr>
            <w:tcW w:w="479" w:type="dxa"/>
            <w:vMerge/>
            <w:vAlign w:val="center"/>
          </w:tcPr>
          <w:p w:rsidR="00013EC7" w:rsidRDefault="00013EC7">
            <w:pPr>
              <w:spacing w:line="300" w:lineRule="exact"/>
              <w:jc w:val="left"/>
              <w:rPr>
                <w:rFonts w:ascii="仿宋" w:eastAsia="仿宋" w:hAnsi="仿宋" w:cs="仿宋"/>
                <w:sz w:val="24"/>
              </w:rPr>
            </w:pPr>
          </w:p>
        </w:tc>
        <w:tc>
          <w:tcPr>
            <w:tcW w:w="603" w:type="dxa"/>
            <w:vMerge/>
            <w:vAlign w:val="center"/>
          </w:tcPr>
          <w:p w:rsidR="00013EC7" w:rsidRDefault="00013EC7">
            <w:pPr>
              <w:spacing w:line="300" w:lineRule="exact"/>
              <w:jc w:val="left"/>
              <w:rPr>
                <w:rFonts w:ascii="仿宋" w:eastAsia="仿宋" w:hAnsi="仿宋" w:cs="仿宋"/>
                <w:sz w:val="24"/>
              </w:rPr>
            </w:pPr>
          </w:p>
        </w:tc>
        <w:tc>
          <w:tcPr>
            <w:tcW w:w="802" w:type="dxa"/>
            <w:vMerge/>
            <w:vAlign w:val="center"/>
          </w:tcPr>
          <w:p w:rsidR="00013EC7" w:rsidRDefault="00013EC7">
            <w:pPr>
              <w:spacing w:line="300" w:lineRule="exact"/>
              <w:jc w:val="left"/>
              <w:rPr>
                <w:rFonts w:ascii="仿宋" w:eastAsia="仿宋" w:hAnsi="仿宋" w:cs="仿宋"/>
                <w:sz w:val="24"/>
              </w:rPr>
            </w:pPr>
          </w:p>
        </w:tc>
        <w:tc>
          <w:tcPr>
            <w:tcW w:w="926" w:type="dxa"/>
            <w:vMerge/>
            <w:vAlign w:val="center"/>
          </w:tcPr>
          <w:p w:rsidR="00013EC7" w:rsidRDefault="00013EC7">
            <w:pPr>
              <w:spacing w:line="300" w:lineRule="exact"/>
              <w:jc w:val="left"/>
              <w:rPr>
                <w:rFonts w:ascii="仿宋" w:eastAsia="仿宋" w:hAnsi="仿宋" w:cs="仿宋"/>
                <w:sz w:val="24"/>
              </w:rPr>
            </w:pPr>
          </w:p>
        </w:tc>
      </w:tr>
      <w:tr w:rsidR="00013EC7">
        <w:trPr>
          <w:trHeight w:val="2416"/>
          <w:jc w:val="center"/>
        </w:trPr>
        <w:tc>
          <w:tcPr>
            <w:tcW w:w="530" w:type="dxa"/>
            <w:vMerge/>
            <w:vAlign w:val="center"/>
          </w:tcPr>
          <w:p w:rsidR="00013EC7" w:rsidRDefault="00013EC7">
            <w:pPr>
              <w:spacing w:line="300" w:lineRule="exact"/>
              <w:jc w:val="left"/>
              <w:rPr>
                <w:rFonts w:ascii="仿宋" w:eastAsia="仿宋" w:hAnsi="仿宋" w:cs="仿宋"/>
                <w:sz w:val="24"/>
              </w:rPr>
            </w:pPr>
          </w:p>
        </w:tc>
        <w:tc>
          <w:tcPr>
            <w:tcW w:w="854" w:type="dxa"/>
            <w:vMerge/>
            <w:vAlign w:val="center"/>
          </w:tcPr>
          <w:p w:rsidR="00013EC7" w:rsidRDefault="00013EC7">
            <w:pPr>
              <w:spacing w:line="300" w:lineRule="exact"/>
              <w:jc w:val="left"/>
              <w:rPr>
                <w:rFonts w:ascii="仿宋" w:eastAsia="仿宋" w:hAnsi="仿宋" w:cs="仿宋"/>
                <w:sz w:val="24"/>
              </w:rPr>
            </w:pPr>
          </w:p>
        </w:tc>
        <w:tc>
          <w:tcPr>
            <w:tcW w:w="4190" w:type="dxa"/>
            <w:vMerge/>
            <w:vAlign w:val="center"/>
          </w:tcPr>
          <w:p w:rsidR="00013EC7" w:rsidRDefault="00013EC7">
            <w:pPr>
              <w:spacing w:line="300" w:lineRule="exact"/>
              <w:jc w:val="left"/>
              <w:rPr>
                <w:rFonts w:ascii="仿宋" w:eastAsia="仿宋" w:hAnsi="仿宋" w:cs="仿宋"/>
                <w:sz w:val="24"/>
              </w:rPr>
            </w:pPr>
          </w:p>
        </w:tc>
        <w:tc>
          <w:tcPr>
            <w:tcW w:w="2496" w:type="dxa"/>
            <w:vAlign w:val="center"/>
          </w:tcPr>
          <w:p w:rsidR="00013EC7" w:rsidRDefault="00013EC7">
            <w:pPr>
              <w:spacing w:line="300" w:lineRule="exact"/>
              <w:jc w:val="left"/>
              <w:rPr>
                <w:rFonts w:ascii="仿宋" w:eastAsia="仿宋" w:hAnsi="仿宋" w:cs="仿宋"/>
                <w:sz w:val="24"/>
              </w:rPr>
            </w:pPr>
          </w:p>
        </w:tc>
        <w:tc>
          <w:tcPr>
            <w:tcW w:w="1701" w:type="dxa"/>
            <w:vMerge/>
            <w:vAlign w:val="center"/>
          </w:tcPr>
          <w:p w:rsidR="00013EC7" w:rsidRDefault="00013EC7">
            <w:pPr>
              <w:spacing w:line="300" w:lineRule="exact"/>
              <w:jc w:val="left"/>
              <w:rPr>
                <w:rFonts w:ascii="仿宋" w:eastAsia="仿宋" w:hAnsi="仿宋" w:cs="仿宋"/>
                <w:sz w:val="24"/>
              </w:rPr>
            </w:pPr>
          </w:p>
        </w:tc>
        <w:tc>
          <w:tcPr>
            <w:tcW w:w="1701"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（四）经办人身份证件及复印件（注明与原件一致，并加盖公章）。</w:t>
            </w:r>
          </w:p>
        </w:tc>
        <w:tc>
          <w:tcPr>
            <w:tcW w:w="1843" w:type="dxa"/>
            <w:vMerge/>
            <w:vAlign w:val="center"/>
          </w:tcPr>
          <w:p w:rsidR="00013EC7" w:rsidRDefault="00013EC7">
            <w:pPr>
              <w:spacing w:line="300" w:lineRule="exact"/>
              <w:jc w:val="left"/>
              <w:rPr>
                <w:rFonts w:ascii="仿宋" w:eastAsia="仿宋" w:hAnsi="仿宋" w:cs="仿宋"/>
                <w:sz w:val="24"/>
              </w:rPr>
            </w:pPr>
          </w:p>
        </w:tc>
        <w:tc>
          <w:tcPr>
            <w:tcW w:w="3504" w:type="dxa"/>
            <w:vMerge/>
            <w:vAlign w:val="center"/>
          </w:tcPr>
          <w:p w:rsidR="00013EC7" w:rsidRDefault="00013EC7">
            <w:pPr>
              <w:spacing w:line="300" w:lineRule="exact"/>
              <w:jc w:val="left"/>
              <w:rPr>
                <w:rFonts w:ascii="仿宋" w:eastAsia="仿宋" w:hAnsi="仿宋" w:cs="仿宋"/>
                <w:sz w:val="24"/>
              </w:rPr>
            </w:pPr>
          </w:p>
        </w:tc>
        <w:tc>
          <w:tcPr>
            <w:tcW w:w="479" w:type="dxa"/>
            <w:vMerge/>
            <w:vAlign w:val="center"/>
          </w:tcPr>
          <w:p w:rsidR="00013EC7" w:rsidRDefault="00013EC7">
            <w:pPr>
              <w:spacing w:line="300" w:lineRule="exact"/>
              <w:jc w:val="left"/>
              <w:rPr>
                <w:rFonts w:ascii="仿宋" w:eastAsia="仿宋" w:hAnsi="仿宋" w:cs="仿宋"/>
                <w:sz w:val="24"/>
              </w:rPr>
            </w:pPr>
          </w:p>
        </w:tc>
        <w:tc>
          <w:tcPr>
            <w:tcW w:w="479" w:type="dxa"/>
            <w:vMerge/>
            <w:vAlign w:val="center"/>
          </w:tcPr>
          <w:p w:rsidR="00013EC7" w:rsidRDefault="00013EC7">
            <w:pPr>
              <w:spacing w:line="300" w:lineRule="exact"/>
              <w:jc w:val="left"/>
              <w:rPr>
                <w:rFonts w:ascii="仿宋" w:eastAsia="仿宋" w:hAnsi="仿宋" w:cs="仿宋"/>
                <w:sz w:val="24"/>
              </w:rPr>
            </w:pPr>
          </w:p>
        </w:tc>
        <w:tc>
          <w:tcPr>
            <w:tcW w:w="603" w:type="dxa"/>
            <w:vMerge/>
            <w:vAlign w:val="center"/>
          </w:tcPr>
          <w:p w:rsidR="00013EC7" w:rsidRDefault="00013EC7">
            <w:pPr>
              <w:spacing w:line="300" w:lineRule="exact"/>
              <w:jc w:val="left"/>
              <w:rPr>
                <w:rFonts w:ascii="仿宋" w:eastAsia="仿宋" w:hAnsi="仿宋" w:cs="仿宋"/>
                <w:sz w:val="24"/>
              </w:rPr>
            </w:pPr>
          </w:p>
        </w:tc>
        <w:tc>
          <w:tcPr>
            <w:tcW w:w="802" w:type="dxa"/>
            <w:vMerge/>
            <w:vAlign w:val="center"/>
          </w:tcPr>
          <w:p w:rsidR="00013EC7" w:rsidRDefault="00013EC7">
            <w:pPr>
              <w:spacing w:line="300" w:lineRule="exact"/>
              <w:jc w:val="left"/>
              <w:rPr>
                <w:rFonts w:ascii="仿宋" w:eastAsia="仿宋" w:hAnsi="仿宋" w:cs="仿宋"/>
                <w:sz w:val="24"/>
              </w:rPr>
            </w:pPr>
          </w:p>
        </w:tc>
        <w:tc>
          <w:tcPr>
            <w:tcW w:w="926" w:type="dxa"/>
            <w:vMerge/>
            <w:vAlign w:val="center"/>
          </w:tcPr>
          <w:p w:rsidR="00013EC7" w:rsidRDefault="00013EC7">
            <w:pPr>
              <w:spacing w:line="300" w:lineRule="exact"/>
              <w:jc w:val="left"/>
              <w:rPr>
                <w:rFonts w:ascii="仿宋" w:eastAsia="仿宋" w:hAnsi="仿宋" w:cs="仿宋"/>
                <w:sz w:val="24"/>
              </w:rPr>
            </w:pPr>
          </w:p>
        </w:tc>
      </w:tr>
    </w:tbl>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5262E6">
      <w:pPr>
        <w:widowControl/>
        <w:jc w:val="left"/>
        <w:rPr>
          <w:rStyle w:val="20"/>
          <w:kern w:val="44"/>
        </w:rPr>
      </w:pPr>
      <w:bookmarkStart w:id="224" w:name="_Toc6781"/>
      <w:r>
        <w:rPr>
          <w:rFonts w:ascii="Arial" w:hAnsi="Arial"/>
          <w:sz w:val="28"/>
        </w:rPr>
        <w:lastRenderedPageBreak/>
        <w:object w:dxaOrig="1440" w:dyaOrig="1440">
          <v:shape id="对象 188" o:spid="_x0000_s1513" type="#_x0000_t75" style="position:absolute;margin-left:9.9pt;margin-top:89.1pt;width:394pt;height:489.75pt;z-index:251748352;mso-wrap-distance-top:0;mso-wrap-distance-bottom:0;mso-position-vertical-relative:page;mso-width-relative:page;mso-height-relative:page">
            <v:imagedata r:id="rId146" o:title=""/>
            <w10:wrap type="topAndBottom" anchory="page"/>
          </v:shape>
          <o:OLEObject Type="Embed" ProgID="Visio.Drawing.11" ShapeID="对象 188" DrawAspect="Content" ObjectID="_1577296203" r:id="rId147"/>
        </w:object>
      </w:r>
      <w:r>
        <w:rPr>
          <w:rFonts w:ascii="Arial" w:hAnsi="Arial"/>
          <w:sz w:val="28"/>
        </w:rPr>
        <w:object w:dxaOrig="1440" w:dyaOrig="1440">
          <v:shape id="_x0000_s1512" type="#_x0000_t75" alt="5928676981508729125595" style="position:absolute;margin-left:523.6pt;margin-top:55.35pt;width:462.15pt;height:632pt;z-index:251747328;mso-wrap-distance-top:0;mso-wrap-distance-bottom:0;mso-position-vertical-relative:page;mso-width-relative:page;mso-height-relative:page">
            <v:imagedata r:id="rId148" o:title=""/>
            <w10:wrap type="topAndBottom" anchory="page"/>
          </v:shape>
          <o:OLEObject Type="Embed" ProgID="Visio.Drawing.11" ShapeID="_x0000_s1512" DrawAspect="Content" ObjectID="_1577296204" r:id="rId149"/>
        </w:object>
      </w:r>
      <w:r w:rsidR="00575CDB">
        <w:rPr>
          <w:rStyle w:val="20"/>
        </w:rPr>
        <w:br w:type="page"/>
      </w:r>
      <w:bookmarkStart w:id="225" w:name="_Toc22183"/>
    </w:p>
    <w:p w:rsidR="00013EC7" w:rsidRDefault="00575CDB">
      <w:pPr>
        <w:pStyle w:val="1"/>
        <w:spacing w:before="0" w:after="0" w:line="240" w:lineRule="auto"/>
        <w:rPr>
          <w:rFonts w:ascii="宋体" w:hAnsi="宋体" w:cs="黑体"/>
          <w:szCs w:val="28"/>
        </w:rPr>
      </w:pPr>
      <w:bookmarkStart w:id="226" w:name="_Toc2654"/>
      <w:bookmarkStart w:id="227" w:name="_Toc29034"/>
      <w:bookmarkStart w:id="228" w:name="_Toc503467406"/>
      <w:bookmarkStart w:id="229" w:name="_Toc498705717"/>
      <w:bookmarkEnd w:id="224"/>
      <w:bookmarkEnd w:id="225"/>
      <w:r>
        <w:rPr>
          <w:rStyle w:val="20"/>
          <w:rFonts w:hint="eastAsia"/>
        </w:rPr>
        <w:lastRenderedPageBreak/>
        <w:t>13.2</w:t>
      </w:r>
      <w:r>
        <w:rPr>
          <w:rStyle w:val="20"/>
          <w:rFonts w:hint="eastAsia"/>
        </w:rPr>
        <w:t>普通发票代开</w:t>
      </w:r>
      <w:bookmarkEnd w:id="226"/>
      <w:bookmarkEnd w:id="227"/>
      <w:bookmarkEnd w:id="228"/>
      <w:bookmarkEnd w:id="229"/>
    </w:p>
    <w:p w:rsidR="00013EC7" w:rsidRDefault="00575CDB">
      <w:pPr>
        <w:jc w:val="center"/>
        <w:rPr>
          <w:rFonts w:ascii="宋体" w:hAnsi="宋体" w:cs="宋体"/>
          <w:b/>
          <w:bCs/>
          <w:sz w:val="52"/>
          <w:szCs w:val="52"/>
        </w:rPr>
      </w:pPr>
      <w:r>
        <w:rPr>
          <w:rFonts w:ascii="宋体" w:hAnsi="宋体" w:cs="宋体" w:hint="eastAsia"/>
          <w:b/>
          <w:bCs/>
          <w:sz w:val="52"/>
          <w:szCs w:val="52"/>
        </w:rPr>
        <w:t>全省“最多跑一次”事项“八统一”梳理表</w:t>
      </w:r>
    </w:p>
    <w:tbl>
      <w:tblPr>
        <w:tblW w:w="20704"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1250"/>
        <w:gridCol w:w="1316"/>
        <w:gridCol w:w="3842"/>
        <w:gridCol w:w="1535"/>
        <w:gridCol w:w="1276"/>
        <w:gridCol w:w="1767"/>
        <w:gridCol w:w="1196"/>
        <w:gridCol w:w="3318"/>
        <w:gridCol w:w="868"/>
        <w:gridCol w:w="930"/>
        <w:gridCol w:w="993"/>
        <w:gridCol w:w="1134"/>
        <w:gridCol w:w="1279"/>
      </w:tblGrid>
      <w:tr w:rsidR="00013EC7">
        <w:trPr>
          <w:trHeight w:val="340"/>
          <w:tblHeader/>
          <w:jc w:val="center"/>
        </w:trPr>
        <w:tc>
          <w:tcPr>
            <w:tcW w:w="1250"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主项名称</w:t>
            </w:r>
          </w:p>
        </w:tc>
        <w:tc>
          <w:tcPr>
            <w:tcW w:w="1316"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子项名称</w:t>
            </w:r>
          </w:p>
        </w:tc>
        <w:tc>
          <w:tcPr>
            <w:tcW w:w="3842"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经办依据</w:t>
            </w:r>
          </w:p>
        </w:tc>
        <w:tc>
          <w:tcPr>
            <w:tcW w:w="2811"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原经办所需材料</w:t>
            </w:r>
          </w:p>
        </w:tc>
        <w:tc>
          <w:tcPr>
            <w:tcW w:w="6281" w:type="dxa"/>
            <w:gridSpan w:val="3"/>
            <w:vAlign w:val="center"/>
          </w:tcPr>
          <w:p w:rsidR="00013EC7" w:rsidRDefault="00575CDB">
            <w:pPr>
              <w:spacing w:line="280" w:lineRule="exact"/>
              <w:jc w:val="center"/>
              <w:rPr>
                <w:rFonts w:ascii="黑体" w:eastAsia="黑体"/>
                <w:sz w:val="24"/>
              </w:rPr>
            </w:pPr>
            <w:r>
              <w:rPr>
                <w:rFonts w:ascii="黑体" w:eastAsia="黑体" w:hint="eastAsia"/>
                <w:sz w:val="24"/>
              </w:rPr>
              <w:t>梳理后经办所需材料</w:t>
            </w:r>
          </w:p>
        </w:tc>
        <w:tc>
          <w:tcPr>
            <w:tcW w:w="1798"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办理时限</w:t>
            </w:r>
          </w:p>
        </w:tc>
        <w:tc>
          <w:tcPr>
            <w:tcW w:w="993"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是否实现跑零次</w:t>
            </w:r>
          </w:p>
        </w:tc>
        <w:tc>
          <w:tcPr>
            <w:tcW w:w="1134"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省厅对口</w:t>
            </w:r>
          </w:p>
          <w:p w:rsidR="00013EC7" w:rsidRDefault="00575CDB">
            <w:pPr>
              <w:spacing w:line="280" w:lineRule="exact"/>
              <w:jc w:val="center"/>
              <w:rPr>
                <w:rFonts w:ascii="黑体" w:eastAsia="黑体"/>
                <w:sz w:val="24"/>
              </w:rPr>
            </w:pPr>
            <w:r>
              <w:rPr>
                <w:rFonts w:ascii="黑体" w:eastAsia="黑体" w:hint="eastAsia"/>
                <w:sz w:val="24"/>
              </w:rPr>
              <w:t>指导处室</w:t>
            </w:r>
          </w:p>
          <w:p w:rsidR="00013EC7" w:rsidRDefault="00575CDB">
            <w:pPr>
              <w:spacing w:line="280" w:lineRule="exact"/>
              <w:jc w:val="center"/>
              <w:rPr>
                <w:rFonts w:ascii="黑体" w:eastAsia="黑体"/>
                <w:sz w:val="24"/>
              </w:rPr>
            </w:pPr>
            <w:r>
              <w:rPr>
                <w:rFonts w:ascii="黑体" w:eastAsia="黑体" w:hint="eastAsia"/>
                <w:sz w:val="24"/>
              </w:rPr>
              <w:t>（单位）</w:t>
            </w:r>
          </w:p>
        </w:tc>
        <w:tc>
          <w:tcPr>
            <w:tcW w:w="1279"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进一步精简、规范建议</w:t>
            </w:r>
          </w:p>
        </w:tc>
      </w:tr>
      <w:tr w:rsidR="00013EC7">
        <w:trPr>
          <w:trHeight w:val="340"/>
          <w:tblHeader/>
          <w:jc w:val="center"/>
        </w:trPr>
        <w:tc>
          <w:tcPr>
            <w:tcW w:w="1250" w:type="dxa"/>
            <w:vMerge/>
            <w:vAlign w:val="center"/>
          </w:tcPr>
          <w:p w:rsidR="00013EC7" w:rsidRDefault="00013EC7">
            <w:pPr>
              <w:rPr>
                <w:sz w:val="24"/>
              </w:rPr>
            </w:pPr>
          </w:p>
        </w:tc>
        <w:tc>
          <w:tcPr>
            <w:tcW w:w="1316" w:type="dxa"/>
            <w:vMerge/>
          </w:tcPr>
          <w:p w:rsidR="00013EC7" w:rsidRDefault="00013EC7">
            <w:pPr>
              <w:rPr>
                <w:sz w:val="24"/>
              </w:rPr>
            </w:pPr>
          </w:p>
        </w:tc>
        <w:tc>
          <w:tcPr>
            <w:tcW w:w="3842" w:type="dxa"/>
            <w:vMerge/>
          </w:tcPr>
          <w:p w:rsidR="00013EC7" w:rsidRDefault="00013EC7">
            <w:pPr>
              <w:rPr>
                <w:sz w:val="24"/>
              </w:rPr>
            </w:pPr>
          </w:p>
        </w:tc>
        <w:tc>
          <w:tcPr>
            <w:tcW w:w="1535" w:type="dxa"/>
            <w:tcBorders>
              <w:bottom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276"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1767" w:type="dxa"/>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196"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3318" w:type="dxa"/>
            <w:vAlign w:val="center"/>
          </w:tcPr>
          <w:p w:rsidR="00013EC7" w:rsidRDefault="00575CDB">
            <w:pPr>
              <w:spacing w:line="280" w:lineRule="exact"/>
              <w:jc w:val="center"/>
              <w:rPr>
                <w:rFonts w:ascii="黑体" w:eastAsia="黑体"/>
                <w:sz w:val="24"/>
              </w:rPr>
            </w:pPr>
            <w:r>
              <w:rPr>
                <w:rFonts w:ascii="黑体" w:eastAsia="黑体" w:hint="eastAsia"/>
                <w:sz w:val="24"/>
              </w:rPr>
              <w:t>办理方式及材料</w:t>
            </w:r>
          </w:p>
          <w:p w:rsidR="00013EC7" w:rsidRDefault="00575CDB">
            <w:pPr>
              <w:spacing w:line="280" w:lineRule="exact"/>
              <w:jc w:val="center"/>
              <w:rPr>
                <w:rFonts w:ascii="黑体" w:eastAsia="黑体"/>
                <w:sz w:val="24"/>
              </w:rPr>
            </w:pPr>
            <w:r>
              <w:rPr>
                <w:rFonts w:ascii="黑体" w:eastAsia="黑体" w:hint="eastAsia"/>
                <w:sz w:val="24"/>
              </w:rPr>
              <w:t>信息获取方式说明</w:t>
            </w:r>
          </w:p>
        </w:tc>
        <w:tc>
          <w:tcPr>
            <w:tcW w:w="868" w:type="dxa"/>
            <w:vAlign w:val="center"/>
          </w:tcPr>
          <w:p w:rsidR="00013EC7" w:rsidRDefault="00575CDB">
            <w:pPr>
              <w:spacing w:line="280" w:lineRule="exact"/>
              <w:jc w:val="center"/>
              <w:rPr>
                <w:rFonts w:ascii="黑体" w:eastAsia="黑体"/>
                <w:sz w:val="24"/>
              </w:rPr>
            </w:pPr>
            <w:r>
              <w:rPr>
                <w:rFonts w:ascii="黑体" w:eastAsia="黑体" w:hint="eastAsia"/>
                <w:sz w:val="24"/>
              </w:rPr>
              <w:t>优化前</w:t>
            </w:r>
          </w:p>
        </w:tc>
        <w:tc>
          <w:tcPr>
            <w:tcW w:w="930" w:type="dxa"/>
            <w:vAlign w:val="center"/>
          </w:tcPr>
          <w:p w:rsidR="00013EC7" w:rsidRDefault="00575CDB">
            <w:pPr>
              <w:spacing w:line="280" w:lineRule="exact"/>
              <w:jc w:val="center"/>
              <w:rPr>
                <w:rFonts w:ascii="黑体" w:eastAsia="黑体"/>
                <w:sz w:val="24"/>
              </w:rPr>
            </w:pPr>
            <w:r>
              <w:rPr>
                <w:rFonts w:ascii="黑体" w:eastAsia="黑体" w:hint="eastAsia"/>
                <w:sz w:val="24"/>
              </w:rPr>
              <w:t>优化后</w:t>
            </w:r>
          </w:p>
        </w:tc>
        <w:tc>
          <w:tcPr>
            <w:tcW w:w="993" w:type="dxa"/>
            <w:vMerge/>
            <w:vAlign w:val="center"/>
          </w:tcPr>
          <w:p w:rsidR="00013EC7" w:rsidRDefault="00013EC7">
            <w:pPr>
              <w:rPr>
                <w:sz w:val="24"/>
              </w:rPr>
            </w:pPr>
          </w:p>
        </w:tc>
        <w:tc>
          <w:tcPr>
            <w:tcW w:w="1134" w:type="dxa"/>
            <w:vMerge/>
            <w:vAlign w:val="center"/>
          </w:tcPr>
          <w:p w:rsidR="00013EC7" w:rsidRDefault="00013EC7">
            <w:pPr>
              <w:rPr>
                <w:sz w:val="24"/>
              </w:rPr>
            </w:pPr>
          </w:p>
        </w:tc>
        <w:tc>
          <w:tcPr>
            <w:tcW w:w="1279" w:type="dxa"/>
            <w:vMerge/>
            <w:vAlign w:val="center"/>
          </w:tcPr>
          <w:p w:rsidR="00013EC7" w:rsidRDefault="00013EC7">
            <w:pPr>
              <w:rPr>
                <w:sz w:val="24"/>
              </w:rPr>
            </w:pPr>
          </w:p>
        </w:tc>
      </w:tr>
      <w:tr w:rsidR="00013EC7">
        <w:trPr>
          <w:trHeight w:val="3656"/>
          <w:jc w:val="center"/>
        </w:trPr>
        <w:tc>
          <w:tcPr>
            <w:tcW w:w="1250" w:type="dxa"/>
            <w:vMerge w:val="restart"/>
            <w:tcBorders>
              <w:bottom w:val="single" w:sz="4" w:space="0" w:color="auto"/>
            </w:tcBorders>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13发票开具</w:t>
            </w:r>
          </w:p>
        </w:tc>
        <w:tc>
          <w:tcPr>
            <w:tcW w:w="1316" w:type="dxa"/>
            <w:vMerge w:val="restart"/>
            <w:tcBorders>
              <w:bottom w:val="single" w:sz="4" w:space="0" w:color="auto"/>
            </w:tcBorders>
            <w:vAlign w:val="center"/>
          </w:tcPr>
          <w:p w:rsidR="00013EC7" w:rsidRDefault="00575CDB">
            <w:pPr>
              <w:spacing w:line="310" w:lineRule="exact"/>
              <w:jc w:val="left"/>
              <w:rPr>
                <w:rFonts w:ascii="仿宋" w:eastAsia="仿宋" w:hAnsi="仿宋" w:cs="仿宋"/>
                <w:sz w:val="24"/>
              </w:rPr>
            </w:pPr>
            <w:r>
              <w:rPr>
                <w:rFonts w:ascii="仿宋" w:eastAsia="仿宋" w:hAnsi="仿宋" w:cs="仿宋" w:hint="eastAsia"/>
                <w:sz w:val="24"/>
              </w:rPr>
              <w:t>13.2普通发票代开</w:t>
            </w:r>
          </w:p>
        </w:tc>
        <w:tc>
          <w:tcPr>
            <w:tcW w:w="3842" w:type="dxa"/>
            <w:vMerge w:val="restart"/>
            <w:tcBorders>
              <w:bottom w:val="single" w:sz="4" w:space="0" w:color="auto"/>
            </w:tcBorders>
            <w:vAlign w:val="center"/>
          </w:tcPr>
          <w:p w:rsidR="00013EC7" w:rsidRDefault="00575CDB">
            <w:pPr>
              <w:spacing w:line="310" w:lineRule="exact"/>
              <w:jc w:val="left"/>
              <w:rPr>
                <w:rFonts w:ascii="仿宋" w:eastAsia="仿宋" w:hAnsi="仿宋" w:cs="仿宋"/>
                <w:sz w:val="24"/>
              </w:rPr>
            </w:pPr>
            <w:r>
              <w:rPr>
                <w:rFonts w:ascii="仿宋" w:eastAsia="仿宋" w:hAnsi="仿宋" w:cs="仿宋" w:hint="eastAsia"/>
                <w:sz w:val="24"/>
              </w:rPr>
              <w:t>（一）《中华人民共和国发票管理办法》（2010年中华人民共和国国务院令第587号）第十六条。</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 xml:space="preserve">（二）《国家税务总局关于修改〈中华人民共和国发票管理办法实施细则〉的决定》（2014年国家税务总局令第37号）第二十六条、第二十八条、第二十九条。 </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 xml:space="preserve">（三）《国家税务总局关于加强和规范税务机关代开普通发票工作的通知》（国税函〔2004〕1024号）全文。 </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（四）《浙江省国家税务局 浙江省地方税务局转发国家税务总局关于加强和规范税务机关代开普通发票工作的通知》（浙国税征〔2005〕3号）全文。</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（五）《个体工商户税收定期定额征收管理办法》（2006年国家税务总局令第16号）第十三条。</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（六）《国家税务总局关于国家税务局为小规模纳税人代开发票及税款征收有关问题的通知》（国税发〔2005〕18号）全文。</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（七）《国家税务总局关于国家税务局代地方税务局征收城市维护建设税和教育费附加票据使用问题的通知》（国税函〔2006〕815号）全文。</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（八）《国家税务总局关于印发〈全国普通发票简并票种统一式样工作实施方案〉的通知》（国税发〔2009〕142号）第三条。</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lastRenderedPageBreak/>
              <w:t>（九）《国家税务总局关于全国统一式样发票衔接问题的通知》（国税函〔2009〕648号）第二条。</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（十）《国家税务总局关于取消发票工本费有关问题的通知》（国税函〔2012〕608号）第一条。</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（十一）《国家税务总局关于营业税改征增值税委托地税局代征税款和代开增值税发票的通知》（税总函〔2016〕145号）全文。</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（十二）《国家税务总局关于发布〈纳税人转让不动产增值税征收管理暂行办法〉的公告》（国家税务总局公告2016年第14号）第十条。</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（十三）《国家税务总局关于发布〈纳税人提供不动产经营租赁服务增值税征收管理暂行办法〉的公告》（国家税务总局公告2016年第16号）第十一条。</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（十四）《国家税务总局关于发布〈纳税人跨县（市、区）提供建筑服务增值税征收管理暂行办法〉的公告》（国家税务总局公告2016年第17号）第九条。</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（十五）《国家税务总局关于营业税改征增值税委托地税机关代征税款和代开增值税发票的公告》（国家税务总局公告2016年第19号）全文。</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（十六）《国家税务总局关于全面推开营业税改征增值税试点有关税收征收管理事项的公告》（国家税务总局公告2016年第23号）第四条。</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（十七）《国家税务总局关于纳税人申请代开增值税发票办理流程的公告》（国家税务总局公告2016年</w:t>
            </w:r>
            <w:r>
              <w:rPr>
                <w:rFonts w:ascii="仿宋" w:eastAsia="仿宋" w:hAnsi="仿宋" w:cs="仿宋" w:hint="eastAsia"/>
                <w:sz w:val="24"/>
              </w:rPr>
              <w:lastRenderedPageBreak/>
              <w:t>第59号）全文。</w:t>
            </w:r>
          </w:p>
        </w:tc>
        <w:tc>
          <w:tcPr>
            <w:tcW w:w="1535" w:type="dxa"/>
            <w:tcBorders>
              <w:top w:val="single" w:sz="4" w:space="0" w:color="auto"/>
              <w:bottom w:val="single" w:sz="4" w:space="0" w:color="auto"/>
            </w:tcBorders>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lastRenderedPageBreak/>
              <w:t>（一）《代开增值税发票缴纳税款申报单》/《代开通用机打发票缴纳税款申报单》1份。</w:t>
            </w:r>
          </w:p>
        </w:tc>
        <w:tc>
          <w:tcPr>
            <w:tcW w:w="1276" w:type="dxa"/>
            <w:vMerge w:val="restart"/>
            <w:tcBorders>
              <w:bottom w:val="single" w:sz="4" w:space="0" w:color="auto"/>
            </w:tcBorders>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纳税人提交</w:t>
            </w:r>
          </w:p>
        </w:tc>
        <w:tc>
          <w:tcPr>
            <w:tcW w:w="1767" w:type="dxa"/>
            <w:tcBorders>
              <w:bottom w:val="single" w:sz="4" w:space="0" w:color="auto"/>
            </w:tcBorders>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（一）《代开增值税发票缴纳税款申报单》/《代开通用机打发票缴纳税款申报单》1份。</w:t>
            </w:r>
          </w:p>
        </w:tc>
        <w:tc>
          <w:tcPr>
            <w:tcW w:w="1196" w:type="dxa"/>
            <w:vMerge w:val="restart"/>
            <w:tcBorders>
              <w:bottom w:val="single" w:sz="4" w:space="0" w:color="auto"/>
            </w:tcBorders>
            <w:vAlign w:val="center"/>
          </w:tcPr>
          <w:p w:rsidR="00013EC7" w:rsidRDefault="00575CDB">
            <w:pPr>
              <w:spacing w:line="300" w:lineRule="exact"/>
              <w:jc w:val="left"/>
              <w:rPr>
                <w:rFonts w:ascii="仿宋" w:eastAsia="仿宋" w:hAnsi="仿宋" w:cs="仿宋"/>
                <w:bCs/>
                <w:i/>
                <w:iCs/>
                <w:sz w:val="24"/>
              </w:rPr>
            </w:pPr>
            <w:r>
              <w:rPr>
                <w:rFonts w:ascii="仿宋" w:eastAsia="仿宋" w:hAnsi="仿宋" w:cs="仿宋" w:hint="eastAsia"/>
                <w:sz w:val="24"/>
              </w:rPr>
              <w:t>纳税人提交</w:t>
            </w:r>
          </w:p>
        </w:tc>
        <w:tc>
          <w:tcPr>
            <w:tcW w:w="3318" w:type="dxa"/>
            <w:vMerge w:val="restart"/>
            <w:tcBorders>
              <w:bottom w:val="single" w:sz="4" w:space="0" w:color="auto"/>
            </w:tcBorders>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纳税人提交书面材料。</w:t>
            </w:r>
          </w:p>
          <w:p w:rsidR="00013EC7" w:rsidRDefault="00575CDB">
            <w:pPr>
              <w:spacing w:line="300" w:lineRule="exact"/>
              <w:jc w:val="left"/>
              <w:rPr>
                <w:rFonts w:ascii="仿宋" w:eastAsia="仿宋" w:hAnsi="仿宋" w:cs="仿宋"/>
                <w:sz w:val="24"/>
              </w:rPr>
            </w:pPr>
            <w:r>
              <w:rPr>
                <w:rFonts w:ascii="仿宋" w:eastAsia="仿宋" w:hAnsi="仿宋" w:cs="仿宋" w:hint="eastAsia"/>
                <w:b/>
                <w:sz w:val="24"/>
              </w:rPr>
              <w:t>网上办理：</w:t>
            </w:r>
            <w:r>
              <w:rPr>
                <w:rFonts w:ascii="仿宋" w:eastAsia="仿宋" w:hAnsi="仿宋" w:cs="仿宋" w:hint="eastAsia"/>
                <w:sz w:val="24"/>
              </w:rPr>
              <w:t>登录浙江国税电子税务局（网址：http://etax.zjtax.gov.cn/）提交申请。</w:t>
            </w:r>
          </w:p>
          <w:p w:rsidR="00013EC7" w:rsidRDefault="00575CDB">
            <w:pPr>
              <w:spacing w:line="300" w:lineRule="exact"/>
              <w:jc w:val="left"/>
              <w:rPr>
                <w:rFonts w:ascii="仿宋" w:eastAsia="仿宋" w:hAnsi="仿宋" w:cs="仿宋"/>
                <w:sz w:val="24"/>
              </w:rPr>
            </w:pPr>
            <w:r>
              <w:rPr>
                <w:rFonts w:ascii="仿宋" w:eastAsia="仿宋" w:hAnsi="仿宋" w:cs="仿宋" w:hint="eastAsia"/>
                <w:b/>
                <w:sz w:val="24"/>
              </w:rPr>
              <w:t>APP办理：</w:t>
            </w:r>
            <w:r>
              <w:rPr>
                <w:rFonts w:ascii="仿宋" w:eastAsia="仿宋" w:hAnsi="仿宋" w:cs="仿宋" w:hint="eastAsia"/>
                <w:sz w:val="24"/>
              </w:rPr>
              <w:t>登录浙江国税APP提交申请。</w:t>
            </w:r>
          </w:p>
        </w:tc>
        <w:tc>
          <w:tcPr>
            <w:tcW w:w="868" w:type="dxa"/>
            <w:vMerge w:val="restart"/>
            <w:tcBorders>
              <w:bottom w:val="single" w:sz="4" w:space="0" w:color="auto"/>
            </w:tcBorders>
            <w:vAlign w:val="center"/>
          </w:tcPr>
          <w:p w:rsidR="00013EC7" w:rsidRDefault="00575CDB">
            <w:pPr>
              <w:jc w:val="left"/>
              <w:rPr>
                <w:rFonts w:ascii="仿宋" w:eastAsia="仿宋" w:hAnsi="仿宋" w:cs="仿宋"/>
                <w:sz w:val="24"/>
              </w:rPr>
            </w:pPr>
            <w:r>
              <w:rPr>
                <w:rFonts w:ascii="仿宋" w:eastAsia="仿宋" w:hAnsi="仿宋" w:cs="仿宋" w:hint="eastAsia"/>
                <w:sz w:val="24"/>
              </w:rPr>
              <w:t>即时办结</w:t>
            </w:r>
          </w:p>
        </w:tc>
        <w:tc>
          <w:tcPr>
            <w:tcW w:w="930" w:type="dxa"/>
            <w:vMerge w:val="restart"/>
            <w:tcBorders>
              <w:bottom w:val="single" w:sz="4" w:space="0" w:color="auto"/>
            </w:tcBorders>
            <w:vAlign w:val="center"/>
          </w:tcPr>
          <w:p w:rsidR="00013EC7" w:rsidRDefault="00575CDB">
            <w:pPr>
              <w:jc w:val="left"/>
              <w:rPr>
                <w:rFonts w:ascii="仿宋" w:eastAsia="仿宋" w:hAnsi="仿宋" w:cs="仿宋"/>
                <w:sz w:val="24"/>
              </w:rPr>
            </w:pPr>
            <w:r>
              <w:rPr>
                <w:rFonts w:ascii="仿宋" w:eastAsia="仿宋" w:hAnsi="仿宋" w:cs="仿宋" w:hint="eastAsia"/>
                <w:sz w:val="24"/>
              </w:rPr>
              <w:t>即时办结</w:t>
            </w:r>
          </w:p>
        </w:tc>
        <w:tc>
          <w:tcPr>
            <w:tcW w:w="993" w:type="dxa"/>
            <w:vMerge w:val="restart"/>
            <w:tcBorders>
              <w:bottom w:val="single" w:sz="4" w:space="0" w:color="auto"/>
            </w:tcBorders>
            <w:vAlign w:val="center"/>
          </w:tcPr>
          <w:p w:rsidR="00013EC7" w:rsidRDefault="00575CDB">
            <w:pPr>
              <w:jc w:val="left"/>
              <w:rPr>
                <w:rFonts w:ascii="仿宋" w:eastAsia="仿宋" w:hAnsi="仿宋" w:cs="仿宋"/>
                <w:sz w:val="24"/>
              </w:rPr>
            </w:pPr>
            <w:r>
              <w:rPr>
                <w:rFonts w:ascii="仿宋" w:eastAsia="仿宋" w:hAnsi="仿宋" w:cs="仿宋" w:hint="eastAsia"/>
                <w:sz w:val="24"/>
              </w:rPr>
              <w:t>是</w:t>
            </w:r>
          </w:p>
        </w:tc>
        <w:tc>
          <w:tcPr>
            <w:tcW w:w="1134" w:type="dxa"/>
            <w:vMerge w:val="restart"/>
            <w:tcBorders>
              <w:bottom w:val="single" w:sz="4" w:space="0" w:color="auto"/>
            </w:tcBorders>
            <w:vAlign w:val="center"/>
          </w:tcPr>
          <w:p w:rsidR="00013EC7" w:rsidRDefault="00575CDB">
            <w:pPr>
              <w:jc w:val="left"/>
              <w:rPr>
                <w:rFonts w:ascii="仿宋" w:eastAsia="仿宋" w:hAnsi="仿宋" w:cs="仿宋"/>
                <w:sz w:val="24"/>
              </w:rPr>
            </w:pPr>
            <w:r>
              <w:rPr>
                <w:rFonts w:ascii="仿宋" w:eastAsia="仿宋" w:hAnsi="仿宋" w:cs="仿宋" w:hint="eastAsia"/>
                <w:sz w:val="24"/>
              </w:rPr>
              <w:t>货物和劳务税处（增值税发票）、</w:t>
            </w:r>
            <w:r>
              <w:rPr>
                <w:rFonts w:ascii="仿宋" w:eastAsia="仿宋" w:hAnsi="仿宋" w:cs="仿宋" w:hint="eastAsia"/>
                <w:sz w:val="24"/>
              </w:rPr>
              <w:br/>
              <w:t>征管科技处（通用机打发票）</w:t>
            </w:r>
          </w:p>
        </w:tc>
        <w:tc>
          <w:tcPr>
            <w:tcW w:w="1279" w:type="dxa"/>
            <w:vMerge w:val="restart"/>
            <w:tcBorders>
              <w:bottom w:val="single" w:sz="4" w:space="0" w:color="auto"/>
            </w:tcBorders>
            <w:vAlign w:val="center"/>
          </w:tcPr>
          <w:p w:rsidR="00013EC7" w:rsidRDefault="00013EC7">
            <w:pPr>
              <w:spacing w:line="300" w:lineRule="exact"/>
              <w:jc w:val="left"/>
              <w:rPr>
                <w:rFonts w:ascii="仿宋" w:eastAsia="仿宋" w:hAnsi="仿宋" w:cs="仿宋"/>
                <w:sz w:val="24"/>
              </w:rPr>
            </w:pPr>
          </w:p>
        </w:tc>
      </w:tr>
      <w:tr w:rsidR="00013EC7">
        <w:trPr>
          <w:trHeight w:val="2410"/>
          <w:jc w:val="center"/>
        </w:trPr>
        <w:tc>
          <w:tcPr>
            <w:tcW w:w="1250" w:type="dxa"/>
            <w:vMerge/>
            <w:tcBorders>
              <w:bottom w:val="single" w:sz="8" w:space="0" w:color="auto"/>
            </w:tcBorders>
            <w:vAlign w:val="center"/>
          </w:tcPr>
          <w:p w:rsidR="00013EC7" w:rsidRDefault="00013EC7">
            <w:pPr>
              <w:rPr>
                <w:rFonts w:ascii="仿宋" w:eastAsia="仿宋" w:hAnsi="仿宋" w:cs="仿宋"/>
                <w:sz w:val="24"/>
              </w:rPr>
            </w:pPr>
          </w:p>
        </w:tc>
        <w:tc>
          <w:tcPr>
            <w:tcW w:w="1316" w:type="dxa"/>
            <w:vMerge/>
            <w:tcBorders>
              <w:bottom w:val="single" w:sz="8" w:space="0" w:color="auto"/>
            </w:tcBorders>
            <w:vAlign w:val="center"/>
          </w:tcPr>
          <w:p w:rsidR="00013EC7" w:rsidRDefault="00013EC7">
            <w:pPr>
              <w:rPr>
                <w:rFonts w:ascii="仿宋" w:eastAsia="仿宋" w:hAnsi="仿宋" w:cs="仿宋"/>
                <w:sz w:val="24"/>
              </w:rPr>
            </w:pPr>
          </w:p>
        </w:tc>
        <w:tc>
          <w:tcPr>
            <w:tcW w:w="3842" w:type="dxa"/>
            <w:vMerge/>
            <w:tcBorders>
              <w:bottom w:val="single" w:sz="8" w:space="0" w:color="auto"/>
            </w:tcBorders>
            <w:vAlign w:val="center"/>
          </w:tcPr>
          <w:p w:rsidR="00013EC7" w:rsidRDefault="00013EC7">
            <w:pPr>
              <w:rPr>
                <w:rFonts w:ascii="仿宋" w:eastAsia="仿宋" w:hAnsi="仿宋" w:cs="仿宋"/>
                <w:sz w:val="24"/>
              </w:rPr>
            </w:pPr>
          </w:p>
        </w:tc>
        <w:tc>
          <w:tcPr>
            <w:tcW w:w="1535" w:type="dxa"/>
            <w:tcBorders>
              <w:bottom w:val="single" w:sz="4" w:space="0" w:color="auto"/>
            </w:tcBorders>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shd w:val="clear" w:color="FFFFFF" w:fill="D9D9D9"/>
              </w:rPr>
              <w:t>（二）自然人申请代开发票，提交身份证件；其他纳税人申请代开发票，提交加载统一社会信用代码的营业执照（或税务登记证或组织机构代码证）、经办人身份证件（原件查验）。</w:t>
            </w:r>
          </w:p>
        </w:tc>
        <w:tc>
          <w:tcPr>
            <w:tcW w:w="1276" w:type="dxa"/>
            <w:vMerge/>
            <w:tcBorders>
              <w:bottom w:val="single" w:sz="8" w:space="0" w:color="auto"/>
            </w:tcBorders>
            <w:vAlign w:val="center"/>
          </w:tcPr>
          <w:p w:rsidR="00013EC7" w:rsidRDefault="00013EC7">
            <w:pPr>
              <w:rPr>
                <w:rFonts w:ascii="仿宋" w:eastAsia="仿宋" w:hAnsi="仿宋" w:cs="仿宋"/>
                <w:sz w:val="24"/>
              </w:rPr>
            </w:pPr>
          </w:p>
        </w:tc>
        <w:tc>
          <w:tcPr>
            <w:tcW w:w="1767" w:type="dxa"/>
            <w:tcBorders>
              <w:bottom w:val="single" w:sz="8" w:space="0" w:color="auto"/>
            </w:tcBorders>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（二）经办人身份证件（原件查验）。</w:t>
            </w:r>
          </w:p>
        </w:tc>
        <w:tc>
          <w:tcPr>
            <w:tcW w:w="1196" w:type="dxa"/>
            <w:vMerge/>
            <w:tcBorders>
              <w:bottom w:val="single" w:sz="8" w:space="0" w:color="auto"/>
            </w:tcBorders>
            <w:vAlign w:val="center"/>
          </w:tcPr>
          <w:p w:rsidR="00013EC7" w:rsidRDefault="00013EC7">
            <w:pPr>
              <w:jc w:val="center"/>
              <w:rPr>
                <w:rFonts w:ascii="仿宋" w:eastAsia="仿宋" w:hAnsi="仿宋" w:cs="仿宋"/>
                <w:sz w:val="24"/>
              </w:rPr>
            </w:pPr>
          </w:p>
        </w:tc>
        <w:tc>
          <w:tcPr>
            <w:tcW w:w="3318" w:type="dxa"/>
            <w:vMerge/>
            <w:tcBorders>
              <w:bottom w:val="single" w:sz="8" w:space="0" w:color="auto"/>
            </w:tcBorders>
            <w:vAlign w:val="center"/>
          </w:tcPr>
          <w:p w:rsidR="00013EC7" w:rsidRDefault="00013EC7">
            <w:pPr>
              <w:spacing w:line="300" w:lineRule="exact"/>
              <w:rPr>
                <w:rFonts w:ascii="仿宋" w:eastAsia="仿宋" w:hAnsi="仿宋" w:cs="仿宋"/>
                <w:sz w:val="24"/>
              </w:rPr>
            </w:pPr>
          </w:p>
        </w:tc>
        <w:tc>
          <w:tcPr>
            <w:tcW w:w="868" w:type="dxa"/>
            <w:vMerge/>
            <w:tcBorders>
              <w:bottom w:val="single" w:sz="8" w:space="0" w:color="auto"/>
            </w:tcBorders>
            <w:vAlign w:val="center"/>
          </w:tcPr>
          <w:p w:rsidR="00013EC7" w:rsidRDefault="00013EC7">
            <w:pPr>
              <w:rPr>
                <w:rFonts w:ascii="仿宋" w:eastAsia="仿宋" w:hAnsi="仿宋" w:cs="仿宋"/>
                <w:sz w:val="24"/>
              </w:rPr>
            </w:pPr>
          </w:p>
        </w:tc>
        <w:tc>
          <w:tcPr>
            <w:tcW w:w="930" w:type="dxa"/>
            <w:vMerge/>
            <w:tcBorders>
              <w:bottom w:val="single" w:sz="8" w:space="0" w:color="auto"/>
            </w:tcBorders>
            <w:vAlign w:val="center"/>
          </w:tcPr>
          <w:p w:rsidR="00013EC7" w:rsidRDefault="00013EC7">
            <w:pPr>
              <w:rPr>
                <w:rFonts w:ascii="仿宋" w:eastAsia="仿宋" w:hAnsi="仿宋" w:cs="仿宋"/>
                <w:sz w:val="24"/>
              </w:rPr>
            </w:pPr>
          </w:p>
        </w:tc>
        <w:tc>
          <w:tcPr>
            <w:tcW w:w="993" w:type="dxa"/>
            <w:vMerge/>
            <w:tcBorders>
              <w:bottom w:val="single" w:sz="8" w:space="0" w:color="auto"/>
            </w:tcBorders>
            <w:vAlign w:val="center"/>
          </w:tcPr>
          <w:p w:rsidR="00013EC7" w:rsidRDefault="00013EC7">
            <w:pPr>
              <w:rPr>
                <w:rFonts w:ascii="仿宋" w:eastAsia="仿宋" w:hAnsi="仿宋" w:cs="仿宋"/>
                <w:sz w:val="24"/>
              </w:rPr>
            </w:pPr>
          </w:p>
        </w:tc>
        <w:tc>
          <w:tcPr>
            <w:tcW w:w="1134" w:type="dxa"/>
            <w:vMerge/>
            <w:tcBorders>
              <w:bottom w:val="single" w:sz="8" w:space="0" w:color="auto"/>
            </w:tcBorders>
            <w:vAlign w:val="center"/>
          </w:tcPr>
          <w:p w:rsidR="00013EC7" w:rsidRDefault="00013EC7">
            <w:pPr>
              <w:rPr>
                <w:rFonts w:ascii="仿宋" w:eastAsia="仿宋" w:hAnsi="仿宋" w:cs="仿宋"/>
                <w:sz w:val="24"/>
              </w:rPr>
            </w:pPr>
          </w:p>
        </w:tc>
        <w:tc>
          <w:tcPr>
            <w:tcW w:w="1279" w:type="dxa"/>
            <w:vMerge/>
            <w:tcBorders>
              <w:bottom w:val="single" w:sz="8" w:space="0" w:color="auto"/>
            </w:tcBorders>
            <w:vAlign w:val="center"/>
          </w:tcPr>
          <w:p w:rsidR="00013EC7" w:rsidRDefault="00013EC7">
            <w:pPr>
              <w:rPr>
                <w:rFonts w:ascii="仿宋" w:eastAsia="仿宋" w:hAnsi="仿宋" w:cs="仿宋"/>
                <w:sz w:val="24"/>
              </w:rPr>
            </w:pPr>
          </w:p>
        </w:tc>
      </w:tr>
    </w:tbl>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5262E6">
      <w:pPr>
        <w:rPr>
          <w:rFonts w:eastAsia="方正书宋简体"/>
          <w:szCs w:val="21"/>
        </w:rPr>
      </w:pPr>
      <w:r>
        <w:lastRenderedPageBreak/>
        <w:object w:dxaOrig="1440" w:dyaOrig="1440">
          <v:shape id="_x0000_s1343" type="#_x0000_t75" style="position:absolute;left:0;text-align:left;margin-left:0;margin-top:91.4pt;width:372.5pt;height:446.5pt;z-index:251669504;mso-wrap-distance-top:0;mso-wrap-distance-bottom:0;mso-position-vertical-relative:page;mso-width-relative:page;mso-height-relative:page">
            <v:imagedata r:id="rId150" o:title=""/>
            <w10:wrap type="topAndBottom" anchory="page"/>
          </v:shape>
          <o:OLEObject Type="Embed" ProgID="Visio.Drawing.11" ShapeID="_x0000_s1343" DrawAspect="Content" ObjectID="_1577296205" r:id="rId151"/>
        </w:object>
      </w:r>
      <w:r>
        <w:rPr>
          <w:lang w:val="zh-CN"/>
        </w:rPr>
        <w:object w:dxaOrig="1440" w:dyaOrig="1440">
          <v:shape id="_x0000_s1285" type="#_x0000_t75" alt="5928676981508729125595" style="position:absolute;left:0;text-align:left;margin-left:522.8pt;margin-top:76.05pt;width:441.4pt;height:629.4pt;z-index:251623424;mso-wrap-distance-top:0;mso-wrap-distance-bottom:0;mso-position-vertical-relative:page;mso-width-relative:page;mso-height-relative:page">
            <v:imagedata r:id="rId152" o:title="5928676981508729125595"/>
            <o:lock v:ext="edit" aspectratio="f"/>
            <w10:wrap type="topAndBottom" anchory="page"/>
          </v:shape>
          <o:OLEObject Type="Embed" ProgID="Visio.Drawing.11" ShapeID="_x0000_s1285" DrawAspect="Content" ObjectID="_1577296206" r:id="rId153"/>
        </w:object>
      </w:r>
    </w:p>
    <w:p w:rsidR="00013EC7" w:rsidRDefault="00575CDB">
      <w:pPr>
        <w:rPr>
          <w:rFonts w:eastAsia="方正书宋简体"/>
          <w:szCs w:val="21"/>
        </w:rPr>
      </w:pPr>
      <w:r>
        <w:rPr>
          <w:rFonts w:ascii="宋体" w:hAnsi="宋体" w:hint="eastAsia"/>
          <w:kern w:val="0"/>
          <w:szCs w:val="28"/>
        </w:rPr>
        <w:br w:type="page"/>
      </w:r>
    </w:p>
    <w:p w:rsidR="00013EC7" w:rsidRDefault="00575CDB">
      <w:pPr>
        <w:pStyle w:val="2"/>
      </w:pPr>
      <w:bookmarkStart w:id="230" w:name="_Toc498705718"/>
      <w:bookmarkStart w:id="231" w:name="_Toc3902"/>
      <w:bookmarkStart w:id="232" w:name="_Toc503467407"/>
      <w:bookmarkStart w:id="233" w:name="_Toc22523"/>
      <w:bookmarkStart w:id="234" w:name="_Toc24892"/>
      <w:r>
        <w:rPr>
          <w:rFonts w:hint="eastAsia"/>
        </w:rPr>
        <w:lastRenderedPageBreak/>
        <w:t>13.3</w:t>
      </w:r>
      <w:r>
        <w:rPr>
          <w:rFonts w:hint="eastAsia"/>
        </w:rPr>
        <w:t>代开发票作废</w:t>
      </w:r>
      <w:bookmarkEnd w:id="230"/>
      <w:bookmarkEnd w:id="231"/>
      <w:bookmarkEnd w:id="232"/>
      <w:bookmarkEnd w:id="233"/>
      <w:bookmarkEnd w:id="234"/>
    </w:p>
    <w:p w:rsidR="00013EC7" w:rsidRDefault="00575CDB">
      <w:pPr>
        <w:jc w:val="center"/>
        <w:rPr>
          <w:rFonts w:ascii="宋体" w:hAnsi="宋体" w:cs="宋体"/>
          <w:b/>
          <w:bCs/>
          <w:sz w:val="52"/>
          <w:szCs w:val="52"/>
        </w:rPr>
      </w:pPr>
      <w:r>
        <w:rPr>
          <w:rFonts w:ascii="宋体" w:hAnsi="宋体" w:cs="宋体" w:hint="eastAsia"/>
          <w:b/>
          <w:bCs/>
          <w:sz w:val="52"/>
          <w:szCs w:val="52"/>
        </w:rPr>
        <w:t>全省“最多跑一次”事项“八统一”梳理表</w:t>
      </w:r>
    </w:p>
    <w:tbl>
      <w:tblPr>
        <w:tblW w:w="20704"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1250"/>
        <w:gridCol w:w="1316"/>
        <w:gridCol w:w="3491"/>
        <w:gridCol w:w="1895"/>
        <w:gridCol w:w="1432"/>
        <w:gridCol w:w="1841"/>
        <w:gridCol w:w="1473"/>
        <w:gridCol w:w="2618"/>
        <w:gridCol w:w="968"/>
        <w:gridCol w:w="882"/>
        <w:gridCol w:w="699"/>
        <w:gridCol w:w="1134"/>
        <w:gridCol w:w="1705"/>
      </w:tblGrid>
      <w:tr w:rsidR="00013EC7">
        <w:trPr>
          <w:trHeight w:val="340"/>
          <w:tblHeader/>
          <w:jc w:val="center"/>
        </w:trPr>
        <w:tc>
          <w:tcPr>
            <w:tcW w:w="1250"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主项名称</w:t>
            </w:r>
          </w:p>
        </w:tc>
        <w:tc>
          <w:tcPr>
            <w:tcW w:w="1316"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子项名称</w:t>
            </w:r>
          </w:p>
        </w:tc>
        <w:tc>
          <w:tcPr>
            <w:tcW w:w="3491"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经办依据</w:t>
            </w:r>
          </w:p>
        </w:tc>
        <w:tc>
          <w:tcPr>
            <w:tcW w:w="3327"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原经办所需材料</w:t>
            </w:r>
          </w:p>
        </w:tc>
        <w:tc>
          <w:tcPr>
            <w:tcW w:w="5932" w:type="dxa"/>
            <w:gridSpan w:val="3"/>
            <w:vAlign w:val="center"/>
          </w:tcPr>
          <w:p w:rsidR="00013EC7" w:rsidRDefault="00575CDB">
            <w:pPr>
              <w:spacing w:line="280" w:lineRule="exact"/>
              <w:jc w:val="center"/>
              <w:rPr>
                <w:rFonts w:ascii="黑体" w:eastAsia="黑体"/>
                <w:sz w:val="24"/>
              </w:rPr>
            </w:pPr>
            <w:r>
              <w:rPr>
                <w:rFonts w:ascii="黑体" w:eastAsia="黑体" w:hint="eastAsia"/>
                <w:sz w:val="24"/>
              </w:rPr>
              <w:t>梳理后经办所需材料</w:t>
            </w:r>
          </w:p>
        </w:tc>
        <w:tc>
          <w:tcPr>
            <w:tcW w:w="1850"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办理时限</w:t>
            </w:r>
          </w:p>
        </w:tc>
        <w:tc>
          <w:tcPr>
            <w:tcW w:w="699"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是否实现跑零次</w:t>
            </w:r>
          </w:p>
        </w:tc>
        <w:tc>
          <w:tcPr>
            <w:tcW w:w="1134"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省厅对口</w:t>
            </w:r>
          </w:p>
          <w:p w:rsidR="00013EC7" w:rsidRDefault="00575CDB">
            <w:pPr>
              <w:spacing w:line="280" w:lineRule="exact"/>
              <w:jc w:val="center"/>
              <w:rPr>
                <w:rFonts w:ascii="黑体" w:eastAsia="黑体"/>
                <w:sz w:val="24"/>
              </w:rPr>
            </w:pPr>
            <w:r>
              <w:rPr>
                <w:rFonts w:ascii="黑体" w:eastAsia="黑体" w:hint="eastAsia"/>
                <w:sz w:val="24"/>
              </w:rPr>
              <w:t>指导处室</w:t>
            </w:r>
          </w:p>
          <w:p w:rsidR="00013EC7" w:rsidRDefault="00575CDB">
            <w:pPr>
              <w:spacing w:line="280" w:lineRule="exact"/>
              <w:jc w:val="center"/>
              <w:rPr>
                <w:rFonts w:ascii="黑体" w:eastAsia="黑体"/>
                <w:sz w:val="24"/>
              </w:rPr>
            </w:pPr>
            <w:r>
              <w:rPr>
                <w:rFonts w:ascii="黑体" w:eastAsia="黑体" w:hint="eastAsia"/>
                <w:sz w:val="24"/>
              </w:rPr>
              <w:t>（单位）</w:t>
            </w:r>
          </w:p>
        </w:tc>
        <w:tc>
          <w:tcPr>
            <w:tcW w:w="1705"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进一步精简、</w:t>
            </w:r>
          </w:p>
          <w:p w:rsidR="00013EC7" w:rsidRDefault="00575CDB">
            <w:pPr>
              <w:spacing w:line="280" w:lineRule="exact"/>
              <w:jc w:val="center"/>
              <w:rPr>
                <w:rFonts w:ascii="黑体" w:eastAsia="黑体"/>
                <w:sz w:val="24"/>
              </w:rPr>
            </w:pPr>
            <w:r>
              <w:rPr>
                <w:rFonts w:ascii="黑体" w:eastAsia="黑体" w:hint="eastAsia"/>
                <w:sz w:val="24"/>
              </w:rPr>
              <w:t>规范建议</w:t>
            </w:r>
          </w:p>
        </w:tc>
      </w:tr>
      <w:tr w:rsidR="00013EC7">
        <w:trPr>
          <w:trHeight w:val="340"/>
          <w:tblHeader/>
          <w:jc w:val="center"/>
        </w:trPr>
        <w:tc>
          <w:tcPr>
            <w:tcW w:w="1250" w:type="dxa"/>
            <w:vMerge/>
            <w:vAlign w:val="center"/>
          </w:tcPr>
          <w:p w:rsidR="00013EC7" w:rsidRDefault="00013EC7">
            <w:pPr>
              <w:rPr>
                <w:sz w:val="24"/>
              </w:rPr>
            </w:pPr>
          </w:p>
        </w:tc>
        <w:tc>
          <w:tcPr>
            <w:tcW w:w="1316" w:type="dxa"/>
            <w:vMerge/>
          </w:tcPr>
          <w:p w:rsidR="00013EC7" w:rsidRDefault="00013EC7">
            <w:pPr>
              <w:rPr>
                <w:sz w:val="24"/>
              </w:rPr>
            </w:pPr>
          </w:p>
        </w:tc>
        <w:tc>
          <w:tcPr>
            <w:tcW w:w="3491" w:type="dxa"/>
            <w:vMerge/>
          </w:tcPr>
          <w:p w:rsidR="00013EC7" w:rsidRDefault="00013EC7">
            <w:pPr>
              <w:rPr>
                <w:sz w:val="24"/>
              </w:rPr>
            </w:pPr>
          </w:p>
        </w:tc>
        <w:tc>
          <w:tcPr>
            <w:tcW w:w="1895" w:type="dxa"/>
            <w:tcBorders>
              <w:bottom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432"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1841" w:type="dxa"/>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473"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2618" w:type="dxa"/>
            <w:vAlign w:val="center"/>
          </w:tcPr>
          <w:p w:rsidR="00013EC7" w:rsidRDefault="00575CDB">
            <w:pPr>
              <w:spacing w:line="280" w:lineRule="exact"/>
              <w:jc w:val="center"/>
              <w:rPr>
                <w:rFonts w:ascii="黑体" w:eastAsia="黑体"/>
                <w:sz w:val="24"/>
              </w:rPr>
            </w:pPr>
            <w:r>
              <w:rPr>
                <w:rFonts w:ascii="黑体" w:eastAsia="黑体" w:hint="eastAsia"/>
                <w:sz w:val="24"/>
              </w:rPr>
              <w:t>办理方式及材料</w:t>
            </w:r>
          </w:p>
          <w:p w:rsidR="00013EC7" w:rsidRDefault="00575CDB">
            <w:pPr>
              <w:spacing w:line="280" w:lineRule="exact"/>
              <w:jc w:val="center"/>
              <w:rPr>
                <w:rFonts w:ascii="黑体" w:eastAsia="黑体"/>
                <w:sz w:val="24"/>
              </w:rPr>
            </w:pPr>
            <w:r>
              <w:rPr>
                <w:rFonts w:ascii="黑体" w:eastAsia="黑体" w:hint="eastAsia"/>
                <w:sz w:val="24"/>
              </w:rPr>
              <w:t>信息获取方式说明</w:t>
            </w:r>
          </w:p>
        </w:tc>
        <w:tc>
          <w:tcPr>
            <w:tcW w:w="968" w:type="dxa"/>
            <w:vAlign w:val="center"/>
          </w:tcPr>
          <w:p w:rsidR="00013EC7" w:rsidRDefault="00575CDB">
            <w:pPr>
              <w:spacing w:line="280" w:lineRule="exact"/>
              <w:jc w:val="center"/>
              <w:rPr>
                <w:rFonts w:ascii="黑体" w:eastAsia="黑体"/>
                <w:sz w:val="24"/>
              </w:rPr>
            </w:pPr>
            <w:r>
              <w:rPr>
                <w:rFonts w:ascii="黑体" w:eastAsia="黑体" w:hint="eastAsia"/>
                <w:sz w:val="24"/>
              </w:rPr>
              <w:t>优化前</w:t>
            </w:r>
          </w:p>
        </w:tc>
        <w:tc>
          <w:tcPr>
            <w:tcW w:w="882" w:type="dxa"/>
            <w:vAlign w:val="center"/>
          </w:tcPr>
          <w:p w:rsidR="00013EC7" w:rsidRDefault="00575CDB">
            <w:pPr>
              <w:spacing w:line="280" w:lineRule="exact"/>
              <w:jc w:val="center"/>
              <w:rPr>
                <w:rFonts w:ascii="黑体" w:eastAsia="黑体"/>
                <w:sz w:val="24"/>
              </w:rPr>
            </w:pPr>
            <w:r>
              <w:rPr>
                <w:rFonts w:ascii="黑体" w:eastAsia="黑体" w:hint="eastAsia"/>
                <w:sz w:val="24"/>
              </w:rPr>
              <w:t>优化后</w:t>
            </w:r>
          </w:p>
        </w:tc>
        <w:tc>
          <w:tcPr>
            <w:tcW w:w="699" w:type="dxa"/>
            <w:vMerge/>
            <w:vAlign w:val="center"/>
          </w:tcPr>
          <w:p w:rsidR="00013EC7" w:rsidRDefault="00013EC7">
            <w:pPr>
              <w:rPr>
                <w:sz w:val="24"/>
              </w:rPr>
            </w:pPr>
          </w:p>
        </w:tc>
        <w:tc>
          <w:tcPr>
            <w:tcW w:w="1134" w:type="dxa"/>
            <w:vMerge/>
            <w:vAlign w:val="center"/>
          </w:tcPr>
          <w:p w:rsidR="00013EC7" w:rsidRDefault="00013EC7">
            <w:pPr>
              <w:rPr>
                <w:sz w:val="24"/>
              </w:rPr>
            </w:pPr>
          </w:p>
        </w:tc>
        <w:tc>
          <w:tcPr>
            <w:tcW w:w="1705" w:type="dxa"/>
            <w:vMerge/>
            <w:vAlign w:val="center"/>
          </w:tcPr>
          <w:p w:rsidR="00013EC7" w:rsidRDefault="00013EC7">
            <w:pPr>
              <w:rPr>
                <w:sz w:val="24"/>
              </w:rPr>
            </w:pPr>
          </w:p>
        </w:tc>
      </w:tr>
      <w:tr w:rsidR="00013EC7">
        <w:trPr>
          <w:trHeight w:val="1930"/>
          <w:jc w:val="center"/>
        </w:trPr>
        <w:tc>
          <w:tcPr>
            <w:tcW w:w="1250" w:type="dxa"/>
            <w:vMerge w:val="restart"/>
            <w:shd w:val="clear" w:color="auto" w:fill="FFFFFF"/>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13发票开具</w:t>
            </w:r>
          </w:p>
        </w:tc>
        <w:tc>
          <w:tcPr>
            <w:tcW w:w="1316" w:type="dxa"/>
            <w:vMerge w:val="restart"/>
            <w:shd w:val="clear" w:color="auto" w:fill="FFFFFF"/>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13.3代开发票作废</w:t>
            </w:r>
          </w:p>
        </w:tc>
        <w:tc>
          <w:tcPr>
            <w:tcW w:w="3491" w:type="dxa"/>
            <w:vMerge w:val="restart"/>
            <w:shd w:val="clear" w:color="auto" w:fill="FFFFFF"/>
            <w:vAlign w:val="center"/>
          </w:tcPr>
          <w:p w:rsidR="00013EC7" w:rsidRDefault="00575CDB">
            <w:pPr>
              <w:widowControl/>
              <w:spacing w:after="210"/>
              <w:jc w:val="left"/>
              <w:textAlignment w:val="center"/>
              <w:rPr>
                <w:rStyle w:val="font41"/>
                <w:rFonts w:ascii="仿宋" w:eastAsia="仿宋" w:hAnsi="仿宋" w:cs="仿宋"/>
                <w:sz w:val="24"/>
                <w:szCs w:val="24"/>
              </w:rPr>
            </w:pPr>
            <w:r>
              <w:rPr>
                <w:rStyle w:val="font41"/>
                <w:rFonts w:ascii="仿宋" w:eastAsia="仿宋" w:hAnsi="仿宋" w:cs="仿宋" w:hint="eastAsia"/>
                <w:sz w:val="24"/>
                <w:szCs w:val="24"/>
              </w:rPr>
              <w:t>（一）《国家税务总局关于修改〈中华人民共和国发票管理办法实施细则〉的决定》（2014年国家税务总局令第37号）第二十七条。</w:t>
            </w:r>
          </w:p>
          <w:p w:rsidR="00013EC7" w:rsidRDefault="00575CDB">
            <w:pPr>
              <w:widowControl/>
              <w:spacing w:after="210"/>
              <w:jc w:val="left"/>
              <w:textAlignment w:val="center"/>
              <w:rPr>
                <w:rStyle w:val="font41"/>
                <w:rFonts w:ascii="仿宋" w:eastAsia="仿宋" w:hAnsi="仿宋" w:cs="仿宋"/>
                <w:sz w:val="24"/>
                <w:szCs w:val="24"/>
              </w:rPr>
            </w:pPr>
            <w:r>
              <w:rPr>
                <w:rStyle w:val="font41"/>
                <w:rFonts w:ascii="仿宋" w:eastAsia="仿宋" w:hAnsi="仿宋" w:cs="仿宋" w:hint="eastAsia"/>
                <w:sz w:val="24"/>
                <w:szCs w:val="24"/>
              </w:rPr>
              <w:t>（二）《国家税务总局关于印发〈税务机关代开增值税专用发票管理办法（试行）〉的通知》（国税发〔2004〕153号）第十二条。</w:t>
            </w:r>
          </w:p>
          <w:p w:rsidR="00013EC7" w:rsidRDefault="00575CDB">
            <w:pPr>
              <w:widowControl/>
              <w:spacing w:after="210"/>
              <w:jc w:val="left"/>
              <w:textAlignment w:val="center"/>
              <w:rPr>
                <w:rStyle w:val="font41"/>
                <w:rFonts w:ascii="仿宋" w:eastAsia="仿宋" w:hAnsi="仿宋" w:cs="仿宋"/>
                <w:sz w:val="24"/>
                <w:szCs w:val="24"/>
              </w:rPr>
            </w:pPr>
            <w:r>
              <w:rPr>
                <w:rStyle w:val="font41"/>
                <w:rFonts w:ascii="仿宋" w:eastAsia="仿宋" w:hAnsi="仿宋" w:cs="仿宋" w:hint="eastAsia"/>
                <w:sz w:val="24"/>
                <w:szCs w:val="24"/>
              </w:rPr>
              <w:t>（三）《国家税务总局关于取消小规模企业销售货物或应税劳务由税务所代开增值税专用发票审批后有关问题的通知》（国税函〔2004〕895号）第三条。</w:t>
            </w:r>
          </w:p>
          <w:p w:rsidR="00013EC7" w:rsidRDefault="00575CDB">
            <w:pPr>
              <w:widowControl/>
              <w:spacing w:after="210"/>
              <w:jc w:val="left"/>
              <w:textAlignment w:val="center"/>
              <w:rPr>
                <w:rFonts w:ascii="仿宋" w:eastAsia="仿宋" w:hAnsi="仿宋" w:cs="仿宋"/>
                <w:sz w:val="24"/>
              </w:rPr>
            </w:pPr>
            <w:r>
              <w:rPr>
                <w:rStyle w:val="font41"/>
                <w:rFonts w:ascii="仿宋" w:eastAsia="仿宋" w:hAnsi="仿宋" w:cs="仿宋" w:hint="eastAsia"/>
                <w:sz w:val="24"/>
                <w:szCs w:val="24"/>
              </w:rPr>
              <w:t>（四）《国家税务总局关于修订〈增值税专用发票使用规定〉的通知》（国税发〔2006〕156号）第十三条、第二十条。</w:t>
            </w:r>
          </w:p>
        </w:tc>
        <w:tc>
          <w:tcPr>
            <w:tcW w:w="1895" w:type="dxa"/>
            <w:tcBorders>
              <w:top w:val="single" w:sz="4" w:space="0" w:color="auto"/>
              <w:bottom w:val="single" w:sz="4" w:space="0" w:color="auto"/>
            </w:tcBorders>
            <w:shd w:val="clear" w:color="auto" w:fill="FFFFFF"/>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（一）已开具发票各联次。</w:t>
            </w:r>
          </w:p>
        </w:tc>
        <w:tc>
          <w:tcPr>
            <w:tcW w:w="1432" w:type="dxa"/>
            <w:vMerge w:val="restart"/>
            <w:shd w:val="clear" w:color="auto" w:fill="FFFFFF"/>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纳税人提交</w:t>
            </w:r>
          </w:p>
        </w:tc>
        <w:tc>
          <w:tcPr>
            <w:tcW w:w="1841" w:type="dxa"/>
            <w:shd w:val="clear" w:color="auto" w:fill="FFFFFF"/>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（一）已开具发票各联次。</w:t>
            </w:r>
          </w:p>
        </w:tc>
        <w:tc>
          <w:tcPr>
            <w:tcW w:w="1473" w:type="dxa"/>
            <w:vMerge w:val="restart"/>
            <w:shd w:val="clear" w:color="auto" w:fill="FFFFFF"/>
            <w:vAlign w:val="center"/>
          </w:tcPr>
          <w:p w:rsidR="00013EC7" w:rsidRDefault="00575CDB">
            <w:pPr>
              <w:widowControl/>
              <w:jc w:val="left"/>
              <w:textAlignment w:val="center"/>
              <w:rPr>
                <w:rFonts w:ascii="仿宋" w:eastAsia="仿宋" w:hAnsi="仿宋" w:cs="仿宋"/>
                <w:b/>
                <w:bCs/>
                <w:i/>
                <w:iCs/>
                <w:sz w:val="24"/>
              </w:rPr>
            </w:pPr>
            <w:r>
              <w:rPr>
                <w:rFonts w:ascii="仿宋" w:eastAsia="仿宋" w:hAnsi="仿宋" w:cs="仿宋" w:hint="eastAsia"/>
                <w:color w:val="000000"/>
                <w:kern w:val="0"/>
                <w:sz w:val="24"/>
              </w:rPr>
              <w:t>纳税人提交</w:t>
            </w:r>
          </w:p>
        </w:tc>
        <w:tc>
          <w:tcPr>
            <w:tcW w:w="2618" w:type="dxa"/>
            <w:vMerge w:val="restart"/>
            <w:shd w:val="clear" w:color="auto" w:fill="FFFFFF"/>
            <w:vAlign w:val="center"/>
          </w:tcPr>
          <w:p w:rsidR="00013EC7" w:rsidRDefault="00013EC7">
            <w:pPr>
              <w:widowControl/>
              <w:jc w:val="left"/>
              <w:textAlignment w:val="center"/>
              <w:rPr>
                <w:rStyle w:val="font51"/>
                <w:rFonts w:ascii="仿宋" w:eastAsia="仿宋" w:hAnsi="仿宋" w:cs="仿宋"/>
                <w:sz w:val="24"/>
              </w:rPr>
            </w:pPr>
          </w:p>
          <w:p w:rsidR="00013EC7" w:rsidRDefault="00013EC7">
            <w:pPr>
              <w:spacing w:line="300" w:lineRule="exact"/>
              <w:jc w:val="left"/>
              <w:rPr>
                <w:rFonts w:ascii="仿宋" w:eastAsia="仿宋" w:hAnsi="仿宋" w:cs="仿宋"/>
                <w:sz w:val="24"/>
              </w:rPr>
            </w:pPr>
          </w:p>
          <w:p w:rsidR="00013EC7" w:rsidRDefault="00575CDB">
            <w:pPr>
              <w:spacing w:line="300" w:lineRule="exact"/>
              <w:jc w:val="lef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纳税人提交材料。</w:t>
            </w:r>
          </w:p>
          <w:p w:rsidR="00013EC7" w:rsidRDefault="00575CDB">
            <w:pPr>
              <w:spacing w:line="300" w:lineRule="exact"/>
              <w:jc w:val="left"/>
              <w:rPr>
                <w:rFonts w:ascii="仿宋" w:eastAsia="仿宋" w:hAnsi="仿宋" w:cs="仿宋"/>
                <w:sz w:val="24"/>
              </w:rPr>
            </w:pPr>
            <w:r>
              <w:rPr>
                <w:rFonts w:ascii="仿宋" w:eastAsia="仿宋" w:hAnsi="仿宋" w:cs="仿宋" w:hint="eastAsia"/>
                <w:b/>
                <w:sz w:val="24"/>
              </w:rPr>
              <w:t>网上办理：</w:t>
            </w:r>
            <w:r>
              <w:rPr>
                <w:rFonts w:ascii="仿宋" w:eastAsia="仿宋" w:hAnsi="仿宋" w:cs="仿宋" w:hint="eastAsia"/>
                <w:sz w:val="24"/>
              </w:rPr>
              <w:t>登录浙江国税电子税务局（网址：http://etax.zjtax.gov.cn/）提交申请。</w:t>
            </w:r>
          </w:p>
          <w:p w:rsidR="00013EC7" w:rsidRDefault="00013EC7">
            <w:pPr>
              <w:widowControl/>
              <w:jc w:val="left"/>
              <w:textAlignment w:val="center"/>
              <w:rPr>
                <w:rStyle w:val="font51"/>
                <w:rFonts w:ascii="仿宋" w:eastAsia="仿宋" w:hAnsi="仿宋" w:cs="仿宋"/>
                <w:sz w:val="24"/>
              </w:rPr>
            </w:pPr>
          </w:p>
        </w:tc>
        <w:tc>
          <w:tcPr>
            <w:tcW w:w="968" w:type="dxa"/>
            <w:vMerge w:val="restart"/>
            <w:shd w:val="clear" w:color="auto" w:fill="FFFFFF"/>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即时办结</w:t>
            </w:r>
          </w:p>
        </w:tc>
        <w:tc>
          <w:tcPr>
            <w:tcW w:w="882" w:type="dxa"/>
            <w:vMerge w:val="restart"/>
            <w:shd w:val="clear" w:color="auto" w:fill="FFFFFF"/>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即时办结</w:t>
            </w:r>
          </w:p>
        </w:tc>
        <w:tc>
          <w:tcPr>
            <w:tcW w:w="699" w:type="dxa"/>
            <w:vMerge w:val="restart"/>
            <w:shd w:val="clear" w:color="auto" w:fill="FFFFFF"/>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否</w:t>
            </w:r>
          </w:p>
        </w:tc>
        <w:tc>
          <w:tcPr>
            <w:tcW w:w="1134" w:type="dxa"/>
            <w:vMerge w:val="restart"/>
            <w:shd w:val="clear" w:color="auto" w:fill="FFFFFF"/>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货物和劳务税处（增值税发票）、</w:t>
            </w:r>
            <w:r>
              <w:rPr>
                <w:rFonts w:ascii="仿宋" w:eastAsia="仿宋" w:hAnsi="仿宋" w:cs="仿宋" w:hint="eastAsia"/>
                <w:color w:val="000000"/>
                <w:kern w:val="0"/>
                <w:sz w:val="24"/>
              </w:rPr>
              <w:br/>
              <w:t>征管科技处（通用机打发票）</w:t>
            </w:r>
          </w:p>
        </w:tc>
        <w:tc>
          <w:tcPr>
            <w:tcW w:w="1705" w:type="dxa"/>
            <w:vMerge w:val="restart"/>
            <w:shd w:val="clear" w:color="auto" w:fill="FFFFFF"/>
            <w:vAlign w:val="center"/>
          </w:tcPr>
          <w:p w:rsidR="00013EC7" w:rsidRDefault="00013EC7">
            <w:pPr>
              <w:jc w:val="left"/>
              <w:rPr>
                <w:rFonts w:ascii="仿宋" w:eastAsia="仿宋" w:hAnsi="仿宋" w:cs="仿宋"/>
                <w:sz w:val="24"/>
              </w:rPr>
            </w:pPr>
          </w:p>
        </w:tc>
      </w:tr>
      <w:tr w:rsidR="00013EC7">
        <w:trPr>
          <w:trHeight w:val="2899"/>
          <w:jc w:val="center"/>
        </w:trPr>
        <w:tc>
          <w:tcPr>
            <w:tcW w:w="1250" w:type="dxa"/>
            <w:vMerge/>
            <w:shd w:val="clear" w:color="auto" w:fill="FFFFFF"/>
            <w:vAlign w:val="center"/>
          </w:tcPr>
          <w:p w:rsidR="00013EC7" w:rsidRDefault="00013EC7">
            <w:pPr>
              <w:jc w:val="left"/>
              <w:rPr>
                <w:rFonts w:ascii="仿宋" w:eastAsia="仿宋" w:hAnsi="仿宋" w:cs="仿宋"/>
                <w:sz w:val="24"/>
              </w:rPr>
            </w:pPr>
          </w:p>
        </w:tc>
        <w:tc>
          <w:tcPr>
            <w:tcW w:w="1316" w:type="dxa"/>
            <w:vMerge/>
            <w:shd w:val="clear" w:color="auto" w:fill="FFFFFF"/>
            <w:vAlign w:val="center"/>
          </w:tcPr>
          <w:p w:rsidR="00013EC7" w:rsidRDefault="00013EC7">
            <w:pPr>
              <w:jc w:val="left"/>
              <w:rPr>
                <w:rFonts w:ascii="仿宋" w:eastAsia="仿宋" w:hAnsi="仿宋" w:cs="仿宋"/>
                <w:sz w:val="24"/>
              </w:rPr>
            </w:pPr>
          </w:p>
        </w:tc>
        <w:tc>
          <w:tcPr>
            <w:tcW w:w="3491" w:type="dxa"/>
            <w:vMerge/>
            <w:shd w:val="clear" w:color="auto" w:fill="FFFFFF"/>
            <w:vAlign w:val="center"/>
          </w:tcPr>
          <w:p w:rsidR="00013EC7" w:rsidRDefault="00013EC7">
            <w:pPr>
              <w:jc w:val="left"/>
              <w:rPr>
                <w:rFonts w:ascii="仿宋" w:eastAsia="仿宋" w:hAnsi="仿宋" w:cs="仿宋"/>
                <w:sz w:val="24"/>
              </w:rPr>
            </w:pPr>
          </w:p>
        </w:tc>
        <w:tc>
          <w:tcPr>
            <w:tcW w:w="1895" w:type="dxa"/>
            <w:tcBorders>
              <w:top w:val="single" w:sz="4" w:space="0" w:color="auto"/>
            </w:tcBorders>
            <w:shd w:val="clear" w:color="auto" w:fill="FFFFFF"/>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（二）作废原因的书面证明材料（税务人员开具错误，不需提供）。</w:t>
            </w:r>
          </w:p>
        </w:tc>
        <w:tc>
          <w:tcPr>
            <w:tcW w:w="1432" w:type="dxa"/>
            <w:vMerge/>
            <w:shd w:val="clear" w:color="auto" w:fill="FFFFFF"/>
            <w:vAlign w:val="center"/>
          </w:tcPr>
          <w:p w:rsidR="00013EC7" w:rsidRDefault="00013EC7">
            <w:pPr>
              <w:jc w:val="left"/>
              <w:rPr>
                <w:rFonts w:ascii="仿宋" w:eastAsia="仿宋" w:hAnsi="仿宋" w:cs="仿宋"/>
                <w:sz w:val="24"/>
              </w:rPr>
            </w:pPr>
          </w:p>
        </w:tc>
        <w:tc>
          <w:tcPr>
            <w:tcW w:w="1841" w:type="dxa"/>
            <w:shd w:val="clear" w:color="auto" w:fill="FFFFFF"/>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（二）作废原因的书面证明材料（税务人员开具错误，不需提供）。</w:t>
            </w:r>
          </w:p>
        </w:tc>
        <w:tc>
          <w:tcPr>
            <w:tcW w:w="1473" w:type="dxa"/>
            <w:vMerge/>
            <w:shd w:val="clear" w:color="auto" w:fill="FFFFFF"/>
            <w:vAlign w:val="center"/>
          </w:tcPr>
          <w:p w:rsidR="00013EC7" w:rsidRDefault="00013EC7">
            <w:pPr>
              <w:jc w:val="left"/>
              <w:rPr>
                <w:rFonts w:ascii="仿宋" w:eastAsia="仿宋" w:hAnsi="仿宋" w:cs="仿宋"/>
                <w:sz w:val="24"/>
              </w:rPr>
            </w:pPr>
          </w:p>
        </w:tc>
        <w:tc>
          <w:tcPr>
            <w:tcW w:w="2618" w:type="dxa"/>
            <w:vMerge/>
            <w:shd w:val="clear" w:color="auto" w:fill="FFFFFF"/>
            <w:vAlign w:val="center"/>
          </w:tcPr>
          <w:p w:rsidR="00013EC7" w:rsidRDefault="00013EC7">
            <w:pPr>
              <w:jc w:val="left"/>
              <w:rPr>
                <w:rFonts w:ascii="仿宋" w:eastAsia="仿宋" w:hAnsi="仿宋" w:cs="仿宋"/>
                <w:sz w:val="24"/>
              </w:rPr>
            </w:pPr>
          </w:p>
        </w:tc>
        <w:tc>
          <w:tcPr>
            <w:tcW w:w="968" w:type="dxa"/>
            <w:vMerge/>
            <w:shd w:val="clear" w:color="auto" w:fill="FFFFFF"/>
            <w:vAlign w:val="center"/>
          </w:tcPr>
          <w:p w:rsidR="00013EC7" w:rsidRDefault="00013EC7">
            <w:pPr>
              <w:jc w:val="left"/>
              <w:rPr>
                <w:rFonts w:ascii="仿宋" w:eastAsia="仿宋" w:hAnsi="仿宋" w:cs="仿宋"/>
                <w:sz w:val="24"/>
              </w:rPr>
            </w:pPr>
          </w:p>
        </w:tc>
        <w:tc>
          <w:tcPr>
            <w:tcW w:w="882" w:type="dxa"/>
            <w:vMerge/>
            <w:shd w:val="clear" w:color="auto" w:fill="FFFFFF"/>
            <w:vAlign w:val="center"/>
          </w:tcPr>
          <w:p w:rsidR="00013EC7" w:rsidRDefault="00013EC7">
            <w:pPr>
              <w:jc w:val="left"/>
              <w:rPr>
                <w:rFonts w:ascii="仿宋" w:eastAsia="仿宋" w:hAnsi="仿宋" w:cs="仿宋"/>
                <w:sz w:val="24"/>
              </w:rPr>
            </w:pPr>
          </w:p>
        </w:tc>
        <w:tc>
          <w:tcPr>
            <w:tcW w:w="699" w:type="dxa"/>
            <w:vMerge/>
            <w:shd w:val="clear" w:color="auto" w:fill="FFFFFF"/>
            <w:vAlign w:val="center"/>
          </w:tcPr>
          <w:p w:rsidR="00013EC7" w:rsidRDefault="00013EC7">
            <w:pPr>
              <w:jc w:val="left"/>
              <w:rPr>
                <w:rFonts w:ascii="仿宋" w:eastAsia="仿宋" w:hAnsi="仿宋" w:cs="仿宋"/>
                <w:sz w:val="24"/>
              </w:rPr>
            </w:pPr>
          </w:p>
        </w:tc>
        <w:tc>
          <w:tcPr>
            <w:tcW w:w="1134" w:type="dxa"/>
            <w:vMerge/>
            <w:shd w:val="clear" w:color="auto" w:fill="FFFFFF"/>
            <w:vAlign w:val="center"/>
          </w:tcPr>
          <w:p w:rsidR="00013EC7" w:rsidRDefault="00013EC7">
            <w:pPr>
              <w:jc w:val="left"/>
              <w:rPr>
                <w:rFonts w:ascii="仿宋" w:eastAsia="仿宋" w:hAnsi="仿宋" w:cs="仿宋"/>
                <w:sz w:val="24"/>
              </w:rPr>
            </w:pPr>
          </w:p>
        </w:tc>
        <w:tc>
          <w:tcPr>
            <w:tcW w:w="1705" w:type="dxa"/>
            <w:vMerge/>
            <w:shd w:val="clear" w:color="auto" w:fill="FFFFFF"/>
            <w:vAlign w:val="center"/>
          </w:tcPr>
          <w:p w:rsidR="00013EC7" w:rsidRDefault="00013EC7">
            <w:pPr>
              <w:jc w:val="left"/>
              <w:rPr>
                <w:rFonts w:ascii="仿宋" w:eastAsia="仿宋" w:hAnsi="仿宋" w:cs="仿宋"/>
                <w:sz w:val="24"/>
              </w:rPr>
            </w:pPr>
          </w:p>
        </w:tc>
      </w:tr>
      <w:tr w:rsidR="00013EC7">
        <w:trPr>
          <w:trHeight w:val="340"/>
          <w:jc w:val="center"/>
        </w:trPr>
        <w:tc>
          <w:tcPr>
            <w:tcW w:w="1250" w:type="dxa"/>
            <w:vMerge/>
            <w:shd w:val="clear" w:color="auto" w:fill="FFFFFF"/>
            <w:vAlign w:val="center"/>
          </w:tcPr>
          <w:p w:rsidR="00013EC7" w:rsidRDefault="00013EC7">
            <w:pPr>
              <w:jc w:val="left"/>
              <w:rPr>
                <w:rFonts w:ascii="仿宋" w:eastAsia="仿宋" w:hAnsi="仿宋" w:cs="仿宋"/>
                <w:sz w:val="24"/>
              </w:rPr>
            </w:pPr>
          </w:p>
        </w:tc>
        <w:tc>
          <w:tcPr>
            <w:tcW w:w="1316" w:type="dxa"/>
            <w:vMerge/>
            <w:shd w:val="clear" w:color="auto" w:fill="FFFFFF"/>
            <w:vAlign w:val="center"/>
          </w:tcPr>
          <w:p w:rsidR="00013EC7" w:rsidRDefault="00013EC7">
            <w:pPr>
              <w:jc w:val="left"/>
              <w:rPr>
                <w:rFonts w:ascii="仿宋" w:eastAsia="仿宋" w:hAnsi="仿宋" w:cs="仿宋"/>
                <w:sz w:val="24"/>
              </w:rPr>
            </w:pPr>
          </w:p>
        </w:tc>
        <w:tc>
          <w:tcPr>
            <w:tcW w:w="3491" w:type="dxa"/>
            <w:vMerge/>
            <w:shd w:val="clear" w:color="auto" w:fill="FFFFFF"/>
            <w:vAlign w:val="center"/>
          </w:tcPr>
          <w:p w:rsidR="00013EC7" w:rsidRDefault="00013EC7">
            <w:pPr>
              <w:jc w:val="left"/>
              <w:rPr>
                <w:rFonts w:ascii="仿宋" w:eastAsia="仿宋" w:hAnsi="仿宋" w:cs="仿宋"/>
                <w:sz w:val="24"/>
              </w:rPr>
            </w:pPr>
          </w:p>
        </w:tc>
        <w:tc>
          <w:tcPr>
            <w:tcW w:w="1895" w:type="dxa"/>
            <w:shd w:val="clear" w:color="auto" w:fill="FFFFFF"/>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（三）经办人身份证明（原件查验）。</w:t>
            </w:r>
          </w:p>
        </w:tc>
        <w:tc>
          <w:tcPr>
            <w:tcW w:w="1432" w:type="dxa"/>
            <w:vMerge/>
            <w:shd w:val="clear" w:color="auto" w:fill="FFFFFF"/>
            <w:vAlign w:val="center"/>
          </w:tcPr>
          <w:p w:rsidR="00013EC7" w:rsidRDefault="00013EC7">
            <w:pPr>
              <w:jc w:val="left"/>
              <w:rPr>
                <w:rFonts w:ascii="仿宋" w:eastAsia="仿宋" w:hAnsi="仿宋" w:cs="仿宋"/>
                <w:sz w:val="24"/>
              </w:rPr>
            </w:pPr>
          </w:p>
        </w:tc>
        <w:tc>
          <w:tcPr>
            <w:tcW w:w="1841" w:type="dxa"/>
            <w:shd w:val="clear" w:color="auto" w:fill="FFFFFF"/>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（三）经办人身份证明（原件查验）。</w:t>
            </w:r>
          </w:p>
        </w:tc>
        <w:tc>
          <w:tcPr>
            <w:tcW w:w="1473" w:type="dxa"/>
            <w:vMerge/>
            <w:shd w:val="clear" w:color="auto" w:fill="FFFFFF"/>
            <w:vAlign w:val="center"/>
          </w:tcPr>
          <w:p w:rsidR="00013EC7" w:rsidRDefault="00013EC7">
            <w:pPr>
              <w:jc w:val="left"/>
              <w:rPr>
                <w:rFonts w:ascii="仿宋" w:eastAsia="仿宋" w:hAnsi="仿宋" w:cs="仿宋"/>
                <w:sz w:val="24"/>
              </w:rPr>
            </w:pPr>
          </w:p>
        </w:tc>
        <w:tc>
          <w:tcPr>
            <w:tcW w:w="2618" w:type="dxa"/>
            <w:vMerge/>
            <w:shd w:val="clear" w:color="auto" w:fill="FFFFFF"/>
            <w:vAlign w:val="center"/>
          </w:tcPr>
          <w:p w:rsidR="00013EC7" w:rsidRDefault="00013EC7">
            <w:pPr>
              <w:jc w:val="left"/>
              <w:rPr>
                <w:rFonts w:ascii="仿宋" w:eastAsia="仿宋" w:hAnsi="仿宋" w:cs="仿宋"/>
                <w:sz w:val="24"/>
              </w:rPr>
            </w:pPr>
          </w:p>
        </w:tc>
        <w:tc>
          <w:tcPr>
            <w:tcW w:w="968" w:type="dxa"/>
            <w:vMerge/>
            <w:shd w:val="clear" w:color="auto" w:fill="FFFFFF"/>
            <w:vAlign w:val="center"/>
          </w:tcPr>
          <w:p w:rsidR="00013EC7" w:rsidRDefault="00013EC7">
            <w:pPr>
              <w:jc w:val="left"/>
              <w:rPr>
                <w:rFonts w:ascii="仿宋" w:eastAsia="仿宋" w:hAnsi="仿宋" w:cs="仿宋"/>
                <w:sz w:val="24"/>
              </w:rPr>
            </w:pPr>
          </w:p>
        </w:tc>
        <w:tc>
          <w:tcPr>
            <w:tcW w:w="882" w:type="dxa"/>
            <w:vMerge/>
            <w:shd w:val="clear" w:color="auto" w:fill="FFFFFF"/>
            <w:vAlign w:val="center"/>
          </w:tcPr>
          <w:p w:rsidR="00013EC7" w:rsidRDefault="00013EC7">
            <w:pPr>
              <w:jc w:val="left"/>
              <w:rPr>
                <w:rFonts w:ascii="仿宋" w:eastAsia="仿宋" w:hAnsi="仿宋" w:cs="仿宋"/>
                <w:sz w:val="24"/>
              </w:rPr>
            </w:pPr>
          </w:p>
        </w:tc>
        <w:tc>
          <w:tcPr>
            <w:tcW w:w="699" w:type="dxa"/>
            <w:vMerge/>
            <w:shd w:val="clear" w:color="auto" w:fill="FFFFFF"/>
            <w:vAlign w:val="center"/>
          </w:tcPr>
          <w:p w:rsidR="00013EC7" w:rsidRDefault="00013EC7">
            <w:pPr>
              <w:jc w:val="left"/>
              <w:rPr>
                <w:rFonts w:ascii="仿宋" w:eastAsia="仿宋" w:hAnsi="仿宋" w:cs="仿宋"/>
                <w:sz w:val="24"/>
              </w:rPr>
            </w:pPr>
          </w:p>
        </w:tc>
        <w:tc>
          <w:tcPr>
            <w:tcW w:w="1134" w:type="dxa"/>
            <w:vMerge/>
            <w:shd w:val="clear" w:color="auto" w:fill="FFFFFF"/>
            <w:vAlign w:val="center"/>
          </w:tcPr>
          <w:p w:rsidR="00013EC7" w:rsidRDefault="00013EC7">
            <w:pPr>
              <w:jc w:val="left"/>
              <w:rPr>
                <w:rFonts w:ascii="仿宋" w:eastAsia="仿宋" w:hAnsi="仿宋" w:cs="仿宋"/>
                <w:sz w:val="24"/>
              </w:rPr>
            </w:pPr>
          </w:p>
        </w:tc>
        <w:tc>
          <w:tcPr>
            <w:tcW w:w="1705" w:type="dxa"/>
            <w:vMerge/>
            <w:shd w:val="clear" w:color="auto" w:fill="FFFFFF"/>
            <w:vAlign w:val="center"/>
          </w:tcPr>
          <w:p w:rsidR="00013EC7" w:rsidRDefault="00013EC7">
            <w:pPr>
              <w:jc w:val="left"/>
              <w:rPr>
                <w:rFonts w:ascii="仿宋" w:eastAsia="仿宋" w:hAnsi="仿宋" w:cs="仿宋"/>
                <w:sz w:val="24"/>
              </w:rPr>
            </w:pPr>
          </w:p>
        </w:tc>
      </w:tr>
    </w:tbl>
    <w:p w:rsidR="00013EC7" w:rsidRDefault="00013EC7">
      <w:pPr>
        <w:jc w:val="left"/>
        <w:rPr>
          <w:rFonts w:eastAsia="方正书宋简体"/>
          <w:sz w:val="24"/>
        </w:rPr>
      </w:pPr>
    </w:p>
    <w:p w:rsidR="00013EC7" w:rsidRDefault="00013EC7">
      <w:pPr>
        <w:rPr>
          <w:szCs w:val="21"/>
        </w:rPr>
      </w:pPr>
    </w:p>
    <w:p w:rsidR="00013EC7" w:rsidRDefault="00013EC7">
      <w:pPr>
        <w:rPr>
          <w:rFonts w:eastAsia="方正书宋简体"/>
          <w:szCs w:val="21"/>
        </w:rPr>
      </w:pPr>
    </w:p>
    <w:p w:rsidR="00013EC7" w:rsidRDefault="005262E6">
      <w:r>
        <w:lastRenderedPageBreak/>
        <w:object w:dxaOrig="1440" w:dyaOrig="1440">
          <v:shape id="_x0000_s1287" type="#_x0000_t75" alt="2111217721508729125585" style="position:absolute;left:0;text-align:left;margin-left:547.7pt;margin-top:92.75pt;width:471.85pt;height:576.25pt;z-index:251625472;mso-wrap-distance-left:9pt;mso-wrap-distance-top:0;mso-wrap-distance-right:9pt;mso-wrap-distance-bottom:0;mso-position-vertical-relative:page;mso-width-relative:page;mso-height-relative:page">
            <v:imagedata r:id="rId154" o:title=""/>
            <w10:wrap type="square" anchory="page"/>
          </v:shape>
          <o:OLEObject Type="Embed" ProgID="Visio.Drawing.11" ShapeID="_x0000_s1287" DrawAspect="Content" ObjectID="_1577296207" r:id="rId155"/>
        </w:object>
      </w:r>
      <w:r>
        <w:object w:dxaOrig="1440" w:dyaOrig="1440">
          <v:shape id="_x0000_s1286" type="#_x0000_t75" alt="2111217721508729125585" style="position:absolute;left:0;text-align:left;margin-left:8.1pt;margin-top:91.85pt;width:440.3pt;height:561pt;z-index:251624448;mso-wrap-distance-top:0;mso-wrap-distance-bottom:0;mso-position-vertical-relative:page;mso-width-relative:page;mso-height-relative:page">
            <v:imagedata r:id="rId156" o:title="2111217721508729125585"/>
            <w10:wrap type="topAndBottom" anchory="page"/>
          </v:shape>
          <o:OLEObject Type="Embed" ProgID="Visio.Drawing.11" ShapeID="_x0000_s1286" DrawAspect="Content" ObjectID="_1577296208" r:id="rId157"/>
        </w:object>
      </w:r>
      <w:r w:rsidR="00575CDB">
        <w:br w:type="page"/>
      </w:r>
    </w:p>
    <w:p w:rsidR="00013EC7" w:rsidRDefault="00575CDB">
      <w:pPr>
        <w:pStyle w:val="2"/>
      </w:pPr>
      <w:bookmarkStart w:id="235" w:name="_Toc29870"/>
      <w:bookmarkStart w:id="236" w:name="_Toc503467408"/>
      <w:bookmarkStart w:id="237" w:name="_Toc498705719"/>
      <w:bookmarkStart w:id="238" w:name="_Toc20579"/>
      <w:bookmarkStart w:id="239" w:name="_Toc21226"/>
      <w:r>
        <w:rPr>
          <w:rFonts w:hint="eastAsia"/>
        </w:rPr>
        <w:lastRenderedPageBreak/>
        <w:t>13.4</w:t>
      </w:r>
      <w:r>
        <w:rPr>
          <w:rFonts w:hint="eastAsia"/>
        </w:rPr>
        <w:t>红字增值税专用发票开具申请</w:t>
      </w:r>
      <w:bookmarkEnd w:id="235"/>
      <w:bookmarkEnd w:id="236"/>
      <w:bookmarkEnd w:id="237"/>
      <w:bookmarkEnd w:id="238"/>
      <w:bookmarkEnd w:id="239"/>
    </w:p>
    <w:p w:rsidR="00013EC7" w:rsidRDefault="00575CDB">
      <w:pPr>
        <w:jc w:val="center"/>
        <w:rPr>
          <w:rFonts w:ascii="宋体" w:hAnsi="宋体" w:cs="宋体"/>
          <w:b/>
          <w:bCs/>
          <w:sz w:val="52"/>
          <w:szCs w:val="52"/>
        </w:rPr>
      </w:pPr>
      <w:r>
        <w:rPr>
          <w:rFonts w:ascii="宋体" w:hAnsi="宋体" w:cs="宋体" w:hint="eastAsia"/>
          <w:b/>
          <w:bCs/>
          <w:sz w:val="52"/>
          <w:szCs w:val="52"/>
        </w:rPr>
        <w:t>全省“最多跑一次”事项“八统一”梳理表</w:t>
      </w:r>
    </w:p>
    <w:p w:rsidR="00013EC7" w:rsidRDefault="00013EC7">
      <w:pPr>
        <w:rPr>
          <w:rFonts w:ascii="宋体" w:hAnsi="宋体" w:cs="宋体"/>
          <w:b/>
          <w:bCs/>
          <w:sz w:val="44"/>
          <w:szCs w:val="44"/>
        </w:rPr>
      </w:pPr>
    </w:p>
    <w:tbl>
      <w:tblPr>
        <w:tblW w:w="20704"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1250"/>
        <w:gridCol w:w="1316"/>
        <w:gridCol w:w="2645"/>
        <w:gridCol w:w="2254"/>
        <w:gridCol w:w="1401"/>
        <w:gridCol w:w="2120"/>
        <w:gridCol w:w="1439"/>
        <w:gridCol w:w="3075"/>
        <w:gridCol w:w="948"/>
        <w:gridCol w:w="927"/>
        <w:gridCol w:w="916"/>
        <w:gridCol w:w="1134"/>
        <w:gridCol w:w="1279"/>
      </w:tblGrid>
      <w:tr w:rsidR="00013EC7">
        <w:trPr>
          <w:trHeight w:val="340"/>
          <w:tblHeader/>
          <w:jc w:val="center"/>
        </w:trPr>
        <w:tc>
          <w:tcPr>
            <w:tcW w:w="1250"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主项名称</w:t>
            </w:r>
          </w:p>
        </w:tc>
        <w:tc>
          <w:tcPr>
            <w:tcW w:w="1316"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子项名称</w:t>
            </w:r>
          </w:p>
        </w:tc>
        <w:tc>
          <w:tcPr>
            <w:tcW w:w="2645"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经办依据</w:t>
            </w:r>
          </w:p>
        </w:tc>
        <w:tc>
          <w:tcPr>
            <w:tcW w:w="3655"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原经办所需材料</w:t>
            </w:r>
          </w:p>
        </w:tc>
        <w:tc>
          <w:tcPr>
            <w:tcW w:w="6634" w:type="dxa"/>
            <w:gridSpan w:val="3"/>
            <w:vAlign w:val="center"/>
          </w:tcPr>
          <w:p w:rsidR="00013EC7" w:rsidRDefault="00575CDB">
            <w:pPr>
              <w:spacing w:line="280" w:lineRule="exact"/>
              <w:jc w:val="center"/>
              <w:rPr>
                <w:rFonts w:ascii="黑体" w:eastAsia="黑体"/>
                <w:sz w:val="24"/>
              </w:rPr>
            </w:pPr>
            <w:r>
              <w:rPr>
                <w:rFonts w:ascii="黑体" w:eastAsia="黑体" w:hint="eastAsia"/>
                <w:sz w:val="24"/>
              </w:rPr>
              <w:t>梳理后经办所需材料</w:t>
            </w:r>
          </w:p>
        </w:tc>
        <w:tc>
          <w:tcPr>
            <w:tcW w:w="1875"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办理时限</w:t>
            </w:r>
          </w:p>
        </w:tc>
        <w:tc>
          <w:tcPr>
            <w:tcW w:w="916"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是否实现跑零次</w:t>
            </w:r>
          </w:p>
        </w:tc>
        <w:tc>
          <w:tcPr>
            <w:tcW w:w="1134"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省厅对口</w:t>
            </w:r>
          </w:p>
          <w:p w:rsidR="00013EC7" w:rsidRDefault="00575CDB">
            <w:pPr>
              <w:spacing w:line="280" w:lineRule="exact"/>
              <w:jc w:val="center"/>
              <w:rPr>
                <w:rFonts w:ascii="黑体" w:eastAsia="黑体"/>
                <w:sz w:val="24"/>
              </w:rPr>
            </w:pPr>
            <w:r>
              <w:rPr>
                <w:rFonts w:ascii="黑体" w:eastAsia="黑体" w:hint="eastAsia"/>
                <w:sz w:val="24"/>
              </w:rPr>
              <w:t>指导处室</w:t>
            </w:r>
          </w:p>
          <w:p w:rsidR="00013EC7" w:rsidRDefault="00575CDB">
            <w:pPr>
              <w:spacing w:line="280" w:lineRule="exact"/>
              <w:jc w:val="center"/>
              <w:rPr>
                <w:rFonts w:ascii="黑体" w:eastAsia="黑体"/>
                <w:sz w:val="24"/>
              </w:rPr>
            </w:pPr>
            <w:r>
              <w:rPr>
                <w:rFonts w:ascii="黑体" w:eastAsia="黑体" w:hint="eastAsia"/>
                <w:sz w:val="24"/>
              </w:rPr>
              <w:t>（单位）</w:t>
            </w:r>
          </w:p>
        </w:tc>
        <w:tc>
          <w:tcPr>
            <w:tcW w:w="1279"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进一步精简、规范建议</w:t>
            </w:r>
          </w:p>
        </w:tc>
      </w:tr>
      <w:tr w:rsidR="00013EC7">
        <w:trPr>
          <w:trHeight w:val="340"/>
          <w:tblHeader/>
          <w:jc w:val="center"/>
        </w:trPr>
        <w:tc>
          <w:tcPr>
            <w:tcW w:w="1250" w:type="dxa"/>
            <w:vMerge/>
            <w:vAlign w:val="center"/>
          </w:tcPr>
          <w:p w:rsidR="00013EC7" w:rsidRDefault="00013EC7">
            <w:pPr>
              <w:rPr>
                <w:sz w:val="24"/>
              </w:rPr>
            </w:pPr>
          </w:p>
        </w:tc>
        <w:tc>
          <w:tcPr>
            <w:tcW w:w="1316" w:type="dxa"/>
            <w:vMerge/>
          </w:tcPr>
          <w:p w:rsidR="00013EC7" w:rsidRDefault="00013EC7">
            <w:pPr>
              <w:rPr>
                <w:sz w:val="24"/>
              </w:rPr>
            </w:pPr>
          </w:p>
        </w:tc>
        <w:tc>
          <w:tcPr>
            <w:tcW w:w="2645" w:type="dxa"/>
            <w:vMerge/>
          </w:tcPr>
          <w:p w:rsidR="00013EC7" w:rsidRDefault="00013EC7">
            <w:pPr>
              <w:rPr>
                <w:sz w:val="24"/>
              </w:rPr>
            </w:pPr>
          </w:p>
        </w:tc>
        <w:tc>
          <w:tcPr>
            <w:tcW w:w="2254" w:type="dxa"/>
            <w:tcBorders>
              <w:bottom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401"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2120" w:type="dxa"/>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439"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3075" w:type="dxa"/>
            <w:vAlign w:val="center"/>
          </w:tcPr>
          <w:p w:rsidR="00013EC7" w:rsidRDefault="00575CDB">
            <w:pPr>
              <w:spacing w:line="280" w:lineRule="exact"/>
              <w:jc w:val="center"/>
              <w:rPr>
                <w:rFonts w:ascii="黑体" w:eastAsia="黑体"/>
                <w:sz w:val="24"/>
              </w:rPr>
            </w:pPr>
            <w:r>
              <w:rPr>
                <w:rFonts w:ascii="黑体" w:eastAsia="黑体" w:hint="eastAsia"/>
                <w:sz w:val="24"/>
              </w:rPr>
              <w:t>办理方式及材料</w:t>
            </w:r>
          </w:p>
          <w:p w:rsidR="00013EC7" w:rsidRDefault="00575CDB">
            <w:pPr>
              <w:spacing w:line="280" w:lineRule="exact"/>
              <w:jc w:val="center"/>
              <w:rPr>
                <w:rFonts w:ascii="黑体" w:eastAsia="黑体"/>
                <w:sz w:val="24"/>
              </w:rPr>
            </w:pPr>
            <w:r>
              <w:rPr>
                <w:rFonts w:ascii="黑体" w:eastAsia="黑体" w:hint="eastAsia"/>
                <w:sz w:val="24"/>
              </w:rPr>
              <w:t>信息获取方式说明</w:t>
            </w:r>
          </w:p>
        </w:tc>
        <w:tc>
          <w:tcPr>
            <w:tcW w:w="948" w:type="dxa"/>
            <w:vAlign w:val="center"/>
          </w:tcPr>
          <w:p w:rsidR="00013EC7" w:rsidRDefault="00575CDB">
            <w:pPr>
              <w:spacing w:line="280" w:lineRule="exact"/>
              <w:jc w:val="center"/>
              <w:rPr>
                <w:rFonts w:ascii="黑体" w:eastAsia="黑体"/>
                <w:sz w:val="24"/>
              </w:rPr>
            </w:pPr>
            <w:r>
              <w:rPr>
                <w:rFonts w:ascii="黑体" w:eastAsia="黑体" w:hint="eastAsia"/>
                <w:sz w:val="24"/>
              </w:rPr>
              <w:t>优化前</w:t>
            </w:r>
          </w:p>
        </w:tc>
        <w:tc>
          <w:tcPr>
            <w:tcW w:w="927" w:type="dxa"/>
            <w:vAlign w:val="center"/>
          </w:tcPr>
          <w:p w:rsidR="00013EC7" w:rsidRDefault="00575CDB">
            <w:pPr>
              <w:spacing w:line="280" w:lineRule="exact"/>
              <w:jc w:val="center"/>
              <w:rPr>
                <w:rFonts w:ascii="黑体" w:eastAsia="黑体"/>
                <w:sz w:val="24"/>
              </w:rPr>
            </w:pPr>
            <w:r>
              <w:rPr>
                <w:rFonts w:ascii="黑体" w:eastAsia="黑体" w:hint="eastAsia"/>
                <w:sz w:val="24"/>
              </w:rPr>
              <w:t>优化后</w:t>
            </w:r>
          </w:p>
        </w:tc>
        <w:tc>
          <w:tcPr>
            <w:tcW w:w="916" w:type="dxa"/>
            <w:vMerge/>
            <w:vAlign w:val="center"/>
          </w:tcPr>
          <w:p w:rsidR="00013EC7" w:rsidRDefault="00013EC7">
            <w:pPr>
              <w:rPr>
                <w:sz w:val="24"/>
              </w:rPr>
            </w:pPr>
          </w:p>
        </w:tc>
        <w:tc>
          <w:tcPr>
            <w:tcW w:w="1134" w:type="dxa"/>
            <w:vMerge/>
            <w:vAlign w:val="center"/>
          </w:tcPr>
          <w:p w:rsidR="00013EC7" w:rsidRDefault="00013EC7">
            <w:pPr>
              <w:rPr>
                <w:sz w:val="24"/>
              </w:rPr>
            </w:pPr>
          </w:p>
        </w:tc>
        <w:tc>
          <w:tcPr>
            <w:tcW w:w="1279" w:type="dxa"/>
            <w:vMerge/>
            <w:vAlign w:val="center"/>
          </w:tcPr>
          <w:p w:rsidR="00013EC7" w:rsidRDefault="00013EC7">
            <w:pPr>
              <w:rPr>
                <w:sz w:val="24"/>
              </w:rPr>
            </w:pPr>
          </w:p>
        </w:tc>
      </w:tr>
      <w:tr w:rsidR="00013EC7">
        <w:trPr>
          <w:trHeight w:val="1475"/>
          <w:jc w:val="center"/>
        </w:trPr>
        <w:tc>
          <w:tcPr>
            <w:tcW w:w="1250" w:type="dxa"/>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13发票开具</w:t>
            </w:r>
          </w:p>
        </w:tc>
        <w:tc>
          <w:tcPr>
            <w:tcW w:w="1316" w:type="dxa"/>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13.4红字增值税专用发票开具申请</w:t>
            </w:r>
          </w:p>
        </w:tc>
        <w:tc>
          <w:tcPr>
            <w:tcW w:w="2645" w:type="dxa"/>
            <w:vAlign w:val="center"/>
          </w:tcPr>
          <w:p w:rsidR="00013EC7" w:rsidRDefault="00575CDB">
            <w:pPr>
              <w:widowControl/>
              <w:jc w:val="left"/>
              <w:textAlignment w:val="center"/>
              <w:rPr>
                <w:rFonts w:ascii="仿宋" w:eastAsia="仿宋" w:hAnsi="仿宋" w:cs="仿宋"/>
                <w:color w:val="000000"/>
                <w:kern w:val="0"/>
                <w:sz w:val="24"/>
              </w:rPr>
            </w:pPr>
            <w:r>
              <w:rPr>
                <w:rFonts w:ascii="仿宋" w:eastAsia="仿宋" w:hAnsi="仿宋" w:cs="仿宋" w:hint="eastAsia"/>
                <w:color w:val="000000"/>
                <w:kern w:val="0"/>
                <w:sz w:val="24"/>
              </w:rPr>
              <w:t>（一）《国家税务总局关于简化增值税发票领用和使用程序有关问题的公告》（国家税务总局公告2014年第19号）全文。</w:t>
            </w:r>
          </w:p>
          <w:p w:rsidR="00013EC7" w:rsidRDefault="00575CDB">
            <w:pPr>
              <w:widowControl/>
              <w:jc w:val="left"/>
              <w:textAlignment w:val="center"/>
              <w:rPr>
                <w:rFonts w:ascii="仿宋" w:eastAsia="仿宋" w:hAnsi="仿宋" w:cs="仿宋"/>
                <w:color w:val="000000"/>
                <w:kern w:val="0"/>
                <w:sz w:val="24"/>
              </w:rPr>
            </w:pPr>
            <w:r>
              <w:rPr>
                <w:rFonts w:ascii="仿宋" w:eastAsia="仿宋" w:hAnsi="仿宋" w:cs="仿宋" w:hint="eastAsia"/>
                <w:color w:val="000000"/>
                <w:kern w:val="0"/>
                <w:sz w:val="24"/>
              </w:rPr>
              <w:t>（二）《国家税务总局关于纳税人认定或登记为一般纳税人前进项税额抵扣问题的公告》（国家税务总局公告2015年第59号）第二条第一款。</w:t>
            </w:r>
          </w:p>
          <w:p w:rsidR="00013EC7" w:rsidRDefault="00575CDB">
            <w:pPr>
              <w:widowControl/>
              <w:jc w:val="left"/>
              <w:textAlignment w:val="center"/>
              <w:rPr>
                <w:rFonts w:ascii="仿宋" w:eastAsia="仿宋" w:hAnsi="仿宋" w:cs="仿宋"/>
                <w:color w:val="000000"/>
                <w:kern w:val="0"/>
                <w:sz w:val="24"/>
              </w:rPr>
            </w:pPr>
            <w:r>
              <w:rPr>
                <w:rFonts w:ascii="仿宋" w:eastAsia="仿宋" w:hAnsi="仿宋" w:cs="仿宋" w:hint="eastAsia"/>
                <w:color w:val="000000"/>
                <w:kern w:val="0"/>
                <w:sz w:val="24"/>
              </w:rPr>
              <w:t>（三）《国家税务总局关于推行增值税发票系统升级版工作有关问题的通知》（税总发〔2014〕156号）第十五条、第十六条。</w:t>
            </w:r>
          </w:p>
          <w:p w:rsidR="00013EC7" w:rsidRDefault="00575CDB">
            <w:pPr>
              <w:widowControl/>
              <w:jc w:val="left"/>
              <w:textAlignment w:val="center"/>
              <w:rPr>
                <w:rFonts w:ascii="仿宋" w:eastAsia="仿宋" w:hAnsi="仿宋" w:cs="仿宋"/>
                <w:color w:val="000000"/>
                <w:kern w:val="0"/>
                <w:sz w:val="24"/>
              </w:rPr>
            </w:pPr>
            <w:r>
              <w:rPr>
                <w:rFonts w:ascii="仿宋" w:eastAsia="仿宋" w:hAnsi="仿宋" w:cs="仿宋" w:hint="eastAsia"/>
                <w:color w:val="000000"/>
                <w:kern w:val="0"/>
                <w:sz w:val="24"/>
              </w:rPr>
              <w:t>（四）《营业税改征增值税试点实施办法》（财税〔2016〕36号）附件1《营业税改征增值税试点实施办法》第四十二条。</w:t>
            </w:r>
          </w:p>
          <w:p w:rsidR="00013EC7" w:rsidRDefault="00575CDB">
            <w:pPr>
              <w:widowControl/>
              <w:jc w:val="left"/>
              <w:textAlignment w:val="center"/>
              <w:rPr>
                <w:rFonts w:ascii="仿宋" w:eastAsia="仿宋" w:hAnsi="仿宋" w:cs="仿宋"/>
                <w:color w:val="000000"/>
                <w:kern w:val="0"/>
                <w:sz w:val="24"/>
              </w:rPr>
            </w:pPr>
            <w:r>
              <w:rPr>
                <w:rFonts w:ascii="仿宋" w:eastAsia="仿宋" w:hAnsi="仿宋" w:cs="仿宋" w:hint="eastAsia"/>
                <w:color w:val="000000"/>
                <w:kern w:val="0"/>
                <w:sz w:val="24"/>
              </w:rPr>
              <w:t>（五）《国家税务总局关于红字增值税发票开具有关问题的公告》（国家税务总局公告2016年第47号）全文。</w:t>
            </w:r>
          </w:p>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lastRenderedPageBreak/>
              <w:br/>
            </w:r>
          </w:p>
        </w:tc>
        <w:tc>
          <w:tcPr>
            <w:tcW w:w="2254" w:type="dxa"/>
            <w:tcBorders>
              <w:top w:val="single" w:sz="4" w:space="0" w:color="auto"/>
              <w:bottom w:val="single" w:sz="4" w:space="0" w:color="auto"/>
            </w:tcBorders>
            <w:vAlign w:val="center"/>
          </w:tcPr>
          <w:p w:rsidR="00013EC7" w:rsidRDefault="00575CDB">
            <w:pPr>
              <w:widowControl/>
              <w:jc w:val="left"/>
              <w:textAlignment w:val="center"/>
              <w:rPr>
                <w:rFonts w:ascii="仿宋" w:eastAsia="仿宋" w:hAnsi="仿宋" w:cs="仿宋"/>
                <w:color w:val="000000"/>
                <w:kern w:val="0"/>
                <w:sz w:val="24"/>
              </w:rPr>
            </w:pPr>
            <w:r>
              <w:rPr>
                <w:rFonts w:ascii="仿宋" w:eastAsia="仿宋" w:hAnsi="仿宋" w:cs="仿宋" w:hint="eastAsia"/>
                <w:color w:val="000000"/>
                <w:kern w:val="0"/>
                <w:sz w:val="24"/>
              </w:rPr>
              <w:lastRenderedPageBreak/>
              <w:t>（一）（A02056）《开具红字增值税专用发票信息表》（电子信息或纸质资料）1份。</w:t>
            </w:r>
          </w:p>
        </w:tc>
        <w:tc>
          <w:tcPr>
            <w:tcW w:w="1401" w:type="dxa"/>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纳税人提交</w:t>
            </w:r>
          </w:p>
        </w:tc>
        <w:tc>
          <w:tcPr>
            <w:tcW w:w="2120" w:type="dxa"/>
            <w:vAlign w:val="center"/>
          </w:tcPr>
          <w:p w:rsidR="00013EC7" w:rsidRDefault="00575CDB">
            <w:pPr>
              <w:widowControl/>
              <w:jc w:val="left"/>
              <w:textAlignment w:val="center"/>
              <w:rPr>
                <w:rFonts w:ascii="仿宋" w:eastAsia="仿宋" w:hAnsi="仿宋" w:cs="仿宋"/>
                <w:color w:val="000000"/>
                <w:kern w:val="0"/>
                <w:sz w:val="24"/>
              </w:rPr>
            </w:pPr>
            <w:r>
              <w:rPr>
                <w:rFonts w:ascii="仿宋" w:eastAsia="仿宋" w:hAnsi="仿宋" w:cs="仿宋" w:hint="eastAsia"/>
                <w:color w:val="000000"/>
                <w:kern w:val="0"/>
                <w:sz w:val="24"/>
              </w:rPr>
              <w:t>（一）（A02056）《开具红字增值税专用发票信息表》（电子信息或纸质资料）1份。</w:t>
            </w:r>
          </w:p>
        </w:tc>
        <w:tc>
          <w:tcPr>
            <w:tcW w:w="1439" w:type="dxa"/>
            <w:vAlign w:val="center"/>
          </w:tcPr>
          <w:p w:rsidR="00013EC7" w:rsidRDefault="00575CDB">
            <w:pPr>
              <w:widowControl/>
              <w:jc w:val="left"/>
              <w:textAlignment w:val="center"/>
              <w:rPr>
                <w:rFonts w:ascii="仿宋" w:eastAsia="仿宋" w:hAnsi="仿宋" w:cs="仿宋"/>
                <w:b/>
                <w:bCs/>
                <w:i/>
                <w:iCs/>
                <w:sz w:val="24"/>
              </w:rPr>
            </w:pPr>
            <w:r>
              <w:rPr>
                <w:rFonts w:ascii="仿宋" w:eastAsia="仿宋" w:hAnsi="仿宋" w:cs="仿宋" w:hint="eastAsia"/>
                <w:color w:val="000000"/>
                <w:kern w:val="0"/>
                <w:sz w:val="24"/>
              </w:rPr>
              <w:t>纳税人提交</w:t>
            </w:r>
          </w:p>
        </w:tc>
        <w:tc>
          <w:tcPr>
            <w:tcW w:w="3075" w:type="dxa"/>
            <w:vAlign w:val="center"/>
          </w:tcPr>
          <w:p w:rsidR="00013EC7" w:rsidRDefault="00575CDB">
            <w:pPr>
              <w:widowControl/>
              <w:jc w:val="left"/>
              <w:textAlignment w:val="center"/>
              <w:rPr>
                <w:rFonts w:ascii="仿宋" w:eastAsia="仿宋" w:hAnsi="仿宋" w:cs="仿宋"/>
                <w:color w:val="000000"/>
                <w:kern w:val="0"/>
                <w:sz w:val="24"/>
              </w:rPr>
            </w:pPr>
            <w:r>
              <w:rPr>
                <w:rFonts w:ascii="仿宋" w:eastAsia="仿宋" w:hAnsi="仿宋" w:cs="仿宋" w:hint="eastAsia"/>
                <w:color w:val="000000"/>
                <w:kern w:val="0"/>
                <w:sz w:val="24"/>
              </w:rPr>
              <w:br/>
            </w:r>
            <w:r>
              <w:rPr>
                <w:rFonts w:ascii="仿宋" w:eastAsia="仿宋" w:hAnsi="仿宋" w:cs="仿宋" w:hint="eastAsia"/>
                <w:b/>
                <w:bCs/>
                <w:color w:val="000000"/>
                <w:kern w:val="0"/>
                <w:sz w:val="24"/>
              </w:rPr>
              <w:t>现场办理：</w:t>
            </w:r>
            <w:r>
              <w:rPr>
                <w:rFonts w:ascii="仿宋" w:eastAsia="仿宋" w:hAnsi="仿宋" w:cs="仿宋" w:hint="eastAsia"/>
                <w:color w:val="000000"/>
                <w:kern w:val="0"/>
                <w:sz w:val="24"/>
              </w:rPr>
              <w:t>纳税人提交书面材料。</w:t>
            </w:r>
          </w:p>
          <w:p w:rsidR="00013EC7" w:rsidRDefault="00575CDB">
            <w:pPr>
              <w:widowControl/>
              <w:jc w:val="left"/>
              <w:textAlignment w:val="center"/>
              <w:rPr>
                <w:rFonts w:ascii="仿宋" w:eastAsia="仿宋" w:hAnsi="仿宋" w:cs="仿宋"/>
                <w:sz w:val="24"/>
              </w:rPr>
            </w:pPr>
            <w:r>
              <w:rPr>
                <w:rFonts w:ascii="仿宋" w:eastAsia="仿宋" w:hAnsi="仿宋" w:cs="仿宋" w:hint="eastAsia"/>
                <w:b/>
                <w:bCs/>
                <w:color w:val="000000"/>
                <w:kern w:val="0"/>
                <w:sz w:val="24"/>
              </w:rPr>
              <w:t>网上办理：</w:t>
            </w:r>
            <w:r>
              <w:rPr>
                <w:rFonts w:ascii="仿宋" w:eastAsia="仿宋" w:hAnsi="仿宋" w:cs="仿宋" w:hint="eastAsia"/>
                <w:color w:val="000000"/>
                <w:kern w:val="0"/>
                <w:sz w:val="24"/>
              </w:rPr>
              <w:t>通过增值税发票系统升级版企业端提交申请；</w:t>
            </w:r>
          </w:p>
        </w:tc>
        <w:tc>
          <w:tcPr>
            <w:tcW w:w="948" w:type="dxa"/>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即时办结</w:t>
            </w:r>
          </w:p>
        </w:tc>
        <w:tc>
          <w:tcPr>
            <w:tcW w:w="927" w:type="dxa"/>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即时办结</w:t>
            </w:r>
          </w:p>
        </w:tc>
        <w:tc>
          <w:tcPr>
            <w:tcW w:w="916" w:type="dxa"/>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是</w:t>
            </w:r>
          </w:p>
        </w:tc>
        <w:tc>
          <w:tcPr>
            <w:tcW w:w="1134" w:type="dxa"/>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货物和劳务税处</w:t>
            </w:r>
          </w:p>
        </w:tc>
        <w:tc>
          <w:tcPr>
            <w:tcW w:w="1279" w:type="dxa"/>
            <w:vAlign w:val="center"/>
          </w:tcPr>
          <w:p w:rsidR="00013EC7" w:rsidRDefault="00013EC7">
            <w:pPr>
              <w:jc w:val="left"/>
              <w:rPr>
                <w:rFonts w:ascii="仿宋" w:eastAsia="仿宋" w:hAnsi="仿宋" w:cs="仿宋"/>
                <w:sz w:val="24"/>
              </w:rPr>
            </w:pPr>
          </w:p>
        </w:tc>
      </w:tr>
    </w:tbl>
    <w:p w:rsidR="00013EC7" w:rsidRDefault="00013EC7">
      <w:pPr>
        <w:rPr>
          <w:rFonts w:eastAsia="方正书宋简体"/>
          <w:szCs w:val="21"/>
        </w:rPr>
      </w:pPr>
    </w:p>
    <w:p w:rsidR="00013EC7" w:rsidRDefault="005262E6">
      <w:pPr>
        <w:rPr>
          <w:rFonts w:eastAsia="方正书宋简体"/>
          <w:szCs w:val="21"/>
        </w:rPr>
      </w:pPr>
      <w:r>
        <w:rPr>
          <w:rFonts w:ascii="黑体" w:eastAsia="黑体" w:hAnsi="黑体"/>
        </w:rPr>
        <w:lastRenderedPageBreak/>
        <w:object w:dxaOrig="1440" w:dyaOrig="1440">
          <v:shape id="对象 183" o:spid="_x0000_s1276" type="#_x0000_t75" alt="2111217721508729125585" style="position:absolute;left:0;text-align:left;margin-left:569.25pt;margin-top:81.15pt;width:432.35pt;height:576.1pt;z-index:251617280;mso-wrap-distance-top:0;mso-wrap-distance-bottom:0;mso-position-vertical-relative:page;mso-width-relative:page;mso-height-relative:page">
            <v:imagedata r:id="rId158" o:title="2111217721508729125585"/>
            <w10:wrap type="topAndBottom" anchory="page"/>
          </v:shape>
          <o:OLEObject Type="Embed" ProgID="Visio.Drawing.11" ShapeID="对象 183" DrawAspect="Content" ObjectID="_1577296209" r:id="rId159"/>
        </w:object>
      </w:r>
      <w:r>
        <w:object w:dxaOrig="1440" w:dyaOrig="1440">
          <v:shape id="对象 207" o:spid="_x0000_s1288" type="#_x0000_t75" alt="2111217721508729125585" style="position:absolute;left:0;text-align:left;margin-left:-13.05pt;margin-top:107.3pt;width:479.75pt;height:539pt;z-index:251626496;mso-wrap-distance-top:0;mso-wrap-distance-bottom:0;mso-position-vertical-relative:page;mso-width-relative:page;mso-height-relative:page">
            <v:imagedata r:id="rId160" o:title=""/>
            <w10:wrap type="topAndBottom" anchory="page"/>
          </v:shape>
          <o:OLEObject Type="Embed" ProgID="Visio.Drawing.11" ShapeID="对象 207" DrawAspect="Content" ObjectID="_1577296210" r:id="rId161"/>
        </w:object>
      </w:r>
    </w:p>
    <w:p w:rsidR="00013EC7" w:rsidRDefault="00013EC7"/>
    <w:p w:rsidR="00013EC7" w:rsidRDefault="00013EC7">
      <w:pPr>
        <w:jc w:val="left"/>
        <w:rPr>
          <w:rFonts w:ascii="宋体" w:hAnsi="宋体"/>
          <w:kern w:val="0"/>
          <w:sz w:val="28"/>
          <w:szCs w:val="28"/>
        </w:rPr>
      </w:pPr>
      <w:bookmarkStart w:id="240" w:name="_Toc498705720"/>
    </w:p>
    <w:p w:rsidR="00013EC7" w:rsidRDefault="00013EC7">
      <w:pPr>
        <w:jc w:val="left"/>
        <w:rPr>
          <w:rFonts w:ascii="宋体" w:hAnsi="宋体"/>
          <w:kern w:val="0"/>
          <w:sz w:val="28"/>
          <w:szCs w:val="28"/>
        </w:rPr>
        <w:sectPr w:rsidR="00013EC7">
          <w:pgSz w:w="23814" w:h="16840" w:orient="landscape"/>
          <w:pgMar w:top="1701" w:right="1843" w:bottom="1985" w:left="1843" w:header="851" w:footer="1701" w:gutter="0"/>
          <w:pgNumType w:fmt="numberInDash"/>
          <w:cols w:space="720"/>
          <w:docGrid w:type="lines" w:linePitch="312"/>
        </w:sectPr>
      </w:pPr>
    </w:p>
    <w:p w:rsidR="00013EC7" w:rsidRDefault="00575CDB">
      <w:pPr>
        <w:pStyle w:val="1"/>
      </w:pPr>
      <w:bookmarkStart w:id="241" w:name="_Toc12179"/>
      <w:bookmarkStart w:id="242" w:name="_Toc503467409"/>
      <w:bookmarkStart w:id="243" w:name="_Toc3728"/>
      <w:bookmarkStart w:id="244" w:name="_Toc24406"/>
      <w:r>
        <w:rPr>
          <w:rFonts w:hint="eastAsia"/>
        </w:rPr>
        <w:lastRenderedPageBreak/>
        <w:t>十四、发票验旧</w:t>
      </w:r>
      <w:bookmarkEnd w:id="241"/>
      <w:bookmarkEnd w:id="242"/>
      <w:bookmarkEnd w:id="243"/>
      <w:bookmarkEnd w:id="244"/>
    </w:p>
    <w:p w:rsidR="00013EC7" w:rsidRDefault="00575CDB">
      <w:pPr>
        <w:pStyle w:val="2"/>
      </w:pPr>
      <w:bookmarkStart w:id="245" w:name="_Toc503467410"/>
      <w:bookmarkStart w:id="246" w:name="_Toc14898"/>
      <w:bookmarkStart w:id="247" w:name="_Toc13894"/>
      <w:bookmarkStart w:id="248" w:name="_Toc3431"/>
      <w:r>
        <w:rPr>
          <w:rFonts w:hint="eastAsia"/>
        </w:rPr>
        <w:t>14.1</w:t>
      </w:r>
      <w:r>
        <w:rPr>
          <w:rFonts w:hint="eastAsia"/>
        </w:rPr>
        <w:t>发票验旧</w:t>
      </w:r>
      <w:bookmarkEnd w:id="240"/>
      <w:bookmarkEnd w:id="245"/>
      <w:bookmarkEnd w:id="246"/>
      <w:bookmarkEnd w:id="247"/>
      <w:bookmarkEnd w:id="248"/>
    </w:p>
    <w:p w:rsidR="00013EC7" w:rsidRDefault="00575CDB">
      <w:pPr>
        <w:jc w:val="center"/>
        <w:rPr>
          <w:rFonts w:ascii="宋体" w:hAnsi="宋体" w:cs="宋体"/>
          <w:b/>
          <w:bCs/>
          <w:sz w:val="52"/>
          <w:szCs w:val="52"/>
        </w:rPr>
      </w:pPr>
      <w:r>
        <w:rPr>
          <w:rFonts w:ascii="宋体" w:hAnsi="宋体" w:cs="宋体" w:hint="eastAsia"/>
          <w:b/>
          <w:bCs/>
          <w:sz w:val="52"/>
          <w:szCs w:val="52"/>
        </w:rPr>
        <w:t>全省“最多跑一次”事项“八统一”梳理表</w:t>
      </w:r>
    </w:p>
    <w:tbl>
      <w:tblPr>
        <w:tblW w:w="20988"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1250"/>
        <w:gridCol w:w="1198"/>
        <w:gridCol w:w="4457"/>
        <w:gridCol w:w="2207"/>
        <w:gridCol w:w="1029"/>
        <w:gridCol w:w="2293"/>
        <w:gridCol w:w="1007"/>
        <w:gridCol w:w="1929"/>
        <w:gridCol w:w="900"/>
        <w:gridCol w:w="900"/>
        <w:gridCol w:w="900"/>
        <w:gridCol w:w="1080"/>
        <w:gridCol w:w="1838"/>
      </w:tblGrid>
      <w:tr w:rsidR="00013EC7">
        <w:trPr>
          <w:trHeight w:val="340"/>
          <w:tblHeader/>
          <w:jc w:val="center"/>
        </w:trPr>
        <w:tc>
          <w:tcPr>
            <w:tcW w:w="1250"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主项名称</w:t>
            </w:r>
          </w:p>
        </w:tc>
        <w:tc>
          <w:tcPr>
            <w:tcW w:w="1198"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子项名称</w:t>
            </w:r>
          </w:p>
        </w:tc>
        <w:tc>
          <w:tcPr>
            <w:tcW w:w="4457"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经办依据</w:t>
            </w:r>
          </w:p>
        </w:tc>
        <w:tc>
          <w:tcPr>
            <w:tcW w:w="3236"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原经办所需材料</w:t>
            </w:r>
          </w:p>
        </w:tc>
        <w:tc>
          <w:tcPr>
            <w:tcW w:w="5229" w:type="dxa"/>
            <w:gridSpan w:val="3"/>
            <w:vAlign w:val="center"/>
          </w:tcPr>
          <w:p w:rsidR="00013EC7" w:rsidRDefault="00575CDB">
            <w:pPr>
              <w:spacing w:line="280" w:lineRule="exact"/>
              <w:jc w:val="center"/>
              <w:rPr>
                <w:rFonts w:ascii="黑体" w:eastAsia="黑体"/>
                <w:sz w:val="24"/>
              </w:rPr>
            </w:pPr>
            <w:r>
              <w:rPr>
                <w:rFonts w:ascii="黑体" w:eastAsia="黑体" w:hint="eastAsia"/>
                <w:sz w:val="24"/>
              </w:rPr>
              <w:t>梳理后经办所需材料</w:t>
            </w:r>
          </w:p>
        </w:tc>
        <w:tc>
          <w:tcPr>
            <w:tcW w:w="1800"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办理时限</w:t>
            </w:r>
          </w:p>
        </w:tc>
        <w:tc>
          <w:tcPr>
            <w:tcW w:w="900"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是否实现跑零次</w:t>
            </w:r>
          </w:p>
        </w:tc>
        <w:tc>
          <w:tcPr>
            <w:tcW w:w="1080"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省厅对口</w:t>
            </w:r>
          </w:p>
          <w:p w:rsidR="00013EC7" w:rsidRDefault="00575CDB">
            <w:pPr>
              <w:spacing w:line="280" w:lineRule="exact"/>
              <w:jc w:val="center"/>
              <w:rPr>
                <w:rFonts w:ascii="黑体" w:eastAsia="黑体"/>
                <w:sz w:val="24"/>
              </w:rPr>
            </w:pPr>
            <w:r>
              <w:rPr>
                <w:rFonts w:ascii="黑体" w:eastAsia="黑体" w:hint="eastAsia"/>
                <w:sz w:val="24"/>
              </w:rPr>
              <w:t>指导处室</w:t>
            </w:r>
          </w:p>
          <w:p w:rsidR="00013EC7" w:rsidRDefault="00575CDB">
            <w:pPr>
              <w:spacing w:line="280" w:lineRule="exact"/>
              <w:jc w:val="center"/>
              <w:rPr>
                <w:rFonts w:ascii="黑体" w:eastAsia="黑体"/>
                <w:sz w:val="24"/>
              </w:rPr>
            </w:pPr>
            <w:r>
              <w:rPr>
                <w:rFonts w:ascii="黑体" w:eastAsia="黑体" w:hint="eastAsia"/>
                <w:sz w:val="24"/>
              </w:rPr>
              <w:t>（单位）</w:t>
            </w:r>
          </w:p>
        </w:tc>
        <w:tc>
          <w:tcPr>
            <w:tcW w:w="1838"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进一步精简、</w:t>
            </w:r>
          </w:p>
          <w:p w:rsidR="00013EC7" w:rsidRDefault="00575CDB">
            <w:pPr>
              <w:spacing w:line="280" w:lineRule="exact"/>
              <w:jc w:val="center"/>
              <w:rPr>
                <w:rFonts w:ascii="黑体" w:eastAsia="黑体"/>
                <w:sz w:val="24"/>
              </w:rPr>
            </w:pPr>
            <w:r>
              <w:rPr>
                <w:rFonts w:ascii="黑体" w:eastAsia="黑体" w:hint="eastAsia"/>
                <w:sz w:val="24"/>
              </w:rPr>
              <w:t>规范建议</w:t>
            </w:r>
          </w:p>
        </w:tc>
      </w:tr>
      <w:tr w:rsidR="00013EC7">
        <w:trPr>
          <w:trHeight w:val="340"/>
          <w:tblHeader/>
          <w:jc w:val="center"/>
        </w:trPr>
        <w:tc>
          <w:tcPr>
            <w:tcW w:w="1250" w:type="dxa"/>
            <w:vMerge/>
            <w:vAlign w:val="center"/>
          </w:tcPr>
          <w:p w:rsidR="00013EC7" w:rsidRDefault="00013EC7">
            <w:pPr>
              <w:rPr>
                <w:sz w:val="24"/>
              </w:rPr>
            </w:pPr>
          </w:p>
        </w:tc>
        <w:tc>
          <w:tcPr>
            <w:tcW w:w="1198" w:type="dxa"/>
            <w:vMerge/>
          </w:tcPr>
          <w:p w:rsidR="00013EC7" w:rsidRDefault="00013EC7">
            <w:pPr>
              <w:rPr>
                <w:sz w:val="24"/>
              </w:rPr>
            </w:pPr>
          </w:p>
        </w:tc>
        <w:tc>
          <w:tcPr>
            <w:tcW w:w="4457" w:type="dxa"/>
            <w:vMerge/>
          </w:tcPr>
          <w:p w:rsidR="00013EC7" w:rsidRDefault="00013EC7">
            <w:pPr>
              <w:rPr>
                <w:sz w:val="24"/>
              </w:rPr>
            </w:pPr>
          </w:p>
        </w:tc>
        <w:tc>
          <w:tcPr>
            <w:tcW w:w="2207" w:type="dxa"/>
            <w:tcBorders>
              <w:bottom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029"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2293" w:type="dxa"/>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007"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1929" w:type="dxa"/>
            <w:vAlign w:val="center"/>
          </w:tcPr>
          <w:p w:rsidR="00013EC7" w:rsidRDefault="00575CDB">
            <w:pPr>
              <w:spacing w:line="280" w:lineRule="exact"/>
              <w:jc w:val="center"/>
              <w:rPr>
                <w:rFonts w:ascii="黑体" w:eastAsia="黑体"/>
                <w:sz w:val="24"/>
              </w:rPr>
            </w:pPr>
            <w:r>
              <w:rPr>
                <w:rFonts w:ascii="黑体" w:eastAsia="黑体" w:hint="eastAsia"/>
                <w:sz w:val="24"/>
              </w:rPr>
              <w:t>办理方式及材料</w:t>
            </w:r>
          </w:p>
          <w:p w:rsidR="00013EC7" w:rsidRDefault="00575CDB">
            <w:pPr>
              <w:spacing w:line="280" w:lineRule="exact"/>
              <w:jc w:val="center"/>
              <w:rPr>
                <w:rFonts w:ascii="黑体" w:eastAsia="黑体"/>
                <w:sz w:val="24"/>
              </w:rPr>
            </w:pPr>
            <w:r>
              <w:rPr>
                <w:rFonts w:ascii="黑体" w:eastAsia="黑体" w:hint="eastAsia"/>
                <w:sz w:val="24"/>
              </w:rPr>
              <w:t>信息获取方式说明</w:t>
            </w:r>
          </w:p>
        </w:tc>
        <w:tc>
          <w:tcPr>
            <w:tcW w:w="900" w:type="dxa"/>
            <w:vAlign w:val="center"/>
          </w:tcPr>
          <w:p w:rsidR="00013EC7" w:rsidRDefault="00575CDB">
            <w:pPr>
              <w:spacing w:line="280" w:lineRule="exact"/>
              <w:jc w:val="center"/>
              <w:rPr>
                <w:rFonts w:ascii="黑体" w:eastAsia="黑体"/>
                <w:sz w:val="24"/>
              </w:rPr>
            </w:pPr>
            <w:r>
              <w:rPr>
                <w:rFonts w:ascii="黑体" w:eastAsia="黑体" w:hint="eastAsia"/>
                <w:sz w:val="24"/>
              </w:rPr>
              <w:t>优化前</w:t>
            </w:r>
          </w:p>
        </w:tc>
        <w:tc>
          <w:tcPr>
            <w:tcW w:w="900" w:type="dxa"/>
            <w:vAlign w:val="center"/>
          </w:tcPr>
          <w:p w:rsidR="00013EC7" w:rsidRDefault="00575CDB">
            <w:pPr>
              <w:spacing w:line="280" w:lineRule="exact"/>
              <w:jc w:val="center"/>
              <w:rPr>
                <w:rFonts w:ascii="黑体" w:eastAsia="黑体"/>
                <w:sz w:val="24"/>
              </w:rPr>
            </w:pPr>
            <w:r>
              <w:rPr>
                <w:rFonts w:ascii="黑体" w:eastAsia="黑体" w:hint="eastAsia"/>
                <w:sz w:val="24"/>
              </w:rPr>
              <w:t>优化后</w:t>
            </w:r>
          </w:p>
        </w:tc>
        <w:tc>
          <w:tcPr>
            <w:tcW w:w="900" w:type="dxa"/>
            <w:vMerge/>
            <w:vAlign w:val="center"/>
          </w:tcPr>
          <w:p w:rsidR="00013EC7" w:rsidRDefault="00013EC7">
            <w:pPr>
              <w:rPr>
                <w:sz w:val="24"/>
              </w:rPr>
            </w:pPr>
          </w:p>
        </w:tc>
        <w:tc>
          <w:tcPr>
            <w:tcW w:w="1080" w:type="dxa"/>
            <w:vMerge/>
            <w:vAlign w:val="center"/>
          </w:tcPr>
          <w:p w:rsidR="00013EC7" w:rsidRDefault="00013EC7">
            <w:pPr>
              <w:rPr>
                <w:sz w:val="24"/>
              </w:rPr>
            </w:pPr>
          </w:p>
        </w:tc>
        <w:tc>
          <w:tcPr>
            <w:tcW w:w="1838" w:type="dxa"/>
            <w:vMerge/>
            <w:vAlign w:val="center"/>
          </w:tcPr>
          <w:p w:rsidR="00013EC7" w:rsidRDefault="00013EC7">
            <w:pPr>
              <w:rPr>
                <w:sz w:val="24"/>
              </w:rPr>
            </w:pPr>
          </w:p>
        </w:tc>
      </w:tr>
      <w:tr w:rsidR="00013EC7">
        <w:trPr>
          <w:trHeight w:val="2066"/>
          <w:jc w:val="center"/>
        </w:trPr>
        <w:tc>
          <w:tcPr>
            <w:tcW w:w="1250" w:type="dxa"/>
            <w:vMerge w:val="restart"/>
            <w:shd w:val="clear" w:color="auto" w:fill="FFFFFF"/>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14发票验旧</w:t>
            </w:r>
          </w:p>
        </w:tc>
        <w:tc>
          <w:tcPr>
            <w:tcW w:w="1198" w:type="dxa"/>
            <w:vMerge w:val="restart"/>
            <w:shd w:val="clear" w:color="auto" w:fill="FFFFFF"/>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14.1发票验旧</w:t>
            </w:r>
          </w:p>
        </w:tc>
        <w:tc>
          <w:tcPr>
            <w:tcW w:w="4457" w:type="dxa"/>
            <w:vMerge w:val="restart"/>
            <w:shd w:val="clear" w:color="auto" w:fill="FFFFFF"/>
            <w:vAlign w:val="center"/>
          </w:tcPr>
          <w:p w:rsidR="00013EC7" w:rsidRDefault="00575CDB">
            <w:pPr>
              <w:widowControl/>
              <w:jc w:val="left"/>
              <w:textAlignment w:val="center"/>
              <w:rPr>
                <w:rStyle w:val="font11"/>
              </w:rPr>
            </w:pPr>
            <w:r>
              <w:rPr>
                <w:rStyle w:val="font11"/>
                <w:rFonts w:hint="eastAsia"/>
              </w:rPr>
              <w:t xml:space="preserve">（一）《中华人民共和国税收征收管理法》（2001年中华人民共和国主席令第49号）第二十一条、第二十二条、第二十三条。 </w:t>
            </w:r>
          </w:p>
          <w:p w:rsidR="00013EC7" w:rsidRDefault="00575CDB">
            <w:pPr>
              <w:widowControl/>
              <w:jc w:val="left"/>
              <w:textAlignment w:val="center"/>
              <w:rPr>
                <w:rStyle w:val="font11"/>
              </w:rPr>
            </w:pPr>
            <w:r>
              <w:rPr>
                <w:rStyle w:val="font11"/>
                <w:rFonts w:hint="eastAsia"/>
              </w:rPr>
              <w:t xml:space="preserve">（二）《中华人民共和国税收征收管理法实施细则》（2002年中华人民共和国国务院令第362号）第二十八条、第二十九条。 </w:t>
            </w:r>
          </w:p>
          <w:p w:rsidR="00013EC7" w:rsidRDefault="00575CDB">
            <w:pPr>
              <w:widowControl/>
              <w:jc w:val="left"/>
              <w:textAlignment w:val="center"/>
              <w:rPr>
                <w:rStyle w:val="font11"/>
              </w:rPr>
            </w:pPr>
            <w:r>
              <w:rPr>
                <w:rStyle w:val="font11"/>
                <w:rFonts w:hint="eastAsia"/>
              </w:rPr>
              <w:t xml:space="preserve">（三）《中华人民共和国发票管理办法》（2010年中华人民共和国国务院令第587号）第十五条第二款。 </w:t>
            </w:r>
          </w:p>
          <w:p w:rsidR="00013EC7" w:rsidRDefault="00575CDB">
            <w:pPr>
              <w:widowControl/>
              <w:jc w:val="left"/>
              <w:textAlignment w:val="center"/>
              <w:rPr>
                <w:rStyle w:val="font11"/>
              </w:rPr>
            </w:pPr>
            <w:r>
              <w:rPr>
                <w:rStyle w:val="font11"/>
                <w:rFonts w:hint="eastAsia"/>
              </w:rPr>
              <w:t xml:space="preserve">（四）《国家税务总局关于印发〈增值税一般纳税人纳税辅导期管理办法 〉的通知》（国税发〔2010〕40号）第八条、第九条。 </w:t>
            </w:r>
          </w:p>
          <w:p w:rsidR="00013EC7" w:rsidRDefault="00575CDB">
            <w:pPr>
              <w:widowControl/>
              <w:jc w:val="left"/>
              <w:textAlignment w:val="center"/>
              <w:rPr>
                <w:rStyle w:val="font11"/>
              </w:rPr>
            </w:pPr>
            <w:r>
              <w:rPr>
                <w:rStyle w:val="font11"/>
                <w:rFonts w:hint="eastAsia"/>
              </w:rPr>
              <w:t>（五）《中华人民共和国发票管理办法实施细则》（2014年国家税务总局令第37号）全文。</w:t>
            </w:r>
          </w:p>
          <w:p w:rsidR="00013EC7" w:rsidRDefault="00575CDB">
            <w:pPr>
              <w:widowControl/>
              <w:jc w:val="left"/>
              <w:textAlignment w:val="center"/>
              <w:rPr>
                <w:rStyle w:val="font11"/>
              </w:rPr>
            </w:pPr>
            <w:r>
              <w:rPr>
                <w:rStyle w:val="font11"/>
                <w:rFonts w:hint="eastAsia"/>
              </w:rPr>
              <w:t>（六）《国家税务总局关于简化增值税发票领用和使用程序有关问题的公告》（国家税务总局公告2014年第19号）第一条。</w:t>
            </w:r>
          </w:p>
          <w:p w:rsidR="00013EC7" w:rsidRDefault="00575CDB">
            <w:pPr>
              <w:widowControl/>
              <w:jc w:val="left"/>
              <w:textAlignment w:val="center"/>
              <w:rPr>
                <w:rStyle w:val="font11"/>
              </w:rPr>
            </w:pPr>
            <w:r>
              <w:rPr>
                <w:rStyle w:val="font11"/>
                <w:rFonts w:hint="eastAsia"/>
              </w:rPr>
              <w:t>（七）《关于全面推开营业税改征增值税试点的通知》（财税〔2016〕36号）全文。</w:t>
            </w:r>
          </w:p>
          <w:p w:rsidR="00013EC7" w:rsidRDefault="00575CDB">
            <w:pPr>
              <w:widowControl/>
              <w:jc w:val="left"/>
              <w:textAlignment w:val="center"/>
              <w:rPr>
                <w:rStyle w:val="font11"/>
              </w:rPr>
            </w:pPr>
            <w:r>
              <w:rPr>
                <w:rStyle w:val="font11"/>
                <w:rFonts w:hint="eastAsia"/>
              </w:rPr>
              <w:t>（八）《国家税务总局关于营业税改征增值税委托地税局代征税款和代开增值税发</w:t>
            </w:r>
            <w:r>
              <w:rPr>
                <w:rStyle w:val="font11"/>
                <w:rFonts w:hint="eastAsia"/>
              </w:rPr>
              <w:lastRenderedPageBreak/>
              <w:t>票的通知》（税总函〔2016〕145号）第二条第六款。</w:t>
            </w:r>
          </w:p>
        </w:tc>
        <w:tc>
          <w:tcPr>
            <w:tcW w:w="2207" w:type="dxa"/>
            <w:tcBorders>
              <w:top w:val="single" w:sz="4" w:space="0" w:color="auto"/>
              <w:bottom w:val="single" w:sz="4" w:space="0" w:color="auto"/>
            </w:tcBorders>
            <w:shd w:val="clear" w:color="auto" w:fill="FFFFFF"/>
            <w:vAlign w:val="center"/>
          </w:tcPr>
          <w:p w:rsidR="00013EC7" w:rsidRDefault="00575CDB">
            <w:pPr>
              <w:widowControl/>
              <w:spacing w:after="210"/>
              <w:jc w:val="left"/>
              <w:textAlignment w:val="center"/>
              <w:rPr>
                <w:rFonts w:ascii="仿宋" w:eastAsia="仿宋" w:hAnsi="仿宋" w:cs="仿宋"/>
                <w:sz w:val="24"/>
              </w:rPr>
            </w:pPr>
            <w:r>
              <w:rPr>
                <w:rFonts w:hint="eastAsia"/>
                <w:kern w:val="0"/>
                <w:shd w:val="clear" w:color="FFFFFF" w:fill="D9D9D9"/>
              </w:rPr>
              <w:lastRenderedPageBreak/>
              <w:t>（</w:t>
            </w:r>
            <w:r>
              <w:rPr>
                <w:rFonts w:ascii="仿宋" w:eastAsia="仿宋" w:hAnsi="仿宋" w:cs="仿宋" w:hint="eastAsia"/>
                <w:color w:val="000000"/>
                <w:kern w:val="0"/>
                <w:sz w:val="24"/>
                <w:shd w:val="clear" w:color="FFFFFF" w:fill="D9D9D9"/>
              </w:rPr>
              <w:t>一</w:t>
            </w:r>
            <w:r>
              <w:rPr>
                <w:rFonts w:hint="eastAsia"/>
                <w:kern w:val="0"/>
                <w:shd w:val="clear" w:color="FFFFFF" w:fill="D9D9D9"/>
              </w:rPr>
              <w:t>）</w:t>
            </w:r>
            <w:r>
              <w:rPr>
                <w:rFonts w:ascii="仿宋" w:eastAsia="仿宋" w:hAnsi="仿宋" w:cs="仿宋" w:hint="eastAsia"/>
                <w:color w:val="000000"/>
                <w:kern w:val="0"/>
                <w:sz w:val="24"/>
                <w:shd w:val="clear" w:color="FFFFFF" w:fill="D9D9D9"/>
              </w:rPr>
              <w:t>(A02009)《发票领用簿》。</w:t>
            </w:r>
          </w:p>
        </w:tc>
        <w:tc>
          <w:tcPr>
            <w:tcW w:w="1029" w:type="dxa"/>
            <w:vMerge w:val="restart"/>
            <w:shd w:val="clear" w:color="auto" w:fill="FFFFFF"/>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纳税人提交</w:t>
            </w:r>
          </w:p>
        </w:tc>
        <w:tc>
          <w:tcPr>
            <w:tcW w:w="2293" w:type="dxa"/>
            <w:shd w:val="clear" w:color="auto" w:fill="FFFFFF"/>
            <w:vAlign w:val="center"/>
          </w:tcPr>
          <w:p w:rsidR="00013EC7" w:rsidRDefault="00013EC7">
            <w:pPr>
              <w:jc w:val="left"/>
              <w:rPr>
                <w:rFonts w:ascii="仿宋" w:eastAsia="仿宋" w:hAnsi="仿宋" w:cs="仿宋"/>
                <w:sz w:val="24"/>
              </w:rPr>
            </w:pPr>
          </w:p>
        </w:tc>
        <w:tc>
          <w:tcPr>
            <w:tcW w:w="1007" w:type="dxa"/>
            <w:shd w:val="clear" w:color="auto" w:fill="FFFFFF"/>
            <w:vAlign w:val="center"/>
          </w:tcPr>
          <w:p w:rsidR="00013EC7" w:rsidRDefault="00575CDB">
            <w:pPr>
              <w:widowControl/>
              <w:jc w:val="left"/>
              <w:textAlignment w:val="center"/>
              <w:rPr>
                <w:rFonts w:ascii="仿宋" w:eastAsia="仿宋" w:hAnsi="仿宋" w:cs="仿宋"/>
                <w:b/>
                <w:bCs/>
                <w:i/>
                <w:iCs/>
                <w:sz w:val="24"/>
              </w:rPr>
            </w:pPr>
            <w:r>
              <w:rPr>
                <w:rFonts w:ascii="仿宋" w:eastAsia="仿宋" w:hAnsi="仿宋" w:cs="仿宋" w:hint="eastAsia"/>
                <w:b/>
                <w:i/>
                <w:color w:val="000000"/>
                <w:kern w:val="0"/>
                <w:sz w:val="24"/>
              </w:rPr>
              <w:t>取消</w:t>
            </w:r>
          </w:p>
        </w:tc>
        <w:tc>
          <w:tcPr>
            <w:tcW w:w="1929" w:type="dxa"/>
            <w:shd w:val="clear" w:color="auto" w:fill="FFFFFF"/>
            <w:vAlign w:val="center"/>
          </w:tcPr>
          <w:p w:rsidR="00013EC7" w:rsidRDefault="00013EC7">
            <w:pPr>
              <w:jc w:val="left"/>
              <w:rPr>
                <w:rFonts w:ascii="仿宋" w:eastAsia="仿宋" w:hAnsi="仿宋" w:cs="仿宋"/>
                <w:sz w:val="24"/>
              </w:rPr>
            </w:pPr>
          </w:p>
        </w:tc>
        <w:tc>
          <w:tcPr>
            <w:tcW w:w="900" w:type="dxa"/>
            <w:vMerge w:val="restart"/>
            <w:shd w:val="clear" w:color="auto" w:fill="FFFFFF"/>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即时办结</w:t>
            </w:r>
          </w:p>
        </w:tc>
        <w:tc>
          <w:tcPr>
            <w:tcW w:w="900" w:type="dxa"/>
            <w:vMerge w:val="restart"/>
            <w:shd w:val="clear" w:color="auto" w:fill="FFFFFF"/>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即时办结</w:t>
            </w:r>
          </w:p>
        </w:tc>
        <w:tc>
          <w:tcPr>
            <w:tcW w:w="900" w:type="dxa"/>
            <w:vMerge w:val="restart"/>
            <w:shd w:val="clear" w:color="auto" w:fill="FFFFFF"/>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是</w:t>
            </w:r>
          </w:p>
        </w:tc>
        <w:tc>
          <w:tcPr>
            <w:tcW w:w="1080" w:type="dxa"/>
            <w:vMerge w:val="restart"/>
            <w:shd w:val="clear" w:color="auto" w:fill="FFFFFF"/>
            <w:vAlign w:val="center"/>
          </w:tcPr>
          <w:p w:rsidR="00013EC7" w:rsidRDefault="00575CDB">
            <w:pPr>
              <w:widowControl/>
              <w:jc w:val="left"/>
              <w:textAlignment w:val="center"/>
              <w:rPr>
                <w:rFonts w:ascii="仿宋" w:eastAsia="仿宋" w:hAnsi="仿宋" w:cs="仿宋"/>
                <w:color w:val="000000"/>
                <w:kern w:val="0"/>
                <w:sz w:val="24"/>
              </w:rPr>
            </w:pPr>
            <w:r>
              <w:rPr>
                <w:rFonts w:ascii="仿宋" w:eastAsia="仿宋" w:hAnsi="仿宋" w:cs="仿宋" w:hint="eastAsia"/>
                <w:color w:val="000000"/>
                <w:kern w:val="0"/>
                <w:sz w:val="24"/>
              </w:rPr>
              <w:t>货物和劳务税处（增值税发票）、</w:t>
            </w:r>
            <w:r>
              <w:rPr>
                <w:rFonts w:ascii="仿宋" w:eastAsia="仿宋" w:hAnsi="仿宋" w:cs="仿宋" w:hint="eastAsia"/>
                <w:color w:val="000000"/>
                <w:kern w:val="0"/>
                <w:sz w:val="24"/>
              </w:rPr>
              <w:br/>
              <w:t>征管科技处（通用机打发票）</w:t>
            </w:r>
          </w:p>
        </w:tc>
        <w:tc>
          <w:tcPr>
            <w:tcW w:w="1838" w:type="dxa"/>
            <w:vMerge w:val="restart"/>
            <w:shd w:val="clear" w:color="auto" w:fill="FFFFFF"/>
            <w:vAlign w:val="center"/>
          </w:tcPr>
          <w:p w:rsidR="00013EC7" w:rsidRDefault="00013EC7">
            <w:pPr>
              <w:widowControl/>
              <w:jc w:val="left"/>
              <w:textAlignment w:val="center"/>
              <w:rPr>
                <w:rFonts w:ascii="仿宋" w:eastAsia="仿宋" w:hAnsi="仿宋" w:cs="仿宋"/>
                <w:color w:val="000000"/>
                <w:kern w:val="0"/>
                <w:sz w:val="24"/>
              </w:rPr>
            </w:pPr>
          </w:p>
        </w:tc>
      </w:tr>
      <w:tr w:rsidR="00013EC7">
        <w:trPr>
          <w:trHeight w:val="3048"/>
          <w:jc w:val="center"/>
        </w:trPr>
        <w:tc>
          <w:tcPr>
            <w:tcW w:w="1250" w:type="dxa"/>
            <w:vMerge/>
            <w:shd w:val="clear" w:color="auto" w:fill="FFFFFF"/>
            <w:vAlign w:val="center"/>
          </w:tcPr>
          <w:p w:rsidR="00013EC7" w:rsidRDefault="00013EC7">
            <w:pPr>
              <w:jc w:val="left"/>
              <w:rPr>
                <w:rFonts w:ascii="仿宋" w:eastAsia="仿宋" w:hAnsi="仿宋" w:cs="仿宋"/>
                <w:sz w:val="24"/>
              </w:rPr>
            </w:pPr>
          </w:p>
        </w:tc>
        <w:tc>
          <w:tcPr>
            <w:tcW w:w="1198" w:type="dxa"/>
            <w:vMerge/>
            <w:shd w:val="clear" w:color="auto" w:fill="FFFFFF"/>
            <w:vAlign w:val="center"/>
          </w:tcPr>
          <w:p w:rsidR="00013EC7" w:rsidRDefault="00013EC7">
            <w:pPr>
              <w:jc w:val="left"/>
              <w:rPr>
                <w:rFonts w:ascii="仿宋" w:eastAsia="仿宋" w:hAnsi="仿宋" w:cs="仿宋"/>
                <w:sz w:val="24"/>
              </w:rPr>
            </w:pPr>
          </w:p>
        </w:tc>
        <w:tc>
          <w:tcPr>
            <w:tcW w:w="4457" w:type="dxa"/>
            <w:vMerge/>
            <w:shd w:val="clear" w:color="auto" w:fill="FFFFFF"/>
            <w:vAlign w:val="center"/>
          </w:tcPr>
          <w:p w:rsidR="00013EC7" w:rsidRDefault="00013EC7">
            <w:pPr>
              <w:jc w:val="left"/>
              <w:rPr>
                <w:rFonts w:ascii="仿宋" w:eastAsia="仿宋" w:hAnsi="仿宋" w:cs="仿宋"/>
                <w:sz w:val="24"/>
              </w:rPr>
            </w:pPr>
          </w:p>
        </w:tc>
        <w:tc>
          <w:tcPr>
            <w:tcW w:w="2207" w:type="dxa"/>
            <w:tcBorders>
              <w:top w:val="single" w:sz="4" w:space="0" w:color="auto"/>
            </w:tcBorders>
            <w:shd w:val="clear" w:color="auto" w:fill="FFFFFF"/>
            <w:vAlign w:val="center"/>
          </w:tcPr>
          <w:p w:rsidR="00013EC7" w:rsidRDefault="00575CDB">
            <w:pPr>
              <w:widowControl/>
              <w:jc w:val="left"/>
              <w:textAlignment w:val="center"/>
              <w:rPr>
                <w:rFonts w:ascii="仿宋" w:eastAsia="仿宋" w:hAnsi="仿宋" w:cs="仿宋"/>
                <w:color w:val="000000"/>
                <w:kern w:val="0"/>
                <w:sz w:val="24"/>
              </w:rPr>
            </w:pPr>
            <w:r>
              <w:rPr>
                <w:rFonts w:ascii="仿宋" w:eastAsia="仿宋" w:hAnsi="仿宋" w:cs="仿宋" w:hint="eastAsia"/>
                <w:color w:val="000000"/>
                <w:kern w:val="0"/>
                <w:sz w:val="24"/>
              </w:rPr>
              <w:t>（二）需上传发票电子开具信息、下载开具发票电子解锁文件的，应提供存储介质。</w:t>
            </w:r>
          </w:p>
        </w:tc>
        <w:tc>
          <w:tcPr>
            <w:tcW w:w="1029" w:type="dxa"/>
            <w:vMerge/>
            <w:shd w:val="clear" w:color="auto" w:fill="FFFFFF"/>
            <w:vAlign w:val="center"/>
          </w:tcPr>
          <w:p w:rsidR="00013EC7" w:rsidRDefault="00013EC7">
            <w:pPr>
              <w:jc w:val="left"/>
              <w:rPr>
                <w:rFonts w:ascii="仿宋" w:eastAsia="仿宋" w:hAnsi="仿宋" w:cs="仿宋"/>
                <w:sz w:val="24"/>
              </w:rPr>
            </w:pPr>
          </w:p>
        </w:tc>
        <w:tc>
          <w:tcPr>
            <w:tcW w:w="2293" w:type="dxa"/>
            <w:shd w:val="clear" w:color="auto" w:fill="FFFFFF"/>
            <w:vAlign w:val="center"/>
          </w:tcPr>
          <w:p w:rsidR="00013EC7" w:rsidRDefault="00575CDB">
            <w:pPr>
              <w:widowControl/>
              <w:jc w:val="left"/>
              <w:textAlignment w:val="center"/>
              <w:rPr>
                <w:rFonts w:ascii="仿宋" w:eastAsia="仿宋" w:hAnsi="仿宋" w:cs="仿宋"/>
                <w:color w:val="000000"/>
                <w:kern w:val="0"/>
                <w:sz w:val="24"/>
              </w:rPr>
            </w:pPr>
            <w:r>
              <w:rPr>
                <w:rFonts w:ascii="仿宋" w:eastAsia="仿宋" w:hAnsi="仿宋" w:cs="仿宋" w:hint="eastAsia"/>
                <w:color w:val="000000"/>
                <w:kern w:val="0"/>
                <w:sz w:val="24"/>
              </w:rPr>
              <w:t>（一）需上传发票电子开具信息、下载开具发票电子解锁文件的，应提供存储介质。</w:t>
            </w:r>
          </w:p>
        </w:tc>
        <w:tc>
          <w:tcPr>
            <w:tcW w:w="1007" w:type="dxa"/>
            <w:vMerge w:val="restart"/>
            <w:shd w:val="clear" w:color="auto" w:fill="FFFFFF"/>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纳税人提交</w:t>
            </w:r>
          </w:p>
        </w:tc>
        <w:tc>
          <w:tcPr>
            <w:tcW w:w="1929" w:type="dxa"/>
            <w:vMerge w:val="restart"/>
            <w:shd w:val="clear" w:color="auto" w:fill="FFFFFF"/>
            <w:vAlign w:val="center"/>
          </w:tcPr>
          <w:p w:rsidR="00013EC7" w:rsidRDefault="00575CDB">
            <w:pPr>
              <w:widowControl/>
              <w:jc w:val="left"/>
              <w:textAlignment w:val="center"/>
              <w:rPr>
                <w:rFonts w:ascii="仿宋" w:eastAsia="仿宋" w:hAnsi="仿宋" w:cs="仿宋"/>
                <w:color w:val="000000"/>
                <w:kern w:val="0"/>
                <w:sz w:val="24"/>
              </w:rPr>
            </w:pPr>
            <w:r>
              <w:rPr>
                <w:rFonts w:ascii="仿宋" w:eastAsia="仿宋" w:hAnsi="仿宋" w:cs="仿宋" w:hint="eastAsia"/>
                <w:b/>
                <w:bCs/>
                <w:color w:val="000000"/>
                <w:kern w:val="0"/>
                <w:sz w:val="24"/>
              </w:rPr>
              <w:t>现场办理：</w:t>
            </w:r>
            <w:r>
              <w:rPr>
                <w:rFonts w:ascii="仿宋" w:eastAsia="仿宋" w:hAnsi="仿宋" w:cs="仿宋" w:hint="eastAsia"/>
                <w:color w:val="000000"/>
                <w:kern w:val="0"/>
                <w:sz w:val="24"/>
              </w:rPr>
              <w:t>纳税人提交书面材料。</w:t>
            </w:r>
          </w:p>
          <w:p w:rsidR="00013EC7" w:rsidRDefault="00575CDB">
            <w:pPr>
              <w:widowControl/>
              <w:jc w:val="left"/>
              <w:textAlignment w:val="center"/>
              <w:rPr>
                <w:rFonts w:ascii="仿宋" w:eastAsia="仿宋" w:hAnsi="仿宋" w:cs="仿宋"/>
                <w:sz w:val="24"/>
              </w:rPr>
            </w:pPr>
            <w:r>
              <w:rPr>
                <w:rFonts w:ascii="仿宋" w:eastAsia="仿宋" w:hAnsi="仿宋" w:cs="仿宋" w:hint="eastAsia"/>
                <w:b/>
                <w:bCs/>
                <w:color w:val="000000"/>
                <w:kern w:val="0"/>
                <w:sz w:val="24"/>
              </w:rPr>
              <w:t>网上办理：</w:t>
            </w:r>
            <w:r>
              <w:rPr>
                <w:rFonts w:ascii="仿宋" w:eastAsia="仿宋" w:hAnsi="仿宋" w:cs="仿宋" w:hint="eastAsia"/>
                <w:color w:val="000000"/>
                <w:kern w:val="0"/>
                <w:sz w:val="24"/>
              </w:rPr>
              <w:t>登录浙江国税电子税务局（网址：http://etax.zjtax.gov.cn/）提交申请。</w:t>
            </w:r>
            <w:r>
              <w:rPr>
                <w:rFonts w:ascii="仿宋" w:eastAsia="仿宋" w:hAnsi="仿宋" w:cs="仿宋" w:hint="eastAsia"/>
                <w:color w:val="000000"/>
                <w:kern w:val="0"/>
                <w:sz w:val="24"/>
              </w:rPr>
              <w:br/>
            </w:r>
            <w:r>
              <w:rPr>
                <w:rFonts w:ascii="仿宋" w:eastAsia="仿宋" w:hAnsi="仿宋" w:cs="仿宋" w:hint="eastAsia"/>
                <w:b/>
                <w:bCs/>
                <w:color w:val="000000"/>
                <w:kern w:val="0"/>
                <w:sz w:val="24"/>
              </w:rPr>
              <w:t>APP办理：</w:t>
            </w:r>
            <w:r>
              <w:rPr>
                <w:rFonts w:ascii="仿宋" w:eastAsia="仿宋" w:hAnsi="仿宋" w:cs="仿宋" w:hint="eastAsia"/>
                <w:color w:val="000000"/>
                <w:kern w:val="0"/>
                <w:sz w:val="24"/>
              </w:rPr>
              <w:t>登录浙江国税APP提交申请。</w:t>
            </w:r>
          </w:p>
        </w:tc>
        <w:tc>
          <w:tcPr>
            <w:tcW w:w="900" w:type="dxa"/>
            <w:vMerge/>
            <w:shd w:val="clear" w:color="auto" w:fill="FFFFFF"/>
            <w:vAlign w:val="center"/>
          </w:tcPr>
          <w:p w:rsidR="00013EC7" w:rsidRDefault="00013EC7">
            <w:pPr>
              <w:jc w:val="left"/>
              <w:rPr>
                <w:rFonts w:ascii="仿宋" w:eastAsia="仿宋" w:hAnsi="仿宋" w:cs="仿宋"/>
                <w:sz w:val="24"/>
              </w:rPr>
            </w:pPr>
          </w:p>
        </w:tc>
        <w:tc>
          <w:tcPr>
            <w:tcW w:w="900" w:type="dxa"/>
            <w:vMerge/>
            <w:shd w:val="clear" w:color="auto" w:fill="FFFFFF"/>
            <w:vAlign w:val="center"/>
          </w:tcPr>
          <w:p w:rsidR="00013EC7" w:rsidRDefault="00013EC7">
            <w:pPr>
              <w:jc w:val="left"/>
              <w:rPr>
                <w:rFonts w:ascii="仿宋" w:eastAsia="仿宋" w:hAnsi="仿宋" w:cs="仿宋"/>
                <w:sz w:val="24"/>
              </w:rPr>
            </w:pPr>
          </w:p>
        </w:tc>
        <w:tc>
          <w:tcPr>
            <w:tcW w:w="900" w:type="dxa"/>
            <w:vMerge/>
            <w:shd w:val="clear" w:color="auto" w:fill="FFFFFF"/>
            <w:vAlign w:val="center"/>
          </w:tcPr>
          <w:p w:rsidR="00013EC7" w:rsidRDefault="00013EC7">
            <w:pPr>
              <w:jc w:val="left"/>
              <w:rPr>
                <w:rFonts w:ascii="仿宋" w:eastAsia="仿宋" w:hAnsi="仿宋" w:cs="仿宋"/>
                <w:sz w:val="24"/>
              </w:rPr>
            </w:pPr>
          </w:p>
        </w:tc>
        <w:tc>
          <w:tcPr>
            <w:tcW w:w="1080" w:type="dxa"/>
            <w:vMerge/>
            <w:shd w:val="clear" w:color="auto" w:fill="FFFFFF"/>
            <w:vAlign w:val="center"/>
          </w:tcPr>
          <w:p w:rsidR="00013EC7" w:rsidRDefault="00013EC7">
            <w:pPr>
              <w:jc w:val="left"/>
              <w:rPr>
                <w:rFonts w:ascii="仿宋" w:eastAsia="仿宋" w:hAnsi="仿宋" w:cs="仿宋"/>
                <w:sz w:val="24"/>
              </w:rPr>
            </w:pPr>
          </w:p>
        </w:tc>
        <w:tc>
          <w:tcPr>
            <w:tcW w:w="1838" w:type="dxa"/>
            <w:vMerge/>
            <w:shd w:val="clear" w:color="auto" w:fill="FFFFFF"/>
            <w:vAlign w:val="center"/>
          </w:tcPr>
          <w:p w:rsidR="00013EC7" w:rsidRDefault="00013EC7">
            <w:pPr>
              <w:jc w:val="left"/>
              <w:rPr>
                <w:rFonts w:ascii="仿宋" w:eastAsia="仿宋" w:hAnsi="仿宋" w:cs="仿宋"/>
                <w:sz w:val="24"/>
              </w:rPr>
            </w:pPr>
          </w:p>
        </w:tc>
      </w:tr>
      <w:tr w:rsidR="00013EC7">
        <w:trPr>
          <w:trHeight w:val="340"/>
          <w:jc w:val="center"/>
        </w:trPr>
        <w:tc>
          <w:tcPr>
            <w:tcW w:w="1250" w:type="dxa"/>
            <w:vMerge/>
            <w:shd w:val="clear" w:color="auto" w:fill="FFFFFF"/>
            <w:vAlign w:val="center"/>
          </w:tcPr>
          <w:p w:rsidR="00013EC7" w:rsidRDefault="00013EC7">
            <w:pPr>
              <w:jc w:val="left"/>
              <w:rPr>
                <w:rFonts w:ascii="仿宋" w:eastAsia="仿宋" w:hAnsi="仿宋" w:cs="仿宋"/>
                <w:sz w:val="24"/>
              </w:rPr>
            </w:pPr>
          </w:p>
        </w:tc>
        <w:tc>
          <w:tcPr>
            <w:tcW w:w="1198" w:type="dxa"/>
            <w:vMerge/>
            <w:shd w:val="clear" w:color="auto" w:fill="FFFFFF"/>
            <w:vAlign w:val="center"/>
          </w:tcPr>
          <w:p w:rsidR="00013EC7" w:rsidRDefault="00013EC7">
            <w:pPr>
              <w:jc w:val="left"/>
              <w:rPr>
                <w:rFonts w:ascii="仿宋" w:eastAsia="仿宋" w:hAnsi="仿宋" w:cs="仿宋"/>
                <w:sz w:val="24"/>
              </w:rPr>
            </w:pPr>
          </w:p>
        </w:tc>
        <w:tc>
          <w:tcPr>
            <w:tcW w:w="4457" w:type="dxa"/>
            <w:vMerge/>
            <w:shd w:val="clear" w:color="auto" w:fill="FFFFFF"/>
            <w:vAlign w:val="center"/>
          </w:tcPr>
          <w:p w:rsidR="00013EC7" w:rsidRDefault="00013EC7">
            <w:pPr>
              <w:jc w:val="left"/>
              <w:rPr>
                <w:rFonts w:ascii="仿宋" w:eastAsia="仿宋" w:hAnsi="仿宋" w:cs="仿宋"/>
                <w:sz w:val="24"/>
              </w:rPr>
            </w:pPr>
          </w:p>
        </w:tc>
        <w:tc>
          <w:tcPr>
            <w:tcW w:w="2207" w:type="dxa"/>
            <w:shd w:val="clear" w:color="auto" w:fill="FFFFFF"/>
            <w:vAlign w:val="center"/>
          </w:tcPr>
          <w:p w:rsidR="00013EC7" w:rsidRDefault="00575CDB">
            <w:pPr>
              <w:widowControl/>
              <w:jc w:val="left"/>
              <w:textAlignment w:val="center"/>
              <w:rPr>
                <w:rFonts w:ascii="仿宋" w:eastAsia="仿宋" w:hAnsi="仿宋" w:cs="仿宋"/>
                <w:color w:val="000000"/>
                <w:kern w:val="0"/>
                <w:sz w:val="24"/>
              </w:rPr>
            </w:pPr>
            <w:r>
              <w:rPr>
                <w:rFonts w:ascii="仿宋" w:eastAsia="仿宋" w:hAnsi="仿宋" w:cs="仿宋" w:hint="eastAsia"/>
                <w:color w:val="000000"/>
                <w:kern w:val="0"/>
                <w:sz w:val="24"/>
              </w:rPr>
              <w:t>（三）已开具发票存根联、作废发票全部联次、红字发票及对应的蓝字发票或取得对方有效证明。</w:t>
            </w:r>
          </w:p>
        </w:tc>
        <w:tc>
          <w:tcPr>
            <w:tcW w:w="1029" w:type="dxa"/>
            <w:vMerge/>
            <w:shd w:val="clear" w:color="auto" w:fill="FFFFFF"/>
            <w:vAlign w:val="center"/>
          </w:tcPr>
          <w:p w:rsidR="00013EC7" w:rsidRDefault="00013EC7">
            <w:pPr>
              <w:jc w:val="left"/>
              <w:rPr>
                <w:rFonts w:ascii="仿宋" w:eastAsia="仿宋" w:hAnsi="仿宋" w:cs="仿宋"/>
                <w:sz w:val="24"/>
              </w:rPr>
            </w:pPr>
          </w:p>
        </w:tc>
        <w:tc>
          <w:tcPr>
            <w:tcW w:w="2293" w:type="dxa"/>
            <w:shd w:val="clear" w:color="auto" w:fill="FFFFFF"/>
            <w:vAlign w:val="center"/>
          </w:tcPr>
          <w:p w:rsidR="00013EC7" w:rsidRDefault="00575CDB">
            <w:pPr>
              <w:widowControl/>
              <w:jc w:val="left"/>
              <w:textAlignment w:val="center"/>
              <w:rPr>
                <w:rFonts w:ascii="仿宋" w:eastAsia="仿宋" w:hAnsi="仿宋" w:cs="仿宋"/>
                <w:color w:val="000000"/>
                <w:kern w:val="0"/>
                <w:sz w:val="24"/>
              </w:rPr>
            </w:pPr>
            <w:r>
              <w:rPr>
                <w:rFonts w:ascii="仿宋" w:eastAsia="仿宋" w:hAnsi="仿宋" w:cs="仿宋" w:hint="eastAsia"/>
                <w:color w:val="000000"/>
                <w:kern w:val="0"/>
                <w:sz w:val="24"/>
              </w:rPr>
              <w:t>（二）已开具发票存根联、作废发票全部联次、红字发票及对应的蓝字发票或取得对方有效证明。</w:t>
            </w:r>
          </w:p>
        </w:tc>
        <w:tc>
          <w:tcPr>
            <w:tcW w:w="1007" w:type="dxa"/>
            <w:vMerge/>
            <w:shd w:val="clear" w:color="auto" w:fill="FFFFFF"/>
            <w:vAlign w:val="center"/>
          </w:tcPr>
          <w:p w:rsidR="00013EC7" w:rsidRDefault="00013EC7">
            <w:pPr>
              <w:jc w:val="left"/>
              <w:rPr>
                <w:rFonts w:ascii="仿宋" w:eastAsia="仿宋" w:hAnsi="仿宋" w:cs="仿宋"/>
                <w:sz w:val="24"/>
              </w:rPr>
            </w:pPr>
          </w:p>
        </w:tc>
        <w:tc>
          <w:tcPr>
            <w:tcW w:w="1929" w:type="dxa"/>
            <w:vMerge/>
            <w:shd w:val="clear" w:color="auto" w:fill="FFFFFF"/>
            <w:vAlign w:val="center"/>
          </w:tcPr>
          <w:p w:rsidR="00013EC7" w:rsidRDefault="00013EC7">
            <w:pPr>
              <w:jc w:val="left"/>
              <w:rPr>
                <w:rFonts w:ascii="仿宋" w:eastAsia="仿宋" w:hAnsi="仿宋" w:cs="仿宋"/>
                <w:sz w:val="24"/>
              </w:rPr>
            </w:pPr>
          </w:p>
        </w:tc>
        <w:tc>
          <w:tcPr>
            <w:tcW w:w="900" w:type="dxa"/>
            <w:vMerge/>
            <w:shd w:val="clear" w:color="auto" w:fill="FFFFFF"/>
            <w:vAlign w:val="center"/>
          </w:tcPr>
          <w:p w:rsidR="00013EC7" w:rsidRDefault="00013EC7">
            <w:pPr>
              <w:jc w:val="left"/>
              <w:rPr>
                <w:rFonts w:ascii="仿宋" w:eastAsia="仿宋" w:hAnsi="仿宋" w:cs="仿宋"/>
                <w:sz w:val="24"/>
              </w:rPr>
            </w:pPr>
          </w:p>
        </w:tc>
        <w:tc>
          <w:tcPr>
            <w:tcW w:w="900" w:type="dxa"/>
            <w:vMerge/>
            <w:shd w:val="clear" w:color="auto" w:fill="FFFFFF"/>
            <w:vAlign w:val="center"/>
          </w:tcPr>
          <w:p w:rsidR="00013EC7" w:rsidRDefault="00013EC7">
            <w:pPr>
              <w:jc w:val="left"/>
              <w:rPr>
                <w:rFonts w:ascii="仿宋" w:eastAsia="仿宋" w:hAnsi="仿宋" w:cs="仿宋"/>
                <w:sz w:val="24"/>
              </w:rPr>
            </w:pPr>
          </w:p>
        </w:tc>
        <w:tc>
          <w:tcPr>
            <w:tcW w:w="900" w:type="dxa"/>
            <w:vMerge/>
            <w:shd w:val="clear" w:color="auto" w:fill="FFFFFF"/>
            <w:vAlign w:val="center"/>
          </w:tcPr>
          <w:p w:rsidR="00013EC7" w:rsidRDefault="00013EC7">
            <w:pPr>
              <w:jc w:val="left"/>
              <w:rPr>
                <w:rFonts w:ascii="仿宋" w:eastAsia="仿宋" w:hAnsi="仿宋" w:cs="仿宋"/>
                <w:sz w:val="24"/>
              </w:rPr>
            </w:pPr>
          </w:p>
        </w:tc>
        <w:tc>
          <w:tcPr>
            <w:tcW w:w="1080" w:type="dxa"/>
            <w:vMerge/>
            <w:shd w:val="clear" w:color="auto" w:fill="FFFFFF"/>
            <w:vAlign w:val="center"/>
          </w:tcPr>
          <w:p w:rsidR="00013EC7" w:rsidRDefault="00013EC7">
            <w:pPr>
              <w:jc w:val="left"/>
              <w:rPr>
                <w:rFonts w:ascii="仿宋" w:eastAsia="仿宋" w:hAnsi="仿宋" w:cs="仿宋"/>
                <w:sz w:val="24"/>
              </w:rPr>
            </w:pPr>
          </w:p>
        </w:tc>
        <w:tc>
          <w:tcPr>
            <w:tcW w:w="1838" w:type="dxa"/>
            <w:vMerge/>
            <w:shd w:val="clear" w:color="auto" w:fill="FFFFFF"/>
            <w:vAlign w:val="center"/>
          </w:tcPr>
          <w:p w:rsidR="00013EC7" w:rsidRDefault="00013EC7">
            <w:pPr>
              <w:jc w:val="left"/>
              <w:rPr>
                <w:rFonts w:ascii="仿宋" w:eastAsia="仿宋" w:hAnsi="仿宋" w:cs="仿宋"/>
                <w:sz w:val="24"/>
              </w:rPr>
            </w:pPr>
          </w:p>
        </w:tc>
      </w:tr>
    </w:tbl>
    <w:p w:rsidR="00013EC7" w:rsidRDefault="00013EC7">
      <w:pPr>
        <w:rPr>
          <w:rFonts w:eastAsia="方正书宋简体"/>
          <w:szCs w:val="21"/>
        </w:rPr>
      </w:pPr>
    </w:p>
    <w:p w:rsidR="00013EC7" w:rsidRDefault="005262E6">
      <w:pPr>
        <w:pStyle w:val="1"/>
        <w:spacing w:before="0" w:after="0" w:line="240" w:lineRule="auto"/>
        <w:sectPr w:rsidR="00013EC7">
          <w:pgSz w:w="23814" w:h="16840" w:orient="landscape"/>
          <w:pgMar w:top="1701" w:right="1843" w:bottom="1985" w:left="1843" w:header="851" w:footer="1701" w:gutter="0"/>
          <w:pgNumType w:fmt="numberInDash"/>
          <w:cols w:space="720"/>
          <w:docGrid w:type="lines" w:linePitch="312"/>
        </w:sectPr>
      </w:pPr>
      <w:r>
        <w:lastRenderedPageBreak/>
        <w:object w:dxaOrig="1440" w:dyaOrig="1440">
          <v:shape id="对象 180" o:spid="_x0000_s1274" type="#_x0000_t75" alt="5928676981508729125595" style="position:absolute;left:0;text-align:left;margin-left:598.75pt;margin-top:88.9pt;width:405.5pt;height:588.95pt;z-index:251615232;mso-wrap-distance-top:0;mso-wrap-distance-bottom:0;mso-position-vertical-relative:page;mso-width-relative:page;mso-height-relative:page">
            <v:imagedata r:id="rId162" o:title="5928676981508729125595"/>
            <o:lock v:ext="edit" aspectratio="f"/>
            <w10:wrap type="topAndBottom" anchory="page"/>
          </v:shape>
          <o:OLEObject Type="Embed" ProgID="Visio.Drawing.11" ShapeID="对象 180" DrawAspect="Content" ObjectID="_1577296211" r:id="rId163"/>
        </w:object>
      </w:r>
      <w:r>
        <w:object w:dxaOrig="1440" w:dyaOrig="1440">
          <v:shape id="对象 181" o:spid="_x0000_s1275" type="#_x0000_t75" alt="2111217721508729125585" style="position:absolute;left:0;text-align:left;margin-left:-1.15pt;margin-top:53.2pt;width:497.65pt;height:683.55pt;z-index:251616256;mso-wrap-distance-top:0;mso-wrap-distance-bottom:0;mso-position-vertical-relative:page;mso-width-relative:page;mso-height-relative:page">
            <v:imagedata r:id="rId164" o:title="2111217721508729125585"/>
            <w10:wrap type="topAndBottom" anchory="page"/>
          </v:shape>
          <o:OLEObject Type="Embed" ProgID="Visio.Drawing.11" ShapeID="对象 181" DrawAspect="Content" ObjectID="_1577296212" r:id="rId165"/>
        </w:object>
      </w:r>
    </w:p>
    <w:p w:rsidR="00013EC7" w:rsidRDefault="00575CDB">
      <w:pPr>
        <w:pStyle w:val="2"/>
      </w:pPr>
      <w:bookmarkStart w:id="249" w:name="_Toc503467411"/>
      <w:bookmarkStart w:id="250" w:name="_Toc11142"/>
      <w:bookmarkStart w:id="251" w:name="_Toc30025"/>
      <w:bookmarkStart w:id="252" w:name="_Toc27687"/>
      <w:r>
        <w:rPr>
          <w:rFonts w:hint="eastAsia"/>
        </w:rPr>
        <w:lastRenderedPageBreak/>
        <w:t>14.2</w:t>
      </w:r>
      <w:r>
        <w:rPr>
          <w:rFonts w:hint="eastAsia"/>
        </w:rPr>
        <w:t>增值税专用发票存根联数据采集</w:t>
      </w:r>
      <w:bookmarkEnd w:id="249"/>
      <w:bookmarkEnd w:id="250"/>
      <w:bookmarkEnd w:id="251"/>
      <w:bookmarkEnd w:id="252"/>
    </w:p>
    <w:p w:rsidR="00013EC7" w:rsidRDefault="00575CDB">
      <w:pPr>
        <w:jc w:val="center"/>
      </w:pPr>
      <w:r>
        <w:rPr>
          <w:rFonts w:ascii="宋体" w:hAnsi="宋体" w:cs="宋体" w:hint="eastAsia"/>
          <w:b/>
          <w:bCs/>
          <w:sz w:val="52"/>
          <w:szCs w:val="52"/>
        </w:rPr>
        <w:t>全省“最多跑一次”事项“八统一”梳理表</w:t>
      </w:r>
    </w:p>
    <w:tbl>
      <w:tblPr>
        <w:tblW w:w="20704"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1250"/>
        <w:gridCol w:w="1316"/>
        <w:gridCol w:w="4604"/>
        <w:gridCol w:w="1200"/>
        <w:gridCol w:w="1329"/>
        <w:gridCol w:w="2186"/>
        <w:gridCol w:w="1264"/>
        <w:gridCol w:w="2351"/>
        <w:gridCol w:w="868"/>
        <w:gridCol w:w="871"/>
        <w:gridCol w:w="885"/>
        <w:gridCol w:w="1104"/>
        <w:gridCol w:w="1476"/>
      </w:tblGrid>
      <w:tr w:rsidR="00013EC7">
        <w:trPr>
          <w:trHeight w:val="340"/>
          <w:tblHeader/>
          <w:jc w:val="center"/>
        </w:trPr>
        <w:tc>
          <w:tcPr>
            <w:tcW w:w="1250"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主项名称</w:t>
            </w:r>
          </w:p>
        </w:tc>
        <w:tc>
          <w:tcPr>
            <w:tcW w:w="1316"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子项名称</w:t>
            </w:r>
          </w:p>
        </w:tc>
        <w:tc>
          <w:tcPr>
            <w:tcW w:w="4604"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经办依据</w:t>
            </w:r>
          </w:p>
        </w:tc>
        <w:tc>
          <w:tcPr>
            <w:tcW w:w="2529"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原经办所需材料</w:t>
            </w:r>
          </w:p>
        </w:tc>
        <w:tc>
          <w:tcPr>
            <w:tcW w:w="5801" w:type="dxa"/>
            <w:gridSpan w:val="3"/>
            <w:vAlign w:val="center"/>
          </w:tcPr>
          <w:p w:rsidR="00013EC7" w:rsidRDefault="00575CDB">
            <w:pPr>
              <w:spacing w:line="280" w:lineRule="exact"/>
              <w:jc w:val="center"/>
              <w:rPr>
                <w:rFonts w:ascii="黑体" w:eastAsia="黑体"/>
                <w:sz w:val="24"/>
              </w:rPr>
            </w:pPr>
            <w:r>
              <w:rPr>
                <w:rFonts w:ascii="黑体" w:eastAsia="黑体" w:hint="eastAsia"/>
                <w:sz w:val="24"/>
              </w:rPr>
              <w:t>梳理后经办所需材料</w:t>
            </w:r>
          </w:p>
        </w:tc>
        <w:tc>
          <w:tcPr>
            <w:tcW w:w="1739"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办理时限</w:t>
            </w:r>
          </w:p>
        </w:tc>
        <w:tc>
          <w:tcPr>
            <w:tcW w:w="885"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是否实现跑零次</w:t>
            </w:r>
          </w:p>
        </w:tc>
        <w:tc>
          <w:tcPr>
            <w:tcW w:w="1104"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省厅对口</w:t>
            </w:r>
          </w:p>
          <w:p w:rsidR="00013EC7" w:rsidRDefault="00575CDB">
            <w:pPr>
              <w:spacing w:line="280" w:lineRule="exact"/>
              <w:jc w:val="center"/>
              <w:rPr>
                <w:rFonts w:ascii="黑体" w:eastAsia="黑体"/>
                <w:sz w:val="24"/>
              </w:rPr>
            </w:pPr>
            <w:r>
              <w:rPr>
                <w:rFonts w:ascii="黑体" w:eastAsia="黑体" w:hint="eastAsia"/>
                <w:sz w:val="24"/>
              </w:rPr>
              <w:t>指导处室</w:t>
            </w:r>
          </w:p>
          <w:p w:rsidR="00013EC7" w:rsidRDefault="00575CDB">
            <w:pPr>
              <w:spacing w:line="280" w:lineRule="exact"/>
              <w:jc w:val="center"/>
              <w:rPr>
                <w:rFonts w:ascii="黑体" w:eastAsia="黑体"/>
                <w:sz w:val="24"/>
              </w:rPr>
            </w:pPr>
            <w:r>
              <w:rPr>
                <w:rFonts w:ascii="黑体" w:eastAsia="黑体" w:hint="eastAsia"/>
                <w:sz w:val="24"/>
              </w:rPr>
              <w:t>（单位）</w:t>
            </w:r>
          </w:p>
        </w:tc>
        <w:tc>
          <w:tcPr>
            <w:tcW w:w="1476"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进一步精简、</w:t>
            </w:r>
          </w:p>
          <w:p w:rsidR="00013EC7" w:rsidRDefault="00575CDB">
            <w:pPr>
              <w:spacing w:line="280" w:lineRule="exact"/>
              <w:jc w:val="center"/>
              <w:rPr>
                <w:rFonts w:ascii="黑体" w:eastAsia="黑体"/>
                <w:sz w:val="24"/>
              </w:rPr>
            </w:pPr>
            <w:r>
              <w:rPr>
                <w:rFonts w:ascii="黑体" w:eastAsia="黑体" w:hint="eastAsia"/>
                <w:sz w:val="24"/>
              </w:rPr>
              <w:t>规范建议</w:t>
            </w:r>
          </w:p>
        </w:tc>
      </w:tr>
      <w:tr w:rsidR="00013EC7">
        <w:trPr>
          <w:trHeight w:val="340"/>
          <w:tblHeader/>
          <w:jc w:val="center"/>
        </w:trPr>
        <w:tc>
          <w:tcPr>
            <w:tcW w:w="1250" w:type="dxa"/>
            <w:vMerge/>
            <w:vAlign w:val="center"/>
          </w:tcPr>
          <w:p w:rsidR="00013EC7" w:rsidRDefault="00013EC7">
            <w:pPr>
              <w:rPr>
                <w:sz w:val="24"/>
              </w:rPr>
            </w:pPr>
          </w:p>
        </w:tc>
        <w:tc>
          <w:tcPr>
            <w:tcW w:w="1316" w:type="dxa"/>
            <w:vMerge/>
          </w:tcPr>
          <w:p w:rsidR="00013EC7" w:rsidRDefault="00013EC7">
            <w:pPr>
              <w:rPr>
                <w:sz w:val="24"/>
              </w:rPr>
            </w:pPr>
          </w:p>
        </w:tc>
        <w:tc>
          <w:tcPr>
            <w:tcW w:w="4604" w:type="dxa"/>
            <w:vMerge/>
          </w:tcPr>
          <w:p w:rsidR="00013EC7" w:rsidRDefault="00013EC7">
            <w:pPr>
              <w:rPr>
                <w:sz w:val="24"/>
              </w:rPr>
            </w:pPr>
          </w:p>
        </w:tc>
        <w:tc>
          <w:tcPr>
            <w:tcW w:w="1200" w:type="dxa"/>
            <w:tcBorders>
              <w:bottom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329"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2186" w:type="dxa"/>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264"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2351" w:type="dxa"/>
            <w:vAlign w:val="center"/>
          </w:tcPr>
          <w:p w:rsidR="00013EC7" w:rsidRDefault="00575CDB">
            <w:pPr>
              <w:spacing w:line="280" w:lineRule="exact"/>
              <w:jc w:val="center"/>
              <w:rPr>
                <w:rFonts w:ascii="黑体" w:eastAsia="黑体"/>
                <w:sz w:val="24"/>
              </w:rPr>
            </w:pPr>
            <w:r>
              <w:rPr>
                <w:rFonts w:ascii="黑体" w:eastAsia="黑体" w:hint="eastAsia"/>
                <w:sz w:val="24"/>
              </w:rPr>
              <w:t>办理方式及材料</w:t>
            </w:r>
          </w:p>
          <w:p w:rsidR="00013EC7" w:rsidRDefault="00575CDB">
            <w:pPr>
              <w:spacing w:line="280" w:lineRule="exact"/>
              <w:jc w:val="center"/>
              <w:rPr>
                <w:rFonts w:ascii="黑体" w:eastAsia="黑体"/>
                <w:sz w:val="24"/>
              </w:rPr>
            </w:pPr>
            <w:r>
              <w:rPr>
                <w:rFonts w:ascii="黑体" w:eastAsia="黑体" w:hint="eastAsia"/>
                <w:sz w:val="24"/>
              </w:rPr>
              <w:t>信息获取方式说明</w:t>
            </w:r>
          </w:p>
        </w:tc>
        <w:tc>
          <w:tcPr>
            <w:tcW w:w="868" w:type="dxa"/>
            <w:vAlign w:val="center"/>
          </w:tcPr>
          <w:p w:rsidR="00013EC7" w:rsidRDefault="00575CDB">
            <w:pPr>
              <w:spacing w:line="280" w:lineRule="exact"/>
              <w:jc w:val="center"/>
              <w:rPr>
                <w:rFonts w:ascii="黑体" w:eastAsia="黑体"/>
                <w:sz w:val="24"/>
              </w:rPr>
            </w:pPr>
            <w:r>
              <w:rPr>
                <w:rFonts w:ascii="黑体" w:eastAsia="黑体" w:hint="eastAsia"/>
                <w:sz w:val="24"/>
              </w:rPr>
              <w:t>优化前</w:t>
            </w:r>
          </w:p>
        </w:tc>
        <w:tc>
          <w:tcPr>
            <w:tcW w:w="871" w:type="dxa"/>
            <w:vAlign w:val="center"/>
          </w:tcPr>
          <w:p w:rsidR="00013EC7" w:rsidRDefault="00575CDB">
            <w:pPr>
              <w:spacing w:line="280" w:lineRule="exact"/>
              <w:jc w:val="center"/>
              <w:rPr>
                <w:rFonts w:ascii="黑体" w:eastAsia="黑体"/>
                <w:sz w:val="24"/>
              </w:rPr>
            </w:pPr>
            <w:r>
              <w:rPr>
                <w:rFonts w:ascii="黑体" w:eastAsia="黑体" w:hint="eastAsia"/>
                <w:sz w:val="24"/>
              </w:rPr>
              <w:t>优化后</w:t>
            </w:r>
          </w:p>
        </w:tc>
        <w:tc>
          <w:tcPr>
            <w:tcW w:w="885" w:type="dxa"/>
            <w:vMerge/>
            <w:vAlign w:val="center"/>
          </w:tcPr>
          <w:p w:rsidR="00013EC7" w:rsidRDefault="00013EC7">
            <w:pPr>
              <w:rPr>
                <w:sz w:val="24"/>
              </w:rPr>
            </w:pPr>
          </w:p>
        </w:tc>
        <w:tc>
          <w:tcPr>
            <w:tcW w:w="1104" w:type="dxa"/>
            <w:vMerge/>
            <w:vAlign w:val="center"/>
          </w:tcPr>
          <w:p w:rsidR="00013EC7" w:rsidRDefault="00013EC7">
            <w:pPr>
              <w:rPr>
                <w:sz w:val="24"/>
              </w:rPr>
            </w:pPr>
          </w:p>
        </w:tc>
        <w:tc>
          <w:tcPr>
            <w:tcW w:w="1476" w:type="dxa"/>
            <w:vMerge/>
            <w:vAlign w:val="center"/>
          </w:tcPr>
          <w:p w:rsidR="00013EC7" w:rsidRDefault="00013EC7">
            <w:pPr>
              <w:rPr>
                <w:sz w:val="24"/>
              </w:rPr>
            </w:pPr>
          </w:p>
        </w:tc>
      </w:tr>
      <w:tr w:rsidR="00013EC7">
        <w:trPr>
          <w:trHeight w:val="1475"/>
          <w:jc w:val="center"/>
        </w:trPr>
        <w:tc>
          <w:tcPr>
            <w:tcW w:w="1250" w:type="dxa"/>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14发票验旧</w:t>
            </w:r>
          </w:p>
        </w:tc>
        <w:tc>
          <w:tcPr>
            <w:tcW w:w="1316" w:type="dxa"/>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14.2增值税专用发票存根联数据采集</w:t>
            </w:r>
          </w:p>
        </w:tc>
        <w:tc>
          <w:tcPr>
            <w:tcW w:w="4604" w:type="dxa"/>
            <w:vAlign w:val="center"/>
          </w:tcPr>
          <w:p w:rsidR="00013EC7" w:rsidRDefault="00575CDB">
            <w:pPr>
              <w:widowControl/>
              <w:jc w:val="left"/>
              <w:textAlignment w:val="center"/>
              <w:rPr>
                <w:rStyle w:val="font31"/>
                <w:rFonts w:ascii="仿宋" w:eastAsia="仿宋" w:hAnsi="仿宋" w:cs="仿宋" w:hint="default"/>
                <w:b w:val="0"/>
                <w:sz w:val="24"/>
              </w:rPr>
            </w:pPr>
            <w:r>
              <w:rPr>
                <w:rStyle w:val="font31"/>
                <w:rFonts w:ascii="仿宋" w:eastAsia="仿宋" w:hAnsi="仿宋" w:cs="仿宋" w:hint="default"/>
                <w:b w:val="0"/>
                <w:sz w:val="24"/>
              </w:rPr>
              <w:t>（一）《中华人民共和国发票管理办法》（2010年中华人民共和国国务院令第587号）第二十三条。</w:t>
            </w:r>
          </w:p>
          <w:p w:rsidR="00013EC7" w:rsidRDefault="00575CDB">
            <w:pPr>
              <w:widowControl/>
              <w:jc w:val="left"/>
              <w:textAlignment w:val="center"/>
              <w:rPr>
                <w:rStyle w:val="font31"/>
                <w:rFonts w:ascii="仿宋" w:eastAsia="仿宋" w:hAnsi="仿宋" w:cs="仿宋" w:hint="default"/>
                <w:b w:val="0"/>
                <w:sz w:val="24"/>
              </w:rPr>
            </w:pPr>
            <w:r>
              <w:rPr>
                <w:rStyle w:val="font31"/>
                <w:rFonts w:ascii="仿宋" w:eastAsia="仿宋" w:hAnsi="仿宋" w:cs="仿宋" w:hint="default"/>
                <w:b w:val="0"/>
                <w:sz w:val="24"/>
              </w:rPr>
              <w:t>（二）《国家税务总局关于修改〈中华人民共和国发票管理办法实施细则〉的决定》（2014年国家税务总局令第37号）第十七条。</w:t>
            </w:r>
          </w:p>
          <w:p w:rsidR="00013EC7" w:rsidRDefault="00575CDB">
            <w:pPr>
              <w:widowControl/>
              <w:jc w:val="left"/>
              <w:textAlignment w:val="center"/>
              <w:rPr>
                <w:rStyle w:val="font31"/>
                <w:rFonts w:ascii="仿宋" w:eastAsia="仿宋" w:hAnsi="仿宋" w:cs="仿宋" w:hint="default"/>
                <w:b w:val="0"/>
                <w:sz w:val="24"/>
              </w:rPr>
            </w:pPr>
            <w:r>
              <w:rPr>
                <w:rStyle w:val="font31"/>
                <w:rFonts w:ascii="仿宋" w:eastAsia="仿宋" w:hAnsi="仿宋" w:cs="仿宋" w:hint="default"/>
                <w:b w:val="0"/>
                <w:sz w:val="24"/>
              </w:rPr>
              <w:t xml:space="preserve">（三）《国家税务总局关于重新修订〈增值税专用发票数据采集管理规定〉的通知》（国税发〔2003〕97号）全文。 </w:t>
            </w:r>
          </w:p>
          <w:p w:rsidR="00013EC7" w:rsidRDefault="00575CDB">
            <w:pPr>
              <w:widowControl/>
              <w:jc w:val="left"/>
              <w:textAlignment w:val="center"/>
              <w:rPr>
                <w:rStyle w:val="font31"/>
                <w:rFonts w:ascii="仿宋" w:eastAsia="仿宋" w:hAnsi="仿宋" w:cs="仿宋" w:hint="default"/>
                <w:b w:val="0"/>
                <w:sz w:val="24"/>
              </w:rPr>
            </w:pPr>
            <w:r>
              <w:rPr>
                <w:rStyle w:val="font31"/>
                <w:rFonts w:ascii="仿宋" w:eastAsia="仿宋" w:hAnsi="仿宋" w:cs="仿宋" w:hint="default"/>
                <w:b w:val="0"/>
                <w:sz w:val="24"/>
              </w:rPr>
              <w:t xml:space="preserve">（四）《国家税务总局关于修订《增值税专用发票使用规定》的通知》（国税发〔2006〕156号）第二十一条。 </w:t>
            </w:r>
          </w:p>
          <w:p w:rsidR="00013EC7" w:rsidRDefault="00575CDB">
            <w:pPr>
              <w:widowControl/>
              <w:jc w:val="left"/>
              <w:textAlignment w:val="center"/>
              <w:rPr>
                <w:rStyle w:val="font31"/>
                <w:rFonts w:ascii="仿宋" w:eastAsia="仿宋" w:hAnsi="仿宋" w:cs="仿宋" w:hint="default"/>
                <w:b w:val="0"/>
                <w:sz w:val="24"/>
              </w:rPr>
            </w:pPr>
            <w:r>
              <w:rPr>
                <w:rStyle w:val="font31"/>
                <w:rFonts w:ascii="仿宋" w:eastAsia="仿宋" w:hAnsi="仿宋" w:cs="仿宋" w:hint="default"/>
                <w:b w:val="0"/>
                <w:sz w:val="24"/>
              </w:rPr>
              <w:t xml:space="preserve">（五）《国家税务总局关于增值税防伪税控系统汉字防伪项目试运行有关问题的通知》（国税发〔2011〕44号）第一条。 </w:t>
            </w:r>
          </w:p>
          <w:p w:rsidR="00013EC7" w:rsidRDefault="00575CDB">
            <w:pPr>
              <w:widowControl/>
              <w:jc w:val="left"/>
              <w:textAlignment w:val="center"/>
              <w:rPr>
                <w:rStyle w:val="font31"/>
                <w:rFonts w:ascii="仿宋" w:eastAsia="仿宋" w:hAnsi="仿宋" w:cs="仿宋" w:hint="default"/>
                <w:b w:val="0"/>
                <w:sz w:val="24"/>
              </w:rPr>
            </w:pPr>
            <w:r>
              <w:rPr>
                <w:rStyle w:val="font31"/>
                <w:rFonts w:ascii="仿宋" w:eastAsia="仿宋" w:hAnsi="仿宋" w:cs="仿宋" w:hint="default"/>
                <w:b w:val="0"/>
                <w:sz w:val="24"/>
              </w:rPr>
              <w:t>（六）《国家税务总局关于加强机动车辆税收管理有关问题的通知》（国税发〔2005〕79号）第二条第二款。</w:t>
            </w:r>
          </w:p>
          <w:p w:rsidR="00013EC7" w:rsidRDefault="00575CDB">
            <w:pPr>
              <w:widowControl/>
              <w:jc w:val="left"/>
              <w:textAlignment w:val="center"/>
              <w:rPr>
                <w:rStyle w:val="font31"/>
                <w:rFonts w:ascii="仿宋" w:eastAsia="仿宋" w:hAnsi="仿宋" w:cs="仿宋" w:hint="default"/>
                <w:b w:val="0"/>
                <w:sz w:val="24"/>
              </w:rPr>
            </w:pPr>
            <w:r>
              <w:rPr>
                <w:rStyle w:val="font31"/>
                <w:rFonts w:ascii="仿宋" w:eastAsia="仿宋" w:hAnsi="仿宋" w:cs="仿宋" w:hint="default"/>
                <w:b w:val="0"/>
                <w:sz w:val="24"/>
              </w:rPr>
              <w:t>（七）《国家税务总局关于推行机动车销售统一发票稽核系统的通知》（国税函〔2009〕54号）全文。</w:t>
            </w:r>
          </w:p>
          <w:p w:rsidR="00013EC7" w:rsidRDefault="00575CDB">
            <w:pPr>
              <w:widowControl/>
              <w:jc w:val="left"/>
              <w:textAlignment w:val="center"/>
              <w:rPr>
                <w:rStyle w:val="font31"/>
                <w:rFonts w:ascii="仿宋" w:eastAsia="仿宋" w:hAnsi="仿宋" w:cs="仿宋" w:hint="default"/>
                <w:b w:val="0"/>
                <w:sz w:val="24"/>
              </w:rPr>
            </w:pPr>
            <w:r>
              <w:rPr>
                <w:rStyle w:val="font31"/>
                <w:rFonts w:ascii="仿宋" w:eastAsia="仿宋" w:hAnsi="仿宋" w:cs="仿宋" w:hint="default"/>
                <w:b w:val="0"/>
                <w:sz w:val="24"/>
              </w:rPr>
              <w:t>（八）《国家税务总局关于全面推行增值税发票系统升级版有关问题的公告》（国家税务总局公告2015年第19号）第三条。</w:t>
            </w:r>
          </w:p>
          <w:p w:rsidR="00013EC7" w:rsidRDefault="00575CDB">
            <w:pPr>
              <w:widowControl/>
              <w:jc w:val="left"/>
              <w:textAlignment w:val="center"/>
              <w:rPr>
                <w:rStyle w:val="font31"/>
                <w:rFonts w:ascii="仿宋" w:eastAsia="仿宋" w:hAnsi="仿宋" w:cs="仿宋" w:hint="default"/>
                <w:sz w:val="24"/>
              </w:rPr>
            </w:pPr>
            <w:r>
              <w:rPr>
                <w:rStyle w:val="font31"/>
                <w:rFonts w:ascii="仿宋" w:eastAsia="仿宋" w:hAnsi="仿宋" w:cs="仿宋" w:hint="default"/>
                <w:b w:val="0"/>
                <w:sz w:val="24"/>
              </w:rPr>
              <w:t>（九）《国家税务总局关于停止使用货物运输业增值税专用发票有关问题的公告》（国家税务总局公告2015年第99号）全文。</w:t>
            </w:r>
          </w:p>
        </w:tc>
        <w:tc>
          <w:tcPr>
            <w:tcW w:w="1200" w:type="dxa"/>
            <w:tcBorders>
              <w:top w:val="single" w:sz="4" w:space="0" w:color="auto"/>
              <w:bottom w:val="single" w:sz="4" w:space="0" w:color="auto"/>
            </w:tcBorders>
            <w:vAlign w:val="center"/>
          </w:tcPr>
          <w:p w:rsidR="00013EC7" w:rsidRDefault="00575CDB">
            <w:pPr>
              <w:widowControl/>
              <w:jc w:val="left"/>
              <w:textAlignment w:val="center"/>
              <w:rPr>
                <w:rFonts w:ascii="仿宋" w:eastAsia="仿宋" w:hAnsi="仿宋" w:cs="仿宋"/>
                <w:color w:val="000000"/>
                <w:kern w:val="0"/>
                <w:sz w:val="24"/>
              </w:rPr>
            </w:pPr>
            <w:r>
              <w:rPr>
                <w:rFonts w:ascii="仿宋" w:eastAsia="仿宋" w:hAnsi="仿宋" w:cs="仿宋" w:hint="eastAsia"/>
                <w:color w:val="000000"/>
                <w:kern w:val="0"/>
                <w:sz w:val="24"/>
              </w:rPr>
              <w:t>（一）金税盘（税控盘）、报税盘。</w:t>
            </w:r>
          </w:p>
        </w:tc>
        <w:tc>
          <w:tcPr>
            <w:tcW w:w="1329" w:type="dxa"/>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纳税人提交</w:t>
            </w:r>
          </w:p>
        </w:tc>
        <w:tc>
          <w:tcPr>
            <w:tcW w:w="2186" w:type="dxa"/>
            <w:vAlign w:val="center"/>
          </w:tcPr>
          <w:p w:rsidR="00013EC7" w:rsidRDefault="00575CDB">
            <w:pPr>
              <w:widowControl/>
              <w:jc w:val="left"/>
              <w:textAlignment w:val="center"/>
              <w:rPr>
                <w:rFonts w:ascii="仿宋" w:eastAsia="仿宋" w:hAnsi="仿宋" w:cs="仿宋"/>
                <w:color w:val="000000"/>
                <w:kern w:val="0"/>
                <w:sz w:val="24"/>
              </w:rPr>
            </w:pPr>
            <w:r>
              <w:rPr>
                <w:rFonts w:ascii="仿宋" w:eastAsia="仿宋" w:hAnsi="仿宋" w:cs="仿宋" w:hint="eastAsia"/>
                <w:color w:val="000000"/>
                <w:kern w:val="0"/>
                <w:sz w:val="24"/>
              </w:rPr>
              <w:t>（一）金税盘（税控盘）、报税盘。</w:t>
            </w:r>
          </w:p>
        </w:tc>
        <w:tc>
          <w:tcPr>
            <w:tcW w:w="1264" w:type="dxa"/>
            <w:vAlign w:val="center"/>
          </w:tcPr>
          <w:p w:rsidR="00013EC7" w:rsidRDefault="00575CDB">
            <w:pPr>
              <w:widowControl/>
              <w:jc w:val="left"/>
              <w:textAlignment w:val="center"/>
              <w:rPr>
                <w:rFonts w:ascii="仿宋" w:eastAsia="仿宋" w:hAnsi="仿宋" w:cs="仿宋"/>
                <w:b/>
                <w:bCs/>
                <w:i/>
                <w:iCs/>
                <w:sz w:val="24"/>
              </w:rPr>
            </w:pPr>
            <w:r>
              <w:rPr>
                <w:rFonts w:ascii="仿宋" w:eastAsia="仿宋" w:hAnsi="仿宋" w:cs="仿宋" w:hint="eastAsia"/>
                <w:color w:val="000000"/>
                <w:kern w:val="0"/>
                <w:sz w:val="24"/>
              </w:rPr>
              <w:t>纳税人提交</w:t>
            </w:r>
          </w:p>
        </w:tc>
        <w:tc>
          <w:tcPr>
            <w:tcW w:w="2351" w:type="dxa"/>
            <w:vAlign w:val="center"/>
          </w:tcPr>
          <w:p w:rsidR="00013EC7" w:rsidRDefault="00575CDB">
            <w:pPr>
              <w:widowControl/>
              <w:jc w:val="left"/>
              <w:textAlignment w:val="center"/>
              <w:rPr>
                <w:rFonts w:ascii="仿宋" w:eastAsia="仿宋" w:hAnsi="仿宋" w:cs="仿宋"/>
                <w:color w:val="000000"/>
                <w:kern w:val="0"/>
                <w:sz w:val="24"/>
              </w:rPr>
            </w:pPr>
            <w:r>
              <w:rPr>
                <w:rFonts w:ascii="仿宋" w:eastAsia="仿宋" w:hAnsi="仿宋" w:cs="仿宋" w:hint="eastAsia"/>
                <w:b/>
                <w:bCs/>
                <w:color w:val="000000"/>
                <w:kern w:val="0"/>
                <w:sz w:val="24"/>
              </w:rPr>
              <w:t>现场办理：</w:t>
            </w:r>
            <w:r>
              <w:rPr>
                <w:rFonts w:ascii="仿宋" w:eastAsia="仿宋" w:hAnsi="仿宋" w:cs="仿宋" w:hint="eastAsia"/>
                <w:color w:val="000000"/>
                <w:kern w:val="0"/>
                <w:sz w:val="24"/>
              </w:rPr>
              <w:t>纳税人提交材料。</w:t>
            </w:r>
          </w:p>
          <w:p w:rsidR="00013EC7" w:rsidRDefault="00575CDB">
            <w:pPr>
              <w:widowControl/>
              <w:jc w:val="left"/>
              <w:textAlignment w:val="center"/>
              <w:rPr>
                <w:rFonts w:ascii="仿宋" w:eastAsia="仿宋" w:hAnsi="仿宋" w:cs="仿宋"/>
                <w:sz w:val="24"/>
              </w:rPr>
            </w:pPr>
            <w:r>
              <w:rPr>
                <w:rFonts w:ascii="仿宋" w:eastAsia="仿宋" w:hAnsi="仿宋" w:cs="仿宋" w:hint="eastAsia"/>
                <w:b/>
                <w:bCs/>
                <w:color w:val="000000"/>
                <w:kern w:val="0"/>
                <w:sz w:val="24"/>
              </w:rPr>
              <w:t>网上办理：</w:t>
            </w:r>
            <w:r>
              <w:rPr>
                <w:rFonts w:ascii="仿宋" w:eastAsia="仿宋" w:hAnsi="仿宋" w:cs="仿宋" w:hint="eastAsia"/>
                <w:color w:val="000000"/>
                <w:kern w:val="0"/>
                <w:sz w:val="24"/>
              </w:rPr>
              <w:t>通过增值税发票系统升级版企业端提交。</w:t>
            </w:r>
          </w:p>
        </w:tc>
        <w:tc>
          <w:tcPr>
            <w:tcW w:w="868" w:type="dxa"/>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即时办结</w:t>
            </w:r>
          </w:p>
        </w:tc>
        <w:tc>
          <w:tcPr>
            <w:tcW w:w="871" w:type="dxa"/>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即时办结</w:t>
            </w:r>
          </w:p>
        </w:tc>
        <w:tc>
          <w:tcPr>
            <w:tcW w:w="885" w:type="dxa"/>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是</w:t>
            </w:r>
          </w:p>
        </w:tc>
        <w:tc>
          <w:tcPr>
            <w:tcW w:w="1104" w:type="dxa"/>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货物和劳务税处</w:t>
            </w:r>
          </w:p>
        </w:tc>
        <w:tc>
          <w:tcPr>
            <w:tcW w:w="1476" w:type="dxa"/>
            <w:vAlign w:val="center"/>
          </w:tcPr>
          <w:p w:rsidR="00013EC7" w:rsidRDefault="00013EC7">
            <w:pPr>
              <w:jc w:val="left"/>
              <w:rPr>
                <w:rFonts w:ascii="仿宋" w:eastAsia="仿宋" w:hAnsi="仿宋" w:cs="仿宋"/>
                <w:sz w:val="24"/>
              </w:rPr>
            </w:pPr>
          </w:p>
        </w:tc>
      </w:tr>
    </w:tbl>
    <w:p w:rsidR="00013EC7" w:rsidRDefault="005262E6">
      <w:pPr>
        <w:rPr>
          <w:rFonts w:eastAsia="方正书宋简体"/>
          <w:szCs w:val="21"/>
        </w:rPr>
      </w:pPr>
      <w:r>
        <w:rPr>
          <w:rFonts w:ascii="黑体" w:eastAsia="黑体" w:hAnsi="黑体"/>
        </w:rPr>
        <w:lastRenderedPageBreak/>
        <w:object w:dxaOrig="1440" w:dyaOrig="1440">
          <v:shape id="对象 44" o:spid="_x0000_s1273" type="#_x0000_t75" alt="2111217721508729125585" style="position:absolute;left:0;text-align:left;margin-left:572.05pt;margin-top:52.35pt;width:435.8pt;height:642.4pt;z-index:251614208;mso-wrap-distance-top:0;mso-wrap-distance-bottom:0;mso-position-horizontal-relative:text;mso-position-vertical-relative:page;mso-width-relative:page;mso-height-relative:page">
            <v:imagedata r:id="rId166" o:title="2111217721508729125585"/>
            <w10:wrap type="topAndBottom" anchory="page"/>
          </v:shape>
          <o:OLEObject Type="Embed" ProgID="Visio.Drawing.11" ShapeID="对象 44" DrawAspect="Content" ObjectID="_1577296213" r:id="rId167"/>
        </w:object>
      </w:r>
      <w:r>
        <w:rPr>
          <w:rFonts w:ascii="宋体" w:hAnsi="宋体" w:cs="宋体"/>
          <w:szCs w:val="21"/>
        </w:rPr>
        <w:object w:dxaOrig="1440" w:dyaOrig="1440">
          <v:shape id="对象 43" o:spid="_x0000_s1272" type="#_x0000_t75" alt="2111217721508729125585" style="position:absolute;left:0;text-align:left;margin-left:2.6pt;margin-top:40.95pt;width:477.45pt;height:662.25pt;z-index:251613184;mso-wrap-distance-top:0;mso-wrap-distance-bottom:0;mso-position-horizontal-relative:text;mso-position-vertical-relative:page;mso-width-relative:page;mso-height-relative:page">
            <v:imagedata r:id="rId168" o:title="2111217721508729125585"/>
            <w10:wrap type="topAndBottom" anchory="page"/>
          </v:shape>
          <o:OLEObject Type="Embed" ProgID="Visio.Drawing.11" ShapeID="对象 43" DrawAspect="Content" ObjectID="_1577296214" r:id="rId169"/>
        </w:object>
      </w:r>
    </w:p>
    <w:p w:rsidR="00013EC7" w:rsidRDefault="00013EC7">
      <w:pPr>
        <w:rPr>
          <w:rFonts w:eastAsia="方正书宋简体"/>
          <w:szCs w:val="21"/>
        </w:rPr>
      </w:pPr>
    </w:p>
    <w:p w:rsidR="00013EC7" w:rsidRDefault="00013EC7">
      <w:pPr>
        <w:pStyle w:val="1"/>
        <w:spacing w:before="0" w:after="0" w:line="240" w:lineRule="auto"/>
        <w:rPr>
          <w:rFonts w:ascii="宋体" w:hAnsi="宋体"/>
          <w:kern w:val="0"/>
          <w:szCs w:val="28"/>
        </w:rPr>
        <w:sectPr w:rsidR="00013EC7">
          <w:pgSz w:w="23814" w:h="16840" w:orient="landscape"/>
          <w:pgMar w:top="1701" w:right="1843" w:bottom="1985" w:left="1843" w:header="851" w:footer="1701" w:gutter="0"/>
          <w:pgNumType w:fmt="numberInDash"/>
          <w:cols w:space="720"/>
          <w:docGrid w:type="lines" w:linePitch="312"/>
        </w:sectPr>
      </w:pPr>
      <w:bookmarkStart w:id="253" w:name="_Toc498705722"/>
    </w:p>
    <w:p w:rsidR="00013EC7" w:rsidRDefault="00575CDB">
      <w:pPr>
        <w:pStyle w:val="2"/>
      </w:pPr>
      <w:bookmarkStart w:id="254" w:name="_Toc503467412"/>
      <w:bookmarkStart w:id="255" w:name="_Toc22954"/>
      <w:bookmarkStart w:id="256" w:name="_Toc16187"/>
      <w:bookmarkStart w:id="257" w:name="_Toc16962"/>
      <w:r>
        <w:rPr>
          <w:rFonts w:hint="eastAsia"/>
        </w:rPr>
        <w:lastRenderedPageBreak/>
        <w:t>14.3</w:t>
      </w:r>
      <w:r>
        <w:rPr>
          <w:rFonts w:hint="eastAsia"/>
        </w:rPr>
        <w:t>发票认证</w:t>
      </w:r>
      <w:bookmarkEnd w:id="253"/>
      <w:bookmarkEnd w:id="254"/>
      <w:bookmarkEnd w:id="255"/>
      <w:bookmarkEnd w:id="256"/>
      <w:bookmarkEnd w:id="257"/>
    </w:p>
    <w:p w:rsidR="00013EC7" w:rsidRDefault="00575CDB">
      <w:pPr>
        <w:jc w:val="center"/>
        <w:rPr>
          <w:rFonts w:ascii="宋体" w:hAnsi="宋体" w:cs="宋体"/>
          <w:b/>
          <w:bCs/>
          <w:sz w:val="52"/>
          <w:szCs w:val="52"/>
        </w:rPr>
      </w:pPr>
      <w:r>
        <w:rPr>
          <w:rFonts w:ascii="宋体" w:hAnsi="宋体" w:cs="宋体" w:hint="eastAsia"/>
          <w:b/>
          <w:bCs/>
          <w:sz w:val="52"/>
          <w:szCs w:val="52"/>
        </w:rPr>
        <w:t>全省“最多跑一次”事项“八统一”梳理表</w:t>
      </w:r>
    </w:p>
    <w:tbl>
      <w:tblPr>
        <w:tblpPr w:leftFromText="180" w:rightFromText="180" w:vertAnchor="text" w:horzAnchor="page" w:tblpX="1652" w:tblpY="350"/>
        <w:tblOverlap w:val="never"/>
        <w:tblW w:w="20607"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766"/>
        <w:gridCol w:w="851"/>
        <w:gridCol w:w="6804"/>
        <w:gridCol w:w="1842"/>
        <w:gridCol w:w="993"/>
        <w:gridCol w:w="1701"/>
        <w:gridCol w:w="865"/>
        <w:gridCol w:w="1678"/>
        <w:gridCol w:w="868"/>
        <w:gridCol w:w="925"/>
        <w:gridCol w:w="941"/>
        <w:gridCol w:w="1091"/>
        <w:gridCol w:w="1282"/>
      </w:tblGrid>
      <w:tr w:rsidR="00013EC7">
        <w:trPr>
          <w:trHeight w:val="393"/>
          <w:tblHeader/>
        </w:trPr>
        <w:tc>
          <w:tcPr>
            <w:tcW w:w="766"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主项名称</w:t>
            </w:r>
          </w:p>
        </w:tc>
        <w:tc>
          <w:tcPr>
            <w:tcW w:w="851"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子项名称</w:t>
            </w:r>
          </w:p>
        </w:tc>
        <w:tc>
          <w:tcPr>
            <w:tcW w:w="6804"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经办依据</w:t>
            </w:r>
          </w:p>
        </w:tc>
        <w:tc>
          <w:tcPr>
            <w:tcW w:w="2835"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原经办所需材料</w:t>
            </w:r>
          </w:p>
        </w:tc>
        <w:tc>
          <w:tcPr>
            <w:tcW w:w="4244" w:type="dxa"/>
            <w:gridSpan w:val="3"/>
            <w:vAlign w:val="center"/>
          </w:tcPr>
          <w:p w:rsidR="00013EC7" w:rsidRDefault="00575CDB">
            <w:pPr>
              <w:spacing w:line="280" w:lineRule="exact"/>
              <w:jc w:val="center"/>
              <w:rPr>
                <w:rFonts w:ascii="黑体" w:eastAsia="黑体"/>
                <w:sz w:val="24"/>
              </w:rPr>
            </w:pPr>
            <w:r>
              <w:rPr>
                <w:rFonts w:ascii="黑体" w:eastAsia="黑体" w:hint="eastAsia"/>
                <w:sz w:val="24"/>
              </w:rPr>
              <w:t>梳理后经办所需材料</w:t>
            </w:r>
          </w:p>
        </w:tc>
        <w:tc>
          <w:tcPr>
            <w:tcW w:w="1793"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办理时限</w:t>
            </w:r>
          </w:p>
        </w:tc>
        <w:tc>
          <w:tcPr>
            <w:tcW w:w="941"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是否实现跑零次</w:t>
            </w:r>
          </w:p>
        </w:tc>
        <w:tc>
          <w:tcPr>
            <w:tcW w:w="1091"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省厅对口</w:t>
            </w:r>
          </w:p>
          <w:p w:rsidR="00013EC7" w:rsidRDefault="00575CDB">
            <w:pPr>
              <w:spacing w:line="280" w:lineRule="exact"/>
              <w:jc w:val="center"/>
              <w:rPr>
                <w:rFonts w:ascii="黑体" w:eastAsia="黑体"/>
                <w:sz w:val="24"/>
              </w:rPr>
            </w:pPr>
            <w:r>
              <w:rPr>
                <w:rFonts w:ascii="黑体" w:eastAsia="黑体" w:hint="eastAsia"/>
                <w:sz w:val="24"/>
              </w:rPr>
              <w:t>指导处室</w:t>
            </w:r>
          </w:p>
          <w:p w:rsidR="00013EC7" w:rsidRDefault="00575CDB">
            <w:pPr>
              <w:spacing w:line="280" w:lineRule="exact"/>
              <w:jc w:val="center"/>
              <w:rPr>
                <w:rFonts w:ascii="黑体" w:eastAsia="黑体"/>
                <w:sz w:val="24"/>
              </w:rPr>
            </w:pPr>
            <w:r>
              <w:rPr>
                <w:rFonts w:ascii="黑体" w:eastAsia="黑体" w:hint="eastAsia"/>
                <w:sz w:val="24"/>
              </w:rPr>
              <w:t>（单位）</w:t>
            </w:r>
          </w:p>
        </w:tc>
        <w:tc>
          <w:tcPr>
            <w:tcW w:w="1282"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进一步精简、规范建议</w:t>
            </w:r>
          </w:p>
        </w:tc>
      </w:tr>
      <w:tr w:rsidR="00013EC7">
        <w:trPr>
          <w:trHeight w:val="766"/>
          <w:tblHeader/>
        </w:trPr>
        <w:tc>
          <w:tcPr>
            <w:tcW w:w="766" w:type="dxa"/>
            <w:vMerge/>
            <w:vAlign w:val="center"/>
          </w:tcPr>
          <w:p w:rsidR="00013EC7" w:rsidRDefault="00013EC7">
            <w:pPr>
              <w:rPr>
                <w:sz w:val="24"/>
              </w:rPr>
            </w:pPr>
          </w:p>
        </w:tc>
        <w:tc>
          <w:tcPr>
            <w:tcW w:w="851" w:type="dxa"/>
            <w:vMerge/>
          </w:tcPr>
          <w:p w:rsidR="00013EC7" w:rsidRDefault="00013EC7">
            <w:pPr>
              <w:rPr>
                <w:sz w:val="24"/>
              </w:rPr>
            </w:pPr>
          </w:p>
        </w:tc>
        <w:tc>
          <w:tcPr>
            <w:tcW w:w="6804" w:type="dxa"/>
            <w:vMerge/>
          </w:tcPr>
          <w:p w:rsidR="00013EC7" w:rsidRDefault="00013EC7">
            <w:pPr>
              <w:rPr>
                <w:sz w:val="24"/>
              </w:rPr>
            </w:pPr>
          </w:p>
        </w:tc>
        <w:tc>
          <w:tcPr>
            <w:tcW w:w="1842" w:type="dxa"/>
            <w:tcBorders>
              <w:bottom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993"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1701" w:type="dxa"/>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865"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1678" w:type="dxa"/>
            <w:vAlign w:val="center"/>
          </w:tcPr>
          <w:p w:rsidR="00013EC7" w:rsidRDefault="00575CDB">
            <w:pPr>
              <w:spacing w:line="280" w:lineRule="exact"/>
              <w:jc w:val="center"/>
              <w:rPr>
                <w:rFonts w:ascii="黑体" w:eastAsia="黑体"/>
                <w:sz w:val="24"/>
              </w:rPr>
            </w:pPr>
            <w:r>
              <w:rPr>
                <w:rFonts w:ascii="黑体" w:eastAsia="黑体" w:hint="eastAsia"/>
                <w:sz w:val="24"/>
              </w:rPr>
              <w:t>办理方式及材料信息获取方式说明</w:t>
            </w:r>
          </w:p>
        </w:tc>
        <w:tc>
          <w:tcPr>
            <w:tcW w:w="868" w:type="dxa"/>
            <w:vAlign w:val="center"/>
          </w:tcPr>
          <w:p w:rsidR="00013EC7" w:rsidRDefault="00575CDB">
            <w:pPr>
              <w:spacing w:line="280" w:lineRule="exact"/>
              <w:jc w:val="center"/>
              <w:rPr>
                <w:rFonts w:ascii="黑体" w:eastAsia="黑体"/>
                <w:sz w:val="24"/>
              </w:rPr>
            </w:pPr>
            <w:r>
              <w:rPr>
                <w:rFonts w:ascii="黑体" w:eastAsia="黑体" w:hint="eastAsia"/>
                <w:sz w:val="24"/>
              </w:rPr>
              <w:t>优化前</w:t>
            </w:r>
          </w:p>
        </w:tc>
        <w:tc>
          <w:tcPr>
            <w:tcW w:w="925" w:type="dxa"/>
            <w:vAlign w:val="center"/>
          </w:tcPr>
          <w:p w:rsidR="00013EC7" w:rsidRDefault="00575CDB">
            <w:pPr>
              <w:spacing w:line="280" w:lineRule="exact"/>
              <w:jc w:val="center"/>
              <w:rPr>
                <w:rFonts w:ascii="黑体" w:eastAsia="黑体"/>
                <w:sz w:val="24"/>
              </w:rPr>
            </w:pPr>
            <w:r>
              <w:rPr>
                <w:rFonts w:ascii="黑体" w:eastAsia="黑体" w:hint="eastAsia"/>
                <w:sz w:val="24"/>
              </w:rPr>
              <w:t>优化后</w:t>
            </w:r>
          </w:p>
        </w:tc>
        <w:tc>
          <w:tcPr>
            <w:tcW w:w="941" w:type="dxa"/>
            <w:vMerge/>
            <w:vAlign w:val="center"/>
          </w:tcPr>
          <w:p w:rsidR="00013EC7" w:rsidRDefault="00013EC7">
            <w:pPr>
              <w:rPr>
                <w:sz w:val="24"/>
              </w:rPr>
            </w:pPr>
          </w:p>
        </w:tc>
        <w:tc>
          <w:tcPr>
            <w:tcW w:w="1091" w:type="dxa"/>
            <w:vMerge/>
            <w:vAlign w:val="center"/>
          </w:tcPr>
          <w:p w:rsidR="00013EC7" w:rsidRDefault="00013EC7">
            <w:pPr>
              <w:rPr>
                <w:sz w:val="24"/>
              </w:rPr>
            </w:pPr>
          </w:p>
        </w:tc>
        <w:tc>
          <w:tcPr>
            <w:tcW w:w="1282" w:type="dxa"/>
            <w:vMerge/>
            <w:vAlign w:val="center"/>
          </w:tcPr>
          <w:p w:rsidR="00013EC7" w:rsidRDefault="00013EC7">
            <w:pPr>
              <w:rPr>
                <w:sz w:val="24"/>
              </w:rPr>
            </w:pPr>
          </w:p>
        </w:tc>
      </w:tr>
      <w:tr w:rsidR="00013EC7">
        <w:trPr>
          <w:trHeight w:val="2549"/>
        </w:trPr>
        <w:tc>
          <w:tcPr>
            <w:tcW w:w="766" w:type="dxa"/>
            <w:vMerge w:val="restart"/>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14发票验旧</w:t>
            </w:r>
          </w:p>
        </w:tc>
        <w:tc>
          <w:tcPr>
            <w:tcW w:w="851" w:type="dxa"/>
            <w:vMerge w:val="restart"/>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14.3发票认证</w:t>
            </w:r>
          </w:p>
        </w:tc>
        <w:tc>
          <w:tcPr>
            <w:tcW w:w="6804" w:type="dxa"/>
            <w:vMerge w:val="restart"/>
            <w:vAlign w:val="center"/>
          </w:tcPr>
          <w:p w:rsidR="00013EC7" w:rsidRDefault="00575CDB">
            <w:pPr>
              <w:widowControl/>
              <w:textAlignment w:val="center"/>
              <w:rPr>
                <w:rStyle w:val="font41"/>
                <w:rFonts w:ascii="仿宋" w:eastAsia="仿宋" w:hAnsi="仿宋" w:cs="仿宋"/>
                <w:sz w:val="24"/>
              </w:rPr>
            </w:pPr>
            <w:r>
              <w:rPr>
                <w:rStyle w:val="font41"/>
                <w:rFonts w:ascii="仿宋" w:eastAsia="仿宋" w:hAnsi="仿宋" w:cs="仿宋" w:hint="eastAsia"/>
                <w:sz w:val="24"/>
              </w:rPr>
              <w:t xml:space="preserve">（一）《国家税务总局关于重新修订〈增值税专用发票数据采集管理规定〉的通知》（国税发〔2003〕97号）第十一条、第十二条。 </w:t>
            </w:r>
          </w:p>
          <w:p w:rsidR="00013EC7" w:rsidRDefault="00575CDB">
            <w:pPr>
              <w:widowControl/>
              <w:textAlignment w:val="center"/>
              <w:rPr>
                <w:rStyle w:val="font41"/>
                <w:rFonts w:ascii="仿宋" w:eastAsia="仿宋" w:hAnsi="仿宋" w:cs="仿宋"/>
                <w:sz w:val="24"/>
              </w:rPr>
            </w:pPr>
            <w:r>
              <w:rPr>
                <w:rStyle w:val="font41"/>
                <w:rFonts w:ascii="仿宋" w:eastAsia="仿宋" w:hAnsi="仿宋" w:cs="仿宋" w:hint="eastAsia"/>
                <w:sz w:val="24"/>
              </w:rPr>
              <w:t xml:space="preserve">（二）《国家税务总局关于修订〈增值税专用发票使用规定〉的通知》（国税发〔2006〕156号）第二十五条、第二十九条。 </w:t>
            </w:r>
          </w:p>
          <w:p w:rsidR="00013EC7" w:rsidRDefault="00575CDB">
            <w:pPr>
              <w:widowControl/>
              <w:textAlignment w:val="center"/>
              <w:rPr>
                <w:rStyle w:val="font41"/>
                <w:rFonts w:ascii="仿宋" w:eastAsia="仿宋" w:hAnsi="仿宋" w:cs="仿宋"/>
                <w:sz w:val="24"/>
              </w:rPr>
            </w:pPr>
            <w:r>
              <w:rPr>
                <w:rStyle w:val="font41"/>
                <w:rFonts w:ascii="仿宋" w:eastAsia="仿宋" w:hAnsi="仿宋" w:cs="仿宋" w:hint="eastAsia"/>
                <w:sz w:val="24"/>
              </w:rPr>
              <w:t xml:space="preserve">（三）《国家税务总局关于推行机动车销售统一发票税控系统有关工作的紧急通知》（国税发〔2008〕117号）第六条。 </w:t>
            </w:r>
          </w:p>
          <w:p w:rsidR="00013EC7" w:rsidRDefault="00575CDB">
            <w:pPr>
              <w:widowControl/>
              <w:textAlignment w:val="center"/>
              <w:rPr>
                <w:rStyle w:val="font41"/>
                <w:rFonts w:ascii="仿宋" w:eastAsia="仿宋" w:hAnsi="仿宋" w:cs="仿宋"/>
                <w:sz w:val="24"/>
              </w:rPr>
            </w:pPr>
            <w:r>
              <w:rPr>
                <w:rStyle w:val="font41"/>
                <w:rFonts w:ascii="仿宋" w:eastAsia="仿宋" w:hAnsi="仿宋" w:cs="仿宋" w:hint="eastAsia"/>
                <w:sz w:val="24"/>
              </w:rPr>
              <w:t xml:space="preserve">（四）《国家税务总局海关总署关于实行海关进口增值税专用缴款书“先比对后抵扣”管理办法有关问题的公告》（国家税务总局海关总署公告2013年31号）第二条、第六条。 </w:t>
            </w:r>
          </w:p>
          <w:p w:rsidR="00013EC7" w:rsidRDefault="00575CDB">
            <w:pPr>
              <w:widowControl/>
              <w:textAlignment w:val="center"/>
              <w:rPr>
                <w:rStyle w:val="font41"/>
                <w:rFonts w:ascii="仿宋" w:eastAsia="仿宋" w:hAnsi="仿宋" w:cs="仿宋"/>
                <w:sz w:val="24"/>
              </w:rPr>
            </w:pPr>
            <w:r>
              <w:rPr>
                <w:rStyle w:val="font41"/>
                <w:rFonts w:ascii="仿宋" w:eastAsia="仿宋" w:hAnsi="仿宋" w:cs="仿宋" w:hint="eastAsia"/>
                <w:sz w:val="24"/>
              </w:rPr>
              <w:t xml:space="preserve">（五）《国家税务总局关于调整增值税扣税凭证抵扣期限有关问题的通知》（国税函〔2009〕617号）全文。 </w:t>
            </w:r>
          </w:p>
          <w:p w:rsidR="00013EC7" w:rsidRDefault="00575CDB">
            <w:pPr>
              <w:widowControl/>
              <w:textAlignment w:val="center"/>
              <w:rPr>
                <w:rStyle w:val="font41"/>
                <w:rFonts w:ascii="仿宋" w:eastAsia="仿宋" w:hAnsi="仿宋" w:cs="仿宋"/>
                <w:sz w:val="24"/>
              </w:rPr>
            </w:pPr>
            <w:r>
              <w:rPr>
                <w:rStyle w:val="font41"/>
                <w:rFonts w:ascii="仿宋" w:eastAsia="仿宋" w:hAnsi="仿宋" w:cs="仿宋" w:hint="eastAsia"/>
                <w:sz w:val="24"/>
              </w:rPr>
              <w:t>（六）《国家税务总局关于金税工程增值税征管信息系统发现的涉嫌违规增值税专用发票处理问题的通知》（国税函〔2006〕969号）第一条。</w:t>
            </w:r>
          </w:p>
          <w:p w:rsidR="00013EC7" w:rsidRDefault="00575CDB">
            <w:pPr>
              <w:widowControl/>
              <w:textAlignment w:val="center"/>
              <w:rPr>
                <w:rStyle w:val="font41"/>
                <w:rFonts w:ascii="仿宋" w:eastAsia="仿宋" w:hAnsi="仿宋" w:cs="仿宋"/>
                <w:sz w:val="24"/>
              </w:rPr>
            </w:pPr>
            <w:r>
              <w:rPr>
                <w:rStyle w:val="font41"/>
                <w:rFonts w:ascii="仿宋" w:eastAsia="仿宋" w:hAnsi="仿宋" w:cs="仿宋" w:hint="eastAsia"/>
                <w:sz w:val="24"/>
              </w:rPr>
              <w:t>（七）《国家税务总局关于进一步明确营改增有关征管问题的公告》（国家税务总局公告2017年第11号）第十条。</w:t>
            </w:r>
          </w:p>
          <w:p w:rsidR="00013EC7" w:rsidRDefault="00575CDB">
            <w:pPr>
              <w:widowControl/>
              <w:textAlignment w:val="center"/>
              <w:rPr>
                <w:rStyle w:val="font41"/>
                <w:rFonts w:ascii="仿宋" w:eastAsia="仿宋" w:hAnsi="仿宋" w:cs="仿宋"/>
                <w:sz w:val="24"/>
              </w:rPr>
            </w:pPr>
            <w:r>
              <w:rPr>
                <w:rStyle w:val="font41"/>
                <w:rFonts w:ascii="仿宋" w:eastAsia="仿宋" w:hAnsi="仿宋" w:cs="仿宋" w:hint="eastAsia"/>
                <w:sz w:val="24"/>
              </w:rPr>
              <w:t>（八）《国家税务总局关于按照纳税信用等级对增值税发票使用实行分类管理有关事项的公告》（国家税务总局公告2016年第71号）全文。</w:t>
            </w:r>
          </w:p>
          <w:p w:rsidR="00013EC7" w:rsidRDefault="00575CDB">
            <w:pPr>
              <w:widowControl/>
              <w:textAlignment w:val="center"/>
              <w:rPr>
                <w:rStyle w:val="font41"/>
                <w:rFonts w:ascii="仿宋" w:eastAsia="仿宋" w:hAnsi="仿宋" w:cs="仿宋"/>
                <w:sz w:val="24"/>
              </w:rPr>
            </w:pPr>
            <w:r>
              <w:rPr>
                <w:rStyle w:val="font41"/>
                <w:rFonts w:ascii="仿宋" w:eastAsia="仿宋" w:hAnsi="仿宋" w:cs="仿宋" w:hint="eastAsia"/>
                <w:sz w:val="24"/>
              </w:rPr>
              <w:t>（九）《关于全面推开营业税改征增值税试点有关税收征收管理事项的公告》（国家税务总局公告2016年第23号）第五条。</w:t>
            </w:r>
          </w:p>
          <w:p w:rsidR="00013EC7" w:rsidRDefault="00575CDB">
            <w:pPr>
              <w:widowControl/>
              <w:textAlignment w:val="center"/>
              <w:rPr>
                <w:rStyle w:val="font01"/>
                <w:rFonts w:ascii="仿宋" w:eastAsia="仿宋" w:hAnsi="仿宋" w:cs="仿宋" w:hint="default"/>
                <w:sz w:val="24"/>
              </w:rPr>
            </w:pPr>
            <w:r>
              <w:rPr>
                <w:rStyle w:val="font41"/>
                <w:rFonts w:ascii="仿宋" w:eastAsia="仿宋" w:hAnsi="仿宋" w:cs="仿宋" w:hint="eastAsia"/>
                <w:sz w:val="24"/>
              </w:rPr>
              <w:t>（十）《国家税务总局关于停止使用货物运输业增值税专用发票有关问题的公告》（国家税务总局公告2015年第99号）全文。</w:t>
            </w:r>
            <w:r>
              <w:rPr>
                <w:rStyle w:val="font01"/>
                <w:rFonts w:ascii="仿宋" w:eastAsia="仿宋" w:hAnsi="仿宋" w:cs="仿宋" w:hint="default"/>
                <w:color w:val="000000"/>
                <w:sz w:val="24"/>
              </w:rPr>
              <w:br/>
            </w:r>
          </w:p>
          <w:p w:rsidR="00013EC7" w:rsidRDefault="00013EC7">
            <w:pPr>
              <w:widowControl/>
              <w:textAlignment w:val="center"/>
              <w:rPr>
                <w:rStyle w:val="font01"/>
                <w:rFonts w:ascii="仿宋" w:eastAsia="仿宋" w:hAnsi="仿宋" w:cs="仿宋" w:hint="default"/>
                <w:sz w:val="24"/>
              </w:rPr>
            </w:pPr>
          </w:p>
          <w:p w:rsidR="00013EC7" w:rsidRDefault="00013EC7">
            <w:pPr>
              <w:widowControl/>
              <w:spacing w:after="210"/>
              <w:textAlignment w:val="center"/>
              <w:rPr>
                <w:rFonts w:ascii="仿宋" w:eastAsia="仿宋" w:hAnsi="仿宋" w:cs="仿宋"/>
                <w:color w:val="000000"/>
                <w:sz w:val="24"/>
              </w:rPr>
            </w:pPr>
          </w:p>
        </w:tc>
        <w:tc>
          <w:tcPr>
            <w:tcW w:w="1842" w:type="dxa"/>
            <w:tcBorders>
              <w:top w:val="single" w:sz="4" w:space="0" w:color="auto"/>
              <w:bottom w:val="single" w:sz="4" w:space="0" w:color="auto"/>
            </w:tcBorders>
            <w:vAlign w:val="center"/>
          </w:tcPr>
          <w:p w:rsidR="00013EC7" w:rsidRDefault="00575CDB">
            <w:pPr>
              <w:widowControl/>
              <w:jc w:val="left"/>
              <w:textAlignment w:val="center"/>
              <w:rPr>
                <w:rFonts w:ascii="仿宋" w:eastAsia="仿宋" w:hAnsi="仿宋" w:cs="仿宋"/>
                <w:sz w:val="24"/>
              </w:rPr>
            </w:pPr>
            <w:r>
              <w:rPr>
                <w:rStyle w:val="font41"/>
                <w:rFonts w:ascii="仿宋" w:eastAsia="仿宋" w:hAnsi="仿宋" w:cs="仿宋" w:hint="eastAsia"/>
                <w:sz w:val="24"/>
              </w:rPr>
              <w:t>（一）</w:t>
            </w:r>
            <w:r>
              <w:rPr>
                <w:rFonts w:ascii="仿宋" w:eastAsia="仿宋" w:hAnsi="仿宋" w:cs="仿宋" w:hint="eastAsia"/>
                <w:color w:val="000000"/>
                <w:kern w:val="0"/>
                <w:sz w:val="24"/>
              </w:rPr>
              <w:t>增值税专用发票或者机动车销售统一发票的抵扣联原件。</w:t>
            </w:r>
          </w:p>
        </w:tc>
        <w:tc>
          <w:tcPr>
            <w:tcW w:w="993" w:type="dxa"/>
            <w:vAlign w:val="center"/>
          </w:tcPr>
          <w:p w:rsidR="00013EC7" w:rsidRDefault="00575CDB">
            <w:pPr>
              <w:widowControl/>
              <w:jc w:val="left"/>
              <w:textAlignment w:val="center"/>
              <w:rPr>
                <w:rFonts w:ascii="仿宋" w:eastAsia="仿宋" w:hAnsi="仿宋" w:cs="仿宋"/>
                <w:b/>
                <w:bCs/>
                <w:i/>
                <w:iCs/>
                <w:sz w:val="24"/>
              </w:rPr>
            </w:pPr>
            <w:r>
              <w:rPr>
                <w:rFonts w:ascii="仿宋" w:eastAsia="仿宋" w:hAnsi="仿宋" w:cs="仿宋" w:hint="eastAsia"/>
                <w:color w:val="000000"/>
                <w:kern w:val="0"/>
                <w:sz w:val="24"/>
              </w:rPr>
              <w:t>纳税人提交</w:t>
            </w:r>
          </w:p>
        </w:tc>
        <w:tc>
          <w:tcPr>
            <w:tcW w:w="1701" w:type="dxa"/>
            <w:vAlign w:val="center"/>
          </w:tcPr>
          <w:p w:rsidR="00013EC7" w:rsidRDefault="00575CDB">
            <w:pPr>
              <w:widowControl/>
              <w:jc w:val="left"/>
              <w:textAlignment w:val="center"/>
              <w:rPr>
                <w:rFonts w:ascii="仿宋" w:eastAsia="仿宋" w:hAnsi="仿宋" w:cs="仿宋"/>
                <w:sz w:val="24"/>
              </w:rPr>
            </w:pPr>
            <w:r>
              <w:rPr>
                <w:rStyle w:val="font41"/>
                <w:rFonts w:ascii="仿宋" w:eastAsia="仿宋" w:hAnsi="仿宋" w:cs="仿宋" w:hint="eastAsia"/>
                <w:sz w:val="24"/>
              </w:rPr>
              <w:t>（一）</w:t>
            </w:r>
            <w:r>
              <w:rPr>
                <w:rFonts w:ascii="仿宋" w:eastAsia="仿宋" w:hAnsi="仿宋" w:cs="仿宋" w:hint="eastAsia"/>
                <w:color w:val="000000"/>
                <w:kern w:val="0"/>
                <w:sz w:val="24"/>
              </w:rPr>
              <w:t>增值税专用发票或者机动车销售统一发票的抵扣联原件。</w:t>
            </w:r>
          </w:p>
        </w:tc>
        <w:tc>
          <w:tcPr>
            <w:tcW w:w="865" w:type="dxa"/>
            <w:vAlign w:val="center"/>
          </w:tcPr>
          <w:p w:rsidR="00013EC7" w:rsidRDefault="00575CDB">
            <w:pPr>
              <w:widowControl/>
              <w:jc w:val="left"/>
              <w:textAlignment w:val="center"/>
              <w:rPr>
                <w:rFonts w:ascii="仿宋" w:eastAsia="仿宋" w:hAnsi="仿宋" w:cs="仿宋"/>
                <w:b/>
                <w:bCs/>
                <w:i/>
                <w:iCs/>
                <w:sz w:val="24"/>
              </w:rPr>
            </w:pPr>
            <w:r>
              <w:rPr>
                <w:rFonts w:ascii="仿宋" w:eastAsia="仿宋" w:hAnsi="仿宋" w:cs="仿宋" w:hint="eastAsia"/>
                <w:color w:val="000000"/>
                <w:kern w:val="0"/>
                <w:sz w:val="24"/>
              </w:rPr>
              <w:t>纳税人提交</w:t>
            </w:r>
          </w:p>
        </w:tc>
        <w:tc>
          <w:tcPr>
            <w:tcW w:w="1678" w:type="dxa"/>
            <w:vMerge w:val="restart"/>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b/>
                <w:bCs/>
                <w:color w:val="000000"/>
                <w:kern w:val="0"/>
                <w:sz w:val="24"/>
              </w:rPr>
              <w:t>现场办理：</w:t>
            </w:r>
            <w:r>
              <w:rPr>
                <w:rFonts w:ascii="仿宋" w:eastAsia="仿宋" w:hAnsi="仿宋" w:cs="仿宋" w:hint="eastAsia"/>
                <w:color w:val="000000"/>
                <w:kern w:val="0"/>
                <w:sz w:val="24"/>
              </w:rPr>
              <w:t>纳税人提交材料。</w:t>
            </w:r>
            <w:r>
              <w:rPr>
                <w:rFonts w:ascii="仿宋" w:eastAsia="仿宋" w:hAnsi="仿宋" w:cs="仿宋" w:hint="eastAsia"/>
                <w:b/>
                <w:bCs/>
                <w:color w:val="000000"/>
                <w:kern w:val="0"/>
                <w:sz w:val="24"/>
              </w:rPr>
              <w:t>网上办理：</w:t>
            </w:r>
            <w:r>
              <w:rPr>
                <w:rFonts w:ascii="仿宋" w:eastAsia="仿宋" w:hAnsi="仿宋" w:cs="仿宋" w:hint="eastAsia"/>
                <w:color w:val="000000"/>
                <w:kern w:val="0"/>
                <w:sz w:val="24"/>
              </w:rPr>
              <w:t>纳税信用A级、B级、C级纳税人通过增值税发票查询平台选择抵扣或出口退税；</w:t>
            </w:r>
          </w:p>
        </w:tc>
        <w:tc>
          <w:tcPr>
            <w:tcW w:w="868" w:type="dxa"/>
            <w:vMerge w:val="restart"/>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即时办结</w:t>
            </w:r>
          </w:p>
        </w:tc>
        <w:tc>
          <w:tcPr>
            <w:tcW w:w="925" w:type="dxa"/>
            <w:vMerge w:val="restart"/>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即时办结</w:t>
            </w:r>
          </w:p>
        </w:tc>
        <w:tc>
          <w:tcPr>
            <w:tcW w:w="941" w:type="dxa"/>
            <w:vMerge w:val="restart"/>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是</w:t>
            </w:r>
          </w:p>
        </w:tc>
        <w:tc>
          <w:tcPr>
            <w:tcW w:w="1091" w:type="dxa"/>
            <w:vMerge w:val="restart"/>
            <w:vAlign w:val="center"/>
          </w:tcPr>
          <w:p w:rsidR="00013EC7" w:rsidRDefault="00575CDB">
            <w:pPr>
              <w:widowControl/>
              <w:spacing w:after="210"/>
              <w:jc w:val="left"/>
              <w:textAlignment w:val="center"/>
              <w:rPr>
                <w:rFonts w:ascii="仿宋" w:eastAsia="仿宋" w:hAnsi="仿宋" w:cs="仿宋"/>
                <w:sz w:val="24"/>
              </w:rPr>
            </w:pPr>
            <w:r>
              <w:rPr>
                <w:rFonts w:ascii="仿宋" w:eastAsia="仿宋" w:hAnsi="仿宋" w:cs="仿宋" w:hint="eastAsia"/>
                <w:color w:val="000000"/>
                <w:kern w:val="0"/>
                <w:sz w:val="24"/>
              </w:rPr>
              <w:t>货物和劳务税处</w:t>
            </w:r>
          </w:p>
        </w:tc>
        <w:tc>
          <w:tcPr>
            <w:tcW w:w="1282" w:type="dxa"/>
            <w:vMerge w:val="restart"/>
            <w:vAlign w:val="center"/>
          </w:tcPr>
          <w:p w:rsidR="00013EC7" w:rsidRDefault="00013EC7">
            <w:pPr>
              <w:jc w:val="left"/>
              <w:rPr>
                <w:rFonts w:ascii="仿宋" w:eastAsia="仿宋" w:hAnsi="仿宋" w:cs="仿宋"/>
                <w:sz w:val="24"/>
              </w:rPr>
            </w:pPr>
          </w:p>
        </w:tc>
      </w:tr>
      <w:tr w:rsidR="00013EC7">
        <w:trPr>
          <w:trHeight w:val="2396"/>
        </w:trPr>
        <w:tc>
          <w:tcPr>
            <w:tcW w:w="766" w:type="dxa"/>
            <w:vMerge/>
            <w:vAlign w:val="center"/>
          </w:tcPr>
          <w:p w:rsidR="00013EC7" w:rsidRDefault="00013EC7">
            <w:pPr>
              <w:jc w:val="left"/>
              <w:rPr>
                <w:rFonts w:ascii="仿宋" w:eastAsia="仿宋" w:hAnsi="仿宋" w:cs="仿宋"/>
                <w:sz w:val="24"/>
              </w:rPr>
            </w:pPr>
          </w:p>
        </w:tc>
        <w:tc>
          <w:tcPr>
            <w:tcW w:w="851" w:type="dxa"/>
            <w:vMerge/>
            <w:vAlign w:val="center"/>
          </w:tcPr>
          <w:p w:rsidR="00013EC7" w:rsidRDefault="00013EC7">
            <w:pPr>
              <w:jc w:val="left"/>
              <w:rPr>
                <w:rFonts w:ascii="仿宋" w:eastAsia="仿宋" w:hAnsi="仿宋" w:cs="仿宋"/>
                <w:sz w:val="24"/>
              </w:rPr>
            </w:pPr>
          </w:p>
        </w:tc>
        <w:tc>
          <w:tcPr>
            <w:tcW w:w="6804" w:type="dxa"/>
            <w:vMerge/>
            <w:vAlign w:val="center"/>
          </w:tcPr>
          <w:p w:rsidR="00013EC7" w:rsidRDefault="00013EC7">
            <w:pPr>
              <w:jc w:val="left"/>
              <w:rPr>
                <w:rFonts w:ascii="仿宋" w:eastAsia="仿宋" w:hAnsi="仿宋" w:cs="仿宋"/>
                <w:sz w:val="24"/>
              </w:rPr>
            </w:pPr>
          </w:p>
        </w:tc>
        <w:tc>
          <w:tcPr>
            <w:tcW w:w="1842" w:type="dxa"/>
            <w:tcBorders>
              <w:top w:val="single" w:sz="4" w:space="0" w:color="auto"/>
            </w:tcBorders>
            <w:vAlign w:val="center"/>
          </w:tcPr>
          <w:p w:rsidR="00013EC7" w:rsidRDefault="00575CDB">
            <w:pPr>
              <w:widowControl/>
              <w:jc w:val="left"/>
              <w:textAlignment w:val="center"/>
              <w:rPr>
                <w:rFonts w:ascii="仿宋" w:eastAsia="仿宋" w:hAnsi="仿宋" w:cs="仿宋"/>
                <w:sz w:val="24"/>
              </w:rPr>
            </w:pPr>
            <w:r>
              <w:rPr>
                <w:rStyle w:val="font41"/>
                <w:rFonts w:ascii="仿宋" w:eastAsia="仿宋" w:hAnsi="仿宋" w:cs="仿宋" w:hint="eastAsia"/>
                <w:sz w:val="24"/>
              </w:rPr>
              <w:t>（二）</w:t>
            </w:r>
            <w:r>
              <w:rPr>
                <w:rFonts w:ascii="仿宋" w:eastAsia="仿宋" w:hAnsi="仿宋" w:cs="仿宋" w:hint="eastAsia"/>
                <w:color w:val="000000"/>
                <w:kern w:val="0"/>
                <w:sz w:val="24"/>
              </w:rPr>
              <w:t>增值税专用发票的发票联。</w:t>
            </w:r>
          </w:p>
        </w:tc>
        <w:tc>
          <w:tcPr>
            <w:tcW w:w="993" w:type="dxa"/>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增值税专用发票抵扣联无法认证的纳税人提交</w:t>
            </w:r>
          </w:p>
        </w:tc>
        <w:tc>
          <w:tcPr>
            <w:tcW w:w="1701" w:type="dxa"/>
            <w:vAlign w:val="center"/>
          </w:tcPr>
          <w:p w:rsidR="00013EC7" w:rsidRDefault="00575CDB">
            <w:pPr>
              <w:widowControl/>
              <w:jc w:val="left"/>
              <w:textAlignment w:val="center"/>
              <w:rPr>
                <w:rFonts w:ascii="仿宋" w:eastAsia="仿宋" w:hAnsi="仿宋" w:cs="仿宋"/>
                <w:sz w:val="24"/>
              </w:rPr>
            </w:pPr>
            <w:r>
              <w:rPr>
                <w:rStyle w:val="font41"/>
                <w:rFonts w:ascii="仿宋" w:eastAsia="仿宋" w:hAnsi="仿宋" w:cs="仿宋" w:hint="eastAsia"/>
                <w:sz w:val="24"/>
              </w:rPr>
              <w:t>（二）</w:t>
            </w:r>
            <w:r>
              <w:rPr>
                <w:rFonts w:ascii="仿宋" w:eastAsia="仿宋" w:hAnsi="仿宋" w:cs="仿宋" w:hint="eastAsia"/>
                <w:color w:val="000000"/>
                <w:kern w:val="0"/>
                <w:sz w:val="24"/>
              </w:rPr>
              <w:t>增值税专用发票的发票联。</w:t>
            </w:r>
          </w:p>
        </w:tc>
        <w:tc>
          <w:tcPr>
            <w:tcW w:w="865" w:type="dxa"/>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增值税专用发票抵扣联无法认证的纳税人提交</w:t>
            </w:r>
          </w:p>
        </w:tc>
        <w:tc>
          <w:tcPr>
            <w:tcW w:w="1678" w:type="dxa"/>
            <w:vMerge/>
            <w:vAlign w:val="center"/>
          </w:tcPr>
          <w:p w:rsidR="00013EC7" w:rsidRDefault="00013EC7">
            <w:pPr>
              <w:jc w:val="left"/>
              <w:rPr>
                <w:rFonts w:ascii="仿宋" w:eastAsia="仿宋" w:hAnsi="仿宋" w:cs="仿宋"/>
                <w:sz w:val="24"/>
              </w:rPr>
            </w:pPr>
          </w:p>
        </w:tc>
        <w:tc>
          <w:tcPr>
            <w:tcW w:w="868" w:type="dxa"/>
            <w:vMerge/>
            <w:vAlign w:val="center"/>
          </w:tcPr>
          <w:p w:rsidR="00013EC7" w:rsidRDefault="00013EC7">
            <w:pPr>
              <w:jc w:val="left"/>
              <w:rPr>
                <w:rFonts w:ascii="仿宋" w:eastAsia="仿宋" w:hAnsi="仿宋" w:cs="仿宋"/>
                <w:sz w:val="24"/>
              </w:rPr>
            </w:pPr>
          </w:p>
        </w:tc>
        <w:tc>
          <w:tcPr>
            <w:tcW w:w="925" w:type="dxa"/>
            <w:vMerge/>
            <w:vAlign w:val="center"/>
          </w:tcPr>
          <w:p w:rsidR="00013EC7" w:rsidRDefault="00013EC7">
            <w:pPr>
              <w:jc w:val="left"/>
              <w:rPr>
                <w:rFonts w:ascii="仿宋" w:eastAsia="仿宋" w:hAnsi="仿宋" w:cs="仿宋"/>
                <w:sz w:val="24"/>
              </w:rPr>
            </w:pPr>
          </w:p>
        </w:tc>
        <w:tc>
          <w:tcPr>
            <w:tcW w:w="941" w:type="dxa"/>
            <w:vMerge/>
            <w:vAlign w:val="center"/>
          </w:tcPr>
          <w:p w:rsidR="00013EC7" w:rsidRDefault="00013EC7">
            <w:pPr>
              <w:jc w:val="left"/>
              <w:rPr>
                <w:rFonts w:ascii="仿宋" w:eastAsia="仿宋" w:hAnsi="仿宋" w:cs="仿宋"/>
                <w:sz w:val="24"/>
              </w:rPr>
            </w:pPr>
          </w:p>
        </w:tc>
        <w:tc>
          <w:tcPr>
            <w:tcW w:w="1091" w:type="dxa"/>
            <w:vMerge/>
            <w:vAlign w:val="center"/>
          </w:tcPr>
          <w:p w:rsidR="00013EC7" w:rsidRDefault="00013EC7">
            <w:pPr>
              <w:jc w:val="left"/>
              <w:rPr>
                <w:rFonts w:ascii="仿宋" w:eastAsia="仿宋" w:hAnsi="仿宋" w:cs="仿宋"/>
                <w:sz w:val="24"/>
              </w:rPr>
            </w:pPr>
          </w:p>
        </w:tc>
        <w:tc>
          <w:tcPr>
            <w:tcW w:w="1282" w:type="dxa"/>
            <w:vMerge/>
            <w:vAlign w:val="center"/>
          </w:tcPr>
          <w:p w:rsidR="00013EC7" w:rsidRDefault="00013EC7">
            <w:pPr>
              <w:jc w:val="left"/>
              <w:rPr>
                <w:rFonts w:ascii="仿宋" w:eastAsia="仿宋" w:hAnsi="仿宋" w:cs="仿宋"/>
                <w:sz w:val="24"/>
              </w:rPr>
            </w:pPr>
          </w:p>
        </w:tc>
      </w:tr>
      <w:tr w:rsidR="00013EC7">
        <w:trPr>
          <w:trHeight w:val="1862"/>
        </w:trPr>
        <w:tc>
          <w:tcPr>
            <w:tcW w:w="766" w:type="dxa"/>
            <w:vMerge/>
            <w:vAlign w:val="center"/>
          </w:tcPr>
          <w:p w:rsidR="00013EC7" w:rsidRDefault="00013EC7">
            <w:pPr>
              <w:jc w:val="left"/>
              <w:rPr>
                <w:rFonts w:ascii="仿宋" w:eastAsia="仿宋" w:hAnsi="仿宋" w:cs="仿宋"/>
                <w:sz w:val="24"/>
              </w:rPr>
            </w:pPr>
          </w:p>
        </w:tc>
        <w:tc>
          <w:tcPr>
            <w:tcW w:w="851" w:type="dxa"/>
            <w:vMerge/>
            <w:vAlign w:val="center"/>
          </w:tcPr>
          <w:p w:rsidR="00013EC7" w:rsidRDefault="00013EC7">
            <w:pPr>
              <w:jc w:val="left"/>
              <w:rPr>
                <w:rFonts w:ascii="仿宋" w:eastAsia="仿宋" w:hAnsi="仿宋" w:cs="仿宋"/>
                <w:sz w:val="24"/>
              </w:rPr>
            </w:pPr>
          </w:p>
        </w:tc>
        <w:tc>
          <w:tcPr>
            <w:tcW w:w="6804" w:type="dxa"/>
            <w:vMerge/>
            <w:vAlign w:val="center"/>
          </w:tcPr>
          <w:p w:rsidR="00013EC7" w:rsidRDefault="00013EC7">
            <w:pPr>
              <w:jc w:val="left"/>
              <w:rPr>
                <w:rFonts w:ascii="仿宋" w:eastAsia="仿宋" w:hAnsi="仿宋" w:cs="仿宋"/>
                <w:sz w:val="24"/>
              </w:rPr>
            </w:pPr>
          </w:p>
        </w:tc>
        <w:tc>
          <w:tcPr>
            <w:tcW w:w="1842" w:type="dxa"/>
            <w:vAlign w:val="center"/>
          </w:tcPr>
          <w:p w:rsidR="00013EC7" w:rsidRDefault="00575CDB">
            <w:pPr>
              <w:widowControl/>
              <w:jc w:val="left"/>
              <w:textAlignment w:val="center"/>
              <w:rPr>
                <w:rFonts w:ascii="仿宋" w:eastAsia="仿宋" w:hAnsi="仿宋" w:cs="仿宋"/>
                <w:sz w:val="24"/>
              </w:rPr>
            </w:pPr>
            <w:r>
              <w:rPr>
                <w:rStyle w:val="font41"/>
                <w:rFonts w:ascii="仿宋" w:eastAsia="仿宋" w:hAnsi="仿宋" w:cs="仿宋" w:hint="eastAsia"/>
                <w:sz w:val="24"/>
              </w:rPr>
              <w:t>（三）</w:t>
            </w:r>
            <w:r>
              <w:rPr>
                <w:rFonts w:ascii="仿宋" w:eastAsia="仿宋" w:hAnsi="仿宋" w:cs="仿宋" w:hint="eastAsia"/>
                <w:color w:val="000000"/>
                <w:kern w:val="0"/>
                <w:sz w:val="24"/>
              </w:rPr>
              <w:t>增值税专用发票记账联复印件。</w:t>
            </w:r>
          </w:p>
        </w:tc>
        <w:tc>
          <w:tcPr>
            <w:tcW w:w="993" w:type="dxa"/>
            <w:vMerge w:val="restart"/>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丢失增值税专用发票的纳税人提交</w:t>
            </w:r>
          </w:p>
        </w:tc>
        <w:tc>
          <w:tcPr>
            <w:tcW w:w="1701" w:type="dxa"/>
            <w:vAlign w:val="center"/>
          </w:tcPr>
          <w:p w:rsidR="00013EC7" w:rsidRDefault="00575CDB">
            <w:pPr>
              <w:widowControl/>
              <w:jc w:val="left"/>
              <w:textAlignment w:val="center"/>
              <w:rPr>
                <w:rFonts w:ascii="仿宋" w:eastAsia="仿宋" w:hAnsi="仿宋" w:cs="仿宋"/>
                <w:sz w:val="24"/>
              </w:rPr>
            </w:pPr>
            <w:r>
              <w:rPr>
                <w:rStyle w:val="font41"/>
                <w:rFonts w:ascii="仿宋" w:eastAsia="仿宋" w:hAnsi="仿宋" w:cs="仿宋" w:hint="eastAsia"/>
                <w:sz w:val="24"/>
              </w:rPr>
              <w:t>（三）</w:t>
            </w:r>
            <w:r>
              <w:rPr>
                <w:rFonts w:ascii="仿宋" w:eastAsia="仿宋" w:hAnsi="仿宋" w:cs="仿宋" w:hint="eastAsia"/>
                <w:color w:val="000000"/>
                <w:kern w:val="0"/>
                <w:sz w:val="24"/>
              </w:rPr>
              <w:t>增值税专用发票记账联复印件。</w:t>
            </w:r>
          </w:p>
        </w:tc>
        <w:tc>
          <w:tcPr>
            <w:tcW w:w="865" w:type="dxa"/>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丢失增值税专用发票的纳税人提交</w:t>
            </w:r>
          </w:p>
        </w:tc>
        <w:tc>
          <w:tcPr>
            <w:tcW w:w="1678" w:type="dxa"/>
            <w:vMerge w:val="restart"/>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b/>
                <w:bCs/>
                <w:color w:val="000000"/>
                <w:kern w:val="0"/>
                <w:sz w:val="24"/>
              </w:rPr>
              <w:t>现场办理：</w:t>
            </w:r>
            <w:r>
              <w:rPr>
                <w:rFonts w:ascii="仿宋" w:eastAsia="仿宋" w:hAnsi="仿宋" w:cs="仿宋" w:hint="eastAsia"/>
                <w:color w:val="000000"/>
                <w:kern w:val="0"/>
                <w:sz w:val="24"/>
              </w:rPr>
              <w:t>纳税人提交材料。</w:t>
            </w:r>
          </w:p>
        </w:tc>
        <w:tc>
          <w:tcPr>
            <w:tcW w:w="868" w:type="dxa"/>
            <w:vMerge/>
            <w:vAlign w:val="center"/>
          </w:tcPr>
          <w:p w:rsidR="00013EC7" w:rsidRDefault="00013EC7">
            <w:pPr>
              <w:jc w:val="left"/>
              <w:rPr>
                <w:rFonts w:ascii="仿宋" w:eastAsia="仿宋" w:hAnsi="仿宋" w:cs="仿宋"/>
                <w:sz w:val="24"/>
              </w:rPr>
            </w:pPr>
          </w:p>
        </w:tc>
        <w:tc>
          <w:tcPr>
            <w:tcW w:w="925" w:type="dxa"/>
            <w:vMerge/>
            <w:vAlign w:val="center"/>
          </w:tcPr>
          <w:p w:rsidR="00013EC7" w:rsidRDefault="00013EC7">
            <w:pPr>
              <w:jc w:val="left"/>
              <w:rPr>
                <w:rFonts w:ascii="仿宋" w:eastAsia="仿宋" w:hAnsi="仿宋" w:cs="仿宋"/>
                <w:sz w:val="24"/>
              </w:rPr>
            </w:pPr>
          </w:p>
        </w:tc>
        <w:tc>
          <w:tcPr>
            <w:tcW w:w="941" w:type="dxa"/>
            <w:vMerge/>
            <w:vAlign w:val="center"/>
          </w:tcPr>
          <w:p w:rsidR="00013EC7" w:rsidRDefault="00013EC7">
            <w:pPr>
              <w:jc w:val="left"/>
              <w:rPr>
                <w:rFonts w:ascii="仿宋" w:eastAsia="仿宋" w:hAnsi="仿宋" w:cs="仿宋"/>
                <w:sz w:val="24"/>
              </w:rPr>
            </w:pPr>
          </w:p>
        </w:tc>
        <w:tc>
          <w:tcPr>
            <w:tcW w:w="1091" w:type="dxa"/>
            <w:vMerge/>
            <w:vAlign w:val="center"/>
          </w:tcPr>
          <w:p w:rsidR="00013EC7" w:rsidRDefault="00013EC7">
            <w:pPr>
              <w:jc w:val="left"/>
              <w:rPr>
                <w:rFonts w:ascii="仿宋" w:eastAsia="仿宋" w:hAnsi="仿宋" w:cs="仿宋"/>
                <w:sz w:val="24"/>
              </w:rPr>
            </w:pPr>
          </w:p>
        </w:tc>
        <w:tc>
          <w:tcPr>
            <w:tcW w:w="1282" w:type="dxa"/>
            <w:vMerge/>
            <w:vAlign w:val="center"/>
          </w:tcPr>
          <w:p w:rsidR="00013EC7" w:rsidRDefault="00013EC7">
            <w:pPr>
              <w:jc w:val="left"/>
              <w:rPr>
                <w:rFonts w:ascii="仿宋" w:eastAsia="仿宋" w:hAnsi="仿宋" w:cs="仿宋"/>
                <w:sz w:val="24"/>
              </w:rPr>
            </w:pPr>
          </w:p>
        </w:tc>
      </w:tr>
      <w:tr w:rsidR="00013EC7">
        <w:trPr>
          <w:trHeight w:val="340"/>
        </w:trPr>
        <w:tc>
          <w:tcPr>
            <w:tcW w:w="766" w:type="dxa"/>
            <w:vMerge/>
            <w:vAlign w:val="center"/>
          </w:tcPr>
          <w:p w:rsidR="00013EC7" w:rsidRDefault="00013EC7">
            <w:pPr>
              <w:jc w:val="left"/>
              <w:rPr>
                <w:rFonts w:ascii="仿宋" w:eastAsia="仿宋" w:hAnsi="仿宋" w:cs="仿宋"/>
                <w:sz w:val="24"/>
              </w:rPr>
            </w:pPr>
          </w:p>
        </w:tc>
        <w:tc>
          <w:tcPr>
            <w:tcW w:w="851" w:type="dxa"/>
            <w:vMerge/>
            <w:vAlign w:val="center"/>
          </w:tcPr>
          <w:p w:rsidR="00013EC7" w:rsidRDefault="00013EC7">
            <w:pPr>
              <w:jc w:val="left"/>
              <w:rPr>
                <w:rFonts w:ascii="仿宋" w:eastAsia="仿宋" w:hAnsi="仿宋" w:cs="仿宋"/>
                <w:sz w:val="24"/>
              </w:rPr>
            </w:pPr>
          </w:p>
        </w:tc>
        <w:tc>
          <w:tcPr>
            <w:tcW w:w="6804" w:type="dxa"/>
            <w:vMerge/>
            <w:vAlign w:val="center"/>
          </w:tcPr>
          <w:p w:rsidR="00013EC7" w:rsidRDefault="00013EC7">
            <w:pPr>
              <w:jc w:val="left"/>
              <w:rPr>
                <w:rFonts w:ascii="仿宋" w:eastAsia="仿宋" w:hAnsi="仿宋" w:cs="仿宋"/>
                <w:sz w:val="24"/>
              </w:rPr>
            </w:pPr>
          </w:p>
        </w:tc>
        <w:tc>
          <w:tcPr>
            <w:tcW w:w="1842" w:type="dxa"/>
            <w:vAlign w:val="center"/>
          </w:tcPr>
          <w:p w:rsidR="00013EC7" w:rsidRDefault="00575CDB">
            <w:pPr>
              <w:widowControl/>
              <w:jc w:val="left"/>
              <w:textAlignment w:val="center"/>
              <w:rPr>
                <w:rFonts w:ascii="仿宋" w:eastAsia="仿宋" w:hAnsi="仿宋" w:cs="仿宋"/>
                <w:sz w:val="24"/>
              </w:rPr>
            </w:pPr>
            <w:r>
              <w:rPr>
                <w:rStyle w:val="font41"/>
                <w:rFonts w:ascii="仿宋" w:eastAsia="仿宋" w:hAnsi="仿宋" w:cs="仿宋" w:hint="eastAsia"/>
                <w:sz w:val="24"/>
              </w:rPr>
              <w:t>（四）</w:t>
            </w:r>
            <w:r>
              <w:rPr>
                <w:rFonts w:ascii="仿宋" w:eastAsia="仿宋" w:hAnsi="仿宋" w:cs="仿宋" w:hint="eastAsia"/>
                <w:color w:val="000000"/>
                <w:kern w:val="0"/>
                <w:sz w:val="24"/>
              </w:rPr>
              <w:t>《丢失增值税专用发票已报税证明单》。</w:t>
            </w:r>
          </w:p>
        </w:tc>
        <w:tc>
          <w:tcPr>
            <w:tcW w:w="993" w:type="dxa"/>
            <w:vMerge/>
            <w:vAlign w:val="center"/>
          </w:tcPr>
          <w:p w:rsidR="00013EC7" w:rsidRDefault="00013EC7">
            <w:pPr>
              <w:jc w:val="left"/>
              <w:rPr>
                <w:rFonts w:ascii="仿宋" w:eastAsia="仿宋" w:hAnsi="仿宋" w:cs="仿宋"/>
                <w:sz w:val="24"/>
              </w:rPr>
            </w:pPr>
          </w:p>
        </w:tc>
        <w:tc>
          <w:tcPr>
            <w:tcW w:w="1701" w:type="dxa"/>
            <w:vAlign w:val="center"/>
          </w:tcPr>
          <w:p w:rsidR="00013EC7" w:rsidRDefault="00013EC7">
            <w:pPr>
              <w:widowControl/>
              <w:jc w:val="left"/>
              <w:textAlignment w:val="center"/>
              <w:rPr>
                <w:rFonts w:ascii="仿宋" w:eastAsia="仿宋" w:hAnsi="仿宋" w:cs="仿宋"/>
                <w:sz w:val="24"/>
              </w:rPr>
            </w:pPr>
          </w:p>
        </w:tc>
        <w:tc>
          <w:tcPr>
            <w:tcW w:w="865" w:type="dxa"/>
            <w:vAlign w:val="center"/>
          </w:tcPr>
          <w:p w:rsidR="00013EC7" w:rsidRDefault="00575CDB">
            <w:pPr>
              <w:jc w:val="left"/>
              <w:rPr>
                <w:rFonts w:ascii="仿宋" w:eastAsia="仿宋" w:hAnsi="仿宋" w:cs="仿宋"/>
                <w:b/>
                <w:i/>
                <w:sz w:val="24"/>
              </w:rPr>
            </w:pPr>
            <w:r>
              <w:rPr>
                <w:rFonts w:ascii="仿宋" w:eastAsia="仿宋" w:hAnsi="仿宋" w:cs="仿宋" w:hint="eastAsia"/>
                <w:b/>
                <w:i/>
                <w:sz w:val="24"/>
              </w:rPr>
              <w:t>取消</w:t>
            </w:r>
          </w:p>
        </w:tc>
        <w:tc>
          <w:tcPr>
            <w:tcW w:w="1678" w:type="dxa"/>
            <w:vMerge/>
            <w:vAlign w:val="center"/>
          </w:tcPr>
          <w:p w:rsidR="00013EC7" w:rsidRDefault="00013EC7">
            <w:pPr>
              <w:jc w:val="left"/>
              <w:rPr>
                <w:rFonts w:ascii="仿宋" w:eastAsia="仿宋" w:hAnsi="仿宋" w:cs="仿宋"/>
                <w:sz w:val="24"/>
              </w:rPr>
            </w:pPr>
          </w:p>
        </w:tc>
        <w:tc>
          <w:tcPr>
            <w:tcW w:w="868" w:type="dxa"/>
            <w:vMerge/>
            <w:vAlign w:val="center"/>
          </w:tcPr>
          <w:p w:rsidR="00013EC7" w:rsidRDefault="00013EC7">
            <w:pPr>
              <w:jc w:val="left"/>
              <w:rPr>
                <w:rFonts w:ascii="仿宋" w:eastAsia="仿宋" w:hAnsi="仿宋" w:cs="仿宋"/>
                <w:sz w:val="24"/>
              </w:rPr>
            </w:pPr>
          </w:p>
        </w:tc>
        <w:tc>
          <w:tcPr>
            <w:tcW w:w="925" w:type="dxa"/>
            <w:vMerge/>
            <w:vAlign w:val="center"/>
          </w:tcPr>
          <w:p w:rsidR="00013EC7" w:rsidRDefault="00013EC7">
            <w:pPr>
              <w:jc w:val="left"/>
              <w:rPr>
                <w:rFonts w:ascii="仿宋" w:eastAsia="仿宋" w:hAnsi="仿宋" w:cs="仿宋"/>
                <w:sz w:val="24"/>
              </w:rPr>
            </w:pPr>
          </w:p>
        </w:tc>
        <w:tc>
          <w:tcPr>
            <w:tcW w:w="941" w:type="dxa"/>
            <w:vMerge/>
            <w:vAlign w:val="center"/>
          </w:tcPr>
          <w:p w:rsidR="00013EC7" w:rsidRDefault="00013EC7">
            <w:pPr>
              <w:jc w:val="left"/>
              <w:rPr>
                <w:rFonts w:ascii="仿宋" w:eastAsia="仿宋" w:hAnsi="仿宋" w:cs="仿宋"/>
                <w:sz w:val="24"/>
              </w:rPr>
            </w:pPr>
          </w:p>
        </w:tc>
        <w:tc>
          <w:tcPr>
            <w:tcW w:w="1091" w:type="dxa"/>
            <w:vMerge/>
            <w:vAlign w:val="center"/>
          </w:tcPr>
          <w:p w:rsidR="00013EC7" w:rsidRDefault="00013EC7">
            <w:pPr>
              <w:jc w:val="left"/>
              <w:rPr>
                <w:rFonts w:ascii="仿宋" w:eastAsia="仿宋" w:hAnsi="仿宋" w:cs="仿宋"/>
                <w:sz w:val="24"/>
              </w:rPr>
            </w:pPr>
          </w:p>
        </w:tc>
        <w:tc>
          <w:tcPr>
            <w:tcW w:w="1282" w:type="dxa"/>
            <w:vMerge/>
            <w:vAlign w:val="center"/>
          </w:tcPr>
          <w:p w:rsidR="00013EC7" w:rsidRDefault="00013EC7">
            <w:pPr>
              <w:jc w:val="left"/>
              <w:rPr>
                <w:rFonts w:ascii="仿宋" w:eastAsia="仿宋" w:hAnsi="仿宋" w:cs="仿宋"/>
                <w:sz w:val="24"/>
              </w:rPr>
            </w:pPr>
          </w:p>
        </w:tc>
      </w:tr>
    </w:tbl>
    <w:p w:rsidR="00013EC7" w:rsidRDefault="00013EC7">
      <w:pPr>
        <w:rPr>
          <w:rFonts w:eastAsia="方正书宋简体"/>
          <w:szCs w:val="21"/>
        </w:rPr>
      </w:pPr>
    </w:p>
    <w:p w:rsidR="00013EC7" w:rsidRDefault="00013EC7">
      <w:pPr>
        <w:rPr>
          <w:rFonts w:ascii="宋体" w:hAnsi="宋体"/>
          <w:kern w:val="0"/>
          <w:szCs w:val="28"/>
        </w:rPr>
      </w:pPr>
    </w:p>
    <w:p w:rsidR="00013EC7" w:rsidRDefault="005262E6">
      <w:pPr>
        <w:rPr>
          <w:rFonts w:ascii="宋体" w:hAnsi="宋体"/>
          <w:kern w:val="0"/>
          <w:szCs w:val="28"/>
        </w:rPr>
      </w:pPr>
      <w:r>
        <w:lastRenderedPageBreak/>
        <w:object w:dxaOrig="1440" w:dyaOrig="1440">
          <v:shape id="_x0000_s1271" type="#_x0000_t75" style="position:absolute;left:0;text-align:left;margin-left:611.05pt;margin-top:92.05pt;width:314.3pt;height:537.3pt;z-index:251612160;mso-wrap-distance-top:0;mso-wrap-distance-bottom:0;mso-position-vertical-relative:page;mso-width-relative:page;mso-height-relative:page">
            <v:imagedata r:id="rId170" o:title=""/>
            <w10:wrap type="topAndBottom" anchory="page"/>
          </v:shape>
          <o:OLEObject Type="Embed" ProgID="Visio.Drawing.11" ShapeID="_x0000_s1271" DrawAspect="Content" ObjectID="_1577296215" r:id="rId171"/>
        </w:object>
      </w:r>
      <w:r>
        <w:object w:dxaOrig="1440" w:dyaOrig="1440">
          <v:shape id="_x0000_s1270" type="#_x0000_t75" style="position:absolute;left:0;text-align:left;margin-left:26.35pt;margin-top:87.8pt;width:373.85pt;height:546.1pt;z-index:251611136;mso-wrap-distance-top:0;mso-wrap-distance-bottom:0;mso-position-vertical-relative:page;mso-width-relative:page;mso-height-relative:page">
            <v:imagedata r:id="rId172" o:title=""/>
            <w10:wrap type="topAndBottom" anchory="page"/>
          </v:shape>
          <o:OLEObject Type="Embed" ProgID="Visio.Drawing.11" ShapeID="_x0000_s1270" DrawAspect="Content" ObjectID="_1577296216" r:id="rId173"/>
        </w:object>
      </w:r>
      <w:r w:rsidR="00575CDB">
        <w:rPr>
          <w:rFonts w:ascii="宋体" w:hAnsi="宋体" w:hint="eastAsia"/>
          <w:kern w:val="0"/>
          <w:szCs w:val="28"/>
        </w:rPr>
        <w:br w:type="page"/>
      </w:r>
      <w:bookmarkStart w:id="258" w:name="_Toc498705723"/>
    </w:p>
    <w:p w:rsidR="00013EC7" w:rsidRDefault="00575CDB">
      <w:pPr>
        <w:pStyle w:val="1"/>
      </w:pPr>
      <w:bookmarkStart w:id="259" w:name="_Toc503467413"/>
      <w:bookmarkStart w:id="260" w:name="_Toc16839"/>
      <w:bookmarkStart w:id="261" w:name="_Toc16854"/>
      <w:bookmarkStart w:id="262" w:name="_Toc5413"/>
      <w:r>
        <w:rPr>
          <w:rFonts w:hint="eastAsia"/>
        </w:rPr>
        <w:lastRenderedPageBreak/>
        <w:t>十五、未按期</w:t>
      </w:r>
      <w:r>
        <w:rPr>
          <w:rFonts w:hint="eastAsia"/>
        </w:rPr>
        <w:t>/</w:t>
      </w:r>
      <w:r>
        <w:rPr>
          <w:rFonts w:hint="eastAsia"/>
        </w:rPr>
        <w:t>逾期凭证抵扣办理</w:t>
      </w:r>
      <w:bookmarkEnd w:id="259"/>
      <w:bookmarkEnd w:id="260"/>
      <w:bookmarkEnd w:id="261"/>
      <w:bookmarkEnd w:id="262"/>
    </w:p>
    <w:p w:rsidR="00013EC7" w:rsidRDefault="00575CDB">
      <w:pPr>
        <w:pStyle w:val="2"/>
      </w:pPr>
      <w:bookmarkStart w:id="263" w:name="_Toc16813"/>
      <w:bookmarkStart w:id="264" w:name="_Toc503467414"/>
      <w:bookmarkStart w:id="265" w:name="_Toc14643"/>
      <w:bookmarkStart w:id="266" w:name="_Toc24084"/>
      <w:r>
        <w:rPr>
          <w:rFonts w:hint="eastAsia"/>
        </w:rPr>
        <w:t>15.1</w:t>
      </w:r>
      <w:r>
        <w:rPr>
          <w:rFonts w:hint="eastAsia"/>
        </w:rPr>
        <w:t>未按期申报增值税扣税凭证继续抵扣申请</w:t>
      </w:r>
      <w:bookmarkEnd w:id="258"/>
      <w:bookmarkEnd w:id="263"/>
      <w:bookmarkEnd w:id="264"/>
      <w:bookmarkEnd w:id="265"/>
      <w:bookmarkEnd w:id="266"/>
    </w:p>
    <w:p w:rsidR="00013EC7" w:rsidRDefault="00575CDB">
      <w:pPr>
        <w:jc w:val="center"/>
        <w:rPr>
          <w:rFonts w:ascii="宋体" w:hAnsi="宋体" w:cs="宋体"/>
          <w:b/>
          <w:bCs/>
          <w:sz w:val="44"/>
          <w:szCs w:val="44"/>
        </w:rPr>
      </w:pPr>
      <w:r>
        <w:rPr>
          <w:rFonts w:ascii="宋体" w:hAnsi="宋体" w:cs="宋体" w:hint="eastAsia"/>
          <w:b/>
          <w:bCs/>
          <w:sz w:val="52"/>
          <w:szCs w:val="52"/>
        </w:rPr>
        <w:t>全省“最多跑一次”事项“八统一”梳理表</w:t>
      </w:r>
    </w:p>
    <w:tbl>
      <w:tblPr>
        <w:tblW w:w="20704"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1250"/>
        <w:gridCol w:w="1316"/>
        <w:gridCol w:w="2114"/>
        <w:gridCol w:w="2785"/>
        <w:gridCol w:w="1333"/>
        <w:gridCol w:w="2809"/>
        <w:gridCol w:w="1431"/>
        <w:gridCol w:w="2462"/>
        <w:gridCol w:w="868"/>
        <w:gridCol w:w="939"/>
        <w:gridCol w:w="817"/>
        <w:gridCol w:w="1104"/>
        <w:gridCol w:w="1476"/>
      </w:tblGrid>
      <w:tr w:rsidR="00013EC7">
        <w:trPr>
          <w:trHeight w:val="340"/>
          <w:tblHeader/>
          <w:jc w:val="center"/>
        </w:trPr>
        <w:tc>
          <w:tcPr>
            <w:tcW w:w="1250"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主项名称</w:t>
            </w:r>
          </w:p>
        </w:tc>
        <w:tc>
          <w:tcPr>
            <w:tcW w:w="1316"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子项名称</w:t>
            </w:r>
          </w:p>
        </w:tc>
        <w:tc>
          <w:tcPr>
            <w:tcW w:w="2114"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经办依据</w:t>
            </w:r>
          </w:p>
        </w:tc>
        <w:tc>
          <w:tcPr>
            <w:tcW w:w="4118"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原经办所需材料</w:t>
            </w:r>
          </w:p>
        </w:tc>
        <w:tc>
          <w:tcPr>
            <w:tcW w:w="6702" w:type="dxa"/>
            <w:gridSpan w:val="3"/>
            <w:vAlign w:val="center"/>
          </w:tcPr>
          <w:p w:rsidR="00013EC7" w:rsidRDefault="00575CDB">
            <w:pPr>
              <w:spacing w:line="280" w:lineRule="exact"/>
              <w:jc w:val="center"/>
              <w:rPr>
                <w:rFonts w:ascii="黑体" w:eastAsia="黑体"/>
                <w:sz w:val="24"/>
              </w:rPr>
            </w:pPr>
            <w:r>
              <w:rPr>
                <w:rFonts w:ascii="黑体" w:eastAsia="黑体" w:hint="eastAsia"/>
                <w:sz w:val="24"/>
              </w:rPr>
              <w:t>梳理后经办所需材料</w:t>
            </w:r>
          </w:p>
        </w:tc>
        <w:tc>
          <w:tcPr>
            <w:tcW w:w="1807"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办理时限</w:t>
            </w:r>
          </w:p>
        </w:tc>
        <w:tc>
          <w:tcPr>
            <w:tcW w:w="817"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是否实现跑零次</w:t>
            </w:r>
          </w:p>
        </w:tc>
        <w:tc>
          <w:tcPr>
            <w:tcW w:w="1104"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省厅对口</w:t>
            </w:r>
          </w:p>
          <w:p w:rsidR="00013EC7" w:rsidRDefault="00575CDB">
            <w:pPr>
              <w:spacing w:line="280" w:lineRule="exact"/>
              <w:jc w:val="center"/>
              <w:rPr>
                <w:rFonts w:ascii="黑体" w:eastAsia="黑体"/>
                <w:sz w:val="24"/>
              </w:rPr>
            </w:pPr>
            <w:r>
              <w:rPr>
                <w:rFonts w:ascii="黑体" w:eastAsia="黑体" w:hint="eastAsia"/>
                <w:sz w:val="24"/>
              </w:rPr>
              <w:t>指导处室</w:t>
            </w:r>
          </w:p>
          <w:p w:rsidR="00013EC7" w:rsidRDefault="00575CDB">
            <w:pPr>
              <w:spacing w:line="280" w:lineRule="exact"/>
              <w:jc w:val="center"/>
              <w:rPr>
                <w:rFonts w:ascii="黑体" w:eastAsia="黑体"/>
                <w:sz w:val="24"/>
              </w:rPr>
            </w:pPr>
            <w:r>
              <w:rPr>
                <w:rFonts w:ascii="黑体" w:eastAsia="黑体" w:hint="eastAsia"/>
                <w:sz w:val="24"/>
              </w:rPr>
              <w:t>（单位）</w:t>
            </w:r>
          </w:p>
        </w:tc>
        <w:tc>
          <w:tcPr>
            <w:tcW w:w="1476"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进一步精简、</w:t>
            </w:r>
          </w:p>
          <w:p w:rsidR="00013EC7" w:rsidRDefault="00575CDB">
            <w:pPr>
              <w:spacing w:line="280" w:lineRule="exact"/>
              <w:jc w:val="center"/>
              <w:rPr>
                <w:rFonts w:ascii="黑体" w:eastAsia="黑体"/>
                <w:sz w:val="24"/>
              </w:rPr>
            </w:pPr>
            <w:r>
              <w:rPr>
                <w:rFonts w:ascii="黑体" w:eastAsia="黑体" w:hint="eastAsia"/>
                <w:sz w:val="24"/>
              </w:rPr>
              <w:t>规范建议</w:t>
            </w:r>
          </w:p>
        </w:tc>
      </w:tr>
      <w:tr w:rsidR="00013EC7">
        <w:trPr>
          <w:trHeight w:val="340"/>
          <w:tblHeader/>
          <w:jc w:val="center"/>
        </w:trPr>
        <w:tc>
          <w:tcPr>
            <w:tcW w:w="1250" w:type="dxa"/>
            <w:vMerge/>
            <w:vAlign w:val="center"/>
          </w:tcPr>
          <w:p w:rsidR="00013EC7" w:rsidRDefault="00013EC7">
            <w:pPr>
              <w:rPr>
                <w:sz w:val="24"/>
              </w:rPr>
            </w:pPr>
          </w:p>
        </w:tc>
        <w:tc>
          <w:tcPr>
            <w:tcW w:w="1316" w:type="dxa"/>
            <w:vMerge/>
          </w:tcPr>
          <w:p w:rsidR="00013EC7" w:rsidRDefault="00013EC7">
            <w:pPr>
              <w:rPr>
                <w:sz w:val="24"/>
              </w:rPr>
            </w:pPr>
          </w:p>
        </w:tc>
        <w:tc>
          <w:tcPr>
            <w:tcW w:w="2114" w:type="dxa"/>
            <w:vMerge/>
          </w:tcPr>
          <w:p w:rsidR="00013EC7" w:rsidRDefault="00013EC7">
            <w:pPr>
              <w:rPr>
                <w:sz w:val="24"/>
              </w:rPr>
            </w:pPr>
          </w:p>
        </w:tc>
        <w:tc>
          <w:tcPr>
            <w:tcW w:w="2785" w:type="dxa"/>
            <w:tcBorders>
              <w:bottom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333"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2809" w:type="dxa"/>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431"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2462" w:type="dxa"/>
            <w:vAlign w:val="center"/>
          </w:tcPr>
          <w:p w:rsidR="00013EC7" w:rsidRDefault="00575CDB">
            <w:pPr>
              <w:spacing w:line="280" w:lineRule="exact"/>
              <w:jc w:val="center"/>
              <w:rPr>
                <w:rFonts w:ascii="黑体" w:eastAsia="黑体"/>
                <w:sz w:val="24"/>
              </w:rPr>
            </w:pPr>
            <w:r>
              <w:rPr>
                <w:rFonts w:ascii="黑体" w:eastAsia="黑体" w:hint="eastAsia"/>
                <w:sz w:val="24"/>
              </w:rPr>
              <w:t>办理方式及材料</w:t>
            </w:r>
          </w:p>
          <w:p w:rsidR="00013EC7" w:rsidRDefault="00575CDB">
            <w:pPr>
              <w:spacing w:line="280" w:lineRule="exact"/>
              <w:jc w:val="center"/>
              <w:rPr>
                <w:rFonts w:ascii="黑体" w:eastAsia="黑体"/>
                <w:sz w:val="24"/>
              </w:rPr>
            </w:pPr>
            <w:r>
              <w:rPr>
                <w:rFonts w:ascii="黑体" w:eastAsia="黑体" w:hint="eastAsia"/>
                <w:sz w:val="24"/>
              </w:rPr>
              <w:t>信息获取方式说明</w:t>
            </w:r>
          </w:p>
        </w:tc>
        <w:tc>
          <w:tcPr>
            <w:tcW w:w="868" w:type="dxa"/>
            <w:vAlign w:val="center"/>
          </w:tcPr>
          <w:p w:rsidR="00013EC7" w:rsidRDefault="00575CDB">
            <w:pPr>
              <w:spacing w:line="280" w:lineRule="exact"/>
              <w:jc w:val="center"/>
              <w:rPr>
                <w:rFonts w:ascii="黑体" w:eastAsia="黑体"/>
                <w:sz w:val="24"/>
              </w:rPr>
            </w:pPr>
            <w:r>
              <w:rPr>
                <w:rFonts w:ascii="黑体" w:eastAsia="黑体" w:hint="eastAsia"/>
                <w:sz w:val="24"/>
              </w:rPr>
              <w:t>优化前</w:t>
            </w:r>
          </w:p>
        </w:tc>
        <w:tc>
          <w:tcPr>
            <w:tcW w:w="939" w:type="dxa"/>
            <w:vAlign w:val="center"/>
          </w:tcPr>
          <w:p w:rsidR="00013EC7" w:rsidRDefault="00575CDB">
            <w:pPr>
              <w:spacing w:line="280" w:lineRule="exact"/>
              <w:jc w:val="center"/>
              <w:rPr>
                <w:rFonts w:ascii="黑体" w:eastAsia="黑体"/>
                <w:sz w:val="24"/>
              </w:rPr>
            </w:pPr>
            <w:r>
              <w:rPr>
                <w:rFonts w:ascii="黑体" w:eastAsia="黑体" w:hint="eastAsia"/>
                <w:sz w:val="24"/>
              </w:rPr>
              <w:t>优化后</w:t>
            </w:r>
          </w:p>
        </w:tc>
        <w:tc>
          <w:tcPr>
            <w:tcW w:w="817" w:type="dxa"/>
            <w:vMerge/>
            <w:vAlign w:val="center"/>
          </w:tcPr>
          <w:p w:rsidR="00013EC7" w:rsidRDefault="00013EC7">
            <w:pPr>
              <w:rPr>
                <w:sz w:val="24"/>
              </w:rPr>
            </w:pPr>
          </w:p>
        </w:tc>
        <w:tc>
          <w:tcPr>
            <w:tcW w:w="1104" w:type="dxa"/>
            <w:vMerge/>
            <w:vAlign w:val="center"/>
          </w:tcPr>
          <w:p w:rsidR="00013EC7" w:rsidRDefault="00013EC7">
            <w:pPr>
              <w:rPr>
                <w:sz w:val="24"/>
              </w:rPr>
            </w:pPr>
          </w:p>
        </w:tc>
        <w:tc>
          <w:tcPr>
            <w:tcW w:w="1476" w:type="dxa"/>
            <w:vMerge/>
            <w:vAlign w:val="center"/>
          </w:tcPr>
          <w:p w:rsidR="00013EC7" w:rsidRDefault="00013EC7">
            <w:pPr>
              <w:rPr>
                <w:sz w:val="24"/>
              </w:rPr>
            </w:pPr>
          </w:p>
        </w:tc>
      </w:tr>
      <w:tr w:rsidR="00013EC7">
        <w:trPr>
          <w:trHeight w:val="1475"/>
          <w:jc w:val="center"/>
        </w:trPr>
        <w:tc>
          <w:tcPr>
            <w:tcW w:w="1250" w:type="dxa"/>
            <w:vMerge w:val="restart"/>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15未按期申报/逾期凭证抵扣办理</w:t>
            </w:r>
          </w:p>
        </w:tc>
        <w:tc>
          <w:tcPr>
            <w:tcW w:w="1316" w:type="dxa"/>
            <w:vMerge w:val="restart"/>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15.1未按期申报增值税扣税凭证继续抵扣申请</w:t>
            </w:r>
          </w:p>
        </w:tc>
        <w:tc>
          <w:tcPr>
            <w:tcW w:w="2114" w:type="dxa"/>
            <w:vMerge w:val="restart"/>
            <w:vAlign w:val="center"/>
          </w:tcPr>
          <w:p w:rsidR="00013EC7" w:rsidRDefault="00575CDB">
            <w:pPr>
              <w:widowControl/>
              <w:spacing w:after="210"/>
              <w:jc w:val="left"/>
              <w:textAlignment w:val="center"/>
              <w:rPr>
                <w:rStyle w:val="font21"/>
                <w:rFonts w:ascii="仿宋" w:eastAsia="仿宋" w:hAnsi="仿宋" w:cs="仿宋"/>
                <w:b w:val="0"/>
                <w:sz w:val="24"/>
              </w:rPr>
            </w:pPr>
            <w:r>
              <w:rPr>
                <w:rStyle w:val="font21"/>
                <w:rFonts w:ascii="仿宋" w:eastAsia="仿宋" w:hAnsi="仿宋" w:cs="仿宋" w:hint="eastAsia"/>
                <w:b w:val="0"/>
                <w:sz w:val="24"/>
              </w:rPr>
              <w:t>（一）《国家税务总局关于未按期申报抵扣增值税扣税凭证有关问题的公告》（国家税务总局公告2011年第78号）全文。</w:t>
            </w:r>
          </w:p>
          <w:p w:rsidR="00013EC7" w:rsidRDefault="00575CDB">
            <w:pPr>
              <w:widowControl/>
              <w:spacing w:after="210"/>
              <w:jc w:val="left"/>
              <w:textAlignment w:val="center"/>
              <w:rPr>
                <w:rStyle w:val="font21"/>
                <w:rFonts w:ascii="仿宋" w:eastAsia="仿宋" w:hAnsi="仿宋" w:cs="仿宋"/>
                <w:b w:val="0"/>
                <w:sz w:val="24"/>
              </w:rPr>
            </w:pPr>
            <w:r>
              <w:rPr>
                <w:rStyle w:val="font21"/>
                <w:rFonts w:ascii="仿宋" w:eastAsia="仿宋" w:hAnsi="仿宋" w:cs="仿宋" w:hint="eastAsia"/>
                <w:b w:val="0"/>
                <w:sz w:val="24"/>
              </w:rPr>
              <w:t>（二）《国家税务总局关于进一步规范增值税、消费税、车辆购置税有关涉税事项办理的通知》（税总函〔2017〕426号）第二条。</w:t>
            </w:r>
          </w:p>
        </w:tc>
        <w:tc>
          <w:tcPr>
            <w:tcW w:w="2785" w:type="dxa"/>
            <w:tcBorders>
              <w:top w:val="single" w:sz="4" w:space="0" w:color="auto"/>
              <w:bottom w:val="single" w:sz="4" w:space="0" w:color="auto"/>
            </w:tcBorders>
            <w:vAlign w:val="center"/>
          </w:tcPr>
          <w:p w:rsidR="00013EC7" w:rsidRDefault="00575CDB">
            <w:pPr>
              <w:widowControl/>
              <w:jc w:val="left"/>
              <w:textAlignment w:val="center"/>
              <w:rPr>
                <w:rFonts w:ascii="仿宋" w:eastAsia="仿宋" w:hAnsi="仿宋" w:cs="仿宋"/>
                <w:sz w:val="24"/>
              </w:rPr>
            </w:pPr>
            <w:r>
              <w:rPr>
                <w:rStyle w:val="font21"/>
                <w:rFonts w:ascii="仿宋" w:eastAsia="仿宋" w:hAnsi="仿宋" w:cs="仿宋" w:hint="eastAsia"/>
                <w:b w:val="0"/>
                <w:sz w:val="24"/>
              </w:rPr>
              <w:t>（一）</w:t>
            </w:r>
            <w:r>
              <w:rPr>
                <w:rFonts w:ascii="仿宋" w:eastAsia="仿宋" w:hAnsi="仿宋" w:cs="仿宋" w:hint="eastAsia"/>
                <w:color w:val="000000"/>
                <w:kern w:val="0"/>
                <w:sz w:val="24"/>
              </w:rPr>
              <w:t>（A02078）《未按期申报抵扣增值税扣税凭证抵扣申请单》。</w:t>
            </w:r>
          </w:p>
        </w:tc>
        <w:tc>
          <w:tcPr>
            <w:tcW w:w="1333" w:type="dxa"/>
            <w:vMerge w:val="restart"/>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纳税人提交</w:t>
            </w:r>
          </w:p>
        </w:tc>
        <w:tc>
          <w:tcPr>
            <w:tcW w:w="2809" w:type="dxa"/>
            <w:vAlign w:val="center"/>
          </w:tcPr>
          <w:p w:rsidR="00013EC7" w:rsidRDefault="00575CDB">
            <w:pPr>
              <w:widowControl/>
              <w:jc w:val="left"/>
              <w:textAlignment w:val="center"/>
              <w:rPr>
                <w:rFonts w:ascii="仿宋" w:eastAsia="仿宋" w:hAnsi="仿宋" w:cs="仿宋"/>
                <w:sz w:val="24"/>
              </w:rPr>
            </w:pPr>
            <w:r>
              <w:rPr>
                <w:rStyle w:val="font21"/>
                <w:rFonts w:ascii="仿宋" w:eastAsia="仿宋" w:hAnsi="仿宋" w:cs="仿宋" w:hint="eastAsia"/>
                <w:b w:val="0"/>
                <w:sz w:val="24"/>
              </w:rPr>
              <w:t>（一）</w:t>
            </w:r>
            <w:r>
              <w:rPr>
                <w:rFonts w:ascii="仿宋" w:eastAsia="仿宋" w:hAnsi="仿宋" w:cs="仿宋" w:hint="eastAsia"/>
                <w:color w:val="000000"/>
                <w:kern w:val="0"/>
                <w:sz w:val="24"/>
              </w:rPr>
              <w:t>（A02078）《未按期申报抵扣增值税扣税凭证抵扣申请单》。</w:t>
            </w:r>
          </w:p>
        </w:tc>
        <w:tc>
          <w:tcPr>
            <w:tcW w:w="1431" w:type="dxa"/>
            <w:vMerge w:val="restart"/>
            <w:vAlign w:val="center"/>
          </w:tcPr>
          <w:p w:rsidR="00013EC7" w:rsidRDefault="00575CDB">
            <w:pPr>
              <w:widowControl/>
              <w:jc w:val="left"/>
              <w:textAlignment w:val="center"/>
              <w:rPr>
                <w:rFonts w:ascii="仿宋" w:eastAsia="仿宋" w:hAnsi="仿宋" w:cs="仿宋"/>
                <w:b/>
                <w:bCs/>
                <w:i/>
                <w:iCs/>
                <w:sz w:val="24"/>
              </w:rPr>
            </w:pPr>
            <w:r>
              <w:rPr>
                <w:rFonts w:ascii="仿宋" w:eastAsia="仿宋" w:hAnsi="仿宋" w:cs="仿宋" w:hint="eastAsia"/>
                <w:color w:val="000000"/>
                <w:kern w:val="0"/>
                <w:sz w:val="24"/>
              </w:rPr>
              <w:t>纳税人提交</w:t>
            </w:r>
          </w:p>
        </w:tc>
        <w:tc>
          <w:tcPr>
            <w:tcW w:w="2462" w:type="dxa"/>
            <w:vMerge w:val="restart"/>
            <w:vAlign w:val="center"/>
          </w:tcPr>
          <w:p w:rsidR="00013EC7" w:rsidRDefault="00575CDB">
            <w:pPr>
              <w:widowControl/>
              <w:jc w:val="left"/>
              <w:textAlignment w:val="center"/>
              <w:rPr>
                <w:rStyle w:val="font31"/>
                <w:rFonts w:ascii="仿宋" w:eastAsia="仿宋" w:hAnsi="仿宋" w:cs="仿宋" w:hint="default"/>
                <w:b w:val="0"/>
                <w:sz w:val="24"/>
              </w:rPr>
            </w:pPr>
            <w:r>
              <w:rPr>
                <w:rStyle w:val="font01"/>
                <w:rFonts w:ascii="仿宋" w:eastAsia="仿宋" w:hAnsi="仿宋" w:cs="仿宋" w:hint="default"/>
                <w:b/>
                <w:color w:val="000000"/>
                <w:sz w:val="24"/>
              </w:rPr>
              <w:t>现场办理：</w:t>
            </w:r>
            <w:r>
              <w:rPr>
                <w:rStyle w:val="font31"/>
                <w:rFonts w:ascii="仿宋" w:eastAsia="仿宋" w:hAnsi="仿宋" w:cs="仿宋" w:hint="default"/>
                <w:b w:val="0"/>
                <w:sz w:val="24"/>
              </w:rPr>
              <w:t>纳税人提交材料。</w:t>
            </w:r>
          </w:p>
          <w:p w:rsidR="00013EC7" w:rsidRDefault="00575CDB">
            <w:pPr>
              <w:widowControl/>
              <w:jc w:val="left"/>
              <w:textAlignment w:val="center"/>
              <w:rPr>
                <w:rFonts w:ascii="仿宋" w:eastAsia="仿宋" w:hAnsi="仿宋" w:cs="仿宋"/>
                <w:color w:val="000000"/>
                <w:kern w:val="0"/>
                <w:sz w:val="24"/>
              </w:rPr>
            </w:pPr>
            <w:r>
              <w:rPr>
                <w:rFonts w:ascii="仿宋" w:eastAsia="仿宋" w:hAnsi="仿宋" w:cs="仿宋" w:hint="eastAsia"/>
                <w:b/>
                <w:bCs/>
                <w:color w:val="000000"/>
                <w:kern w:val="0"/>
                <w:sz w:val="24"/>
              </w:rPr>
              <w:t>网上办理：</w:t>
            </w:r>
            <w:r>
              <w:rPr>
                <w:rFonts w:ascii="仿宋" w:eastAsia="仿宋" w:hAnsi="仿宋" w:cs="仿宋" w:hint="eastAsia"/>
                <w:color w:val="000000"/>
                <w:kern w:val="0"/>
                <w:sz w:val="24"/>
              </w:rPr>
              <w:t>登录浙江国税电子税务局（网址：http://etax.zjtax.gov.cn/）提交申请；</w:t>
            </w:r>
          </w:p>
          <w:p w:rsidR="00013EC7" w:rsidRDefault="00013EC7">
            <w:pPr>
              <w:rPr>
                <w:rFonts w:ascii="仿宋" w:eastAsia="仿宋" w:hAnsi="仿宋" w:cs="仿宋"/>
                <w:sz w:val="24"/>
              </w:rPr>
            </w:pPr>
          </w:p>
        </w:tc>
        <w:tc>
          <w:tcPr>
            <w:tcW w:w="868" w:type="dxa"/>
            <w:vMerge w:val="restart"/>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highlight w:val="lightGray"/>
              </w:rPr>
              <w:t>20个工作日</w:t>
            </w:r>
          </w:p>
        </w:tc>
        <w:tc>
          <w:tcPr>
            <w:tcW w:w="939" w:type="dxa"/>
            <w:vMerge w:val="restart"/>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15个工作日</w:t>
            </w:r>
          </w:p>
        </w:tc>
        <w:tc>
          <w:tcPr>
            <w:tcW w:w="817" w:type="dxa"/>
            <w:vMerge w:val="restart"/>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否</w:t>
            </w:r>
          </w:p>
        </w:tc>
        <w:tc>
          <w:tcPr>
            <w:tcW w:w="1104" w:type="dxa"/>
            <w:vMerge w:val="restart"/>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货物和劳务税处</w:t>
            </w:r>
          </w:p>
        </w:tc>
        <w:tc>
          <w:tcPr>
            <w:tcW w:w="1476" w:type="dxa"/>
            <w:vMerge w:val="restart"/>
            <w:vAlign w:val="center"/>
          </w:tcPr>
          <w:p w:rsidR="00013EC7" w:rsidRDefault="00013EC7">
            <w:pPr>
              <w:jc w:val="left"/>
              <w:rPr>
                <w:rFonts w:ascii="仿宋" w:eastAsia="仿宋" w:hAnsi="仿宋" w:cs="仿宋"/>
                <w:sz w:val="24"/>
              </w:rPr>
            </w:pPr>
          </w:p>
        </w:tc>
      </w:tr>
      <w:tr w:rsidR="00013EC7">
        <w:trPr>
          <w:trHeight w:val="1699"/>
          <w:jc w:val="center"/>
        </w:trPr>
        <w:tc>
          <w:tcPr>
            <w:tcW w:w="1250" w:type="dxa"/>
            <w:vMerge/>
            <w:vAlign w:val="center"/>
          </w:tcPr>
          <w:p w:rsidR="00013EC7" w:rsidRDefault="00013EC7">
            <w:pPr>
              <w:jc w:val="left"/>
              <w:rPr>
                <w:rFonts w:ascii="仿宋" w:eastAsia="仿宋" w:hAnsi="仿宋" w:cs="仿宋"/>
                <w:sz w:val="24"/>
              </w:rPr>
            </w:pPr>
          </w:p>
        </w:tc>
        <w:tc>
          <w:tcPr>
            <w:tcW w:w="1316" w:type="dxa"/>
            <w:vMerge/>
            <w:vAlign w:val="center"/>
          </w:tcPr>
          <w:p w:rsidR="00013EC7" w:rsidRDefault="00013EC7">
            <w:pPr>
              <w:jc w:val="left"/>
              <w:rPr>
                <w:rFonts w:ascii="仿宋" w:eastAsia="仿宋" w:hAnsi="仿宋" w:cs="仿宋"/>
                <w:sz w:val="24"/>
              </w:rPr>
            </w:pPr>
          </w:p>
        </w:tc>
        <w:tc>
          <w:tcPr>
            <w:tcW w:w="2114" w:type="dxa"/>
            <w:vMerge/>
            <w:vAlign w:val="center"/>
          </w:tcPr>
          <w:p w:rsidR="00013EC7" w:rsidRDefault="00013EC7">
            <w:pPr>
              <w:jc w:val="left"/>
              <w:rPr>
                <w:rFonts w:ascii="仿宋" w:eastAsia="仿宋" w:hAnsi="仿宋" w:cs="仿宋"/>
                <w:sz w:val="24"/>
              </w:rPr>
            </w:pPr>
          </w:p>
        </w:tc>
        <w:tc>
          <w:tcPr>
            <w:tcW w:w="2785" w:type="dxa"/>
            <w:tcBorders>
              <w:top w:val="single" w:sz="4" w:space="0" w:color="auto"/>
            </w:tcBorders>
            <w:vAlign w:val="center"/>
          </w:tcPr>
          <w:p w:rsidR="00013EC7" w:rsidRDefault="00575CDB">
            <w:pPr>
              <w:widowControl/>
              <w:jc w:val="left"/>
              <w:textAlignment w:val="center"/>
              <w:rPr>
                <w:rFonts w:ascii="仿宋" w:eastAsia="仿宋" w:hAnsi="仿宋" w:cs="仿宋"/>
                <w:sz w:val="24"/>
              </w:rPr>
            </w:pPr>
            <w:r>
              <w:rPr>
                <w:rStyle w:val="font21"/>
                <w:rFonts w:ascii="仿宋" w:eastAsia="仿宋" w:hAnsi="仿宋" w:cs="仿宋" w:hint="eastAsia"/>
                <w:b w:val="0"/>
                <w:sz w:val="24"/>
              </w:rPr>
              <w:t>（二）</w:t>
            </w:r>
            <w:r>
              <w:rPr>
                <w:rFonts w:ascii="仿宋" w:eastAsia="仿宋" w:hAnsi="仿宋" w:cs="仿宋" w:hint="eastAsia"/>
                <w:color w:val="000000"/>
                <w:kern w:val="0"/>
                <w:sz w:val="24"/>
              </w:rPr>
              <w:t>（A02079）《已认证增值税扣税凭证清单》。</w:t>
            </w:r>
          </w:p>
        </w:tc>
        <w:tc>
          <w:tcPr>
            <w:tcW w:w="1333" w:type="dxa"/>
            <w:vMerge/>
            <w:vAlign w:val="center"/>
          </w:tcPr>
          <w:p w:rsidR="00013EC7" w:rsidRDefault="00013EC7">
            <w:pPr>
              <w:jc w:val="left"/>
              <w:rPr>
                <w:rFonts w:ascii="仿宋" w:eastAsia="仿宋" w:hAnsi="仿宋" w:cs="仿宋"/>
                <w:sz w:val="24"/>
              </w:rPr>
            </w:pPr>
          </w:p>
        </w:tc>
        <w:tc>
          <w:tcPr>
            <w:tcW w:w="2809" w:type="dxa"/>
            <w:vAlign w:val="center"/>
          </w:tcPr>
          <w:p w:rsidR="00013EC7" w:rsidRDefault="00575CDB">
            <w:pPr>
              <w:widowControl/>
              <w:jc w:val="left"/>
              <w:textAlignment w:val="center"/>
              <w:rPr>
                <w:rFonts w:ascii="仿宋" w:eastAsia="仿宋" w:hAnsi="仿宋" w:cs="仿宋"/>
                <w:sz w:val="24"/>
              </w:rPr>
            </w:pPr>
            <w:r>
              <w:rPr>
                <w:rStyle w:val="font21"/>
                <w:rFonts w:ascii="仿宋" w:eastAsia="仿宋" w:hAnsi="仿宋" w:cs="仿宋" w:hint="eastAsia"/>
                <w:b w:val="0"/>
                <w:sz w:val="24"/>
              </w:rPr>
              <w:t>（二）</w:t>
            </w:r>
            <w:r>
              <w:rPr>
                <w:rFonts w:ascii="仿宋" w:eastAsia="仿宋" w:hAnsi="仿宋" w:cs="仿宋" w:hint="eastAsia"/>
                <w:color w:val="000000"/>
                <w:kern w:val="0"/>
                <w:sz w:val="24"/>
              </w:rPr>
              <w:t>（A02079）《已认证增值税扣税凭证清单》。</w:t>
            </w:r>
          </w:p>
        </w:tc>
        <w:tc>
          <w:tcPr>
            <w:tcW w:w="1431" w:type="dxa"/>
            <w:vMerge/>
            <w:vAlign w:val="center"/>
          </w:tcPr>
          <w:p w:rsidR="00013EC7" w:rsidRDefault="00013EC7">
            <w:pPr>
              <w:jc w:val="left"/>
              <w:rPr>
                <w:rFonts w:ascii="仿宋" w:eastAsia="仿宋" w:hAnsi="仿宋" w:cs="仿宋"/>
                <w:sz w:val="24"/>
              </w:rPr>
            </w:pPr>
          </w:p>
        </w:tc>
        <w:tc>
          <w:tcPr>
            <w:tcW w:w="2462" w:type="dxa"/>
            <w:vMerge/>
            <w:vAlign w:val="center"/>
          </w:tcPr>
          <w:p w:rsidR="00013EC7" w:rsidRDefault="00013EC7">
            <w:pPr>
              <w:jc w:val="left"/>
              <w:rPr>
                <w:rFonts w:ascii="仿宋" w:eastAsia="仿宋" w:hAnsi="仿宋" w:cs="仿宋"/>
                <w:sz w:val="24"/>
              </w:rPr>
            </w:pPr>
          </w:p>
        </w:tc>
        <w:tc>
          <w:tcPr>
            <w:tcW w:w="868" w:type="dxa"/>
            <w:vMerge/>
            <w:vAlign w:val="center"/>
          </w:tcPr>
          <w:p w:rsidR="00013EC7" w:rsidRDefault="00013EC7">
            <w:pPr>
              <w:jc w:val="left"/>
              <w:rPr>
                <w:rFonts w:ascii="仿宋" w:eastAsia="仿宋" w:hAnsi="仿宋" w:cs="仿宋"/>
                <w:sz w:val="24"/>
              </w:rPr>
            </w:pPr>
          </w:p>
        </w:tc>
        <w:tc>
          <w:tcPr>
            <w:tcW w:w="939" w:type="dxa"/>
            <w:vMerge/>
            <w:vAlign w:val="center"/>
          </w:tcPr>
          <w:p w:rsidR="00013EC7" w:rsidRDefault="00013EC7">
            <w:pPr>
              <w:jc w:val="left"/>
              <w:rPr>
                <w:rFonts w:ascii="仿宋" w:eastAsia="仿宋" w:hAnsi="仿宋" w:cs="仿宋"/>
                <w:sz w:val="24"/>
              </w:rPr>
            </w:pPr>
          </w:p>
        </w:tc>
        <w:tc>
          <w:tcPr>
            <w:tcW w:w="817" w:type="dxa"/>
            <w:vMerge/>
            <w:vAlign w:val="center"/>
          </w:tcPr>
          <w:p w:rsidR="00013EC7" w:rsidRDefault="00013EC7">
            <w:pPr>
              <w:jc w:val="left"/>
              <w:rPr>
                <w:rFonts w:ascii="仿宋" w:eastAsia="仿宋" w:hAnsi="仿宋" w:cs="仿宋"/>
                <w:sz w:val="24"/>
              </w:rPr>
            </w:pPr>
          </w:p>
        </w:tc>
        <w:tc>
          <w:tcPr>
            <w:tcW w:w="1104" w:type="dxa"/>
            <w:vMerge/>
            <w:vAlign w:val="center"/>
          </w:tcPr>
          <w:p w:rsidR="00013EC7" w:rsidRDefault="00013EC7">
            <w:pPr>
              <w:jc w:val="left"/>
              <w:rPr>
                <w:rFonts w:ascii="仿宋" w:eastAsia="仿宋" w:hAnsi="仿宋" w:cs="仿宋"/>
                <w:sz w:val="24"/>
              </w:rPr>
            </w:pPr>
          </w:p>
        </w:tc>
        <w:tc>
          <w:tcPr>
            <w:tcW w:w="1476" w:type="dxa"/>
            <w:vMerge/>
            <w:vAlign w:val="center"/>
          </w:tcPr>
          <w:p w:rsidR="00013EC7" w:rsidRDefault="00013EC7">
            <w:pPr>
              <w:jc w:val="left"/>
              <w:rPr>
                <w:rFonts w:ascii="仿宋" w:eastAsia="仿宋" w:hAnsi="仿宋" w:cs="仿宋"/>
                <w:sz w:val="24"/>
              </w:rPr>
            </w:pPr>
          </w:p>
        </w:tc>
      </w:tr>
      <w:tr w:rsidR="00013EC7">
        <w:trPr>
          <w:trHeight w:val="1323"/>
          <w:jc w:val="center"/>
        </w:trPr>
        <w:tc>
          <w:tcPr>
            <w:tcW w:w="1250" w:type="dxa"/>
            <w:vMerge/>
            <w:vAlign w:val="center"/>
          </w:tcPr>
          <w:p w:rsidR="00013EC7" w:rsidRDefault="00013EC7">
            <w:pPr>
              <w:jc w:val="left"/>
              <w:rPr>
                <w:rFonts w:ascii="仿宋" w:eastAsia="仿宋" w:hAnsi="仿宋" w:cs="仿宋"/>
                <w:sz w:val="24"/>
              </w:rPr>
            </w:pPr>
          </w:p>
        </w:tc>
        <w:tc>
          <w:tcPr>
            <w:tcW w:w="1316" w:type="dxa"/>
            <w:vMerge/>
            <w:vAlign w:val="center"/>
          </w:tcPr>
          <w:p w:rsidR="00013EC7" w:rsidRDefault="00013EC7">
            <w:pPr>
              <w:jc w:val="left"/>
              <w:rPr>
                <w:rFonts w:ascii="仿宋" w:eastAsia="仿宋" w:hAnsi="仿宋" w:cs="仿宋"/>
                <w:sz w:val="24"/>
              </w:rPr>
            </w:pPr>
          </w:p>
        </w:tc>
        <w:tc>
          <w:tcPr>
            <w:tcW w:w="2114" w:type="dxa"/>
            <w:vMerge/>
            <w:vAlign w:val="center"/>
          </w:tcPr>
          <w:p w:rsidR="00013EC7" w:rsidRDefault="00013EC7">
            <w:pPr>
              <w:jc w:val="left"/>
              <w:rPr>
                <w:rFonts w:ascii="仿宋" w:eastAsia="仿宋" w:hAnsi="仿宋" w:cs="仿宋"/>
                <w:sz w:val="24"/>
              </w:rPr>
            </w:pPr>
          </w:p>
        </w:tc>
        <w:tc>
          <w:tcPr>
            <w:tcW w:w="2785" w:type="dxa"/>
            <w:vAlign w:val="center"/>
          </w:tcPr>
          <w:p w:rsidR="00013EC7" w:rsidRDefault="00575CDB">
            <w:pPr>
              <w:widowControl/>
              <w:jc w:val="left"/>
              <w:textAlignment w:val="center"/>
              <w:rPr>
                <w:rFonts w:ascii="仿宋" w:eastAsia="仿宋" w:hAnsi="仿宋" w:cs="仿宋"/>
                <w:sz w:val="24"/>
              </w:rPr>
            </w:pPr>
            <w:r>
              <w:rPr>
                <w:rStyle w:val="font21"/>
                <w:rFonts w:ascii="仿宋" w:eastAsia="仿宋" w:hAnsi="仿宋" w:cs="仿宋" w:hint="eastAsia"/>
                <w:b w:val="0"/>
                <w:sz w:val="24"/>
              </w:rPr>
              <w:t>（三）</w:t>
            </w:r>
            <w:r>
              <w:rPr>
                <w:rFonts w:ascii="仿宋" w:eastAsia="仿宋" w:hAnsi="仿宋" w:cs="仿宋" w:hint="eastAsia"/>
                <w:color w:val="000000"/>
                <w:kern w:val="0"/>
                <w:sz w:val="24"/>
              </w:rPr>
              <w:t>增值税扣税凭证未按期申报抵扣情况说明及证明。</w:t>
            </w:r>
          </w:p>
        </w:tc>
        <w:tc>
          <w:tcPr>
            <w:tcW w:w="1333" w:type="dxa"/>
            <w:vMerge/>
            <w:vAlign w:val="center"/>
          </w:tcPr>
          <w:p w:rsidR="00013EC7" w:rsidRDefault="00013EC7">
            <w:pPr>
              <w:jc w:val="left"/>
              <w:rPr>
                <w:rFonts w:ascii="仿宋" w:eastAsia="仿宋" w:hAnsi="仿宋" w:cs="仿宋"/>
                <w:sz w:val="24"/>
              </w:rPr>
            </w:pPr>
          </w:p>
        </w:tc>
        <w:tc>
          <w:tcPr>
            <w:tcW w:w="2809" w:type="dxa"/>
            <w:vAlign w:val="center"/>
          </w:tcPr>
          <w:p w:rsidR="00013EC7" w:rsidRDefault="00575CDB">
            <w:pPr>
              <w:widowControl/>
              <w:jc w:val="left"/>
              <w:textAlignment w:val="center"/>
              <w:rPr>
                <w:rFonts w:ascii="仿宋" w:eastAsia="仿宋" w:hAnsi="仿宋" w:cs="仿宋"/>
                <w:sz w:val="24"/>
              </w:rPr>
            </w:pPr>
            <w:r>
              <w:rPr>
                <w:rStyle w:val="font21"/>
                <w:rFonts w:ascii="仿宋" w:eastAsia="仿宋" w:hAnsi="仿宋" w:cs="仿宋" w:hint="eastAsia"/>
                <w:b w:val="0"/>
                <w:sz w:val="24"/>
              </w:rPr>
              <w:t>（三）</w:t>
            </w:r>
            <w:r>
              <w:rPr>
                <w:rFonts w:ascii="仿宋" w:eastAsia="仿宋" w:hAnsi="仿宋" w:cs="仿宋" w:hint="eastAsia"/>
                <w:color w:val="000000"/>
                <w:kern w:val="0"/>
                <w:sz w:val="24"/>
              </w:rPr>
              <w:t>增值税扣税凭证未按期申报抵扣情况说明及证明。</w:t>
            </w:r>
          </w:p>
        </w:tc>
        <w:tc>
          <w:tcPr>
            <w:tcW w:w="1431" w:type="dxa"/>
            <w:vMerge/>
            <w:vAlign w:val="center"/>
          </w:tcPr>
          <w:p w:rsidR="00013EC7" w:rsidRDefault="00013EC7">
            <w:pPr>
              <w:jc w:val="left"/>
              <w:rPr>
                <w:rFonts w:ascii="仿宋" w:eastAsia="仿宋" w:hAnsi="仿宋" w:cs="仿宋"/>
                <w:sz w:val="24"/>
              </w:rPr>
            </w:pPr>
          </w:p>
        </w:tc>
        <w:tc>
          <w:tcPr>
            <w:tcW w:w="2462" w:type="dxa"/>
            <w:vMerge/>
            <w:vAlign w:val="center"/>
          </w:tcPr>
          <w:p w:rsidR="00013EC7" w:rsidRDefault="00013EC7">
            <w:pPr>
              <w:jc w:val="left"/>
              <w:rPr>
                <w:rFonts w:ascii="仿宋" w:eastAsia="仿宋" w:hAnsi="仿宋" w:cs="仿宋"/>
                <w:sz w:val="24"/>
              </w:rPr>
            </w:pPr>
          </w:p>
        </w:tc>
        <w:tc>
          <w:tcPr>
            <w:tcW w:w="868" w:type="dxa"/>
            <w:vMerge/>
            <w:vAlign w:val="center"/>
          </w:tcPr>
          <w:p w:rsidR="00013EC7" w:rsidRDefault="00013EC7">
            <w:pPr>
              <w:jc w:val="left"/>
              <w:rPr>
                <w:rFonts w:ascii="仿宋" w:eastAsia="仿宋" w:hAnsi="仿宋" w:cs="仿宋"/>
                <w:sz w:val="24"/>
              </w:rPr>
            </w:pPr>
          </w:p>
        </w:tc>
        <w:tc>
          <w:tcPr>
            <w:tcW w:w="939" w:type="dxa"/>
            <w:vMerge/>
            <w:vAlign w:val="center"/>
          </w:tcPr>
          <w:p w:rsidR="00013EC7" w:rsidRDefault="00013EC7">
            <w:pPr>
              <w:jc w:val="left"/>
              <w:rPr>
                <w:rFonts w:ascii="仿宋" w:eastAsia="仿宋" w:hAnsi="仿宋" w:cs="仿宋"/>
                <w:sz w:val="24"/>
              </w:rPr>
            </w:pPr>
          </w:p>
        </w:tc>
        <w:tc>
          <w:tcPr>
            <w:tcW w:w="817" w:type="dxa"/>
            <w:vMerge/>
            <w:vAlign w:val="center"/>
          </w:tcPr>
          <w:p w:rsidR="00013EC7" w:rsidRDefault="00013EC7">
            <w:pPr>
              <w:jc w:val="left"/>
              <w:rPr>
                <w:rFonts w:ascii="仿宋" w:eastAsia="仿宋" w:hAnsi="仿宋" w:cs="仿宋"/>
                <w:sz w:val="24"/>
              </w:rPr>
            </w:pPr>
          </w:p>
        </w:tc>
        <w:tc>
          <w:tcPr>
            <w:tcW w:w="1104" w:type="dxa"/>
            <w:vMerge/>
            <w:vAlign w:val="center"/>
          </w:tcPr>
          <w:p w:rsidR="00013EC7" w:rsidRDefault="00013EC7">
            <w:pPr>
              <w:jc w:val="left"/>
              <w:rPr>
                <w:rFonts w:ascii="仿宋" w:eastAsia="仿宋" w:hAnsi="仿宋" w:cs="仿宋"/>
                <w:sz w:val="24"/>
              </w:rPr>
            </w:pPr>
          </w:p>
        </w:tc>
        <w:tc>
          <w:tcPr>
            <w:tcW w:w="1476" w:type="dxa"/>
            <w:vMerge/>
            <w:vAlign w:val="center"/>
          </w:tcPr>
          <w:p w:rsidR="00013EC7" w:rsidRDefault="00013EC7">
            <w:pPr>
              <w:jc w:val="left"/>
              <w:rPr>
                <w:rFonts w:ascii="仿宋" w:eastAsia="仿宋" w:hAnsi="仿宋" w:cs="仿宋"/>
                <w:sz w:val="24"/>
              </w:rPr>
            </w:pPr>
          </w:p>
        </w:tc>
      </w:tr>
      <w:tr w:rsidR="00013EC7">
        <w:trPr>
          <w:trHeight w:val="1445"/>
          <w:jc w:val="center"/>
        </w:trPr>
        <w:tc>
          <w:tcPr>
            <w:tcW w:w="1250" w:type="dxa"/>
            <w:vMerge/>
            <w:vAlign w:val="center"/>
          </w:tcPr>
          <w:p w:rsidR="00013EC7" w:rsidRDefault="00013EC7">
            <w:pPr>
              <w:jc w:val="left"/>
              <w:rPr>
                <w:rFonts w:ascii="仿宋" w:eastAsia="仿宋" w:hAnsi="仿宋" w:cs="仿宋"/>
                <w:sz w:val="24"/>
              </w:rPr>
            </w:pPr>
          </w:p>
        </w:tc>
        <w:tc>
          <w:tcPr>
            <w:tcW w:w="1316" w:type="dxa"/>
            <w:vMerge/>
            <w:vAlign w:val="center"/>
          </w:tcPr>
          <w:p w:rsidR="00013EC7" w:rsidRDefault="00013EC7">
            <w:pPr>
              <w:jc w:val="left"/>
              <w:rPr>
                <w:rFonts w:ascii="仿宋" w:eastAsia="仿宋" w:hAnsi="仿宋" w:cs="仿宋"/>
                <w:sz w:val="24"/>
              </w:rPr>
            </w:pPr>
          </w:p>
        </w:tc>
        <w:tc>
          <w:tcPr>
            <w:tcW w:w="2114" w:type="dxa"/>
            <w:vMerge/>
            <w:vAlign w:val="center"/>
          </w:tcPr>
          <w:p w:rsidR="00013EC7" w:rsidRDefault="00013EC7">
            <w:pPr>
              <w:jc w:val="left"/>
              <w:rPr>
                <w:rFonts w:ascii="仿宋" w:eastAsia="仿宋" w:hAnsi="仿宋" w:cs="仿宋"/>
                <w:sz w:val="24"/>
              </w:rPr>
            </w:pPr>
          </w:p>
        </w:tc>
        <w:tc>
          <w:tcPr>
            <w:tcW w:w="2785" w:type="dxa"/>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（四）未按期申报抵扣增值税扣税凭证复印件。</w:t>
            </w:r>
          </w:p>
        </w:tc>
        <w:tc>
          <w:tcPr>
            <w:tcW w:w="1333" w:type="dxa"/>
            <w:vMerge/>
            <w:vAlign w:val="center"/>
          </w:tcPr>
          <w:p w:rsidR="00013EC7" w:rsidRDefault="00013EC7">
            <w:pPr>
              <w:jc w:val="left"/>
              <w:rPr>
                <w:rFonts w:ascii="仿宋" w:eastAsia="仿宋" w:hAnsi="仿宋" w:cs="仿宋"/>
                <w:sz w:val="24"/>
              </w:rPr>
            </w:pPr>
          </w:p>
        </w:tc>
        <w:tc>
          <w:tcPr>
            <w:tcW w:w="2809" w:type="dxa"/>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（四）未按期申报抵扣增值税扣税凭证复印件。</w:t>
            </w:r>
          </w:p>
        </w:tc>
        <w:tc>
          <w:tcPr>
            <w:tcW w:w="1431" w:type="dxa"/>
            <w:vMerge/>
            <w:vAlign w:val="center"/>
          </w:tcPr>
          <w:p w:rsidR="00013EC7" w:rsidRDefault="00013EC7">
            <w:pPr>
              <w:jc w:val="left"/>
              <w:rPr>
                <w:rFonts w:ascii="仿宋" w:eastAsia="仿宋" w:hAnsi="仿宋" w:cs="仿宋"/>
                <w:sz w:val="24"/>
              </w:rPr>
            </w:pPr>
          </w:p>
        </w:tc>
        <w:tc>
          <w:tcPr>
            <w:tcW w:w="2462" w:type="dxa"/>
            <w:vMerge/>
            <w:vAlign w:val="center"/>
          </w:tcPr>
          <w:p w:rsidR="00013EC7" w:rsidRDefault="00013EC7">
            <w:pPr>
              <w:jc w:val="left"/>
              <w:rPr>
                <w:rFonts w:ascii="仿宋" w:eastAsia="仿宋" w:hAnsi="仿宋" w:cs="仿宋"/>
                <w:sz w:val="24"/>
              </w:rPr>
            </w:pPr>
          </w:p>
        </w:tc>
        <w:tc>
          <w:tcPr>
            <w:tcW w:w="868" w:type="dxa"/>
            <w:vMerge/>
            <w:vAlign w:val="center"/>
          </w:tcPr>
          <w:p w:rsidR="00013EC7" w:rsidRDefault="00013EC7">
            <w:pPr>
              <w:jc w:val="left"/>
              <w:rPr>
                <w:rFonts w:ascii="仿宋" w:eastAsia="仿宋" w:hAnsi="仿宋" w:cs="仿宋"/>
                <w:sz w:val="24"/>
              </w:rPr>
            </w:pPr>
          </w:p>
        </w:tc>
        <w:tc>
          <w:tcPr>
            <w:tcW w:w="939" w:type="dxa"/>
            <w:vMerge/>
            <w:vAlign w:val="center"/>
          </w:tcPr>
          <w:p w:rsidR="00013EC7" w:rsidRDefault="00013EC7">
            <w:pPr>
              <w:jc w:val="left"/>
              <w:rPr>
                <w:rFonts w:ascii="仿宋" w:eastAsia="仿宋" w:hAnsi="仿宋" w:cs="仿宋"/>
                <w:sz w:val="24"/>
              </w:rPr>
            </w:pPr>
          </w:p>
        </w:tc>
        <w:tc>
          <w:tcPr>
            <w:tcW w:w="817" w:type="dxa"/>
            <w:vMerge/>
            <w:vAlign w:val="center"/>
          </w:tcPr>
          <w:p w:rsidR="00013EC7" w:rsidRDefault="00013EC7">
            <w:pPr>
              <w:jc w:val="left"/>
              <w:rPr>
                <w:rFonts w:ascii="仿宋" w:eastAsia="仿宋" w:hAnsi="仿宋" w:cs="仿宋"/>
                <w:sz w:val="24"/>
              </w:rPr>
            </w:pPr>
          </w:p>
        </w:tc>
        <w:tc>
          <w:tcPr>
            <w:tcW w:w="1104" w:type="dxa"/>
            <w:vMerge/>
            <w:vAlign w:val="center"/>
          </w:tcPr>
          <w:p w:rsidR="00013EC7" w:rsidRDefault="00013EC7">
            <w:pPr>
              <w:jc w:val="left"/>
              <w:rPr>
                <w:rFonts w:ascii="仿宋" w:eastAsia="仿宋" w:hAnsi="仿宋" w:cs="仿宋"/>
                <w:sz w:val="24"/>
              </w:rPr>
            </w:pPr>
          </w:p>
        </w:tc>
        <w:tc>
          <w:tcPr>
            <w:tcW w:w="1476" w:type="dxa"/>
            <w:vMerge/>
            <w:vAlign w:val="center"/>
          </w:tcPr>
          <w:p w:rsidR="00013EC7" w:rsidRDefault="00013EC7">
            <w:pPr>
              <w:jc w:val="left"/>
              <w:rPr>
                <w:rFonts w:ascii="仿宋" w:eastAsia="仿宋" w:hAnsi="仿宋" w:cs="仿宋"/>
                <w:sz w:val="24"/>
              </w:rPr>
            </w:pPr>
          </w:p>
        </w:tc>
      </w:tr>
    </w:tbl>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 w:rsidR="00013EC7" w:rsidRDefault="005262E6">
      <w:pPr>
        <w:pStyle w:val="1"/>
        <w:spacing w:before="0" w:after="0" w:line="240" w:lineRule="auto"/>
        <w:rPr>
          <w:rFonts w:ascii="宋体" w:hAnsi="宋体"/>
          <w:kern w:val="0"/>
          <w:szCs w:val="28"/>
        </w:rPr>
      </w:pPr>
      <w:r>
        <w:object w:dxaOrig="1440" w:dyaOrig="1440">
          <v:shape id="对象 175" o:spid="_x0000_s1269" type="#_x0000_t75" alt="" style="position:absolute;left:0;text-align:left;margin-left:576.8pt;margin-top:87.55pt;width:402.35pt;height:528.1pt;z-index:251610112;mso-wrap-distance-top:0;mso-wrap-distance-bottom:0;mso-position-vertical-relative:page;mso-width-relative:page;mso-height-relative:page">
            <v:imagedata r:id="rId174" o:title=""/>
            <w10:wrap type="topAndBottom" anchory="page"/>
          </v:shape>
          <o:OLEObject Type="Embed" ProgID="Visio.Drawing.11" ShapeID="对象 175" DrawAspect="Content" ObjectID="_1577296217" r:id="rId175"/>
        </w:object>
      </w:r>
      <w:r>
        <w:object w:dxaOrig="1440" w:dyaOrig="1440">
          <v:shape id="对象 107" o:spid="_x0000_s1268" type="#_x0000_t75" style="position:absolute;left:0;text-align:left;margin-left:98.1pt;margin-top:75.9pt;width:423.05pt;height:602.1pt;z-index:251609088;mso-wrap-distance-left:9pt;mso-wrap-distance-top:0;mso-wrap-distance-right:9pt;mso-wrap-distance-bottom:0;mso-position-horizontal-relative:page;mso-position-vertical-relative:page;mso-width-relative:page;mso-height-relative:page">
            <v:imagedata r:id="rId176" o:title=""/>
            <o:lock v:ext="edit" aspectratio="f"/>
            <w10:wrap type="square" anchorx="page" anchory="page"/>
          </v:shape>
          <o:OLEObject Type="Embed" ProgID="Visio.Drawing.11" ShapeID="对象 107" DrawAspect="Content" ObjectID="_1577296218" r:id="rId177"/>
        </w:object>
      </w:r>
    </w:p>
    <w:p w:rsidR="00013EC7" w:rsidRDefault="00013EC7">
      <w:pPr>
        <w:jc w:val="left"/>
        <w:rPr>
          <w:rFonts w:ascii="宋体" w:hAnsi="宋体"/>
          <w:kern w:val="0"/>
          <w:sz w:val="28"/>
          <w:szCs w:val="28"/>
        </w:rPr>
      </w:pPr>
    </w:p>
    <w:p w:rsidR="00013EC7" w:rsidRDefault="00575CDB">
      <w:pPr>
        <w:pStyle w:val="2"/>
      </w:pPr>
      <w:bookmarkStart w:id="267" w:name="_Toc15000"/>
      <w:bookmarkStart w:id="268" w:name="_Toc22991"/>
      <w:bookmarkStart w:id="269" w:name="_Toc503467415"/>
      <w:bookmarkStart w:id="270" w:name="_Toc12654"/>
      <w:r>
        <w:rPr>
          <w:rFonts w:hint="eastAsia"/>
        </w:rPr>
        <w:lastRenderedPageBreak/>
        <w:t>15.2</w:t>
      </w:r>
      <w:r>
        <w:rPr>
          <w:rFonts w:hint="eastAsia"/>
        </w:rPr>
        <w:t>逾期增值税扣税凭证继续抵扣申请</w:t>
      </w:r>
      <w:bookmarkEnd w:id="267"/>
      <w:bookmarkEnd w:id="268"/>
      <w:bookmarkEnd w:id="269"/>
      <w:bookmarkEnd w:id="270"/>
    </w:p>
    <w:p w:rsidR="00013EC7" w:rsidRDefault="00575CDB">
      <w:pPr>
        <w:jc w:val="center"/>
        <w:rPr>
          <w:rFonts w:ascii="宋体" w:hAnsi="宋体" w:cs="宋体"/>
          <w:b/>
          <w:bCs/>
          <w:sz w:val="44"/>
          <w:szCs w:val="44"/>
        </w:rPr>
      </w:pPr>
      <w:r>
        <w:rPr>
          <w:rFonts w:ascii="宋体" w:hAnsi="宋体" w:cs="宋体" w:hint="eastAsia"/>
          <w:b/>
          <w:bCs/>
          <w:sz w:val="52"/>
          <w:szCs w:val="52"/>
        </w:rPr>
        <w:t>全省“最多跑一次”事项“八统一”梳理表</w:t>
      </w:r>
    </w:p>
    <w:tbl>
      <w:tblPr>
        <w:tblW w:w="20443"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1250"/>
        <w:gridCol w:w="1248"/>
        <w:gridCol w:w="2809"/>
        <w:gridCol w:w="2158"/>
        <w:gridCol w:w="1401"/>
        <w:gridCol w:w="2120"/>
        <w:gridCol w:w="1384"/>
        <w:gridCol w:w="3130"/>
        <w:gridCol w:w="868"/>
        <w:gridCol w:w="1250"/>
        <w:gridCol w:w="616"/>
        <w:gridCol w:w="1077"/>
        <w:gridCol w:w="1132"/>
      </w:tblGrid>
      <w:tr w:rsidR="00013EC7">
        <w:trPr>
          <w:trHeight w:val="340"/>
          <w:tblHeader/>
          <w:jc w:val="center"/>
        </w:trPr>
        <w:tc>
          <w:tcPr>
            <w:tcW w:w="1250"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主项名称</w:t>
            </w:r>
          </w:p>
        </w:tc>
        <w:tc>
          <w:tcPr>
            <w:tcW w:w="1248"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子项名称</w:t>
            </w:r>
          </w:p>
        </w:tc>
        <w:tc>
          <w:tcPr>
            <w:tcW w:w="2809"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经办依据</w:t>
            </w:r>
          </w:p>
        </w:tc>
        <w:tc>
          <w:tcPr>
            <w:tcW w:w="3559"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原经办所需材料</w:t>
            </w:r>
          </w:p>
        </w:tc>
        <w:tc>
          <w:tcPr>
            <w:tcW w:w="6634" w:type="dxa"/>
            <w:gridSpan w:val="3"/>
            <w:vAlign w:val="center"/>
          </w:tcPr>
          <w:p w:rsidR="00013EC7" w:rsidRDefault="00575CDB">
            <w:pPr>
              <w:spacing w:line="280" w:lineRule="exact"/>
              <w:jc w:val="center"/>
              <w:rPr>
                <w:rFonts w:ascii="黑体" w:eastAsia="黑体"/>
                <w:sz w:val="24"/>
              </w:rPr>
            </w:pPr>
            <w:r>
              <w:rPr>
                <w:rFonts w:ascii="黑体" w:eastAsia="黑体" w:hint="eastAsia"/>
                <w:sz w:val="24"/>
              </w:rPr>
              <w:t>梳理后经办所需材料</w:t>
            </w:r>
          </w:p>
        </w:tc>
        <w:tc>
          <w:tcPr>
            <w:tcW w:w="2118"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办理时限</w:t>
            </w:r>
          </w:p>
        </w:tc>
        <w:tc>
          <w:tcPr>
            <w:tcW w:w="616"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是否实现跑零次</w:t>
            </w:r>
          </w:p>
        </w:tc>
        <w:tc>
          <w:tcPr>
            <w:tcW w:w="1077"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省厅对口</w:t>
            </w:r>
          </w:p>
          <w:p w:rsidR="00013EC7" w:rsidRDefault="00575CDB">
            <w:pPr>
              <w:spacing w:line="280" w:lineRule="exact"/>
              <w:jc w:val="center"/>
              <w:rPr>
                <w:rFonts w:ascii="黑体" w:eastAsia="黑体"/>
                <w:sz w:val="24"/>
              </w:rPr>
            </w:pPr>
            <w:r>
              <w:rPr>
                <w:rFonts w:ascii="黑体" w:eastAsia="黑体" w:hint="eastAsia"/>
                <w:sz w:val="24"/>
              </w:rPr>
              <w:t>指导处室</w:t>
            </w:r>
          </w:p>
          <w:p w:rsidR="00013EC7" w:rsidRDefault="00575CDB">
            <w:pPr>
              <w:spacing w:line="280" w:lineRule="exact"/>
              <w:jc w:val="center"/>
              <w:rPr>
                <w:rFonts w:ascii="黑体" w:eastAsia="黑体"/>
                <w:sz w:val="24"/>
              </w:rPr>
            </w:pPr>
            <w:r>
              <w:rPr>
                <w:rFonts w:ascii="黑体" w:eastAsia="黑体" w:hint="eastAsia"/>
                <w:sz w:val="24"/>
              </w:rPr>
              <w:t>（单位）</w:t>
            </w:r>
          </w:p>
        </w:tc>
        <w:tc>
          <w:tcPr>
            <w:tcW w:w="1132"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进一步精简、规范建议</w:t>
            </w:r>
          </w:p>
        </w:tc>
      </w:tr>
      <w:tr w:rsidR="00013EC7">
        <w:trPr>
          <w:trHeight w:val="340"/>
          <w:tblHeader/>
          <w:jc w:val="center"/>
        </w:trPr>
        <w:tc>
          <w:tcPr>
            <w:tcW w:w="1250" w:type="dxa"/>
            <w:vMerge/>
            <w:vAlign w:val="center"/>
          </w:tcPr>
          <w:p w:rsidR="00013EC7" w:rsidRDefault="00013EC7">
            <w:pPr>
              <w:rPr>
                <w:sz w:val="24"/>
              </w:rPr>
            </w:pPr>
          </w:p>
        </w:tc>
        <w:tc>
          <w:tcPr>
            <w:tcW w:w="1248" w:type="dxa"/>
            <w:vMerge/>
          </w:tcPr>
          <w:p w:rsidR="00013EC7" w:rsidRDefault="00013EC7">
            <w:pPr>
              <w:rPr>
                <w:sz w:val="24"/>
              </w:rPr>
            </w:pPr>
          </w:p>
        </w:tc>
        <w:tc>
          <w:tcPr>
            <w:tcW w:w="2809" w:type="dxa"/>
            <w:vMerge/>
          </w:tcPr>
          <w:p w:rsidR="00013EC7" w:rsidRDefault="00013EC7">
            <w:pPr>
              <w:rPr>
                <w:sz w:val="24"/>
              </w:rPr>
            </w:pPr>
          </w:p>
        </w:tc>
        <w:tc>
          <w:tcPr>
            <w:tcW w:w="2158" w:type="dxa"/>
            <w:tcBorders>
              <w:bottom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401"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2120" w:type="dxa"/>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384"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3130" w:type="dxa"/>
            <w:vAlign w:val="center"/>
          </w:tcPr>
          <w:p w:rsidR="00013EC7" w:rsidRDefault="00575CDB">
            <w:pPr>
              <w:spacing w:line="280" w:lineRule="exact"/>
              <w:jc w:val="center"/>
              <w:rPr>
                <w:rFonts w:ascii="黑体" w:eastAsia="黑体"/>
                <w:sz w:val="24"/>
              </w:rPr>
            </w:pPr>
            <w:r>
              <w:rPr>
                <w:rFonts w:ascii="黑体" w:eastAsia="黑体" w:hint="eastAsia"/>
                <w:sz w:val="24"/>
              </w:rPr>
              <w:t>办理方式及材料</w:t>
            </w:r>
          </w:p>
          <w:p w:rsidR="00013EC7" w:rsidRDefault="00575CDB">
            <w:pPr>
              <w:spacing w:line="280" w:lineRule="exact"/>
              <w:jc w:val="center"/>
              <w:rPr>
                <w:rFonts w:ascii="黑体" w:eastAsia="黑体"/>
                <w:sz w:val="24"/>
              </w:rPr>
            </w:pPr>
            <w:r>
              <w:rPr>
                <w:rFonts w:ascii="黑体" w:eastAsia="黑体" w:hint="eastAsia"/>
                <w:sz w:val="24"/>
              </w:rPr>
              <w:t>信息获取方式说明</w:t>
            </w:r>
          </w:p>
        </w:tc>
        <w:tc>
          <w:tcPr>
            <w:tcW w:w="868" w:type="dxa"/>
            <w:vAlign w:val="center"/>
          </w:tcPr>
          <w:p w:rsidR="00013EC7" w:rsidRDefault="00575CDB">
            <w:pPr>
              <w:spacing w:line="280" w:lineRule="exact"/>
              <w:jc w:val="center"/>
              <w:rPr>
                <w:rFonts w:ascii="黑体" w:eastAsia="黑体"/>
                <w:sz w:val="24"/>
              </w:rPr>
            </w:pPr>
            <w:r>
              <w:rPr>
                <w:rFonts w:ascii="黑体" w:eastAsia="黑体" w:hint="eastAsia"/>
                <w:sz w:val="24"/>
              </w:rPr>
              <w:t>优化前</w:t>
            </w:r>
          </w:p>
        </w:tc>
        <w:tc>
          <w:tcPr>
            <w:tcW w:w="1250" w:type="dxa"/>
            <w:vAlign w:val="center"/>
          </w:tcPr>
          <w:p w:rsidR="00013EC7" w:rsidRDefault="00575CDB">
            <w:pPr>
              <w:spacing w:line="280" w:lineRule="exact"/>
              <w:jc w:val="center"/>
              <w:rPr>
                <w:rFonts w:ascii="黑体" w:eastAsia="黑体"/>
                <w:sz w:val="24"/>
              </w:rPr>
            </w:pPr>
            <w:r>
              <w:rPr>
                <w:rFonts w:ascii="黑体" w:eastAsia="黑体" w:hint="eastAsia"/>
                <w:sz w:val="24"/>
              </w:rPr>
              <w:t>优化后</w:t>
            </w:r>
          </w:p>
        </w:tc>
        <w:tc>
          <w:tcPr>
            <w:tcW w:w="616" w:type="dxa"/>
            <w:vMerge/>
            <w:vAlign w:val="center"/>
          </w:tcPr>
          <w:p w:rsidR="00013EC7" w:rsidRDefault="00013EC7">
            <w:pPr>
              <w:rPr>
                <w:sz w:val="24"/>
              </w:rPr>
            </w:pPr>
          </w:p>
        </w:tc>
        <w:tc>
          <w:tcPr>
            <w:tcW w:w="1077" w:type="dxa"/>
            <w:vMerge/>
            <w:vAlign w:val="center"/>
          </w:tcPr>
          <w:p w:rsidR="00013EC7" w:rsidRDefault="00013EC7">
            <w:pPr>
              <w:rPr>
                <w:sz w:val="24"/>
              </w:rPr>
            </w:pPr>
          </w:p>
        </w:tc>
        <w:tc>
          <w:tcPr>
            <w:tcW w:w="1132" w:type="dxa"/>
            <w:vMerge/>
            <w:vAlign w:val="center"/>
          </w:tcPr>
          <w:p w:rsidR="00013EC7" w:rsidRDefault="00013EC7">
            <w:pPr>
              <w:rPr>
                <w:sz w:val="24"/>
              </w:rPr>
            </w:pPr>
          </w:p>
        </w:tc>
      </w:tr>
      <w:tr w:rsidR="00013EC7">
        <w:trPr>
          <w:trHeight w:val="1475"/>
          <w:jc w:val="center"/>
        </w:trPr>
        <w:tc>
          <w:tcPr>
            <w:tcW w:w="1250" w:type="dxa"/>
            <w:vMerge w:val="restart"/>
            <w:shd w:val="clear" w:color="auto" w:fill="FFFFFF"/>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15未按期申报/逾期凭证抵扣办理</w:t>
            </w:r>
          </w:p>
        </w:tc>
        <w:tc>
          <w:tcPr>
            <w:tcW w:w="1248" w:type="dxa"/>
            <w:vMerge w:val="restart"/>
            <w:shd w:val="clear" w:color="auto" w:fill="FFFFFF"/>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15.2逾期增值税扣税凭证继续抵扣申请</w:t>
            </w:r>
          </w:p>
        </w:tc>
        <w:tc>
          <w:tcPr>
            <w:tcW w:w="2809" w:type="dxa"/>
            <w:vMerge w:val="restart"/>
            <w:shd w:val="clear" w:color="auto" w:fill="FFFFFF"/>
            <w:vAlign w:val="center"/>
          </w:tcPr>
          <w:p w:rsidR="00013EC7" w:rsidRDefault="00575CDB">
            <w:pPr>
              <w:widowControl/>
              <w:ind w:leftChars="-145" w:left="-304" w:firstLineChars="74" w:firstLine="178"/>
              <w:jc w:val="left"/>
              <w:textAlignment w:val="center"/>
              <w:rPr>
                <w:rFonts w:ascii="仿宋" w:eastAsia="仿宋" w:hAnsi="仿宋" w:cs="仿宋"/>
                <w:color w:val="000000"/>
                <w:kern w:val="0"/>
                <w:sz w:val="24"/>
              </w:rPr>
            </w:pPr>
            <w:r>
              <w:rPr>
                <w:rFonts w:ascii="仿宋" w:eastAsia="仿宋" w:hAnsi="仿宋" w:cs="仿宋" w:hint="eastAsia"/>
                <w:color w:val="000000"/>
                <w:kern w:val="0"/>
                <w:sz w:val="24"/>
              </w:rPr>
              <w:t>（一）《国家税务总局关于废止逾期增值税扣税凭证一律不得抵扣规定的公告》（国家税务总局公告2011年第49号）全文。</w:t>
            </w:r>
          </w:p>
          <w:p w:rsidR="00013EC7" w:rsidRDefault="00575CDB">
            <w:pPr>
              <w:widowControl/>
              <w:ind w:leftChars="-145" w:left="-304" w:firstLineChars="74" w:firstLine="178"/>
              <w:jc w:val="left"/>
              <w:textAlignment w:val="center"/>
              <w:rPr>
                <w:rFonts w:ascii="仿宋" w:eastAsia="仿宋" w:hAnsi="仿宋" w:cs="仿宋"/>
                <w:color w:val="000000"/>
                <w:kern w:val="0"/>
                <w:sz w:val="24"/>
              </w:rPr>
            </w:pPr>
            <w:r>
              <w:rPr>
                <w:rFonts w:ascii="仿宋" w:eastAsia="仿宋" w:hAnsi="仿宋" w:cs="仿宋" w:hint="eastAsia"/>
                <w:color w:val="000000"/>
                <w:kern w:val="0"/>
                <w:sz w:val="24"/>
              </w:rPr>
              <w:t>（二）《国家税务总局关于逾期增值税扣税凭证抵扣问题的公告》（国家税务总局公告2011年第50号）全文。</w:t>
            </w:r>
          </w:p>
          <w:p w:rsidR="00013EC7" w:rsidRDefault="00575CDB">
            <w:pPr>
              <w:widowControl/>
              <w:ind w:leftChars="-145" w:left="-304" w:firstLineChars="74" w:firstLine="178"/>
              <w:jc w:val="left"/>
              <w:textAlignment w:val="center"/>
              <w:rPr>
                <w:rFonts w:ascii="仿宋" w:eastAsia="仿宋" w:hAnsi="仿宋" w:cs="仿宋"/>
                <w:color w:val="000000"/>
                <w:kern w:val="0"/>
                <w:sz w:val="24"/>
              </w:rPr>
            </w:pPr>
            <w:r>
              <w:rPr>
                <w:rFonts w:ascii="仿宋" w:eastAsia="仿宋" w:hAnsi="仿宋" w:cs="仿宋" w:hint="eastAsia"/>
                <w:color w:val="000000"/>
                <w:kern w:val="0"/>
                <w:sz w:val="24"/>
              </w:rPr>
              <w:t>（三）《浙江省国家税务局关于申请办理逾期增值税扣税凭证抵扣有关问题的通知》（浙国税函〔2011〕302号）全文。</w:t>
            </w:r>
          </w:p>
          <w:p w:rsidR="00013EC7" w:rsidRDefault="00575CDB">
            <w:pPr>
              <w:widowControl/>
              <w:ind w:leftChars="-145" w:left="-304" w:firstLineChars="74" w:firstLine="178"/>
              <w:jc w:val="left"/>
              <w:textAlignment w:val="center"/>
              <w:rPr>
                <w:rFonts w:ascii="仿宋" w:eastAsia="仿宋" w:hAnsi="仿宋" w:cs="仿宋"/>
                <w:color w:val="000000"/>
                <w:kern w:val="0"/>
                <w:sz w:val="24"/>
              </w:rPr>
            </w:pPr>
            <w:r>
              <w:rPr>
                <w:rFonts w:ascii="仿宋" w:eastAsia="仿宋" w:hAnsi="仿宋" w:cs="仿宋" w:hint="eastAsia"/>
                <w:color w:val="000000"/>
                <w:kern w:val="0"/>
                <w:sz w:val="24"/>
              </w:rPr>
              <w:t>（四）《国家税务总局关于贯彻落实&lt;国务院关于取消非行政许可审批事项的决定&gt;的通知》（税总发〔2015〕74号）附件2。</w:t>
            </w:r>
          </w:p>
          <w:p w:rsidR="00013EC7" w:rsidRDefault="00575CDB">
            <w:pPr>
              <w:widowControl/>
              <w:ind w:leftChars="-145" w:left="-304" w:firstLineChars="74" w:firstLine="178"/>
              <w:jc w:val="left"/>
              <w:textAlignment w:val="center"/>
              <w:rPr>
                <w:rFonts w:ascii="仿宋" w:eastAsia="仿宋" w:hAnsi="仿宋" w:cs="仿宋"/>
                <w:color w:val="000000"/>
                <w:kern w:val="0"/>
                <w:sz w:val="24"/>
              </w:rPr>
            </w:pPr>
            <w:r>
              <w:rPr>
                <w:rFonts w:ascii="仿宋" w:eastAsia="仿宋" w:hAnsi="仿宋" w:cs="仿宋" w:hint="eastAsia"/>
                <w:color w:val="000000"/>
                <w:kern w:val="0"/>
                <w:sz w:val="24"/>
              </w:rPr>
              <w:t>（五）《国家税务总局关于进一步明确营改增有关征管问题的公告》（国家税务总局公告2017年第11号）第十条。</w:t>
            </w:r>
          </w:p>
          <w:p w:rsidR="00013EC7" w:rsidRDefault="00575CDB">
            <w:pPr>
              <w:widowControl/>
              <w:ind w:leftChars="-145" w:left="-304" w:firstLineChars="74" w:firstLine="178"/>
              <w:jc w:val="left"/>
              <w:textAlignment w:val="center"/>
              <w:rPr>
                <w:rFonts w:ascii="仿宋" w:eastAsia="仿宋" w:hAnsi="仿宋" w:cs="仿宋"/>
                <w:b/>
                <w:color w:val="000000"/>
                <w:kern w:val="0"/>
                <w:sz w:val="24"/>
              </w:rPr>
            </w:pPr>
            <w:r>
              <w:rPr>
                <w:rFonts w:ascii="仿宋" w:eastAsia="仿宋" w:hAnsi="仿宋" w:cs="仿宋" w:hint="eastAsia"/>
                <w:color w:val="000000"/>
                <w:kern w:val="0"/>
                <w:sz w:val="24"/>
              </w:rPr>
              <w:t>（六）《国家税务总局关于进一步优化增值税 消费税有关涉税事项办理程序的公告》（国家税务总局公告2017年第36号）第一条、第三条。</w:t>
            </w:r>
          </w:p>
        </w:tc>
        <w:tc>
          <w:tcPr>
            <w:tcW w:w="2158" w:type="dxa"/>
            <w:tcBorders>
              <w:top w:val="single" w:sz="4" w:space="0" w:color="auto"/>
              <w:bottom w:val="single" w:sz="4" w:space="0" w:color="auto"/>
            </w:tcBorders>
            <w:shd w:val="clear" w:color="auto" w:fill="FFFFFF"/>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（一）《逾期增值税扣税凭证抵扣申请单》。</w:t>
            </w:r>
          </w:p>
        </w:tc>
        <w:tc>
          <w:tcPr>
            <w:tcW w:w="1401" w:type="dxa"/>
            <w:vMerge w:val="restart"/>
            <w:shd w:val="clear" w:color="auto" w:fill="FFFFFF"/>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纳税人提交</w:t>
            </w:r>
          </w:p>
        </w:tc>
        <w:tc>
          <w:tcPr>
            <w:tcW w:w="2120" w:type="dxa"/>
            <w:shd w:val="clear" w:color="auto" w:fill="FFFFFF"/>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（一）《逾期增值税扣税凭证抵扣申请单》。</w:t>
            </w:r>
          </w:p>
        </w:tc>
        <w:tc>
          <w:tcPr>
            <w:tcW w:w="1384" w:type="dxa"/>
            <w:vMerge w:val="restart"/>
            <w:shd w:val="clear" w:color="auto" w:fill="FFFFFF"/>
            <w:vAlign w:val="center"/>
          </w:tcPr>
          <w:p w:rsidR="00013EC7" w:rsidRDefault="00575CDB">
            <w:pPr>
              <w:widowControl/>
              <w:jc w:val="left"/>
              <w:textAlignment w:val="center"/>
              <w:rPr>
                <w:rFonts w:ascii="仿宋" w:eastAsia="仿宋" w:hAnsi="仿宋" w:cs="仿宋"/>
                <w:b/>
                <w:bCs/>
                <w:i/>
                <w:iCs/>
                <w:sz w:val="24"/>
              </w:rPr>
            </w:pPr>
            <w:r>
              <w:rPr>
                <w:rFonts w:ascii="仿宋" w:eastAsia="仿宋" w:hAnsi="仿宋" w:cs="仿宋" w:hint="eastAsia"/>
                <w:color w:val="000000"/>
                <w:kern w:val="0"/>
                <w:sz w:val="24"/>
              </w:rPr>
              <w:t>纳税人提交</w:t>
            </w:r>
          </w:p>
        </w:tc>
        <w:tc>
          <w:tcPr>
            <w:tcW w:w="3130" w:type="dxa"/>
            <w:vMerge w:val="restart"/>
            <w:shd w:val="clear" w:color="auto" w:fill="FFFFFF"/>
            <w:vAlign w:val="center"/>
          </w:tcPr>
          <w:p w:rsidR="00013EC7" w:rsidRDefault="00575CDB">
            <w:pPr>
              <w:widowControl/>
              <w:jc w:val="left"/>
              <w:textAlignment w:val="center"/>
              <w:rPr>
                <w:rStyle w:val="font41"/>
                <w:rFonts w:ascii="仿宋" w:eastAsia="仿宋" w:hAnsi="仿宋" w:cs="仿宋"/>
                <w:sz w:val="24"/>
                <w:szCs w:val="24"/>
              </w:rPr>
            </w:pPr>
            <w:r>
              <w:rPr>
                <w:rStyle w:val="font11"/>
                <w:rFonts w:hint="eastAsia"/>
                <w:b/>
              </w:rPr>
              <w:t>现场办理</w:t>
            </w:r>
            <w:r>
              <w:rPr>
                <w:rStyle w:val="font11"/>
                <w:rFonts w:hint="eastAsia"/>
              </w:rPr>
              <w:t>：</w:t>
            </w:r>
            <w:r>
              <w:rPr>
                <w:rStyle w:val="font41"/>
                <w:rFonts w:ascii="仿宋" w:eastAsia="仿宋" w:hAnsi="仿宋" w:cs="仿宋" w:hint="eastAsia"/>
                <w:sz w:val="24"/>
                <w:szCs w:val="24"/>
              </w:rPr>
              <w:t>纳税人提交书面和电子材料。</w:t>
            </w:r>
          </w:p>
          <w:p w:rsidR="00013EC7" w:rsidRDefault="00575CDB">
            <w:pPr>
              <w:widowControl/>
              <w:jc w:val="left"/>
              <w:textAlignment w:val="center"/>
              <w:rPr>
                <w:rFonts w:ascii="仿宋" w:eastAsia="仿宋" w:hAnsi="仿宋" w:cs="仿宋"/>
                <w:color w:val="000000"/>
                <w:kern w:val="0"/>
                <w:sz w:val="24"/>
              </w:rPr>
            </w:pPr>
            <w:r>
              <w:rPr>
                <w:rFonts w:ascii="仿宋" w:eastAsia="仿宋" w:hAnsi="仿宋" w:cs="仿宋" w:hint="eastAsia"/>
                <w:b/>
                <w:bCs/>
                <w:color w:val="000000"/>
                <w:kern w:val="0"/>
                <w:sz w:val="24"/>
              </w:rPr>
              <w:t>网上办理：</w:t>
            </w:r>
            <w:r>
              <w:rPr>
                <w:rFonts w:ascii="仿宋" w:eastAsia="仿宋" w:hAnsi="仿宋" w:cs="仿宋" w:hint="eastAsia"/>
                <w:color w:val="000000"/>
                <w:kern w:val="0"/>
                <w:sz w:val="24"/>
              </w:rPr>
              <w:t>登录浙江国税电子税务局（网址：http://etax.zjtax.gov.cn/）提交申请；</w:t>
            </w:r>
          </w:p>
        </w:tc>
        <w:tc>
          <w:tcPr>
            <w:tcW w:w="868" w:type="dxa"/>
            <w:vMerge w:val="restart"/>
            <w:shd w:val="clear" w:color="auto" w:fill="FFFFFF"/>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需层报国家税务总局认证、稽核比对后，对比对相符的增值税扣税凭证，可继续抵扣其进项税额。无法确定具体时限。</w:t>
            </w:r>
          </w:p>
        </w:tc>
        <w:tc>
          <w:tcPr>
            <w:tcW w:w="1250" w:type="dxa"/>
            <w:vMerge w:val="restart"/>
            <w:shd w:val="clear" w:color="auto" w:fill="FFFFFF"/>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即时受理，需层报国家税务总局认证、稽核比对后，对比对相符的增值税扣税凭证，可继续抵扣其进项税额（自2018年1月1日起，逾期增值税扣税凭证继续抵扣事项由省国税局核准）</w:t>
            </w:r>
          </w:p>
        </w:tc>
        <w:tc>
          <w:tcPr>
            <w:tcW w:w="616" w:type="dxa"/>
            <w:vMerge w:val="restart"/>
            <w:shd w:val="clear" w:color="auto" w:fill="FFFFFF"/>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否</w:t>
            </w:r>
          </w:p>
        </w:tc>
        <w:tc>
          <w:tcPr>
            <w:tcW w:w="1077" w:type="dxa"/>
            <w:vMerge w:val="restart"/>
            <w:shd w:val="clear" w:color="auto" w:fill="FFFFFF"/>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货物和劳务税处</w:t>
            </w:r>
          </w:p>
        </w:tc>
        <w:tc>
          <w:tcPr>
            <w:tcW w:w="1132" w:type="dxa"/>
            <w:vMerge w:val="restart"/>
            <w:shd w:val="clear" w:color="auto" w:fill="FFFFFF"/>
            <w:vAlign w:val="center"/>
          </w:tcPr>
          <w:p w:rsidR="00013EC7" w:rsidRDefault="00013EC7">
            <w:pPr>
              <w:jc w:val="left"/>
              <w:rPr>
                <w:rFonts w:ascii="仿宋" w:eastAsia="仿宋" w:hAnsi="仿宋" w:cs="仿宋"/>
                <w:sz w:val="24"/>
              </w:rPr>
            </w:pPr>
          </w:p>
        </w:tc>
      </w:tr>
      <w:tr w:rsidR="00013EC7">
        <w:trPr>
          <w:trHeight w:val="3018"/>
          <w:jc w:val="center"/>
        </w:trPr>
        <w:tc>
          <w:tcPr>
            <w:tcW w:w="1250" w:type="dxa"/>
            <w:vMerge/>
            <w:shd w:val="clear" w:color="auto" w:fill="FFFFFF"/>
            <w:vAlign w:val="center"/>
          </w:tcPr>
          <w:p w:rsidR="00013EC7" w:rsidRDefault="00013EC7">
            <w:pPr>
              <w:jc w:val="left"/>
              <w:rPr>
                <w:rFonts w:ascii="仿宋" w:eastAsia="仿宋" w:hAnsi="仿宋" w:cs="仿宋"/>
                <w:sz w:val="24"/>
              </w:rPr>
            </w:pPr>
          </w:p>
        </w:tc>
        <w:tc>
          <w:tcPr>
            <w:tcW w:w="1248" w:type="dxa"/>
            <w:vMerge/>
            <w:shd w:val="clear" w:color="auto" w:fill="FFFFFF"/>
            <w:vAlign w:val="center"/>
          </w:tcPr>
          <w:p w:rsidR="00013EC7" w:rsidRDefault="00013EC7">
            <w:pPr>
              <w:jc w:val="left"/>
              <w:rPr>
                <w:rFonts w:ascii="仿宋" w:eastAsia="仿宋" w:hAnsi="仿宋" w:cs="仿宋"/>
                <w:sz w:val="24"/>
              </w:rPr>
            </w:pPr>
          </w:p>
        </w:tc>
        <w:tc>
          <w:tcPr>
            <w:tcW w:w="2809" w:type="dxa"/>
            <w:vMerge/>
            <w:shd w:val="clear" w:color="auto" w:fill="FFFFFF"/>
            <w:vAlign w:val="center"/>
          </w:tcPr>
          <w:p w:rsidR="00013EC7" w:rsidRDefault="00013EC7">
            <w:pPr>
              <w:jc w:val="left"/>
              <w:rPr>
                <w:rFonts w:ascii="仿宋" w:eastAsia="仿宋" w:hAnsi="仿宋" w:cs="仿宋"/>
                <w:sz w:val="24"/>
              </w:rPr>
            </w:pPr>
          </w:p>
        </w:tc>
        <w:tc>
          <w:tcPr>
            <w:tcW w:w="2158" w:type="dxa"/>
            <w:tcBorders>
              <w:top w:val="single" w:sz="4" w:space="0" w:color="auto"/>
            </w:tcBorders>
            <w:shd w:val="clear" w:color="auto" w:fill="FFFFFF"/>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（二）逾期增值税扣税凭证复印件（复印件必须整洁、清晰，在凭证备注栏注明“与原件一致”并加盖纳税人公章，增值税专用发票复印件必须裁剪成与原票大小一致）。</w:t>
            </w:r>
          </w:p>
        </w:tc>
        <w:tc>
          <w:tcPr>
            <w:tcW w:w="1401" w:type="dxa"/>
            <w:vMerge/>
            <w:shd w:val="clear" w:color="auto" w:fill="FFFFFF"/>
            <w:vAlign w:val="center"/>
          </w:tcPr>
          <w:p w:rsidR="00013EC7" w:rsidRDefault="00013EC7">
            <w:pPr>
              <w:jc w:val="left"/>
              <w:rPr>
                <w:rFonts w:ascii="仿宋" w:eastAsia="仿宋" w:hAnsi="仿宋" w:cs="仿宋"/>
                <w:sz w:val="24"/>
              </w:rPr>
            </w:pPr>
          </w:p>
        </w:tc>
        <w:tc>
          <w:tcPr>
            <w:tcW w:w="2120" w:type="dxa"/>
            <w:shd w:val="clear" w:color="auto" w:fill="FFFFFF"/>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（二）逾期增值税扣税凭证复印件（复印件必须整洁、清晰，在凭证备注栏注明“与原件一致”并加盖纳税人公章，增值税专用发票复印件必须裁剪成与原票大小一致）。</w:t>
            </w:r>
          </w:p>
        </w:tc>
        <w:tc>
          <w:tcPr>
            <w:tcW w:w="1384" w:type="dxa"/>
            <w:vMerge/>
            <w:shd w:val="clear" w:color="auto" w:fill="FFFFFF"/>
            <w:vAlign w:val="center"/>
          </w:tcPr>
          <w:p w:rsidR="00013EC7" w:rsidRDefault="00013EC7">
            <w:pPr>
              <w:jc w:val="left"/>
              <w:rPr>
                <w:rFonts w:ascii="仿宋" w:eastAsia="仿宋" w:hAnsi="仿宋" w:cs="仿宋"/>
                <w:sz w:val="24"/>
              </w:rPr>
            </w:pPr>
          </w:p>
        </w:tc>
        <w:tc>
          <w:tcPr>
            <w:tcW w:w="3130" w:type="dxa"/>
            <w:vMerge/>
            <w:shd w:val="clear" w:color="auto" w:fill="FFFFFF"/>
            <w:vAlign w:val="center"/>
          </w:tcPr>
          <w:p w:rsidR="00013EC7" w:rsidRDefault="00013EC7">
            <w:pPr>
              <w:jc w:val="left"/>
              <w:rPr>
                <w:rFonts w:ascii="仿宋" w:eastAsia="仿宋" w:hAnsi="仿宋" w:cs="仿宋"/>
                <w:sz w:val="24"/>
              </w:rPr>
            </w:pPr>
          </w:p>
        </w:tc>
        <w:tc>
          <w:tcPr>
            <w:tcW w:w="868" w:type="dxa"/>
            <w:vMerge/>
            <w:shd w:val="clear" w:color="auto" w:fill="FFFFFF"/>
            <w:vAlign w:val="center"/>
          </w:tcPr>
          <w:p w:rsidR="00013EC7" w:rsidRDefault="00013EC7">
            <w:pPr>
              <w:jc w:val="left"/>
              <w:rPr>
                <w:rFonts w:ascii="仿宋" w:eastAsia="仿宋" w:hAnsi="仿宋" w:cs="仿宋"/>
                <w:sz w:val="24"/>
              </w:rPr>
            </w:pPr>
          </w:p>
        </w:tc>
        <w:tc>
          <w:tcPr>
            <w:tcW w:w="1250" w:type="dxa"/>
            <w:vMerge/>
            <w:shd w:val="clear" w:color="auto" w:fill="FFFFFF"/>
            <w:vAlign w:val="center"/>
          </w:tcPr>
          <w:p w:rsidR="00013EC7" w:rsidRDefault="00013EC7">
            <w:pPr>
              <w:jc w:val="left"/>
              <w:rPr>
                <w:rFonts w:ascii="仿宋" w:eastAsia="仿宋" w:hAnsi="仿宋" w:cs="仿宋"/>
                <w:sz w:val="24"/>
              </w:rPr>
            </w:pPr>
          </w:p>
        </w:tc>
        <w:tc>
          <w:tcPr>
            <w:tcW w:w="616" w:type="dxa"/>
            <w:vMerge/>
            <w:shd w:val="clear" w:color="auto" w:fill="FFFFFF"/>
            <w:vAlign w:val="center"/>
          </w:tcPr>
          <w:p w:rsidR="00013EC7" w:rsidRDefault="00013EC7">
            <w:pPr>
              <w:jc w:val="left"/>
              <w:rPr>
                <w:rFonts w:ascii="仿宋" w:eastAsia="仿宋" w:hAnsi="仿宋" w:cs="仿宋"/>
                <w:sz w:val="24"/>
              </w:rPr>
            </w:pPr>
          </w:p>
        </w:tc>
        <w:tc>
          <w:tcPr>
            <w:tcW w:w="1077" w:type="dxa"/>
            <w:vMerge/>
            <w:shd w:val="clear" w:color="auto" w:fill="FFFFFF"/>
            <w:vAlign w:val="center"/>
          </w:tcPr>
          <w:p w:rsidR="00013EC7" w:rsidRDefault="00013EC7">
            <w:pPr>
              <w:jc w:val="left"/>
              <w:rPr>
                <w:rFonts w:ascii="仿宋" w:eastAsia="仿宋" w:hAnsi="仿宋" w:cs="仿宋"/>
                <w:sz w:val="24"/>
              </w:rPr>
            </w:pPr>
          </w:p>
        </w:tc>
        <w:tc>
          <w:tcPr>
            <w:tcW w:w="1132" w:type="dxa"/>
            <w:vMerge/>
            <w:shd w:val="clear" w:color="auto" w:fill="FFFFFF"/>
            <w:vAlign w:val="center"/>
          </w:tcPr>
          <w:p w:rsidR="00013EC7" w:rsidRDefault="00013EC7">
            <w:pPr>
              <w:jc w:val="left"/>
              <w:rPr>
                <w:rFonts w:ascii="仿宋" w:eastAsia="仿宋" w:hAnsi="仿宋" w:cs="仿宋"/>
                <w:sz w:val="24"/>
              </w:rPr>
            </w:pPr>
          </w:p>
        </w:tc>
      </w:tr>
      <w:tr w:rsidR="00013EC7">
        <w:trPr>
          <w:trHeight w:val="2534"/>
          <w:jc w:val="center"/>
        </w:trPr>
        <w:tc>
          <w:tcPr>
            <w:tcW w:w="1250" w:type="dxa"/>
            <w:vMerge/>
            <w:shd w:val="clear" w:color="auto" w:fill="FFFFFF"/>
            <w:vAlign w:val="center"/>
          </w:tcPr>
          <w:p w:rsidR="00013EC7" w:rsidRDefault="00013EC7">
            <w:pPr>
              <w:jc w:val="left"/>
              <w:rPr>
                <w:rFonts w:ascii="仿宋" w:eastAsia="仿宋" w:hAnsi="仿宋" w:cs="仿宋"/>
                <w:sz w:val="24"/>
              </w:rPr>
            </w:pPr>
          </w:p>
        </w:tc>
        <w:tc>
          <w:tcPr>
            <w:tcW w:w="1248" w:type="dxa"/>
            <w:vMerge/>
            <w:shd w:val="clear" w:color="auto" w:fill="FFFFFF"/>
            <w:vAlign w:val="center"/>
          </w:tcPr>
          <w:p w:rsidR="00013EC7" w:rsidRDefault="00013EC7">
            <w:pPr>
              <w:jc w:val="left"/>
              <w:rPr>
                <w:rFonts w:ascii="仿宋" w:eastAsia="仿宋" w:hAnsi="仿宋" w:cs="仿宋"/>
                <w:sz w:val="24"/>
              </w:rPr>
            </w:pPr>
          </w:p>
        </w:tc>
        <w:tc>
          <w:tcPr>
            <w:tcW w:w="2809" w:type="dxa"/>
            <w:vMerge/>
            <w:shd w:val="clear" w:color="auto" w:fill="FFFFFF"/>
            <w:vAlign w:val="center"/>
          </w:tcPr>
          <w:p w:rsidR="00013EC7" w:rsidRDefault="00013EC7">
            <w:pPr>
              <w:jc w:val="left"/>
              <w:rPr>
                <w:rFonts w:ascii="仿宋" w:eastAsia="仿宋" w:hAnsi="仿宋" w:cs="仿宋"/>
                <w:sz w:val="24"/>
              </w:rPr>
            </w:pPr>
          </w:p>
        </w:tc>
        <w:tc>
          <w:tcPr>
            <w:tcW w:w="2158" w:type="dxa"/>
            <w:shd w:val="clear" w:color="auto" w:fill="FFFFFF"/>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（三）增值税扣税凭证逾期情况说明，客观原因涉及第三方的，应同时提供第三方证明或说明。</w:t>
            </w:r>
          </w:p>
        </w:tc>
        <w:tc>
          <w:tcPr>
            <w:tcW w:w="1401" w:type="dxa"/>
            <w:vMerge/>
            <w:shd w:val="clear" w:color="auto" w:fill="FFFFFF"/>
            <w:vAlign w:val="center"/>
          </w:tcPr>
          <w:p w:rsidR="00013EC7" w:rsidRDefault="00013EC7">
            <w:pPr>
              <w:jc w:val="left"/>
              <w:rPr>
                <w:rFonts w:ascii="仿宋" w:eastAsia="仿宋" w:hAnsi="仿宋" w:cs="仿宋"/>
                <w:sz w:val="24"/>
              </w:rPr>
            </w:pPr>
          </w:p>
        </w:tc>
        <w:tc>
          <w:tcPr>
            <w:tcW w:w="2120" w:type="dxa"/>
            <w:shd w:val="clear" w:color="auto" w:fill="FFFFFF"/>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（三）增值税扣税凭证逾期情况说明，客观原因涉及第三方的，应同时提供第三方证明或说明。</w:t>
            </w:r>
          </w:p>
        </w:tc>
        <w:tc>
          <w:tcPr>
            <w:tcW w:w="1384" w:type="dxa"/>
            <w:vMerge/>
            <w:shd w:val="clear" w:color="auto" w:fill="FFFFFF"/>
            <w:vAlign w:val="center"/>
          </w:tcPr>
          <w:p w:rsidR="00013EC7" w:rsidRDefault="00013EC7">
            <w:pPr>
              <w:jc w:val="left"/>
              <w:rPr>
                <w:rFonts w:ascii="仿宋" w:eastAsia="仿宋" w:hAnsi="仿宋" w:cs="仿宋"/>
                <w:sz w:val="24"/>
              </w:rPr>
            </w:pPr>
          </w:p>
        </w:tc>
        <w:tc>
          <w:tcPr>
            <w:tcW w:w="3130" w:type="dxa"/>
            <w:vMerge/>
            <w:shd w:val="clear" w:color="auto" w:fill="FFFFFF"/>
            <w:vAlign w:val="center"/>
          </w:tcPr>
          <w:p w:rsidR="00013EC7" w:rsidRDefault="00013EC7">
            <w:pPr>
              <w:jc w:val="left"/>
              <w:rPr>
                <w:rFonts w:ascii="仿宋" w:eastAsia="仿宋" w:hAnsi="仿宋" w:cs="仿宋"/>
                <w:sz w:val="24"/>
              </w:rPr>
            </w:pPr>
          </w:p>
        </w:tc>
        <w:tc>
          <w:tcPr>
            <w:tcW w:w="868" w:type="dxa"/>
            <w:vMerge/>
            <w:shd w:val="clear" w:color="auto" w:fill="FFFFFF"/>
            <w:vAlign w:val="center"/>
          </w:tcPr>
          <w:p w:rsidR="00013EC7" w:rsidRDefault="00013EC7">
            <w:pPr>
              <w:jc w:val="left"/>
              <w:rPr>
                <w:rFonts w:ascii="仿宋" w:eastAsia="仿宋" w:hAnsi="仿宋" w:cs="仿宋"/>
                <w:sz w:val="24"/>
              </w:rPr>
            </w:pPr>
          </w:p>
        </w:tc>
        <w:tc>
          <w:tcPr>
            <w:tcW w:w="1250" w:type="dxa"/>
            <w:vMerge/>
            <w:shd w:val="clear" w:color="auto" w:fill="FFFFFF"/>
            <w:vAlign w:val="center"/>
          </w:tcPr>
          <w:p w:rsidR="00013EC7" w:rsidRDefault="00013EC7">
            <w:pPr>
              <w:jc w:val="left"/>
              <w:rPr>
                <w:rFonts w:ascii="仿宋" w:eastAsia="仿宋" w:hAnsi="仿宋" w:cs="仿宋"/>
                <w:sz w:val="24"/>
              </w:rPr>
            </w:pPr>
          </w:p>
        </w:tc>
        <w:tc>
          <w:tcPr>
            <w:tcW w:w="616" w:type="dxa"/>
            <w:vMerge/>
            <w:shd w:val="clear" w:color="auto" w:fill="FFFFFF"/>
            <w:vAlign w:val="center"/>
          </w:tcPr>
          <w:p w:rsidR="00013EC7" w:rsidRDefault="00013EC7">
            <w:pPr>
              <w:jc w:val="left"/>
              <w:rPr>
                <w:rFonts w:ascii="仿宋" w:eastAsia="仿宋" w:hAnsi="仿宋" w:cs="仿宋"/>
                <w:sz w:val="24"/>
              </w:rPr>
            </w:pPr>
          </w:p>
        </w:tc>
        <w:tc>
          <w:tcPr>
            <w:tcW w:w="1077" w:type="dxa"/>
            <w:vMerge/>
            <w:shd w:val="clear" w:color="auto" w:fill="FFFFFF"/>
            <w:vAlign w:val="center"/>
          </w:tcPr>
          <w:p w:rsidR="00013EC7" w:rsidRDefault="00013EC7">
            <w:pPr>
              <w:jc w:val="left"/>
              <w:rPr>
                <w:rFonts w:ascii="仿宋" w:eastAsia="仿宋" w:hAnsi="仿宋" w:cs="仿宋"/>
                <w:sz w:val="24"/>
              </w:rPr>
            </w:pPr>
          </w:p>
        </w:tc>
        <w:tc>
          <w:tcPr>
            <w:tcW w:w="1132" w:type="dxa"/>
            <w:vMerge/>
            <w:shd w:val="clear" w:color="auto" w:fill="FFFFFF"/>
            <w:vAlign w:val="center"/>
          </w:tcPr>
          <w:p w:rsidR="00013EC7" w:rsidRDefault="00013EC7">
            <w:pPr>
              <w:jc w:val="left"/>
              <w:rPr>
                <w:rFonts w:ascii="仿宋" w:eastAsia="仿宋" w:hAnsi="仿宋" w:cs="仿宋"/>
                <w:sz w:val="24"/>
              </w:rPr>
            </w:pPr>
          </w:p>
        </w:tc>
      </w:tr>
      <w:tr w:rsidR="00013EC7">
        <w:trPr>
          <w:trHeight w:val="340"/>
          <w:jc w:val="center"/>
        </w:trPr>
        <w:tc>
          <w:tcPr>
            <w:tcW w:w="1250" w:type="dxa"/>
            <w:vMerge/>
            <w:shd w:val="clear" w:color="auto" w:fill="FFFFFF"/>
            <w:vAlign w:val="center"/>
          </w:tcPr>
          <w:p w:rsidR="00013EC7" w:rsidRDefault="00013EC7">
            <w:pPr>
              <w:jc w:val="left"/>
              <w:rPr>
                <w:rFonts w:ascii="仿宋" w:eastAsia="仿宋" w:hAnsi="仿宋" w:cs="仿宋"/>
                <w:sz w:val="24"/>
              </w:rPr>
            </w:pPr>
          </w:p>
        </w:tc>
        <w:tc>
          <w:tcPr>
            <w:tcW w:w="1248" w:type="dxa"/>
            <w:vMerge/>
            <w:shd w:val="clear" w:color="auto" w:fill="FFFFFF"/>
            <w:vAlign w:val="center"/>
          </w:tcPr>
          <w:p w:rsidR="00013EC7" w:rsidRDefault="00013EC7">
            <w:pPr>
              <w:jc w:val="left"/>
              <w:rPr>
                <w:rFonts w:ascii="仿宋" w:eastAsia="仿宋" w:hAnsi="仿宋" w:cs="仿宋"/>
                <w:sz w:val="24"/>
              </w:rPr>
            </w:pPr>
          </w:p>
        </w:tc>
        <w:tc>
          <w:tcPr>
            <w:tcW w:w="2809" w:type="dxa"/>
            <w:vMerge/>
            <w:shd w:val="clear" w:color="auto" w:fill="FFFFFF"/>
            <w:vAlign w:val="center"/>
          </w:tcPr>
          <w:p w:rsidR="00013EC7" w:rsidRDefault="00013EC7">
            <w:pPr>
              <w:jc w:val="left"/>
              <w:rPr>
                <w:rFonts w:ascii="仿宋" w:eastAsia="仿宋" w:hAnsi="仿宋" w:cs="仿宋"/>
                <w:sz w:val="24"/>
              </w:rPr>
            </w:pPr>
          </w:p>
        </w:tc>
        <w:tc>
          <w:tcPr>
            <w:tcW w:w="2158" w:type="dxa"/>
            <w:shd w:val="clear" w:color="auto" w:fill="FFFFFF"/>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（四）逾期增值税扣税凭证电子信息。</w:t>
            </w:r>
          </w:p>
        </w:tc>
        <w:tc>
          <w:tcPr>
            <w:tcW w:w="1401" w:type="dxa"/>
            <w:vMerge/>
            <w:shd w:val="clear" w:color="auto" w:fill="FFFFFF"/>
            <w:vAlign w:val="center"/>
          </w:tcPr>
          <w:p w:rsidR="00013EC7" w:rsidRDefault="00013EC7">
            <w:pPr>
              <w:jc w:val="left"/>
              <w:rPr>
                <w:rFonts w:ascii="仿宋" w:eastAsia="仿宋" w:hAnsi="仿宋" w:cs="仿宋"/>
                <w:sz w:val="24"/>
              </w:rPr>
            </w:pPr>
          </w:p>
        </w:tc>
        <w:tc>
          <w:tcPr>
            <w:tcW w:w="2120" w:type="dxa"/>
            <w:shd w:val="clear" w:color="auto" w:fill="FFFFFF"/>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（四）逾期增值税扣税凭证电子信息。</w:t>
            </w:r>
          </w:p>
        </w:tc>
        <w:tc>
          <w:tcPr>
            <w:tcW w:w="1384" w:type="dxa"/>
            <w:vMerge/>
            <w:shd w:val="clear" w:color="auto" w:fill="FFFFFF"/>
            <w:vAlign w:val="center"/>
          </w:tcPr>
          <w:p w:rsidR="00013EC7" w:rsidRDefault="00013EC7">
            <w:pPr>
              <w:jc w:val="left"/>
              <w:rPr>
                <w:rFonts w:ascii="仿宋" w:eastAsia="仿宋" w:hAnsi="仿宋" w:cs="仿宋"/>
                <w:sz w:val="24"/>
              </w:rPr>
            </w:pPr>
          </w:p>
        </w:tc>
        <w:tc>
          <w:tcPr>
            <w:tcW w:w="3130" w:type="dxa"/>
            <w:vMerge/>
            <w:shd w:val="clear" w:color="auto" w:fill="FFFFFF"/>
            <w:vAlign w:val="center"/>
          </w:tcPr>
          <w:p w:rsidR="00013EC7" w:rsidRDefault="00013EC7">
            <w:pPr>
              <w:jc w:val="left"/>
              <w:rPr>
                <w:rFonts w:ascii="仿宋" w:eastAsia="仿宋" w:hAnsi="仿宋" w:cs="仿宋"/>
                <w:sz w:val="24"/>
              </w:rPr>
            </w:pPr>
          </w:p>
        </w:tc>
        <w:tc>
          <w:tcPr>
            <w:tcW w:w="868" w:type="dxa"/>
            <w:vMerge/>
            <w:shd w:val="clear" w:color="auto" w:fill="FFFFFF"/>
            <w:vAlign w:val="center"/>
          </w:tcPr>
          <w:p w:rsidR="00013EC7" w:rsidRDefault="00013EC7">
            <w:pPr>
              <w:jc w:val="left"/>
              <w:rPr>
                <w:rFonts w:ascii="仿宋" w:eastAsia="仿宋" w:hAnsi="仿宋" w:cs="仿宋"/>
                <w:sz w:val="24"/>
              </w:rPr>
            </w:pPr>
          </w:p>
        </w:tc>
        <w:tc>
          <w:tcPr>
            <w:tcW w:w="1250" w:type="dxa"/>
            <w:vMerge/>
            <w:shd w:val="clear" w:color="auto" w:fill="FFFFFF"/>
            <w:vAlign w:val="center"/>
          </w:tcPr>
          <w:p w:rsidR="00013EC7" w:rsidRDefault="00013EC7">
            <w:pPr>
              <w:jc w:val="left"/>
              <w:rPr>
                <w:rFonts w:ascii="仿宋" w:eastAsia="仿宋" w:hAnsi="仿宋" w:cs="仿宋"/>
                <w:sz w:val="24"/>
              </w:rPr>
            </w:pPr>
          </w:p>
        </w:tc>
        <w:tc>
          <w:tcPr>
            <w:tcW w:w="616" w:type="dxa"/>
            <w:vMerge/>
            <w:shd w:val="clear" w:color="auto" w:fill="FFFFFF"/>
            <w:vAlign w:val="center"/>
          </w:tcPr>
          <w:p w:rsidR="00013EC7" w:rsidRDefault="00013EC7">
            <w:pPr>
              <w:jc w:val="left"/>
              <w:rPr>
                <w:rFonts w:ascii="仿宋" w:eastAsia="仿宋" w:hAnsi="仿宋" w:cs="仿宋"/>
                <w:sz w:val="24"/>
              </w:rPr>
            </w:pPr>
          </w:p>
        </w:tc>
        <w:tc>
          <w:tcPr>
            <w:tcW w:w="1077" w:type="dxa"/>
            <w:vMerge/>
            <w:shd w:val="clear" w:color="auto" w:fill="FFFFFF"/>
            <w:vAlign w:val="center"/>
          </w:tcPr>
          <w:p w:rsidR="00013EC7" w:rsidRDefault="00013EC7">
            <w:pPr>
              <w:jc w:val="left"/>
              <w:rPr>
                <w:rFonts w:ascii="仿宋" w:eastAsia="仿宋" w:hAnsi="仿宋" w:cs="仿宋"/>
                <w:sz w:val="24"/>
              </w:rPr>
            </w:pPr>
          </w:p>
        </w:tc>
        <w:tc>
          <w:tcPr>
            <w:tcW w:w="1132" w:type="dxa"/>
            <w:vMerge/>
            <w:shd w:val="clear" w:color="auto" w:fill="FFFFFF"/>
            <w:vAlign w:val="center"/>
          </w:tcPr>
          <w:p w:rsidR="00013EC7" w:rsidRDefault="00013EC7">
            <w:pPr>
              <w:jc w:val="left"/>
              <w:rPr>
                <w:rFonts w:ascii="仿宋" w:eastAsia="仿宋" w:hAnsi="仿宋" w:cs="仿宋"/>
                <w:sz w:val="24"/>
              </w:rPr>
            </w:pPr>
          </w:p>
        </w:tc>
      </w:tr>
    </w:tbl>
    <w:p w:rsidR="00013EC7" w:rsidRDefault="00013EC7">
      <w:pPr>
        <w:ind w:firstLineChars="5350" w:firstLine="14980"/>
        <w:rPr>
          <w:rFonts w:ascii="宋体" w:hAnsi="宋体"/>
          <w:kern w:val="0"/>
          <w:sz w:val="28"/>
          <w:szCs w:val="28"/>
        </w:rPr>
      </w:pPr>
      <w:bookmarkStart w:id="271" w:name="_Toc498705725"/>
    </w:p>
    <w:p w:rsidR="00013EC7" w:rsidRDefault="00013EC7">
      <w:pPr>
        <w:ind w:firstLineChars="5350" w:firstLine="14980"/>
        <w:rPr>
          <w:rFonts w:ascii="宋体" w:hAnsi="宋体"/>
          <w:kern w:val="0"/>
          <w:sz w:val="28"/>
          <w:szCs w:val="28"/>
        </w:rPr>
      </w:pPr>
    </w:p>
    <w:p w:rsidR="00013EC7" w:rsidRDefault="005262E6">
      <w:pPr>
        <w:ind w:firstLineChars="5350" w:firstLine="11235"/>
        <w:rPr>
          <w:rFonts w:ascii="宋体" w:hAnsi="宋体"/>
          <w:kern w:val="0"/>
          <w:sz w:val="28"/>
          <w:szCs w:val="28"/>
        </w:rPr>
      </w:pPr>
      <w:r>
        <w:lastRenderedPageBreak/>
        <w:object w:dxaOrig="1440" w:dyaOrig="1440">
          <v:shape id="_x0000_s1266" type="#_x0000_t75" alt="" style="position:absolute;left:0;text-align:left;margin-left:565.85pt;margin-top:79.65pt;width:422.4pt;height:598.6pt;z-index:251607040;mso-wrap-distance-left:9pt;mso-wrap-distance-top:0;mso-wrap-distance-right:9pt;mso-wrap-distance-bottom:0;mso-position-vertical-relative:page;mso-width-relative:page;mso-height-relative:page">
            <v:imagedata r:id="rId178" o:title=""/>
            <w10:wrap type="square" anchory="page"/>
          </v:shape>
          <o:OLEObject Type="Embed" ProgID="Visio.Drawing.11" ShapeID="_x0000_s1266" DrawAspect="Content" ObjectID="_1577296219" r:id="rId179"/>
        </w:object>
      </w:r>
      <w:r>
        <w:object w:dxaOrig="1440" w:dyaOrig="1440">
          <v:shape id="_x0000_s1267" type="#_x0000_t75" alt="2111217721508729125585" style="position:absolute;left:0;text-align:left;margin-left:29.35pt;margin-top:87.55pt;width:416.45pt;height:628.5pt;z-index:251608064;mso-wrap-distance-top:0;mso-wrap-distance-bottom:0;mso-position-vertical-relative:page;mso-width-relative:page;mso-height-relative:page">
            <v:imagedata r:id="rId180" o:title="2111217721508729125585"/>
            <w10:wrap type="topAndBottom" anchory="page"/>
          </v:shape>
          <o:OLEObject Type="Embed" ProgID="Visio.Drawing.11" ShapeID="_x0000_s1267" DrawAspect="Content" ObjectID="_1577296220" r:id="rId181"/>
        </w:object>
      </w:r>
    </w:p>
    <w:p w:rsidR="00013EC7" w:rsidRDefault="00013EC7">
      <w:pPr>
        <w:rPr>
          <w:rFonts w:ascii="宋体" w:hAnsi="宋体"/>
          <w:kern w:val="0"/>
          <w:sz w:val="28"/>
          <w:szCs w:val="28"/>
        </w:rPr>
        <w:sectPr w:rsidR="00013EC7">
          <w:pgSz w:w="23814" w:h="16840" w:orient="landscape"/>
          <w:pgMar w:top="1701" w:right="1843" w:bottom="1985" w:left="1843" w:header="851" w:footer="1701" w:gutter="0"/>
          <w:pgNumType w:fmt="numberInDash"/>
          <w:cols w:space="720"/>
          <w:docGrid w:type="lines" w:linePitch="312"/>
        </w:sectPr>
      </w:pPr>
    </w:p>
    <w:p w:rsidR="00013EC7" w:rsidRDefault="00575CDB">
      <w:pPr>
        <w:pStyle w:val="1"/>
      </w:pPr>
      <w:bookmarkStart w:id="272" w:name="_Toc503467416"/>
      <w:bookmarkStart w:id="273" w:name="_Toc2009"/>
      <w:bookmarkStart w:id="274" w:name="_Toc29814"/>
      <w:bookmarkStart w:id="275" w:name="_Toc16988"/>
      <w:r>
        <w:rPr>
          <w:rFonts w:hint="eastAsia"/>
        </w:rPr>
        <w:lastRenderedPageBreak/>
        <w:t>十六、发票相关服务</w:t>
      </w:r>
      <w:bookmarkEnd w:id="272"/>
      <w:bookmarkEnd w:id="273"/>
      <w:bookmarkEnd w:id="274"/>
      <w:bookmarkEnd w:id="275"/>
    </w:p>
    <w:p w:rsidR="00013EC7" w:rsidRDefault="00575CDB">
      <w:pPr>
        <w:pStyle w:val="2"/>
      </w:pPr>
      <w:bookmarkStart w:id="276" w:name="_Toc503467417"/>
      <w:bookmarkStart w:id="277" w:name="_Toc7660"/>
      <w:bookmarkStart w:id="278" w:name="_Toc1534"/>
      <w:bookmarkStart w:id="279" w:name="_Toc28240"/>
      <w:r>
        <w:rPr>
          <w:rFonts w:hint="eastAsia"/>
        </w:rPr>
        <w:t>16.1</w:t>
      </w:r>
      <w:r>
        <w:rPr>
          <w:rFonts w:hint="eastAsia"/>
        </w:rPr>
        <w:t>发票缴销</w:t>
      </w:r>
      <w:bookmarkEnd w:id="271"/>
      <w:bookmarkEnd w:id="276"/>
      <w:bookmarkEnd w:id="277"/>
      <w:bookmarkEnd w:id="278"/>
      <w:bookmarkEnd w:id="279"/>
    </w:p>
    <w:p w:rsidR="00013EC7" w:rsidRDefault="00575CDB">
      <w:pPr>
        <w:jc w:val="center"/>
        <w:rPr>
          <w:rFonts w:ascii="宋体" w:hAnsi="宋体" w:cs="宋体"/>
          <w:b/>
          <w:bCs/>
          <w:sz w:val="44"/>
          <w:szCs w:val="44"/>
        </w:rPr>
      </w:pPr>
      <w:r>
        <w:rPr>
          <w:rFonts w:ascii="宋体" w:hAnsi="宋体" w:cs="宋体" w:hint="eastAsia"/>
          <w:b/>
          <w:bCs/>
          <w:sz w:val="52"/>
          <w:szCs w:val="52"/>
        </w:rPr>
        <w:t>全省“最多跑一次”事项“八统一”梳理表</w:t>
      </w:r>
    </w:p>
    <w:p w:rsidR="00013EC7" w:rsidRDefault="00013EC7">
      <w:pPr>
        <w:rPr>
          <w:rFonts w:eastAsia="方正书宋简体"/>
          <w:szCs w:val="21"/>
        </w:rPr>
      </w:pPr>
    </w:p>
    <w:tbl>
      <w:tblPr>
        <w:tblpPr w:leftFromText="180" w:rightFromText="180" w:vertAnchor="text" w:horzAnchor="page" w:tblpX="1786" w:tblpY="54"/>
        <w:tblOverlap w:val="never"/>
        <w:tblW w:w="20776"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1250"/>
        <w:gridCol w:w="1316"/>
        <w:gridCol w:w="2114"/>
        <w:gridCol w:w="2785"/>
        <w:gridCol w:w="1401"/>
        <w:gridCol w:w="2120"/>
        <w:gridCol w:w="1343"/>
        <w:gridCol w:w="3171"/>
        <w:gridCol w:w="868"/>
        <w:gridCol w:w="939"/>
        <w:gridCol w:w="742"/>
        <w:gridCol w:w="1248"/>
        <w:gridCol w:w="1479"/>
      </w:tblGrid>
      <w:tr w:rsidR="00013EC7">
        <w:trPr>
          <w:trHeight w:val="340"/>
          <w:tblHeader/>
        </w:trPr>
        <w:tc>
          <w:tcPr>
            <w:tcW w:w="1250"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主项名称</w:t>
            </w:r>
          </w:p>
        </w:tc>
        <w:tc>
          <w:tcPr>
            <w:tcW w:w="1316"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子项名称</w:t>
            </w:r>
          </w:p>
        </w:tc>
        <w:tc>
          <w:tcPr>
            <w:tcW w:w="2114"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经办依据</w:t>
            </w:r>
          </w:p>
        </w:tc>
        <w:tc>
          <w:tcPr>
            <w:tcW w:w="4186"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原经办所需材料</w:t>
            </w:r>
          </w:p>
        </w:tc>
        <w:tc>
          <w:tcPr>
            <w:tcW w:w="6634" w:type="dxa"/>
            <w:gridSpan w:val="3"/>
            <w:vAlign w:val="center"/>
          </w:tcPr>
          <w:p w:rsidR="00013EC7" w:rsidRDefault="00575CDB">
            <w:pPr>
              <w:spacing w:line="280" w:lineRule="exact"/>
              <w:jc w:val="center"/>
              <w:rPr>
                <w:rFonts w:ascii="黑体" w:eastAsia="黑体"/>
                <w:sz w:val="24"/>
              </w:rPr>
            </w:pPr>
            <w:r>
              <w:rPr>
                <w:rFonts w:ascii="黑体" w:eastAsia="黑体" w:hint="eastAsia"/>
                <w:sz w:val="24"/>
              </w:rPr>
              <w:t>梳理后经办所需材料</w:t>
            </w:r>
          </w:p>
        </w:tc>
        <w:tc>
          <w:tcPr>
            <w:tcW w:w="1807"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办理时限</w:t>
            </w:r>
          </w:p>
        </w:tc>
        <w:tc>
          <w:tcPr>
            <w:tcW w:w="742"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是否实现跑零次</w:t>
            </w:r>
          </w:p>
        </w:tc>
        <w:tc>
          <w:tcPr>
            <w:tcW w:w="1248"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省厅对口</w:t>
            </w:r>
          </w:p>
          <w:p w:rsidR="00013EC7" w:rsidRDefault="00575CDB">
            <w:pPr>
              <w:spacing w:line="280" w:lineRule="exact"/>
              <w:jc w:val="center"/>
              <w:rPr>
                <w:rFonts w:ascii="黑体" w:eastAsia="黑体"/>
                <w:sz w:val="24"/>
              </w:rPr>
            </w:pPr>
            <w:r>
              <w:rPr>
                <w:rFonts w:ascii="黑体" w:eastAsia="黑体" w:hint="eastAsia"/>
                <w:sz w:val="24"/>
              </w:rPr>
              <w:t>指导处室</w:t>
            </w:r>
          </w:p>
          <w:p w:rsidR="00013EC7" w:rsidRDefault="00575CDB">
            <w:pPr>
              <w:spacing w:line="280" w:lineRule="exact"/>
              <w:jc w:val="center"/>
              <w:rPr>
                <w:rFonts w:ascii="黑体" w:eastAsia="黑体"/>
                <w:sz w:val="24"/>
              </w:rPr>
            </w:pPr>
            <w:r>
              <w:rPr>
                <w:rFonts w:ascii="黑体" w:eastAsia="黑体" w:hint="eastAsia"/>
                <w:sz w:val="24"/>
              </w:rPr>
              <w:t>（单位）</w:t>
            </w:r>
          </w:p>
        </w:tc>
        <w:tc>
          <w:tcPr>
            <w:tcW w:w="1479"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进一步精简、</w:t>
            </w:r>
          </w:p>
          <w:p w:rsidR="00013EC7" w:rsidRDefault="00575CDB">
            <w:pPr>
              <w:spacing w:line="280" w:lineRule="exact"/>
              <w:jc w:val="center"/>
              <w:rPr>
                <w:rFonts w:ascii="黑体" w:eastAsia="黑体"/>
                <w:sz w:val="24"/>
              </w:rPr>
            </w:pPr>
            <w:r>
              <w:rPr>
                <w:rFonts w:ascii="黑体" w:eastAsia="黑体" w:hint="eastAsia"/>
                <w:sz w:val="24"/>
              </w:rPr>
              <w:t>规范建议</w:t>
            </w:r>
          </w:p>
        </w:tc>
      </w:tr>
      <w:tr w:rsidR="00013EC7">
        <w:trPr>
          <w:trHeight w:val="340"/>
          <w:tblHeader/>
        </w:trPr>
        <w:tc>
          <w:tcPr>
            <w:tcW w:w="1250" w:type="dxa"/>
            <w:vMerge/>
            <w:vAlign w:val="center"/>
          </w:tcPr>
          <w:p w:rsidR="00013EC7" w:rsidRDefault="00013EC7">
            <w:pPr>
              <w:rPr>
                <w:sz w:val="24"/>
              </w:rPr>
            </w:pPr>
          </w:p>
        </w:tc>
        <w:tc>
          <w:tcPr>
            <w:tcW w:w="1316" w:type="dxa"/>
            <w:vMerge/>
          </w:tcPr>
          <w:p w:rsidR="00013EC7" w:rsidRDefault="00013EC7">
            <w:pPr>
              <w:rPr>
                <w:sz w:val="24"/>
              </w:rPr>
            </w:pPr>
          </w:p>
        </w:tc>
        <w:tc>
          <w:tcPr>
            <w:tcW w:w="2114" w:type="dxa"/>
            <w:vMerge/>
          </w:tcPr>
          <w:p w:rsidR="00013EC7" w:rsidRDefault="00013EC7">
            <w:pPr>
              <w:rPr>
                <w:sz w:val="24"/>
              </w:rPr>
            </w:pPr>
          </w:p>
        </w:tc>
        <w:tc>
          <w:tcPr>
            <w:tcW w:w="2785" w:type="dxa"/>
            <w:tcBorders>
              <w:bottom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401"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2120" w:type="dxa"/>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343"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3171" w:type="dxa"/>
            <w:vAlign w:val="center"/>
          </w:tcPr>
          <w:p w:rsidR="00013EC7" w:rsidRDefault="00575CDB">
            <w:pPr>
              <w:spacing w:line="280" w:lineRule="exact"/>
              <w:jc w:val="center"/>
              <w:rPr>
                <w:rFonts w:ascii="黑体" w:eastAsia="黑体"/>
                <w:sz w:val="24"/>
              </w:rPr>
            </w:pPr>
            <w:r>
              <w:rPr>
                <w:rFonts w:ascii="黑体" w:eastAsia="黑体" w:hint="eastAsia"/>
                <w:sz w:val="24"/>
              </w:rPr>
              <w:t>办理方式及材料</w:t>
            </w:r>
          </w:p>
          <w:p w:rsidR="00013EC7" w:rsidRDefault="00575CDB">
            <w:pPr>
              <w:spacing w:line="280" w:lineRule="exact"/>
              <w:jc w:val="center"/>
              <w:rPr>
                <w:rFonts w:ascii="黑体" w:eastAsia="黑体"/>
                <w:sz w:val="24"/>
              </w:rPr>
            </w:pPr>
            <w:r>
              <w:rPr>
                <w:rFonts w:ascii="黑体" w:eastAsia="黑体" w:hint="eastAsia"/>
                <w:sz w:val="24"/>
              </w:rPr>
              <w:t>信息获取方式说明</w:t>
            </w:r>
          </w:p>
        </w:tc>
        <w:tc>
          <w:tcPr>
            <w:tcW w:w="868" w:type="dxa"/>
            <w:vAlign w:val="center"/>
          </w:tcPr>
          <w:p w:rsidR="00013EC7" w:rsidRDefault="00575CDB">
            <w:pPr>
              <w:spacing w:line="280" w:lineRule="exact"/>
              <w:jc w:val="center"/>
              <w:rPr>
                <w:rFonts w:ascii="黑体" w:eastAsia="黑体"/>
                <w:sz w:val="24"/>
              </w:rPr>
            </w:pPr>
            <w:r>
              <w:rPr>
                <w:rFonts w:ascii="黑体" w:eastAsia="黑体" w:hint="eastAsia"/>
                <w:sz w:val="24"/>
              </w:rPr>
              <w:t>优化前</w:t>
            </w:r>
          </w:p>
        </w:tc>
        <w:tc>
          <w:tcPr>
            <w:tcW w:w="939" w:type="dxa"/>
            <w:vAlign w:val="center"/>
          </w:tcPr>
          <w:p w:rsidR="00013EC7" w:rsidRDefault="00575CDB">
            <w:pPr>
              <w:spacing w:line="280" w:lineRule="exact"/>
              <w:jc w:val="center"/>
              <w:rPr>
                <w:rFonts w:ascii="黑体" w:eastAsia="黑体"/>
                <w:sz w:val="24"/>
              </w:rPr>
            </w:pPr>
            <w:r>
              <w:rPr>
                <w:rFonts w:ascii="黑体" w:eastAsia="黑体" w:hint="eastAsia"/>
                <w:sz w:val="24"/>
              </w:rPr>
              <w:t>优化后</w:t>
            </w:r>
          </w:p>
        </w:tc>
        <w:tc>
          <w:tcPr>
            <w:tcW w:w="742" w:type="dxa"/>
            <w:vMerge/>
            <w:vAlign w:val="center"/>
          </w:tcPr>
          <w:p w:rsidR="00013EC7" w:rsidRDefault="00013EC7">
            <w:pPr>
              <w:rPr>
                <w:sz w:val="24"/>
              </w:rPr>
            </w:pPr>
          </w:p>
        </w:tc>
        <w:tc>
          <w:tcPr>
            <w:tcW w:w="1248" w:type="dxa"/>
            <w:vMerge/>
            <w:vAlign w:val="center"/>
          </w:tcPr>
          <w:p w:rsidR="00013EC7" w:rsidRDefault="00013EC7">
            <w:pPr>
              <w:rPr>
                <w:sz w:val="24"/>
              </w:rPr>
            </w:pPr>
          </w:p>
        </w:tc>
        <w:tc>
          <w:tcPr>
            <w:tcW w:w="1479" w:type="dxa"/>
            <w:vMerge/>
            <w:vAlign w:val="center"/>
          </w:tcPr>
          <w:p w:rsidR="00013EC7" w:rsidRDefault="00013EC7">
            <w:pPr>
              <w:rPr>
                <w:sz w:val="24"/>
              </w:rPr>
            </w:pPr>
          </w:p>
        </w:tc>
      </w:tr>
      <w:tr w:rsidR="00013EC7">
        <w:trPr>
          <w:trHeight w:val="2645"/>
        </w:trPr>
        <w:tc>
          <w:tcPr>
            <w:tcW w:w="1250" w:type="dxa"/>
            <w:vMerge w:val="restart"/>
            <w:shd w:val="clear" w:color="auto" w:fill="FFFFFF"/>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16发票相关服务</w:t>
            </w:r>
          </w:p>
        </w:tc>
        <w:tc>
          <w:tcPr>
            <w:tcW w:w="1316" w:type="dxa"/>
            <w:vMerge w:val="restart"/>
            <w:shd w:val="clear" w:color="auto" w:fill="FFFFFF"/>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16.1发票缴销</w:t>
            </w:r>
          </w:p>
        </w:tc>
        <w:tc>
          <w:tcPr>
            <w:tcW w:w="2114" w:type="dxa"/>
            <w:vMerge w:val="restart"/>
            <w:shd w:val="clear" w:color="auto" w:fill="FFFFFF"/>
            <w:vAlign w:val="center"/>
          </w:tcPr>
          <w:p w:rsidR="00013EC7" w:rsidRDefault="00575CDB">
            <w:pPr>
              <w:widowControl/>
              <w:jc w:val="left"/>
              <w:textAlignment w:val="center"/>
              <w:rPr>
                <w:rFonts w:ascii="仿宋" w:eastAsia="仿宋" w:hAnsi="仿宋" w:cs="仿宋"/>
                <w:color w:val="000000"/>
                <w:kern w:val="0"/>
                <w:sz w:val="24"/>
              </w:rPr>
            </w:pPr>
            <w:r>
              <w:rPr>
                <w:rFonts w:ascii="仿宋" w:eastAsia="仿宋" w:hAnsi="仿宋" w:cs="仿宋" w:hint="eastAsia"/>
                <w:color w:val="000000"/>
                <w:kern w:val="0"/>
                <w:sz w:val="24"/>
              </w:rPr>
              <w:t>（一）《中华人民共和国税收征收管理法》（2001年中华人民共和国主席令第49号）第二十一条。</w:t>
            </w:r>
          </w:p>
          <w:p w:rsidR="00013EC7" w:rsidRDefault="00575CDB">
            <w:pPr>
              <w:widowControl/>
              <w:jc w:val="left"/>
              <w:textAlignment w:val="center"/>
              <w:rPr>
                <w:rFonts w:ascii="仿宋" w:eastAsia="仿宋" w:hAnsi="仿宋" w:cs="仿宋"/>
                <w:color w:val="000000"/>
                <w:kern w:val="0"/>
                <w:sz w:val="24"/>
              </w:rPr>
            </w:pPr>
            <w:r>
              <w:rPr>
                <w:rFonts w:ascii="仿宋" w:eastAsia="仿宋" w:hAnsi="仿宋" w:cs="仿宋" w:hint="eastAsia"/>
                <w:color w:val="000000"/>
                <w:kern w:val="0"/>
                <w:sz w:val="24"/>
              </w:rPr>
              <w:t xml:space="preserve">（二）《中华人民共和国发票管理办法》（2010年中华人民共和国国务院令第587号）第十八条、第二十八条、第二十九条。 </w:t>
            </w:r>
          </w:p>
          <w:p w:rsidR="00013EC7" w:rsidRDefault="00575CDB">
            <w:pPr>
              <w:widowControl/>
              <w:jc w:val="left"/>
              <w:textAlignment w:val="center"/>
              <w:rPr>
                <w:rFonts w:ascii="仿宋" w:eastAsia="仿宋" w:hAnsi="仿宋" w:cs="仿宋"/>
                <w:color w:val="000000"/>
                <w:kern w:val="0"/>
                <w:sz w:val="24"/>
              </w:rPr>
            </w:pPr>
            <w:r>
              <w:rPr>
                <w:rFonts w:ascii="仿宋" w:eastAsia="仿宋" w:hAnsi="仿宋" w:cs="仿宋" w:hint="eastAsia"/>
                <w:color w:val="000000"/>
                <w:kern w:val="0"/>
                <w:sz w:val="24"/>
              </w:rPr>
              <w:t>（三）《网络发票管理办法》（2013年国家税务总局令第30号）第二条、第十条。</w:t>
            </w:r>
          </w:p>
          <w:p w:rsidR="00013EC7" w:rsidRDefault="00575CDB">
            <w:pPr>
              <w:widowControl/>
              <w:jc w:val="left"/>
              <w:textAlignment w:val="center"/>
              <w:rPr>
                <w:rFonts w:ascii="仿宋" w:eastAsia="仿宋" w:hAnsi="仿宋" w:cs="仿宋"/>
                <w:color w:val="000000"/>
                <w:kern w:val="0"/>
                <w:sz w:val="24"/>
              </w:rPr>
            </w:pPr>
            <w:r>
              <w:rPr>
                <w:rFonts w:ascii="仿宋" w:eastAsia="仿宋" w:hAnsi="仿宋" w:cs="仿宋" w:hint="eastAsia"/>
                <w:color w:val="000000"/>
                <w:kern w:val="0"/>
                <w:sz w:val="24"/>
              </w:rPr>
              <w:t>（四）《税务登记管理办法》（2014年国家税务总局令第36号）第三十一条、第三十五条。</w:t>
            </w:r>
          </w:p>
        </w:tc>
        <w:tc>
          <w:tcPr>
            <w:tcW w:w="2785" w:type="dxa"/>
            <w:tcBorders>
              <w:top w:val="single" w:sz="4" w:space="0" w:color="auto"/>
              <w:bottom w:val="single" w:sz="4" w:space="0" w:color="auto"/>
            </w:tcBorders>
            <w:shd w:val="clear" w:color="auto" w:fill="FFFFFF"/>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shd w:val="clear" w:color="FFFFFF" w:fill="D9D9D9"/>
              </w:rPr>
              <w:t>（一）(A02009)《发票领用簿》。</w:t>
            </w:r>
          </w:p>
        </w:tc>
        <w:tc>
          <w:tcPr>
            <w:tcW w:w="1401" w:type="dxa"/>
            <w:vMerge w:val="restart"/>
            <w:shd w:val="clear" w:color="auto" w:fill="FFFFFF"/>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纳税人提交</w:t>
            </w:r>
          </w:p>
        </w:tc>
        <w:tc>
          <w:tcPr>
            <w:tcW w:w="2120" w:type="dxa"/>
            <w:shd w:val="clear" w:color="auto" w:fill="FFFFFF"/>
            <w:vAlign w:val="center"/>
          </w:tcPr>
          <w:p w:rsidR="00013EC7" w:rsidRDefault="00013EC7">
            <w:pPr>
              <w:jc w:val="left"/>
              <w:rPr>
                <w:rFonts w:ascii="仿宋" w:eastAsia="仿宋" w:hAnsi="仿宋" w:cs="仿宋"/>
                <w:sz w:val="24"/>
              </w:rPr>
            </w:pPr>
          </w:p>
        </w:tc>
        <w:tc>
          <w:tcPr>
            <w:tcW w:w="1343" w:type="dxa"/>
            <w:shd w:val="clear" w:color="auto" w:fill="FFFFFF"/>
            <w:vAlign w:val="center"/>
          </w:tcPr>
          <w:p w:rsidR="00013EC7" w:rsidRDefault="00575CDB">
            <w:pPr>
              <w:widowControl/>
              <w:jc w:val="left"/>
              <w:textAlignment w:val="center"/>
              <w:rPr>
                <w:rFonts w:ascii="仿宋" w:eastAsia="仿宋" w:hAnsi="仿宋" w:cs="仿宋"/>
                <w:b/>
                <w:bCs/>
                <w:i/>
                <w:iCs/>
                <w:sz w:val="24"/>
              </w:rPr>
            </w:pPr>
            <w:r>
              <w:rPr>
                <w:rFonts w:ascii="仿宋" w:eastAsia="仿宋" w:hAnsi="仿宋" w:cs="仿宋" w:hint="eastAsia"/>
                <w:b/>
                <w:i/>
                <w:color w:val="000000"/>
                <w:kern w:val="0"/>
                <w:sz w:val="24"/>
              </w:rPr>
              <w:t>取消</w:t>
            </w:r>
          </w:p>
        </w:tc>
        <w:tc>
          <w:tcPr>
            <w:tcW w:w="3171" w:type="dxa"/>
            <w:shd w:val="clear" w:color="auto" w:fill="FFFFFF"/>
            <w:vAlign w:val="center"/>
          </w:tcPr>
          <w:p w:rsidR="00013EC7" w:rsidRDefault="00013EC7">
            <w:pPr>
              <w:jc w:val="left"/>
              <w:rPr>
                <w:rFonts w:ascii="仿宋" w:eastAsia="仿宋" w:hAnsi="仿宋" w:cs="仿宋"/>
                <w:sz w:val="24"/>
              </w:rPr>
            </w:pPr>
          </w:p>
        </w:tc>
        <w:tc>
          <w:tcPr>
            <w:tcW w:w="868" w:type="dxa"/>
            <w:vMerge w:val="restart"/>
            <w:shd w:val="clear" w:color="auto" w:fill="FFFFFF"/>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即时办结</w:t>
            </w:r>
          </w:p>
        </w:tc>
        <w:tc>
          <w:tcPr>
            <w:tcW w:w="939" w:type="dxa"/>
            <w:vMerge w:val="restart"/>
            <w:shd w:val="clear" w:color="auto" w:fill="FFFFFF"/>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即时办结</w:t>
            </w:r>
          </w:p>
        </w:tc>
        <w:tc>
          <w:tcPr>
            <w:tcW w:w="742" w:type="dxa"/>
            <w:vMerge w:val="restart"/>
            <w:shd w:val="clear" w:color="auto" w:fill="FFFFFF"/>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sz w:val="24"/>
              </w:rPr>
              <w:t>是</w:t>
            </w:r>
          </w:p>
        </w:tc>
        <w:tc>
          <w:tcPr>
            <w:tcW w:w="1248" w:type="dxa"/>
            <w:vMerge w:val="restart"/>
            <w:shd w:val="clear" w:color="auto" w:fill="FFFFFF"/>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货物和劳务税处（增值税发票）、</w:t>
            </w:r>
            <w:r>
              <w:rPr>
                <w:rFonts w:ascii="仿宋" w:eastAsia="仿宋" w:hAnsi="仿宋" w:cs="仿宋" w:hint="eastAsia"/>
                <w:color w:val="000000"/>
                <w:kern w:val="0"/>
                <w:sz w:val="24"/>
              </w:rPr>
              <w:br/>
              <w:t>征管科技处（通用机打发票）</w:t>
            </w:r>
          </w:p>
        </w:tc>
        <w:tc>
          <w:tcPr>
            <w:tcW w:w="1479" w:type="dxa"/>
            <w:vMerge w:val="restart"/>
            <w:shd w:val="clear" w:color="auto" w:fill="FFFFFF"/>
            <w:vAlign w:val="center"/>
          </w:tcPr>
          <w:p w:rsidR="00013EC7" w:rsidRDefault="00013EC7">
            <w:pPr>
              <w:jc w:val="left"/>
              <w:rPr>
                <w:rFonts w:ascii="仿宋" w:eastAsia="仿宋" w:hAnsi="仿宋" w:cs="仿宋"/>
                <w:sz w:val="24"/>
              </w:rPr>
            </w:pPr>
          </w:p>
        </w:tc>
      </w:tr>
      <w:tr w:rsidR="00013EC7">
        <w:trPr>
          <w:trHeight w:val="1699"/>
        </w:trPr>
        <w:tc>
          <w:tcPr>
            <w:tcW w:w="1250" w:type="dxa"/>
            <w:vMerge/>
            <w:shd w:val="clear" w:color="auto" w:fill="FFFFFF"/>
            <w:vAlign w:val="center"/>
          </w:tcPr>
          <w:p w:rsidR="00013EC7" w:rsidRDefault="00013EC7">
            <w:pPr>
              <w:jc w:val="center"/>
              <w:rPr>
                <w:rFonts w:ascii="仿宋" w:eastAsia="仿宋" w:hAnsi="仿宋" w:cs="仿宋"/>
                <w:sz w:val="24"/>
              </w:rPr>
            </w:pPr>
          </w:p>
        </w:tc>
        <w:tc>
          <w:tcPr>
            <w:tcW w:w="1316" w:type="dxa"/>
            <w:vMerge/>
            <w:shd w:val="clear" w:color="auto" w:fill="FFFFFF"/>
            <w:vAlign w:val="center"/>
          </w:tcPr>
          <w:p w:rsidR="00013EC7" w:rsidRDefault="00013EC7">
            <w:pPr>
              <w:jc w:val="center"/>
              <w:rPr>
                <w:rFonts w:ascii="仿宋" w:eastAsia="仿宋" w:hAnsi="仿宋" w:cs="仿宋"/>
                <w:sz w:val="24"/>
              </w:rPr>
            </w:pPr>
          </w:p>
        </w:tc>
        <w:tc>
          <w:tcPr>
            <w:tcW w:w="2114" w:type="dxa"/>
            <w:vMerge/>
            <w:shd w:val="clear" w:color="auto" w:fill="FFFFFF"/>
            <w:vAlign w:val="center"/>
          </w:tcPr>
          <w:p w:rsidR="00013EC7" w:rsidRDefault="00013EC7">
            <w:pPr>
              <w:jc w:val="left"/>
              <w:rPr>
                <w:rFonts w:ascii="仿宋" w:eastAsia="仿宋" w:hAnsi="仿宋" w:cs="仿宋"/>
                <w:sz w:val="24"/>
              </w:rPr>
            </w:pPr>
          </w:p>
        </w:tc>
        <w:tc>
          <w:tcPr>
            <w:tcW w:w="2785" w:type="dxa"/>
            <w:tcBorders>
              <w:top w:val="single" w:sz="4" w:space="0" w:color="auto"/>
            </w:tcBorders>
            <w:shd w:val="clear" w:color="auto" w:fill="FFFFFF"/>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br/>
              <w:t>（二）需缴销的发票。</w:t>
            </w:r>
          </w:p>
        </w:tc>
        <w:tc>
          <w:tcPr>
            <w:tcW w:w="1401" w:type="dxa"/>
            <w:vMerge/>
            <w:shd w:val="clear" w:color="auto" w:fill="FFFFFF"/>
            <w:vAlign w:val="center"/>
          </w:tcPr>
          <w:p w:rsidR="00013EC7" w:rsidRDefault="00013EC7">
            <w:pPr>
              <w:jc w:val="left"/>
              <w:rPr>
                <w:rFonts w:ascii="仿宋" w:eastAsia="仿宋" w:hAnsi="仿宋" w:cs="仿宋"/>
                <w:sz w:val="24"/>
              </w:rPr>
            </w:pPr>
          </w:p>
        </w:tc>
        <w:tc>
          <w:tcPr>
            <w:tcW w:w="2120" w:type="dxa"/>
            <w:shd w:val="clear" w:color="auto" w:fill="FFFFFF"/>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（一）需缴销的发票。</w:t>
            </w:r>
          </w:p>
        </w:tc>
        <w:tc>
          <w:tcPr>
            <w:tcW w:w="1343" w:type="dxa"/>
            <w:shd w:val="clear" w:color="auto" w:fill="FFFFFF"/>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纳税人提交</w:t>
            </w:r>
          </w:p>
        </w:tc>
        <w:tc>
          <w:tcPr>
            <w:tcW w:w="3171" w:type="dxa"/>
            <w:shd w:val="clear" w:color="auto" w:fill="FFFFFF"/>
            <w:vAlign w:val="center"/>
          </w:tcPr>
          <w:p w:rsidR="00013EC7" w:rsidRDefault="00575CDB">
            <w:pPr>
              <w:widowControl/>
              <w:jc w:val="left"/>
              <w:textAlignment w:val="center"/>
              <w:rPr>
                <w:rFonts w:ascii="仿宋" w:eastAsia="仿宋" w:hAnsi="仿宋" w:cs="仿宋"/>
                <w:color w:val="000000"/>
                <w:kern w:val="0"/>
                <w:sz w:val="24"/>
              </w:rPr>
            </w:pPr>
            <w:r>
              <w:rPr>
                <w:rFonts w:ascii="仿宋" w:eastAsia="仿宋" w:hAnsi="仿宋" w:cs="仿宋" w:hint="eastAsia"/>
                <w:b/>
                <w:bCs/>
                <w:color w:val="000000"/>
                <w:kern w:val="0"/>
                <w:sz w:val="24"/>
              </w:rPr>
              <w:t>现场办理：</w:t>
            </w:r>
            <w:r>
              <w:rPr>
                <w:rFonts w:ascii="仿宋" w:eastAsia="仿宋" w:hAnsi="仿宋" w:cs="仿宋" w:hint="eastAsia"/>
                <w:color w:val="000000"/>
                <w:kern w:val="0"/>
                <w:sz w:val="24"/>
              </w:rPr>
              <w:t>纳税人提交书面材料。</w:t>
            </w:r>
          </w:p>
          <w:p w:rsidR="00013EC7" w:rsidRDefault="00575CDB">
            <w:pPr>
              <w:widowControl/>
              <w:jc w:val="left"/>
              <w:textAlignment w:val="center"/>
              <w:rPr>
                <w:rFonts w:ascii="仿宋" w:eastAsia="仿宋" w:hAnsi="仿宋" w:cs="仿宋"/>
                <w:sz w:val="24"/>
              </w:rPr>
            </w:pPr>
            <w:r>
              <w:rPr>
                <w:rFonts w:ascii="仿宋" w:eastAsia="仿宋" w:hAnsi="仿宋" w:cs="仿宋" w:hint="eastAsia"/>
                <w:b/>
                <w:bCs/>
                <w:color w:val="000000"/>
                <w:kern w:val="0"/>
                <w:sz w:val="24"/>
              </w:rPr>
              <w:t>网上办理：</w:t>
            </w:r>
            <w:r>
              <w:rPr>
                <w:rFonts w:ascii="仿宋" w:eastAsia="仿宋" w:hAnsi="仿宋" w:cs="仿宋" w:hint="eastAsia"/>
                <w:color w:val="000000"/>
                <w:kern w:val="0"/>
                <w:sz w:val="24"/>
              </w:rPr>
              <w:t>登录浙江国税电子税务局（网址：http://etax.zjtax.gov.cn/）提交申请。</w:t>
            </w:r>
          </w:p>
        </w:tc>
        <w:tc>
          <w:tcPr>
            <w:tcW w:w="868" w:type="dxa"/>
            <w:vMerge/>
            <w:shd w:val="clear" w:color="auto" w:fill="FFFFFF"/>
            <w:vAlign w:val="center"/>
          </w:tcPr>
          <w:p w:rsidR="00013EC7" w:rsidRDefault="00013EC7">
            <w:pPr>
              <w:jc w:val="left"/>
              <w:rPr>
                <w:rFonts w:ascii="仿宋" w:eastAsia="仿宋" w:hAnsi="仿宋" w:cs="仿宋"/>
                <w:sz w:val="24"/>
              </w:rPr>
            </w:pPr>
          </w:p>
        </w:tc>
        <w:tc>
          <w:tcPr>
            <w:tcW w:w="939" w:type="dxa"/>
            <w:vMerge/>
            <w:shd w:val="clear" w:color="auto" w:fill="FFFFFF"/>
            <w:vAlign w:val="center"/>
          </w:tcPr>
          <w:p w:rsidR="00013EC7" w:rsidRDefault="00013EC7">
            <w:pPr>
              <w:jc w:val="left"/>
              <w:rPr>
                <w:rFonts w:ascii="仿宋" w:eastAsia="仿宋" w:hAnsi="仿宋" w:cs="仿宋"/>
                <w:sz w:val="24"/>
              </w:rPr>
            </w:pPr>
          </w:p>
        </w:tc>
        <w:tc>
          <w:tcPr>
            <w:tcW w:w="742" w:type="dxa"/>
            <w:vMerge/>
            <w:shd w:val="clear" w:color="auto" w:fill="FFFFFF"/>
            <w:vAlign w:val="center"/>
          </w:tcPr>
          <w:p w:rsidR="00013EC7" w:rsidRDefault="00013EC7">
            <w:pPr>
              <w:jc w:val="left"/>
              <w:rPr>
                <w:rFonts w:ascii="仿宋" w:eastAsia="仿宋" w:hAnsi="仿宋" w:cs="仿宋"/>
                <w:sz w:val="24"/>
              </w:rPr>
            </w:pPr>
          </w:p>
        </w:tc>
        <w:tc>
          <w:tcPr>
            <w:tcW w:w="1248" w:type="dxa"/>
            <w:vMerge/>
            <w:shd w:val="clear" w:color="auto" w:fill="FFFFFF"/>
            <w:vAlign w:val="center"/>
          </w:tcPr>
          <w:p w:rsidR="00013EC7" w:rsidRDefault="00013EC7">
            <w:pPr>
              <w:jc w:val="left"/>
              <w:rPr>
                <w:rFonts w:ascii="仿宋" w:eastAsia="仿宋" w:hAnsi="仿宋" w:cs="仿宋"/>
                <w:sz w:val="24"/>
              </w:rPr>
            </w:pPr>
          </w:p>
        </w:tc>
        <w:tc>
          <w:tcPr>
            <w:tcW w:w="1479" w:type="dxa"/>
            <w:vMerge/>
            <w:shd w:val="clear" w:color="auto" w:fill="FFFFFF"/>
            <w:vAlign w:val="center"/>
          </w:tcPr>
          <w:p w:rsidR="00013EC7" w:rsidRDefault="00013EC7">
            <w:pPr>
              <w:jc w:val="left"/>
              <w:rPr>
                <w:rFonts w:ascii="仿宋" w:eastAsia="仿宋" w:hAnsi="仿宋" w:cs="仿宋"/>
                <w:sz w:val="24"/>
              </w:rPr>
            </w:pPr>
          </w:p>
        </w:tc>
      </w:tr>
    </w:tbl>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5262E6">
      <w:pPr>
        <w:rPr>
          <w:rFonts w:eastAsia="方正书宋简体"/>
          <w:szCs w:val="21"/>
        </w:rPr>
      </w:pPr>
      <w:r>
        <w:lastRenderedPageBreak/>
        <w:object w:dxaOrig="1440" w:dyaOrig="1440">
          <v:shape id="_x0000_s1264" type="#_x0000_t75" alt="2111217721508729125585" style="position:absolute;left:0;text-align:left;margin-left:5.85pt;margin-top:134.4pt;width:389.55pt;height:558pt;z-index:251604992;mso-wrap-distance-top:0;mso-wrap-distance-bottom:0;mso-position-vertical-relative:page;mso-width-relative:page;mso-height-relative:page">
            <v:imagedata r:id="rId182" o:title="2111217721508729125585"/>
            <w10:wrap type="topAndBottom" anchory="page"/>
          </v:shape>
          <o:OLEObject Type="Embed" ProgID="Visio.Drawing.11" ShapeID="_x0000_s1264" DrawAspect="Content" ObjectID="_1577296221" r:id="rId183"/>
        </w:object>
      </w:r>
      <w:r>
        <w:object w:dxaOrig="1440" w:dyaOrig="1440">
          <v:shape id="对象 168" o:spid="_x0000_s1265" type="#_x0000_t75" alt="2111217721508729125585" style="position:absolute;left:0;text-align:left;margin-left:554.3pt;margin-top:115.25pt;width:395.5pt;height:554.8pt;z-index:251606016;mso-wrap-distance-top:0;mso-wrap-distance-bottom:0;mso-position-vertical-relative:page;mso-width-relative:page;mso-height-relative:page">
            <v:imagedata r:id="rId184" o:title=""/>
            <w10:wrap type="topAndBottom" anchory="page"/>
          </v:shape>
          <o:OLEObject Type="Embed" ProgID="Visio.Drawing.11" ShapeID="对象 168" DrawAspect="Content" ObjectID="_1577296222" r:id="rId185"/>
        </w:object>
      </w:r>
    </w:p>
    <w:p w:rsidR="00013EC7" w:rsidRDefault="00013EC7">
      <w:pPr>
        <w:rPr>
          <w:rFonts w:eastAsia="方正书宋简体"/>
          <w:szCs w:val="21"/>
        </w:rPr>
      </w:pPr>
    </w:p>
    <w:p w:rsidR="00013EC7" w:rsidRDefault="00013EC7"/>
    <w:p w:rsidR="00013EC7" w:rsidRDefault="00575CDB">
      <w:pPr>
        <w:pStyle w:val="1"/>
        <w:spacing w:before="0" w:after="0" w:line="240" w:lineRule="auto"/>
        <w:rPr>
          <w:rFonts w:ascii="宋体" w:hAnsi="宋体"/>
          <w:b/>
          <w:kern w:val="0"/>
          <w:szCs w:val="28"/>
        </w:rPr>
      </w:pPr>
      <w:r>
        <w:rPr>
          <w:rFonts w:ascii="宋体" w:hAnsi="宋体" w:hint="eastAsia"/>
          <w:kern w:val="0"/>
          <w:szCs w:val="28"/>
        </w:rPr>
        <w:br w:type="page"/>
      </w:r>
      <w:bookmarkStart w:id="280" w:name="_Toc503467418"/>
      <w:bookmarkStart w:id="281" w:name="_Toc31219"/>
      <w:bookmarkStart w:id="282" w:name="_Toc3147"/>
      <w:bookmarkStart w:id="283" w:name="_Toc498705726"/>
      <w:bookmarkStart w:id="284" w:name="_Toc3889"/>
      <w:r>
        <w:rPr>
          <w:rStyle w:val="20"/>
          <w:rFonts w:hint="eastAsia"/>
        </w:rPr>
        <w:lastRenderedPageBreak/>
        <w:t>16.2</w:t>
      </w:r>
      <w:r>
        <w:rPr>
          <w:rStyle w:val="20"/>
          <w:rFonts w:hint="eastAsia"/>
        </w:rPr>
        <w:t>发票挂失、损毁报备</w:t>
      </w:r>
      <w:bookmarkEnd w:id="280"/>
      <w:bookmarkEnd w:id="281"/>
      <w:bookmarkEnd w:id="282"/>
      <w:bookmarkEnd w:id="283"/>
      <w:bookmarkEnd w:id="284"/>
    </w:p>
    <w:p w:rsidR="00013EC7" w:rsidRDefault="00575CDB">
      <w:pPr>
        <w:jc w:val="center"/>
        <w:rPr>
          <w:rFonts w:ascii="宋体" w:hAnsi="宋体" w:cs="宋体"/>
          <w:b/>
          <w:bCs/>
          <w:sz w:val="44"/>
          <w:szCs w:val="44"/>
        </w:rPr>
      </w:pPr>
      <w:r>
        <w:rPr>
          <w:rFonts w:ascii="宋体" w:hAnsi="宋体" w:cs="宋体" w:hint="eastAsia"/>
          <w:b/>
          <w:bCs/>
          <w:sz w:val="52"/>
          <w:szCs w:val="52"/>
        </w:rPr>
        <w:t>全省“最多跑一次”事项“八统一”梳理表</w:t>
      </w:r>
    </w:p>
    <w:tbl>
      <w:tblPr>
        <w:tblW w:w="20704"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1250"/>
        <w:gridCol w:w="1316"/>
        <w:gridCol w:w="2372"/>
        <w:gridCol w:w="2291"/>
        <w:gridCol w:w="1354"/>
        <w:gridCol w:w="2246"/>
        <w:gridCol w:w="1419"/>
        <w:gridCol w:w="3252"/>
        <w:gridCol w:w="868"/>
        <w:gridCol w:w="898"/>
        <w:gridCol w:w="858"/>
        <w:gridCol w:w="1104"/>
        <w:gridCol w:w="1476"/>
      </w:tblGrid>
      <w:tr w:rsidR="00013EC7">
        <w:trPr>
          <w:trHeight w:val="340"/>
          <w:tblHeader/>
          <w:jc w:val="center"/>
        </w:trPr>
        <w:tc>
          <w:tcPr>
            <w:tcW w:w="1250"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主项名称</w:t>
            </w:r>
          </w:p>
        </w:tc>
        <w:tc>
          <w:tcPr>
            <w:tcW w:w="1316"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子项名称</w:t>
            </w:r>
          </w:p>
        </w:tc>
        <w:tc>
          <w:tcPr>
            <w:tcW w:w="2372"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经办依据</w:t>
            </w:r>
          </w:p>
        </w:tc>
        <w:tc>
          <w:tcPr>
            <w:tcW w:w="3645"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原经办所需材料</w:t>
            </w:r>
          </w:p>
        </w:tc>
        <w:tc>
          <w:tcPr>
            <w:tcW w:w="6917" w:type="dxa"/>
            <w:gridSpan w:val="3"/>
            <w:vAlign w:val="center"/>
          </w:tcPr>
          <w:p w:rsidR="00013EC7" w:rsidRDefault="00575CDB">
            <w:pPr>
              <w:spacing w:line="280" w:lineRule="exact"/>
              <w:jc w:val="center"/>
              <w:rPr>
                <w:rFonts w:ascii="黑体" w:eastAsia="黑体"/>
                <w:sz w:val="24"/>
              </w:rPr>
            </w:pPr>
            <w:r>
              <w:rPr>
                <w:rFonts w:ascii="黑体" w:eastAsia="黑体" w:hint="eastAsia"/>
                <w:sz w:val="24"/>
              </w:rPr>
              <w:t>梳理后经办所需材料</w:t>
            </w:r>
          </w:p>
        </w:tc>
        <w:tc>
          <w:tcPr>
            <w:tcW w:w="1766"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办理时限</w:t>
            </w:r>
          </w:p>
        </w:tc>
        <w:tc>
          <w:tcPr>
            <w:tcW w:w="858"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是否实现跑零次</w:t>
            </w:r>
          </w:p>
        </w:tc>
        <w:tc>
          <w:tcPr>
            <w:tcW w:w="1104"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省厅对口</w:t>
            </w:r>
          </w:p>
          <w:p w:rsidR="00013EC7" w:rsidRDefault="00575CDB">
            <w:pPr>
              <w:spacing w:line="280" w:lineRule="exact"/>
              <w:jc w:val="center"/>
              <w:rPr>
                <w:rFonts w:ascii="黑体" w:eastAsia="黑体"/>
                <w:sz w:val="24"/>
              </w:rPr>
            </w:pPr>
            <w:r>
              <w:rPr>
                <w:rFonts w:ascii="黑体" w:eastAsia="黑体" w:hint="eastAsia"/>
                <w:sz w:val="24"/>
              </w:rPr>
              <w:t>指导处室</w:t>
            </w:r>
          </w:p>
          <w:p w:rsidR="00013EC7" w:rsidRDefault="00575CDB">
            <w:pPr>
              <w:spacing w:line="280" w:lineRule="exact"/>
              <w:jc w:val="center"/>
              <w:rPr>
                <w:rFonts w:ascii="黑体" w:eastAsia="黑体"/>
                <w:sz w:val="24"/>
              </w:rPr>
            </w:pPr>
            <w:r>
              <w:rPr>
                <w:rFonts w:ascii="黑体" w:eastAsia="黑体" w:hint="eastAsia"/>
                <w:sz w:val="24"/>
              </w:rPr>
              <w:t>（单位）</w:t>
            </w:r>
          </w:p>
        </w:tc>
        <w:tc>
          <w:tcPr>
            <w:tcW w:w="1476"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进一步精简、</w:t>
            </w:r>
          </w:p>
          <w:p w:rsidR="00013EC7" w:rsidRDefault="00575CDB">
            <w:pPr>
              <w:spacing w:line="280" w:lineRule="exact"/>
              <w:jc w:val="center"/>
              <w:rPr>
                <w:rFonts w:ascii="黑体" w:eastAsia="黑体"/>
                <w:sz w:val="24"/>
              </w:rPr>
            </w:pPr>
            <w:r>
              <w:rPr>
                <w:rFonts w:ascii="黑体" w:eastAsia="黑体" w:hint="eastAsia"/>
                <w:sz w:val="24"/>
              </w:rPr>
              <w:t>规范建议</w:t>
            </w:r>
          </w:p>
        </w:tc>
      </w:tr>
      <w:tr w:rsidR="00013EC7">
        <w:trPr>
          <w:trHeight w:val="340"/>
          <w:tblHeader/>
          <w:jc w:val="center"/>
        </w:trPr>
        <w:tc>
          <w:tcPr>
            <w:tcW w:w="1250" w:type="dxa"/>
            <w:vMerge/>
            <w:vAlign w:val="center"/>
          </w:tcPr>
          <w:p w:rsidR="00013EC7" w:rsidRDefault="00013EC7">
            <w:pPr>
              <w:rPr>
                <w:sz w:val="24"/>
              </w:rPr>
            </w:pPr>
          </w:p>
        </w:tc>
        <w:tc>
          <w:tcPr>
            <w:tcW w:w="1316" w:type="dxa"/>
            <w:vMerge/>
          </w:tcPr>
          <w:p w:rsidR="00013EC7" w:rsidRDefault="00013EC7">
            <w:pPr>
              <w:rPr>
                <w:sz w:val="24"/>
              </w:rPr>
            </w:pPr>
          </w:p>
        </w:tc>
        <w:tc>
          <w:tcPr>
            <w:tcW w:w="2372" w:type="dxa"/>
            <w:vMerge/>
          </w:tcPr>
          <w:p w:rsidR="00013EC7" w:rsidRDefault="00013EC7">
            <w:pPr>
              <w:rPr>
                <w:sz w:val="24"/>
              </w:rPr>
            </w:pPr>
          </w:p>
        </w:tc>
        <w:tc>
          <w:tcPr>
            <w:tcW w:w="2291" w:type="dxa"/>
            <w:tcBorders>
              <w:bottom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354"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2246" w:type="dxa"/>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419"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3252" w:type="dxa"/>
            <w:vAlign w:val="center"/>
          </w:tcPr>
          <w:p w:rsidR="00013EC7" w:rsidRDefault="00575CDB">
            <w:pPr>
              <w:spacing w:line="280" w:lineRule="exact"/>
              <w:jc w:val="center"/>
              <w:rPr>
                <w:rFonts w:ascii="黑体" w:eastAsia="黑体"/>
                <w:sz w:val="24"/>
              </w:rPr>
            </w:pPr>
            <w:r>
              <w:rPr>
                <w:rFonts w:ascii="黑体" w:eastAsia="黑体" w:hint="eastAsia"/>
                <w:sz w:val="24"/>
              </w:rPr>
              <w:t>办理方式及材料</w:t>
            </w:r>
          </w:p>
          <w:p w:rsidR="00013EC7" w:rsidRDefault="00575CDB">
            <w:pPr>
              <w:spacing w:line="280" w:lineRule="exact"/>
              <w:jc w:val="center"/>
              <w:rPr>
                <w:rFonts w:ascii="黑体" w:eastAsia="黑体"/>
                <w:sz w:val="24"/>
              </w:rPr>
            </w:pPr>
            <w:r>
              <w:rPr>
                <w:rFonts w:ascii="黑体" w:eastAsia="黑体" w:hint="eastAsia"/>
                <w:sz w:val="24"/>
              </w:rPr>
              <w:t>信息获取方式说明</w:t>
            </w:r>
          </w:p>
        </w:tc>
        <w:tc>
          <w:tcPr>
            <w:tcW w:w="868" w:type="dxa"/>
            <w:vAlign w:val="center"/>
          </w:tcPr>
          <w:p w:rsidR="00013EC7" w:rsidRDefault="00575CDB">
            <w:pPr>
              <w:spacing w:line="280" w:lineRule="exact"/>
              <w:jc w:val="center"/>
              <w:rPr>
                <w:rFonts w:ascii="黑体" w:eastAsia="黑体"/>
                <w:sz w:val="24"/>
              </w:rPr>
            </w:pPr>
            <w:r>
              <w:rPr>
                <w:rFonts w:ascii="黑体" w:eastAsia="黑体" w:hint="eastAsia"/>
                <w:sz w:val="24"/>
              </w:rPr>
              <w:t>优化前</w:t>
            </w:r>
          </w:p>
        </w:tc>
        <w:tc>
          <w:tcPr>
            <w:tcW w:w="898" w:type="dxa"/>
            <w:vAlign w:val="center"/>
          </w:tcPr>
          <w:p w:rsidR="00013EC7" w:rsidRDefault="00575CDB">
            <w:pPr>
              <w:spacing w:line="280" w:lineRule="exact"/>
              <w:jc w:val="center"/>
              <w:rPr>
                <w:rFonts w:ascii="黑体" w:eastAsia="黑体"/>
                <w:sz w:val="24"/>
              </w:rPr>
            </w:pPr>
            <w:r>
              <w:rPr>
                <w:rFonts w:ascii="黑体" w:eastAsia="黑体" w:hint="eastAsia"/>
                <w:sz w:val="24"/>
              </w:rPr>
              <w:t>优化后</w:t>
            </w:r>
          </w:p>
        </w:tc>
        <w:tc>
          <w:tcPr>
            <w:tcW w:w="858" w:type="dxa"/>
            <w:vMerge/>
            <w:vAlign w:val="center"/>
          </w:tcPr>
          <w:p w:rsidR="00013EC7" w:rsidRDefault="00013EC7">
            <w:pPr>
              <w:rPr>
                <w:sz w:val="24"/>
              </w:rPr>
            </w:pPr>
          </w:p>
        </w:tc>
        <w:tc>
          <w:tcPr>
            <w:tcW w:w="1104" w:type="dxa"/>
            <w:vMerge/>
            <w:vAlign w:val="center"/>
          </w:tcPr>
          <w:p w:rsidR="00013EC7" w:rsidRDefault="00013EC7">
            <w:pPr>
              <w:rPr>
                <w:sz w:val="24"/>
              </w:rPr>
            </w:pPr>
          </w:p>
        </w:tc>
        <w:tc>
          <w:tcPr>
            <w:tcW w:w="1476" w:type="dxa"/>
            <w:vMerge/>
            <w:vAlign w:val="center"/>
          </w:tcPr>
          <w:p w:rsidR="00013EC7" w:rsidRDefault="00013EC7">
            <w:pPr>
              <w:rPr>
                <w:sz w:val="24"/>
              </w:rPr>
            </w:pPr>
          </w:p>
        </w:tc>
      </w:tr>
      <w:tr w:rsidR="00013EC7">
        <w:trPr>
          <w:trHeight w:val="2871"/>
          <w:jc w:val="center"/>
        </w:trPr>
        <w:tc>
          <w:tcPr>
            <w:tcW w:w="1250" w:type="dxa"/>
            <w:vMerge w:val="restart"/>
            <w:shd w:val="clear" w:color="auto" w:fill="auto"/>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16发票相关服务</w:t>
            </w:r>
          </w:p>
        </w:tc>
        <w:tc>
          <w:tcPr>
            <w:tcW w:w="1316" w:type="dxa"/>
            <w:vMerge w:val="restart"/>
            <w:shd w:val="clear" w:color="auto" w:fill="auto"/>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16.2发票挂失、损毁报备</w:t>
            </w:r>
          </w:p>
        </w:tc>
        <w:tc>
          <w:tcPr>
            <w:tcW w:w="2372" w:type="dxa"/>
            <w:vMerge w:val="restart"/>
            <w:shd w:val="clear" w:color="auto" w:fill="auto"/>
            <w:vAlign w:val="center"/>
          </w:tcPr>
          <w:p w:rsidR="00013EC7" w:rsidRDefault="00575CDB">
            <w:pPr>
              <w:widowControl/>
              <w:jc w:val="left"/>
              <w:textAlignment w:val="center"/>
              <w:rPr>
                <w:rFonts w:ascii="仿宋" w:eastAsia="仿宋" w:hAnsi="仿宋" w:cs="仿宋"/>
                <w:color w:val="000000"/>
                <w:kern w:val="0"/>
                <w:sz w:val="24"/>
              </w:rPr>
            </w:pPr>
            <w:r>
              <w:rPr>
                <w:rFonts w:ascii="仿宋" w:eastAsia="仿宋" w:hAnsi="仿宋" w:cs="仿宋" w:hint="eastAsia"/>
                <w:color w:val="000000"/>
                <w:kern w:val="0"/>
                <w:sz w:val="24"/>
              </w:rPr>
              <w:t xml:space="preserve">（一）《中华人民共和国发票管理办法》（2010年中华人民共和国国务院令第587号）第三十六条。 </w:t>
            </w:r>
          </w:p>
          <w:p w:rsidR="00013EC7" w:rsidRDefault="00575CDB">
            <w:pPr>
              <w:widowControl/>
              <w:jc w:val="left"/>
              <w:textAlignment w:val="center"/>
              <w:rPr>
                <w:rFonts w:ascii="仿宋" w:eastAsia="仿宋" w:hAnsi="仿宋" w:cs="仿宋"/>
                <w:color w:val="000000"/>
                <w:kern w:val="0"/>
                <w:sz w:val="24"/>
              </w:rPr>
            </w:pPr>
            <w:r>
              <w:rPr>
                <w:rFonts w:ascii="仿宋" w:eastAsia="仿宋" w:hAnsi="仿宋" w:cs="仿宋" w:hint="eastAsia"/>
                <w:color w:val="000000"/>
                <w:kern w:val="0"/>
                <w:sz w:val="24"/>
              </w:rPr>
              <w:t xml:space="preserve">（二）《国家税务总局关于修改〈中华人民共和国发票管理办法实施细则〉的决定》（2014年国家税务总局令第37号）第三十一条。 </w:t>
            </w:r>
          </w:p>
          <w:p w:rsidR="00013EC7" w:rsidRDefault="00575CDB">
            <w:pPr>
              <w:widowControl/>
              <w:jc w:val="left"/>
              <w:textAlignment w:val="center"/>
              <w:rPr>
                <w:rFonts w:ascii="仿宋" w:eastAsia="仿宋" w:hAnsi="仿宋" w:cs="仿宋"/>
                <w:color w:val="000000"/>
                <w:kern w:val="0"/>
                <w:sz w:val="24"/>
              </w:rPr>
            </w:pPr>
            <w:r>
              <w:rPr>
                <w:rFonts w:ascii="仿宋" w:eastAsia="仿宋" w:hAnsi="仿宋" w:cs="仿宋" w:hint="eastAsia"/>
                <w:color w:val="000000"/>
                <w:kern w:val="0"/>
                <w:sz w:val="24"/>
              </w:rPr>
              <w:t>（三）《国家税务总局关于印发全国统一税收执法文书式样的通知》（国税发〔2005〕179 号）全文。</w:t>
            </w:r>
          </w:p>
        </w:tc>
        <w:tc>
          <w:tcPr>
            <w:tcW w:w="2291" w:type="dxa"/>
            <w:tcBorders>
              <w:top w:val="single" w:sz="4" w:space="0" w:color="auto"/>
              <w:bottom w:val="single" w:sz="4" w:space="0" w:color="auto"/>
            </w:tcBorders>
            <w:shd w:val="clear" w:color="auto" w:fill="FFFFFF"/>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（一）《发票挂失/损毁报告表》。</w:t>
            </w:r>
          </w:p>
        </w:tc>
        <w:tc>
          <w:tcPr>
            <w:tcW w:w="1354" w:type="dxa"/>
            <w:vMerge w:val="restart"/>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纳税人提交</w:t>
            </w:r>
          </w:p>
        </w:tc>
        <w:tc>
          <w:tcPr>
            <w:tcW w:w="2246" w:type="dxa"/>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（一）《发票挂失/损毁报告表》。</w:t>
            </w:r>
          </w:p>
        </w:tc>
        <w:tc>
          <w:tcPr>
            <w:tcW w:w="1419" w:type="dxa"/>
            <w:vAlign w:val="center"/>
          </w:tcPr>
          <w:p w:rsidR="00013EC7" w:rsidRDefault="00575CDB">
            <w:pPr>
              <w:widowControl/>
              <w:jc w:val="left"/>
              <w:textAlignment w:val="center"/>
              <w:rPr>
                <w:rFonts w:ascii="仿宋" w:eastAsia="仿宋" w:hAnsi="仿宋" w:cs="仿宋"/>
                <w:b/>
                <w:bCs/>
                <w:i/>
                <w:iCs/>
                <w:sz w:val="24"/>
              </w:rPr>
            </w:pPr>
            <w:r>
              <w:rPr>
                <w:rFonts w:ascii="仿宋" w:eastAsia="仿宋" w:hAnsi="仿宋" w:cs="仿宋" w:hint="eastAsia"/>
                <w:color w:val="000000"/>
                <w:kern w:val="0"/>
                <w:sz w:val="24"/>
              </w:rPr>
              <w:t>纳税人提交</w:t>
            </w:r>
          </w:p>
        </w:tc>
        <w:tc>
          <w:tcPr>
            <w:tcW w:w="3252" w:type="dxa"/>
            <w:vMerge w:val="restart"/>
            <w:vAlign w:val="center"/>
          </w:tcPr>
          <w:p w:rsidR="00013EC7" w:rsidRDefault="00575CDB">
            <w:pPr>
              <w:widowControl/>
              <w:jc w:val="left"/>
              <w:textAlignment w:val="center"/>
              <w:rPr>
                <w:rFonts w:ascii="仿宋" w:eastAsia="仿宋" w:hAnsi="仿宋" w:cs="仿宋"/>
                <w:color w:val="000000"/>
                <w:kern w:val="0"/>
                <w:sz w:val="24"/>
              </w:rPr>
            </w:pPr>
            <w:r>
              <w:rPr>
                <w:rFonts w:ascii="仿宋" w:eastAsia="仿宋" w:hAnsi="仿宋" w:cs="仿宋" w:hint="eastAsia"/>
                <w:b/>
                <w:bCs/>
                <w:color w:val="000000"/>
                <w:kern w:val="0"/>
                <w:sz w:val="24"/>
              </w:rPr>
              <w:t>现场办理：</w:t>
            </w:r>
            <w:r>
              <w:rPr>
                <w:rFonts w:ascii="仿宋" w:eastAsia="仿宋" w:hAnsi="仿宋" w:cs="仿宋" w:hint="eastAsia"/>
                <w:color w:val="000000"/>
                <w:kern w:val="0"/>
                <w:sz w:val="24"/>
              </w:rPr>
              <w:t>纳税人提交书面材料。</w:t>
            </w:r>
          </w:p>
          <w:p w:rsidR="00013EC7" w:rsidRDefault="00575CDB">
            <w:pPr>
              <w:widowControl/>
              <w:jc w:val="left"/>
              <w:textAlignment w:val="center"/>
              <w:rPr>
                <w:rFonts w:ascii="仿宋" w:eastAsia="仿宋" w:hAnsi="仿宋" w:cs="仿宋"/>
                <w:sz w:val="24"/>
              </w:rPr>
            </w:pPr>
            <w:r>
              <w:rPr>
                <w:rFonts w:ascii="仿宋" w:eastAsia="仿宋" w:hAnsi="仿宋" w:cs="仿宋" w:hint="eastAsia"/>
                <w:b/>
                <w:bCs/>
                <w:color w:val="000000"/>
                <w:kern w:val="0"/>
                <w:sz w:val="24"/>
              </w:rPr>
              <w:t>网上办理：</w:t>
            </w:r>
            <w:r>
              <w:rPr>
                <w:rFonts w:ascii="仿宋" w:eastAsia="仿宋" w:hAnsi="仿宋" w:cs="仿宋" w:hint="eastAsia"/>
                <w:color w:val="000000"/>
                <w:kern w:val="0"/>
                <w:sz w:val="24"/>
              </w:rPr>
              <w:t>登录浙江国税电子税务局（网址：http://etax.zjtax.gov.cn/</w:t>
            </w:r>
            <w:r>
              <w:rPr>
                <w:rFonts w:ascii="仿宋" w:eastAsia="仿宋" w:hAnsi="仿宋" w:cs="仿宋" w:hint="eastAsia"/>
                <w:color w:val="000000"/>
                <w:kern w:val="0"/>
                <w:sz w:val="24"/>
              </w:rPr>
              <w:br/>
              <w:t>）提交申请。</w:t>
            </w:r>
            <w:r>
              <w:rPr>
                <w:rFonts w:ascii="仿宋" w:eastAsia="仿宋" w:hAnsi="仿宋" w:cs="仿宋" w:hint="eastAsia"/>
                <w:color w:val="000000"/>
                <w:kern w:val="0"/>
                <w:sz w:val="24"/>
              </w:rPr>
              <w:br/>
            </w:r>
            <w:r>
              <w:rPr>
                <w:rFonts w:ascii="仿宋" w:eastAsia="仿宋" w:hAnsi="仿宋" w:cs="仿宋" w:hint="eastAsia"/>
                <w:b/>
                <w:bCs/>
                <w:color w:val="000000"/>
                <w:kern w:val="0"/>
                <w:sz w:val="24"/>
              </w:rPr>
              <w:t>APP办理：</w:t>
            </w:r>
            <w:r>
              <w:rPr>
                <w:rFonts w:ascii="仿宋" w:eastAsia="仿宋" w:hAnsi="仿宋" w:cs="仿宋" w:hint="eastAsia"/>
                <w:color w:val="000000"/>
                <w:kern w:val="0"/>
                <w:sz w:val="24"/>
              </w:rPr>
              <w:t>登录浙江国税APP提交申请。</w:t>
            </w:r>
          </w:p>
        </w:tc>
        <w:tc>
          <w:tcPr>
            <w:tcW w:w="868" w:type="dxa"/>
            <w:vMerge w:val="restart"/>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即时办结</w:t>
            </w:r>
          </w:p>
        </w:tc>
        <w:tc>
          <w:tcPr>
            <w:tcW w:w="898" w:type="dxa"/>
            <w:vMerge w:val="restart"/>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即时办结</w:t>
            </w:r>
          </w:p>
        </w:tc>
        <w:tc>
          <w:tcPr>
            <w:tcW w:w="858" w:type="dxa"/>
            <w:vMerge w:val="restart"/>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是</w:t>
            </w:r>
          </w:p>
        </w:tc>
        <w:tc>
          <w:tcPr>
            <w:tcW w:w="1104" w:type="dxa"/>
            <w:vMerge w:val="restart"/>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货物和劳务税处（增值税发票）；</w:t>
            </w:r>
            <w:r>
              <w:rPr>
                <w:rFonts w:ascii="仿宋" w:eastAsia="仿宋" w:hAnsi="仿宋" w:cs="仿宋" w:hint="eastAsia"/>
                <w:color w:val="000000"/>
                <w:kern w:val="0"/>
                <w:sz w:val="24"/>
              </w:rPr>
              <w:br/>
              <w:t>征管科技处（通用机打发票）</w:t>
            </w:r>
          </w:p>
        </w:tc>
        <w:tc>
          <w:tcPr>
            <w:tcW w:w="1476" w:type="dxa"/>
            <w:vMerge w:val="restart"/>
            <w:vAlign w:val="center"/>
          </w:tcPr>
          <w:p w:rsidR="00013EC7" w:rsidRDefault="00013EC7">
            <w:pPr>
              <w:jc w:val="left"/>
              <w:rPr>
                <w:rFonts w:ascii="仿宋" w:eastAsia="仿宋" w:hAnsi="仿宋" w:cs="仿宋"/>
                <w:sz w:val="24"/>
              </w:rPr>
            </w:pPr>
          </w:p>
        </w:tc>
      </w:tr>
      <w:tr w:rsidR="00013EC7">
        <w:trPr>
          <w:trHeight w:val="3886"/>
          <w:jc w:val="center"/>
        </w:trPr>
        <w:tc>
          <w:tcPr>
            <w:tcW w:w="1250" w:type="dxa"/>
            <w:vMerge/>
            <w:shd w:val="clear" w:color="auto" w:fill="auto"/>
            <w:vAlign w:val="center"/>
          </w:tcPr>
          <w:p w:rsidR="00013EC7" w:rsidRDefault="00013EC7">
            <w:pPr>
              <w:jc w:val="center"/>
              <w:rPr>
                <w:rFonts w:ascii="仿宋" w:eastAsia="仿宋" w:hAnsi="仿宋" w:cs="仿宋"/>
                <w:sz w:val="24"/>
              </w:rPr>
            </w:pPr>
          </w:p>
        </w:tc>
        <w:tc>
          <w:tcPr>
            <w:tcW w:w="1316" w:type="dxa"/>
            <w:vMerge/>
            <w:shd w:val="clear" w:color="auto" w:fill="auto"/>
            <w:vAlign w:val="center"/>
          </w:tcPr>
          <w:p w:rsidR="00013EC7" w:rsidRDefault="00013EC7">
            <w:pPr>
              <w:jc w:val="center"/>
              <w:rPr>
                <w:rFonts w:ascii="仿宋" w:eastAsia="仿宋" w:hAnsi="仿宋" w:cs="仿宋"/>
                <w:sz w:val="24"/>
              </w:rPr>
            </w:pPr>
          </w:p>
        </w:tc>
        <w:tc>
          <w:tcPr>
            <w:tcW w:w="2372" w:type="dxa"/>
            <w:vMerge/>
            <w:shd w:val="clear" w:color="auto" w:fill="auto"/>
            <w:vAlign w:val="center"/>
          </w:tcPr>
          <w:p w:rsidR="00013EC7" w:rsidRDefault="00013EC7">
            <w:pPr>
              <w:jc w:val="left"/>
              <w:rPr>
                <w:rFonts w:ascii="仿宋" w:eastAsia="仿宋" w:hAnsi="仿宋" w:cs="仿宋"/>
                <w:sz w:val="24"/>
              </w:rPr>
            </w:pPr>
          </w:p>
        </w:tc>
        <w:tc>
          <w:tcPr>
            <w:tcW w:w="2291" w:type="dxa"/>
            <w:tcBorders>
              <w:top w:val="single" w:sz="4" w:space="0" w:color="auto"/>
            </w:tcBorders>
            <w:shd w:val="clear" w:color="auto" w:fill="FFFFFF"/>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（二）刊登遗失声明的报刊版面</w:t>
            </w:r>
            <w:r>
              <w:rPr>
                <w:rFonts w:ascii="仿宋" w:eastAsia="仿宋" w:hAnsi="仿宋" w:cs="仿宋" w:hint="eastAsia"/>
                <w:color w:val="000000"/>
                <w:kern w:val="0"/>
                <w:sz w:val="24"/>
                <w:shd w:val="clear" w:color="FFFFFF" w:fill="D9D9D9"/>
              </w:rPr>
              <w:t>原件及</w:t>
            </w:r>
            <w:r>
              <w:rPr>
                <w:rFonts w:ascii="仿宋" w:eastAsia="仿宋" w:hAnsi="仿宋" w:cs="仿宋" w:hint="eastAsia"/>
                <w:color w:val="000000"/>
                <w:kern w:val="0"/>
                <w:sz w:val="24"/>
              </w:rPr>
              <w:t>复印件。</w:t>
            </w:r>
          </w:p>
        </w:tc>
        <w:tc>
          <w:tcPr>
            <w:tcW w:w="1354" w:type="dxa"/>
            <w:vMerge/>
            <w:vAlign w:val="center"/>
          </w:tcPr>
          <w:p w:rsidR="00013EC7" w:rsidRDefault="00013EC7">
            <w:pPr>
              <w:jc w:val="left"/>
              <w:rPr>
                <w:rFonts w:ascii="仿宋" w:eastAsia="仿宋" w:hAnsi="仿宋" w:cs="仿宋"/>
                <w:sz w:val="24"/>
              </w:rPr>
            </w:pPr>
          </w:p>
        </w:tc>
        <w:tc>
          <w:tcPr>
            <w:tcW w:w="2246" w:type="dxa"/>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（二）刊登遗失声明的报刊版面复印件。</w:t>
            </w:r>
          </w:p>
        </w:tc>
        <w:tc>
          <w:tcPr>
            <w:tcW w:w="1419" w:type="dxa"/>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丢失发票的纳税人提交</w:t>
            </w:r>
          </w:p>
        </w:tc>
        <w:tc>
          <w:tcPr>
            <w:tcW w:w="3252" w:type="dxa"/>
            <w:vMerge/>
            <w:vAlign w:val="center"/>
          </w:tcPr>
          <w:p w:rsidR="00013EC7" w:rsidRDefault="00013EC7">
            <w:pPr>
              <w:jc w:val="left"/>
              <w:rPr>
                <w:rFonts w:ascii="仿宋" w:eastAsia="仿宋" w:hAnsi="仿宋" w:cs="仿宋"/>
                <w:sz w:val="24"/>
              </w:rPr>
            </w:pPr>
          </w:p>
        </w:tc>
        <w:tc>
          <w:tcPr>
            <w:tcW w:w="868" w:type="dxa"/>
            <w:vMerge/>
            <w:vAlign w:val="center"/>
          </w:tcPr>
          <w:p w:rsidR="00013EC7" w:rsidRDefault="00013EC7">
            <w:pPr>
              <w:jc w:val="center"/>
              <w:rPr>
                <w:rFonts w:ascii="仿宋" w:eastAsia="仿宋" w:hAnsi="仿宋" w:cs="仿宋"/>
                <w:sz w:val="24"/>
              </w:rPr>
            </w:pPr>
          </w:p>
        </w:tc>
        <w:tc>
          <w:tcPr>
            <w:tcW w:w="898" w:type="dxa"/>
            <w:vMerge/>
            <w:vAlign w:val="center"/>
          </w:tcPr>
          <w:p w:rsidR="00013EC7" w:rsidRDefault="00013EC7">
            <w:pPr>
              <w:jc w:val="center"/>
              <w:rPr>
                <w:rFonts w:ascii="仿宋" w:eastAsia="仿宋" w:hAnsi="仿宋" w:cs="仿宋"/>
                <w:sz w:val="24"/>
              </w:rPr>
            </w:pPr>
          </w:p>
        </w:tc>
        <w:tc>
          <w:tcPr>
            <w:tcW w:w="858" w:type="dxa"/>
            <w:vMerge/>
            <w:vAlign w:val="center"/>
          </w:tcPr>
          <w:p w:rsidR="00013EC7" w:rsidRDefault="00013EC7">
            <w:pPr>
              <w:jc w:val="center"/>
              <w:rPr>
                <w:rFonts w:ascii="仿宋" w:eastAsia="仿宋" w:hAnsi="仿宋" w:cs="仿宋"/>
                <w:sz w:val="24"/>
              </w:rPr>
            </w:pPr>
          </w:p>
        </w:tc>
        <w:tc>
          <w:tcPr>
            <w:tcW w:w="1104" w:type="dxa"/>
            <w:vMerge/>
            <w:vAlign w:val="center"/>
          </w:tcPr>
          <w:p w:rsidR="00013EC7" w:rsidRDefault="00013EC7">
            <w:pPr>
              <w:jc w:val="center"/>
              <w:rPr>
                <w:rFonts w:ascii="仿宋" w:eastAsia="仿宋" w:hAnsi="仿宋" w:cs="仿宋"/>
                <w:sz w:val="24"/>
              </w:rPr>
            </w:pPr>
          </w:p>
        </w:tc>
        <w:tc>
          <w:tcPr>
            <w:tcW w:w="1476" w:type="dxa"/>
            <w:vMerge/>
            <w:vAlign w:val="center"/>
          </w:tcPr>
          <w:p w:rsidR="00013EC7" w:rsidRDefault="00013EC7">
            <w:pPr>
              <w:jc w:val="center"/>
              <w:rPr>
                <w:rFonts w:ascii="仿宋" w:eastAsia="仿宋" w:hAnsi="仿宋" w:cs="仿宋"/>
                <w:sz w:val="24"/>
              </w:rPr>
            </w:pPr>
          </w:p>
        </w:tc>
      </w:tr>
      <w:tr w:rsidR="00013EC7">
        <w:trPr>
          <w:trHeight w:val="340"/>
          <w:jc w:val="center"/>
        </w:trPr>
        <w:tc>
          <w:tcPr>
            <w:tcW w:w="1250" w:type="dxa"/>
            <w:vMerge/>
            <w:vAlign w:val="center"/>
          </w:tcPr>
          <w:p w:rsidR="00013EC7" w:rsidRDefault="00013EC7">
            <w:pPr>
              <w:jc w:val="center"/>
              <w:rPr>
                <w:rFonts w:ascii="仿宋" w:eastAsia="仿宋" w:hAnsi="仿宋" w:cs="仿宋"/>
                <w:sz w:val="24"/>
              </w:rPr>
            </w:pPr>
          </w:p>
        </w:tc>
        <w:tc>
          <w:tcPr>
            <w:tcW w:w="1316" w:type="dxa"/>
            <w:vMerge/>
            <w:vAlign w:val="center"/>
          </w:tcPr>
          <w:p w:rsidR="00013EC7" w:rsidRDefault="00013EC7">
            <w:pPr>
              <w:jc w:val="center"/>
              <w:rPr>
                <w:rFonts w:ascii="仿宋" w:eastAsia="仿宋" w:hAnsi="仿宋" w:cs="仿宋"/>
                <w:sz w:val="24"/>
              </w:rPr>
            </w:pPr>
          </w:p>
        </w:tc>
        <w:tc>
          <w:tcPr>
            <w:tcW w:w="2372" w:type="dxa"/>
            <w:vMerge/>
            <w:vAlign w:val="center"/>
          </w:tcPr>
          <w:p w:rsidR="00013EC7" w:rsidRDefault="00013EC7">
            <w:pPr>
              <w:jc w:val="left"/>
              <w:rPr>
                <w:rFonts w:ascii="仿宋" w:eastAsia="仿宋" w:hAnsi="仿宋" w:cs="仿宋"/>
                <w:sz w:val="24"/>
              </w:rPr>
            </w:pPr>
          </w:p>
        </w:tc>
        <w:tc>
          <w:tcPr>
            <w:tcW w:w="2291" w:type="dxa"/>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（三）公安部门受理报案的有关材料。</w:t>
            </w:r>
          </w:p>
        </w:tc>
        <w:tc>
          <w:tcPr>
            <w:tcW w:w="1354" w:type="dxa"/>
            <w:vMerge/>
            <w:vAlign w:val="center"/>
          </w:tcPr>
          <w:p w:rsidR="00013EC7" w:rsidRDefault="00013EC7">
            <w:pPr>
              <w:jc w:val="left"/>
              <w:rPr>
                <w:rFonts w:ascii="仿宋" w:eastAsia="仿宋" w:hAnsi="仿宋" w:cs="仿宋"/>
                <w:sz w:val="24"/>
              </w:rPr>
            </w:pPr>
          </w:p>
        </w:tc>
        <w:tc>
          <w:tcPr>
            <w:tcW w:w="2246" w:type="dxa"/>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（三）公安部门受理报案的有关材料。</w:t>
            </w:r>
          </w:p>
        </w:tc>
        <w:tc>
          <w:tcPr>
            <w:tcW w:w="1419" w:type="dxa"/>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被盗增值税专用发票的纳税人提交</w:t>
            </w:r>
          </w:p>
        </w:tc>
        <w:tc>
          <w:tcPr>
            <w:tcW w:w="3252" w:type="dxa"/>
            <w:vMerge/>
            <w:vAlign w:val="center"/>
          </w:tcPr>
          <w:p w:rsidR="00013EC7" w:rsidRDefault="00013EC7">
            <w:pPr>
              <w:jc w:val="left"/>
              <w:rPr>
                <w:rFonts w:ascii="仿宋" w:eastAsia="仿宋" w:hAnsi="仿宋" w:cs="仿宋"/>
                <w:sz w:val="24"/>
              </w:rPr>
            </w:pPr>
          </w:p>
        </w:tc>
        <w:tc>
          <w:tcPr>
            <w:tcW w:w="868" w:type="dxa"/>
            <w:vMerge/>
            <w:vAlign w:val="center"/>
          </w:tcPr>
          <w:p w:rsidR="00013EC7" w:rsidRDefault="00013EC7">
            <w:pPr>
              <w:jc w:val="center"/>
              <w:rPr>
                <w:rFonts w:ascii="仿宋" w:eastAsia="仿宋" w:hAnsi="仿宋" w:cs="仿宋"/>
                <w:sz w:val="24"/>
              </w:rPr>
            </w:pPr>
          </w:p>
        </w:tc>
        <w:tc>
          <w:tcPr>
            <w:tcW w:w="898" w:type="dxa"/>
            <w:vMerge/>
            <w:vAlign w:val="center"/>
          </w:tcPr>
          <w:p w:rsidR="00013EC7" w:rsidRDefault="00013EC7">
            <w:pPr>
              <w:jc w:val="center"/>
              <w:rPr>
                <w:rFonts w:ascii="仿宋" w:eastAsia="仿宋" w:hAnsi="仿宋" w:cs="仿宋"/>
                <w:sz w:val="24"/>
              </w:rPr>
            </w:pPr>
          </w:p>
        </w:tc>
        <w:tc>
          <w:tcPr>
            <w:tcW w:w="858" w:type="dxa"/>
            <w:vMerge/>
            <w:vAlign w:val="center"/>
          </w:tcPr>
          <w:p w:rsidR="00013EC7" w:rsidRDefault="00013EC7">
            <w:pPr>
              <w:jc w:val="center"/>
              <w:rPr>
                <w:rFonts w:ascii="仿宋" w:eastAsia="仿宋" w:hAnsi="仿宋" w:cs="仿宋"/>
                <w:sz w:val="24"/>
              </w:rPr>
            </w:pPr>
          </w:p>
        </w:tc>
        <w:tc>
          <w:tcPr>
            <w:tcW w:w="1104" w:type="dxa"/>
            <w:vMerge/>
            <w:vAlign w:val="center"/>
          </w:tcPr>
          <w:p w:rsidR="00013EC7" w:rsidRDefault="00013EC7">
            <w:pPr>
              <w:jc w:val="center"/>
              <w:rPr>
                <w:rFonts w:ascii="仿宋" w:eastAsia="仿宋" w:hAnsi="仿宋" w:cs="仿宋"/>
                <w:sz w:val="24"/>
              </w:rPr>
            </w:pPr>
          </w:p>
        </w:tc>
        <w:tc>
          <w:tcPr>
            <w:tcW w:w="1476" w:type="dxa"/>
            <w:vMerge/>
            <w:vAlign w:val="center"/>
          </w:tcPr>
          <w:p w:rsidR="00013EC7" w:rsidRDefault="00013EC7">
            <w:pPr>
              <w:jc w:val="center"/>
              <w:rPr>
                <w:rFonts w:ascii="仿宋" w:eastAsia="仿宋" w:hAnsi="仿宋" w:cs="仿宋"/>
                <w:sz w:val="24"/>
              </w:rPr>
            </w:pPr>
          </w:p>
        </w:tc>
      </w:tr>
    </w:tbl>
    <w:p w:rsidR="00013EC7" w:rsidRDefault="00013EC7">
      <w:pPr>
        <w:rPr>
          <w:rFonts w:eastAsia="方正书宋简体"/>
          <w:szCs w:val="21"/>
        </w:rPr>
      </w:pPr>
    </w:p>
    <w:p w:rsidR="00013EC7" w:rsidRDefault="00013EC7">
      <w:pPr>
        <w:rPr>
          <w:rFonts w:eastAsia="方正书宋简体"/>
          <w:szCs w:val="21"/>
        </w:rPr>
      </w:pPr>
    </w:p>
    <w:p w:rsidR="00013EC7" w:rsidRDefault="005262E6">
      <w:r>
        <w:lastRenderedPageBreak/>
        <w:object w:dxaOrig="1440" w:dyaOrig="1440">
          <v:shape id="对象 166" o:spid="_x0000_s1263" type="#_x0000_t75" alt="" style="position:absolute;left:0;text-align:left;margin-left:516.1pt;margin-top:77.75pt;width:469.5pt;height:615.05pt;z-index:251603968;mso-wrap-distance-left:9pt;mso-wrap-distance-top:0;mso-wrap-distance-right:9pt;mso-wrap-distance-bottom:0;mso-position-vertical-relative:page;mso-width-relative:page;mso-height-relative:page">
            <v:imagedata r:id="rId186" o:title=""/>
            <o:lock v:ext="edit" aspectratio="f"/>
            <w10:wrap type="square" anchory="page"/>
          </v:shape>
          <o:OLEObject Type="Embed" ProgID="Visio.Drawing.11" ShapeID="对象 166" DrawAspect="Content" ObjectID="_1577296223" r:id="rId187"/>
        </w:object>
      </w:r>
      <w:r>
        <w:object w:dxaOrig="1440" w:dyaOrig="1440">
          <v:shape id="_x0000_s1262" type="#_x0000_t75" alt="2111217721508729125585" style="position:absolute;left:0;text-align:left;margin-left:7.35pt;margin-top:84.1pt;width:423.6pt;height:571.7pt;z-index:251602944;mso-wrap-distance-left:9pt;mso-wrap-distance-top:0;mso-wrap-distance-right:9pt;mso-wrap-distance-bottom:0;mso-position-vertical-relative:page;mso-width-relative:page;mso-height-relative:page">
            <v:imagedata r:id="rId188" o:title="2111217721508729125585"/>
            <w10:wrap type="square" anchory="page"/>
          </v:shape>
          <o:OLEObject Type="Embed" ProgID="Visio.Drawing.11" ShapeID="_x0000_s1262" DrawAspect="Content" ObjectID="_1577296224" r:id="rId189"/>
        </w:object>
      </w:r>
    </w:p>
    <w:p w:rsidR="00013EC7" w:rsidRDefault="00013EC7">
      <w:pPr>
        <w:jc w:val="left"/>
        <w:rPr>
          <w:rFonts w:ascii="宋体" w:hAnsi="宋体" w:cs="宋体"/>
          <w:sz w:val="28"/>
          <w:szCs w:val="28"/>
        </w:rPr>
      </w:pPr>
    </w:p>
    <w:p w:rsidR="00013EC7" w:rsidRDefault="00575CDB">
      <w:pPr>
        <w:widowControl/>
        <w:jc w:val="left"/>
        <w:rPr>
          <w:rFonts w:ascii="宋体" w:hAnsi="宋体" w:cs="宋体"/>
          <w:sz w:val="28"/>
          <w:szCs w:val="28"/>
        </w:rPr>
      </w:pPr>
      <w:r>
        <w:rPr>
          <w:rFonts w:ascii="宋体" w:hAnsi="宋体" w:cs="宋体"/>
          <w:sz w:val="28"/>
          <w:szCs w:val="28"/>
        </w:rPr>
        <w:br w:type="page"/>
      </w:r>
    </w:p>
    <w:p w:rsidR="00013EC7" w:rsidRDefault="00575CDB">
      <w:pPr>
        <w:pStyle w:val="2"/>
      </w:pPr>
      <w:bookmarkStart w:id="285" w:name="_Toc12955"/>
      <w:bookmarkStart w:id="286" w:name="_Toc15318"/>
      <w:bookmarkStart w:id="287" w:name="_Toc15237"/>
      <w:bookmarkStart w:id="288" w:name="_Toc503467419"/>
      <w:r>
        <w:rPr>
          <w:rFonts w:hint="eastAsia"/>
        </w:rPr>
        <w:lastRenderedPageBreak/>
        <w:t>16.3</w:t>
      </w:r>
      <w:r>
        <w:rPr>
          <w:rFonts w:hint="eastAsia"/>
        </w:rPr>
        <w:t>发票信息查验</w:t>
      </w:r>
      <w:bookmarkEnd w:id="285"/>
      <w:bookmarkEnd w:id="286"/>
      <w:bookmarkEnd w:id="287"/>
      <w:bookmarkEnd w:id="288"/>
    </w:p>
    <w:p w:rsidR="00013EC7" w:rsidRDefault="00575CDB">
      <w:pPr>
        <w:jc w:val="center"/>
        <w:rPr>
          <w:rFonts w:ascii="宋体" w:hAnsi="宋体" w:cs="宋体"/>
          <w:b/>
          <w:bCs/>
          <w:sz w:val="44"/>
          <w:szCs w:val="44"/>
        </w:rPr>
      </w:pPr>
      <w:r>
        <w:rPr>
          <w:rFonts w:ascii="宋体" w:hAnsi="宋体" w:cs="宋体" w:hint="eastAsia"/>
          <w:b/>
          <w:bCs/>
          <w:sz w:val="52"/>
          <w:szCs w:val="52"/>
        </w:rPr>
        <w:t>全省“最多跑一次”事项“八统一”梳理表</w:t>
      </w:r>
    </w:p>
    <w:tbl>
      <w:tblPr>
        <w:tblW w:w="20704"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1250"/>
        <w:gridCol w:w="1316"/>
        <w:gridCol w:w="2114"/>
        <w:gridCol w:w="2618"/>
        <w:gridCol w:w="1285"/>
        <w:gridCol w:w="2403"/>
        <w:gridCol w:w="1196"/>
        <w:gridCol w:w="3318"/>
        <w:gridCol w:w="868"/>
        <w:gridCol w:w="857"/>
        <w:gridCol w:w="899"/>
        <w:gridCol w:w="1104"/>
        <w:gridCol w:w="1476"/>
      </w:tblGrid>
      <w:tr w:rsidR="00013EC7">
        <w:trPr>
          <w:trHeight w:val="340"/>
          <w:tblHeader/>
          <w:jc w:val="center"/>
        </w:trPr>
        <w:tc>
          <w:tcPr>
            <w:tcW w:w="1250"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主项名称</w:t>
            </w:r>
          </w:p>
        </w:tc>
        <w:tc>
          <w:tcPr>
            <w:tcW w:w="1316"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子项名称</w:t>
            </w:r>
          </w:p>
        </w:tc>
        <w:tc>
          <w:tcPr>
            <w:tcW w:w="2114"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经办依据</w:t>
            </w:r>
          </w:p>
        </w:tc>
        <w:tc>
          <w:tcPr>
            <w:tcW w:w="3903"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原经办所需材料</w:t>
            </w:r>
          </w:p>
        </w:tc>
        <w:tc>
          <w:tcPr>
            <w:tcW w:w="6917" w:type="dxa"/>
            <w:gridSpan w:val="3"/>
            <w:vAlign w:val="center"/>
          </w:tcPr>
          <w:p w:rsidR="00013EC7" w:rsidRDefault="00575CDB">
            <w:pPr>
              <w:spacing w:line="280" w:lineRule="exact"/>
              <w:jc w:val="center"/>
              <w:rPr>
                <w:rFonts w:ascii="黑体" w:eastAsia="黑体"/>
                <w:sz w:val="24"/>
              </w:rPr>
            </w:pPr>
            <w:r>
              <w:rPr>
                <w:rFonts w:ascii="黑体" w:eastAsia="黑体" w:hint="eastAsia"/>
                <w:sz w:val="24"/>
              </w:rPr>
              <w:t>梳理后经办所需材料</w:t>
            </w:r>
          </w:p>
        </w:tc>
        <w:tc>
          <w:tcPr>
            <w:tcW w:w="1725"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办理时限</w:t>
            </w:r>
          </w:p>
        </w:tc>
        <w:tc>
          <w:tcPr>
            <w:tcW w:w="899"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是否实现跑零次</w:t>
            </w:r>
          </w:p>
        </w:tc>
        <w:tc>
          <w:tcPr>
            <w:tcW w:w="1104"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省厅对口</w:t>
            </w:r>
          </w:p>
          <w:p w:rsidR="00013EC7" w:rsidRDefault="00575CDB">
            <w:pPr>
              <w:spacing w:line="280" w:lineRule="exact"/>
              <w:jc w:val="center"/>
              <w:rPr>
                <w:rFonts w:ascii="黑体" w:eastAsia="黑体"/>
                <w:sz w:val="24"/>
              </w:rPr>
            </w:pPr>
            <w:r>
              <w:rPr>
                <w:rFonts w:ascii="黑体" w:eastAsia="黑体" w:hint="eastAsia"/>
                <w:sz w:val="24"/>
              </w:rPr>
              <w:t>指导处室</w:t>
            </w:r>
          </w:p>
          <w:p w:rsidR="00013EC7" w:rsidRDefault="00575CDB">
            <w:pPr>
              <w:spacing w:line="280" w:lineRule="exact"/>
              <w:jc w:val="center"/>
              <w:rPr>
                <w:rFonts w:ascii="黑体" w:eastAsia="黑体"/>
                <w:sz w:val="24"/>
              </w:rPr>
            </w:pPr>
            <w:r>
              <w:rPr>
                <w:rFonts w:ascii="黑体" w:eastAsia="黑体" w:hint="eastAsia"/>
                <w:sz w:val="24"/>
              </w:rPr>
              <w:t>（单位）</w:t>
            </w:r>
          </w:p>
        </w:tc>
        <w:tc>
          <w:tcPr>
            <w:tcW w:w="1476"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进一步精简、</w:t>
            </w:r>
          </w:p>
          <w:p w:rsidR="00013EC7" w:rsidRDefault="00575CDB">
            <w:pPr>
              <w:spacing w:line="280" w:lineRule="exact"/>
              <w:jc w:val="center"/>
              <w:rPr>
                <w:rFonts w:ascii="黑体" w:eastAsia="黑体"/>
                <w:sz w:val="24"/>
              </w:rPr>
            </w:pPr>
            <w:r>
              <w:rPr>
                <w:rFonts w:ascii="黑体" w:eastAsia="黑体" w:hint="eastAsia"/>
                <w:sz w:val="24"/>
              </w:rPr>
              <w:t>规范建议</w:t>
            </w:r>
          </w:p>
        </w:tc>
      </w:tr>
      <w:tr w:rsidR="00013EC7">
        <w:trPr>
          <w:trHeight w:val="340"/>
          <w:tblHeader/>
          <w:jc w:val="center"/>
        </w:trPr>
        <w:tc>
          <w:tcPr>
            <w:tcW w:w="1250" w:type="dxa"/>
            <w:vMerge/>
            <w:vAlign w:val="center"/>
          </w:tcPr>
          <w:p w:rsidR="00013EC7" w:rsidRDefault="00013EC7">
            <w:pPr>
              <w:rPr>
                <w:sz w:val="24"/>
              </w:rPr>
            </w:pPr>
          </w:p>
        </w:tc>
        <w:tc>
          <w:tcPr>
            <w:tcW w:w="1316" w:type="dxa"/>
            <w:vMerge/>
          </w:tcPr>
          <w:p w:rsidR="00013EC7" w:rsidRDefault="00013EC7">
            <w:pPr>
              <w:rPr>
                <w:sz w:val="24"/>
              </w:rPr>
            </w:pPr>
          </w:p>
        </w:tc>
        <w:tc>
          <w:tcPr>
            <w:tcW w:w="2114" w:type="dxa"/>
            <w:vMerge/>
          </w:tcPr>
          <w:p w:rsidR="00013EC7" w:rsidRDefault="00013EC7">
            <w:pPr>
              <w:rPr>
                <w:sz w:val="24"/>
              </w:rPr>
            </w:pPr>
          </w:p>
        </w:tc>
        <w:tc>
          <w:tcPr>
            <w:tcW w:w="2618" w:type="dxa"/>
            <w:tcBorders>
              <w:bottom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285"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2403" w:type="dxa"/>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196"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3318" w:type="dxa"/>
            <w:vAlign w:val="center"/>
          </w:tcPr>
          <w:p w:rsidR="00013EC7" w:rsidRDefault="00575CDB">
            <w:pPr>
              <w:spacing w:line="280" w:lineRule="exact"/>
              <w:jc w:val="center"/>
              <w:rPr>
                <w:rFonts w:ascii="黑体" w:eastAsia="黑体"/>
                <w:sz w:val="24"/>
              </w:rPr>
            </w:pPr>
            <w:r>
              <w:rPr>
                <w:rFonts w:ascii="黑体" w:eastAsia="黑体" w:hint="eastAsia"/>
                <w:sz w:val="24"/>
              </w:rPr>
              <w:t>办理方式及材料</w:t>
            </w:r>
          </w:p>
          <w:p w:rsidR="00013EC7" w:rsidRDefault="00575CDB">
            <w:pPr>
              <w:spacing w:line="280" w:lineRule="exact"/>
              <w:jc w:val="center"/>
              <w:rPr>
                <w:rFonts w:ascii="黑体" w:eastAsia="黑体"/>
                <w:sz w:val="24"/>
              </w:rPr>
            </w:pPr>
            <w:r>
              <w:rPr>
                <w:rFonts w:ascii="黑体" w:eastAsia="黑体" w:hint="eastAsia"/>
                <w:sz w:val="24"/>
              </w:rPr>
              <w:t>信息获取方式说明</w:t>
            </w:r>
          </w:p>
        </w:tc>
        <w:tc>
          <w:tcPr>
            <w:tcW w:w="868" w:type="dxa"/>
            <w:vAlign w:val="center"/>
          </w:tcPr>
          <w:p w:rsidR="00013EC7" w:rsidRDefault="00575CDB">
            <w:pPr>
              <w:spacing w:line="280" w:lineRule="exact"/>
              <w:jc w:val="center"/>
              <w:rPr>
                <w:rFonts w:ascii="黑体" w:eastAsia="黑体"/>
                <w:sz w:val="24"/>
              </w:rPr>
            </w:pPr>
            <w:r>
              <w:rPr>
                <w:rFonts w:ascii="黑体" w:eastAsia="黑体" w:hint="eastAsia"/>
                <w:sz w:val="24"/>
              </w:rPr>
              <w:t>优化前</w:t>
            </w:r>
          </w:p>
        </w:tc>
        <w:tc>
          <w:tcPr>
            <w:tcW w:w="857" w:type="dxa"/>
            <w:vAlign w:val="center"/>
          </w:tcPr>
          <w:p w:rsidR="00013EC7" w:rsidRDefault="00575CDB">
            <w:pPr>
              <w:spacing w:line="280" w:lineRule="exact"/>
              <w:jc w:val="center"/>
              <w:rPr>
                <w:rFonts w:ascii="黑体" w:eastAsia="黑体"/>
                <w:sz w:val="24"/>
              </w:rPr>
            </w:pPr>
            <w:r>
              <w:rPr>
                <w:rFonts w:ascii="黑体" w:eastAsia="黑体" w:hint="eastAsia"/>
                <w:sz w:val="24"/>
              </w:rPr>
              <w:t>优化后</w:t>
            </w:r>
          </w:p>
        </w:tc>
        <w:tc>
          <w:tcPr>
            <w:tcW w:w="899" w:type="dxa"/>
            <w:vMerge/>
            <w:vAlign w:val="center"/>
          </w:tcPr>
          <w:p w:rsidR="00013EC7" w:rsidRDefault="00013EC7">
            <w:pPr>
              <w:rPr>
                <w:sz w:val="24"/>
              </w:rPr>
            </w:pPr>
          </w:p>
        </w:tc>
        <w:tc>
          <w:tcPr>
            <w:tcW w:w="1104" w:type="dxa"/>
            <w:vMerge/>
            <w:vAlign w:val="center"/>
          </w:tcPr>
          <w:p w:rsidR="00013EC7" w:rsidRDefault="00013EC7">
            <w:pPr>
              <w:rPr>
                <w:sz w:val="24"/>
              </w:rPr>
            </w:pPr>
          </w:p>
        </w:tc>
        <w:tc>
          <w:tcPr>
            <w:tcW w:w="1476" w:type="dxa"/>
            <w:vMerge/>
            <w:vAlign w:val="center"/>
          </w:tcPr>
          <w:p w:rsidR="00013EC7" w:rsidRDefault="00013EC7">
            <w:pPr>
              <w:rPr>
                <w:sz w:val="24"/>
              </w:rPr>
            </w:pPr>
          </w:p>
        </w:tc>
      </w:tr>
      <w:tr w:rsidR="00013EC7">
        <w:trPr>
          <w:trHeight w:val="1475"/>
          <w:jc w:val="center"/>
        </w:trPr>
        <w:tc>
          <w:tcPr>
            <w:tcW w:w="1250" w:type="dxa"/>
            <w:vMerge w:val="restart"/>
            <w:shd w:val="clear" w:color="auto" w:fill="FFFFFF"/>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16发票相关服务</w:t>
            </w:r>
          </w:p>
        </w:tc>
        <w:tc>
          <w:tcPr>
            <w:tcW w:w="1316" w:type="dxa"/>
            <w:vMerge w:val="restart"/>
            <w:shd w:val="clear" w:color="auto" w:fill="FFFFFF"/>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16.3发票信息查验</w:t>
            </w:r>
          </w:p>
        </w:tc>
        <w:tc>
          <w:tcPr>
            <w:tcW w:w="2114" w:type="dxa"/>
            <w:vMerge w:val="restart"/>
            <w:shd w:val="clear" w:color="auto" w:fill="FFFFFF"/>
            <w:vAlign w:val="center"/>
          </w:tcPr>
          <w:p w:rsidR="00013EC7" w:rsidRDefault="00575CDB">
            <w:pPr>
              <w:widowControl/>
              <w:spacing w:after="210"/>
              <w:jc w:val="left"/>
              <w:textAlignment w:val="center"/>
              <w:rPr>
                <w:rFonts w:ascii="仿宋" w:eastAsia="仿宋" w:hAnsi="仿宋" w:cs="仿宋"/>
                <w:color w:val="000000"/>
                <w:kern w:val="0"/>
                <w:sz w:val="24"/>
              </w:rPr>
            </w:pPr>
            <w:r>
              <w:rPr>
                <w:rFonts w:ascii="仿宋" w:eastAsia="仿宋" w:hAnsi="仿宋" w:cs="仿宋" w:hint="eastAsia"/>
                <w:color w:val="000000"/>
                <w:kern w:val="0"/>
                <w:sz w:val="24"/>
              </w:rPr>
              <w:t>（一）《国家税务总局关于修改〈中华人民共和国发票管理办法实施细则〉的决定》（2014年国家税务总局令第37号）第三十三条。</w:t>
            </w:r>
          </w:p>
          <w:p w:rsidR="00013EC7" w:rsidRDefault="00575CDB">
            <w:pPr>
              <w:widowControl/>
              <w:spacing w:after="210"/>
              <w:jc w:val="left"/>
              <w:textAlignment w:val="center"/>
              <w:rPr>
                <w:rFonts w:ascii="仿宋" w:eastAsia="仿宋" w:hAnsi="仿宋" w:cs="仿宋"/>
                <w:color w:val="000000"/>
                <w:kern w:val="0"/>
                <w:sz w:val="24"/>
              </w:rPr>
            </w:pPr>
            <w:r>
              <w:rPr>
                <w:rFonts w:ascii="仿宋" w:eastAsia="仿宋" w:hAnsi="仿宋" w:cs="仿宋" w:hint="eastAsia"/>
                <w:color w:val="000000"/>
                <w:kern w:val="0"/>
                <w:sz w:val="24"/>
              </w:rPr>
              <w:t>（二）《国家税务总局关于普通发票真伪鉴定问题的通知》（国税函〔2008〕948号）全文。</w:t>
            </w:r>
          </w:p>
          <w:p w:rsidR="00013EC7" w:rsidRDefault="00575CDB">
            <w:pPr>
              <w:widowControl/>
              <w:spacing w:after="210"/>
              <w:jc w:val="left"/>
              <w:textAlignment w:val="center"/>
              <w:rPr>
                <w:rFonts w:ascii="仿宋" w:eastAsia="仿宋" w:hAnsi="仿宋" w:cs="仿宋"/>
                <w:color w:val="000000"/>
                <w:kern w:val="0"/>
                <w:sz w:val="24"/>
              </w:rPr>
            </w:pPr>
            <w:r>
              <w:rPr>
                <w:rFonts w:ascii="仿宋" w:eastAsia="仿宋" w:hAnsi="仿宋" w:cs="仿宋" w:hint="eastAsia"/>
                <w:color w:val="000000"/>
                <w:kern w:val="0"/>
                <w:sz w:val="24"/>
              </w:rPr>
              <w:t>（三）《中华人民共和国发票管理办法》（2010年中华人民共和国国务院令第 587 号）第二十四条第二款。</w:t>
            </w:r>
          </w:p>
          <w:p w:rsidR="00013EC7" w:rsidRDefault="00575CDB">
            <w:pPr>
              <w:widowControl/>
              <w:spacing w:after="210"/>
              <w:jc w:val="left"/>
              <w:textAlignment w:val="center"/>
              <w:rPr>
                <w:rFonts w:ascii="仿宋" w:eastAsia="仿宋" w:hAnsi="仿宋" w:cs="仿宋"/>
                <w:sz w:val="24"/>
              </w:rPr>
            </w:pPr>
            <w:r>
              <w:rPr>
                <w:rFonts w:ascii="仿宋" w:eastAsia="仿宋" w:hAnsi="仿宋" w:cs="仿宋" w:hint="eastAsia"/>
                <w:color w:val="000000"/>
                <w:kern w:val="0"/>
                <w:sz w:val="24"/>
              </w:rPr>
              <w:t>（四）《国家税务总局关于发布取消简并涉税文书报表的公告》（国家税务总局公告 2014 年第 21号）全文。</w:t>
            </w:r>
            <w:r>
              <w:rPr>
                <w:rFonts w:ascii="仿宋" w:eastAsia="仿宋" w:hAnsi="仿宋" w:cs="仿宋" w:hint="eastAsia"/>
                <w:color w:val="000000"/>
                <w:kern w:val="0"/>
                <w:sz w:val="24"/>
              </w:rPr>
              <w:br/>
            </w:r>
          </w:p>
        </w:tc>
        <w:tc>
          <w:tcPr>
            <w:tcW w:w="2618" w:type="dxa"/>
            <w:tcBorders>
              <w:top w:val="single" w:sz="4" w:space="0" w:color="auto"/>
              <w:bottom w:val="single" w:sz="4" w:space="0" w:color="auto"/>
            </w:tcBorders>
            <w:shd w:val="clear" w:color="auto" w:fill="FFFFFF"/>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（一）待鉴别发票（行政执法部门鉴别发票的，同时应提供复印件，发票数量较多时，提供电子数据代替复印件，电子数据应包括发票名称、代码、号码等）。</w:t>
            </w:r>
          </w:p>
        </w:tc>
        <w:tc>
          <w:tcPr>
            <w:tcW w:w="1285" w:type="dxa"/>
            <w:vMerge w:val="restart"/>
            <w:shd w:val="clear" w:color="auto" w:fill="FFFFFF"/>
            <w:vAlign w:val="center"/>
          </w:tcPr>
          <w:p w:rsidR="00013EC7" w:rsidRDefault="00575CDB">
            <w:pPr>
              <w:widowControl/>
              <w:jc w:val="left"/>
              <w:textAlignment w:val="center"/>
              <w:rPr>
                <w:rStyle w:val="font01"/>
                <w:rFonts w:hint="default"/>
                <w:color w:val="auto"/>
              </w:rPr>
            </w:pPr>
            <w:r>
              <w:rPr>
                <w:rFonts w:ascii="仿宋" w:eastAsia="仿宋" w:hAnsi="仿宋" w:cs="仿宋"/>
                <w:color w:val="000000"/>
                <w:kern w:val="0"/>
                <w:sz w:val="24"/>
              </w:rPr>
              <w:t>纳税人提交</w:t>
            </w:r>
          </w:p>
        </w:tc>
        <w:tc>
          <w:tcPr>
            <w:tcW w:w="2403" w:type="dxa"/>
            <w:shd w:val="clear" w:color="auto" w:fill="FFFFFF"/>
            <w:vAlign w:val="center"/>
          </w:tcPr>
          <w:p w:rsidR="00013EC7" w:rsidRDefault="00575CDB">
            <w:pPr>
              <w:widowControl/>
              <w:jc w:val="left"/>
              <w:textAlignment w:val="center"/>
              <w:rPr>
                <w:rFonts w:ascii="仿宋" w:eastAsia="仿宋" w:hAnsi="仿宋" w:cs="仿宋"/>
                <w:color w:val="000000"/>
                <w:kern w:val="0"/>
                <w:sz w:val="24"/>
              </w:rPr>
            </w:pPr>
            <w:r>
              <w:rPr>
                <w:rFonts w:ascii="仿宋" w:eastAsia="仿宋" w:hAnsi="仿宋" w:cs="仿宋" w:hint="eastAsia"/>
                <w:color w:val="000000"/>
                <w:kern w:val="0"/>
                <w:sz w:val="24"/>
              </w:rPr>
              <w:t>（一）待鉴别发票（行政执法部门鉴别发票的，同时应提供复印件，发票数量较多时，提供电子数据代替复印件，电子数据应包括发票名称、代码、号码等）。</w:t>
            </w:r>
          </w:p>
        </w:tc>
        <w:tc>
          <w:tcPr>
            <w:tcW w:w="1196" w:type="dxa"/>
            <w:vMerge w:val="restart"/>
            <w:shd w:val="clear" w:color="auto" w:fill="FFFFFF"/>
            <w:vAlign w:val="center"/>
          </w:tcPr>
          <w:p w:rsidR="00013EC7" w:rsidRDefault="00575CDB">
            <w:pPr>
              <w:widowControl/>
              <w:jc w:val="left"/>
              <w:textAlignment w:val="center"/>
              <w:rPr>
                <w:rFonts w:ascii="仿宋" w:eastAsia="仿宋" w:hAnsi="仿宋" w:cs="仿宋"/>
                <w:b/>
                <w:bCs/>
                <w:i/>
                <w:iCs/>
                <w:sz w:val="24"/>
              </w:rPr>
            </w:pPr>
            <w:r>
              <w:rPr>
                <w:rFonts w:ascii="仿宋" w:eastAsia="仿宋" w:hAnsi="仿宋" w:cs="仿宋" w:hint="eastAsia"/>
                <w:color w:val="000000"/>
                <w:kern w:val="0"/>
                <w:sz w:val="24"/>
              </w:rPr>
              <w:t>纳税人提交</w:t>
            </w:r>
          </w:p>
        </w:tc>
        <w:tc>
          <w:tcPr>
            <w:tcW w:w="3318" w:type="dxa"/>
            <w:vMerge w:val="restart"/>
            <w:shd w:val="clear" w:color="auto" w:fill="FFFFFF"/>
            <w:vAlign w:val="center"/>
          </w:tcPr>
          <w:p w:rsidR="00013EC7" w:rsidRDefault="00575CDB">
            <w:pPr>
              <w:widowControl/>
              <w:jc w:val="left"/>
              <w:textAlignment w:val="center"/>
              <w:rPr>
                <w:rFonts w:ascii="仿宋" w:eastAsia="仿宋" w:hAnsi="仿宋" w:cs="仿宋"/>
                <w:color w:val="000000"/>
                <w:kern w:val="0"/>
                <w:sz w:val="24"/>
              </w:rPr>
            </w:pPr>
            <w:r>
              <w:rPr>
                <w:rFonts w:ascii="仿宋" w:eastAsia="仿宋" w:hAnsi="仿宋" w:cs="仿宋" w:hint="eastAsia"/>
                <w:b/>
                <w:bCs/>
                <w:color w:val="000000"/>
                <w:kern w:val="0"/>
                <w:sz w:val="24"/>
              </w:rPr>
              <w:t>现场办理：</w:t>
            </w:r>
            <w:r>
              <w:rPr>
                <w:rFonts w:ascii="仿宋" w:eastAsia="仿宋" w:hAnsi="仿宋" w:cs="仿宋" w:hint="eastAsia"/>
                <w:color w:val="000000"/>
                <w:kern w:val="0"/>
                <w:sz w:val="24"/>
              </w:rPr>
              <w:t>办理事项人员提交材料。</w:t>
            </w:r>
          </w:p>
          <w:p w:rsidR="00013EC7" w:rsidRDefault="00575CDB">
            <w:pPr>
              <w:widowControl/>
              <w:jc w:val="left"/>
              <w:textAlignment w:val="center"/>
              <w:rPr>
                <w:rFonts w:ascii="仿宋" w:eastAsia="仿宋" w:hAnsi="仿宋" w:cs="仿宋"/>
                <w:sz w:val="24"/>
              </w:rPr>
            </w:pPr>
            <w:r>
              <w:rPr>
                <w:rFonts w:ascii="仿宋" w:eastAsia="仿宋" w:hAnsi="仿宋" w:cs="仿宋" w:hint="eastAsia"/>
                <w:b/>
                <w:bCs/>
                <w:color w:val="000000"/>
                <w:kern w:val="0"/>
                <w:sz w:val="24"/>
              </w:rPr>
              <w:t>网上办理：</w:t>
            </w:r>
            <w:r>
              <w:rPr>
                <w:rFonts w:ascii="仿宋" w:eastAsia="仿宋" w:hAnsi="仿宋" w:cs="仿宋" w:hint="eastAsia"/>
                <w:color w:val="000000"/>
                <w:kern w:val="0"/>
                <w:sz w:val="24"/>
              </w:rPr>
              <w:t>登录浙江国税电子税务局（网址：http://etax.zjtax.gov.cn/</w:t>
            </w:r>
            <w:r>
              <w:rPr>
                <w:rFonts w:ascii="仿宋" w:eastAsia="仿宋" w:hAnsi="仿宋" w:cs="仿宋" w:hint="eastAsia"/>
                <w:color w:val="000000"/>
                <w:kern w:val="0"/>
                <w:sz w:val="24"/>
              </w:rPr>
              <w:br/>
              <w:t>）提交申请。</w:t>
            </w:r>
            <w:r>
              <w:rPr>
                <w:rFonts w:ascii="仿宋" w:eastAsia="仿宋" w:hAnsi="仿宋" w:cs="仿宋" w:hint="eastAsia"/>
                <w:color w:val="000000"/>
                <w:kern w:val="0"/>
                <w:sz w:val="24"/>
              </w:rPr>
              <w:br/>
            </w:r>
            <w:r>
              <w:rPr>
                <w:rFonts w:ascii="仿宋" w:eastAsia="仿宋" w:hAnsi="仿宋" w:cs="仿宋" w:hint="eastAsia"/>
                <w:b/>
                <w:bCs/>
                <w:color w:val="000000"/>
                <w:kern w:val="0"/>
                <w:sz w:val="24"/>
              </w:rPr>
              <w:t>APP办理：</w:t>
            </w:r>
            <w:r>
              <w:rPr>
                <w:rFonts w:ascii="仿宋" w:eastAsia="仿宋" w:hAnsi="仿宋" w:cs="仿宋" w:hint="eastAsia"/>
                <w:color w:val="000000"/>
                <w:kern w:val="0"/>
                <w:sz w:val="24"/>
              </w:rPr>
              <w:t>登录浙江国税APP提交申请。</w:t>
            </w:r>
          </w:p>
        </w:tc>
        <w:tc>
          <w:tcPr>
            <w:tcW w:w="868" w:type="dxa"/>
            <w:vMerge w:val="restart"/>
            <w:shd w:val="clear" w:color="auto" w:fill="FFFFFF"/>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即时办结</w:t>
            </w:r>
          </w:p>
        </w:tc>
        <w:tc>
          <w:tcPr>
            <w:tcW w:w="857" w:type="dxa"/>
            <w:vMerge w:val="restart"/>
            <w:shd w:val="clear" w:color="auto" w:fill="FFFFFF"/>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即时办结</w:t>
            </w:r>
          </w:p>
        </w:tc>
        <w:tc>
          <w:tcPr>
            <w:tcW w:w="899" w:type="dxa"/>
            <w:vMerge w:val="restart"/>
            <w:shd w:val="clear" w:color="auto" w:fill="FFFFFF"/>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是</w:t>
            </w:r>
          </w:p>
        </w:tc>
        <w:tc>
          <w:tcPr>
            <w:tcW w:w="1104" w:type="dxa"/>
            <w:vMerge w:val="restart"/>
            <w:shd w:val="clear" w:color="auto" w:fill="FFFFFF"/>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货物和劳务税处（增值税发票）；</w:t>
            </w:r>
            <w:r>
              <w:rPr>
                <w:rFonts w:ascii="仿宋" w:eastAsia="仿宋" w:hAnsi="仿宋" w:cs="仿宋" w:hint="eastAsia"/>
                <w:color w:val="000000"/>
                <w:kern w:val="0"/>
                <w:sz w:val="24"/>
              </w:rPr>
              <w:br/>
              <w:t>征管科技处（通用机打发票）</w:t>
            </w:r>
          </w:p>
        </w:tc>
        <w:tc>
          <w:tcPr>
            <w:tcW w:w="1476" w:type="dxa"/>
            <w:vMerge w:val="restart"/>
            <w:shd w:val="clear" w:color="auto" w:fill="FFFFFF"/>
            <w:vAlign w:val="center"/>
          </w:tcPr>
          <w:p w:rsidR="00013EC7" w:rsidRDefault="00013EC7">
            <w:pPr>
              <w:jc w:val="left"/>
              <w:rPr>
                <w:rFonts w:ascii="仿宋" w:eastAsia="仿宋" w:hAnsi="仿宋" w:cs="仿宋"/>
                <w:sz w:val="24"/>
              </w:rPr>
            </w:pPr>
          </w:p>
        </w:tc>
      </w:tr>
      <w:tr w:rsidR="00013EC7">
        <w:trPr>
          <w:trHeight w:val="2734"/>
          <w:jc w:val="center"/>
        </w:trPr>
        <w:tc>
          <w:tcPr>
            <w:tcW w:w="1250" w:type="dxa"/>
            <w:vMerge/>
            <w:shd w:val="clear" w:color="auto" w:fill="FFFFFF"/>
            <w:vAlign w:val="center"/>
          </w:tcPr>
          <w:p w:rsidR="00013EC7" w:rsidRDefault="00013EC7">
            <w:pPr>
              <w:jc w:val="center"/>
              <w:rPr>
                <w:rFonts w:ascii="仿宋" w:eastAsia="仿宋" w:hAnsi="仿宋" w:cs="仿宋"/>
                <w:sz w:val="24"/>
              </w:rPr>
            </w:pPr>
          </w:p>
        </w:tc>
        <w:tc>
          <w:tcPr>
            <w:tcW w:w="1316" w:type="dxa"/>
            <w:vMerge/>
            <w:shd w:val="clear" w:color="auto" w:fill="FFFFFF"/>
            <w:vAlign w:val="center"/>
          </w:tcPr>
          <w:p w:rsidR="00013EC7" w:rsidRDefault="00013EC7">
            <w:pPr>
              <w:jc w:val="center"/>
              <w:rPr>
                <w:rFonts w:ascii="仿宋" w:eastAsia="仿宋" w:hAnsi="仿宋" w:cs="仿宋"/>
                <w:sz w:val="24"/>
              </w:rPr>
            </w:pPr>
          </w:p>
        </w:tc>
        <w:tc>
          <w:tcPr>
            <w:tcW w:w="2114" w:type="dxa"/>
            <w:vMerge/>
            <w:shd w:val="clear" w:color="auto" w:fill="FFFFFF"/>
            <w:vAlign w:val="center"/>
          </w:tcPr>
          <w:p w:rsidR="00013EC7" w:rsidRDefault="00013EC7">
            <w:pPr>
              <w:jc w:val="left"/>
              <w:rPr>
                <w:rFonts w:ascii="仿宋" w:eastAsia="仿宋" w:hAnsi="仿宋" w:cs="仿宋"/>
                <w:sz w:val="24"/>
              </w:rPr>
            </w:pPr>
          </w:p>
        </w:tc>
        <w:tc>
          <w:tcPr>
            <w:tcW w:w="2618" w:type="dxa"/>
            <w:tcBorders>
              <w:top w:val="single" w:sz="4" w:space="0" w:color="auto"/>
            </w:tcBorders>
            <w:shd w:val="clear" w:color="auto" w:fill="FFFFFF"/>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（二）</w:t>
            </w:r>
            <w:r>
              <w:rPr>
                <w:rFonts w:ascii="仿宋" w:eastAsia="仿宋" w:hAnsi="仿宋" w:cs="仿宋" w:hint="eastAsia"/>
                <w:color w:val="000000"/>
                <w:kern w:val="0"/>
                <w:sz w:val="24"/>
                <w:shd w:val="clear" w:color="FFFFFF" w:fill="D9D9D9"/>
              </w:rPr>
              <w:t>用票单位应提供</w:t>
            </w:r>
            <w:r>
              <w:rPr>
                <w:rFonts w:ascii="仿宋" w:eastAsia="仿宋" w:hAnsi="仿宋" w:cs="仿宋" w:hint="eastAsia"/>
                <w:color w:val="000000"/>
                <w:kern w:val="0"/>
                <w:sz w:val="24"/>
              </w:rPr>
              <w:t>税务登记证件</w:t>
            </w:r>
            <w:r>
              <w:rPr>
                <w:rFonts w:ascii="仿宋" w:eastAsia="仿宋" w:hAnsi="仿宋" w:cs="仿宋" w:hint="eastAsia"/>
                <w:color w:val="000000"/>
                <w:kern w:val="0"/>
                <w:sz w:val="24"/>
                <w:shd w:val="clear" w:color="FFFFFF" w:fill="D9D9D9"/>
              </w:rPr>
              <w:t>；依法不需要办理税务登记的单位应提供组织机构代码证；自然人提供身份证明（如居民身份证、护照或者能证明自然人身份的证件）</w:t>
            </w:r>
            <w:r>
              <w:rPr>
                <w:rFonts w:ascii="仿宋" w:eastAsia="仿宋" w:hAnsi="仿宋" w:cs="仿宋" w:hint="eastAsia"/>
                <w:color w:val="000000"/>
                <w:kern w:val="0"/>
                <w:sz w:val="24"/>
              </w:rPr>
              <w:t>行政执法部门提供单位介绍信。</w:t>
            </w:r>
          </w:p>
        </w:tc>
        <w:tc>
          <w:tcPr>
            <w:tcW w:w="1285" w:type="dxa"/>
            <w:vMerge/>
            <w:shd w:val="clear" w:color="auto" w:fill="FFFFFF"/>
            <w:vAlign w:val="center"/>
          </w:tcPr>
          <w:p w:rsidR="00013EC7" w:rsidRDefault="00013EC7">
            <w:pPr>
              <w:jc w:val="left"/>
              <w:rPr>
                <w:rFonts w:ascii="仿宋" w:eastAsia="仿宋" w:hAnsi="仿宋" w:cs="仿宋"/>
                <w:sz w:val="24"/>
              </w:rPr>
            </w:pPr>
          </w:p>
        </w:tc>
        <w:tc>
          <w:tcPr>
            <w:tcW w:w="2403" w:type="dxa"/>
            <w:shd w:val="clear" w:color="auto" w:fill="FFFFFF"/>
            <w:vAlign w:val="center"/>
          </w:tcPr>
          <w:p w:rsidR="00013EC7" w:rsidRDefault="00575CDB">
            <w:pPr>
              <w:widowControl/>
              <w:jc w:val="left"/>
              <w:textAlignment w:val="center"/>
              <w:rPr>
                <w:rFonts w:ascii="仿宋" w:eastAsia="仿宋" w:hAnsi="仿宋" w:cs="仿宋"/>
                <w:color w:val="000000"/>
                <w:kern w:val="0"/>
                <w:sz w:val="24"/>
              </w:rPr>
            </w:pPr>
            <w:r>
              <w:rPr>
                <w:rFonts w:ascii="仿宋" w:eastAsia="仿宋" w:hAnsi="仿宋" w:cs="仿宋" w:hint="eastAsia"/>
                <w:color w:val="000000"/>
                <w:kern w:val="0"/>
                <w:sz w:val="24"/>
              </w:rPr>
              <w:t>（二）税务登记证件或加载统一社会信用代码的执照；行政执法部门提供单位介绍信。</w:t>
            </w:r>
          </w:p>
          <w:p w:rsidR="00013EC7" w:rsidRDefault="00013EC7">
            <w:pPr>
              <w:widowControl/>
              <w:jc w:val="left"/>
              <w:textAlignment w:val="center"/>
              <w:rPr>
                <w:rFonts w:ascii="仿宋" w:eastAsia="仿宋" w:hAnsi="仿宋" w:cs="仿宋"/>
                <w:color w:val="000000"/>
                <w:kern w:val="0"/>
                <w:sz w:val="24"/>
              </w:rPr>
            </w:pPr>
          </w:p>
        </w:tc>
        <w:tc>
          <w:tcPr>
            <w:tcW w:w="1196" w:type="dxa"/>
            <w:vMerge/>
            <w:shd w:val="clear" w:color="auto" w:fill="FFFFFF"/>
            <w:vAlign w:val="center"/>
          </w:tcPr>
          <w:p w:rsidR="00013EC7" w:rsidRDefault="00013EC7">
            <w:pPr>
              <w:jc w:val="left"/>
              <w:rPr>
                <w:rFonts w:ascii="仿宋" w:eastAsia="仿宋" w:hAnsi="仿宋" w:cs="仿宋"/>
                <w:sz w:val="24"/>
              </w:rPr>
            </w:pPr>
          </w:p>
        </w:tc>
        <w:tc>
          <w:tcPr>
            <w:tcW w:w="3318" w:type="dxa"/>
            <w:vMerge/>
            <w:shd w:val="clear" w:color="auto" w:fill="FFFFFF"/>
            <w:vAlign w:val="center"/>
          </w:tcPr>
          <w:p w:rsidR="00013EC7" w:rsidRDefault="00013EC7">
            <w:pPr>
              <w:jc w:val="left"/>
              <w:rPr>
                <w:rFonts w:ascii="仿宋" w:eastAsia="仿宋" w:hAnsi="仿宋" w:cs="仿宋"/>
                <w:sz w:val="24"/>
              </w:rPr>
            </w:pPr>
          </w:p>
        </w:tc>
        <w:tc>
          <w:tcPr>
            <w:tcW w:w="868" w:type="dxa"/>
            <w:vMerge/>
            <w:shd w:val="clear" w:color="auto" w:fill="FFFFFF"/>
            <w:vAlign w:val="center"/>
          </w:tcPr>
          <w:p w:rsidR="00013EC7" w:rsidRDefault="00013EC7">
            <w:pPr>
              <w:jc w:val="left"/>
              <w:rPr>
                <w:rFonts w:ascii="仿宋" w:eastAsia="仿宋" w:hAnsi="仿宋" w:cs="仿宋"/>
                <w:sz w:val="24"/>
              </w:rPr>
            </w:pPr>
          </w:p>
        </w:tc>
        <w:tc>
          <w:tcPr>
            <w:tcW w:w="857" w:type="dxa"/>
            <w:vMerge/>
            <w:shd w:val="clear" w:color="auto" w:fill="FFFFFF"/>
            <w:vAlign w:val="center"/>
          </w:tcPr>
          <w:p w:rsidR="00013EC7" w:rsidRDefault="00013EC7">
            <w:pPr>
              <w:jc w:val="left"/>
              <w:rPr>
                <w:rFonts w:ascii="仿宋" w:eastAsia="仿宋" w:hAnsi="仿宋" w:cs="仿宋"/>
                <w:sz w:val="24"/>
              </w:rPr>
            </w:pPr>
          </w:p>
        </w:tc>
        <w:tc>
          <w:tcPr>
            <w:tcW w:w="899" w:type="dxa"/>
            <w:vMerge/>
            <w:shd w:val="clear" w:color="auto" w:fill="FFFFFF"/>
            <w:vAlign w:val="center"/>
          </w:tcPr>
          <w:p w:rsidR="00013EC7" w:rsidRDefault="00013EC7">
            <w:pPr>
              <w:jc w:val="left"/>
              <w:rPr>
                <w:rFonts w:ascii="仿宋" w:eastAsia="仿宋" w:hAnsi="仿宋" w:cs="仿宋"/>
                <w:sz w:val="24"/>
              </w:rPr>
            </w:pPr>
          </w:p>
        </w:tc>
        <w:tc>
          <w:tcPr>
            <w:tcW w:w="1104" w:type="dxa"/>
            <w:vMerge/>
            <w:shd w:val="clear" w:color="auto" w:fill="FFFFFF"/>
            <w:vAlign w:val="center"/>
          </w:tcPr>
          <w:p w:rsidR="00013EC7" w:rsidRDefault="00013EC7">
            <w:pPr>
              <w:jc w:val="left"/>
              <w:rPr>
                <w:rFonts w:ascii="仿宋" w:eastAsia="仿宋" w:hAnsi="仿宋" w:cs="仿宋"/>
                <w:sz w:val="24"/>
              </w:rPr>
            </w:pPr>
          </w:p>
        </w:tc>
        <w:tc>
          <w:tcPr>
            <w:tcW w:w="1476" w:type="dxa"/>
            <w:vMerge/>
            <w:shd w:val="clear" w:color="auto" w:fill="FFFFFF"/>
            <w:vAlign w:val="center"/>
          </w:tcPr>
          <w:p w:rsidR="00013EC7" w:rsidRDefault="00013EC7">
            <w:pPr>
              <w:jc w:val="left"/>
              <w:rPr>
                <w:rFonts w:ascii="仿宋" w:eastAsia="仿宋" w:hAnsi="仿宋" w:cs="仿宋"/>
                <w:sz w:val="24"/>
              </w:rPr>
            </w:pPr>
          </w:p>
        </w:tc>
      </w:tr>
      <w:tr w:rsidR="00013EC7">
        <w:trPr>
          <w:trHeight w:val="340"/>
          <w:jc w:val="center"/>
        </w:trPr>
        <w:tc>
          <w:tcPr>
            <w:tcW w:w="1250" w:type="dxa"/>
            <w:vMerge/>
            <w:shd w:val="clear" w:color="auto" w:fill="FFFFFF"/>
            <w:vAlign w:val="center"/>
          </w:tcPr>
          <w:p w:rsidR="00013EC7" w:rsidRDefault="00013EC7">
            <w:pPr>
              <w:jc w:val="center"/>
              <w:rPr>
                <w:rFonts w:ascii="仿宋" w:eastAsia="仿宋" w:hAnsi="仿宋" w:cs="仿宋"/>
                <w:sz w:val="24"/>
              </w:rPr>
            </w:pPr>
          </w:p>
        </w:tc>
        <w:tc>
          <w:tcPr>
            <w:tcW w:w="1316" w:type="dxa"/>
            <w:vMerge/>
            <w:shd w:val="clear" w:color="auto" w:fill="FFFFFF"/>
            <w:vAlign w:val="center"/>
          </w:tcPr>
          <w:p w:rsidR="00013EC7" w:rsidRDefault="00013EC7">
            <w:pPr>
              <w:jc w:val="center"/>
              <w:rPr>
                <w:rFonts w:ascii="仿宋" w:eastAsia="仿宋" w:hAnsi="仿宋" w:cs="仿宋"/>
                <w:sz w:val="24"/>
              </w:rPr>
            </w:pPr>
          </w:p>
        </w:tc>
        <w:tc>
          <w:tcPr>
            <w:tcW w:w="2114" w:type="dxa"/>
            <w:vMerge/>
            <w:shd w:val="clear" w:color="auto" w:fill="FFFFFF"/>
            <w:vAlign w:val="center"/>
          </w:tcPr>
          <w:p w:rsidR="00013EC7" w:rsidRDefault="00013EC7">
            <w:pPr>
              <w:jc w:val="left"/>
              <w:rPr>
                <w:rFonts w:ascii="仿宋" w:eastAsia="仿宋" w:hAnsi="仿宋" w:cs="仿宋"/>
                <w:sz w:val="24"/>
              </w:rPr>
            </w:pPr>
          </w:p>
        </w:tc>
        <w:tc>
          <w:tcPr>
            <w:tcW w:w="2618" w:type="dxa"/>
            <w:shd w:val="clear" w:color="auto" w:fill="FFFFFF"/>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（三）经办人身份证明</w:t>
            </w:r>
            <w:r>
              <w:rPr>
                <w:rFonts w:ascii="仿宋" w:eastAsia="仿宋" w:hAnsi="仿宋" w:cs="仿宋" w:hint="eastAsia"/>
                <w:color w:val="000000"/>
                <w:kern w:val="0"/>
                <w:sz w:val="24"/>
                <w:shd w:val="clear" w:color="FFFFFF" w:fill="D9D9D9"/>
              </w:rPr>
              <w:t>，如居民身份证、护照或者能证明经办人身份的证件（原件查验）</w:t>
            </w:r>
            <w:r>
              <w:rPr>
                <w:rFonts w:ascii="仿宋" w:eastAsia="仿宋" w:hAnsi="仿宋" w:cs="仿宋" w:hint="eastAsia"/>
                <w:color w:val="000000"/>
                <w:kern w:val="0"/>
                <w:sz w:val="24"/>
              </w:rPr>
              <w:t>；行政执法部门工作人员应提供工作证原件及复印件。</w:t>
            </w:r>
          </w:p>
        </w:tc>
        <w:tc>
          <w:tcPr>
            <w:tcW w:w="1285" w:type="dxa"/>
            <w:vMerge/>
            <w:shd w:val="clear" w:color="auto" w:fill="FFFFFF"/>
            <w:vAlign w:val="center"/>
          </w:tcPr>
          <w:p w:rsidR="00013EC7" w:rsidRDefault="00013EC7">
            <w:pPr>
              <w:jc w:val="left"/>
              <w:rPr>
                <w:rFonts w:ascii="仿宋" w:eastAsia="仿宋" w:hAnsi="仿宋" w:cs="仿宋"/>
                <w:sz w:val="24"/>
              </w:rPr>
            </w:pPr>
          </w:p>
        </w:tc>
        <w:tc>
          <w:tcPr>
            <w:tcW w:w="2403" w:type="dxa"/>
            <w:shd w:val="clear" w:color="auto" w:fill="FFFFFF"/>
            <w:vAlign w:val="center"/>
          </w:tcPr>
          <w:p w:rsidR="00013EC7" w:rsidRDefault="00575CDB">
            <w:pPr>
              <w:widowControl/>
              <w:jc w:val="left"/>
              <w:textAlignment w:val="center"/>
              <w:rPr>
                <w:rFonts w:ascii="仿宋" w:eastAsia="仿宋" w:hAnsi="仿宋" w:cs="仿宋"/>
                <w:sz w:val="24"/>
              </w:rPr>
            </w:pPr>
            <w:r>
              <w:rPr>
                <w:rFonts w:ascii="仿宋" w:eastAsia="仿宋" w:hAnsi="仿宋" w:cs="仿宋"/>
                <w:sz w:val="24"/>
              </w:rPr>
              <w:t>（</w:t>
            </w:r>
            <w:r>
              <w:rPr>
                <w:rFonts w:ascii="仿宋" w:eastAsia="仿宋" w:hAnsi="仿宋" w:cs="仿宋" w:hint="eastAsia"/>
                <w:sz w:val="24"/>
              </w:rPr>
              <w:t>三</w:t>
            </w:r>
            <w:r>
              <w:rPr>
                <w:rFonts w:ascii="仿宋" w:eastAsia="仿宋" w:hAnsi="仿宋" w:cs="仿宋"/>
                <w:sz w:val="24"/>
              </w:rPr>
              <w:t>）经办人身份证明</w:t>
            </w:r>
            <w:r>
              <w:rPr>
                <w:rFonts w:ascii="仿宋" w:eastAsia="仿宋" w:hAnsi="仿宋" w:cs="仿宋" w:hint="eastAsia"/>
                <w:sz w:val="24"/>
              </w:rPr>
              <w:t>（原件查验）；</w:t>
            </w:r>
            <w:r>
              <w:rPr>
                <w:rFonts w:ascii="仿宋" w:eastAsia="仿宋" w:hAnsi="仿宋" w:cs="仿宋"/>
                <w:sz w:val="24"/>
              </w:rPr>
              <w:t>行政执法部门工作人员应提供工作证原件及复印件</w:t>
            </w:r>
            <w:r>
              <w:rPr>
                <w:rFonts w:ascii="仿宋" w:eastAsia="仿宋" w:hAnsi="仿宋" w:cs="仿宋" w:hint="eastAsia"/>
                <w:sz w:val="24"/>
              </w:rPr>
              <w:t>（注明与原件一致，并加盖公章）</w:t>
            </w:r>
            <w:r>
              <w:rPr>
                <w:rFonts w:ascii="仿宋" w:eastAsia="仿宋" w:hAnsi="仿宋" w:cs="仿宋"/>
                <w:sz w:val="24"/>
              </w:rPr>
              <w:t>。</w:t>
            </w:r>
          </w:p>
        </w:tc>
        <w:tc>
          <w:tcPr>
            <w:tcW w:w="1196" w:type="dxa"/>
            <w:vMerge/>
            <w:shd w:val="clear" w:color="auto" w:fill="FFFFFF"/>
            <w:vAlign w:val="center"/>
          </w:tcPr>
          <w:p w:rsidR="00013EC7" w:rsidRDefault="00013EC7">
            <w:pPr>
              <w:jc w:val="left"/>
              <w:rPr>
                <w:rFonts w:ascii="仿宋" w:eastAsia="仿宋" w:hAnsi="仿宋" w:cs="仿宋"/>
                <w:sz w:val="24"/>
              </w:rPr>
            </w:pPr>
          </w:p>
        </w:tc>
        <w:tc>
          <w:tcPr>
            <w:tcW w:w="3318" w:type="dxa"/>
            <w:vMerge/>
            <w:shd w:val="clear" w:color="auto" w:fill="FFFFFF"/>
            <w:vAlign w:val="center"/>
          </w:tcPr>
          <w:p w:rsidR="00013EC7" w:rsidRDefault="00013EC7">
            <w:pPr>
              <w:jc w:val="left"/>
              <w:rPr>
                <w:rFonts w:ascii="仿宋" w:eastAsia="仿宋" w:hAnsi="仿宋" w:cs="仿宋"/>
                <w:sz w:val="24"/>
              </w:rPr>
            </w:pPr>
          </w:p>
        </w:tc>
        <w:tc>
          <w:tcPr>
            <w:tcW w:w="868" w:type="dxa"/>
            <w:vMerge/>
            <w:shd w:val="clear" w:color="auto" w:fill="FFFFFF"/>
            <w:vAlign w:val="center"/>
          </w:tcPr>
          <w:p w:rsidR="00013EC7" w:rsidRDefault="00013EC7">
            <w:pPr>
              <w:jc w:val="left"/>
              <w:rPr>
                <w:rFonts w:ascii="仿宋" w:eastAsia="仿宋" w:hAnsi="仿宋" w:cs="仿宋"/>
                <w:sz w:val="24"/>
              </w:rPr>
            </w:pPr>
          </w:p>
        </w:tc>
        <w:tc>
          <w:tcPr>
            <w:tcW w:w="857" w:type="dxa"/>
            <w:vMerge/>
            <w:shd w:val="clear" w:color="auto" w:fill="FFFFFF"/>
            <w:vAlign w:val="center"/>
          </w:tcPr>
          <w:p w:rsidR="00013EC7" w:rsidRDefault="00013EC7">
            <w:pPr>
              <w:jc w:val="left"/>
              <w:rPr>
                <w:rFonts w:ascii="仿宋" w:eastAsia="仿宋" w:hAnsi="仿宋" w:cs="仿宋"/>
                <w:sz w:val="24"/>
              </w:rPr>
            </w:pPr>
          </w:p>
        </w:tc>
        <w:tc>
          <w:tcPr>
            <w:tcW w:w="899" w:type="dxa"/>
            <w:vMerge/>
            <w:shd w:val="clear" w:color="auto" w:fill="FFFFFF"/>
            <w:vAlign w:val="center"/>
          </w:tcPr>
          <w:p w:rsidR="00013EC7" w:rsidRDefault="00013EC7">
            <w:pPr>
              <w:jc w:val="left"/>
              <w:rPr>
                <w:rFonts w:ascii="仿宋" w:eastAsia="仿宋" w:hAnsi="仿宋" w:cs="仿宋"/>
                <w:sz w:val="24"/>
              </w:rPr>
            </w:pPr>
          </w:p>
        </w:tc>
        <w:tc>
          <w:tcPr>
            <w:tcW w:w="1104" w:type="dxa"/>
            <w:vMerge/>
            <w:shd w:val="clear" w:color="auto" w:fill="FFFFFF"/>
            <w:vAlign w:val="center"/>
          </w:tcPr>
          <w:p w:rsidR="00013EC7" w:rsidRDefault="00013EC7">
            <w:pPr>
              <w:jc w:val="left"/>
              <w:rPr>
                <w:rFonts w:ascii="仿宋" w:eastAsia="仿宋" w:hAnsi="仿宋" w:cs="仿宋"/>
                <w:sz w:val="24"/>
              </w:rPr>
            </w:pPr>
          </w:p>
        </w:tc>
        <w:tc>
          <w:tcPr>
            <w:tcW w:w="1476" w:type="dxa"/>
            <w:vMerge/>
            <w:shd w:val="clear" w:color="auto" w:fill="FFFFFF"/>
            <w:vAlign w:val="center"/>
          </w:tcPr>
          <w:p w:rsidR="00013EC7" w:rsidRDefault="00013EC7">
            <w:pPr>
              <w:jc w:val="left"/>
              <w:rPr>
                <w:rFonts w:ascii="仿宋" w:eastAsia="仿宋" w:hAnsi="仿宋" w:cs="仿宋"/>
                <w:sz w:val="24"/>
              </w:rPr>
            </w:pPr>
          </w:p>
        </w:tc>
      </w:tr>
    </w:tbl>
    <w:p w:rsidR="00013EC7" w:rsidRDefault="00575CDB">
      <w:r>
        <w:lastRenderedPageBreak/>
        <w:br w:type="page"/>
      </w:r>
      <w:r w:rsidR="005262E6">
        <w:object w:dxaOrig="1440" w:dyaOrig="1440">
          <v:shape id="对象 209" o:spid="_x0000_s1289" type="#_x0000_t75" style="position:absolute;left:0;text-align:left;margin-left:558pt;margin-top:99pt;width:374.65pt;height:539.75pt;z-index:251627520;mso-wrap-distance-top:0;mso-wrap-distance-bottom:0;mso-position-vertical-relative:page;mso-width-relative:page;mso-height-relative:page">
            <v:imagedata r:id="rId190" o:title=""/>
            <o:lock v:ext="edit" aspectratio="f"/>
            <w10:wrap type="topAndBottom" anchory="page"/>
          </v:shape>
          <o:OLEObject Type="Embed" ProgID="Visio.Drawing.11" ShapeID="对象 209" DrawAspect="Content" ObjectID="_1577296225" r:id="rId191"/>
        </w:object>
      </w:r>
      <w:r w:rsidR="005262E6">
        <w:object w:dxaOrig="1440" w:dyaOrig="1440">
          <v:shape id="对象 163" o:spid="_x0000_s1261" type="#_x0000_t75" style="position:absolute;left:0;text-align:left;margin-left:71pt;margin-top:94.15pt;width:434.4pt;height:553.25pt;z-index:251601920;mso-wrap-distance-left:9pt;mso-wrap-distance-top:0;mso-wrap-distance-right:9pt;mso-wrap-distance-bottom:0;mso-position-vertical-relative:page;mso-width-relative:page;mso-height-relative:page">
            <v:imagedata r:id="rId192" o:title=""/>
            <o:lock v:ext="edit" aspectratio="f"/>
            <w10:wrap type="square" anchory="page"/>
          </v:shape>
          <o:OLEObject Type="Embed" ProgID="Visio.Drawing.11" ShapeID="对象 163" DrawAspect="Content" ObjectID="_1577296226" r:id="rId193"/>
        </w:object>
      </w:r>
    </w:p>
    <w:p w:rsidR="00013EC7" w:rsidRDefault="00575CDB">
      <w:pPr>
        <w:pStyle w:val="1"/>
      </w:pPr>
      <w:bookmarkStart w:id="289" w:name="_Toc503467420"/>
      <w:bookmarkStart w:id="290" w:name="_Toc22513"/>
      <w:bookmarkStart w:id="291" w:name="_Toc24703"/>
      <w:bookmarkStart w:id="292" w:name="_Toc21012"/>
      <w:bookmarkStart w:id="293" w:name="_Toc498705750"/>
      <w:bookmarkEnd w:id="196"/>
      <w:r>
        <w:rPr>
          <w:rFonts w:hint="eastAsia"/>
        </w:rPr>
        <w:lastRenderedPageBreak/>
        <w:t>十七、日常税费申报</w:t>
      </w:r>
      <w:bookmarkEnd w:id="289"/>
      <w:bookmarkEnd w:id="290"/>
      <w:bookmarkEnd w:id="291"/>
      <w:bookmarkEnd w:id="292"/>
    </w:p>
    <w:p w:rsidR="00013EC7" w:rsidRDefault="00575CDB">
      <w:pPr>
        <w:pStyle w:val="2"/>
      </w:pPr>
      <w:bookmarkStart w:id="294" w:name="_Toc29533"/>
      <w:bookmarkStart w:id="295" w:name="_Toc8825"/>
      <w:bookmarkStart w:id="296" w:name="_Toc20206"/>
      <w:bookmarkStart w:id="297" w:name="_Toc503467421"/>
      <w:r>
        <w:rPr>
          <w:rFonts w:hint="eastAsia"/>
        </w:rPr>
        <w:t>17.1</w:t>
      </w:r>
      <w:r>
        <w:rPr>
          <w:rFonts w:hint="eastAsia"/>
        </w:rPr>
        <w:t>增值税一般纳税人申报</w:t>
      </w:r>
      <w:bookmarkEnd w:id="294"/>
      <w:bookmarkEnd w:id="295"/>
      <w:bookmarkEnd w:id="296"/>
      <w:bookmarkEnd w:id="297"/>
    </w:p>
    <w:p w:rsidR="00013EC7" w:rsidRDefault="00575CDB">
      <w:pPr>
        <w:jc w:val="center"/>
        <w:rPr>
          <w:rFonts w:eastAsia="方正小标宋_GBK"/>
          <w:sz w:val="52"/>
          <w:szCs w:val="52"/>
        </w:rPr>
      </w:pPr>
      <w:r>
        <w:rPr>
          <w:rFonts w:ascii="宋体" w:hAnsi="宋体" w:cs="宋体" w:hint="eastAsia"/>
          <w:b/>
          <w:bCs/>
          <w:sz w:val="52"/>
          <w:szCs w:val="52"/>
        </w:rPr>
        <w:t>全省“最多跑一次”事项“八统一”梳理表</w:t>
      </w:r>
    </w:p>
    <w:tbl>
      <w:tblPr>
        <w:tblW w:w="19845"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2263"/>
        <w:gridCol w:w="3544"/>
        <w:gridCol w:w="1559"/>
        <w:gridCol w:w="2410"/>
        <w:gridCol w:w="1134"/>
        <w:gridCol w:w="2126"/>
        <w:gridCol w:w="766"/>
        <w:gridCol w:w="798"/>
        <w:gridCol w:w="958"/>
        <w:gridCol w:w="1104"/>
        <w:gridCol w:w="1476"/>
      </w:tblGrid>
      <w:tr w:rsidR="00013EC7">
        <w:trPr>
          <w:trHeight w:val="340"/>
          <w:tblHeader/>
          <w:jc w:val="center"/>
        </w:trPr>
        <w:tc>
          <w:tcPr>
            <w:tcW w:w="672"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主项名称</w:t>
            </w:r>
          </w:p>
        </w:tc>
        <w:tc>
          <w:tcPr>
            <w:tcW w:w="1035"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子项名称</w:t>
            </w:r>
          </w:p>
        </w:tc>
        <w:tc>
          <w:tcPr>
            <w:tcW w:w="2263"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经办依据</w:t>
            </w:r>
          </w:p>
        </w:tc>
        <w:tc>
          <w:tcPr>
            <w:tcW w:w="5103"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原经办所需材料</w:t>
            </w:r>
          </w:p>
        </w:tc>
        <w:tc>
          <w:tcPr>
            <w:tcW w:w="5670" w:type="dxa"/>
            <w:gridSpan w:val="3"/>
            <w:vAlign w:val="center"/>
          </w:tcPr>
          <w:p w:rsidR="00013EC7" w:rsidRDefault="00575CDB">
            <w:pPr>
              <w:spacing w:line="280" w:lineRule="exact"/>
              <w:jc w:val="center"/>
              <w:rPr>
                <w:rFonts w:ascii="黑体" w:eastAsia="黑体"/>
                <w:sz w:val="24"/>
              </w:rPr>
            </w:pPr>
            <w:r>
              <w:rPr>
                <w:rFonts w:ascii="黑体" w:eastAsia="黑体" w:hint="eastAsia"/>
                <w:sz w:val="24"/>
              </w:rPr>
              <w:t>精简后经办所需材料</w:t>
            </w:r>
          </w:p>
        </w:tc>
        <w:tc>
          <w:tcPr>
            <w:tcW w:w="1564"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办理时限</w:t>
            </w:r>
          </w:p>
        </w:tc>
        <w:tc>
          <w:tcPr>
            <w:tcW w:w="958"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是否实现跑零次</w:t>
            </w:r>
          </w:p>
        </w:tc>
        <w:tc>
          <w:tcPr>
            <w:tcW w:w="1104"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责任处室</w:t>
            </w:r>
          </w:p>
          <w:p w:rsidR="00013EC7" w:rsidRDefault="00575CDB">
            <w:pPr>
              <w:spacing w:line="280" w:lineRule="exact"/>
              <w:jc w:val="center"/>
              <w:rPr>
                <w:rFonts w:ascii="黑体" w:eastAsia="黑体"/>
                <w:sz w:val="24"/>
              </w:rPr>
            </w:pPr>
            <w:r>
              <w:rPr>
                <w:rFonts w:ascii="黑体" w:eastAsia="黑体" w:hint="eastAsia"/>
                <w:sz w:val="24"/>
              </w:rPr>
              <w:t>（单位）</w:t>
            </w:r>
          </w:p>
        </w:tc>
        <w:tc>
          <w:tcPr>
            <w:tcW w:w="1476"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进一步精简、</w:t>
            </w:r>
          </w:p>
          <w:p w:rsidR="00013EC7" w:rsidRDefault="00575CDB">
            <w:pPr>
              <w:spacing w:line="280" w:lineRule="exact"/>
              <w:jc w:val="center"/>
              <w:rPr>
                <w:rFonts w:ascii="黑体" w:eastAsia="黑体"/>
                <w:sz w:val="24"/>
              </w:rPr>
            </w:pPr>
            <w:r>
              <w:rPr>
                <w:rFonts w:ascii="黑体" w:eastAsia="黑体" w:hint="eastAsia"/>
                <w:sz w:val="24"/>
              </w:rPr>
              <w:t>规范建议</w:t>
            </w:r>
          </w:p>
        </w:tc>
      </w:tr>
      <w:tr w:rsidR="00013EC7">
        <w:trPr>
          <w:trHeight w:val="90"/>
          <w:tblHeader/>
          <w:jc w:val="center"/>
        </w:trPr>
        <w:tc>
          <w:tcPr>
            <w:tcW w:w="672" w:type="dxa"/>
            <w:vMerge/>
            <w:vAlign w:val="center"/>
          </w:tcPr>
          <w:p w:rsidR="00013EC7" w:rsidRDefault="00013EC7">
            <w:pPr>
              <w:jc w:val="center"/>
              <w:rPr>
                <w:sz w:val="24"/>
              </w:rPr>
            </w:pPr>
          </w:p>
        </w:tc>
        <w:tc>
          <w:tcPr>
            <w:tcW w:w="1035" w:type="dxa"/>
            <w:vMerge/>
            <w:vAlign w:val="center"/>
          </w:tcPr>
          <w:p w:rsidR="00013EC7" w:rsidRDefault="00013EC7">
            <w:pPr>
              <w:jc w:val="center"/>
              <w:rPr>
                <w:sz w:val="24"/>
              </w:rPr>
            </w:pPr>
          </w:p>
        </w:tc>
        <w:tc>
          <w:tcPr>
            <w:tcW w:w="2263" w:type="dxa"/>
            <w:vMerge/>
            <w:vAlign w:val="center"/>
          </w:tcPr>
          <w:p w:rsidR="00013EC7" w:rsidRDefault="00013EC7">
            <w:pPr>
              <w:jc w:val="center"/>
              <w:rPr>
                <w:sz w:val="24"/>
              </w:rPr>
            </w:pPr>
          </w:p>
        </w:tc>
        <w:tc>
          <w:tcPr>
            <w:tcW w:w="3544" w:type="dxa"/>
            <w:tcBorders>
              <w:bottom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559"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2410" w:type="dxa"/>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134"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2126" w:type="dxa"/>
            <w:vAlign w:val="center"/>
          </w:tcPr>
          <w:p w:rsidR="00013EC7" w:rsidRDefault="00575CDB">
            <w:pPr>
              <w:spacing w:line="280" w:lineRule="exact"/>
              <w:jc w:val="center"/>
              <w:rPr>
                <w:rFonts w:ascii="黑体" w:eastAsia="黑体"/>
                <w:sz w:val="24"/>
              </w:rPr>
            </w:pPr>
            <w:r>
              <w:rPr>
                <w:rFonts w:ascii="黑体" w:eastAsia="黑体" w:hint="eastAsia"/>
                <w:sz w:val="24"/>
              </w:rPr>
              <w:t>办理方式及材料</w:t>
            </w:r>
          </w:p>
          <w:p w:rsidR="00013EC7" w:rsidRDefault="00575CDB">
            <w:pPr>
              <w:spacing w:line="280" w:lineRule="exact"/>
              <w:jc w:val="center"/>
              <w:rPr>
                <w:rFonts w:ascii="黑体" w:eastAsia="黑体"/>
                <w:sz w:val="24"/>
              </w:rPr>
            </w:pPr>
            <w:r>
              <w:rPr>
                <w:rFonts w:ascii="黑体" w:eastAsia="黑体" w:hint="eastAsia"/>
                <w:sz w:val="24"/>
              </w:rPr>
              <w:t>信息获取方式说明</w:t>
            </w:r>
          </w:p>
        </w:tc>
        <w:tc>
          <w:tcPr>
            <w:tcW w:w="766" w:type="dxa"/>
            <w:vAlign w:val="center"/>
          </w:tcPr>
          <w:p w:rsidR="00013EC7" w:rsidRDefault="00575CDB">
            <w:pPr>
              <w:spacing w:line="280" w:lineRule="exact"/>
              <w:jc w:val="center"/>
              <w:rPr>
                <w:rFonts w:ascii="黑体" w:eastAsia="黑体"/>
                <w:sz w:val="24"/>
              </w:rPr>
            </w:pPr>
            <w:r>
              <w:rPr>
                <w:rFonts w:ascii="黑体" w:eastAsia="黑体" w:hint="eastAsia"/>
                <w:sz w:val="24"/>
              </w:rPr>
              <w:t>优化前</w:t>
            </w:r>
          </w:p>
        </w:tc>
        <w:tc>
          <w:tcPr>
            <w:tcW w:w="798" w:type="dxa"/>
            <w:vAlign w:val="center"/>
          </w:tcPr>
          <w:p w:rsidR="00013EC7" w:rsidRDefault="00575CDB">
            <w:pPr>
              <w:spacing w:line="280" w:lineRule="exact"/>
              <w:jc w:val="center"/>
              <w:rPr>
                <w:rFonts w:ascii="黑体" w:eastAsia="黑体"/>
                <w:sz w:val="24"/>
              </w:rPr>
            </w:pPr>
            <w:r>
              <w:rPr>
                <w:rFonts w:ascii="黑体" w:eastAsia="黑体" w:hint="eastAsia"/>
                <w:sz w:val="24"/>
              </w:rPr>
              <w:t>优化后</w:t>
            </w:r>
          </w:p>
        </w:tc>
        <w:tc>
          <w:tcPr>
            <w:tcW w:w="958" w:type="dxa"/>
            <w:vMerge/>
            <w:vAlign w:val="center"/>
          </w:tcPr>
          <w:p w:rsidR="00013EC7" w:rsidRDefault="00013EC7">
            <w:pPr>
              <w:jc w:val="center"/>
              <w:rPr>
                <w:sz w:val="24"/>
              </w:rPr>
            </w:pPr>
          </w:p>
        </w:tc>
        <w:tc>
          <w:tcPr>
            <w:tcW w:w="1104" w:type="dxa"/>
            <w:vMerge/>
            <w:vAlign w:val="center"/>
          </w:tcPr>
          <w:p w:rsidR="00013EC7" w:rsidRDefault="00013EC7">
            <w:pPr>
              <w:jc w:val="center"/>
              <w:rPr>
                <w:sz w:val="24"/>
              </w:rPr>
            </w:pPr>
          </w:p>
        </w:tc>
        <w:tc>
          <w:tcPr>
            <w:tcW w:w="1476" w:type="dxa"/>
            <w:vMerge/>
            <w:vAlign w:val="center"/>
          </w:tcPr>
          <w:p w:rsidR="00013EC7" w:rsidRDefault="00013EC7">
            <w:pPr>
              <w:jc w:val="center"/>
              <w:rPr>
                <w:sz w:val="24"/>
              </w:rPr>
            </w:pPr>
          </w:p>
        </w:tc>
      </w:tr>
      <w:tr w:rsidR="00013EC7">
        <w:trPr>
          <w:trHeight w:val="1475"/>
          <w:jc w:val="center"/>
        </w:trPr>
        <w:tc>
          <w:tcPr>
            <w:tcW w:w="672" w:type="dxa"/>
            <w:vMerge w:val="restart"/>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17日常税费申报</w:t>
            </w:r>
          </w:p>
        </w:tc>
        <w:tc>
          <w:tcPr>
            <w:tcW w:w="1035" w:type="dxa"/>
            <w:vMerge w:val="restart"/>
            <w:vAlign w:val="center"/>
          </w:tcPr>
          <w:p w:rsidR="00013EC7" w:rsidRDefault="00575CDB">
            <w:pPr>
              <w:spacing w:line="310" w:lineRule="exact"/>
              <w:rPr>
                <w:rFonts w:ascii="仿宋" w:eastAsia="仿宋" w:hAnsi="仿宋" w:cs="仿宋"/>
                <w:sz w:val="24"/>
              </w:rPr>
            </w:pPr>
            <w:r>
              <w:rPr>
                <w:rFonts w:ascii="仿宋" w:eastAsia="仿宋" w:hAnsi="仿宋" w:cs="仿宋" w:hint="eastAsia"/>
                <w:sz w:val="24"/>
              </w:rPr>
              <w:t>17.1增值税一般纳税人申报</w:t>
            </w:r>
          </w:p>
        </w:tc>
        <w:tc>
          <w:tcPr>
            <w:tcW w:w="2263" w:type="dxa"/>
            <w:vMerge w:val="restart"/>
            <w:vAlign w:val="center"/>
          </w:tcPr>
          <w:p w:rsidR="00013EC7" w:rsidRDefault="00575CDB">
            <w:pPr>
              <w:rPr>
                <w:rFonts w:ascii="仿宋" w:eastAsia="仿宋" w:hAnsi="仿宋" w:cs="仿宋"/>
                <w:sz w:val="24"/>
              </w:rPr>
            </w:pPr>
            <w:r>
              <w:rPr>
                <w:rFonts w:ascii="仿宋" w:eastAsia="仿宋" w:hAnsi="仿宋" w:cs="仿宋" w:hint="eastAsia"/>
                <w:sz w:val="24"/>
              </w:rPr>
              <w:t>（一）《国家税务总局关于重新修订&lt;增值税一般纳税人纳税申报办法&gt;的通知》（国税发〔2003〕53号）全文</w:t>
            </w:r>
            <w:r>
              <w:rPr>
                <w:rFonts w:ascii="仿宋" w:eastAsia="仿宋" w:hAnsi="仿宋" w:cs="仿宋" w:hint="eastAsia"/>
                <w:sz w:val="24"/>
              </w:rPr>
              <w:br/>
              <w:t>（二）《国家税务总局关于调整增值税纳税申报有关事项的通知》（国税函〔2008〕1075号）第一条。</w:t>
            </w:r>
            <w:r>
              <w:rPr>
                <w:rFonts w:ascii="仿宋" w:eastAsia="仿宋" w:hAnsi="仿宋" w:cs="仿宋" w:hint="eastAsia"/>
                <w:sz w:val="24"/>
              </w:rPr>
              <w:br/>
              <w:t>（三）《国家税务总局关于印发&lt;增值税一般纳税人纳税申报“一窗式”管理操作规程&gt;的通知》（国税发〔2005〕61号）全文。</w:t>
            </w:r>
            <w:r>
              <w:rPr>
                <w:rFonts w:ascii="仿宋" w:eastAsia="仿宋" w:hAnsi="仿宋" w:cs="仿宋" w:hint="eastAsia"/>
                <w:sz w:val="24"/>
              </w:rPr>
              <w:br/>
              <w:t>（四）《国家税务总局关于调整增值税一般纳税人纳税申报“一窗式”管理操作规程有关事项的通知》国税函（〔2008〕1074号）全文。</w:t>
            </w:r>
            <w:r>
              <w:rPr>
                <w:rFonts w:ascii="仿宋" w:eastAsia="仿宋" w:hAnsi="仿宋" w:cs="仿宋" w:hint="eastAsia"/>
                <w:sz w:val="24"/>
              </w:rPr>
              <w:br/>
              <w:t>（五）《国家税务总局关于简并增值税</w:t>
            </w:r>
            <w:r>
              <w:rPr>
                <w:rFonts w:ascii="仿宋" w:eastAsia="仿宋" w:hAnsi="仿宋" w:cs="仿宋" w:hint="eastAsia"/>
                <w:sz w:val="24"/>
              </w:rPr>
              <w:lastRenderedPageBreak/>
              <w:t>征收率有关问题的公告》（国家税务总局公告2014年第36号）全文。</w:t>
            </w:r>
            <w:r>
              <w:rPr>
                <w:rFonts w:ascii="仿宋" w:eastAsia="仿宋" w:hAnsi="仿宋" w:cs="仿宋" w:hint="eastAsia"/>
                <w:sz w:val="24"/>
              </w:rPr>
              <w:br/>
              <w:t>（六）《国家税务总局关于简并增值税征收率有关问题的公告》（国家税务总局公告2014年第69号）全文。</w:t>
            </w:r>
            <w:r>
              <w:rPr>
                <w:rFonts w:ascii="仿宋" w:eastAsia="仿宋" w:hAnsi="仿宋" w:cs="仿宋" w:hint="eastAsia"/>
                <w:sz w:val="24"/>
              </w:rPr>
              <w:br/>
              <w:t>（七）《国家税务总局关于发布&lt;营业税改征增值税跨境应税行为增值税免税管理办法（试行）&gt;的公告》（国家税务总局公告2016年第29号）全文。</w:t>
            </w:r>
            <w:r>
              <w:rPr>
                <w:rFonts w:ascii="仿宋" w:eastAsia="仿宋" w:hAnsi="仿宋" w:cs="仿宋" w:hint="eastAsia"/>
                <w:sz w:val="24"/>
              </w:rPr>
              <w:br/>
              <w:t>（八）《国家税务总局关于全面推开营业税改征增值税试点后增值税纳税申报有关事项的公告》（国家税务总局公告2016年第13号）全文。</w:t>
            </w:r>
            <w:r>
              <w:rPr>
                <w:rFonts w:ascii="仿宋" w:eastAsia="仿宋" w:hAnsi="仿宋" w:cs="仿宋" w:hint="eastAsia"/>
                <w:sz w:val="24"/>
              </w:rPr>
              <w:br/>
              <w:t>（九）《国家税务总局关于调整增值税纳税申报有关事项的公告》（国家税务总局公告2016年第27号）第一条、第三条、第四条。</w:t>
            </w:r>
            <w:r>
              <w:rPr>
                <w:rFonts w:ascii="仿宋" w:eastAsia="仿宋" w:hAnsi="仿宋" w:cs="仿宋" w:hint="eastAsia"/>
                <w:sz w:val="24"/>
              </w:rPr>
              <w:br/>
              <w:t>（十）《国家税务总局关于营业税改征增值税部分试点纳税人增值税纳税申</w:t>
            </w:r>
            <w:r>
              <w:rPr>
                <w:rFonts w:ascii="仿宋" w:eastAsia="仿宋" w:hAnsi="仿宋" w:cs="仿宋" w:hint="eastAsia"/>
                <w:sz w:val="24"/>
              </w:rPr>
              <w:lastRenderedPageBreak/>
              <w:t>报有关事项调整的公告》（国家税务总局公告2016年第30号）全文。</w:t>
            </w:r>
            <w:r>
              <w:rPr>
                <w:rFonts w:ascii="仿宋" w:eastAsia="仿宋" w:hAnsi="仿宋" w:cs="仿宋" w:hint="eastAsia"/>
                <w:sz w:val="24"/>
              </w:rPr>
              <w:br/>
              <w:t>（十一）《国家税务总局关于加快推行办税事项同城通办的通知》（税总发〔2016〕46号）第三条第四款。</w:t>
            </w:r>
            <w:r>
              <w:rPr>
                <w:rFonts w:ascii="仿宋" w:eastAsia="仿宋" w:hAnsi="仿宋" w:cs="仿宋" w:hint="eastAsia"/>
                <w:sz w:val="24"/>
              </w:rPr>
              <w:br/>
              <w:t>（十二）《国家税务总局关于发布〈航空运输企业增值税征收管理暂行办法〉的公告》（国家税务总局公告2013年第68号）全文。</w:t>
            </w:r>
            <w:r>
              <w:rPr>
                <w:rFonts w:ascii="仿宋" w:eastAsia="仿宋" w:hAnsi="仿宋" w:cs="仿宋" w:hint="eastAsia"/>
                <w:sz w:val="24"/>
              </w:rPr>
              <w:br/>
              <w:t>（十三）《国家税务总局关于发布〈邮政企业增值税征收管理暂行办法〉的公告》（国家税务总局公告2014年第5号）全文。</w:t>
            </w:r>
            <w:r>
              <w:rPr>
                <w:rFonts w:ascii="仿宋" w:eastAsia="仿宋" w:hAnsi="仿宋" w:cs="仿宋" w:hint="eastAsia"/>
                <w:sz w:val="24"/>
              </w:rPr>
              <w:br/>
              <w:t>（十四）《国家税务总局关于发布〈铁路运输企业增值税征收管理暂行办法〉的公告》（国家税务总局公告2014年第6号）全文。</w:t>
            </w:r>
            <w:r>
              <w:rPr>
                <w:rFonts w:ascii="仿宋" w:eastAsia="仿宋" w:hAnsi="仿宋" w:cs="仿宋" w:hint="eastAsia"/>
                <w:sz w:val="24"/>
              </w:rPr>
              <w:br/>
              <w:t>（十五）《国家税务总局关于发布〈电信企业增值税征收管理暂行办法〉的公告》（国家税务总局公告2014年第26</w:t>
            </w:r>
            <w:r>
              <w:rPr>
                <w:rFonts w:ascii="仿宋" w:eastAsia="仿宋" w:hAnsi="仿宋" w:cs="仿宋" w:hint="eastAsia"/>
                <w:sz w:val="24"/>
              </w:rPr>
              <w:lastRenderedPageBreak/>
              <w:t>号）全文。</w:t>
            </w:r>
            <w:r>
              <w:rPr>
                <w:rFonts w:ascii="仿宋" w:eastAsia="仿宋" w:hAnsi="仿宋" w:cs="仿宋" w:hint="eastAsia"/>
                <w:sz w:val="24"/>
              </w:rPr>
              <w:br/>
              <w:t>（十六）《国家税务总局关于调整增值税纳税申报有关事项的公告》（国家税务总局公告2017年第19号）全文。</w:t>
            </w:r>
          </w:p>
          <w:p w:rsidR="00013EC7" w:rsidRDefault="00575CDB">
            <w:pPr>
              <w:spacing w:line="310" w:lineRule="exact"/>
              <w:rPr>
                <w:rFonts w:ascii="仿宋" w:eastAsia="仿宋" w:hAnsi="仿宋" w:cs="仿宋"/>
                <w:sz w:val="24"/>
              </w:rPr>
            </w:pPr>
            <w:r>
              <w:rPr>
                <w:rFonts w:ascii="仿宋" w:eastAsia="仿宋" w:hAnsi="仿宋" w:cs="仿宋" w:hint="eastAsia"/>
                <w:sz w:val="24"/>
              </w:rPr>
              <w:t>（十七）《国家税务总局关于调整增值税纳税申报有关事项的公告》（国家税务总局公告2017年第53号）全文。</w:t>
            </w:r>
          </w:p>
          <w:p w:rsidR="00013EC7" w:rsidRDefault="00013EC7">
            <w:pPr>
              <w:spacing w:line="310" w:lineRule="exact"/>
              <w:rPr>
                <w:rFonts w:ascii="仿宋" w:eastAsia="仿宋" w:hAnsi="仿宋" w:cs="仿宋"/>
                <w:sz w:val="24"/>
              </w:rPr>
            </w:pPr>
          </w:p>
        </w:tc>
        <w:tc>
          <w:tcPr>
            <w:tcW w:w="3544" w:type="dxa"/>
            <w:tcBorders>
              <w:top w:val="single" w:sz="4" w:space="0" w:color="auto"/>
              <w:bottom w:val="single" w:sz="4" w:space="0" w:color="auto"/>
            </w:tcBorders>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lastRenderedPageBreak/>
              <w:t>（一）</w:t>
            </w:r>
            <w:r>
              <w:rPr>
                <w:rFonts w:ascii="仿宋" w:eastAsia="仿宋" w:hAnsi="仿宋" w:cs="仿宋" w:hint="eastAsia"/>
                <w:kern w:val="1"/>
                <w:sz w:val="24"/>
              </w:rPr>
              <w:t>（A06493）《增值税纳税申报表（一般纳税人适用）》及附列资料各</w:t>
            </w:r>
            <w:r>
              <w:rPr>
                <w:rFonts w:ascii="仿宋" w:eastAsia="仿宋" w:hAnsi="仿宋" w:cs="仿宋" w:hint="eastAsia"/>
                <w:kern w:val="1"/>
                <w:sz w:val="24"/>
                <w:highlight w:val="lightGray"/>
              </w:rPr>
              <w:t>2份</w:t>
            </w:r>
            <w:r>
              <w:rPr>
                <w:rFonts w:ascii="仿宋" w:eastAsia="仿宋" w:hAnsi="仿宋" w:cs="仿宋" w:hint="eastAsia"/>
                <w:sz w:val="24"/>
              </w:rPr>
              <w:t>。</w:t>
            </w:r>
          </w:p>
        </w:tc>
        <w:tc>
          <w:tcPr>
            <w:tcW w:w="1559"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纳税人提交</w:t>
            </w:r>
          </w:p>
        </w:tc>
        <w:tc>
          <w:tcPr>
            <w:tcW w:w="2410"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（一）</w:t>
            </w:r>
            <w:r>
              <w:rPr>
                <w:rFonts w:ascii="仿宋" w:eastAsia="仿宋" w:hAnsi="仿宋" w:cs="仿宋" w:hint="eastAsia"/>
                <w:kern w:val="1"/>
                <w:sz w:val="24"/>
              </w:rPr>
              <w:t>（A06493）《增值税纳税申报表（一般纳税人适用）》及附列资料各1份。</w:t>
            </w:r>
          </w:p>
        </w:tc>
        <w:tc>
          <w:tcPr>
            <w:tcW w:w="1134" w:type="dxa"/>
            <w:vAlign w:val="center"/>
          </w:tcPr>
          <w:p w:rsidR="00013EC7" w:rsidRDefault="00575CDB">
            <w:pPr>
              <w:spacing w:line="300" w:lineRule="exact"/>
              <w:rPr>
                <w:rFonts w:ascii="仿宋" w:eastAsia="仿宋" w:hAnsi="仿宋" w:cs="仿宋"/>
                <w:i/>
                <w:iCs/>
                <w:sz w:val="24"/>
              </w:rPr>
            </w:pPr>
            <w:r>
              <w:rPr>
                <w:rFonts w:ascii="仿宋" w:eastAsia="仿宋" w:hAnsi="仿宋" w:cs="仿宋" w:hint="eastAsia"/>
                <w:sz w:val="24"/>
              </w:rPr>
              <w:t>纳税人提交</w:t>
            </w:r>
          </w:p>
        </w:tc>
        <w:tc>
          <w:tcPr>
            <w:tcW w:w="2126" w:type="dxa"/>
            <w:vMerge w:val="restart"/>
            <w:vAlign w:val="center"/>
          </w:tcPr>
          <w:p w:rsidR="00013EC7" w:rsidRDefault="00575CDB">
            <w:pPr>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bCs/>
                <w:sz w:val="24"/>
              </w:rPr>
              <w:t>纳税人</w:t>
            </w:r>
            <w:r>
              <w:rPr>
                <w:rFonts w:ascii="仿宋" w:eastAsia="仿宋" w:hAnsi="仿宋" w:cs="仿宋" w:hint="eastAsia"/>
                <w:sz w:val="24"/>
              </w:rPr>
              <w:t>提交书面材料，符合受理条件的当场受理办结。</w:t>
            </w:r>
          </w:p>
          <w:p w:rsidR="00013EC7" w:rsidRDefault="00575CDB">
            <w:pPr>
              <w:spacing w:line="300" w:lineRule="exact"/>
              <w:rPr>
                <w:rFonts w:ascii="仿宋" w:eastAsia="仿宋" w:hAnsi="仿宋" w:cs="仿宋"/>
                <w:sz w:val="24"/>
              </w:rPr>
            </w:pPr>
            <w:r>
              <w:rPr>
                <w:rFonts w:ascii="仿宋" w:eastAsia="仿宋" w:hAnsi="仿宋" w:cs="仿宋" w:hint="eastAsia"/>
                <w:b/>
                <w:bCs/>
                <w:sz w:val="24"/>
              </w:rPr>
              <w:t>网上办理：</w:t>
            </w:r>
            <w:r>
              <w:rPr>
                <w:rFonts w:ascii="仿宋" w:eastAsia="仿宋" w:hAnsi="仿宋" w:cs="仿宋" w:hint="eastAsia"/>
                <w:sz w:val="24"/>
              </w:rPr>
              <w:t>登录浙江国税电子税务局（网址：</w:t>
            </w:r>
            <w:hyperlink r:id="rId194" w:tgtFrame="https://wx.qq.com/_blank" w:history="1">
              <w:r>
                <w:rPr>
                  <w:rFonts w:ascii="仿宋" w:eastAsia="仿宋" w:hAnsi="仿宋" w:cs="仿宋" w:hint="eastAsia"/>
                  <w:sz w:val="24"/>
                </w:rPr>
                <w:t>http://etax.zjtax.gov.cn/</w:t>
              </w:r>
            </w:hyperlink>
          </w:p>
          <w:p w:rsidR="00013EC7" w:rsidRDefault="00575CDB">
            <w:pPr>
              <w:spacing w:line="300" w:lineRule="exact"/>
              <w:rPr>
                <w:rFonts w:ascii="仿宋" w:eastAsia="仿宋" w:hAnsi="仿宋" w:cs="仿宋"/>
                <w:sz w:val="24"/>
              </w:rPr>
            </w:pPr>
            <w:r>
              <w:rPr>
                <w:rFonts w:ascii="仿宋" w:eastAsia="仿宋" w:hAnsi="仿宋" w:cs="仿宋" w:hint="eastAsia"/>
                <w:sz w:val="24"/>
              </w:rPr>
              <w:t>）提交申请。</w:t>
            </w:r>
          </w:p>
        </w:tc>
        <w:tc>
          <w:tcPr>
            <w:tcW w:w="766" w:type="dxa"/>
            <w:vMerge w:val="restart"/>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即时办结</w:t>
            </w:r>
          </w:p>
        </w:tc>
        <w:tc>
          <w:tcPr>
            <w:tcW w:w="798" w:type="dxa"/>
            <w:vMerge w:val="restart"/>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即时办结</w:t>
            </w:r>
          </w:p>
        </w:tc>
        <w:tc>
          <w:tcPr>
            <w:tcW w:w="958" w:type="dxa"/>
            <w:vMerge w:val="restart"/>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是</w:t>
            </w:r>
          </w:p>
        </w:tc>
        <w:tc>
          <w:tcPr>
            <w:tcW w:w="1104" w:type="dxa"/>
            <w:vMerge w:val="restart"/>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货物和劳务税处</w:t>
            </w:r>
          </w:p>
        </w:tc>
        <w:tc>
          <w:tcPr>
            <w:tcW w:w="1476" w:type="dxa"/>
            <w:vMerge w:val="restart"/>
            <w:vAlign w:val="center"/>
          </w:tcPr>
          <w:p w:rsidR="00013EC7" w:rsidRDefault="00013EC7">
            <w:pPr>
              <w:spacing w:line="300" w:lineRule="exact"/>
              <w:rPr>
                <w:rFonts w:ascii="仿宋" w:eastAsia="仿宋" w:hAnsi="仿宋" w:cs="仿宋"/>
                <w:sz w:val="24"/>
              </w:rPr>
            </w:pPr>
          </w:p>
        </w:tc>
      </w:tr>
      <w:tr w:rsidR="00013EC7">
        <w:trPr>
          <w:trHeight w:val="1699"/>
          <w:jc w:val="center"/>
        </w:trPr>
        <w:tc>
          <w:tcPr>
            <w:tcW w:w="672" w:type="dxa"/>
            <w:vMerge/>
            <w:textDirection w:val="tbRlV"/>
            <w:vAlign w:val="center"/>
          </w:tcPr>
          <w:p w:rsidR="00013EC7" w:rsidRDefault="00013EC7">
            <w:pPr>
              <w:rPr>
                <w:rFonts w:ascii="仿宋" w:eastAsia="仿宋" w:hAnsi="仿宋" w:cs="仿宋"/>
                <w:sz w:val="24"/>
              </w:rPr>
            </w:pPr>
          </w:p>
        </w:tc>
        <w:tc>
          <w:tcPr>
            <w:tcW w:w="1035" w:type="dxa"/>
            <w:vMerge/>
            <w:vAlign w:val="center"/>
          </w:tcPr>
          <w:p w:rsidR="00013EC7" w:rsidRDefault="00013EC7">
            <w:pPr>
              <w:rPr>
                <w:rFonts w:ascii="仿宋" w:eastAsia="仿宋" w:hAnsi="仿宋" w:cs="仿宋"/>
                <w:sz w:val="24"/>
              </w:rPr>
            </w:pPr>
          </w:p>
        </w:tc>
        <w:tc>
          <w:tcPr>
            <w:tcW w:w="2263" w:type="dxa"/>
            <w:vMerge/>
            <w:vAlign w:val="center"/>
          </w:tcPr>
          <w:p w:rsidR="00013EC7" w:rsidRDefault="00013EC7">
            <w:pPr>
              <w:rPr>
                <w:rFonts w:ascii="仿宋" w:eastAsia="仿宋" w:hAnsi="仿宋" w:cs="仿宋"/>
                <w:sz w:val="24"/>
              </w:rPr>
            </w:pPr>
          </w:p>
        </w:tc>
        <w:tc>
          <w:tcPr>
            <w:tcW w:w="3544" w:type="dxa"/>
            <w:tcBorders>
              <w:top w:val="single" w:sz="4" w:space="0" w:color="auto"/>
            </w:tcBorders>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（二）</w:t>
            </w:r>
            <w:r>
              <w:rPr>
                <w:rFonts w:ascii="仿宋" w:eastAsia="仿宋" w:hAnsi="仿宋" w:cs="仿宋" w:hint="eastAsia"/>
                <w:kern w:val="1"/>
                <w:sz w:val="24"/>
              </w:rPr>
              <w:t>（A06329）《农产品核定扣除增值税进项税额计算表（汇总表）》1份</w:t>
            </w:r>
            <w:r>
              <w:rPr>
                <w:rFonts w:ascii="仿宋" w:eastAsia="仿宋" w:hAnsi="仿宋" w:cs="仿宋" w:hint="eastAsia"/>
                <w:sz w:val="24"/>
              </w:rPr>
              <w:t>。</w:t>
            </w:r>
          </w:p>
        </w:tc>
        <w:tc>
          <w:tcPr>
            <w:tcW w:w="1559" w:type="dxa"/>
            <w:vMerge w:val="restart"/>
            <w:vAlign w:val="center"/>
          </w:tcPr>
          <w:p w:rsidR="00013EC7" w:rsidRDefault="00575CDB">
            <w:pPr>
              <w:rPr>
                <w:rFonts w:ascii="仿宋" w:eastAsia="仿宋" w:hAnsi="仿宋" w:cs="仿宋"/>
                <w:sz w:val="24"/>
              </w:rPr>
            </w:pPr>
            <w:r>
              <w:rPr>
                <w:rFonts w:ascii="仿宋" w:eastAsia="仿宋" w:hAnsi="仿宋" w:cs="仿宋" w:hint="eastAsia"/>
                <w:sz w:val="24"/>
              </w:rPr>
              <w:t>部分行业试行农产品增值税进项税额核定扣除办法的一般纳税人提交</w:t>
            </w:r>
          </w:p>
        </w:tc>
        <w:tc>
          <w:tcPr>
            <w:tcW w:w="2410"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（二）</w:t>
            </w:r>
            <w:r>
              <w:rPr>
                <w:rFonts w:ascii="仿宋" w:eastAsia="仿宋" w:hAnsi="仿宋" w:cs="仿宋" w:hint="eastAsia"/>
                <w:kern w:val="1"/>
                <w:sz w:val="24"/>
              </w:rPr>
              <w:t>（A06329）《农产品核定扣除增值税进项税额计算表（汇总表）》1份</w:t>
            </w:r>
            <w:r>
              <w:rPr>
                <w:rFonts w:ascii="仿宋" w:eastAsia="仿宋" w:hAnsi="仿宋" w:cs="仿宋" w:hint="eastAsia"/>
                <w:sz w:val="24"/>
              </w:rPr>
              <w:t>。</w:t>
            </w:r>
          </w:p>
        </w:tc>
        <w:tc>
          <w:tcPr>
            <w:tcW w:w="1134" w:type="dxa"/>
            <w:vMerge w:val="restart"/>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部分行业试行农产品增值税进项税额核定扣除办法的一般纳税人提交</w:t>
            </w:r>
          </w:p>
        </w:tc>
        <w:tc>
          <w:tcPr>
            <w:tcW w:w="2126" w:type="dxa"/>
            <w:vMerge/>
            <w:vAlign w:val="center"/>
          </w:tcPr>
          <w:p w:rsidR="00013EC7" w:rsidRDefault="00013EC7">
            <w:pPr>
              <w:spacing w:line="300" w:lineRule="exact"/>
              <w:rPr>
                <w:rFonts w:ascii="仿宋" w:eastAsia="仿宋" w:hAnsi="仿宋" w:cs="仿宋"/>
                <w:sz w:val="24"/>
              </w:rPr>
            </w:pPr>
          </w:p>
        </w:tc>
        <w:tc>
          <w:tcPr>
            <w:tcW w:w="766" w:type="dxa"/>
            <w:vMerge/>
            <w:vAlign w:val="center"/>
          </w:tcPr>
          <w:p w:rsidR="00013EC7" w:rsidRDefault="00013EC7">
            <w:pPr>
              <w:rPr>
                <w:rFonts w:ascii="仿宋" w:eastAsia="仿宋" w:hAnsi="仿宋" w:cs="仿宋"/>
                <w:sz w:val="24"/>
              </w:rPr>
            </w:pPr>
          </w:p>
        </w:tc>
        <w:tc>
          <w:tcPr>
            <w:tcW w:w="798" w:type="dxa"/>
            <w:vMerge/>
            <w:vAlign w:val="center"/>
          </w:tcPr>
          <w:p w:rsidR="00013EC7" w:rsidRDefault="00013EC7">
            <w:pPr>
              <w:rPr>
                <w:rFonts w:ascii="仿宋" w:eastAsia="仿宋" w:hAnsi="仿宋" w:cs="仿宋"/>
                <w:sz w:val="24"/>
              </w:rPr>
            </w:pP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340"/>
          <w:jc w:val="center"/>
        </w:trPr>
        <w:tc>
          <w:tcPr>
            <w:tcW w:w="672" w:type="dxa"/>
            <w:vMerge/>
            <w:textDirection w:val="tbRlV"/>
            <w:vAlign w:val="center"/>
          </w:tcPr>
          <w:p w:rsidR="00013EC7" w:rsidRDefault="00013EC7">
            <w:pPr>
              <w:rPr>
                <w:rFonts w:ascii="仿宋" w:eastAsia="仿宋" w:hAnsi="仿宋" w:cs="仿宋"/>
                <w:sz w:val="24"/>
              </w:rPr>
            </w:pPr>
          </w:p>
        </w:tc>
        <w:tc>
          <w:tcPr>
            <w:tcW w:w="1035" w:type="dxa"/>
            <w:vMerge/>
            <w:vAlign w:val="center"/>
          </w:tcPr>
          <w:p w:rsidR="00013EC7" w:rsidRDefault="00013EC7">
            <w:pPr>
              <w:rPr>
                <w:rFonts w:ascii="仿宋" w:eastAsia="仿宋" w:hAnsi="仿宋" w:cs="仿宋"/>
                <w:sz w:val="24"/>
              </w:rPr>
            </w:pPr>
          </w:p>
        </w:tc>
        <w:tc>
          <w:tcPr>
            <w:tcW w:w="2263" w:type="dxa"/>
            <w:vMerge/>
            <w:vAlign w:val="center"/>
          </w:tcPr>
          <w:p w:rsidR="00013EC7" w:rsidRDefault="00013EC7">
            <w:pPr>
              <w:rPr>
                <w:rFonts w:ascii="仿宋" w:eastAsia="仿宋" w:hAnsi="仿宋" w:cs="仿宋"/>
                <w:sz w:val="24"/>
              </w:rPr>
            </w:pPr>
          </w:p>
        </w:tc>
        <w:tc>
          <w:tcPr>
            <w:tcW w:w="3544"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（三）</w:t>
            </w:r>
            <w:r>
              <w:rPr>
                <w:rFonts w:ascii="仿宋" w:eastAsia="仿宋" w:hAnsi="仿宋" w:cs="仿宋" w:hint="eastAsia"/>
                <w:kern w:val="1"/>
                <w:sz w:val="24"/>
              </w:rPr>
              <w:t xml:space="preserve">（A06330）《投入产出法核定农产品增值税进项税额计算表》1份 </w:t>
            </w:r>
            <w:r>
              <w:rPr>
                <w:rFonts w:ascii="仿宋" w:eastAsia="仿宋" w:hAnsi="仿宋" w:cs="仿宋" w:hint="eastAsia"/>
                <w:sz w:val="24"/>
              </w:rPr>
              <w:t>。</w:t>
            </w:r>
          </w:p>
        </w:tc>
        <w:tc>
          <w:tcPr>
            <w:tcW w:w="1559" w:type="dxa"/>
            <w:vMerge/>
            <w:vAlign w:val="center"/>
          </w:tcPr>
          <w:p w:rsidR="00013EC7" w:rsidRDefault="00013EC7">
            <w:pPr>
              <w:rPr>
                <w:rFonts w:ascii="仿宋" w:eastAsia="仿宋" w:hAnsi="仿宋" w:cs="仿宋"/>
                <w:sz w:val="24"/>
              </w:rPr>
            </w:pPr>
          </w:p>
        </w:tc>
        <w:tc>
          <w:tcPr>
            <w:tcW w:w="2410"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（三）</w:t>
            </w:r>
            <w:r>
              <w:rPr>
                <w:rFonts w:ascii="仿宋" w:eastAsia="仿宋" w:hAnsi="仿宋" w:cs="仿宋" w:hint="eastAsia"/>
                <w:kern w:val="1"/>
                <w:sz w:val="24"/>
              </w:rPr>
              <w:t xml:space="preserve">（A06330）《投入产出法核定农产品增值税进项税额计算表》1份 </w:t>
            </w:r>
            <w:r>
              <w:rPr>
                <w:rFonts w:ascii="仿宋" w:eastAsia="仿宋" w:hAnsi="仿宋" w:cs="仿宋" w:hint="eastAsia"/>
                <w:sz w:val="24"/>
              </w:rPr>
              <w:t>。</w:t>
            </w:r>
          </w:p>
        </w:tc>
        <w:tc>
          <w:tcPr>
            <w:tcW w:w="1134" w:type="dxa"/>
            <w:vMerge/>
            <w:vAlign w:val="center"/>
          </w:tcPr>
          <w:p w:rsidR="00013EC7" w:rsidRDefault="00013EC7">
            <w:pPr>
              <w:rPr>
                <w:rFonts w:ascii="仿宋" w:eastAsia="仿宋" w:hAnsi="仿宋" w:cs="仿宋"/>
                <w:sz w:val="24"/>
              </w:rPr>
            </w:pPr>
          </w:p>
        </w:tc>
        <w:tc>
          <w:tcPr>
            <w:tcW w:w="2126" w:type="dxa"/>
            <w:vMerge/>
            <w:vAlign w:val="center"/>
          </w:tcPr>
          <w:p w:rsidR="00013EC7" w:rsidRDefault="00013EC7">
            <w:pPr>
              <w:spacing w:line="300" w:lineRule="exact"/>
              <w:rPr>
                <w:rFonts w:ascii="仿宋" w:eastAsia="仿宋" w:hAnsi="仿宋" w:cs="仿宋"/>
                <w:sz w:val="24"/>
              </w:rPr>
            </w:pPr>
          </w:p>
        </w:tc>
        <w:tc>
          <w:tcPr>
            <w:tcW w:w="766" w:type="dxa"/>
            <w:vMerge/>
            <w:vAlign w:val="center"/>
          </w:tcPr>
          <w:p w:rsidR="00013EC7" w:rsidRDefault="00013EC7">
            <w:pPr>
              <w:rPr>
                <w:rFonts w:ascii="仿宋" w:eastAsia="仿宋" w:hAnsi="仿宋" w:cs="仿宋"/>
                <w:sz w:val="24"/>
              </w:rPr>
            </w:pPr>
          </w:p>
        </w:tc>
        <w:tc>
          <w:tcPr>
            <w:tcW w:w="798" w:type="dxa"/>
            <w:vMerge/>
            <w:vAlign w:val="center"/>
          </w:tcPr>
          <w:p w:rsidR="00013EC7" w:rsidRDefault="00013EC7">
            <w:pPr>
              <w:rPr>
                <w:rFonts w:ascii="仿宋" w:eastAsia="仿宋" w:hAnsi="仿宋" w:cs="仿宋"/>
                <w:sz w:val="24"/>
              </w:rPr>
            </w:pP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340"/>
          <w:jc w:val="center"/>
        </w:trPr>
        <w:tc>
          <w:tcPr>
            <w:tcW w:w="672" w:type="dxa"/>
            <w:vMerge/>
            <w:vAlign w:val="center"/>
          </w:tcPr>
          <w:p w:rsidR="00013EC7" w:rsidRDefault="00013EC7">
            <w:pPr>
              <w:rPr>
                <w:rFonts w:ascii="仿宋" w:eastAsia="仿宋" w:hAnsi="仿宋" w:cs="仿宋"/>
                <w:sz w:val="24"/>
              </w:rPr>
            </w:pPr>
          </w:p>
        </w:tc>
        <w:tc>
          <w:tcPr>
            <w:tcW w:w="1035" w:type="dxa"/>
            <w:vMerge/>
            <w:vAlign w:val="center"/>
          </w:tcPr>
          <w:p w:rsidR="00013EC7" w:rsidRDefault="00013EC7">
            <w:pPr>
              <w:rPr>
                <w:rFonts w:ascii="仿宋" w:eastAsia="仿宋" w:hAnsi="仿宋" w:cs="仿宋"/>
                <w:sz w:val="24"/>
              </w:rPr>
            </w:pPr>
          </w:p>
        </w:tc>
        <w:tc>
          <w:tcPr>
            <w:tcW w:w="2263" w:type="dxa"/>
            <w:vMerge/>
            <w:vAlign w:val="center"/>
          </w:tcPr>
          <w:p w:rsidR="00013EC7" w:rsidRDefault="00013EC7">
            <w:pPr>
              <w:rPr>
                <w:rFonts w:ascii="仿宋" w:eastAsia="仿宋" w:hAnsi="仿宋" w:cs="仿宋"/>
                <w:sz w:val="24"/>
              </w:rPr>
            </w:pPr>
          </w:p>
        </w:tc>
        <w:tc>
          <w:tcPr>
            <w:tcW w:w="3544"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（四）</w:t>
            </w:r>
            <w:r>
              <w:rPr>
                <w:rFonts w:ascii="仿宋" w:eastAsia="仿宋" w:hAnsi="仿宋" w:cs="仿宋" w:hint="eastAsia"/>
                <w:kern w:val="1"/>
                <w:sz w:val="24"/>
              </w:rPr>
              <w:t>（A06331）《成本法核定农产品增值税进项税额计算表》1份</w:t>
            </w:r>
            <w:r>
              <w:rPr>
                <w:rFonts w:ascii="仿宋" w:eastAsia="仿宋" w:hAnsi="仿宋" w:cs="仿宋" w:hint="eastAsia"/>
                <w:sz w:val="24"/>
              </w:rPr>
              <w:t>。</w:t>
            </w:r>
          </w:p>
        </w:tc>
        <w:tc>
          <w:tcPr>
            <w:tcW w:w="1559" w:type="dxa"/>
            <w:vMerge/>
            <w:vAlign w:val="center"/>
          </w:tcPr>
          <w:p w:rsidR="00013EC7" w:rsidRDefault="00013EC7">
            <w:pPr>
              <w:rPr>
                <w:rFonts w:ascii="仿宋" w:eastAsia="仿宋" w:hAnsi="仿宋" w:cs="仿宋"/>
                <w:sz w:val="24"/>
              </w:rPr>
            </w:pPr>
          </w:p>
        </w:tc>
        <w:tc>
          <w:tcPr>
            <w:tcW w:w="2410"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（四）</w:t>
            </w:r>
            <w:r>
              <w:rPr>
                <w:rFonts w:ascii="仿宋" w:eastAsia="仿宋" w:hAnsi="仿宋" w:cs="仿宋" w:hint="eastAsia"/>
                <w:kern w:val="1"/>
                <w:sz w:val="24"/>
              </w:rPr>
              <w:t>（A06331）《成本法核定农产品增值税进项税额计算表》1份</w:t>
            </w:r>
            <w:r>
              <w:rPr>
                <w:rFonts w:ascii="仿宋" w:eastAsia="仿宋" w:hAnsi="仿宋" w:cs="仿宋" w:hint="eastAsia"/>
                <w:sz w:val="24"/>
              </w:rPr>
              <w:t>。</w:t>
            </w:r>
          </w:p>
        </w:tc>
        <w:tc>
          <w:tcPr>
            <w:tcW w:w="1134" w:type="dxa"/>
            <w:vMerge/>
            <w:vAlign w:val="center"/>
          </w:tcPr>
          <w:p w:rsidR="00013EC7" w:rsidRDefault="00013EC7">
            <w:pPr>
              <w:rPr>
                <w:rFonts w:ascii="仿宋" w:eastAsia="仿宋" w:hAnsi="仿宋" w:cs="仿宋"/>
                <w:sz w:val="24"/>
              </w:rPr>
            </w:pPr>
          </w:p>
        </w:tc>
        <w:tc>
          <w:tcPr>
            <w:tcW w:w="2126" w:type="dxa"/>
            <w:vMerge/>
            <w:vAlign w:val="center"/>
          </w:tcPr>
          <w:p w:rsidR="00013EC7" w:rsidRDefault="00013EC7">
            <w:pPr>
              <w:spacing w:line="300" w:lineRule="exact"/>
              <w:rPr>
                <w:rFonts w:ascii="仿宋" w:eastAsia="仿宋" w:hAnsi="仿宋" w:cs="仿宋"/>
                <w:sz w:val="24"/>
              </w:rPr>
            </w:pPr>
          </w:p>
        </w:tc>
        <w:tc>
          <w:tcPr>
            <w:tcW w:w="766" w:type="dxa"/>
            <w:vMerge/>
            <w:vAlign w:val="center"/>
          </w:tcPr>
          <w:p w:rsidR="00013EC7" w:rsidRDefault="00013EC7">
            <w:pPr>
              <w:rPr>
                <w:rFonts w:ascii="仿宋" w:eastAsia="仿宋" w:hAnsi="仿宋" w:cs="仿宋"/>
                <w:sz w:val="24"/>
              </w:rPr>
            </w:pPr>
          </w:p>
        </w:tc>
        <w:tc>
          <w:tcPr>
            <w:tcW w:w="798" w:type="dxa"/>
            <w:vMerge/>
            <w:vAlign w:val="center"/>
          </w:tcPr>
          <w:p w:rsidR="00013EC7" w:rsidRDefault="00013EC7">
            <w:pPr>
              <w:rPr>
                <w:rFonts w:ascii="仿宋" w:eastAsia="仿宋" w:hAnsi="仿宋" w:cs="仿宋"/>
                <w:sz w:val="24"/>
              </w:rPr>
            </w:pP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340"/>
          <w:jc w:val="center"/>
        </w:trPr>
        <w:tc>
          <w:tcPr>
            <w:tcW w:w="672" w:type="dxa"/>
            <w:vMerge/>
            <w:vAlign w:val="center"/>
          </w:tcPr>
          <w:p w:rsidR="00013EC7" w:rsidRDefault="00013EC7">
            <w:pPr>
              <w:rPr>
                <w:rFonts w:ascii="仿宋" w:eastAsia="仿宋" w:hAnsi="仿宋" w:cs="仿宋"/>
                <w:sz w:val="24"/>
              </w:rPr>
            </w:pPr>
          </w:p>
        </w:tc>
        <w:tc>
          <w:tcPr>
            <w:tcW w:w="1035" w:type="dxa"/>
            <w:vMerge/>
            <w:vAlign w:val="center"/>
          </w:tcPr>
          <w:p w:rsidR="00013EC7" w:rsidRDefault="00013EC7">
            <w:pPr>
              <w:rPr>
                <w:rFonts w:ascii="仿宋" w:eastAsia="仿宋" w:hAnsi="仿宋" w:cs="仿宋"/>
                <w:sz w:val="24"/>
              </w:rPr>
            </w:pPr>
          </w:p>
        </w:tc>
        <w:tc>
          <w:tcPr>
            <w:tcW w:w="2263" w:type="dxa"/>
            <w:vMerge/>
            <w:vAlign w:val="center"/>
          </w:tcPr>
          <w:p w:rsidR="00013EC7" w:rsidRDefault="00013EC7">
            <w:pPr>
              <w:rPr>
                <w:rFonts w:ascii="仿宋" w:eastAsia="仿宋" w:hAnsi="仿宋" w:cs="仿宋"/>
                <w:sz w:val="24"/>
              </w:rPr>
            </w:pPr>
          </w:p>
        </w:tc>
        <w:tc>
          <w:tcPr>
            <w:tcW w:w="3544"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（五）</w:t>
            </w:r>
            <w:r>
              <w:rPr>
                <w:rFonts w:ascii="仿宋" w:eastAsia="仿宋" w:hAnsi="仿宋" w:cs="仿宋" w:hint="eastAsia"/>
                <w:kern w:val="1"/>
                <w:sz w:val="24"/>
              </w:rPr>
              <w:t>（A06332）《购进农产品直接销售核定农产品增值税进项税额计算表》1份。</w:t>
            </w:r>
          </w:p>
        </w:tc>
        <w:tc>
          <w:tcPr>
            <w:tcW w:w="1559" w:type="dxa"/>
            <w:vMerge/>
            <w:vAlign w:val="center"/>
          </w:tcPr>
          <w:p w:rsidR="00013EC7" w:rsidRDefault="00013EC7">
            <w:pPr>
              <w:rPr>
                <w:rFonts w:ascii="仿宋" w:eastAsia="仿宋" w:hAnsi="仿宋" w:cs="仿宋"/>
                <w:sz w:val="24"/>
              </w:rPr>
            </w:pPr>
          </w:p>
        </w:tc>
        <w:tc>
          <w:tcPr>
            <w:tcW w:w="2410"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（五）</w:t>
            </w:r>
            <w:r>
              <w:rPr>
                <w:rFonts w:ascii="仿宋" w:eastAsia="仿宋" w:hAnsi="仿宋" w:cs="仿宋" w:hint="eastAsia"/>
                <w:kern w:val="1"/>
                <w:sz w:val="24"/>
              </w:rPr>
              <w:t>（A06332）《购进农产品直接销售核定农产品增值税进项税额计算表》1份。</w:t>
            </w:r>
          </w:p>
        </w:tc>
        <w:tc>
          <w:tcPr>
            <w:tcW w:w="1134" w:type="dxa"/>
            <w:vMerge/>
            <w:vAlign w:val="center"/>
          </w:tcPr>
          <w:p w:rsidR="00013EC7" w:rsidRDefault="00013EC7">
            <w:pPr>
              <w:spacing w:line="300" w:lineRule="exact"/>
              <w:rPr>
                <w:rFonts w:ascii="仿宋" w:eastAsia="仿宋" w:hAnsi="仿宋" w:cs="仿宋"/>
                <w:sz w:val="24"/>
              </w:rPr>
            </w:pPr>
          </w:p>
        </w:tc>
        <w:tc>
          <w:tcPr>
            <w:tcW w:w="2126" w:type="dxa"/>
            <w:vMerge/>
            <w:vAlign w:val="center"/>
          </w:tcPr>
          <w:p w:rsidR="00013EC7" w:rsidRDefault="00013EC7">
            <w:pPr>
              <w:spacing w:line="300" w:lineRule="exact"/>
              <w:rPr>
                <w:rFonts w:ascii="仿宋" w:eastAsia="仿宋" w:hAnsi="仿宋" w:cs="仿宋"/>
                <w:sz w:val="24"/>
              </w:rPr>
            </w:pPr>
          </w:p>
        </w:tc>
        <w:tc>
          <w:tcPr>
            <w:tcW w:w="766" w:type="dxa"/>
            <w:vMerge/>
            <w:vAlign w:val="center"/>
          </w:tcPr>
          <w:p w:rsidR="00013EC7" w:rsidRDefault="00013EC7">
            <w:pPr>
              <w:rPr>
                <w:rFonts w:ascii="仿宋" w:eastAsia="仿宋" w:hAnsi="仿宋" w:cs="仿宋"/>
                <w:sz w:val="24"/>
              </w:rPr>
            </w:pPr>
          </w:p>
        </w:tc>
        <w:tc>
          <w:tcPr>
            <w:tcW w:w="798" w:type="dxa"/>
            <w:vMerge/>
            <w:vAlign w:val="center"/>
          </w:tcPr>
          <w:p w:rsidR="00013EC7" w:rsidRDefault="00013EC7">
            <w:pPr>
              <w:rPr>
                <w:rFonts w:ascii="仿宋" w:eastAsia="仿宋" w:hAnsi="仿宋" w:cs="仿宋"/>
                <w:sz w:val="24"/>
              </w:rPr>
            </w:pP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992"/>
          <w:jc w:val="center"/>
        </w:trPr>
        <w:tc>
          <w:tcPr>
            <w:tcW w:w="672" w:type="dxa"/>
            <w:vMerge/>
            <w:textDirection w:val="tbRlV"/>
            <w:vAlign w:val="center"/>
          </w:tcPr>
          <w:p w:rsidR="00013EC7" w:rsidRDefault="00013EC7">
            <w:pPr>
              <w:rPr>
                <w:rFonts w:ascii="仿宋" w:eastAsia="仿宋" w:hAnsi="仿宋" w:cs="仿宋"/>
                <w:sz w:val="24"/>
              </w:rPr>
            </w:pPr>
          </w:p>
        </w:tc>
        <w:tc>
          <w:tcPr>
            <w:tcW w:w="1035" w:type="dxa"/>
            <w:vMerge/>
            <w:vAlign w:val="center"/>
          </w:tcPr>
          <w:p w:rsidR="00013EC7" w:rsidRDefault="00013EC7">
            <w:pPr>
              <w:rPr>
                <w:rFonts w:ascii="仿宋" w:eastAsia="仿宋" w:hAnsi="仿宋" w:cs="仿宋"/>
                <w:sz w:val="24"/>
              </w:rPr>
            </w:pPr>
          </w:p>
        </w:tc>
        <w:tc>
          <w:tcPr>
            <w:tcW w:w="2263" w:type="dxa"/>
            <w:vMerge/>
            <w:vAlign w:val="center"/>
          </w:tcPr>
          <w:p w:rsidR="00013EC7" w:rsidRDefault="00013EC7">
            <w:pPr>
              <w:rPr>
                <w:rFonts w:ascii="仿宋" w:eastAsia="仿宋" w:hAnsi="仿宋" w:cs="仿宋"/>
                <w:sz w:val="24"/>
              </w:rPr>
            </w:pPr>
          </w:p>
        </w:tc>
        <w:tc>
          <w:tcPr>
            <w:tcW w:w="3544"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（六）</w:t>
            </w:r>
            <w:r>
              <w:rPr>
                <w:rFonts w:ascii="仿宋" w:eastAsia="仿宋" w:hAnsi="仿宋" w:cs="仿宋" w:hint="eastAsia"/>
                <w:kern w:val="1"/>
                <w:sz w:val="24"/>
              </w:rPr>
              <w:t>（A06333）《购进农产品用于生产经营且不构成货物实体核定农产品增值税进项税额计算表》1份</w:t>
            </w:r>
            <w:r>
              <w:rPr>
                <w:rFonts w:ascii="仿宋" w:eastAsia="仿宋" w:hAnsi="仿宋" w:cs="仿宋" w:hint="eastAsia"/>
                <w:sz w:val="24"/>
              </w:rPr>
              <w:t>。</w:t>
            </w:r>
          </w:p>
        </w:tc>
        <w:tc>
          <w:tcPr>
            <w:tcW w:w="1559" w:type="dxa"/>
            <w:vMerge/>
            <w:vAlign w:val="center"/>
          </w:tcPr>
          <w:p w:rsidR="00013EC7" w:rsidRDefault="00013EC7">
            <w:pPr>
              <w:rPr>
                <w:rFonts w:ascii="仿宋" w:eastAsia="仿宋" w:hAnsi="仿宋" w:cs="仿宋"/>
                <w:sz w:val="24"/>
              </w:rPr>
            </w:pPr>
          </w:p>
        </w:tc>
        <w:tc>
          <w:tcPr>
            <w:tcW w:w="2410"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（六）</w:t>
            </w:r>
            <w:r>
              <w:rPr>
                <w:rFonts w:ascii="仿宋" w:eastAsia="仿宋" w:hAnsi="仿宋" w:cs="仿宋" w:hint="eastAsia"/>
                <w:kern w:val="1"/>
                <w:sz w:val="24"/>
              </w:rPr>
              <w:t>（A06333）《购进农产品用于生产经营且不构成货物实体核定农产品增值税进项税额计算表》1份</w:t>
            </w:r>
            <w:r>
              <w:rPr>
                <w:rFonts w:ascii="仿宋" w:eastAsia="仿宋" w:hAnsi="仿宋" w:cs="仿宋" w:hint="eastAsia"/>
                <w:sz w:val="24"/>
              </w:rPr>
              <w:t>。</w:t>
            </w:r>
          </w:p>
        </w:tc>
        <w:tc>
          <w:tcPr>
            <w:tcW w:w="1134" w:type="dxa"/>
            <w:vMerge/>
            <w:vAlign w:val="center"/>
          </w:tcPr>
          <w:p w:rsidR="00013EC7" w:rsidRDefault="00013EC7">
            <w:pPr>
              <w:spacing w:line="300" w:lineRule="exact"/>
              <w:rPr>
                <w:rFonts w:ascii="仿宋" w:eastAsia="仿宋" w:hAnsi="仿宋" w:cs="仿宋"/>
                <w:sz w:val="24"/>
              </w:rPr>
            </w:pPr>
          </w:p>
        </w:tc>
        <w:tc>
          <w:tcPr>
            <w:tcW w:w="2126" w:type="dxa"/>
            <w:vMerge/>
            <w:vAlign w:val="center"/>
          </w:tcPr>
          <w:p w:rsidR="00013EC7" w:rsidRDefault="00013EC7">
            <w:pPr>
              <w:spacing w:line="300" w:lineRule="exact"/>
              <w:rPr>
                <w:rFonts w:ascii="仿宋" w:eastAsia="仿宋" w:hAnsi="仿宋" w:cs="仿宋"/>
                <w:sz w:val="24"/>
              </w:rPr>
            </w:pPr>
          </w:p>
        </w:tc>
        <w:tc>
          <w:tcPr>
            <w:tcW w:w="766" w:type="dxa"/>
            <w:vMerge/>
            <w:vAlign w:val="center"/>
          </w:tcPr>
          <w:p w:rsidR="00013EC7" w:rsidRDefault="00013EC7">
            <w:pPr>
              <w:rPr>
                <w:rFonts w:ascii="仿宋" w:eastAsia="仿宋" w:hAnsi="仿宋" w:cs="仿宋"/>
                <w:sz w:val="24"/>
              </w:rPr>
            </w:pPr>
          </w:p>
        </w:tc>
        <w:tc>
          <w:tcPr>
            <w:tcW w:w="798" w:type="dxa"/>
            <w:vMerge/>
            <w:vAlign w:val="center"/>
          </w:tcPr>
          <w:p w:rsidR="00013EC7" w:rsidRDefault="00013EC7">
            <w:pPr>
              <w:rPr>
                <w:rFonts w:ascii="仿宋" w:eastAsia="仿宋" w:hAnsi="仿宋" w:cs="仿宋"/>
                <w:sz w:val="24"/>
              </w:rPr>
            </w:pP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340"/>
          <w:jc w:val="center"/>
        </w:trPr>
        <w:tc>
          <w:tcPr>
            <w:tcW w:w="672" w:type="dxa"/>
            <w:vMerge/>
            <w:textDirection w:val="tbRlV"/>
            <w:vAlign w:val="center"/>
          </w:tcPr>
          <w:p w:rsidR="00013EC7" w:rsidRDefault="00013EC7">
            <w:pPr>
              <w:rPr>
                <w:rFonts w:ascii="仿宋" w:eastAsia="仿宋" w:hAnsi="仿宋" w:cs="仿宋"/>
                <w:sz w:val="24"/>
              </w:rPr>
            </w:pPr>
          </w:p>
        </w:tc>
        <w:tc>
          <w:tcPr>
            <w:tcW w:w="1035" w:type="dxa"/>
            <w:vMerge/>
            <w:vAlign w:val="center"/>
          </w:tcPr>
          <w:p w:rsidR="00013EC7" w:rsidRDefault="00013EC7">
            <w:pPr>
              <w:rPr>
                <w:rFonts w:ascii="仿宋" w:eastAsia="仿宋" w:hAnsi="仿宋" w:cs="仿宋"/>
                <w:sz w:val="24"/>
              </w:rPr>
            </w:pPr>
          </w:p>
        </w:tc>
        <w:tc>
          <w:tcPr>
            <w:tcW w:w="2263" w:type="dxa"/>
            <w:vMerge/>
            <w:vAlign w:val="center"/>
          </w:tcPr>
          <w:p w:rsidR="00013EC7" w:rsidRDefault="00013EC7">
            <w:pPr>
              <w:rPr>
                <w:rFonts w:ascii="仿宋" w:eastAsia="仿宋" w:hAnsi="仿宋" w:cs="仿宋"/>
                <w:sz w:val="24"/>
              </w:rPr>
            </w:pPr>
          </w:p>
        </w:tc>
        <w:tc>
          <w:tcPr>
            <w:tcW w:w="3544"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highlight w:val="lightGray"/>
              </w:rPr>
              <w:t>（七）</w:t>
            </w:r>
            <w:r>
              <w:rPr>
                <w:rFonts w:ascii="仿宋" w:eastAsia="仿宋" w:hAnsi="仿宋" w:cs="仿宋" w:hint="eastAsia"/>
                <w:kern w:val="1"/>
                <w:sz w:val="24"/>
                <w:highlight w:val="lightGray"/>
              </w:rPr>
              <w:t>（A06005）《成品油购销存情况明细表》1份</w:t>
            </w:r>
            <w:r>
              <w:rPr>
                <w:rFonts w:ascii="仿宋" w:eastAsia="仿宋" w:hAnsi="仿宋" w:cs="仿宋" w:hint="eastAsia"/>
                <w:sz w:val="24"/>
              </w:rPr>
              <w:t>。</w:t>
            </w:r>
          </w:p>
        </w:tc>
        <w:tc>
          <w:tcPr>
            <w:tcW w:w="1559" w:type="dxa"/>
            <w:vMerge w:val="restart"/>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从事成品油销售业务的一般</w:t>
            </w:r>
            <w:r>
              <w:rPr>
                <w:rFonts w:ascii="仿宋" w:eastAsia="仿宋" w:hAnsi="仿宋" w:cs="仿宋" w:hint="eastAsia"/>
                <w:sz w:val="24"/>
              </w:rPr>
              <w:lastRenderedPageBreak/>
              <w:t>纳税人提交</w:t>
            </w:r>
          </w:p>
          <w:p w:rsidR="00013EC7" w:rsidRDefault="00013EC7">
            <w:pPr>
              <w:rPr>
                <w:rFonts w:ascii="仿宋" w:eastAsia="仿宋" w:hAnsi="仿宋" w:cs="仿宋"/>
                <w:sz w:val="24"/>
              </w:rPr>
            </w:pPr>
          </w:p>
        </w:tc>
        <w:tc>
          <w:tcPr>
            <w:tcW w:w="2410"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lastRenderedPageBreak/>
              <w:t>（七）</w:t>
            </w:r>
            <w:r>
              <w:rPr>
                <w:rFonts w:ascii="仿宋" w:eastAsia="仿宋" w:hAnsi="仿宋" w:cs="仿宋" w:hint="eastAsia"/>
                <w:kern w:val="1"/>
                <w:sz w:val="24"/>
              </w:rPr>
              <w:t>（A06005）《成品油购销存情况明细</w:t>
            </w:r>
            <w:r>
              <w:rPr>
                <w:rFonts w:ascii="仿宋" w:eastAsia="仿宋" w:hAnsi="仿宋" w:cs="仿宋" w:hint="eastAsia"/>
                <w:kern w:val="1"/>
                <w:sz w:val="24"/>
              </w:rPr>
              <w:lastRenderedPageBreak/>
              <w:t>表》</w:t>
            </w:r>
            <w:r>
              <w:rPr>
                <w:rFonts w:ascii="仿宋" w:eastAsia="仿宋" w:hAnsi="仿宋" w:cs="仿宋" w:hint="eastAsia"/>
                <w:sz w:val="24"/>
              </w:rPr>
              <w:t>。</w:t>
            </w:r>
          </w:p>
        </w:tc>
        <w:tc>
          <w:tcPr>
            <w:tcW w:w="1134" w:type="dxa"/>
            <w:vMerge w:val="restart"/>
            <w:vAlign w:val="center"/>
          </w:tcPr>
          <w:p w:rsidR="00013EC7" w:rsidRDefault="00575CDB">
            <w:pPr>
              <w:rPr>
                <w:rFonts w:ascii="仿宋" w:eastAsia="仿宋" w:hAnsi="仿宋" w:cs="仿宋"/>
                <w:sz w:val="24"/>
              </w:rPr>
            </w:pPr>
            <w:r>
              <w:rPr>
                <w:rFonts w:ascii="仿宋" w:eastAsia="仿宋" w:hAnsi="仿宋" w:cs="仿宋" w:hint="eastAsia"/>
                <w:sz w:val="24"/>
              </w:rPr>
              <w:lastRenderedPageBreak/>
              <w:t>从事成品</w:t>
            </w:r>
            <w:r>
              <w:rPr>
                <w:rFonts w:ascii="仿宋" w:eastAsia="仿宋" w:hAnsi="仿宋" w:cs="仿宋" w:hint="eastAsia"/>
                <w:sz w:val="24"/>
              </w:rPr>
              <w:lastRenderedPageBreak/>
              <w:t>油销售业务的一般纳税人留存备查</w:t>
            </w:r>
          </w:p>
        </w:tc>
        <w:tc>
          <w:tcPr>
            <w:tcW w:w="2126" w:type="dxa"/>
            <w:vMerge/>
            <w:vAlign w:val="center"/>
          </w:tcPr>
          <w:p w:rsidR="00013EC7" w:rsidRDefault="00013EC7">
            <w:pPr>
              <w:spacing w:line="300" w:lineRule="exact"/>
              <w:rPr>
                <w:rFonts w:ascii="仿宋" w:eastAsia="仿宋" w:hAnsi="仿宋" w:cs="仿宋"/>
                <w:sz w:val="24"/>
              </w:rPr>
            </w:pPr>
          </w:p>
        </w:tc>
        <w:tc>
          <w:tcPr>
            <w:tcW w:w="766" w:type="dxa"/>
            <w:vMerge/>
            <w:vAlign w:val="center"/>
          </w:tcPr>
          <w:p w:rsidR="00013EC7" w:rsidRDefault="00013EC7">
            <w:pPr>
              <w:rPr>
                <w:rFonts w:ascii="仿宋" w:eastAsia="仿宋" w:hAnsi="仿宋" w:cs="仿宋"/>
                <w:sz w:val="24"/>
              </w:rPr>
            </w:pPr>
          </w:p>
        </w:tc>
        <w:tc>
          <w:tcPr>
            <w:tcW w:w="798" w:type="dxa"/>
            <w:vMerge/>
            <w:vAlign w:val="center"/>
          </w:tcPr>
          <w:p w:rsidR="00013EC7" w:rsidRDefault="00013EC7">
            <w:pPr>
              <w:rPr>
                <w:rFonts w:ascii="仿宋" w:eastAsia="仿宋" w:hAnsi="仿宋" w:cs="仿宋"/>
                <w:sz w:val="24"/>
              </w:rPr>
            </w:pP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340"/>
          <w:jc w:val="center"/>
        </w:trPr>
        <w:tc>
          <w:tcPr>
            <w:tcW w:w="672" w:type="dxa"/>
            <w:vMerge/>
            <w:textDirection w:val="tbRlV"/>
            <w:vAlign w:val="center"/>
          </w:tcPr>
          <w:p w:rsidR="00013EC7" w:rsidRDefault="00013EC7">
            <w:pPr>
              <w:rPr>
                <w:rFonts w:ascii="仿宋" w:eastAsia="仿宋" w:hAnsi="仿宋" w:cs="仿宋"/>
                <w:sz w:val="24"/>
              </w:rPr>
            </w:pPr>
          </w:p>
        </w:tc>
        <w:tc>
          <w:tcPr>
            <w:tcW w:w="1035" w:type="dxa"/>
            <w:vMerge/>
            <w:vAlign w:val="center"/>
          </w:tcPr>
          <w:p w:rsidR="00013EC7" w:rsidRDefault="00013EC7">
            <w:pPr>
              <w:rPr>
                <w:rFonts w:ascii="仿宋" w:eastAsia="仿宋" w:hAnsi="仿宋" w:cs="仿宋"/>
                <w:sz w:val="24"/>
              </w:rPr>
            </w:pPr>
          </w:p>
        </w:tc>
        <w:tc>
          <w:tcPr>
            <w:tcW w:w="2263" w:type="dxa"/>
            <w:vMerge/>
            <w:vAlign w:val="center"/>
          </w:tcPr>
          <w:p w:rsidR="00013EC7" w:rsidRDefault="00013EC7">
            <w:pPr>
              <w:rPr>
                <w:rFonts w:ascii="仿宋" w:eastAsia="仿宋" w:hAnsi="仿宋" w:cs="仿宋"/>
                <w:sz w:val="24"/>
              </w:rPr>
            </w:pPr>
          </w:p>
        </w:tc>
        <w:tc>
          <w:tcPr>
            <w:tcW w:w="3544" w:type="dxa"/>
            <w:vAlign w:val="center"/>
          </w:tcPr>
          <w:p w:rsidR="00013EC7" w:rsidRDefault="00575CDB">
            <w:pPr>
              <w:spacing w:line="300" w:lineRule="exact"/>
              <w:rPr>
                <w:rFonts w:ascii="仿宋" w:eastAsia="仿宋" w:hAnsi="仿宋" w:cs="仿宋"/>
                <w:kern w:val="1"/>
                <w:sz w:val="24"/>
              </w:rPr>
            </w:pPr>
            <w:r>
              <w:rPr>
                <w:rFonts w:ascii="仿宋" w:eastAsia="仿宋" w:hAnsi="仿宋" w:cs="仿宋" w:hint="eastAsia"/>
                <w:kern w:val="1"/>
                <w:sz w:val="24"/>
                <w:highlight w:val="lightGray"/>
              </w:rPr>
              <w:t>（八）加油IC卡。</w:t>
            </w:r>
          </w:p>
        </w:tc>
        <w:tc>
          <w:tcPr>
            <w:tcW w:w="1559" w:type="dxa"/>
            <w:vMerge/>
            <w:vAlign w:val="center"/>
          </w:tcPr>
          <w:p w:rsidR="00013EC7" w:rsidRDefault="00013EC7">
            <w:pPr>
              <w:rPr>
                <w:rFonts w:ascii="仿宋" w:eastAsia="仿宋" w:hAnsi="仿宋" w:cs="仿宋"/>
                <w:sz w:val="24"/>
              </w:rPr>
            </w:pPr>
          </w:p>
        </w:tc>
        <w:tc>
          <w:tcPr>
            <w:tcW w:w="2410" w:type="dxa"/>
            <w:vAlign w:val="center"/>
          </w:tcPr>
          <w:p w:rsidR="00013EC7" w:rsidRDefault="00575CDB">
            <w:pPr>
              <w:spacing w:line="300" w:lineRule="exact"/>
              <w:rPr>
                <w:rFonts w:ascii="仿宋" w:eastAsia="仿宋" w:hAnsi="仿宋" w:cs="仿宋"/>
                <w:kern w:val="1"/>
                <w:sz w:val="24"/>
              </w:rPr>
            </w:pPr>
            <w:r>
              <w:rPr>
                <w:rFonts w:ascii="仿宋" w:eastAsia="仿宋" w:hAnsi="仿宋" w:cs="仿宋" w:hint="eastAsia"/>
                <w:kern w:val="1"/>
                <w:sz w:val="24"/>
              </w:rPr>
              <w:t>（八）加油IC卡。</w:t>
            </w:r>
          </w:p>
        </w:tc>
        <w:tc>
          <w:tcPr>
            <w:tcW w:w="1134" w:type="dxa"/>
            <w:vMerge/>
            <w:vAlign w:val="center"/>
          </w:tcPr>
          <w:p w:rsidR="00013EC7" w:rsidRDefault="00013EC7">
            <w:pPr>
              <w:rPr>
                <w:rFonts w:ascii="仿宋" w:eastAsia="仿宋" w:hAnsi="仿宋" w:cs="仿宋"/>
                <w:sz w:val="24"/>
              </w:rPr>
            </w:pPr>
          </w:p>
        </w:tc>
        <w:tc>
          <w:tcPr>
            <w:tcW w:w="2126" w:type="dxa"/>
            <w:vMerge/>
            <w:vAlign w:val="center"/>
          </w:tcPr>
          <w:p w:rsidR="00013EC7" w:rsidRDefault="00013EC7">
            <w:pPr>
              <w:spacing w:line="300" w:lineRule="exact"/>
              <w:rPr>
                <w:rFonts w:ascii="仿宋" w:eastAsia="仿宋" w:hAnsi="仿宋" w:cs="仿宋"/>
                <w:sz w:val="24"/>
              </w:rPr>
            </w:pPr>
          </w:p>
        </w:tc>
        <w:tc>
          <w:tcPr>
            <w:tcW w:w="766" w:type="dxa"/>
            <w:vMerge/>
            <w:vAlign w:val="center"/>
          </w:tcPr>
          <w:p w:rsidR="00013EC7" w:rsidRDefault="00013EC7">
            <w:pPr>
              <w:rPr>
                <w:rFonts w:ascii="仿宋" w:eastAsia="仿宋" w:hAnsi="仿宋" w:cs="仿宋"/>
                <w:sz w:val="24"/>
              </w:rPr>
            </w:pPr>
          </w:p>
        </w:tc>
        <w:tc>
          <w:tcPr>
            <w:tcW w:w="798" w:type="dxa"/>
            <w:vMerge/>
            <w:vAlign w:val="center"/>
          </w:tcPr>
          <w:p w:rsidR="00013EC7" w:rsidRDefault="00013EC7">
            <w:pPr>
              <w:rPr>
                <w:rFonts w:ascii="仿宋" w:eastAsia="仿宋" w:hAnsi="仿宋" w:cs="仿宋"/>
                <w:sz w:val="24"/>
              </w:rPr>
            </w:pP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340"/>
          <w:jc w:val="center"/>
        </w:trPr>
        <w:tc>
          <w:tcPr>
            <w:tcW w:w="672" w:type="dxa"/>
            <w:vMerge/>
            <w:textDirection w:val="tbRlV"/>
            <w:vAlign w:val="center"/>
          </w:tcPr>
          <w:p w:rsidR="00013EC7" w:rsidRDefault="00013EC7">
            <w:pPr>
              <w:rPr>
                <w:rFonts w:ascii="仿宋" w:eastAsia="仿宋" w:hAnsi="仿宋" w:cs="仿宋"/>
                <w:sz w:val="24"/>
              </w:rPr>
            </w:pPr>
          </w:p>
        </w:tc>
        <w:tc>
          <w:tcPr>
            <w:tcW w:w="1035" w:type="dxa"/>
            <w:vMerge/>
            <w:vAlign w:val="center"/>
          </w:tcPr>
          <w:p w:rsidR="00013EC7" w:rsidRDefault="00013EC7">
            <w:pPr>
              <w:rPr>
                <w:rFonts w:ascii="仿宋" w:eastAsia="仿宋" w:hAnsi="仿宋" w:cs="仿宋"/>
                <w:sz w:val="24"/>
              </w:rPr>
            </w:pPr>
          </w:p>
        </w:tc>
        <w:tc>
          <w:tcPr>
            <w:tcW w:w="2263" w:type="dxa"/>
            <w:vMerge/>
            <w:vAlign w:val="center"/>
          </w:tcPr>
          <w:p w:rsidR="00013EC7" w:rsidRDefault="00013EC7">
            <w:pPr>
              <w:rPr>
                <w:rFonts w:ascii="仿宋" w:eastAsia="仿宋" w:hAnsi="仿宋" w:cs="仿宋"/>
                <w:sz w:val="24"/>
              </w:rPr>
            </w:pPr>
          </w:p>
        </w:tc>
        <w:tc>
          <w:tcPr>
            <w:tcW w:w="3544" w:type="dxa"/>
            <w:vAlign w:val="center"/>
          </w:tcPr>
          <w:p w:rsidR="00013EC7" w:rsidRDefault="00575CDB">
            <w:pPr>
              <w:spacing w:line="300" w:lineRule="exact"/>
              <w:rPr>
                <w:rFonts w:ascii="仿宋" w:eastAsia="仿宋" w:hAnsi="仿宋" w:cs="仿宋"/>
                <w:kern w:val="1"/>
                <w:sz w:val="24"/>
                <w:highlight w:val="lightGray"/>
              </w:rPr>
            </w:pPr>
            <w:r>
              <w:rPr>
                <w:rFonts w:ascii="仿宋" w:eastAsia="仿宋" w:hAnsi="仿宋" w:cs="仿宋" w:hint="eastAsia"/>
                <w:kern w:val="1"/>
                <w:sz w:val="24"/>
                <w:highlight w:val="lightGray"/>
              </w:rPr>
              <w:t>（九）（A06006）《成品油购销存数量明细表》1份。</w:t>
            </w:r>
          </w:p>
        </w:tc>
        <w:tc>
          <w:tcPr>
            <w:tcW w:w="1559" w:type="dxa"/>
            <w:vMerge/>
            <w:vAlign w:val="center"/>
          </w:tcPr>
          <w:p w:rsidR="00013EC7" w:rsidRDefault="00013EC7">
            <w:pPr>
              <w:rPr>
                <w:rFonts w:ascii="仿宋" w:eastAsia="仿宋" w:hAnsi="仿宋" w:cs="仿宋"/>
                <w:sz w:val="24"/>
              </w:rPr>
            </w:pPr>
          </w:p>
        </w:tc>
        <w:tc>
          <w:tcPr>
            <w:tcW w:w="2410"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kern w:val="1"/>
                <w:sz w:val="24"/>
              </w:rPr>
              <w:t>（九）（A06006）《成品油购销存数量明细表》。</w:t>
            </w:r>
          </w:p>
        </w:tc>
        <w:tc>
          <w:tcPr>
            <w:tcW w:w="1134" w:type="dxa"/>
            <w:vMerge/>
            <w:vAlign w:val="center"/>
          </w:tcPr>
          <w:p w:rsidR="00013EC7" w:rsidRDefault="00013EC7">
            <w:pPr>
              <w:rPr>
                <w:rFonts w:ascii="仿宋" w:eastAsia="仿宋" w:hAnsi="仿宋" w:cs="仿宋"/>
                <w:sz w:val="24"/>
              </w:rPr>
            </w:pPr>
          </w:p>
        </w:tc>
        <w:tc>
          <w:tcPr>
            <w:tcW w:w="2126" w:type="dxa"/>
            <w:vMerge/>
            <w:vAlign w:val="center"/>
          </w:tcPr>
          <w:p w:rsidR="00013EC7" w:rsidRDefault="00013EC7">
            <w:pPr>
              <w:spacing w:line="300" w:lineRule="exact"/>
              <w:rPr>
                <w:rFonts w:ascii="仿宋" w:eastAsia="仿宋" w:hAnsi="仿宋" w:cs="仿宋"/>
                <w:sz w:val="24"/>
              </w:rPr>
            </w:pPr>
          </w:p>
        </w:tc>
        <w:tc>
          <w:tcPr>
            <w:tcW w:w="766" w:type="dxa"/>
            <w:vMerge/>
            <w:vAlign w:val="center"/>
          </w:tcPr>
          <w:p w:rsidR="00013EC7" w:rsidRDefault="00013EC7">
            <w:pPr>
              <w:rPr>
                <w:rFonts w:ascii="仿宋" w:eastAsia="仿宋" w:hAnsi="仿宋" w:cs="仿宋"/>
                <w:sz w:val="24"/>
              </w:rPr>
            </w:pPr>
          </w:p>
        </w:tc>
        <w:tc>
          <w:tcPr>
            <w:tcW w:w="798" w:type="dxa"/>
            <w:vMerge/>
            <w:vAlign w:val="center"/>
          </w:tcPr>
          <w:p w:rsidR="00013EC7" w:rsidRDefault="00013EC7">
            <w:pPr>
              <w:rPr>
                <w:rFonts w:ascii="仿宋" w:eastAsia="仿宋" w:hAnsi="仿宋" w:cs="仿宋"/>
                <w:sz w:val="24"/>
              </w:rPr>
            </w:pP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340"/>
          <w:jc w:val="center"/>
        </w:trPr>
        <w:tc>
          <w:tcPr>
            <w:tcW w:w="672" w:type="dxa"/>
            <w:vMerge/>
            <w:textDirection w:val="tbRlV"/>
            <w:vAlign w:val="center"/>
          </w:tcPr>
          <w:p w:rsidR="00013EC7" w:rsidRDefault="00013EC7">
            <w:pPr>
              <w:rPr>
                <w:rFonts w:ascii="仿宋" w:eastAsia="仿宋" w:hAnsi="仿宋" w:cs="仿宋"/>
                <w:sz w:val="24"/>
              </w:rPr>
            </w:pPr>
          </w:p>
        </w:tc>
        <w:tc>
          <w:tcPr>
            <w:tcW w:w="1035" w:type="dxa"/>
            <w:vMerge/>
            <w:vAlign w:val="center"/>
          </w:tcPr>
          <w:p w:rsidR="00013EC7" w:rsidRDefault="00013EC7">
            <w:pPr>
              <w:rPr>
                <w:rFonts w:ascii="仿宋" w:eastAsia="仿宋" w:hAnsi="仿宋" w:cs="仿宋"/>
                <w:sz w:val="24"/>
              </w:rPr>
            </w:pPr>
          </w:p>
        </w:tc>
        <w:tc>
          <w:tcPr>
            <w:tcW w:w="2263" w:type="dxa"/>
            <w:vMerge/>
            <w:vAlign w:val="center"/>
          </w:tcPr>
          <w:p w:rsidR="00013EC7" w:rsidRDefault="00013EC7">
            <w:pPr>
              <w:rPr>
                <w:rFonts w:ascii="仿宋" w:eastAsia="仿宋" w:hAnsi="仿宋" w:cs="仿宋"/>
                <w:sz w:val="24"/>
              </w:rPr>
            </w:pPr>
          </w:p>
        </w:tc>
        <w:tc>
          <w:tcPr>
            <w:tcW w:w="3544" w:type="dxa"/>
            <w:vAlign w:val="center"/>
          </w:tcPr>
          <w:p w:rsidR="00013EC7" w:rsidRDefault="00575CDB">
            <w:pPr>
              <w:spacing w:line="300" w:lineRule="exact"/>
              <w:rPr>
                <w:rFonts w:ascii="仿宋" w:eastAsia="仿宋" w:hAnsi="仿宋" w:cs="仿宋"/>
                <w:kern w:val="1"/>
                <w:sz w:val="24"/>
                <w:highlight w:val="lightGray"/>
              </w:rPr>
            </w:pPr>
            <w:r>
              <w:rPr>
                <w:rFonts w:ascii="仿宋" w:eastAsia="仿宋" w:hAnsi="仿宋" w:cs="仿宋" w:hint="eastAsia"/>
                <w:kern w:val="1"/>
                <w:sz w:val="24"/>
                <w:highlight w:val="lightGray"/>
              </w:rPr>
              <w:t>（十）（A06007）《机动车辆生产企业销售明细表》及其电子信息1份。</w:t>
            </w:r>
          </w:p>
        </w:tc>
        <w:tc>
          <w:tcPr>
            <w:tcW w:w="1559" w:type="dxa"/>
            <w:vMerge w:val="restart"/>
            <w:vAlign w:val="center"/>
          </w:tcPr>
          <w:p w:rsidR="00013EC7" w:rsidRDefault="00575CDB">
            <w:pPr>
              <w:rPr>
                <w:rFonts w:ascii="仿宋" w:eastAsia="仿宋" w:hAnsi="仿宋" w:cs="仿宋"/>
                <w:sz w:val="24"/>
              </w:rPr>
            </w:pPr>
            <w:r>
              <w:rPr>
                <w:rFonts w:ascii="仿宋" w:eastAsia="仿宋" w:hAnsi="仿宋" w:cs="仿宋" w:hint="eastAsia"/>
                <w:kern w:val="1"/>
                <w:sz w:val="24"/>
              </w:rPr>
              <w:t>从事机动车生产的一般纳税人</w:t>
            </w:r>
            <w:r>
              <w:rPr>
                <w:rFonts w:ascii="仿宋" w:eastAsia="仿宋" w:hAnsi="仿宋" w:cs="仿宋" w:hint="eastAsia"/>
                <w:sz w:val="24"/>
              </w:rPr>
              <w:t>提交</w:t>
            </w:r>
          </w:p>
        </w:tc>
        <w:tc>
          <w:tcPr>
            <w:tcW w:w="2410"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kern w:val="1"/>
                <w:sz w:val="24"/>
              </w:rPr>
              <w:t>（十）（A06007）《机动车辆生产企业销售明细表》及其电子信息。</w:t>
            </w:r>
          </w:p>
        </w:tc>
        <w:tc>
          <w:tcPr>
            <w:tcW w:w="1134" w:type="dxa"/>
            <w:vAlign w:val="center"/>
          </w:tcPr>
          <w:p w:rsidR="00013EC7" w:rsidRDefault="00575CDB">
            <w:pPr>
              <w:rPr>
                <w:rFonts w:ascii="仿宋" w:eastAsia="仿宋" w:hAnsi="仿宋" w:cs="仿宋"/>
                <w:sz w:val="24"/>
              </w:rPr>
            </w:pPr>
            <w:r>
              <w:rPr>
                <w:rFonts w:ascii="仿宋" w:eastAsia="仿宋" w:hAnsi="仿宋" w:cs="仿宋" w:hint="eastAsia"/>
                <w:kern w:val="1"/>
                <w:sz w:val="24"/>
              </w:rPr>
              <w:t>从事机动车生产的一般纳税人留存备查</w:t>
            </w:r>
          </w:p>
        </w:tc>
        <w:tc>
          <w:tcPr>
            <w:tcW w:w="2126" w:type="dxa"/>
            <w:vMerge/>
            <w:vAlign w:val="center"/>
          </w:tcPr>
          <w:p w:rsidR="00013EC7" w:rsidRDefault="00013EC7">
            <w:pPr>
              <w:spacing w:line="300" w:lineRule="exact"/>
              <w:rPr>
                <w:rFonts w:ascii="仿宋" w:eastAsia="仿宋" w:hAnsi="仿宋" w:cs="仿宋"/>
                <w:sz w:val="24"/>
              </w:rPr>
            </w:pPr>
          </w:p>
        </w:tc>
        <w:tc>
          <w:tcPr>
            <w:tcW w:w="766" w:type="dxa"/>
            <w:vMerge/>
            <w:vAlign w:val="center"/>
          </w:tcPr>
          <w:p w:rsidR="00013EC7" w:rsidRDefault="00013EC7">
            <w:pPr>
              <w:rPr>
                <w:rFonts w:ascii="仿宋" w:eastAsia="仿宋" w:hAnsi="仿宋" w:cs="仿宋"/>
                <w:sz w:val="24"/>
              </w:rPr>
            </w:pPr>
          </w:p>
        </w:tc>
        <w:tc>
          <w:tcPr>
            <w:tcW w:w="798" w:type="dxa"/>
            <w:vMerge/>
            <w:vAlign w:val="center"/>
          </w:tcPr>
          <w:p w:rsidR="00013EC7" w:rsidRDefault="00013EC7">
            <w:pPr>
              <w:rPr>
                <w:rFonts w:ascii="仿宋" w:eastAsia="仿宋" w:hAnsi="仿宋" w:cs="仿宋"/>
                <w:sz w:val="24"/>
              </w:rPr>
            </w:pP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340"/>
          <w:jc w:val="center"/>
        </w:trPr>
        <w:tc>
          <w:tcPr>
            <w:tcW w:w="672" w:type="dxa"/>
            <w:vMerge/>
            <w:textDirection w:val="tbRlV"/>
            <w:vAlign w:val="center"/>
          </w:tcPr>
          <w:p w:rsidR="00013EC7" w:rsidRDefault="00013EC7">
            <w:pPr>
              <w:rPr>
                <w:rFonts w:ascii="仿宋" w:eastAsia="仿宋" w:hAnsi="仿宋" w:cs="仿宋"/>
                <w:sz w:val="24"/>
              </w:rPr>
            </w:pPr>
          </w:p>
        </w:tc>
        <w:tc>
          <w:tcPr>
            <w:tcW w:w="1035" w:type="dxa"/>
            <w:vMerge/>
            <w:vAlign w:val="center"/>
          </w:tcPr>
          <w:p w:rsidR="00013EC7" w:rsidRDefault="00013EC7">
            <w:pPr>
              <w:rPr>
                <w:rFonts w:ascii="仿宋" w:eastAsia="仿宋" w:hAnsi="仿宋" w:cs="仿宋"/>
                <w:sz w:val="24"/>
              </w:rPr>
            </w:pPr>
          </w:p>
        </w:tc>
        <w:tc>
          <w:tcPr>
            <w:tcW w:w="2263" w:type="dxa"/>
            <w:vMerge/>
            <w:vAlign w:val="center"/>
          </w:tcPr>
          <w:p w:rsidR="00013EC7" w:rsidRDefault="00013EC7">
            <w:pPr>
              <w:rPr>
                <w:rFonts w:ascii="仿宋" w:eastAsia="仿宋" w:hAnsi="仿宋" w:cs="仿宋"/>
                <w:sz w:val="24"/>
              </w:rPr>
            </w:pPr>
          </w:p>
        </w:tc>
        <w:tc>
          <w:tcPr>
            <w:tcW w:w="3544" w:type="dxa"/>
            <w:vAlign w:val="center"/>
          </w:tcPr>
          <w:p w:rsidR="00013EC7" w:rsidRDefault="00575CDB">
            <w:pPr>
              <w:spacing w:line="300" w:lineRule="exact"/>
              <w:rPr>
                <w:rFonts w:ascii="仿宋" w:eastAsia="仿宋" w:hAnsi="仿宋" w:cs="仿宋"/>
                <w:kern w:val="1"/>
                <w:sz w:val="24"/>
                <w:highlight w:val="lightGray"/>
              </w:rPr>
            </w:pPr>
            <w:r>
              <w:rPr>
                <w:rFonts w:ascii="仿宋" w:eastAsia="仿宋" w:hAnsi="仿宋" w:cs="仿宋" w:hint="eastAsia"/>
                <w:kern w:val="1"/>
                <w:sz w:val="24"/>
                <w:highlight w:val="lightGray"/>
              </w:rPr>
              <w:t>（十一）（A06009）《机动车辆销售统一发票清单》及其电子信息1份。</w:t>
            </w:r>
          </w:p>
        </w:tc>
        <w:tc>
          <w:tcPr>
            <w:tcW w:w="1559" w:type="dxa"/>
            <w:vMerge/>
            <w:vAlign w:val="center"/>
          </w:tcPr>
          <w:p w:rsidR="00013EC7" w:rsidRDefault="00013EC7">
            <w:pPr>
              <w:rPr>
                <w:rFonts w:ascii="仿宋" w:eastAsia="仿宋" w:hAnsi="仿宋" w:cs="仿宋"/>
                <w:sz w:val="24"/>
              </w:rPr>
            </w:pPr>
          </w:p>
        </w:tc>
        <w:tc>
          <w:tcPr>
            <w:tcW w:w="2410" w:type="dxa"/>
            <w:vAlign w:val="center"/>
          </w:tcPr>
          <w:p w:rsidR="00013EC7" w:rsidRDefault="00013EC7">
            <w:pPr>
              <w:spacing w:line="300" w:lineRule="exact"/>
              <w:rPr>
                <w:rFonts w:ascii="仿宋" w:eastAsia="仿宋" w:hAnsi="仿宋" w:cs="仿宋"/>
                <w:sz w:val="24"/>
              </w:rPr>
            </w:pPr>
          </w:p>
        </w:tc>
        <w:tc>
          <w:tcPr>
            <w:tcW w:w="1134" w:type="dxa"/>
            <w:vAlign w:val="center"/>
          </w:tcPr>
          <w:p w:rsidR="00013EC7" w:rsidRDefault="00575CDB">
            <w:pPr>
              <w:rPr>
                <w:rFonts w:ascii="仿宋" w:eastAsia="仿宋" w:hAnsi="仿宋" w:cs="仿宋"/>
                <w:sz w:val="24"/>
              </w:rPr>
            </w:pPr>
            <w:r>
              <w:rPr>
                <w:rFonts w:ascii="仿宋" w:eastAsia="仿宋" w:hAnsi="仿宋" w:cs="仿宋" w:hint="eastAsia"/>
                <w:b/>
                <w:bCs/>
                <w:i/>
                <w:iCs/>
                <w:sz w:val="24"/>
              </w:rPr>
              <w:t>取消</w:t>
            </w:r>
          </w:p>
        </w:tc>
        <w:tc>
          <w:tcPr>
            <w:tcW w:w="2126" w:type="dxa"/>
            <w:vMerge/>
            <w:vAlign w:val="center"/>
          </w:tcPr>
          <w:p w:rsidR="00013EC7" w:rsidRDefault="00013EC7">
            <w:pPr>
              <w:spacing w:line="300" w:lineRule="exact"/>
              <w:rPr>
                <w:rFonts w:ascii="仿宋" w:eastAsia="仿宋" w:hAnsi="仿宋" w:cs="仿宋"/>
                <w:sz w:val="24"/>
              </w:rPr>
            </w:pPr>
          </w:p>
        </w:tc>
        <w:tc>
          <w:tcPr>
            <w:tcW w:w="766" w:type="dxa"/>
            <w:vMerge/>
            <w:vAlign w:val="center"/>
          </w:tcPr>
          <w:p w:rsidR="00013EC7" w:rsidRDefault="00013EC7">
            <w:pPr>
              <w:rPr>
                <w:rFonts w:ascii="仿宋" w:eastAsia="仿宋" w:hAnsi="仿宋" w:cs="仿宋"/>
                <w:sz w:val="24"/>
              </w:rPr>
            </w:pPr>
          </w:p>
        </w:tc>
        <w:tc>
          <w:tcPr>
            <w:tcW w:w="798" w:type="dxa"/>
            <w:vMerge/>
            <w:vAlign w:val="center"/>
          </w:tcPr>
          <w:p w:rsidR="00013EC7" w:rsidRDefault="00013EC7">
            <w:pPr>
              <w:rPr>
                <w:rFonts w:ascii="仿宋" w:eastAsia="仿宋" w:hAnsi="仿宋" w:cs="仿宋"/>
                <w:sz w:val="24"/>
              </w:rPr>
            </w:pP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340"/>
          <w:jc w:val="center"/>
        </w:trPr>
        <w:tc>
          <w:tcPr>
            <w:tcW w:w="672" w:type="dxa"/>
            <w:vMerge/>
            <w:textDirection w:val="tbRlV"/>
            <w:vAlign w:val="center"/>
          </w:tcPr>
          <w:p w:rsidR="00013EC7" w:rsidRDefault="00013EC7">
            <w:pPr>
              <w:rPr>
                <w:rFonts w:ascii="仿宋" w:eastAsia="仿宋" w:hAnsi="仿宋" w:cs="仿宋"/>
                <w:sz w:val="24"/>
              </w:rPr>
            </w:pPr>
          </w:p>
        </w:tc>
        <w:tc>
          <w:tcPr>
            <w:tcW w:w="1035" w:type="dxa"/>
            <w:vMerge/>
            <w:vAlign w:val="center"/>
          </w:tcPr>
          <w:p w:rsidR="00013EC7" w:rsidRDefault="00013EC7">
            <w:pPr>
              <w:rPr>
                <w:rFonts w:ascii="仿宋" w:eastAsia="仿宋" w:hAnsi="仿宋" w:cs="仿宋"/>
                <w:sz w:val="24"/>
              </w:rPr>
            </w:pPr>
          </w:p>
        </w:tc>
        <w:tc>
          <w:tcPr>
            <w:tcW w:w="2263" w:type="dxa"/>
            <w:vMerge/>
            <w:vAlign w:val="center"/>
          </w:tcPr>
          <w:p w:rsidR="00013EC7" w:rsidRDefault="00013EC7">
            <w:pPr>
              <w:rPr>
                <w:rFonts w:ascii="仿宋" w:eastAsia="仿宋" w:hAnsi="仿宋" w:cs="仿宋"/>
                <w:sz w:val="24"/>
              </w:rPr>
            </w:pPr>
          </w:p>
        </w:tc>
        <w:tc>
          <w:tcPr>
            <w:tcW w:w="3544" w:type="dxa"/>
            <w:vAlign w:val="center"/>
          </w:tcPr>
          <w:p w:rsidR="00013EC7" w:rsidRDefault="00575CDB">
            <w:pPr>
              <w:spacing w:line="300" w:lineRule="exact"/>
              <w:rPr>
                <w:rFonts w:ascii="仿宋" w:eastAsia="仿宋" w:hAnsi="仿宋" w:cs="仿宋"/>
                <w:kern w:val="1"/>
                <w:sz w:val="24"/>
                <w:highlight w:val="lightGray"/>
              </w:rPr>
            </w:pPr>
            <w:r>
              <w:rPr>
                <w:rFonts w:ascii="仿宋" w:eastAsia="仿宋" w:hAnsi="仿宋" w:cs="仿宋" w:hint="eastAsia"/>
                <w:kern w:val="1"/>
                <w:sz w:val="24"/>
                <w:highlight w:val="lightGray"/>
              </w:rPr>
              <w:t>（十二）（A06008）上一年度《机动车辆生产企业销售情况统计表》1份（每年第一个增值税纳税申报期）。</w:t>
            </w:r>
          </w:p>
        </w:tc>
        <w:tc>
          <w:tcPr>
            <w:tcW w:w="1559" w:type="dxa"/>
            <w:vMerge/>
            <w:vAlign w:val="center"/>
          </w:tcPr>
          <w:p w:rsidR="00013EC7" w:rsidRDefault="00013EC7">
            <w:pPr>
              <w:rPr>
                <w:rFonts w:ascii="仿宋" w:eastAsia="仿宋" w:hAnsi="仿宋" w:cs="仿宋"/>
                <w:sz w:val="24"/>
              </w:rPr>
            </w:pPr>
          </w:p>
        </w:tc>
        <w:tc>
          <w:tcPr>
            <w:tcW w:w="2410"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kern w:val="1"/>
                <w:sz w:val="24"/>
              </w:rPr>
              <w:t>（十一）（A06008）上一年度《机动车辆生产企业销售情况统计表》（每年第一个增值税纳税申报期）。</w:t>
            </w:r>
          </w:p>
        </w:tc>
        <w:tc>
          <w:tcPr>
            <w:tcW w:w="1134" w:type="dxa"/>
            <w:vAlign w:val="center"/>
          </w:tcPr>
          <w:p w:rsidR="00013EC7" w:rsidRDefault="00575CDB">
            <w:pPr>
              <w:rPr>
                <w:rFonts w:ascii="仿宋" w:eastAsia="仿宋" w:hAnsi="仿宋" w:cs="仿宋"/>
                <w:sz w:val="24"/>
              </w:rPr>
            </w:pPr>
            <w:r>
              <w:rPr>
                <w:rFonts w:ascii="仿宋" w:eastAsia="仿宋" w:hAnsi="仿宋" w:cs="仿宋" w:hint="eastAsia"/>
                <w:kern w:val="1"/>
                <w:sz w:val="24"/>
              </w:rPr>
              <w:t>从事机动车生产的一般纳税人留存备查</w:t>
            </w:r>
          </w:p>
        </w:tc>
        <w:tc>
          <w:tcPr>
            <w:tcW w:w="2126" w:type="dxa"/>
            <w:vMerge/>
            <w:vAlign w:val="center"/>
          </w:tcPr>
          <w:p w:rsidR="00013EC7" w:rsidRDefault="00013EC7">
            <w:pPr>
              <w:spacing w:line="300" w:lineRule="exact"/>
              <w:rPr>
                <w:rFonts w:ascii="仿宋" w:eastAsia="仿宋" w:hAnsi="仿宋" w:cs="仿宋"/>
                <w:sz w:val="24"/>
              </w:rPr>
            </w:pPr>
          </w:p>
        </w:tc>
        <w:tc>
          <w:tcPr>
            <w:tcW w:w="766" w:type="dxa"/>
            <w:vMerge/>
            <w:vAlign w:val="center"/>
          </w:tcPr>
          <w:p w:rsidR="00013EC7" w:rsidRDefault="00013EC7">
            <w:pPr>
              <w:rPr>
                <w:rFonts w:ascii="仿宋" w:eastAsia="仿宋" w:hAnsi="仿宋" w:cs="仿宋"/>
                <w:sz w:val="24"/>
              </w:rPr>
            </w:pPr>
          </w:p>
        </w:tc>
        <w:tc>
          <w:tcPr>
            <w:tcW w:w="798" w:type="dxa"/>
            <w:vMerge/>
            <w:vAlign w:val="center"/>
          </w:tcPr>
          <w:p w:rsidR="00013EC7" w:rsidRDefault="00013EC7">
            <w:pPr>
              <w:rPr>
                <w:rFonts w:ascii="仿宋" w:eastAsia="仿宋" w:hAnsi="仿宋" w:cs="仿宋"/>
                <w:sz w:val="24"/>
              </w:rPr>
            </w:pP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340"/>
          <w:jc w:val="center"/>
        </w:trPr>
        <w:tc>
          <w:tcPr>
            <w:tcW w:w="672" w:type="dxa"/>
            <w:vMerge/>
            <w:textDirection w:val="tbRlV"/>
            <w:vAlign w:val="center"/>
          </w:tcPr>
          <w:p w:rsidR="00013EC7" w:rsidRDefault="00013EC7">
            <w:pPr>
              <w:rPr>
                <w:rFonts w:ascii="仿宋" w:eastAsia="仿宋" w:hAnsi="仿宋" w:cs="仿宋"/>
                <w:sz w:val="24"/>
              </w:rPr>
            </w:pPr>
          </w:p>
        </w:tc>
        <w:tc>
          <w:tcPr>
            <w:tcW w:w="1035" w:type="dxa"/>
            <w:vMerge/>
            <w:vAlign w:val="center"/>
          </w:tcPr>
          <w:p w:rsidR="00013EC7" w:rsidRDefault="00013EC7">
            <w:pPr>
              <w:rPr>
                <w:rFonts w:ascii="仿宋" w:eastAsia="仿宋" w:hAnsi="仿宋" w:cs="仿宋"/>
                <w:sz w:val="24"/>
              </w:rPr>
            </w:pPr>
          </w:p>
        </w:tc>
        <w:tc>
          <w:tcPr>
            <w:tcW w:w="2263" w:type="dxa"/>
            <w:vMerge/>
            <w:vAlign w:val="center"/>
          </w:tcPr>
          <w:p w:rsidR="00013EC7" w:rsidRDefault="00013EC7">
            <w:pPr>
              <w:rPr>
                <w:rFonts w:ascii="仿宋" w:eastAsia="仿宋" w:hAnsi="仿宋" w:cs="仿宋"/>
                <w:sz w:val="24"/>
              </w:rPr>
            </w:pPr>
          </w:p>
        </w:tc>
        <w:tc>
          <w:tcPr>
            <w:tcW w:w="3544" w:type="dxa"/>
            <w:vAlign w:val="center"/>
          </w:tcPr>
          <w:p w:rsidR="00013EC7" w:rsidRDefault="00575CDB">
            <w:pPr>
              <w:spacing w:line="300" w:lineRule="exact"/>
              <w:rPr>
                <w:rFonts w:ascii="仿宋" w:eastAsia="仿宋" w:hAnsi="仿宋" w:cs="仿宋"/>
                <w:kern w:val="1"/>
                <w:sz w:val="24"/>
                <w:highlight w:val="lightGray"/>
              </w:rPr>
            </w:pPr>
            <w:r>
              <w:rPr>
                <w:rFonts w:ascii="仿宋" w:eastAsia="仿宋" w:hAnsi="仿宋" w:cs="仿宋" w:hint="eastAsia"/>
                <w:kern w:val="1"/>
                <w:sz w:val="24"/>
                <w:highlight w:val="lightGray"/>
              </w:rPr>
              <w:t>（十三）（A06011）《机动车辆经销企业销售明细表》及其电子信息1份。</w:t>
            </w:r>
          </w:p>
        </w:tc>
        <w:tc>
          <w:tcPr>
            <w:tcW w:w="1559" w:type="dxa"/>
            <w:vMerge w:val="restart"/>
            <w:vAlign w:val="center"/>
          </w:tcPr>
          <w:p w:rsidR="00013EC7" w:rsidRDefault="00575CDB">
            <w:pPr>
              <w:rPr>
                <w:rFonts w:ascii="仿宋" w:eastAsia="仿宋" w:hAnsi="仿宋" w:cs="仿宋"/>
                <w:sz w:val="24"/>
              </w:rPr>
            </w:pPr>
            <w:r>
              <w:rPr>
                <w:rFonts w:ascii="仿宋" w:eastAsia="仿宋" w:hAnsi="仿宋" w:cs="仿宋" w:hint="eastAsia"/>
                <w:kern w:val="1"/>
                <w:sz w:val="24"/>
              </w:rPr>
              <w:t>从事机动车销售的一般纳税人</w:t>
            </w:r>
            <w:r>
              <w:rPr>
                <w:rFonts w:ascii="仿宋" w:eastAsia="仿宋" w:hAnsi="仿宋" w:cs="仿宋" w:hint="eastAsia"/>
                <w:sz w:val="24"/>
              </w:rPr>
              <w:t>提交</w:t>
            </w:r>
          </w:p>
        </w:tc>
        <w:tc>
          <w:tcPr>
            <w:tcW w:w="2410"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kern w:val="1"/>
                <w:sz w:val="24"/>
              </w:rPr>
              <w:t>（十二）（A06011）《机动车辆经销企业销售明细表》及其电子信息。</w:t>
            </w:r>
          </w:p>
        </w:tc>
        <w:tc>
          <w:tcPr>
            <w:tcW w:w="1134" w:type="dxa"/>
            <w:vAlign w:val="center"/>
          </w:tcPr>
          <w:p w:rsidR="00013EC7" w:rsidRDefault="00575CDB">
            <w:pPr>
              <w:rPr>
                <w:rFonts w:ascii="仿宋" w:eastAsia="仿宋" w:hAnsi="仿宋" w:cs="仿宋"/>
                <w:sz w:val="24"/>
              </w:rPr>
            </w:pPr>
            <w:r>
              <w:rPr>
                <w:rFonts w:ascii="仿宋" w:eastAsia="仿宋" w:hAnsi="仿宋" w:cs="仿宋" w:hint="eastAsia"/>
                <w:kern w:val="1"/>
                <w:sz w:val="24"/>
              </w:rPr>
              <w:t>从事机动车销售的一般纳税人</w:t>
            </w:r>
            <w:r>
              <w:rPr>
                <w:rFonts w:ascii="仿宋" w:eastAsia="仿宋" w:hAnsi="仿宋" w:cs="仿宋" w:hint="eastAsia"/>
                <w:sz w:val="24"/>
              </w:rPr>
              <w:t>提交</w:t>
            </w:r>
            <w:r>
              <w:rPr>
                <w:rFonts w:ascii="仿宋" w:eastAsia="仿宋" w:hAnsi="仿宋" w:cs="仿宋" w:hint="eastAsia"/>
                <w:kern w:val="1"/>
                <w:sz w:val="24"/>
              </w:rPr>
              <w:t>留存备查</w:t>
            </w:r>
          </w:p>
        </w:tc>
        <w:tc>
          <w:tcPr>
            <w:tcW w:w="2126" w:type="dxa"/>
            <w:vMerge/>
            <w:vAlign w:val="center"/>
          </w:tcPr>
          <w:p w:rsidR="00013EC7" w:rsidRDefault="00013EC7">
            <w:pPr>
              <w:spacing w:line="300" w:lineRule="exact"/>
              <w:rPr>
                <w:rFonts w:ascii="仿宋" w:eastAsia="仿宋" w:hAnsi="仿宋" w:cs="仿宋"/>
                <w:sz w:val="24"/>
              </w:rPr>
            </w:pPr>
          </w:p>
        </w:tc>
        <w:tc>
          <w:tcPr>
            <w:tcW w:w="766" w:type="dxa"/>
            <w:vMerge/>
            <w:vAlign w:val="center"/>
          </w:tcPr>
          <w:p w:rsidR="00013EC7" w:rsidRDefault="00013EC7">
            <w:pPr>
              <w:rPr>
                <w:rFonts w:ascii="仿宋" w:eastAsia="仿宋" w:hAnsi="仿宋" w:cs="仿宋"/>
                <w:sz w:val="24"/>
              </w:rPr>
            </w:pPr>
          </w:p>
        </w:tc>
        <w:tc>
          <w:tcPr>
            <w:tcW w:w="798" w:type="dxa"/>
            <w:vMerge/>
            <w:vAlign w:val="center"/>
          </w:tcPr>
          <w:p w:rsidR="00013EC7" w:rsidRDefault="00013EC7">
            <w:pPr>
              <w:rPr>
                <w:rFonts w:ascii="仿宋" w:eastAsia="仿宋" w:hAnsi="仿宋" w:cs="仿宋"/>
                <w:sz w:val="24"/>
              </w:rPr>
            </w:pP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340"/>
          <w:jc w:val="center"/>
        </w:trPr>
        <w:tc>
          <w:tcPr>
            <w:tcW w:w="672" w:type="dxa"/>
            <w:vMerge/>
            <w:textDirection w:val="tbRlV"/>
            <w:vAlign w:val="center"/>
          </w:tcPr>
          <w:p w:rsidR="00013EC7" w:rsidRDefault="00013EC7">
            <w:pPr>
              <w:rPr>
                <w:rFonts w:ascii="仿宋" w:eastAsia="仿宋" w:hAnsi="仿宋" w:cs="仿宋"/>
                <w:sz w:val="24"/>
              </w:rPr>
            </w:pPr>
          </w:p>
        </w:tc>
        <w:tc>
          <w:tcPr>
            <w:tcW w:w="1035" w:type="dxa"/>
            <w:vMerge/>
            <w:vAlign w:val="center"/>
          </w:tcPr>
          <w:p w:rsidR="00013EC7" w:rsidRDefault="00013EC7">
            <w:pPr>
              <w:rPr>
                <w:rFonts w:ascii="仿宋" w:eastAsia="仿宋" w:hAnsi="仿宋" w:cs="仿宋"/>
                <w:sz w:val="24"/>
              </w:rPr>
            </w:pPr>
          </w:p>
        </w:tc>
        <w:tc>
          <w:tcPr>
            <w:tcW w:w="2263" w:type="dxa"/>
            <w:vMerge/>
            <w:vAlign w:val="center"/>
          </w:tcPr>
          <w:p w:rsidR="00013EC7" w:rsidRDefault="00013EC7">
            <w:pPr>
              <w:rPr>
                <w:rFonts w:ascii="仿宋" w:eastAsia="仿宋" w:hAnsi="仿宋" w:cs="仿宋"/>
                <w:sz w:val="24"/>
              </w:rPr>
            </w:pPr>
          </w:p>
        </w:tc>
        <w:tc>
          <w:tcPr>
            <w:tcW w:w="3544" w:type="dxa"/>
            <w:vAlign w:val="center"/>
          </w:tcPr>
          <w:p w:rsidR="00013EC7" w:rsidRDefault="00575CDB">
            <w:pPr>
              <w:spacing w:line="300" w:lineRule="exact"/>
              <w:rPr>
                <w:rFonts w:ascii="仿宋" w:eastAsia="仿宋" w:hAnsi="仿宋" w:cs="仿宋"/>
                <w:kern w:val="1"/>
                <w:sz w:val="24"/>
                <w:highlight w:val="lightGray"/>
              </w:rPr>
            </w:pPr>
            <w:r>
              <w:rPr>
                <w:rFonts w:ascii="仿宋" w:eastAsia="仿宋" w:hAnsi="仿宋" w:cs="仿宋" w:hint="eastAsia"/>
                <w:kern w:val="1"/>
                <w:sz w:val="24"/>
                <w:highlight w:val="lightGray"/>
              </w:rPr>
              <w:t>（十四）（A06009）《机动车辆销售统一发票清单》及其电子信息1份。</w:t>
            </w:r>
          </w:p>
        </w:tc>
        <w:tc>
          <w:tcPr>
            <w:tcW w:w="1559" w:type="dxa"/>
            <w:vMerge/>
            <w:vAlign w:val="center"/>
          </w:tcPr>
          <w:p w:rsidR="00013EC7" w:rsidRDefault="00013EC7">
            <w:pPr>
              <w:rPr>
                <w:rFonts w:ascii="仿宋" w:eastAsia="仿宋" w:hAnsi="仿宋" w:cs="仿宋"/>
                <w:sz w:val="24"/>
              </w:rPr>
            </w:pPr>
          </w:p>
        </w:tc>
        <w:tc>
          <w:tcPr>
            <w:tcW w:w="2410" w:type="dxa"/>
            <w:vAlign w:val="center"/>
          </w:tcPr>
          <w:p w:rsidR="00013EC7" w:rsidRDefault="00013EC7">
            <w:pPr>
              <w:spacing w:line="300" w:lineRule="exact"/>
              <w:rPr>
                <w:rFonts w:ascii="仿宋" w:eastAsia="仿宋" w:hAnsi="仿宋" w:cs="仿宋"/>
                <w:sz w:val="24"/>
              </w:rPr>
            </w:pPr>
          </w:p>
        </w:tc>
        <w:tc>
          <w:tcPr>
            <w:tcW w:w="1134" w:type="dxa"/>
            <w:vAlign w:val="center"/>
          </w:tcPr>
          <w:p w:rsidR="00013EC7" w:rsidRDefault="00575CDB">
            <w:pPr>
              <w:rPr>
                <w:rFonts w:ascii="仿宋" w:eastAsia="仿宋" w:hAnsi="仿宋" w:cs="仿宋"/>
                <w:sz w:val="24"/>
              </w:rPr>
            </w:pPr>
            <w:r>
              <w:rPr>
                <w:rFonts w:ascii="仿宋" w:eastAsia="仿宋" w:hAnsi="仿宋" w:cs="仿宋" w:hint="eastAsia"/>
                <w:b/>
                <w:bCs/>
                <w:i/>
                <w:iCs/>
                <w:sz w:val="24"/>
              </w:rPr>
              <w:t>取消</w:t>
            </w:r>
          </w:p>
        </w:tc>
        <w:tc>
          <w:tcPr>
            <w:tcW w:w="2126" w:type="dxa"/>
            <w:vMerge/>
            <w:vAlign w:val="center"/>
          </w:tcPr>
          <w:p w:rsidR="00013EC7" w:rsidRDefault="00013EC7">
            <w:pPr>
              <w:spacing w:line="300" w:lineRule="exact"/>
              <w:rPr>
                <w:rFonts w:ascii="仿宋" w:eastAsia="仿宋" w:hAnsi="仿宋" w:cs="仿宋"/>
                <w:sz w:val="24"/>
              </w:rPr>
            </w:pPr>
          </w:p>
        </w:tc>
        <w:tc>
          <w:tcPr>
            <w:tcW w:w="766" w:type="dxa"/>
            <w:vMerge/>
            <w:vAlign w:val="center"/>
          </w:tcPr>
          <w:p w:rsidR="00013EC7" w:rsidRDefault="00013EC7">
            <w:pPr>
              <w:rPr>
                <w:rFonts w:ascii="仿宋" w:eastAsia="仿宋" w:hAnsi="仿宋" w:cs="仿宋"/>
                <w:sz w:val="24"/>
              </w:rPr>
            </w:pPr>
          </w:p>
        </w:tc>
        <w:tc>
          <w:tcPr>
            <w:tcW w:w="798" w:type="dxa"/>
            <w:vMerge/>
            <w:vAlign w:val="center"/>
          </w:tcPr>
          <w:p w:rsidR="00013EC7" w:rsidRDefault="00013EC7">
            <w:pPr>
              <w:rPr>
                <w:rFonts w:ascii="仿宋" w:eastAsia="仿宋" w:hAnsi="仿宋" w:cs="仿宋"/>
                <w:sz w:val="24"/>
              </w:rPr>
            </w:pP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340"/>
          <w:jc w:val="center"/>
        </w:trPr>
        <w:tc>
          <w:tcPr>
            <w:tcW w:w="672" w:type="dxa"/>
            <w:vMerge/>
            <w:textDirection w:val="tbRlV"/>
            <w:vAlign w:val="center"/>
          </w:tcPr>
          <w:p w:rsidR="00013EC7" w:rsidRDefault="00013EC7">
            <w:pPr>
              <w:rPr>
                <w:rFonts w:ascii="仿宋" w:eastAsia="仿宋" w:hAnsi="仿宋" w:cs="仿宋"/>
                <w:sz w:val="24"/>
              </w:rPr>
            </w:pPr>
          </w:p>
        </w:tc>
        <w:tc>
          <w:tcPr>
            <w:tcW w:w="1035" w:type="dxa"/>
            <w:vMerge/>
            <w:vAlign w:val="center"/>
          </w:tcPr>
          <w:p w:rsidR="00013EC7" w:rsidRDefault="00013EC7">
            <w:pPr>
              <w:rPr>
                <w:rFonts w:ascii="仿宋" w:eastAsia="仿宋" w:hAnsi="仿宋" w:cs="仿宋"/>
                <w:sz w:val="24"/>
              </w:rPr>
            </w:pPr>
          </w:p>
        </w:tc>
        <w:tc>
          <w:tcPr>
            <w:tcW w:w="2263" w:type="dxa"/>
            <w:vMerge/>
            <w:vAlign w:val="center"/>
          </w:tcPr>
          <w:p w:rsidR="00013EC7" w:rsidRDefault="00013EC7">
            <w:pPr>
              <w:rPr>
                <w:rFonts w:ascii="仿宋" w:eastAsia="仿宋" w:hAnsi="仿宋" w:cs="仿宋"/>
                <w:sz w:val="24"/>
              </w:rPr>
            </w:pPr>
          </w:p>
        </w:tc>
        <w:tc>
          <w:tcPr>
            <w:tcW w:w="3544" w:type="dxa"/>
            <w:vAlign w:val="center"/>
          </w:tcPr>
          <w:p w:rsidR="00013EC7" w:rsidRDefault="00575CDB">
            <w:pPr>
              <w:spacing w:line="300" w:lineRule="exact"/>
              <w:rPr>
                <w:rFonts w:ascii="仿宋" w:eastAsia="仿宋" w:hAnsi="仿宋" w:cs="仿宋"/>
                <w:kern w:val="1"/>
                <w:sz w:val="24"/>
              </w:rPr>
            </w:pPr>
            <w:r>
              <w:rPr>
                <w:rFonts w:ascii="仿宋" w:eastAsia="仿宋" w:hAnsi="仿宋" w:cs="仿宋" w:hint="eastAsia"/>
                <w:sz w:val="24"/>
              </w:rPr>
              <w:t>（十五）</w:t>
            </w:r>
            <w:hyperlink r:id="rId195" w:history="1">
              <w:r>
                <w:rPr>
                  <w:rFonts w:ascii="仿宋" w:eastAsia="仿宋" w:hAnsi="仿宋" w:cs="仿宋" w:hint="eastAsia"/>
                  <w:kern w:val="1"/>
                  <w:sz w:val="24"/>
                </w:rPr>
                <w:t>（A06269）《电力企业增值税销项税额和进项税额传递单》</w:t>
              </w:r>
            </w:hyperlink>
            <w:r>
              <w:rPr>
                <w:rFonts w:ascii="仿宋" w:eastAsia="仿宋" w:hAnsi="仿宋" w:cs="仿宋" w:hint="eastAsia"/>
                <w:kern w:val="1"/>
                <w:sz w:val="24"/>
                <w:highlight w:val="lightGray"/>
              </w:rPr>
              <w:t>2份</w:t>
            </w:r>
            <w:r>
              <w:rPr>
                <w:rFonts w:ascii="仿宋" w:eastAsia="仿宋" w:hAnsi="仿宋" w:cs="仿宋" w:hint="eastAsia"/>
                <w:kern w:val="1"/>
                <w:sz w:val="24"/>
              </w:rPr>
              <w:t>。</w:t>
            </w:r>
          </w:p>
        </w:tc>
        <w:tc>
          <w:tcPr>
            <w:tcW w:w="1559" w:type="dxa"/>
            <w:vAlign w:val="center"/>
          </w:tcPr>
          <w:p w:rsidR="00013EC7" w:rsidRDefault="00575CDB">
            <w:pPr>
              <w:rPr>
                <w:rFonts w:ascii="仿宋" w:eastAsia="仿宋" w:hAnsi="仿宋" w:cs="仿宋"/>
                <w:sz w:val="24"/>
              </w:rPr>
            </w:pPr>
            <w:r>
              <w:rPr>
                <w:rFonts w:ascii="仿宋" w:eastAsia="仿宋" w:hAnsi="仿宋" w:cs="仿宋" w:hint="eastAsia"/>
                <w:kern w:val="1"/>
                <w:sz w:val="24"/>
              </w:rPr>
              <w:t>采用预缴方式缴纳增值税的发、供电企业</w:t>
            </w:r>
            <w:r>
              <w:rPr>
                <w:rFonts w:ascii="仿宋" w:eastAsia="仿宋" w:hAnsi="仿宋" w:cs="仿宋" w:hint="eastAsia"/>
                <w:sz w:val="24"/>
              </w:rPr>
              <w:t>提交</w:t>
            </w:r>
          </w:p>
        </w:tc>
        <w:tc>
          <w:tcPr>
            <w:tcW w:w="2410"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kern w:val="1"/>
                <w:sz w:val="24"/>
              </w:rPr>
              <w:t>（十三）</w:t>
            </w:r>
            <w:hyperlink r:id="rId196" w:history="1">
              <w:r>
                <w:rPr>
                  <w:rFonts w:ascii="仿宋" w:eastAsia="仿宋" w:hAnsi="仿宋" w:cs="仿宋" w:hint="eastAsia"/>
                  <w:kern w:val="1"/>
                  <w:sz w:val="24"/>
                </w:rPr>
                <w:t>（A06269）《电力企业增值税销项税额和进项税额传递单》</w:t>
              </w:r>
            </w:hyperlink>
            <w:r>
              <w:rPr>
                <w:rFonts w:ascii="仿宋" w:eastAsia="仿宋" w:hAnsi="仿宋" w:cs="仿宋" w:hint="eastAsia"/>
                <w:kern w:val="1"/>
                <w:sz w:val="24"/>
              </w:rPr>
              <w:t>1份。</w:t>
            </w:r>
          </w:p>
        </w:tc>
        <w:tc>
          <w:tcPr>
            <w:tcW w:w="1134" w:type="dxa"/>
            <w:vAlign w:val="center"/>
          </w:tcPr>
          <w:p w:rsidR="00013EC7" w:rsidRDefault="00575CDB">
            <w:pPr>
              <w:rPr>
                <w:rFonts w:ascii="仿宋" w:eastAsia="仿宋" w:hAnsi="仿宋" w:cs="仿宋"/>
                <w:sz w:val="24"/>
              </w:rPr>
            </w:pPr>
            <w:r>
              <w:rPr>
                <w:rFonts w:ascii="仿宋" w:eastAsia="仿宋" w:hAnsi="仿宋" w:cs="仿宋" w:hint="eastAsia"/>
                <w:kern w:val="1"/>
                <w:sz w:val="24"/>
              </w:rPr>
              <w:t>采用预缴方式缴纳增值税的发、供电企业</w:t>
            </w:r>
            <w:r>
              <w:rPr>
                <w:rFonts w:ascii="仿宋" w:eastAsia="仿宋" w:hAnsi="仿宋" w:cs="仿宋" w:hint="eastAsia"/>
                <w:sz w:val="24"/>
              </w:rPr>
              <w:t>提交</w:t>
            </w:r>
          </w:p>
        </w:tc>
        <w:tc>
          <w:tcPr>
            <w:tcW w:w="2126" w:type="dxa"/>
            <w:vMerge/>
            <w:vAlign w:val="center"/>
          </w:tcPr>
          <w:p w:rsidR="00013EC7" w:rsidRDefault="00013EC7">
            <w:pPr>
              <w:spacing w:line="300" w:lineRule="exact"/>
              <w:rPr>
                <w:rFonts w:ascii="仿宋" w:eastAsia="仿宋" w:hAnsi="仿宋" w:cs="仿宋"/>
                <w:sz w:val="24"/>
              </w:rPr>
            </w:pPr>
          </w:p>
        </w:tc>
        <w:tc>
          <w:tcPr>
            <w:tcW w:w="766" w:type="dxa"/>
            <w:vMerge/>
            <w:vAlign w:val="center"/>
          </w:tcPr>
          <w:p w:rsidR="00013EC7" w:rsidRDefault="00013EC7">
            <w:pPr>
              <w:rPr>
                <w:rFonts w:ascii="仿宋" w:eastAsia="仿宋" w:hAnsi="仿宋" w:cs="仿宋"/>
                <w:sz w:val="24"/>
              </w:rPr>
            </w:pPr>
          </w:p>
        </w:tc>
        <w:tc>
          <w:tcPr>
            <w:tcW w:w="798" w:type="dxa"/>
            <w:vMerge/>
            <w:vAlign w:val="center"/>
          </w:tcPr>
          <w:p w:rsidR="00013EC7" w:rsidRDefault="00013EC7">
            <w:pPr>
              <w:rPr>
                <w:rFonts w:ascii="仿宋" w:eastAsia="仿宋" w:hAnsi="仿宋" w:cs="仿宋"/>
                <w:sz w:val="24"/>
              </w:rPr>
            </w:pP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340"/>
          <w:jc w:val="center"/>
        </w:trPr>
        <w:tc>
          <w:tcPr>
            <w:tcW w:w="672" w:type="dxa"/>
            <w:vMerge/>
            <w:textDirection w:val="tbRlV"/>
            <w:vAlign w:val="center"/>
          </w:tcPr>
          <w:p w:rsidR="00013EC7" w:rsidRDefault="00013EC7">
            <w:pPr>
              <w:rPr>
                <w:rFonts w:ascii="仿宋" w:eastAsia="仿宋" w:hAnsi="仿宋" w:cs="仿宋"/>
                <w:sz w:val="24"/>
              </w:rPr>
            </w:pPr>
          </w:p>
        </w:tc>
        <w:tc>
          <w:tcPr>
            <w:tcW w:w="1035" w:type="dxa"/>
            <w:vMerge/>
            <w:vAlign w:val="center"/>
          </w:tcPr>
          <w:p w:rsidR="00013EC7" w:rsidRDefault="00013EC7">
            <w:pPr>
              <w:rPr>
                <w:rFonts w:ascii="仿宋" w:eastAsia="仿宋" w:hAnsi="仿宋" w:cs="仿宋"/>
                <w:sz w:val="24"/>
              </w:rPr>
            </w:pPr>
          </w:p>
        </w:tc>
        <w:tc>
          <w:tcPr>
            <w:tcW w:w="2263" w:type="dxa"/>
            <w:vMerge/>
            <w:vAlign w:val="center"/>
          </w:tcPr>
          <w:p w:rsidR="00013EC7" w:rsidRDefault="00013EC7">
            <w:pPr>
              <w:rPr>
                <w:rFonts w:ascii="仿宋" w:eastAsia="仿宋" w:hAnsi="仿宋" w:cs="仿宋"/>
                <w:sz w:val="24"/>
              </w:rPr>
            </w:pPr>
          </w:p>
        </w:tc>
        <w:tc>
          <w:tcPr>
            <w:tcW w:w="3544" w:type="dxa"/>
            <w:vAlign w:val="center"/>
          </w:tcPr>
          <w:p w:rsidR="00013EC7" w:rsidRDefault="00575CDB">
            <w:pPr>
              <w:spacing w:line="300" w:lineRule="exact"/>
              <w:rPr>
                <w:rFonts w:ascii="仿宋" w:eastAsia="仿宋" w:hAnsi="仿宋" w:cs="仿宋"/>
                <w:kern w:val="1"/>
                <w:sz w:val="24"/>
              </w:rPr>
            </w:pPr>
            <w:r>
              <w:rPr>
                <w:rFonts w:ascii="仿宋" w:eastAsia="仿宋" w:hAnsi="仿宋" w:cs="仿宋" w:hint="eastAsia"/>
                <w:sz w:val="24"/>
              </w:rPr>
              <w:t>（十六）</w:t>
            </w:r>
            <w:hyperlink r:id="rId197" w:history="1">
              <w:r>
                <w:rPr>
                  <w:rFonts w:ascii="仿宋" w:eastAsia="仿宋" w:hAnsi="仿宋" w:cs="仿宋" w:hint="eastAsia"/>
                  <w:kern w:val="1"/>
                  <w:sz w:val="24"/>
                </w:rPr>
                <w:t>（A06511）《航空运输企业分支机构传递单</w:t>
              </w:r>
            </w:hyperlink>
            <w:r>
              <w:rPr>
                <w:rFonts w:ascii="仿宋" w:eastAsia="仿宋" w:hAnsi="仿宋" w:cs="仿宋" w:hint="eastAsia"/>
                <w:kern w:val="1"/>
                <w:sz w:val="24"/>
              </w:rPr>
              <w:t>》</w:t>
            </w:r>
            <w:r>
              <w:rPr>
                <w:rFonts w:ascii="仿宋" w:eastAsia="仿宋" w:hAnsi="仿宋" w:cs="仿宋" w:hint="eastAsia"/>
                <w:kern w:val="1"/>
                <w:sz w:val="24"/>
                <w:highlight w:val="lightGray"/>
              </w:rPr>
              <w:t>2份</w:t>
            </w:r>
            <w:r>
              <w:rPr>
                <w:rFonts w:ascii="仿宋" w:eastAsia="仿宋" w:hAnsi="仿宋" w:cs="仿宋" w:hint="eastAsia"/>
                <w:kern w:val="1"/>
                <w:sz w:val="24"/>
              </w:rPr>
              <w:t>。</w:t>
            </w:r>
          </w:p>
        </w:tc>
        <w:tc>
          <w:tcPr>
            <w:tcW w:w="1559" w:type="dxa"/>
            <w:vAlign w:val="center"/>
          </w:tcPr>
          <w:p w:rsidR="00013EC7" w:rsidRDefault="00575CDB">
            <w:pPr>
              <w:rPr>
                <w:rFonts w:ascii="仿宋" w:eastAsia="仿宋" w:hAnsi="仿宋" w:cs="仿宋"/>
                <w:sz w:val="24"/>
              </w:rPr>
            </w:pPr>
            <w:r>
              <w:rPr>
                <w:rFonts w:ascii="仿宋" w:eastAsia="仿宋" w:hAnsi="仿宋" w:cs="仿宋" w:hint="eastAsia"/>
                <w:kern w:val="1"/>
                <w:sz w:val="24"/>
              </w:rPr>
              <w:t>航空运输汇总纳税企业</w:t>
            </w:r>
            <w:r>
              <w:rPr>
                <w:rFonts w:ascii="仿宋" w:eastAsia="仿宋" w:hAnsi="仿宋" w:cs="仿宋" w:hint="eastAsia"/>
                <w:sz w:val="24"/>
              </w:rPr>
              <w:t>提交</w:t>
            </w:r>
          </w:p>
        </w:tc>
        <w:tc>
          <w:tcPr>
            <w:tcW w:w="2410"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（十四）</w:t>
            </w:r>
            <w:hyperlink r:id="rId198" w:history="1">
              <w:r>
                <w:rPr>
                  <w:rFonts w:ascii="仿宋" w:eastAsia="仿宋" w:hAnsi="仿宋" w:cs="仿宋" w:hint="eastAsia"/>
                  <w:kern w:val="1"/>
                  <w:sz w:val="24"/>
                </w:rPr>
                <w:t>（A06511）《航空运输企业分支机构传递单</w:t>
              </w:r>
            </w:hyperlink>
            <w:r>
              <w:rPr>
                <w:rFonts w:ascii="仿宋" w:eastAsia="仿宋" w:hAnsi="仿宋" w:cs="仿宋" w:hint="eastAsia"/>
                <w:kern w:val="1"/>
                <w:sz w:val="24"/>
              </w:rPr>
              <w:t>》1份。</w:t>
            </w:r>
          </w:p>
        </w:tc>
        <w:tc>
          <w:tcPr>
            <w:tcW w:w="1134" w:type="dxa"/>
            <w:vAlign w:val="center"/>
          </w:tcPr>
          <w:p w:rsidR="00013EC7" w:rsidRDefault="00575CDB">
            <w:pPr>
              <w:rPr>
                <w:rFonts w:ascii="仿宋" w:eastAsia="仿宋" w:hAnsi="仿宋" w:cs="仿宋"/>
                <w:sz w:val="24"/>
              </w:rPr>
            </w:pPr>
            <w:r>
              <w:rPr>
                <w:rFonts w:ascii="仿宋" w:eastAsia="仿宋" w:hAnsi="仿宋" w:cs="仿宋" w:hint="eastAsia"/>
                <w:kern w:val="1"/>
                <w:sz w:val="24"/>
              </w:rPr>
              <w:t>航空运输汇总纳税企业</w:t>
            </w:r>
            <w:r>
              <w:rPr>
                <w:rFonts w:ascii="仿宋" w:eastAsia="仿宋" w:hAnsi="仿宋" w:cs="仿宋" w:hint="eastAsia"/>
                <w:sz w:val="24"/>
              </w:rPr>
              <w:t>提交</w:t>
            </w:r>
          </w:p>
        </w:tc>
        <w:tc>
          <w:tcPr>
            <w:tcW w:w="2126" w:type="dxa"/>
            <w:vMerge/>
            <w:vAlign w:val="center"/>
          </w:tcPr>
          <w:p w:rsidR="00013EC7" w:rsidRDefault="00013EC7">
            <w:pPr>
              <w:spacing w:line="300" w:lineRule="exact"/>
              <w:rPr>
                <w:rFonts w:ascii="仿宋" w:eastAsia="仿宋" w:hAnsi="仿宋" w:cs="仿宋"/>
                <w:sz w:val="24"/>
              </w:rPr>
            </w:pPr>
          </w:p>
        </w:tc>
        <w:tc>
          <w:tcPr>
            <w:tcW w:w="766" w:type="dxa"/>
            <w:vMerge/>
            <w:vAlign w:val="center"/>
          </w:tcPr>
          <w:p w:rsidR="00013EC7" w:rsidRDefault="00013EC7">
            <w:pPr>
              <w:rPr>
                <w:rFonts w:ascii="仿宋" w:eastAsia="仿宋" w:hAnsi="仿宋" w:cs="仿宋"/>
                <w:sz w:val="24"/>
              </w:rPr>
            </w:pPr>
          </w:p>
        </w:tc>
        <w:tc>
          <w:tcPr>
            <w:tcW w:w="798" w:type="dxa"/>
            <w:vMerge/>
            <w:vAlign w:val="center"/>
          </w:tcPr>
          <w:p w:rsidR="00013EC7" w:rsidRDefault="00013EC7">
            <w:pPr>
              <w:rPr>
                <w:rFonts w:ascii="仿宋" w:eastAsia="仿宋" w:hAnsi="仿宋" w:cs="仿宋"/>
                <w:sz w:val="24"/>
              </w:rPr>
            </w:pP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340"/>
          <w:jc w:val="center"/>
        </w:trPr>
        <w:tc>
          <w:tcPr>
            <w:tcW w:w="672" w:type="dxa"/>
            <w:vMerge/>
            <w:textDirection w:val="tbRlV"/>
            <w:vAlign w:val="center"/>
          </w:tcPr>
          <w:p w:rsidR="00013EC7" w:rsidRDefault="00013EC7">
            <w:pPr>
              <w:rPr>
                <w:rFonts w:ascii="仿宋" w:eastAsia="仿宋" w:hAnsi="仿宋" w:cs="仿宋"/>
                <w:sz w:val="24"/>
              </w:rPr>
            </w:pPr>
          </w:p>
        </w:tc>
        <w:tc>
          <w:tcPr>
            <w:tcW w:w="1035" w:type="dxa"/>
            <w:vMerge/>
            <w:vAlign w:val="center"/>
          </w:tcPr>
          <w:p w:rsidR="00013EC7" w:rsidRDefault="00013EC7">
            <w:pPr>
              <w:rPr>
                <w:rFonts w:ascii="仿宋" w:eastAsia="仿宋" w:hAnsi="仿宋" w:cs="仿宋"/>
                <w:sz w:val="24"/>
              </w:rPr>
            </w:pPr>
          </w:p>
        </w:tc>
        <w:tc>
          <w:tcPr>
            <w:tcW w:w="2263" w:type="dxa"/>
            <w:vMerge/>
            <w:vAlign w:val="center"/>
          </w:tcPr>
          <w:p w:rsidR="00013EC7" w:rsidRDefault="00013EC7">
            <w:pPr>
              <w:rPr>
                <w:rFonts w:ascii="仿宋" w:eastAsia="仿宋" w:hAnsi="仿宋" w:cs="仿宋"/>
                <w:sz w:val="24"/>
              </w:rPr>
            </w:pPr>
          </w:p>
        </w:tc>
        <w:tc>
          <w:tcPr>
            <w:tcW w:w="3544"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（十七）</w:t>
            </w:r>
            <w:hyperlink r:id="rId199" w:history="1">
              <w:r>
                <w:rPr>
                  <w:rFonts w:ascii="仿宋" w:eastAsia="仿宋" w:hAnsi="仿宋" w:cs="仿宋" w:hint="eastAsia"/>
                  <w:kern w:val="1"/>
                  <w:sz w:val="24"/>
                </w:rPr>
                <w:t>（A06513）《邮政企业分支机构增值税汇总纳税信息传递</w:t>
              </w:r>
              <w:r>
                <w:rPr>
                  <w:rFonts w:ascii="仿宋" w:eastAsia="仿宋" w:hAnsi="仿宋" w:cs="仿宋" w:hint="eastAsia"/>
                  <w:kern w:val="1"/>
                  <w:sz w:val="24"/>
                </w:rPr>
                <w:lastRenderedPageBreak/>
                <w:t>单》</w:t>
              </w:r>
            </w:hyperlink>
            <w:r>
              <w:rPr>
                <w:rFonts w:ascii="仿宋" w:eastAsia="仿宋" w:hAnsi="仿宋" w:cs="仿宋" w:hint="eastAsia"/>
                <w:kern w:val="1"/>
                <w:sz w:val="24"/>
                <w:highlight w:val="lightGray"/>
              </w:rPr>
              <w:t>2份</w:t>
            </w:r>
            <w:r>
              <w:rPr>
                <w:rFonts w:ascii="仿宋" w:eastAsia="仿宋" w:hAnsi="仿宋" w:cs="仿宋" w:hint="eastAsia"/>
                <w:kern w:val="1"/>
                <w:sz w:val="24"/>
              </w:rPr>
              <w:t>。</w:t>
            </w:r>
          </w:p>
        </w:tc>
        <w:tc>
          <w:tcPr>
            <w:tcW w:w="1559" w:type="dxa"/>
            <w:vAlign w:val="center"/>
          </w:tcPr>
          <w:p w:rsidR="00013EC7" w:rsidRDefault="00575CDB">
            <w:pPr>
              <w:rPr>
                <w:rFonts w:ascii="仿宋" w:eastAsia="仿宋" w:hAnsi="仿宋" w:cs="仿宋"/>
                <w:sz w:val="24"/>
              </w:rPr>
            </w:pPr>
            <w:r>
              <w:rPr>
                <w:rFonts w:ascii="仿宋" w:eastAsia="仿宋" w:hAnsi="仿宋" w:cs="仿宋" w:hint="eastAsia"/>
                <w:kern w:val="1"/>
                <w:sz w:val="24"/>
              </w:rPr>
              <w:lastRenderedPageBreak/>
              <w:t>邮政汇总纳税企业</w:t>
            </w:r>
            <w:r>
              <w:rPr>
                <w:rFonts w:ascii="仿宋" w:eastAsia="仿宋" w:hAnsi="仿宋" w:cs="仿宋" w:hint="eastAsia"/>
                <w:sz w:val="24"/>
              </w:rPr>
              <w:t>提交</w:t>
            </w:r>
          </w:p>
        </w:tc>
        <w:tc>
          <w:tcPr>
            <w:tcW w:w="2410"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（十五）</w:t>
            </w:r>
            <w:hyperlink r:id="rId200" w:history="1">
              <w:r>
                <w:rPr>
                  <w:rFonts w:ascii="仿宋" w:eastAsia="仿宋" w:hAnsi="仿宋" w:cs="仿宋" w:hint="eastAsia"/>
                  <w:kern w:val="1"/>
                  <w:sz w:val="24"/>
                </w:rPr>
                <w:t>（A06513）《邮政企业分支机构增值</w:t>
              </w:r>
              <w:r>
                <w:rPr>
                  <w:rFonts w:ascii="仿宋" w:eastAsia="仿宋" w:hAnsi="仿宋" w:cs="仿宋" w:hint="eastAsia"/>
                  <w:kern w:val="1"/>
                  <w:sz w:val="24"/>
                </w:rPr>
                <w:lastRenderedPageBreak/>
                <w:t>税汇总纳税信息传递单》</w:t>
              </w:r>
            </w:hyperlink>
            <w:r>
              <w:rPr>
                <w:rFonts w:ascii="仿宋" w:eastAsia="仿宋" w:hAnsi="仿宋" w:cs="仿宋" w:hint="eastAsia"/>
                <w:kern w:val="1"/>
                <w:sz w:val="24"/>
              </w:rPr>
              <w:t>1份。</w:t>
            </w:r>
          </w:p>
        </w:tc>
        <w:tc>
          <w:tcPr>
            <w:tcW w:w="1134" w:type="dxa"/>
            <w:vAlign w:val="center"/>
          </w:tcPr>
          <w:p w:rsidR="00013EC7" w:rsidRDefault="00575CDB">
            <w:pPr>
              <w:rPr>
                <w:rFonts w:ascii="仿宋" w:eastAsia="仿宋" w:hAnsi="仿宋" w:cs="仿宋"/>
                <w:sz w:val="24"/>
              </w:rPr>
            </w:pPr>
            <w:r>
              <w:rPr>
                <w:rFonts w:ascii="仿宋" w:eastAsia="仿宋" w:hAnsi="仿宋" w:cs="仿宋" w:hint="eastAsia"/>
                <w:kern w:val="1"/>
                <w:sz w:val="24"/>
              </w:rPr>
              <w:lastRenderedPageBreak/>
              <w:t>邮政汇总纳税企业</w:t>
            </w:r>
            <w:r>
              <w:rPr>
                <w:rFonts w:ascii="仿宋" w:eastAsia="仿宋" w:hAnsi="仿宋" w:cs="仿宋" w:hint="eastAsia"/>
                <w:sz w:val="24"/>
              </w:rPr>
              <w:lastRenderedPageBreak/>
              <w:t>提交</w:t>
            </w:r>
          </w:p>
        </w:tc>
        <w:tc>
          <w:tcPr>
            <w:tcW w:w="2126" w:type="dxa"/>
            <w:vMerge/>
            <w:vAlign w:val="center"/>
          </w:tcPr>
          <w:p w:rsidR="00013EC7" w:rsidRDefault="00013EC7">
            <w:pPr>
              <w:spacing w:line="300" w:lineRule="exact"/>
              <w:rPr>
                <w:rFonts w:ascii="仿宋" w:eastAsia="仿宋" w:hAnsi="仿宋" w:cs="仿宋"/>
                <w:sz w:val="24"/>
              </w:rPr>
            </w:pPr>
          </w:p>
        </w:tc>
        <w:tc>
          <w:tcPr>
            <w:tcW w:w="766" w:type="dxa"/>
            <w:vMerge/>
            <w:vAlign w:val="center"/>
          </w:tcPr>
          <w:p w:rsidR="00013EC7" w:rsidRDefault="00013EC7">
            <w:pPr>
              <w:rPr>
                <w:rFonts w:ascii="仿宋" w:eastAsia="仿宋" w:hAnsi="仿宋" w:cs="仿宋"/>
                <w:sz w:val="24"/>
              </w:rPr>
            </w:pPr>
          </w:p>
        </w:tc>
        <w:tc>
          <w:tcPr>
            <w:tcW w:w="798" w:type="dxa"/>
            <w:vMerge/>
            <w:vAlign w:val="center"/>
          </w:tcPr>
          <w:p w:rsidR="00013EC7" w:rsidRDefault="00013EC7">
            <w:pPr>
              <w:rPr>
                <w:rFonts w:ascii="仿宋" w:eastAsia="仿宋" w:hAnsi="仿宋" w:cs="仿宋"/>
                <w:sz w:val="24"/>
              </w:rPr>
            </w:pP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340"/>
          <w:jc w:val="center"/>
        </w:trPr>
        <w:tc>
          <w:tcPr>
            <w:tcW w:w="672" w:type="dxa"/>
            <w:vMerge/>
            <w:textDirection w:val="tbRlV"/>
            <w:vAlign w:val="center"/>
          </w:tcPr>
          <w:p w:rsidR="00013EC7" w:rsidRDefault="00013EC7">
            <w:pPr>
              <w:rPr>
                <w:rFonts w:ascii="仿宋" w:eastAsia="仿宋" w:hAnsi="仿宋" w:cs="仿宋"/>
                <w:sz w:val="24"/>
              </w:rPr>
            </w:pPr>
          </w:p>
        </w:tc>
        <w:tc>
          <w:tcPr>
            <w:tcW w:w="1035" w:type="dxa"/>
            <w:vMerge/>
            <w:vAlign w:val="center"/>
          </w:tcPr>
          <w:p w:rsidR="00013EC7" w:rsidRDefault="00013EC7">
            <w:pPr>
              <w:rPr>
                <w:rFonts w:ascii="仿宋" w:eastAsia="仿宋" w:hAnsi="仿宋" w:cs="仿宋"/>
                <w:sz w:val="24"/>
              </w:rPr>
            </w:pPr>
          </w:p>
        </w:tc>
        <w:tc>
          <w:tcPr>
            <w:tcW w:w="2263" w:type="dxa"/>
            <w:vMerge/>
            <w:vAlign w:val="center"/>
          </w:tcPr>
          <w:p w:rsidR="00013EC7" w:rsidRDefault="00013EC7">
            <w:pPr>
              <w:rPr>
                <w:rFonts w:ascii="仿宋" w:eastAsia="仿宋" w:hAnsi="仿宋" w:cs="仿宋"/>
                <w:sz w:val="24"/>
              </w:rPr>
            </w:pPr>
          </w:p>
        </w:tc>
        <w:tc>
          <w:tcPr>
            <w:tcW w:w="3544"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（十八）</w:t>
            </w:r>
            <w:hyperlink r:id="rId201" w:history="1">
              <w:r>
                <w:rPr>
                  <w:rFonts w:ascii="仿宋" w:eastAsia="仿宋" w:hAnsi="仿宋" w:cs="仿宋" w:hint="eastAsia"/>
                  <w:kern w:val="1"/>
                  <w:sz w:val="24"/>
                </w:rPr>
                <w:t>（A06514）《铁路运输企业分支机构增值税汇总纳税信息传递单》</w:t>
              </w:r>
            </w:hyperlink>
            <w:r>
              <w:rPr>
                <w:rFonts w:ascii="仿宋" w:eastAsia="仿宋" w:hAnsi="仿宋" w:cs="仿宋" w:hint="eastAsia"/>
                <w:kern w:val="1"/>
                <w:sz w:val="24"/>
                <w:highlight w:val="lightGray"/>
              </w:rPr>
              <w:t>2份</w:t>
            </w:r>
            <w:r>
              <w:rPr>
                <w:rFonts w:ascii="仿宋" w:eastAsia="仿宋" w:hAnsi="仿宋" w:cs="仿宋" w:hint="eastAsia"/>
                <w:kern w:val="1"/>
                <w:sz w:val="24"/>
              </w:rPr>
              <w:t>。</w:t>
            </w:r>
          </w:p>
        </w:tc>
        <w:tc>
          <w:tcPr>
            <w:tcW w:w="1559" w:type="dxa"/>
            <w:vAlign w:val="center"/>
          </w:tcPr>
          <w:p w:rsidR="00013EC7" w:rsidRDefault="00575CDB">
            <w:pPr>
              <w:rPr>
                <w:rFonts w:ascii="仿宋" w:eastAsia="仿宋" w:hAnsi="仿宋" w:cs="仿宋"/>
                <w:sz w:val="24"/>
              </w:rPr>
            </w:pPr>
            <w:r>
              <w:rPr>
                <w:rFonts w:ascii="仿宋" w:eastAsia="仿宋" w:hAnsi="仿宋" w:cs="仿宋" w:hint="eastAsia"/>
                <w:kern w:val="1"/>
                <w:sz w:val="24"/>
              </w:rPr>
              <w:t>铁路运输汇总纳税企业</w:t>
            </w:r>
            <w:r>
              <w:rPr>
                <w:rFonts w:ascii="仿宋" w:eastAsia="仿宋" w:hAnsi="仿宋" w:cs="仿宋" w:hint="eastAsia"/>
                <w:sz w:val="24"/>
              </w:rPr>
              <w:t>提交</w:t>
            </w:r>
          </w:p>
        </w:tc>
        <w:tc>
          <w:tcPr>
            <w:tcW w:w="2410"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（十六）</w:t>
            </w:r>
            <w:hyperlink r:id="rId202" w:history="1">
              <w:r>
                <w:rPr>
                  <w:rFonts w:ascii="仿宋" w:eastAsia="仿宋" w:hAnsi="仿宋" w:cs="仿宋" w:hint="eastAsia"/>
                  <w:kern w:val="1"/>
                  <w:sz w:val="24"/>
                </w:rPr>
                <w:t>（A06514）《铁路运输企业分支机构增值税汇总纳税信息传递单》</w:t>
              </w:r>
            </w:hyperlink>
            <w:r>
              <w:rPr>
                <w:rFonts w:ascii="仿宋" w:eastAsia="仿宋" w:hAnsi="仿宋" w:cs="仿宋" w:hint="eastAsia"/>
                <w:kern w:val="1"/>
                <w:sz w:val="24"/>
              </w:rPr>
              <w:t>1份。</w:t>
            </w:r>
          </w:p>
        </w:tc>
        <w:tc>
          <w:tcPr>
            <w:tcW w:w="1134" w:type="dxa"/>
            <w:vAlign w:val="center"/>
          </w:tcPr>
          <w:p w:rsidR="00013EC7" w:rsidRDefault="00575CDB">
            <w:pPr>
              <w:rPr>
                <w:rFonts w:ascii="仿宋" w:eastAsia="仿宋" w:hAnsi="仿宋" w:cs="仿宋"/>
                <w:sz w:val="24"/>
              </w:rPr>
            </w:pPr>
            <w:r>
              <w:rPr>
                <w:rFonts w:ascii="仿宋" w:eastAsia="仿宋" w:hAnsi="仿宋" w:cs="仿宋" w:hint="eastAsia"/>
                <w:kern w:val="1"/>
                <w:sz w:val="24"/>
              </w:rPr>
              <w:t>铁路运输汇总纳税企业</w:t>
            </w:r>
            <w:r>
              <w:rPr>
                <w:rFonts w:ascii="仿宋" w:eastAsia="仿宋" w:hAnsi="仿宋" w:cs="仿宋" w:hint="eastAsia"/>
                <w:sz w:val="24"/>
              </w:rPr>
              <w:t>提交</w:t>
            </w:r>
          </w:p>
        </w:tc>
        <w:tc>
          <w:tcPr>
            <w:tcW w:w="2126" w:type="dxa"/>
            <w:vMerge/>
            <w:vAlign w:val="center"/>
          </w:tcPr>
          <w:p w:rsidR="00013EC7" w:rsidRDefault="00013EC7">
            <w:pPr>
              <w:spacing w:line="300" w:lineRule="exact"/>
              <w:rPr>
                <w:rFonts w:ascii="仿宋" w:eastAsia="仿宋" w:hAnsi="仿宋" w:cs="仿宋"/>
                <w:sz w:val="24"/>
              </w:rPr>
            </w:pPr>
          </w:p>
        </w:tc>
        <w:tc>
          <w:tcPr>
            <w:tcW w:w="766" w:type="dxa"/>
            <w:vMerge/>
            <w:vAlign w:val="center"/>
          </w:tcPr>
          <w:p w:rsidR="00013EC7" w:rsidRDefault="00013EC7">
            <w:pPr>
              <w:rPr>
                <w:rFonts w:ascii="仿宋" w:eastAsia="仿宋" w:hAnsi="仿宋" w:cs="仿宋"/>
                <w:sz w:val="24"/>
              </w:rPr>
            </w:pPr>
          </w:p>
        </w:tc>
        <w:tc>
          <w:tcPr>
            <w:tcW w:w="798" w:type="dxa"/>
            <w:vMerge/>
            <w:vAlign w:val="center"/>
          </w:tcPr>
          <w:p w:rsidR="00013EC7" w:rsidRDefault="00013EC7">
            <w:pPr>
              <w:rPr>
                <w:rFonts w:ascii="仿宋" w:eastAsia="仿宋" w:hAnsi="仿宋" w:cs="仿宋"/>
                <w:sz w:val="24"/>
              </w:rPr>
            </w:pP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340"/>
          <w:jc w:val="center"/>
        </w:trPr>
        <w:tc>
          <w:tcPr>
            <w:tcW w:w="672" w:type="dxa"/>
            <w:vMerge/>
            <w:textDirection w:val="tbRlV"/>
            <w:vAlign w:val="center"/>
          </w:tcPr>
          <w:p w:rsidR="00013EC7" w:rsidRDefault="00013EC7">
            <w:pPr>
              <w:rPr>
                <w:rFonts w:ascii="仿宋" w:eastAsia="仿宋" w:hAnsi="仿宋" w:cs="仿宋"/>
                <w:sz w:val="24"/>
              </w:rPr>
            </w:pPr>
          </w:p>
        </w:tc>
        <w:tc>
          <w:tcPr>
            <w:tcW w:w="1035" w:type="dxa"/>
            <w:vMerge/>
            <w:vAlign w:val="center"/>
          </w:tcPr>
          <w:p w:rsidR="00013EC7" w:rsidRDefault="00013EC7">
            <w:pPr>
              <w:rPr>
                <w:rFonts w:ascii="仿宋" w:eastAsia="仿宋" w:hAnsi="仿宋" w:cs="仿宋"/>
                <w:sz w:val="24"/>
              </w:rPr>
            </w:pPr>
          </w:p>
        </w:tc>
        <w:tc>
          <w:tcPr>
            <w:tcW w:w="2263" w:type="dxa"/>
            <w:vMerge/>
            <w:vAlign w:val="center"/>
          </w:tcPr>
          <w:p w:rsidR="00013EC7" w:rsidRDefault="00013EC7">
            <w:pPr>
              <w:rPr>
                <w:rFonts w:ascii="仿宋" w:eastAsia="仿宋" w:hAnsi="仿宋" w:cs="仿宋"/>
                <w:sz w:val="24"/>
              </w:rPr>
            </w:pPr>
          </w:p>
        </w:tc>
        <w:tc>
          <w:tcPr>
            <w:tcW w:w="3544"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（十九）</w:t>
            </w:r>
            <w:hyperlink r:id="rId203" w:history="1">
              <w:r>
                <w:rPr>
                  <w:rFonts w:ascii="仿宋" w:eastAsia="仿宋" w:hAnsi="仿宋" w:cs="仿宋" w:hint="eastAsia"/>
                  <w:sz w:val="24"/>
                </w:rPr>
                <w:t>（A06542）《电信企业分支机构增值税汇总纳税信息传递单》</w:t>
              </w:r>
            </w:hyperlink>
            <w:r>
              <w:rPr>
                <w:rFonts w:ascii="仿宋" w:eastAsia="仿宋" w:hAnsi="仿宋" w:cs="仿宋" w:hint="eastAsia"/>
                <w:sz w:val="24"/>
                <w:highlight w:val="lightGray"/>
              </w:rPr>
              <w:t>2份</w:t>
            </w:r>
            <w:r>
              <w:rPr>
                <w:rFonts w:ascii="仿宋" w:eastAsia="仿宋" w:hAnsi="仿宋" w:cs="仿宋" w:hint="eastAsia"/>
                <w:sz w:val="24"/>
              </w:rPr>
              <w:t>。</w:t>
            </w:r>
          </w:p>
          <w:p w:rsidR="00013EC7" w:rsidRDefault="00013EC7">
            <w:pPr>
              <w:spacing w:line="300" w:lineRule="exact"/>
              <w:rPr>
                <w:rFonts w:ascii="仿宋" w:eastAsia="仿宋" w:hAnsi="仿宋" w:cs="仿宋"/>
                <w:sz w:val="24"/>
              </w:rPr>
            </w:pPr>
          </w:p>
        </w:tc>
        <w:tc>
          <w:tcPr>
            <w:tcW w:w="1559" w:type="dxa"/>
            <w:vAlign w:val="center"/>
          </w:tcPr>
          <w:p w:rsidR="00013EC7" w:rsidRDefault="00575CDB">
            <w:pPr>
              <w:rPr>
                <w:rFonts w:ascii="仿宋" w:eastAsia="仿宋" w:hAnsi="仿宋" w:cs="仿宋"/>
                <w:sz w:val="24"/>
              </w:rPr>
            </w:pPr>
            <w:r>
              <w:rPr>
                <w:rFonts w:ascii="仿宋" w:eastAsia="仿宋" w:hAnsi="仿宋" w:cs="仿宋" w:hint="eastAsia"/>
                <w:kern w:val="1"/>
                <w:sz w:val="24"/>
              </w:rPr>
              <w:t>电信汇总纳税企业</w:t>
            </w:r>
            <w:r>
              <w:rPr>
                <w:rFonts w:ascii="仿宋" w:eastAsia="仿宋" w:hAnsi="仿宋" w:cs="仿宋" w:hint="eastAsia"/>
                <w:sz w:val="24"/>
              </w:rPr>
              <w:t>提交</w:t>
            </w:r>
          </w:p>
        </w:tc>
        <w:tc>
          <w:tcPr>
            <w:tcW w:w="2410"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（十七）</w:t>
            </w:r>
            <w:hyperlink r:id="rId204" w:history="1">
              <w:r>
                <w:rPr>
                  <w:rFonts w:ascii="仿宋" w:eastAsia="仿宋" w:hAnsi="仿宋" w:cs="仿宋" w:hint="eastAsia"/>
                  <w:sz w:val="24"/>
                </w:rPr>
                <w:t>（A06542）《电信企业分支机构增值税汇总纳税信息传递单》</w:t>
              </w:r>
            </w:hyperlink>
            <w:r>
              <w:rPr>
                <w:rFonts w:ascii="仿宋" w:eastAsia="仿宋" w:hAnsi="仿宋" w:cs="仿宋" w:hint="eastAsia"/>
                <w:sz w:val="24"/>
              </w:rPr>
              <w:t>1份。</w:t>
            </w:r>
          </w:p>
          <w:p w:rsidR="00013EC7" w:rsidRDefault="00013EC7">
            <w:pPr>
              <w:spacing w:line="300" w:lineRule="exact"/>
              <w:rPr>
                <w:rFonts w:ascii="仿宋" w:eastAsia="仿宋" w:hAnsi="仿宋" w:cs="仿宋"/>
                <w:sz w:val="24"/>
              </w:rPr>
            </w:pPr>
          </w:p>
        </w:tc>
        <w:tc>
          <w:tcPr>
            <w:tcW w:w="1134" w:type="dxa"/>
            <w:vAlign w:val="center"/>
          </w:tcPr>
          <w:p w:rsidR="00013EC7" w:rsidRDefault="00575CDB">
            <w:pPr>
              <w:rPr>
                <w:rFonts w:ascii="仿宋" w:eastAsia="仿宋" w:hAnsi="仿宋" w:cs="仿宋"/>
                <w:sz w:val="24"/>
              </w:rPr>
            </w:pPr>
            <w:r>
              <w:rPr>
                <w:rFonts w:ascii="仿宋" w:eastAsia="仿宋" w:hAnsi="仿宋" w:cs="仿宋" w:hint="eastAsia"/>
                <w:kern w:val="1"/>
                <w:sz w:val="24"/>
              </w:rPr>
              <w:t>电信汇总纳税企业</w:t>
            </w:r>
            <w:r>
              <w:rPr>
                <w:rFonts w:ascii="仿宋" w:eastAsia="仿宋" w:hAnsi="仿宋" w:cs="仿宋" w:hint="eastAsia"/>
                <w:sz w:val="24"/>
              </w:rPr>
              <w:t>提交</w:t>
            </w:r>
          </w:p>
        </w:tc>
        <w:tc>
          <w:tcPr>
            <w:tcW w:w="2126" w:type="dxa"/>
            <w:vMerge/>
            <w:vAlign w:val="center"/>
          </w:tcPr>
          <w:p w:rsidR="00013EC7" w:rsidRDefault="00013EC7">
            <w:pPr>
              <w:spacing w:line="300" w:lineRule="exact"/>
              <w:rPr>
                <w:rFonts w:ascii="仿宋" w:eastAsia="仿宋" w:hAnsi="仿宋" w:cs="仿宋"/>
                <w:sz w:val="24"/>
              </w:rPr>
            </w:pPr>
          </w:p>
        </w:tc>
        <w:tc>
          <w:tcPr>
            <w:tcW w:w="766" w:type="dxa"/>
            <w:vMerge/>
            <w:vAlign w:val="center"/>
          </w:tcPr>
          <w:p w:rsidR="00013EC7" w:rsidRDefault="00013EC7">
            <w:pPr>
              <w:rPr>
                <w:rFonts w:ascii="仿宋" w:eastAsia="仿宋" w:hAnsi="仿宋" w:cs="仿宋"/>
                <w:sz w:val="24"/>
              </w:rPr>
            </w:pPr>
          </w:p>
        </w:tc>
        <w:tc>
          <w:tcPr>
            <w:tcW w:w="798" w:type="dxa"/>
            <w:vMerge/>
            <w:vAlign w:val="center"/>
          </w:tcPr>
          <w:p w:rsidR="00013EC7" w:rsidRDefault="00013EC7">
            <w:pPr>
              <w:rPr>
                <w:rFonts w:ascii="仿宋" w:eastAsia="仿宋" w:hAnsi="仿宋" w:cs="仿宋"/>
                <w:sz w:val="24"/>
              </w:rPr>
            </w:pP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340"/>
          <w:jc w:val="center"/>
        </w:trPr>
        <w:tc>
          <w:tcPr>
            <w:tcW w:w="672" w:type="dxa"/>
            <w:vMerge/>
            <w:textDirection w:val="tbRlV"/>
            <w:vAlign w:val="center"/>
          </w:tcPr>
          <w:p w:rsidR="00013EC7" w:rsidRDefault="00013EC7">
            <w:pPr>
              <w:rPr>
                <w:rFonts w:ascii="仿宋" w:eastAsia="仿宋" w:hAnsi="仿宋" w:cs="仿宋"/>
                <w:sz w:val="24"/>
              </w:rPr>
            </w:pPr>
          </w:p>
        </w:tc>
        <w:tc>
          <w:tcPr>
            <w:tcW w:w="1035" w:type="dxa"/>
            <w:vMerge/>
            <w:vAlign w:val="center"/>
          </w:tcPr>
          <w:p w:rsidR="00013EC7" w:rsidRDefault="00013EC7">
            <w:pPr>
              <w:rPr>
                <w:rFonts w:ascii="仿宋" w:eastAsia="仿宋" w:hAnsi="仿宋" w:cs="仿宋"/>
                <w:sz w:val="24"/>
              </w:rPr>
            </w:pPr>
          </w:p>
        </w:tc>
        <w:tc>
          <w:tcPr>
            <w:tcW w:w="2263" w:type="dxa"/>
            <w:vMerge/>
            <w:vAlign w:val="center"/>
          </w:tcPr>
          <w:p w:rsidR="00013EC7" w:rsidRDefault="00013EC7">
            <w:pPr>
              <w:rPr>
                <w:rFonts w:ascii="仿宋" w:eastAsia="仿宋" w:hAnsi="仿宋" w:cs="仿宋"/>
                <w:sz w:val="24"/>
              </w:rPr>
            </w:pPr>
          </w:p>
        </w:tc>
        <w:tc>
          <w:tcPr>
            <w:tcW w:w="3544"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highlight w:val="lightGray"/>
              </w:rPr>
              <w:t>（二十）</w:t>
            </w:r>
            <w:hyperlink r:id="rId205" w:history="1">
              <w:r>
                <w:rPr>
                  <w:rFonts w:ascii="仿宋" w:eastAsia="仿宋" w:hAnsi="仿宋" w:cs="仿宋" w:hint="eastAsia"/>
                  <w:sz w:val="24"/>
                  <w:highlight w:val="lightGray"/>
                </w:rPr>
                <w:t>（A06616）《部分产品销售统计表》</w:t>
              </w:r>
            </w:hyperlink>
            <w:r>
              <w:rPr>
                <w:rFonts w:ascii="仿宋" w:eastAsia="仿宋" w:hAnsi="仿宋" w:cs="仿宋" w:hint="eastAsia"/>
                <w:sz w:val="24"/>
                <w:highlight w:val="lightGray"/>
              </w:rPr>
              <w:t>2份。</w:t>
            </w:r>
          </w:p>
        </w:tc>
        <w:tc>
          <w:tcPr>
            <w:tcW w:w="1559" w:type="dxa"/>
            <w:vAlign w:val="center"/>
          </w:tcPr>
          <w:p w:rsidR="00013EC7" w:rsidRDefault="00575CDB">
            <w:pPr>
              <w:rPr>
                <w:rFonts w:ascii="仿宋" w:eastAsia="仿宋" w:hAnsi="仿宋" w:cs="仿宋"/>
                <w:sz w:val="24"/>
              </w:rPr>
            </w:pPr>
            <w:r>
              <w:rPr>
                <w:rFonts w:ascii="仿宋" w:eastAsia="仿宋" w:hAnsi="仿宋" w:cs="仿宋" w:hint="eastAsia"/>
                <w:kern w:val="1"/>
                <w:sz w:val="24"/>
              </w:rPr>
              <w:t>从事轮胎、酒精、摩托车等产品生产的一般纳税人</w:t>
            </w:r>
            <w:r>
              <w:rPr>
                <w:rFonts w:ascii="仿宋" w:eastAsia="仿宋" w:hAnsi="仿宋" w:cs="仿宋" w:hint="eastAsia"/>
                <w:sz w:val="24"/>
              </w:rPr>
              <w:t>提交</w:t>
            </w:r>
          </w:p>
        </w:tc>
        <w:tc>
          <w:tcPr>
            <w:tcW w:w="2410" w:type="dxa"/>
            <w:vAlign w:val="center"/>
          </w:tcPr>
          <w:p w:rsidR="00013EC7" w:rsidRDefault="00013EC7">
            <w:pPr>
              <w:spacing w:line="300" w:lineRule="exact"/>
              <w:rPr>
                <w:rFonts w:ascii="仿宋" w:eastAsia="仿宋" w:hAnsi="仿宋" w:cs="仿宋"/>
                <w:sz w:val="24"/>
              </w:rPr>
            </w:pPr>
          </w:p>
        </w:tc>
        <w:tc>
          <w:tcPr>
            <w:tcW w:w="1134" w:type="dxa"/>
            <w:vAlign w:val="center"/>
          </w:tcPr>
          <w:p w:rsidR="00013EC7" w:rsidRDefault="00575CDB">
            <w:pPr>
              <w:rPr>
                <w:rFonts w:ascii="仿宋" w:eastAsia="仿宋" w:hAnsi="仿宋" w:cs="仿宋"/>
                <w:sz w:val="24"/>
              </w:rPr>
            </w:pPr>
            <w:r>
              <w:rPr>
                <w:rFonts w:ascii="仿宋" w:eastAsia="仿宋" w:hAnsi="仿宋" w:cs="仿宋" w:hint="eastAsia"/>
                <w:b/>
                <w:bCs/>
                <w:i/>
                <w:iCs/>
                <w:kern w:val="1"/>
                <w:sz w:val="24"/>
              </w:rPr>
              <w:t>取消</w:t>
            </w:r>
          </w:p>
        </w:tc>
        <w:tc>
          <w:tcPr>
            <w:tcW w:w="2126" w:type="dxa"/>
            <w:vMerge/>
            <w:vAlign w:val="center"/>
          </w:tcPr>
          <w:p w:rsidR="00013EC7" w:rsidRDefault="00013EC7">
            <w:pPr>
              <w:spacing w:line="300" w:lineRule="exact"/>
              <w:rPr>
                <w:rFonts w:ascii="仿宋" w:eastAsia="仿宋" w:hAnsi="仿宋" w:cs="仿宋"/>
                <w:sz w:val="24"/>
              </w:rPr>
            </w:pPr>
          </w:p>
        </w:tc>
        <w:tc>
          <w:tcPr>
            <w:tcW w:w="766" w:type="dxa"/>
            <w:vMerge/>
            <w:vAlign w:val="center"/>
          </w:tcPr>
          <w:p w:rsidR="00013EC7" w:rsidRDefault="00013EC7">
            <w:pPr>
              <w:rPr>
                <w:rFonts w:ascii="仿宋" w:eastAsia="仿宋" w:hAnsi="仿宋" w:cs="仿宋"/>
                <w:sz w:val="24"/>
              </w:rPr>
            </w:pPr>
          </w:p>
        </w:tc>
        <w:tc>
          <w:tcPr>
            <w:tcW w:w="798" w:type="dxa"/>
            <w:vMerge/>
            <w:vAlign w:val="center"/>
          </w:tcPr>
          <w:p w:rsidR="00013EC7" w:rsidRDefault="00013EC7">
            <w:pPr>
              <w:rPr>
                <w:rFonts w:ascii="仿宋" w:eastAsia="仿宋" w:hAnsi="仿宋" w:cs="仿宋"/>
                <w:sz w:val="24"/>
              </w:rPr>
            </w:pP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340"/>
          <w:jc w:val="center"/>
        </w:trPr>
        <w:tc>
          <w:tcPr>
            <w:tcW w:w="672" w:type="dxa"/>
            <w:vMerge/>
            <w:textDirection w:val="tbRlV"/>
            <w:vAlign w:val="center"/>
          </w:tcPr>
          <w:p w:rsidR="00013EC7" w:rsidRDefault="00013EC7">
            <w:pPr>
              <w:rPr>
                <w:rFonts w:ascii="仿宋" w:eastAsia="仿宋" w:hAnsi="仿宋" w:cs="仿宋"/>
                <w:sz w:val="24"/>
              </w:rPr>
            </w:pPr>
          </w:p>
        </w:tc>
        <w:tc>
          <w:tcPr>
            <w:tcW w:w="1035" w:type="dxa"/>
            <w:vMerge/>
            <w:vAlign w:val="center"/>
          </w:tcPr>
          <w:p w:rsidR="00013EC7" w:rsidRDefault="00013EC7">
            <w:pPr>
              <w:rPr>
                <w:rFonts w:ascii="仿宋" w:eastAsia="仿宋" w:hAnsi="仿宋" w:cs="仿宋"/>
                <w:sz w:val="24"/>
              </w:rPr>
            </w:pPr>
          </w:p>
        </w:tc>
        <w:tc>
          <w:tcPr>
            <w:tcW w:w="2263" w:type="dxa"/>
            <w:vMerge/>
            <w:vAlign w:val="center"/>
          </w:tcPr>
          <w:p w:rsidR="00013EC7" w:rsidRDefault="00013EC7">
            <w:pPr>
              <w:rPr>
                <w:rFonts w:ascii="仿宋" w:eastAsia="仿宋" w:hAnsi="仿宋" w:cs="仿宋"/>
                <w:sz w:val="24"/>
              </w:rPr>
            </w:pPr>
          </w:p>
        </w:tc>
        <w:tc>
          <w:tcPr>
            <w:tcW w:w="3544"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（二十一）（A06631）</w:t>
            </w:r>
            <w:r>
              <w:rPr>
                <w:rFonts w:ascii="仿宋" w:eastAsia="仿宋" w:hAnsi="仿宋" w:cs="仿宋" w:hint="eastAsia"/>
                <w:kern w:val="1"/>
                <w:sz w:val="24"/>
              </w:rPr>
              <w:t>《增值税减免税申报明细表》</w:t>
            </w:r>
            <w:r>
              <w:rPr>
                <w:rFonts w:ascii="仿宋" w:eastAsia="仿宋" w:hAnsi="仿宋" w:cs="仿宋" w:hint="eastAsia"/>
                <w:kern w:val="1"/>
                <w:sz w:val="24"/>
                <w:highlight w:val="lightGray"/>
              </w:rPr>
              <w:t>2份</w:t>
            </w:r>
            <w:r>
              <w:rPr>
                <w:rFonts w:ascii="仿宋" w:eastAsia="仿宋" w:hAnsi="仿宋" w:cs="仿宋" w:hint="eastAsia"/>
                <w:kern w:val="1"/>
                <w:sz w:val="24"/>
              </w:rPr>
              <w:t>。</w:t>
            </w:r>
          </w:p>
        </w:tc>
        <w:tc>
          <w:tcPr>
            <w:tcW w:w="1559" w:type="dxa"/>
            <w:vAlign w:val="center"/>
          </w:tcPr>
          <w:p w:rsidR="00013EC7" w:rsidRDefault="00575CDB">
            <w:pPr>
              <w:rPr>
                <w:rFonts w:ascii="仿宋" w:eastAsia="仿宋" w:hAnsi="仿宋" w:cs="仿宋"/>
                <w:sz w:val="24"/>
              </w:rPr>
            </w:pPr>
            <w:r>
              <w:rPr>
                <w:rFonts w:ascii="仿宋" w:eastAsia="仿宋" w:hAnsi="仿宋" w:cs="仿宋" w:hint="eastAsia"/>
                <w:kern w:val="1"/>
                <w:sz w:val="24"/>
              </w:rPr>
              <w:t>享受增值税减免税优惠政策的增值税一般纳税人</w:t>
            </w:r>
            <w:r>
              <w:rPr>
                <w:rFonts w:ascii="仿宋" w:eastAsia="仿宋" w:hAnsi="仿宋" w:cs="仿宋" w:hint="eastAsia"/>
                <w:sz w:val="24"/>
              </w:rPr>
              <w:t>提交</w:t>
            </w:r>
          </w:p>
        </w:tc>
        <w:tc>
          <w:tcPr>
            <w:tcW w:w="2410"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（十八）（A06631）</w:t>
            </w:r>
            <w:r>
              <w:rPr>
                <w:rFonts w:ascii="仿宋" w:eastAsia="仿宋" w:hAnsi="仿宋" w:cs="仿宋" w:hint="eastAsia"/>
                <w:kern w:val="1"/>
                <w:sz w:val="24"/>
              </w:rPr>
              <w:t>《增值税减免税申报明细表》1份。</w:t>
            </w:r>
          </w:p>
        </w:tc>
        <w:tc>
          <w:tcPr>
            <w:tcW w:w="1134" w:type="dxa"/>
            <w:vAlign w:val="center"/>
          </w:tcPr>
          <w:p w:rsidR="00013EC7" w:rsidRDefault="00575CDB">
            <w:pPr>
              <w:rPr>
                <w:rFonts w:ascii="仿宋" w:eastAsia="仿宋" w:hAnsi="仿宋" w:cs="仿宋"/>
                <w:sz w:val="24"/>
              </w:rPr>
            </w:pPr>
            <w:r>
              <w:rPr>
                <w:rFonts w:ascii="仿宋" w:eastAsia="仿宋" w:hAnsi="仿宋" w:cs="仿宋" w:hint="eastAsia"/>
                <w:kern w:val="1"/>
                <w:sz w:val="24"/>
              </w:rPr>
              <w:t>享受增值税减免税优惠政策的增值税一般纳税人</w:t>
            </w:r>
            <w:r>
              <w:rPr>
                <w:rFonts w:ascii="仿宋" w:eastAsia="仿宋" w:hAnsi="仿宋" w:cs="仿宋" w:hint="eastAsia"/>
                <w:sz w:val="24"/>
              </w:rPr>
              <w:t>提交</w:t>
            </w:r>
          </w:p>
        </w:tc>
        <w:tc>
          <w:tcPr>
            <w:tcW w:w="2126" w:type="dxa"/>
            <w:vMerge/>
            <w:vAlign w:val="center"/>
          </w:tcPr>
          <w:p w:rsidR="00013EC7" w:rsidRDefault="00013EC7">
            <w:pPr>
              <w:spacing w:line="300" w:lineRule="exact"/>
              <w:rPr>
                <w:rFonts w:ascii="仿宋" w:eastAsia="仿宋" w:hAnsi="仿宋" w:cs="仿宋"/>
                <w:sz w:val="24"/>
              </w:rPr>
            </w:pPr>
          </w:p>
        </w:tc>
        <w:tc>
          <w:tcPr>
            <w:tcW w:w="766" w:type="dxa"/>
            <w:vMerge/>
            <w:vAlign w:val="center"/>
          </w:tcPr>
          <w:p w:rsidR="00013EC7" w:rsidRDefault="00013EC7">
            <w:pPr>
              <w:rPr>
                <w:rFonts w:ascii="仿宋" w:eastAsia="仿宋" w:hAnsi="仿宋" w:cs="仿宋"/>
                <w:sz w:val="24"/>
              </w:rPr>
            </w:pPr>
          </w:p>
        </w:tc>
        <w:tc>
          <w:tcPr>
            <w:tcW w:w="798" w:type="dxa"/>
            <w:vMerge/>
            <w:vAlign w:val="center"/>
          </w:tcPr>
          <w:p w:rsidR="00013EC7" w:rsidRDefault="00013EC7">
            <w:pPr>
              <w:rPr>
                <w:rFonts w:ascii="仿宋" w:eastAsia="仿宋" w:hAnsi="仿宋" w:cs="仿宋"/>
                <w:sz w:val="24"/>
              </w:rPr>
            </w:pP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340"/>
          <w:jc w:val="center"/>
        </w:trPr>
        <w:tc>
          <w:tcPr>
            <w:tcW w:w="672" w:type="dxa"/>
            <w:vMerge/>
            <w:textDirection w:val="tbRlV"/>
            <w:vAlign w:val="center"/>
          </w:tcPr>
          <w:p w:rsidR="00013EC7" w:rsidRDefault="00013EC7">
            <w:pPr>
              <w:rPr>
                <w:rFonts w:ascii="仿宋" w:eastAsia="仿宋" w:hAnsi="仿宋" w:cs="仿宋"/>
                <w:sz w:val="24"/>
              </w:rPr>
            </w:pPr>
          </w:p>
        </w:tc>
        <w:tc>
          <w:tcPr>
            <w:tcW w:w="1035" w:type="dxa"/>
            <w:vMerge/>
            <w:vAlign w:val="center"/>
          </w:tcPr>
          <w:p w:rsidR="00013EC7" w:rsidRDefault="00013EC7">
            <w:pPr>
              <w:rPr>
                <w:rFonts w:ascii="仿宋" w:eastAsia="仿宋" w:hAnsi="仿宋" w:cs="仿宋"/>
                <w:sz w:val="24"/>
              </w:rPr>
            </w:pPr>
          </w:p>
        </w:tc>
        <w:tc>
          <w:tcPr>
            <w:tcW w:w="2263" w:type="dxa"/>
            <w:vMerge/>
            <w:vAlign w:val="center"/>
          </w:tcPr>
          <w:p w:rsidR="00013EC7" w:rsidRDefault="00013EC7">
            <w:pPr>
              <w:rPr>
                <w:rFonts w:ascii="仿宋" w:eastAsia="仿宋" w:hAnsi="仿宋" w:cs="仿宋"/>
                <w:sz w:val="24"/>
              </w:rPr>
            </w:pPr>
          </w:p>
        </w:tc>
        <w:tc>
          <w:tcPr>
            <w:tcW w:w="3544"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（二十二）符合抵扣条件且在本期申报抵扣的防伪税控“增值税专用发票”</w:t>
            </w:r>
            <w:r>
              <w:rPr>
                <w:rFonts w:ascii="仿宋" w:eastAsia="仿宋" w:hAnsi="仿宋" w:cs="仿宋" w:hint="eastAsia"/>
                <w:sz w:val="24"/>
                <w:highlight w:val="lightGray"/>
              </w:rPr>
              <w:t>“货物运输业增值税专用发票”</w:t>
            </w:r>
            <w:r>
              <w:rPr>
                <w:rFonts w:ascii="仿宋" w:eastAsia="仿宋" w:hAnsi="仿宋" w:cs="仿宋" w:hint="eastAsia"/>
                <w:sz w:val="24"/>
              </w:rPr>
              <w:t>、税控“机动车销售统一发票”的抵扣联。</w:t>
            </w:r>
          </w:p>
        </w:tc>
        <w:tc>
          <w:tcPr>
            <w:tcW w:w="1559" w:type="dxa"/>
            <w:vMerge w:val="restart"/>
            <w:vAlign w:val="center"/>
          </w:tcPr>
          <w:p w:rsidR="00013EC7" w:rsidRDefault="00575CDB">
            <w:pPr>
              <w:rPr>
                <w:rFonts w:ascii="仿宋" w:eastAsia="仿宋" w:hAnsi="仿宋" w:cs="仿宋"/>
                <w:sz w:val="24"/>
              </w:rPr>
            </w:pPr>
            <w:r>
              <w:rPr>
                <w:rFonts w:ascii="仿宋" w:eastAsia="仿宋" w:hAnsi="仿宋" w:cs="仿宋" w:hint="eastAsia"/>
                <w:sz w:val="24"/>
              </w:rPr>
              <w:t>纳税人</w:t>
            </w:r>
            <w:r>
              <w:rPr>
                <w:rFonts w:ascii="仿宋" w:eastAsia="仿宋" w:hAnsi="仿宋" w:cs="仿宋" w:hint="eastAsia"/>
                <w:kern w:val="1"/>
                <w:sz w:val="24"/>
              </w:rPr>
              <w:t>留存备查</w:t>
            </w:r>
          </w:p>
        </w:tc>
        <w:tc>
          <w:tcPr>
            <w:tcW w:w="2410"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（十九）符合抵扣条件且在本期申报抵扣的防伪税控“增值税专用发票”、税控“机动车销售统一发票”的抵扣联。</w:t>
            </w:r>
          </w:p>
        </w:tc>
        <w:tc>
          <w:tcPr>
            <w:tcW w:w="1134" w:type="dxa"/>
            <w:vMerge w:val="restart"/>
            <w:vAlign w:val="center"/>
          </w:tcPr>
          <w:p w:rsidR="00013EC7" w:rsidRDefault="00575CDB">
            <w:pPr>
              <w:rPr>
                <w:rFonts w:ascii="仿宋" w:eastAsia="仿宋" w:hAnsi="仿宋" w:cs="仿宋"/>
                <w:sz w:val="24"/>
              </w:rPr>
            </w:pPr>
            <w:r>
              <w:rPr>
                <w:rFonts w:ascii="仿宋" w:eastAsia="仿宋" w:hAnsi="仿宋" w:cs="仿宋" w:hint="eastAsia"/>
                <w:sz w:val="24"/>
              </w:rPr>
              <w:t>纳税人</w:t>
            </w:r>
            <w:r>
              <w:rPr>
                <w:rFonts w:ascii="仿宋" w:eastAsia="仿宋" w:hAnsi="仿宋" w:cs="仿宋" w:hint="eastAsia"/>
                <w:kern w:val="1"/>
                <w:sz w:val="24"/>
              </w:rPr>
              <w:t>留</w:t>
            </w:r>
            <w:r>
              <w:rPr>
                <w:rFonts w:ascii="仿宋" w:eastAsia="仿宋" w:hAnsi="仿宋" w:cs="仿宋" w:hint="eastAsia"/>
                <w:kern w:val="1"/>
                <w:szCs w:val="21"/>
              </w:rPr>
              <w:t>存备查</w:t>
            </w:r>
          </w:p>
        </w:tc>
        <w:tc>
          <w:tcPr>
            <w:tcW w:w="2126" w:type="dxa"/>
            <w:vMerge/>
            <w:vAlign w:val="center"/>
          </w:tcPr>
          <w:p w:rsidR="00013EC7" w:rsidRDefault="00013EC7">
            <w:pPr>
              <w:spacing w:line="300" w:lineRule="exact"/>
              <w:rPr>
                <w:rFonts w:ascii="仿宋" w:eastAsia="仿宋" w:hAnsi="仿宋" w:cs="仿宋"/>
                <w:sz w:val="24"/>
              </w:rPr>
            </w:pPr>
          </w:p>
        </w:tc>
        <w:tc>
          <w:tcPr>
            <w:tcW w:w="766" w:type="dxa"/>
            <w:vMerge/>
            <w:vAlign w:val="center"/>
          </w:tcPr>
          <w:p w:rsidR="00013EC7" w:rsidRDefault="00013EC7">
            <w:pPr>
              <w:rPr>
                <w:rFonts w:ascii="仿宋" w:eastAsia="仿宋" w:hAnsi="仿宋" w:cs="仿宋"/>
                <w:sz w:val="24"/>
              </w:rPr>
            </w:pPr>
          </w:p>
        </w:tc>
        <w:tc>
          <w:tcPr>
            <w:tcW w:w="798" w:type="dxa"/>
            <w:vMerge/>
            <w:vAlign w:val="center"/>
          </w:tcPr>
          <w:p w:rsidR="00013EC7" w:rsidRDefault="00013EC7">
            <w:pPr>
              <w:rPr>
                <w:rFonts w:ascii="仿宋" w:eastAsia="仿宋" w:hAnsi="仿宋" w:cs="仿宋"/>
                <w:sz w:val="24"/>
              </w:rPr>
            </w:pP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340"/>
          <w:jc w:val="center"/>
        </w:trPr>
        <w:tc>
          <w:tcPr>
            <w:tcW w:w="672" w:type="dxa"/>
            <w:vMerge/>
            <w:textDirection w:val="tbRlV"/>
            <w:vAlign w:val="center"/>
          </w:tcPr>
          <w:p w:rsidR="00013EC7" w:rsidRDefault="00013EC7">
            <w:pPr>
              <w:rPr>
                <w:rFonts w:ascii="仿宋" w:eastAsia="仿宋" w:hAnsi="仿宋" w:cs="仿宋"/>
                <w:sz w:val="24"/>
              </w:rPr>
            </w:pPr>
          </w:p>
        </w:tc>
        <w:tc>
          <w:tcPr>
            <w:tcW w:w="1035" w:type="dxa"/>
            <w:vMerge/>
            <w:vAlign w:val="center"/>
          </w:tcPr>
          <w:p w:rsidR="00013EC7" w:rsidRDefault="00013EC7">
            <w:pPr>
              <w:rPr>
                <w:rFonts w:ascii="仿宋" w:eastAsia="仿宋" w:hAnsi="仿宋" w:cs="仿宋"/>
                <w:sz w:val="24"/>
              </w:rPr>
            </w:pPr>
          </w:p>
        </w:tc>
        <w:tc>
          <w:tcPr>
            <w:tcW w:w="2263" w:type="dxa"/>
            <w:vMerge/>
            <w:vAlign w:val="center"/>
          </w:tcPr>
          <w:p w:rsidR="00013EC7" w:rsidRDefault="00013EC7">
            <w:pPr>
              <w:rPr>
                <w:rFonts w:ascii="仿宋" w:eastAsia="仿宋" w:hAnsi="仿宋" w:cs="仿宋"/>
                <w:sz w:val="24"/>
              </w:rPr>
            </w:pPr>
          </w:p>
        </w:tc>
        <w:tc>
          <w:tcPr>
            <w:tcW w:w="3544"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（二十三）符合抵扣条件且在本期申报抵扣的《海关进口增值税专用缴款书》、购进农产品取得的普通发票的复印件。</w:t>
            </w:r>
          </w:p>
        </w:tc>
        <w:tc>
          <w:tcPr>
            <w:tcW w:w="1559" w:type="dxa"/>
            <w:vMerge/>
            <w:vAlign w:val="center"/>
          </w:tcPr>
          <w:p w:rsidR="00013EC7" w:rsidRDefault="00013EC7">
            <w:pPr>
              <w:rPr>
                <w:rFonts w:ascii="仿宋" w:eastAsia="仿宋" w:hAnsi="仿宋" w:cs="仿宋"/>
                <w:sz w:val="24"/>
              </w:rPr>
            </w:pPr>
          </w:p>
        </w:tc>
        <w:tc>
          <w:tcPr>
            <w:tcW w:w="2410"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（二十）符合抵扣条件且在本期申报抵扣的《海关进口增值税专用缴款书》、购进农产品取得的普通发票的复印件。</w:t>
            </w:r>
          </w:p>
        </w:tc>
        <w:tc>
          <w:tcPr>
            <w:tcW w:w="1134" w:type="dxa"/>
            <w:vMerge/>
            <w:vAlign w:val="center"/>
          </w:tcPr>
          <w:p w:rsidR="00013EC7" w:rsidRDefault="00013EC7">
            <w:pPr>
              <w:rPr>
                <w:rFonts w:ascii="仿宋" w:eastAsia="仿宋" w:hAnsi="仿宋" w:cs="仿宋"/>
                <w:sz w:val="24"/>
              </w:rPr>
            </w:pPr>
          </w:p>
        </w:tc>
        <w:tc>
          <w:tcPr>
            <w:tcW w:w="2126" w:type="dxa"/>
            <w:vMerge/>
            <w:vAlign w:val="center"/>
          </w:tcPr>
          <w:p w:rsidR="00013EC7" w:rsidRDefault="00013EC7">
            <w:pPr>
              <w:spacing w:line="300" w:lineRule="exact"/>
              <w:rPr>
                <w:rFonts w:ascii="仿宋" w:eastAsia="仿宋" w:hAnsi="仿宋" w:cs="仿宋"/>
                <w:sz w:val="24"/>
              </w:rPr>
            </w:pPr>
          </w:p>
        </w:tc>
        <w:tc>
          <w:tcPr>
            <w:tcW w:w="766" w:type="dxa"/>
            <w:vMerge/>
            <w:vAlign w:val="center"/>
          </w:tcPr>
          <w:p w:rsidR="00013EC7" w:rsidRDefault="00013EC7">
            <w:pPr>
              <w:rPr>
                <w:rFonts w:ascii="仿宋" w:eastAsia="仿宋" w:hAnsi="仿宋" w:cs="仿宋"/>
                <w:sz w:val="24"/>
              </w:rPr>
            </w:pPr>
          </w:p>
        </w:tc>
        <w:tc>
          <w:tcPr>
            <w:tcW w:w="798" w:type="dxa"/>
            <w:vMerge/>
            <w:vAlign w:val="center"/>
          </w:tcPr>
          <w:p w:rsidR="00013EC7" w:rsidRDefault="00013EC7">
            <w:pPr>
              <w:rPr>
                <w:rFonts w:ascii="仿宋" w:eastAsia="仿宋" w:hAnsi="仿宋" w:cs="仿宋"/>
                <w:sz w:val="24"/>
              </w:rPr>
            </w:pP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340"/>
          <w:jc w:val="center"/>
        </w:trPr>
        <w:tc>
          <w:tcPr>
            <w:tcW w:w="672" w:type="dxa"/>
            <w:vMerge/>
            <w:textDirection w:val="tbRlV"/>
            <w:vAlign w:val="center"/>
          </w:tcPr>
          <w:p w:rsidR="00013EC7" w:rsidRDefault="00013EC7">
            <w:pPr>
              <w:rPr>
                <w:rFonts w:ascii="仿宋" w:eastAsia="仿宋" w:hAnsi="仿宋" w:cs="仿宋"/>
                <w:sz w:val="24"/>
              </w:rPr>
            </w:pPr>
          </w:p>
        </w:tc>
        <w:tc>
          <w:tcPr>
            <w:tcW w:w="1035" w:type="dxa"/>
            <w:vMerge/>
            <w:vAlign w:val="center"/>
          </w:tcPr>
          <w:p w:rsidR="00013EC7" w:rsidRDefault="00013EC7">
            <w:pPr>
              <w:rPr>
                <w:rFonts w:ascii="仿宋" w:eastAsia="仿宋" w:hAnsi="仿宋" w:cs="仿宋"/>
                <w:sz w:val="24"/>
              </w:rPr>
            </w:pPr>
          </w:p>
        </w:tc>
        <w:tc>
          <w:tcPr>
            <w:tcW w:w="2263" w:type="dxa"/>
            <w:vMerge/>
            <w:vAlign w:val="center"/>
          </w:tcPr>
          <w:p w:rsidR="00013EC7" w:rsidRDefault="00013EC7">
            <w:pPr>
              <w:rPr>
                <w:rFonts w:ascii="仿宋" w:eastAsia="仿宋" w:hAnsi="仿宋" w:cs="仿宋"/>
                <w:sz w:val="24"/>
              </w:rPr>
            </w:pPr>
          </w:p>
        </w:tc>
        <w:tc>
          <w:tcPr>
            <w:tcW w:w="3544"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（二十四）对海关回函结果为“有一致的入库信息”的海关缴款书，应报送《海关缴款书核查结果通知书》。</w:t>
            </w:r>
          </w:p>
        </w:tc>
        <w:tc>
          <w:tcPr>
            <w:tcW w:w="1559" w:type="dxa"/>
            <w:vMerge/>
            <w:vAlign w:val="center"/>
          </w:tcPr>
          <w:p w:rsidR="00013EC7" w:rsidRDefault="00013EC7">
            <w:pPr>
              <w:rPr>
                <w:rFonts w:ascii="仿宋" w:eastAsia="仿宋" w:hAnsi="仿宋" w:cs="仿宋"/>
                <w:sz w:val="24"/>
              </w:rPr>
            </w:pPr>
          </w:p>
        </w:tc>
        <w:tc>
          <w:tcPr>
            <w:tcW w:w="2410"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（二十一）对海关回函结果为“有一致的入库信息”的海关缴款书，应报送《海关缴款书核</w:t>
            </w:r>
            <w:r>
              <w:rPr>
                <w:rFonts w:ascii="仿宋" w:eastAsia="仿宋" w:hAnsi="仿宋" w:cs="仿宋" w:hint="eastAsia"/>
                <w:sz w:val="24"/>
              </w:rPr>
              <w:lastRenderedPageBreak/>
              <w:t>查结果通知书》。</w:t>
            </w:r>
          </w:p>
        </w:tc>
        <w:tc>
          <w:tcPr>
            <w:tcW w:w="1134" w:type="dxa"/>
            <w:vMerge/>
            <w:vAlign w:val="center"/>
          </w:tcPr>
          <w:p w:rsidR="00013EC7" w:rsidRDefault="00013EC7">
            <w:pPr>
              <w:rPr>
                <w:rFonts w:ascii="仿宋" w:eastAsia="仿宋" w:hAnsi="仿宋" w:cs="仿宋"/>
                <w:sz w:val="24"/>
              </w:rPr>
            </w:pPr>
          </w:p>
        </w:tc>
        <w:tc>
          <w:tcPr>
            <w:tcW w:w="2126" w:type="dxa"/>
            <w:vMerge/>
            <w:vAlign w:val="center"/>
          </w:tcPr>
          <w:p w:rsidR="00013EC7" w:rsidRDefault="00013EC7">
            <w:pPr>
              <w:spacing w:line="300" w:lineRule="exact"/>
              <w:rPr>
                <w:rFonts w:ascii="仿宋" w:eastAsia="仿宋" w:hAnsi="仿宋" w:cs="仿宋"/>
                <w:sz w:val="24"/>
              </w:rPr>
            </w:pPr>
          </w:p>
        </w:tc>
        <w:tc>
          <w:tcPr>
            <w:tcW w:w="766" w:type="dxa"/>
            <w:vMerge/>
            <w:vAlign w:val="center"/>
          </w:tcPr>
          <w:p w:rsidR="00013EC7" w:rsidRDefault="00013EC7">
            <w:pPr>
              <w:rPr>
                <w:rFonts w:ascii="仿宋" w:eastAsia="仿宋" w:hAnsi="仿宋" w:cs="仿宋"/>
                <w:sz w:val="24"/>
              </w:rPr>
            </w:pPr>
          </w:p>
        </w:tc>
        <w:tc>
          <w:tcPr>
            <w:tcW w:w="798" w:type="dxa"/>
            <w:vMerge/>
            <w:vAlign w:val="center"/>
          </w:tcPr>
          <w:p w:rsidR="00013EC7" w:rsidRDefault="00013EC7">
            <w:pPr>
              <w:rPr>
                <w:rFonts w:ascii="仿宋" w:eastAsia="仿宋" w:hAnsi="仿宋" w:cs="仿宋"/>
                <w:sz w:val="24"/>
              </w:rPr>
            </w:pP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340"/>
          <w:jc w:val="center"/>
        </w:trPr>
        <w:tc>
          <w:tcPr>
            <w:tcW w:w="672" w:type="dxa"/>
            <w:vMerge/>
            <w:textDirection w:val="tbRlV"/>
            <w:vAlign w:val="center"/>
          </w:tcPr>
          <w:p w:rsidR="00013EC7" w:rsidRDefault="00013EC7">
            <w:pPr>
              <w:rPr>
                <w:rFonts w:ascii="仿宋" w:eastAsia="仿宋" w:hAnsi="仿宋" w:cs="仿宋"/>
                <w:sz w:val="24"/>
              </w:rPr>
            </w:pPr>
          </w:p>
        </w:tc>
        <w:tc>
          <w:tcPr>
            <w:tcW w:w="1035" w:type="dxa"/>
            <w:vMerge/>
            <w:vAlign w:val="center"/>
          </w:tcPr>
          <w:p w:rsidR="00013EC7" w:rsidRDefault="00013EC7">
            <w:pPr>
              <w:rPr>
                <w:rFonts w:ascii="仿宋" w:eastAsia="仿宋" w:hAnsi="仿宋" w:cs="仿宋"/>
                <w:sz w:val="24"/>
              </w:rPr>
            </w:pPr>
          </w:p>
        </w:tc>
        <w:tc>
          <w:tcPr>
            <w:tcW w:w="2263" w:type="dxa"/>
            <w:vMerge/>
            <w:vAlign w:val="center"/>
          </w:tcPr>
          <w:p w:rsidR="00013EC7" w:rsidRDefault="00013EC7">
            <w:pPr>
              <w:rPr>
                <w:rFonts w:ascii="仿宋" w:eastAsia="仿宋" w:hAnsi="仿宋" w:cs="仿宋"/>
                <w:sz w:val="24"/>
              </w:rPr>
            </w:pPr>
          </w:p>
        </w:tc>
        <w:tc>
          <w:tcPr>
            <w:tcW w:w="3544"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（二十五）符合抵扣条件且在本期申报抵扣的中华人民共和国税收缴款凭证及清单，书面合同、付款证明和境外单位的对账单或者发票。</w:t>
            </w:r>
          </w:p>
        </w:tc>
        <w:tc>
          <w:tcPr>
            <w:tcW w:w="1559" w:type="dxa"/>
            <w:vMerge/>
            <w:vAlign w:val="center"/>
          </w:tcPr>
          <w:p w:rsidR="00013EC7" w:rsidRDefault="00013EC7">
            <w:pPr>
              <w:rPr>
                <w:rFonts w:ascii="仿宋" w:eastAsia="仿宋" w:hAnsi="仿宋" w:cs="仿宋"/>
                <w:sz w:val="24"/>
              </w:rPr>
            </w:pPr>
          </w:p>
        </w:tc>
        <w:tc>
          <w:tcPr>
            <w:tcW w:w="2410"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（二十二）符合抵扣条件且在本期申报抵扣的中华人民共和国税收缴款凭证及清单，书面合同、付款证明和境外单位的对账单或者发票。</w:t>
            </w:r>
          </w:p>
        </w:tc>
        <w:tc>
          <w:tcPr>
            <w:tcW w:w="1134" w:type="dxa"/>
            <w:vMerge/>
            <w:vAlign w:val="center"/>
          </w:tcPr>
          <w:p w:rsidR="00013EC7" w:rsidRDefault="00013EC7">
            <w:pPr>
              <w:rPr>
                <w:rFonts w:ascii="仿宋" w:eastAsia="仿宋" w:hAnsi="仿宋" w:cs="仿宋"/>
                <w:sz w:val="24"/>
              </w:rPr>
            </w:pPr>
          </w:p>
        </w:tc>
        <w:tc>
          <w:tcPr>
            <w:tcW w:w="2126" w:type="dxa"/>
            <w:vMerge/>
            <w:vAlign w:val="center"/>
          </w:tcPr>
          <w:p w:rsidR="00013EC7" w:rsidRDefault="00013EC7">
            <w:pPr>
              <w:spacing w:line="300" w:lineRule="exact"/>
              <w:rPr>
                <w:rFonts w:ascii="仿宋" w:eastAsia="仿宋" w:hAnsi="仿宋" w:cs="仿宋"/>
                <w:sz w:val="24"/>
              </w:rPr>
            </w:pPr>
          </w:p>
        </w:tc>
        <w:tc>
          <w:tcPr>
            <w:tcW w:w="766" w:type="dxa"/>
            <w:vMerge/>
            <w:vAlign w:val="center"/>
          </w:tcPr>
          <w:p w:rsidR="00013EC7" w:rsidRDefault="00013EC7">
            <w:pPr>
              <w:rPr>
                <w:rFonts w:ascii="仿宋" w:eastAsia="仿宋" w:hAnsi="仿宋" w:cs="仿宋"/>
                <w:sz w:val="24"/>
              </w:rPr>
            </w:pPr>
          </w:p>
        </w:tc>
        <w:tc>
          <w:tcPr>
            <w:tcW w:w="798" w:type="dxa"/>
            <w:vMerge/>
            <w:vAlign w:val="center"/>
          </w:tcPr>
          <w:p w:rsidR="00013EC7" w:rsidRDefault="00013EC7">
            <w:pPr>
              <w:rPr>
                <w:rFonts w:ascii="仿宋" w:eastAsia="仿宋" w:hAnsi="仿宋" w:cs="仿宋"/>
                <w:sz w:val="24"/>
              </w:rPr>
            </w:pP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340"/>
          <w:jc w:val="center"/>
        </w:trPr>
        <w:tc>
          <w:tcPr>
            <w:tcW w:w="672" w:type="dxa"/>
            <w:vMerge/>
            <w:textDirection w:val="tbRlV"/>
            <w:vAlign w:val="center"/>
          </w:tcPr>
          <w:p w:rsidR="00013EC7" w:rsidRDefault="00013EC7">
            <w:pPr>
              <w:rPr>
                <w:rFonts w:ascii="仿宋" w:eastAsia="仿宋" w:hAnsi="仿宋" w:cs="仿宋"/>
                <w:sz w:val="24"/>
              </w:rPr>
            </w:pPr>
          </w:p>
        </w:tc>
        <w:tc>
          <w:tcPr>
            <w:tcW w:w="1035" w:type="dxa"/>
            <w:vMerge/>
            <w:vAlign w:val="center"/>
          </w:tcPr>
          <w:p w:rsidR="00013EC7" w:rsidRDefault="00013EC7">
            <w:pPr>
              <w:rPr>
                <w:rFonts w:ascii="仿宋" w:eastAsia="仿宋" w:hAnsi="仿宋" w:cs="仿宋"/>
                <w:sz w:val="24"/>
              </w:rPr>
            </w:pPr>
          </w:p>
        </w:tc>
        <w:tc>
          <w:tcPr>
            <w:tcW w:w="2263" w:type="dxa"/>
            <w:vMerge/>
            <w:vAlign w:val="center"/>
          </w:tcPr>
          <w:p w:rsidR="00013EC7" w:rsidRDefault="00013EC7">
            <w:pPr>
              <w:rPr>
                <w:rFonts w:ascii="仿宋" w:eastAsia="仿宋" w:hAnsi="仿宋" w:cs="仿宋"/>
                <w:sz w:val="24"/>
              </w:rPr>
            </w:pPr>
          </w:p>
        </w:tc>
        <w:tc>
          <w:tcPr>
            <w:tcW w:w="3544"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（二十六）已开具的农产品收购凭证存根联或报查联。</w:t>
            </w:r>
          </w:p>
        </w:tc>
        <w:tc>
          <w:tcPr>
            <w:tcW w:w="1559" w:type="dxa"/>
            <w:vMerge/>
            <w:vAlign w:val="center"/>
          </w:tcPr>
          <w:p w:rsidR="00013EC7" w:rsidRDefault="00013EC7">
            <w:pPr>
              <w:rPr>
                <w:rFonts w:ascii="仿宋" w:eastAsia="仿宋" w:hAnsi="仿宋" w:cs="仿宋"/>
                <w:sz w:val="24"/>
              </w:rPr>
            </w:pPr>
          </w:p>
        </w:tc>
        <w:tc>
          <w:tcPr>
            <w:tcW w:w="2410"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（二十三）已开具的农产品收购凭证存根联或报查联。</w:t>
            </w:r>
          </w:p>
        </w:tc>
        <w:tc>
          <w:tcPr>
            <w:tcW w:w="1134" w:type="dxa"/>
            <w:vMerge/>
            <w:vAlign w:val="center"/>
          </w:tcPr>
          <w:p w:rsidR="00013EC7" w:rsidRDefault="00013EC7">
            <w:pPr>
              <w:rPr>
                <w:rFonts w:ascii="仿宋" w:eastAsia="仿宋" w:hAnsi="仿宋" w:cs="仿宋"/>
                <w:sz w:val="24"/>
              </w:rPr>
            </w:pPr>
          </w:p>
        </w:tc>
        <w:tc>
          <w:tcPr>
            <w:tcW w:w="2126" w:type="dxa"/>
            <w:vMerge/>
            <w:vAlign w:val="center"/>
          </w:tcPr>
          <w:p w:rsidR="00013EC7" w:rsidRDefault="00013EC7">
            <w:pPr>
              <w:spacing w:line="300" w:lineRule="exact"/>
              <w:rPr>
                <w:rFonts w:ascii="仿宋" w:eastAsia="仿宋" w:hAnsi="仿宋" w:cs="仿宋"/>
                <w:sz w:val="24"/>
              </w:rPr>
            </w:pPr>
          </w:p>
        </w:tc>
        <w:tc>
          <w:tcPr>
            <w:tcW w:w="766" w:type="dxa"/>
            <w:vMerge/>
            <w:vAlign w:val="center"/>
          </w:tcPr>
          <w:p w:rsidR="00013EC7" w:rsidRDefault="00013EC7">
            <w:pPr>
              <w:rPr>
                <w:rFonts w:ascii="仿宋" w:eastAsia="仿宋" w:hAnsi="仿宋" w:cs="仿宋"/>
                <w:sz w:val="24"/>
              </w:rPr>
            </w:pPr>
          </w:p>
        </w:tc>
        <w:tc>
          <w:tcPr>
            <w:tcW w:w="798" w:type="dxa"/>
            <w:vMerge/>
            <w:vAlign w:val="center"/>
          </w:tcPr>
          <w:p w:rsidR="00013EC7" w:rsidRDefault="00013EC7">
            <w:pPr>
              <w:rPr>
                <w:rFonts w:ascii="仿宋" w:eastAsia="仿宋" w:hAnsi="仿宋" w:cs="仿宋"/>
                <w:sz w:val="24"/>
              </w:rPr>
            </w:pP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340"/>
          <w:jc w:val="center"/>
        </w:trPr>
        <w:tc>
          <w:tcPr>
            <w:tcW w:w="672" w:type="dxa"/>
            <w:vMerge/>
            <w:textDirection w:val="tbRlV"/>
            <w:vAlign w:val="center"/>
          </w:tcPr>
          <w:p w:rsidR="00013EC7" w:rsidRDefault="00013EC7">
            <w:pPr>
              <w:rPr>
                <w:rFonts w:ascii="仿宋" w:eastAsia="仿宋" w:hAnsi="仿宋" w:cs="仿宋"/>
                <w:sz w:val="24"/>
              </w:rPr>
            </w:pPr>
          </w:p>
        </w:tc>
        <w:tc>
          <w:tcPr>
            <w:tcW w:w="1035" w:type="dxa"/>
            <w:vMerge/>
            <w:vAlign w:val="center"/>
          </w:tcPr>
          <w:p w:rsidR="00013EC7" w:rsidRDefault="00013EC7">
            <w:pPr>
              <w:rPr>
                <w:rFonts w:ascii="仿宋" w:eastAsia="仿宋" w:hAnsi="仿宋" w:cs="仿宋"/>
                <w:sz w:val="24"/>
              </w:rPr>
            </w:pPr>
          </w:p>
        </w:tc>
        <w:tc>
          <w:tcPr>
            <w:tcW w:w="2263" w:type="dxa"/>
            <w:vMerge/>
            <w:vAlign w:val="center"/>
          </w:tcPr>
          <w:p w:rsidR="00013EC7" w:rsidRDefault="00013EC7">
            <w:pPr>
              <w:rPr>
                <w:rFonts w:ascii="仿宋" w:eastAsia="仿宋" w:hAnsi="仿宋" w:cs="仿宋"/>
                <w:sz w:val="24"/>
              </w:rPr>
            </w:pPr>
          </w:p>
        </w:tc>
        <w:tc>
          <w:tcPr>
            <w:tcW w:w="3544"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（二十七）纳税人提供应税服务，在确定应税服务销售额时，按照有关规定从取得的全部价款和价外费用中扣除价款的合法凭证及清单。</w:t>
            </w:r>
          </w:p>
        </w:tc>
        <w:tc>
          <w:tcPr>
            <w:tcW w:w="1559" w:type="dxa"/>
            <w:vMerge/>
            <w:vAlign w:val="center"/>
          </w:tcPr>
          <w:p w:rsidR="00013EC7" w:rsidRDefault="00013EC7">
            <w:pPr>
              <w:rPr>
                <w:rFonts w:ascii="仿宋" w:eastAsia="仿宋" w:hAnsi="仿宋" w:cs="仿宋"/>
                <w:sz w:val="24"/>
              </w:rPr>
            </w:pPr>
          </w:p>
        </w:tc>
        <w:tc>
          <w:tcPr>
            <w:tcW w:w="2410"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（二十四）纳税人提供应税服务，在确定应税服务销售额时，按照有关规定从取得的全部价款和价外费用中扣除价款的合法凭证及清单。</w:t>
            </w:r>
          </w:p>
        </w:tc>
        <w:tc>
          <w:tcPr>
            <w:tcW w:w="1134" w:type="dxa"/>
            <w:vMerge/>
            <w:vAlign w:val="center"/>
          </w:tcPr>
          <w:p w:rsidR="00013EC7" w:rsidRDefault="00013EC7">
            <w:pPr>
              <w:rPr>
                <w:rFonts w:ascii="仿宋" w:eastAsia="仿宋" w:hAnsi="仿宋" w:cs="仿宋"/>
                <w:sz w:val="24"/>
              </w:rPr>
            </w:pPr>
          </w:p>
        </w:tc>
        <w:tc>
          <w:tcPr>
            <w:tcW w:w="2126" w:type="dxa"/>
            <w:vMerge/>
            <w:vAlign w:val="center"/>
          </w:tcPr>
          <w:p w:rsidR="00013EC7" w:rsidRDefault="00013EC7">
            <w:pPr>
              <w:spacing w:line="300" w:lineRule="exact"/>
              <w:rPr>
                <w:rFonts w:ascii="仿宋" w:eastAsia="仿宋" w:hAnsi="仿宋" w:cs="仿宋"/>
                <w:sz w:val="24"/>
              </w:rPr>
            </w:pPr>
          </w:p>
        </w:tc>
        <w:tc>
          <w:tcPr>
            <w:tcW w:w="766" w:type="dxa"/>
            <w:vMerge/>
            <w:vAlign w:val="center"/>
          </w:tcPr>
          <w:p w:rsidR="00013EC7" w:rsidRDefault="00013EC7">
            <w:pPr>
              <w:rPr>
                <w:rFonts w:ascii="仿宋" w:eastAsia="仿宋" w:hAnsi="仿宋" w:cs="仿宋"/>
                <w:sz w:val="24"/>
              </w:rPr>
            </w:pPr>
          </w:p>
        </w:tc>
        <w:tc>
          <w:tcPr>
            <w:tcW w:w="798" w:type="dxa"/>
            <w:vMerge/>
            <w:vAlign w:val="center"/>
          </w:tcPr>
          <w:p w:rsidR="00013EC7" w:rsidRDefault="00013EC7">
            <w:pPr>
              <w:rPr>
                <w:rFonts w:ascii="仿宋" w:eastAsia="仿宋" w:hAnsi="仿宋" w:cs="仿宋"/>
                <w:sz w:val="24"/>
              </w:rPr>
            </w:pP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340"/>
          <w:jc w:val="center"/>
        </w:trPr>
        <w:tc>
          <w:tcPr>
            <w:tcW w:w="672" w:type="dxa"/>
            <w:vMerge/>
            <w:textDirection w:val="tbRlV"/>
            <w:vAlign w:val="center"/>
          </w:tcPr>
          <w:p w:rsidR="00013EC7" w:rsidRDefault="00013EC7">
            <w:pPr>
              <w:rPr>
                <w:rFonts w:ascii="仿宋" w:eastAsia="仿宋" w:hAnsi="仿宋" w:cs="仿宋"/>
                <w:sz w:val="24"/>
              </w:rPr>
            </w:pPr>
          </w:p>
        </w:tc>
        <w:tc>
          <w:tcPr>
            <w:tcW w:w="1035" w:type="dxa"/>
            <w:vMerge/>
            <w:vAlign w:val="center"/>
          </w:tcPr>
          <w:p w:rsidR="00013EC7" w:rsidRDefault="00013EC7">
            <w:pPr>
              <w:rPr>
                <w:rFonts w:ascii="仿宋" w:eastAsia="仿宋" w:hAnsi="仿宋" w:cs="仿宋"/>
                <w:sz w:val="24"/>
              </w:rPr>
            </w:pPr>
          </w:p>
        </w:tc>
        <w:tc>
          <w:tcPr>
            <w:tcW w:w="2263" w:type="dxa"/>
            <w:vMerge/>
            <w:vAlign w:val="center"/>
          </w:tcPr>
          <w:p w:rsidR="00013EC7" w:rsidRDefault="00013EC7">
            <w:pPr>
              <w:rPr>
                <w:rFonts w:ascii="仿宋" w:eastAsia="仿宋" w:hAnsi="仿宋" w:cs="仿宋"/>
                <w:sz w:val="24"/>
              </w:rPr>
            </w:pPr>
          </w:p>
        </w:tc>
        <w:tc>
          <w:tcPr>
            <w:tcW w:w="3544"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（二十八）</w:t>
            </w:r>
            <w:r>
              <w:rPr>
                <w:rFonts w:ascii="仿宋" w:eastAsia="仿宋" w:hAnsi="仿宋" w:cs="仿宋" w:hint="eastAsia"/>
                <w:kern w:val="1"/>
                <w:sz w:val="24"/>
              </w:rPr>
              <w:t>辅导期一般纳税人应报送《稽核结果比对通知书》。</w:t>
            </w:r>
          </w:p>
        </w:tc>
        <w:tc>
          <w:tcPr>
            <w:tcW w:w="1559" w:type="dxa"/>
            <w:vMerge/>
            <w:vAlign w:val="center"/>
          </w:tcPr>
          <w:p w:rsidR="00013EC7" w:rsidRDefault="00013EC7">
            <w:pPr>
              <w:rPr>
                <w:rFonts w:ascii="仿宋" w:eastAsia="仿宋" w:hAnsi="仿宋" w:cs="仿宋"/>
                <w:sz w:val="24"/>
              </w:rPr>
            </w:pPr>
          </w:p>
        </w:tc>
        <w:tc>
          <w:tcPr>
            <w:tcW w:w="2410"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（二十五）</w:t>
            </w:r>
            <w:r>
              <w:rPr>
                <w:rFonts w:ascii="仿宋" w:eastAsia="仿宋" w:hAnsi="仿宋" w:cs="仿宋" w:hint="eastAsia"/>
                <w:kern w:val="1"/>
                <w:sz w:val="24"/>
              </w:rPr>
              <w:t>辅导期一般纳税人应报送《稽核结果比对通知书》。</w:t>
            </w:r>
          </w:p>
        </w:tc>
        <w:tc>
          <w:tcPr>
            <w:tcW w:w="1134" w:type="dxa"/>
            <w:vMerge/>
            <w:vAlign w:val="center"/>
          </w:tcPr>
          <w:p w:rsidR="00013EC7" w:rsidRDefault="00013EC7">
            <w:pPr>
              <w:rPr>
                <w:rFonts w:ascii="仿宋" w:eastAsia="仿宋" w:hAnsi="仿宋" w:cs="仿宋"/>
                <w:sz w:val="24"/>
              </w:rPr>
            </w:pPr>
          </w:p>
        </w:tc>
        <w:tc>
          <w:tcPr>
            <w:tcW w:w="2126" w:type="dxa"/>
            <w:vMerge/>
            <w:vAlign w:val="center"/>
          </w:tcPr>
          <w:p w:rsidR="00013EC7" w:rsidRDefault="00013EC7">
            <w:pPr>
              <w:spacing w:line="300" w:lineRule="exact"/>
              <w:rPr>
                <w:rFonts w:ascii="仿宋" w:eastAsia="仿宋" w:hAnsi="仿宋" w:cs="仿宋"/>
                <w:sz w:val="24"/>
              </w:rPr>
            </w:pPr>
          </w:p>
        </w:tc>
        <w:tc>
          <w:tcPr>
            <w:tcW w:w="766" w:type="dxa"/>
            <w:vMerge/>
            <w:vAlign w:val="center"/>
          </w:tcPr>
          <w:p w:rsidR="00013EC7" w:rsidRDefault="00013EC7">
            <w:pPr>
              <w:rPr>
                <w:rFonts w:ascii="仿宋" w:eastAsia="仿宋" w:hAnsi="仿宋" w:cs="仿宋"/>
                <w:sz w:val="24"/>
              </w:rPr>
            </w:pPr>
          </w:p>
        </w:tc>
        <w:tc>
          <w:tcPr>
            <w:tcW w:w="798" w:type="dxa"/>
            <w:vMerge/>
            <w:vAlign w:val="center"/>
          </w:tcPr>
          <w:p w:rsidR="00013EC7" w:rsidRDefault="00013EC7">
            <w:pPr>
              <w:rPr>
                <w:rFonts w:ascii="仿宋" w:eastAsia="仿宋" w:hAnsi="仿宋" w:cs="仿宋"/>
                <w:sz w:val="24"/>
              </w:rPr>
            </w:pP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bl>
    <w:p w:rsidR="00013EC7" w:rsidRDefault="00013EC7">
      <w:pPr>
        <w:rPr>
          <w:rFonts w:ascii="仿宋" w:eastAsia="仿宋" w:hAnsi="仿宋" w:cs="仿宋"/>
          <w:sz w:val="24"/>
        </w:rPr>
      </w:pPr>
    </w:p>
    <w:p w:rsidR="00013EC7" w:rsidRDefault="00013EC7">
      <w:pPr>
        <w:rPr>
          <w:rFonts w:ascii="仿宋" w:eastAsia="仿宋" w:hAnsi="仿宋" w:cs="仿宋"/>
          <w:sz w:val="24"/>
        </w:rPr>
      </w:pPr>
    </w:p>
    <w:p w:rsidR="00013EC7" w:rsidRDefault="005262E6">
      <w:pPr>
        <w:rPr>
          <w:rFonts w:ascii="仿宋" w:eastAsia="仿宋" w:hAnsi="仿宋" w:cs="仿宋"/>
          <w:sz w:val="24"/>
        </w:rPr>
      </w:pPr>
      <w:r>
        <w:rPr>
          <w:rFonts w:ascii="黑体" w:eastAsia="黑体" w:hAnsi="黑体"/>
        </w:rPr>
        <w:lastRenderedPageBreak/>
        <w:object w:dxaOrig="1440" w:dyaOrig="1440">
          <v:shape id="_x0000_s1345" type="#_x0000_t75" style="position:absolute;left:0;text-align:left;margin-left:574.65pt;margin-top:94pt;width:409.5pt;height:567pt;z-index:251671552;mso-wrap-distance-top:0;mso-wrap-distance-bottom:0;mso-position-vertical-relative:page;mso-width-relative:page;mso-height-relative:page">
            <v:imagedata r:id="rId206" o:title=""/>
            <o:lock v:ext="edit" aspectratio="f"/>
            <w10:wrap type="topAndBottom" anchory="page"/>
          </v:shape>
          <o:OLEObject Type="Embed" ProgID="Visio.Drawing.11" ShapeID="_x0000_s1345" DrawAspect="Content" ObjectID="_1577296227" r:id="rId207"/>
        </w:object>
      </w:r>
      <w:r>
        <w:object w:dxaOrig="1440" w:dyaOrig="1440">
          <v:shape id="_x0000_s1344" type="#_x0000_t75" style="position:absolute;left:0;text-align:left;margin-left:19.7pt;margin-top:96.6pt;width:482pt;height:574.5pt;z-index:251670528;mso-wrap-distance-top:0;mso-wrap-distance-bottom:0;mso-position-vertical-relative:page;mso-width-relative:page;mso-height-relative:page">
            <v:imagedata r:id="rId208" o:title=""/>
            <w10:wrap type="topAndBottom" anchory="page"/>
          </v:shape>
          <o:OLEObject Type="Embed" ProgID="Visio.Drawing.11" ShapeID="_x0000_s1344" DrawAspect="Content" ObjectID="_1577296228" r:id="rId209"/>
        </w:object>
      </w:r>
    </w:p>
    <w:p w:rsidR="00013EC7" w:rsidRDefault="00013EC7">
      <w:pPr>
        <w:rPr>
          <w:rFonts w:ascii="仿宋" w:eastAsia="仿宋" w:hAnsi="仿宋" w:cs="仿宋"/>
          <w:sz w:val="24"/>
        </w:rPr>
      </w:pPr>
    </w:p>
    <w:p w:rsidR="00013EC7" w:rsidRDefault="00013EC7">
      <w:pPr>
        <w:rPr>
          <w:rFonts w:ascii="仿宋" w:eastAsia="仿宋" w:hAnsi="仿宋" w:cs="仿宋"/>
          <w:sz w:val="24"/>
        </w:rPr>
      </w:pPr>
    </w:p>
    <w:p w:rsidR="00013EC7" w:rsidRDefault="00013EC7">
      <w:pPr>
        <w:jc w:val="left"/>
      </w:pPr>
    </w:p>
    <w:p w:rsidR="00013EC7" w:rsidRDefault="00013EC7">
      <w:pPr>
        <w:jc w:val="left"/>
        <w:rPr>
          <w:rFonts w:ascii="宋体" w:hAnsi="宋体" w:cs="宋体"/>
          <w:bCs/>
          <w:sz w:val="28"/>
          <w:szCs w:val="28"/>
        </w:rPr>
        <w:sectPr w:rsidR="00013EC7">
          <w:pgSz w:w="23814" w:h="16840" w:orient="landscape"/>
          <w:pgMar w:top="1701" w:right="1843" w:bottom="1985" w:left="1843" w:header="851" w:footer="1701" w:gutter="0"/>
          <w:pgNumType w:fmt="numberInDash"/>
          <w:cols w:space="720"/>
          <w:docGrid w:type="lines" w:linePitch="312"/>
        </w:sectPr>
      </w:pPr>
    </w:p>
    <w:p w:rsidR="00013EC7" w:rsidRDefault="00575CDB">
      <w:pPr>
        <w:pStyle w:val="2"/>
      </w:pPr>
      <w:bookmarkStart w:id="298" w:name="_Toc503467422"/>
      <w:bookmarkStart w:id="299" w:name="_Toc16910"/>
      <w:bookmarkStart w:id="300" w:name="_Toc259"/>
      <w:bookmarkStart w:id="301" w:name="_Toc23613"/>
      <w:r>
        <w:rPr>
          <w:rFonts w:hint="eastAsia"/>
        </w:rPr>
        <w:lastRenderedPageBreak/>
        <w:t>17.2</w:t>
      </w:r>
      <w:r>
        <w:rPr>
          <w:rFonts w:hint="eastAsia"/>
        </w:rPr>
        <w:t>增值税小规模纳税人（非定期定额户）申报</w:t>
      </w:r>
      <w:bookmarkEnd w:id="298"/>
      <w:bookmarkEnd w:id="299"/>
      <w:bookmarkEnd w:id="300"/>
      <w:bookmarkEnd w:id="301"/>
    </w:p>
    <w:p w:rsidR="00013EC7" w:rsidRDefault="00575CDB">
      <w:pPr>
        <w:jc w:val="center"/>
        <w:rPr>
          <w:rFonts w:ascii="宋体" w:hAnsi="宋体" w:cs="宋体"/>
          <w:b/>
          <w:bCs/>
          <w:sz w:val="52"/>
          <w:szCs w:val="52"/>
        </w:rPr>
      </w:pPr>
      <w:r>
        <w:rPr>
          <w:rFonts w:ascii="宋体" w:hAnsi="宋体" w:cs="宋体" w:hint="eastAsia"/>
          <w:b/>
          <w:bCs/>
          <w:sz w:val="52"/>
          <w:szCs w:val="52"/>
        </w:rPr>
        <w:t>全省“最多跑一次”事项“八统一”梳理表</w:t>
      </w:r>
    </w:p>
    <w:tbl>
      <w:tblPr>
        <w:tblW w:w="19845"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3255"/>
        <w:gridCol w:w="2268"/>
        <w:gridCol w:w="1276"/>
        <w:gridCol w:w="2693"/>
        <w:gridCol w:w="1134"/>
        <w:gridCol w:w="2308"/>
        <w:gridCol w:w="868"/>
        <w:gridCol w:w="798"/>
        <w:gridCol w:w="958"/>
        <w:gridCol w:w="1104"/>
        <w:gridCol w:w="1476"/>
      </w:tblGrid>
      <w:tr w:rsidR="00013EC7">
        <w:trPr>
          <w:trHeight w:val="340"/>
          <w:tblHeader/>
          <w:jc w:val="center"/>
        </w:trPr>
        <w:tc>
          <w:tcPr>
            <w:tcW w:w="672"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主项名称</w:t>
            </w:r>
          </w:p>
        </w:tc>
        <w:tc>
          <w:tcPr>
            <w:tcW w:w="1035"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子项名称</w:t>
            </w:r>
          </w:p>
        </w:tc>
        <w:tc>
          <w:tcPr>
            <w:tcW w:w="3255"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经办依据</w:t>
            </w:r>
          </w:p>
        </w:tc>
        <w:tc>
          <w:tcPr>
            <w:tcW w:w="3544"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原经办所需材料</w:t>
            </w:r>
          </w:p>
        </w:tc>
        <w:tc>
          <w:tcPr>
            <w:tcW w:w="6135" w:type="dxa"/>
            <w:gridSpan w:val="3"/>
            <w:vAlign w:val="center"/>
          </w:tcPr>
          <w:p w:rsidR="00013EC7" w:rsidRDefault="00575CDB">
            <w:pPr>
              <w:spacing w:line="280" w:lineRule="exact"/>
              <w:jc w:val="center"/>
              <w:rPr>
                <w:rFonts w:ascii="黑体" w:eastAsia="黑体"/>
                <w:sz w:val="24"/>
              </w:rPr>
            </w:pPr>
            <w:r>
              <w:rPr>
                <w:rFonts w:ascii="黑体" w:eastAsia="黑体" w:hint="eastAsia"/>
                <w:sz w:val="24"/>
              </w:rPr>
              <w:t>精简后经办所需材料</w:t>
            </w:r>
          </w:p>
        </w:tc>
        <w:tc>
          <w:tcPr>
            <w:tcW w:w="1666"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办理时限</w:t>
            </w:r>
          </w:p>
        </w:tc>
        <w:tc>
          <w:tcPr>
            <w:tcW w:w="958"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是否实现跑零次</w:t>
            </w:r>
          </w:p>
        </w:tc>
        <w:tc>
          <w:tcPr>
            <w:tcW w:w="1104"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责任处室</w:t>
            </w:r>
          </w:p>
          <w:p w:rsidR="00013EC7" w:rsidRDefault="00575CDB">
            <w:pPr>
              <w:spacing w:line="280" w:lineRule="exact"/>
              <w:jc w:val="center"/>
              <w:rPr>
                <w:rFonts w:ascii="黑体" w:eastAsia="黑体"/>
                <w:sz w:val="24"/>
              </w:rPr>
            </w:pPr>
            <w:r>
              <w:rPr>
                <w:rFonts w:ascii="黑体" w:eastAsia="黑体" w:hint="eastAsia"/>
                <w:sz w:val="24"/>
              </w:rPr>
              <w:t>（单位）</w:t>
            </w:r>
          </w:p>
        </w:tc>
        <w:tc>
          <w:tcPr>
            <w:tcW w:w="1476"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进一步精简、</w:t>
            </w:r>
          </w:p>
          <w:p w:rsidR="00013EC7" w:rsidRDefault="00575CDB">
            <w:pPr>
              <w:spacing w:line="280" w:lineRule="exact"/>
              <w:jc w:val="center"/>
              <w:rPr>
                <w:rFonts w:ascii="黑体" w:eastAsia="黑体"/>
                <w:sz w:val="24"/>
              </w:rPr>
            </w:pPr>
            <w:r>
              <w:rPr>
                <w:rFonts w:ascii="黑体" w:eastAsia="黑体" w:hint="eastAsia"/>
                <w:sz w:val="24"/>
              </w:rPr>
              <w:t>规范建议</w:t>
            </w:r>
          </w:p>
        </w:tc>
      </w:tr>
      <w:tr w:rsidR="00013EC7">
        <w:trPr>
          <w:trHeight w:val="340"/>
          <w:tblHeader/>
          <w:jc w:val="center"/>
        </w:trPr>
        <w:tc>
          <w:tcPr>
            <w:tcW w:w="672" w:type="dxa"/>
            <w:vMerge/>
            <w:vAlign w:val="center"/>
          </w:tcPr>
          <w:p w:rsidR="00013EC7" w:rsidRDefault="00013EC7">
            <w:pPr>
              <w:rPr>
                <w:sz w:val="24"/>
              </w:rPr>
            </w:pPr>
          </w:p>
        </w:tc>
        <w:tc>
          <w:tcPr>
            <w:tcW w:w="1035" w:type="dxa"/>
            <w:vMerge/>
          </w:tcPr>
          <w:p w:rsidR="00013EC7" w:rsidRDefault="00013EC7">
            <w:pPr>
              <w:rPr>
                <w:sz w:val="24"/>
              </w:rPr>
            </w:pPr>
          </w:p>
        </w:tc>
        <w:tc>
          <w:tcPr>
            <w:tcW w:w="3255" w:type="dxa"/>
            <w:vMerge/>
          </w:tcPr>
          <w:p w:rsidR="00013EC7" w:rsidRDefault="00013EC7">
            <w:pPr>
              <w:rPr>
                <w:sz w:val="24"/>
              </w:rPr>
            </w:pPr>
          </w:p>
        </w:tc>
        <w:tc>
          <w:tcPr>
            <w:tcW w:w="2268" w:type="dxa"/>
            <w:tcBorders>
              <w:bottom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276"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2693" w:type="dxa"/>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134"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2308" w:type="dxa"/>
            <w:vAlign w:val="center"/>
          </w:tcPr>
          <w:p w:rsidR="00013EC7" w:rsidRDefault="00575CDB">
            <w:pPr>
              <w:spacing w:line="280" w:lineRule="exact"/>
              <w:jc w:val="center"/>
              <w:rPr>
                <w:rFonts w:ascii="黑体" w:eastAsia="黑体"/>
                <w:sz w:val="24"/>
              </w:rPr>
            </w:pPr>
            <w:r>
              <w:rPr>
                <w:rFonts w:ascii="黑体" w:eastAsia="黑体" w:hint="eastAsia"/>
                <w:sz w:val="24"/>
              </w:rPr>
              <w:t>办理方式及材料</w:t>
            </w:r>
          </w:p>
          <w:p w:rsidR="00013EC7" w:rsidRDefault="00575CDB">
            <w:pPr>
              <w:spacing w:line="280" w:lineRule="exact"/>
              <w:jc w:val="center"/>
              <w:rPr>
                <w:rFonts w:ascii="黑体" w:eastAsia="黑体"/>
                <w:sz w:val="24"/>
              </w:rPr>
            </w:pPr>
            <w:r>
              <w:rPr>
                <w:rFonts w:ascii="黑体" w:eastAsia="黑体" w:hint="eastAsia"/>
                <w:sz w:val="24"/>
              </w:rPr>
              <w:t>信息获取方式说明</w:t>
            </w:r>
          </w:p>
        </w:tc>
        <w:tc>
          <w:tcPr>
            <w:tcW w:w="868" w:type="dxa"/>
            <w:vAlign w:val="center"/>
          </w:tcPr>
          <w:p w:rsidR="00013EC7" w:rsidRDefault="00575CDB">
            <w:pPr>
              <w:spacing w:line="280" w:lineRule="exact"/>
              <w:jc w:val="center"/>
              <w:rPr>
                <w:rFonts w:ascii="黑体" w:eastAsia="黑体"/>
                <w:sz w:val="24"/>
              </w:rPr>
            </w:pPr>
            <w:r>
              <w:rPr>
                <w:rFonts w:ascii="黑体" w:eastAsia="黑体" w:hint="eastAsia"/>
                <w:sz w:val="24"/>
              </w:rPr>
              <w:t>优化前</w:t>
            </w:r>
          </w:p>
        </w:tc>
        <w:tc>
          <w:tcPr>
            <w:tcW w:w="798" w:type="dxa"/>
            <w:vAlign w:val="center"/>
          </w:tcPr>
          <w:p w:rsidR="00013EC7" w:rsidRDefault="00575CDB">
            <w:pPr>
              <w:spacing w:line="280" w:lineRule="exact"/>
              <w:jc w:val="center"/>
              <w:rPr>
                <w:rFonts w:ascii="黑体" w:eastAsia="黑体"/>
                <w:sz w:val="24"/>
              </w:rPr>
            </w:pPr>
            <w:r>
              <w:rPr>
                <w:rFonts w:ascii="黑体" w:eastAsia="黑体" w:hint="eastAsia"/>
                <w:sz w:val="24"/>
              </w:rPr>
              <w:t>优化后</w:t>
            </w:r>
          </w:p>
        </w:tc>
        <w:tc>
          <w:tcPr>
            <w:tcW w:w="958" w:type="dxa"/>
            <w:vMerge/>
            <w:vAlign w:val="center"/>
          </w:tcPr>
          <w:p w:rsidR="00013EC7" w:rsidRDefault="00013EC7">
            <w:pPr>
              <w:rPr>
                <w:sz w:val="24"/>
              </w:rPr>
            </w:pPr>
          </w:p>
        </w:tc>
        <w:tc>
          <w:tcPr>
            <w:tcW w:w="1104" w:type="dxa"/>
            <w:vMerge/>
            <w:vAlign w:val="center"/>
          </w:tcPr>
          <w:p w:rsidR="00013EC7" w:rsidRDefault="00013EC7">
            <w:pPr>
              <w:rPr>
                <w:sz w:val="24"/>
              </w:rPr>
            </w:pPr>
          </w:p>
        </w:tc>
        <w:tc>
          <w:tcPr>
            <w:tcW w:w="1476" w:type="dxa"/>
            <w:vMerge/>
            <w:vAlign w:val="center"/>
          </w:tcPr>
          <w:p w:rsidR="00013EC7" w:rsidRDefault="00013EC7">
            <w:pPr>
              <w:rPr>
                <w:sz w:val="24"/>
              </w:rPr>
            </w:pPr>
          </w:p>
        </w:tc>
      </w:tr>
      <w:tr w:rsidR="00013EC7">
        <w:trPr>
          <w:trHeight w:val="1475"/>
          <w:jc w:val="center"/>
        </w:trPr>
        <w:tc>
          <w:tcPr>
            <w:tcW w:w="672" w:type="dxa"/>
            <w:vMerge w:val="restart"/>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sz w:val="24"/>
              </w:rPr>
              <w:t>17.日常税费申报</w:t>
            </w:r>
          </w:p>
        </w:tc>
        <w:tc>
          <w:tcPr>
            <w:tcW w:w="1035" w:type="dxa"/>
            <w:vMerge w:val="restart"/>
            <w:vAlign w:val="center"/>
          </w:tcPr>
          <w:p w:rsidR="00013EC7" w:rsidRDefault="00575CDB">
            <w:pPr>
              <w:spacing w:line="310" w:lineRule="exact"/>
              <w:rPr>
                <w:rFonts w:ascii="仿宋" w:eastAsia="仿宋" w:hAnsi="仿宋" w:cs="仿宋"/>
                <w:sz w:val="24"/>
              </w:rPr>
            </w:pPr>
            <w:r>
              <w:rPr>
                <w:rFonts w:ascii="仿宋" w:eastAsia="仿宋" w:hAnsi="仿宋" w:cs="仿宋" w:hint="eastAsia"/>
                <w:sz w:val="24"/>
              </w:rPr>
              <w:t>17.2增值税小规模纳税人（非定期定额户）申报</w:t>
            </w:r>
          </w:p>
        </w:tc>
        <w:tc>
          <w:tcPr>
            <w:tcW w:w="3255" w:type="dxa"/>
            <w:vMerge w:val="restart"/>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（一）《国家税务总局关于小微企业免征增值税和营业税有关问题的公告》（国家税务总局公告2014年第57号）全文。</w:t>
            </w:r>
            <w:r>
              <w:rPr>
                <w:rFonts w:ascii="仿宋" w:eastAsia="仿宋" w:hAnsi="仿宋" w:cs="仿宋" w:hint="eastAsia"/>
                <w:kern w:val="1"/>
                <w:sz w:val="24"/>
              </w:rPr>
              <w:br/>
              <w:t>（二）《国家税务总局关于调整增值税一般纳税人管理有关事项的公告》（国家税务总局公告2015年第18号）第三条。</w:t>
            </w:r>
            <w:r>
              <w:rPr>
                <w:rFonts w:ascii="仿宋" w:eastAsia="仿宋" w:hAnsi="仿宋" w:cs="仿宋" w:hint="eastAsia"/>
                <w:kern w:val="1"/>
                <w:sz w:val="24"/>
              </w:rPr>
              <w:br/>
              <w:t>（三）《国家税务总局关于全面推开营业税改征增值税试点后增值税纳税申报有关事项的公告》（国家税务总局公告 2016年第13号）全文。</w:t>
            </w:r>
            <w:r>
              <w:rPr>
                <w:rFonts w:ascii="仿宋" w:eastAsia="仿宋" w:hAnsi="仿宋" w:cs="仿宋" w:hint="eastAsia"/>
                <w:kern w:val="1"/>
                <w:sz w:val="24"/>
              </w:rPr>
              <w:br/>
              <w:t>（四）《国家税务总局关于调整增值税纳税申报有关事项的公告》（国家税务总局公告2016年第27号）全文。</w:t>
            </w:r>
            <w:r>
              <w:rPr>
                <w:rFonts w:ascii="仿宋" w:eastAsia="仿宋" w:hAnsi="仿宋" w:cs="仿宋" w:hint="eastAsia"/>
                <w:kern w:val="1"/>
                <w:sz w:val="24"/>
              </w:rPr>
              <w:br/>
              <w:t>（五）《国家税务总局关于加快推行办税事项同城通办的通知》（税总发〔2016〕46 号）全文。</w:t>
            </w:r>
            <w:r>
              <w:rPr>
                <w:rFonts w:ascii="仿宋" w:eastAsia="仿宋" w:hAnsi="仿宋" w:cs="仿宋" w:hint="eastAsia"/>
                <w:kern w:val="1"/>
                <w:sz w:val="24"/>
              </w:rPr>
              <w:br/>
              <w:t>（六）《国家税务总局关于合理简并纳税人申报缴税次数的公告》（国家税务总局公告2016年第6号）全文。</w:t>
            </w:r>
            <w:r>
              <w:rPr>
                <w:rFonts w:ascii="仿宋" w:eastAsia="仿宋" w:hAnsi="仿宋" w:cs="仿宋" w:hint="eastAsia"/>
                <w:kern w:val="1"/>
                <w:sz w:val="24"/>
              </w:rPr>
              <w:br/>
              <w:t>（七）《财政部国家税务总局关于全面推开营业税改征增值税试点的通知》（财税〔2016〕36号）全文。</w:t>
            </w:r>
          </w:p>
          <w:p w:rsidR="00013EC7" w:rsidRDefault="00013EC7">
            <w:pPr>
              <w:spacing w:line="310" w:lineRule="exact"/>
              <w:rPr>
                <w:rFonts w:ascii="仿宋" w:eastAsia="仿宋" w:hAnsi="仿宋" w:cs="仿宋"/>
                <w:sz w:val="24"/>
              </w:rPr>
            </w:pPr>
          </w:p>
        </w:tc>
        <w:tc>
          <w:tcPr>
            <w:tcW w:w="2268" w:type="dxa"/>
            <w:tcBorders>
              <w:top w:val="single" w:sz="4" w:space="0" w:color="auto"/>
              <w:bottom w:val="single" w:sz="4" w:space="0" w:color="auto"/>
            </w:tcBorders>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 xml:space="preserve">（一） </w:t>
            </w:r>
            <w:r>
              <w:rPr>
                <w:rFonts w:ascii="仿宋" w:eastAsia="仿宋" w:hAnsi="仿宋" w:cs="仿宋" w:hint="eastAsia"/>
                <w:kern w:val="1"/>
                <w:sz w:val="24"/>
              </w:rPr>
              <w:t>A06491《增值税纳税申报表（小规模纳税人适用）》及附表各</w:t>
            </w:r>
            <w:r>
              <w:rPr>
                <w:rFonts w:ascii="仿宋" w:eastAsia="仿宋" w:hAnsi="仿宋" w:cs="仿宋" w:hint="eastAsia"/>
                <w:kern w:val="1"/>
                <w:sz w:val="24"/>
                <w:shd w:val="clear" w:color="FFFFFF" w:fill="D9D9D9"/>
              </w:rPr>
              <w:t>2份</w:t>
            </w:r>
            <w:r>
              <w:rPr>
                <w:rFonts w:ascii="仿宋" w:eastAsia="仿宋" w:hAnsi="仿宋" w:cs="仿宋" w:hint="eastAsia"/>
                <w:kern w:val="1"/>
                <w:sz w:val="24"/>
              </w:rPr>
              <w:t>。</w:t>
            </w:r>
          </w:p>
        </w:tc>
        <w:tc>
          <w:tcPr>
            <w:tcW w:w="1276" w:type="dxa"/>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sz w:val="24"/>
              </w:rPr>
              <w:t>纳税人提交</w:t>
            </w:r>
          </w:p>
        </w:tc>
        <w:tc>
          <w:tcPr>
            <w:tcW w:w="2693"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（一）</w:t>
            </w:r>
            <w:r>
              <w:rPr>
                <w:rFonts w:ascii="仿宋" w:eastAsia="仿宋" w:hAnsi="仿宋" w:cs="仿宋" w:hint="eastAsia"/>
                <w:kern w:val="1"/>
                <w:sz w:val="24"/>
              </w:rPr>
              <w:t>A06491《增值税纳税申报表（小规模纳税人适用）》及附表各1份</w:t>
            </w:r>
            <w:r>
              <w:rPr>
                <w:rFonts w:ascii="仿宋" w:eastAsia="仿宋" w:hAnsi="仿宋" w:cs="仿宋" w:hint="eastAsia"/>
                <w:sz w:val="24"/>
              </w:rPr>
              <w:t>。</w:t>
            </w:r>
          </w:p>
        </w:tc>
        <w:tc>
          <w:tcPr>
            <w:tcW w:w="1134" w:type="dxa"/>
            <w:vAlign w:val="center"/>
          </w:tcPr>
          <w:p w:rsidR="00013EC7" w:rsidRDefault="00575CDB">
            <w:pPr>
              <w:spacing w:line="300" w:lineRule="exact"/>
              <w:jc w:val="center"/>
              <w:rPr>
                <w:rFonts w:ascii="仿宋" w:eastAsia="仿宋" w:hAnsi="仿宋" w:cs="仿宋"/>
                <w:b/>
                <w:bCs/>
                <w:i/>
                <w:iCs/>
                <w:sz w:val="24"/>
              </w:rPr>
            </w:pPr>
            <w:r>
              <w:rPr>
                <w:rFonts w:ascii="仿宋" w:eastAsia="仿宋" w:hAnsi="仿宋" w:cs="仿宋" w:hint="eastAsia"/>
                <w:sz w:val="24"/>
              </w:rPr>
              <w:t>纳税人提交</w:t>
            </w:r>
          </w:p>
        </w:tc>
        <w:tc>
          <w:tcPr>
            <w:tcW w:w="2308" w:type="dxa"/>
            <w:vMerge w:val="restart"/>
            <w:vAlign w:val="center"/>
          </w:tcPr>
          <w:p w:rsidR="00013EC7" w:rsidRDefault="00575CDB">
            <w:pPr>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纳税人提交书面材料，符合受理条件的当场受理办结。</w:t>
            </w:r>
          </w:p>
          <w:p w:rsidR="00013EC7" w:rsidRDefault="00575CDB">
            <w:pPr>
              <w:spacing w:line="300" w:lineRule="exact"/>
              <w:rPr>
                <w:rFonts w:ascii="仿宋" w:eastAsia="仿宋" w:hAnsi="仿宋" w:cs="仿宋"/>
                <w:sz w:val="24"/>
              </w:rPr>
            </w:pPr>
            <w:r>
              <w:rPr>
                <w:rFonts w:ascii="仿宋" w:eastAsia="仿宋" w:hAnsi="仿宋" w:cs="仿宋" w:hint="eastAsia"/>
                <w:b/>
                <w:bCs/>
                <w:sz w:val="24"/>
              </w:rPr>
              <w:t>网上办理：</w:t>
            </w:r>
            <w:r>
              <w:rPr>
                <w:rFonts w:ascii="仿宋" w:eastAsia="仿宋" w:hAnsi="仿宋" w:cs="仿宋" w:hint="eastAsia"/>
                <w:sz w:val="24"/>
              </w:rPr>
              <w:t>登录浙江国税电子税务局（网址：</w:t>
            </w:r>
            <w:hyperlink r:id="rId210" w:tgtFrame="https://wx.qq.com/_blank" w:history="1">
              <w:r>
                <w:rPr>
                  <w:rFonts w:ascii="仿宋" w:eastAsia="仿宋" w:hAnsi="仿宋" w:cs="仿宋" w:hint="eastAsia"/>
                  <w:sz w:val="24"/>
                </w:rPr>
                <w:t>http://etax.zjtax.gov.cn/</w:t>
              </w:r>
            </w:hyperlink>
          </w:p>
          <w:p w:rsidR="00013EC7" w:rsidRDefault="00575CDB">
            <w:pPr>
              <w:spacing w:line="300" w:lineRule="exact"/>
              <w:rPr>
                <w:rFonts w:ascii="仿宋" w:eastAsia="仿宋" w:hAnsi="仿宋" w:cs="仿宋"/>
                <w:sz w:val="24"/>
              </w:rPr>
            </w:pPr>
            <w:r>
              <w:rPr>
                <w:rFonts w:ascii="仿宋" w:eastAsia="仿宋" w:hAnsi="仿宋" w:cs="仿宋" w:hint="eastAsia"/>
                <w:sz w:val="24"/>
              </w:rPr>
              <w:t>）提交申请。</w:t>
            </w:r>
          </w:p>
          <w:p w:rsidR="00013EC7" w:rsidRDefault="00013EC7">
            <w:pPr>
              <w:spacing w:line="300" w:lineRule="exact"/>
              <w:rPr>
                <w:rFonts w:ascii="仿宋" w:eastAsia="仿宋" w:hAnsi="仿宋" w:cs="仿宋"/>
                <w:sz w:val="24"/>
              </w:rPr>
            </w:pPr>
          </w:p>
        </w:tc>
        <w:tc>
          <w:tcPr>
            <w:tcW w:w="868"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即时办结</w:t>
            </w:r>
          </w:p>
        </w:tc>
        <w:tc>
          <w:tcPr>
            <w:tcW w:w="798"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即时办结</w:t>
            </w:r>
          </w:p>
        </w:tc>
        <w:tc>
          <w:tcPr>
            <w:tcW w:w="958"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是</w:t>
            </w:r>
          </w:p>
        </w:tc>
        <w:tc>
          <w:tcPr>
            <w:tcW w:w="1104"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货物和劳务税处</w:t>
            </w:r>
          </w:p>
        </w:tc>
        <w:tc>
          <w:tcPr>
            <w:tcW w:w="1476" w:type="dxa"/>
            <w:vMerge w:val="restart"/>
            <w:vAlign w:val="center"/>
          </w:tcPr>
          <w:p w:rsidR="00013EC7" w:rsidRDefault="00013EC7">
            <w:pPr>
              <w:spacing w:line="300" w:lineRule="exact"/>
              <w:rPr>
                <w:rFonts w:ascii="仿宋" w:eastAsia="仿宋" w:hAnsi="仿宋" w:cs="仿宋"/>
                <w:sz w:val="24"/>
              </w:rPr>
            </w:pPr>
          </w:p>
        </w:tc>
      </w:tr>
      <w:tr w:rsidR="00013EC7">
        <w:trPr>
          <w:trHeight w:val="340"/>
          <w:jc w:val="center"/>
        </w:trPr>
        <w:tc>
          <w:tcPr>
            <w:tcW w:w="672" w:type="dxa"/>
            <w:vMerge/>
            <w:textDirection w:val="tbRlV"/>
            <w:vAlign w:val="center"/>
          </w:tcPr>
          <w:p w:rsidR="00013EC7" w:rsidRDefault="00013EC7">
            <w:pPr>
              <w:rPr>
                <w:rFonts w:ascii="仿宋" w:eastAsia="仿宋" w:hAnsi="仿宋" w:cs="仿宋"/>
                <w:sz w:val="24"/>
              </w:rPr>
            </w:pPr>
          </w:p>
        </w:tc>
        <w:tc>
          <w:tcPr>
            <w:tcW w:w="1035" w:type="dxa"/>
            <w:vMerge/>
            <w:vAlign w:val="center"/>
          </w:tcPr>
          <w:p w:rsidR="00013EC7" w:rsidRDefault="00013EC7">
            <w:pPr>
              <w:rPr>
                <w:rFonts w:ascii="仿宋" w:eastAsia="仿宋" w:hAnsi="仿宋" w:cs="仿宋"/>
                <w:sz w:val="24"/>
              </w:rPr>
            </w:pPr>
          </w:p>
        </w:tc>
        <w:tc>
          <w:tcPr>
            <w:tcW w:w="3255" w:type="dxa"/>
            <w:vMerge/>
            <w:vAlign w:val="center"/>
          </w:tcPr>
          <w:p w:rsidR="00013EC7" w:rsidRDefault="00013EC7">
            <w:pPr>
              <w:rPr>
                <w:rFonts w:ascii="仿宋" w:eastAsia="仿宋" w:hAnsi="仿宋" w:cs="仿宋"/>
                <w:sz w:val="24"/>
              </w:rPr>
            </w:pPr>
          </w:p>
        </w:tc>
        <w:tc>
          <w:tcPr>
            <w:tcW w:w="2268"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（二）</w:t>
            </w:r>
            <w:r>
              <w:rPr>
                <w:rFonts w:ascii="仿宋" w:eastAsia="仿宋" w:hAnsi="仿宋" w:cs="仿宋" w:hint="eastAsia"/>
                <w:kern w:val="1"/>
                <w:sz w:val="24"/>
              </w:rPr>
              <w:t>《增值税减免税申报明细表》</w:t>
            </w:r>
            <w:r>
              <w:rPr>
                <w:rFonts w:ascii="仿宋" w:eastAsia="仿宋" w:hAnsi="仿宋" w:cs="仿宋" w:hint="eastAsia"/>
                <w:kern w:val="1"/>
                <w:sz w:val="24"/>
                <w:shd w:val="clear" w:color="FFFFFF" w:fill="D9D9D9"/>
              </w:rPr>
              <w:t>2份</w:t>
            </w:r>
            <w:r>
              <w:rPr>
                <w:rFonts w:ascii="仿宋" w:eastAsia="仿宋" w:hAnsi="仿宋" w:cs="仿宋" w:hint="eastAsia"/>
                <w:kern w:val="1"/>
                <w:sz w:val="24"/>
              </w:rPr>
              <w:t>。</w:t>
            </w:r>
          </w:p>
        </w:tc>
        <w:tc>
          <w:tcPr>
            <w:tcW w:w="1276" w:type="dxa"/>
            <w:vAlign w:val="center"/>
          </w:tcPr>
          <w:p w:rsidR="00013EC7" w:rsidRDefault="00575CDB">
            <w:pPr>
              <w:rPr>
                <w:rFonts w:ascii="仿宋" w:eastAsia="仿宋" w:hAnsi="仿宋" w:cs="仿宋"/>
                <w:sz w:val="24"/>
              </w:rPr>
            </w:pPr>
            <w:r>
              <w:rPr>
                <w:rFonts w:ascii="仿宋" w:eastAsia="仿宋" w:hAnsi="仿宋" w:cs="仿宋" w:hint="eastAsia"/>
                <w:kern w:val="1"/>
                <w:sz w:val="24"/>
              </w:rPr>
              <w:t>享受增值税减免税优惠政策的</w:t>
            </w:r>
            <w:r>
              <w:rPr>
                <w:rFonts w:ascii="仿宋" w:eastAsia="仿宋" w:hAnsi="仿宋" w:cs="仿宋" w:hint="eastAsia"/>
                <w:sz w:val="24"/>
              </w:rPr>
              <w:t>纳税人提交</w:t>
            </w:r>
          </w:p>
        </w:tc>
        <w:tc>
          <w:tcPr>
            <w:tcW w:w="2693"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（二）</w:t>
            </w:r>
            <w:r>
              <w:rPr>
                <w:rFonts w:ascii="仿宋" w:eastAsia="仿宋" w:hAnsi="仿宋" w:cs="仿宋" w:hint="eastAsia"/>
                <w:kern w:val="1"/>
                <w:sz w:val="24"/>
              </w:rPr>
              <w:t>《增值税减免税申报明细表》1份。</w:t>
            </w:r>
          </w:p>
        </w:tc>
        <w:tc>
          <w:tcPr>
            <w:tcW w:w="1134" w:type="dxa"/>
            <w:vAlign w:val="center"/>
          </w:tcPr>
          <w:p w:rsidR="00013EC7" w:rsidRDefault="00575CDB">
            <w:pPr>
              <w:rPr>
                <w:rFonts w:ascii="仿宋" w:eastAsia="仿宋" w:hAnsi="仿宋" w:cs="仿宋"/>
                <w:sz w:val="24"/>
              </w:rPr>
            </w:pPr>
            <w:r>
              <w:rPr>
                <w:rFonts w:ascii="仿宋" w:eastAsia="仿宋" w:hAnsi="仿宋" w:cs="仿宋" w:hint="eastAsia"/>
                <w:kern w:val="1"/>
                <w:sz w:val="24"/>
              </w:rPr>
              <w:t>享受增值税减免税优惠政策的</w:t>
            </w:r>
            <w:r>
              <w:rPr>
                <w:rFonts w:ascii="仿宋" w:eastAsia="仿宋" w:hAnsi="仿宋" w:cs="仿宋" w:hint="eastAsia"/>
                <w:sz w:val="24"/>
              </w:rPr>
              <w:t>纳税人提交</w:t>
            </w:r>
          </w:p>
        </w:tc>
        <w:tc>
          <w:tcPr>
            <w:tcW w:w="2308" w:type="dxa"/>
            <w:vMerge/>
            <w:vAlign w:val="center"/>
          </w:tcPr>
          <w:p w:rsidR="00013EC7" w:rsidRDefault="00013EC7">
            <w:pPr>
              <w:spacing w:line="300" w:lineRule="exact"/>
              <w:rPr>
                <w:rFonts w:ascii="仿宋" w:eastAsia="仿宋" w:hAnsi="仿宋" w:cs="仿宋"/>
                <w:sz w:val="24"/>
              </w:rPr>
            </w:pPr>
          </w:p>
        </w:tc>
        <w:tc>
          <w:tcPr>
            <w:tcW w:w="868" w:type="dxa"/>
            <w:vMerge/>
            <w:vAlign w:val="center"/>
          </w:tcPr>
          <w:p w:rsidR="00013EC7" w:rsidRDefault="00013EC7">
            <w:pPr>
              <w:rPr>
                <w:rFonts w:ascii="仿宋" w:eastAsia="仿宋" w:hAnsi="仿宋" w:cs="仿宋"/>
                <w:sz w:val="24"/>
              </w:rPr>
            </w:pPr>
          </w:p>
        </w:tc>
        <w:tc>
          <w:tcPr>
            <w:tcW w:w="798" w:type="dxa"/>
            <w:vMerge/>
            <w:vAlign w:val="center"/>
          </w:tcPr>
          <w:p w:rsidR="00013EC7" w:rsidRDefault="00013EC7">
            <w:pPr>
              <w:rPr>
                <w:rFonts w:ascii="仿宋" w:eastAsia="仿宋" w:hAnsi="仿宋" w:cs="仿宋"/>
                <w:sz w:val="24"/>
              </w:rPr>
            </w:pP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340"/>
          <w:jc w:val="center"/>
        </w:trPr>
        <w:tc>
          <w:tcPr>
            <w:tcW w:w="672" w:type="dxa"/>
            <w:vMerge/>
            <w:textDirection w:val="tbRlV"/>
            <w:vAlign w:val="center"/>
          </w:tcPr>
          <w:p w:rsidR="00013EC7" w:rsidRDefault="00013EC7">
            <w:pPr>
              <w:rPr>
                <w:rFonts w:ascii="仿宋" w:eastAsia="仿宋" w:hAnsi="仿宋" w:cs="仿宋"/>
                <w:sz w:val="24"/>
              </w:rPr>
            </w:pPr>
          </w:p>
        </w:tc>
        <w:tc>
          <w:tcPr>
            <w:tcW w:w="1035" w:type="dxa"/>
            <w:vMerge/>
            <w:vAlign w:val="center"/>
          </w:tcPr>
          <w:p w:rsidR="00013EC7" w:rsidRDefault="00013EC7">
            <w:pPr>
              <w:rPr>
                <w:rFonts w:ascii="仿宋" w:eastAsia="仿宋" w:hAnsi="仿宋" w:cs="仿宋"/>
                <w:sz w:val="24"/>
              </w:rPr>
            </w:pPr>
          </w:p>
        </w:tc>
        <w:tc>
          <w:tcPr>
            <w:tcW w:w="3255" w:type="dxa"/>
            <w:vMerge/>
            <w:vAlign w:val="center"/>
          </w:tcPr>
          <w:p w:rsidR="00013EC7" w:rsidRDefault="00013EC7">
            <w:pPr>
              <w:rPr>
                <w:rFonts w:ascii="仿宋" w:eastAsia="仿宋" w:hAnsi="仿宋" w:cs="仿宋"/>
                <w:sz w:val="24"/>
              </w:rPr>
            </w:pPr>
          </w:p>
        </w:tc>
        <w:tc>
          <w:tcPr>
            <w:tcW w:w="2268"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kern w:val="1"/>
                <w:sz w:val="24"/>
                <w:shd w:val="clear" w:color="FFFFFF" w:fill="D9D9D9"/>
              </w:rPr>
              <w:t>（三）使用税控收款机的纳税人应报送税控收款机用户卡等存储开票信息的存储介质，也可点对点或网络传输开票信息。</w:t>
            </w:r>
          </w:p>
        </w:tc>
        <w:tc>
          <w:tcPr>
            <w:tcW w:w="1276" w:type="dxa"/>
            <w:vMerge w:val="restart"/>
            <w:vAlign w:val="center"/>
          </w:tcPr>
          <w:p w:rsidR="00013EC7" w:rsidRDefault="00575CDB">
            <w:pPr>
              <w:rPr>
                <w:rFonts w:ascii="仿宋" w:eastAsia="仿宋" w:hAnsi="仿宋" w:cs="仿宋"/>
                <w:sz w:val="24"/>
              </w:rPr>
            </w:pPr>
            <w:r>
              <w:rPr>
                <w:rFonts w:ascii="仿宋" w:eastAsia="仿宋" w:hAnsi="仿宋" w:cs="仿宋" w:hint="eastAsia"/>
                <w:sz w:val="24"/>
              </w:rPr>
              <w:t>纳税人</w:t>
            </w:r>
            <w:r>
              <w:rPr>
                <w:rFonts w:ascii="仿宋" w:eastAsia="仿宋" w:hAnsi="仿宋" w:cs="仿宋" w:hint="eastAsia"/>
                <w:kern w:val="1"/>
                <w:sz w:val="24"/>
              </w:rPr>
              <w:t>留存备查</w:t>
            </w:r>
          </w:p>
        </w:tc>
        <w:tc>
          <w:tcPr>
            <w:tcW w:w="2693" w:type="dxa"/>
            <w:vAlign w:val="center"/>
          </w:tcPr>
          <w:p w:rsidR="00013EC7" w:rsidRDefault="00013EC7">
            <w:pPr>
              <w:spacing w:line="300" w:lineRule="exact"/>
              <w:rPr>
                <w:rFonts w:ascii="仿宋" w:eastAsia="仿宋" w:hAnsi="仿宋" w:cs="仿宋"/>
                <w:sz w:val="24"/>
              </w:rPr>
            </w:pPr>
          </w:p>
        </w:tc>
        <w:tc>
          <w:tcPr>
            <w:tcW w:w="1134" w:type="dxa"/>
            <w:vAlign w:val="center"/>
          </w:tcPr>
          <w:p w:rsidR="00013EC7" w:rsidRDefault="00575CDB">
            <w:pPr>
              <w:rPr>
                <w:rFonts w:ascii="仿宋" w:eastAsia="仿宋" w:hAnsi="仿宋" w:cs="仿宋"/>
                <w:b/>
                <w:sz w:val="24"/>
              </w:rPr>
            </w:pPr>
            <w:r>
              <w:rPr>
                <w:rFonts w:ascii="仿宋" w:eastAsia="仿宋" w:hAnsi="仿宋" w:cs="仿宋" w:hint="eastAsia"/>
                <w:b/>
                <w:i/>
                <w:iCs/>
                <w:sz w:val="24"/>
              </w:rPr>
              <w:t>取消</w:t>
            </w:r>
          </w:p>
        </w:tc>
        <w:tc>
          <w:tcPr>
            <w:tcW w:w="2308" w:type="dxa"/>
            <w:vMerge/>
            <w:vAlign w:val="center"/>
          </w:tcPr>
          <w:p w:rsidR="00013EC7" w:rsidRDefault="00013EC7">
            <w:pPr>
              <w:spacing w:line="300" w:lineRule="exact"/>
              <w:rPr>
                <w:rFonts w:ascii="仿宋" w:eastAsia="仿宋" w:hAnsi="仿宋" w:cs="仿宋"/>
                <w:sz w:val="24"/>
              </w:rPr>
            </w:pPr>
          </w:p>
        </w:tc>
        <w:tc>
          <w:tcPr>
            <w:tcW w:w="868" w:type="dxa"/>
            <w:vMerge/>
            <w:vAlign w:val="center"/>
          </w:tcPr>
          <w:p w:rsidR="00013EC7" w:rsidRDefault="00013EC7">
            <w:pPr>
              <w:rPr>
                <w:rFonts w:ascii="仿宋" w:eastAsia="仿宋" w:hAnsi="仿宋" w:cs="仿宋"/>
                <w:sz w:val="24"/>
              </w:rPr>
            </w:pPr>
          </w:p>
        </w:tc>
        <w:tc>
          <w:tcPr>
            <w:tcW w:w="798" w:type="dxa"/>
            <w:vMerge/>
            <w:vAlign w:val="center"/>
          </w:tcPr>
          <w:p w:rsidR="00013EC7" w:rsidRDefault="00013EC7">
            <w:pPr>
              <w:rPr>
                <w:rFonts w:ascii="仿宋" w:eastAsia="仿宋" w:hAnsi="仿宋" w:cs="仿宋"/>
                <w:sz w:val="24"/>
              </w:rPr>
            </w:pP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340"/>
          <w:jc w:val="center"/>
        </w:trPr>
        <w:tc>
          <w:tcPr>
            <w:tcW w:w="672" w:type="dxa"/>
            <w:vMerge/>
            <w:textDirection w:val="tbRlV"/>
            <w:vAlign w:val="center"/>
          </w:tcPr>
          <w:p w:rsidR="00013EC7" w:rsidRDefault="00013EC7">
            <w:pPr>
              <w:rPr>
                <w:rFonts w:ascii="仿宋" w:eastAsia="仿宋" w:hAnsi="仿宋" w:cs="仿宋"/>
                <w:sz w:val="24"/>
              </w:rPr>
            </w:pPr>
          </w:p>
        </w:tc>
        <w:tc>
          <w:tcPr>
            <w:tcW w:w="1035" w:type="dxa"/>
            <w:vMerge/>
            <w:vAlign w:val="center"/>
          </w:tcPr>
          <w:p w:rsidR="00013EC7" w:rsidRDefault="00013EC7">
            <w:pPr>
              <w:rPr>
                <w:rFonts w:ascii="仿宋" w:eastAsia="仿宋" w:hAnsi="仿宋" w:cs="仿宋"/>
                <w:sz w:val="24"/>
              </w:rPr>
            </w:pPr>
          </w:p>
        </w:tc>
        <w:tc>
          <w:tcPr>
            <w:tcW w:w="3255" w:type="dxa"/>
            <w:vMerge/>
            <w:vAlign w:val="center"/>
          </w:tcPr>
          <w:p w:rsidR="00013EC7" w:rsidRDefault="00013EC7">
            <w:pPr>
              <w:rPr>
                <w:rFonts w:ascii="仿宋" w:eastAsia="仿宋" w:hAnsi="仿宋" w:cs="仿宋"/>
                <w:sz w:val="24"/>
              </w:rPr>
            </w:pPr>
          </w:p>
        </w:tc>
        <w:tc>
          <w:tcPr>
            <w:tcW w:w="2268"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kern w:val="1"/>
                <w:sz w:val="24"/>
                <w:shd w:val="clear" w:color="FFFFFF" w:fill="D9D9D9"/>
              </w:rPr>
              <w:t>（四）已开具的税控“机动车销售统一发票”和普通发票的存根联。</w:t>
            </w:r>
          </w:p>
        </w:tc>
        <w:tc>
          <w:tcPr>
            <w:tcW w:w="1276" w:type="dxa"/>
            <w:vMerge/>
            <w:vAlign w:val="center"/>
          </w:tcPr>
          <w:p w:rsidR="00013EC7" w:rsidRDefault="00013EC7">
            <w:pPr>
              <w:rPr>
                <w:rFonts w:ascii="仿宋" w:eastAsia="仿宋" w:hAnsi="仿宋" w:cs="仿宋"/>
                <w:sz w:val="24"/>
              </w:rPr>
            </w:pPr>
          </w:p>
        </w:tc>
        <w:tc>
          <w:tcPr>
            <w:tcW w:w="2693" w:type="dxa"/>
            <w:vAlign w:val="center"/>
          </w:tcPr>
          <w:p w:rsidR="00013EC7" w:rsidRDefault="00013EC7">
            <w:pPr>
              <w:spacing w:line="300" w:lineRule="exact"/>
              <w:rPr>
                <w:rFonts w:ascii="仿宋" w:eastAsia="仿宋" w:hAnsi="仿宋" w:cs="仿宋"/>
                <w:sz w:val="24"/>
              </w:rPr>
            </w:pPr>
          </w:p>
        </w:tc>
        <w:tc>
          <w:tcPr>
            <w:tcW w:w="1134" w:type="dxa"/>
            <w:vAlign w:val="center"/>
          </w:tcPr>
          <w:p w:rsidR="00013EC7" w:rsidRDefault="00575CDB">
            <w:pPr>
              <w:rPr>
                <w:rFonts w:ascii="仿宋" w:eastAsia="仿宋" w:hAnsi="仿宋" w:cs="仿宋"/>
                <w:sz w:val="24"/>
              </w:rPr>
            </w:pPr>
            <w:r>
              <w:rPr>
                <w:rFonts w:ascii="仿宋" w:eastAsia="仿宋" w:hAnsi="仿宋" w:cs="仿宋" w:hint="eastAsia"/>
                <w:b/>
                <w:i/>
                <w:iCs/>
                <w:sz w:val="24"/>
              </w:rPr>
              <w:t>取消</w:t>
            </w:r>
          </w:p>
        </w:tc>
        <w:tc>
          <w:tcPr>
            <w:tcW w:w="2308" w:type="dxa"/>
            <w:vMerge/>
            <w:vAlign w:val="center"/>
          </w:tcPr>
          <w:p w:rsidR="00013EC7" w:rsidRDefault="00013EC7">
            <w:pPr>
              <w:spacing w:line="300" w:lineRule="exact"/>
              <w:rPr>
                <w:rFonts w:ascii="仿宋" w:eastAsia="仿宋" w:hAnsi="仿宋" w:cs="仿宋"/>
                <w:sz w:val="24"/>
              </w:rPr>
            </w:pPr>
          </w:p>
        </w:tc>
        <w:tc>
          <w:tcPr>
            <w:tcW w:w="868" w:type="dxa"/>
            <w:vMerge/>
            <w:vAlign w:val="center"/>
          </w:tcPr>
          <w:p w:rsidR="00013EC7" w:rsidRDefault="00013EC7">
            <w:pPr>
              <w:rPr>
                <w:rFonts w:ascii="仿宋" w:eastAsia="仿宋" w:hAnsi="仿宋" w:cs="仿宋"/>
                <w:sz w:val="24"/>
              </w:rPr>
            </w:pPr>
          </w:p>
        </w:tc>
        <w:tc>
          <w:tcPr>
            <w:tcW w:w="798" w:type="dxa"/>
            <w:vMerge/>
            <w:vAlign w:val="center"/>
          </w:tcPr>
          <w:p w:rsidR="00013EC7" w:rsidRDefault="00013EC7">
            <w:pPr>
              <w:rPr>
                <w:rFonts w:ascii="仿宋" w:eastAsia="仿宋" w:hAnsi="仿宋" w:cs="仿宋"/>
                <w:sz w:val="24"/>
              </w:rPr>
            </w:pP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bl>
    <w:p w:rsidR="00013EC7" w:rsidRDefault="00013EC7">
      <w:pPr>
        <w:rPr>
          <w:rFonts w:ascii="仿宋" w:eastAsia="仿宋" w:hAnsi="仿宋" w:cs="仿宋"/>
          <w:sz w:val="24"/>
        </w:rPr>
      </w:pPr>
    </w:p>
    <w:p w:rsidR="00013EC7" w:rsidRDefault="00013EC7">
      <w:pPr>
        <w:jc w:val="center"/>
        <w:rPr>
          <w:rFonts w:ascii="仿宋" w:eastAsia="仿宋" w:hAnsi="仿宋" w:cs="仿宋"/>
          <w:sz w:val="24"/>
        </w:rPr>
      </w:pPr>
    </w:p>
    <w:p w:rsidR="00013EC7" w:rsidRDefault="00013EC7">
      <w:pPr>
        <w:jc w:val="center"/>
        <w:rPr>
          <w:rFonts w:ascii="仿宋" w:eastAsia="仿宋" w:hAnsi="仿宋" w:cs="仿宋"/>
          <w:sz w:val="24"/>
        </w:rPr>
      </w:pPr>
    </w:p>
    <w:p w:rsidR="00013EC7" w:rsidRDefault="005262E6">
      <w:pPr>
        <w:rPr>
          <w:rFonts w:ascii="仿宋" w:eastAsia="仿宋" w:hAnsi="仿宋" w:cs="仿宋"/>
          <w:sz w:val="24"/>
        </w:rPr>
      </w:pPr>
      <w:r>
        <w:rPr>
          <w:rFonts w:ascii="宋体" w:hAnsi="宋体" w:cs="宋体"/>
          <w:kern w:val="1"/>
          <w:szCs w:val="21"/>
        </w:rPr>
        <w:lastRenderedPageBreak/>
        <w:object w:dxaOrig="1440" w:dyaOrig="1440">
          <v:shape id="_x0000_s1347" type="#_x0000_t75" style="position:absolute;left:0;text-align:left;margin-left:556.95pt;margin-top:89.5pt;width:409.5pt;height:571.5pt;z-index:251673600;mso-wrap-distance-top:0;mso-wrap-distance-bottom:0;mso-position-vertical-relative:page;mso-width-relative:page;mso-height-relative:page">
            <v:imagedata r:id="rId211" o:title=""/>
            <o:lock v:ext="edit" aspectratio="f"/>
            <w10:wrap type="topAndBottom" anchory="page"/>
          </v:shape>
          <o:OLEObject Type="Embed" ProgID="Visio.Drawing.11" ShapeID="_x0000_s1347" DrawAspect="Content" ObjectID="_1577296229" r:id="rId212"/>
        </w:object>
      </w:r>
      <w:r>
        <w:object w:dxaOrig="1440" w:dyaOrig="1440">
          <v:shape id="_x0000_s1346" type="#_x0000_t75" style="position:absolute;left:0;text-align:left;margin-left:0;margin-top:96.7pt;width:482pt;height:574.5pt;z-index:251672576;mso-wrap-distance-top:0;mso-wrap-distance-bottom:0;mso-position-vertical-relative:page;mso-width-relative:page;mso-height-relative:page">
            <v:imagedata r:id="rId213" o:title=""/>
            <w10:wrap type="topAndBottom" anchory="page"/>
          </v:shape>
          <o:OLEObject Type="Embed" ProgID="Visio.Drawing.11" ShapeID="_x0000_s1346" DrawAspect="Content" ObjectID="_1577296230" r:id="rId214"/>
        </w:object>
      </w:r>
    </w:p>
    <w:p w:rsidR="00013EC7" w:rsidRDefault="00013EC7">
      <w:pPr>
        <w:jc w:val="left"/>
      </w:pPr>
    </w:p>
    <w:p w:rsidR="00013EC7" w:rsidRDefault="00013EC7">
      <w:pPr>
        <w:jc w:val="left"/>
        <w:rPr>
          <w:rFonts w:ascii="宋体" w:hAnsi="宋体" w:cs="宋体"/>
          <w:bCs/>
          <w:sz w:val="28"/>
          <w:szCs w:val="28"/>
        </w:rPr>
        <w:sectPr w:rsidR="00013EC7">
          <w:pgSz w:w="23814" w:h="16840" w:orient="landscape"/>
          <w:pgMar w:top="1701" w:right="1843" w:bottom="1985" w:left="1843" w:header="851" w:footer="1701" w:gutter="0"/>
          <w:pgNumType w:fmt="numberInDash"/>
          <w:cols w:space="720"/>
          <w:docGrid w:type="lines" w:linePitch="312"/>
        </w:sectPr>
      </w:pPr>
    </w:p>
    <w:p w:rsidR="00013EC7" w:rsidRDefault="00575CDB">
      <w:pPr>
        <w:pStyle w:val="2"/>
      </w:pPr>
      <w:bookmarkStart w:id="302" w:name="_Toc10152"/>
      <w:bookmarkStart w:id="303" w:name="_Toc503467423"/>
      <w:bookmarkStart w:id="304" w:name="_Toc25229"/>
      <w:bookmarkStart w:id="305" w:name="_Toc4713"/>
      <w:r>
        <w:rPr>
          <w:rFonts w:hint="eastAsia"/>
        </w:rPr>
        <w:lastRenderedPageBreak/>
        <w:t>17.3</w:t>
      </w:r>
      <w:r>
        <w:rPr>
          <w:rFonts w:hint="eastAsia"/>
        </w:rPr>
        <w:t>增值税预缴申报</w:t>
      </w:r>
      <w:bookmarkEnd w:id="302"/>
      <w:bookmarkEnd w:id="303"/>
      <w:bookmarkEnd w:id="304"/>
      <w:bookmarkEnd w:id="305"/>
    </w:p>
    <w:p w:rsidR="00013EC7" w:rsidRDefault="00575CDB">
      <w:pPr>
        <w:jc w:val="center"/>
        <w:rPr>
          <w:rFonts w:ascii="宋体" w:hAnsi="宋体" w:cs="宋体"/>
          <w:b/>
          <w:bCs/>
          <w:sz w:val="52"/>
          <w:szCs w:val="52"/>
        </w:rPr>
      </w:pPr>
      <w:r>
        <w:rPr>
          <w:rFonts w:ascii="宋体" w:hAnsi="宋体" w:cs="宋体" w:hint="eastAsia"/>
          <w:b/>
          <w:bCs/>
          <w:sz w:val="52"/>
          <w:szCs w:val="52"/>
        </w:rPr>
        <w:t>全省“最多跑一次”事项“八统一”梳理表</w:t>
      </w:r>
    </w:p>
    <w:tbl>
      <w:tblPr>
        <w:tblW w:w="19845"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4248"/>
        <w:gridCol w:w="1984"/>
        <w:gridCol w:w="1701"/>
        <w:gridCol w:w="1701"/>
        <w:gridCol w:w="1276"/>
        <w:gridCol w:w="2126"/>
        <w:gridCol w:w="766"/>
        <w:gridCol w:w="798"/>
        <w:gridCol w:w="958"/>
        <w:gridCol w:w="1104"/>
        <w:gridCol w:w="1476"/>
      </w:tblGrid>
      <w:tr w:rsidR="00013EC7">
        <w:trPr>
          <w:trHeight w:val="340"/>
          <w:tblHeader/>
          <w:jc w:val="center"/>
        </w:trPr>
        <w:tc>
          <w:tcPr>
            <w:tcW w:w="672"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主项名称</w:t>
            </w:r>
          </w:p>
        </w:tc>
        <w:tc>
          <w:tcPr>
            <w:tcW w:w="1035"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子项名称</w:t>
            </w:r>
          </w:p>
        </w:tc>
        <w:tc>
          <w:tcPr>
            <w:tcW w:w="4248"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经办依据</w:t>
            </w:r>
          </w:p>
        </w:tc>
        <w:tc>
          <w:tcPr>
            <w:tcW w:w="3685"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原经办所需材料</w:t>
            </w:r>
          </w:p>
        </w:tc>
        <w:tc>
          <w:tcPr>
            <w:tcW w:w="5103" w:type="dxa"/>
            <w:gridSpan w:val="3"/>
            <w:vAlign w:val="center"/>
          </w:tcPr>
          <w:p w:rsidR="00013EC7" w:rsidRDefault="00575CDB">
            <w:pPr>
              <w:spacing w:line="280" w:lineRule="exact"/>
              <w:jc w:val="center"/>
              <w:rPr>
                <w:rFonts w:ascii="黑体" w:eastAsia="黑体"/>
                <w:sz w:val="24"/>
              </w:rPr>
            </w:pPr>
            <w:r>
              <w:rPr>
                <w:rFonts w:ascii="黑体" w:eastAsia="黑体" w:hint="eastAsia"/>
                <w:sz w:val="24"/>
              </w:rPr>
              <w:t>精简后经办所需材料</w:t>
            </w:r>
          </w:p>
        </w:tc>
        <w:tc>
          <w:tcPr>
            <w:tcW w:w="1564"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办理时限</w:t>
            </w:r>
          </w:p>
        </w:tc>
        <w:tc>
          <w:tcPr>
            <w:tcW w:w="958"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是否实现跑零次</w:t>
            </w:r>
          </w:p>
        </w:tc>
        <w:tc>
          <w:tcPr>
            <w:tcW w:w="1104"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省厅对口</w:t>
            </w:r>
          </w:p>
          <w:p w:rsidR="00013EC7" w:rsidRDefault="00575CDB">
            <w:pPr>
              <w:spacing w:line="280" w:lineRule="exact"/>
              <w:jc w:val="center"/>
              <w:rPr>
                <w:rFonts w:ascii="黑体" w:eastAsia="黑体"/>
                <w:sz w:val="24"/>
              </w:rPr>
            </w:pPr>
            <w:r>
              <w:rPr>
                <w:rFonts w:ascii="黑体" w:eastAsia="黑体" w:hint="eastAsia"/>
                <w:sz w:val="24"/>
              </w:rPr>
              <w:t>指导处室</w:t>
            </w:r>
          </w:p>
          <w:p w:rsidR="00013EC7" w:rsidRDefault="00575CDB">
            <w:pPr>
              <w:spacing w:line="280" w:lineRule="exact"/>
              <w:jc w:val="center"/>
              <w:rPr>
                <w:rFonts w:ascii="黑体" w:eastAsia="黑体"/>
                <w:sz w:val="24"/>
              </w:rPr>
            </w:pPr>
            <w:r>
              <w:rPr>
                <w:rFonts w:ascii="黑体" w:eastAsia="黑体" w:hint="eastAsia"/>
                <w:sz w:val="24"/>
              </w:rPr>
              <w:t>（单位）</w:t>
            </w:r>
          </w:p>
        </w:tc>
        <w:tc>
          <w:tcPr>
            <w:tcW w:w="1476"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进一步精简、</w:t>
            </w:r>
          </w:p>
          <w:p w:rsidR="00013EC7" w:rsidRDefault="00575CDB">
            <w:pPr>
              <w:spacing w:line="280" w:lineRule="exact"/>
              <w:jc w:val="center"/>
              <w:rPr>
                <w:rFonts w:ascii="黑体" w:eastAsia="黑体"/>
                <w:sz w:val="24"/>
              </w:rPr>
            </w:pPr>
            <w:r>
              <w:rPr>
                <w:rFonts w:ascii="黑体" w:eastAsia="黑体" w:hint="eastAsia"/>
                <w:sz w:val="24"/>
              </w:rPr>
              <w:t>规范建议</w:t>
            </w:r>
          </w:p>
        </w:tc>
      </w:tr>
      <w:tr w:rsidR="00013EC7">
        <w:trPr>
          <w:trHeight w:val="340"/>
          <w:tblHeader/>
          <w:jc w:val="center"/>
        </w:trPr>
        <w:tc>
          <w:tcPr>
            <w:tcW w:w="672" w:type="dxa"/>
            <w:vMerge/>
            <w:vAlign w:val="center"/>
          </w:tcPr>
          <w:p w:rsidR="00013EC7" w:rsidRDefault="00013EC7"/>
        </w:tc>
        <w:tc>
          <w:tcPr>
            <w:tcW w:w="1035" w:type="dxa"/>
            <w:vMerge/>
          </w:tcPr>
          <w:p w:rsidR="00013EC7" w:rsidRDefault="00013EC7"/>
        </w:tc>
        <w:tc>
          <w:tcPr>
            <w:tcW w:w="4248" w:type="dxa"/>
            <w:vMerge/>
          </w:tcPr>
          <w:p w:rsidR="00013EC7" w:rsidRDefault="00013EC7"/>
        </w:tc>
        <w:tc>
          <w:tcPr>
            <w:tcW w:w="1984" w:type="dxa"/>
            <w:tcBorders>
              <w:bottom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701"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1701" w:type="dxa"/>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276"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2126" w:type="dxa"/>
            <w:vAlign w:val="center"/>
          </w:tcPr>
          <w:p w:rsidR="00013EC7" w:rsidRDefault="00575CDB">
            <w:pPr>
              <w:spacing w:line="280" w:lineRule="exact"/>
              <w:jc w:val="center"/>
              <w:rPr>
                <w:rFonts w:ascii="黑体" w:eastAsia="黑体"/>
                <w:sz w:val="24"/>
              </w:rPr>
            </w:pPr>
            <w:r>
              <w:rPr>
                <w:rFonts w:ascii="黑体" w:eastAsia="黑体" w:hint="eastAsia"/>
                <w:sz w:val="24"/>
              </w:rPr>
              <w:t>办理方式及材料</w:t>
            </w:r>
          </w:p>
          <w:p w:rsidR="00013EC7" w:rsidRDefault="00575CDB">
            <w:pPr>
              <w:spacing w:line="280" w:lineRule="exact"/>
              <w:jc w:val="center"/>
              <w:rPr>
                <w:rFonts w:ascii="黑体" w:eastAsia="黑体"/>
                <w:sz w:val="24"/>
              </w:rPr>
            </w:pPr>
            <w:r>
              <w:rPr>
                <w:rFonts w:ascii="黑体" w:eastAsia="黑体" w:hint="eastAsia"/>
                <w:sz w:val="24"/>
              </w:rPr>
              <w:t>信息获取方式说明</w:t>
            </w:r>
          </w:p>
        </w:tc>
        <w:tc>
          <w:tcPr>
            <w:tcW w:w="766" w:type="dxa"/>
            <w:vAlign w:val="center"/>
          </w:tcPr>
          <w:p w:rsidR="00013EC7" w:rsidRDefault="00575CDB">
            <w:pPr>
              <w:spacing w:line="280" w:lineRule="exact"/>
              <w:jc w:val="center"/>
              <w:rPr>
                <w:rFonts w:ascii="黑体" w:eastAsia="黑体"/>
                <w:sz w:val="24"/>
              </w:rPr>
            </w:pPr>
            <w:r>
              <w:rPr>
                <w:rFonts w:ascii="黑体" w:eastAsia="黑体" w:hint="eastAsia"/>
                <w:sz w:val="24"/>
              </w:rPr>
              <w:t>优化前</w:t>
            </w:r>
          </w:p>
        </w:tc>
        <w:tc>
          <w:tcPr>
            <w:tcW w:w="798" w:type="dxa"/>
            <w:vAlign w:val="center"/>
          </w:tcPr>
          <w:p w:rsidR="00013EC7" w:rsidRDefault="00575CDB">
            <w:pPr>
              <w:spacing w:line="280" w:lineRule="exact"/>
              <w:jc w:val="center"/>
              <w:rPr>
                <w:rFonts w:ascii="黑体" w:eastAsia="黑体"/>
                <w:sz w:val="24"/>
              </w:rPr>
            </w:pPr>
            <w:r>
              <w:rPr>
                <w:rFonts w:ascii="黑体" w:eastAsia="黑体" w:hint="eastAsia"/>
                <w:sz w:val="24"/>
              </w:rPr>
              <w:t>优化后</w:t>
            </w:r>
          </w:p>
        </w:tc>
        <w:tc>
          <w:tcPr>
            <w:tcW w:w="958" w:type="dxa"/>
            <w:vMerge/>
            <w:vAlign w:val="center"/>
          </w:tcPr>
          <w:p w:rsidR="00013EC7" w:rsidRDefault="00013EC7"/>
        </w:tc>
        <w:tc>
          <w:tcPr>
            <w:tcW w:w="1104" w:type="dxa"/>
            <w:vMerge/>
            <w:vAlign w:val="center"/>
          </w:tcPr>
          <w:p w:rsidR="00013EC7" w:rsidRDefault="00013EC7"/>
        </w:tc>
        <w:tc>
          <w:tcPr>
            <w:tcW w:w="1476" w:type="dxa"/>
            <w:vMerge/>
            <w:vAlign w:val="center"/>
          </w:tcPr>
          <w:p w:rsidR="00013EC7" w:rsidRDefault="00013EC7"/>
        </w:tc>
      </w:tr>
      <w:tr w:rsidR="00013EC7">
        <w:trPr>
          <w:trHeight w:val="1475"/>
          <w:jc w:val="center"/>
        </w:trPr>
        <w:tc>
          <w:tcPr>
            <w:tcW w:w="672" w:type="dxa"/>
            <w:vMerge w:val="restart"/>
            <w:vAlign w:val="center"/>
          </w:tcPr>
          <w:p w:rsidR="00013EC7" w:rsidRDefault="00575CDB">
            <w:pPr>
              <w:spacing w:line="300" w:lineRule="exact"/>
              <w:rPr>
                <w:rFonts w:ascii="仿宋" w:eastAsia="仿宋" w:hAnsi="仿宋"/>
                <w:sz w:val="24"/>
              </w:rPr>
            </w:pPr>
            <w:r>
              <w:rPr>
                <w:rFonts w:ascii="仿宋" w:eastAsia="仿宋" w:hAnsi="仿宋" w:hint="eastAsia"/>
                <w:sz w:val="24"/>
              </w:rPr>
              <w:t>17日常税费申报</w:t>
            </w:r>
          </w:p>
        </w:tc>
        <w:tc>
          <w:tcPr>
            <w:tcW w:w="1035" w:type="dxa"/>
            <w:vMerge w:val="restart"/>
            <w:vAlign w:val="center"/>
          </w:tcPr>
          <w:p w:rsidR="00013EC7" w:rsidRDefault="00575CDB">
            <w:pPr>
              <w:spacing w:line="310" w:lineRule="exact"/>
              <w:rPr>
                <w:rFonts w:ascii="仿宋" w:eastAsia="仿宋" w:hAnsi="仿宋"/>
                <w:sz w:val="24"/>
              </w:rPr>
            </w:pPr>
            <w:r>
              <w:rPr>
                <w:rFonts w:ascii="仿宋" w:eastAsia="仿宋" w:hAnsi="仿宋" w:hint="eastAsia"/>
                <w:sz w:val="24"/>
              </w:rPr>
              <w:t>17.3增值税预缴申报</w:t>
            </w:r>
          </w:p>
        </w:tc>
        <w:tc>
          <w:tcPr>
            <w:tcW w:w="4248" w:type="dxa"/>
            <w:vMerge w:val="restart"/>
            <w:vAlign w:val="center"/>
          </w:tcPr>
          <w:p w:rsidR="00013EC7" w:rsidRDefault="00575CDB">
            <w:pPr>
              <w:rPr>
                <w:rFonts w:ascii="仿宋" w:eastAsia="仿宋" w:hAnsi="仿宋"/>
                <w:sz w:val="24"/>
              </w:rPr>
            </w:pPr>
            <w:r>
              <w:rPr>
                <w:rFonts w:ascii="仿宋" w:eastAsia="仿宋" w:hAnsi="仿宋" w:hint="eastAsia"/>
                <w:sz w:val="24"/>
              </w:rPr>
              <w:t>（一）《国家税务总局关于发布&lt;纳税人提供不动产经营租赁服务增值税征收管理暂行办法&gt;的公告》（国家税务总局公告2016年第16号）第三条、第四条、第六条、第七条、第九条、第十条。</w:t>
            </w:r>
            <w:r>
              <w:rPr>
                <w:rFonts w:ascii="仿宋" w:eastAsia="仿宋" w:hAnsi="仿宋" w:hint="eastAsia"/>
                <w:sz w:val="24"/>
              </w:rPr>
              <w:br/>
              <w:t>（二）《国家税务总局关于发布&lt;纳税人跨县（市、区）提供建筑服务增值税征收管理暂行办法&gt;》（国家税务总局公告2016年第17号）第三条、第四条、第五条、第六条、第八条、第十一条。</w:t>
            </w:r>
            <w:r>
              <w:rPr>
                <w:rFonts w:ascii="仿宋" w:eastAsia="仿宋" w:hAnsi="仿宋" w:hint="eastAsia"/>
                <w:sz w:val="24"/>
              </w:rPr>
              <w:br/>
              <w:t>（三）《国家税务总局关于发布〈房地产开发企业销售自行开发的房地产项目增值税征收管理暂行办法〉的公告》（国家税务总局公告2016年第18号）第十条、第十一条、第十二条、第十九条、第二十条、第二十一条、第二十六条。</w:t>
            </w:r>
            <w:r>
              <w:rPr>
                <w:rFonts w:ascii="仿宋" w:eastAsia="仿宋" w:hAnsi="仿宋" w:hint="eastAsia"/>
                <w:sz w:val="24"/>
              </w:rPr>
              <w:br/>
              <w:t>（四）《国家税务总局关于进一步明确营改增有关征管问题的公告》（国家税务总局公告2017年第11号）第三条。</w:t>
            </w:r>
            <w:r>
              <w:rPr>
                <w:rFonts w:ascii="仿宋" w:eastAsia="仿宋" w:hAnsi="仿宋" w:hint="eastAsia"/>
                <w:sz w:val="24"/>
              </w:rPr>
              <w:br/>
              <w:t>（五）《国家税务总局关于营改增试点若干征管问题的公告》（国家税务总局公告2016年第53号）第八条。</w:t>
            </w:r>
            <w:r>
              <w:rPr>
                <w:rFonts w:ascii="仿宋" w:eastAsia="仿宋" w:hAnsi="仿宋" w:hint="eastAsia"/>
                <w:sz w:val="24"/>
              </w:rPr>
              <w:br/>
              <w:t>（六）《财政部国家税务总局关于进一步明确全面推开营改增试点有关再保险不动产租赁和非学历教育等政策的通知》（财税〔2016〕68号）第二条。</w:t>
            </w:r>
            <w:r>
              <w:rPr>
                <w:rFonts w:ascii="仿宋" w:eastAsia="仿宋" w:hAnsi="仿宋" w:hint="eastAsia"/>
                <w:sz w:val="24"/>
              </w:rPr>
              <w:br/>
              <w:t>（七）《财政部 税务总局关于建筑服务等营改增试点政策的通知》（财税〔2017〕58号）第二条、第三条。</w:t>
            </w:r>
          </w:p>
          <w:p w:rsidR="00013EC7" w:rsidRDefault="00013EC7">
            <w:pPr>
              <w:spacing w:line="310" w:lineRule="exact"/>
              <w:rPr>
                <w:rFonts w:ascii="仿宋" w:eastAsia="仿宋" w:hAnsi="仿宋"/>
                <w:sz w:val="24"/>
              </w:rPr>
            </w:pPr>
          </w:p>
        </w:tc>
        <w:tc>
          <w:tcPr>
            <w:tcW w:w="1984" w:type="dxa"/>
            <w:tcBorders>
              <w:top w:val="single" w:sz="4" w:space="0" w:color="auto"/>
              <w:bottom w:val="single" w:sz="4" w:space="0" w:color="auto"/>
            </w:tcBorders>
            <w:vAlign w:val="center"/>
          </w:tcPr>
          <w:p w:rsidR="00013EC7" w:rsidRDefault="00575CDB">
            <w:pPr>
              <w:spacing w:line="300" w:lineRule="exact"/>
              <w:rPr>
                <w:rFonts w:ascii="仿宋" w:eastAsia="仿宋" w:hAnsi="仿宋"/>
                <w:sz w:val="24"/>
              </w:rPr>
            </w:pPr>
            <w:r>
              <w:rPr>
                <w:rFonts w:ascii="仿宋" w:eastAsia="仿宋" w:hAnsi="仿宋" w:hint="eastAsia"/>
                <w:sz w:val="24"/>
              </w:rPr>
              <w:t>（一）</w:t>
            </w:r>
            <w:r>
              <w:rPr>
                <w:rFonts w:ascii="仿宋" w:eastAsia="仿宋" w:hAnsi="仿宋"/>
                <w:sz w:val="24"/>
              </w:rPr>
              <w:t>《增值税预缴税款表》</w:t>
            </w:r>
            <w:r>
              <w:rPr>
                <w:rFonts w:ascii="仿宋" w:eastAsia="仿宋" w:hAnsi="仿宋" w:cs="仿宋" w:hint="eastAsia"/>
                <w:kern w:val="1"/>
                <w:sz w:val="24"/>
                <w:highlight w:val="lightGray"/>
              </w:rPr>
              <w:t>2</w:t>
            </w:r>
            <w:r>
              <w:rPr>
                <w:rFonts w:ascii="仿宋" w:eastAsia="仿宋" w:hAnsi="仿宋" w:cs="仿宋"/>
                <w:kern w:val="1"/>
                <w:sz w:val="24"/>
                <w:highlight w:val="lightGray"/>
              </w:rPr>
              <w:t>份</w:t>
            </w:r>
            <w:r>
              <w:rPr>
                <w:rFonts w:ascii="仿宋" w:eastAsia="仿宋" w:hAnsi="仿宋" w:hint="eastAsia"/>
                <w:sz w:val="24"/>
              </w:rPr>
              <w:t>。</w:t>
            </w:r>
          </w:p>
        </w:tc>
        <w:tc>
          <w:tcPr>
            <w:tcW w:w="1701" w:type="dxa"/>
            <w:vAlign w:val="center"/>
          </w:tcPr>
          <w:p w:rsidR="00013EC7" w:rsidRDefault="00575CDB">
            <w:pPr>
              <w:spacing w:line="300" w:lineRule="exact"/>
              <w:rPr>
                <w:rFonts w:ascii="仿宋" w:eastAsia="仿宋" w:hAnsi="仿宋"/>
                <w:sz w:val="24"/>
              </w:rPr>
            </w:pPr>
            <w:r>
              <w:rPr>
                <w:rFonts w:ascii="仿宋" w:eastAsia="仿宋" w:hAnsi="仿宋" w:hint="eastAsia"/>
                <w:sz w:val="24"/>
              </w:rPr>
              <w:t>纳税人提交</w:t>
            </w:r>
          </w:p>
        </w:tc>
        <w:tc>
          <w:tcPr>
            <w:tcW w:w="1701" w:type="dxa"/>
            <w:vAlign w:val="center"/>
          </w:tcPr>
          <w:p w:rsidR="00013EC7" w:rsidRDefault="00575CDB">
            <w:pPr>
              <w:spacing w:line="300" w:lineRule="exact"/>
              <w:rPr>
                <w:rFonts w:ascii="仿宋" w:eastAsia="仿宋" w:hAnsi="仿宋"/>
                <w:sz w:val="24"/>
              </w:rPr>
            </w:pPr>
            <w:r>
              <w:rPr>
                <w:rFonts w:ascii="仿宋" w:eastAsia="仿宋" w:hAnsi="仿宋" w:hint="eastAsia"/>
                <w:sz w:val="24"/>
              </w:rPr>
              <w:t>（一）</w:t>
            </w:r>
            <w:r>
              <w:rPr>
                <w:rFonts w:ascii="仿宋" w:eastAsia="仿宋" w:hAnsi="仿宋"/>
                <w:sz w:val="24"/>
              </w:rPr>
              <w:t>《增值税预缴税款表》</w:t>
            </w:r>
            <w:r>
              <w:rPr>
                <w:rFonts w:ascii="仿宋" w:eastAsia="仿宋" w:hAnsi="仿宋" w:hint="eastAsia"/>
                <w:sz w:val="24"/>
              </w:rPr>
              <w:t>1</w:t>
            </w:r>
            <w:r>
              <w:rPr>
                <w:rFonts w:ascii="仿宋" w:eastAsia="仿宋" w:hAnsi="仿宋"/>
                <w:sz w:val="24"/>
              </w:rPr>
              <w:t>份</w:t>
            </w:r>
            <w:r>
              <w:rPr>
                <w:rFonts w:ascii="仿宋" w:eastAsia="仿宋" w:hAnsi="仿宋" w:hint="eastAsia"/>
                <w:sz w:val="24"/>
              </w:rPr>
              <w:t>。</w:t>
            </w:r>
          </w:p>
        </w:tc>
        <w:tc>
          <w:tcPr>
            <w:tcW w:w="1276" w:type="dxa"/>
            <w:vAlign w:val="center"/>
          </w:tcPr>
          <w:p w:rsidR="00013EC7" w:rsidRDefault="00575CDB">
            <w:pPr>
              <w:spacing w:line="300" w:lineRule="exact"/>
              <w:jc w:val="left"/>
              <w:rPr>
                <w:rFonts w:ascii="仿宋" w:eastAsia="仿宋" w:hAnsi="仿宋"/>
                <w:sz w:val="24"/>
              </w:rPr>
            </w:pPr>
            <w:r>
              <w:rPr>
                <w:rFonts w:ascii="仿宋" w:eastAsia="仿宋" w:hAnsi="仿宋" w:hint="eastAsia"/>
                <w:sz w:val="24"/>
              </w:rPr>
              <w:t>纳税人提交</w:t>
            </w:r>
          </w:p>
        </w:tc>
        <w:tc>
          <w:tcPr>
            <w:tcW w:w="2126" w:type="dxa"/>
            <w:vMerge w:val="restart"/>
            <w:vAlign w:val="center"/>
          </w:tcPr>
          <w:p w:rsidR="00013EC7" w:rsidRDefault="00575CDB">
            <w:pPr>
              <w:rPr>
                <w:rFonts w:ascii="仿宋" w:eastAsia="仿宋" w:hAnsi="仿宋"/>
                <w:sz w:val="24"/>
              </w:rPr>
            </w:pPr>
            <w:r>
              <w:rPr>
                <w:rFonts w:ascii="仿宋" w:eastAsia="仿宋" w:hAnsi="仿宋"/>
                <w:b/>
                <w:sz w:val="24"/>
              </w:rPr>
              <w:t>现场办理：</w:t>
            </w:r>
            <w:r>
              <w:rPr>
                <w:rFonts w:ascii="仿宋" w:eastAsia="仿宋" w:hAnsi="仿宋" w:hint="eastAsia"/>
                <w:sz w:val="24"/>
              </w:rPr>
              <w:t>单位提交书面材料，符合受理条件的当场受理办结。</w:t>
            </w:r>
          </w:p>
          <w:p w:rsidR="00013EC7" w:rsidRDefault="00575CDB">
            <w:pPr>
              <w:spacing w:line="300" w:lineRule="exact"/>
              <w:rPr>
                <w:rFonts w:ascii="仿宋" w:eastAsia="仿宋" w:hAnsi="仿宋"/>
                <w:sz w:val="24"/>
              </w:rPr>
            </w:pPr>
            <w:r>
              <w:rPr>
                <w:rFonts w:ascii="仿宋" w:eastAsia="仿宋" w:hAnsi="仿宋" w:cs="仿宋" w:hint="eastAsia"/>
                <w:b/>
                <w:bCs/>
                <w:sz w:val="24"/>
              </w:rPr>
              <w:t>网上办理：</w:t>
            </w:r>
            <w:r>
              <w:rPr>
                <w:rFonts w:ascii="仿宋" w:eastAsia="仿宋" w:hAnsi="仿宋" w:hint="eastAsia"/>
                <w:sz w:val="24"/>
              </w:rPr>
              <w:t>登录浙江国税电子税务局（网址：</w:t>
            </w:r>
            <w:hyperlink r:id="rId215" w:tgtFrame="https://wx.qq.com/_blank" w:history="1">
              <w:r>
                <w:rPr>
                  <w:rFonts w:ascii="仿宋" w:eastAsia="仿宋" w:hAnsi="仿宋" w:hint="eastAsia"/>
                  <w:sz w:val="24"/>
                </w:rPr>
                <w:t>http://etax.zjtax.gov.cn/</w:t>
              </w:r>
            </w:hyperlink>
            <w:r>
              <w:rPr>
                <w:rFonts w:ascii="仿宋" w:eastAsia="仿宋" w:hAnsi="仿宋" w:hint="eastAsia"/>
                <w:sz w:val="24"/>
              </w:rPr>
              <w:t>）提交申请，经办机构审核反馈。</w:t>
            </w:r>
            <w:r>
              <w:rPr>
                <w:rFonts w:ascii="仿宋" w:eastAsia="仿宋" w:hAnsi="仿宋" w:cs="宋体"/>
                <w:kern w:val="1"/>
                <w:sz w:val="24"/>
              </w:rPr>
              <w:t>（</w:t>
            </w:r>
            <w:r>
              <w:rPr>
                <w:rFonts w:ascii="仿宋" w:eastAsia="仿宋" w:hAnsi="仿宋" w:cs="宋体" w:hint="eastAsia"/>
                <w:kern w:val="1"/>
                <w:sz w:val="24"/>
              </w:rPr>
              <w:t>网上办理</w:t>
            </w:r>
            <w:r>
              <w:rPr>
                <w:rFonts w:ascii="仿宋" w:eastAsia="仿宋" w:hAnsi="仿宋" w:cs="宋体"/>
                <w:kern w:val="1"/>
                <w:sz w:val="24"/>
              </w:rPr>
              <w:t>仅限房地产开发企业预售自行开发的房地产项目）</w:t>
            </w:r>
          </w:p>
        </w:tc>
        <w:tc>
          <w:tcPr>
            <w:tcW w:w="766" w:type="dxa"/>
            <w:vMerge w:val="restart"/>
            <w:vAlign w:val="center"/>
          </w:tcPr>
          <w:p w:rsidR="00013EC7" w:rsidRDefault="00575CDB">
            <w:pPr>
              <w:spacing w:line="300" w:lineRule="exact"/>
              <w:rPr>
                <w:rFonts w:ascii="仿宋" w:eastAsia="仿宋" w:hAnsi="仿宋"/>
                <w:sz w:val="24"/>
              </w:rPr>
            </w:pPr>
            <w:r>
              <w:rPr>
                <w:rFonts w:ascii="仿宋" w:eastAsia="仿宋" w:hAnsi="仿宋" w:hint="eastAsia"/>
                <w:sz w:val="24"/>
              </w:rPr>
              <w:t>即时办结</w:t>
            </w:r>
          </w:p>
        </w:tc>
        <w:tc>
          <w:tcPr>
            <w:tcW w:w="798" w:type="dxa"/>
            <w:vMerge w:val="restart"/>
            <w:vAlign w:val="center"/>
          </w:tcPr>
          <w:p w:rsidR="00013EC7" w:rsidRDefault="00575CDB">
            <w:pPr>
              <w:spacing w:line="300" w:lineRule="exact"/>
              <w:rPr>
                <w:rFonts w:ascii="仿宋" w:eastAsia="仿宋" w:hAnsi="仿宋"/>
                <w:sz w:val="24"/>
              </w:rPr>
            </w:pPr>
            <w:r>
              <w:rPr>
                <w:rFonts w:ascii="仿宋" w:eastAsia="仿宋" w:hAnsi="仿宋" w:hint="eastAsia"/>
                <w:sz w:val="24"/>
              </w:rPr>
              <w:t>即时办结</w:t>
            </w:r>
          </w:p>
        </w:tc>
        <w:tc>
          <w:tcPr>
            <w:tcW w:w="958" w:type="dxa"/>
            <w:vMerge w:val="restart"/>
            <w:vAlign w:val="center"/>
          </w:tcPr>
          <w:p w:rsidR="00013EC7" w:rsidRDefault="00575CDB">
            <w:pPr>
              <w:spacing w:line="300" w:lineRule="exact"/>
              <w:rPr>
                <w:rFonts w:ascii="仿宋" w:eastAsia="仿宋" w:hAnsi="仿宋"/>
                <w:sz w:val="24"/>
              </w:rPr>
            </w:pPr>
            <w:r>
              <w:rPr>
                <w:rFonts w:ascii="仿宋" w:eastAsia="仿宋" w:hAnsi="仿宋" w:hint="eastAsia"/>
                <w:sz w:val="24"/>
              </w:rPr>
              <w:t>是</w:t>
            </w:r>
          </w:p>
        </w:tc>
        <w:tc>
          <w:tcPr>
            <w:tcW w:w="1104" w:type="dxa"/>
            <w:vMerge w:val="restart"/>
            <w:vAlign w:val="center"/>
          </w:tcPr>
          <w:p w:rsidR="00013EC7" w:rsidRDefault="00575CDB">
            <w:pPr>
              <w:spacing w:line="300" w:lineRule="exact"/>
              <w:rPr>
                <w:rFonts w:ascii="仿宋" w:eastAsia="仿宋" w:hAnsi="仿宋"/>
                <w:sz w:val="24"/>
              </w:rPr>
            </w:pPr>
            <w:r>
              <w:rPr>
                <w:rFonts w:ascii="仿宋" w:eastAsia="仿宋" w:hAnsi="仿宋" w:hint="eastAsia"/>
                <w:sz w:val="24"/>
              </w:rPr>
              <w:t>货物和劳务税</w:t>
            </w:r>
            <w:r>
              <w:rPr>
                <w:rFonts w:ascii="仿宋" w:eastAsia="仿宋" w:hAnsi="仿宋"/>
                <w:sz w:val="24"/>
              </w:rPr>
              <w:t>处</w:t>
            </w:r>
          </w:p>
        </w:tc>
        <w:tc>
          <w:tcPr>
            <w:tcW w:w="1476" w:type="dxa"/>
            <w:vMerge w:val="restart"/>
            <w:vAlign w:val="center"/>
          </w:tcPr>
          <w:p w:rsidR="00013EC7" w:rsidRDefault="00013EC7">
            <w:pPr>
              <w:spacing w:line="300" w:lineRule="exact"/>
              <w:rPr>
                <w:rFonts w:ascii="仿宋" w:eastAsia="仿宋" w:hAnsi="仿宋"/>
                <w:sz w:val="24"/>
              </w:rPr>
            </w:pPr>
          </w:p>
        </w:tc>
      </w:tr>
      <w:tr w:rsidR="00013EC7">
        <w:trPr>
          <w:trHeight w:val="800"/>
          <w:jc w:val="center"/>
        </w:trPr>
        <w:tc>
          <w:tcPr>
            <w:tcW w:w="672" w:type="dxa"/>
            <w:vMerge/>
            <w:shd w:val="clear" w:color="auto" w:fill="auto"/>
            <w:textDirection w:val="tbRlV"/>
            <w:vAlign w:val="center"/>
          </w:tcPr>
          <w:p w:rsidR="00013EC7" w:rsidRDefault="00013EC7"/>
        </w:tc>
        <w:tc>
          <w:tcPr>
            <w:tcW w:w="1035" w:type="dxa"/>
            <w:vMerge/>
            <w:shd w:val="clear" w:color="auto" w:fill="auto"/>
            <w:vAlign w:val="center"/>
          </w:tcPr>
          <w:p w:rsidR="00013EC7" w:rsidRDefault="00013EC7"/>
        </w:tc>
        <w:tc>
          <w:tcPr>
            <w:tcW w:w="4248" w:type="dxa"/>
            <w:vMerge/>
            <w:shd w:val="clear" w:color="auto" w:fill="auto"/>
            <w:vAlign w:val="center"/>
          </w:tcPr>
          <w:p w:rsidR="00013EC7" w:rsidRDefault="00013EC7"/>
        </w:tc>
        <w:tc>
          <w:tcPr>
            <w:tcW w:w="1984" w:type="dxa"/>
            <w:tcBorders>
              <w:top w:val="single" w:sz="4" w:space="0" w:color="auto"/>
            </w:tcBorders>
            <w:shd w:val="clear" w:color="auto" w:fill="FFFFFF"/>
            <w:vAlign w:val="center"/>
          </w:tcPr>
          <w:p w:rsidR="00013EC7" w:rsidRDefault="00575CDB">
            <w:pPr>
              <w:spacing w:line="300" w:lineRule="exact"/>
              <w:rPr>
                <w:rFonts w:ascii="仿宋" w:eastAsia="仿宋" w:hAnsi="仿宋"/>
                <w:sz w:val="24"/>
              </w:rPr>
            </w:pPr>
            <w:r>
              <w:rPr>
                <w:rFonts w:ascii="仿宋" w:eastAsia="仿宋" w:hAnsi="仿宋" w:hint="eastAsia"/>
                <w:sz w:val="24"/>
              </w:rPr>
              <w:t>（二）与发包方签订的建筑合同</w:t>
            </w:r>
            <w:r>
              <w:rPr>
                <w:rFonts w:ascii="仿宋" w:eastAsia="仿宋" w:hAnsi="仿宋" w:cs="仿宋" w:hint="eastAsia"/>
                <w:kern w:val="1"/>
                <w:sz w:val="24"/>
                <w:highlight w:val="lightGray"/>
              </w:rPr>
              <w:t>原件及</w:t>
            </w:r>
            <w:r>
              <w:rPr>
                <w:rFonts w:ascii="仿宋" w:eastAsia="仿宋" w:hAnsi="仿宋" w:hint="eastAsia"/>
                <w:sz w:val="24"/>
              </w:rPr>
              <w:t>复印件。</w:t>
            </w:r>
          </w:p>
        </w:tc>
        <w:tc>
          <w:tcPr>
            <w:tcW w:w="1701" w:type="dxa"/>
            <w:vMerge w:val="restart"/>
            <w:vAlign w:val="center"/>
          </w:tcPr>
          <w:p w:rsidR="00013EC7" w:rsidRDefault="00575CDB">
            <w:pPr>
              <w:rPr>
                <w:rFonts w:ascii="仿宋" w:eastAsia="仿宋" w:hAnsi="仿宋"/>
                <w:sz w:val="24"/>
              </w:rPr>
            </w:pPr>
            <w:r>
              <w:rPr>
                <w:rFonts w:ascii="仿宋" w:eastAsia="仿宋" w:hAnsi="仿宋" w:hint="eastAsia"/>
                <w:sz w:val="24"/>
              </w:rPr>
              <w:t>跨地（市）提供建筑服务的纳税人（不含其他个人）提交</w:t>
            </w:r>
          </w:p>
        </w:tc>
        <w:tc>
          <w:tcPr>
            <w:tcW w:w="1701" w:type="dxa"/>
            <w:vAlign w:val="center"/>
          </w:tcPr>
          <w:p w:rsidR="00013EC7" w:rsidRDefault="00575CDB">
            <w:pPr>
              <w:rPr>
                <w:rFonts w:ascii="仿宋" w:eastAsia="仿宋" w:hAnsi="仿宋"/>
                <w:sz w:val="24"/>
              </w:rPr>
            </w:pPr>
            <w:r>
              <w:rPr>
                <w:rFonts w:ascii="仿宋" w:eastAsia="仿宋" w:hAnsi="仿宋" w:hint="eastAsia"/>
                <w:sz w:val="24"/>
              </w:rPr>
              <w:t>（二）与发包方签订的建筑合同复印件1份。（复印件注明与原件一致并加盖公章）。</w:t>
            </w:r>
          </w:p>
        </w:tc>
        <w:tc>
          <w:tcPr>
            <w:tcW w:w="1276" w:type="dxa"/>
            <w:vMerge w:val="restart"/>
            <w:vAlign w:val="center"/>
          </w:tcPr>
          <w:p w:rsidR="00013EC7" w:rsidRDefault="00575CDB">
            <w:pPr>
              <w:spacing w:line="300" w:lineRule="exact"/>
              <w:jc w:val="left"/>
              <w:rPr>
                <w:rFonts w:ascii="仿宋" w:eastAsia="仿宋" w:hAnsi="仿宋"/>
                <w:sz w:val="24"/>
              </w:rPr>
            </w:pPr>
            <w:r>
              <w:rPr>
                <w:rFonts w:ascii="仿宋" w:eastAsia="仿宋" w:hAnsi="仿宋" w:hint="eastAsia"/>
                <w:sz w:val="24"/>
              </w:rPr>
              <w:t>跨地（市）提供建筑服务的纳税人（不含其他个人）提交</w:t>
            </w:r>
          </w:p>
        </w:tc>
        <w:tc>
          <w:tcPr>
            <w:tcW w:w="2126" w:type="dxa"/>
            <w:vMerge/>
            <w:vAlign w:val="center"/>
          </w:tcPr>
          <w:p w:rsidR="00013EC7" w:rsidRDefault="00013EC7">
            <w:pPr>
              <w:spacing w:line="300" w:lineRule="exact"/>
              <w:rPr>
                <w:rFonts w:ascii="仿宋" w:eastAsia="仿宋" w:hAnsi="仿宋"/>
                <w:sz w:val="24"/>
              </w:rPr>
            </w:pPr>
          </w:p>
        </w:tc>
        <w:tc>
          <w:tcPr>
            <w:tcW w:w="766" w:type="dxa"/>
            <w:vMerge/>
            <w:vAlign w:val="center"/>
          </w:tcPr>
          <w:p w:rsidR="00013EC7" w:rsidRDefault="00013EC7">
            <w:pPr>
              <w:rPr>
                <w:rFonts w:ascii="仿宋" w:eastAsia="仿宋" w:hAnsi="仿宋"/>
                <w:sz w:val="24"/>
              </w:rPr>
            </w:pPr>
          </w:p>
        </w:tc>
        <w:tc>
          <w:tcPr>
            <w:tcW w:w="798" w:type="dxa"/>
            <w:vMerge/>
            <w:vAlign w:val="center"/>
          </w:tcPr>
          <w:p w:rsidR="00013EC7" w:rsidRDefault="00013EC7">
            <w:pPr>
              <w:rPr>
                <w:rFonts w:ascii="仿宋" w:eastAsia="仿宋" w:hAnsi="仿宋"/>
                <w:sz w:val="24"/>
              </w:rPr>
            </w:pPr>
          </w:p>
        </w:tc>
        <w:tc>
          <w:tcPr>
            <w:tcW w:w="958" w:type="dxa"/>
            <w:vMerge/>
            <w:vAlign w:val="center"/>
          </w:tcPr>
          <w:p w:rsidR="00013EC7" w:rsidRDefault="00013EC7">
            <w:pPr>
              <w:rPr>
                <w:rFonts w:ascii="仿宋" w:eastAsia="仿宋" w:hAnsi="仿宋"/>
                <w:sz w:val="24"/>
              </w:rPr>
            </w:pPr>
          </w:p>
        </w:tc>
        <w:tc>
          <w:tcPr>
            <w:tcW w:w="1104" w:type="dxa"/>
            <w:vMerge/>
            <w:vAlign w:val="center"/>
          </w:tcPr>
          <w:p w:rsidR="00013EC7" w:rsidRDefault="00013EC7">
            <w:pPr>
              <w:rPr>
                <w:rFonts w:ascii="仿宋" w:eastAsia="仿宋" w:hAnsi="仿宋"/>
                <w:sz w:val="24"/>
              </w:rPr>
            </w:pPr>
          </w:p>
        </w:tc>
        <w:tc>
          <w:tcPr>
            <w:tcW w:w="1476" w:type="dxa"/>
            <w:vMerge/>
            <w:vAlign w:val="center"/>
          </w:tcPr>
          <w:p w:rsidR="00013EC7" w:rsidRDefault="00013EC7">
            <w:pPr>
              <w:rPr>
                <w:rFonts w:ascii="仿宋" w:eastAsia="仿宋" w:hAnsi="仿宋"/>
                <w:sz w:val="24"/>
              </w:rPr>
            </w:pPr>
          </w:p>
        </w:tc>
      </w:tr>
      <w:tr w:rsidR="00013EC7">
        <w:trPr>
          <w:trHeight w:val="799"/>
          <w:jc w:val="center"/>
        </w:trPr>
        <w:tc>
          <w:tcPr>
            <w:tcW w:w="672" w:type="dxa"/>
            <w:vMerge/>
            <w:shd w:val="clear" w:color="auto" w:fill="auto"/>
            <w:vAlign w:val="center"/>
          </w:tcPr>
          <w:p w:rsidR="00013EC7" w:rsidRDefault="00013EC7"/>
        </w:tc>
        <w:tc>
          <w:tcPr>
            <w:tcW w:w="1035" w:type="dxa"/>
            <w:vMerge/>
            <w:shd w:val="clear" w:color="auto" w:fill="auto"/>
            <w:vAlign w:val="center"/>
          </w:tcPr>
          <w:p w:rsidR="00013EC7" w:rsidRDefault="00013EC7"/>
        </w:tc>
        <w:tc>
          <w:tcPr>
            <w:tcW w:w="4248" w:type="dxa"/>
            <w:vMerge/>
            <w:shd w:val="clear" w:color="auto" w:fill="auto"/>
            <w:vAlign w:val="center"/>
          </w:tcPr>
          <w:p w:rsidR="00013EC7" w:rsidRDefault="00013EC7"/>
        </w:tc>
        <w:tc>
          <w:tcPr>
            <w:tcW w:w="1984" w:type="dxa"/>
            <w:shd w:val="clear" w:color="auto" w:fill="FFFFFF"/>
            <w:vAlign w:val="center"/>
          </w:tcPr>
          <w:p w:rsidR="00013EC7" w:rsidRDefault="00575CDB">
            <w:pPr>
              <w:spacing w:line="300" w:lineRule="exact"/>
              <w:rPr>
                <w:rFonts w:ascii="仿宋" w:eastAsia="仿宋" w:hAnsi="仿宋"/>
                <w:sz w:val="24"/>
              </w:rPr>
            </w:pPr>
            <w:r>
              <w:rPr>
                <w:rFonts w:ascii="仿宋" w:eastAsia="仿宋" w:hAnsi="仿宋" w:hint="eastAsia"/>
                <w:sz w:val="24"/>
              </w:rPr>
              <w:t>（三）与分包方签订的分包合同</w:t>
            </w:r>
            <w:r>
              <w:rPr>
                <w:rFonts w:ascii="仿宋" w:eastAsia="仿宋" w:hAnsi="仿宋" w:cs="仿宋" w:hint="eastAsia"/>
                <w:kern w:val="1"/>
                <w:sz w:val="24"/>
                <w:highlight w:val="lightGray"/>
              </w:rPr>
              <w:t>原件及</w:t>
            </w:r>
            <w:r>
              <w:rPr>
                <w:rFonts w:ascii="仿宋" w:eastAsia="仿宋" w:hAnsi="仿宋" w:hint="eastAsia"/>
                <w:sz w:val="24"/>
              </w:rPr>
              <w:t>复印件。</w:t>
            </w:r>
          </w:p>
        </w:tc>
        <w:tc>
          <w:tcPr>
            <w:tcW w:w="1701" w:type="dxa"/>
            <w:vMerge/>
            <w:vAlign w:val="center"/>
          </w:tcPr>
          <w:p w:rsidR="00013EC7" w:rsidRDefault="00013EC7">
            <w:pPr>
              <w:rPr>
                <w:rFonts w:ascii="仿宋" w:eastAsia="仿宋" w:hAnsi="仿宋"/>
                <w:sz w:val="24"/>
              </w:rPr>
            </w:pPr>
          </w:p>
        </w:tc>
        <w:tc>
          <w:tcPr>
            <w:tcW w:w="1701" w:type="dxa"/>
            <w:vAlign w:val="center"/>
          </w:tcPr>
          <w:p w:rsidR="00013EC7" w:rsidRDefault="00575CDB">
            <w:pPr>
              <w:spacing w:line="300" w:lineRule="exact"/>
              <w:rPr>
                <w:rFonts w:ascii="仿宋" w:eastAsia="仿宋" w:hAnsi="仿宋"/>
                <w:sz w:val="24"/>
              </w:rPr>
            </w:pPr>
            <w:r>
              <w:rPr>
                <w:rFonts w:ascii="仿宋" w:eastAsia="仿宋" w:hAnsi="仿宋" w:hint="eastAsia"/>
                <w:sz w:val="24"/>
              </w:rPr>
              <w:t>（三）与分包方签订的分包合同复印件1份</w:t>
            </w:r>
            <w:r>
              <w:rPr>
                <w:rFonts w:ascii="仿宋" w:eastAsia="仿宋" w:hAnsi="仿宋"/>
                <w:sz w:val="24"/>
              </w:rPr>
              <w:t>。</w:t>
            </w:r>
            <w:r>
              <w:rPr>
                <w:rFonts w:ascii="仿宋" w:eastAsia="仿宋" w:hAnsi="仿宋" w:hint="eastAsia"/>
                <w:sz w:val="24"/>
              </w:rPr>
              <w:t>（复印件注明与原件一致并加盖公章）。</w:t>
            </w:r>
          </w:p>
        </w:tc>
        <w:tc>
          <w:tcPr>
            <w:tcW w:w="1276" w:type="dxa"/>
            <w:vMerge/>
            <w:vAlign w:val="center"/>
          </w:tcPr>
          <w:p w:rsidR="00013EC7" w:rsidRDefault="00013EC7">
            <w:pPr>
              <w:spacing w:line="300" w:lineRule="exact"/>
              <w:jc w:val="center"/>
              <w:rPr>
                <w:rFonts w:ascii="仿宋" w:eastAsia="仿宋" w:hAnsi="仿宋"/>
                <w:sz w:val="24"/>
              </w:rPr>
            </w:pPr>
          </w:p>
        </w:tc>
        <w:tc>
          <w:tcPr>
            <w:tcW w:w="2126" w:type="dxa"/>
            <w:vMerge/>
            <w:vAlign w:val="center"/>
          </w:tcPr>
          <w:p w:rsidR="00013EC7" w:rsidRDefault="00013EC7">
            <w:pPr>
              <w:spacing w:line="300" w:lineRule="exact"/>
              <w:rPr>
                <w:rFonts w:ascii="仿宋" w:eastAsia="仿宋" w:hAnsi="仿宋"/>
                <w:sz w:val="24"/>
              </w:rPr>
            </w:pPr>
          </w:p>
        </w:tc>
        <w:tc>
          <w:tcPr>
            <w:tcW w:w="766" w:type="dxa"/>
            <w:vMerge/>
            <w:vAlign w:val="center"/>
          </w:tcPr>
          <w:p w:rsidR="00013EC7" w:rsidRDefault="00013EC7">
            <w:pPr>
              <w:rPr>
                <w:rFonts w:ascii="仿宋" w:eastAsia="仿宋" w:hAnsi="仿宋"/>
                <w:sz w:val="24"/>
              </w:rPr>
            </w:pPr>
          </w:p>
        </w:tc>
        <w:tc>
          <w:tcPr>
            <w:tcW w:w="798" w:type="dxa"/>
            <w:vMerge/>
            <w:vAlign w:val="center"/>
          </w:tcPr>
          <w:p w:rsidR="00013EC7" w:rsidRDefault="00013EC7">
            <w:pPr>
              <w:rPr>
                <w:rFonts w:ascii="仿宋" w:eastAsia="仿宋" w:hAnsi="仿宋"/>
                <w:sz w:val="24"/>
              </w:rPr>
            </w:pPr>
          </w:p>
        </w:tc>
        <w:tc>
          <w:tcPr>
            <w:tcW w:w="958" w:type="dxa"/>
            <w:vMerge/>
            <w:vAlign w:val="center"/>
          </w:tcPr>
          <w:p w:rsidR="00013EC7" w:rsidRDefault="00013EC7">
            <w:pPr>
              <w:rPr>
                <w:rFonts w:ascii="仿宋" w:eastAsia="仿宋" w:hAnsi="仿宋"/>
                <w:sz w:val="24"/>
              </w:rPr>
            </w:pPr>
          </w:p>
        </w:tc>
        <w:tc>
          <w:tcPr>
            <w:tcW w:w="1104" w:type="dxa"/>
            <w:vMerge/>
            <w:vAlign w:val="center"/>
          </w:tcPr>
          <w:p w:rsidR="00013EC7" w:rsidRDefault="00013EC7">
            <w:pPr>
              <w:rPr>
                <w:rFonts w:ascii="仿宋" w:eastAsia="仿宋" w:hAnsi="仿宋"/>
                <w:sz w:val="24"/>
              </w:rPr>
            </w:pPr>
          </w:p>
        </w:tc>
        <w:tc>
          <w:tcPr>
            <w:tcW w:w="1476" w:type="dxa"/>
            <w:vMerge/>
            <w:vAlign w:val="center"/>
          </w:tcPr>
          <w:p w:rsidR="00013EC7" w:rsidRDefault="00013EC7">
            <w:pPr>
              <w:rPr>
                <w:rFonts w:ascii="仿宋" w:eastAsia="仿宋" w:hAnsi="仿宋"/>
                <w:sz w:val="24"/>
              </w:rPr>
            </w:pPr>
          </w:p>
        </w:tc>
      </w:tr>
      <w:tr w:rsidR="00013EC7">
        <w:trPr>
          <w:trHeight w:val="924"/>
          <w:jc w:val="center"/>
        </w:trPr>
        <w:tc>
          <w:tcPr>
            <w:tcW w:w="672" w:type="dxa"/>
            <w:vMerge/>
            <w:tcBorders>
              <w:bottom w:val="single" w:sz="8" w:space="0" w:color="auto"/>
            </w:tcBorders>
            <w:shd w:val="clear" w:color="auto" w:fill="auto"/>
            <w:textDirection w:val="tbRlV"/>
            <w:vAlign w:val="center"/>
          </w:tcPr>
          <w:p w:rsidR="00013EC7" w:rsidRDefault="00013EC7"/>
        </w:tc>
        <w:tc>
          <w:tcPr>
            <w:tcW w:w="1035" w:type="dxa"/>
            <w:vMerge/>
            <w:tcBorders>
              <w:bottom w:val="single" w:sz="8" w:space="0" w:color="auto"/>
            </w:tcBorders>
            <w:shd w:val="clear" w:color="auto" w:fill="auto"/>
            <w:vAlign w:val="center"/>
          </w:tcPr>
          <w:p w:rsidR="00013EC7" w:rsidRDefault="00013EC7"/>
        </w:tc>
        <w:tc>
          <w:tcPr>
            <w:tcW w:w="4248" w:type="dxa"/>
            <w:vMerge/>
            <w:tcBorders>
              <w:bottom w:val="single" w:sz="8" w:space="0" w:color="auto"/>
            </w:tcBorders>
            <w:shd w:val="clear" w:color="auto" w:fill="auto"/>
            <w:vAlign w:val="center"/>
          </w:tcPr>
          <w:p w:rsidR="00013EC7" w:rsidRDefault="00013EC7"/>
        </w:tc>
        <w:tc>
          <w:tcPr>
            <w:tcW w:w="1984" w:type="dxa"/>
            <w:tcBorders>
              <w:bottom w:val="single" w:sz="8" w:space="0" w:color="auto"/>
            </w:tcBorders>
            <w:shd w:val="clear" w:color="auto" w:fill="FFFFFF"/>
            <w:vAlign w:val="center"/>
          </w:tcPr>
          <w:p w:rsidR="00013EC7" w:rsidRDefault="00575CDB">
            <w:pPr>
              <w:spacing w:line="300" w:lineRule="exact"/>
              <w:rPr>
                <w:rFonts w:ascii="仿宋" w:eastAsia="仿宋" w:hAnsi="仿宋"/>
                <w:sz w:val="24"/>
              </w:rPr>
            </w:pPr>
            <w:r>
              <w:rPr>
                <w:rFonts w:ascii="仿宋" w:eastAsia="仿宋" w:hAnsi="仿宋" w:hint="eastAsia"/>
                <w:sz w:val="24"/>
              </w:rPr>
              <w:t>（四）从分包方取得的发票</w:t>
            </w:r>
            <w:r>
              <w:rPr>
                <w:rFonts w:ascii="仿宋" w:eastAsia="仿宋" w:hAnsi="仿宋" w:cs="仿宋" w:hint="eastAsia"/>
                <w:kern w:val="1"/>
                <w:sz w:val="24"/>
                <w:highlight w:val="lightGray"/>
              </w:rPr>
              <w:t>原件及</w:t>
            </w:r>
            <w:r>
              <w:rPr>
                <w:rFonts w:ascii="仿宋" w:eastAsia="仿宋" w:hAnsi="仿宋" w:hint="eastAsia"/>
                <w:sz w:val="24"/>
              </w:rPr>
              <w:t>复印件。</w:t>
            </w:r>
          </w:p>
        </w:tc>
        <w:tc>
          <w:tcPr>
            <w:tcW w:w="1701" w:type="dxa"/>
            <w:vMerge/>
            <w:tcBorders>
              <w:bottom w:val="single" w:sz="8" w:space="0" w:color="auto"/>
            </w:tcBorders>
            <w:vAlign w:val="center"/>
          </w:tcPr>
          <w:p w:rsidR="00013EC7" w:rsidRDefault="00013EC7">
            <w:pPr>
              <w:rPr>
                <w:rFonts w:ascii="仿宋" w:eastAsia="仿宋" w:hAnsi="仿宋"/>
                <w:sz w:val="24"/>
              </w:rPr>
            </w:pPr>
          </w:p>
        </w:tc>
        <w:tc>
          <w:tcPr>
            <w:tcW w:w="1701" w:type="dxa"/>
            <w:tcBorders>
              <w:bottom w:val="single" w:sz="8" w:space="0" w:color="auto"/>
            </w:tcBorders>
            <w:vAlign w:val="center"/>
          </w:tcPr>
          <w:p w:rsidR="00013EC7" w:rsidRDefault="00575CDB">
            <w:pPr>
              <w:rPr>
                <w:rFonts w:ascii="仿宋" w:eastAsia="仿宋" w:hAnsi="仿宋"/>
                <w:sz w:val="24"/>
              </w:rPr>
            </w:pPr>
            <w:r>
              <w:rPr>
                <w:rFonts w:ascii="仿宋" w:eastAsia="仿宋" w:hAnsi="仿宋" w:hint="eastAsia"/>
                <w:sz w:val="24"/>
              </w:rPr>
              <w:t>（四）从分包方取得的发票复印件1份。（复印件注明与原件一致并加盖公章）。</w:t>
            </w:r>
          </w:p>
        </w:tc>
        <w:tc>
          <w:tcPr>
            <w:tcW w:w="1276" w:type="dxa"/>
            <w:vMerge/>
            <w:tcBorders>
              <w:bottom w:val="single" w:sz="8" w:space="0" w:color="auto"/>
            </w:tcBorders>
            <w:vAlign w:val="center"/>
          </w:tcPr>
          <w:p w:rsidR="00013EC7" w:rsidRDefault="00013EC7">
            <w:pPr>
              <w:spacing w:line="300" w:lineRule="exact"/>
              <w:jc w:val="center"/>
              <w:rPr>
                <w:rFonts w:ascii="仿宋" w:eastAsia="仿宋" w:hAnsi="仿宋"/>
                <w:sz w:val="24"/>
              </w:rPr>
            </w:pPr>
          </w:p>
        </w:tc>
        <w:tc>
          <w:tcPr>
            <w:tcW w:w="2126" w:type="dxa"/>
            <w:vMerge/>
            <w:tcBorders>
              <w:bottom w:val="single" w:sz="8" w:space="0" w:color="auto"/>
            </w:tcBorders>
            <w:vAlign w:val="center"/>
          </w:tcPr>
          <w:p w:rsidR="00013EC7" w:rsidRDefault="00013EC7">
            <w:pPr>
              <w:spacing w:line="300" w:lineRule="exact"/>
              <w:rPr>
                <w:rFonts w:ascii="仿宋" w:eastAsia="仿宋" w:hAnsi="仿宋"/>
                <w:sz w:val="24"/>
              </w:rPr>
            </w:pPr>
          </w:p>
        </w:tc>
        <w:tc>
          <w:tcPr>
            <w:tcW w:w="766" w:type="dxa"/>
            <w:vMerge/>
            <w:tcBorders>
              <w:bottom w:val="single" w:sz="8" w:space="0" w:color="auto"/>
            </w:tcBorders>
            <w:vAlign w:val="center"/>
          </w:tcPr>
          <w:p w:rsidR="00013EC7" w:rsidRDefault="00013EC7">
            <w:pPr>
              <w:rPr>
                <w:rFonts w:ascii="仿宋" w:eastAsia="仿宋" w:hAnsi="仿宋"/>
                <w:sz w:val="24"/>
              </w:rPr>
            </w:pPr>
          </w:p>
        </w:tc>
        <w:tc>
          <w:tcPr>
            <w:tcW w:w="798" w:type="dxa"/>
            <w:vMerge/>
            <w:tcBorders>
              <w:bottom w:val="single" w:sz="8" w:space="0" w:color="auto"/>
            </w:tcBorders>
            <w:vAlign w:val="center"/>
          </w:tcPr>
          <w:p w:rsidR="00013EC7" w:rsidRDefault="00013EC7">
            <w:pPr>
              <w:rPr>
                <w:rFonts w:ascii="仿宋" w:eastAsia="仿宋" w:hAnsi="仿宋"/>
                <w:sz w:val="24"/>
              </w:rPr>
            </w:pPr>
          </w:p>
        </w:tc>
        <w:tc>
          <w:tcPr>
            <w:tcW w:w="958" w:type="dxa"/>
            <w:vMerge/>
            <w:tcBorders>
              <w:bottom w:val="single" w:sz="8" w:space="0" w:color="auto"/>
            </w:tcBorders>
            <w:vAlign w:val="center"/>
          </w:tcPr>
          <w:p w:rsidR="00013EC7" w:rsidRDefault="00013EC7">
            <w:pPr>
              <w:rPr>
                <w:rFonts w:ascii="仿宋" w:eastAsia="仿宋" w:hAnsi="仿宋"/>
                <w:sz w:val="24"/>
              </w:rPr>
            </w:pPr>
          </w:p>
        </w:tc>
        <w:tc>
          <w:tcPr>
            <w:tcW w:w="1104" w:type="dxa"/>
            <w:vMerge/>
            <w:tcBorders>
              <w:bottom w:val="single" w:sz="8" w:space="0" w:color="auto"/>
            </w:tcBorders>
            <w:vAlign w:val="center"/>
          </w:tcPr>
          <w:p w:rsidR="00013EC7" w:rsidRDefault="00013EC7">
            <w:pPr>
              <w:rPr>
                <w:rFonts w:ascii="仿宋" w:eastAsia="仿宋" w:hAnsi="仿宋"/>
                <w:sz w:val="24"/>
              </w:rPr>
            </w:pPr>
          </w:p>
        </w:tc>
        <w:tc>
          <w:tcPr>
            <w:tcW w:w="1476" w:type="dxa"/>
            <w:vMerge/>
            <w:tcBorders>
              <w:bottom w:val="single" w:sz="8" w:space="0" w:color="auto"/>
            </w:tcBorders>
            <w:vAlign w:val="center"/>
          </w:tcPr>
          <w:p w:rsidR="00013EC7" w:rsidRDefault="00013EC7">
            <w:pPr>
              <w:rPr>
                <w:rFonts w:ascii="仿宋" w:eastAsia="仿宋" w:hAnsi="仿宋"/>
                <w:sz w:val="24"/>
              </w:rPr>
            </w:pPr>
          </w:p>
        </w:tc>
      </w:tr>
      <w:tr w:rsidR="00013EC7">
        <w:trPr>
          <w:trHeight w:val="340"/>
          <w:jc w:val="center"/>
        </w:trPr>
        <w:tc>
          <w:tcPr>
            <w:tcW w:w="672" w:type="dxa"/>
            <w:vMerge/>
            <w:textDirection w:val="tbRlV"/>
            <w:vAlign w:val="center"/>
          </w:tcPr>
          <w:p w:rsidR="00013EC7" w:rsidRDefault="00013EC7"/>
        </w:tc>
        <w:tc>
          <w:tcPr>
            <w:tcW w:w="1035" w:type="dxa"/>
            <w:vMerge/>
            <w:vAlign w:val="center"/>
          </w:tcPr>
          <w:p w:rsidR="00013EC7" w:rsidRDefault="00013EC7"/>
        </w:tc>
        <w:tc>
          <w:tcPr>
            <w:tcW w:w="4248" w:type="dxa"/>
            <w:vMerge/>
            <w:vAlign w:val="center"/>
          </w:tcPr>
          <w:p w:rsidR="00013EC7" w:rsidRDefault="00013EC7"/>
        </w:tc>
        <w:tc>
          <w:tcPr>
            <w:tcW w:w="1984" w:type="dxa"/>
            <w:vAlign w:val="center"/>
          </w:tcPr>
          <w:p w:rsidR="00013EC7" w:rsidRDefault="00575CDB">
            <w:pPr>
              <w:spacing w:line="300" w:lineRule="exact"/>
              <w:rPr>
                <w:rFonts w:ascii="仿宋" w:eastAsia="仿宋" w:hAnsi="仿宋"/>
                <w:sz w:val="24"/>
              </w:rPr>
            </w:pPr>
            <w:r>
              <w:rPr>
                <w:rFonts w:ascii="仿宋" w:eastAsia="仿宋" w:hAnsi="仿宋" w:cs="仿宋" w:hint="eastAsia"/>
                <w:kern w:val="1"/>
                <w:sz w:val="24"/>
                <w:highlight w:val="lightGray"/>
              </w:rPr>
              <w:t>（五）</w:t>
            </w:r>
            <w:r>
              <w:rPr>
                <w:rFonts w:ascii="仿宋" w:eastAsia="仿宋" w:hAnsi="仿宋" w:cs="仿宋"/>
                <w:kern w:val="1"/>
                <w:sz w:val="24"/>
                <w:highlight w:val="lightGray"/>
              </w:rPr>
              <w:t>不动产租赁合同复印件1份</w:t>
            </w:r>
            <w:r>
              <w:rPr>
                <w:rFonts w:ascii="仿宋" w:eastAsia="仿宋" w:hAnsi="仿宋" w:cs="仿宋" w:hint="eastAsia"/>
                <w:kern w:val="1"/>
                <w:sz w:val="24"/>
                <w:highlight w:val="lightGray"/>
              </w:rPr>
              <w:t>。</w:t>
            </w:r>
          </w:p>
        </w:tc>
        <w:tc>
          <w:tcPr>
            <w:tcW w:w="1701" w:type="dxa"/>
            <w:vAlign w:val="center"/>
          </w:tcPr>
          <w:p w:rsidR="00013EC7" w:rsidRDefault="00575CDB">
            <w:pPr>
              <w:rPr>
                <w:rFonts w:ascii="仿宋" w:eastAsia="仿宋" w:hAnsi="仿宋"/>
                <w:sz w:val="24"/>
              </w:rPr>
            </w:pPr>
            <w:r>
              <w:rPr>
                <w:rFonts w:ascii="仿宋" w:eastAsia="仿宋" w:hAnsi="仿宋" w:cs="宋体"/>
                <w:kern w:val="1"/>
                <w:sz w:val="24"/>
              </w:rPr>
              <w:t>出租与机构所在地不在同一县（市）的不动产</w:t>
            </w:r>
            <w:r>
              <w:rPr>
                <w:rFonts w:ascii="仿宋" w:eastAsia="仿宋" w:hAnsi="仿宋" w:cs="宋体" w:hint="eastAsia"/>
                <w:kern w:val="1"/>
                <w:sz w:val="24"/>
              </w:rPr>
              <w:t>的</w:t>
            </w:r>
            <w:r>
              <w:rPr>
                <w:rFonts w:ascii="仿宋" w:eastAsia="仿宋" w:hAnsi="仿宋" w:cs="宋体"/>
                <w:kern w:val="1"/>
                <w:sz w:val="24"/>
              </w:rPr>
              <w:t>纳税人（不含其他个人）</w:t>
            </w:r>
            <w:r>
              <w:rPr>
                <w:rFonts w:ascii="仿宋" w:eastAsia="仿宋" w:hAnsi="仿宋" w:cs="宋体" w:hint="eastAsia"/>
                <w:kern w:val="1"/>
                <w:sz w:val="24"/>
              </w:rPr>
              <w:t>提交</w:t>
            </w:r>
          </w:p>
        </w:tc>
        <w:tc>
          <w:tcPr>
            <w:tcW w:w="1701" w:type="dxa"/>
            <w:vAlign w:val="center"/>
          </w:tcPr>
          <w:p w:rsidR="00013EC7" w:rsidRDefault="00013EC7">
            <w:pPr>
              <w:spacing w:line="300" w:lineRule="exact"/>
              <w:rPr>
                <w:rFonts w:ascii="仿宋" w:eastAsia="仿宋" w:hAnsi="仿宋"/>
                <w:sz w:val="24"/>
              </w:rPr>
            </w:pPr>
          </w:p>
        </w:tc>
        <w:tc>
          <w:tcPr>
            <w:tcW w:w="1276" w:type="dxa"/>
            <w:vAlign w:val="center"/>
          </w:tcPr>
          <w:p w:rsidR="00013EC7" w:rsidRDefault="00575CDB">
            <w:pPr>
              <w:rPr>
                <w:rFonts w:ascii="仿宋" w:eastAsia="仿宋" w:hAnsi="仿宋"/>
                <w:sz w:val="24"/>
              </w:rPr>
            </w:pPr>
            <w:r>
              <w:rPr>
                <w:rFonts w:ascii="仿宋" w:eastAsia="仿宋" w:hAnsi="仿宋" w:cs="仿宋" w:hint="eastAsia"/>
                <w:b/>
                <w:bCs/>
                <w:i/>
                <w:iCs/>
                <w:sz w:val="24"/>
              </w:rPr>
              <w:t>取消</w:t>
            </w:r>
          </w:p>
        </w:tc>
        <w:tc>
          <w:tcPr>
            <w:tcW w:w="2126" w:type="dxa"/>
            <w:vMerge/>
            <w:vAlign w:val="center"/>
          </w:tcPr>
          <w:p w:rsidR="00013EC7" w:rsidRDefault="00013EC7">
            <w:pPr>
              <w:spacing w:line="300" w:lineRule="exact"/>
              <w:rPr>
                <w:rFonts w:ascii="仿宋" w:eastAsia="仿宋" w:hAnsi="仿宋"/>
                <w:sz w:val="24"/>
              </w:rPr>
            </w:pPr>
          </w:p>
        </w:tc>
        <w:tc>
          <w:tcPr>
            <w:tcW w:w="766" w:type="dxa"/>
            <w:vMerge/>
            <w:vAlign w:val="center"/>
          </w:tcPr>
          <w:p w:rsidR="00013EC7" w:rsidRDefault="00013EC7">
            <w:pPr>
              <w:rPr>
                <w:rFonts w:ascii="仿宋" w:eastAsia="仿宋" w:hAnsi="仿宋"/>
                <w:sz w:val="24"/>
              </w:rPr>
            </w:pPr>
          </w:p>
        </w:tc>
        <w:tc>
          <w:tcPr>
            <w:tcW w:w="798" w:type="dxa"/>
            <w:vMerge/>
            <w:vAlign w:val="center"/>
          </w:tcPr>
          <w:p w:rsidR="00013EC7" w:rsidRDefault="00013EC7">
            <w:pPr>
              <w:rPr>
                <w:rFonts w:ascii="仿宋" w:eastAsia="仿宋" w:hAnsi="仿宋"/>
                <w:sz w:val="24"/>
              </w:rPr>
            </w:pPr>
          </w:p>
        </w:tc>
        <w:tc>
          <w:tcPr>
            <w:tcW w:w="958" w:type="dxa"/>
            <w:vMerge/>
            <w:vAlign w:val="center"/>
          </w:tcPr>
          <w:p w:rsidR="00013EC7" w:rsidRDefault="00013EC7">
            <w:pPr>
              <w:rPr>
                <w:rFonts w:ascii="仿宋" w:eastAsia="仿宋" w:hAnsi="仿宋"/>
                <w:sz w:val="24"/>
              </w:rPr>
            </w:pPr>
          </w:p>
        </w:tc>
        <w:tc>
          <w:tcPr>
            <w:tcW w:w="1104" w:type="dxa"/>
            <w:vMerge/>
            <w:vAlign w:val="center"/>
          </w:tcPr>
          <w:p w:rsidR="00013EC7" w:rsidRDefault="00013EC7">
            <w:pPr>
              <w:rPr>
                <w:rFonts w:ascii="仿宋" w:eastAsia="仿宋" w:hAnsi="仿宋"/>
                <w:sz w:val="24"/>
              </w:rPr>
            </w:pPr>
          </w:p>
        </w:tc>
        <w:tc>
          <w:tcPr>
            <w:tcW w:w="1476" w:type="dxa"/>
            <w:vMerge/>
            <w:vAlign w:val="center"/>
          </w:tcPr>
          <w:p w:rsidR="00013EC7" w:rsidRDefault="00013EC7">
            <w:pPr>
              <w:rPr>
                <w:rFonts w:ascii="仿宋" w:eastAsia="仿宋" w:hAnsi="仿宋"/>
                <w:sz w:val="24"/>
              </w:rPr>
            </w:pPr>
          </w:p>
        </w:tc>
      </w:tr>
    </w:tbl>
    <w:p w:rsidR="00013EC7" w:rsidRDefault="00013EC7"/>
    <w:p w:rsidR="00013EC7" w:rsidRDefault="00013EC7">
      <w:pPr>
        <w:jc w:val="center"/>
      </w:pPr>
    </w:p>
    <w:p w:rsidR="00013EC7" w:rsidRDefault="005262E6">
      <w:pPr>
        <w:rPr>
          <w:rFonts w:ascii="仿宋" w:eastAsia="仿宋" w:hAnsi="仿宋" w:cs="仿宋"/>
          <w:sz w:val="24"/>
        </w:rPr>
      </w:pPr>
      <w:r>
        <w:lastRenderedPageBreak/>
        <w:object w:dxaOrig="1440" w:dyaOrig="1440">
          <v:shape id="_x0000_s1350" type="#_x0000_t75" style="position:absolute;left:0;text-align:left;margin-left:23.45pt;margin-top:91.5pt;width:481.5pt;height:574.5pt;z-index:251675648;mso-wrap-distance-top:0;mso-wrap-distance-bottom:0;mso-position-vertical-relative:page;mso-width-relative:page;mso-height-relative:page">
            <v:imagedata r:id="rId216" o:title=""/>
            <w10:wrap type="topAndBottom" anchory="page"/>
          </v:shape>
          <o:OLEObject Type="Embed" ProgID="Visio.Drawing.11" ShapeID="_x0000_s1350" DrawAspect="Content" ObjectID="_1577296231" r:id="rId217"/>
        </w:object>
      </w:r>
      <w:r>
        <w:rPr>
          <w:rFonts w:ascii="黑体" w:eastAsia="黑体" w:hAnsi="黑体"/>
        </w:rPr>
        <w:object w:dxaOrig="1440" w:dyaOrig="1440">
          <v:shape id="_x0000_s1349" type="#_x0000_t75" style="position:absolute;left:0;text-align:left;margin-left:611.25pt;margin-top:84.55pt;width:409.5pt;height:571.5pt;z-index:251674624;mso-wrap-distance-top:0;mso-wrap-distance-bottom:0;mso-position-vertical-relative:page;mso-width-relative:page;mso-height-relative:page">
            <v:imagedata r:id="rId218" o:title=""/>
            <o:lock v:ext="edit" aspectratio="f"/>
            <w10:wrap type="topAndBottom" anchory="page"/>
          </v:shape>
          <o:OLEObject Type="Embed" ProgID="Visio.Drawing.11" ShapeID="_x0000_s1349" DrawAspect="Content" ObjectID="_1577296232" r:id="rId219"/>
        </w:object>
      </w:r>
    </w:p>
    <w:p w:rsidR="00013EC7" w:rsidRDefault="00013EC7"/>
    <w:p w:rsidR="00013EC7" w:rsidRDefault="00013EC7">
      <w:pPr>
        <w:jc w:val="left"/>
      </w:pPr>
    </w:p>
    <w:p w:rsidR="00013EC7" w:rsidRDefault="00013EC7"/>
    <w:p w:rsidR="00013EC7" w:rsidRDefault="00013EC7">
      <w:pPr>
        <w:rPr>
          <w:rFonts w:ascii="宋体" w:hAnsi="宋体" w:cs="宋体"/>
          <w:bCs/>
          <w:sz w:val="28"/>
          <w:szCs w:val="28"/>
        </w:rPr>
        <w:sectPr w:rsidR="00013EC7">
          <w:pgSz w:w="23814" w:h="16840" w:orient="landscape"/>
          <w:pgMar w:top="1701" w:right="1843" w:bottom="1985" w:left="1843" w:header="851" w:footer="1701" w:gutter="0"/>
          <w:pgNumType w:fmt="numberInDash"/>
          <w:cols w:space="720"/>
          <w:docGrid w:type="lines" w:linePitch="312"/>
        </w:sectPr>
      </w:pPr>
    </w:p>
    <w:p w:rsidR="00013EC7" w:rsidRDefault="00575CDB">
      <w:pPr>
        <w:pStyle w:val="2"/>
      </w:pPr>
      <w:bookmarkStart w:id="306" w:name="_Toc17049"/>
      <w:bookmarkStart w:id="307" w:name="_Toc19727"/>
      <w:bookmarkStart w:id="308" w:name="_Toc503467424"/>
      <w:bookmarkStart w:id="309" w:name="_Toc13265"/>
      <w:r>
        <w:rPr>
          <w:rFonts w:hint="eastAsia"/>
        </w:rPr>
        <w:lastRenderedPageBreak/>
        <w:t>17.4</w:t>
      </w:r>
      <w:r>
        <w:rPr>
          <w:rFonts w:hint="eastAsia"/>
        </w:rPr>
        <w:t>烟类应税消费品消费税申报</w:t>
      </w:r>
      <w:bookmarkEnd w:id="306"/>
      <w:bookmarkEnd w:id="307"/>
      <w:bookmarkEnd w:id="308"/>
      <w:bookmarkEnd w:id="309"/>
    </w:p>
    <w:p w:rsidR="00013EC7" w:rsidRDefault="00575CDB">
      <w:pPr>
        <w:jc w:val="center"/>
        <w:rPr>
          <w:rFonts w:ascii="宋体" w:hAnsi="宋体" w:cs="宋体"/>
          <w:b/>
          <w:bCs/>
          <w:sz w:val="52"/>
          <w:szCs w:val="52"/>
        </w:rPr>
      </w:pPr>
      <w:r>
        <w:rPr>
          <w:rFonts w:ascii="宋体" w:hAnsi="宋体" w:cs="宋体" w:hint="eastAsia"/>
          <w:b/>
          <w:bCs/>
          <w:sz w:val="52"/>
          <w:szCs w:val="52"/>
        </w:rPr>
        <w:t>全省“最多跑一次”事项“八统一”梳理表</w:t>
      </w:r>
    </w:p>
    <w:tbl>
      <w:tblPr>
        <w:tblW w:w="20438"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2622"/>
        <w:gridCol w:w="2760"/>
        <w:gridCol w:w="901"/>
        <w:gridCol w:w="2837"/>
        <w:gridCol w:w="1559"/>
        <w:gridCol w:w="2848"/>
        <w:gridCol w:w="868"/>
        <w:gridCol w:w="798"/>
        <w:gridCol w:w="958"/>
        <w:gridCol w:w="1104"/>
        <w:gridCol w:w="1476"/>
      </w:tblGrid>
      <w:tr w:rsidR="00013EC7">
        <w:trPr>
          <w:trHeight w:val="340"/>
          <w:tblHeader/>
          <w:jc w:val="center"/>
        </w:trPr>
        <w:tc>
          <w:tcPr>
            <w:tcW w:w="672" w:type="dxa"/>
            <w:vMerge w:val="restart"/>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主项名称</w:t>
            </w:r>
          </w:p>
        </w:tc>
        <w:tc>
          <w:tcPr>
            <w:tcW w:w="1035" w:type="dxa"/>
            <w:vMerge w:val="restart"/>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子项名称</w:t>
            </w:r>
          </w:p>
        </w:tc>
        <w:tc>
          <w:tcPr>
            <w:tcW w:w="2622" w:type="dxa"/>
            <w:vMerge w:val="restart"/>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经办依据</w:t>
            </w:r>
          </w:p>
        </w:tc>
        <w:tc>
          <w:tcPr>
            <w:tcW w:w="3661" w:type="dxa"/>
            <w:gridSpan w:val="2"/>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原经办所需材料</w:t>
            </w:r>
          </w:p>
        </w:tc>
        <w:tc>
          <w:tcPr>
            <w:tcW w:w="7244" w:type="dxa"/>
            <w:gridSpan w:val="3"/>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精简后经办所需材料</w:t>
            </w:r>
          </w:p>
        </w:tc>
        <w:tc>
          <w:tcPr>
            <w:tcW w:w="1666" w:type="dxa"/>
            <w:gridSpan w:val="2"/>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办理时限</w:t>
            </w:r>
          </w:p>
        </w:tc>
        <w:tc>
          <w:tcPr>
            <w:tcW w:w="958" w:type="dxa"/>
            <w:vMerge w:val="restart"/>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是否实现跑零次</w:t>
            </w:r>
          </w:p>
        </w:tc>
        <w:tc>
          <w:tcPr>
            <w:tcW w:w="1104" w:type="dxa"/>
            <w:vMerge w:val="restart"/>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省厅对口</w:t>
            </w:r>
          </w:p>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指导处室</w:t>
            </w:r>
          </w:p>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（单位）</w:t>
            </w:r>
          </w:p>
        </w:tc>
        <w:tc>
          <w:tcPr>
            <w:tcW w:w="1476" w:type="dxa"/>
            <w:vMerge w:val="restart"/>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进一步精简、</w:t>
            </w:r>
          </w:p>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规范建议</w:t>
            </w:r>
          </w:p>
        </w:tc>
      </w:tr>
      <w:tr w:rsidR="00013EC7">
        <w:trPr>
          <w:trHeight w:val="340"/>
          <w:tblHeader/>
          <w:jc w:val="center"/>
        </w:trPr>
        <w:tc>
          <w:tcPr>
            <w:tcW w:w="672" w:type="dxa"/>
            <w:vMerge/>
            <w:vAlign w:val="center"/>
          </w:tcPr>
          <w:p w:rsidR="00013EC7" w:rsidRDefault="00013EC7">
            <w:pPr>
              <w:jc w:val="center"/>
              <w:rPr>
                <w:rFonts w:ascii="仿宋" w:eastAsia="仿宋" w:hAnsi="仿宋" w:cs="仿宋"/>
                <w:sz w:val="24"/>
              </w:rPr>
            </w:pPr>
          </w:p>
        </w:tc>
        <w:tc>
          <w:tcPr>
            <w:tcW w:w="1035" w:type="dxa"/>
            <w:vMerge/>
            <w:vAlign w:val="center"/>
          </w:tcPr>
          <w:p w:rsidR="00013EC7" w:rsidRDefault="00013EC7">
            <w:pPr>
              <w:jc w:val="center"/>
              <w:rPr>
                <w:rFonts w:ascii="仿宋" w:eastAsia="仿宋" w:hAnsi="仿宋" w:cs="仿宋"/>
                <w:sz w:val="24"/>
              </w:rPr>
            </w:pPr>
          </w:p>
        </w:tc>
        <w:tc>
          <w:tcPr>
            <w:tcW w:w="2622" w:type="dxa"/>
            <w:vMerge/>
            <w:vAlign w:val="center"/>
          </w:tcPr>
          <w:p w:rsidR="00013EC7" w:rsidRDefault="00013EC7">
            <w:pPr>
              <w:jc w:val="center"/>
              <w:rPr>
                <w:rFonts w:ascii="仿宋" w:eastAsia="仿宋" w:hAnsi="仿宋" w:cs="仿宋"/>
                <w:sz w:val="24"/>
              </w:rPr>
            </w:pPr>
          </w:p>
        </w:tc>
        <w:tc>
          <w:tcPr>
            <w:tcW w:w="2760" w:type="dxa"/>
            <w:tcBorders>
              <w:bottom w:val="single" w:sz="4" w:space="0" w:color="auto"/>
            </w:tcBorders>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材料明细</w:t>
            </w:r>
          </w:p>
        </w:tc>
        <w:tc>
          <w:tcPr>
            <w:tcW w:w="901"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材料来源</w:t>
            </w:r>
          </w:p>
        </w:tc>
        <w:tc>
          <w:tcPr>
            <w:tcW w:w="2837"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材料明细</w:t>
            </w:r>
          </w:p>
        </w:tc>
        <w:tc>
          <w:tcPr>
            <w:tcW w:w="1559"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材料来源</w:t>
            </w:r>
          </w:p>
        </w:tc>
        <w:tc>
          <w:tcPr>
            <w:tcW w:w="2848"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办理方式及材料</w:t>
            </w:r>
          </w:p>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信息获取方式说明</w:t>
            </w:r>
          </w:p>
        </w:tc>
        <w:tc>
          <w:tcPr>
            <w:tcW w:w="868"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优化前</w:t>
            </w:r>
          </w:p>
        </w:tc>
        <w:tc>
          <w:tcPr>
            <w:tcW w:w="798"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优化后</w:t>
            </w: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788"/>
          <w:jc w:val="center"/>
        </w:trPr>
        <w:tc>
          <w:tcPr>
            <w:tcW w:w="672" w:type="dxa"/>
            <w:vMerge w:val="restart"/>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17日常税费申报</w:t>
            </w:r>
          </w:p>
        </w:tc>
        <w:tc>
          <w:tcPr>
            <w:tcW w:w="1035" w:type="dxa"/>
            <w:vMerge w:val="restart"/>
            <w:vAlign w:val="center"/>
          </w:tcPr>
          <w:p w:rsidR="00013EC7" w:rsidRDefault="00575CDB">
            <w:pPr>
              <w:spacing w:line="310" w:lineRule="exact"/>
              <w:rPr>
                <w:rFonts w:ascii="仿宋" w:eastAsia="仿宋" w:hAnsi="仿宋" w:cs="仿宋"/>
                <w:sz w:val="24"/>
              </w:rPr>
            </w:pPr>
            <w:r>
              <w:rPr>
                <w:rFonts w:ascii="仿宋" w:eastAsia="仿宋" w:hAnsi="仿宋" w:cs="仿宋" w:hint="eastAsia"/>
                <w:sz w:val="24"/>
              </w:rPr>
              <w:t>17.4 烟类应税消费品消费税申报</w:t>
            </w:r>
          </w:p>
        </w:tc>
        <w:tc>
          <w:tcPr>
            <w:tcW w:w="2622" w:type="dxa"/>
            <w:vMerge w:val="restart"/>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（一）《中华人民共和国消费税暂行条例》（2008年中华人民共和国国务院令539号）全文。</w:t>
            </w:r>
            <w:r>
              <w:rPr>
                <w:rFonts w:ascii="仿宋" w:eastAsia="仿宋" w:hAnsi="仿宋" w:cs="仿宋" w:hint="eastAsia"/>
                <w:kern w:val="1"/>
                <w:sz w:val="24"/>
              </w:rPr>
              <w:br/>
              <w:t>（二）《国家税务总局关于烟类应税消费品消费税征收管理有关问题的通知》（国税函〔2009〕272号）全文。</w:t>
            </w:r>
            <w:r>
              <w:rPr>
                <w:rFonts w:ascii="仿宋" w:eastAsia="仿宋" w:hAnsi="仿宋" w:cs="仿宋" w:hint="eastAsia"/>
                <w:kern w:val="1"/>
                <w:sz w:val="24"/>
              </w:rPr>
              <w:br/>
              <w:t>（三）《财政部国家税务总局关于调整烟产品消费税政策的通知》（财税〔2009〕84号）全文。</w:t>
            </w:r>
            <w:r>
              <w:rPr>
                <w:rFonts w:ascii="仿宋" w:eastAsia="仿宋" w:hAnsi="仿宋" w:cs="仿宋" w:hint="eastAsia"/>
                <w:kern w:val="1"/>
                <w:sz w:val="24"/>
              </w:rPr>
              <w:br/>
              <w:t>（四）《国家税务总局关于卷烟消费税计税价格管理有关问题的通知》（国税函〔2009〕41号）全文。</w:t>
            </w:r>
            <w:r>
              <w:rPr>
                <w:rFonts w:ascii="仿宋" w:eastAsia="仿宋" w:hAnsi="仿宋" w:cs="仿宋" w:hint="eastAsia"/>
                <w:kern w:val="1"/>
                <w:sz w:val="24"/>
              </w:rPr>
              <w:br/>
              <w:t>（五）《卷烟消费税计税价格信息采集和核定管理办法》（2011年国家税务总局令第26号）全文。</w:t>
            </w:r>
            <w:r>
              <w:rPr>
                <w:rFonts w:ascii="仿宋" w:eastAsia="仿宋" w:hAnsi="仿宋" w:cs="仿宋" w:hint="eastAsia"/>
                <w:kern w:val="1"/>
                <w:sz w:val="24"/>
              </w:rPr>
              <w:br/>
              <w:t>（六）《国家税务总局关于卷烟消费税政策调整后纳税申报有关问题的公告》（国家税务总局公告2015年第35号）全文。</w:t>
            </w:r>
            <w:r>
              <w:rPr>
                <w:rFonts w:ascii="仿宋" w:eastAsia="仿宋" w:hAnsi="仿宋" w:cs="仿宋" w:hint="eastAsia"/>
                <w:kern w:val="1"/>
                <w:sz w:val="24"/>
              </w:rPr>
              <w:br/>
              <w:t>（七）《国家税务总局关于调整消费税纳税申报有关事项的公告》（国家税务总局公告2015年第</w:t>
            </w:r>
            <w:r>
              <w:rPr>
                <w:rFonts w:ascii="仿宋" w:eastAsia="仿宋" w:hAnsi="仿宋" w:cs="仿宋" w:hint="eastAsia"/>
                <w:kern w:val="1"/>
                <w:sz w:val="24"/>
              </w:rPr>
              <w:lastRenderedPageBreak/>
              <w:t>32号）全文。</w:t>
            </w:r>
          </w:p>
          <w:p w:rsidR="00013EC7" w:rsidRDefault="00013EC7">
            <w:pPr>
              <w:rPr>
                <w:rFonts w:ascii="仿宋" w:eastAsia="仿宋" w:hAnsi="仿宋" w:cs="仿宋"/>
                <w:kern w:val="1"/>
                <w:sz w:val="24"/>
              </w:rPr>
            </w:pPr>
          </w:p>
        </w:tc>
        <w:tc>
          <w:tcPr>
            <w:tcW w:w="2760" w:type="dxa"/>
            <w:tcBorders>
              <w:top w:val="single" w:sz="4" w:space="0" w:color="auto"/>
            </w:tcBorders>
            <w:vAlign w:val="center"/>
          </w:tcPr>
          <w:p w:rsidR="00013EC7" w:rsidRDefault="00575CDB">
            <w:pPr>
              <w:spacing w:line="300" w:lineRule="exact"/>
              <w:rPr>
                <w:rFonts w:ascii="仿宋" w:eastAsia="仿宋" w:hAnsi="仿宋" w:cs="仿宋"/>
                <w:sz w:val="24"/>
              </w:rPr>
            </w:pPr>
            <w:r>
              <w:rPr>
                <w:rFonts w:ascii="仿宋" w:eastAsia="仿宋" w:hAnsi="仿宋" w:cs="仿宋" w:hint="eastAsia"/>
                <w:kern w:val="1"/>
                <w:sz w:val="24"/>
              </w:rPr>
              <w:lastRenderedPageBreak/>
              <w:t>（一）</w:t>
            </w:r>
            <w:hyperlink r:id="rId220" w:history="1">
              <w:r>
                <w:rPr>
                  <w:rFonts w:ascii="仿宋" w:eastAsia="仿宋" w:hAnsi="仿宋" w:cs="仿宋" w:hint="eastAsia"/>
                  <w:kern w:val="1"/>
                  <w:sz w:val="24"/>
                </w:rPr>
                <w:t>（A06015）《烟类应税消费品消费税纳税申报表》</w:t>
              </w:r>
            </w:hyperlink>
            <w:r>
              <w:rPr>
                <w:rFonts w:ascii="仿宋" w:eastAsia="仿宋" w:hAnsi="仿宋" w:cs="仿宋" w:hint="eastAsia"/>
                <w:kern w:val="1"/>
                <w:sz w:val="24"/>
              </w:rPr>
              <w:t>及附表各</w:t>
            </w:r>
            <w:r>
              <w:rPr>
                <w:rFonts w:ascii="仿宋" w:eastAsia="仿宋" w:hAnsi="仿宋" w:cs="仿宋" w:hint="eastAsia"/>
                <w:kern w:val="1"/>
                <w:sz w:val="24"/>
                <w:highlight w:val="lightGray"/>
              </w:rPr>
              <w:t>2份</w:t>
            </w:r>
            <w:r>
              <w:rPr>
                <w:rFonts w:ascii="仿宋" w:eastAsia="仿宋" w:hAnsi="仿宋" w:cs="仿宋" w:hint="eastAsia"/>
                <w:kern w:val="1"/>
                <w:sz w:val="24"/>
              </w:rPr>
              <w:t>。</w:t>
            </w:r>
          </w:p>
        </w:tc>
        <w:tc>
          <w:tcPr>
            <w:tcW w:w="901" w:type="dxa"/>
            <w:vMerge w:val="restart"/>
            <w:vAlign w:val="center"/>
          </w:tcPr>
          <w:p w:rsidR="00013EC7" w:rsidRDefault="00575CDB">
            <w:pPr>
              <w:spacing w:line="300" w:lineRule="exact"/>
              <w:rPr>
                <w:rFonts w:ascii="仿宋" w:eastAsia="仿宋" w:hAnsi="仿宋" w:cs="仿宋"/>
                <w:sz w:val="24"/>
              </w:rPr>
            </w:pPr>
            <w:r>
              <w:rPr>
                <w:rFonts w:ascii="仿宋" w:eastAsia="仿宋" w:hAnsi="仿宋" w:cs="仿宋" w:hint="eastAsia"/>
                <w:kern w:val="1"/>
                <w:sz w:val="24"/>
              </w:rPr>
              <w:t>卷烟生产企业提交</w:t>
            </w:r>
          </w:p>
        </w:tc>
        <w:tc>
          <w:tcPr>
            <w:tcW w:w="2837"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kern w:val="1"/>
                <w:sz w:val="24"/>
              </w:rPr>
              <w:t>（一）</w:t>
            </w:r>
            <w:hyperlink r:id="rId221" w:history="1">
              <w:r>
                <w:rPr>
                  <w:rFonts w:ascii="仿宋" w:eastAsia="仿宋" w:hAnsi="仿宋" w:cs="仿宋" w:hint="eastAsia"/>
                  <w:kern w:val="1"/>
                  <w:sz w:val="24"/>
                </w:rPr>
                <w:t>（A06015）《烟类应税消费品消费税纳税申报表》</w:t>
              </w:r>
            </w:hyperlink>
            <w:r>
              <w:rPr>
                <w:rFonts w:ascii="仿宋" w:eastAsia="仿宋" w:hAnsi="仿宋" w:cs="仿宋" w:hint="eastAsia"/>
                <w:kern w:val="1"/>
                <w:sz w:val="24"/>
              </w:rPr>
              <w:t>及附表各1份。</w:t>
            </w:r>
          </w:p>
        </w:tc>
        <w:tc>
          <w:tcPr>
            <w:tcW w:w="1559" w:type="dxa"/>
            <w:vMerge w:val="restart"/>
            <w:vAlign w:val="center"/>
          </w:tcPr>
          <w:p w:rsidR="00013EC7" w:rsidRDefault="00575CDB">
            <w:pPr>
              <w:spacing w:line="300" w:lineRule="exact"/>
              <w:rPr>
                <w:rFonts w:ascii="仿宋" w:eastAsia="仿宋" w:hAnsi="仿宋" w:cs="仿宋"/>
                <w:b/>
                <w:bCs/>
                <w:i/>
                <w:iCs/>
                <w:sz w:val="24"/>
              </w:rPr>
            </w:pPr>
            <w:r>
              <w:rPr>
                <w:rFonts w:ascii="仿宋" w:eastAsia="仿宋" w:hAnsi="仿宋" w:cs="仿宋" w:hint="eastAsia"/>
                <w:kern w:val="1"/>
                <w:sz w:val="24"/>
              </w:rPr>
              <w:t>卷烟生产企业提交</w:t>
            </w:r>
          </w:p>
        </w:tc>
        <w:tc>
          <w:tcPr>
            <w:tcW w:w="2848" w:type="dxa"/>
            <w:vMerge w:val="restart"/>
            <w:vAlign w:val="center"/>
          </w:tcPr>
          <w:p w:rsidR="00013EC7" w:rsidRDefault="00575CDB">
            <w:pPr>
              <w:spacing w:line="300" w:lineRule="exac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纳税人提交书面材料。</w:t>
            </w:r>
          </w:p>
          <w:p w:rsidR="00013EC7" w:rsidRDefault="00575CDB">
            <w:pPr>
              <w:spacing w:line="300" w:lineRule="exact"/>
              <w:rPr>
                <w:rFonts w:ascii="仿宋" w:eastAsia="仿宋" w:hAnsi="仿宋" w:cs="仿宋"/>
                <w:sz w:val="24"/>
              </w:rPr>
            </w:pPr>
            <w:r>
              <w:rPr>
                <w:rFonts w:ascii="仿宋" w:eastAsia="仿宋" w:hAnsi="仿宋" w:cs="仿宋" w:hint="eastAsia"/>
                <w:b/>
                <w:sz w:val="24"/>
              </w:rPr>
              <w:t>网上办理：</w:t>
            </w:r>
            <w:r>
              <w:rPr>
                <w:rFonts w:ascii="仿宋" w:eastAsia="仿宋" w:hAnsi="仿宋" w:cs="仿宋" w:hint="eastAsia"/>
                <w:sz w:val="24"/>
              </w:rPr>
              <w:t>登录浙江国税电子税务局（网址：</w:t>
            </w:r>
            <w:hyperlink r:id="rId222" w:tgtFrame="https://wx.qq.com/_blank" w:history="1">
              <w:r>
                <w:rPr>
                  <w:rFonts w:ascii="仿宋" w:eastAsia="仿宋" w:hAnsi="仿宋" w:cs="仿宋" w:hint="eastAsia"/>
                  <w:sz w:val="24"/>
                </w:rPr>
                <w:t>http://etax.zjtax.gov.cn/</w:t>
              </w:r>
            </w:hyperlink>
          </w:p>
          <w:p w:rsidR="00013EC7" w:rsidRDefault="00575CDB">
            <w:pPr>
              <w:spacing w:line="300" w:lineRule="exact"/>
              <w:rPr>
                <w:rFonts w:ascii="仿宋" w:eastAsia="仿宋" w:hAnsi="仿宋" w:cs="仿宋"/>
                <w:b/>
                <w:sz w:val="24"/>
              </w:rPr>
            </w:pPr>
            <w:r>
              <w:rPr>
                <w:rFonts w:ascii="仿宋" w:eastAsia="仿宋" w:hAnsi="仿宋" w:cs="仿宋" w:hint="eastAsia"/>
                <w:sz w:val="24"/>
              </w:rPr>
              <w:t>）提交申请。</w:t>
            </w:r>
          </w:p>
        </w:tc>
        <w:tc>
          <w:tcPr>
            <w:tcW w:w="868" w:type="dxa"/>
            <w:vMerge w:val="restart"/>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即时办结</w:t>
            </w:r>
          </w:p>
        </w:tc>
        <w:tc>
          <w:tcPr>
            <w:tcW w:w="798" w:type="dxa"/>
            <w:vMerge w:val="restart"/>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即时办结</w:t>
            </w:r>
          </w:p>
        </w:tc>
        <w:tc>
          <w:tcPr>
            <w:tcW w:w="958" w:type="dxa"/>
            <w:vMerge w:val="restart"/>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是</w:t>
            </w:r>
          </w:p>
        </w:tc>
        <w:tc>
          <w:tcPr>
            <w:tcW w:w="1104" w:type="dxa"/>
            <w:vMerge w:val="restart"/>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货物和劳务税处</w:t>
            </w:r>
          </w:p>
        </w:tc>
        <w:tc>
          <w:tcPr>
            <w:tcW w:w="1476" w:type="dxa"/>
            <w:vMerge w:val="restart"/>
            <w:vAlign w:val="center"/>
          </w:tcPr>
          <w:p w:rsidR="00013EC7" w:rsidRDefault="00013EC7">
            <w:pPr>
              <w:spacing w:line="300" w:lineRule="exact"/>
              <w:rPr>
                <w:rFonts w:ascii="仿宋" w:eastAsia="仿宋" w:hAnsi="仿宋" w:cs="仿宋"/>
                <w:sz w:val="24"/>
              </w:rPr>
            </w:pPr>
          </w:p>
        </w:tc>
      </w:tr>
      <w:tr w:rsidR="00013EC7">
        <w:trPr>
          <w:trHeight w:val="786"/>
          <w:jc w:val="center"/>
        </w:trPr>
        <w:tc>
          <w:tcPr>
            <w:tcW w:w="672" w:type="dxa"/>
            <w:vMerge/>
            <w:vAlign w:val="center"/>
          </w:tcPr>
          <w:p w:rsidR="00013EC7" w:rsidRDefault="00013EC7">
            <w:pPr>
              <w:spacing w:line="300" w:lineRule="exact"/>
              <w:rPr>
                <w:rFonts w:ascii="仿宋" w:eastAsia="仿宋" w:hAnsi="仿宋" w:cs="仿宋"/>
                <w:sz w:val="24"/>
              </w:rPr>
            </w:pPr>
          </w:p>
        </w:tc>
        <w:tc>
          <w:tcPr>
            <w:tcW w:w="1035" w:type="dxa"/>
            <w:vMerge/>
            <w:vAlign w:val="center"/>
          </w:tcPr>
          <w:p w:rsidR="00013EC7" w:rsidRDefault="00013EC7">
            <w:pPr>
              <w:spacing w:line="310" w:lineRule="exact"/>
              <w:rPr>
                <w:rFonts w:ascii="仿宋" w:eastAsia="仿宋" w:hAnsi="仿宋" w:cs="仿宋"/>
                <w:sz w:val="24"/>
              </w:rPr>
            </w:pPr>
          </w:p>
        </w:tc>
        <w:tc>
          <w:tcPr>
            <w:tcW w:w="2622" w:type="dxa"/>
            <w:vMerge/>
            <w:vAlign w:val="center"/>
          </w:tcPr>
          <w:p w:rsidR="00013EC7" w:rsidRDefault="00013EC7">
            <w:pPr>
              <w:spacing w:line="360" w:lineRule="auto"/>
              <w:rPr>
                <w:rFonts w:ascii="仿宋" w:eastAsia="仿宋" w:hAnsi="仿宋" w:cs="仿宋"/>
                <w:kern w:val="1"/>
                <w:sz w:val="24"/>
              </w:rPr>
            </w:pPr>
          </w:p>
        </w:tc>
        <w:tc>
          <w:tcPr>
            <w:tcW w:w="2760" w:type="dxa"/>
            <w:vAlign w:val="center"/>
          </w:tcPr>
          <w:p w:rsidR="00013EC7" w:rsidRDefault="00575CDB">
            <w:pPr>
              <w:rPr>
                <w:rFonts w:ascii="仿宋" w:eastAsia="仿宋" w:hAnsi="仿宋" w:cs="仿宋"/>
                <w:kern w:val="1"/>
                <w:sz w:val="24"/>
                <w:highlight w:val="lightGray"/>
              </w:rPr>
            </w:pPr>
            <w:r>
              <w:rPr>
                <w:rFonts w:ascii="仿宋" w:eastAsia="仿宋" w:hAnsi="仿宋" w:cs="仿宋" w:hint="eastAsia"/>
                <w:kern w:val="1"/>
                <w:sz w:val="24"/>
                <w:highlight w:val="lightGray"/>
              </w:rPr>
              <w:t>（二）各牌号规格卷烟消费税计税价格。</w:t>
            </w:r>
          </w:p>
        </w:tc>
        <w:tc>
          <w:tcPr>
            <w:tcW w:w="901" w:type="dxa"/>
            <w:vMerge/>
            <w:vAlign w:val="center"/>
          </w:tcPr>
          <w:p w:rsidR="00013EC7" w:rsidRDefault="00013EC7">
            <w:pPr>
              <w:spacing w:line="300" w:lineRule="exact"/>
              <w:rPr>
                <w:rFonts w:ascii="仿宋" w:eastAsia="仿宋" w:hAnsi="仿宋" w:cs="仿宋"/>
                <w:sz w:val="24"/>
              </w:rPr>
            </w:pPr>
          </w:p>
        </w:tc>
        <w:tc>
          <w:tcPr>
            <w:tcW w:w="2837"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（二）（A06217）《各牌号规格卷烟消费税计税价格》1份。</w:t>
            </w:r>
          </w:p>
        </w:tc>
        <w:tc>
          <w:tcPr>
            <w:tcW w:w="1559" w:type="dxa"/>
            <w:vMerge/>
            <w:vAlign w:val="center"/>
          </w:tcPr>
          <w:p w:rsidR="00013EC7" w:rsidRDefault="00013EC7">
            <w:pPr>
              <w:spacing w:line="300" w:lineRule="exact"/>
              <w:rPr>
                <w:rFonts w:ascii="仿宋" w:eastAsia="仿宋" w:hAnsi="仿宋" w:cs="仿宋"/>
                <w:b/>
                <w:bCs/>
                <w:sz w:val="24"/>
              </w:rPr>
            </w:pPr>
          </w:p>
        </w:tc>
        <w:tc>
          <w:tcPr>
            <w:tcW w:w="2848" w:type="dxa"/>
            <w:vMerge/>
            <w:vAlign w:val="center"/>
          </w:tcPr>
          <w:p w:rsidR="00013EC7" w:rsidRDefault="00013EC7">
            <w:pPr>
              <w:spacing w:line="300" w:lineRule="exact"/>
              <w:rPr>
                <w:rFonts w:ascii="仿宋" w:eastAsia="仿宋" w:hAnsi="仿宋" w:cs="仿宋"/>
                <w:b/>
                <w:sz w:val="24"/>
              </w:rPr>
            </w:pPr>
          </w:p>
        </w:tc>
        <w:tc>
          <w:tcPr>
            <w:tcW w:w="868" w:type="dxa"/>
            <w:vMerge/>
            <w:vAlign w:val="center"/>
          </w:tcPr>
          <w:p w:rsidR="00013EC7" w:rsidRDefault="00013EC7">
            <w:pPr>
              <w:spacing w:line="300" w:lineRule="exact"/>
              <w:rPr>
                <w:rFonts w:ascii="仿宋" w:eastAsia="仿宋" w:hAnsi="仿宋" w:cs="仿宋"/>
                <w:sz w:val="24"/>
              </w:rPr>
            </w:pPr>
          </w:p>
        </w:tc>
        <w:tc>
          <w:tcPr>
            <w:tcW w:w="798" w:type="dxa"/>
            <w:vMerge/>
            <w:vAlign w:val="center"/>
          </w:tcPr>
          <w:p w:rsidR="00013EC7" w:rsidRDefault="00013EC7">
            <w:pPr>
              <w:spacing w:line="300" w:lineRule="exact"/>
              <w:rPr>
                <w:rFonts w:ascii="仿宋" w:eastAsia="仿宋" w:hAnsi="仿宋" w:cs="仿宋"/>
                <w:sz w:val="24"/>
              </w:rPr>
            </w:pPr>
          </w:p>
        </w:tc>
        <w:tc>
          <w:tcPr>
            <w:tcW w:w="958" w:type="dxa"/>
            <w:vMerge/>
            <w:vAlign w:val="center"/>
          </w:tcPr>
          <w:p w:rsidR="00013EC7" w:rsidRDefault="00013EC7">
            <w:pPr>
              <w:spacing w:line="300" w:lineRule="exact"/>
              <w:rPr>
                <w:rFonts w:ascii="仿宋" w:eastAsia="仿宋" w:hAnsi="仿宋" w:cs="仿宋"/>
                <w:sz w:val="24"/>
              </w:rPr>
            </w:pPr>
          </w:p>
        </w:tc>
        <w:tc>
          <w:tcPr>
            <w:tcW w:w="1104" w:type="dxa"/>
            <w:vMerge/>
            <w:vAlign w:val="center"/>
          </w:tcPr>
          <w:p w:rsidR="00013EC7" w:rsidRDefault="00013EC7">
            <w:pPr>
              <w:spacing w:line="300" w:lineRule="exact"/>
              <w:rPr>
                <w:rFonts w:ascii="仿宋" w:eastAsia="仿宋" w:hAnsi="仿宋" w:cs="仿宋"/>
                <w:sz w:val="24"/>
              </w:rPr>
            </w:pPr>
          </w:p>
        </w:tc>
        <w:tc>
          <w:tcPr>
            <w:tcW w:w="1476" w:type="dxa"/>
            <w:vMerge/>
            <w:vAlign w:val="center"/>
          </w:tcPr>
          <w:p w:rsidR="00013EC7" w:rsidRDefault="00013EC7">
            <w:pPr>
              <w:spacing w:line="300" w:lineRule="exact"/>
              <w:rPr>
                <w:rFonts w:ascii="仿宋" w:eastAsia="仿宋" w:hAnsi="仿宋" w:cs="仿宋"/>
                <w:sz w:val="24"/>
              </w:rPr>
            </w:pPr>
          </w:p>
        </w:tc>
      </w:tr>
      <w:tr w:rsidR="00013EC7">
        <w:trPr>
          <w:trHeight w:val="786"/>
          <w:jc w:val="center"/>
        </w:trPr>
        <w:tc>
          <w:tcPr>
            <w:tcW w:w="672" w:type="dxa"/>
            <w:vMerge/>
            <w:vAlign w:val="center"/>
          </w:tcPr>
          <w:p w:rsidR="00013EC7" w:rsidRDefault="00013EC7">
            <w:pPr>
              <w:spacing w:line="300" w:lineRule="exact"/>
              <w:rPr>
                <w:rFonts w:ascii="仿宋" w:eastAsia="仿宋" w:hAnsi="仿宋" w:cs="仿宋"/>
                <w:sz w:val="24"/>
              </w:rPr>
            </w:pPr>
          </w:p>
        </w:tc>
        <w:tc>
          <w:tcPr>
            <w:tcW w:w="1035" w:type="dxa"/>
            <w:vMerge/>
            <w:vAlign w:val="center"/>
          </w:tcPr>
          <w:p w:rsidR="00013EC7" w:rsidRDefault="00013EC7">
            <w:pPr>
              <w:spacing w:line="310" w:lineRule="exact"/>
              <w:rPr>
                <w:rFonts w:ascii="仿宋" w:eastAsia="仿宋" w:hAnsi="仿宋" w:cs="仿宋"/>
                <w:sz w:val="24"/>
              </w:rPr>
            </w:pPr>
          </w:p>
        </w:tc>
        <w:tc>
          <w:tcPr>
            <w:tcW w:w="2622" w:type="dxa"/>
            <w:vMerge/>
            <w:vAlign w:val="center"/>
          </w:tcPr>
          <w:p w:rsidR="00013EC7" w:rsidRDefault="00013EC7">
            <w:pPr>
              <w:spacing w:line="360" w:lineRule="auto"/>
              <w:rPr>
                <w:rFonts w:ascii="仿宋" w:eastAsia="仿宋" w:hAnsi="仿宋" w:cs="仿宋"/>
                <w:kern w:val="1"/>
                <w:sz w:val="24"/>
              </w:rPr>
            </w:pPr>
          </w:p>
        </w:tc>
        <w:tc>
          <w:tcPr>
            <w:tcW w:w="2760" w:type="dxa"/>
            <w:tcBorders>
              <w:bottom w:val="single" w:sz="4" w:space="0" w:color="auto"/>
            </w:tcBorders>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（三）次年1月申报纳税时一并报送</w:t>
            </w:r>
            <w:hyperlink r:id="rId223" w:history="1">
              <w:r>
                <w:rPr>
                  <w:rFonts w:ascii="仿宋" w:eastAsia="仿宋" w:hAnsi="仿宋" w:cs="仿宋" w:hint="eastAsia"/>
                  <w:kern w:val="1"/>
                  <w:sz w:val="24"/>
                </w:rPr>
                <w:t>（A06018）《卷烟生产企业年度销售明细表》</w:t>
              </w:r>
            </w:hyperlink>
            <w:r>
              <w:rPr>
                <w:rFonts w:ascii="仿宋" w:eastAsia="仿宋" w:hAnsi="仿宋" w:cs="仿宋" w:hint="eastAsia"/>
                <w:kern w:val="1"/>
                <w:sz w:val="24"/>
              </w:rPr>
              <w:t>。</w:t>
            </w:r>
          </w:p>
        </w:tc>
        <w:tc>
          <w:tcPr>
            <w:tcW w:w="901" w:type="dxa"/>
            <w:vMerge/>
            <w:vAlign w:val="center"/>
          </w:tcPr>
          <w:p w:rsidR="00013EC7" w:rsidRDefault="00013EC7">
            <w:pPr>
              <w:spacing w:line="300" w:lineRule="exact"/>
              <w:rPr>
                <w:rFonts w:ascii="仿宋" w:eastAsia="仿宋" w:hAnsi="仿宋" w:cs="仿宋"/>
                <w:sz w:val="24"/>
              </w:rPr>
            </w:pPr>
          </w:p>
        </w:tc>
        <w:tc>
          <w:tcPr>
            <w:tcW w:w="2837"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（三）次年1月申报纳税时一并报送</w:t>
            </w:r>
            <w:hyperlink r:id="rId224" w:history="1">
              <w:r>
                <w:rPr>
                  <w:rFonts w:ascii="仿宋" w:eastAsia="仿宋" w:hAnsi="仿宋" w:cs="仿宋" w:hint="eastAsia"/>
                  <w:kern w:val="1"/>
                  <w:sz w:val="24"/>
                </w:rPr>
                <w:t>（A06018）《卷烟生产企业年度销售明细表》</w:t>
              </w:r>
            </w:hyperlink>
            <w:r>
              <w:rPr>
                <w:rFonts w:ascii="仿宋" w:eastAsia="仿宋" w:hAnsi="仿宋" w:cs="仿宋" w:hint="eastAsia"/>
                <w:kern w:val="1"/>
                <w:sz w:val="24"/>
              </w:rPr>
              <w:t>1份。</w:t>
            </w:r>
          </w:p>
        </w:tc>
        <w:tc>
          <w:tcPr>
            <w:tcW w:w="1559" w:type="dxa"/>
            <w:vMerge/>
            <w:vAlign w:val="center"/>
          </w:tcPr>
          <w:p w:rsidR="00013EC7" w:rsidRDefault="00013EC7">
            <w:pPr>
              <w:spacing w:line="300" w:lineRule="exact"/>
              <w:rPr>
                <w:rFonts w:ascii="仿宋" w:eastAsia="仿宋" w:hAnsi="仿宋" w:cs="仿宋"/>
                <w:b/>
                <w:bCs/>
                <w:sz w:val="24"/>
              </w:rPr>
            </w:pPr>
          </w:p>
        </w:tc>
        <w:tc>
          <w:tcPr>
            <w:tcW w:w="2848" w:type="dxa"/>
            <w:vMerge/>
            <w:vAlign w:val="center"/>
          </w:tcPr>
          <w:p w:rsidR="00013EC7" w:rsidRDefault="00013EC7">
            <w:pPr>
              <w:spacing w:line="300" w:lineRule="exact"/>
              <w:rPr>
                <w:rFonts w:ascii="仿宋" w:eastAsia="仿宋" w:hAnsi="仿宋" w:cs="仿宋"/>
                <w:b/>
                <w:sz w:val="24"/>
              </w:rPr>
            </w:pPr>
          </w:p>
        </w:tc>
        <w:tc>
          <w:tcPr>
            <w:tcW w:w="868" w:type="dxa"/>
            <w:vMerge/>
            <w:vAlign w:val="center"/>
          </w:tcPr>
          <w:p w:rsidR="00013EC7" w:rsidRDefault="00013EC7">
            <w:pPr>
              <w:spacing w:line="300" w:lineRule="exact"/>
              <w:rPr>
                <w:rFonts w:ascii="仿宋" w:eastAsia="仿宋" w:hAnsi="仿宋" w:cs="仿宋"/>
                <w:sz w:val="24"/>
              </w:rPr>
            </w:pPr>
          </w:p>
        </w:tc>
        <w:tc>
          <w:tcPr>
            <w:tcW w:w="798" w:type="dxa"/>
            <w:vMerge/>
            <w:vAlign w:val="center"/>
          </w:tcPr>
          <w:p w:rsidR="00013EC7" w:rsidRDefault="00013EC7">
            <w:pPr>
              <w:spacing w:line="300" w:lineRule="exact"/>
              <w:rPr>
                <w:rFonts w:ascii="仿宋" w:eastAsia="仿宋" w:hAnsi="仿宋" w:cs="仿宋"/>
                <w:sz w:val="24"/>
              </w:rPr>
            </w:pPr>
          </w:p>
        </w:tc>
        <w:tc>
          <w:tcPr>
            <w:tcW w:w="958" w:type="dxa"/>
            <w:vMerge/>
            <w:vAlign w:val="center"/>
          </w:tcPr>
          <w:p w:rsidR="00013EC7" w:rsidRDefault="00013EC7">
            <w:pPr>
              <w:spacing w:line="300" w:lineRule="exact"/>
              <w:rPr>
                <w:rFonts w:ascii="仿宋" w:eastAsia="仿宋" w:hAnsi="仿宋" w:cs="仿宋"/>
                <w:sz w:val="24"/>
              </w:rPr>
            </w:pPr>
          </w:p>
        </w:tc>
        <w:tc>
          <w:tcPr>
            <w:tcW w:w="1104" w:type="dxa"/>
            <w:vMerge/>
            <w:vAlign w:val="center"/>
          </w:tcPr>
          <w:p w:rsidR="00013EC7" w:rsidRDefault="00013EC7">
            <w:pPr>
              <w:spacing w:line="300" w:lineRule="exact"/>
              <w:rPr>
                <w:rFonts w:ascii="仿宋" w:eastAsia="仿宋" w:hAnsi="仿宋" w:cs="仿宋"/>
                <w:sz w:val="24"/>
              </w:rPr>
            </w:pPr>
          </w:p>
        </w:tc>
        <w:tc>
          <w:tcPr>
            <w:tcW w:w="1476" w:type="dxa"/>
            <w:vMerge/>
            <w:vAlign w:val="center"/>
          </w:tcPr>
          <w:p w:rsidR="00013EC7" w:rsidRDefault="00013EC7">
            <w:pPr>
              <w:spacing w:line="300" w:lineRule="exact"/>
              <w:rPr>
                <w:rFonts w:ascii="仿宋" w:eastAsia="仿宋" w:hAnsi="仿宋" w:cs="仿宋"/>
                <w:sz w:val="24"/>
              </w:rPr>
            </w:pPr>
          </w:p>
        </w:tc>
      </w:tr>
      <w:tr w:rsidR="00013EC7">
        <w:trPr>
          <w:trHeight w:val="894"/>
          <w:jc w:val="center"/>
        </w:trPr>
        <w:tc>
          <w:tcPr>
            <w:tcW w:w="672" w:type="dxa"/>
            <w:vMerge/>
            <w:textDirection w:val="tbRlV"/>
            <w:vAlign w:val="center"/>
          </w:tcPr>
          <w:p w:rsidR="00013EC7" w:rsidRDefault="00013EC7">
            <w:pPr>
              <w:rPr>
                <w:rFonts w:ascii="仿宋" w:eastAsia="仿宋" w:hAnsi="仿宋" w:cs="仿宋"/>
                <w:sz w:val="24"/>
              </w:rPr>
            </w:pPr>
          </w:p>
        </w:tc>
        <w:tc>
          <w:tcPr>
            <w:tcW w:w="1035" w:type="dxa"/>
            <w:vMerge/>
            <w:vAlign w:val="center"/>
          </w:tcPr>
          <w:p w:rsidR="00013EC7" w:rsidRDefault="00013EC7">
            <w:pPr>
              <w:rPr>
                <w:rFonts w:ascii="仿宋" w:eastAsia="仿宋" w:hAnsi="仿宋" w:cs="仿宋"/>
                <w:sz w:val="24"/>
              </w:rPr>
            </w:pPr>
          </w:p>
        </w:tc>
        <w:tc>
          <w:tcPr>
            <w:tcW w:w="2622" w:type="dxa"/>
            <w:vMerge/>
            <w:vAlign w:val="center"/>
          </w:tcPr>
          <w:p w:rsidR="00013EC7" w:rsidRDefault="00013EC7">
            <w:pPr>
              <w:rPr>
                <w:rFonts w:ascii="仿宋" w:eastAsia="仿宋" w:hAnsi="仿宋" w:cs="仿宋"/>
                <w:sz w:val="24"/>
              </w:rPr>
            </w:pPr>
          </w:p>
        </w:tc>
        <w:tc>
          <w:tcPr>
            <w:tcW w:w="2760"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（四）（A06218）《卷烟批发环节消费税纳税申报表》</w:t>
            </w:r>
            <w:r>
              <w:rPr>
                <w:rFonts w:ascii="仿宋" w:eastAsia="仿宋" w:hAnsi="仿宋" w:cs="仿宋" w:hint="eastAsia"/>
                <w:kern w:val="1"/>
                <w:sz w:val="24"/>
                <w:highlight w:val="lightGray"/>
              </w:rPr>
              <w:t>2份</w:t>
            </w:r>
            <w:r>
              <w:rPr>
                <w:rFonts w:ascii="仿宋" w:eastAsia="仿宋" w:hAnsi="仿宋" w:cs="仿宋" w:hint="eastAsia"/>
                <w:kern w:val="1"/>
                <w:sz w:val="24"/>
              </w:rPr>
              <w:t>。</w:t>
            </w:r>
          </w:p>
        </w:tc>
        <w:tc>
          <w:tcPr>
            <w:tcW w:w="901" w:type="dxa"/>
            <w:vMerge w:val="restart"/>
            <w:vAlign w:val="center"/>
          </w:tcPr>
          <w:p w:rsidR="00013EC7" w:rsidRDefault="00575CDB">
            <w:pPr>
              <w:rPr>
                <w:rFonts w:ascii="仿宋" w:eastAsia="仿宋" w:hAnsi="仿宋" w:cs="仿宋"/>
                <w:sz w:val="24"/>
              </w:rPr>
            </w:pPr>
            <w:r>
              <w:rPr>
                <w:rFonts w:ascii="仿宋" w:eastAsia="仿宋" w:hAnsi="仿宋" w:cs="仿宋" w:hint="eastAsia"/>
                <w:kern w:val="1"/>
                <w:sz w:val="24"/>
              </w:rPr>
              <w:t>批发卷烟的消费税纳税人提交</w:t>
            </w:r>
          </w:p>
        </w:tc>
        <w:tc>
          <w:tcPr>
            <w:tcW w:w="2837"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（四）（A06218）《卷烟批发环节消费税纳税申报表》1份。</w:t>
            </w:r>
          </w:p>
        </w:tc>
        <w:tc>
          <w:tcPr>
            <w:tcW w:w="1559" w:type="dxa"/>
            <w:vMerge w:val="restart"/>
            <w:vAlign w:val="center"/>
          </w:tcPr>
          <w:p w:rsidR="00013EC7" w:rsidRDefault="00575CDB">
            <w:pPr>
              <w:rPr>
                <w:rFonts w:ascii="仿宋" w:eastAsia="仿宋" w:hAnsi="仿宋" w:cs="仿宋"/>
                <w:sz w:val="24"/>
              </w:rPr>
            </w:pPr>
            <w:r>
              <w:rPr>
                <w:rFonts w:ascii="仿宋" w:eastAsia="仿宋" w:hAnsi="仿宋" w:cs="仿宋" w:hint="eastAsia"/>
                <w:kern w:val="1"/>
                <w:sz w:val="24"/>
              </w:rPr>
              <w:t>批发卷烟的消费税纳税人提交</w:t>
            </w:r>
          </w:p>
        </w:tc>
        <w:tc>
          <w:tcPr>
            <w:tcW w:w="2848" w:type="dxa"/>
            <w:vMerge/>
            <w:vAlign w:val="center"/>
          </w:tcPr>
          <w:p w:rsidR="00013EC7" w:rsidRDefault="00013EC7">
            <w:pPr>
              <w:spacing w:line="300" w:lineRule="exact"/>
              <w:rPr>
                <w:rFonts w:ascii="仿宋" w:eastAsia="仿宋" w:hAnsi="仿宋" w:cs="仿宋"/>
                <w:sz w:val="24"/>
              </w:rPr>
            </w:pPr>
          </w:p>
        </w:tc>
        <w:tc>
          <w:tcPr>
            <w:tcW w:w="868" w:type="dxa"/>
            <w:vMerge/>
            <w:vAlign w:val="center"/>
          </w:tcPr>
          <w:p w:rsidR="00013EC7" w:rsidRDefault="00013EC7">
            <w:pPr>
              <w:rPr>
                <w:rFonts w:ascii="仿宋" w:eastAsia="仿宋" w:hAnsi="仿宋" w:cs="仿宋"/>
                <w:sz w:val="24"/>
              </w:rPr>
            </w:pPr>
          </w:p>
        </w:tc>
        <w:tc>
          <w:tcPr>
            <w:tcW w:w="798" w:type="dxa"/>
            <w:vMerge/>
            <w:vAlign w:val="center"/>
          </w:tcPr>
          <w:p w:rsidR="00013EC7" w:rsidRDefault="00013EC7">
            <w:pPr>
              <w:rPr>
                <w:rFonts w:ascii="仿宋" w:eastAsia="仿宋" w:hAnsi="仿宋" w:cs="仿宋"/>
                <w:sz w:val="24"/>
              </w:rPr>
            </w:pP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893"/>
          <w:jc w:val="center"/>
        </w:trPr>
        <w:tc>
          <w:tcPr>
            <w:tcW w:w="672" w:type="dxa"/>
            <w:vMerge/>
            <w:textDirection w:val="tbRlV"/>
            <w:vAlign w:val="center"/>
          </w:tcPr>
          <w:p w:rsidR="00013EC7" w:rsidRDefault="00013EC7">
            <w:pPr>
              <w:rPr>
                <w:rFonts w:ascii="仿宋" w:eastAsia="仿宋" w:hAnsi="仿宋" w:cs="仿宋"/>
                <w:sz w:val="24"/>
              </w:rPr>
            </w:pPr>
          </w:p>
        </w:tc>
        <w:tc>
          <w:tcPr>
            <w:tcW w:w="1035" w:type="dxa"/>
            <w:vMerge/>
            <w:vAlign w:val="center"/>
          </w:tcPr>
          <w:p w:rsidR="00013EC7" w:rsidRDefault="00013EC7">
            <w:pPr>
              <w:rPr>
                <w:rFonts w:ascii="仿宋" w:eastAsia="仿宋" w:hAnsi="仿宋" w:cs="仿宋"/>
                <w:sz w:val="24"/>
              </w:rPr>
            </w:pPr>
          </w:p>
        </w:tc>
        <w:tc>
          <w:tcPr>
            <w:tcW w:w="2622" w:type="dxa"/>
            <w:vMerge/>
            <w:vAlign w:val="center"/>
          </w:tcPr>
          <w:p w:rsidR="00013EC7" w:rsidRDefault="00013EC7">
            <w:pPr>
              <w:rPr>
                <w:rFonts w:ascii="仿宋" w:eastAsia="仿宋" w:hAnsi="仿宋" w:cs="仿宋"/>
                <w:sz w:val="24"/>
              </w:rPr>
            </w:pPr>
          </w:p>
        </w:tc>
        <w:tc>
          <w:tcPr>
            <w:tcW w:w="2760"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（五）</w:t>
            </w:r>
            <w:hyperlink r:id="rId225" w:history="1">
              <w:r>
                <w:rPr>
                  <w:rFonts w:ascii="仿宋" w:eastAsia="仿宋" w:hAnsi="仿宋" w:cs="仿宋" w:hint="eastAsia"/>
                  <w:kern w:val="1"/>
                  <w:sz w:val="24"/>
                </w:rPr>
                <w:t>（A06344）《卷烟批发企业月份销售明细清单》</w:t>
              </w:r>
            </w:hyperlink>
            <w:r>
              <w:rPr>
                <w:rFonts w:ascii="仿宋" w:eastAsia="仿宋" w:hAnsi="仿宋" w:cs="仿宋" w:hint="eastAsia"/>
                <w:kern w:val="1"/>
                <w:sz w:val="24"/>
              </w:rPr>
              <w:t>。</w:t>
            </w:r>
          </w:p>
        </w:tc>
        <w:tc>
          <w:tcPr>
            <w:tcW w:w="901" w:type="dxa"/>
            <w:vMerge/>
            <w:vAlign w:val="center"/>
          </w:tcPr>
          <w:p w:rsidR="00013EC7" w:rsidRDefault="00013EC7">
            <w:pPr>
              <w:rPr>
                <w:rFonts w:ascii="仿宋" w:eastAsia="仿宋" w:hAnsi="仿宋" w:cs="仿宋"/>
                <w:sz w:val="24"/>
              </w:rPr>
            </w:pPr>
          </w:p>
        </w:tc>
        <w:tc>
          <w:tcPr>
            <w:tcW w:w="2837"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（五）</w:t>
            </w:r>
            <w:hyperlink r:id="rId226" w:history="1">
              <w:r>
                <w:rPr>
                  <w:rFonts w:ascii="仿宋" w:eastAsia="仿宋" w:hAnsi="仿宋" w:cs="仿宋" w:hint="eastAsia"/>
                  <w:kern w:val="1"/>
                  <w:sz w:val="24"/>
                </w:rPr>
                <w:t>（A06344）《卷烟批发企业月份销售明细清单》</w:t>
              </w:r>
            </w:hyperlink>
            <w:r>
              <w:rPr>
                <w:rFonts w:ascii="仿宋" w:eastAsia="仿宋" w:hAnsi="仿宋" w:cs="仿宋" w:hint="eastAsia"/>
                <w:kern w:val="1"/>
                <w:sz w:val="24"/>
              </w:rPr>
              <w:t>1份。</w:t>
            </w:r>
          </w:p>
        </w:tc>
        <w:tc>
          <w:tcPr>
            <w:tcW w:w="1559" w:type="dxa"/>
            <w:vMerge/>
            <w:vAlign w:val="center"/>
          </w:tcPr>
          <w:p w:rsidR="00013EC7" w:rsidRDefault="00013EC7">
            <w:pPr>
              <w:rPr>
                <w:rFonts w:ascii="仿宋" w:eastAsia="仿宋" w:hAnsi="仿宋" w:cs="仿宋"/>
                <w:sz w:val="24"/>
              </w:rPr>
            </w:pPr>
          </w:p>
        </w:tc>
        <w:tc>
          <w:tcPr>
            <w:tcW w:w="2848" w:type="dxa"/>
            <w:vMerge/>
            <w:vAlign w:val="center"/>
          </w:tcPr>
          <w:p w:rsidR="00013EC7" w:rsidRDefault="00013EC7">
            <w:pPr>
              <w:spacing w:line="300" w:lineRule="exact"/>
              <w:rPr>
                <w:rFonts w:ascii="仿宋" w:eastAsia="仿宋" w:hAnsi="仿宋" w:cs="仿宋"/>
                <w:sz w:val="24"/>
              </w:rPr>
            </w:pPr>
          </w:p>
        </w:tc>
        <w:tc>
          <w:tcPr>
            <w:tcW w:w="868" w:type="dxa"/>
            <w:vMerge/>
            <w:vAlign w:val="center"/>
          </w:tcPr>
          <w:p w:rsidR="00013EC7" w:rsidRDefault="00013EC7">
            <w:pPr>
              <w:rPr>
                <w:rFonts w:ascii="仿宋" w:eastAsia="仿宋" w:hAnsi="仿宋" w:cs="仿宋"/>
                <w:sz w:val="24"/>
              </w:rPr>
            </w:pPr>
          </w:p>
        </w:tc>
        <w:tc>
          <w:tcPr>
            <w:tcW w:w="798" w:type="dxa"/>
            <w:vMerge/>
            <w:vAlign w:val="center"/>
          </w:tcPr>
          <w:p w:rsidR="00013EC7" w:rsidRDefault="00013EC7">
            <w:pPr>
              <w:rPr>
                <w:rFonts w:ascii="仿宋" w:eastAsia="仿宋" w:hAnsi="仿宋" w:cs="仿宋"/>
                <w:sz w:val="24"/>
              </w:rPr>
            </w:pP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1610"/>
          <w:jc w:val="center"/>
        </w:trPr>
        <w:tc>
          <w:tcPr>
            <w:tcW w:w="672" w:type="dxa"/>
            <w:vMerge/>
            <w:textDirection w:val="tbRlV"/>
            <w:vAlign w:val="center"/>
          </w:tcPr>
          <w:p w:rsidR="00013EC7" w:rsidRDefault="00013EC7">
            <w:pPr>
              <w:rPr>
                <w:rFonts w:ascii="仿宋" w:eastAsia="仿宋" w:hAnsi="仿宋" w:cs="仿宋"/>
                <w:sz w:val="24"/>
              </w:rPr>
            </w:pPr>
          </w:p>
        </w:tc>
        <w:tc>
          <w:tcPr>
            <w:tcW w:w="1035" w:type="dxa"/>
            <w:vMerge/>
            <w:vAlign w:val="center"/>
          </w:tcPr>
          <w:p w:rsidR="00013EC7" w:rsidRDefault="00013EC7">
            <w:pPr>
              <w:rPr>
                <w:rFonts w:ascii="仿宋" w:eastAsia="仿宋" w:hAnsi="仿宋" w:cs="仿宋"/>
                <w:sz w:val="24"/>
              </w:rPr>
            </w:pPr>
          </w:p>
        </w:tc>
        <w:tc>
          <w:tcPr>
            <w:tcW w:w="2622" w:type="dxa"/>
            <w:vMerge/>
            <w:vAlign w:val="center"/>
          </w:tcPr>
          <w:p w:rsidR="00013EC7" w:rsidRDefault="00013EC7">
            <w:pPr>
              <w:rPr>
                <w:rFonts w:ascii="仿宋" w:eastAsia="仿宋" w:hAnsi="仿宋" w:cs="仿宋"/>
                <w:sz w:val="24"/>
              </w:rPr>
            </w:pPr>
          </w:p>
        </w:tc>
        <w:tc>
          <w:tcPr>
            <w:tcW w:w="2760"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kern w:val="1"/>
                <w:sz w:val="24"/>
              </w:rPr>
              <w:t>（六）（A06633）《本期减（免）税额明细表》</w:t>
            </w:r>
            <w:r>
              <w:rPr>
                <w:rFonts w:ascii="仿宋" w:eastAsia="仿宋" w:hAnsi="仿宋" w:cs="仿宋" w:hint="eastAsia"/>
                <w:kern w:val="1"/>
                <w:sz w:val="24"/>
                <w:highlight w:val="lightGray"/>
              </w:rPr>
              <w:t>2份。</w:t>
            </w:r>
          </w:p>
        </w:tc>
        <w:tc>
          <w:tcPr>
            <w:tcW w:w="901" w:type="dxa"/>
            <w:vAlign w:val="center"/>
          </w:tcPr>
          <w:p w:rsidR="00013EC7" w:rsidRDefault="00575CDB">
            <w:pPr>
              <w:rPr>
                <w:rFonts w:ascii="仿宋" w:eastAsia="仿宋" w:hAnsi="仿宋" w:cs="仿宋"/>
                <w:sz w:val="24"/>
              </w:rPr>
            </w:pPr>
            <w:r>
              <w:rPr>
                <w:rFonts w:ascii="仿宋" w:eastAsia="仿宋" w:hAnsi="仿宋" w:cs="仿宋" w:hint="eastAsia"/>
                <w:sz w:val="24"/>
              </w:rPr>
              <w:t>享受消费税减免税优惠政策的纳税人提交</w:t>
            </w:r>
          </w:p>
        </w:tc>
        <w:tc>
          <w:tcPr>
            <w:tcW w:w="2837"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kern w:val="1"/>
                <w:sz w:val="24"/>
              </w:rPr>
              <w:t>（六）（A06633）《本期减（免）税额明细表》1份。</w:t>
            </w:r>
          </w:p>
        </w:tc>
        <w:tc>
          <w:tcPr>
            <w:tcW w:w="1559" w:type="dxa"/>
            <w:vAlign w:val="center"/>
          </w:tcPr>
          <w:p w:rsidR="00013EC7" w:rsidRDefault="00575CDB">
            <w:pPr>
              <w:rPr>
                <w:rFonts w:ascii="仿宋" w:eastAsia="仿宋" w:hAnsi="仿宋" w:cs="仿宋"/>
                <w:sz w:val="24"/>
              </w:rPr>
            </w:pPr>
            <w:r>
              <w:rPr>
                <w:rFonts w:ascii="仿宋" w:eastAsia="仿宋" w:hAnsi="仿宋" w:cs="仿宋" w:hint="eastAsia"/>
                <w:sz w:val="24"/>
              </w:rPr>
              <w:t>享受消费税减免税优惠政策的纳税人提交</w:t>
            </w:r>
          </w:p>
        </w:tc>
        <w:tc>
          <w:tcPr>
            <w:tcW w:w="2848" w:type="dxa"/>
            <w:vMerge/>
            <w:vAlign w:val="center"/>
          </w:tcPr>
          <w:p w:rsidR="00013EC7" w:rsidRDefault="00013EC7">
            <w:pPr>
              <w:spacing w:line="300" w:lineRule="exact"/>
              <w:rPr>
                <w:rFonts w:ascii="仿宋" w:eastAsia="仿宋" w:hAnsi="仿宋" w:cs="仿宋"/>
                <w:sz w:val="24"/>
              </w:rPr>
            </w:pPr>
          </w:p>
        </w:tc>
        <w:tc>
          <w:tcPr>
            <w:tcW w:w="868" w:type="dxa"/>
            <w:vMerge/>
            <w:vAlign w:val="center"/>
          </w:tcPr>
          <w:p w:rsidR="00013EC7" w:rsidRDefault="00013EC7">
            <w:pPr>
              <w:rPr>
                <w:rFonts w:ascii="仿宋" w:eastAsia="仿宋" w:hAnsi="仿宋" w:cs="仿宋"/>
                <w:sz w:val="24"/>
              </w:rPr>
            </w:pPr>
          </w:p>
        </w:tc>
        <w:tc>
          <w:tcPr>
            <w:tcW w:w="798" w:type="dxa"/>
            <w:vMerge/>
            <w:vAlign w:val="center"/>
          </w:tcPr>
          <w:p w:rsidR="00013EC7" w:rsidRDefault="00013EC7">
            <w:pPr>
              <w:rPr>
                <w:rFonts w:ascii="仿宋" w:eastAsia="仿宋" w:hAnsi="仿宋" w:cs="仿宋"/>
                <w:sz w:val="24"/>
              </w:rPr>
            </w:pP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2605"/>
          <w:jc w:val="center"/>
        </w:trPr>
        <w:tc>
          <w:tcPr>
            <w:tcW w:w="672" w:type="dxa"/>
            <w:vMerge/>
            <w:textDirection w:val="tbRlV"/>
            <w:vAlign w:val="center"/>
          </w:tcPr>
          <w:p w:rsidR="00013EC7" w:rsidRDefault="00013EC7">
            <w:pPr>
              <w:rPr>
                <w:rFonts w:ascii="仿宋" w:eastAsia="仿宋" w:hAnsi="仿宋" w:cs="仿宋"/>
                <w:sz w:val="24"/>
              </w:rPr>
            </w:pPr>
          </w:p>
        </w:tc>
        <w:tc>
          <w:tcPr>
            <w:tcW w:w="1035" w:type="dxa"/>
            <w:vMerge/>
            <w:vAlign w:val="center"/>
          </w:tcPr>
          <w:p w:rsidR="00013EC7" w:rsidRDefault="00013EC7">
            <w:pPr>
              <w:rPr>
                <w:rFonts w:ascii="仿宋" w:eastAsia="仿宋" w:hAnsi="仿宋" w:cs="仿宋"/>
                <w:sz w:val="24"/>
              </w:rPr>
            </w:pPr>
          </w:p>
        </w:tc>
        <w:tc>
          <w:tcPr>
            <w:tcW w:w="2622" w:type="dxa"/>
            <w:vMerge/>
            <w:vAlign w:val="center"/>
          </w:tcPr>
          <w:p w:rsidR="00013EC7" w:rsidRDefault="00013EC7">
            <w:pPr>
              <w:rPr>
                <w:rFonts w:ascii="仿宋" w:eastAsia="仿宋" w:hAnsi="仿宋" w:cs="仿宋"/>
                <w:sz w:val="24"/>
              </w:rPr>
            </w:pPr>
          </w:p>
        </w:tc>
        <w:tc>
          <w:tcPr>
            <w:tcW w:w="2760" w:type="dxa"/>
            <w:vAlign w:val="center"/>
          </w:tcPr>
          <w:p w:rsidR="00013EC7" w:rsidRDefault="00575CDB">
            <w:pPr>
              <w:rPr>
                <w:rFonts w:ascii="仿宋" w:eastAsia="仿宋" w:hAnsi="仿宋" w:cs="仿宋"/>
                <w:kern w:val="1"/>
                <w:sz w:val="24"/>
              </w:rPr>
            </w:pPr>
            <w:r>
              <w:rPr>
                <w:rFonts w:ascii="仿宋" w:eastAsia="仿宋" w:hAnsi="仿宋" w:cs="仿宋" w:hint="eastAsia"/>
                <w:sz w:val="24"/>
              </w:rPr>
              <w:t>（七）</w:t>
            </w:r>
            <w:r>
              <w:rPr>
                <w:rFonts w:ascii="仿宋" w:eastAsia="仿宋" w:hAnsi="仿宋" w:cs="仿宋" w:hint="eastAsia"/>
                <w:kern w:val="1"/>
                <w:sz w:val="24"/>
                <w:highlight w:val="lightGray"/>
              </w:rPr>
              <w:t>外购应税消费品增值税专用发票抵扣联。</w:t>
            </w:r>
            <w:r>
              <w:rPr>
                <w:rFonts w:ascii="仿宋" w:eastAsia="仿宋" w:hAnsi="仿宋" w:cs="仿宋" w:hint="eastAsia"/>
                <w:sz w:val="24"/>
              </w:rPr>
              <w:t>属于汇总填开的，还应提供随同增值税专用发票取得的由销售方开具并加盖财务专用章或发票专用章的销货清单</w:t>
            </w:r>
            <w:r>
              <w:rPr>
                <w:rFonts w:ascii="仿宋" w:eastAsia="仿宋" w:hAnsi="仿宋" w:cs="仿宋" w:hint="eastAsia"/>
                <w:kern w:val="1"/>
                <w:sz w:val="24"/>
                <w:highlight w:val="lightGray"/>
              </w:rPr>
              <w:t>原件和</w:t>
            </w:r>
            <w:r>
              <w:rPr>
                <w:rFonts w:ascii="仿宋" w:eastAsia="仿宋" w:hAnsi="仿宋" w:cs="仿宋" w:hint="eastAsia"/>
                <w:sz w:val="24"/>
              </w:rPr>
              <w:t>复印件。</w:t>
            </w:r>
          </w:p>
        </w:tc>
        <w:tc>
          <w:tcPr>
            <w:tcW w:w="901" w:type="dxa"/>
            <w:shd w:val="clear" w:color="auto" w:fill="auto"/>
            <w:vAlign w:val="center"/>
          </w:tcPr>
          <w:p w:rsidR="00013EC7" w:rsidRDefault="00575CDB">
            <w:pPr>
              <w:rPr>
                <w:rFonts w:ascii="仿宋" w:eastAsia="仿宋" w:hAnsi="仿宋" w:cs="仿宋"/>
                <w:kern w:val="1"/>
                <w:sz w:val="24"/>
              </w:rPr>
            </w:pPr>
            <w:r>
              <w:rPr>
                <w:rFonts w:ascii="仿宋" w:eastAsia="仿宋" w:hAnsi="仿宋" w:cs="仿宋" w:hint="eastAsia"/>
                <w:sz w:val="24"/>
              </w:rPr>
              <w:t>外购应税消费品连续生产应税消费品的纳税人留存备查</w:t>
            </w:r>
          </w:p>
        </w:tc>
        <w:tc>
          <w:tcPr>
            <w:tcW w:w="2837" w:type="dxa"/>
            <w:vAlign w:val="center"/>
          </w:tcPr>
          <w:p w:rsidR="00013EC7" w:rsidRDefault="00575CDB">
            <w:pPr>
              <w:rPr>
                <w:rFonts w:ascii="仿宋" w:eastAsia="仿宋" w:hAnsi="仿宋" w:cs="仿宋"/>
                <w:kern w:val="1"/>
                <w:sz w:val="24"/>
              </w:rPr>
            </w:pPr>
            <w:r>
              <w:rPr>
                <w:rFonts w:ascii="仿宋" w:eastAsia="仿宋" w:hAnsi="仿宋" w:cs="仿宋" w:hint="eastAsia"/>
                <w:sz w:val="24"/>
              </w:rPr>
              <w:t>（七）外购应税消费品增值税专用发票抵扣联复印件（注明与原件一致，并加盖公章）。属于汇总填开的，还应提供随同增值税专用发票取得的由销售方开具并加盖财务专用章或发票专用章的销货清单复印件</w:t>
            </w:r>
            <w:r>
              <w:rPr>
                <w:rFonts w:ascii="仿宋" w:eastAsia="仿宋" w:hAnsi="仿宋" w:hint="eastAsia"/>
                <w:sz w:val="24"/>
              </w:rPr>
              <w:t>（注明与原件一致并加盖公章）</w:t>
            </w:r>
            <w:r>
              <w:rPr>
                <w:rFonts w:ascii="仿宋" w:eastAsia="仿宋" w:hAnsi="仿宋" w:cs="仿宋" w:hint="eastAsia"/>
                <w:sz w:val="24"/>
              </w:rPr>
              <w:t>。</w:t>
            </w:r>
          </w:p>
        </w:tc>
        <w:tc>
          <w:tcPr>
            <w:tcW w:w="1559" w:type="dxa"/>
            <w:shd w:val="clear" w:color="auto" w:fill="auto"/>
            <w:vAlign w:val="center"/>
          </w:tcPr>
          <w:p w:rsidR="00013EC7" w:rsidRDefault="00575CDB">
            <w:pPr>
              <w:rPr>
                <w:rFonts w:ascii="仿宋" w:eastAsia="仿宋" w:hAnsi="仿宋" w:cs="仿宋"/>
                <w:sz w:val="24"/>
              </w:rPr>
            </w:pPr>
            <w:r>
              <w:rPr>
                <w:rFonts w:ascii="仿宋" w:eastAsia="仿宋" w:hAnsi="仿宋" w:cs="仿宋" w:hint="eastAsia"/>
                <w:sz w:val="24"/>
              </w:rPr>
              <w:t>外购应税消费品连续生产应税消费品的纳税人留存备查</w:t>
            </w:r>
          </w:p>
        </w:tc>
        <w:tc>
          <w:tcPr>
            <w:tcW w:w="2848" w:type="dxa"/>
            <w:vMerge/>
            <w:vAlign w:val="center"/>
          </w:tcPr>
          <w:p w:rsidR="00013EC7" w:rsidRDefault="00013EC7">
            <w:pPr>
              <w:spacing w:line="300" w:lineRule="exact"/>
              <w:rPr>
                <w:rFonts w:ascii="仿宋" w:eastAsia="仿宋" w:hAnsi="仿宋" w:cs="仿宋"/>
                <w:sz w:val="24"/>
              </w:rPr>
            </w:pPr>
          </w:p>
        </w:tc>
        <w:tc>
          <w:tcPr>
            <w:tcW w:w="868" w:type="dxa"/>
            <w:vMerge/>
            <w:vAlign w:val="center"/>
          </w:tcPr>
          <w:p w:rsidR="00013EC7" w:rsidRDefault="00013EC7">
            <w:pPr>
              <w:rPr>
                <w:rFonts w:ascii="仿宋" w:eastAsia="仿宋" w:hAnsi="仿宋" w:cs="仿宋"/>
                <w:sz w:val="24"/>
              </w:rPr>
            </w:pPr>
          </w:p>
        </w:tc>
        <w:tc>
          <w:tcPr>
            <w:tcW w:w="798" w:type="dxa"/>
            <w:vMerge/>
            <w:vAlign w:val="center"/>
          </w:tcPr>
          <w:p w:rsidR="00013EC7" w:rsidRDefault="00013EC7">
            <w:pPr>
              <w:rPr>
                <w:rFonts w:ascii="仿宋" w:eastAsia="仿宋" w:hAnsi="仿宋" w:cs="仿宋"/>
                <w:sz w:val="24"/>
              </w:rPr>
            </w:pP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2605"/>
          <w:jc w:val="center"/>
        </w:trPr>
        <w:tc>
          <w:tcPr>
            <w:tcW w:w="672" w:type="dxa"/>
            <w:vMerge/>
            <w:textDirection w:val="tbRlV"/>
            <w:vAlign w:val="center"/>
          </w:tcPr>
          <w:p w:rsidR="00013EC7" w:rsidRDefault="00013EC7">
            <w:pPr>
              <w:rPr>
                <w:rFonts w:ascii="仿宋" w:eastAsia="仿宋" w:hAnsi="仿宋" w:cs="仿宋"/>
                <w:sz w:val="24"/>
              </w:rPr>
            </w:pPr>
          </w:p>
        </w:tc>
        <w:tc>
          <w:tcPr>
            <w:tcW w:w="1035" w:type="dxa"/>
            <w:vMerge/>
            <w:vAlign w:val="center"/>
          </w:tcPr>
          <w:p w:rsidR="00013EC7" w:rsidRDefault="00013EC7">
            <w:pPr>
              <w:rPr>
                <w:rFonts w:ascii="仿宋" w:eastAsia="仿宋" w:hAnsi="仿宋" w:cs="仿宋"/>
                <w:sz w:val="24"/>
              </w:rPr>
            </w:pPr>
          </w:p>
        </w:tc>
        <w:tc>
          <w:tcPr>
            <w:tcW w:w="2622" w:type="dxa"/>
            <w:vMerge/>
            <w:vAlign w:val="center"/>
          </w:tcPr>
          <w:p w:rsidR="00013EC7" w:rsidRDefault="00013EC7">
            <w:pPr>
              <w:rPr>
                <w:rFonts w:ascii="仿宋" w:eastAsia="仿宋" w:hAnsi="仿宋" w:cs="仿宋"/>
                <w:sz w:val="24"/>
              </w:rPr>
            </w:pPr>
          </w:p>
        </w:tc>
        <w:tc>
          <w:tcPr>
            <w:tcW w:w="2760"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highlight w:val="lightGray"/>
              </w:rPr>
              <w:t>（八）《代扣代收税款凭证》。</w:t>
            </w:r>
          </w:p>
        </w:tc>
        <w:tc>
          <w:tcPr>
            <w:tcW w:w="901" w:type="dxa"/>
            <w:shd w:val="clear" w:color="auto" w:fill="auto"/>
            <w:vAlign w:val="center"/>
          </w:tcPr>
          <w:p w:rsidR="00013EC7" w:rsidRDefault="00575CDB">
            <w:pPr>
              <w:rPr>
                <w:rFonts w:ascii="仿宋" w:eastAsia="仿宋" w:hAnsi="仿宋" w:cs="仿宋"/>
                <w:sz w:val="24"/>
              </w:rPr>
            </w:pPr>
            <w:r>
              <w:rPr>
                <w:rFonts w:ascii="仿宋" w:eastAsia="仿宋" w:hAnsi="仿宋" w:cs="仿宋" w:hint="eastAsia"/>
                <w:sz w:val="24"/>
              </w:rPr>
              <w:t>委托加工收回应税消费品连续生产应税消费品的纳税人留存备查</w:t>
            </w:r>
          </w:p>
        </w:tc>
        <w:tc>
          <w:tcPr>
            <w:tcW w:w="2837" w:type="dxa"/>
            <w:vAlign w:val="center"/>
          </w:tcPr>
          <w:p w:rsidR="00013EC7" w:rsidRDefault="00575CDB">
            <w:pPr>
              <w:rPr>
                <w:rFonts w:ascii="仿宋" w:eastAsia="仿宋" w:hAnsi="仿宋" w:cs="仿宋"/>
                <w:kern w:val="1"/>
                <w:sz w:val="24"/>
                <w:highlight w:val="lightGray"/>
              </w:rPr>
            </w:pPr>
            <w:r>
              <w:rPr>
                <w:rFonts w:ascii="仿宋" w:eastAsia="仿宋" w:hAnsi="仿宋" w:cs="仿宋" w:hint="eastAsia"/>
                <w:sz w:val="24"/>
              </w:rPr>
              <w:t>（八）《代扣代收税款凭证》复印件（注明与原件一致，并加盖公章）。</w:t>
            </w:r>
          </w:p>
        </w:tc>
        <w:tc>
          <w:tcPr>
            <w:tcW w:w="1559" w:type="dxa"/>
            <w:shd w:val="clear" w:color="auto" w:fill="auto"/>
            <w:vAlign w:val="center"/>
          </w:tcPr>
          <w:p w:rsidR="00013EC7" w:rsidRDefault="00575CDB">
            <w:pPr>
              <w:rPr>
                <w:rFonts w:ascii="仿宋" w:eastAsia="仿宋" w:hAnsi="仿宋" w:cs="仿宋"/>
                <w:sz w:val="24"/>
              </w:rPr>
            </w:pPr>
            <w:r>
              <w:rPr>
                <w:rFonts w:ascii="仿宋" w:eastAsia="仿宋" w:hAnsi="仿宋" w:cs="仿宋" w:hint="eastAsia"/>
                <w:sz w:val="24"/>
              </w:rPr>
              <w:t>委托加工收回应税消费品连续生产应税消费品的纳税人留存备查</w:t>
            </w:r>
          </w:p>
        </w:tc>
        <w:tc>
          <w:tcPr>
            <w:tcW w:w="2848" w:type="dxa"/>
            <w:vMerge/>
            <w:vAlign w:val="center"/>
          </w:tcPr>
          <w:p w:rsidR="00013EC7" w:rsidRDefault="00013EC7">
            <w:pPr>
              <w:spacing w:line="300" w:lineRule="exact"/>
              <w:rPr>
                <w:rFonts w:ascii="仿宋" w:eastAsia="仿宋" w:hAnsi="仿宋" w:cs="仿宋"/>
                <w:kern w:val="1"/>
                <w:sz w:val="24"/>
              </w:rPr>
            </w:pPr>
          </w:p>
        </w:tc>
        <w:tc>
          <w:tcPr>
            <w:tcW w:w="868" w:type="dxa"/>
            <w:vMerge/>
            <w:vAlign w:val="center"/>
          </w:tcPr>
          <w:p w:rsidR="00013EC7" w:rsidRDefault="00013EC7">
            <w:pPr>
              <w:rPr>
                <w:rFonts w:ascii="仿宋" w:eastAsia="仿宋" w:hAnsi="仿宋" w:cs="仿宋"/>
                <w:sz w:val="24"/>
              </w:rPr>
            </w:pPr>
          </w:p>
        </w:tc>
        <w:tc>
          <w:tcPr>
            <w:tcW w:w="798" w:type="dxa"/>
            <w:vMerge/>
            <w:vAlign w:val="center"/>
          </w:tcPr>
          <w:p w:rsidR="00013EC7" w:rsidRDefault="00013EC7">
            <w:pPr>
              <w:rPr>
                <w:rFonts w:ascii="仿宋" w:eastAsia="仿宋" w:hAnsi="仿宋" w:cs="仿宋"/>
                <w:sz w:val="24"/>
              </w:rPr>
            </w:pP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2605"/>
          <w:jc w:val="center"/>
        </w:trPr>
        <w:tc>
          <w:tcPr>
            <w:tcW w:w="672" w:type="dxa"/>
            <w:vMerge/>
            <w:textDirection w:val="tbRlV"/>
            <w:vAlign w:val="center"/>
          </w:tcPr>
          <w:p w:rsidR="00013EC7" w:rsidRDefault="00013EC7">
            <w:pPr>
              <w:rPr>
                <w:rFonts w:ascii="仿宋" w:eastAsia="仿宋" w:hAnsi="仿宋" w:cs="仿宋"/>
                <w:sz w:val="24"/>
              </w:rPr>
            </w:pPr>
          </w:p>
        </w:tc>
        <w:tc>
          <w:tcPr>
            <w:tcW w:w="1035" w:type="dxa"/>
            <w:vMerge/>
            <w:vAlign w:val="center"/>
          </w:tcPr>
          <w:p w:rsidR="00013EC7" w:rsidRDefault="00013EC7">
            <w:pPr>
              <w:rPr>
                <w:rFonts w:ascii="仿宋" w:eastAsia="仿宋" w:hAnsi="仿宋" w:cs="仿宋"/>
                <w:sz w:val="24"/>
              </w:rPr>
            </w:pPr>
          </w:p>
        </w:tc>
        <w:tc>
          <w:tcPr>
            <w:tcW w:w="2622" w:type="dxa"/>
            <w:vMerge/>
            <w:vAlign w:val="center"/>
          </w:tcPr>
          <w:p w:rsidR="00013EC7" w:rsidRDefault="00013EC7">
            <w:pPr>
              <w:rPr>
                <w:rFonts w:ascii="仿宋" w:eastAsia="仿宋" w:hAnsi="仿宋" w:cs="仿宋"/>
                <w:sz w:val="24"/>
              </w:rPr>
            </w:pPr>
          </w:p>
        </w:tc>
        <w:tc>
          <w:tcPr>
            <w:tcW w:w="2760"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highlight w:val="lightGray"/>
              </w:rPr>
              <w:t>（九）《海关进口消费税专用缴款书》。</w:t>
            </w:r>
          </w:p>
        </w:tc>
        <w:tc>
          <w:tcPr>
            <w:tcW w:w="901" w:type="dxa"/>
            <w:shd w:val="clear" w:color="auto" w:fill="auto"/>
            <w:vAlign w:val="center"/>
          </w:tcPr>
          <w:p w:rsidR="00013EC7" w:rsidRDefault="00575CDB">
            <w:pPr>
              <w:rPr>
                <w:rFonts w:ascii="仿宋" w:eastAsia="仿宋" w:hAnsi="仿宋" w:cs="仿宋"/>
                <w:sz w:val="24"/>
              </w:rPr>
            </w:pPr>
            <w:r>
              <w:rPr>
                <w:rFonts w:ascii="仿宋" w:eastAsia="仿宋" w:hAnsi="仿宋" w:cs="仿宋" w:hint="eastAsia"/>
                <w:sz w:val="24"/>
              </w:rPr>
              <w:t>进口应税消费品连续生产应税消费品的纳税人留存备查</w:t>
            </w:r>
          </w:p>
        </w:tc>
        <w:tc>
          <w:tcPr>
            <w:tcW w:w="2837" w:type="dxa"/>
            <w:vAlign w:val="center"/>
          </w:tcPr>
          <w:p w:rsidR="00013EC7" w:rsidRDefault="00575CDB">
            <w:pPr>
              <w:rPr>
                <w:rFonts w:ascii="仿宋" w:eastAsia="仿宋" w:hAnsi="仿宋" w:cs="仿宋"/>
                <w:kern w:val="1"/>
                <w:sz w:val="24"/>
                <w:highlight w:val="lightGray"/>
              </w:rPr>
            </w:pPr>
            <w:r>
              <w:rPr>
                <w:rFonts w:ascii="仿宋" w:eastAsia="仿宋" w:hAnsi="仿宋" w:cs="仿宋" w:hint="eastAsia"/>
                <w:sz w:val="24"/>
              </w:rPr>
              <w:t>（九）《海关进口消费税专用缴款书》复印件（注明与原件一致，并加盖公章）。</w:t>
            </w:r>
          </w:p>
        </w:tc>
        <w:tc>
          <w:tcPr>
            <w:tcW w:w="1559" w:type="dxa"/>
            <w:vAlign w:val="center"/>
          </w:tcPr>
          <w:p w:rsidR="00013EC7" w:rsidRDefault="00575CDB">
            <w:pPr>
              <w:rPr>
                <w:rFonts w:ascii="仿宋" w:eastAsia="仿宋" w:hAnsi="仿宋" w:cs="仿宋"/>
                <w:sz w:val="24"/>
              </w:rPr>
            </w:pPr>
            <w:r>
              <w:rPr>
                <w:rFonts w:ascii="仿宋" w:eastAsia="仿宋" w:hAnsi="仿宋" w:cs="仿宋" w:hint="eastAsia"/>
                <w:sz w:val="24"/>
              </w:rPr>
              <w:t>进口应税消费品连续生产应税消费品的纳税人留存备查</w:t>
            </w:r>
          </w:p>
        </w:tc>
        <w:tc>
          <w:tcPr>
            <w:tcW w:w="2848" w:type="dxa"/>
            <w:vMerge/>
            <w:vAlign w:val="center"/>
          </w:tcPr>
          <w:p w:rsidR="00013EC7" w:rsidRDefault="00013EC7">
            <w:pPr>
              <w:spacing w:line="300" w:lineRule="exact"/>
              <w:rPr>
                <w:rFonts w:ascii="仿宋" w:eastAsia="仿宋" w:hAnsi="仿宋" w:cs="仿宋"/>
                <w:kern w:val="1"/>
                <w:sz w:val="24"/>
              </w:rPr>
            </w:pPr>
          </w:p>
        </w:tc>
        <w:tc>
          <w:tcPr>
            <w:tcW w:w="868" w:type="dxa"/>
            <w:vMerge/>
            <w:vAlign w:val="center"/>
          </w:tcPr>
          <w:p w:rsidR="00013EC7" w:rsidRDefault="00013EC7">
            <w:pPr>
              <w:rPr>
                <w:rFonts w:ascii="仿宋" w:eastAsia="仿宋" w:hAnsi="仿宋" w:cs="仿宋"/>
                <w:sz w:val="24"/>
              </w:rPr>
            </w:pPr>
          </w:p>
        </w:tc>
        <w:tc>
          <w:tcPr>
            <w:tcW w:w="798" w:type="dxa"/>
            <w:vMerge/>
            <w:vAlign w:val="center"/>
          </w:tcPr>
          <w:p w:rsidR="00013EC7" w:rsidRDefault="00013EC7">
            <w:pPr>
              <w:rPr>
                <w:rFonts w:ascii="仿宋" w:eastAsia="仿宋" w:hAnsi="仿宋" w:cs="仿宋"/>
                <w:sz w:val="24"/>
              </w:rPr>
            </w:pP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bl>
    <w:p w:rsidR="00013EC7" w:rsidRDefault="00013EC7"/>
    <w:p w:rsidR="00013EC7" w:rsidRDefault="00013EC7">
      <w:pPr>
        <w:jc w:val="cente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5262E6">
      <w:pPr>
        <w:rPr>
          <w:rFonts w:ascii="仿宋" w:eastAsia="仿宋" w:hAnsi="仿宋" w:cs="仿宋"/>
          <w:sz w:val="24"/>
        </w:rPr>
      </w:pPr>
      <w:r>
        <w:rPr>
          <w:rFonts w:ascii="黑体" w:eastAsia="黑体" w:hAnsi="黑体"/>
        </w:rPr>
        <w:lastRenderedPageBreak/>
        <w:object w:dxaOrig="1440" w:dyaOrig="1440">
          <v:shape id="_x0000_s1352" type="#_x0000_t75" style="position:absolute;left:0;text-align:left;margin-left:554pt;margin-top:84.95pt;width:409.5pt;height:572.25pt;z-index:251677696;mso-wrap-distance-top:0;mso-wrap-distance-bottom:0;mso-position-vertical-relative:page;mso-width-relative:page;mso-height-relative:page">
            <v:imagedata r:id="rId227" o:title=""/>
            <o:lock v:ext="edit" aspectratio="f"/>
            <w10:wrap type="topAndBottom" anchory="page"/>
          </v:shape>
          <o:OLEObject Type="Embed" ProgID="Visio.Drawing.11" ShapeID="_x0000_s1352" DrawAspect="Content" ObjectID="_1577296233" r:id="rId228"/>
        </w:object>
      </w:r>
      <w:r>
        <w:object w:dxaOrig="1440" w:dyaOrig="1440">
          <v:shape id="_x0000_s1351" type="#_x0000_t75" style="position:absolute;left:0;text-align:left;margin-left:20.6pt;margin-top:92.8pt;width:482pt;height:574.5pt;z-index:251676672;mso-wrap-distance-top:0;mso-wrap-distance-bottom:0;mso-position-vertical-relative:page;mso-width-relative:page;mso-height-relative:page">
            <v:imagedata r:id="rId229" o:title=""/>
            <w10:wrap type="topAndBottom" anchory="page"/>
          </v:shape>
          <o:OLEObject Type="Embed" ProgID="Visio.Drawing.11" ShapeID="_x0000_s1351" DrawAspect="Content" ObjectID="_1577296234" r:id="rId230"/>
        </w:object>
      </w:r>
    </w:p>
    <w:p w:rsidR="00013EC7" w:rsidRDefault="00013EC7"/>
    <w:p w:rsidR="00013EC7" w:rsidRDefault="00013EC7"/>
    <w:p w:rsidR="00013EC7" w:rsidRDefault="00013EC7"/>
    <w:p w:rsidR="00013EC7" w:rsidRDefault="00013EC7">
      <w:pPr>
        <w:jc w:val="left"/>
        <w:rPr>
          <w:rFonts w:ascii="宋体" w:hAnsi="宋体" w:cs="宋体"/>
          <w:sz w:val="28"/>
          <w:szCs w:val="28"/>
        </w:rPr>
        <w:sectPr w:rsidR="00013EC7">
          <w:pgSz w:w="23814" w:h="16840" w:orient="landscape"/>
          <w:pgMar w:top="1701" w:right="1843" w:bottom="1985" w:left="1843" w:header="851" w:footer="1701" w:gutter="0"/>
          <w:pgNumType w:fmt="numberInDash"/>
          <w:cols w:space="720"/>
          <w:docGrid w:type="lines" w:linePitch="312"/>
        </w:sectPr>
      </w:pPr>
      <w:bookmarkStart w:id="310" w:name="_Toc498705732"/>
    </w:p>
    <w:p w:rsidR="00013EC7" w:rsidRDefault="00575CDB">
      <w:pPr>
        <w:pStyle w:val="2"/>
      </w:pPr>
      <w:bookmarkStart w:id="311" w:name="_Toc5246"/>
      <w:bookmarkStart w:id="312" w:name="_Toc654"/>
      <w:bookmarkStart w:id="313" w:name="_Toc10951"/>
      <w:bookmarkStart w:id="314" w:name="_Toc503467425"/>
      <w:r>
        <w:rPr>
          <w:rFonts w:hint="eastAsia"/>
        </w:rPr>
        <w:lastRenderedPageBreak/>
        <w:t>17.5</w:t>
      </w:r>
      <w:r>
        <w:rPr>
          <w:rFonts w:hint="eastAsia"/>
        </w:rPr>
        <w:t>酒类应税消费品消费税申报</w:t>
      </w:r>
      <w:bookmarkEnd w:id="310"/>
      <w:bookmarkEnd w:id="311"/>
      <w:bookmarkEnd w:id="312"/>
      <w:bookmarkEnd w:id="313"/>
      <w:bookmarkEnd w:id="314"/>
    </w:p>
    <w:p w:rsidR="00013EC7" w:rsidRDefault="00575CDB">
      <w:pPr>
        <w:jc w:val="center"/>
        <w:rPr>
          <w:rFonts w:ascii="宋体" w:hAnsi="宋体" w:cs="宋体"/>
          <w:b/>
          <w:bCs/>
          <w:sz w:val="52"/>
          <w:szCs w:val="52"/>
        </w:rPr>
      </w:pPr>
      <w:r>
        <w:rPr>
          <w:rFonts w:ascii="宋体" w:hAnsi="宋体" w:cs="宋体" w:hint="eastAsia"/>
          <w:b/>
          <w:bCs/>
          <w:sz w:val="52"/>
          <w:szCs w:val="52"/>
        </w:rPr>
        <w:t>全省“最多跑一次”事项“八统一”梳理表</w:t>
      </w:r>
    </w:p>
    <w:tbl>
      <w:tblPr>
        <w:tblW w:w="20833"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2921"/>
        <w:gridCol w:w="2760"/>
        <w:gridCol w:w="1340"/>
        <w:gridCol w:w="2711"/>
        <w:gridCol w:w="1559"/>
        <w:gridCol w:w="2631"/>
        <w:gridCol w:w="868"/>
        <w:gridCol w:w="889"/>
        <w:gridCol w:w="867"/>
        <w:gridCol w:w="1104"/>
        <w:gridCol w:w="1476"/>
      </w:tblGrid>
      <w:tr w:rsidR="00013EC7">
        <w:trPr>
          <w:trHeight w:val="340"/>
          <w:tblHeader/>
          <w:jc w:val="center"/>
        </w:trPr>
        <w:tc>
          <w:tcPr>
            <w:tcW w:w="672" w:type="dxa"/>
            <w:vMerge w:val="restart"/>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主项名称</w:t>
            </w:r>
          </w:p>
        </w:tc>
        <w:tc>
          <w:tcPr>
            <w:tcW w:w="1035" w:type="dxa"/>
            <w:vMerge w:val="restart"/>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子项名称</w:t>
            </w:r>
          </w:p>
        </w:tc>
        <w:tc>
          <w:tcPr>
            <w:tcW w:w="2921" w:type="dxa"/>
            <w:vMerge w:val="restart"/>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经办依据</w:t>
            </w:r>
          </w:p>
        </w:tc>
        <w:tc>
          <w:tcPr>
            <w:tcW w:w="4100" w:type="dxa"/>
            <w:gridSpan w:val="2"/>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原经办所需材料</w:t>
            </w:r>
          </w:p>
        </w:tc>
        <w:tc>
          <w:tcPr>
            <w:tcW w:w="6901" w:type="dxa"/>
            <w:gridSpan w:val="3"/>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精简后经办所需材料</w:t>
            </w:r>
          </w:p>
        </w:tc>
        <w:tc>
          <w:tcPr>
            <w:tcW w:w="1757" w:type="dxa"/>
            <w:gridSpan w:val="2"/>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办理时限</w:t>
            </w:r>
          </w:p>
        </w:tc>
        <w:tc>
          <w:tcPr>
            <w:tcW w:w="867" w:type="dxa"/>
            <w:vMerge w:val="restart"/>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是否实现跑零次</w:t>
            </w:r>
          </w:p>
        </w:tc>
        <w:tc>
          <w:tcPr>
            <w:tcW w:w="1104" w:type="dxa"/>
            <w:vMerge w:val="restart"/>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省厅对口</w:t>
            </w:r>
          </w:p>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指导处室</w:t>
            </w:r>
          </w:p>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（单位）</w:t>
            </w:r>
          </w:p>
        </w:tc>
        <w:tc>
          <w:tcPr>
            <w:tcW w:w="1476" w:type="dxa"/>
            <w:vMerge w:val="restart"/>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进一步精简、</w:t>
            </w:r>
          </w:p>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规范建议</w:t>
            </w:r>
          </w:p>
        </w:tc>
      </w:tr>
      <w:tr w:rsidR="00013EC7">
        <w:trPr>
          <w:trHeight w:val="340"/>
          <w:tblHeader/>
          <w:jc w:val="center"/>
        </w:trPr>
        <w:tc>
          <w:tcPr>
            <w:tcW w:w="672" w:type="dxa"/>
            <w:vMerge/>
            <w:vAlign w:val="center"/>
          </w:tcPr>
          <w:p w:rsidR="00013EC7" w:rsidRDefault="00013EC7">
            <w:pPr>
              <w:jc w:val="center"/>
              <w:rPr>
                <w:rFonts w:ascii="仿宋" w:eastAsia="仿宋" w:hAnsi="仿宋" w:cs="仿宋"/>
                <w:sz w:val="24"/>
              </w:rPr>
            </w:pPr>
          </w:p>
        </w:tc>
        <w:tc>
          <w:tcPr>
            <w:tcW w:w="1035" w:type="dxa"/>
            <w:vMerge/>
            <w:vAlign w:val="center"/>
          </w:tcPr>
          <w:p w:rsidR="00013EC7" w:rsidRDefault="00013EC7">
            <w:pPr>
              <w:jc w:val="center"/>
              <w:rPr>
                <w:rFonts w:ascii="仿宋" w:eastAsia="仿宋" w:hAnsi="仿宋" w:cs="仿宋"/>
                <w:sz w:val="24"/>
              </w:rPr>
            </w:pPr>
          </w:p>
        </w:tc>
        <w:tc>
          <w:tcPr>
            <w:tcW w:w="2921" w:type="dxa"/>
            <w:vMerge/>
            <w:vAlign w:val="center"/>
          </w:tcPr>
          <w:p w:rsidR="00013EC7" w:rsidRDefault="00013EC7">
            <w:pPr>
              <w:jc w:val="center"/>
              <w:rPr>
                <w:rFonts w:ascii="仿宋" w:eastAsia="仿宋" w:hAnsi="仿宋" w:cs="仿宋"/>
                <w:sz w:val="24"/>
              </w:rPr>
            </w:pPr>
          </w:p>
        </w:tc>
        <w:tc>
          <w:tcPr>
            <w:tcW w:w="2760" w:type="dxa"/>
            <w:tcBorders>
              <w:bottom w:val="single" w:sz="4" w:space="0" w:color="auto"/>
            </w:tcBorders>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材料明细</w:t>
            </w:r>
          </w:p>
        </w:tc>
        <w:tc>
          <w:tcPr>
            <w:tcW w:w="1340"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材料来源</w:t>
            </w:r>
          </w:p>
        </w:tc>
        <w:tc>
          <w:tcPr>
            <w:tcW w:w="2711"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材料明细</w:t>
            </w:r>
          </w:p>
        </w:tc>
        <w:tc>
          <w:tcPr>
            <w:tcW w:w="1559"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材料来源</w:t>
            </w:r>
          </w:p>
        </w:tc>
        <w:tc>
          <w:tcPr>
            <w:tcW w:w="2631"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办理方式及材料</w:t>
            </w:r>
          </w:p>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信息获取方式说明</w:t>
            </w:r>
          </w:p>
        </w:tc>
        <w:tc>
          <w:tcPr>
            <w:tcW w:w="868"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优化前</w:t>
            </w:r>
          </w:p>
        </w:tc>
        <w:tc>
          <w:tcPr>
            <w:tcW w:w="889"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优化后</w:t>
            </w:r>
          </w:p>
        </w:tc>
        <w:tc>
          <w:tcPr>
            <w:tcW w:w="867"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2259"/>
          <w:jc w:val="center"/>
        </w:trPr>
        <w:tc>
          <w:tcPr>
            <w:tcW w:w="672" w:type="dxa"/>
            <w:vMerge w:val="restart"/>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17.日常税费申报</w:t>
            </w:r>
          </w:p>
        </w:tc>
        <w:tc>
          <w:tcPr>
            <w:tcW w:w="1035" w:type="dxa"/>
            <w:vMerge w:val="restart"/>
            <w:vAlign w:val="center"/>
          </w:tcPr>
          <w:p w:rsidR="00013EC7" w:rsidRDefault="00575CDB">
            <w:pPr>
              <w:spacing w:line="310" w:lineRule="exact"/>
              <w:rPr>
                <w:rFonts w:ascii="仿宋" w:eastAsia="仿宋" w:hAnsi="仿宋" w:cs="仿宋"/>
                <w:sz w:val="24"/>
              </w:rPr>
            </w:pPr>
            <w:r>
              <w:rPr>
                <w:rFonts w:ascii="仿宋" w:eastAsia="仿宋" w:hAnsi="仿宋" w:cs="仿宋" w:hint="eastAsia"/>
                <w:sz w:val="24"/>
              </w:rPr>
              <w:t>17.5 酒类应税消费品消费税申报</w:t>
            </w:r>
          </w:p>
        </w:tc>
        <w:tc>
          <w:tcPr>
            <w:tcW w:w="2921" w:type="dxa"/>
            <w:vMerge w:val="restart"/>
            <w:vAlign w:val="center"/>
          </w:tcPr>
          <w:p w:rsidR="00013EC7" w:rsidRDefault="00575CDB">
            <w:pPr>
              <w:rPr>
                <w:rFonts w:ascii="仿宋" w:eastAsia="仿宋" w:hAnsi="仿宋" w:cs="宋体"/>
                <w:sz w:val="24"/>
              </w:rPr>
            </w:pPr>
            <w:r>
              <w:rPr>
                <w:rFonts w:ascii="仿宋" w:eastAsia="仿宋" w:hAnsi="仿宋" w:hint="eastAsia"/>
              </w:rPr>
              <w:t>（</w:t>
            </w:r>
            <w:r>
              <w:rPr>
                <w:rFonts w:ascii="仿宋" w:eastAsia="仿宋" w:hAnsi="仿宋" w:cs="仿宋" w:hint="eastAsia"/>
                <w:kern w:val="1"/>
                <w:sz w:val="24"/>
              </w:rPr>
              <w:t>一）《中华人民共和国消费税暂行条例》（2008年中华人民共和国国务院令539号）全文。</w:t>
            </w:r>
            <w:r>
              <w:rPr>
                <w:rFonts w:ascii="仿宋" w:eastAsia="仿宋" w:hAnsi="仿宋" w:cs="仿宋" w:hint="eastAsia"/>
                <w:kern w:val="1"/>
                <w:sz w:val="24"/>
              </w:rPr>
              <w:br/>
              <w:t>（二）《国家税务总局关于修订&lt;葡萄酒消费税管理办法（试行）&gt;的公告》（国家税务总局公告2015年第15号）全文。</w:t>
            </w:r>
            <w:r>
              <w:rPr>
                <w:rFonts w:ascii="仿宋" w:eastAsia="仿宋" w:hAnsi="仿宋" w:cs="仿宋" w:hint="eastAsia"/>
                <w:kern w:val="1"/>
                <w:sz w:val="24"/>
              </w:rPr>
              <w:br/>
              <w:t>（三）《国家税务总局关于加强白酒消费税征收管理的通知》（国税函〔2009〕380号）全文。</w:t>
            </w:r>
            <w:r>
              <w:rPr>
                <w:rFonts w:ascii="仿宋" w:eastAsia="仿宋" w:hAnsi="仿宋" w:cs="仿宋" w:hint="eastAsia"/>
                <w:kern w:val="1"/>
                <w:sz w:val="24"/>
              </w:rPr>
              <w:br/>
              <w:t>（四）《国家税务总局关于配制酒消费税适用税率问题的公告》（国家税务总局公告2011年第53号）全文。</w:t>
            </w:r>
            <w:r>
              <w:rPr>
                <w:rFonts w:ascii="仿宋" w:eastAsia="仿宋" w:hAnsi="仿宋" w:cs="仿宋" w:hint="eastAsia"/>
                <w:kern w:val="1"/>
                <w:sz w:val="24"/>
              </w:rPr>
              <w:br/>
              <w:t>（五）《财政部国家税务总局关于调整消费税政策的通知》（财税〔2014〕93号）第四条。</w:t>
            </w:r>
            <w:r>
              <w:rPr>
                <w:rFonts w:ascii="仿宋" w:eastAsia="仿宋" w:hAnsi="仿宋" w:cs="仿宋" w:hint="eastAsia"/>
                <w:kern w:val="1"/>
                <w:sz w:val="24"/>
              </w:rPr>
              <w:br/>
              <w:t>（六）《国家税务总局关于调整消费税纳税申报有关事项的公告》（国家税务总局公告2015年第32号）全文。</w:t>
            </w:r>
          </w:p>
        </w:tc>
        <w:tc>
          <w:tcPr>
            <w:tcW w:w="2760" w:type="dxa"/>
            <w:tcBorders>
              <w:top w:val="single" w:sz="4" w:space="0" w:color="auto"/>
            </w:tcBorders>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（一）</w:t>
            </w:r>
            <w:hyperlink r:id="rId231" w:history="1">
              <w:r>
                <w:rPr>
                  <w:rFonts w:ascii="仿宋" w:eastAsia="仿宋" w:hAnsi="仿宋" w:cs="仿宋" w:hint="eastAsia"/>
                  <w:kern w:val="1"/>
                  <w:sz w:val="24"/>
                </w:rPr>
                <w:t>（A06019）《酒类应税消费品消费税纳税申报表》</w:t>
              </w:r>
            </w:hyperlink>
            <w:r>
              <w:rPr>
                <w:rFonts w:ascii="仿宋" w:eastAsia="仿宋" w:hAnsi="仿宋" w:cs="仿宋" w:hint="eastAsia"/>
                <w:kern w:val="1"/>
                <w:sz w:val="24"/>
              </w:rPr>
              <w:t xml:space="preserve"> 及附表各</w:t>
            </w:r>
            <w:r>
              <w:rPr>
                <w:rFonts w:ascii="仿宋" w:eastAsia="仿宋" w:hAnsi="仿宋" w:cs="仿宋" w:hint="eastAsia"/>
                <w:kern w:val="1"/>
                <w:sz w:val="24"/>
                <w:highlight w:val="lightGray"/>
              </w:rPr>
              <w:t>2份</w:t>
            </w:r>
            <w:r>
              <w:rPr>
                <w:rFonts w:ascii="仿宋" w:eastAsia="仿宋" w:hAnsi="仿宋" w:cs="仿宋" w:hint="eastAsia"/>
                <w:kern w:val="1"/>
                <w:sz w:val="24"/>
              </w:rPr>
              <w:t>。</w:t>
            </w:r>
          </w:p>
        </w:tc>
        <w:tc>
          <w:tcPr>
            <w:tcW w:w="1340" w:type="dxa"/>
            <w:vMerge w:val="restart"/>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纳税人提交</w:t>
            </w:r>
          </w:p>
        </w:tc>
        <w:tc>
          <w:tcPr>
            <w:tcW w:w="2711"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（一）</w:t>
            </w:r>
            <w:hyperlink r:id="rId232" w:history="1">
              <w:r>
                <w:rPr>
                  <w:rFonts w:ascii="仿宋" w:eastAsia="仿宋" w:hAnsi="仿宋" w:cs="仿宋" w:hint="eastAsia"/>
                  <w:kern w:val="1"/>
                  <w:sz w:val="24"/>
                </w:rPr>
                <w:t>（A06019）《酒类应税消费品消费税纳税申报表》</w:t>
              </w:r>
            </w:hyperlink>
            <w:r>
              <w:rPr>
                <w:rFonts w:ascii="仿宋" w:eastAsia="仿宋" w:hAnsi="仿宋" w:cs="仿宋" w:hint="eastAsia"/>
                <w:kern w:val="1"/>
                <w:sz w:val="24"/>
              </w:rPr>
              <w:t xml:space="preserve"> 及附表各1份。</w:t>
            </w:r>
          </w:p>
        </w:tc>
        <w:tc>
          <w:tcPr>
            <w:tcW w:w="1559" w:type="dxa"/>
            <w:vAlign w:val="center"/>
          </w:tcPr>
          <w:p w:rsidR="00013EC7" w:rsidRDefault="00575CDB">
            <w:pPr>
              <w:spacing w:line="300" w:lineRule="exact"/>
              <w:rPr>
                <w:rFonts w:ascii="仿宋" w:eastAsia="仿宋" w:hAnsi="仿宋" w:cs="仿宋"/>
                <w:b/>
                <w:bCs/>
                <w:i/>
                <w:iCs/>
                <w:sz w:val="24"/>
              </w:rPr>
            </w:pPr>
            <w:r>
              <w:rPr>
                <w:rFonts w:ascii="仿宋" w:eastAsia="仿宋" w:hAnsi="仿宋" w:cs="仿宋" w:hint="eastAsia"/>
                <w:sz w:val="24"/>
              </w:rPr>
              <w:t>纳税人提交</w:t>
            </w:r>
          </w:p>
        </w:tc>
        <w:tc>
          <w:tcPr>
            <w:tcW w:w="2631" w:type="dxa"/>
            <w:vMerge w:val="restart"/>
            <w:vAlign w:val="center"/>
          </w:tcPr>
          <w:p w:rsidR="00013EC7" w:rsidRDefault="00575CDB">
            <w:pPr>
              <w:spacing w:line="300" w:lineRule="exac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纳税人提交书面材料。</w:t>
            </w:r>
          </w:p>
          <w:p w:rsidR="00013EC7" w:rsidRDefault="00575CDB">
            <w:pPr>
              <w:spacing w:line="300" w:lineRule="exact"/>
              <w:rPr>
                <w:rFonts w:ascii="仿宋" w:eastAsia="仿宋" w:hAnsi="仿宋" w:cs="仿宋"/>
                <w:sz w:val="24"/>
              </w:rPr>
            </w:pPr>
            <w:r>
              <w:rPr>
                <w:rFonts w:ascii="仿宋" w:eastAsia="仿宋" w:hAnsi="仿宋" w:cs="仿宋" w:hint="eastAsia"/>
                <w:b/>
                <w:sz w:val="24"/>
              </w:rPr>
              <w:t>网上办理：</w:t>
            </w:r>
            <w:r>
              <w:rPr>
                <w:rFonts w:ascii="仿宋" w:eastAsia="仿宋" w:hAnsi="仿宋" w:cs="仿宋" w:hint="eastAsia"/>
                <w:sz w:val="24"/>
              </w:rPr>
              <w:t>登录浙江国税电子税务局（网址：</w:t>
            </w:r>
            <w:hyperlink r:id="rId233" w:tgtFrame="https://wx.qq.com/_blank" w:history="1">
              <w:r>
                <w:rPr>
                  <w:rFonts w:ascii="仿宋" w:eastAsia="仿宋" w:hAnsi="仿宋" w:cs="仿宋" w:hint="eastAsia"/>
                  <w:sz w:val="24"/>
                </w:rPr>
                <w:t>http://etax.zjtax.gov.cn/</w:t>
              </w:r>
            </w:hyperlink>
          </w:p>
          <w:p w:rsidR="00013EC7" w:rsidRDefault="00575CDB">
            <w:pPr>
              <w:spacing w:line="300" w:lineRule="exact"/>
              <w:rPr>
                <w:rFonts w:ascii="仿宋" w:eastAsia="仿宋" w:hAnsi="仿宋" w:cs="仿宋"/>
                <w:b/>
                <w:sz w:val="24"/>
              </w:rPr>
            </w:pPr>
            <w:r>
              <w:rPr>
                <w:rFonts w:ascii="仿宋" w:eastAsia="仿宋" w:hAnsi="仿宋" w:cs="仿宋" w:hint="eastAsia"/>
                <w:sz w:val="24"/>
              </w:rPr>
              <w:t>）提交申请。</w:t>
            </w:r>
          </w:p>
        </w:tc>
        <w:tc>
          <w:tcPr>
            <w:tcW w:w="868"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即时办结</w:t>
            </w:r>
          </w:p>
        </w:tc>
        <w:tc>
          <w:tcPr>
            <w:tcW w:w="889"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即时办结</w:t>
            </w:r>
          </w:p>
        </w:tc>
        <w:tc>
          <w:tcPr>
            <w:tcW w:w="867" w:type="dxa"/>
            <w:vMerge w:val="restart"/>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是</w:t>
            </w:r>
          </w:p>
        </w:tc>
        <w:tc>
          <w:tcPr>
            <w:tcW w:w="1104" w:type="dxa"/>
            <w:vMerge w:val="restart"/>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货物和劳务税处</w:t>
            </w:r>
          </w:p>
        </w:tc>
        <w:tc>
          <w:tcPr>
            <w:tcW w:w="1476" w:type="dxa"/>
            <w:vMerge w:val="restart"/>
            <w:vAlign w:val="center"/>
          </w:tcPr>
          <w:p w:rsidR="00013EC7" w:rsidRDefault="00013EC7">
            <w:pPr>
              <w:spacing w:line="300" w:lineRule="exact"/>
              <w:rPr>
                <w:rFonts w:ascii="仿宋" w:eastAsia="仿宋" w:hAnsi="仿宋" w:cs="仿宋"/>
                <w:sz w:val="24"/>
              </w:rPr>
            </w:pPr>
          </w:p>
        </w:tc>
      </w:tr>
      <w:tr w:rsidR="00013EC7">
        <w:trPr>
          <w:trHeight w:val="2257"/>
          <w:jc w:val="center"/>
        </w:trPr>
        <w:tc>
          <w:tcPr>
            <w:tcW w:w="672" w:type="dxa"/>
            <w:vMerge/>
            <w:vAlign w:val="center"/>
          </w:tcPr>
          <w:p w:rsidR="00013EC7" w:rsidRDefault="00013EC7">
            <w:pPr>
              <w:spacing w:line="300" w:lineRule="exact"/>
              <w:rPr>
                <w:rFonts w:ascii="仿宋" w:eastAsia="仿宋" w:hAnsi="仿宋" w:cs="仿宋"/>
                <w:sz w:val="24"/>
              </w:rPr>
            </w:pPr>
          </w:p>
        </w:tc>
        <w:tc>
          <w:tcPr>
            <w:tcW w:w="1035" w:type="dxa"/>
            <w:vMerge/>
            <w:vAlign w:val="center"/>
          </w:tcPr>
          <w:p w:rsidR="00013EC7" w:rsidRDefault="00013EC7">
            <w:pPr>
              <w:spacing w:line="310" w:lineRule="exact"/>
              <w:rPr>
                <w:rFonts w:ascii="仿宋" w:eastAsia="仿宋" w:hAnsi="仿宋" w:cs="仿宋"/>
                <w:sz w:val="24"/>
              </w:rPr>
            </w:pPr>
          </w:p>
        </w:tc>
        <w:tc>
          <w:tcPr>
            <w:tcW w:w="2921" w:type="dxa"/>
            <w:vMerge/>
            <w:vAlign w:val="center"/>
          </w:tcPr>
          <w:p w:rsidR="00013EC7" w:rsidRDefault="00013EC7">
            <w:pPr>
              <w:rPr>
                <w:rFonts w:ascii="仿宋" w:eastAsia="仿宋" w:hAnsi="仿宋" w:cs="仿宋"/>
                <w:kern w:val="1"/>
                <w:sz w:val="24"/>
              </w:rPr>
            </w:pPr>
          </w:p>
        </w:tc>
        <w:tc>
          <w:tcPr>
            <w:tcW w:w="2760" w:type="dxa"/>
            <w:tcBorders>
              <w:top w:val="single" w:sz="4" w:space="0" w:color="auto"/>
            </w:tcBorders>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（二）（A06633）《本期减（免）税额明细表》</w:t>
            </w:r>
            <w:r>
              <w:rPr>
                <w:rFonts w:ascii="仿宋" w:eastAsia="仿宋" w:hAnsi="仿宋" w:cs="仿宋" w:hint="eastAsia"/>
                <w:kern w:val="1"/>
                <w:sz w:val="24"/>
                <w:highlight w:val="lightGray"/>
              </w:rPr>
              <w:t>2份</w:t>
            </w:r>
            <w:r>
              <w:rPr>
                <w:rFonts w:ascii="仿宋" w:eastAsia="仿宋" w:hAnsi="仿宋" w:cs="仿宋" w:hint="eastAsia"/>
                <w:kern w:val="1"/>
                <w:sz w:val="24"/>
              </w:rPr>
              <w:t>（由享受消费税减免税优惠政策的纳税人在办理消费税纳税申报时填报）。</w:t>
            </w:r>
          </w:p>
        </w:tc>
        <w:tc>
          <w:tcPr>
            <w:tcW w:w="1340" w:type="dxa"/>
            <w:vMerge/>
            <w:vAlign w:val="center"/>
          </w:tcPr>
          <w:p w:rsidR="00013EC7" w:rsidRDefault="00013EC7">
            <w:pPr>
              <w:spacing w:line="300" w:lineRule="exact"/>
              <w:rPr>
                <w:rFonts w:ascii="仿宋" w:eastAsia="仿宋" w:hAnsi="仿宋" w:cs="仿宋"/>
                <w:sz w:val="24"/>
              </w:rPr>
            </w:pPr>
          </w:p>
        </w:tc>
        <w:tc>
          <w:tcPr>
            <w:tcW w:w="2711"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（二）（A06633）《本期减（免）税额明细表》1份。</w:t>
            </w:r>
          </w:p>
        </w:tc>
        <w:tc>
          <w:tcPr>
            <w:tcW w:w="1559" w:type="dxa"/>
            <w:vAlign w:val="center"/>
          </w:tcPr>
          <w:p w:rsidR="00013EC7" w:rsidRDefault="00575CDB">
            <w:pPr>
              <w:spacing w:line="300" w:lineRule="exact"/>
              <w:rPr>
                <w:rFonts w:ascii="仿宋" w:eastAsia="仿宋" w:hAnsi="仿宋" w:cs="仿宋"/>
                <w:b/>
                <w:bCs/>
                <w:i/>
                <w:iCs/>
                <w:sz w:val="24"/>
              </w:rPr>
            </w:pPr>
            <w:r>
              <w:rPr>
                <w:rFonts w:ascii="仿宋" w:eastAsia="仿宋" w:hAnsi="仿宋" w:cs="仿宋" w:hint="eastAsia"/>
                <w:kern w:val="1"/>
                <w:sz w:val="24"/>
              </w:rPr>
              <w:t>享受消费税减免税优惠政策的纳税人提交</w:t>
            </w:r>
          </w:p>
        </w:tc>
        <w:tc>
          <w:tcPr>
            <w:tcW w:w="2631" w:type="dxa"/>
            <w:vMerge/>
            <w:vAlign w:val="center"/>
          </w:tcPr>
          <w:p w:rsidR="00013EC7" w:rsidRDefault="00013EC7">
            <w:pPr>
              <w:spacing w:line="300" w:lineRule="exact"/>
              <w:rPr>
                <w:rFonts w:ascii="仿宋" w:eastAsia="仿宋" w:hAnsi="仿宋" w:cs="仿宋"/>
                <w:sz w:val="24"/>
              </w:rPr>
            </w:pPr>
          </w:p>
        </w:tc>
        <w:tc>
          <w:tcPr>
            <w:tcW w:w="868" w:type="dxa"/>
            <w:vMerge/>
            <w:vAlign w:val="center"/>
          </w:tcPr>
          <w:p w:rsidR="00013EC7" w:rsidRDefault="00013EC7">
            <w:pPr>
              <w:spacing w:line="300" w:lineRule="exact"/>
              <w:rPr>
                <w:rFonts w:ascii="仿宋" w:eastAsia="仿宋" w:hAnsi="仿宋" w:cs="仿宋"/>
                <w:sz w:val="24"/>
              </w:rPr>
            </w:pPr>
          </w:p>
        </w:tc>
        <w:tc>
          <w:tcPr>
            <w:tcW w:w="889" w:type="dxa"/>
            <w:vMerge/>
            <w:vAlign w:val="center"/>
          </w:tcPr>
          <w:p w:rsidR="00013EC7" w:rsidRDefault="00013EC7">
            <w:pPr>
              <w:spacing w:line="300" w:lineRule="exact"/>
              <w:rPr>
                <w:rFonts w:ascii="仿宋" w:eastAsia="仿宋" w:hAnsi="仿宋" w:cs="仿宋"/>
                <w:sz w:val="24"/>
              </w:rPr>
            </w:pPr>
          </w:p>
        </w:tc>
        <w:tc>
          <w:tcPr>
            <w:tcW w:w="867" w:type="dxa"/>
            <w:vMerge/>
            <w:vAlign w:val="center"/>
          </w:tcPr>
          <w:p w:rsidR="00013EC7" w:rsidRDefault="00013EC7">
            <w:pPr>
              <w:spacing w:line="300" w:lineRule="exact"/>
              <w:rPr>
                <w:rFonts w:ascii="仿宋" w:eastAsia="仿宋" w:hAnsi="仿宋" w:cs="仿宋"/>
                <w:sz w:val="24"/>
              </w:rPr>
            </w:pPr>
          </w:p>
        </w:tc>
        <w:tc>
          <w:tcPr>
            <w:tcW w:w="1104" w:type="dxa"/>
            <w:vMerge/>
            <w:vAlign w:val="center"/>
          </w:tcPr>
          <w:p w:rsidR="00013EC7" w:rsidRDefault="00013EC7">
            <w:pPr>
              <w:spacing w:line="300" w:lineRule="exact"/>
              <w:rPr>
                <w:rFonts w:ascii="仿宋" w:eastAsia="仿宋" w:hAnsi="仿宋" w:cs="仿宋"/>
                <w:sz w:val="24"/>
              </w:rPr>
            </w:pPr>
          </w:p>
        </w:tc>
        <w:tc>
          <w:tcPr>
            <w:tcW w:w="1476" w:type="dxa"/>
            <w:vMerge/>
            <w:vAlign w:val="center"/>
          </w:tcPr>
          <w:p w:rsidR="00013EC7" w:rsidRDefault="00013EC7">
            <w:pPr>
              <w:spacing w:line="300" w:lineRule="exact"/>
              <w:rPr>
                <w:rFonts w:ascii="仿宋" w:eastAsia="仿宋" w:hAnsi="仿宋" w:cs="仿宋"/>
                <w:sz w:val="24"/>
              </w:rPr>
            </w:pPr>
          </w:p>
        </w:tc>
      </w:tr>
      <w:tr w:rsidR="00013EC7">
        <w:trPr>
          <w:trHeight w:val="5214"/>
          <w:jc w:val="center"/>
        </w:trPr>
        <w:tc>
          <w:tcPr>
            <w:tcW w:w="672" w:type="dxa"/>
            <w:vMerge/>
            <w:vAlign w:val="center"/>
          </w:tcPr>
          <w:p w:rsidR="00013EC7" w:rsidRDefault="00013EC7">
            <w:pPr>
              <w:spacing w:line="300" w:lineRule="exact"/>
              <w:rPr>
                <w:rFonts w:ascii="仿宋" w:eastAsia="仿宋" w:hAnsi="仿宋" w:cs="仿宋"/>
                <w:sz w:val="24"/>
              </w:rPr>
            </w:pPr>
          </w:p>
        </w:tc>
        <w:tc>
          <w:tcPr>
            <w:tcW w:w="1035" w:type="dxa"/>
            <w:vMerge/>
            <w:vAlign w:val="center"/>
          </w:tcPr>
          <w:p w:rsidR="00013EC7" w:rsidRDefault="00013EC7">
            <w:pPr>
              <w:spacing w:line="310" w:lineRule="exact"/>
              <w:rPr>
                <w:rFonts w:ascii="仿宋" w:eastAsia="仿宋" w:hAnsi="仿宋" w:cs="仿宋"/>
                <w:sz w:val="24"/>
              </w:rPr>
            </w:pPr>
          </w:p>
        </w:tc>
        <w:tc>
          <w:tcPr>
            <w:tcW w:w="2921" w:type="dxa"/>
            <w:vMerge/>
            <w:vAlign w:val="center"/>
          </w:tcPr>
          <w:p w:rsidR="00013EC7" w:rsidRDefault="00013EC7">
            <w:pPr>
              <w:rPr>
                <w:rFonts w:ascii="仿宋" w:eastAsia="仿宋" w:hAnsi="仿宋" w:cs="仿宋"/>
                <w:kern w:val="1"/>
                <w:sz w:val="24"/>
              </w:rPr>
            </w:pPr>
          </w:p>
        </w:tc>
        <w:tc>
          <w:tcPr>
            <w:tcW w:w="2760" w:type="dxa"/>
            <w:tcBorders>
              <w:top w:val="single" w:sz="4" w:space="0" w:color="auto"/>
            </w:tcBorders>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（三）白酒生产企业提供 （A06212）《已核定最低计税价格白酒清单》。</w:t>
            </w:r>
          </w:p>
        </w:tc>
        <w:tc>
          <w:tcPr>
            <w:tcW w:w="1340" w:type="dxa"/>
            <w:vMerge/>
            <w:vAlign w:val="center"/>
          </w:tcPr>
          <w:p w:rsidR="00013EC7" w:rsidRDefault="00013EC7">
            <w:pPr>
              <w:spacing w:line="300" w:lineRule="exact"/>
              <w:rPr>
                <w:rFonts w:ascii="仿宋" w:eastAsia="仿宋" w:hAnsi="仿宋" w:cs="仿宋"/>
                <w:sz w:val="24"/>
              </w:rPr>
            </w:pPr>
          </w:p>
        </w:tc>
        <w:tc>
          <w:tcPr>
            <w:tcW w:w="2711"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（三）（A06212）《已核定最低计税价格白酒清单》1份 。</w:t>
            </w:r>
          </w:p>
        </w:tc>
        <w:tc>
          <w:tcPr>
            <w:tcW w:w="1559" w:type="dxa"/>
            <w:vAlign w:val="center"/>
          </w:tcPr>
          <w:p w:rsidR="00013EC7" w:rsidRDefault="00575CDB">
            <w:pPr>
              <w:spacing w:line="300" w:lineRule="exact"/>
              <w:rPr>
                <w:rFonts w:ascii="仿宋" w:eastAsia="仿宋" w:hAnsi="仿宋" w:cs="仿宋"/>
                <w:b/>
                <w:bCs/>
                <w:i/>
                <w:iCs/>
                <w:sz w:val="24"/>
              </w:rPr>
            </w:pPr>
            <w:r>
              <w:rPr>
                <w:rFonts w:ascii="仿宋" w:eastAsia="仿宋" w:hAnsi="仿宋" w:cs="仿宋" w:hint="eastAsia"/>
                <w:kern w:val="1"/>
                <w:sz w:val="24"/>
              </w:rPr>
              <w:t>白酒生产企业提交</w:t>
            </w:r>
          </w:p>
        </w:tc>
        <w:tc>
          <w:tcPr>
            <w:tcW w:w="2631" w:type="dxa"/>
            <w:vMerge/>
            <w:vAlign w:val="center"/>
          </w:tcPr>
          <w:p w:rsidR="00013EC7" w:rsidRDefault="00013EC7">
            <w:pPr>
              <w:spacing w:line="300" w:lineRule="exact"/>
              <w:rPr>
                <w:rFonts w:ascii="仿宋" w:eastAsia="仿宋" w:hAnsi="仿宋" w:cs="仿宋"/>
                <w:sz w:val="24"/>
              </w:rPr>
            </w:pPr>
          </w:p>
        </w:tc>
        <w:tc>
          <w:tcPr>
            <w:tcW w:w="868" w:type="dxa"/>
            <w:vMerge/>
            <w:vAlign w:val="center"/>
          </w:tcPr>
          <w:p w:rsidR="00013EC7" w:rsidRDefault="00013EC7">
            <w:pPr>
              <w:spacing w:line="300" w:lineRule="exact"/>
              <w:rPr>
                <w:rFonts w:ascii="仿宋" w:eastAsia="仿宋" w:hAnsi="仿宋" w:cs="仿宋"/>
                <w:sz w:val="24"/>
              </w:rPr>
            </w:pPr>
          </w:p>
        </w:tc>
        <w:tc>
          <w:tcPr>
            <w:tcW w:w="889" w:type="dxa"/>
            <w:vMerge/>
            <w:vAlign w:val="center"/>
          </w:tcPr>
          <w:p w:rsidR="00013EC7" w:rsidRDefault="00013EC7">
            <w:pPr>
              <w:spacing w:line="300" w:lineRule="exact"/>
              <w:rPr>
                <w:rFonts w:ascii="仿宋" w:eastAsia="仿宋" w:hAnsi="仿宋" w:cs="仿宋"/>
                <w:sz w:val="24"/>
              </w:rPr>
            </w:pPr>
          </w:p>
        </w:tc>
        <w:tc>
          <w:tcPr>
            <w:tcW w:w="867" w:type="dxa"/>
            <w:vMerge/>
            <w:vAlign w:val="center"/>
          </w:tcPr>
          <w:p w:rsidR="00013EC7" w:rsidRDefault="00013EC7">
            <w:pPr>
              <w:spacing w:line="300" w:lineRule="exact"/>
              <w:rPr>
                <w:rFonts w:ascii="仿宋" w:eastAsia="仿宋" w:hAnsi="仿宋" w:cs="仿宋"/>
                <w:sz w:val="24"/>
              </w:rPr>
            </w:pPr>
          </w:p>
        </w:tc>
        <w:tc>
          <w:tcPr>
            <w:tcW w:w="1104" w:type="dxa"/>
            <w:vMerge/>
            <w:vAlign w:val="center"/>
          </w:tcPr>
          <w:p w:rsidR="00013EC7" w:rsidRDefault="00013EC7">
            <w:pPr>
              <w:spacing w:line="300" w:lineRule="exact"/>
              <w:rPr>
                <w:rFonts w:ascii="仿宋" w:eastAsia="仿宋" w:hAnsi="仿宋" w:cs="仿宋"/>
                <w:sz w:val="24"/>
              </w:rPr>
            </w:pPr>
          </w:p>
        </w:tc>
        <w:tc>
          <w:tcPr>
            <w:tcW w:w="1476" w:type="dxa"/>
            <w:vMerge/>
            <w:vAlign w:val="center"/>
          </w:tcPr>
          <w:p w:rsidR="00013EC7" w:rsidRDefault="00013EC7">
            <w:pPr>
              <w:spacing w:line="300" w:lineRule="exact"/>
              <w:rPr>
                <w:rFonts w:ascii="仿宋" w:eastAsia="仿宋" w:hAnsi="仿宋" w:cs="仿宋"/>
                <w:sz w:val="24"/>
              </w:rPr>
            </w:pPr>
          </w:p>
        </w:tc>
      </w:tr>
    </w:tbl>
    <w:p w:rsidR="00013EC7" w:rsidRDefault="00575CDB">
      <w:pPr>
        <w:rPr>
          <w:rFonts w:ascii="仿宋" w:eastAsia="仿宋" w:hAnsi="仿宋" w:cs="仿宋"/>
          <w:sz w:val="24"/>
        </w:rPr>
      </w:pPr>
      <w:r>
        <w:object w:dxaOrig="9638" w:dyaOrig="11491">
          <v:shape id="_x0000_i1730" type="#_x0000_t75" style="width:481.9pt;height:574.55pt" o:ole="">
            <v:imagedata r:id="rId234" o:title=""/>
          </v:shape>
          <o:OLEObject Type="Embed" ProgID="Visio.Drawing.11" ShapeID="_x0000_i1730" DrawAspect="Content" ObjectID="_1577296116" r:id="rId235"/>
        </w:object>
      </w:r>
      <w:r>
        <w:rPr>
          <w:rFonts w:ascii="宋体" w:hAnsi="宋体" w:cs="宋体"/>
          <w:kern w:val="1"/>
          <w:szCs w:val="21"/>
        </w:rPr>
        <w:object w:dxaOrig="8184" w:dyaOrig="11506">
          <v:shape id="_x0000_i1731" type="#_x0000_t75" style="width:409.6pt;height:575.3pt" o:ole="">
            <v:imagedata r:id="rId236" o:title=""/>
            <o:lock v:ext="edit" aspectratio="f"/>
          </v:shape>
          <o:OLEObject Type="Embed" ProgID="Visio.Drawing.11" ShapeID="_x0000_i1731" DrawAspect="Content" ObjectID="_1577296117" r:id="rId237"/>
        </w:object>
      </w:r>
    </w:p>
    <w:p w:rsidR="00013EC7" w:rsidRDefault="00013EC7"/>
    <w:p w:rsidR="00013EC7" w:rsidRDefault="00013EC7"/>
    <w:p w:rsidR="00013EC7" w:rsidRDefault="00013EC7"/>
    <w:p w:rsidR="00013EC7" w:rsidRDefault="00013EC7"/>
    <w:p w:rsidR="00013EC7" w:rsidRDefault="00013EC7"/>
    <w:p w:rsidR="00013EC7" w:rsidRDefault="00575CDB">
      <w:pPr>
        <w:pStyle w:val="2"/>
      </w:pPr>
      <w:bookmarkStart w:id="315" w:name="_Toc6160"/>
      <w:bookmarkStart w:id="316" w:name="_Toc32638"/>
      <w:bookmarkStart w:id="317" w:name="_Toc503467426"/>
      <w:bookmarkStart w:id="318" w:name="_Toc10366"/>
      <w:r>
        <w:rPr>
          <w:rFonts w:hint="eastAsia"/>
        </w:rPr>
        <w:lastRenderedPageBreak/>
        <w:t>17.6</w:t>
      </w:r>
      <w:r>
        <w:rPr>
          <w:rFonts w:hint="eastAsia"/>
        </w:rPr>
        <w:t>成品油消费税申报</w:t>
      </w:r>
      <w:bookmarkEnd w:id="315"/>
      <w:bookmarkEnd w:id="316"/>
      <w:bookmarkEnd w:id="317"/>
      <w:bookmarkEnd w:id="318"/>
    </w:p>
    <w:p w:rsidR="00013EC7" w:rsidRDefault="00575CDB">
      <w:pPr>
        <w:jc w:val="center"/>
        <w:rPr>
          <w:rFonts w:ascii="宋体" w:hAnsi="宋体" w:cs="宋体"/>
          <w:b/>
          <w:bCs/>
          <w:sz w:val="52"/>
          <w:szCs w:val="52"/>
        </w:rPr>
      </w:pPr>
      <w:r>
        <w:rPr>
          <w:rFonts w:ascii="宋体" w:hAnsi="宋体" w:cs="宋体" w:hint="eastAsia"/>
          <w:b/>
          <w:bCs/>
          <w:sz w:val="52"/>
          <w:szCs w:val="52"/>
        </w:rPr>
        <w:t>全省“最多跑一次”事项“八统一”梳理表</w:t>
      </w:r>
    </w:p>
    <w:tbl>
      <w:tblPr>
        <w:tblW w:w="20726"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2987"/>
        <w:gridCol w:w="4394"/>
        <w:gridCol w:w="1134"/>
        <w:gridCol w:w="2126"/>
        <w:gridCol w:w="1201"/>
        <w:gridCol w:w="2126"/>
        <w:gridCol w:w="715"/>
        <w:gridCol w:w="798"/>
        <w:gridCol w:w="958"/>
        <w:gridCol w:w="1104"/>
        <w:gridCol w:w="1476"/>
      </w:tblGrid>
      <w:tr w:rsidR="00013EC7">
        <w:trPr>
          <w:trHeight w:val="340"/>
          <w:tblHeader/>
          <w:jc w:val="center"/>
        </w:trPr>
        <w:tc>
          <w:tcPr>
            <w:tcW w:w="672" w:type="dxa"/>
            <w:vMerge w:val="restart"/>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主项名称</w:t>
            </w:r>
          </w:p>
        </w:tc>
        <w:tc>
          <w:tcPr>
            <w:tcW w:w="1035" w:type="dxa"/>
            <w:vMerge w:val="restart"/>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子项名称</w:t>
            </w:r>
          </w:p>
        </w:tc>
        <w:tc>
          <w:tcPr>
            <w:tcW w:w="2987" w:type="dxa"/>
            <w:vMerge w:val="restart"/>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经办依据</w:t>
            </w:r>
          </w:p>
        </w:tc>
        <w:tc>
          <w:tcPr>
            <w:tcW w:w="5528" w:type="dxa"/>
            <w:gridSpan w:val="2"/>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原经办所需材料</w:t>
            </w:r>
          </w:p>
        </w:tc>
        <w:tc>
          <w:tcPr>
            <w:tcW w:w="5453" w:type="dxa"/>
            <w:gridSpan w:val="3"/>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精简后经办所需材料</w:t>
            </w:r>
          </w:p>
        </w:tc>
        <w:tc>
          <w:tcPr>
            <w:tcW w:w="1513" w:type="dxa"/>
            <w:gridSpan w:val="2"/>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办理时限</w:t>
            </w:r>
          </w:p>
        </w:tc>
        <w:tc>
          <w:tcPr>
            <w:tcW w:w="958" w:type="dxa"/>
            <w:vMerge w:val="restart"/>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是否实现跑零次</w:t>
            </w:r>
          </w:p>
        </w:tc>
        <w:tc>
          <w:tcPr>
            <w:tcW w:w="1104" w:type="dxa"/>
            <w:vMerge w:val="restart"/>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省厅对口</w:t>
            </w:r>
          </w:p>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指导处室</w:t>
            </w:r>
          </w:p>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（单位）</w:t>
            </w:r>
          </w:p>
        </w:tc>
        <w:tc>
          <w:tcPr>
            <w:tcW w:w="1476" w:type="dxa"/>
            <w:vMerge w:val="restart"/>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进一步精简、</w:t>
            </w:r>
          </w:p>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规范建议</w:t>
            </w:r>
          </w:p>
        </w:tc>
      </w:tr>
      <w:tr w:rsidR="00013EC7">
        <w:trPr>
          <w:trHeight w:val="340"/>
          <w:tblHeader/>
          <w:jc w:val="center"/>
        </w:trPr>
        <w:tc>
          <w:tcPr>
            <w:tcW w:w="672" w:type="dxa"/>
            <w:vMerge/>
            <w:vAlign w:val="center"/>
          </w:tcPr>
          <w:p w:rsidR="00013EC7" w:rsidRDefault="00013EC7">
            <w:pPr>
              <w:jc w:val="center"/>
              <w:rPr>
                <w:rFonts w:ascii="黑体" w:eastAsia="黑体" w:hAnsi="黑体" w:cs="黑体"/>
                <w:sz w:val="24"/>
              </w:rPr>
            </w:pPr>
          </w:p>
        </w:tc>
        <w:tc>
          <w:tcPr>
            <w:tcW w:w="1035" w:type="dxa"/>
            <w:vMerge/>
            <w:vAlign w:val="center"/>
          </w:tcPr>
          <w:p w:rsidR="00013EC7" w:rsidRDefault="00013EC7">
            <w:pPr>
              <w:jc w:val="center"/>
              <w:rPr>
                <w:rFonts w:ascii="黑体" w:eastAsia="黑体" w:hAnsi="黑体" w:cs="黑体"/>
                <w:sz w:val="24"/>
              </w:rPr>
            </w:pPr>
          </w:p>
        </w:tc>
        <w:tc>
          <w:tcPr>
            <w:tcW w:w="2987" w:type="dxa"/>
            <w:vMerge/>
            <w:vAlign w:val="center"/>
          </w:tcPr>
          <w:p w:rsidR="00013EC7" w:rsidRDefault="00013EC7">
            <w:pPr>
              <w:jc w:val="center"/>
              <w:rPr>
                <w:rFonts w:ascii="黑体" w:eastAsia="黑体" w:hAnsi="黑体" w:cs="黑体"/>
                <w:sz w:val="24"/>
              </w:rPr>
            </w:pPr>
          </w:p>
        </w:tc>
        <w:tc>
          <w:tcPr>
            <w:tcW w:w="4394" w:type="dxa"/>
            <w:tcBorders>
              <w:bottom w:val="single" w:sz="4" w:space="0" w:color="auto"/>
            </w:tcBorders>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材料明细</w:t>
            </w:r>
          </w:p>
        </w:tc>
        <w:tc>
          <w:tcPr>
            <w:tcW w:w="1134"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材料来源</w:t>
            </w:r>
          </w:p>
        </w:tc>
        <w:tc>
          <w:tcPr>
            <w:tcW w:w="2126"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材料明细</w:t>
            </w:r>
          </w:p>
        </w:tc>
        <w:tc>
          <w:tcPr>
            <w:tcW w:w="1201"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材料来源</w:t>
            </w:r>
          </w:p>
        </w:tc>
        <w:tc>
          <w:tcPr>
            <w:tcW w:w="2126"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办理方式及材料</w:t>
            </w:r>
          </w:p>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信息获取方式说明</w:t>
            </w:r>
          </w:p>
        </w:tc>
        <w:tc>
          <w:tcPr>
            <w:tcW w:w="715"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优化前</w:t>
            </w:r>
          </w:p>
        </w:tc>
        <w:tc>
          <w:tcPr>
            <w:tcW w:w="798"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优化后</w:t>
            </w: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1357"/>
          <w:jc w:val="center"/>
        </w:trPr>
        <w:tc>
          <w:tcPr>
            <w:tcW w:w="672" w:type="dxa"/>
            <w:vMerge w:val="restart"/>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17日常税费申报</w:t>
            </w:r>
          </w:p>
        </w:tc>
        <w:tc>
          <w:tcPr>
            <w:tcW w:w="1035" w:type="dxa"/>
            <w:vMerge w:val="restart"/>
            <w:vAlign w:val="center"/>
          </w:tcPr>
          <w:p w:rsidR="00013EC7" w:rsidRDefault="00575CDB">
            <w:pPr>
              <w:spacing w:line="310" w:lineRule="exact"/>
              <w:rPr>
                <w:rFonts w:ascii="仿宋" w:eastAsia="仿宋" w:hAnsi="仿宋" w:cs="仿宋"/>
                <w:sz w:val="24"/>
              </w:rPr>
            </w:pPr>
            <w:r>
              <w:rPr>
                <w:rFonts w:ascii="仿宋" w:eastAsia="仿宋" w:hAnsi="仿宋" w:cs="仿宋" w:hint="eastAsia"/>
                <w:sz w:val="24"/>
              </w:rPr>
              <w:t>17.6成品油消费税申报</w:t>
            </w:r>
          </w:p>
        </w:tc>
        <w:tc>
          <w:tcPr>
            <w:tcW w:w="2987" w:type="dxa"/>
            <w:vMerge w:val="restart"/>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（一）《中华人民共和国消费税暂行条例》（2008年中华人民共和国国务院令第539号）全文。</w:t>
            </w:r>
          </w:p>
          <w:p w:rsidR="00013EC7" w:rsidRDefault="00575CDB">
            <w:pPr>
              <w:rPr>
                <w:rFonts w:ascii="仿宋" w:eastAsia="仿宋" w:hAnsi="仿宋" w:cs="仿宋"/>
                <w:kern w:val="1"/>
                <w:sz w:val="24"/>
              </w:rPr>
            </w:pPr>
            <w:r>
              <w:rPr>
                <w:rFonts w:ascii="仿宋" w:eastAsia="仿宋" w:hAnsi="仿宋" w:cs="仿宋" w:hint="eastAsia"/>
                <w:kern w:val="1"/>
                <w:sz w:val="24"/>
              </w:rPr>
              <w:t>（二）《财政部 国家税务总局关于提高成品油消费税税率后相关成品油消费税政策的通知》（财税〔2008〕168号）全文。</w:t>
            </w:r>
          </w:p>
          <w:p w:rsidR="00013EC7" w:rsidRDefault="00575CDB">
            <w:pPr>
              <w:rPr>
                <w:rFonts w:ascii="仿宋" w:eastAsia="仿宋" w:hAnsi="仿宋" w:cs="仿宋"/>
                <w:kern w:val="1"/>
                <w:sz w:val="24"/>
              </w:rPr>
            </w:pPr>
            <w:r>
              <w:rPr>
                <w:rFonts w:ascii="仿宋" w:eastAsia="仿宋" w:hAnsi="仿宋" w:cs="仿宋" w:hint="eastAsia"/>
                <w:kern w:val="1"/>
                <w:sz w:val="24"/>
              </w:rPr>
              <w:t>（三）《国务院关于实施成品油价格和税费改革的通知》（国发〔2008〕37号）全文。</w:t>
            </w:r>
          </w:p>
          <w:p w:rsidR="00013EC7" w:rsidRDefault="00575CDB">
            <w:pPr>
              <w:rPr>
                <w:rFonts w:ascii="仿宋" w:eastAsia="仿宋" w:hAnsi="仿宋" w:cs="仿宋"/>
                <w:kern w:val="1"/>
                <w:sz w:val="24"/>
              </w:rPr>
            </w:pPr>
            <w:r>
              <w:rPr>
                <w:rFonts w:ascii="仿宋" w:eastAsia="仿宋" w:hAnsi="仿宋" w:cs="仿宋" w:hint="eastAsia"/>
                <w:kern w:val="1"/>
                <w:sz w:val="24"/>
              </w:rPr>
              <w:t>（四）《国家税务总局关于消费税有关政策问题的公告》（国家税务总局公告2012年第47号）全文。</w:t>
            </w:r>
          </w:p>
          <w:p w:rsidR="00013EC7" w:rsidRDefault="00575CDB">
            <w:pPr>
              <w:rPr>
                <w:rFonts w:ascii="仿宋" w:eastAsia="仿宋" w:hAnsi="仿宋" w:cs="仿宋"/>
                <w:kern w:val="1"/>
                <w:sz w:val="24"/>
              </w:rPr>
            </w:pPr>
            <w:r>
              <w:rPr>
                <w:rFonts w:ascii="仿宋" w:eastAsia="仿宋" w:hAnsi="仿宋" w:cs="仿宋" w:hint="eastAsia"/>
                <w:kern w:val="1"/>
                <w:sz w:val="24"/>
              </w:rPr>
              <w:t>（五）《国税税务总局关于取消两项消费税审批事项后有关管理问题的公告》（国家税务总局公告2015年第39号）第二条、第三条。</w:t>
            </w:r>
          </w:p>
          <w:p w:rsidR="00013EC7" w:rsidRDefault="00575CDB">
            <w:pPr>
              <w:rPr>
                <w:rFonts w:ascii="仿宋" w:eastAsia="仿宋" w:hAnsi="仿宋" w:cs="仿宋"/>
                <w:kern w:val="1"/>
                <w:sz w:val="24"/>
              </w:rPr>
            </w:pPr>
            <w:r>
              <w:rPr>
                <w:rFonts w:ascii="仿宋" w:eastAsia="仿宋" w:hAnsi="仿宋" w:cs="仿宋" w:hint="eastAsia"/>
                <w:kern w:val="1"/>
                <w:sz w:val="24"/>
              </w:rPr>
              <w:t>（六）《国家税务总局关于印发&lt;石脑油、燃料油退（免）消费税管理操作规程（试行）&gt;的通知》（税总函〔2014〕412号）全文。</w:t>
            </w:r>
          </w:p>
          <w:p w:rsidR="00013EC7" w:rsidRDefault="00575CDB">
            <w:pPr>
              <w:rPr>
                <w:rFonts w:ascii="仿宋" w:eastAsia="仿宋" w:hAnsi="仿宋" w:cs="仿宋"/>
                <w:kern w:val="1"/>
                <w:sz w:val="24"/>
              </w:rPr>
            </w:pPr>
            <w:r>
              <w:rPr>
                <w:rFonts w:ascii="仿宋" w:eastAsia="仿宋" w:hAnsi="仿宋" w:cs="仿宋" w:hint="eastAsia"/>
                <w:kern w:val="1"/>
                <w:sz w:val="24"/>
              </w:rPr>
              <w:t>（七）《财政部国家税务总局关于调整消费税政策的通知》（财税〔2014〕93号）第三条。</w:t>
            </w:r>
          </w:p>
          <w:p w:rsidR="00013EC7" w:rsidRDefault="00575CDB">
            <w:pPr>
              <w:rPr>
                <w:rFonts w:ascii="仿宋" w:eastAsia="仿宋" w:hAnsi="仿宋" w:cs="仿宋"/>
                <w:kern w:val="1"/>
                <w:sz w:val="24"/>
              </w:rPr>
            </w:pPr>
            <w:r>
              <w:rPr>
                <w:rFonts w:ascii="仿宋" w:eastAsia="仿宋" w:hAnsi="仿宋" w:cs="仿宋" w:hint="eastAsia"/>
                <w:kern w:val="1"/>
                <w:sz w:val="24"/>
              </w:rPr>
              <w:t>（八）《财政部国家税务总</w:t>
            </w:r>
            <w:r>
              <w:rPr>
                <w:rFonts w:ascii="仿宋" w:eastAsia="仿宋" w:hAnsi="仿宋" w:cs="仿宋" w:hint="eastAsia"/>
                <w:kern w:val="1"/>
                <w:sz w:val="24"/>
              </w:rPr>
              <w:lastRenderedPageBreak/>
              <w:t>局关于提高成品油消费税的通知》（财税〔2014〕94号）全文。</w:t>
            </w:r>
          </w:p>
          <w:p w:rsidR="00013EC7" w:rsidRDefault="00575CDB">
            <w:pPr>
              <w:rPr>
                <w:rFonts w:ascii="仿宋" w:eastAsia="仿宋" w:hAnsi="仿宋" w:cs="仿宋"/>
                <w:kern w:val="1"/>
                <w:sz w:val="24"/>
              </w:rPr>
            </w:pPr>
            <w:r>
              <w:rPr>
                <w:rFonts w:ascii="仿宋" w:eastAsia="仿宋" w:hAnsi="仿宋" w:cs="仿宋" w:hint="eastAsia"/>
                <w:kern w:val="1"/>
                <w:sz w:val="24"/>
              </w:rPr>
              <w:t>（九）《财政部国家税务总局关于进一步提高成品油消费税的通知》（财税〔2014〕106号）全文。</w:t>
            </w:r>
          </w:p>
          <w:p w:rsidR="00013EC7" w:rsidRDefault="00575CDB">
            <w:pPr>
              <w:rPr>
                <w:rFonts w:ascii="仿宋" w:eastAsia="仿宋" w:hAnsi="仿宋" w:cs="仿宋"/>
                <w:kern w:val="1"/>
                <w:sz w:val="24"/>
              </w:rPr>
            </w:pPr>
            <w:r>
              <w:rPr>
                <w:rFonts w:ascii="仿宋" w:eastAsia="仿宋" w:hAnsi="仿宋" w:cs="仿宋" w:hint="eastAsia"/>
                <w:kern w:val="1"/>
                <w:sz w:val="24"/>
              </w:rPr>
              <w:t>（十）《国家税务总局关于调整消费税纳税申报表有关问题的公告》（国家税务总局公告2014年第72号）全文。</w:t>
            </w:r>
          </w:p>
          <w:p w:rsidR="00013EC7" w:rsidRDefault="00575CDB">
            <w:pPr>
              <w:rPr>
                <w:rFonts w:ascii="仿宋" w:eastAsia="仿宋" w:hAnsi="仿宋" w:cs="仿宋"/>
                <w:kern w:val="1"/>
                <w:sz w:val="24"/>
              </w:rPr>
            </w:pPr>
            <w:r>
              <w:rPr>
                <w:rFonts w:ascii="仿宋" w:eastAsia="仿宋" w:hAnsi="仿宋" w:cs="仿宋" w:hint="eastAsia"/>
                <w:kern w:val="1"/>
                <w:sz w:val="24"/>
              </w:rPr>
              <w:t>（十一）《财政部国家税务总局关于继续提高成品油消费税的通知》（财税〔2015〕11号）全文。</w:t>
            </w:r>
          </w:p>
          <w:p w:rsidR="00013EC7" w:rsidRDefault="00575CDB">
            <w:pPr>
              <w:rPr>
                <w:rFonts w:ascii="仿宋" w:eastAsia="仿宋" w:hAnsi="仿宋" w:cs="仿宋"/>
                <w:kern w:val="1"/>
                <w:sz w:val="24"/>
              </w:rPr>
            </w:pPr>
            <w:r>
              <w:rPr>
                <w:rFonts w:ascii="仿宋" w:eastAsia="仿宋" w:hAnsi="仿宋" w:cs="仿宋" w:hint="eastAsia"/>
                <w:kern w:val="1"/>
                <w:sz w:val="24"/>
              </w:rPr>
              <w:t>（十二）《国家税务总局关于成品油消费税征收管理有关问题的公告》（国家税务总局公告2018年第1号）第三条。</w:t>
            </w:r>
          </w:p>
          <w:p w:rsidR="00013EC7" w:rsidRDefault="00575CDB">
            <w:pPr>
              <w:rPr>
                <w:rFonts w:ascii="仿宋" w:eastAsia="仿宋" w:hAnsi="仿宋" w:cs="仿宋"/>
                <w:kern w:val="1"/>
                <w:sz w:val="24"/>
              </w:rPr>
            </w:pPr>
            <w:r>
              <w:rPr>
                <w:rFonts w:ascii="仿宋" w:eastAsia="仿宋" w:hAnsi="仿宋" w:cs="仿宋" w:hint="eastAsia"/>
                <w:kern w:val="1"/>
                <w:sz w:val="24"/>
              </w:rPr>
              <w:t>（十三）《国家税务总局关于调整消费税纳税申报有关事项的公告》（国家税务总局公告2015年第32号）全文。</w:t>
            </w:r>
          </w:p>
          <w:p w:rsidR="00013EC7" w:rsidRDefault="00575CDB">
            <w:pPr>
              <w:rPr>
                <w:rFonts w:ascii="仿宋" w:eastAsia="仿宋" w:hAnsi="仿宋" w:cs="仿宋"/>
                <w:kern w:val="1"/>
                <w:sz w:val="24"/>
              </w:rPr>
            </w:pPr>
            <w:r>
              <w:rPr>
                <w:rFonts w:ascii="仿宋" w:eastAsia="仿宋" w:hAnsi="仿宋" w:cs="仿宋" w:hint="eastAsia"/>
                <w:kern w:val="1"/>
                <w:sz w:val="24"/>
              </w:rPr>
              <w:t>（十四）《国家税务总局关于消费税有关政策问题补充规定的公告》（国家税务总局公告2013年第50号）全文。</w:t>
            </w:r>
          </w:p>
          <w:p w:rsidR="00013EC7" w:rsidRDefault="00013EC7">
            <w:pPr>
              <w:rPr>
                <w:rFonts w:ascii="仿宋" w:eastAsia="仿宋" w:hAnsi="仿宋" w:cs="仿宋"/>
                <w:kern w:val="1"/>
                <w:sz w:val="24"/>
              </w:rPr>
            </w:pPr>
          </w:p>
        </w:tc>
        <w:tc>
          <w:tcPr>
            <w:tcW w:w="4394" w:type="dxa"/>
            <w:tcBorders>
              <w:top w:val="single" w:sz="4" w:space="0" w:color="auto"/>
            </w:tcBorders>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lastRenderedPageBreak/>
              <w:t>（一）（A06599）《成品油消费税纳税申报表》及附表各</w:t>
            </w:r>
            <w:r>
              <w:rPr>
                <w:rFonts w:ascii="仿宋" w:eastAsia="仿宋" w:hAnsi="仿宋" w:cs="仿宋" w:hint="eastAsia"/>
                <w:kern w:val="1"/>
                <w:sz w:val="24"/>
                <w:highlight w:val="lightGray"/>
              </w:rPr>
              <w:t>2份</w:t>
            </w:r>
            <w:r>
              <w:rPr>
                <w:rFonts w:ascii="仿宋" w:eastAsia="仿宋" w:hAnsi="仿宋" w:cs="仿宋" w:hint="eastAsia"/>
                <w:kern w:val="1"/>
                <w:sz w:val="24"/>
              </w:rPr>
              <w:t>。</w:t>
            </w:r>
          </w:p>
        </w:tc>
        <w:tc>
          <w:tcPr>
            <w:tcW w:w="1134"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纳税人提交</w:t>
            </w:r>
          </w:p>
        </w:tc>
        <w:tc>
          <w:tcPr>
            <w:tcW w:w="2126"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（一）（A06599）《成品油消费税纳税申报表》及附表各1份。</w:t>
            </w:r>
          </w:p>
        </w:tc>
        <w:tc>
          <w:tcPr>
            <w:tcW w:w="1201" w:type="dxa"/>
            <w:vAlign w:val="center"/>
          </w:tcPr>
          <w:p w:rsidR="00013EC7" w:rsidRDefault="00575CDB">
            <w:pPr>
              <w:spacing w:line="300" w:lineRule="exact"/>
              <w:rPr>
                <w:rFonts w:ascii="仿宋" w:eastAsia="仿宋" w:hAnsi="仿宋" w:cs="仿宋"/>
                <w:b/>
                <w:bCs/>
                <w:i/>
                <w:iCs/>
                <w:sz w:val="24"/>
              </w:rPr>
            </w:pPr>
            <w:r>
              <w:rPr>
                <w:rFonts w:ascii="仿宋" w:eastAsia="仿宋" w:hAnsi="仿宋" w:cs="仿宋" w:hint="eastAsia"/>
                <w:sz w:val="24"/>
              </w:rPr>
              <w:t>纳税人提交</w:t>
            </w:r>
          </w:p>
        </w:tc>
        <w:tc>
          <w:tcPr>
            <w:tcW w:w="2126" w:type="dxa"/>
            <w:vMerge w:val="restart"/>
            <w:vAlign w:val="center"/>
          </w:tcPr>
          <w:p w:rsidR="00013EC7" w:rsidRDefault="00575CDB">
            <w:pPr>
              <w:spacing w:line="300" w:lineRule="exac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纳税人提交书面材料。</w:t>
            </w:r>
          </w:p>
          <w:p w:rsidR="00013EC7" w:rsidRDefault="00575CDB">
            <w:pPr>
              <w:spacing w:line="300" w:lineRule="exact"/>
              <w:rPr>
                <w:rFonts w:ascii="仿宋" w:eastAsia="仿宋" w:hAnsi="仿宋" w:cs="仿宋"/>
                <w:sz w:val="24"/>
              </w:rPr>
            </w:pPr>
            <w:r>
              <w:rPr>
                <w:rFonts w:ascii="仿宋" w:eastAsia="仿宋" w:hAnsi="仿宋" w:cs="仿宋" w:hint="eastAsia"/>
                <w:b/>
                <w:sz w:val="24"/>
              </w:rPr>
              <w:t>网上办理：</w:t>
            </w:r>
            <w:r>
              <w:rPr>
                <w:rFonts w:ascii="仿宋" w:eastAsia="仿宋" w:hAnsi="仿宋" w:cs="仿宋" w:hint="eastAsia"/>
                <w:sz w:val="24"/>
              </w:rPr>
              <w:t>登录浙江国税电子税务局（网址：</w:t>
            </w:r>
            <w:hyperlink r:id="rId238" w:tgtFrame="https://wx.qq.com/_blank" w:history="1">
              <w:r>
                <w:rPr>
                  <w:rFonts w:ascii="仿宋" w:eastAsia="仿宋" w:hAnsi="仿宋" w:cs="仿宋" w:hint="eastAsia"/>
                  <w:sz w:val="24"/>
                </w:rPr>
                <w:t>http://etax.zjtax.gov.cn/</w:t>
              </w:r>
            </w:hyperlink>
          </w:p>
          <w:p w:rsidR="00013EC7" w:rsidRDefault="00575CDB">
            <w:pPr>
              <w:spacing w:line="300" w:lineRule="exact"/>
              <w:rPr>
                <w:rFonts w:ascii="仿宋" w:eastAsia="仿宋" w:hAnsi="仿宋" w:cs="仿宋"/>
                <w:b/>
                <w:sz w:val="24"/>
              </w:rPr>
            </w:pPr>
            <w:r>
              <w:rPr>
                <w:rFonts w:ascii="仿宋" w:eastAsia="仿宋" w:hAnsi="仿宋" w:cs="仿宋" w:hint="eastAsia"/>
                <w:sz w:val="24"/>
              </w:rPr>
              <w:t>）提交申请。</w:t>
            </w:r>
          </w:p>
        </w:tc>
        <w:tc>
          <w:tcPr>
            <w:tcW w:w="715" w:type="dxa"/>
            <w:vMerge w:val="restart"/>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即时办结</w:t>
            </w:r>
          </w:p>
        </w:tc>
        <w:tc>
          <w:tcPr>
            <w:tcW w:w="798" w:type="dxa"/>
            <w:vMerge w:val="restart"/>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即时办结</w:t>
            </w:r>
          </w:p>
        </w:tc>
        <w:tc>
          <w:tcPr>
            <w:tcW w:w="958" w:type="dxa"/>
            <w:vMerge w:val="restart"/>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是</w:t>
            </w:r>
          </w:p>
        </w:tc>
        <w:tc>
          <w:tcPr>
            <w:tcW w:w="1104" w:type="dxa"/>
            <w:vMerge w:val="restart"/>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货物和劳务税处</w:t>
            </w:r>
          </w:p>
        </w:tc>
        <w:tc>
          <w:tcPr>
            <w:tcW w:w="1476" w:type="dxa"/>
            <w:vMerge w:val="restart"/>
            <w:vAlign w:val="center"/>
          </w:tcPr>
          <w:p w:rsidR="00013EC7" w:rsidRDefault="00013EC7">
            <w:pPr>
              <w:spacing w:line="300" w:lineRule="exact"/>
              <w:rPr>
                <w:rFonts w:ascii="仿宋" w:eastAsia="仿宋" w:hAnsi="仿宋" w:cs="仿宋"/>
                <w:sz w:val="24"/>
              </w:rPr>
            </w:pPr>
          </w:p>
        </w:tc>
      </w:tr>
      <w:tr w:rsidR="00013EC7">
        <w:trPr>
          <w:trHeight w:val="1354"/>
          <w:jc w:val="center"/>
        </w:trPr>
        <w:tc>
          <w:tcPr>
            <w:tcW w:w="672" w:type="dxa"/>
            <w:vMerge/>
            <w:vAlign w:val="center"/>
          </w:tcPr>
          <w:p w:rsidR="00013EC7" w:rsidRDefault="00013EC7">
            <w:pPr>
              <w:spacing w:line="300" w:lineRule="exact"/>
              <w:rPr>
                <w:rFonts w:ascii="仿宋" w:eastAsia="仿宋" w:hAnsi="仿宋" w:cs="仿宋"/>
                <w:sz w:val="24"/>
              </w:rPr>
            </w:pPr>
          </w:p>
        </w:tc>
        <w:tc>
          <w:tcPr>
            <w:tcW w:w="1035" w:type="dxa"/>
            <w:vMerge/>
            <w:vAlign w:val="center"/>
          </w:tcPr>
          <w:p w:rsidR="00013EC7" w:rsidRDefault="00013EC7">
            <w:pPr>
              <w:spacing w:line="310" w:lineRule="exact"/>
              <w:rPr>
                <w:rFonts w:ascii="仿宋" w:eastAsia="仿宋" w:hAnsi="仿宋" w:cs="仿宋"/>
                <w:sz w:val="24"/>
              </w:rPr>
            </w:pPr>
          </w:p>
        </w:tc>
        <w:tc>
          <w:tcPr>
            <w:tcW w:w="2987" w:type="dxa"/>
            <w:vMerge/>
            <w:vAlign w:val="center"/>
          </w:tcPr>
          <w:p w:rsidR="00013EC7" w:rsidRDefault="00013EC7">
            <w:pPr>
              <w:rPr>
                <w:rFonts w:ascii="仿宋" w:eastAsia="仿宋" w:hAnsi="仿宋" w:cs="仿宋"/>
                <w:kern w:val="1"/>
                <w:sz w:val="24"/>
              </w:rPr>
            </w:pPr>
          </w:p>
        </w:tc>
        <w:tc>
          <w:tcPr>
            <w:tcW w:w="4394" w:type="dxa"/>
            <w:tcBorders>
              <w:top w:val="single" w:sz="4" w:space="0" w:color="auto"/>
            </w:tcBorders>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（二）（A06449）《生产企业销售含税石脑油、燃料油完税情况明细表》。</w:t>
            </w:r>
          </w:p>
        </w:tc>
        <w:tc>
          <w:tcPr>
            <w:tcW w:w="1134"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kern w:val="1"/>
                <w:sz w:val="24"/>
              </w:rPr>
              <w:t>石脑油、燃料油生产企业提交</w:t>
            </w:r>
          </w:p>
        </w:tc>
        <w:tc>
          <w:tcPr>
            <w:tcW w:w="2126"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（二）（A06449）《生产企业销售含税石脑油、燃料油完税情况明细表》。</w:t>
            </w:r>
          </w:p>
        </w:tc>
        <w:tc>
          <w:tcPr>
            <w:tcW w:w="1201"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kern w:val="1"/>
                <w:sz w:val="24"/>
              </w:rPr>
              <w:t>石脑油、燃料油生产企业提交</w:t>
            </w:r>
          </w:p>
        </w:tc>
        <w:tc>
          <w:tcPr>
            <w:tcW w:w="2126" w:type="dxa"/>
            <w:vMerge/>
            <w:vAlign w:val="center"/>
          </w:tcPr>
          <w:p w:rsidR="00013EC7" w:rsidRDefault="00013EC7">
            <w:pPr>
              <w:spacing w:line="300" w:lineRule="exact"/>
              <w:rPr>
                <w:rFonts w:ascii="仿宋" w:eastAsia="仿宋" w:hAnsi="仿宋" w:cs="仿宋"/>
                <w:b/>
                <w:sz w:val="24"/>
              </w:rPr>
            </w:pPr>
          </w:p>
        </w:tc>
        <w:tc>
          <w:tcPr>
            <w:tcW w:w="715" w:type="dxa"/>
            <w:vMerge/>
            <w:vAlign w:val="center"/>
          </w:tcPr>
          <w:p w:rsidR="00013EC7" w:rsidRDefault="00013EC7">
            <w:pPr>
              <w:spacing w:line="300" w:lineRule="exact"/>
              <w:rPr>
                <w:rFonts w:ascii="仿宋" w:eastAsia="仿宋" w:hAnsi="仿宋" w:cs="仿宋"/>
                <w:sz w:val="24"/>
              </w:rPr>
            </w:pPr>
          </w:p>
        </w:tc>
        <w:tc>
          <w:tcPr>
            <w:tcW w:w="798" w:type="dxa"/>
            <w:vMerge/>
            <w:vAlign w:val="center"/>
          </w:tcPr>
          <w:p w:rsidR="00013EC7" w:rsidRDefault="00013EC7">
            <w:pPr>
              <w:spacing w:line="300" w:lineRule="exact"/>
              <w:rPr>
                <w:rFonts w:ascii="仿宋" w:eastAsia="仿宋" w:hAnsi="仿宋" w:cs="仿宋"/>
                <w:sz w:val="24"/>
              </w:rPr>
            </w:pPr>
          </w:p>
        </w:tc>
        <w:tc>
          <w:tcPr>
            <w:tcW w:w="958" w:type="dxa"/>
            <w:vMerge/>
            <w:vAlign w:val="center"/>
          </w:tcPr>
          <w:p w:rsidR="00013EC7" w:rsidRDefault="00013EC7">
            <w:pPr>
              <w:spacing w:line="300" w:lineRule="exact"/>
              <w:rPr>
                <w:rFonts w:ascii="仿宋" w:eastAsia="仿宋" w:hAnsi="仿宋" w:cs="仿宋"/>
                <w:sz w:val="24"/>
              </w:rPr>
            </w:pPr>
          </w:p>
        </w:tc>
        <w:tc>
          <w:tcPr>
            <w:tcW w:w="1104" w:type="dxa"/>
            <w:vMerge/>
            <w:vAlign w:val="center"/>
          </w:tcPr>
          <w:p w:rsidR="00013EC7" w:rsidRDefault="00013EC7">
            <w:pPr>
              <w:spacing w:line="300" w:lineRule="exact"/>
              <w:rPr>
                <w:rFonts w:ascii="仿宋" w:eastAsia="仿宋" w:hAnsi="仿宋" w:cs="仿宋"/>
                <w:sz w:val="24"/>
              </w:rPr>
            </w:pPr>
          </w:p>
        </w:tc>
        <w:tc>
          <w:tcPr>
            <w:tcW w:w="1476" w:type="dxa"/>
            <w:vMerge/>
            <w:vAlign w:val="center"/>
          </w:tcPr>
          <w:p w:rsidR="00013EC7" w:rsidRDefault="00013EC7">
            <w:pPr>
              <w:spacing w:line="300" w:lineRule="exact"/>
              <w:rPr>
                <w:rFonts w:ascii="仿宋" w:eastAsia="仿宋" w:hAnsi="仿宋" w:cs="仿宋"/>
                <w:sz w:val="24"/>
              </w:rPr>
            </w:pPr>
          </w:p>
        </w:tc>
      </w:tr>
      <w:tr w:rsidR="00013EC7">
        <w:trPr>
          <w:trHeight w:val="1099"/>
          <w:jc w:val="center"/>
        </w:trPr>
        <w:tc>
          <w:tcPr>
            <w:tcW w:w="672" w:type="dxa"/>
            <w:vMerge/>
            <w:vAlign w:val="center"/>
          </w:tcPr>
          <w:p w:rsidR="00013EC7" w:rsidRDefault="00013EC7">
            <w:pPr>
              <w:spacing w:line="300" w:lineRule="exact"/>
              <w:rPr>
                <w:rFonts w:ascii="仿宋" w:eastAsia="仿宋" w:hAnsi="仿宋" w:cs="仿宋"/>
                <w:sz w:val="24"/>
              </w:rPr>
            </w:pPr>
          </w:p>
        </w:tc>
        <w:tc>
          <w:tcPr>
            <w:tcW w:w="1035" w:type="dxa"/>
            <w:vMerge/>
            <w:vAlign w:val="center"/>
          </w:tcPr>
          <w:p w:rsidR="00013EC7" w:rsidRDefault="00013EC7">
            <w:pPr>
              <w:spacing w:line="310" w:lineRule="exact"/>
              <w:rPr>
                <w:rFonts w:ascii="仿宋" w:eastAsia="仿宋" w:hAnsi="仿宋" w:cs="仿宋"/>
                <w:sz w:val="24"/>
              </w:rPr>
            </w:pPr>
          </w:p>
        </w:tc>
        <w:tc>
          <w:tcPr>
            <w:tcW w:w="2987" w:type="dxa"/>
            <w:vMerge/>
            <w:vAlign w:val="center"/>
          </w:tcPr>
          <w:p w:rsidR="00013EC7" w:rsidRDefault="00013EC7">
            <w:pPr>
              <w:rPr>
                <w:rFonts w:ascii="仿宋" w:eastAsia="仿宋" w:hAnsi="仿宋" w:cs="仿宋"/>
                <w:kern w:val="1"/>
                <w:sz w:val="24"/>
              </w:rPr>
            </w:pPr>
          </w:p>
        </w:tc>
        <w:tc>
          <w:tcPr>
            <w:tcW w:w="4394" w:type="dxa"/>
            <w:tcBorders>
              <w:top w:val="single" w:sz="4" w:space="0" w:color="auto"/>
            </w:tcBorders>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(三)（A06336）《使用企业外购石脑油、燃料油凭证明细表》。</w:t>
            </w:r>
          </w:p>
        </w:tc>
        <w:tc>
          <w:tcPr>
            <w:tcW w:w="1134" w:type="dxa"/>
            <w:vMerge w:val="restart"/>
            <w:vAlign w:val="center"/>
          </w:tcPr>
          <w:p w:rsidR="00013EC7" w:rsidRDefault="00575CDB">
            <w:pPr>
              <w:spacing w:line="300" w:lineRule="exact"/>
              <w:rPr>
                <w:rFonts w:ascii="仿宋" w:eastAsia="仿宋" w:hAnsi="仿宋" w:cs="仿宋"/>
                <w:sz w:val="24"/>
              </w:rPr>
            </w:pPr>
            <w:r>
              <w:rPr>
                <w:rFonts w:ascii="仿宋" w:eastAsia="仿宋" w:hAnsi="仿宋" w:cs="仿宋" w:hint="eastAsia"/>
                <w:kern w:val="1"/>
                <w:sz w:val="24"/>
              </w:rPr>
              <w:t>石脑油、燃料油使用企业提交</w:t>
            </w:r>
          </w:p>
        </w:tc>
        <w:tc>
          <w:tcPr>
            <w:tcW w:w="2126"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(三)（A06336）《使用企业外购石脑油、燃料油凭证明细表》。</w:t>
            </w:r>
          </w:p>
        </w:tc>
        <w:tc>
          <w:tcPr>
            <w:tcW w:w="1201" w:type="dxa"/>
            <w:vMerge w:val="restart"/>
            <w:vAlign w:val="center"/>
          </w:tcPr>
          <w:p w:rsidR="00013EC7" w:rsidRDefault="00575CDB">
            <w:pPr>
              <w:spacing w:line="300" w:lineRule="exact"/>
              <w:rPr>
                <w:rFonts w:ascii="仿宋" w:eastAsia="仿宋" w:hAnsi="仿宋" w:cs="仿宋"/>
                <w:sz w:val="24"/>
              </w:rPr>
            </w:pPr>
            <w:r>
              <w:rPr>
                <w:rFonts w:ascii="仿宋" w:eastAsia="仿宋" w:hAnsi="仿宋" w:cs="仿宋" w:hint="eastAsia"/>
                <w:kern w:val="1"/>
                <w:sz w:val="24"/>
              </w:rPr>
              <w:t>石脑油、燃料油使用企业提交</w:t>
            </w:r>
          </w:p>
        </w:tc>
        <w:tc>
          <w:tcPr>
            <w:tcW w:w="2126" w:type="dxa"/>
            <w:vMerge/>
            <w:vAlign w:val="center"/>
          </w:tcPr>
          <w:p w:rsidR="00013EC7" w:rsidRDefault="00013EC7">
            <w:pPr>
              <w:spacing w:line="300" w:lineRule="exact"/>
              <w:rPr>
                <w:rFonts w:ascii="仿宋" w:eastAsia="仿宋" w:hAnsi="仿宋" w:cs="仿宋"/>
                <w:b/>
                <w:sz w:val="24"/>
              </w:rPr>
            </w:pPr>
          </w:p>
        </w:tc>
        <w:tc>
          <w:tcPr>
            <w:tcW w:w="715" w:type="dxa"/>
            <w:vMerge/>
            <w:vAlign w:val="center"/>
          </w:tcPr>
          <w:p w:rsidR="00013EC7" w:rsidRDefault="00013EC7">
            <w:pPr>
              <w:spacing w:line="300" w:lineRule="exact"/>
              <w:rPr>
                <w:rFonts w:ascii="仿宋" w:eastAsia="仿宋" w:hAnsi="仿宋" w:cs="仿宋"/>
                <w:sz w:val="24"/>
              </w:rPr>
            </w:pPr>
          </w:p>
        </w:tc>
        <w:tc>
          <w:tcPr>
            <w:tcW w:w="798" w:type="dxa"/>
            <w:vMerge/>
            <w:vAlign w:val="center"/>
          </w:tcPr>
          <w:p w:rsidR="00013EC7" w:rsidRDefault="00013EC7">
            <w:pPr>
              <w:spacing w:line="300" w:lineRule="exact"/>
              <w:rPr>
                <w:rFonts w:ascii="仿宋" w:eastAsia="仿宋" w:hAnsi="仿宋" w:cs="仿宋"/>
                <w:sz w:val="24"/>
              </w:rPr>
            </w:pPr>
          </w:p>
        </w:tc>
        <w:tc>
          <w:tcPr>
            <w:tcW w:w="958" w:type="dxa"/>
            <w:vMerge/>
            <w:vAlign w:val="center"/>
          </w:tcPr>
          <w:p w:rsidR="00013EC7" w:rsidRDefault="00013EC7">
            <w:pPr>
              <w:spacing w:line="300" w:lineRule="exact"/>
              <w:rPr>
                <w:rFonts w:ascii="仿宋" w:eastAsia="仿宋" w:hAnsi="仿宋" w:cs="仿宋"/>
                <w:sz w:val="24"/>
              </w:rPr>
            </w:pPr>
          </w:p>
        </w:tc>
        <w:tc>
          <w:tcPr>
            <w:tcW w:w="1104" w:type="dxa"/>
            <w:vMerge/>
            <w:vAlign w:val="center"/>
          </w:tcPr>
          <w:p w:rsidR="00013EC7" w:rsidRDefault="00013EC7">
            <w:pPr>
              <w:spacing w:line="300" w:lineRule="exact"/>
              <w:rPr>
                <w:rFonts w:ascii="仿宋" w:eastAsia="仿宋" w:hAnsi="仿宋" w:cs="仿宋"/>
                <w:sz w:val="24"/>
              </w:rPr>
            </w:pPr>
          </w:p>
        </w:tc>
        <w:tc>
          <w:tcPr>
            <w:tcW w:w="1476" w:type="dxa"/>
            <w:vMerge/>
            <w:vAlign w:val="center"/>
          </w:tcPr>
          <w:p w:rsidR="00013EC7" w:rsidRDefault="00013EC7">
            <w:pPr>
              <w:spacing w:line="300" w:lineRule="exact"/>
              <w:rPr>
                <w:rFonts w:ascii="仿宋" w:eastAsia="仿宋" w:hAnsi="仿宋" w:cs="仿宋"/>
                <w:sz w:val="24"/>
              </w:rPr>
            </w:pPr>
          </w:p>
        </w:tc>
      </w:tr>
      <w:tr w:rsidR="00013EC7">
        <w:trPr>
          <w:trHeight w:val="1099"/>
          <w:jc w:val="center"/>
        </w:trPr>
        <w:tc>
          <w:tcPr>
            <w:tcW w:w="672" w:type="dxa"/>
            <w:vMerge/>
            <w:vAlign w:val="center"/>
          </w:tcPr>
          <w:p w:rsidR="00013EC7" w:rsidRDefault="00013EC7">
            <w:pPr>
              <w:rPr>
                <w:rFonts w:ascii="仿宋" w:eastAsia="仿宋" w:hAnsi="仿宋" w:cs="仿宋"/>
                <w:sz w:val="24"/>
              </w:rPr>
            </w:pPr>
          </w:p>
        </w:tc>
        <w:tc>
          <w:tcPr>
            <w:tcW w:w="1035" w:type="dxa"/>
            <w:vMerge/>
            <w:vAlign w:val="center"/>
          </w:tcPr>
          <w:p w:rsidR="00013EC7" w:rsidRDefault="00013EC7">
            <w:pPr>
              <w:rPr>
                <w:rFonts w:ascii="仿宋" w:eastAsia="仿宋" w:hAnsi="仿宋" w:cs="仿宋"/>
                <w:sz w:val="24"/>
              </w:rPr>
            </w:pPr>
          </w:p>
        </w:tc>
        <w:tc>
          <w:tcPr>
            <w:tcW w:w="2987" w:type="dxa"/>
            <w:vMerge/>
            <w:vAlign w:val="center"/>
          </w:tcPr>
          <w:p w:rsidR="00013EC7" w:rsidRDefault="00013EC7">
            <w:pPr>
              <w:rPr>
                <w:rFonts w:ascii="仿宋" w:eastAsia="仿宋" w:hAnsi="仿宋" w:cs="仿宋"/>
                <w:sz w:val="24"/>
              </w:rPr>
            </w:pPr>
          </w:p>
        </w:tc>
        <w:tc>
          <w:tcPr>
            <w:tcW w:w="4394" w:type="dxa"/>
            <w:tcBorders>
              <w:top w:val="single" w:sz="4" w:space="0" w:color="auto"/>
            </w:tcBorders>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(四)（A06334）《石脑油、燃料油生产、外购、耗用、库存月度统计表》。</w:t>
            </w:r>
          </w:p>
        </w:tc>
        <w:tc>
          <w:tcPr>
            <w:tcW w:w="1134" w:type="dxa"/>
            <w:vMerge/>
            <w:vAlign w:val="center"/>
          </w:tcPr>
          <w:p w:rsidR="00013EC7" w:rsidRDefault="00013EC7">
            <w:pPr>
              <w:rPr>
                <w:rFonts w:ascii="仿宋" w:eastAsia="仿宋" w:hAnsi="仿宋" w:cs="仿宋"/>
                <w:kern w:val="1"/>
                <w:sz w:val="24"/>
              </w:rPr>
            </w:pPr>
          </w:p>
        </w:tc>
        <w:tc>
          <w:tcPr>
            <w:tcW w:w="2126"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(四)（A06334）《石脑油、燃料油生产、外购、耗用、库存月度统计表》。</w:t>
            </w:r>
          </w:p>
        </w:tc>
        <w:tc>
          <w:tcPr>
            <w:tcW w:w="1201" w:type="dxa"/>
            <w:vMerge/>
            <w:vAlign w:val="center"/>
          </w:tcPr>
          <w:p w:rsidR="00013EC7" w:rsidRDefault="00013EC7">
            <w:pPr>
              <w:rPr>
                <w:rFonts w:ascii="仿宋" w:eastAsia="仿宋" w:hAnsi="仿宋" w:cs="仿宋"/>
                <w:kern w:val="1"/>
                <w:sz w:val="24"/>
              </w:rPr>
            </w:pPr>
          </w:p>
        </w:tc>
        <w:tc>
          <w:tcPr>
            <w:tcW w:w="2126" w:type="dxa"/>
            <w:vMerge/>
            <w:vAlign w:val="center"/>
          </w:tcPr>
          <w:p w:rsidR="00013EC7" w:rsidRDefault="00013EC7">
            <w:pPr>
              <w:rPr>
                <w:rFonts w:ascii="仿宋" w:eastAsia="仿宋" w:hAnsi="仿宋" w:cs="仿宋"/>
                <w:kern w:val="1"/>
                <w:sz w:val="24"/>
              </w:rPr>
            </w:pPr>
          </w:p>
        </w:tc>
        <w:tc>
          <w:tcPr>
            <w:tcW w:w="715"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1099"/>
          <w:jc w:val="center"/>
        </w:trPr>
        <w:tc>
          <w:tcPr>
            <w:tcW w:w="672" w:type="dxa"/>
            <w:vMerge/>
            <w:vAlign w:val="center"/>
          </w:tcPr>
          <w:p w:rsidR="00013EC7" w:rsidRDefault="00013EC7">
            <w:pPr>
              <w:rPr>
                <w:rFonts w:ascii="仿宋" w:eastAsia="仿宋" w:hAnsi="仿宋" w:cs="仿宋"/>
                <w:kern w:val="1"/>
                <w:sz w:val="24"/>
              </w:rPr>
            </w:pPr>
          </w:p>
        </w:tc>
        <w:tc>
          <w:tcPr>
            <w:tcW w:w="1035" w:type="dxa"/>
            <w:vMerge/>
            <w:vAlign w:val="center"/>
          </w:tcPr>
          <w:p w:rsidR="00013EC7" w:rsidRDefault="00013EC7">
            <w:pPr>
              <w:rPr>
                <w:rFonts w:ascii="仿宋" w:eastAsia="仿宋" w:hAnsi="仿宋" w:cs="仿宋"/>
                <w:kern w:val="1"/>
                <w:sz w:val="24"/>
              </w:rPr>
            </w:pPr>
          </w:p>
        </w:tc>
        <w:tc>
          <w:tcPr>
            <w:tcW w:w="2987" w:type="dxa"/>
            <w:vMerge/>
            <w:vAlign w:val="center"/>
          </w:tcPr>
          <w:p w:rsidR="00013EC7" w:rsidRDefault="00013EC7">
            <w:pPr>
              <w:rPr>
                <w:rFonts w:ascii="仿宋" w:eastAsia="仿宋" w:hAnsi="仿宋" w:cs="仿宋"/>
                <w:kern w:val="1"/>
                <w:sz w:val="24"/>
              </w:rPr>
            </w:pPr>
          </w:p>
        </w:tc>
        <w:tc>
          <w:tcPr>
            <w:tcW w:w="4394" w:type="dxa"/>
            <w:tcBorders>
              <w:top w:val="single" w:sz="4" w:space="0" w:color="auto"/>
            </w:tcBorders>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(五)（A06335）《乙烯、芳烃生产装置投入产出流量计统计表》。</w:t>
            </w:r>
          </w:p>
        </w:tc>
        <w:tc>
          <w:tcPr>
            <w:tcW w:w="1134" w:type="dxa"/>
            <w:vMerge/>
            <w:vAlign w:val="center"/>
          </w:tcPr>
          <w:p w:rsidR="00013EC7" w:rsidRDefault="00013EC7">
            <w:pPr>
              <w:rPr>
                <w:rFonts w:ascii="仿宋" w:eastAsia="仿宋" w:hAnsi="仿宋" w:cs="仿宋"/>
                <w:kern w:val="1"/>
                <w:sz w:val="24"/>
              </w:rPr>
            </w:pPr>
          </w:p>
        </w:tc>
        <w:tc>
          <w:tcPr>
            <w:tcW w:w="2126"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(五)（A06335）《乙烯、芳烃生产装置投入产出流量计统计表》。</w:t>
            </w:r>
          </w:p>
        </w:tc>
        <w:tc>
          <w:tcPr>
            <w:tcW w:w="1201" w:type="dxa"/>
            <w:vMerge/>
            <w:vAlign w:val="center"/>
          </w:tcPr>
          <w:p w:rsidR="00013EC7" w:rsidRDefault="00013EC7">
            <w:pPr>
              <w:rPr>
                <w:rFonts w:ascii="仿宋" w:eastAsia="仿宋" w:hAnsi="仿宋" w:cs="仿宋"/>
                <w:kern w:val="1"/>
                <w:sz w:val="24"/>
              </w:rPr>
            </w:pPr>
          </w:p>
        </w:tc>
        <w:tc>
          <w:tcPr>
            <w:tcW w:w="2126" w:type="dxa"/>
            <w:vMerge/>
            <w:vAlign w:val="center"/>
          </w:tcPr>
          <w:p w:rsidR="00013EC7" w:rsidRDefault="00013EC7">
            <w:pPr>
              <w:rPr>
                <w:rFonts w:ascii="仿宋" w:eastAsia="仿宋" w:hAnsi="仿宋" w:cs="仿宋"/>
                <w:kern w:val="1"/>
                <w:sz w:val="24"/>
              </w:rPr>
            </w:pPr>
          </w:p>
        </w:tc>
        <w:tc>
          <w:tcPr>
            <w:tcW w:w="715"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1099"/>
          <w:jc w:val="center"/>
        </w:trPr>
        <w:tc>
          <w:tcPr>
            <w:tcW w:w="672" w:type="dxa"/>
            <w:vMerge/>
            <w:vAlign w:val="center"/>
          </w:tcPr>
          <w:p w:rsidR="00013EC7" w:rsidRDefault="00013EC7">
            <w:pPr>
              <w:rPr>
                <w:rFonts w:ascii="仿宋" w:eastAsia="仿宋" w:hAnsi="仿宋" w:cs="仿宋"/>
                <w:kern w:val="1"/>
                <w:sz w:val="24"/>
              </w:rPr>
            </w:pPr>
          </w:p>
        </w:tc>
        <w:tc>
          <w:tcPr>
            <w:tcW w:w="1035" w:type="dxa"/>
            <w:vMerge/>
            <w:vAlign w:val="center"/>
          </w:tcPr>
          <w:p w:rsidR="00013EC7" w:rsidRDefault="00013EC7">
            <w:pPr>
              <w:rPr>
                <w:rFonts w:ascii="仿宋" w:eastAsia="仿宋" w:hAnsi="仿宋" w:cs="仿宋"/>
                <w:kern w:val="1"/>
                <w:sz w:val="24"/>
              </w:rPr>
            </w:pPr>
          </w:p>
        </w:tc>
        <w:tc>
          <w:tcPr>
            <w:tcW w:w="2987" w:type="dxa"/>
            <w:vMerge/>
            <w:vAlign w:val="center"/>
          </w:tcPr>
          <w:p w:rsidR="00013EC7" w:rsidRDefault="00013EC7">
            <w:pPr>
              <w:rPr>
                <w:rFonts w:ascii="仿宋" w:eastAsia="仿宋" w:hAnsi="仿宋" w:cs="仿宋"/>
                <w:kern w:val="1"/>
                <w:sz w:val="24"/>
              </w:rPr>
            </w:pPr>
          </w:p>
        </w:tc>
        <w:tc>
          <w:tcPr>
            <w:tcW w:w="4394" w:type="dxa"/>
            <w:tcBorders>
              <w:top w:val="single" w:sz="4" w:space="0" w:color="auto"/>
            </w:tcBorders>
            <w:vAlign w:val="center"/>
          </w:tcPr>
          <w:p w:rsidR="00013EC7" w:rsidRDefault="00575CDB">
            <w:pPr>
              <w:rPr>
                <w:rFonts w:ascii="仿宋" w:eastAsia="仿宋" w:hAnsi="仿宋" w:cs="仿宋"/>
                <w:kern w:val="1"/>
                <w:sz w:val="24"/>
                <w:highlight w:val="lightGray"/>
              </w:rPr>
            </w:pPr>
            <w:r>
              <w:rPr>
                <w:rFonts w:ascii="仿宋" w:eastAsia="仿宋" w:hAnsi="仿宋" w:cs="仿宋" w:hint="eastAsia"/>
                <w:kern w:val="1"/>
                <w:sz w:val="24"/>
                <w:highlight w:val="lightGray"/>
              </w:rPr>
              <w:t>(六)（A06336）《使用企业外购石脑油、燃料油凭证明细表》中“外购含税油品”项“消费税税款缴纳凭证号码”所对应的消费税税款缴纳凭证的复印件。</w:t>
            </w:r>
          </w:p>
        </w:tc>
        <w:tc>
          <w:tcPr>
            <w:tcW w:w="1134" w:type="dxa"/>
            <w:vMerge/>
            <w:vAlign w:val="center"/>
          </w:tcPr>
          <w:p w:rsidR="00013EC7" w:rsidRDefault="00013EC7">
            <w:pPr>
              <w:rPr>
                <w:rFonts w:ascii="仿宋" w:eastAsia="仿宋" w:hAnsi="仿宋" w:cs="仿宋"/>
                <w:kern w:val="1"/>
                <w:sz w:val="24"/>
              </w:rPr>
            </w:pPr>
          </w:p>
        </w:tc>
        <w:tc>
          <w:tcPr>
            <w:tcW w:w="2126" w:type="dxa"/>
            <w:vAlign w:val="center"/>
          </w:tcPr>
          <w:p w:rsidR="00013EC7" w:rsidRDefault="00013EC7">
            <w:pPr>
              <w:rPr>
                <w:rFonts w:ascii="仿宋" w:eastAsia="仿宋" w:hAnsi="仿宋" w:cs="仿宋"/>
                <w:kern w:val="1"/>
                <w:sz w:val="24"/>
              </w:rPr>
            </w:pPr>
          </w:p>
        </w:tc>
        <w:tc>
          <w:tcPr>
            <w:tcW w:w="1201" w:type="dxa"/>
            <w:vAlign w:val="center"/>
          </w:tcPr>
          <w:p w:rsidR="00013EC7" w:rsidRDefault="00575CDB">
            <w:pPr>
              <w:rPr>
                <w:rFonts w:ascii="仿宋" w:eastAsia="仿宋" w:hAnsi="仿宋" w:cs="仿宋"/>
                <w:kern w:val="1"/>
                <w:sz w:val="24"/>
              </w:rPr>
            </w:pPr>
            <w:r>
              <w:rPr>
                <w:rFonts w:ascii="仿宋" w:eastAsia="仿宋" w:hAnsi="仿宋" w:cs="仿宋" w:hint="eastAsia"/>
                <w:b/>
                <w:bCs/>
                <w:i/>
                <w:iCs/>
                <w:kern w:val="1"/>
                <w:sz w:val="24"/>
              </w:rPr>
              <w:t>取消</w:t>
            </w:r>
          </w:p>
        </w:tc>
        <w:tc>
          <w:tcPr>
            <w:tcW w:w="2126" w:type="dxa"/>
            <w:vMerge/>
            <w:vAlign w:val="center"/>
          </w:tcPr>
          <w:p w:rsidR="00013EC7" w:rsidRDefault="00013EC7">
            <w:pPr>
              <w:rPr>
                <w:rFonts w:ascii="仿宋" w:eastAsia="仿宋" w:hAnsi="仿宋" w:cs="仿宋"/>
                <w:kern w:val="1"/>
                <w:sz w:val="24"/>
              </w:rPr>
            </w:pPr>
          </w:p>
        </w:tc>
        <w:tc>
          <w:tcPr>
            <w:tcW w:w="715"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1099"/>
          <w:jc w:val="center"/>
        </w:trPr>
        <w:tc>
          <w:tcPr>
            <w:tcW w:w="672" w:type="dxa"/>
            <w:vMerge/>
            <w:vAlign w:val="center"/>
          </w:tcPr>
          <w:p w:rsidR="00013EC7" w:rsidRDefault="00013EC7">
            <w:pPr>
              <w:rPr>
                <w:rFonts w:ascii="仿宋" w:eastAsia="仿宋" w:hAnsi="仿宋" w:cs="仿宋"/>
                <w:kern w:val="1"/>
                <w:sz w:val="24"/>
              </w:rPr>
            </w:pPr>
          </w:p>
        </w:tc>
        <w:tc>
          <w:tcPr>
            <w:tcW w:w="1035" w:type="dxa"/>
            <w:vMerge/>
            <w:vAlign w:val="center"/>
          </w:tcPr>
          <w:p w:rsidR="00013EC7" w:rsidRDefault="00013EC7">
            <w:pPr>
              <w:rPr>
                <w:rFonts w:ascii="仿宋" w:eastAsia="仿宋" w:hAnsi="仿宋" w:cs="仿宋"/>
                <w:kern w:val="1"/>
                <w:sz w:val="24"/>
              </w:rPr>
            </w:pPr>
          </w:p>
        </w:tc>
        <w:tc>
          <w:tcPr>
            <w:tcW w:w="2987" w:type="dxa"/>
            <w:vMerge/>
            <w:vAlign w:val="center"/>
          </w:tcPr>
          <w:p w:rsidR="00013EC7" w:rsidRDefault="00013EC7">
            <w:pPr>
              <w:rPr>
                <w:rFonts w:ascii="仿宋" w:eastAsia="仿宋" w:hAnsi="仿宋" w:cs="仿宋"/>
                <w:kern w:val="1"/>
                <w:sz w:val="24"/>
              </w:rPr>
            </w:pPr>
          </w:p>
        </w:tc>
        <w:tc>
          <w:tcPr>
            <w:tcW w:w="4394" w:type="dxa"/>
            <w:tcBorders>
              <w:top w:val="single" w:sz="4" w:space="0" w:color="auto"/>
            </w:tcBorders>
            <w:vAlign w:val="center"/>
          </w:tcPr>
          <w:p w:rsidR="00013EC7" w:rsidRDefault="00575CDB">
            <w:pPr>
              <w:rPr>
                <w:rFonts w:ascii="仿宋" w:eastAsia="仿宋" w:hAnsi="仿宋" w:cs="仿宋"/>
                <w:kern w:val="1"/>
                <w:sz w:val="24"/>
                <w:highlight w:val="lightGray"/>
              </w:rPr>
            </w:pPr>
            <w:r>
              <w:rPr>
                <w:rFonts w:ascii="仿宋" w:eastAsia="仿宋" w:hAnsi="仿宋" w:cs="仿宋" w:hint="eastAsia"/>
                <w:kern w:val="1"/>
                <w:sz w:val="24"/>
                <w:highlight w:val="lightGray"/>
              </w:rPr>
              <w:t>（七）当期外购石脑油、燃料油取得认证相符的普通版及汉字防伪版（非DDZG）增值税专用发票复印件。</w:t>
            </w:r>
          </w:p>
        </w:tc>
        <w:tc>
          <w:tcPr>
            <w:tcW w:w="1134" w:type="dxa"/>
            <w:vMerge/>
            <w:vAlign w:val="center"/>
          </w:tcPr>
          <w:p w:rsidR="00013EC7" w:rsidRDefault="00013EC7">
            <w:pPr>
              <w:rPr>
                <w:rFonts w:ascii="仿宋" w:eastAsia="仿宋" w:hAnsi="仿宋" w:cs="仿宋"/>
                <w:kern w:val="1"/>
                <w:sz w:val="24"/>
              </w:rPr>
            </w:pPr>
          </w:p>
        </w:tc>
        <w:tc>
          <w:tcPr>
            <w:tcW w:w="2126" w:type="dxa"/>
            <w:vAlign w:val="center"/>
          </w:tcPr>
          <w:p w:rsidR="00013EC7" w:rsidRDefault="00013EC7">
            <w:pPr>
              <w:rPr>
                <w:rFonts w:ascii="仿宋" w:eastAsia="仿宋" w:hAnsi="仿宋" w:cs="仿宋"/>
                <w:kern w:val="1"/>
                <w:sz w:val="24"/>
              </w:rPr>
            </w:pPr>
          </w:p>
        </w:tc>
        <w:tc>
          <w:tcPr>
            <w:tcW w:w="1201" w:type="dxa"/>
            <w:vAlign w:val="center"/>
          </w:tcPr>
          <w:p w:rsidR="00013EC7" w:rsidRDefault="00575CDB">
            <w:pPr>
              <w:rPr>
                <w:rFonts w:ascii="仿宋" w:eastAsia="仿宋" w:hAnsi="仿宋" w:cs="仿宋"/>
                <w:kern w:val="1"/>
                <w:sz w:val="24"/>
              </w:rPr>
            </w:pPr>
            <w:r>
              <w:rPr>
                <w:rFonts w:ascii="仿宋" w:eastAsia="仿宋" w:hAnsi="仿宋" w:cs="仿宋" w:hint="eastAsia"/>
                <w:b/>
                <w:bCs/>
                <w:i/>
                <w:iCs/>
                <w:kern w:val="1"/>
                <w:sz w:val="24"/>
              </w:rPr>
              <w:t>取消</w:t>
            </w:r>
          </w:p>
        </w:tc>
        <w:tc>
          <w:tcPr>
            <w:tcW w:w="2126" w:type="dxa"/>
            <w:vMerge/>
            <w:vAlign w:val="center"/>
          </w:tcPr>
          <w:p w:rsidR="00013EC7" w:rsidRDefault="00013EC7">
            <w:pPr>
              <w:rPr>
                <w:rFonts w:ascii="仿宋" w:eastAsia="仿宋" w:hAnsi="仿宋" w:cs="仿宋"/>
                <w:kern w:val="1"/>
                <w:sz w:val="24"/>
              </w:rPr>
            </w:pPr>
          </w:p>
        </w:tc>
        <w:tc>
          <w:tcPr>
            <w:tcW w:w="715"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1099"/>
          <w:jc w:val="center"/>
        </w:trPr>
        <w:tc>
          <w:tcPr>
            <w:tcW w:w="672" w:type="dxa"/>
            <w:vMerge/>
            <w:vAlign w:val="center"/>
          </w:tcPr>
          <w:p w:rsidR="00013EC7" w:rsidRDefault="00013EC7">
            <w:pPr>
              <w:rPr>
                <w:rFonts w:ascii="仿宋" w:eastAsia="仿宋" w:hAnsi="仿宋" w:cs="仿宋"/>
                <w:kern w:val="1"/>
                <w:sz w:val="24"/>
              </w:rPr>
            </w:pPr>
          </w:p>
        </w:tc>
        <w:tc>
          <w:tcPr>
            <w:tcW w:w="1035" w:type="dxa"/>
            <w:vMerge/>
            <w:vAlign w:val="center"/>
          </w:tcPr>
          <w:p w:rsidR="00013EC7" w:rsidRDefault="00013EC7">
            <w:pPr>
              <w:rPr>
                <w:rFonts w:ascii="仿宋" w:eastAsia="仿宋" w:hAnsi="仿宋" w:cs="仿宋"/>
                <w:kern w:val="1"/>
                <w:sz w:val="24"/>
              </w:rPr>
            </w:pPr>
          </w:p>
        </w:tc>
        <w:tc>
          <w:tcPr>
            <w:tcW w:w="2987" w:type="dxa"/>
            <w:vMerge/>
            <w:vAlign w:val="center"/>
          </w:tcPr>
          <w:p w:rsidR="00013EC7" w:rsidRDefault="00013EC7">
            <w:pPr>
              <w:rPr>
                <w:rFonts w:ascii="仿宋" w:eastAsia="仿宋" w:hAnsi="仿宋" w:cs="仿宋"/>
                <w:kern w:val="1"/>
                <w:sz w:val="24"/>
              </w:rPr>
            </w:pPr>
          </w:p>
        </w:tc>
        <w:tc>
          <w:tcPr>
            <w:tcW w:w="4394" w:type="dxa"/>
            <w:tcBorders>
              <w:top w:val="single" w:sz="4" w:space="0" w:color="auto"/>
            </w:tcBorders>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（八）进口货物报关单、</w:t>
            </w:r>
            <w:r>
              <w:rPr>
                <w:rFonts w:ascii="仿宋" w:eastAsia="仿宋" w:hAnsi="仿宋" w:cs="仿宋" w:hint="eastAsia"/>
                <w:kern w:val="1"/>
                <w:sz w:val="24"/>
                <w:highlight w:val="lightGray"/>
              </w:rPr>
              <w:t>海关进口消费税专用缴款书</w:t>
            </w:r>
            <w:r>
              <w:rPr>
                <w:rFonts w:ascii="仿宋" w:eastAsia="仿宋" w:hAnsi="仿宋" w:cs="仿宋" w:hint="eastAsia"/>
                <w:kern w:val="1"/>
                <w:sz w:val="24"/>
              </w:rPr>
              <w:t>、自动进口许可证等材料复印件。</w:t>
            </w:r>
          </w:p>
        </w:tc>
        <w:tc>
          <w:tcPr>
            <w:tcW w:w="1134" w:type="dxa"/>
            <w:vMerge/>
            <w:vAlign w:val="center"/>
          </w:tcPr>
          <w:p w:rsidR="00013EC7" w:rsidRDefault="00013EC7">
            <w:pPr>
              <w:rPr>
                <w:rFonts w:ascii="仿宋" w:eastAsia="仿宋" w:hAnsi="仿宋" w:cs="仿宋"/>
                <w:kern w:val="1"/>
                <w:sz w:val="24"/>
              </w:rPr>
            </w:pPr>
          </w:p>
        </w:tc>
        <w:tc>
          <w:tcPr>
            <w:tcW w:w="2126"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（六）进口货物报关单</w:t>
            </w:r>
            <w:r>
              <w:rPr>
                <w:rFonts w:ascii="仿宋" w:eastAsia="仿宋" w:hAnsi="仿宋" w:cs="仿宋" w:hint="eastAsia"/>
                <w:sz w:val="24"/>
              </w:rPr>
              <w:t>、</w:t>
            </w:r>
            <w:r>
              <w:rPr>
                <w:rFonts w:ascii="仿宋" w:eastAsia="仿宋" w:hAnsi="仿宋" w:cs="仿宋" w:hint="eastAsia"/>
                <w:kern w:val="1"/>
                <w:sz w:val="24"/>
              </w:rPr>
              <w:t>自动进口许可证等材料复印件</w:t>
            </w:r>
            <w:r>
              <w:rPr>
                <w:rFonts w:ascii="仿宋" w:eastAsia="仿宋" w:hAnsi="仿宋" w:cs="仿宋" w:hint="eastAsia"/>
                <w:kern w:val="1"/>
                <w:sz w:val="24"/>
              </w:rPr>
              <w:lastRenderedPageBreak/>
              <w:t>（注明与原件一致，并加盖公章）。</w:t>
            </w:r>
          </w:p>
        </w:tc>
        <w:tc>
          <w:tcPr>
            <w:tcW w:w="1201" w:type="dxa"/>
            <w:vAlign w:val="center"/>
          </w:tcPr>
          <w:p w:rsidR="00013EC7" w:rsidRDefault="00575CDB">
            <w:pPr>
              <w:rPr>
                <w:rFonts w:ascii="仿宋" w:eastAsia="仿宋" w:hAnsi="仿宋" w:cs="仿宋"/>
                <w:kern w:val="1"/>
                <w:sz w:val="24"/>
              </w:rPr>
            </w:pPr>
            <w:r>
              <w:rPr>
                <w:rFonts w:ascii="仿宋" w:eastAsia="仿宋" w:hAnsi="仿宋" w:cs="仿宋" w:hint="eastAsia"/>
                <w:b/>
                <w:bCs/>
                <w:i/>
                <w:iCs/>
                <w:kern w:val="1"/>
                <w:sz w:val="24"/>
              </w:rPr>
              <w:lastRenderedPageBreak/>
              <w:t>经办机构自行获取</w:t>
            </w:r>
          </w:p>
        </w:tc>
        <w:tc>
          <w:tcPr>
            <w:tcW w:w="2126" w:type="dxa"/>
            <w:vAlign w:val="center"/>
          </w:tcPr>
          <w:p w:rsidR="00013EC7" w:rsidRDefault="00575CDB">
            <w:pPr>
              <w:rPr>
                <w:rFonts w:ascii="仿宋" w:eastAsia="仿宋" w:hAnsi="仿宋" w:cs="仿宋"/>
                <w:kern w:val="1"/>
                <w:sz w:val="24"/>
              </w:rPr>
            </w:pPr>
            <w:r>
              <w:rPr>
                <w:rFonts w:ascii="仿宋" w:eastAsia="仿宋" w:hAnsi="仿宋" w:cs="仿宋" w:hint="eastAsia"/>
                <w:b/>
                <w:sz w:val="24"/>
              </w:rPr>
              <w:t>内部共享：</w:t>
            </w:r>
            <w:r>
              <w:rPr>
                <w:rFonts w:ascii="仿宋" w:eastAsia="仿宋" w:hAnsi="仿宋" w:cs="仿宋" w:hint="eastAsia"/>
                <w:sz w:val="24"/>
              </w:rPr>
              <w:t>内部共享获取相关信息。</w:t>
            </w:r>
          </w:p>
        </w:tc>
        <w:tc>
          <w:tcPr>
            <w:tcW w:w="715"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1354"/>
          <w:jc w:val="center"/>
        </w:trPr>
        <w:tc>
          <w:tcPr>
            <w:tcW w:w="672" w:type="dxa"/>
            <w:vMerge/>
            <w:vAlign w:val="center"/>
          </w:tcPr>
          <w:p w:rsidR="00013EC7" w:rsidRDefault="00013EC7">
            <w:pPr>
              <w:spacing w:line="300" w:lineRule="exact"/>
              <w:rPr>
                <w:rFonts w:ascii="仿宋" w:eastAsia="仿宋" w:hAnsi="仿宋" w:cs="仿宋"/>
                <w:sz w:val="24"/>
              </w:rPr>
            </w:pPr>
          </w:p>
        </w:tc>
        <w:tc>
          <w:tcPr>
            <w:tcW w:w="1035" w:type="dxa"/>
            <w:vMerge/>
            <w:vAlign w:val="center"/>
          </w:tcPr>
          <w:p w:rsidR="00013EC7" w:rsidRDefault="00013EC7">
            <w:pPr>
              <w:spacing w:line="310" w:lineRule="exact"/>
              <w:rPr>
                <w:rFonts w:ascii="仿宋" w:eastAsia="仿宋" w:hAnsi="仿宋" w:cs="仿宋"/>
                <w:sz w:val="24"/>
              </w:rPr>
            </w:pPr>
          </w:p>
        </w:tc>
        <w:tc>
          <w:tcPr>
            <w:tcW w:w="2987" w:type="dxa"/>
            <w:vMerge/>
            <w:vAlign w:val="center"/>
          </w:tcPr>
          <w:p w:rsidR="00013EC7" w:rsidRDefault="00013EC7">
            <w:pPr>
              <w:rPr>
                <w:rFonts w:ascii="仿宋" w:eastAsia="仿宋" w:hAnsi="仿宋" w:cs="仿宋"/>
                <w:kern w:val="1"/>
                <w:sz w:val="24"/>
              </w:rPr>
            </w:pPr>
          </w:p>
        </w:tc>
        <w:tc>
          <w:tcPr>
            <w:tcW w:w="4394" w:type="dxa"/>
            <w:tcBorders>
              <w:top w:val="single" w:sz="4" w:space="0" w:color="auto"/>
            </w:tcBorders>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（九）（A06633）《本期减（免）税额明细表》</w:t>
            </w:r>
            <w:r>
              <w:rPr>
                <w:rFonts w:ascii="仿宋" w:eastAsia="仿宋" w:hAnsi="仿宋" w:cs="仿宋" w:hint="eastAsia"/>
                <w:kern w:val="1"/>
                <w:sz w:val="24"/>
                <w:highlight w:val="lightGray"/>
              </w:rPr>
              <w:t>2份</w:t>
            </w:r>
            <w:r>
              <w:rPr>
                <w:rFonts w:ascii="仿宋" w:eastAsia="仿宋" w:hAnsi="仿宋" w:cs="仿宋" w:hint="eastAsia"/>
                <w:kern w:val="1"/>
                <w:sz w:val="24"/>
              </w:rPr>
              <w:t>。</w:t>
            </w:r>
          </w:p>
        </w:tc>
        <w:tc>
          <w:tcPr>
            <w:tcW w:w="1134"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kern w:val="1"/>
                <w:sz w:val="24"/>
              </w:rPr>
              <w:t>享受消费税减免税优惠政策的纳税人提交</w:t>
            </w:r>
          </w:p>
        </w:tc>
        <w:tc>
          <w:tcPr>
            <w:tcW w:w="2126"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（七）《本期减（免）税额明细表》1份。</w:t>
            </w:r>
          </w:p>
        </w:tc>
        <w:tc>
          <w:tcPr>
            <w:tcW w:w="1201"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kern w:val="1"/>
                <w:sz w:val="24"/>
              </w:rPr>
              <w:t>享受消费税减免税优惠政策的纳税人提交</w:t>
            </w:r>
          </w:p>
        </w:tc>
        <w:tc>
          <w:tcPr>
            <w:tcW w:w="2126" w:type="dxa"/>
            <w:vAlign w:val="center"/>
          </w:tcPr>
          <w:p w:rsidR="00013EC7" w:rsidRDefault="00575CDB">
            <w:pPr>
              <w:spacing w:line="300" w:lineRule="exact"/>
              <w:rPr>
                <w:rFonts w:ascii="仿宋" w:eastAsia="仿宋" w:hAnsi="仿宋" w:cs="仿宋"/>
                <w:b/>
                <w:sz w:val="24"/>
              </w:rPr>
            </w:pPr>
            <w:r>
              <w:rPr>
                <w:rFonts w:ascii="仿宋" w:eastAsia="仿宋" w:hAnsi="仿宋" w:cs="仿宋" w:hint="eastAsia"/>
                <w:b/>
                <w:sz w:val="24"/>
              </w:rPr>
              <w:t>现场办理：</w:t>
            </w:r>
            <w:r>
              <w:rPr>
                <w:rFonts w:ascii="仿宋" w:eastAsia="仿宋" w:hAnsi="仿宋" w:cs="仿宋" w:hint="eastAsia"/>
                <w:sz w:val="24"/>
              </w:rPr>
              <w:t>纳税人提交书面材料。</w:t>
            </w:r>
          </w:p>
          <w:p w:rsidR="00013EC7" w:rsidRDefault="00575CDB">
            <w:pPr>
              <w:spacing w:line="300" w:lineRule="exact"/>
              <w:rPr>
                <w:rFonts w:ascii="仿宋" w:eastAsia="仿宋" w:hAnsi="仿宋" w:cs="仿宋"/>
                <w:b/>
                <w:sz w:val="24"/>
              </w:rPr>
            </w:pPr>
            <w:r>
              <w:rPr>
                <w:rFonts w:ascii="仿宋" w:eastAsia="仿宋" w:hAnsi="仿宋" w:cs="仿宋" w:hint="eastAsia"/>
                <w:b/>
                <w:sz w:val="24"/>
              </w:rPr>
              <w:t>网上办理：</w:t>
            </w:r>
            <w:r>
              <w:rPr>
                <w:rFonts w:ascii="仿宋" w:eastAsia="仿宋" w:hAnsi="仿宋" w:cs="仿宋" w:hint="eastAsia"/>
                <w:sz w:val="24"/>
              </w:rPr>
              <w:t>登录浙江国税电子税务局（网址：</w:t>
            </w:r>
            <w:hyperlink r:id="rId239" w:tgtFrame="https://wx.qq.com/_blank" w:history="1">
              <w:r>
                <w:rPr>
                  <w:rFonts w:ascii="仿宋" w:eastAsia="仿宋" w:hAnsi="仿宋" w:cs="仿宋" w:hint="eastAsia"/>
                  <w:sz w:val="24"/>
                </w:rPr>
                <w:t>http://etax.zjtax.gov.cn/</w:t>
              </w:r>
            </w:hyperlink>
            <w:r>
              <w:rPr>
                <w:rFonts w:ascii="仿宋" w:eastAsia="仿宋" w:hAnsi="仿宋" w:cs="仿宋" w:hint="eastAsia"/>
                <w:sz w:val="24"/>
              </w:rPr>
              <w:t>）提交申请。</w:t>
            </w:r>
          </w:p>
        </w:tc>
        <w:tc>
          <w:tcPr>
            <w:tcW w:w="715" w:type="dxa"/>
            <w:vMerge/>
            <w:vAlign w:val="center"/>
          </w:tcPr>
          <w:p w:rsidR="00013EC7" w:rsidRDefault="00013EC7">
            <w:pPr>
              <w:spacing w:line="300" w:lineRule="exact"/>
              <w:rPr>
                <w:rFonts w:ascii="仿宋" w:eastAsia="仿宋" w:hAnsi="仿宋" w:cs="仿宋"/>
                <w:sz w:val="24"/>
              </w:rPr>
            </w:pPr>
          </w:p>
        </w:tc>
        <w:tc>
          <w:tcPr>
            <w:tcW w:w="798" w:type="dxa"/>
            <w:vMerge/>
            <w:vAlign w:val="center"/>
          </w:tcPr>
          <w:p w:rsidR="00013EC7" w:rsidRDefault="00013EC7">
            <w:pPr>
              <w:spacing w:line="300" w:lineRule="exact"/>
              <w:rPr>
                <w:rFonts w:ascii="仿宋" w:eastAsia="仿宋" w:hAnsi="仿宋" w:cs="仿宋"/>
                <w:sz w:val="24"/>
              </w:rPr>
            </w:pPr>
          </w:p>
        </w:tc>
        <w:tc>
          <w:tcPr>
            <w:tcW w:w="958" w:type="dxa"/>
            <w:vMerge/>
            <w:vAlign w:val="center"/>
          </w:tcPr>
          <w:p w:rsidR="00013EC7" w:rsidRDefault="00013EC7">
            <w:pPr>
              <w:spacing w:line="300" w:lineRule="exact"/>
              <w:rPr>
                <w:rFonts w:ascii="仿宋" w:eastAsia="仿宋" w:hAnsi="仿宋" w:cs="仿宋"/>
                <w:sz w:val="24"/>
              </w:rPr>
            </w:pPr>
          </w:p>
        </w:tc>
        <w:tc>
          <w:tcPr>
            <w:tcW w:w="1104" w:type="dxa"/>
            <w:vMerge/>
            <w:vAlign w:val="center"/>
          </w:tcPr>
          <w:p w:rsidR="00013EC7" w:rsidRDefault="00013EC7">
            <w:pPr>
              <w:spacing w:line="300" w:lineRule="exact"/>
              <w:rPr>
                <w:rFonts w:ascii="仿宋" w:eastAsia="仿宋" w:hAnsi="仿宋" w:cs="仿宋"/>
                <w:sz w:val="24"/>
              </w:rPr>
            </w:pPr>
          </w:p>
        </w:tc>
        <w:tc>
          <w:tcPr>
            <w:tcW w:w="1476" w:type="dxa"/>
            <w:vMerge/>
            <w:vAlign w:val="center"/>
          </w:tcPr>
          <w:p w:rsidR="00013EC7" w:rsidRDefault="00013EC7">
            <w:pPr>
              <w:spacing w:line="300" w:lineRule="exact"/>
              <w:rPr>
                <w:rFonts w:ascii="仿宋" w:eastAsia="仿宋" w:hAnsi="仿宋" w:cs="仿宋"/>
                <w:sz w:val="24"/>
              </w:rPr>
            </w:pPr>
          </w:p>
        </w:tc>
      </w:tr>
      <w:tr w:rsidR="00013EC7">
        <w:trPr>
          <w:trHeight w:val="1783"/>
          <w:jc w:val="center"/>
        </w:trPr>
        <w:tc>
          <w:tcPr>
            <w:tcW w:w="672" w:type="dxa"/>
            <w:vMerge/>
            <w:vAlign w:val="center"/>
          </w:tcPr>
          <w:p w:rsidR="00013EC7" w:rsidRDefault="00013EC7">
            <w:pPr>
              <w:spacing w:line="300" w:lineRule="exact"/>
              <w:rPr>
                <w:rFonts w:ascii="仿宋" w:eastAsia="仿宋" w:hAnsi="仿宋" w:cs="仿宋"/>
                <w:sz w:val="24"/>
              </w:rPr>
            </w:pPr>
          </w:p>
        </w:tc>
        <w:tc>
          <w:tcPr>
            <w:tcW w:w="1035" w:type="dxa"/>
            <w:vMerge/>
            <w:vAlign w:val="center"/>
          </w:tcPr>
          <w:p w:rsidR="00013EC7" w:rsidRDefault="00013EC7">
            <w:pPr>
              <w:spacing w:line="310" w:lineRule="exact"/>
              <w:rPr>
                <w:rFonts w:ascii="仿宋" w:eastAsia="仿宋" w:hAnsi="仿宋" w:cs="仿宋"/>
                <w:sz w:val="24"/>
              </w:rPr>
            </w:pPr>
          </w:p>
        </w:tc>
        <w:tc>
          <w:tcPr>
            <w:tcW w:w="2987" w:type="dxa"/>
            <w:vMerge/>
            <w:vAlign w:val="center"/>
          </w:tcPr>
          <w:p w:rsidR="00013EC7" w:rsidRDefault="00013EC7">
            <w:pPr>
              <w:rPr>
                <w:rFonts w:ascii="仿宋" w:eastAsia="仿宋" w:hAnsi="仿宋" w:cs="仿宋"/>
                <w:kern w:val="1"/>
                <w:sz w:val="24"/>
              </w:rPr>
            </w:pPr>
          </w:p>
        </w:tc>
        <w:tc>
          <w:tcPr>
            <w:tcW w:w="4394" w:type="dxa"/>
            <w:tcBorders>
              <w:top w:val="single" w:sz="4" w:space="0" w:color="auto"/>
            </w:tcBorders>
            <w:vAlign w:val="center"/>
          </w:tcPr>
          <w:p w:rsidR="00013EC7" w:rsidRDefault="00575CDB">
            <w:pPr>
              <w:rPr>
                <w:rFonts w:ascii="仿宋" w:eastAsia="仿宋" w:hAnsi="仿宋" w:cs="仿宋"/>
                <w:kern w:val="1"/>
                <w:sz w:val="24"/>
              </w:rPr>
            </w:pPr>
            <w:r>
              <w:rPr>
                <w:rFonts w:ascii="仿宋" w:eastAsia="仿宋" w:hAnsi="仿宋" w:cs="仿宋" w:hint="eastAsia"/>
                <w:kern w:val="1"/>
                <w:sz w:val="24"/>
                <w:highlight w:val="lightGray"/>
              </w:rPr>
              <w:t>（十）外购应税消费品增值税专用发票抵扣联。属于汇总填开的，还应提供随同增值税专用发票取得的由销售方开具并加盖财务专用章或发票专用章的销货清单原件和复印件。</w:t>
            </w:r>
          </w:p>
        </w:tc>
        <w:tc>
          <w:tcPr>
            <w:tcW w:w="1134" w:type="dxa"/>
            <w:shd w:val="clear" w:color="auto" w:fill="auto"/>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外购应税消费品连续生产应税消费品的纳税人留存备查</w:t>
            </w:r>
          </w:p>
        </w:tc>
        <w:tc>
          <w:tcPr>
            <w:tcW w:w="2126" w:type="dxa"/>
            <w:vAlign w:val="center"/>
          </w:tcPr>
          <w:p w:rsidR="00013EC7" w:rsidRDefault="00013EC7">
            <w:pPr>
              <w:rPr>
                <w:rFonts w:ascii="仿宋" w:eastAsia="仿宋" w:hAnsi="仿宋" w:cs="仿宋"/>
                <w:kern w:val="1"/>
                <w:sz w:val="24"/>
              </w:rPr>
            </w:pPr>
          </w:p>
        </w:tc>
        <w:tc>
          <w:tcPr>
            <w:tcW w:w="1201" w:type="dxa"/>
            <w:vMerge w:val="restart"/>
            <w:vAlign w:val="center"/>
          </w:tcPr>
          <w:p w:rsidR="00013EC7" w:rsidRDefault="00575CDB">
            <w:pPr>
              <w:tabs>
                <w:tab w:val="left" w:pos="528"/>
              </w:tabs>
              <w:spacing w:line="300" w:lineRule="exact"/>
              <w:rPr>
                <w:rFonts w:ascii="仿宋" w:eastAsia="仿宋" w:hAnsi="仿宋" w:cs="仿宋"/>
                <w:sz w:val="24"/>
              </w:rPr>
            </w:pPr>
            <w:r>
              <w:rPr>
                <w:rFonts w:ascii="仿宋" w:eastAsia="仿宋" w:hAnsi="仿宋" w:cs="仿宋" w:hint="eastAsia"/>
                <w:b/>
                <w:bCs/>
                <w:i/>
                <w:iCs/>
                <w:sz w:val="24"/>
              </w:rPr>
              <w:t>取消</w:t>
            </w:r>
          </w:p>
        </w:tc>
        <w:tc>
          <w:tcPr>
            <w:tcW w:w="2126" w:type="dxa"/>
            <w:vMerge w:val="restart"/>
            <w:vAlign w:val="center"/>
          </w:tcPr>
          <w:p w:rsidR="00013EC7" w:rsidRDefault="00013EC7">
            <w:pPr>
              <w:rPr>
                <w:rFonts w:ascii="仿宋" w:eastAsia="仿宋" w:hAnsi="仿宋" w:cs="仿宋"/>
                <w:sz w:val="24"/>
              </w:rPr>
            </w:pPr>
          </w:p>
        </w:tc>
        <w:tc>
          <w:tcPr>
            <w:tcW w:w="715" w:type="dxa"/>
            <w:vMerge/>
            <w:vAlign w:val="center"/>
          </w:tcPr>
          <w:p w:rsidR="00013EC7" w:rsidRDefault="00013EC7">
            <w:pPr>
              <w:spacing w:line="300" w:lineRule="exact"/>
              <w:rPr>
                <w:rFonts w:ascii="仿宋" w:eastAsia="仿宋" w:hAnsi="仿宋" w:cs="仿宋"/>
                <w:sz w:val="24"/>
              </w:rPr>
            </w:pPr>
          </w:p>
        </w:tc>
        <w:tc>
          <w:tcPr>
            <w:tcW w:w="798" w:type="dxa"/>
            <w:vMerge/>
            <w:vAlign w:val="center"/>
          </w:tcPr>
          <w:p w:rsidR="00013EC7" w:rsidRDefault="00013EC7">
            <w:pPr>
              <w:spacing w:line="300" w:lineRule="exact"/>
              <w:rPr>
                <w:rFonts w:ascii="仿宋" w:eastAsia="仿宋" w:hAnsi="仿宋" w:cs="仿宋"/>
                <w:sz w:val="24"/>
              </w:rPr>
            </w:pPr>
          </w:p>
        </w:tc>
        <w:tc>
          <w:tcPr>
            <w:tcW w:w="958" w:type="dxa"/>
            <w:vMerge/>
            <w:vAlign w:val="center"/>
          </w:tcPr>
          <w:p w:rsidR="00013EC7" w:rsidRDefault="00013EC7">
            <w:pPr>
              <w:spacing w:line="300" w:lineRule="exact"/>
              <w:rPr>
                <w:rFonts w:ascii="仿宋" w:eastAsia="仿宋" w:hAnsi="仿宋" w:cs="仿宋"/>
                <w:sz w:val="24"/>
              </w:rPr>
            </w:pPr>
          </w:p>
        </w:tc>
        <w:tc>
          <w:tcPr>
            <w:tcW w:w="1104" w:type="dxa"/>
            <w:vMerge/>
            <w:vAlign w:val="center"/>
          </w:tcPr>
          <w:p w:rsidR="00013EC7" w:rsidRDefault="00013EC7">
            <w:pPr>
              <w:spacing w:line="300" w:lineRule="exact"/>
              <w:rPr>
                <w:rFonts w:ascii="仿宋" w:eastAsia="仿宋" w:hAnsi="仿宋" w:cs="仿宋"/>
                <w:sz w:val="24"/>
              </w:rPr>
            </w:pPr>
          </w:p>
        </w:tc>
        <w:tc>
          <w:tcPr>
            <w:tcW w:w="1476" w:type="dxa"/>
            <w:vMerge/>
            <w:vAlign w:val="center"/>
          </w:tcPr>
          <w:p w:rsidR="00013EC7" w:rsidRDefault="00013EC7">
            <w:pPr>
              <w:spacing w:line="300" w:lineRule="exact"/>
              <w:rPr>
                <w:rFonts w:ascii="仿宋" w:eastAsia="仿宋" w:hAnsi="仿宋" w:cs="仿宋"/>
                <w:sz w:val="24"/>
              </w:rPr>
            </w:pPr>
          </w:p>
        </w:tc>
      </w:tr>
      <w:tr w:rsidR="00013EC7">
        <w:trPr>
          <w:trHeight w:val="1336"/>
          <w:jc w:val="center"/>
        </w:trPr>
        <w:tc>
          <w:tcPr>
            <w:tcW w:w="672" w:type="dxa"/>
            <w:vMerge/>
            <w:vAlign w:val="center"/>
          </w:tcPr>
          <w:p w:rsidR="00013EC7" w:rsidRDefault="00013EC7">
            <w:pPr>
              <w:rPr>
                <w:rFonts w:ascii="仿宋" w:eastAsia="仿宋" w:hAnsi="仿宋" w:cs="仿宋"/>
                <w:sz w:val="24"/>
              </w:rPr>
            </w:pPr>
          </w:p>
        </w:tc>
        <w:tc>
          <w:tcPr>
            <w:tcW w:w="1035" w:type="dxa"/>
            <w:vMerge/>
            <w:vAlign w:val="center"/>
          </w:tcPr>
          <w:p w:rsidR="00013EC7" w:rsidRDefault="00013EC7">
            <w:pPr>
              <w:rPr>
                <w:rFonts w:ascii="仿宋" w:eastAsia="仿宋" w:hAnsi="仿宋" w:cs="仿宋"/>
                <w:sz w:val="24"/>
              </w:rPr>
            </w:pPr>
          </w:p>
        </w:tc>
        <w:tc>
          <w:tcPr>
            <w:tcW w:w="2987" w:type="dxa"/>
            <w:vMerge/>
            <w:vAlign w:val="center"/>
          </w:tcPr>
          <w:p w:rsidR="00013EC7" w:rsidRDefault="00013EC7">
            <w:pPr>
              <w:rPr>
                <w:rFonts w:ascii="仿宋" w:eastAsia="仿宋" w:hAnsi="仿宋" w:cs="仿宋"/>
                <w:sz w:val="24"/>
              </w:rPr>
            </w:pPr>
          </w:p>
        </w:tc>
        <w:tc>
          <w:tcPr>
            <w:tcW w:w="4394" w:type="dxa"/>
            <w:tcBorders>
              <w:top w:val="single" w:sz="4" w:space="0" w:color="auto"/>
            </w:tcBorders>
            <w:vAlign w:val="center"/>
          </w:tcPr>
          <w:p w:rsidR="00013EC7" w:rsidRDefault="00575CDB">
            <w:pPr>
              <w:rPr>
                <w:rFonts w:ascii="仿宋" w:eastAsia="仿宋" w:hAnsi="仿宋" w:cs="仿宋"/>
                <w:kern w:val="1"/>
                <w:sz w:val="24"/>
                <w:highlight w:val="lightGray"/>
              </w:rPr>
            </w:pPr>
            <w:r>
              <w:rPr>
                <w:rFonts w:ascii="仿宋" w:eastAsia="仿宋" w:hAnsi="仿宋" w:cs="仿宋" w:hint="eastAsia"/>
                <w:kern w:val="1"/>
                <w:sz w:val="24"/>
                <w:highlight w:val="lightGray"/>
              </w:rPr>
              <w:t>（十一）《代扣代收税款凭证》。</w:t>
            </w:r>
          </w:p>
        </w:tc>
        <w:tc>
          <w:tcPr>
            <w:tcW w:w="1134" w:type="dxa"/>
            <w:shd w:val="clear" w:color="auto" w:fill="auto"/>
            <w:vAlign w:val="center"/>
          </w:tcPr>
          <w:p w:rsidR="00013EC7" w:rsidRDefault="00575CDB">
            <w:pPr>
              <w:rPr>
                <w:rFonts w:ascii="仿宋" w:eastAsia="仿宋" w:hAnsi="仿宋" w:cs="仿宋"/>
                <w:sz w:val="24"/>
              </w:rPr>
            </w:pPr>
            <w:r>
              <w:rPr>
                <w:rFonts w:ascii="仿宋" w:eastAsia="仿宋" w:hAnsi="仿宋" w:cs="仿宋" w:hint="eastAsia"/>
                <w:sz w:val="24"/>
              </w:rPr>
              <w:t>委托加工收回应税消费品连续生产应税消费品的纳税人留存备查</w:t>
            </w:r>
          </w:p>
        </w:tc>
        <w:tc>
          <w:tcPr>
            <w:tcW w:w="2126" w:type="dxa"/>
            <w:vAlign w:val="center"/>
          </w:tcPr>
          <w:p w:rsidR="00013EC7" w:rsidRDefault="00013EC7">
            <w:pPr>
              <w:rPr>
                <w:rFonts w:ascii="仿宋" w:eastAsia="仿宋" w:hAnsi="仿宋" w:cs="仿宋"/>
                <w:kern w:val="1"/>
                <w:sz w:val="24"/>
                <w:highlight w:val="lightGray"/>
              </w:rPr>
            </w:pPr>
          </w:p>
        </w:tc>
        <w:tc>
          <w:tcPr>
            <w:tcW w:w="1201" w:type="dxa"/>
            <w:vMerge/>
            <w:vAlign w:val="center"/>
          </w:tcPr>
          <w:p w:rsidR="00013EC7" w:rsidRDefault="00013EC7">
            <w:pPr>
              <w:rPr>
                <w:rFonts w:ascii="仿宋" w:eastAsia="仿宋" w:hAnsi="仿宋" w:cs="仿宋"/>
                <w:kern w:val="1"/>
                <w:sz w:val="24"/>
                <w:highlight w:val="lightGray"/>
              </w:rPr>
            </w:pPr>
          </w:p>
        </w:tc>
        <w:tc>
          <w:tcPr>
            <w:tcW w:w="2126" w:type="dxa"/>
            <w:vMerge/>
            <w:vAlign w:val="center"/>
          </w:tcPr>
          <w:p w:rsidR="00013EC7" w:rsidRDefault="00013EC7">
            <w:pPr>
              <w:rPr>
                <w:rFonts w:ascii="仿宋" w:eastAsia="仿宋" w:hAnsi="仿宋" w:cs="仿宋"/>
                <w:kern w:val="1"/>
                <w:sz w:val="24"/>
                <w:highlight w:val="lightGray"/>
              </w:rPr>
            </w:pPr>
          </w:p>
        </w:tc>
        <w:tc>
          <w:tcPr>
            <w:tcW w:w="715" w:type="dxa"/>
            <w:vMerge/>
            <w:vAlign w:val="center"/>
          </w:tcPr>
          <w:p w:rsidR="00013EC7" w:rsidRDefault="00013EC7">
            <w:pPr>
              <w:rPr>
                <w:rFonts w:ascii="仿宋" w:eastAsia="仿宋" w:hAnsi="仿宋" w:cs="仿宋"/>
                <w:kern w:val="1"/>
                <w:sz w:val="24"/>
                <w:highlight w:val="lightGray"/>
              </w:rPr>
            </w:pPr>
          </w:p>
        </w:tc>
        <w:tc>
          <w:tcPr>
            <w:tcW w:w="798" w:type="dxa"/>
            <w:vMerge/>
            <w:vAlign w:val="center"/>
          </w:tcPr>
          <w:p w:rsidR="00013EC7" w:rsidRDefault="00013EC7">
            <w:pPr>
              <w:rPr>
                <w:rFonts w:ascii="仿宋" w:eastAsia="仿宋" w:hAnsi="仿宋" w:cs="仿宋"/>
                <w:kern w:val="1"/>
                <w:sz w:val="24"/>
                <w:highlight w:val="lightGray"/>
              </w:rPr>
            </w:pPr>
          </w:p>
        </w:tc>
        <w:tc>
          <w:tcPr>
            <w:tcW w:w="958" w:type="dxa"/>
            <w:vMerge/>
            <w:vAlign w:val="center"/>
          </w:tcPr>
          <w:p w:rsidR="00013EC7" w:rsidRDefault="00013EC7">
            <w:pPr>
              <w:rPr>
                <w:rFonts w:ascii="仿宋" w:eastAsia="仿宋" w:hAnsi="仿宋" w:cs="仿宋"/>
                <w:kern w:val="1"/>
                <w:sz w:val="24"/>
                <w:highlight w:val="lightGray"/>
              </w:rPr>
            </w:pPr>
          </w:p>
        </w:tc>
        <w:tc>
          <w:tcPr>
            <w:tcW w:w="1104" w:type="dxa"/>
            <w:vMerge/>
            <w:vAlign w:val="center"/>
          </w:tcPr>
          <w:p w:rsidR="00013EC7" w:rsidRDefault="00013EC7">
            <w:pPr>
              <w:rPr>
                <w:rFonts w:ascii="仿宋" w:eastAsia="仿宋" w:hAnsi="仿宋" w:cs="仿宋"/>
                <w:kern w:val="1"/>
                <w:sz w:val="24"/>
                <w:highlight w:val="lightGray"/>
              </w:rPr>
            </w:pPr>
          </w:p>
        </w:tc>
        <w:tc>
          <w:tcPr>
            <w:tcW w:w="1476" w:type="dxa"/>
            <w:vMerge/>
            <w:vAlign w:val="center"/>
          </w:tcPr>
          <w:p w:rsidR="00013EC7" w:rsidRDefault="00013EC7">
            <w:pPr>
              <w:rPr>
                <w:rFonts w:ascii="仿宋" w:eastAsia="仿宋" w:hAnsi="仿宋" w:cs="仿宋"/>
                <w:kern w:val="1"/>
                <w:sz w:val="24"/>
                <w:highlight w:val="lightGray"/>
              </w:rPr>
            </w:pPr>
          </w:p>
        </w:tc>
      </w:tr>
      <w:tr w:rsidR="00013EC7">
        <w:trPr>
          <w:trHeight w:val="2746"/>
          <w:jc w:val="center"/>
        </w:trPr>
        <w:tc>
          <w:tcPr>
            <w:tcW w:w="672" w:type="dxa"/>
            <w:vMerge/>
            <w:tcBorders>
              <w:bottom w:val="single" w:sz="8" w:space="0" w:color="auto"/>
            </w:tcBorders>
            <w:vAlign w:val="center"/>
          </w:tcPr>
          <w:p w:rsidR="00013EC7" w:rsidRDefault="00013EC7">
            <w:pPr>
              <w:rPr>
                <w:rFonts w:ascii="仿宋" w:eastAsia="仿宋" w:hAnsi="仿宋" w:cs="仿宋"/>
                <w:kern w:val="1"/>
                <w:sz w:val="24"/>
                <w:highlight w:val="lightGray"/>
              </w:rPr>
            </w:pPr>
          </w:p>
        </w:tc>
        <w:tc>
          <w:tcPr>
            <w:tcW w:w="1035" w:type="dxa"/>
            <w:vMerge/>
            <w:tcBorders>
              <w:bottom w:val="single" w:sz="8" w:space="0" w:color="auto"/>
            </w:tcBorders>
            <w:vAlign w:val="center"/>
          </w:tcPr>
          <w:p w:rsidR="00013EC7" w:rsidRDefault="00013EC7">
            <w:pPr>
              <w:rPr>
                <w:rFonts w:ascii="仿宋" w:eastAsia="仿宋" w:hAnsi="仿宋" w:cs="仿宋"/>
                <w:kern w:val="1"/>
                <w:sz w:val="24"/>
                <w:highlight w:val="lightGray"/>
              </w:rPr>
            </w:pPr>
          </w:p>
        </w:tc>
        <w:tc>
          <w:tcPr>
            <w:tcW w:w="2987" w:type="dxa"/>
            <w:vMerge/>
            <w:tcBorders>
              <w:bottom w:val="single" w:sz="8" w:space="0" w:color="auto"/>
            </w:tcBorders>
            <w:vAlign w:val="center"/>
          </w:tcPr>
          <w:p w:rsidR="00013EC7" w:rsidRDefault="00013EC7">
            <w:pPr>
              <w:rPr>
                <w:rFonts w:ascii="仿宋" w:eastAsia="仿宋" w:hAnsi="仿宋" w:cs="仿宋"/>
                <w:kern w:val="1"/>
                <w:sz w:val="24"/>
                <w:highlight w:val="lightGray"/>
              </w:rPr>
            </w:pPr>
          </w:p>
        </w:tc>
        <w:tc>
          <w:tcPr>
            <w:tcW w:w="4394" w:type="dxa"/>
            <w:tcBorders>
              <w:top w:val="single" w:sz="4" w:space="0" w:color="auto"/>
              <w:bottom w:val="single" w:sz="8" w:space="0" w:color="auto"/>
            </w:tcBorders>
            <w:vAlign w:val="center"/>
          </w:tcPr>
          <w:p w:rsidR="00013EC7" w:rsidRDefault="00575CDB">
            <w:pPr>
              <w:rPr>
                <w:rFonts w:ascii="仿宋" w:eastAsia="仿宋" w:hAnsi="仿宋" w:cs="仿宋"/>
                <w:sz w:val="24"/>
              </w:rPr>
            </w:pPr>
            <w:r>
              <w:rPr>
                <w:rFonts w:ascii="仿宋" w:eastAsia="仿宋" w:hAnsi="仿宋" w:cs="仿宋" w:hint="eastAsia"/>
                <w:kern w:val="1"/>
                <w:sz w:val="24"/>
                <w:highlight w:val="lightGray"/>
              </w:rPr>
              <w:t>（十二）《海关进口消费税专用缴款书》。</w:t>
            </w:r>
          </w:p>
        </w:tc>
        <w:tc>
          <w:tcPr>
            <w:tcW w:w="1134" w:type="dxa"/>
            <w:tcBorders>
              <w:bottom w:val="single" w:sz="8" w:space="0" w:color="auto"/>
            </w:tcBorders>
            <w:shd w:val="clear" w:color="auto" w:fill="auto"/>
            <w:vAlign w:val="center"/>
          </w:tcPr>
          <w:p w:rsidR="00013EC7" w:rsidRDefault="00575CDB">
            <w:pPr>
              <w:rPr>
                <w:rFonts w:ascii="仿宋" w:eastAsia="仿宋" w:hAnsi="仿宋" w:cs="仿宋"/>
                <w:sz w:val="24"/>
              </w:rPr>
            </w:pPr>
            <w:r>
              <w:rPr>
                <w:rFonts w:ascii="仿宋" w:eastAsia="仿宋" w:hAnsi="仿宋" w:cs="仿宋" w:hint="eastAsia"/>
                <w:sz w:val="24"/>
              </w:rPr>
              <w:t>进口应税消费品连续生产应税消费品的纳税人留存备查</w:t>
            </w:r>
          </w:p>
        </w:tc>
        <w:tc>
          <w:tcPr>
            <w:tcW w:w="2126" w:type="dxa"/>
            <w:tcBorders>
              <w:bottom w:val="single" w:sz="8" w:space="0" w:color="auto"/>
            </w:tcBorders>
            <w:vAlign w:val="center"/>
          </w:tcPr>
          <w:p w:rsidR="00013EC7" w:rsidRDefault="00013EC7">
            <w:pPr>
              <w:rPr>
                <w:rFonts w:ascii="仿宋" w:eastAsia="仿宋" w:hAnsi="仿宋" w:cs="仿宋"/>
                <w:kern w:val="1"/>
                <w:sz w:val="24"/>
                <w:highlight w:val="lightGray"/>
              </w:rPr>
            </w:pPr>
          </w:p>
        </w:tc>
        <w:tc>
          <w:tcPr>
            <w:tcW w:w="1201" w:type="dxa"/>
            <w:vMerge/>
            <w:tcBorders>
              <w:bottom w:val="single" w:sz="4" w:space="0" w:color="auto"/>
            </w:tcBorders>
            <w:vAlign w:val="center"/>
          </w:tcPr>
          <w:p w:rsidR="00013EC7" w:rsidRDefault="00013EC7">
            <w:pPr>
              <w:rPr>
                <w:rFonts w:ascii="仿宋" w:eastAsia="仿宋" w:hAnsi="仿宋" w:cs="仿宋"/>
                <w:kern w:val="1"/>
                <w:sz w:val="24"/>
                <w:highlight w:val="lightGray"/>
              </w:rPr>
            </w:pPr>
          </w:p>
        </w:tc>
        <w:tc>
          <w:tcPr>
            <w:tcW w:w="2126" w:type="dxa"/>
            <w:vMerge/>
            <w:tcBorders>
              <w:bottom w:val="single" w:sz="8" w:space="0" w:color="auto"/>
            </w:tcBorders>
            <w:vAlign w:val="center"/>
          </w:tcPr>
          <w:p w:rsidR="00013EC7" w:rsidRDefault="00013EC7">
            <w:pPr>
              <w:rPr>
                <w:rFonts w:ascii="仿宋" w:eastAsia="仿宋" w:hAnsi="仿宋" w:cs="仿宋"/>
                <w:kern w:val="1"/>
                <w:sz w:val="24"/>
                <w:highlight w:val="lightGray"/>
              </w:rPr>
            </w:pPr>
          </w:p>
        </w:tc>
        <w:tc>
          <w:tcPr>
            <w:tcW w:w="715" w:type="dxa"/>
            <w:vMerge/>
            <w:tcBorders>
              <w:bottom w:val="single" w:sz="8" w:space="0" w:color="auto"/>
            </w:tcBorders>
            <w:vAlign w:val="center"/>
          </w:tcPr>
          <w:p w:rsidR="00013EC7" w:rsidRDefault="00013EC7">
            <w:pPr>
              <w:rPr>
                <w:rFonts w:ascii="仿宋" w:eastAsia="仿宋" w:hAnsi="仿宋" w:cs="仿宋"/>
                <w:kern w:val="1"/>
                <w:sz w:val="24"/>
                <w:highlight w:val="lightGray"/>
              </w:rPr>
            </w:pPr>
          </w:p>
        </w:tc>
        <w:tc>
          <w:tcPr>
            <w:tcW w:w="798" w:type="dxa"/>
            <w:vMerge/>
            <w:tcBorders>
              <w:bottom w:val="single" w:sz="8" w:space="0" w:color="auto"/>
            </w:tcBorders>
            <w:vAlign w:val="center"/>
          </w:tcPr>
          <w:p w:rsidR="00013EC7" w:rsidRDefault="00013EC7">
            <w:pPr>
              <w:rPr>
                <w:rFonts w:ascii="仿宋" w:eastAsia="仿宋" w:hAnsi="仿宋" w:cs="仿宋"/>
                <w:kern w:val="1"/>
                <w:sz w:val="24"/>
                <w:highlight w:val="lightGray"/>
              </w:rPr>
            </w:pPr>
          </w:p>
        </w:tc>
        <w:tc>
          <w:tcPr>
            <w:tcW w:w="958" w:type="dxa"/>
            <w:vMerge/>
            <w:tcBorders>
              <w:bottom w:val="single" w:sz="8" w:space="0" w:color="auto"/>
            </w:tcBorders>
            <w:vAlign w:val="center"/>
          </w:tcPr>
          <w:p w:rsidR="00013EC7" w:rsidRDefault="00013EC7">
            <w:pPr>
              <w:rPr>
                <w:rFonts w:ascii="仿宋" w:eastAsia="仿宋" w:hAnsi="仿宋" w:cs="仿宋"/>
                <w:kern w:val="1"/>
                <w:sz w:val="24"/>
                <w:highlight w:val="lightGray"/>
              </w:rPr>
            </w:pPr>
          </w:p>
        </w:tc>
        <w:tc>
          <w:tcPr>
            <w:tcW w:w="1104" w:type="dxa"/>
            <w:vMerge/>
            <w:tcBorders>
              <w:bottom w:val="single" w:sz="8" w:space="0" w:color="auto"/>
            </w:tcBorders>
            <w:vAlign w:val="center"/>
          </w:tcPr>
          <w:p w:rsidR="00013EC7" w:rsidRDefault="00013EC7">
            <w:pPr>
              <w:rPr>
                <w:rFonts w:ascii="仿宋" w:eastAsia="仿宋" w:hAnsi="仿宋" w:cs="仿宋"/>
                <w:kern w:val="1"/>
                <w:sz w:val="24"/>
                <w:highlight w:val="lightGray"/>
              </w:rPr>
            </w:pPr>
          </w:p>
        </w:tc>
        <w:tc>
          <w:tcPr>
            <w:tcW w:w="1476" w:type="dxa"/>
            <w:vMerge/>
            <w:tcBorders>
              <w:bottom w:val="single" w:sz="8" w:space="0" w:color="auto"/>
            </w:tcBorders>
            <w:vAlign w:val="center"/>
          </w:tcPr>
          <w:p w:rsidR="00013EC7" w:rsidRDefault="00013EC7">
            <w:pPr>
              <w:rPr>
                <w:rFonts w:ascii="仿宋" w:eastAsia="仿宋" w:hAnsi="仿宋" w:cs="仿宋"/>
                <w:kern w:val="1"/>
                <w:sz w:val="24"/>
                <w:highlight w:val="lightGray"/>
              </w:rPr>
            </w:pPr>
          </w:p>
        </w:tc>
      </w:tr>
    </w:tbl>
    <w:p w:rsidR="00013EC7" w:rsidRDefault="00013EC7"/>
    <w:p w:rsidR="00013EC7" w:rsidRDefault="00013EC7">
      <w:pPr>
        <w:jc w:val="center"/>
      </w:pPr>
    </w:p>
    <w:p w:rsidR="00013EC7" w:rsidRDefault="005262E6">
      <w:pPr>
        <w:rPr>
          <w:rFonts w:ascii="仿宋" w:eastAsia="仿宋" w:hAnsi="仿宋" w:cs="仿宋"/>
          <w:sz w:val="24"/>
        </w:rPr>
      </w:pPr>
      <w:r>
        <w:rPr>
          <w:rFonts w:ascii="宋体" w:hAnsi="宋体" w:cs="宋体"/>
          <w:kern w:val="1"/>
          <w:szCs w:val="21"/>
        </w:rPr>
        <w:lastRenderedPageBreak/>
        <w:object w:dxaOrig="1440" w:dyaOrig="1440">
          <v:shape id="_x0000_s1353" type="#_x0000_t75" style="position:absolute;left:0;text-align:left;margin-left:603.8pt;margin-top:95.2pt;width:409.5pt;height:572.25pt;z-index:251678720;mso-wrap-distance-top:0;mso-wrap-distance-bottom:0;mso-position-vertical-relative:page;mso-width-relative:page;mso-height-relative:page">
            <v:imagedata r:id="rId240" o:title=""/>
            <o:lock v:ext="edit" aspectratio="f"/>
            <w10:wrap type="topAndBottom" anchory="page"/>
          </v:shape>
          <o:OLEObject Type="Embed" ProgID="Visio.Drawing.11" ShapeID="_x0000_s1353" DrawAspect="Content" ObjectID="_1577296235" r:id="rId241"/>
        </w:object>
      </w:r>
      <w:r>
        <w:object w:dxaOrig="1440" w:dyaOrig="1440">
          <v:shape id="_x0000_s1354" type="#_x0000_t75" style="position:absolute;left:0;text-align:left;margin-left:47.75pt;margin-top:98.8pt;width:482pt;height:588.5pt;z-index:251679744;mso-wrap-distance-top:0;mso-wrap-distance-bottom:0;mso-position-vertical-relative:page;mso-width-relative:page;mso-height-relative:page">
            <v:imagedata r:id="rId242" o:title=""/>
            <w10:wrap type="topAndBottom" anchory="page"/>
          </v:shape>
          <o:OLEObject Type="Embed" ProgID="Visio.Drawing.11" ShapeID="_x0000_s1354" DrawAspect="Content" ObjectID="_1577296236" r:id="rId243"/>
        </w:object>
      </w:r>
    </w:p>
    <w:p w:rsidR="00013EC7" w:rsidRDefault="00013EC7">
      <w:pPr>
        <w:rPr>
          <w:rFonts w:eastAsia="方正书宋简体"/>
          <w:szCs w:val="21"/>
        </w:rPr>
      </w:pPr>
    </w:p>
    <w:p w:rsidR="00013EC7" w:rsidRDefault="00013EC7"/>
    <w:p w:rsidR="00013EC7" w:rsidRDefault="00013EC7">
      <w:pPr>
        <w:jc w:val="left"/>
        <w:rPr>
          <w:rFonts w:ascii="宋体" w:hAnsi="宋体" w:cs="宋体"/>
          <w:bCs/>
          <w:sz w:val="28"/>
          <w:szCs w:val="28"/>
        </w:rPr>
        <w:sectPr w:rsidR="00013EC7">
          <w:pgSz w:w="23814" w:h="16840" w:orient="landscape"/>
          <w:pgMar w:top="1701" w:right="1843" w:bottom="1985" w:left="1843" w:header="851" w:footer="1701" w:gutter="0"/>
          <w:pgNumType w:fmt="numberInDash"/>
          <w:cols w:space="720"/>
          <w:docGrid w:type="lines" w:linePitch="312"/>
        </w:sectPr>
      </w:pPr>
    </w:p>
    <w:p w:rsidR="00013EC7" w:rsidRDefault="00575CDB">
      <w:pPr>
        <w:pStyle w:val="2"/>
      </w:pPr>
      <w:bookmarkStart w:id="319" w:name="_Toc28862"/>
      <w:bookmarkStart w:id="320" w:name="_Toc17046"/>
      <w:bookmarkStart w:id="321" w:name="_Toc28675"/>
      <w:bookmarkStart w:id="322" w:name="_Toc503467427"/>
      <w:r>
        <w:rPr>
          <w:rFonts w:hint="eastAsia"/>
        </w:rPr>
        <w:lastRenderedPageBreak/>
        <w:t>17.7</w:t>
      </w:r>
      <w:r>
        <w:rPr>
          <w:rFonts w:hint="eastAsia"/>
        </w:rPr>
        <w:t>小汽车消费税申报</w:t>
      </w:r>
      <w:bookmarkEnd w:id="319"/>
      <w:bookmarkEnd w:id="320"/>
      <w:bookmarkEnd w:id="321"/>
      <w:bookmarkEnd w:id="322"/>
    </w:p>
    <w:p w:rsidR="00013EC7" w:rsidRDefault="00575CDB">
      <w:pPr>
        <w:jc w:val="center"/>
        <w:rPr>
          <w:rFonts w:ascii="宋体" w:hAnsi="宋体" w:cs="宋体"/>
          <w:b/>
          <w:bCs/>
          <w:sz w:val="52"/>
          <w:szCs w:val="52"/>
        </w:rPr>
      </w:pPr>
      <w:r>
        <w:rPr>
          <w:rFonts w:ascii="宋体" w:hAnsi="宋体" w:cs="宋体" w:hint="eastAsia"/>
          <w:b/>
          <w:bCs/>
          <w:sz w:val="52"/>
          <w:szCs w:val="52"/>
        </w:rPr>
        <w:t>全省“最多跑一次”事项“八统一”梳理表</w:t>
      </w:r>
    </w:p>
    <w:tbl>
      <w:tblPr>
        <w:tblW w:w="20592"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4054"/>
        <w:gridCol w:w="2551"/>
        <w:gridCol w:w="1276"/>
        <w:gridCol w:w="2835"/>
        <w:gridCol w:w="1134"/>
        <w:gridCol w:w="2126"/>
        <w:gridCol w:w="709"/>
        <w:gridCol w:w="731"/>
        <w:gridCol w:w="889"/>
        <w:gridCol w:w="1104"/>
        <w:gridCol w:w="1476"/>
      </w:tblGrid>
      <w:tr w:rsidR="00013EC7">
        <w:trPr>
          <w:trHeight w:val="340"/>
          <w:tblHeader/>
          <w:jc w:val="center"/>
        </w:trPr>
        <w:tc>
          <w:tcPr>
            <w:tcW w:w="672" w:type="dxa"/>
            <w:vMerge w:val="restart"/>
            <w:vAlign w:val="center"/>
          </w:tcPr>
          <w:p w:rsidR="00013EC7" w:rsidRDefault="00575CDB">
            <w:pPr>
              <w:spacing w:line="280" w:lineRule="exact"/>
              <w:jc w:val="center"/>
              <w:rPr>
                <w:rFonts w:ascii="仿宋" w:eastAsia="仿宋" w:hAnsi="仿宋" w:cs="仿宋"/>
                <w:b/>
                <w:bCs/>
                <w:sz w:val="24"/>
              </w:rPr>
            </w:pPr>
            <w:r>
              <w:rPr>
                <w:rFonts w:ascii="仿宋" w:eastAsia="仿宋" w:hAnsi="仿宋" w:cs="仿宋" w:hint="eastAsia"/>
                <w:b/>
                <w:bCs/>
                <w:sz w:val="24"/>
              </w:rPr>
              <w:t>主项名称</w:t>
            </w:r>
          </w:p>
        </w:tc>
        <w:tc>
          <w:tcPr>
            <w:tcW w:w="1035" w:type="dxa"/>
            <w:vMerge w:val="restart"/>
            <w:vAlign w:val="center"/>
          </w:tcPr>
          <w:p w:rsidR="00013EC7" w:rsidRDefault="00575CDB">
            <w:pPr>
              <w:spacing w:line="280" w:lineRule="exact"/>
              <w:jc w:val="center"/>
              <w:rPr>
                <w:rFonts w:ascii="仿宋" w:eastAsia="仿宋" w:hAnsi="仿宋" w:cs="仿宋"/>
                <w:b/>
                <w:bCs/>
                <w:sz w:val="24"/>
              </w:rPr>
            </w:pPr>
            <w:r>
              <w:rPr>
                <w:rFonts w:ascii="仿宋" w:eastAsia="仿宋" w:hAnsi="仿宋" w:cs="仿宋" w:hint="eastAsia"/>
                <w:b/>
                <w:bCs/>
                <w:sz w:val="24"/>
              </w:rPr>
              <w:t>子项名称</w:t>
            </w:r>
          </w:p>
        </w:tc>
        <w:tc>
          <w:tcPr>
            <w:tcW w:w="4054" w:type="dxa"/>
            <w:vMerge w:val="restart"/>
            <w:vAlign w:val="center"/>
          </w:tcPr>
          <w:p w:rsidR="00013EC7" w:rsidRDefault="00575CDB">
            <w:pPr>
              <w:spacing w:line="280" w:lineRule="exact"/>
              <w:jc w:val="center"/>
              <w:rPr>
                <w:rFonts w:ascii="仿宋" w:eastAsia="仿宋" w:hAnsi="仿宋" w:cs="仿宋"/>
                <w:b/>
                <w:bCs/>
                <w:sz w:val="24"/>
              </w:rPr>
            </w:pPr>
            <w:r>
              <w:rPr>
                <w:rFonts w:ascii="仿宋" w:eastAsia="仿宋" w:hAnsi="仿宋" w:cs="仿宋" w:hint="eastAsia"/>
                <w:b/>
                <w:bCs/>
                <w:sz w:val="24"/>
              </w:rPr>
              <w:t>经办依据</w:t>
            </w:r>
          </w:p>
        </w:tc>
        <w:tc>
          <w:tcPr>
            <w:tcW w:w="3827" w:type="dxa"/>
            <w:gridSpan w:val="2"/>
            <w:vAlign w:val="center"/>
          </w:tcPr>
          <w:p w:rsidR="00013EC7" w:rsidRDefault="00575CDB">
            <w:pPr>
              <w:spacing w:line="280" w:lineRule="exact"/>
              <w:jc w:val="center"/>
              <w:rPr>
                <w:rFonts w:ascii="仿宋" w:eastAsia="仿宋" w:hAnsi="仿宋" w:cs="仿宋"/>
                <w:b/>
                <w:bCs/>
                <w:sz w:val="24"/>
              </w:rPr>
            </w:pPr>
            <w:r>
              <w:rPr>
                <w:rFonts w:ascii="仿宋" w:eastAsia="仿宋" w:hAnsi="仿宋" w:cs="仿宋" w:hint="eastAsia"/>
                <w:b/>
                <w:bCs/>
                <w:sz w:val="24"/>
              </w:rPr>
              <w:t>原经办所需材料</w:t>
            </w:r>
          </w:p>
        </w:tc>
        <w:tc>
          <w:tcPr>
            <w:tcW w:w="6095" w:type="dxa"/>
            <w:gridSpan w:val="3"/>
            <w:vAlign w:val="center"/>
          </w:tcPr>
          <w:p w:rsidR="00013EC7" w:rsidRDefault="00575CDB">
            <w:pPr>
              <w:spacing w:line="280" w:lineRule="exact"/>
              <w:jc w:val="center"/>
              <w:rPr>
                <w:rFonts w:ascii="仿宋" w:eastAsia="仿宋" w:hAnsi="仿宋" w:cs="仿宋"/>
                <w:b/>
                <w:bCs/>
                <w:sz w:val="24"/>
              </w:rPr>
            </w:pPr>
            <w:r>
              <w:rPr>
                <w:rFonts w:ascii="仿宋" w:eastAsia="仿宋" w:hAnsi="仿宋" w:cs="仿宋" w:hint="eastAsia"/>
                <w:b/>
                <w:bCs/>
                <w:sz w:val="24"/>
              </w:rPr>
              <w:t>精简后经办所需材料</w:t>
            </w:r>
          </w:p>
        </w:tc>
        <w:tc>
          <w:tcPr>
            <w:tcW w:w="1440" w:type="dxa"/>
            <w:gridSpan w:val="2"/>
            <w:vAlign w:val="center"/>
          </w:tcPr>
          <w:p w:rsidR="00013EC7" w:rsidRDefault="00575CDB">
            <w:pPr>
              <w:spacing w:line="280" w:lineRule="exact"/>
              <w:jc w:val="center"/>
              <w:rPr>
                <w:rFonts w:ascii="仿宋" w:eastAsia="仿宋" w:hAnsi="仿宋" w:cs="仿宋"/>
                <w:b/>
                <w:bCs/>
                <w:sz w:val="24"/>
              </w:rPr>
            </w:pPr>
            <w:r>
              <w:rPr>
                <w:rFonts w:ascii="仿宋" w:eastAsia="仿宋" w:hAnsi="仿宋" w:cs="仿宋" w:hint="eastAsia"/>
                <w:b/>
                <w:bCs/>
                <w:sz w:val="24"/>
              </w:rPr>
              <w:t>办理时限</w:t>
            </w:r>
          </w:p>
        </w:tc>
        <w:tc>
          <w:tcPr>
            <w:tcW w:w="889" w:type="dxa"/>
            <w:vMerge w:val="restart"/>
            <w:vAlign w:val="center"/>
          </w:tcPr>
          <w:p w:rsidR="00013EC7" w:rsidRDefault="00575CDB">
            <w:pPr>
              <w:spacing w:line="280" w:lineRule="exact"/>
              <w:jc w:val="center"/>
              <w:rPr>
                <w:rFonts w:ascii="仿宋" w:eastAsia="仿宋" w:hAnsi="仿宋" w:cs="仿宋"/>
                <w:b/>
                <w:bCs/>
                <w:sz w:val="24"/>
              </w:rPr>
            </w:pPr>
            <w:r>
              <w:rPr>
                <w:rFonts w:ascii="仿宋" w:eastAsia="仿宋" w:hAnsi="仿宋" w:cs="仿宋" w:hint="eastAsia"/>
                <w:b/>
                <w:bCs/>
                <w:sz w:val="24"/>
              </w:rPr>
              <w:t>是否实现跑零次</w:t>
            </w:r>
          </w:p>
        </w:tc>
        <w:tc>
          <w:tcPr>
            <w:tcW w:w="1104" w:type="dxa"/>
            <w:vMerge w:val="restart"/>
            <w:vAlign w:val="center"/>
          </w:tcPr>
          <w:p w:rsidR="00013EC7" w:rsidRDefault="00575CDB">
            <w:pPr>
              <w:spacing w:line="280" w:lineRule="exact"/>
              <w:jc w:val="center"/>
              <w:rPr>
                <w:rFonts w:ascii="仿宋" w:eastAsia="仿宋" w:hAnsi="仿宋" w:cs="仿宋"/>
                <w:b/>
                <w:bCs/>
                <w:sz w:val="24"/>
              </w:rPr>
            </w:pPr>
            <w:r>
              <w:rPr>
                <w:rFonts w:ascii="仿宋" w:eastAsia="仿宋" w:hAnsi="仿宋" w:cs="仿宋" w:hint="eastAsia"/>
                <w:b/>
                <w:bCs/>
                <w:sz w:val="24"/>
              </w:rPr>
              <w:t>省厅对口</w:t>
            </w:r>
          </w:p>
          <w:p w:rsidR="00013EC7" w:rsidRDefault="00575CDB">
            <w:pPr>
              <w:spacing w:line="280" w:lineRule="exact"/>
              <w:jc w:val="center"/>
              <w:rPr>
                <w:rFonts w:ascii="仿宋" w:eastAsia="仿宋" w:hAnsi="仿宋" w:cs="仿宋"/>
                <w:b/>
                <w:bCs/>
                <w:sz w:val="24"/>
              </w:rPr>
            </w:pPr>
            <w:r>
              <w:rPr>
                <w:rFonts w:ascii="仿宋" w:eastAsia="仿宋" w:hAnsi="仿宋" w:cs="仿宋" w:hint="eastAsia"/>
                <w:b/>
                <w:bCs/>
                <w:sz w:val="24"/>
              </w:rPr>
              <w:t>指导处室</w:t>
            </w:r>
          </w:p>
          <w:p w:rsidR="00013EC7" w:rsidRDefault="00575CDB">
            <w:pPr>
              <w:spacing w:line="280" w:lineRule="exact"/>
              <w:jc w:val="center"/>
              <w:rPr>
                <w:rFonts w:ascii="仿宋" w:eastAsia="仿宋" w:hAnsi="仿宋" w:cs="仿宋"/>
                <w:b/>
                <w:bCs/>
                <w:sz w:val="24"/>
              </w:rPr>
            </w:pPr>
            <w:r>
              <w:rPr>
                <w:rFonts w:ascii="仿宋" w:eastAsia="仿宋" w:hAnsi="仿宋" w:cs="仿宋" w:hint="eastAsia"/>
                <w:b/>
                <w:bCs/>
                <w:sz w:val="24"/>
              </w:rPr>
              <w:t>（单位）</w:t>
            </w:r>
          </w:p>
        </w:tc>
        <w:tc>
          <w:tcPr>
            <w:tcW w:w="1476" w:type="dxa"/>
            <w:vMerge w:val="restart"/>
            <w:vAlign w:val="center"/>
          </w:tcPr>
          <w:p w:rsidR="00013EC7" w:rsidRDefault="00575CDB">
            <w:pPr>
              <w:spacing w:line="280" w:lineRule="exact"/>
              <w:jc w:val="center"/>
              <w:rPr>
                <w:rFonts w:ascii="仿宋" w:eastAsia="仿宋" w:hAnsi="仿宋" w:cs="仿宋"/>
                <w:b/>
                <w:bCs/>
                <w:sz w:val="24"/>
              </w:rPr>
            </w:pPr>
            <w:r>
              <w:rPr>
                <w:rFonts w:ascii="仿宋" w:eastAsia="仿宋" w:hAnsi="仿宋" w:cs="仿宋" w:hint="eastAsia"/>
                <w:b/>
                <w:bCs/>
                <w:sz w:val="24"/>
              </w:rPr>
              <w:t>进一步精简、</w:t>
            </w:r>
          </w:p>
          <w:p w:rsidR="00013EC7" w:rsidRDefault="00575CDB">
            <w:pPr>
              <w:spacing w:line="280" w:lineRule="exact"/>
              <w:jc w:val="center"/>
              <w:rPr>
                <w:rFonts w:ascii="仿宋" w:eastAsia="仿宋" w:hAnsi="仿宋" w:cs="仿宋"/>
                <w:b/>
                <w:bCs/>
                <w:sz w:val="24"/>
              </w:rPr>
            </w:pPr>
            <w:r>
              <w:rPr>
                <w:rFonts w:ascii="仿宋" w:eastAsia="仿宋" w:hAnsi="仿宋" w:cs="仿宋" w:hint="eastAsia"/>
                <w:b/>
                <w:bCs/>
                <w:sz w:val="24"/>
              </w:rPr>
              <w:t>规范建议</w:t>
            </w:r>
          </w:p>
        </w:tc>
      </w:tr>
      <w:tr w:rsidR="00013EC7">
        <w:trPr>
          <w:trHeight w:val="340"/>
          <w:tblHeader/>
          <w:jc w:val="center"/>
        </w:trPr>
        <w:tc>
          <w:tcPr>
            <w:tcW w:w="672" w:type="dxa"/>
            <w:vMerge/>
            <w:vAlign w:val="center"/>
          </w:tcPr>
          <w:p w:rsidR="00013EC7" w:rsidRDefault="00013EC7">
            <w:pPr>
              <w:jc w:val="center"/>
              <w:rPr>
                <w:rFonts w:ascii="仿宋" w:eastAsia="仿宋" w:hAnsi="仿宋" w:cs="仿宋"/>
                <w:sz w:val="24"/>
              </w:rPr>
            </w:pPr>
          </w:p>
        </w:tc>
        <w:tc>
          <w:tcPr>
            <w:tcW w:w="1035" w:type="dxa"/>
            <w:vMerge/>
            <w:vAlign w:val="center"/>
          </w:tcPr>
          <w:p w:rsidR="00013EC7" w:rsidRDefault="00013EC7">
            <w:pPr>
              <w:jc w:val="center"/>
              <w:rPr>
                <w:rFonts w:ascii="仿宋" w:eastAsia="仿宋" w:hAnsi="仿宋" w:cs="仿宋"/>
                <w:sz w:val="24"/>
              </w:rPr>
            </w:pPr>
          </w:p>
        </w:tc>
        <w:tc>
          <w:tcPr>
            <w:tcW w:w="4054" w:type="dxa"/>
            <w:vMerge/>
            <w:vAlign w:val="center"/>
          </w:tcPr>
          <w:p w:rsidR="00013EC7" w:rsidRDefault="00013EC7">
            <w:pPr>
              <w:jc w:val="center"/>
              <w:rPr>
                <w:rFonts w:ascii="仿宋" w:eastAsia="仿宋" w:hAnsi="仿宋" w:cs="仿宋"/>
                <w:sz w:val="24"/>
              </w:rPr>
            </w:pPr>
          </w:p>
        </w:tc>
        <w:tc>
          <w:tcPr>
            <w:tcW w:w="2551" w:type="dxa"/>
            <w:tcBorders>
              <w:bottom w:val="single" w:sz="4" w:space="0" w:color="auto"/>
            </w:tcBorders>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材料明细</w:t>
            </w:r>
          </w:p>
        </w:tc>
        <w:tc>
          <w:tcPr>
            <w:tcW w:w="1276"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材料来源</w:t>
            </w:r>
          </w:p>
        </w:tc>
        <w:tc>
          <w:tcPr>
            <w:tcW w:w="2835"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材料明细</w:t>
            </w:r>
          </w:p>
        </w:tc>
        <w:tc>
          <w:tcPr>
            <w:tcW w:w="1134"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材料来源</w:t>
            </w:r>
          </w:p>
        </w:tc>
        <w:tc>
          <w:tcPr>
            <w:tcW w:w="2126"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办理方式及材料</w:t>
            </w:r>
          </w:p>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信息获取方式说明</w:t>
            </w:r>
          </w:p>
        </w:tc>
        <w:tc>
          <w:tcPr>
            <w:tcW w:w="709"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优化前</w:t>
            </w:r>
          </w:p>
        </w:tc>
        <w:tc>
          <w:tcPr>
            <w:tcW w:w="731"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优化后</w:t>
            </w:r>
          </w:p>
        </w:tc>
        <w:tc>
          <w:tcPr>
            <w:tcW w:w="889"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2259"/>
          <w:jc w:val="center"/>
        </w:trPr>
        <w:tc>
          <w:tcPr>
            <w:tcW w:w="672" w:type="dxa"/>
            <w:vMerge w:val="restart"/>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17日常税费申报</w:t>
            </w:r>
          </w:p>
        </w:tc>
        <w:tc>
          <w:tcPr>
            <w:tcW w:w="1035" w:type="dxa"/>
            <w:vMerge w:val="restart"/>
            <w:vAlign w:val="center"/>
          </w:tcPr>
          <w:p w:rsidR="00013EC7" w:rsidRDefault="00575CDB">
            <w:pPr>
              <w:spacing w:line="310" w:lineRule="exact"/>
              <w:rPr>
                <w:rFonts w:ascii="仿宋" w:eastAsia="仿宋" w:hAnsi="仿宋" w:cs="仿宋"/>
                <w:sz w:val="24"/>
              </w:rPr>
            </w:pPr>
            <w:r>
              <w:rPr>
                <w:rFonts w:ascii="仿宋" w:eastAsia="仿宋" w:hAnsi="仿宋" w:cs="仿宋" w:hint="eastAsia"/>
                <w:sz w:val="24"/>
              </w:rPr>
              <w:t>17.7 小汽车消费税申报</w:t>
            </w:r>
          </w:p>
        </w:tc>
        <w:tc>
          <w:tcPr>
            <w:tcW w:w="4054" w:type="dxa"/>
            <w:vMerge w:val="restart"/>
            <w:vAlign w:val="center"/>
          </w:tcPr>
          <w:p w:rsidR="00013EC7" w:rsidRDefault="00575CDB">
            <w:pPr>
              <w:rPr>
                <w:rFonts w:ascii="仿宋" w:eastAsia="仿宋" w:hAnsi="仿宋" w:cs="仿宋"/>
                <w:sz w:val="24"/>
              </w:rPr>
            </w:pPr>
            <w:r>
              <w:rPr>
                <w:rFonts w:ascii="仿宋" w:eastAsia="仿宋" w:hAnsi="仿宋" w:cs="仿宋" w:hint="eastAsia"/>
                <w:sz w:val="24"/>
              </w:rPr>
              <w:t>（一）《中华人民共和国消费税暂行条例》（2008年中华人民共和国国务院令539号）全文。</w:t>
            </w:r>
          </w:p>
          <w:p w:rsidR="00013EC7" w:rsidRDefault="00575CDB">
            <w:pPr>
              <w:rPr>
                <w:rFonts w:ascii="仿宋" w:eastAsia="仿宋" w:hAnsi="仿宋" w:cs="仿宋"/>
                <w:sz w:val="24"/>
              </w:rPr>
            </w:pPr>
            <w:r>
              <w:rPr>
                <w:rFonts w:ascii="仿宋" w:eastAsia="仿宋" w:hAnsi="仿宋" w:cs="仿宋" w:hint="eastAsia"/>
                <w:sz w:val="24"/>
              </w:rPr>
              <w:t xml:space="preserve">（二）《财政部 国家税务总局关于调整和完善消费税政策的通知》（财税〔2006〕33号）第四条第一款。 </w:t>
            </w:r>
          </w:p>
          <w:p w:rsidR="00013EC7" w:rsidRDefault="00575CDB">
            <w:pPr>
              <w:rPr>
                <w:rFonts w:ascii="仿宋" w:eastAsia="仿宋" w:hAnsi="仿宋" w:cs="仿宋"/>
                <w:sz w:val="24"/>
              </w:rPr>
            </w:pPr>
            <w:r>
              <w:rPr>
                <w:rFonts w:ascii="仿宋" w:eastAsia="仿宋" w:hAnsi="仿宋" w:cs="仿宋" w:hint="eastAsia"/>
                <w:sz w:val="24"/>
              </w:rPr>
              <w:t>（三）《财政部 国家税务总局关于调整乘用车消费税政策的通知》（财税〔2008〕105号）全文。</w:t>
            </w:r>
          </w:p>
          <w:p w:rsidR="00013EC7" w:rsidRDefault="00575CDB">
            <w:pPr>
              <w:rPr>
                <w:rFonts w:ascii="仿宋" w:eastAsia="仿宋" w:hAnsi="仿宋" w:cs="仿宋"/>
                <w:sz w:val="24"/>
              </w:rPr>
            </w:pPr>
            <w:r>
              <w:rPr>
                <w:rFonts w:ascii="仿宋" w:eastAsia="仿宋" w:hAnsi="仿宋" w:cs="仿宋" w:hint="eastAsia"/>
                <w:sz w:val="24"/>
              </w:rPr>
              <w:t>（四）《国家税务总局关于调整&lt;小汽车消费税纳税申报表&gt;有关内容的通知》（国税函〔2008〕757号）全文。</w:t>
            </w:r>
          </w:p>
          <w:p w:rsidR="00013EC7" w:rsidRDefault="00575CDB">
            <w:pPr>
              <w:rPr>
                <w:rFonts w:ascii="仿宋" w:eastAsia="仿宋" w:hAnsi="仿宋" w:cs="仿宋"/>
                <w:sz w:val="24"/>
              </w:rPr>
            </w:pPr>
            <w:r>
              <w:rPr>
                <w:rFonts w:ascii="仿宋" w:eastAsia="仿宋" w:hAnsi="仿宋" w:cs="仿宋" w:hint="eastAsia"/>
                <w:sz w:val="24"/>
              </w:rPr>
              <w:t>（五）《国家税务总局关于调整消费税纳税申报有关事项的公告》（国家税务总局公告2015年第32号）全文。</w:t>
            </w:r>
          </w:p>
          <w:p w:rsidR="00013EC7" w:rsidRDefault="00575CDB">
            <w:pPr>
              <w:rPr>
                <w:rFonts w:ascii="仿宋" w:eastAsia="仿宋" w:hAnsi="仿宋" w:cs="仿宋"/>
                <w:sz w:val="24"/>
              </w:rPr>
            </w:pPr>
            <w:r>
              <w:rPr>
                <w:rFonts w:ascii="仿宋" w:eastAsia="仿宋" w:hAnsi="仿宋" w:cs="仿宋" w:hint="eastAsia"/>
                <w:sz w:val="24"/>
              </w:rPr>
              <w:t>（六）《国家税务总局关于超豪华小汽车消费税征收管理有关事项的公告》（国家税务总局公告2016年第74号）全文。</w:t>
            </w:r>
          </w:p>
          <w:p w:rsidR="00013EC7" w:rsidRDefault="00575CDB">
            <w:pPr>
              <w:rPr>
                <w:rFonts w:ascii="仿宋" w:eastAsia="仿宋" w:hAnsi="仿宋" w:cs="仿宋"/>
                <w:sz w:val="24"/>
                <w:highlight w:val="yellow"/>
              </w:rPr>
            </w:pPr>
            <w:r>
              <w:rPr>
                <w:rFonts w:ascii="仿宋" w:eastAsia="仿宋" w:hAnsi="仿宋" w:cs="仿宋" w:hint="eastAsia"/>
                <w:sz w:val="24"/>
              </w:rPr>
              <w:t>（七）《财政部 国家税务总局关于对超豪华小汽车加征消费税有关事项的通知》（财税〔2016〕129号）全文。</w:t>
            </w:r>
          </w:p>
        </w:tc>
        <w:tc>
          <w:tcPr>
            <w:tcW w:w="2551" w:type="dxa"/>
            <w:tcBorders>
              <w:top w:val="single" w:sz="4" w:space="0" w:color="auto"/>
            </w:tcBorders>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（一）（A06029）《小汽车消费税纳税申报表》及附表各</w:t>
            </w:r>
            <w:r>
              <w:rPr>
                <w:rFonts w:ascii="仿宋" w:eastAsia="仿宋" w:hAnsi="仿宋" w:cs="仿宋" w:hint="eastAsia"/>
                <w:kern w:val="1"/>
                <w:sz w:val="24"/>
                <w:highlight w:val="lightGray"/>
              </w:rPr>
              <w:t>2份</w:t>
            </w:r>
            <w:r>
              <w:rPr>
                <w:rFonts w:ascii="仿宋" w:eastAsia="仿宋" w:hAnsi="仿宋" w:cs="仿宋" w:hint="eastAsia"/>
                <w:kern w:val="1"/>
                <w:sz w:val="24"/>
              </w:rPr>
              <w:t>。</w:t>
            </w:r>
          </w:p>
        </w:tc>
        <w:tc>
          <w:tcPr>
            <w:tcW w:w="1276" w:type="dxa"/>
            <w:vMerge w:val="restart"/>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纳税人提交</w:t>
            </w:r>
          </w:p>
        </w:tc>
        <w:tc>
          <w:tcPr>
            <w:tcW w:w="2835"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（一）（A06029）《小汽车消费税纳税申报表》及附表各1份。</w:t>
            </w:r>
          </w:p>
        </w:tc>
        <w:tc>
          <w:tcPr>
            <w:tcW w:w="1134" w:type="dxa"/>
            <w:vAlign w:val="center"/>
          </w:tcPr>
          <w:p w:rsidR="00013EC7" w:rsidRDefault="00575CDB">
            <w:pPr>
              <w:spacing w:line="300" w:lineRule="exact"/>
              <w:rPr>
                <w:rFonts w:ascii="仿宋" w:eastAsia="仿宋" w:hAnsi="仿宋" w:cs="仿宋"/>
                <w:b/>
                <w:bCs/>
                <w:i/>
                <w:iCs/>
                <w:sz w:val="24"/>
              </w:rPr>
            </w:pPr>
            <w:r>
              <w:rPr>
                <w:rFonts w:ascii="仿宋" w:eastAsia="仿宋" w:hAnsi="仿宋" w:cs="仿宋" w:hint="eastAsia"/>
                <w:sz w:val="24"/>
              </w:rPr>
              <w:t>纳税人提交</w:t>
            </w:r>
          </w:p>
        </w:tc>
        <w:tc>
          <w:tcPr>
            <w:tcW w:w="2126" w:type="dxa"/>
            <w:vMerge w:val="restart"/>
            <w:vAlign w:val="center"/>
          </w:tcPr>
          <w:p w:rsidR="00013EC7" w:rsidRDefault="00575CDB">
            <w:pPr>
              <w:spacing w:line="300" w:lineRule="exac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纳税人提交书面材料。</w:t>
            </w:r>
          </w:p>
          <w:p w:rsidR="00013EC7" w:rsidRDefault="00575CDB">
            <w:pPr>
              <w:spacing w:line="300" w:lineRule="exact"/>
              <w:rPr>
                <w:rFonts w:ascii="仿宋" w:eastAsia="仿宋" w:hAnsi="仿宋" w:cs="仿宋"/>
                <w:b/>
                <w:sz w:val="24"/>
              </w:rPr>
            </w:pPr>
            <w:r>
              <w:rPr>
                <w:rFonts w:ascii="仿宋" w:eastAsia="仿宋" w:hAnsi="仿宋" w:cs="仿宋" w:hint="eastAsia"/>
                <w:b/>
                <w:sz w:val="24"/>
              </w:rPr>
              <w:t>网上办理：</w:t>
            </w:r>
            <w:r>
              <w:rPr>
                <w:rFonts w:ascii="仿宋" w:eastAsia="仿宋" w:hAnsi="仿宋" w:cs="仿宋" w:hint="eastAsia"/>
                <w:sz w:val="24"/>
              </w:rPr>
              <w:t>登录浙江国税电子税务局（网址：</w:t>
            </w:r>
            <w:hyperlink r:id="rId244" w:tgtFrame="https://wx.qq.com/_blank" w:history="1">
              <w:r>
                <w:rPr>
                  <w:rFonts w:ascii="仿宋" w:eastAsia="仿宋" w:hAnsi="仿宋" w:cs="仿宋" w:hint="eastAsia"/>
                  <w:sz w:val="24"/>
                </w:rPr>
                <w:t>http://etax.zjtax.gov.cn/</w:t>
              </w:r>
            </w:hyperlink>
            <w:r>
              <w:rPr>
                <w:rFonts w:ascii="仿宋" w:eastAsia="仿宋" w:hAnsi="仿宋" w:cs="仿宋" w:hint="eastAsia"/>
                <w:sz w:val="24"/>
              </w:rPr>
              <w:t>）提交申请。</w:t>
            </w:r>
          </w:p>
        </w:tc>
        <w:tc>
          <w:tcPr>
            <w:tcW w:w="709" w:type="dxa"/>
            <w:vMerge w:val="restart"/>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即时办结</w:t>
            </w:r>
          </w:p>
        </w:tc>
        <w:tc>
          <w:tcPr>
            <w:tcW w:w="731" w:type="dxa"/>
            <w:vMerge w:val="restart"/>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即时办结</w:t>
            </w:r>
          </w:p>
        </w:tc>
        <w:tc>
          <w:tcPr>
            <w:tcW w:w="889" w:type="dxa"/>
            <w:vMerge w:val="restart"/>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是</w:t>
            </w:r>
          </w:p>
        </w:tc>
        <w:tc>
          <w:tcPr>
            <w:tcW w:w="1104" w:type="dxa"/>
            <w:vMerge w:val="restart"/>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货物和劳务税处</w:t>
            </w:r>
          </w:p>
        </w:tc>
        <w:tc>
          <w:tcPr>
            <w:tcW w:w="1476" w:type="dxa"/>
            <w:vMerge w:val="restart"/>
            <w:vAlign w:val="center"/>
          </w:tcPr>
          <w:p w:rsidR="00013EC7" w:rsidRDefault="00013EC7">
            <w:pPr>
              <w:spacing w:line="300" w:lineRule="exact"/>
              <w:rPr>
                <w:rFonts w:ascii="仿宋" w:eastAsia="仿宋" w:hAnsi="仿宋" w:cs="仿宋"/>
                <w:sz w:val="24"/>
              </w:rPr>
            </w:pPr>
          </w:p>
        </w:tc>
      </w:tr>
      <w:tr w:rsidR="00013EC7">
        <w:trPr>
          <w:trHeight w:val="2257"/>
          <w:jc w:val="center"/>
        </w:trPr>
        <w:tc>
          <w:tcPr>
            <w:tcW w:w="672" w:type="dxa"/>
            <w:vMerge/>
            <w:vAlign w:val="center"/>
          </w:tcPr>
          <w:p w:rsidR="00013EC7" w:rsidRDefault="00013EC7">
            <w:pPr>
              <w:spacing w:line="300" w:lineRule="exact"/>
              <w:rPr>
                <w:rFonts w:ascii="仿宋" w:eastAsia="仿宋" w:hAnsi="仿宋" w:cs="仿宋"/>
                <w:sz w:val="24"/>
              </w:rPr>
            </w:pPr>
          </w:p>
        </w:tc>
        <w:tc>
          <w:tcPr>
            <w:tcW w:w="1035" w:type="dxa"/>
            <w:vMerge/>
            <w:vAlign w:val="center"/>
          </w:tcPr>
          <w:p w:rsidR="00013EC7" w:rsidRDefault="00013EC7">
            <w:pPr>
              <w:spacing w:line="310" w:lineRule="exact"/>
              <w:rPr>
                <w:rFonts w:ascii="仿宋" w:eastAsia="仿宋" w:hAnsi="仿宋" w:cs="仿宋"/>
                <w:sz w:val="24"/>
              </w:rPr>
            </w:pPr>
          </w:p>
        </w:tc>
        <w:tc>
          <w:tcPr>
            <w:tcW w:w="4054" w:type="dxa"/>
            <w:vMerge/>
            <w:vAlign w:val="center"/>
          </w:tcPr>
          <w:p w:rsidR="00013EC7" w:rsidRDefault="00013EC7">
            <w:pPr>
              <w:rPr>
                <w:rFonts w:ascii="仿宋" w:eastAsia="仿宋" w:hAnsi="仿宋" w:cs="仿宋"/>
                <w:sz w:val="24"/>
              </w:rPr>
            </w:pPr>
          </w:p>
        </w:tc>
        <w:tc>
          <w:tcPr>
            <w:tcW w:w="2551" w:type="dxa"/>
            <w:tcBorders>
              <w:top w:val="single" w:sz="4" w:space="0" w:color="auto"/>
            </w:tcBorders>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（二）（A06633）《本期减（免）税额明细表》</w:t>
            </w:r>
            <w:r>
              <w:rPr>
                <w:rFonts w:ascii="仿宋" w:eastAsia="仿宋" w:hAnsi="仿宋" w:cs="仿宋" w:hint="eastAsia"/>
                <w:kern w:val="1"/>
                <w:sz w:val="24"/>
                <w:highlight w:val="lightGray"/>
              </w:rPr>
              <w:t>2份</w:t>
            </w:r>
            <w:r>
              <w:rPr>
                <w:rFonts w:ascii="仿宋" w:eastAsia="仿宋" w:hAnsi="仿宋" w:cs="仿宋" w:hint="eastAsia"/>
                <w:kern w:val="1"/>
                <w:sz w:val="24"/>
              </w:rPr>
              <w:t>（由享受消费税减免税优惠政策的纳税人在办理消费税纳税申报时填报）。</w:t>
            </w:r>
          </w:p>
        </w:tc>
        <w:tc>
          <w:tcPr>
            <w:tcW w:w="1276" w:type="dxa"/>
            <w:vMerge/>
            <w:vAlign w:val="center"/>
          </w:tcPr>
          <w:p w:rsidR="00013EC7" w:rsidRDefault="00013EC7">
            <w:pPr>
              <w:spacing w:line="300" w:lineRule="exact"/>
              <w:rPr>
                <w:rFonts w:ascii="仿宋" w:eastAsia="仿宋" w:hAnsi="仿宋" w:cs="仿宋"/>
                <w:sz w:val="24"/>
              </w:rPr>
            </w:pPr>
          </w:p>
        </w:tc>
        <w:tc>
          <w:tcPr>
            <w:tcW w:w="2835"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（二）（A06633）《本期减（免）税额明细表》1份。</w:t>
            </w:r>
          </w:p>
        </w:tc>
        <w:tc>
          <w:tcPr>
            <w:tcW w:w="1134"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kern w:val="1"/>
                <w:sz w:val="24"/>
              </w:rPr>
              <w:t>享受消费税减免税优惠政策的纳税人提交</w:t>
            </w:r>
          </w:p>
        </w:tc>
        <w:tc>
          <w:tcPr>
            <w:tcW w:w="2126" w:type="dxa"/>
            <w:vMerge/>
            <w:vAlign w:val="center"/>
          </w:tcPr>
          <w:p w:rsidR="00013EC7" w:rsidRDefault="00013EC7">
            <w:pPr>
              <w:spacing w:line="300" w:lineRule="exact"/>
              <w:rPr>
                <w:rFonts w:ascii="仿宋" w:eastAsia="仿宋" w:hAnsi="仿宋" w:cs="仿宋"/>
                <w:b/>
                <w:sz w:val="24"/>
              </w:rPr>
            </w:pPr>
          </w:p>
        </w:tc>
        <w:tc>
          <w:tcPr>
            <w:tcW w:w="709" w:type="dxa"/>
            <w:vMerge/>
            <w:vAlign w:val="center"/>
          </w:tcPr>
          <w:p w:rsidR="00013EC7" w:rsidRDefault="00013EC7">
            <w:pPr>
              <w:spacing w:line="300" w:lineRule="exact"/>
              <w:rPr>
                <w:rFonts w:ascii="仿宋" w:eastAsia="仿宋" w:hAnsi="仿宋" w:cs="仿宋"/>
                <w:sz w:val="24"/>
              </w:rPr>
            </w:pPr>
          </w:p>
        </w:tc>
        <w:tc>
          <w:tcPr>
            <w:tcW w:w="731" w:type="dxa"/>
            <w:vMerge/>
            <w:vAlign w:val="center"/>
          </w:tcPr>
          <w:p w:rsidR="00013EC7" w:rsidRDefault="00013EC7">
            <w:pPr>
              <w:spacing w:line="300" w:lineRule="exact"/>
              <w:rPr>
                <w:rFonts w:ascii="仿宋" w:eastAsia="仿宋" w:hAnsi="仿宋" w:cs="仿宋"/>
                <w:sz w:val="24"/>
              </w:rPr>
            </w:pPr>
          </w:p>
        </w:tc>
        <w:tc>
          <w:tcPr>
            <w:tcW w:w="889" w:type="dxa"/>
            <w:vMerge/>
            <w:vAlign w:val="center"/>
          </w:tcPr>
          <w:p w:rsidR="00013EC7" w:rsidRDefault="00013EC7">
            <w:pPr>
              <w:spacing w:line="300" w:lineRule="exact"/>
              <w:rPr>
                <w:rFonts w:ascii="仿宋" w:eastAsia="仿宋" w:hAnsi="仿宋" w:cs="仿宋"/>
                <w:sz w:val="24"/>
              </w:rPr>
            </w:pPr>
          </w:p>
        </w:tc>
        <w:tc>
          <w:tcPr>
            <w:tcW w:w="1104" w:type="dxa"/>
            <w:vMerge/>
            <w:vAlign w:val="center"/>
          </w:tcPr>
          <w:p w:rsidR="00013EC7" w:rsidRDefault="00013EC7">
            <w:pPr>
              <w:spacing w:line="300" w:lineRule="exact"/>
              <w:rPr>
                <w:rFonts w:ascii="仿宋" w:eastAsia="仿宋" w:hAnsi="仿宋" w:cs="仿宋"/>
                <w:sz w:val="24"/>
              </w:rPr>
            </w:pPr>
          </w:p>
        </w:tc>
        <w:tc>
          <w:tcPr>
            <w:tcW w:w="1476" w:type="dxa"/>
            <w:vMerge/>
            <w:vAlign w:val="center"/>
          </w:tcPr>
          <w:p w:rsidR="00013EC7" w:rsidRDefault="00013EC7">
            <w:pPr>
              <w:spacing w:line="300" w:lineRule="exact"/>
              <w:rPr>
                <w:rFonts w:ascii="仿宋" w:eastAsia="仿宋" w:hAnsi="仿宋" w:cs="仿宋"/>
                <w:sz w:val="24"/>
              </w:rPr>
            </w:pPr>
          </w:p>
        </w:tc>
      </w:tr>
      <w:tr w:rsidR="00013EC7">
        <w:trPr>
          <w:trHeight w:val="2257"/>
          <w:jc w:val="center"/>
        </w:trPr>
        <w:tc>
          <w:tcPr>
            <w:tcW w:w="672" w:type="dxa"/>
            <w:vMerge/>
            <w:vAlign w:val="center"/>
          </w:tcPr>
          <w:p w:rsidR="00013EC7" w:rsidRDefault="00013EC7">
            <w:pPr>
              <w:spacing w:line="300" w:lineRule="exact"/>
              <w:rPr>
                <w:rFonts w:ascii="仿宋" w:eastAsia="仿宋" w:hAnsi="仿宋" w:cs="仿宋"/>
                <w:sz w:val="24"/>
              </w:rPr>
            </w:pPr>
          </w:p>
        </w:tc>
        <w:tc>
          <w:tcPr>
            <w:tcW w:w="1035" w:type="dxa"/>
            <w:vMerge/>
            <w:vAlign w:val="center"/>
          </w:tcPr>
          <w:p w:rsidR="00013EC7" w:rsidRDefault="00013EC7">
            <w:pPr>
              <w:spacing w:line="310" w:lineRule="exact"/>
              <w:rPr>
                <w:rFonts w:ascii="仿宋" w:eastAsia="仿宋" w:hAnsi="仿宋" w:cs="仿宋"/>
                <w:sz w:val="24"/>
              </w:rPr>
            </w:pPr>
          </w:p>
        </w:tc>
        <w:tc>
          <w:tcPr>
            <w:tcW w:w="4054" w:type="dxa"/>
            <w:vMerge/>
            <w:vAlign w:val="center"/>
          </w:tcPr>
          <w:p w:rsidR="00013EC7" w:rsidRDefault="00013EC7">
            <w:pPr>
              <w:rPr>
                <w:rFonts w:ascii="仿宋" w:eastAsia="仿宋" w:hAnsi="仿宋" w:cs="仿宋"/>
                <w:sz w:val="24"/>
              </w:rPr>
            </w:pPr>
          </w:p>
        </w:tc>
        <w:tc>
          <w:tcPr>
            <w:tcW w:w="2551" w:type="dxa"/>
            <w:tcBorders>
              <w:top w:val="single" w:sz="4" w:space="0" w:color="auto"/>
            </w:tcBorders>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（三）（A06620）《其他应税消费品消费税纳税申报表》</w:t>
            </w:r>
            <w:r>
              <w:rPr>
                <w:rFonts w:ascii="仿宋" w:eastAsia="仿宋" w:hAnsi="仿宋" w:cs="仿宋" w:hint="eastAsia"/>
                <w:kern w:val="1"/>
                <w:sz w:val="24"/>
                <w:highlight w:val="lightGray"/>
              </w:rPr>
              <w:t>2份</w:t>
            </w:r>
            <w:r>
              <w:rPr>
                <w:rFonts w:ascii="仿宋" w:eastAsia="仿宋" w:hAnsi="仿宋" w:cs="仿宋" w:hint="eastAsia"/>
                <w:kern w:val="1"/>
                <w:sz w:val="24"/>
              </w:rPr>
              <w:t>（销售超豪华小汽车纳税人在办理消费税申报时填报）。</w:t>
            </w:r>
          </w:p>
        </w:tc>
        <w:tc>
          <w:tcPr>
            <w:tcW w:w="1276" w:type="dxa"/>
            <w:vMerge/>
            <w:vAlign w:val="center"/>
          </w:tcPr>
          <w:p w:rsidR="00013EC7" w:rsidRDefault="00013EC7">
            <w:pPr>
              <w:spacing w:line="300" w:lineRule="exact"/>
              <w:rPr>
                <w:rFonts w:ascii="仿宋" w:eastAsia="仿宋" w:hAnsi="仿宋" w:cs="仿宋"/>
                <w:sz w:val="24"/>
              </w:rPr>
            </w:pPr>
          </w:p>
        </w:tc>
        <w:tc>
          <w:tcPr>
            <w:tcW w:w="2835"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（三）（A06620）《其他应税消费品消费税纳税申报表》1份。</w:t>
            </w:r>
          </w:p>
        </w:tc>
        <w:tc>
          <w:tcPr>
            <w:tcW w:w="1134"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kern w:val="1"/>
                <w:sz w:val="24"/>
              </w:rPr>
              <w:t>销售超豪华小汽车纳税人提交</w:t>
            </w:r>
          </w:p>
        </w:tc>
        <w:tc>
          <w:tcPr>
            <w:tcW w:w="2126" w:type="dxa"/>
            <w:vMerge/>
            <w:vAlign w:val="center"/>
          </w:tcPr>
          <w:p w:rsidR="00013EC7" w:rsidRDefault="00013EC7">
            <w:pPr>
              <w:spacing w:line="300" w:lineRule="exact"/>
              <w:rPr>
                <w:rFonts w:ascii="仿宋" w:eastAsia="仿宋" w:hAnsi="仿宋" w:cs="仿宋"/>
                <w:b/>
                <w:sz w:val="24"/>
              </w:rPr>
            </w:pPr>
          </w:p>
        </w:tc>
        <w:tc>
          <w:tcPr>
            <w:tcW w:w="709" w:type="dxa"/>
            <w:vMerge/>
            <w:vAlign w:val="center"/>
          </w:tcPr>
          <w:p w:rsidR="00013EC7" w:rsidRDefault="00013EC7">
            <w:pPr>
              <w:spacing w:line="300" w:lineRule="exact"/>
              <w:rPr>
                <w:rFonts w:ascii="仿宋" w:eastAsia="仿宋" w:hAnsi="仿宋" w:cs="仿宋"/>
                <w:sz w:val="24"/>
              </w:rPr>
            </w:pPr>
          </w:p>
        </w:tc>
        <w:tc>
          <w:tcPr>
            <w:tcW w:w="731" w:type="dxa"/>
            <w:vMerge/>
            <w:vAlign w:val="center"/>
          </w:tcPr>
          <w:p w:rsidR="00013EC7" w:rsidRDefault="00013EC7">
            <w:pPr>
              <w:spacing w:line="300" w:lineRule="exact"/>
              <w:rPr>
                <w:rFonts w:ascii="仿宋" w:eastAsia="仿宋" w:hAnsi="仿宋" w:cs="仿宋"/>
                <w:sz w:val="24"/>
              </w:rPr>
            </w:pPr>
          </w:p>
        </w:tc>
        <w:tc>
          <w:tcPr>
            <w:tcW w:w="889" w:type="dxa"/>
            <w:vMerge/>
            <w:vAlign w:val="center"/>
          </w:tcPr>
          <w:p w:rsidR="00013EC7" w:rsidRDefault="00013EC7">
            <w:pPr>
              <w:spacing w:line="300" w:lineRule="exact"/>
              <w:rPr>
                <w:rFonts w:ascii="仿宋" w:eastAsia="仿宋" w:hAnsi="仿宋" w:cs="仿宋"/>
                <w:sz w:val="24"/>
              </w:rPr>
            </w:pPr>
          </w:p>
        </w:tc>
        <w:tc>
          <w:tcPr>
            <w:tcW w:w="1104" w:type="dxa"/>
            <w:vMerge/>
            <w:vAlign w:val="center"/>
          </w:tcPr>
          <w:p w:rsidR="00013EC7" w:rsidRDefault="00013EC7">
            <w:pPr>
              <w:spacing w:line="300" w:lineRule="exact"/>
              <w:rPr>
                <w:rFonts w:ascii="仿宋" w:eastAsia="仿宋" w:hAnsi="仿宋" w:cs="仿宋"/>
                <w:sz w:val="24"/>
              </w:rPr>
            </w:pPr>
          </w:p>
        </w:tc>
        <w:tc>
          <w:tcPr>
            <w:tcW w:w="1476" w:type="dxa"/>
            <w:vMerge/>
            <w:vAlign w:val="center"/>
          </w:tcPr>
          <w:p w:rsidR="00013EC7" w:rsidRDefault="00013EC7">
            <w:pPr>
              <w:spacing w:line="300" w:lineRule="exact"/>
              <w:rPr>
                <w:rFonts w:ascii="仿宋" w:eastAsia="仿宋" w:hAnsi="仿宋" w:cs="仿宋"/>
                <w:sz w:val="24"/>
              </w:rPr>
            </w:pPr>
          </w:p>
        </w:tc>
      </w:tr>
    </w:tbl>
    <w:p w:rsidR="00013EC7" w:rsidRDefault="00013EC7"/>
    <w:p w:rsidR="00013EC7" w:rsidRDefault="00013EC7">
      <w:pPr>
        <w:jc w:val="center"/>
      </w:pPr>
    </w:p>
    <w:p w:rsidR="00013EC7" w:rsidRDefault="005262E6">
      <w:pPr>
        <w:rPr>
          <w:rFonts w:ascii="仿宋" w:eastAsia="仿宋" w:hAnsi="仿宋" w:cs="仿宋"/>
          <w:sz w:val="24"/>
        </w:rPr>
      </w:pPr>
      <w:r>
        <w:rPr>
          <w:rFonts w:ascii="宋体" w:hAnsi="宋体" w:cs="宋体"/>
          <w:kern w:val="1"/>
          <w:szCs w:val="21"/>
        </w:rPr>
        <w:lastRenderedPageBreak/>
        <w:object w:dxaOrig="1440" w:dyaOrig="1440">
          <v:shape id="_x0000_s1355" type="#_x0000_t75" style="position:absolute;left:0;text-align:left;margin-left:563.55pt;margin-top:96.85pt;width:409.5pt;height:571.5pt;z-index:251680768;mso-wrap-distance-top:0;mso-wrap-distance-bottom:0;mso-position-vertical-relative:page;mso-width-relative:page;mso-height-relative:page">
            <v:imagedata r:id="rId245" o:title=""/>
            <o:lock v:ext="edit" aspectratio="f"/>
            <w10:wrap type="topAndBottom" anchory="page"/>
          </v:shape>
          <o:OLEObject Type="Embed" ProgID="Visio.Drawing.11" ShapeID="_x0000_s1355" DrawAspect="Content" ObjectID="_1577296237" r:id="rId246"/>
        </w:object>
      </w:r>
      <w:r w:rsidR="00575CDB">
        <w:rPr>
          <w:noProof/>
        </w:rPr>
        <w:drawing>
          <wp:anchor distT="0" distB="0" distL="114300" distR="114300" simplePos="0" relativeHeight="251563008" behindDoc="0" locked="0" layoutInCell="1" allowOverlap="1">
            <wp:simplePos x="0" y="0"/>
            <wp:positionH relativeFrom="column">
              <wp:posOffset>167005</wp:posOffset>
            </wp:positionH>
            <wp:positionV relativeFrom="page">
              <wp:posOffset>1292860</wp:posOffset>
            </wp:positionV>
            <wp:extent cx="6121400" cy="7296150"/>
            <wp:effectExtent l="0" t="0" r="0" b="0"/>
            <wp:wrapTopAndBottom/>
            <wp:docPr id="332" name="图片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 name="图片 332"/>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a:xfrm>
                      <a:off x="0" y="0"/>
                      <a:ext cx="6121400" cy="7296150"/>
                    </a:xfrm>
                    <a:prstGeom prst="rect">
                      <a:avLst/>
                    </a:prstGeom>
                    <a:noFill/>
                    <a:ln>
                      <a:noFill/>
                    </a:ln>
                  </pic:spPr>
                </pic:pic>
              </a:graphicData>
            </a:graphic>
          </wp:anchor>
        </w:drawing>
      </w:r>
    </w:p>
    <w:p w:rsidR="00013EC7" w:rsidRDefault="00013EC7"/>
    <w:p w:rsidR="00013EC7" w:rsidRDefault="00013EC7"/>
    <w:p w:rsidR="00013EC7" w:rsidRDefault="00013EC7">
      <w:pPr>
        <w:jc w:val="left"/>
        <w:rPr>
          <w:rFonts w:ascii="宋体" w:hAnsi="宋体" w:cs="宋体"/>
          <w:bCs/>
          <w:sz w:val="28"/>
          <w:szCs w:val="28"/>
        </w:rPr>
        <w:sectPr w:rsidR="00013EC7">
          <w:pgSz w:w="23814" w:h="16840" w:orient="landscape"/>
          <w:pgMar w:top="1701" w:right="1843" w:bottom="1985" w:left="1843" w:header="851" w:footer="1701" w:gutter="0"/>
          <w:pgNumType w:fmt="numberInDash"/>
          <w:cols w:space="720"/>
          <w:docGrid w:type="lines" w:linePitch="312"/>
        </w:sectPr>
      </w:pPr>
    </w:p>
    <w:p w:rsidR="00013EC7" w:rsidRDefault="00575CDB">
      <w:pPr>
        <w:pStyle w:val="2"/>
      </w:pPr>
      <w:bookmarkStart w:id="323" w:name="_Toc14916"/>
      <w:bookmarkStart w:id="324" w:name="_Toc78"/>
      <w:bookmarkStart w:id="325" w:name="_Toc503467428"/>
      <w:bookmarkStart w:id="326" w:name="_Toc1937"/>
      <w:r>
        <w:rPr>
          <w:rFonts w:hint="eastAsia"/>
        </w:rPr>
        <w:lastRenderedPageBreak/>
        <w:t>17.8</w:t>
      </w:r>
      <w:r>
        <w:rPr>
          <w:rFonts w:hint="eastAsia"/>
        </w:rPr>
        <w:t>电池消费税申报</w:t>
      </w:r>
      <w:bookmarkEnd w:id="323"/>
      <w:bookmarkEnd w:id="324"/>
      <w:bookmarkEnd w:id="325"/>
      <w:bookmarkEnd w:id="326"/>
    </w:p>
    <w:p w:rsidR="00013EC7" w:rsidRDefault="00575CDB">
      <w:pPr>
        <w:jc w:val="center"/>
        <w:rPr>
          <w:rFonts w:ascii="宋体" w:hAnsi="宋体" w:cs="宋体"/>
          <w:b/>
          <w:bCs/>
          <w:sz w:val="52"/>
          <w:szCs w:val="52"/>
        </w:rPr>
      </w:pPr>
      <w:r>
        <w:rPr>
          <w:rFonts w:ascii="宋体" w:hAnsi="宋体" w:cs="宋体" w:hint="eastAsia"/>
          <w:b/>
          <w:bCs/>
          <w:sz w:val="52"/>
          <w:szCs w:val="52"/>
        </w:rPr>
        <w:t>全省“最多跑一次”事项“八统一”梳理表</w:t>
      </w:r>
    </w:p>
    <w:tbl>
      <w:tblPr>
        <w:tblW w:w="20592"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3345"/>
        <w:gridCol w:w="2268"/>
        <w:gridCol w:w="1701"/>
        <w:gridCol w:w="2193"/>
        <w:gridCol w:w="1326"/>
        <w:gridCol w:w="2848"/>
        <w:gridCol w:w="868"/>
        <w:gridCol w:w="867"/>
        <w:gridCol w:w="889"/>
        <w:gridCol w:w="1104"/>
        <w:gridCol w:w="1476"/>
      </w:tblGrid>
      <w:tr w:rsidR="00013EC7">
        <w:trPr>
          <w:trHeight w:val="340"/>
          <w:tblHeader/>
          <w:jc w:val="center"/>
        </w:trPr>
        <w:tc>
          <w:tcPr>
            <w:tcW w:w="672" w:type="dxa"/>
            <w:vMerge w:val="restart"/>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主项名称</w:t>
            </w:r>
          </w:p>
        </w:tc>
        <w:tc>
          <w:tcPr>
            <w:tcW w:w="1035" w:type="dxa"/>
            <w:vMerge w:val="restart"/>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子项名称</w:t>
            </w:r>
          </w:p>
        </w:tc>
        <w:tc>
          <w:tcPr>
            <w:tcW w:w="3345" w:type="dxa"/>
            <w:vMerge w:val="restart"/>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经办依据</w:t>
            </w:r>
          </w:p>
        </w:tc>
        <w:tc>
          <w:tcPr>
            <w:tcW w:w="3969" w:type="dxa"/>
            <w:gridSpan w:val="2"/>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原经办所需材料</w:t>
            </w:r>
          </w:p>
        </w:tc>
        <w:tc>
          <w:tcPr>
            <w:tcW w:w="6367" w:type="dxa"/>
            <w:gridSpan w:val="3"/>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精简后经办所需材料</w:t>
            </w:r>
          </w:p>
        </w:tc>
        <w:tc>
          <w:tcPr>
            <w:tcW w:w="1735" w:type="dxa"/>
            <w:gridSpan w:val="2"/>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办理时限</w:t>
            </w:r>
          </w:p>
        </w:tc>
        <w:tc>
          <w:tcPr>
            <w:tcW w:w="889" w:type="dxa"/>
            <w:vMerge w:val="restart"/>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是否实现跑零次</w:t>
            </w:r>
          </w:p>
        </w:tc>
        <w:tc>
          <w:tcPr>
            <w:tcW w:w="1104" w:type="dxa"/>
            <w:vMerge w:val="restart"/>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省厅对口</w:t>
            </w:r>
          </w:p>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指导处室</w:t>
            </w:r>
          </w:p>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（单位）</w:t>
            </w:r>
          </w:p>
        </w:tc>
        <w:tc>
          <w:tcPr>
            <w:tcW w:w="1476" w:type="dxa"/>
            <w:vMerge w:val="restart"/>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进一步精简、</w:t>
            </w:r>
          </w:p>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规范建议</w:t>
            </w:r>
          </w:p>
        </w:tc>
      </w:tr>
      <w:tr w:rsidR="00013EC7">
        <w:trPr>
          <w:trHeight w:val="340"/>
          <w:tblHeader/>
          <w:jc w:val="center"/>
        </w:trPr>
        <w:tc>
          <w:tcPr>
            <w:tcW w:w="672" w:type="dxa"/>
            <w:vMerge/>
            <w:vAlign w:val="center"/>
          </w:tcPr>
          <w:p w:rsidR="00013EC7" w:rsidRDefault="00013EC7">
            <w:pPr>
              <w:jc w:val="center"/>
              <w:rPr>
                <w:rFonts w:ascii="仿宋" w:eastAsia="仿宋" w:hAnsi="仿宋" w:cs="仿宋"/>
                <w:sz w:val="24"/>
              </w:rPr>
            </w:pPr>
          </w:p>
        </w:tc>
        <w:tc>
          <w:tcPr>
            <w:tcW w:w="1035" w:type="dxa"/>
            <w:vMerge/>
            <w:vAlign w:val="center"/>
          </w:tcPr>
          <w:p w:rsidR="00013EC7" w:rsidRDefault="00013EC7">
            <w:pPr>
              <w:jc w:val="center"/>
              <w:rPr>
                <w:rFonts w:ascii="仿宋" w:eastAsia="仿宋" w:hAnsi="仿宋" w:cs="仿宋"/>
                <w:sz w:val="24"/>
              </w:rPr>
            </w:pPr>
          </w:p>
        </w:tc>
        <w:tc>
          <w:tcPr>
            <w:tcW w:w="3345" w:type="dxa"/>
            <w:vMerge/>
            <w:vAlign w:val="center"/>
          </w:tcPr>
          <w:p w:rsidR="00013EC7" w:rsidRDefault="00013EC7">
            <w:pPr>
              <w:jc w:val="center"/>
              <w:rPr>
                <w:rFonts w:ascii="仿宋" w:eastAsia="仿宋" w:hAnsi="仿宋" w:cs="仿宋"/>
                <w:sz w:val="24"/>
              </w:rPr>
            </w:pPr>
          </w:p>
        </w:tc>
        <w:tc>
          <w:tcPr>
            <w:tcW w:w="2268" w:type="dxa"/>
            <w:tcBorders>
              <w:bottom w:val="single" w:sz="4" w:space="0" w:color="auto"/>
            </w:tcBorders>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材料明细</w:t>
            </w:r>
          </w:p>
        </w:tc>
        <w:tc>
          <w:tcPr>
            <w:tcW w:w="1701"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材料来源</w:t>
            </w:r>
          </w:p>
        </w:tc>
        <w:tc>
          <w:tcPr>
            <w:tcW w:w="2193"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材料明细</w:t>
            </w:r>
          </w:p>
        </w:tc>
        <w:tc>
          <w:tcPr>
            <w:tcW w:w="1326"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材料来源</w:t>
            </w:r>
          </w:p>
        </w:tc>
        <w:tc>
          <w:tcPr>
            <w:tcW w:w="2848"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办理方式及材料</w:t>
            </w:r>
          </w:p>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信息获取方式说明</w:t>
            </w:r>
          </w:p>
        </w:tc>
        <w:tc>
          <w:tcPr>
            <w:tcW w:w="868"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优化前</w:t>
            </w:r>
          </w:p>
        </w:tc>
        <w:tc>
          <w:tcPr>
            <w:tcW w:w="867"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优化后</w:t>
            </w:r>
          </w:p>
        </w:tc>
        <w:tc>
          <w:tcPr>
            <w:tcW w:w="889"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3387"/>
          <w:jc w:val="center"/>
        </w:trPr>
        <w:tc>
          <w:tcPr>
            <w:tcW w:w="672" w:type="dxa"/>
            <w:vMerge w:val="restart"/>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17日常税费申报</w:t>
            </w:r>
          </w:p>
        </w:tc>
        <w:tc>
          <w:tcPr>
            <w:tcW w:w="1035" w:type="dxa"/>
            <w:vMerge w:val="restart"/>
            <w:vAlign w:val="center"/>
          </w:tcPr>
          <w:p w:rsidR="00013EC7" w:rsidRDefault="00575CDB">
            <w:pPr>
              <w:spacing w:line="310" w:lineRule="exact"/>
              <w:rPr>
                <w:rFonts w:ascii="仿宋" w:eastAsia="仿宋" w:hAnsi="仿宋" w:cs="仿宋"/>
                <w:sz w:val="24"/>
              </w:rPr>
            </w:pPr>
            <w:r>
              <w:rPr>
                <w:rFonts w:ascii="仿宋" w:eastAsia="仿宋" w:hAnsi="仿宋" w:cs="仿宋" w:hint="eastAsia"/>
                <w:sz w:val="24"/>
              </w:rPr>
              <w:t>17.8 电池消费税申报</w:t>
            </w:r>
          </w:p>
        </w:tc>
        <w:tc>
          <w:tcPr>
            <w:tcW w:w="3345" w:type="dxa"/>
            <w:vMerge w:val="restart"/>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（一）《中华人民共和国消费税暂行条例》（2008年中华人民共和国国务院令539号）全文。</w:t>
            </w:r>
          </w:p>
          <w:p w:rsidR="00013EC7" w:rsidRDefault="00575CDB">
            <w:pPr>
              <w:rPr>
                <w:rFonts w:ascii="仿宋" w:eastAsia="仿宋" w:hAnsi="仿宋" w:cs="仿宋"/>
                <w:kern w:val="1"/>
                <w:sz w:val="24"/>
              </w:rPr>
            </w:pPr>
            <w:r>
              <w:rPr>
                <w:rFonts w:ascii="仿宋" w:eastAsia="仿宋" w:hAnsi="仿宋" w:cs="仿宋" w:hint="eastAsia"/>
                <w:kern w:val="1"/>
                <w:sz w:val="24"/>
              </w:rPr>
              <w:t>（二）《国家税务总局关于电池 涂料消费税征收管理有关问题的公告》（国家税务总局公告2015年第5号）全文。</w:t>
            </w:r>
          </w:p>
          <w:p w:rsidR="00013EC7" w:rsidRDefault="00575CDB">
            <w:pPr>
              <w:rPr>
                <w:rFonts w:ascii="仿宋" w:eastAsia="仿宋" w:hAnsi="仿宋" w:cs="仿宋"/>
                <w:kern w:val="1"/>
                <w:sz w:val="24"/>
              </w:rPr>
            </w:pPr>
            <w:r>
              <w:rPr>
                <w:rFonts w:ascii="仿宋" w:eastAsia="仿宋" w:hAnsi="仿宋" w:cs="仿宋" w:hint="eastAsia"/>
                <w:kern w:val="1"/>
                <w:sz w:val="24"/>
              </w:rPr>
              <w:t>（三）《国家税务总局关于调整消费税纳税申报有关事项的公告》（国家税务总局公告2015年第32号）全文。</w:t>
            </w:r>
          </w:p>
          <w:p w:rsidR="00013EC7" w:rsidRDefault="00575CDB">
            <w:pPr>
              <w:rPr>
                <w:rFonts w:ascii="仿宋" w:eastAsia="仿宋" w:hAnsi="仿宋" w:cs="仿宋"/>
                <w:kern w:val="1"/>
                <w:sz w:val="24"/>
              </w:rPr>
            </w:pPr>
            <w:r>
              <w:rPr>
                <w:rFonts w:ascii="仿宋" w:eastAsia="仿宋" w:hAnsi="仿宋" w:cs="仿宋" w:hint="eastAsia"/>
                <w:kern w:val="1"/>
                <w:sz w:val="24"/>
              </w:rPr>
              <w:t>（四）《国家税务总局关于明确电池 涂料消费税征收管理有关事项的公告》（国家税务总局公告 2015 第 95 号）全文。</w:t>
            </w:r>
          </w:p>
          <w:p w:rsidR="00013EC7" w:rsidRDefault="00575CDB">
            <w:pPr>
              <w:rPr>
                <w:rFonts w:ascii="仿宋" w:eastAsia="仿宋" w:hAnsi="仿宋" w:cs="仿宋"/>
                <w:kern w:val="1"/>
                <w:sz w:val="24"/>
              </w:rPr>
            </w:pPr>
            <w:r>
              <w:rPr>
                <w:rFonts w:ascii="仿宋" w:eastAsia="仿宋" w:hAnsi="仿宋" w:cs="仿宋" w:hint="eastAsia"/>
                <w:kern w:val="1"/>
                <w:sz w:val="24"/>
              </w:rPr>
              <w:t>（五）《财政部 国家税务总局关于对电池 涂料征收消费税的通知》（财税〔2015〕16号）全文。</w:t>
            </w:r>
          </w:p>
        </w:tc>
        <w:tc>
          <w:tcPr>
            <w:tcW w:w="2268" w:type="dxa"/>
            <w:tcBorders>
              <w:top w:val="single" w:sz="4" w:space="0" w:color="auto"/>
            </w:tcBorders>
            <w:vAlign w:val="center"/>
          </w:tcPr>
          <w:p w:rsidR="00013EC7" w:rsidRDefault="00575CDB">
            <w:pPr>
              <w:jc w:val="left"/>
              <w:rPr>
                <w:rFonts w:ascii="仿宋" w:eastAsia="仿宋" w:hAnsi="仿宋" w:cs="仿宋"/>
                <w:kern w:val="1"/>
                <w:sz w:val="24"/>
              </w:rPr>
            </w:pPr>
            <w:r>
              <w:rPr>
                <w:rFonts w:ascii="仿宋" w:eastAsia="仿宋" w:hAnsi="仿宋" w:cs="仿宋" w:hint="eastAsia"/>
                <w:kern w:val="1"/>
                <w:sz w:val="24"/>
              </w:rPr>
              <w:t>（一）（A06602-A06604）《电池消费税纳税申报表》及附表</w:t>
            </w:r>
            <w:r>
              <w:rPr>
                <w:rFonts w:ascii="仿宋" w:eastAsia="仿宋" w:hAnsi="仿宋" w:cs="仿宋" w:hint="eastAsia"/>
                <w:kern w:val="1"/>
                <w:sz w:val="24"/>
                <w:highlight w:val="lightGray"/>
              </w:rPr>
              <w:t>2份</w:t>
            </w:r>
            <w:r>
              <w:rPr>
                <w:rFonts w:ascii="仿宋" w:eastAsia="仿宋" w:hAnsi="仿宋" w:cs="仿宋" w:hint="eastAsia"/>
                <w:kern w:val="1"/>
                <w:sz w:val="24"/>
              </w:rPr>
              <w:t>。</w:t>
            </w:r>
          </w:p>
        </w:tc>
        <w:tc>
          <w:tcPr>
            <w:tcW w:w="1701"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纳税人提交</w:t>
            </w:r>
          </w:p>
        </w:tc>
        <w:tc>
          <w:tcPr>
            <w:tcW w:w="2193" w:type="dxa"/>
            <w:vAlign w:val="center"/>
          </w:tcPr>
          <w:p w:rsidR="00013EC7" w:rsidRDefault="00575CDB">
            <w:pPr>
              <w:jc w:val="left"/>
              <w:rPr>
                <w:rFonts w:ascii="仿宋" w:eastAsia="仿宋" w:hAnsi="仿宋" w:cs="仿宋"/>
                <w:kern w:val="1"/>
                <w:sz w:val="24"/>
              </w:rPr>
            </w:pPr>
            <w:r>
              <w:rPr>
                <w:rFonts w:ascii="仿宋" w:eastAsia="仿宋" w:hAnsi="仿宋" w:cs="仿宋" w:hint="eastAsia"/>
                <w:kern w:val="1"/>
                <w:sz w:val="24"/>
              </w:rPr>
              <w:t>（一）（A06602-A06604）《电池消费税纳税申报表》及附表1份。</w:t>
            </w:r>
          </w:p>
        </w:tc>
        <w:tc>
          <w:tcPr>
            <w:tcW w:w="1326" w:type="dxa"/>
            <w:vAlign w:val="center"/>
          </w:tcPr>
          <w:p w:rsidR="00013EC7" w:rsidRDefault="00575CDB">
            <w:pPr>
              <w:spacing w:line="300" w:lineRule="exact"/>
              <w:rPr>
                <w:rFonts w:ascii="仿宋" w:eastAsia="仿宋" w:hAnsi="仿宋" w:cs="仿宋"/>
                <w:b/>
                <w:bCs/>
                <w:i/>
                <w:iCs/>
                <w:sz w:val="24"/>
              </w:rPr>
            </w:pPr>
            <w:r>
              <w:rPr>
                <w:rFonts w:ascii="仿宋" w:eastAsia="仿宋" w:hAnsi="仿宋" w:cs="仿宋" w:hint="eastAsia"/>
                <w:sz w:val="24"/>
              </w:rPr>
              <w:t>纳税人提交</w:t>
            </w:r>
          </w:p>
        </w:tc>
        <w:tc>
          <w:tcPr>
            <w:tcW w:w="2848" w:type="dxa"/>
            <w:vMerge w:val="restart"/>
            <w:vAlign w:val="center"/>
          </w:tcPr>
          <w:p w:rsidR="00013EC7" w:rsidRDefault="00575CDB">
            <w:pPr>
              <w:spacing w:line="300" w:lineRule="exac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纳税人提交书面材料。</w:t>
            </w:r>
          </w:p>
          <w:p w:rsidR="00013EC7" w:rsidRDefault="00575CDB">
            <w:pPr>
              <w:spacing w:line="300" w:lineRule="exact"/>
              <w:rPr>
                <w:rFonts w:ascii="仿宋" w:eastAsia="仿宋" w:hAnsi="仿宋" w:cs="仿宋"/>
                <w:b/>
                <w:sz w:val="24"/>
              </w:rPr>
            </w:pPr>
            <w:r>
              <w:rPr>
                <w:rFonts w:ascii="仿宋" w:eastAsia="仿宋" w:hAnsi="仿宋" w:cs="仿宋" w:hint="eastAsia"/>
                <w:b/>
                <w:sz w:val="24"/>
              </w:rPr>
              <w:t>网上办理：</w:t>
            </w:r>
            <w:r>
              <w:rPr>
                <w:rFonts w:ascii="仿宋" w:eastAsia="仿宋" w:hAnsi="仿宋" w:cs="仿宋" w:hint="eastAsia"/>
                <w:sz w:val="24"/>
              </w:rPr>
              <w:t>登录浙江国税电子税务局（网址：</w:t>
            </w:r>
            <w:hyperlink r:id="rId248" w:tgtFrame="https://wx.qq.com/_blank" w:history="1">
              <w:r>
                <w:rPr>
                  <w:rFonts w:ascii="仿宋" w:eastAsia="仿宋" w:hAnsi="仿宋" w:cs="仿宋" w:hint="eastAsia"/>
                  <w:sz w:val="24"/>
                </w:rPr>
                <w:t>http://etax.zjtax.gov.cn/</w:t>
              </w:r>
            </w:hyperlink>
            <w:r>
              <w:rPr>
                <w:rFonts w:ascii="仿宋" w:eastAsia="仿宋" w:hAnsi="仿宋" w:cs="仿宋" w:hint="eastAsia"/>
                <w:sz w:val="24"/>
              </w:rPr>
              <w:t>）提交申请。</w:t>
            </w:r>
          </w:p>
        </w:tc>
        <w:tc>
          <w:tcPr>
            <w:tcW w:w="868" w:type="dxa"/>
            <w:vMerge w:val="restart"/>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即时办结</w:t>
            </w:r>
          </w:p>
        </w:tc>
        <w:tc>
          <w:tcPr>
            <w:tcW w:w="867" w:type="dxa"/>
            <w:vMerge w:val="restart"/>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即时办结</w:t>
            </w:r>
          </w:p>
        </w:tc>
        <w:tc>
          <w:tcPr>
            <w:tcW w:w="889" w:type="dxa"/>
            <w:vMerge w:val="restart"/>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是</w:t>
            </w:r>
          </w:p>
        </w:tc>
        <w:tc>
          <w:tcPr>
            <w:tcW w:w="1104" w:type="dxa"/>
            <w:vMerge w:val="restart"/>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货物和劳务税处</w:t>
            </w:r>
          </w:p>
        </w:tc>
        <w:tc>
          <w:tcPr>
            <w:tcW w:w="1476" w:type="dxa"/>
            <w:vMerge w:val="restart"/>
            <w:vAlign w:val="center"/>
          </w:tcPr>
          <w:p w:rsidR="00013EC7" w:rsidRDefault="00013EC7">
            <w:pPr>
              <w:spacing w:line="300" w:lineRule="exact"/>
              <w:rPr>
                <w:rFonts w:ascii="仿宋" w:eastAsia="仿宋" w:hAnsi="仿宋" w:cs="仿宋"/>
                <w:sz w:val="24"/>
              </w:rPr>
            </w:pPr>
          </w:p>
        </w:tc>
      </w:tr>
      <w:tr w:rsidR="00013EC7">
        <w:trPr>
          <w:trHeight w:val="3386"/>
          <w:jc w:val="center"/>
        </w:trPr>
        <w:tc>
          <w:tcPr>
            <w:tcW w:w="672" w:type="dxa"/>
            <w:vMerge/>
            <w:vAlign w:val="center"/>
          </w:tcPr>
          <w:p w:rsidR="00013EC7" w:rsidRDefault="00013EC7">
            <w:pPr>
              <w:spacing w:line="300" w:lineRule="exact"/>
              <w:rPr>
                <w:rFonts w:ascii="仿宋" w:eastAsia="仿宋" w:hAnsi="仿宋" w:cs="仿宋"/>
                <w:sz w:val="24"/>
              </w:rPr>
            </w:pPr>
          </w:p>
        </w:tc>
        <w:tc>
          <w:tcPr>
            <w:tcW w:w="1035" w:type="dxa"/>
            <w:vMerge/>
            <w:vAlign w:val="center"/>
          </w:tcPr>
          <w:p w:rsidR="00013EC7" w:rsidRDefault="00013EC7">
            <w:pPr>
              <w:spacing w:line="310" w:lineRule="exact"/>
              <w:rPr>
                <w:rFonts w:ascii="仿宋" w:eastAsia="仿宋" w:hAnsi="仿宋" w:cs="仿宋"/>
                <w:sz w:val="24"/>
              </w:rPr>
            </w:pPr>
          </w:p>
        </w:tc>
        <w:tc>
          <w:tcPr>
            <w:tcW w:w="3345" w:type="dxa"/>
            <w:vMerge/>
            <w:vAlign w:val="center"/>
          </w:tcPr>
          <w:p w:rsidR="00013EC7" w:rsidRDefault="00013EC7">
            <w:pPr>
              <w:rPr>
                <w:rFonts w:ascii="仿宋" w:eastAsia="仿宋" w:hAnsi="仿宋" w:cs="仿宋"/>
                <w:kern w:val="1"/>
                <w:sz w:val="24"/>
              </w:rPr>
            </w:pPr>
          </w:p>
        </w:tc>
        <w:tc>
          <w:tcPr>
            <w:tcW w:w="2268" w:type="dxa"/>
            <w:tcBorders>
              <w:top w:val="single" w:sz="4" w:space="0" w:color="auto"/>
            </w:tcBorders>
            <w:vAlign w:val="center"/>
          </w:tcPr>
          <w:p w:rsidR="00013EC7" w:rsidRDefault="00575CDB">
            <w:pPr>
              <w:jc w:val="left"/>
              <w:rPr>
                <w:rFonts w:ascii="仿宋" w:eastAsia="仿宋" w:hAnsi="仿宋" w:cs="仿宋"/>
                <w:kern w:val="1"/>
                <w:sz w:val="24"/>
              </w:rPr>
            </w:pPr>
            <w:r>
              <w:rPr>
                <w:rFonts w:ascii="仿宋" w:eastAsia="仿宋" w:hAnsi="仿宋" w:cs="仿宋" w:hint="eastAsia"/>
                <w:kern w:val="1"/>
                <w:sz w:val="24"/>
              </w:rPr>
              <w:t>（二）（A06633）《本期减（免）税额明细表》</w:t>
            </w:r>
            <w:r>
              <w:rPr>
                <w:rFonts w:ascii="仿宋" w:eastAsia="仿宋" w:hAnsi="仿宋" w:cs="仿宋" w:hint="eastAsia"/>
                <w:kern w:val="1"/>
                <w:sz w:val="24"/>
                <w:highlight w:val="lightGray"/>
              </w:rPr>
              <w:t>2份</w:t>
            </w:r>
            <w:r>
              <w:rPr>
                <w:rFonts w:ascii="仿宋" w:eastAsia="仿宋" w:hAnsi="仿宋" w:cs="仿宋" w:hint="eastAsia"/>
                <w:kern w:val="1"/>
                <w:sz w:val="24"/>
              </w:rPr>
              <w:t>（由享受消费税减免税优惠政策的纳税人在办理消费税纳税申报时填报）。</w:t>
            </w:r>
          </w:p>
        </w:tc>
        <w:tc>
          <w:tcPr>
            <w:tcW w:w="1701" w:type="dxa"/>
            <w:vMerge/>
            <w:vAlign w:val="center"/>
          </w:tcPr>
          <w:p w:rsidR="00013EC7" w:rsidRDefault="00013EC7">
            <w:pPr>
              <w:spacing w:line="300" w:lineRule="exact"/>
              <w:jc w:val="left"/>
              <w:rPr>
                <w:rFonts w:ascii="仿宋" w:eastAsia="仿宋" w:hAnsi="仿宋" w:cs="仿宋"/>
                <w:sz w:val="24"/>
              </w:rPr>
            </w:pPr>
          </w:p>
        </w:tc>
        <w:tc>
          <w:tcPr>
            <w:tcW w:w="2193" w:type="dxa"/>
            <w:vAlign w:val="center"/>
          </w:tcPr>
          <w:p w:rsidR="00013EC7" w:rsidRDefault="00575CDB">
            <w:pPr>
              <w:jc w:val="left"/>
              <w:rPr>
                <w:rFonts w:ascii="仿宋" w:eastAsia="仿宋" w:hAnsi="仿宋" w:cs="仿宋"/>
                <w:kern w:val="1"/>
                <w:sz w:val="24"/>
              </w:rPr>
            </w:pPr>
            <w:r>
              <w:rPr>
                <w:rFonts w:ascii="仿宋" w:eastAsia="仿宋" w:hAnsi="仿宋" w:cs="仿宋" w:hint="eastAsia"/>
                <w:kern w:val="1"/>
                <w:sz w:val="24"/>
              </w:rPr>
              <w:t>（二）（A06633）《本期减（免）税额明细表》1份。</w:t>
            </w:r>
          </w:p>
        </w:tc>
        <w:tc>
          <w:tcPr>
            <w:tcW w:w="1326"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kern w:val="1"/>
                <w:sz w:val="24"/>
              </w:rPr>
              <w:t>享受消费税减免税优惠政策的纳税人提交</w:t>
            </w:r>
          </w:p>
        </w:tc>
        <w:tc>
          <w:tcPr>
            <w:tcW w:w="2848" w:type="dxa"/>
            <w:vMerge/>
            <w:vAlign w:val="center"/>
          </w:tcPr>
          <w:p w:rsidR="00013EC7" w:rsidRDefault="00013EC7">
            <w:pPr>
              <w:spacing w:line="300" w:lineRule="exact"/>
              <w:rPr>
                <w:rFonts w:ascii="仿宋" w:eastAsia="仿宋" w:hAnsi="仿宋" w:cs="仿宋"/>
                <w:b/>
                <w:sz w:val="24"/>
              </w:rPr>
            </w:pPr>
          </w:p>
        </w:tc>
        <w:tc>
          <w:tcPr>
            <w:tcW w:w="868" w:type="dxa"/>
            <w:vMerge/>
            <w:vAlign w:val="center"/>
          </w:tcPr>
          <w:p w:rsidR="00013EC7" w:rsidRDefault="00013EC7">
            <w:pPr>
              <w:spacing w:line="300" w:lineRule="exact"/>
              <w:rPr>
                <w:rFonts w:ascii="仿宋" w:eastAsia="仿宋" w:hAnsi="仿宋" w:cs="仿宋"/>
                <w:sz w:val="24"/>
              </w:rPr>
            </w:pPr>
          </w:p>
        </w:tc>
        <w:tc>
          <w:tcPr>
            <w:tcW w:w="867" w:type="dxa"/>
            <w:vMerge/>
            <w:vAlign w:val="center"/>
          </w:tcPr>
          <w:p w:rsidR="00013EC7" w:rsidRDefault="00013EC7">
            <w:pPr>
              <w:spacing w:line="300" w:lineRule="exact"/>
              <w:rPr>
                <w:rFonts w:ascii="仿宋" w:eastAsia="仿宋" w:hAnsi="仿宋" w:cs="仿宋"/>
                <w:sz w:val="24"/>
              </w:rPr>
            </w:pPr>
          </w:p>
        </w:tc>
        <w:tc>
          <w:tcPr>
            <w:tcW w:w="889" w:type="dxa"/>
            <w:vMerge/>
            <w:vAlign w:val="center"/>
          </w:tcPr>
          <w:p w:rsidR="00013EC7" w:rsidRDefault="00013EC7">
            <w:pPr>
              <w:spacing w:line="300" w:lineRule="exact"/>
              <w:rPr>
                <w:rFonts w:ascii="仿宋" w:eastAsia="仿宋" w:hAnsi="仿宋" w:cs="仿宋"/>
                <w:sz w:val="24"/>
              </w:rPr>
            </w:pPr>
          </w:p>
        </w:tc>
        <w:tc>
          <w:tcPr>
            <w:tcW w:w="1104" w:type="dxa"/>
            <w:vMerge/>
            <w:vAlign w:val="center"/>
          </w:tcPr>
          <w:p w:rsidR="00013EC7" w:rsidRDefault="00013EC7">
            <w:pPr>
              <w:spacing w:line="300" w:lineRule="exact"/>
              <w:rPr>
                <w:rFonts w:ascii="仿宋" w:eastAsia="仿宋" w:hAnsi="仿宋" w:cs="仿宋"/>
                <w:sz w:val="24"/>
              </w:rPr>
            </w:pPr>
          </w:p>
        </w:tc>
        <w:tc>
          <w:tcPr>
            <w:tcW w:w="1476" w:type="dxa"/>
            <w:vMerge/>
            <w:vAlign w:val="center"/>
          </w:tcPr>
          <w:p w:rsidR="00013EC7" w:rsidRDefault="00013EC7">
            <w:pPr>
              <w:spacing w:line="300" w:lineRule="exact"/>
              <w:rPr>
                <w:rFonts w:ascii="仿宋" w:eastAsia="仿宋" w:hAnsi="仿宋" w:cs="仿宋"/>
                <w:sz w:val="24"/>
              </w:rPr>
            </w:pPr>
          </w:p>
        </w:tc>
      </w:tr>
    </w:tbl>
    <w:p w:rsidR="00013EC7" w:rsidRDefault="00013EC7"/>
    <w:p w:rsidR="00013EC7" w:rsidRDefault="00013EC7">
      <w:pPr>
        <w:jc w:val="center"/>
      </w:pPr>
    </w:p>
    <w:p w:rsidR="00013EC7" w:rsidRDefault="005262E6">
      <w:pPr>
        <w:rPr>
          <w:rFonts w:ascii="仿宋" w:eastAsia="仿宋" w:hAnsi="仿宋" w:cs="仿宋"/>
          <w:sz w:val="24"/>
        </w:rPr>
      </w:pPr>
      <w:r>
        <w:rPr>
          <w:rFonts w:ascii="宋体" w:hAnsi="宋体" w:cs="宋体"/>
          <w:kern w:val="1"/>
          <w:szCs w:val="21"/>
        </w:rPr>
        <w:lastRenderedPageBreak/>
        <w:object w:dxaOrig="1440" w:dyaOrig="1440">
          <v:shape id="_x0000_s1358" type="#_x0000_t75" style="position:absolute;left:0;text-align:left;margin-left:577.45pt;margin-top:83.1pt;width:409.5pt;height:571.5pt;z-index:251682816;mso-wrap-distance-top:0;mso-wrap-distance-bottom:0;mso-position-vertical-relative:page;mso-width-relative:page;mso-height-relative:page">
            <v:imagedata r:id="rId249" o:title=""/>
            <o:lock v:ext="edit" aspectratio="f"/>
            <w10:wrap type="topAndBottom" anchory="page"/>
          </v:shape>
          <o:OLEObject Type="Embed" ProgID="Visio.Drawing.11" ShapeID="_x0000_s1358" DrawAspect="Content" ObjectID="_1577296238" r:id="rId250"/>
        </w:object>
      </w:r>
      <w:r>
        <w:object w:dxaOrig="1440" w:dyaOrig="1440">
          <v:shape id="_x0000_s1357" type="#_x0000_t75" style="position:absolute;left:0;text-align:left;margin-left:0;margin-top:86.4pt;width:517.35pt;height:616.65pt;z-index:251681792;mso-wrap-distance-top:0;mso-wrap-distance-bottom:0;mso-position-vertical-relative:page;mso-width-relative:page;mso-height-relative:page">
            <v:imagedata r:id="rId251" o:title=""/>
            <w10:wrap type="topAndBottom" anchory="page"/>
          </v:shape>
          <o:OLEObject Type="Embed" ProgID="Visio.Drawing.11" ShapeID="_x0000_s1357" DrawAspect="Content" ObjectID="_1577296239" r:id="rId252"/>
        </w:object>
      </w:r>
    </w:p>
    <w:p w:rsidR="00013EC7" w:rsidRDefault="00013EC7"/>
    <w:p w:rsidR="00013EC7" w:rsidRDefault="00013EC7">
      <w:pPr>
        <w:jc w:val="left"/>
        <w:rPr>
          <w:rFonts w:ascii="宋体" w:hAnsi="宋体" w:cs="宋体"/>
          <w:bCs/>
          <w:sz w:val="28"/>
          <w:szCs w:val="28"/>
        </w:rPr>
        <w:sectPr w:rsidR="00013EC7">
          <w:pgSz w:w="23814" w:h="16840" w:orient="landscape"/>
          <w:pgMar w:top="1701" w:right="1843" w:bottom="1985" w:left="1843" w:header="851" w:footer="1701" w:gutter="0"/>
          <w:pgNumType w:fmt="numberInDash"/>
          <w:cols w:space="720"/>
          <w:docGrid w:type="lines" w:linePitch="312"/>
        </w:sectPr>
      </w:pPr>
    </w:p>
    <w:p w:rsidR="00013EC7" w:rsidRDefault="00575CDB">
      <w:pPr>
        <w:pStyle w:val="2"/>
      </w:pPr>
      <w:bookmarkStart w:id="327" w:name="_Toc503467429"/>
      <w:bookmarkStart w:id="328" w:name="_Toc919"/>
      <w:bookmarkStart w:id="329" w:name="_Toc19586"/>
      <w:bookmarkStart w:id="330" w:name="_Toc21500"/>
      <w:r>
        <w:rPr>
          <w:rFonts w:hint="eastAsia"/>
        </w:rPr>
        <w:lastRenderedPageBreak/>
        <w:t xml:space="preserve">17.9 </w:t>
      </w:r>
      <w:r>
        <w:rPr>
          <w:rFonts w:hint="eastAsia"/>
        </w:rPr>
        <w:t>涂料消费税申报</w:t>
      </w:r>
      <w:bookmarkEnd w:id="327"/>
      <w:bookmarkEnd w:id="328"/>
      <w:bookmarkEnd w:id="329"/>
      <w:bookmarkEnd w:id="330"/>
    </w:p>
    <w:p w:rsidR="00013EC7" w:rsidRDefault="00575CDB">
      <w:pPr>
        <w:jc w:val="center"/>
        <w:rPr>
          <w:rFonts w:ascii="宋体" w:hAnsi="宋体" w:cs="宋体"/>
          <w:b/>
          <w:bCs/>
          <w:sz w:val="52"/>
          <w:szCs w:val="52"/>
        </w:rPr>
      </w:pPr>
      <w:r>
        <w:rPr>
          <w:rFonts w:ascii="宋体" w:hAnsi="宋体" w:cs="宋体" w:hint="eastAsia"/>
          <w:b/>
          <w:bCs/>
          <w:sz w:val="52"/>
          <w:szCs w:val="52"/>
        </w:rPr>
        <w:t>全省“最多跑一次”事项“八统一”梳理表</w:t>
      </w:r>
    </w:p>
    <w:tbl>
      <w:tblPr>
        <w:tblW w:w="20592"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3203"/>
        <w:gridCol w:w="2410"/>
        <w:gridCol w:w="1417"/>
        <w:gridCol w:w="2477"/>
        <w:gridCol w:w="1326"/>
        <w:gridCol w:w="2848"/>
        <w:gridCol w:w="868"/>
        <w:gridCol w:w="798"/>
        <w:gridCol w:w="958"/>
        <w:gridCol w:w="1104"/>
        <w:gridCol w:w="1476"/>
      </w:tblGrid>
      <w:tr w:rsidR="00013EC7">
        <w:trPr>
          <w:trHeight w:val="340"/>
          <w:tblHeader/>
          <w:jc w:val="center"/>
        </w:trPr>
        <w:tc>
          <w:tcPr>
            <w:tcW w:w="672" w:type="dxa"/>
            <w:vMerge w:val="restart"/>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主项名称</w:t>
            </w:r>
          </w:p>
        </w:tc>
        <w:tc>
          <w:tcPr>
            <w:tcW w:w="1035" w:type="dxa"/>
            <w:vMerge w:val="restart"/>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子项名称</w:t>
            </w:r>
          </w:p>
        </w:tc>
        <w:tc>
          <w:tcPr>
            <w:tcW w:w="3203" w:type="dxa"/>
            <w:vMerge w:val="restart"/>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经办依据</w:t>
            </w:r>
          </w:p>
        </w:tc>
        <w:tc>
          <w:tcPr>
            <w:tcW w:w="3827" w:type="dxa"/>
            <w:gridSpan w:val="2"/>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原经办所需材料</w:t>
            </w:r>
          </w:p>
        </w:tc>
        <w:tc>
          <w:tcPr>
            <w:tcW w:w="6651" w:type="dxa"/>
            <w:gridSpan w:val="3"/>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精简后经办所需材料</w:t>
            </w:r>
          </w:p>
        </w:tc>
        <w:tc>
          <w:tcPr>
            <w:tcW w:w="1666" w:type="dxa"/>
            <w:gridSpan w:val="2"/>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办理时限</w:t>
            </w:r>
          </w:p>
        </w:tc>
        <w:tc>
          <w:tcPr>
            <w:tcW w:w="958" w:type="dxa"/>
            <w:vMerge w:val="restart"/>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是否实现跑零次</w:t>
            </w:r>
          </w:p>
        </w:tc>
        <w:tc>
          <w:tcPr>
            <w:tcW w:w="1104" w:type="dxa"/>
            <w:vMerge w:val="restart"/>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省厅对口</w:t>
            </w:r>
          </w:p>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指导处室</w:t>
            </w:r>
          </w:p>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（单位）</w:t>
            </w:r>
          </w:p>
        </w:tc>
        <w:tc>
          <w:tcPr>
            <w:tcW w:w="1476" w:type="dxa"/>
            <w:vMerge w:val="restart"/>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进一步精简、</w:t>
            </w:r>
          </w:p>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规范建议</w:t>
            </w:r>
          </w:p>
        </w:tc>
      </w:tr>
      <w:tr w:rsidR="00013EC7">
        <w:trPr>
          <w:trHeight w:val="340"/>
          <w:tblHeader/>
          <w:jc w:val="center"/>
        </w:trPr>
        <w:tc>
          <w:tcPr>
            <w:tcW w:w="672" w:type="dxa"/>
            <w:vMerge/>
            <w:vAlign w:val="center"/>
          </w:tcPr>
          <w:p w:rsidR="00013EC7" w:rsidRDefault="00013EC7">
            <w:pPr>
              <w:jc w:val="center"/>
              <w:rPr>
                <w:rFonts w:ascii="仿宋" w:eastAsia="仿宋" w:hAnsi="仿宋" w:cs="仿宋"/>
                <w:sz w:val="24"/>
              </w:rPr>
            </w:pPr>
          </w:p>
        </w:tc>
        <w:tc>
          <w:tcPr>
            <w:tcW w:w="1035" w:type="dxa"/>
            <w:vMerge/>
            <w:vAlign w:val="center"/>
          </w:tcPr>
          <w:p w:rsidR="00013EC7" w:rsidRDefault="00013EC7">
            <w:pPr>
              <w:jc w:val="center"/>
              <w:rPr>
                <w:rFonts w:ascii="仿宋" w:eastAsia="仿宋" w:hAnsi="仿宋" w:cs="仿宋"/>
                <w:sz w:val="24"/>
              </w:rPr>
            </w:pPr>
          </w:p>
        </w:tc>
        <w:tc>
          <w:tcPr>
            <w:tcW w:w="3203" w:type="dxa"/>
            <w:vMerge/>
            <w:vAlign w:val="center"/>
          </w:tcPr>
          <w:p w:rsidR="00013EC7" w:rsidRDefault="00013EC7">
            <w:pPr>
              <w:jc w:val="center"/>
              <w:rPr>
                <w:rFonts w:ascii="仿宋" w:eastAsia="仿宋" w:hAnsi="仿宋" w:cs="仿宋"/>
                <w:sz w:val="24"/>
              </w:rPr>
            </w:pPr>
          </w:p>
        </w:tc>
        <w:tc>
          <w:tcPr>
            <w:tcW w:w="2410" w:type="dxa"/>
            <w:tcBorders>
              <w:bottom w:val="single" w:sz="4" w:space="0" w:color="auto"/>
            </w:tcBorders>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材料明细</w:t>
            </w:r>
          </w:p>
        </w:tc>
        <w:tc>
          <w:tcPr>
            <w:tcW w:w="1417"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材料来源</w:t>
            </w:r>
          </w:p>
        </w:tc>
        <w:tc>
          <w:tcPr>
            <w:tcW w:w="2477"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材料明细</w:t>
            </w:r>
          </w:p>
        </w:tc>
        <w:tc>
          <w:tcPr>
            <w:tcW w:w="1326"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材料来源</w:t>
            </w:r>
          </w:p>
        </w:tc>
        <w:tc>
          <w:tcPr>
            <w:tcW w:w="2848"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办理方式及材料</w:t>
            </w:r>
          </w:p>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信息获取方式说明</w:t>
            </w:r>
          </w:p>
        </w:tc>
        <w:tc>
          <w:tcPr>
            <w:tcW w:w="868"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优化前</w:t>
            </w:r>
          </w:p>
        </w:tc>
        <w:tc>
          <w:tcPr>
            <w:tcW w:w="798"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优化后</w:t>
            </w:r>
          </w:p>
        </w:tc>
        <w:tc>
          <w:tcPr>
            <w:tcW w:w="958" w:type="dxa"/>
            <w:vMerge/>
            <w:vAlign w:val="center"/>
          </w:tcPr>
          <w:p w:rsidR="00013EC7" w:rsidRDefault="00013EC7">
            <w:pPr>
              <w:jc w:val="left"/>
              <w:rPr>
                <w:rFonts w:ascii="仿宋" w:eastAsia="仿宋" w:hAnsi="仿宋" w:cs="仿宋"/>
                <w:sz w:val="24"/>
              </w:rPr>
            </w:pPr>
          </w:p>
        </w:tc>
        <w:tc>
          <w:tcPr>
            <w:tcW w:w="1104" w:type="dxa"/>
            <w:vMerge/>
            <w:vAlign w:val="center"/>
          </w:tcPr>
          <w:p w:rsidR="00013EC7" w:rsidRDefault="00013EC7">
            <w:pPr>
              <w:jc w:val="left"/>
              <w:rPr>
                <w:rFonts w:ascii="仿宋" w:eastAsia="仿宋" w:hAnsi="仿宋" w:cs="仿宋"/>
                <w:sz w:val="24"/>
              </w:rPr>
            </w:pPr>
          </w:p>
        </w:tc>
        <w:tc>
          <w:tcPr>
            <w:tcW w:w="1476" w:type="dxa"/>
            <w:vMerge/>
            <w:vAlign w:val="center"/>
          </w:tcPr>
          <w:p w:rsidR="00013EC7" w:rsidRDefault="00013EC7">
            <w:pPr>
              <w:jc w:val="left"/>
              <w:rPr>
                <w:rFonts w:ascii="仿宋" w:eastAsia="仿宋" w:hAnsi="仿宋" w:cs="仿宋"/>
                <w:sz w:val="24"/>
              </w:rPr>
            </w:pPr>
          </w:p>
        </w:tc>
      </w:tr>
      <w:tr w:rsidR="00013EC7">
        <w:trPr>
          <w:trHeight w:val="3387"/>
          <w:jc w:val="center"/>
        </w:trPr>
        <w:tc>
          <w:tcPr>
            <w:tcW w:w="672"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17日常税费申报</w:t>
            </w:r>
          </w:p>
        </w:tc>
        <w:tc>
          <w:tcPr>
            <w:tcW w:w="1035" w:type="dxa"/>
            <w:vMerge w:val="restart"/>
            <w:vAlign w:val="center"/>
          </w:tcPr>
          <w:p w:rsidR="00013EC7" w:rsidRDefault="00575CDB">
            <w:pPr>
              <w:spacing w:line="310" w:lineRule="exact"/>
              <w:jc w:val="left"/>
              <w:rPr>
                <w:rFonts w:ascii="仿宋" w:eastAsia="仿宋" w:hAnsi="仿宋" w:cs="仿宋"/>
                <w:sz w:val="24"/>
              </w:rPr>
            </w:pPr>
            <w:r>
              <w:rPr>
                <w:rFonts w:ascii="仿宋" w:eastAsia="仿宋" w:hAnsi="仿宋" w:cs="仿宋" w:hint="eastAsia"/>
                <w:sz w:val="24"/>
              </w:rPr>
              <w:t>17.9 涂料消费税申报</w:t>
            </w:r>
          </w:p>
        </w:tc>
        <w:tc>
          <w:tcPr>
            <w:tcW w:w="3203" w:type="dxa"/>
            <w:vMerge w:val="restart"/>
            <w:vAlign w:val="center"/>
          </w:tcPr>
          <w:p w:rsidR="00013EC7" w:rsidRDefault="00575CDB">
            <w:pPr>
              <w:jc w:val="left"/>
              <w:rPr>
                <w:rFonts w:ascii="仿宋" w:eastAsia="仿宋" w:hAnsi="仿宋" w:cs="仿宋"/>
                <w:sz w:val="24"/>
              </w:rPr>
            </w:pPr>
            <w:r>
              <w:rPr>
                <w:rFonts w:ascii="仿宋" w:eastAsia="仿宋" w:hAnsi="仿宋" w:cs="仿宋" w:hint="eastAsia"/>
                <w:sz w:val="24"/>
              </w:rPr>
              <w:t>（一）《中华人民共和国消费税暂行条例》（2008年中华人民共和国国务院令539号）全文。</w:t>
            </w:r>
          </w:p>
          <w:p w:rsidR="00013EC7" w:rsidRDefault="00575CDB">
            <w:pPr>
              <w:jc w:val="left"/>
              <w:rPr>
                <w:rFonts w:ascii="仿宋" w:eastAsia="仿宋" w:hAnsi="仿宋" w:cs="仿宋"/>
                <w:sz w:val="24"/>
              </w:rPr>
            </w:pPr>
            <w:r>
              <w:rPr>
                <w:rFonts w:ascii="仿宋" w:eastAsia="仿宋" w:hAnsi="仿宋" w:cs="仿宋" w:hint="eastAsia"/>
                <w:sz w:val="24"/>
              </w:rPr>
              <w:t>（二）《国家税务总局关于电池 涂料消费税征收管理有关问题的公告》（国家税务总局公告2015年第5号）全文。</w:t>
            </w:r>
          </w:p>
          <w:p w:rsidR="00013EC7" w:rsidRDefault="00575CDB">
            <w:pPr>
              <w:jc w:val="left"/>
              <w:rPr>
                <w:rFonts w:ascii="仿宋" w:eastAsia="仿宋" w:hAnsi="仿宋" w:cs="仿宋"/>
                <w:sz w:val="24"/>
              </w:rPr>
            </w:pPr>
            <w:r>
              <w:rPr>
                <w:rFonts w:ascii="仿宋" w:eastAsia="仿宋" w:hAnsi="仿宋" w:cs="仿宋" w:hint="eastAsia"/>
                <w:sz w:val="24"/>
              </w:rPr>
              <w:t>（三）《国家税务总局关于调整消费税纳税申报有关事项的公告》（国家税务总局公告2015年第32号）全文。</w:t>
            </w:r>
          </w:p>
          <w:p w:rsidR="00013EC7" w:rsidRDefault="00575CDB">
            <w:pPr>
              <w:jc w:val="left"/>
              <w:rPr>
                <w:rFonts w:ascii="仿宋" w:eastAsia="仿宋" w:hAnsi="仿宋" w:cs="仿宋"/>
                <w:sz w:val="24"/>
              </w:rPr>
            </w:pPr>
            <w:r>
              <w:rPr>
                <w:rFonts w:ascii="仿宋" w:eastAsia="仿宋" w:hAnsi="仿宋" w:cs="仿宋" w:hint="eastAsia"/>
                <w:sz w:val="24"/>
              </w:rPr>
              <w:t>（四）《国家税务总局关于明确电池 涂料消费税征收管理有关事项的公告》（国家税务总局公告 2015 第 95 号）全文。</w:t>
            </w:r>
          </w:p>
          <w:p w:rsidR="00013EC7" w:rsidRDefault="00575CDB">
            <w:pPr>
              <w:jc w:val="left"/>
              <w:rPr>
                <w:rFonts w:ascii="仿宋" w:eastAsia="仿宋" w:hAnsi="仿宋" w:cs="仿宋"/>
                <w:sz w:val="24"/>
                <w:highlight w:val="yellow"/>
              </w:rPr>
            </w:pPr>
            <w:r>
              <w:rPr>
                <w:rFonts w:ascii="仿宋" w:eastAsia="仿宋" w:hAnsi="仿宋" w:cs="仿宋" w:hint="eastAsia"/>
                <w:sz w:val="24"/>
              </w:rPr>
              <w:t>（五）《财政部 国家税务总局关于对电池 涂料征收消费税的通知》（财税〔2015〕16号）全文。</w:t>
            </w:r>
          </w:p>
        </w:tc>
        <w:tc>
          <w:tcPr>
            <w:tcW w:w="2410" w:type="dxa"/>
            <w:tcBorders>
              <w:top w:val="single" w:sz="4" w:space="0" w:color="auto"/>
            </w:tcBorders>
            <w:vAlign w:val="center"/>
          </w:tcPr>
          <w:p w:rsidR="00013EC7" w:rsidRDefault="00575CDB">
            <w:pPr>
              <w:jc w:val="left"/>
              <w:rPr>
                <w:rFonts w:ascii="仿宋" w:eastAsia="仿宋" w:hAnsi="仿宋" w:cs="仿宋"/>
                <w:sz w:val="24"/>
              </w:rPr>
            </w:pPr>
            <w:r>
              <w:rPr>
                <w:rFonts w:ascii="仿宋" w:eastAsia="仿宋" w:hAnsi="仿宋" w:cs="仿宋" w:hint="eastAsia"/>
                <w:sz w:val="24"/>
              </w:rPr>
              <w:t>（一）（A06605-A06607）《涂料消费税纳税申报表》及附表</w:t>
            </w:r>
            <w:r>
              <w:rPr>
                <w:rFonts w:ascii="仿宋" w:eastAsia="仿宋" w:hAnsi="仿宋" w:cs="仿宋" w:hint="eastAsia"/>
                <w:sz w:val="24"/>
                <w:highlight w:val="lightGray"/>
              </w:rPr>
              <w:t>2份</w:t>
            </w:r>
            <w:r>
              <w:rPr>
                <w:rFonts w:ascii="仿宋" w:eastAsia="仿宋" w:hAnsi="仿宋" w:cs="仿宋" w:hint="eastAsia"/>
                <w:sz w:val="24"/>
              </w:rPr>
              <w:t>。</w:t>
            </w:r>
          </w:p>
        </w:tc>
        <w:tc>
          <w:tcPr>
            <w:tcW w:w="1417"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纳税人提交</w:t>
            </w:r>
          </w:p>
        </w:tc>
        <w:tc>
          <w:tcPr>
            <w:tcW w:w="2477" w:type="dxa"/>
            <w:vAlign w:val="center"/>
          </w:tcPr>
          <w:p w:rsidR="00013EC7" w:rsidRDefault="00575CDB">
            <w:pPr>
              <w:jc w:val="left"/>
              <w:rPr>
                <w:rFonts w:ascii="仿宋" w:eastAsia="仿宋" w:hAnsi="仿宋" w:cs="仿宋"/>
                <w:sz w:val="24"/>
              </w:rPr>
            </w:pPr>
            <w:r>
              <w:rPr>
                <w:rFonts w:ascii="仿宋" w:eastAsia="仿宋" w:hAnsi="仿宋" w:cs="仿宋" w:hint="eastAsia"/>
                <w:sz w:val="24"/>
              </w:rPr>
              <w:t>（一）（A06605-A06607）《涂料消费税纳税申报表》及附表1份。</w:t>
            </w:r>
          </w:p>
        </w:tc>
        <w:tc>
          <w:tcPr>
            <w:tcW w:w="1326" w:type="dxa"/>
            <w:vAlign w:val="center"/>
          </w:tcPr>
          <w:p w:rsidR="00013EC7" w:rsidRDefault="00575CDB">
            <w:pPr>
              <w:spacing w:line="300" w:lineRule="exact"/>
              <w:rPr>
                <w:rFonts w:ascii="仿宋" w:eastAsia="仿宋" w:hAnsi="仿宋" w:cs="仿宋"/>
                <w:b/>
                <w:bCs/>
                <w:i/>
                <w:iCs/>
                <w:sz w:val="24"/>
              </w:rPr>
            </w:pPr>
            <w:r>
              <w:rPr>
                <w:rFonts w:ascii="仿宋" w:eastAsia="仿宋" w:hAnsi="仿宋" w:cs="仿宋" w:hint="eastAsia"/>
                <w:sz w:val="24"/>
              </w:rPr>
              <w:t>纳税人提交</w:t>
            </w:r>
          </w:p>
        </w:tc>
        <w:tc>
          <w:tcPr>
            <w:tcW w:w="2848"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纳税人提交书面材料。</w:t>
            </w:r>
          </w:p>
          <w:p w:rsidR="00013EC7" w:rsidRDefault="00575CDB">
            <w:pPr>
              <w:spacing w:line="300" w:lineRule="exact"/>
              <w:jc w:val="left"/>
              <w:rPr>
                <w:rFonts w:ascii="仿宋" w:eastAsia="仿宋" w:hAnsi="仿宋" w:cs="仿宋"/>
                <w:b/>
                <w:sz w:val="24"/>
              </w:rPr>
            </w:pPr>
            <w:r>
              <w:rPr>
                <w:rFonts w:ascii="仿宋" w:eastAsia="仿宋" w:hAnsi="仿宋" w:cs="仿宋" w:hint="eastAsia"/>
                <w:b/>
                <w:sz w:val="24"/>
              </w:rPr>
              <w:t>网上办理：</w:t>
            </w:r>
            <w:r>
              <w:rPr>
                <w:rFonts w:ascii="仿宋" w:eastAsia="仿宋" w:hAnsi="仿宋" w:cs="仿宋" w:hint="eastAsia"/>
                <w:sz w:val="24"/>
              </w:rPr>
              <w:t>登录浙江国税电子税务局（网址：</w:t>
            </w:r>
            <w:hyperlink r:id="rId253" w:tgtFrame="https://wx.qq.com/_blank" w:history="1">
              <w:r>
                <w:rPr>
                  <w:rFonts w:ascii="仿宋" w:eastAsia="仿宋" w:hAnsi="仿宋" w:cs="仿宋" w:hint="eastAsia"/>
                  <w:sz w:val="24"/>
                </w:rPr>
                <w:t>http://etax.zjtax.gov.cn/</w:t>
              </w:r>
            </w:hyperlink>
            <w:r>
              <w:rPr>
                <w:rFonts w:ascii="仿宋" w:eastAsia="仿宋" w:hAnsi="仿宋" w:cs="仿宋" w:hint="eastAsia"/>
                <w:sz w:val="24"/>
              </w:rPr>
              <w:t>）提交申请。</w:t>
            </w:r>
          </w:p>
        </w:tc>
        <w:tc>
          <w:tcPr>
            <w:tcW w:w="868"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即时办结</w:t>
            </w:r>
          </w:p>
        </w:tc>
        <w:tc>
          <w:tcPr>
            <w:tcW w:w="798"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即时办结</w:t>
            </w:r>
          </w:p>
        </w:tc>
        <w:tc>
          <w:tcPr>
            <w:tcW w:w="958"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是</w:t>
            </w:r>
          </w:p>
        </w:tc>
        <w:tc>
          <w:tcPr>
            <w:tcW w:w="1104"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货物和劳务税处</w:t>
            </w:r>
          </w:p>
        </w:tc>
        <w:tc>
          <w:tcPr>
            <w:tcW w:w="1476" w:type="dxa"/>
            <w:vMerge w:val="restart"/>
            <w:vAlign w:val="center"/>
          </w:tcPr>
          <w:p w:rsidR="00013EC7" w:rsidRDefault="00013EC7">
            <w:pPr>
              <w:spacing w:line="300" w:lineRule="exact"/>
              <w:jc w:val="left"/>
              <w:rPr>
                <w:rFonts w:ascii="仿宋" w:eastAsia="仿宋" w:hAnsi="仿宋" w:cs="仿宋"/>
                <w:sz w:val="24"/>
              </w:rPr>
            </w:pPr>
          </w:p>
        </w:tc>
      </w:tr>
      <w:tr w:rsidR="00013EC7">
        <w:trPr>
          <w:trHeight w:val="3386"/>
          <w:jc w:val="center"/>
        </w:trPr>
        <w:tc>
          <w:tcPr>
            <w:tcW w:w="672" w:type="dxa"/>
            <w:vMerge/>
            <w:vAlign w:val="center"/>
          </w:tcPr>
          <w:p w:rsidR="00013EC7" w:rsidRDefault="00013EC7">
            <w:pPr>
              <w:spacing w:line="300" w:lineRule="exact"/>
              <w:jc w:val="left"/>
              <w:rPr>
                <w:rFonts w:ascii="仿宋" w:eastAsia="仿宋" w:hAnsi="仿宋" w:cs="仿宋"/>
                <w:sz w:val="24"/>
              </w:rPr>
            </w:pPr>
          </w:p>
        </w:tc>
        <w:tc>
          <w:tcPr>
            <w:tcW w:w="1035" w:type="dxa"/>
            <w:vMerge/>
            <w:vAlign w:val="center"/>
          </w:tcPr>
          <w:p w:rsidR="00013EC7" w:rsidRDefault="00013EC7">
            <w:pPr>
              <w:spacing w:line="310" w:lineRule="exact"/>
              <w:jc w:val="left"/>
              <w:rPr>
                <w:rFonts w:ascii="仿宋" w:eastAsia="仿宋" w:hAnsi="仿宋" w:cs="仿宋"/>
                <w:sz w:val="24"/>
              </w:rPr>
            </w:pPr>
          </w:p>
        </w:tc>
        <w:tc>
          <w:tcPr>
            <w:tcW w:w="3203" w:type="dxa"/>
            <w:vMerge/>
            <w:vAlign w:val="center"/>
          </w:tcPr>
          <w:p w:rsidR="00013EC7" w:rsidRDefault="00013EC7">
            <w:pPr>
              <w:jc w:val="left"/>
              <w:rPr>
                <w:rFonts w:ascii="仿宋" w:eastAsia="仿宋" w:hAnsi="仿宋" w:cs="仿宋"/>
                <w:sz w:val="24"/>
              </w:rPr>
            </w:pPr>
          </w:p>
        </w:tc>
        <w:tc>
          <w:tcPr>
            <w:tcW w:w="2410" w:type="dxa"/>
            <w:tcBorders>
              <w:top w:val="single" w:sz="4" w:space="0" w:color="auto"/>
            </w:tcBorders>
            <w:vAlign w:val="center"/>
          </w:tcPr>
          <w:p w:rsidR="00013EC7" w:rsidRDefault="00575CDB">
            <w:pPr>
              <w:jc w:val="left"/>
              <w:rPr>
                <w:rFonts w:ascii="仿宋" w:eastAsia="仿宋" w:hAnsi="仿宋" w:cs="仿宋"/>
                <w:sz w:val="24"/>
              </w:rPr>
            </w:pPr>
            <w:r>
              <w:rPr>
                <w:rFonts w:ascii="仿宋" w:eastAsia="仿宋" w:hAnsi="仿宋" w:cs="仿宋" w:hint="eastAsia"/>
                <w:sz w:val="24"/>
              </w:rPr>
              <w:t>（二）（A06633）《本期减（免）税额明细表》</w:t>
            </w:r>
            <w:r>
              <w:rPr>
                <w:rFonts w:ascii="仿宋" w:eastAsia="仿宋" w:hAnsi="仿宋" w:cs="仿宋" w:hint="eastAsia"/>
                <w:sz w:val="24"/>
                <w:highlight w:val="lightGray"/>
              </w:rPr>
              <w:t>2份</w:t>
            </w:r>
            <w:r>
              <w:rPr>
                <w:rFonts w:ascii="仿宋" w:eastAsia="仿宋" w:hAnsi="仿宋" w:cs="仿宋" w:hint="eastAsia"/>
                <w:sz w:val="24"/>
              </w:rPr>
              <w:t>（由享受消费税减免税优惠政策的纳税人在办理消费税纳税申报时填报）。</w:t>
            </w:r>
          </w:p>
        </w:tc>
        <w:tc>
          <w:tcPr>
            <w:tcW w:w="1417" w:type="dxa"/>
            <w:vMerge/>
            <w:vAlign w:val="center"/>
          </w:tcPr>
          <w:p w:rsidR="00013EC7" w:rsidRDefault="00013EC7">
            <w:pPr>
              <w:spacing w:line="300" w:lineRule="exact"/>
              <w:jc w:val="left"/>
              <w:rPr>
                <w:rFonts w:ascii="仿宋" w:eastAsia="仿宋" w:hAnsi="仿宋" w:cs="仿宋"/>
                <w:sz w:val="24"/>
              </w:rPr>
            </w:pPr>
          </w:p>
        </w:tc>
        <w:tc>
          <w:tcPr>
            <w:tcW w:w="2477" w:type="dxa"/>
            <w:vAlign w:val="center"/>
          </w:tcPr>
          <w:p w:rsidR="00013EC7" w:rsidRDefault="00575CDB">
            <w:pPr>
              <w:jc w:val="left"/>
              <w:rPr>
                <w:rFonts w:ascii="仿宋" w:eastAsia="仿宋" w:hAnsi="仿宋" w:cs="仿宋"/>
                <w:sz w:val="24"/>
              </w:rPr>
            </w:pPr>
            <w:r>
              <w:rPr>
                <w:rFonts w:ascii="仿宋" w:eastAsia="仿宋" w:hAnsi="仿宋" w:cs="仿宋" w:hint="eastAsia"/>
                <w:sz w:val="24"/>
              </w:rPr>
              <w:t>（二）（A06633）《本期减（免）税额明细表》1份。</w:t>
            </w:r>
          </w:p>
        </w:tc>
        <w:tc>
          <w:tcPr>
            <w:tcW w:w="1326"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享受消费税减免税优惠政策的纳税人提交</w:t>
            </w:r>
          </w:p>
        </w:tc>
        <w:tc>
          <w:tcPr>
            <w:tcW w:w="2848" w:type="dxa"/>
            <w:vMerge/>
            <w:vAlign w:val="center"/>
          </w:tcPr>
          <w:p w:rsidR="00013EC7" w:rsidRDefault="00013EC7">
            <w:pPr>
              <w:spacing w:line="300" w:lineRule="exact"/>
              <w:jc w:val="left"/>
              <w:rPr>
                <w:rFonts w:ascii="仿宋" w:eastAsia="仿宋" w:hAnsi="仿宋" w:cs="仿宋"/>
                <w:b/>
                <w:sz w:val="24"/>
              </w:rPr>
            </w:pPr>
          </w:p>
        </w:tc>
        <w:tc>
          <w:tcPr>
            <w:tcW w:w="868" w:type="dxa"/>
            <w:vMerge/>
            <w:vAlign w:val="center"/>
          </w:tcPr>
          <w:p w:rsidR="00013EC7" w:rsidRDefault="00013EC7">
            <w:pPr>
              <w:spacing w:line="300" w:lineRule="exact"/>
              <w:jc w:val="left"/>
              <w:rPr>
                <w:rFonts w:ascii="仿宋" w:eastAsia="仿宋" w:hAnsi="仿宋" w:cs="仿宋"/>
                <w:sz w:val="24"/>
              </w:rPr>
            </w:pPr>
          </w:p>
        </w:tc>
        <w:tc>
          <w:tcPr>
            <w:tcW w:w="798" w:type="dxa"/>
            <w:vMerge/>
            <w:vAlign w:val="center"/>
          </w:tcPr>
          <w:p w:rsidR="00013EC7" w:rsidRDefault="00013EC7">
            <w:pPr>
              <w:spacing w:line="300" w:lineRule="exact"/>
              <w:jc w:val="left"/>
              <w:rPr>
                <w:rFonts w:ascii="仿宋" w:eastAsia="仿宋" w:hAnsi="仿宋" w:cs="仿宋"/>
                <w:sz w:val="24"/>
              </w:rPr>
            </w:pPr>
          </w:p>
        </w:tc>
        <w:tc>
          <w:tcPr>
            <w:tcW w:w="958" w:type="dxa"/>
            <w:vMerge/>
            <w:vAlign w:val="center"/>
          </w:tcPr>
          <w:p w:rsidR="00013EC7" w:rsidRDefault="00013EC7">
            <w:pPr>
              <w:spacing w:line="300" w:lineRule="exact"/>
              <w:jc w:val="left"/>
              <w:rPr>
                <w:rFonts w:ascii="仿宋" w:eastAsia="仿宋" w:hAnsi="仿宋" w:cs="仿宋"/>
                <w:sz w:val="24"/>
              </w:rPr>
            </w:pPr>
          </w:p>
        </w:tc>
        <w:tc>
          <w:tcPr>
            <w:tcW w:w="1104" w:type="dxa"/>
            <w:vMerge/>
            <w:vAlign w:val="center"/>
          </w:tcPr>
          <w:p w:rsidR="00013EC7" w:rsidRDefault="00013EC7">
            <w:pPr>
              <w:spacing w:line="300" w:lineRule="exact"/>
              <w:jc w:val="left"/>
              <w:rPr>
                <w:rFonts w:ascii="仿宋" w:eastAsia="仿宋" w:hAnsi="仿宋" w:cs="仿宋"/>
                <w:sz w:val="24"/>
              </w:rPr>
            </w:pPr>
          </w:p>
        </w:tc>
        <w:tc>
          <w:tcPr>
            <w:tcW w:w="1476" w:type="dxa"/>
            <w:vMerge/>
            <w:vAlign w:val="center"/>
          </w:tcPr>
          <w:p w:rsidR="00013EC7" w:rsidRDefault="00013EC7">
            <w:pPr>
              <w:spacing w:line="300" w:lineRule="exact"/>
              <w:jc w:val="left"/>
              <w:rPr>
                <w:rFonts w:ascii="仿宋" w:eastAsia="仿宋" w:hAnsi="仿宋" w:cs="仿宋"/>
                <w:sz w:val="24"/>
              </w:rPr>
            </w:pPr>
          </w:p>
        </w:tc>
      </w:tr>
    </w:tbl>
    <w:p w:rsidR="00013EC7" w:rsidRDefault="00013EC7"/>
    <w:p w:rsidR="00013EC7" w:rsidRDefault="00013EC7">
      <w:pPr>
        <w:jc w:val="center"/>
      </w:pPr>
    </w:p>
    <w:p w:rsidR="00013EC7" w:rsidRDefault="005262E6">
      <w:pPr>
        <w:rPr>
          <w:rFonts w:ascii="仿宋" w:eastAsia="仿宋" w:hAnsi="仿宋" w:cs="仿宋"/>
          <w:sz w:val="24"/>
        </w:rPr>
      </w:pPr>
      <w:r>
        <w:rPr>
          <w:rFonts w:ascii="宋体" w:hAnsi="宋体" w:cs="宋体"/>
          <w:kern w:val="1"/>
          <w:szCs w:val="21"/>
        </w:rPr>
        <w:lastRenderedPageBreak/>
        <w:object w:dxaOrig="1440" w:dyaOrig="1440">
          <v:shape id="_x0000_s1360" type="#_x0000_t75" style="position:absolute;left:0;text-align:left;margin-left:584.05pt;margin-top:97.05pt;width:409.5pt;height:571.5pt;z-index:251684864;mso-wrap-distance-top:0;mso-wrap-distance-bottom:0;mso-position-vertical-relative:page;mso-width-relative:page;mso-height-relative:page">
            <v:imagedata r:id="rId254" o:title=""/>
            <o:lock v:ext="edit" aspectratio="f"/>
            <w10:wrap type="topAndBottom" anchory="page"/>
          </v:shape>
          <o:OLEObject Type="Embed" ProgID="Visio.Drawing.11" ShapeID="_x0000_s1360" DrawAspect="Content" ObjectID="_1577296240" r:id="rId255"/>
        </w:object>
      </w:r>
      <w:r>
        <w:object w:dxaOrig="1440" w:dyaOrig="1440">
          <v:shape id="_x0000_s1359" type="#_x0000_t75" style="position:absolute;left:0;text-align:left;margin-left:23.5pt;margin-top:99.4pt;width:482pt;height:574.5pt;z-index:251683840;mso-wrap-distance-top:0;mso-wrap-distance-bottom:0;mso-position-vertical-relative:page;mso-width-relative:page;mso-height-relative:page">
            <v:imagedata r:id="rId256" o:title=""/>
            <w10:wrap type="topAndBottom" anchory="page"/>
          </v:shape>
          <o:OLEObject Type="Embed" ProgID="Visio.Drawing.11" ShapeID="_x0000_s1359" DrawAspect="Content" ObjectID="_1577296241" r:id="rId257"/>
        </w:object>
      </w:r>
    </w:p>
    <w:p w:rsidR="00013EC7" w:rsidRDefault="00013EC7"/>
    <w:p w:rsidR="00013EC7" w:rsidRDefault="00013EC7"/>
    <w:p w:rsidR="00013EC7" w:rsidRDefault="00013EC7"/>
    <w:p w:rsidR="00013EC7" w:rsidRDefault="00013EC7">
      <w:pPr>
        <w:jc w:val="left"/>
        <w:rPr>
          <w:rFonts w:ascii="宋体" w:hAnsi="宋体" w:cs="宋体"/>
          <w:bCs/>
          <w:sz w:val="28"/>
          <w:szCs w:val="28"/>
        </w:rPr>
        <w:sectPr w:rsidR="00013EC7">
          <w:pgSz w:w="23814" w:h="16840" w:orient="landscape"/>
          <w:pgMar w:top="1701" w:right="1843" w:bottom="1985" w:left="1843" w:header="851" w:footer="1701" w:gutter="0"/>
          <w:pgNumType w:fmt="numberInDash"/>
          <w:cols w:space="720"/>
          <w:docGrid w:type="lines" w:linePitch="312"/>
        </w:sectPr>
      </w:pPr>
    </w:p>
    <w:p w:rsidR="00013EC7" w:rsidRDefault="00575CDB">
      <w:pPr>
        <w:pStyle w:val="2"/>
      </w:pPr>
      <w:bookmarkStart w:id="331" w:name="_Toc6418"/>
      <w:bookmarkStart w:id="332" w:name="_Toc9319"/>
      <w:bookmarkStart w:id="333" w:name="_Toc503467430"/>
      <w:bookmarkStart w:id="334" w:name="_Toc31966"/>
      <w:r>
        <w:rPr>
          <w:rFonts w:hint="eastAsia"/>
        </w:rPr>
        <w:lastRenderedPageBreak/>
        <w:t xml:space="preserve">17.10 </w:t>
      </w:r>
      <w:r>
        <w:rPr>
          <w:rFonts w:hint="eastAsia"/>
        </w:rPr>
        <w:t>其他类消费税申报</w:t>
      </w:r>
      <w:bookmarkEnd w:id="331"/>
      <w:bookmarkEnd w:id="332"/>
      <w:bookmarkEnd w:id="333"/>
      <w:bookmarkEnd w:id="334"/>
    </w:p>
    <w:p w:rsidR="00013EC7" w:rsidRDefault="00575CDB">
      <w:pPr>
        <w:jc w:val="center"/>
        <w:rPr>
          <w:rFonts w:ascii="宋体" w:hAnsi="宋体" w:cs="宋体"/>
          <w:b/>
          <w:bCs/>
          <w:sz w:val="52"/>
          <w:szCs w:val="52"/>
        </w:rPr>
      </w:pPr>
      <w:r>
        <w:rPr>
          <w:rFonts w:ascii="宋体" w:hAnsi="宋体" w:cs="宋体" w:hint="eastAsia"/>
          <w:b/>
          <w:bCs/>
          <w:sz w:val="52"/>
          <w:szCs w:val="52"/>
        </w:rPr>
        <w:t>全省“最多跑一次”事项“八统一”梳理表</w:t>
      </w:r>
    </w:p>
    <w:tbl>
      <w:tblPr>
        <w:tblW w:w="20592"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3345"/>
        <w:gridCol w:w="3082"/>
        <w:gridCol w:w="1312"/>
        <w:gridCol w:w="2693"/>
        <w:gridCol w:w="1276"/>
        <w:gridCol w:w="2126"/>
        <w:gridCol w:w="851"/>
        <w:gridCol w:w="709"/>
        <w:gridCol w:w="911"/>
        <w:gridCol w:w="1104"/>
        <w:gridCol w:w="1476"/>
      </w:tblGrid>
      <w:tr w:rsidR="00013EC7">
        <w:trPr>
          <w:trHeight w:val="340"/>
          <w:tblHeader/>
          <w:jc w:val="center"/>
        </w:trPr>
        <w:tc>
          <w:tcPr>
            <w:tcW w:w="672"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主项名称</w:t>
            </w:r>
          </w:p>
        </w:tc>
        <w:tc>
          <w:tcPr>
            <w:tcW w:w="1035"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子项名称</w:t>
            </w:r>
          </w:p>
        </w:tc>
        <w:tc>
          <w:tcPr>
            <w:tcW w:w="3345"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经办依据</w:t>
            </w:r>
          </w:p>
        </w:tc>
        <w:tc>
          <w:tcPr>
            <w:tcW w:w="4394"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原经办所需材料</w:t>
            </w:r>
          </w:p>
        </w:tc>
        <w:tc>
          <w:tcPr>
            <w:tcW w:w="6095" w:type="dxa"/>
            <w:gridSpan w:val="3"/>
            <w:vAlign w:val="center"/>
          </w:tcPr>
          <w:p w:rsidR="00013EC7" w:rsidRDefault="00575CDB">
            <w:pPr>
              <w:spacing w:line="280" w:lineRule="exact"/>
              <w:jc w:val="center"/>
              <w:rPr>
                <w:rFonts w:ascii="黑体" w:eastAsia="黑体"/>
                <w:sz w:val="24"/>
              </w:rPr>
            </w:pPr>
            <w:r>
              <w:rPr>
                <w:rFonts w:ascii="黑体" w:eastAsia="黑体" w:hint="eastAsia"/>
                <w:sz w:val="24"/>
              </w:rPr>
              <w:t>精简后经办所需材料</w:t>
            </w:r>
          </w:p>
        </w:tc>
        <w:tc>
          <w:tcPr>
            <w:tcW w:w="1560"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办理时限</w:t>
            </w:r>
          </w:p>
        </w:tc>
        <w:tc>
          <w:tcPr>
            <w:tcW w:w="911"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是否实现跑零次</w:t>
            </w:r>
          </w:p>
        </w:tc>
        <w:tc>
          <w:tcPr>
            <w:tcW w:w="1104"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省厅对口</w:t>
            </w:r>
          </w:p>
          <w:p w:rsidR="00013EC7" w:rsidRDefault="00575CDB">
            <w:pPr>
              <w:spacing w:line="280" w:lineRule="exact"/>
              <w:jc w:val="center"/>
              <w:rPr>
                <w:rFonts w:ascii="黑体" w:eastAsia="黑体"/>
                <w:sz w:val="24"/>
              </w:rPr>
            </w:pPr>
            <w:r>
              <w:rPr>
                <w:rFonts w:ascii="黑体" w:eastAsia="黑体" w:hint="eastAsia"/>
                <w:sz w:val="24"/>
              </w:rPr>
              <w:t>指导处室</w:t>
            </w:r>
          </w:p>
          <w:p w:rsidR="00013EC7" w:rsidRDefault="00575CDB">
            <w:pPr>
              <w:spacing w:line="280" w:lineRule="exact"/>
              <w:jc w:val="center"/>
              <w:rPr>
                <w:rFonts w:ascii="黑体" w:eastAsia="黑体"/>
                <w:sz w:val="24"/>
              </w:rPr>
            </w:pPr>
            <w:r>
              <w:rPr>
                <w:rFonts w:ascii="黑体" w:eastAsia="黑体" w:hint="eastAsia"/>
                <w:sz w:val="24"/>
              </w:rPr>
              <w:t>（单位）</w:t>
            </w:r>
          </w:p>
        </w:tc>
        <w:tc>
          <w:tcPr>
            <w:tcW w:w="1476"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进一步精简、</w:t>
            </w:r>
          </w:p>
          <w:p w:rsidR="00013EC7" w:rsidRDefault="00575CDB">
            <w:pPr>
              <w:spacing w:line="280" w:lineRule="exact"/>
              <w:jc w:val="center"/>
              <w:rPr>
                <w:rFonts w:ascii="黑体" w:eastAsia="黑体"/>
                <w:sz w:val="24"/>
              </w:rPr>
            </w:pPr>
            <w:r>
              <w:rPr>
                <w:rFonts w:ascii="黑体" w:eastAsia="黑体" w:hint="eastAsia"/>
                <w:sz w:val="24"/>
              </w:rPr>
              <w:t>规范建议</w:t>
            </w:r>
          </w:p>
        </w:tc>
      </w:tr>
      <w:tr w:rsidR="00013EC7">
        <w:trPr>
          <w:trHeight w:val="340"/>
          <w:tblHeader/>
          <w:jc w:val="center"/>
        </w:trPr>
        <w:tc>
          <w:tcPr>
            <w:tcW w:w="672" w:type="dxa"/>
            <w:vMerge/>
            <w:vAlign w:val="center"/>
          </w:tcPr>
          <w:p w:rsidR="00013EC7" w:rsidRDefault="00013EC7">
            <w:pPr>
              <w:jc w:val="center"/>
              <w:rPr>
                <w:sz w:val="24"/>
              </w:rPr>
            </w:pPr>
          </w:p>
        </w:tc>
        <w:tc>
          <w:tcPr>
            <w:tcW w:w="1035" w:type="dxa"/>
            <w:vMerge/>
            <w:vAlign w:val="center"/>
          </w:tcPr>
          <w:p w:rsidR="00013EC7" w:rsidRDefault="00013EC7">
            <w:pPr>
              <w:jc w:val="center"/>
              <w:rPr>
                <w:sz w:val="24"/>
              </w:rPr>
            </w:pPr>
          </w:p>
        </w:tc>
        <w:tc>
          <w:tcPr>
            <w:tcW w:w="3345" w:type="dxa"/>
            <w:vMerge/>
            <w:vAlign w:val="center"/>
          </w:tcPr>
          <w:p w:rsidR="00013EC7" w:rsidRDefault="00013EC7">
            <w:pPr>
              <w:jc w:val="center"/>
              <w:rPr>
                <w:sz w:val="24"/>
              </w:rPr>
            </w:pPr>
          </w:p>
        </w:tc>
        <w:tc>
          <w:tcPr>
            <w:tcW w:w="3082" w:type="dxa"/>
            <w:tcBorders>
              <w:bottom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312"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2693" w:type="dxa"/>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276"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2126" w:type="dxa"/>
            <w:vAlign w:val="center"/>
          </w:tcPr>
          <w:p w:rsidR="00013EC7" w:rsidRDefault="00575CDB">
            <w:pPr>
              <w:spacing w:line="280" w:lineRule="exact"/>
              <w:jc w:val="center"/>
              <w:rPr>
                <w:rFonts w:ascii="黑体" w:eastAsia="黑体"/>
                <w:sz w:val="24"/>
              </w:rPr>
            </w:pPr>
            <w:r>
              <w:rPr>
                <w:rFonts w:ascii="黑体" w:eastAsia="黑体" w:hint="eastAsia"/>
                <w:sz w:val="24"/>
              </w:rPr>
              <w:t>办理方式及材料信息获取方式说明</w:t>
            </w:r>
          </w:p>
        </w:tc>
        <w:tc>
          <w:tcPr>
            <w:tcW w:w="851" w:type="dxa"/>
            <w:vAlign w:val="center"/>
          </w:tcPr>
          <w:p w:rsidR="00013EC7" w:rsidRDefault="00575CDB">
            <w:pPr>
              <w:spacing w:line="280" w:lineRule="exact"/>
              <w:jc w:val="center"/>
              <w:rPr>
                <w:rFonts w:ascii="黑体" w:eastAsia="黑体"/>
                <w:sz w:val="24"/>
              </w:rPr>
            </w:pPr>
            <w:r>
              <w:rPr>
                <w:rFonts w:ascii="黑体" w:eastAsia="黑体" w:hint="eastAsia"/>
                <w:sz w:val="24"/>
              </w:rPr>
              <w:t>优化前</w:t>
            </w:r>
          </w:p>
        </w:tc>
        <w:tc>
          <w:tcPr>
            <w:tcW w:w="709" w:type="dxa"/>
            <w:vAlign w:val="center"/>
          </w:tcPr>
          <w:p w:rsidR="00013EC7" w:rsidRDefault="00575CDB">
            <w:pPr>
              <w:spacing w:line="280" w:lineRule="exact"/>
              <w:jc w:val="center"/>
              <w:rPr>
                <w:rFonts w:ascii="黑体" w:eastAsia="黑体"/>
                <w:sz w:val="24"/>
              </w:rPr>
            </w:pPr>
            <w:r>
              <w:rPr>
                <w:rFonts w:ascii="黑体" w:eastAsia="黑体" w:hint="eastAsia"/>
                <w:sz w:val="24"/>
              </w:rPr>
              <w:t>优化后</w:t>
            </w:r>
          </w:p>
        </w:tc>
        <w:tc>
          <w:tcPr>
            <w:tcW w:w="911" w:type="dxa"/>
            <w:vMerge/>
            <w:vAlign w:val="center"/>
          </w:tcPr>
          <w:p w:rsidR="00013EC7" w:rsidRDefault="00013EC7">
            <w:pPr>
              <w:jc w:val="center"/>
            </w:pPr>
          </w:p>
        </w:tc>
        <w:tc>
          <w:tcPr>
            <w:tcW w:w="1104" w:type="dxa"/>
            <w:vMerge/>
            <w:vAlign w:val="center"/>
          </w:tcPr>
          <w:p w:rsidR="00013EC7" w:rsidRDefault="00013EC7">
            <w:pPr>
              <w:jc w:val="center"/>
            </w:pPr>
          </w:p>
        </w:tc>
        <w:tc>
          <w:tcPr>
            <w:tcW w:w="1476" w:type="dxa"/>
            <w:vMerge/>
            <w:vAlign w:val="center"/>
          </w:tcPr>
          <w:p w:rsidR="00013EC7" w:rsidRDefault="00013EC7">
            <w:pPr>
              <w:jc w:val="center"/>
            </w:pPr>
          </w:p>
        </w:tc>
      </w:tr>
      <w:tr w:rsidR="00013EC7">
        <w:trPr>
          <w:trHeight w:val="3541"/>
          <w:jc w:val="center"/>
        </w:trPr>
        <w:tc>
          <w:tcPr>
            <w:tcW w:w="672" w:type="dxa"/>
            <w:vMerge w:val="restart"/>
            <w:vAlign w:val="center"/>
          </w:tcPr>
          <w:p w:rsidR="00013EC7" w:rsidRDefault="00575CDB">
            <w:pPr>
              <w:rPr>
                <w:rFonts w:ascii="仿宋" w:eastAsia="仿宋" w:hAnsi="仿宋"/>
                <w:sz w:val="24"/>
              </w:rPr>
            </w:pPr>
            <w:r>
              <w:rPr>
                <w:rFonts w:ascii="仿宋" w:eastAsia="仿宋" w:hAnsi="仿宋"/>
                <w:sz w:val="24"/>
              </w:rPr>
              <w:t>1</w:t>
            </w:r>
            <w:r>
              <w:rPr>
                <w:rFonts w:ascii="仿宋" w:eastAsia="仿宋" w:hAnsi="仿宋" w:hint="eastAsia"/>
                <w:sz w:val="24"/>
              </w:rPr>
              <w:t>7</w:t>
            </w:r>
            <w:r>
              <w:rPr>
                <w:rFonts w:ascii="仿宋" w:eastAsia="仿宋" w:hAnsi="仿宋"/>
                <w:sz w:val="24"/>
              </w:rPr>
              <w:t>日常税费申报</w:t>
            </w:r>
          </w:p>
        </w:tc>
        <w:tc>
          <w:tcPr>
            <w:tcW w:w="1035" w:type="dxa"/>
            <w:vMerge w:val="restart"/>
            <w:vAlign w:val="center"/>
          </w:tcPr>
          <w:p w:rsidR="00013EC7" w:rsidRDefault="00575CDB">
            <w:pPr>
              <w:rPr>
                <w:rFonts w:ascii="仿宋" w:eastAsia="仿宋" w:hAnsi="仿宋"/>
                <w:sz w:val="24"/>
              </w:rPr>
            </w:pPr>
            <w:r>
              <w:rPr>
                <w:rFonts w:ascii="仿宋" w:eastAsia="仿宋" w:hAnsi="仿宋"/>
                <w:sz w:val="24"/>
              </w:rPr>
              <w:t>1</w:t>
            </w:r>
            <w:r>
              <w:rPr>
                <w:rFonts w:ascii="仿宋" w:eastAsia="仿宋" w:hAnsi="仿宋" w:hint="eastAsia"/>
                <w:sz w:val="24"/>
              </w:rPr>
              <w:t>7</w:t>
            </w:r>
            <w:r>
              <w:rPr>
                <w:rFonts w:ascii="仿宋" w:eastAsia="仿宋" w:hAnsi="仿宋"/>
                <w:sz w:val="24"/>
              </w:rPr>
              <w:t>.10</w:t>
            </w:r>
            <w:r>
              <w:rPr>
                <w:rFonts w:ascii="仿宋" w:eastAsia="仿宋" w:hAnsi="仿宋" w:hint="eastAsia"/>
                <w:sz w:val="24"/>
              </w:rPr>
              <w:t>其他类消费税申报</w:t>
            </w:r>
          </w:p>
        </w:tc>
        <w:tc>
          <w:tcPr>
            <w:tcW w:w="3345" w:type="dxa"/>
            <w:vMerge w:val="restart"/>
            <w:vAlign w:val="center"/>
          </w:tcPr>
          <w:p w:rsidR="00013EC7" w:rsidRDefault="00575CDB">
            <w:pPr>
              <w:rPr>
                <w:rFonts w:ascii="仿宋" w:eastAsia="仿宋" w:hAnsi="仿宋"/>
                <w:sz w:val="24"/>
              </w:rPr>
            </w:pPr>
            <w:r>
              <w:rPr>
                <w:rFonts w:ascii="仿宋" w:eastAsia="仿宋" w:hAnsi="仿宋" w:hint="eastAsia"/>
                <w:sz w:val="24"/>
              </w:rPr>
              <w:t>（一）《中华人民共和国消费税暂行条例》（2008年中华人民共和国国务院令第539号）第十三条、第十四条。</w:t>
            </w:r>
          </w:p>
          <w:p w:rsidR="00013EC7" w:rsidRDefault="00575CDB">
            <w:pPr>
              <w:rPr>
                <w:rFonts w:ascii="仿宋" w:eastAsia="仿宋" w:hAnsi="仿宋"/>
                <w:sz w:val="24"/>
              </w:rPr>
            </w:pPr>
            <w:r>
              <w:rPr>
                <w:rFonts w:ascii="仿宋" w:eastAsia="仿宋" w:hAnsi="仿宋" w:hint="eastAsia"/>
                <w:sz w:val="24"/>
              </w:rPr>
              <w:t>（二）《财政部国家税务总局关于调整和完善消费税政策的通知》（财税〔2006〕33号）第一条第（一）款、第二条、第四条、第五条、第七条、第八条。</w:t>
            </w:r>
          </w:p>
          <w:p w:rsidR="00013EC7" w:rsidRDefault="00575CDB">
            <w:pPr>
              <w:rPr>
                <w:rFonts w:ascii="仿宋" w:eastAsia="仿宋" w:hAnsi="仿宋"/>
                <w:sz w:val="24"/>
              </w:rPr>
            </w:pPr>
            <w:r>
              <w:rPr>
                <w:rFonts w:ascii="仿宋" w:eastAsia="仿宋" w:hAnsi="仿宋" w:hint="eastAsia"/>
                <w:sz w:val="24"/>
              </w:rPr>
              <w:t>（三）《国家税务总局关于印发&lt;调整和完善消费税政策征收管理规定&gt;的通知》（国税发〔2006〕49号）第二条第（一）款、第四条。</w:t>
            </w:r>
          </w:p>
          <w:p w:rsidR="00013EC7" w:rsidRDefault="00575CDB">
            <w:pPr>
              <w:rPr>
                <w:rFonts w:ascii="仿宋" w:eastAsia="仿宋" w:hAnsi="仿宋"/>
                <w:sz w:val="24"/>
              </w:rPr>
            </w:pPr>
            <w:r>
              <w:rPr>
                <w:rFonts w:ascii="仿宋" w:eastAsia="仿宋" w:hAnsi="仿宋" w:hint="eastAsia"/>
                <w:sz w:val="24"/>
              </w:rPr>
              <w:t>（四）《关于钻石消费税有关问题的通知》（财税〔2013〕40号）全文。</w:t>
            </w:r>
          </w:p>
          <w:p w:rsidR="00013EC7" w:rsidRDefault="00575CDB">
            <w:pPr>
              <w:rPr>
                <w:rFonts w:ascii="仿宋" w:eastAsia="仿宋" w:hAnsi="仿宋"/>
                <w:sz w:val="24"/>
              </w:rPr>
            </w:pPr>
            <w:r>
              <w:rPr>
                <w:rFonts w:ascii="仿宋" w:eastAsia="仿宋" w:hAnsi="仿宋" w:hint="eastAsia"/>
                <w:sz w:val="24"/>
              </w:rPr>
              <w:t>（五）《财政部国家税务总局关于调整消费税政策的通知》（财税〔2014〕93号）全文。</w:t>
            </w:r>
          </w:p>
          <w:p w:rsidR="00013EC7" w:rsidRDefault="00575CDB">
            <w:pPr>
              <w:rPr>
                <w:rFonts w:ascii="仿宋" w:eastAsia="仿宋" w:hAnsi="仿宋"/>
                <w:sz w:val="24"/>
              </w:rPr>
            </w:pPr>
            <w:r>
              <w:rPr>
                <w:rFonts w:ascii="仿宋" w:eastAsia="仿宋" w:hAnsi="仿宋" w:hint="eastAsia"/>
                <w:sz w:val="24"/>
              </w:rPr>
              <w:t>（六）《国家税务总局关于调整消费税纳税申报有关事项的公告》（国家税务总局公告2015年第32号）全文。</w:t>
            </w:r>
          </w:p>
          <w:p w:rsidR="00013EC7" w:rsidRDefault="00575CDB">
            <w:pPr>
              <w:rPr>
                <w:rFonts w:ascii="仿宋" w:eastAsia="仿宋" w:hAnsi="仿宋"/>
                <w:sz w:val="24"/>
              </w:rPr>
            </w:pPr>
            <w:r>
              <w:rPr>
                <w:rFonts w:ascii="仿宋" w:eastAsia="仿宋" w:hAnsi="仿宋" w:hint="eastAsia"/>
                <w:sz w:val="24"/>
              </w:rPr>
              <w:t>（七）《财政部国家税务总局关</w:t>
            </w:r>
            <w:r>
              <w:rPr>
                <w:rFonts w:ascii="仿宋" w:eastAsia="仿宋" w:hAnsi="仿宋" w:hint="eastAsia"/>
                <w:sz w:val="24"/>
              </w:rPr>
              <w:lastRenderedPageBreak/>
              <w:t>于调整化妆品消费税政策的通知》（财税〔2016〕103号）全文。</w:t>
            </w:r>
          </w:p>
          <w:p w:rsidR="00013EC7" w:rsidRDefault="00575CDB">
            <w:pPr>
              <w:rPr>
                <w:rFonts w:ascii="仿宋" w:eastAsia="仿宋" w:hAnsi="仿宋"/>
                <w:sz w:val="24"/>
              </w:rPr>
            </w:pPr>
            <w:r>
              <w:rPr>
                <w:rFonts w:ascii="仿宋" w:eastAsia="仿宋" w:hAnsi="仿宋" w:hint="eastAsia"/>
                <w:sz w:val="24"/>
              </w:rPr>
              <w:t>（八）《财政部国家税务总局关于对超豪华小汽车加征消费税有关事项的通知》（财税〔2016〕129号）全文。</w:t>
            </w:r>
          </w:p>
          <w:p w:rsidR="00013EC7" w:rsidRDefault="00575CDB">
            <w:pPr>
              <w:rPr>
                <w:rFonts w:ascii="仿宋" w:eastAsia="仿宋" w:hAnsi="仿宋"/>
                <w:sz w:val="24"/>
              </w:rPr>
            </w:pPr>
            <w:r>
              <w:rPr>
                <w:rFonts w:ascii="仿宋" w:eastAsia="仿宋" w:hAnsi="仿宋" w:hint="eastAsia"/>
                <w:sz w:val="24"/>
              </w:rPr>
              <w:t>（九）《国家税务总局关于超豪华小汽车消费税征收管理有关事项的公告》（国家税务总局公告2016年第74号）全文。</w:t>
            </w:r>
          </w:p>
          <w:p w:rsidR="00013EC7" w:rsidRDefault="00013EC7">
            <w:pPr>
              <w:rPr>
                <w:rFonts w:ascii="仿宋" w:eastAsia="仿宋" w:hAnsi="仿宋"/>
                <w:sz w:val="24"/>
                <w:highlight w:val="yellow"/>
              </w:rPr>
            </w:pPr>
          </w:p>
        </w:tc>
        <w:tc>
          <w:tcPr>
            <w:tcW w:w="3082" w:type="dxa"/>
            <w:tcBorders>
              <w:top w:val="single" w:sz="4" w:space="0" w:color="auto"/>
            </w:tcBorders>
            <w:vAlign w:val="center"/>
          </w:tcPr>
          <w:p w:rsidR="00013EC7" w:rsidRDefault="00575CDB">
            <w:pPr>
              <w:rPr>
                <w:rFonts w:ascii="仿宋" w:eastAsia="仿宋" w:hAnsi="仿宋"/>
                <w:sz w:val="24"/>
              </w:rPr>
            </w:pPr>
            <w:r>
              <w:rPr>
                <w:rFonts w:ascii="仿宋" w:eastAsia="仿宋" w:hAnsi="仿宋" w:hint="eastAsia"/>
                <w:sz w:val="24"/>
              </w:rPr>
              <w:lastRenderedPageBreak/>
              <w:t>（一）（A06620）《其他应税消费品消费税纳税申报表》及附表各</w:t>
            </w:r>
            <w:r>
              <w:rPr>
                <w:rFonts w:ascii="仿宋" w:eastAsia="仿宋" w:hAnsi="仿宋" w:hint="eastAsia"/>
                <w:sz w:val="24"/>
                <w:highlight w:val="lightGray"/>
              </w:rPr>
              <w:t>2份</w:t>
            </w:r>
            <w:r>
              <w:rPr>
                <w:rFonts w:ascii="仿宋" w:eastAsia="仿宋" w:hAnsi="仿宋" w:hint="eastAsia"/>
                <w:sz w:val="24"/>
              </w:rPr>
              <w:t>。</w:t>
            </w:r>
          </w:p>
        </w:tc>
        <w:tc>
          <w:tcPr>
            <w:tcW w:w="1312" w:type="dxa"/>
            <w:vMerge w:val="restart"/>
            <w:vAlign w:val="center"/>
          </w:tcPr>
          <w:p w:rsidR="00013EC7" w:rsidRDefault="00575CDB">
            <w:pPr>
              <w:spacing w:line="300" w:lineRule="exact"/>
              <w:rPr>
                <w:rFonts w:ascii="仿宋" w:eastAsia="仿宋" w:hAnsi="仿宋"/>
                <w:sz w:val="24"/>
              </w:rPr>
            </w:pPr>
            <w:r>
              <w:rPr>
                <w:rFonts w:ascii="仿宋" w:eastAsia="仿宋" w:hAnsi="仿宋" w:hint="eastAsia"/>
                <w:sz w:val="24"/>
              </w:rPr>
              <w:t>纳税人提交</w:t>
            </w:r>
          </w:p>
        </w:tc>
        <w:tc>
          <w:tcPr>
            <w:tcW w:w="2693" w:type="dxa"/>
            <w:vAlign w:val="center"/>
          </w:tcPr>
          <w:p w:rsidR="00013EC7" w:rsidRDefault="00575CDB">
            <w:pPr>
              <w:rPr>
                <w:rFonts w:ascii="仿宋" w:eastAsia="仿宋" w:hAnsi="仿宋"/>
                <w:sz w:val="24"/>
              </w:rPr>
            </w:pPr>
            <w:r>
              <w:rPr>
                <w:rFonts w:ascii="仿宋" w:eastAsia="仿宋" w:hAnsi="仿宋"/>
                <w:sz w:val="24"/>
              </w:rPr>
              <w:t>（</w:t>
            </w:r>
            <w:r>
              <w:rPr>
                <w:rFonts w:ascii="仿宋" w:eastAsia="仿宋" w:hAnsi="仿宋" w:hint="eastAsia"/>
                <w:sz w:val="24"/>
              </w:rPr>
              <w:t>一</w:t>
            </w:r>
            <w:r>
              <w:rPr>
                <w:rFonts w:ascii="仿宋" w:eastAsia="仿宋" w:hAnsi="仿宋"/>
                <w:sz w:val="24"/>
              </w:rPr>
              <w:t>）</w:t>
            </w:r>
            <w:r>
              <w:rPr>
                <w:rFonts w:ascii="仿宋" w:eastAsia="仿宋" w:hAnsi="仿宋" w:hint="eastAsia"/>
                <w:sz w:val="24"/>
              </w:rPr>
              <w:t>（</w:t>
            </w:r>
            <w:r>
              <w:rPr>
                <w:rFonts w:ascii="仿宋" w:eastAsia="仿宋" w:hAnsi="仿宋"/>
                <w:sz w:val="24"/>
              </w:rPr>
              <w:t>A06620</w:t>
            </w:r>
            <w:r>
              <w:rPr>
                <w:rFonts w:ascii="仿宋" w:eastAsia="仿宋" w:hAnsi="仿宋" w:hint="eastAsia"/>
                <w:sz w:val="24"/>
              </w:rPr>
              <w:t>）</w:t>
            </w:r>
            <w:r>
              <w:rPr>
                <w:rFonts w:ascii="仿宋" w:eastAsia="仿宋" w:hAnsi="仿宋"/>
                <w:sz w:val="24"/>
              </w:rPr>
              <w:t>《其他应税消费品消费税纳税申报表》及附表各1份。</w:t>
            </w:r>
          </w:p>
        </w:tc>
        <w:tc>
          <w:tcPr>
            <w:tcW w:w="1276" w:type="dxa"/>
            <w:vAlign w:val="center"/>
          </w:tcPr>
          <w:p w:rsidR="00013EC7" w:rsidRDefault="00575CDB">
            <w:pPr>
              <w:spacing w:line="300" w:lineRule="exact"/>
              <w:rPr>
                <w:rFonts w:ascii="仿宋" w:eastAsia="仿宋" w:hAnsi="仿宋"/>
                <w:b/>
                <w:bCs/>
                <w:i/>
                <w:iCs/>
                <w:sz w:val="24"/>
              </w:rPr>
            </w:pPr>
            <w:r>
              <w:rPr>
                <w:rFonts w:ascii="仿宋" w:eastAsia="仿宋" w:hAnsi="仿宋" w:hint="eastAsia"/>
                <w:sz w:val="24"/>
              </w:rPr>
              <w:t>纳税人提交</w:t>
            </w:r>
          </w:p>
        </w:tc>
        <w:tc>
          <w:tcPr>
            <w:tcW w:w="2126" w:type="dxa"/>
            <w:vMerge w:val="restart"/>
            <w:vAlign w:val="center"/>
          </w:tcPr>
          <w:p w:rsidR="00013EC7" w:rsidRDefault="00575CDB">
            <w:pPr>
              <w:spacing w:line="300" w:lineRule="exact"/>
              <w:rPr>
                <w:rFonts w:ascii="仿宋" w:eastAsia="仿宋" w:hAnsi="仿宋"/>
                <w:sz w:val="24"/>
              </w:rPr>
            </w:pPr>
            <w:r>
              <w:rPr>
                <w:rFonts w:ascii="仿宋" w:eastAsia="仿宋" w:hAnsi="仿宋"/>
                <w:b/>
                <w:sz w:val="24"/>
              </w:rPr>
              <w:t>现场办理：</w:t>
            </w:r>
            <w:r>
              <w:rPr>
                <w:rFonts w:ascii="仿宋" w:eastAsia="仿宋" w:hAnsi="仿宋" w:hint="eastAsia"/>
                <w:sz w:val="24"/>
              </w:rPr>
              <w:t>纳税人</w:t>
            </w:r>
            <w:r>
              <w:rPr>
                <w:rFonts w:ascii="仿宋" w:eastAsia="仿宋" w:hAnsi="仿宋"/>
                <w:sz w:val="24"/>
              </w:rPr>
              <w:t>提交书面材料。</w:t>
            </w:r>
          </w:p>
          <w:p w:rsidR="00013EC7" w:rsidRDefault="00575CDB">
            <w:pPr>
              <w:spacing w:line="300" w:lineRule="exact"/>
              <w:rPr>
                <w:rFonts w:ascii="仿宋" w:eastAsia="仿宋" w:hAnsi="仿宋"/>
                <w:b/>
                <w:sz w:val="24"/>
              </w:rPr>
            </w:pPr>
            <w:r>
              <w:rPr>
                <w:rFonts w:ascii="仿宋" w:eastAsia="仿宋" w:hAnsi="仿宋" w:hint="eastAsia"/>
                <w:b/>
                <w:sz w:val="24"/>
              </w:rPr>
              <w:t>网上办理：</w:t>
            </w:r>
            <w:r>
              <w:rPr>
                <w:rFonts w:ascii="仿宋" w:eastAsia="仿宋" w:hAnsi="仿宋" w:hint="eastAsia"/>
                <w:sz w:val="24"/>
              </w:rPr>
              <w:t>登录浙江国税电子税务局（网址：</w:t>
            </w:r>
            <w:hyperlink r:id="rId258" w:tgtFrame="https://wx.qq.com/_blank" w:history="1">
              <w:r>
                <w:rPr>
                  <w:rFonts w:ascii="仿宋" w:eastAsia="仿宋" w:hAnsi="仿宋" w:hint="eastAsia"/>
                  <w:sz w:val="24"/>
                </w:rPr>
                <w:t>http://etax.zjtax.gov.cn/</w:t>
              </w:r>
            </w:hyperlink>
            <w:r>
              <w:rPr>
                <w:rFonts w:ascii="仿宋" w:eastAsia="仿宋" w:hAnsi="仿宋" w:hint="eastAsia"/>
                <w:sz w:val="24"/>
              </w:rPr>
              <w:t>）提交申请。</w:t>
            </w:r>
          </w:p>
        </w:tc>
        <w:tc>
          <w:tcPr>
            <w:tcW w:w="851" w:type="dxa"/>
            <w:vMerge w:val="restart"/>
            <w:vAlign w:val="center"/>
          </w:tcPr>
          <w:p w:rsidR="00013EC7" w:rsidRDefault="00575CDB">
            <w:pPr>
              <w:spacing w:line="300" w:lineRule="exact"/>
              <w:rPr>
                <w:rFonts w:ascii="仿宋" w:eastAsia="仿宋" w:hAnsi="仿宋"/>
                <w:sz w:val="24"/>
              </w:rPr>
            </w:pPr>
            <w:r>
              <w:rPr>
                <w:rFonts w:ascii="仿宋" w:eastAsia="仿宋" w:hAnsi="仿宋" w:hint="eastAsia"/>
                <w:sz w:val="24"/>
              </w:rPr>
              <w:t>即时办结</w:t>
            </w:r>
          </w:p>
        </w:tc>
        <w:tc>
          <w:tcPr>
            <w:tcW w:w="709" w:type="dxa"/>
            <w:vMerge w:val="restart"/>
            <w:vAlign w:val="center"/>
          </w:tcPr>
          <w:p w:rsidR="00013EC7" w:rsidRDefault="00575CDB">
            <w:pPr>
              <w:spacing w:line="300" w:lineRule="exact"/>
              <w:rPr>
                <w:rFonts w:ascii="仿宋" w:eastAsia="仿宋" w:hAnsi="仿宋"/>
                <w:sz w:val="24"/>
              </w:rPr>
            </w:pPr>
            <w:r>
              <w:rPr>
                <w:rFonts w:ascii="仿宋" w:eastAsia="仿宋" w:hAnsi="仿宋" w:hint="eastAsia"/>
                <w:sz w:val="24"/>
              </w:rPr>
              <w:t>即时办结</w:t>
            </w:r>
          </w:p>
        </w:tc>
        <w:tc>
          <w:tcPr>
            <w:tcW w:w="911" w:type="dxa"/>
            <w:vMerge w:val="restart"/>
            <w:vAlign w:val="center"/>
          </w:tcPr>
          <w:p w:rsidR="00013EC7" w:rsidRDefault="00575CDB">
            <w:pPr>
              <w:spacing w:line="300" w:lineRule="exact"/>
              <w:rPr>
                <w:rFonts w:ascii="仿宋" w:eastAsia="仿宋" w:hAnsi="仿宋"/>
                <w:sz w:val="24"/>
              </w:rPr>
            </w:pPr>
            <w:r>
              <w:rPr>
                <w:rFonts w:ascii="仿宋" w:eastAsia="仿宋" w:hAnsi="仿宋" w:hint="eastAsia"/>
                <w:sz w:val="24"/>
              </w:rPr>
              <w:t>是</w:t>
            </w:r>
          </w:p>
        </w:tc>
        <w:tc>
          <w:tcPr>
            <w:tcW w:w="1104" w:type="dxa"/>
            <w:vMerge w:val="restart"/>
            <w:vAlign w:val="center"/>
          </w:tcPr>
          <w:p w:rsidR="00013EC7" w:rsidRDefault="00575CDB">
            <w:pPr>
              <w:spacing w:line="300" w:lineRule="exact"/>
              <w:rPr>
                <w:rFonts w:ascii="仿宋" w:eastAsia="仿宋" w:hAnsi="仿宋"/>
                <w:sz w:val="24"/>
              </w:rPr>
            </w:pPr>
            <w:r>
              <w:rPr>
                <w:rFonts w:ascii="仿宋" w:eastAsia="仿宋" w:hAnsi="仿宋" w:hint="eastAsia"/>
                <w:sz w:val="24"/>
              </w:rPr>
              <w:t>货物和劳务税处</w:t>
            </w:r>
          </w:p>
        </w:tc>
        <w:tc>
          <w:tcPr>
            <w:tcW w:w="1476" w:type="dxa"/>
            <w:vMerge w:val="restart"/>
            <w:vAlign w:val="center"/>
          </w:tcPr>
          <w:p w:rsidR="00013EC7" w:rsidRDefault="00013EC7">
            <w:pPr>
              <w:spacing w:line="300" w:lineRule="exact"/>
              <w:rPr>
                <w:rFonts w:ascii="仿宋" w:eastAsia="仿宋" w:hAnsi="仿宋"/>
                <w:sz w:val="24"/>
              </w:rPr>
            </w:pPr>
          </w:p>
        </w:tc>
      </w:tr>
      <w:tr w:rsidR="00013EC7">
        <w:trPr>
          <w:trHeight w:val="4317"/>
          <w:jc w:val="center"/>
        </w:trPr>
        <w:tc>
          <w:tcPr>
            <w:tcW w:w="672" w:type="dxa"/>
            <w:vMerge/>
            <w:vAlign w:val="center"/>
          </w:tcPr>
          <w:p w:rsidR="00013EC7" w:rsidRDefault="00013EC7">
            <w:pPr>
              <w:spacing w:line="300" w:lineRule="exact"/>
              <w:rPr>
                <w:rFonts w:ascii="仿宋" w:eastAsia="仿宋" w:hAnsi="仿宋"/>
                <w:sz w:val="24"/>
              </w:rPr>
            </w:pPr>
          </w:p>
        </w:tc>
        <w:tc>
          <w:tcPr>
            <w:tcW w:w="1035" w:type="dxa"/>
            <w:vMerge/>
            <w:vAlign w:val="center"/>
          </w:tcPr>
          <w:p w:rsidR="00013EC7" w:rsidRDefault="00013EC7">
            <w:pPr>
              <w:spacing w:line="310" w:lineRule="exact"/>
              <w:rPr>
                <w:rFonts w:ascii="仿宋" w:eastAsia="仿宋" w:hAnsi="仿宋"/>
                <w:sz w:val="24"/>
              </w:rPr>
            </w:pPr>
          </w:p>
        </w:tc>
        <w:tc>
          <w:tcPr>
            <w:tcW w:w="3345" w:type="dxa"/>
            <w:vMerge/>
            <w:vAlign w:val="center"/>
          </w:tcPr>
          <w:p w:rsidR="00013EC7" w:rsidRDefault="00013EC7">
            <w:pPr>
              <w:rPr>
                <w:rFonts w:ascii="仿宋" w:eastAsia="仿宋" w:hAnsi="仿宋"/>
                <w:sz w:val="24"/>
              </w:rPr>
            </w:pPr>
          </w:p>
        </w:tc>
        <w:tc>
          <w:tcPr>
            <w:tcW w:w="3082" w:type="dxa"/>
            <w:tcBorders>
              <w:top w:val="single" w:sz="4" w:space="0" w:color="auto"/>
            </w:tcBorders>
            <w:vAlign w:val="center"/>
          </w:tcPr>
          <w:p w:rsidR="00013EC7" w:rsidRDefault="00575CDB">
            <w:pPr>
              <w:rPr>
                <w:rFonts w:ascii="仿宋" w:eastAsia="仿宋" w:hAnsi="仿宋"/>
                <w:sz w:val="24"/>
              </w:rPr>
            </w:pPr>
            <w:r>
              <w:rPr>
                <w:rFonts w:ascii="仿宋" w:eastAsia="仿宋" w:hAnsi="仿宋" w:hint="eastAsia"/>
                <w:sz w:val="24"/>
              </w:rPr>
              <w:t>（二）（</w:t>
            </w:r>
            <w:r>
              <w:rPr>
                <w:rFonts w:ascii="仿宋" w:eastAsia="仿宋" w:hAnsi="仿宋"/>
                <w:sz w:val="24"/>
              </w:rPr>
              <w:t>A06633</w:t>
            </w:r>
            <w:r>
              <w:rPr>
                <w:rFonts w:ascii="仿宋" w:eastAsia="仿宋" w:hAnsi="仿宋" w:hint="eastAsia"/>
                <w:sz w:val="24"/>
              </w:rPr>
              <w:t>）</w:t>
            </w:r>
            <w:r>
              <w:rPr>
                <w:rFonts w:ascii="仿宋" w:eastAsia="仿宋" w:hAnsi="仿宋"/>
                <w:sz w:val="24"/>
              </w:rPr>
              <w:t>《本期减（免）税额明细表》</w:t>
            </w:r>
            <w:r>
              <w:rPr>
                <w:rFonts w:ascii="仿宋" w:eastAsia="仿宋" w:hAnsi="仿宋" w:hint="eastAsia"/>
                <w:sz w:val="24"/>
              </w:rPr>
              <w:t>各</w:t>
            </w:r>
            <w:r>
              <w:rPr>
                <w:rFonts w:ascii="仿宋" w:eastAsia="仿宋" w:hAnsi="仿宋" w:hint="eastAsia"/>
                <w:sz w:val="24"/>
                <w:highlight w:val="lightGray"/>
              </w:rPr>
              <w:t>2份</w:t>
            </w:r>
            <w:r>
              <w:rPr>
                <w:rFonts w:ascii="仿宋" w:eastAsia="仿宋" w:hAnsi="仿宋" w:cs="仿宋" w:hint="eastAsia"/>
                <w:sz w:val="24"/>
              </w:rPr>
              <w:t>（由享受消费税减免税优惠政策的纳税人在办理消费税纳税申报时填报）</w:t>
            </w:r>
            <w:r>
              <w:rPr>
                <w:rFonts w:ascii="仿宋" w:eastAsia="仿宋" w:hAnsi="仿宋" w:hint="eastAsia"/>
                <w:sz w:val="24"/>
              </w:rPr>
              <w:t>。</w:t>
            </w:r>
          </w:p>
        </w:tc>
        <w:tc>
          <w:tcPr>
            <w:tcW w:w="1312" w:type="dxa"/>
            <w:vMerge/>
            <w:vAlign w:val="center"/>
          </w:tcPr>
          <w:p w:rsidR="00013EC7" w:rsidRDefault="00013EC7">
            <w:pPr>
              <w:spacing w:line="300" w:lineRule="exact"/>
              <w:rPr>
                <w:rFonts w:ascii="仿宋" w:eastAsia="仿宋" w:hAnsi="仿宋"/>
                <w:sz w:val="24"/>
              </w:rPr>
            </w:pPr>
          </w:p>
        </w:tc>
        <w:tc>
          <w:tcPr>
            <w:tcW w:w="2693" w:type="dxa"/>
            <w:vAlign w:val="center"/>
          </w:tcPr>
          <w:p w:rsidR="00013EC7" w:rsidRDefault="00575CDB">
            <w:pPr>
              <w:rPr>
                <w:rFonts w:ascii="仿宋" w:eastAsia="仿宋" w:hAnsi="仿宋"/>
                <w:sz w:val="24"/>
              </w:rPr>
            </w:pPr>
            <w:r>
              <w:rPr>
                <w:rFonts w:ascii="仿宋" w:eastAsia="仿宋" w:hAnsi="仿宋"/>
                <w:sz w:val="24"/>
              </w:rPr>
              <w:t>（</w:t>
            </w:r>
            <w:r>
              <w:rPr>
                <w:rFonts w:ascii="仿宋" w:eastAsia="仿宋" w:hAnsi="仿宋" w:hint="eastAsia"/>
                <w:sz w:val="24"/>
              </w:rPr>
              <w:t>二</w:t>
            </w:r>
            <w:r>
              <w:rPr>
                <w:rFonts w:ascii="仿宋" w:eastAsia="仿宋" w:hAnsi="仿宋"/>
                <w:sz w:val="24"/>
              </w:rPr>
              <w:t>）</w:t>
            </w:r>
            <w:r>
              <w:rPr>
                <w:rFonts w:ascii="仿宋" w:eastAsia="仿宋" w:hAnsi="仿宋" w:hint="eastAsia"/>
                <w:sz w:val="24"/>
              </w:rPr>
              <w:t>（</w:t>
            </w:r>
            <w:r>
              <w:rPr>
                <w:rFonts w:ascii="仿宋" w:eastAsia="仿宋" w:hAnsi="仿宋"/>
                <w:sz w:val="24"/>
              </w:rPr>
              <w:t>A06633</w:t>
            </w:r>
            <w:r>
              <w:rPr>
                <w:rFonts w:ascii="仿宋" w:eastAsia="仿宋" w:hAnsi="仿宋" w:hint="eastAsia"/>
                <w:sz w:val="24"/>
              </w:rPr>
              <w:t>）</w:t>
            </w:r>
            <w:r>
              <w:rPr>
                <w:rFonts w:ascii="仿宋" w:eastAsia="仿宋" w:hAnsi="仿宋"/>
                <w:sz w:val="24"/>
              </w:rPr>
              <w:t>《本期减（免）税额明细表》1份。</w:t>
            </w:r>
          </w:p>
        </w:tc>
        <w:tc>
          <w:tcPr>
            <w:tcW w:w="1276" w:type="dxa"/>
            <w:vAlign w:val="center"/>
          </w:tcPr>
          <w:p w:rsidR="00013EC7" w:rsidRDefault="00575CDB">
            <w:pPr>
              <w:spacing w:line="300" w:lineRule="exact"/>
              <w:rPr>
                <w:rFonts w:ascii="仿宋" w:eastAsia="仿宋" w:hAnsi="仿宋"/>
                <w:sz w:val="24"/>
              </w:rPr>
            </w:pPr>
            <w:r>
              <w:rPr>
                <w:rFonts w:ascii="仿宋" w:eastAsia="仿宋" w:hAnsi="仿宋" w:hint="eastAsia"/>
                <w:sz w:val="24"/>
              </w:rPr>
              <w:t>享受消费税减免税优惠政策的纳税人提交</w:t>
            </w:r>
          </w:p>
        </w:tc>
        <w:tc>
          <w:tcPr>
            <w:tcW w:w="2126" w:type="dxa"/>
            <w:vMerge/>
            <w:vAlign w:val="center"/>
          </w:tcPr>
          <w:p w:rsidR="00013EC7" w:rsidRDefault="00013EC7">
            <w:pPr>
              <w:spacing w:line="300" w:lineRule="exact"/>
              <w:rPr>
                <w:rFonts w:ascii="仿宋" w:eastAsia="仿宋" w:hAnsi="仿宋"/>
                <w:b/>
                <w:sz w:val="24"/>
              </w:rPr>
            </w:pPr>
          </w:p>
        </w:tc>
        <w:tc>
          <w:tcPr>
            <w:tcW w:w="851" w:type="dxa"/>
            <w:vMerge/>
            <w:vAlign w:val="center"/>
          </w:tcPr>
          <w:p w:rsidR="00013EC7" w:rsidRDefault="00013EC7">
            <w:pPr>
              <w:spacing w:line="300" w:lineRule="exact"/>
              <w:rPr>
                <w:rFonts w:ascii="仿宋" w:eastAsia="仿宋" w:hAnsi="仿宋"/>
                <w:sz w:val="24"/>
              </w:rPr>
            </w:pPr>
          </w:p>
        </w:tc>
        <w:tc>
          <w:tcPr>
            <w:tcW w:w="709" w:type="dxa"/>
            <w:vMerge/>
            <w:vAlign w:val="center"/>
          </w:tcPr>
          <w:p w:rsidR="00013EC7" w:rsidRDefault="00013EC7">
            <w:pPr>
              <w:spacing w:line="300" w:lineRule="exact"/>
              <w:rPr>
                <w:rFonts w:ascii="仿宋" w:eastAsia="仿宋" w:hAnsi="仿宋"/>
                <w:sz w:val="24"/>
              </w:rPr>
            </w:pPr>
          </w:p>
        </w:tc>
        <w:tc>
          <w:tcPr>
            <w:tcW w:w="911" w:type="dxa"/>
            <w:vMerge/>
            <w:vAlign w:val="center"/>
          </w:tcPr>
          <w:p w:rsidR="00013EC7" w:rsidRDefault="00013EC7">
            <w:pPr>
              <w:spacing w:line="300" w:lineRule="exact"/>
              <w:rPr>
                <w:rFonts w:ascii="仿宋" w:eastAsia="仿宋" w:hAnsi="仿宋"/>
                <w:sz w:val="24"/>
              </w:rPr>
            </w:pPr>
          </w:p>
        </w:tc>
        <w:tc>
          <w:tcPr>
            <w:tcW w:w="1104" w:type="dxa"/>
            <w:vMerge/>
            <w:vAlign w:val="center"/>
          </w:tcPr>
          <w:p w:rsidR="00013EC7" w:rsidRDefault="00013EC7">
            <w:pPr>
              <w:spacing w:line="300" w:lineRule="exact"/>
              <w:rPr>
                <w:rFonts w:ascii="仿宋" w:eastAsia="仿宋" w:hAnsi="仿宋"/>
                <w:sz w:val="24"/>
              </w:rPr>
            </w:pPr>
          </w:p>
        </w:tc>
        <w:tc>
          <w:tcPr>
            <w:tcW w:w="1476" w:type="dxa"/>
            <w:vMerge/>
            <w:vAlign w:val="center"/>
          </w:tcPr>
          <w:p w:rsidR="00013EC7" w:rsidRDefault="00013EC7">
            <w:pPr>
              <w:spacing w:line="300" w:lineRule="exact"/>
              <w:rPr>
                <w:rFonts w:ascii="仿宋" w:eastAsia="仿宋" w:hAnsi="仿宋"/>
                <w:sz w:val="24"/>
              </w:rPr>
            </w:pPr>
          </w:p>
        </w:tc>
      </w:tr>
      <w:tr w:rsidR="00013EC7">
        <w:trPr>
          <w:trHeight w:val="6493"/>
          <w:jc w:val="center"/>
        </w:trPr>
        <w:tc>
          <w:tcPr>
            <w:tcW w:w="672" w:type="dxa"/>
            <w:vMerge/>
            <w:textDirection w:val="tbRlV"/>
            <w:vAlign w:val="center"/>
          </w:tcPr>
          <w:p w:rsidR="00013EC7" w:rsidRDefault="00013EC7">
            <w:pPr>
              <w:rPr>
                <w:rFonts w:ascii="仿宋" w:eastAsia="仿宋" w:hAnsi="仿宋"/>
                <w:sz w:val="24"/>
              </w:rPr>
            </w:pPr>
          </w:p>
        </w:tc>
        <w:tc>
          <w:tcPr>
            <w:tcW w:w="1035" w:type="dxa"/>
            <w:vMerge/>
            <w:vAlign w:val="center"/>
          </w:tcPr>
          <w:p w:rsidR="00013EC7" w:rsidRDefault="00013EC7">
            <w:pPr>
              <w:rPr>
                <w:rFonts w:ascii="仿宋" w:eastAsia="仿宋" w:hAnsi="仿宋"/>
                <w:sz w:val="24"/>
              </w:rPr>
            </w:pPr>
          </w:p>
        </w:tc>
        <w:tc>
          <w:tcPr>
            <w:tcW w:w="3345" w:type="dxa"/>
            <w:vMerge/>
            <w:vAlign w:val="center"/>
          </w:tcPr>
          <w:p w:rsidR="00013EC7" w:rsidRDefault="00013EC7">
            <w:pPr>
              <w:rPr>
                <w:rFonts w:ascii="仿宋" w:eastAsia="仿宋" w:hAnsi="仿宋"/>
                <w:sz w:val="24"/>
              </w:rPr>
            </w:pPr>
          </w:p>
        </w:tc>
        <w:tc>
          <w:tcPr>
            <w:tcW w:w="3082" w:type="dxa"/>
            <w:vAlign w:val="center"/>
          </w:tcPr>
          <w:p w:rsidR="00013EC7" w:rsidRDefault="00575CDB">
            <w:pPr>
              <w:rPr>
                <w:rFonts w:ascii="仿宋" w:eastAsia="仿宋" w:hAnsi="仿宋" w:cs="宋体"/>
                <w:kern w:val="1"/>
                <w:sz w:val="24"/>
              </w:rPr>
            </w:pPr>
            <w:r>
              <w:rPr>
                <w:rFonts w:ascii="仿宋" w:eastAsia="仿宋" w:hAnsi="仿宋" w:hint="eastAsia"/>
                <w:sz w:val="24"/>
              </w:rPr>
              <w:t>（三）</w:t>
            </w:r>
            <w:r>
              <w:rPr>
                <w:rFonts w:ascii="仿宋" w:eastAsia="仿宋" w:hAnsi="仿宋" w:hint="eastAsia"/>
                <w:sz w:val="24"/>
                <w:highlight w:val="lightGray"/>
              </w:rPr>
              <w:t>外购应税消费品增值税专用发票抵扣联。</w:t>
            </w:r>
            <w:r>
              <w:rPr>
                <w:rFonts w:ascii="仿宋" w:eastAsia="仿宋" w:hAnsi="仿宋" w:hint="eastAsia"/>
                <w:sz w:val="24"/>
              </w:rPr>
              <w:t>属于汇总填开的，还应提供随同增值税专用发票取得的由销售方开具并加盖财务专用章或发票专用章的销货清单</w:t>
            </w:r>
            <w:r>
              <w:rPr>
                <w:rFonts w:ascii="仿宋" w:eastAsia="仿宋" w:hAnsi="仿宋" w:hint="eastAsia"/>
                <w:sz w:val="24"/>
                <w:highlight w:val="lightGray"/>
              </w:rPr>
              <w:t>原件和</w:t>
            </w:r>
            <w:r>
              <w:rPr>
                <w:rFonts w:ascii="仿宋" w:eastAsia="仿宋" w:hAnsi="仿宋" w:hint="eastAsia"/>
                <w:sz w:val="24"/>
              </w:rPr>
              <w:t>复印件。</w:t>
            </w:r>
          </w:p>
        </w:tc>
        <w:tc>
          <w:tcPr>
            <w:tcW w:w="1312" w:type="dxa"/>
            <w:shd w:val="clear" w:color="auto" w:fill="auto"/>
            <w:vAlign w:val="center"/>
          </w:tcPr>
          <w:p w:rsidR="00013EC7" w:rsidRDefault="00575CDB">
            <w:pPr>
              <w:rPr>
                <w:rFonts w:ascii="仿宋" w:eastAsia="仿宋" w:hAnsi="仿宋"/>
                <w:sz w:val="24"/>
              </w:rPr>
            </w:pPr>
            <w:r>
              <w:rPr>
                <w:rFonts w:ascii="仿宋" w:eastAsia="仿宋" w:hAnsi="仿宋" w:hint="eastAsia"/>
                <w:sz w:val="24"/>
              </w:rPr>
              <w:t>外购应税消费品连续生产应税消费品的纳税人留存备查</w:t>
            </w:r>
          </w:p>
        </w:tc>
        <w:tc>
          <w:tcPr>
            <w:tcW w:w="2693" w:type="dxa"/>
            <w:vAlign w:val="center"/>
          </w:tcPr>
          <w:p w:rsidR="00013EC7" w:rsidRDefault="00575CDB">
            <w:pPr>
              <w:rPr>
                <w:rFonts w:ascii="仿宋" w:eastAsia="仿宋" w:hAnsi="仿宋" w:cs="宋体"/>
                <w:kern w:val="1"/>
                <w:sz w:val="24"/>
              </w:rPr>
            </w:pPr>
            <w:r>
              <w:rPr>
                <w:rFonts w:ascii="仿宋" w:eastAsia="仿宋" w:hAnsi="仿宋" w:hint="eastAsia"/>
                <w:sz w:val="24"/>
              </w:rPr>
              <w:t>（三）外购应税消费品增值税专用发票抵扣联复印件（注明与原件一致并加盖公章）。属于汇总填开的，还应提供随同增值税专用发票取得的由销售方开具并加盖财务专用章或发票专用章的销货清单复印件（注明与原件一致并加盖公章）。</w:t>
            </w:r>
          </w:p>
        </w:tc>
        <w:tc>
          <w:tcPr>
            <w:tcW w:w="1276" w:type="dxa"/>
            <w:shd w:val="clear" w:color="auto" w:fill="auto"/>
            <w:vAlign w:val="center"/>
          </w:tcPr>
          <w:p w:rsidR="00013EC7" w:rsidRDefault="00575CDB">
            <w:pPr>
              <w:rPr>
                <w:rFonts w:ascii="仿宋" w:eastAsia="仿宋" w:hAnsi="仿宋"/>
                <w:sz w:val="24"/>
              </w:rPr>
            </w:pPr>
            <w:r>
              <w:rPr>
                <w:rFonts w:ascii="仿宋" w:eastAsia="仿宋" w:hAnsi="仿宋" w:hint="eastAsia"/>
                <w:sz w:val="24"/>
              </w:rPr>
              <w:t>外购应税消费品连续生产应税消费品的纳税人留存备查</w:t>
            </w:r>
          </w:p>
        </w:tc>
        <w:tc>
          <w:tcPr>
            <w:tcW w:w="2126" w:type="dxa"/>
            <w:vMerge w:val="restart"/>
            <w:vAlign w:val="center"/>
          </w:tcPr>
          <w:p w:rsidR="00013EC7" w:rsidRDefault="00013EC7">
            <w:pPr>
              <w:spacing w:line="300" w:lineRule="exact"/>
              <w:rPr>
                <w:rFonts w:ascii="仿宋" w:eastAsia="仿宋" w:hAnsi="仿宋"/>
                <w:sz w:val="24"/>
              </w:rPr>
            </w:pPr>
          </w:p>
        </w:tc>
        <w:tc>
          <w:tcPr>
            <w:tcW w:w="851" w:type="dxa"/>
            <w:vMerge/>
            <w:vAlign w:val="center"/>
          </w:tcPr>
          <w:p w:rsidR="00013EC7" w:rsidRDefault="00013EC7">
            <w:pPr>
              <w:rPr>
                <w:rFonts w:ascii="仿宋" w:eastAsia="仿宋" w:hAnsi="仿宋"/>
                <w:sz w:val="24"/>
              </w:rPr>
            </w:pPr>
          </w:p>
        </w:tc>
        <w:tc>
          <w:tcPr>
            <w:tcW w:w="709" w:type="dxa"/>
            <w:vMerge/>
            <w:vAlign w:val="center"/>
          </w:tcPr>
          <w:p w:rsidR="00013EC7" w:rsidRDefault="00013EC7">
            <w:pPr>
              <w:rPr>
                <w:rFonts w:ascii="仿宋" w:eastAsia="仿宋" w:hAnsi="仿宋"/>
                <w:sz w:val="24"/>
              </w:rPr>
            </w:pPr>
          </w:p>
        </w:tc>
        <w:tc>
          <w:tcPr>
            <w:tcW w:w="911" w:type="dxa"/>
            <w:vMerge/>
            <w:vAlign w:val="center"/>
          </w:tcPr>
          <w:p w:rsidR="00013EC7" w:rsidRDefault="00013EC7">
            <w:pPr>
              <w:rPr>
                <w:rFonts w:ascii="仿宋" w:eastAsia="仿宋" w:hAnsi="仿宋"/>
                <w:sz w:val="24"/>
              </w:rPr>
            </w:pPr>
          </w:p>
        </w:tc>
        <w:tc>
          <w:tcPr>
            <w:tcW w:w="1104" w:type="dxa"/>
            <w:vMerge/>
            <w:vAlign w:val="center"/>
          </w:tcPr>
          <w:p w:rsidR="00013EC7" w:rsidRDefault="00013EC7">
            <w:pPr>
              <w:rPr>
                <w:rFonts w:ascii="仿宋" w:eastAsia="仿宋" w:hAnsi="仿宋"/>
                <w:sz w:val="24"/>
              </w:rPr>
            </w:pPr>
          </w:p>
        </w:tc>
        <w:tc>
          <w:tcPr>
            <w:tcW w:w="1476" w:type="dxa"/>
            <w:vMerge w:val="restart"/>
            <w:vAlign w:val="center"/>
          </w:tcPr>
          <w:p w:rsidR="00013EC7" w:rsidRDefault="00013EC7">
            <w:pPr>
              <w:rPr>
                <w:rFonts w:ascii="仿宋" w:eastAsia="仿宋" w:hAnsi="仿宋"/>
                <w:sz w:val="24"/>
              </w:rPr>
            </w:pPr>
          </w:p>
        </w:tc>
      </w:tr>
      <w:tr w:rsidR="00013EC7">
        <w:trPr>
          <w:trHeight w:val="2622"/>
          <w:jc w:val="center"/>
        </w:trPr>
        <w:tc>
          <w:tcPr>
            <w:tcW w:w="672" w:type="dxa"/>
            <w:vMerge/>
            <w:textDirection w:val="tbRlV"/>
            <w:vAlign w:val="center"/>
          </w:tcPr>
          <w:p w:rsidR="00013EC7" w:rsidRDefault="00013EC7"/>
        </w:tc>
        <w:tc>
          <w:tcPr>
            <w:tcW w:w="1035" w:type="dxa"/>
            <w:vMerge/>
            <w:vAlign w:val="center"/>
          </w:tcPr>
          <w:p w:rsidR="00013EC7" w:rsidRDefault="00013EC7"/>
        </w:tc>
        <w:tc>
          <w:tcPr>
            <w:tcW w:w="3345" w:type="dxa"/>
            <w:vMerge/>
            <w:vAlign w:val="center"/>
          </w:tcPr>
          <w:p w:rsidR="00013EC7" w:rsidRDefault="00013EC7"/>
        </w:tc>
        <w:tc>
          <w:tcPr>
            <w:tcW w:w="3082" w:type="dxa"/>
            <w:vAlign w:val="center"/>
          </w:tcPr>
          <w:p w:rsidR="00013EC7" w:rsidRDefault="00575CDB">
            <w:pPr>
              <w:rPr>
                <w:rFonts w:ascii="仿宋" w:eastAsia="仿宋" w:hAnsi="仿宋"/>
                <w:sz w:val="24"/>
                <w:highlight w:val="lightGray"/>
              </w:rPr>
            </w:pPr>
            <w:r>
              <w:rPr>
                <w:rFonts w:ascii="仿宋" w:eastAsia="仿宋" w:hAnsi="仿宋" w:hint="eastAsia"/>
                <w:sz w:val="24"/>
                <w:highlight w:val="lightGray"/>
              </w:rPr>
              <w:t>（四）《代扣代收税款凭证》。</w:t>
            </w:r>
          </w:p>
        </w:tc>
        <w:tc>
          <w:tcPr>
            <w:tcW w:w="1312" w:type="dxa"/>
            <w:shd w:val="clear" w:color="auto" w:fill="auto"/>
            <w:vAlign w:val="center"/>
          </w:tcPr>
          <w:p w:rsidR="00013EC7" w:rsidRDefault="00575CDB">
            <w:pPr>
              <w:rPr>
                <w:rFonts w:ascii="仿宋" w:eastAsia="仿宋" w:hAnsi="仿宋"/>
                <w:sz w:val="24"/>
              </w:rPr>
            </w:pPr>
            <w:r>
              <w:rPr>
                <w:rFonts w:ascii="仿宋" w:eastAsia="仿宋" w:hAnsi="仿宋" w:hint="eastAsia"/>
                <w:sz w:val="24"/>
              </w:rPr>
              <w:t>委托加工收回应税消费品连续生产应税消费品的纳税人留存备查</w:t>
            </w:r>
          </w:p>
        </w:tc>
        <w:tc>
          <w:tcPr>
            <w:tcW w:w="2693" w:type="dxa"/>
            <w:vAlign w:val="center"/>
          </w:tcPr>
          <w:p w:rsidR="00013EC7" w:rsidRDefault="00575CDB">
            <w:pPr>
              <w:rPr>
                <w:rFonts w:ascii="仿宋" w:eastAsia="仿宋" w:hAnsi="仿宋"/>
                <w:sz w:val="24"/>
              </w:rPr>
            </w:pPr>
            <w:r>
              <w:rPr>
                <w:rFonts w:ascii="仿宋" w:eastAsia="仿宋" w:hAnsi="仿宋" w:hint="eastAsia"/>
                <w:sz w:val="24"/>
              </w:rPr>
              <w:t>（四）《代扣代收税款凭证》复印件（注明与原件一致并加盖公章）。</w:t>
            </w:r>
          </w:p>
        </w:tc>
        <w:tc>
          <w:tcPr>
            <w:tcW w:w="1276" w:type="dxa"/>
            <w:shd w:val="clear" w:color="auto" w:fill="auto"/>
            <w:vAlign w:val="center"/>
          </w:tcPr>
          <w:p w:rsidR="00013EC7" w:rsidRDefault="00575CDB">
            <w:pPr>
              <w:rPr>
                <w:rFonts w:ascii="仿宋" w:eastAsia="仿宋" w:hAnsi="仿宋"/>
                <w:sz w:val="24"/>
              </w:rPr>
            </w:pPr>
            <w:r>
              <w:rPr>
                <w:rFonts w:ascii="仿宋" w:eastAsia="仿宋" w:hAnsi="仿宋" w:hint="eastAsia"/>
                <w:sz w:val="24"/>
              </w:rPr>
              <w:t>委托加工收回应税消费品连续生产应税消费品的纳税人留存备查</w:t>
            </w:r>
          </w:p>
        </w:tc>
        <w:tc>
          <w:tcPr>
            <w:tcW w:w="2126" w:type="dxa"/>
            <w:vMerge/>
            <w:vAlign w:val="center"/>
          </w:tcPr>
          <w:p w:rsidR="00013EC7" w:rsidRDefault="00013EC7">
            <w:pPr>
              <w:rPr>
                <w:rFonts w:ascii="仿宋" w:eastAsia="仿宋" w:hAnsi="仿宋"/>
                <w:sz w:val="24"/>
                <w:highlight w:val="lightGray"/>
              </w:rPr>
            </w:pPr>
          </w:p>
        </w:tc>
        <w:tc>
          <w:tcPr>
            <w:tcW w:w="851" w:type="dxa"/>
            <w:vMerge/>
            <w:vAlign w:val="center"/>
          </w:tcPr>
          <w:p w:rsidR="00013EC7" w:rsidRDefault="00013EC7">
            <w:pPr>
              <w:rPr>
                <w:rFonts w:ascii="仿宋" w:eastAsia="仿宋" w:hAnsi="仿宋"/>
                <w:sz w:val="24"/>
                <w:highlight w:val="lightGray"/>
              </w:rPr>
            </w:pPr>
          </w:p>
        </w:tc>
        <w:tc>
          <w:tcPr>
            <w:tcW w:w="709" w:type="dxa"/>
            <w:vMerge/>
            <w:vAlign w:val="center"/>
          </w:tcPr>
          <w:p w:rsidR="00013EC7" w:rsidRDefault="00013EC7">
            <w:pPr>
              <w:rPr>
                <w:rFonts w:ascii="仿宋" w:eastAsia="仿宋" w:hAnsi="仿宋"/>
                <w:sz w:val="24"/>
                <w:highlight w:val="lightGray"/>
              </w:rPr>
            </w:pPr>
          </w:p>
        </w:tc>
        <w:tc>
          <w:tcPr>
            <w:tcW w:w="911" w:type="dxa"/>
            <w:vMerge/>
            <w:vAlign w:val="center"/>
          </w:tcPr>
          <w:p w:rsidR="00013EC7" w:rsidRDefault="00013EC7">
            <w:pPr>
              <w:rPr>
                <w:rFonts w:ascii="仿宋" w:eastAsia="仿宋" w:hAnsi="仿宋"/>
                <w:sz w:val="24"/>
                <w:highlight w:val="lightGray"/>
              </w:rPr>
            </w:pPr>
          </w:p>
        </w:tc>
        <w:tc>
          <w:tcPr>
            <w:tcW w:w="1104" w:type="dxa"/>
            <w:vMerge/>
            <w:vAlign w:val="center"/>
          </w:tcPr>
          <w:p w:rsidR="00013EC7" w:rsidRDefault="00013EC7">
            <w:pPr>
              <w:rPr>
                <w:rFonts w:ascii="仿宋" w:eastAsia="仿宋" w:hAnsi="仿宋"/>
                <w:sz w:val="24"/>
                <w:highlight w:val="lightGray"/>
              </w:rPr>
            </w:pPr>
          </w:p>
        </w:tc>
        <w:tc>
          <w:tcPr>
            <w:tcW w:w="1476" w:type="dxa"/>
            <w:vMerge/>
            <w:vAlign w:val="center"/>
          </w:tcPr>
          <w:p w:rsidR="00013EC7" w:rsidRDefault="00013EC7">
            <w:pPr>
              <w:rPr>
                <w:rFonts w:ascii="仿宋" w:eastAsia="仿宋" w:hAnsi="仿宋"/>
                <w:sz w:val="24"/>
                <w:highlight w:val="lightGray"/>
              </w:rPr>
            </w:pPr>
          </w:p>
        </w:tc>
      </w:tr>
      <w:tr w:rsidR="00013EC7">
        <w:trPr>
          <w:trHeight w:val="2622"/>
          <w:jc w:val="center"/>
        </w:trPr>
        <w:tc>
          <w:tcPr>
            <w:tcW w:w="672" w:type="dxa"/>
            <w:vMerge/>
            <w:textDirection w:val="tbRlV"/>
            <w:vAlign w:val="center"/>
          </w:tcPr>
          <w:p w:rsidR="00013EC7" w:rsidRDefault="00013EC7">
            <w:pPr>
              <w:rPr>
                <w:rFonts w:ascii="仿宋" w:eastAsia="仿宋" w:hAnsi="仿宋"/>
                <w:sz w:val="24"/>
                <w:highlight w:val="lightGray"/>
              </w:rPr>
            </w:pPr>
          </w:p>
        </w:tc>
        <w:tc>
          <w:tcPr>
            <w:tcW w:w="1035" w:type="dxa"/>
            <w:vMerge/>
            <w:vAlign w:val="center"/>
          </w:tcPr>
          <w:p w:rsidR="00013EC7" w:rsidRDefault="00013EC7">
            <w:pPr>
              <w:rPr>
                <w:rFonts w:ascii="仿宋" w:eastAsia="仿宋" w:hAnsi="仿宋"/>
                <w:sz w:val="24"/>
                <w:highlight w:val="lightGray"/>
              </w:rPr>
            </w:pPr>
          </w:p>
        </w:tc>
        <w:tc>
          <w:tcPr>
            <w:tcW w:w="3345" w:type="dxa"/>
            <w:vMerge/>
            <w:vAlign w:val="center"/>
          </w:tcPr>
          <w:p w:rsidR="00013EC7" w:rsidRDefault="00013EC7">
            <w:pPr>
              <w:rPr>
                <w:rFonts w:ascii="仿宋" w:eastAsia="仿宋" w:hAnsi="仿宋"/>
                <w:sz w:val="24"/>
                <w:highlight w:val="lightGray"/>
              </w:rPr>
            </w:pPr>
          </w:p>
        </w:tc>
        <w:tc>
          <w:tcPr>
            <w:tcW w:w="3082" w:type="dxa"/>
            <w:vAlign w:val="center"/>
          </w:tcPr>
          <w:p w:rsidR="00013EC7" w:rsidRDefault="00575CDB">
            <w:pPr>
              <w:rPr>
                <w:rFonts w:ascii="仿宋" w:eastAsia="仿宋" w:hAnsi="仿宋"/>
                <w:sz w:val="24"/>
                <w:highlight w:val="lightGray"/>
              </w:rPr>
            </w:pPr>
            <w:r>
              <w:rPr>
                <w:rFonts w:ascii="仿宋" w:eastAsia="仿宋" w:hAnsi="仿宋" w:hint="eastAsia"/>
                <w:sz w:val="24"/>
                <w:highlight w:val="lightGray"/>
              </w:rPr>
              <w:t>（五）《海关进口消费税专用缴款书》。</w:t>
            </w:r>
          </w:p>
        </w:tc>
        <w:tc>
          <w:tcPr>
            <w:tcW w:w="1312" w:type="dxa"/>
            <w:shd w:val="clear" w:color="auto" w:fill="auto"/>
            <w:vAlign w:val="center"/>
          </w:tcPr>
          <w:p w:rsidR="00013EC7" w:rsidRDefault="00575CDB">
            <w:pPr>
              <w:rPr>
                <w:rFonts w:ascii="仿宋" w:eastAsia="仿宋" w:hAnsi="仿宋"/>
                <w:sz w:val="24"/>
              </w:rPr>
            </w:pPr>
            <w:r>
              <w:rPr>
                <w:rFonts w:ascii="仿宋" w:eastAsia="仿宋" w:hAnsi="仿宋" w:hint="eastAsia"/>
                <w:sz w:val="24"/>
              </w:rPr>
              <w:t>进口应税消费品连续生产应税消费品的纳税人留存备查</w:t>
            </w:r>
          </w:p>
        </w:tc>
        <w:tc>
          <w:tcPr>
            <w:tcW w:w="2693" w:type="dxa"/>
            <w:vAlign w:val="center"/>
          </w:tcPr>
          <w:p w:rsidR="00013EC7" w:rsidRDefault="00575CDB">
            <w:pPr>
              <w:rPr>
                <w:rFonts w:ascii="仿宋" w:eastAsia="仿宋" w:hAnsi="仿宋"/>
                <w:sz w:val="24"/>
              </w:rPr>
            </w:pPr>
            <w:r>
              <w:rPr>
                <w:rFonts w:ascii="仿宋" w:eastAsia="仿宋" w:hAnsi="仿宋" w:hint="eastAsia"/>
                <w:sz w:val="24"/>
              </w:rPr>
              <w:t>（五）《海关进口消费税专用缴款书》复印件（注明与原件一致并加盖公章）。</w:t>
            </w:r>
          </w:p>
        </w:tc>
        <w:tc>
          <w:tcPr>
            <w:tcW w:w="1276" w:type="dxa"/>
            <w:shd w:val="clear" w:color="auto" w:fill="auto"/>
            <w:vAlign w:val="center"/>
          </w:tcPr>
          <w:p w:rsidR="00013EC7" w:rsidRDefault="00575CDB">
            <w:pPr>
              <w:rPr>
                <w:rFonts w:ascii="仿宋" w:eastAsia="仿宋" w:hAnsi="仿宋"/>
                <w:sz w:val="24"/>
              </w:rPr>
            </w:pPr>
            <w:r>
              <w:rPr>
                <w:rFonts w:ascii="仿宋" w:eastAsia="仿宋" w:hAnsi="仿宋" w:hint="eastAsia"/>
                <w:sz w:val="24"/>
              </w:rPr>
              <w:t>进口应税消费品连续生产应税消费品的纳税人留存备查</w:t>
            </w:r>
          </w:p>
        </w:tc>
        <w:tc>
          <w:tcPr>
            <w:tcW w:w="2126" w:type="dxa"/>
            <w:vMerge/>
            <w:vAlign w:val="center"/>
          </w:tcPr>
          <w:p w:rsidR="00013EC7" w:rsidRDefault="00013EC7">
            <w:pPr>
              <w:rPr>
                <w:rFonts w:ascii="仿宋" w:eastAsia="仿宋" w:hAnsi="仿宋"/>
                <w:sz w:val="24"/>
                <w:highlight w:val="lightGray"/>
              </w:rPr>
            </w:pPr>
          </w:p>
        </w:tc>
        <w:tc>
          <w:tcPr>
            <w:tcW w:w="851" w:type="dxa"/>
            <w:vMerge/>
            <w:vAlign w:val="center"/>
          </w:tcPr>
          <w:p w:rsidR="00013EC7" w:rsidRDefault="00013EC7">
            <w:pPr>
              <w:rPr>
                <w:rFonts w:ascii="仿宋" w:eastAsia="仿宋" w:hAnsi="仿宋"/>
                <w:sz w:val="24"/>
                <w:highlight w:val="lightGray"/>
              </w:rPr>
            </w:pPr>
          </w:p>
        </w:tc>
        <w:tc>
          <w:tcPr>
            <w:tcW w:w="709" w:type="dxa"/>
            <w:vMerge/>
            <w:vAlign w:val="center"/>
          </w:tcPr>
          <w:p w:rsidR="00013EC7" w:rsidRDefault="00013EC7">
            <w:pPr>
              <w:rPr>
                <w:rFonts w:ascii="仿宋" w:eastAsia="仿宋" w:hAnsi="仿宋"/>
                <w:sz w:val="24"/>
                <w:highlight w:val="lightGray"/>
              </w:rPr>
            </w:pPr>
          </w:p>
        </w:tc>
        <w:tc>
          <w:tcPr>
            <w:tcW w:w="911" w:type="dxa"/>
            <w:vMerge/>
            <w:vAlign w:val="center"/>
          </w:tcPr>
          <w:p w:rsidR="00013EC7" w:rsidRDefault="00013EC7">
            <w:pPr>
              <w:rPr>
                <w:rFonts w:ascii="仿宋" w:eastAsia="仿宋" w:hAnsi="仿宋"/>
                <w:sz w:val="24"/>
                <w:highlight w:val="lightGray"/>
              </w:rPr>
            </w:pPr>
          </w:p>
        </w:tc>
        <w:tc>
          <w:tcPr>
            <w:tcW w:w="1104" w:type="dxa"/>
            <w:vMerge/>
            <w:vAlign w:val="center"/>
          </w:tcPr>
          <w:p w:rsidR="00013EC7" w:rsidRDefault="00013EC7">
            <w:pPr>
              <w:rPr>
                <w:rFonts w:ascii="仿宋" w:eastAsia="仿宋" w:hAnsi="仿宋"/>
                <w:sz w:val="24"/>
                <w:highlight w:val="lightGray"/>
              </w:rPr>
            </w:pPr>
          </w:p>
        </w:tc>
        <w:tc>
          <w:tcPr>
            <w:tcW w:w="1476" w:type="dxa"/>
            <w:vMerge/>
            <w:vAlign w:val="center"/>
          </w:tcPr>
          <w:p w:rsidR="00013EC7" w:rsidRDefault="00013EC7">
            <w:pPr>
              <w:rPr>
                <w:rFonts w:ascii="仿宋" w:eastAsia="仿宋" w:hAnsi="仿宋"/>
                <w:sz w:val="24"/>
                <w:highlight w:val="lightGray"/>
              </w:rPr>
            </w:pPr>
          </w:p>
        </w:tc>
      </w:tr>
    </w:tbl>
    <w:p w:rsidR="00013EC7" w:rsidRDefault="00013EC7"/>
    <w:p w:rsidR="00013EC7" w:rsidRDefault="005262E6">
      <w:pPr>
        <w:jc w:val="center"/>
      </w:pPr>
      <w:r>
        <w:object w:dxaOrig="1440" w:dyaOrig="1440">
          <v:shape id="_x0000_s1361" type="#_x0000_t75" style="position:absolute;left:0;text-align:left;margin-left:18.75pt;margin-top:112pt;width:482pt;height:574.5pt;z-index:251685888;mso-wrap-distance-top:0;mso-wrap-distance-bottom:0;mso-position-vertical-relative:page;mso-width-relative:page;mso-height-relative:page">
            <v:imagedata r:id="rId259" o:title=""/>
            <w10:wrap type="topAndBottom" anchory="page"/>
          </v:shape>
          <o:OLEObject Type="Embed" ProgID="Visio.Drawing.11" ShapeID="_x0000_s1361" DrawAspect="Content" ObjectID="_1577296242" r:id="rId260"/>
        </w:object>
      </w:r>
      <w:r>
        <w:rPr>
          <w:rFonts w:ascii="宋体" w:hAnsi="宋体" w:cs="宋体"/>
          <w:kern w:val="1"/>
          <w:szCs w:val="21"/>
        </w:rPr>
        <w:object w:dxaOrig="1440" w:dyaOrig="1440">
          <v:shape id="_x0000_s1362" type="#_x0000_t75" style="position:absolute;left:0;text-align:left;margin-left:600.95pt;margin-top:102.9pt;width:409.5pt;height:572.25pt;z-index:251686912;mso-wrap-distance-top:0;mso-wrap-distance-bottom:0;mso-position-vertical-relative:page;mso-width-relative:page;mso-height-relative:page">
            <v:imagedata r:id="rId261" o:title=""/>
            <o:lock v:ext="edit" aspectratio="f"/>
            <w10:wrap type="topAndBottom" anchory="page"/>
          </v:shape>
          <o:OLEObject Type="Embed" ProgID="Visio.Drawing.11" ShapeID="_x0000_s1362" DrawAspect="Content" ObjectID="_1577296243" r:id="rId262"/>
        </w:object>
      </w:r>
    </w:p>
    <w:p w:rsidR="00013EC7" w:rsidRDefault="00013EC7">
      <w:pPr>
        <w:rPr>
          <w:rFonts w:ascii="仿宋" w:eastAsia="仿宋" w:hAnsi="仿宋" w:cs="仿宋"/>
          <w:sz w:val="24"/>
        </w:rPr>
      </w:pPr>
    </w:p>
    <w:p w:rsidR="00013EC7" w:rsidRDefault="00013EC7"/>
    <w:p w:rsidR="00013EC7" w:rsidRDefault="00013EC7">
      <w:pPr>
        <w:rPr>
          <w:rFonts w:ascii="宋体" w:hAnsi="宋体"/>
          <w:sz w:val="28"/>
          <w:szCs w:val="28"/>
        </w:rPr>
        <w:sectPr w:rsidR="00013EC7">
          <w:pgSz w:w="23814" w:h="16840" w:orient="landscape"/>
          <w:pgMar w:top="1701" w:right="1843" w:bottom="1985" w:left="1843" w:header="851" w:footer="1701" w:gutter="0"/>
          <w:pgNumType w:fmt="numberInDash"/>
          <w:cols w:space="720"/>
          <w:docGrid w:type="lines" w:linePitch="312"/>
        </w:sectPr>
      </w:pPr>
    </w:p>
    <w:p w:rsidR="00013EC7" w:rsidRDefault="00575CDB">
      <w:pPr>
        <w:pStyle w:val="2"/>
      </w:pPr>
      <w:bookmarkStart w:id="335" w:name="_Toc503467431"/>
      <w:bookmarkStart w:id="336" w:name="_Toc26282"/>
      <w:bookmarkStart w:id="337" w:name="_Toc31862"/>
      <w:bookmarkStart w:id="338" w:name="_Toc15095"/>
      <w:r>
        <w:rPr>
          <w:rFonts w:hint="eastAsia"/>
        </w:rPr>
        <w:lastRenderedPageBreak/>
        <w:t>17.11</w:t>
      </w:r>
      <w:r>
        <w:rPr>
          <w:rFonts w:hint="eastAsia"/>
        </w:rPr>
        <w:t>居民企业所得税月（季）度预缴纳税申报（适用查账征收）</w:t>
      </w:r>
      <w:bookmarkEnd w:id="335"/>
      <w:bookmarkEnd w:id="336"/>
      <w:bookmarkEnd w:id="337"/>
      <w:bookmarkEnd w:id="338"/>
    </w:p>
    <w:p w:rsidR="00013EC7" w:rsidRDefault="00575CDB">
      <w:pPr>
        <w:jc w:val="center"/>
        <w:rPr>
          <w:rFonts w:ascii="宋体" w:hAnsi="宋体"/>
          <w:b/>
          <w:sz w:val="52"/>
          <w:szCs w:val="52"/>
        </w:rPr>
      </w:pPr>
      <w:r>
        <w:rPr>
          <w:rFonts w:ascii="宋体" w:hAnsi="宋体" w:hint="eastAsia"/>
          <w:b/>
          <w:sz w:val="52"/>
          <w:szCs w:val="52"/>
        </w:rPr>
        <w:t>全省“最多跑一次”事项“八统一”梳理表</w:t>
      </w:r>
    </w:p>
    <w:tbl>
      <w:tblPr>
        <w:tblW w:w="19845"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2622"/>
        <w:gridCol w:w="2494"/>
        <w:gridCol w:w="1400"/>
        <w:gridCol w:w="2409"/>
        <w:gridCol w:w="1418"/>
        <w:gridCol w:w="2591"/>
        <w:gridCol w:w="868"/>
        <w:gridCol w:w="935"/>
        <w:gridCol w:w="821"/>
        <w:gridCol w:w="1104"/>
        <w:gridCol w:w="1476"/>
      </w:tblGrid>
      <w:tr w:rsidR="00013EC7">
        <w:trPr>
          <w:trHeight w:val="340"/>
          <w:tblHeader/>
          <w:jc w:val="center"/>
        </w:trPr>
        <w:tc>
          <w:tcPr>
            <w:tcW w:w="672"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主项名称</w:t>
            </w:r>
          </w:p>
        </w:tc>
        <w:tc>
          <w:tcPr>
            <w:tcW w:w="1035"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子项名称</w:t>
            </w:r>
          </w:p>
        </w:tc>
        <w:tc>
          <w:tcPr>
            <w:tcW w:w="2622"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经办依据</w:t>
            </w:r>
          </w:p>
        </w:tc>
        <w:tc>
          <w:tcPr>
            <w:tcW w:w="3894"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原经办所需材料</w:t>
            </w:r>
          </w:p>
        </w:tc>
        <w:tc>
          <w:tcPr>
            <w:tcW w:w="6418" w:type="dxa"/>
            <w:gridSpan w:val="3"/>
            <w:vAlign w:val="center"/>
          </w:tcPr>
          <w:p w:rsidR="00013EC7" w:rsidRDefault="00575CDB">
            <w:pPr>
              <w:spacing w:line="280" w:lineRule="exact"/>
              <w:jc w:val="center"/>
              <w:rPr>
                <w:rFonts w:ascii="黑体" w:eastAsia="黑体"/>
                <w:sz w:val="24"/>
              </w:rPr>
            </w:pPr>
            <w:r>
              <w:rPr>
                <w:rFonts w:ascii="黑体" w:eastAsia="黑体" w:hint="eastAsia"/>
                <w:sz w:val="24"/>
              </w:rPr>
              <w:t>精简后经办所需材料</w:t>
            </w:r>
          </w:p>
        </w:tc>
        <w:tc>
          <w:tcPr>
            <w:tcW w:w="1803"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办理时限</w:t>
            </w:r>
          </w:p>
        </w:tc>
        <w:tc>
          <w:tcPr>
            <w:tcW w:w="821"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是否实现跑零次</w:t>
            </w:r>
          </w:p>
        </w:tc>
        <w:tc>
          <w:tcPr>
            <w:tcW w:w="1104"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责任处室</w:t>
            </w:r>
          </w:p>
          <w:p w:rsidR="00013EC7" w:rsidRDefault="00575CDB">
            <w:pPr>
              <w:spacing w:line="280" w:lineRule="exact"/>
              <w:jc w:val="center"/>
              <w:rPr>
                <w:rFonts w:ascii="黑体" w:eastAsia="黑体"/>
                <w:sz w:val="24"/>
              </w:rPr>
            </w:pPr>
            <w:r>
              <w:rPr>
                <w:rFonts w:ascii="黑体" w:eastAsia="黑体" w:hint="eastAsia"/>
                <w:sz w:val="24"/>
              </w:rPr>
              <w:t>（单位）</w:t>
            </w:r>
          </w:p>
        </w:tc>
        <w:tc>
          <w:tcPr>
            <w:tcW w:w="1476"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进一步精简、</w:t>
            </w:r>
          </w:p>
          <w:p w:rsidR="00013EC7" w:rsidRDefault="00575CDB">
            <w:pPr>
              <w:spacing w:line="280" w:lineRule="exact"/>
              <w:jc w:val="center"/>
              <w:rPr>
                <w:rFonts w:ascii="黑体" w:eastAsia="黑体"/>
                <w:sz w:val="24"/>
              </w:rPr>
            </w:pPr>
            <w:r>
              <w:rPr>
                <w:rFonts w:ascii="黑体" w:eastAsia="黑体" w:hint="eastAsia"/>
                <w:sz w:val="24"/>
              </w:rPr>
              <w:t>规范建议</w:t>
            </w:r>
          </w:p>
        </w:tc>
      </w:tr>
      <w:tr w:rsidR="00013EC7">
        <w:trPr>
          <w:trHeight w:val="90"/>
          <w:tblHeader/>
          <w:jc w:val="center"/>
        </w:trPr>
        <w:tc>
          <w:tcPr>
            <w:tcW w:w="672" w:type="dxa"/>
            <w:vMerge/>
            <w:vAlign w:val="center"/>
          </w:tcPr>
          <w:p w:rsidR="00013EC7" w:rsidRDefault="00013EC7">
            <w:pPr>
              <w:jc w:val="center"/>
              <w:rPr>
                <w:sz w:val="24"/>
              </w:rPr>
            </w:pPr>
          </w:p>
        </w:tc>
        <w:tc>
          <w:tcPr>
            <w:tcW w:w="1035" w:type="dxa"/>
            <w:vMerge/>
            <w:vAlign w:val="center"/>
          </w:tcPr>
          <w:p w:rsidR="00013EC7" w:rsidRDefault="00013EC7">
            <w:pPr>
              <w:jc w:val="center"/>
              <w:rPr>
                <w:sz w:val="24"/>
              </w:rPr>
            </w:pPr>
          </w:p>
        </w:tc>
        <w:tc>
          <w:tcPr>
            <w:tcW w:w="2622" w:type="dxa"/>
            <w:vMerge/>
            <w:vAlign w:val="center"/>
          </w:tcPr>
          <w:p w:rsidR="00013EC7" w:rsidRDefault="00013EC7">
            <w:pPr>
              <w:jc w:val="center"/>
              <w:rPr>
                <w:sz w:val="24"/>
              </w:rPr>
            </w:pPr>
          </w:p>
        </w:tc>
        <w:tc>
          <w:tcPr>
            <w:tcW w:w="2494" w:type="dxa"/>
            <w:tcBorders>
              <w:bottom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400"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2409" w:type="dxa"/>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418"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2591" w:type="dxa"/>
            <w:vAlign w:val="center"/>
          </w:tcPr>
          <w:p w:rsidR="00013EC7" w:rsidRDefault="00575CDB">
            <w:pPr>
              <w:spacing w:line="280" w:lineRule="exact"/>
              <w:jc w:val="center"/>
              <w:rPr>
                <w:rFonts w:ascii="黑体" w:eastAsia="黑体"/>
                <w:sz w:val="24"/>
              </w:rPr>
            </w:pPr>
            <w:r>
              <w:rPr>
                <w:rFonts w:ascii="黑体" w:eastAsia="黑体" w:hint="eastAsia"/>
                <w:sz w:val="24"/>
              </w:rPr>
              <w:t>办理方式及材料</w:t>
            </w:r>
          </w:p>
          <w:p w:rsidR="00013EC7" w:rsidRDefault="00575CDB">
            <w:pPr>
              <w:spacing w:line="280" w:lineRule="exact"/>
              <w:jc w:val="center"/>
              <w:rPr>
                <w:rFonts w:ascii="黑体" w:eastAsia="黑体"/>
                <w:sz w:val="24"/>
              </w:rPr>
            </w:pPr>
            <w:r>
              <w:rPr>
                <w:rFonts w:ascii="黑体" w:eastAsia="黑体" w:hint="eastAsia"/>
                <w:sz w:val="24"/>
              </w:rPr>
              <w:t>信息获取方式说明</w:t>
            </w:r>
          </w:p>
        </w:tc>
        <w:tc>
          <w:tcPr>
            <w:tcW w:w="868" w:type="dxa"/>
            <w:vAlign w:val="center"/>
          </w:tcPr>
          <w:p w:rsidR="00013EC7" w:rsidRDefault="00575CDB">
            <w:pPr>
              <w:spacing w:line="280" w:lineRule="exact"/>
              <w:jc w:val="center"/>
              <w:rPr>
                <w:rFonts w:ascii="黑体" w:eastAsia="黑体"/>
                <w:sz w:val="24"/>
              </w:rPr>
            </w:pPr>
            <w:r>
              <w:rPr>
                <w:rFonts w:ascii="黑体" w:eastAsia="黑体" w:hint="eastAsia"/>
                <w:sz w:val="24"/>
              </w:rPr>
              <w:t>优化前</w:t>
            </w:r>
          </w:p>
        </w:tc>
        <w:tc>
          <w:tcPr>
            <w:tcW w:w="935" w:type="dxa"/>
            <w:vAlign w:val="center"/>
          </w:tcPr>
          <w:p w:rsidR="00013EC7" w:rsidRDefault="00575CDB">
            <w:pPr>
              <w:spacing w:line="280" w:lineRule="exact"/>
              <w:jc w:val="center"/>
              <w:rPr>
                <w:rFonts w:ascii="黑体" w:eastAsia="黑体"/>
                <w:sz w:val="24"/>
              </w:rPr>
            </w:pPr>
            <w:r>
              <w:rPr>
                <w:rFonts w:ascii="黑体" w:eastAsia="黑体" w:hint="eastAsia"/>
                <w:sz w:val="24"/>
              </w:rPr>
              <w:t>优化后</w:t>
            </w:r>
          </w:p>
        </w:tc>
        <w:tc>
          <w:tcPr>
            <w:tcW w:w="821" w:type="dxa"/>
            <w:vMerge/>
            <w:vAlign w:val="center"/>
          </w:tcPr>
          <w:p w:rsidR="00013EC7" w:rsidRDefault="00013EC7">
            <w:pPr>
              <w:jc w:val="center"/>
            </w:pPr>
          </w:p>
        </w:tc>
        <w:tc>
          <w:tcPr>
            <w:tcW w:w="1104" w:type="dxa"/>
            <w:vMerge/>
            <w:vAlign w:val="center"/>
          </w:tcPr>
          <w:p w:rsidR="00013EC7" w:rsidRDefault="00013EC7">
            <w:pPr>
              <w:jc w:val="center"/>
            </w:pPr>
          </w:p>
        </w:tc>
        <w:tc>
          <w:tcPr>
            <w:tcW w:w="1476" w:type="dxa"/>
            <w:vMerge/>
            <w:vAlign w:val="center"/>
          </w:tcPr>
          <w:p w:rsidR="00013EC7" w:rsidRDefault="00013EC7">
            <w:pPr>
              <w:jc w:val="center"/>
            </w:pPr>
          </w:p>
        </w:tc>
      </w:tr>
      <w:tr w:rsidR="00013EC7">
        <w:trPr>
          <w:trHeight w:val="1475"/>
          <w:jc w:val="center"/>
        </w:trPr>
        <w:tc>
          <w:tcPr>
            <w:tcW w:w="672" w:type="dxa"/>
            <w:vMerge w:val="restart"/>
            <w:vAlign w:val="center"/>
          </w:tcPr>
          <w:p w:rsidR="00013EC7" w:rsidRDefault="00575CDB">
            <w:pPr>
              <w:spacing w:line="300" w:lineRule="exact"/>
              <w:rPr>
                <w:rFonts w:ascii="仿宋" w:eastAsia="仿宋" w:hAnsi="仿宋"/>
                <w:sz w:val="24"/>
              </w:rPr>
            </w:pPr>
            <w:r>
              <w:rPr>
                <w:rFonts w:ascii="仿宋" w:eastAsia="仿宋" w:hAnsi="仿宋"/>
                <w:sz w:val="24"/>
              </w:rPr>
              <w:t>1</w:t>
            </w:r>
            <w:r>
              <w:rPr>
                <w:rFonts w:ascii="仿宋" w:eastAsia="仿宋" w:hAnsi="仿宋" w:hint="eastAsia"/>
                <w:sz w:val="24"/>
              </w:rPr>
              <w:t>7</w:t>
            </w:r>
            <w:r>
              <w:rPr>
                <w:rFonts w:ascii="仿宋" w:eastAsia="仿宋" w:hAnsi="仿宋"/>
                <w:sz w:val="24"/>
              </w:rPr>
              <w:t>日常税费申报</w:t>
            </w:r>
          </w:p>
        </w:tc>
        <w:tc>
          <w:tcPr>
            <w:tcW w:w="1035" w:type="dxa"/>
            <w:vMerge w:val="restart"/>
            <w:vAlign w:val="center"/>
          </w:tcPr>
          <w:p w:rsidR="00013EC7" w:rsidRDefault="00575CDB">
            <w:pPr>
              <w:spacing w:line="300" w:lineRule="exact"/>
              <w:rPr>
                <w:rFonts w:ascii="仿宋" w:eastAsia="仿宋" w:hAnsi="仿宋"/>
                <w:sz w:val="24"/>
              </w:rPr>
            </w:pPr>
            <w:r>
              <w:rPr>
                <w:rFonts w:ascii="仿宋" w:eastAsia="仿宋" w:hAnsi="仿宋"/>
                <w:sz w:val="24"/>
              </w:rPr>
              <w:t>1</w:t>
            </w:r>
            <w:r>
              <w:rPr>
                <w:rFonts w:ascii="仿宋" w:eastAsia="仿宋" w:hAnsi="仿宋" w:hint="eastAsia"/>
                <w:sz w:val="24"/>
              </w:rPr>
              <w:t>7</w:t>
            </w:r>
            <w:r>
              <w:rPr>
                <w:rFonts w:ascii="仿宋" w:eastAsia="仿宋" w:hAnsi="仿宋"/>
                <w:sz w:val="24"/>
              </w:rPr>
              <w:t>.11居民企业所得税月（季）度预缴纳税申报（适用查账征收）</w:t>
            </w:r>
          </w:p>
        </w:tc>
        <w:tc>
          <w:tcPr>
            <w:tcW w:w="2622" w:type="dxa"/>
            <w:vMerge w:val="restart"/>
            <w:vAlign w:val="center"/>
          </w:tcPr>
          <w:p w:rsidR="00013EC7" w:rsidRDefault="00575CDB">
            <w:pPr>
              <w:rPr>
                <w:rFonts w:ascii="仿宋" w:eastAsia="仿宋" w:hAnsi="仿宋"/>
                <w:sz w:val="24"/>
              </w:rPr>
            </w:pPr>
            <w:r>
              <w:rPr>
                <w:rFonts w:ascii="仿宋" w:eastAsia="仿宋" w:hAnsi="仿宋" w:hint="eastAsia"/>
                <w:sz w:val="24"/>
              </w:rPr>
              <w:t>（一）《全国人民代表大会常务委员会关于修改〈中华人民共和国企业所得税法〉的决定》（2017年中华人民共和国主席令第64号）第五十四条</w:t>
            </w:r>
            <w:r>
              <w:rPr>
                <w:rFonts w:ascii="仿宋" w:eastAsia="仿宋" w:hAnsi="仿宋"/>
                <w:sz w:val="24"/>
              </w:rPr>
              <w:t>。</w:t>
            </w:r>
          </w:p>
          <w:p w:rsidR="00013EC7" w:rsidRDefault="00575CDB">
            <w:pPr>
              <w:rPr>
                <w:rFonts w:ascii="仿宋" w:eastAsia="仿宋" w:hAnsi="仿宋"/>
                <w:sz w:val="24"/>
              </w:rPr>
            </w:pPr>
            <w:r>
              <w:rPr>
                <w:rFonts w:ascii="仿宋" w:eastAsia="仿宋" w:hAnsi="仿宋" w:hint="eastAsia"/>
                <w:sz w:val="24"/>
              </w:rPr>
              <w:t>（二）</w:t>
            </w:r>
            <w:r>
              <w:rPr>
                <w:rFonts w:ascii="仿宋" w:eastAsia="仿宋" w:hAnsi="仿宋"/>
                <w:sz w:val="24"/>
              </w:rPr>
              <w:t>《中华人民共和国企业所得税法实施条例》</w:t>
            </w:r>
            <w:r>
              <w:rPr>
                <w:rFonts w:ascii="仿宋" w:eastAsia="仿宋" w:hAnsi="仿宋" w:hint="eastAsia"/>
                <w:sz w:val="24"/>
              </w:rPr>
              <w:t>（2007年中华人民共和国国务院令第512号）第一百二十八条、第一百二十九条、第一百三十条</w:t>
            </w:r>
            <w:r>
              <w:rPr>
                <w:rFonts w:ascii="仿宋" w:eastAsia="仿宋" w:hAnsi="仿宋"/>
                <w:sz w:val="24"/>
              </w:rPr>
              <w:t>。</w:t>
            </w:r>
          </w:p>
          <w:p w:rsidR="00013EC7" w:rsidRDefault="00575CDB">
            <w:pPr>
              <w:rPr>
                <w:rFonts w:ascii="仿宋" w:eastAsia="仿宋" w:hAnsi="仿宋"/>
                <w:sz w:val="24"/>
              </w:rPr>
            </w:pPr>
            <w:r>
              <w:rPr>
                <w:rFonts w:ascii="仿宋" w:eastAsia="仿宋" w:hAnsi="仿宋" w:hint="eastAsia"/>
                <w:sz w:val="24"/>
              </w:rPr>
              <w:t>（三）</w:t>
            </w:r>
            <w:r>
              <w:rPr>
                <w:rFonts w:ascii="仿宋" w:eastAsia="仿宋" w:hAnsi="仿宋"/>
                <w:sz w:val="24"/>
              </w:rPr>
              <w:t>《国家税务总局关于印发&lt;跨地区经营汇总纳税企业所得税征收管理办法&gt;的公告》（国家税务总局公告2012年第57号）</w:t>
            </w:r>
            <w:r>
              <w:rPr>
                <w:rFonts w:ascii="仿宋" w:eastAsia="仿宋" w:hAnsi="仿宋" w:hint="eastAsia"/>
                <w:sz w:val="24"/>
              </w:rPr>
              <w:t>第七条、第八条、第九条</w:t>
            </w:r>
            <w:r>
              <w:rPr>
                <w:rFonts w:ascii="仿宋" w:eastAsia="仿宋" w:hAnsi="仿宋"/>
                <w:sz w:val="24"/>
              </w:rPr>
              <w:t>。</w:t>
            </w:r>
          </w:p>
          <w:p w:rsidR="00013EC7" w:rsidRDefault="00575CDB">
            <w:pPr>
              <w:rPr>
                <w:rFonts w:ascii="仿宋" w:eastAsia="仿宋" w:hAnsi="仿宋"/>
                <w:sz w:val="24"/>
              </w:rPr>
            </w:pPr>
            <w:r>
              <w:rPr>
                <w:rFonts w:ascii="仿宋" w:eastAsia="仿宋" w:hAnsi="仿宋" w:hint="eastAsia"/>
                <w:sz w:val="24"/>
              </w:rPr>
              <w:t>（四）</w:t>
            </w:r>
            <w:r>
              <w:rPr>
                <w:rFonts w:ascii="仿宋" w:eastAsia="仿宋" w:hAnsi="仿宋"/>
                <w:sz w:val="24"/>
              </w:rPr>
              <w:t>《国家税务总局关于发布</w:t>
            </w:r>
            <w:r>
              <w:rPr>
                <w:rFonts w:ascii="仿宋" w:eastAsia="仿宋" w:hAnsi="仿宋" w:hint="eastAsia"/>
                <w:sz w:val="24"/>
              </w:rPr>
              <w:t>&lt;</w:t>
            </w:r>
            <w:r>
              <w:rPr>
                <w:rFonts w:ascii="仿宋" w:eastAsia="仿宋" w:hAnsi="仿宋"/>
                <w:sz w:val="24"/>
              </w:rPr>
              <w:t>中华人民共和国企业所得税月（季）度预缴纳税申报表（2015年版）等报表</w:t>
            </w:r>
            <w:r>
              <w:rPr>
                <w:rFonts w:ascii="仿宋" w:eastAsia="仿宋" w:hAnsi="仿宋" w:hint="eastAsia"/>
                <w:sz w:val="24"/>
              </w:rPr>
              <w:t>&gt;</w:t>
            </w:r>
            <w:r>
              <w:rPr>
                <w:rFonts w:ascii="仿宋" w:eastAsia="仿宋" w:hAnsi="仿宋"/>
                <w:sz w:val="24"/>
              </w:rPr>
              <w:t>的公告》（国家税务总局公告 2015年第31号）</w:t>
            </w:r>
            <w:r>
              <w:rPr>
                <w:rFonts w:ascii="仿宋" w:eastAsia="仿宋" w:hAnsi="仿宋" w:hint="eastAsia"/>
                <w:sz w:val="24"/>
              </w:rPr>
              <w:t>全文</w:t>
            </w:r>
            <w:r>
              <w:rPr>
                <w:rFonts w:ascii="仿宋" w:eastAsia="仿宋" w:hAnsi="仿宋"/>
                <w:sz w:val="24"/>
              </w:rPr>
              <w:t>。</w:t>
            </w:r>
          </w:p>
          <w:p w:rsidR="00013EC7" w:rsidRDefault="00575CDB">
            <w:pPr>
              <w:rPr>
                <w:rFonts w:ascii="仿宋" w:eastAsia="仿宋" w:hAnsi="仿宋"/>
                <w:sz w:val="24"/>
              </w:rPr>
            </w:pPr>
            <w:r>
              <w:rPr>
                <w:rFonts w:ascii="仿宋" w:eastAsia="仿宋" w:hAnsi="仿宋" w:hint="eastAsia"/>
                <w:sz w:val="24"/>
              </w:rPr>
              <w:t>（五）</w:t>
            </w:r>
            <w:r>
              <w:rPr>
                <w:rFonts w:ascii="仿宋" w:eastAsia="仿宋" w:hAnsi="仿宋"/>
                <w:sz w:val="24"/>
              </w:rPr>
              <w:t>《国家税务总局关于居民企业报告境外投资和所得信息有关问题的公告》（国家税务总局</w:t>
            </w:r>
            <w:r>
              <w:rPr>
                <w:rFonts w:ascii="仿宋" w:eastAsia="仿宋" w:hAnsi="仿宋"/>
                <w:sz w:val="24"/>
              </w:rPr>
              <w:lastRenderedPageBreak/>
              <w:t>公告2014年第38号）</w:t>
            </w:r>
            <w:r>
              <w:rPr>
                <w:rFonts w:ascii="仿宋" w:eastAsia="仿宋" w:hAnsi="仿宋" w:hint="eastAsia"/>
                <w:sz w:val="24"/>
              </w:rPr>
              <w:t>第一条</w:t>
            </w:r>
            <w:r>
              <w:rPr>
                <w:rFonts w:ascii="仿宋" w:eastAsia="仿宋" w:hAnsi="仿宋"/>
                <w:sz w:val="24"/>
              </w:rPr>
              <w:t>。</w:t>
            </w:r>
          </w:p>
          <w:p w:rsidR="00013EC7" w:rsidRDefault="00575CDB">
            <w:pPr>
              <w:rPr>
                <w:rFonts w:ascii="仿宋" w:eastAsia="仿宋" w:hAnsi="仿宋"/>
                <w:sz w:val="24"/>
              </w:rPr>
            </w:pPr>
            <w:r>
              <w:rPr>
                <w:rFonts w:ascii="仿宋" w:eastAsia="仿宋" w:hAnsi="仿宋" w:hint="eastAsia"/>
                <w:sz w:val="24"/>
              </w:rPr>
              <w:t>（六）</w:t>
            </w:r>
            <w:r>
              <w:rPr>
                <w:rFonts w:ascii="仿宋" w:eastAsia="仿宋" w:hAnsi="仿宋"/>
                <w:sz w:val="24"/>
              </w:rPr>
              <w:t>《国家税务总局关于跨地区经营建筑企业所得税征收管理问题的通知</w:t>
            </w:r>
            <w:r>
              <w:rPr>
                <w:rFonts w:ascii="仿宋" w:eastAsia="仿宋" w:hAnsi="仿宋" w:hint="eastAsia"/>
                <w:sz w:val="24"/>
              </w:rPr>
              <w:t>》</w:t>
            </w:r>
            <w:r>
              <w:rPr>
                <w:rFonts w:ascii="仿宋" w:eastAsia="仿宋" w:hAnsi="仿宋"/>
                <w:sz w:val="24"/>
              </w:rPr>
              <w:t>（国税函〔2010〕156号）</w:t>
            </w:r>
            <w:r>
              <w:rPr>
                <w:rFonts w:ascii="仿宋" w:eastAsia="仿宋" w:hAnsi="仿宋" w:hint="eastAsia"/>
                <w:sz w:val="24"/>
              </w:rPr>
              <w:t>第二条、第三条</w:t>
            </w:r>
            <w:r>
              <w:rPr>
                <w:rFonts w:ascii="仿宋" w:eastAsia="仿宋" w:hAnsi="仿宋"/>
                <w:sz w:val="24"/>
              </w:rPr>
              <w:t>。</w:t>
            </w:r>
          </w:p>
          <w:p w:rsidR="00013EC7" w:rsidRDefault="00575CDB">
            <w:pPr>
              <w:rPr>
                <w:rFonts w:ascii="仿宋" w:eastAsia="仿宋" w:hAnsi="仿宋"/>
                <w:sz w:val="24"/>
              </w:rPr>
            </w:pPr>
            <w:r>
              <w:rPr>
                <w:rFonts w:ascii="仿宋" w:eastAsia="仿宋" w:hAnsi="仿宋" w:hint="eastAsia"/>
                <w:sz w:val="24"/>
              </w:rPr>
              <w:t>（七）</w:t>
            </w:r>
            <w:r>
              <w:rPr>
                <w:rFonts w:ascii="仿宋" w:eastAsia="仿宋" w:hAnsi="仿宋"/>
                <w:sz w:val="24"/>
              </w:rPr>
              <w:t>《国家税务总局关于合理简并纳税人申报缴税次数的公告》（国家税务总局公告 2016 年第6号）</w:t>
            </w:r>
            <w:r>
              <w:rPr>
                <w:rFonts w:ascii="仿宋" w:eastAsia="仿宋" w:hAnsi="仿宋" w:hint="eastAsia"/>
                <w:sz w:val="24"/>
              </w:rPr>
              <w:t>第三条</w:t>
            </w:r>
            <w:r>
              <w:rPr>
                <w:rFonts w:ascii="仿宋" w:eastAsia="仿宋" w:hAnsi="仿宋"/>
                <w:sz w:val="24"/>
              </w:rPr>
              <w:t>。</w:t>
            </w:r>
          </w:p>
          <w:p w:rsidR="00013EC7" w:rsidRDefault="00575CDB">
            <w:pPr>
              <w:rPr>
                <w:rFonts w:ascii="仿宋" w:eastAsia="仿宋" w:hAnsi="仿宋"/>
                <w:sz w:val="24"/>
              </w:rPr>
            </w:pPr>
            <w:r>
              <w:rPr>
                <w:rFonts w:ascii="仿宋" w:eastAsia="仿宋" w:hAnsi="仿宋" w:hint="eastAsia"/>
                <w:sz w:val="24"/>
              </w:rPr>
              <w:t>（八）</w:t>
            </w:r>
            <w:r>
              <w:rPr>
                <w:rFonts w:ascii="仿宋" w:eastAsia="仿宋" w:hAnsi="仿宋"/>
                <w:sz w:val="24"/>
              </w:rPr>
              <w:t>《国家税务总局关于修改企业所得税月（季）度预缴纳税申报表的公告》（国家税务总局公告 2015 年第79号）</w:t>
            </w:r>
            <w:r>
              <w:rPr>
                <w:rFonts w:ascii="仿宋" w:eastAsia="仿宋" w:hAnsi="仿宋" w:hint="eastAsia"/>
                <w:sz w:val="24"/>
              </w:rPr>
              <w:t>全文</w:t>
            </w:r>
            <w:r>
              <w:rPr>
                <w:rFonts w:ascii="仿宋" w:eastAsia="仿宋" w:hAnsi="仿宋"/>
                <w:sz w:val="24"/>
              </w:rPr>
              <w:t>。</w:t>
            </w:r>
          </w:p>
          <w:p w:rsidR="00013EC7" w:rsidRDefault="00575CDB">
            <w:pPr>
              <w:rPr>
                <w:rFonts w:ascii="仿宋" w:eastAsia="仿宋" w:hAnsi="仿宋"/>
                <w:sz w:val="24"/>
              </w:rPr>
            </w:pPr>
            <w:r>
              <w:rPr>
                <w:rFonts w:ascii="仿宋" w:eastAsia="仿宋" w:hAnsi="仿宋" w:hint="eastAsia"/>
                <w:sz w:val="24"/>
              </w:rPr>
              <w:t>（九）</w:t>
            </w:r>
            <w:r>
              <w:rPr>
                <w:rFonts w:ascii="仿宋" w:eastAsia="仿宋" w:hAnsi="仿宋"/>
                <w:sz w:val="24"/>
              </w:rPr>
              <w:t>《国家税务总局关于加快推行办税事项同城通办的通知》（税总发〔2016〕46 号）</w:t>
            </w:r>
            <w:r>
              <w:rPr>
                <w:rFonts w:ascii="仿宋" w:eastAsia="仿宋" w:hAnsi="仿宋" w:hint="eastAsia"/>
                <w:sz w:val="24"/>
              </w:rPr>
              <w:t>附件</w:t>
            </w:r>
            <w:r>
              <w:rPr>
                <w:rFonts w:ascii="仿宋" w:eastAsia="仿宋" w:hAnsi="仿宋"/>
                <w:sz w:val="24"/>
              </w:rPr>
              <w:t>。</w:t>
            </w:r>
          </w:p>
          <w:p w:rsidR="00013EC7" w:rsidRDefault="00575CDB">
            <w:pPr>
              <w:rPr>
                <w:rFonts w:ascii="仿宋" w:eastAsia="仿宋" w:hAnsi="仿宋"/>
                <w:sz w:val="24"/>
              </w:rPr>
            </w:pPr>
            <w:r>
              <w:rPr>
                <w:rFonts w:ascii="仿宋" w:eastAsia="仿宋" w:hAnsi="仿宋" w:hint="eastAsia"/>
                <w:sz w:val="24"/>
              </w:rPr>
              <w:t>（十）《浙江省国家税务局 浙江省地方税务局关于省内跨市、县经营汇总纳税企业所得税征管问题的公告》（浙江省国家税务局 浙江省地方税务局公告2013年第3号）全文</w:t>
            </w:r>
            <w:r>
              <w:rPr>
                <w:rFonts w:ascii="仿宋" w:eastAsia="仿宋" w:hAnsi="仿宋"/>
                <w:sz w:val="24"/>
              </w:rPr>
              <w:t>。</w:t>
            </w:r>
          </w:p>
        </w:tc>
        <w:tc>
          <w:tcPr>
            <w:tcW w:w="2494" w:type="dxa"/>
            <w:tcBorders>
              <w:top w:val="single" w:sz="4" w:space="0" w:color="auto"/>
              <w:bottom w:val="single" w:sz="4" w:space="0" w:color="auto"/>
            </w:tcBorders>
            <w:vAlign w:val="center"/>
          </w:tcPr>
          <w:p w:rsidR="00013EC7" w:rsidRDefault="00575CDB">
            <w:pPr>
              <w:spacing w:line="300" w:lineRule="exact"/>
              <w:rPr>
                <w:rFonts w:ascii="仿宋" w:eastAsia="仿宋" w:hAnsi="仿宋"/>
                <w:sz w:val="24"/>
              </w:rPr>
            </w:pPr>
            <w:r>
              <w:rPr>
                <w:rFonts w:ascii="仿宋" w:eastAsia="仿宋" w:hAnsi="仿宋" w:hint="eastAsia"/>
                <w:sz w:val="24"/>
              </w:rPr>
              <w:lastRenderedPageBreak/>
              <w:t>（一）（</w:t>
            </w:r>
            <w:r>
              <w:rPr>
                <w:rFonts w:ascii="仿宋" w:eastAsia="仿宋" w:hAnsi="仿宋"/>
                <w:sz w:val="24"/>
              </w:rPr>
              <w:t>A06635</w:t>
            </w:r>
            <w:r>
              <w:rPr>
                <w:rFonts w:ascii="仿宋" w:eastAsia="仿宋" w:hAnsi="仿宋" w:hint="eastAsia"/>
                <w:sz w:val="24"/>
              </w:rPr>
              <w:t>）《中华人民共和国企业所得税月（季）度预缴纳税申报表（</w:t>
            </w:r>
            <w:r>
              <w:rPr>
                <w:rFonts w:ascii="仿宋" w:eastAsia="仿宋" w:hAnsi="仿宋"/>
                <w:sz w:val="24"/>
              </w:rPr>
              <w:t>A</w:t>
            </w:r>
            <w:r>
              <w:rPr>
                <w:rFonts w:ascii="仿宋" w:eastAsia="仿宋" w:hAnsi="仿宋" w:hint="eastAsia"/>
                <w:sz w:val="24"/>
              </w:rPr>
              <w:t>类，</w:t>
            </w:r>
            <w:r>
              <w:rPr>
                <w:rFonts w:ascii="仿宋" w:eastAsia="仿宋" w:hAnsi="仿宋"/>
                <w:sz w:val="24"/>
              </w:rPr>
              <w:t>2015</w:t>
            </w:r>
            <w:r>
              <w:rPr>
                <w:rFonts w:ascii="仿宋" w:eastAsia="仿宋" w:hAnsi="仿宋" w:hint="eastAsia"/>
                <w:sz w:val="24"/>
              </w:rPr>
              <w:t>年版）》及附表</w:t>
            </w:r>
            <w:r>
              <w:rPr>
                <w:rFonts w:ascii="仿宋" w:eastAsia="仿宋" w:hAnsi="仿宋" w:hint="eastAsia"/>
                <w:sz w:val="24"/>
                <w:highlight w:val="lightGray"/>
              </w:rPr>
              <w:t>3份</w:t>
            </w:r>
            <w:r>
              <w:rPr>
                <w:rFonts w:ascii="仿宋" w:eastAsia="仿宋" w:hAnsi="仿宋" w:hint="eastAsia"/>
                <w:sz w:val="24"/>
              </w:rPr>
              <w:t>。</w:t>
            </w:r>
          </w:p>
        </w:tc>
        <w:tc>
          <w:tcPr>
            <w:tcW w:w="1400" w:type="dxa"/>
            <w:vAlign w:val="center"/>
          </w:tcPr>
          <w:p w:rsidR="00013EC7" w:rsidRDefault="00575CDB">
            <w:pPr>
              <w:spacing w:line="300" w:lineRule="exact"/>
              <w:rPr>
                <w:rFonts w:ascii="仿宋" w:eastAsia="仿宋" w:hAnsi="仿宋"/>
                <w:sz w:val="24"/>
              </w:rPr>
            </w:pPr>
            <w:r>
              <w:rPr>
                <w:rFonts w:ascii="仿宋" w:eastAsia="仿宋" w:hAnsi="仿宋" w:hint="eastAsia"/>
                <w:sz w:val="24"/>
              </w:rPr>
              <w:t>纳税人提交</w:t>
            </w:r>
          </w:p>
        </w:tc>
        <w:tc>
          <w:tcPr>
            <w:tcW w:w="2409" w:type="dxa"/>
            <w:vAlign w:val="center"/>
          </w:tcPr>
          <w:p w:rsidR="00013EC7" w:rsidRDefault="00575CDB">
            <w:pPr>
              <w:spacing w:line="300" w:lineRule="exact"/>
              <w:rPr>
                <w:rFonts w:ascii="仿宋" w:eastAsia="仿宋" w:hAnsi="仿宋"/>
                <w:sz w:val="24"/>
              </w:rPr>
            </w:pPr>
            <w:r>
              <w:rPr>
                <w:rFonts w:ascii="仿宋" w:eastAsia="仿宋" w:hAnsi="仿宋" w:hint="eastAsia"/>
                <w:sz w:val="24"/>
              </w:rPr>
              <w:t>（一）（A06635）《中华人民共和国企业所得税月（季）度预缴纳税申报表（A类，2015年版）》及附表1份。</w:t>
            </w:r>
          </w:p>
        </w:tc>
        <w:tc>
          <w:tcPr>
            <w:tcW w:w="1418" w:type="dxa"/>
            <w:vAlign w:val="center"/>
          </w:tcPr>
          <w:p w:rsidR="00013EC7" w:rsidRDefault="00575CDB">
            <w:pPr>
              <w:spacing w:line="300" w:lineRule="exact"/>
              <w:rPr>
                <w:rFonts w:ascii="仿宋" w:eastAsia="仿宋" w:hAnsi="仿宋"/>
                <w:i/>
                <w:iCs/>
                <w:sz w:val="24"/>
              </w:rPr>
            </w:pPr>
            <w:r>
              <w:rPr>
                <w:rFonts w:ascii="仿宋" w:eastAsia="仿宋" w:hAnsi="仿宋" w:hint="eastAsia"/>
                <w:sz w:val="24"/>
              </w:rPr>
              <w:t>纳税人提交</w:t>
            </w:r>
          </w:p>
        </w:tc>
        <w:tc>
          <w:tcPr>
            <w:tcW w:w="2591" w:type="dxa"/>
            <w:vMerge w:val="restart"/>
            <w:vAlign w:val="center"/>
          </w:tcPr>
          <w:p w:rsidR="00013EC7" w:rsidRDefault="00575CDB">
            <w:pPr>
              <w:spacing w:line="300" w:lineRule="exact"/>
              <w:rPr>
                <w:rFonts w:ascii="仿宋" w:eastAsia="仿宋" w:hAnsi="仿宋"/>
                <w:sz w:val="24"/>
              </w:rPr>
            </w:pPr>
            <w:r>
              <w:rPr>
                <w:rFonts w:ascii="仿宋" w:eastAsia="仿宋" w:hAnsi="仿宋"/>
                <w:b/>
                <w:sz w:val="24"/>
              </w:rPr>
              <w:t>现场办理：</w:t>
            </w:r>
            <w:r>
              <w:rPr>
                <w:rFonts w:ascii="仿宋" w:eastAsia="仿宋" w:hAnsi="仿宋" w:hint="eastAsia"/>
                <w:bCs/>
                <w:sz w:val="24"/>
              </w:rPr>
              <w:t>纳税人</w:t>
            </w:r>
            <w:r>
              <w:rPr>
                <w:rFonts w:ascii="仿宋" w:eastAsia="仿宋" w:hAnsi="仿宋" w:hint="eastAsia"/>
                <w:sz w:val="24"/>
              </w:rPr>
              <w:t>提交书面材料，符合受理条件的当场受理办结。</w:t>
            </w:r>
          </w:p>
          <w:p w:rsidR="00013EC7" w:rsidRDefault="00575CDB">
            <w:pPr>
              <w:spacing w:line="300" w:lineRule="exact"/>
              <w:rPr>
                <w:rFonts w:ascii="仿宋" w:eastAsia="仿宋" w:hAnsi="仿宋"/>
                <w:sz w:val="24"/>
              </w:rPr>
            </w:pPr>
            <w:r>
              <w:rPr>
                <w:rFonts w:ascii="仿宋" w:eastAsia="仿宋" w:hAnsi="仿宋" w:cs="仿宋" w:hint="eastAsia"/>
                <w:b/>
                <w:bCs/>
                <w:sz w:val="24"/>
              </w:rPr>
              <w:t>网上办理：</w:t>
            </w:r>
            <w:r>
              <w:rPr>
                <w:rFonts w:ascii="仿宋" w:eastAsia="仿宋" w:hAnsi="仿宋" w:hint="eastAsia"/>
                <w:sz w:val="24"/>
              </w:rPr>
              <w:t>登录浙江国税电子税务局（网址：</w:t>
            </w:r>
            <w:hyperlink r:id="rId263" w:tgtFrame="https://wx.qq.com/_blank" w:history="1">
              <w:r>
                <w:rPr>
                  <w:rFonts w:ascii="仿宋" w:eastAsia="仿宋" w:hAnsi="仿宋" w:hint="eastAsia"/>
                  <w:sz w:val="24"/>
                </w:rPr>
                <w:t>http://etax.zjtax.gov.cn/</w:t>
              </w:r>
            </w:hyperlink>
            <w:r>
              <w:rPr>
                <w:rFonts w:ascii="仿宋" w:eastAsia="仿宋" w:hAnsi="仿宋" w:hint="eastAsia"/>
                <w:sz w:val="24"/>
              </w:rPr>
              <w:t>）提交申请。</w:t>
            </w:r>
          </w:p>
        </w:tc>
        <w:tc>
          <w:tcPr>
            <w:tcW w:w="868" w:type="dxa"/>
            <w:vMerge w:val="restart"/>
            <w:vAlign w:val="center"/>
          </w:tcPr>
          <w:p w:rsidR="00013EC7" w:rsidRDefault="00575CDB">
            <w:pPr>
              <w:spacing w:line="300" w:lineRule="exact"/>
              <w:rPr>
                <w:rFonts w:ascii="仿宋" w:eastAsia="仿宋" w:hAnsi="仿宋"/>
                <w:sz w:val="24"/>
              </w:rPr>
            </w:pPr>
            <w:r>
              <w:rPr>
                <w:rFonts w:ascii="仿宋" w:eastAsia="仿宋" w:hAnsi="仿宋" w:hint="eastAsia"/>
                <w:sz w:val="24"/>
              </w:rPr>
              <w:t>即时办结</w:t>
            </w:r>
          </w:p>
        </w:tc>
        <w:tc>
          <w:tcPr>
            <w:tcW w:w="935" w:type="dxa"/>
            <w:vMerge w:val="restart"/>
            <w:vAlign w:val="center"/>
          </w:tcPr>
          <w:p w:rsidR="00013EC7" w:rsidRDefault="00575CDB">
            <w:pPr>
              <w:spacing w:line="300" w:lineRule="exact"/>
              <w:rPr>
                <w:rFonts w:ascii="仿宋" w:eastAsia="仿宋" w:hAnsi="仿宋"/>
                <w:sz w:val="24"/>
              </w:rPr>
            </w:pPr>
            <w:r>
              <w:rPr>
                <w:rFonts w:ascii="仿宋" w:eastAsia="仿宋" w:hAnsi="仿宋" w:hint="eastAsia"/>
                <w:sz w:val="24"/>
              </w:rPr>
              <w:t>即时办结</w:t>
            </w:r>
          </w:p>
        </w:tc>
        <w:tc>
          <w:tcPr>
            <w:tcW w:w="821" w:type="dxa"/>
            <w:vMerge w:val="restart"/>
            <w:vAlign w:val="center"/>
          </w:tcPr>
          <w:p w:rsidR="00013EC7" w:rsidRDefault="00575CDB">
            <w:pPr>
              <w:spacing w:line="300" w:lineRule="exact"/>
              <w:rPr>
                <w:rFonts w:ascii="仿宋" w:eastAsia="仿宋" w:hAnsi="仿宋"/>
                <w:sz w:val="24"/>
              </w:rPr>
            </w:pPr>
            <w:r>
              <w:rPr>
                <w:rFonts w:ascii="仿宋" w:eastAsia="仿宋" w:hAnsi="仿宋" w:hint="eastAsia"/>
                <w:sz w:val="24"/>
              </w:rPr>
              <w:t>是</w:t>
            </w:r>
          </w:p>
        </w:tc>
        <w:tc>
          <w:tcPr>
            <w:tcW w:w="1104" w:type="dxa"/>
            <w:vMerge w:val="restart"/>
            <w:vAlign w:val="center"/>
          </w:tcPr>
          <w:p w:rsidR="00013EC7" w:rsidRDefault="00575CDB">
            <w:pPr>
              <w:spacing w:line="300" w:lineRule="exact"/>
              <w:rPr>
                <w:rFonts w:ascii="仿宋" w:eastAsia="仿宋" w:hAnsi="仿宋"/>
                <w:sz w:val="24"/>
              </w:rPr>
            </w:pPr>
            <w:r>
              <w:rPr>
                <w:rFonts w:ascii="仿宋" w:eastAsia="仿宋" w:hAnsi="仿宋" w:hint="eastAsia"/>
                <w:sz w:val="24"/>
              </w:rPr>
              <w:t>所得税处</w:t>
            </w:r>
          </w:p>
        </w:tc>
        <w:tc>
          <w:tcPr>
            <w:tcW w:w="1476" w:type="dxa"/>
            <w:vMerge w:val="restart"/>
            <w:vAlign w:val="center"/>
          </w:tcPr>
          <w:p w:rsidR="00013EC7" w:rsidRDefault="00013EC7">
            <w:pPr>
              <w:spacing w:line="300" w:lineRule="exact"/>
              <w:rPr>
                <w:rFonts w:ascii="仿宋" w:eastAsia="仿宋" w:hAnsi="仿宋"/>
                <w:sz w:val="24"/>
              </w:rPr>
            </w:pPr>
          </w:p>
        </w:tc>
      </w:tr>
      <w:tr w:rsidR="00013EC7">
        <w:trPr>
          <w:trHeight w:val="5878"/>
          <w:jc w:val="center"/>
        </w:trPr>
        <w:tc>
          <w:tcPr>
            <w:tcW w:w="672" w:type="dxa"/>
            <w:vMerge/>
            <w:textDirection w:val="tbRlV"/>
            <w:vAlign w:val="center"/>
          </w:tcPr>
          <w:p w:rsidR="00013EC7" w:rsidRDefault="00013EC7">
            <w:pPr>
              <w:spacing w:line="300" w:lineRule="exact"/>
              <w:rPr>
                <w:rFonts w:ascii="仿宋" w:eastAsia="仿宋" w:hAnsi="仿宋"/>
                <w:sz w:val="24"/>
              </w:rPr>
            </w:pPr>
          </w:p>
        </w:tc>
        <w:tc>
          <w:tcPr>
            <w:tcW w:w="1035" w:type="dxa"/>
            <w:vMerge/>
            <w:vAlign w:val="center"/>
          </w:tcPr>
          <w:p w:rsidR="00013EC7" w:rsidRDefault="00013EC7">
            <w:pPr>
              <w:spacing w:line="300" w:lineRule="exact"/>
              <w:rPr>
                <w:rFonts w:ascii="仿宋" w:eastAsia="仿宋" w:hAnsi="仿宋"/>
                <w:sz w:val="24"/>
              </w:rPr>
            </w:pPr>
          </w:p>
        </w:tc>
        <w:tc>
          <w:tcPr>
            <w:tcW w:w="2622" w:type="dxa"/>
            <w:vMerge/>
            <w:vAlign w:val="center"/>
          </w:tcPr>
          <w:p w:rsidR="00013EC7" w:rsidRDefault="00013EC7">
            <w:pPr>
              <w:spacing w:line="300" w:lineRule="exact"/>
              <w:rPr>
                <w:rFonts w:ascii="仿宋" w:eastAsia="仿宋" w:hAnsi="仿宋"/>
                <w:sz w:val="24"/>
              </w:rPr>
            </w:pPr>
          </w:p>
        </w:tc>
        <w:tc>
          <w:tcPr>
            <w:tcW w:w="2494" w:type="dxa"/>
            <w:tcBorders>
              <w:top w:val="single" w:sz="4" w:space="0" w:color="auto"/>
            </w:tcBorders>
            <w:vAlign w:val="center"/>
          </w:tcPr>
          <w:p w:rsidR="00013EC7" w:rsidRDefault="00575CDB">
            <w:pPr>
              <w:spacing w:line="300" w:lineRule="exact"/>
              <w:rPr>
                <w:rFonts w:ascii="仿宋" w:eastAsia="仿宋" w:hAnsi="仿宋"/>
                <w:sz w:val="24"/>
              </w:rPr>
            </w:pPr>
            <w:r>
              <w:rPr>
                <w:rFonts w:ascii="仿宋" w:eastAsia="仿宋" w:hAnsi="仿宋" w:hint="eastAsia"/>
                <w:sz w:val="24"/>
              </w:rPr>
              <w:t>（二）总机构在月（季）度终了之日起</w:t>
            </w:r>
            <w:r>
              <w:rPr>
                <w:rFonts w:ascii="仿宋" w:eastAsia="仿宋" w:hAnsi="仿宋"/>
                <w:sz w:val="24"/>
              </w:rPr>
              <w:t>10</w:t>
            </w:r>
            <w:r>
              <w:rPr>
                <w:rFonts w:ascii="仿宋" w:eastAsia="仿宋" w:hAnsi="仿宋" w:hint="eastAsia"/>
                <w:sz w:val="24"/>
              </w:rPr>
              <w:t>日内，应报送企业当期财务报表、《中华人民共和国企业所得税汇总纳税分支机构所得税分配表（</w:t>
            </w:r>
            <w:r>
              <w:rPr>
                <w:rFonts w:ascii="仿宋" w:eastAsia="仿宋" w:hAnsi="仿宋"/>
                <w:sz w:val="24"/>
              </w:rPr>
              <w:t>A</w:t>
            </w:r>
            <w:r>
              <w:rPr>
                <w:rFonts w:ascii="仿宋" w:eastAsia="仿宋" w:hAnsi="仿宋" w:hint="eastAsia"/>
                <w:sz w:val="24"/>
              </w:rPr>
              <w:t>类，</w:t>
            </w:r>
            <w:r>
              <w:rPr>
                <w:rFonts w:ascii="仿宋" w:eastAsia="仿宋" w:hAnsi="仿宋"/>
                <w:sz w:val="24"/>
              </w:rPr>
              <w:t>2015</w:t>
            </w:r>
            <w:r>
              <w:rPr>
                <w:rFonts w:ascii="仿宋" w:eastAsia="仿宋" w:hAnsi="仿宋" w:hint="eastAsia"/>
                <w:sz w:val="24"/>
              </w:rPr>
              <w:t>年版）》</w:t>
            </w:r>
            <w:r>
              <w:rPr>
                <w:rFonts w:ascii="仿宋" w:eastAsia="仿宋" w:hAnsi="仿宋" w:hint="eastAsia"/>
                <w:sz w:val="24"/>
                <w:highlight w:val="lightGray"/>
              </w:rPr>
              <w:t>和各分支机构上一年度的年度财务报表（或年度财务状况和营业收支情况）。在一个纳税年度内，各分支机构上一年度的年度财务报表（或年度财务状况和营业收支情况）原则上只需要报送一次。</w:t>
            </w:r>
          </w:p>
        </w:tc>
        <w:tc>
          <w:tcPr>
            <w:tcW w:w="1400" w:type="dxa"/>
            <w:vMerge w:val="restart"/>
            <w:vAlign w:val="center"/>
          </w:tcPr>
          <w:p w:rsidR="00013EC7" w:rsidRDefault="00575CDB">
            <w:pPr>
              <w:spacing w:line="300" w:lineRule="exact"/>
              <w:rPr>
                <w:rFonts w:ascii="仿宋" w:eastAsia="仿宋" w:hAnsi="仿宋"/>
                <w:sz w:val="24"/>
              </w:rPr>
            </w:pPr>
            <w:r>
              <w:rPr>
                <w:rFonts w:ascii="仿宋" w:eastAsia="仿宋" w:hAnsi="仿宋" w:hint="eastAsia"/>
                <w:sz w:val="24"/>
              </w:rPr>
              <w:t>实行汇总纳税企业提交</w:t>
            </w:r>
          </w:p>
        </w:tc>
        <w:tc>
          <w:tcPr>
            <w:tcW w:w="2409" w:type="dxa"/>
            <w:vAlign w:val="center"/>
          </w:tcPr>
          <w:p w:rsidR="00013EC7" w:rsidRDefault="00575CDB">
            <w:pPr>
              <w:spacing w:line="300" w:lineRule="exact"/>
              <w:rPr>
                <w:rFonts w:ascii="仿宋" w:eastAsia="仿宋" w:hAnsi="仿宋"/>
                <w:sz w:val="24"/>
              </w:rPr>
            </w:pPr>
            <w:r>
              <w:rPr>
                <w:rFonts w:ascii="仿宋" w:eastAsia="仿宋" w:hAnsi="仿宋" w:hint="eastAsia"/>
                <w:sz w:val="24"/>
              </w:rPr>
              <w:t>（二）总机构在月（季）度终了之日起10日内，应报送企业当期财务报表、《中华人民共和国企业所得税汇总纳税分支机构所得税分配表》1份。</w:t>
            </w:r>
          </w:p>
        </w:tc>
        <w:tc>
          <w:tcPr>
            <w:tcW w:w="1418" w:type="dxa"/>
            <w:vMerge w:val="restart"/>
            <w:vAlign w:val="center"/>
          </w:tcPr>
          <w:p w:rsidR="00013EC7" w:rsidRDefault="00575CDB">
            <w:pPr>
              <w:spacing w:line="300" w:lineRule="exact"/>
              <w:rPr>
                <w:rFonts w:ascii="仿宋" w:eastAsia="仿宋" w:hAnsi="仿宋"/>
                <w:sz w:val="24"/>
              </w:rPr>
            </w:pPr>
            <w:r>
              <w:rPr>
                <w:rFonts w:ascii="仿宋" w:eastAsia="仿宋" w:hAnsi="仿宋" w:hint="eastAsia"/>
                <w:sz w:val="24"/>
              </w:rPr>
              <w:t>实行汇总纳税企业提交</w:t>
            </w:r>
          </w:p>
        </w:tc>
        <w:tc>
          <w:tcPr>
            <w:tcW w:w="2591" w:type="dxa"/>
            <w:vMerge/>
            <w:vAlign w:val="center"/>
          </w:tcPr>
          <w:p w:rsidR="00013EC7" w:rsidRDefault="00013EC7">
            <w:pPr>
              <w:spacing w:line="300" w:lineRule="exact"/>
              <w:rPr>
                <w:rFonts w:eastAsia="方正书宋简体"/>
                <w:szCs w:val="21"/>
              </w:rPr>
            </w:pPr>
          </w:p>
        </w:tc>
        <w:tc>
          <w:tcPr>
            <w:tcW w:w="868" w:type="dxa"/>
            <w:vMerge/>
            <w:vAlign w:val="center"/>
          </w:tcPr>
          <w:p w:rsidR="00013EC7" w:rsidRDefault="00013EC7">
            <w:pPr>
              <w:spacing w:line="300" w:lineRule="exact"/>
            </w:pPr>
          </w:p>
        </w:tc>
        <w:tc>
          <w:tcPr>
            <w:tcW w:w="935" w:type="dxa"/>
            <w:vMerge/>
            <w:vAlign w:val="center"/>
          </w:tcPr>
          <w:p w:rsidR="00013EC7" w:rsidRDefault="00013EC7">
            <w:pPr>
              <w:spacing w:line="300" w:lineRule="exact"/>
            </w:pPr>
          </w:p>
        </w:tc>
        <w:tc>
          <w:tcPr>
            <w:tcW w:w="821" w:type="dxa"/>
            <w:vMerge/>
            <w:vAlign w:val="center"/>
          </w:tcPr>
          <w:p w:rsidR="00013EC7" w:rsidRDefault="00013EC7">
            <w:pPr>
              <w:spacing w:line="300" w:lineRule="exact"/>
            </w:pPr>
          </w:p>
        </w:tc>
        <w:tc>
          <w:tcPr>
            <w:tcW w:w="1104" w:type="dxa"/>
            <w:vMerge/>
            <w:vAlign w:val="center"/>
          </w:tcPr>
          <w:p w:rsidR="00013EC7" w:rsidRDefault="00013EC7">
            <w:pPr>
              <w:spacing w:line="300" w:lineRule="exact"/>
            </w:pPr>
          </w:p>
        </w:tc>
        <w:tc>
          <w:tcPr>
            <w:tcW w:w="1476" w:type="dxa"/>
            <w:vMerge/>
            <w:vAlign w:val="center"/>
          </w:tcPr>
          <w:p w:rsidR="00013EC7" w:rsidRDefault="00013EC7">
            <w:pPr>
              <w:spacing w:line="300" w:lineRule="exact"/>
            </w:pPr>
          </w:p>
        </w:tc>
      </w:tr>
      <w:tr w:rsidR="00013EC7">
        <w:trPr>
          <w:trHeight w:val="340"/>
          <w:jc w:val="center"/>
        </w:trPr>
        <w:tc>
          <w:tcPr>
            <w:tcW w:w="672" w:type="dxa"/>
            <w:vMerge/>
            <w:vAlign w:val="center"/>
          </w:tcPr>
          <w:p w:rsidR="00013EC7" w:rsidRDefault="00013EC7">
            <w:pPr>
              <w:spacing w:line="300" w:lineRule="exact"/>
              <w:rPr>
                <w:rFonts w:ascii="仿宋" w:eastAsia="仿宋" w:hAnsi="仿宋"/>
                <w:sz w:val="24"/>
              </w:rPr>
            </w:pPr>
          </w:p>
        </w:tc>
        <w:tc>
          <w:tcPr>
            <w:tcW w:w="1035" w:type="dxa"/>
            <w:vMerge/>
            <w:vAlign w:val="center"/>
          </w:tcPr>
          <w:p w:rsidR="00013EC7" w:rsidRDefault="00013EC7">
            <w:pPr>
              <w:spacing w:line="300" w:lineRule="exact"/>
              <w:rPr>
                <w:rFonts w:ascii="仿宋" w:eastAsia="仿宋" w:hAnsi="仿宋"/>
                <w:sz w:val="24"/>
              </w:rPr>
            </w:pPr>
          </w:p>
        </w:tc>
        <w:tc>
          <w:tcPr>
            <w:tcW w:w="2622" w:type="dxa"/>
            <w:vMerge/>
            <w:vAlign w:val="center"/>
          </w:tcPr>
          <w:p w:rsidR="00013EC7" w:rsidRDefault="00013EC7">
            <w:pPr>
              <w:spacing w:line="300" w:lineRule="exact"/>
              <w:rPr>
                <w:rFonts w:ascii="仿宋" w:eastAsia="仿宋" w:hAnsi="仿宋"/>
                <w:sz w:val="24"/>
              </w:rPr>
            </w:pPr>
          </w:p>
        </w:tc>
        <w:tc>
          <w:tcPr>
            <w:tcW w:w="2494" w:type="dxa"/>
            <w:vAlign w:val="center"/>
          </w:tcPr>
          <w:p w:rsidR="00013EC7" w:rsidRDefault="00575CDB">
            <w:pPr>
              <w:spacing w:line="300" w:lineRule="exact"/>
              <w:rPr>
                <w:rFonts w:ascii="仿宋" w:eastAsia="仿宋" w:hAnsi="仿宋"/>
                <w:sz w:val="24"/>
              </w:rPr>
            </w:pPr>
            <w:r>
              <w:rPr>
                <w:rFonts w:ascii="仿宋" w:eastAsia="仿宋" w:hAnsi="仿宋" w:hint="eastAsia"/>
                <w:sz w:val="24"/>
              </w:rPr>
              <w:t>（三）分支机构在月（季）度终了之日起15日内，应报送加盖总机构有税务机关业务专用章的《中华人民共和国企业所得税汇总纳税分支机构所得税分配表（2015年版）》（复印件）。</w:t>
            </w:r>
          </w:p>
        </w:tc>
        <w:tc>
          <w:tcPr>
            <w:tcW w:w="1400" w:type="dxa"/>
            <w:vMerge/>
            <w:vAlign w:val="center"/>
          </w:tcPr>
          <w:p w:rsidR="00013EC7" w:rsidRDefault="00013EC7">
            <w:pPr>
              <w:spacing w:line="300" w:lineRule="exact"/>
              <w:rPr>
                <w:rFonts w:ascii="仿宋" w:eastAsia="仿宋" w:hAnsi="仿宋"/>
                <w:sz w:val="24"/>
              </w:rPr>
            </w:pPr>
          </w:p>
        </w:tc>
        <w:tc>
          <w:tcPr>
            <w:tcW w:w="2409" w:type="dxa"/>
            <w:vAlign w:val="center"/>
          </w:tcPr>
          <w:p w:rsidR="00013EC7" w:rsidRDefault="00575CDB">
            <w:pPr>
              <w:spacing w:line="300" w:lineRule="exact"/>
              <w:rPr>
                <w:rFonts w:ascii="仿宋" w:eastAsia="仿宋" w:hAnsi="仿宋"/>
                <w:sz w:val="24"/>
              </w:rPr>
            </w:pPr>
            <w:r>
              <w:rPr>
                <w:rFonts w:ascii="仿宋" w:eastAsia="仿宋" w:hAnsi="仿宋" w:hint="eastAsia"/>
                <w:sz w:val="24"/>
              </w:rPr>
              <w:t>（三）</w:t>
            </w:r>
            <w:r>
              <w:rPr>
                <w:rFonts w:ascii="仿宋" w:eastAsia="仿宋" w:hAnsi="仿宋"/>
                <w:sz w:val="24"/>
              </w:rPr>
              <w:t>分支机构在月（季）度终了之日起15日内，应报送加盖总机构有税务机关业务专用章的《中华人民共和国企业所得税汇总纳税分支机构所得税分配表》</w:t>
            </w:r>
            <w:r>
              <w:rPr>
                <w:rFonts w:ascii="仿宋" w:eastAsia="仿宋" w:hAnsi="仿宋" w:hint="eastAsia"/>
                <w:sz w:val="24"/>
              </w:rPr>
              <w:t>复印件（注明与原件一致并加盖</w:t>
            </w:r>
            <w:r>
              <w:rPr>
                <w:rFonts w:ascii="仿宋" w:eastAsia="仿宋" w:hAnsi="仿宋" w:hint="eastAsia"/>
                <w:sz w:val="24"/>
              </w:rPr>
              <w:lastRenderedPageBreak/>
              <w:t>公章）1份</w:t>
            </w:r>
            <w:r>
              <w:rPr>
                <w:rFonts w:ascii="仿宋" w:eastAsia="仿宋" w:hAnsi="仿宋"/>
                <w:sz w:val="24"/>
              </w:rPr>
              <w:t>。</w:t>
            </w:r>
          </w:p>
        </w:tc>
        <w:tc>
          <w:tcPr>
            <w:tcW w:w="1418" w:type="dxa"/>
            <w:vMerge/>
            <w:vAlign w:val="center"/>
          </w:tcPr>
          <w:p w:rsidR="00013EC7" w:rsidRDefault="00013EC7">
            <w:pPr>
              <w:spacing w:line="300" w:lineRule="exact"/>
              <w:rPr>
                <w:rFonts w:eastAsia="方正书宋简体"/>
                <w:szCs w:val="21"/>
              </w:rPr>
            </w:pPr>
          </w:p>
        </w:tc>
        <w:tc>
          <w:tcPr>
            <w:tcW w:w="2591" w:type="dxa"/>
            <w:vMerge/>
            <w:vAlign w:val="center"/>
          </w:tcPr>
          <w:p w:rsidR="00013EC7" w:rsidRDefault="00013EC7">
            <w:pPr>
              <w:spacing w:line="300" w:lineRule="exact"/>
              <w:rPr>
                <w:rFonts w:eastAsia="方正书宋简体"/>
                <w:szCs w:val="21"/>
              </w:rPr>
            </w:pPr>
          </w:p>
        </w:tc>
        <w:tc>
          <w:tcPr>
            <w:tcW w:w="868" w:type="dxa"/>
            <w:vMerge/>
            <w:vAlign w:val="center"/>
          </w:tcPr>
          <w:p w:rsidR="00013EC7" w:rsidRDefault="00013EC7">
            <w:pPr>
              <w:spacing w:line="300" w:lineRule="exact"/>
            </w:pPr>
          </w:p>
        </w:tc>
        <w:tc>
          <w:tcPr>
            <w:tcW w:w="935" w:type="dxa"/>
            <w:vMerge/>
            <w:vAlign w:val="center"/>
          </w:tcPr>
          <w:p w:rsidR="00013EC7" w:rsidRDefault="00013EC7">
            <w:pPr>
              <w:spacing w:line="300" w:lineRule="exact"/>
            </w:pPr>
          </w:p>
        </w:tc>
        <w:tc>
          <w:tcPr>
            <w:tcW w:w="821" w:type="dxa"/>
            <w:vMerge/>
            <w:vAlign w:val="center"/>
          </w:tcPr>
          <w:p w:rsidR="00013EC7" w:rsidRDefault="00013EC7">
            <w:pPr>
              <w:spacing w:line="300" w:lineRule="exact"/>
            </w:pPr>
          </w:p>
        </w:tc>
        <w:tc>
          <w:tcPr>
            <w:tcW w:w="1104" w:type="dxa"/>
            <w:vMerge/>
            <w:vAlign w:val="center"/>
          </w:tcPr>
          <w:p w:rsidR="00013EC7" w:rsidRDefault="00013EC7">
            <w:pPr>
              <w:spacing w:line="300" w:lineRule="exact"/>
            </w:pPr>
          </w:p>
        </w:tc>
        <w:tc>
          <w:tcPr>
            <w:tcW w:w="1476" w:type="dxa"/>
            <w:vMerge/>
            <w:vAlign w:val="center"/>
          </w:tcPr>
          <w:p w:rsidR="00013EC7" w:rsidRDefault="00013EC7">
            <w:pPr>
              <w:spacing w:line="300" w:lineRule="exact"/>
            </w:pPr>
          </w:p>
        </w:tc>
      </w:tr>
      <w:tr w:rsidR="00013EC7">
        <w:trPr>
          <w:trHeight w:val="1534"/>
          <w:jc w:val="center"/>
        </w:trPr>
        <w:tc>
          <w:tcPr>
            <w:tcW w:w="672" w:type="dxa"/>
            <w:vMerge/>
            <w:textDirection w:val="tbRlV"/>
            <w:vAlign w:val="center"/>
          </w:tcPr>
          <w:p w:rsidR="00013EC7" w:rsidRDefault="00013EC7">
            <w:pPr>
              <w:spacing w:line="300" w:lineRule="exact"/>
              <w:rPr>
                <w:rFonts w:ascii="仿宋" w:eastAsia="仿宋" w:hAnsi="仿宋"/>
                <w:sz w:val="24"/>
              </w:rPr>
            </w:pPr>
          </w:p>
        </w:tc>
        <w:tc>
          <w:tcPr>
            <w:tcW w:w="1035" w:type="dxa"/>
            <w:vMerge/>
            <w:vAlign w:val="center"/>
          </w:tcPr>
          <w:p w:rsidR="00013EC7" w:rsidRDefault="00013EC7">
            <w:pPr>
              <w:spacing w:line="300" w:lineRule="exact"/>
              <w:rPr>
                <w:rFonts w:ascii="仿宋" w:eastAsia="仿宋" w:hAnsi="仿宋"/>
                <w:sz w:val="24"/>
              </w:rPr>
            </w:pPr>
          </w:p>
        </w:tc>
        <w:tc>
          <w:tcPr>
            <w:tcW w:w="2622" w:type="dxa"/>
            <w:vMerge/>
            <w:vAlign w:val="center"/>
          </w:tcPr>
          <w:p w:rsidR="00013EC7" w:rsidRDefault="00013EC7">
            <w:pPr>
              <w:spacing w:line="300" w:lineRule="exact"/>
              <w:rPr>
                <w:rFonts w:ascii="仿宋" w:eastAsia="仿宋" w:hAnsi="仿宋"/>
                <w:sz w:val="24"/>
              </w:rPr>
            </w:pPr>
          </w:p>
        </w:tc>
        <w:tc>
          <w:tcPr>
            <w:tcW w:w="2494" w:type="dxa"/>
            <w:vAlign w:val="center"/>
          </w:tcPr>
          <w:p w:rsidR="00013EC7" w:rsidRDefault="00575CDB">
            <w:pPr>
              <w:spacing w:line="300" w:lineRule="exact"/>
              <w:rPr>
                <w:rFonts w:ascii="仿宋" w:eastAsia="仿宋" w:hAnsi="仿宋"/>
                <w:sz w:val="24"/>
              </w:rPr>
            </w:pPr>
            <w:r>
              <w:rPr>
                <w:rFonts w:ascii="仿宋" w:eastAsia="仿宋" w:hAnsi="仿宋" w:hint="eastAsia"/>
                <w:sz w:val="24"/>
                <w:highlight w:val="lightGray"/>
              </w:rPr>
              <w:t>（四）直接管理的跨地区经营项目部就地预缴税款的完税证明。</w:t>
            </w:r>
          </w:p>
        </w:tc>
        <w:tc>
          <w:tcPr>
            <w:tcW w:w="1400" w:type="dxa"/>
            <w:vAlign w:val="center"/>
          </w:tcPr>
          <w:p w:rsidR="00013EC7" w:rsidRDefault="00575CDB">
            <w:pPr>
              <w:spacing w:line="300" w:lineRule="exact"/>
              <w:rPr>
                <w:rFonts w:ascii="仿宋" w:eastAsia="仿宋" w:hAnsi="仿宋"/>
                <w:sz w:val="24"/>
              </w:rPr>
            </w:pPr>
            <w:r>
              <w:rPr>
                <w:rFonts w:ascii="仿宋" w:eastAsia="仿宋" w:hAnsi="仿宋" w:hint="eastAsia"/>
                <w:sz w:val="24"/>
              </w:rPr>
              <w:t>跨省、自治区、直辖市和计划单列市建筑企业总机构提交</w:t>
            </w:r>
          </w:p>
        </w:tc>
        <w:tc>
          <w:tcPr>
            <w:tcW w:w="2409" w:type="dxa"/>
            <w:vAlign w:val="center"/>
          </w:tcPr>
          <w:p w:rsidR="00013EC7" w:rsidRDefault="00575CDB">
            <w:pPr>
              <w:spacing w:line="300" w:lineRule="exact"/>
              <w:rPr>
                <w:rFonts w:ascii="仿宋" w:eastAsia="仿宋" w:hAnsi="仿宋"/>
                <w:sz w:val="24"/>
              </w:rPr>
            </w:pPr>
            <w:r>
              <w:rPr>
                <w:rFonts w:ascii="仿宋" w:eastAsia="仿宋" w:hAnsi="仿宋" w:hint="eastAsia"/>
                <w:sz w:val="24"/>
              </w:rPr>
              <w:t>（四）在办理企业所得税预缴时，应附送其所直接管理的跨地区经营项目部就地预缴税款的完税证明。</w:t>
            </w:r>
          </w:p>
        </w:tc>
        <w:tc>
          <w:tcPr>
            <w:tcW w:w="1418" w:type="dxa"/>
            <w:vAlign w:val="center"/>
          </w:tcPr>
          <w:p w:rsidR="00013EC7" w:rsidRDefault="00575CDB">
            <w:pPr>
              <w:spacing w:line="300" w:lineRule="exact"/>
            </w:pPr>
            <w:r>
              <w:rPr>
                <w:rFonts w:ascii="仿宋" w:eastAsia="仿宋" w:hAnsi="仿宋" w:hint="eastAsia"/>
                <w:sz w:val="24"/>
              </w:rPr>
              <w:t>跨省、自治区、直辖市和计划单列市建筑企业总机构提交</w:t>
            </w:r>
          </w:p>
        </w:tc>
        <w:tc>
          <w:tcPr>
            <w:tcW w:w="2591" w:type="dxa"/>
            <w:vMerge/>
            <w:vAlign w:val="center"/>
          </w:tcPr>
          <w:p w:rsidR="00013EC7" w:rsidRDefault="00013EC7">
            <w:pPr>
              <w:spacing w:line="300" w:lineRule="exact"/>
              <w:rPr>
                <w:rFonts w:eastAsia="方正书宋简体"/>
                <w:szCs w:val="21"/>
              </w:rPr>
            </w:pPr>
          </w:p>
        </w:tc>
        <w:tc>
          <w:tcPr>
            <w:tcW w:w="868" w:type="dxa"/>
            <w:vMerge/>
            <w:vAlign w:val="center"/>
          </w:tcPr>
          <w:p w:rsidR="00013EC7" w:rsidRDefault="00013EC7">
            <w:pPr>
              <w:spacing w:line="300" w:lineRule="exact"/>
            </w:pPr>
          </w:p>
        </w:tc>
        <w:tc>
          <w:tcPr>
            <w:tcW w:w="935" w:type="dxa"/>
            <w:vMerge/>
            <w:vAlign w:val="center"/>
          </w:tcPr>
          <w:p w:rsidR="00013EC7" w:rsidRDefault="00013EC7">
            <w:pPr>
              <w:spacing w:line="300" w:lineRule="exact"/>
            </w:pPr>
          </w:p>
        </w:tc>
        <w:tc>
          <w:tcPr>
            <w:tcW w:w="821" w:type="dxa"/>
            <w:vMerge/>
            <w:vAlign w:val="center"/>
          </w:tcPr>
          <w:p w:rsidR="00013EC7" w:rsidRDefault="00013EC7">
            <w:pPr>
              <w:spacing w:line="300" w:lineRule="exact"/>
            </w:pPr>
          </w:p>
        </w:tc>
        <w:tc>
          <w:tcPr>
            <w:tcW w:w="1104" w:type="dxa"/>
            <w:vMerge/>
            <w:vAlign w:val="center"/>
          </w:tcPr>
          <w:p w:rsidR="00013EC7" w:rsidRDefault="00013EC7">
            <w:pPr>
              <w:spacing w:line="300" w:lineRule="exact"/>
            </w:pPr>
          </w:p>
        </w:tc>
        <w:tc>
          <w:tcPr>
            <w:tcW w:w="1476" w:type="dxa"/>
            <w:vMerge/>
            <w:vAlign w:val="center"/>
          </w:tcPr>
          <w:p w:rsidR="00013EC7" w:rsidRDefault="00013EC7">
            <w:pPr>
              <w:spacing w:line="300" w:lineRule="exact"/>
            </w:pPr>
          </w:p>
        </w:tc>
      </w:tr>
      <w:tr w:rsidR="00013EC7">
        <w:trPr>
          <w:trHeight w:val="756"/>
          <w:jc w:val="center"/>
        </w:trPr>
        <w:tc>
          <w:tcPr>
            <w:tcW w:w="672" w:type="dxa"/>
            <w:vMerge/>
            <w:tcBorders>
              <w:bottom w:val="single" w:sz="4" w:space="0" w:color="auto"/>
            </w:tcBorders>
            <w:textDirection w:val="tbRlV"/>
            <w:vAlign w:val="center"/>
          </w:tcPr>
          <w:p w:rsidR="00013EC7" w:rsidRDefault="00013EC7">
            <w:pPr>
              <w:spacing w:line="300" w:lineRule="exact"/>
              <w:rPr>
                <w:rFonts w:ascii="仿宋" w:eastAsia="仿宋" w:hAnsi="仿宋"/>
                <w:sz w:val="24"/>
              </w:rPr>
            </w:pPr>
          </w:p>
        </w:tc>
        <w:tc>
          <w:tcPr>
            <w:tcW w:w="1035" w:type="dxa"/>
            <w:vMerge/>
            <w:tcBorders>
              <w:bottom w:val="single" w:sz="4" w:space="0" w:color="auto"/>
            </w:tcBorders>
            <w:vAlign w:val="center"/>
          </w:tcPr>
          <w:p w:rsidR="00013EC7" w:rsidRDefault="00013EC7">
            <w:pPr>
              <w:spacing w:line="300" w:lineRule="exact"/>
              <w:rPr>
                <w:rFonts w:ascii="仿宋" w:eastAsia="仿宋" w:hAnsi="仿宋"/>
                <w:sz w:val="24"/>
              </w:rPr>
            </w:pPr>
          </w:p>
        </w:tc>
        <w:tc>
          <w:tcPr>
            <w:tcW w:w="2622" w:type="dxa"/>
            <w:vMerge/>
            <w:tcBorders>
              <w:bottom w:val="single" w:sz="4" w:space="0" w:color="auto"/>
            </w:tcBorders>
            <w:vAlign w:val="center"/>
          </w:tcPr>
          <w:p w:rsidR="00013EC7" w:rsidRDefault="00013EC7">
            <w:pPr>
              <w:spacing w:line="300" w:lineRule="exact"/>
              <w:rPr>
                <w:rFonts w:ascii="仿宋" w:eastAsia="仿宋" w:hAnsi="仿宋"/>
                <w:sz w:val="24"/>
              </w:rPr>
            </w:pPr>
          </w:p>
        </w:tc>
        <w:tc>
          <w:tcPr>
            <w:tcW w:w="2494" w:type="dxa"/>
            <w:tcBorders>
              <w:bottom w:val="single" w:sz="4" w:space="0" w:color="auto"/>
            </w:tcBorders>
            <w:vAlign w:val="center"/>
          </w:tcPr>
          <w:p w:rsidR="00013EC7" w:rsidRDefault="00575CDB">
            <w:pPr>
              <w:spacing w:line="300" w:lineRule="exact"/>
              <w:rPr>
                <w:rFonts w:ascii="仿宋" w:eastAsia="仿宋" w:hAnsi="仿宋" w:cs="宋体"/>
                <w:kern w:val="1"/>
                <w:sz w:val="24"/>
              </w:rPr>
            </w:pPr>
            <w:bookmarkStart w:id="339" w:name="RANGE!D8"/>
            <w:r>
              <w:rPr>
                <w:rFonts w:ascii="仿宋" w:eastAsia="仿宋" w:hAnsi="仿宋" w:hint="eastAsia"/>
                <w:sz w:val="24"/>
              </w:rPr>
              <w:t>（五）（</w:t>
            </w:r>
            <w:r>
              <w:rPr>
                <w:rFonts w:ascii="仿宋" w:eastAsia="仿宋" w:hAnsi="仿宋"/>
                <w:sz w:val="24"/>
              </w:rPr>
              <w:t>A06547</w:t>
            </w:r>
            <w:r>
              <w:rPr>
                <w:rFonts w:ascii="仿宋" w:eastAsia="仿宋" w:hAnsi="仿宋" w:hint="eastAsia"/>
                <w:sz w:val="24"/>
              </w:rPr>
              <w:t>）《居民企业参股外国企业信息报告表》</w:t>
            </w:r>
            <w:bookmarkEnd w:id="339"/>
            <w:r>
              <w:rPr>
                <w:rFonts w:ascii="仿宋" w:eastAsia="仿宋" w:hAnsi="仿宋" w:hint="eastAsia"/>
                <w:sz w:val="24"/>
              </w:rPr>
              <w:t>。</w:t>
            </w:r>
          </w:p>
        </w:tc>
        <w:tc>
          <w:tcPr>
            <w:tcW w:w="1400" w:type="dxa"/>
            <w:tcBorders>
              <w:bottom w:val="single" w:sz="4" w:space="0" w:color="auto"/>
            </w:tcBorders>
            <w:vAlign w:val="center"/>
          </w:tcPr>
          <w:p w:rsidR="00013EC7" w:rsidRDefault="00575CDB">
            <w:pPr>
              <w:spacing w:line="300" w:lineRule="exact"/>
              <w:rPr>
                <w:rFonts w:ascii="仿宋" w:eastAsia="仿宋" w:hAnsi="仿宋"/>
                <w:sz w:val="24"/>
              </w:rPr>
            </w:pPr>
            <w:r>
              <w:rPr>
                <w:rFonts w:ascii="仿宋" w:eastAsia="仿宋" w:hAnsi="仿宋" w:hint="eastAsia"/>
                <w:sz w:val="24"/>
              </w:rPr>
              <w:t>境外投资居民企业提交</w:t>
            </w:r>
          </w:p>
        </w:tc>
        <w:tc>
          <w:tcPr>
            <w:tcW w:w="2409" w:type="dxa"/>
            <w:tcBorders>
              <w:bottom w:val="single" w:sz="4" w:space="0" w:color="auto"/>
            </w:tcBorders>
            <w:vAlign w:val="center"/>
          </w:tcPr>
          <w:p w:rsidR="00013EC7" w:rsidRDefault="00575CDB">
            <w:pPr>
              <w:spacing w:line="300" w:lineRule="exact"/>
              <w:rPr>
                <w:rFonts w:ascii="仿宋" w:eastAsia="仿宋" w:hAnsi="仿宋"/>
                <w:sz w:val="24"/>
              </w:rPr>
            </w:pPr>
            <w:r>
              <w:rPr>
                <w:rFonts w:ascii="仿宋" w:eastAsia="仿宋" w:hAnsi="仿宋" w:hint="eastAsia"/>
                <w:sz w:val="24"/>
              </w:rPr>
              <w:t>（五）</w:t>
            </w:r>
            <w:hyperlink r:id="rId264" w:history="1">
              <w:r>
                <w:rPr>
                  <w:rFonts w:ascii="仿宋" w:eastAsia="仿宋" w:hAnsi="仿宋" w:hint="eastAsia"/>
                  <w:sz w:val="24"/>
                </w:rPr>
                <w:t>（A06547）《居民企业参股</w:t>
              </w:r>
              <w:bookmarkStart w:id="340" w:name="_Hlt483299601"/>
              <w:bookmarkStart w:id="341" w:name="_Hlt483299602"/>
              <w:bookmarkEnd w:id="340"/>
              <w:bookmarkEnd w:id="341"/>
              <w:r>
                <w:rPr>
                  <w:rFonts w:ascii="仿宋" w:eastAsia="仿宋" w:hAnsi="仿宋" w:hint="eastAsia"/>
                  <w:sz w:val="24"/>
                </w:rPr>
                <w:t>外国企业信息报告表》</w:t>
              </w:r>
            </w:hyperlink>
            <w:r>
              <w:rPr>
                <w:rFonts w:ascii="仿宋" w:eastAsia="仿宋" w:hAnsi="仿宋" w:hint="eastAsia"/>
                <w:sz w:val="24"/>
              </w:rPr>
              <w:t>1份。</w:t>
            </w:r>
          </w:p>
        </w:tc>
        <w:tc>
          <w:tcPr>
            <w:tcW w:w="1418" w:type="dxa"/>
            <w:tcBorders>
              <w:bottom w:val="single" w:sz="4" w:space="0" w:color="auto"/>
            </w:tcBorders>
            <w:vAlign w:val="center"/>
          </w:tcPr>
          <w:p w:rsidR="00013EC7" w:rsidRDefault="00575CDB">
            <w:pPr>
              <w:spacing w:line="300" w:lineRule="exact"/>
              <w:rPr>
                <w:rFonts w:eastAsia="方正书宋简体"/>
                <w:szCs w:val="21"/>
              </w:rPr>
            </w:pPr>
            <w:r>
              <w:rPr>
                <w:rFonts w:ascii="仿宋" w:eastAsia="仿宋" w:hAnsi="仿宋" w:hint="eastAsia"/>
                <w:sz w:val="24"/>
              </w:rPr>
              <w:t>境外投资居民企业提交</w:t>
            </w:r>
          </w:p>
        </w:tc>
        <w:tc>
          <w:tcPr>
            <w:tcW w:w="2591" w:type="dxa"/>
            <w:vMerge/>
            <w:tcBorders>
              <w:bottom w:val="single" w:sz="4" w:space="0" w:color="auto"/>
            </w:tcBorders>
            <w:vAlign w:val="center"/>
          </w:tcPr>
          <w:p w:rsidR="00013EC7" w:rsidRDefault="00013EC7">
            <w:pPr>
              <w:spacing w:line="300" w:lineRule="exact"/>
              <w:rPr>
                <w:rFonts w:eastAsia="方正书宋简体"/>
                <w:szCs w:val="21"/>
              </w:rPr>
            </w:pPr>
          </w:p>
        </w:tc>
        <w:tc>
          <w:tcPr>
            <w:tcW w:w="868" w:type="dxa"/>
            <w:vMerge/>
            <w:tcBorders>
              <w:bottom w:val="single" w:sz="4" w:space="0" w:color="auto"/>
            </w:tcBorders>
            <w:vAlign w:val="center"/>
          </w:tcPr>
          <w:p w:rsidR="00013EC7" w:rsidRDefault="00013EC7">
            <w:pPr>
              <w:spacing w:line="300" w:lineRule="exact"/>
            </w:pPr>
          </w:p>
        </w:tc>
        <w:tc>
          <w:tcPr>
            <w:tcW w:w="935" w:type="dxa"/>
            <w:vMerge/>
            <w:tcBorders>
              <w:bottom w:val="single" w:sz="4" w:space="0" w:color="auto"/>
            </w:tcBorders>
            <w:vAlign w:val="center"/>
          </w:tcPr>
          <w:p w:rsidR="00013EC7" w:rsidRDefault="00013EC7">
            <w:pPr>
              <w:spacing w:line="300" w:lineRule="exact"/>
            </w:pPr>
          </w:p>
        </w:tc>
        <w:tc>
          <w:tcPr>
            <w:tcW w:w="821" w:type="dxa"/>
            <w:vMerge/>
            <w:tcBorders>
              <w:bottom w:val="single" w:sz="4" w:space="0" w:color="auto"/>
            </w:tcBorders>
            <w:vAlign w:val="center"/>
          </w:tcPr>
          <w:p w:rsidR="00013EC7" w:rsidRDefault="00013EC7">
            <w:pPr>
              <w:spacing w:line="300" w:lineRule="exact"/>
            </w:pPr>
          </w:p>
        </w:tc>
        <w:tc>
          <w:tcPr>
            <w:tcW w:w="1104" w:type="dxa"/>
            <w:vMerge/>
            <w:tcBorders>
              <w:bottom w:val="single" w:sz="4" w:space="0" w:color="auto"/>
            </w:tcBorders>
            <w:vAlign w:val="center"/>
          </w:tcPr>
          <w:p w:rsidR="00013EC7" w:rsidRDefault="00013EC7">
            <w:pPr>
              <w:spacing w:line="300" w:lineRule="exact"/>
            </w:pPr>
          </w:p>
        </w:tc>
        <w:tc>
          <w:tcPr>
            <w:tcW w:w="1476" w:type="dxa"/>
            <w:vMerge/>
            <w:tcBorders>
              <w:bottom w:val="single" w:sz="4" w:space="0" w:color="auto"/>
            </w:tcBorders>
            <w:vAlign w:val="center"/>
          </w:tcPr>
          <w:p w:rsidR="00013EC7" w:rsidRDefault="00013EC7">
            <w:pPr>
              <w:spacing w:line="300" w:lineRule="exact"/>
            </w:pPr>
          </w:p>
        </w:tc>
      </w:tr>
    </w:tbl>
    <w:p w:rsidR="00013EC7" w:rsidRDefault="00013EC7">
      <w:pPr>
        <w:rPr>
          <w:rFonts w:eastAsia="方正书宋简体"/>
          <w:szCs w:val="21"/>
        </w:rPr>
      </w:pPr>
    </w:p>
    <w:p w:rsidR="00013EC7" w:rsidRDefault="005262E6">
      <w:pPr>
        <w:rPr>
          <w:rFonts w:ascii="仿宋" w:eastAsia="仿宋" w:hAnsi="仿宋" w:cs="仿宋"/>
          <w:sz w:val="24"/>
        </w:rPr>
      </w:pPr>
      <w:r>
        <w:rPr>
          <w:rFonts w:ascii="宋体" w:hAnsi="宋体" w:cs="宋体"/>
          <w:szCs w:val="21"/>
        </w:rPr>
        <w:lastRenderedPageBreak/>
        <w:object w:dxaOrig="1440" w:dyaOrig="1440">
          <v:shape id="_x0000_s1364" type="#_x0000_t75" style="position:absolute;left:0;text-align:left;margin-left:560.65pt;margin-top:99.45pt;width:409.5pt;height:570.75pt;z-index:251688960;mso-wrap-distance-top:0;mso-wrap-distance-bottom:0;mso-position-vertical-relative:page;mso-width-relative:page;mso-height-relative:page">
            <v:imagedata r:id="rId265" o:title=""/>
            <o:lock v:ext="edit" aspectratio="f"/>
            <w10:wrap type="topAndBottom" anchory="page"/>
          </v:shape>
          <o:OLEObject Type="Embed" ProgID="Visio.Drawing.11" ShapeID="_x0000_s1364" DrawAspect="Content" ObjectID="_1577296244" r:id="rId266"/>
        </w:object>
      </w:r>
      <w:r>
        <w:object w:dxaOrig="1440" w:dyaOrig="1440">
          <v:shape id="_x0000_s1363" type="#_x0000_t75" style="position:absolute;left:0;text-align:left;margin-left:11.25pt;margin-top:104.05pt;width:482pt;height:574.5pt;z-index:251687936;mso-wrap-distance-top:0;mso-wrap-distance-bottom:0;mso-position-vertical-relative:page;mso-width-relative:page;mso-height-relative:page">
            <v:imagedata r:id="rId267" o:title=""/>
            <w10:wrap type="topAndBottom" anchory="page"/>
          </v:shape>
          <o:OLEObject Type="Embed" ProgID="Visio.Drawing.11" ShapeID="_x0000_s1363" DrawAspect="Content" ObjectID="_1577296245" r:id="rId268"/>
        </w:object>
      </w:r>
    </w:p>
    <w:p w:rsidR="00013EC7" w:rsidRDefault="00013EC7"/>
    <w:p w:rsidR="00013EC7" w:rsidRDefault="00013EC7"/>
    <w:p w:rsidR="00013EC7" w:rsidRDefault="00013EC7"/>
    <w:p w:rsidR="00013EC7" w:rsidRDefault="00013EC7">
      <w:pPr>
        <w:jc w:val="left"/>
        <w:rPr>
          <w:rFonts w:ascii="宋体" w:hAnsi="宋体"/>
          <w:sz w:val="28"/>
          <w:szCs w:val="28"/>
        </w:rPr>
        <w:sectPr w:rsidR="00013EC7">
          <w:pgSz w:w="23814" w:h="16840" w:orient="landscape"/>
          <w:pgMar w:top="1701" w:right="1843" w:bottom="1985" w:left="1843" w:header="851" w:footer="1701" w:gutter="0"/>
          <w:pgNumType w:fmt="numberInDash"/>
          <w:cols w:space="720"/>
          <w:docGrid w:type="lines" w:linePitch="312"/>
        </w:sectPr>
      </w:pPr>
    </w:p>
    <w:p w:rsidR="00013EC7" w:rsidRDefault="00575CDB">
      <w:pPr>
        <w:pStyle w:val="2"/>
      </w:pPr>
      <w:bookmarkStart w:id="342" w:name="_Toc503467432"/>
      <w:bookmarkStart w:id="343" w:name="_Toc24898"/>
      <w:bookmarkStart w:id="344" w:name="_Toc5049"/>
      <w:bookmarkStart w:id="345" w:name="_Toc14807"/>
      <w:r>
        <w:rPr>
          <w:rFonts w:hint="eastAsia"/>
        </w:rPr>
        <w:lastRenderedPageBreak/>
        <w:t>17.12</w:t>
      </w:r>
      <w:r>
        <w:rPr>
          <w:rFonts w:hint="eastAsia"/>
        </w:rPr>
        <w:t>居民企业所得税月（季）度预缴纳税申报（适用核定征收）</w:t>
      </w:r>
      <w:bookmarkEnd w:id="342"/>
      <w:bookmarkEnd w:id="343"/>
      <w:bookmarkEnd w:id="344"/>
      <w:bookmarkEnd w:id="345"/>
    </w:p>
    <w:p w:rsidR="00013EC7" w:rsidRDefault="00575CDB">
      <w:pPr>
        <w:jc w:val="center"/>
        <w:rPr>
          <w:rFonts w:ascii="宋体" w:hAnsi="宋体"/>
          <w:b/>
          <w:sz w:val="52"/>
          <w:szCs w:val="52"/>
        </w:rPr>
      </w:pPr>
      <w:r>
        <w:rPr>
          <w:rFonts w:ascii="宋体" w:hAnsi="宋体" w:hint="eastAsia"/>
          <w:b/>
          <w:sz w:val="52"/>
          <w:szCs w:val="52"/>
        </w:rPr>
        <w:t>全省“最多跑一次”事项“八统一”梳理表</w:t>
      </w:r>
    </w:p>
    <w:tbl>
      <w:tblPr>
        <w:tblW w:w="19845"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3964"/>
        <w:gridCol w:w="2126"/>
        <w:gridCol w:w="1276"/>
        <w:gridCol w:w="2268"/>
        <w:gridCol w:w="1134"/>
        <w:gridCol w:w="2166"/>
        <w:gridCol w:w="868"/>
        <w:gridCol w:w="935"/>
        <w:gridCol w:w="851"/>
        <w:gridCol w:w="1074"/>
        <w:gridCol w:w="1476"/>
      </w:tblGrid>
      <w:tr w:rsidR="00013EC7">
        <w:trPr>
          <w:trHeight w:val="340"/>
          <w:tblHeader/>
          <w:jc w:val="center"/>
        </w:trPr>
        <w:tc>
          <w:tcPr>
            <w:tcW w:w="672" w:type="dxa"/>
            <w:vMerge w:val="restart"/>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主项名称</w:t>
            </w:r>
          </w:p>
        </w:tc>
        <w:tc>
          <w:tcPr>
            <w:tcW w:w="1035" w:type="dxa"/>
            <w:vMerge w:val="restart"/>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子项名称</w:t>
            </w:r>
          </w:p>
        </w:tc>
        <w:tc>
          <w:tcPr>
            <w:tcW w:w="3964" w:type="dxa"/>
            <w:vMerge w:val="restart"/>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经办依据</w:t>
            </w:r>
          </w:p>
        </w:tc>
        <w:tc>
          <w:tcPr>
            <w:tcW w:w="3402" w:type="dxa"/>
            <w:gridSpan w:val="2"/>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原经办所需材料</w:t>
            </w:r>
          </w:p>
        </w:tc>
        <w:tc>
          <w:tcPr>
            <w:tcW w:w="5568" w:type="dxa"/>
            <w:gridSpan w:val="3"/>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精简后经办所需材料</w:t>
            </w:r>
          </w:p>
        </w:tc>
        <w:tc>
          <w:tcPr>
            <w:tcW w:w="1803" w:type="dxa"/>
            <w:gridSpan w:val="2"/>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办理时限</w:t>
            </w:r>
          </w:p>
        </w:tc>
        <w:tc>
          <w:tcPr>
            <w:tcW w:w="851"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是否实现跑零次</w:t>
            </w:r>
          </w:p>
        </w:tc>
        <w:tc>
          <w:tcPr>
            <w:tcW w:w="1074"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责任处室</w:t>
            </w:r>
          </w:p>
          <w:p w:rsidR="00013EC7" w:rsidRDefault="00575CDB">
            <w:pPr>
              <w:spacing w:line="280" w:lineRule="exact"/>
              <w:jc w:val="center"/>
              <w:rPr>
                <w:rFonts w:ascii="黑体" w:eastAsia="黑体"/>
                <w:sz w:val="24"/>
              </w:rPr>
            </w:pPr>
            <w:r>
              <w:rPr>
                <w:rFonts w:ascii="黑体" w:eastAsia="黑体" w:hint="eastAsia"/>
                <w:sz w:val="24"/>
              </w:rPr>
              <w:t>（单位）</w:t>
            </w:r>
          </w:p>
        </w:tc>
        <w:tc>
          <w:tcPr>
            <w:tcW w:w="1476"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进一步精简、</w:t>
            </w:r>
          </w:p>
          <w:p w:rsidR="00013EC7" w:rsidRDefault="00575CDB">
            <w:pPr>
              <w:spacing w:line="280" w:lineRule="exact"/>
              <w:jc w:val="center"/>
              <w:rPr>
                <w:rFonts w:ascii="黑体" w:eastAsia="黑体"/>
                <w:sz w:val="24"/>
              </w:rPr>
            </w:pPr>
            <w:r>
              <w:rPr>
                <w:rFonts w:ascii="黑体" w:eastAsia="黑体" w:hint="eastAsia"/>
                <w:sz w:val="24"/>
              </w:rPr>
              <w:t>规范建议</w:t>
            </w:r>
          </w:p>
        </w:tc>
      </w:tr>
      <w:tr w:rsidR="00013EC7">
        <w:trPr>
          <w:trHeight w:val="90"/>
          <w:tblHeader/>
          <w:jc w:val="center"/>
        </w:trPr>
        <w:tc>
          <w:tcPr>
            <w:tcW w:w="672" w:type="dxa"/>
            <w:vMerge/>
            <w:vAlign w:val="center"/>
          </w:tcPr>
          <w:p w:rsidR="00013EC7" w:rsidRDefault="00013EC7">
            <w:pPr>
              <w:jc w:val="center"/>
              <w:rPr>
                <w:rFonts w:ascii="黑体" w:eastAsia="黑体" w:hAnsi="黑体"/>
                <w:sz w:val="24"/>
              </w:rPr>
            </w:pPr>
          </w:p>
        </w:tc>
        <w:tc>
          <w:tcPr>
            <w:tcW w:w="1035" w:type="dxa"/>
            <w:vMerge/>
            <w:vAlign w:val="center"/>
          </w:tcPr>
          <w:p w:rsidR="00013EC7" w:rsidRDefault="00013EC7">
            <w:pPr>
              <w:jc w:val="center"/>
              <w:rPr>
                <w:rFonts w:ascii="黑体" w:eastAsia="黑体" w:hAnsi="黑体"/>
                <w:sz w:val="24"/>
              </w:rPr>
            </w:pPr>
          </w:p>
        </w:tc>
        <w:tc>
          <w:tcPr>
            <w:tcW w:w="3964" w:type="dxa"/>
            <w:vMerge/>
            <w:vAlign w:val="center"/>
          </w:tcPr>
          <w:p w:rsidR="00013EC7" w:rsidRDefault="00013EC7">
            <w:pPr>
              <w:jc w:val="center"/>
              <w:rPr>
                <w:rFonts w:ascii="黑体" w:eastAsia="黑体" w:hAnsi="黑体"/>
                <w:sz w:val="24"/>
              </w:rPr>
            </w:pPr>
          </w:p>
        </w:tc>
        <w:tc>
          <w:tcPr>
            <w:tcW w:w="2126" w:type="dxa"/>
            <w:tcBorders>
              <w:bottom w:val="single" w:sz="4" w:space="0" w:color="auto"/>
            </w:tcBorders>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材料明细</w:t>
            </w:r>
          </w:p>
        </w:tc>
        <w:tc>
          <w:tcPr>
            <w:tcW w:w="1276" w:type="dxa"/>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材料来源</w:t>
            </w:r>
          </w:p>
        </w:tc>
        <w:tc>
          <w:tcPr>
            <w:tcW w:w="2268" w:type="dxa"/>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材料明细</w:t>
            </w:r>
          </w:p>
        </w:tc>
        <w:tc>
          <w:tcPr>
            <w:tcW w:w="1134" w:type="dxa"/>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材料来源</w:t>
            </w:r>
          </w:p>
        </w:tc>
        <w:tc>
          <w:tcPr>
            <w:tcW w:w="2166" w:type="dxa"/>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办理方式及材料</w:t>
            </w:r>
          </w:p>
          <w:p w:rsidR="00013EC7" w:rsidRDefault="00575CDB">
            <w:pPr>
              <w:spacing w:line="280" w:lineRule="exact"/>
              <w:jc w:val="center"/>
              <w:rPr>
                <w:rFonts w:ascii="黑体" w:eastAsia="黑体" w:hAnsi="黑体"/>
                <w:sz w:val="24"/>
              </w:rPr>
            </w:pPr>
            <w:r>
              <w:rPr>
                <w:rFonts w:ascii="黑体" w:eastAsia="黑体" w:hAnsi="黑体" w:hint="eastAsia"/>
                <w:sz w:val="24"/>
              </w:rPr>
              <w:t>信息获取方式说明</w:t>
            </w:r>
          </w:p>
        </w:tc>
        <w:tc>
          <w:tcPr>
            <w:tcW w:w="868" w:type="dxa"/>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优化前</w:t>
            </w:r>
          </w:p>
        </w:tc>
        <w:tc>
          <w:tcPr>
            <w:tcW w:w="935" w:type="dxa"/>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优化后</w:t>
            </w:r>
          </w:p>
        </w:tc>
        <w:tc>
          <w:tcPr>
            <w:tcW w:w="851" w:type="dxa"/>
            <w:vMerge/>
            <w:vAlign w:val="center"/>
          </w:tcPr>
          <w:p w:rsidR="00013EC7" w:rsidRDefault="00013EC7">
            <w:pPr>
              <w:jc w:val="center"/>
            </w:pPr>
          </w:p>
        </w:tc>
        <w:tc>
          <w:tcPr>
            <w:tcW w:w="1074" w:type="dxa"/>
            <w:vMerge/>
            <w:vAlign w:val="center"/>
          </w:tcPr>
          <w:p w:rsidR="00013EC7" w:rsidRDefault="00013EC7">
            <w:pPr>
              <w:jc w:val="center"/>
            </w:pPr>
          </w:p>
        </w:tc>
        <w:tc>
          <w:tcPr>
            <w:tcW w:w="1476" w:type="dxa"/>
            <w:vMerge/>
            <w:vAlign w:val="center"/>
          </w:tcPr>
          <w:p w:rsidR="00013EC7" w:rsidRDefault="00013EC7">
            <w:pPr>
              <w:jc w:val="center"/>
            </w:pPr>
          </w:p>
        </w:tc>
      </w:tr>
      <w:tr w:rsidR="00013EC7">
        <w:trPr>
          <w:trHeight w:val="1936"/>
          <w:jc w:val="center"/>
        </w:trPr>
        <w:tc>
          <w:tcPr>
            <w:tcW w:w="672" w:type="dxa"/>
            <w:vMerge w:val="restart"/>
            <w:vAlign w:val="center"/>
          </w:tcPr>
          <w:p w:rsidR="00013EC7" w:rsidRDefault="00575CDB">
            <w:pPr>
              <w:rPr>
                <w:rFonts w:ascii="仿宋" w:eastAsia="仿宋" w:hAnsi="仿宋"/>
                <w:sz w:val="24"/>
              </w:rPr>
            </w:pPr>
            <w:r>
              <w:rPr>
                <w:rFonts w:ascii="仿宋" w:eastAsia="仿宋" w:hAnsi="仿宋"/>
                <w:sz w:val="24"/>
              </w:rPr>
              <w:t>1</w:t>
            </w:r>
            <w:r>
              <w:rPr>
                <w:rFonts w:ascii="仿宋" w:eastAsia="仿宋" w:hAnsi="仿宋" w:hint="eastAsia"/>
                <w:sz w:val="24"/>
              </w:rPr>
              <w:t>7日常税费申报</w:t>
            </w:r>
          </w:p>
        </w:tc>
        <w:tc>
          <w:tcPr>
            <w:tcW w:w="1035" w:type="dxa"/>
            <w:vMerge w:val="restart"/>
            <w:vAlign w:val="center"/>
          </w:tcPr>
          <w:p w:rsidR="00013EC7" w:rsidRDefault="00575CDB">
            <w:pPr>
              <w:rPr>
                <w:rFonts w:ascii="仿宋" w:eastAsia="仿宋" w:hAnsi="仿宋"/>
                <w:sz w:val="24"/>
              </w:rPr>
            </w:pPr>
            <w:r>
              <w:rPr>
                <w:rFonts w:ascii="仿宋" w:eastAsia="仿宋" w:hAnsi="仿宋"/>
                <w:sz w:val="24"/>
              </w:rPr>
              <w:t>1</w:t>
            </w:r>
            <w:r>
              <w:rPr>
                <w:rFonts w:ascii="仿宋" w:eastAsia="仿宋" w:hAnsi="仿宋" w:hint="eastAsia"/>
                <w:sz w:val="24"/>
              </w:rPr>
              <w:t>7</w:t>
            </w:r>
            <w:r>
              <w:rPr>
                <w:rFonts w:ascii="仿宋" w:eastAsia="仿宋" w:hAnsi="仿宋"/>
                <w:sz w:val="24"/>
              </w:rPr>
              <w:t>.12</w:t>
            </w:r>
            <w:r>
              <w:rPr>
                <w:rFonts w:ascii="仿宋" w:eastAsia="仿宋" w:hAnsi="仿宋" w:hint="eastAsia"/>
                <w:sz w:val="24"/>
              </w:rPr>
              <w:t>居民企业所得税月（季）度预缴纳税申报（适用核定征收）</w:t>
            </w:r>
          </w:p>
        </w:tc>
        <w:tc>
          <w:tcPr>
            <w:tcW w:w="3964" w:type="dxa"/>
            <w:vMerge w:val="restart"/>
            <w:vAlign w:val="center"/>
          </w:tcPr>
          <w:p w:rsidR="00013EC7" w:rsidRDefault="00575CDB">
            <w:pPr>
              <w:rPr>
                <w:rFonts w:ascii="仿宋" w:eastAsia="仿宋" w:hAnsi="仿宋"/>
                <w:sz w:val="24"/>
              </w:rPr>
            </w:pPr>
            <w:r>
              <w:rPr>
                <w:rFonts w:ascii="仿宋" w:eastAsia="仿宋" w:hAnsi="仿宋" w:hint="eastAsia"/>
                <w:sz w:val="24"/>
              </w:rPr>
              <w:t>（一）《全国人民代表大会常务委员会关于修改〈中华人民共和国企业所得税法〉的决定》（2017年中华人民共和国主席令第64号）第五十四条</w:t>
            </w:r>
            <w:r>
              <w:rPr>
                <w:rFonts w:ascii="仿宋" w:eastAsia="仿宋" w:hAnsi="仿宋"/>
                <w:sz w:val="24"/>
              </w:rPr>
              <w:t>。</w:t>
            </w:r>
          </w:p>
          <w:p w:rsidR="00013EC7" w:rsidRDefault="00575CDB">
            <w:pPr>
              <w:widowControl/>
              <w:jc w:val="left"/>
              <w:rPr>
                <w:rFonts w:ascii="仿宋" w:eastAsia="仿宋" w:hAnsi="仿宋"/>
                <w:sz w:val="24"/>
              </w:rPr>
            </w:pPr>
            <w:r>
              <w:rPr>
                <w:rFonts w:ascii="仿宋" w:eastAsia="仿宋" w:hAnsi="仿宋" w:hint="eastAsia"/>
                <w:sz w:val="24"/>
              </w:rPr>
              <w:t>（二）</w:t>
            </w:r>
            <w:r>
              <w:rPr>
                <w:rFonts w:ascii="仿宋" w:eastAsia="仿宋" w:hAnsi="仿宋"/>
                <w:sz w:val="24"/>
              </w:rPr>
              <w:t>《中华人民共和国企业所得税法实施条例》</w:t>
            </w:r>
            <w:r>
              <w:rPr>
                <w:rFonts w:ascii="仿宋" w:eastAsia="仿宋" w:hAnsi="仿宋" w:hint="eastAsia"/>
                <w:sz w:val="24"/>
              </w:rPr>
              <w:t>（2007年</w:t>
            </w:r>
            <w:r>
              <w:rPr>
                <w:rFonts w:ascii="仿宋" w:eastAsia="仿宋" w:hAnsi="仿宋"/>
                <w:sz w:val="24"/>
              </w:rPr>
              <w:t>中华人民共和国国务院令第512号</w:t>
            </w:r>
            <w:r>
              <w:rPr>
                <w:rFonts w:ascii="仿宋" w:eastAsia="仿宋" w:hAnsi="仿宋" w:hint="eastAsia"/>
                <w:sz w:val="24"/>
              </w:rPr>
              <w:t>）第一百二十八条、第一百二十九条、第一百三十条</w:t>
            </w:r>
            <w:r>
              <w:rPr>
                <w:rFonts w:ascii="仿宋" w:eastAsia="仿宋" w:hAnsi="仿宋"/>
                <w:sz w:val="24"/>
              </w:rPr>
              <w:t>。</w:t>
            </w:r>
          </w:p>
          <w:p w:rsidR="00013EC7" w:rsidRDefault="00575CDB">
            <w:pPr>
              <w:widowControl/>
              <w:jc w:val="left"/>
              <w:rPr>
                <w:rFonts w:ascii="仿宋" w:eastAsia="仿宋" w:hAnsi="仿宋"/>
                <w:sz w:val="24"/>
              </w:rPr>
            </w:pPr>
            <w:r>
              <w:rPr>
                <w:rFonts w:ascii="仿宋" w:eastAsia="仿宋" w:hAnsi="仿宋" w:hint="eastAsia"/>
                <w:sz w:val="24"/>
              </w:rPr>
              <w:t>（三）</w:t>
            </w:r>
            <w:r>
              <w:rPr>
                <w:rFonts w:ascii="仿宋" w:eastAsia="仿宋" w:hAnsi="仿宋"/>
                <w:sz w:val="24"/>
              </w:rPr>
              <w:t>《国家税务总局关于居民企业报告境外投资和所得信息有关问题的公告》（国家税务总局公告2014年第38号）</w:t>
            </w:r>
            <w:r>
              <w:rPr>
                <w:rFonts w:ascii="仿宋" w:eastAsia="仿宋" w:hAnsi="仿宋" w:hint="eastAsia"/>
                <w:sz w:val="24"/>
              </w:rPr>
              <w:t>第一条</w:t>
            </w:r>
            <w:r>
              <w:rPr>
                <w:rFonts w:ascii="仿宋" w:eastAsia="仿宋" w:hAnsi="仿宋"/>
                <w:sz w:val="24"/>
              </w:rPr>
              <w:t>。</w:t>
            </w:r>
          </w:p>
          <w:p w:rsidR="00013EC7" w:rsidRDefault="00575CDB">
            <w:pPr>
              <w:widowControl/>
              <w:jc w:val="left"/>
              <w:rPr>
                <w:rFonts w:ascii="仿宋" w:eastAsia="仿宋" w:hAnsi="仿宋"/>
                <w:sz w:val="24"/>
              </w:rPr>
            </w:pPr>
            <w:r>
              <w:rPr>
                <w:rFonts w:ascii="仿宋" w:eastAsia="仿宋" w:hAnsi="仿宋" w:hint="eastAsia"/>
                <w:sz w:val="24"/>
              </w:rPr>
              <w:t>（四）</w:t>
            </w:r>
            <w:r>
              <w:rPr>
                <w:rFonts w:ascii="仿宋" w:eastAsia="仿宋" w:hAnsi="仿宋"/>
                <w:sz w:val="24"/>
              </w:rPr>
              <w:t>《国家税务总局关于发布</w:t>
            </w:r>
            <w:r>
              <w:rPr>
                <w:rFonts w:ascii="仿宋" w:eastAsia="仿宋" w:hAnsi="仿宋" w:hint="eastAsia"/>
                <w:sz w:val="24"/>
              </w:rPr>
              <w:t>〈</w:t>
            </w:r>
            <w:r>
              <w:rPr>
                <w:rFonts w:ascii="仿宋" w:eastAsia="仿宋" w:hAnsi="仿宋"/>
                <w:sz w:val="24"/>
              </w:rPr>
              <w:t>中华人民共和国企业所得税月（季）度预缴纳税申报表（2015年版）等报表</w:t>
            </w:r>
            <w:r>
              <w:rPr>
                <w:rFonts w:ascii="仿宋" w:eastAsia="仿宋" w:hAnsi="仿宋" w:hint="eastAsia"/>
                <w:sz w:val="24"/>
              </w:rPr>
              <w:t>〉</w:t>
            </w:r>
            <w:r>
              <w:rPr>
                <w:rFonts w:ascii="仿宋" w:eastAsia="仿宋" w:hAnsi="仿宋"/>
                <w:sz w:val="24"/>
              </w:rPr>
              <w:t>的公告》（国家税务总局公告 2015年第31号）</w:t>
            </w:r>
            <w:r>
              <w:rPr>
                <w:rFonts w:ascii="仿宋" w:eastAsia="仿宋" w:hAnsi="仿宋" w:hint="eastAsia"/>
                <w:sz w:val="24"/>
              </w:rPr>
              <w:t>全文</w:t>
            </w:r>
            <w:r>
              <w:rPr>
                <w:rFonts w:ascii="仿宋" w:eastAsia="仿宋" w:hAnsi="仿宋"/>
                <w:sz w:val="24"/>
              </w:rPr>
              <w:t>。</w:t>
            </w:r>
          </w:p>
          <w:p w:rsidR="00013EC7" w:rsidRDefault="00575CDB">
            <w:pPr>
              <w:widowControl/>
              <w:jc w:val="left"/>
              <w:rPr>
                <w:rFonts w:ascii="仿宋" w:eastAsia="仿宋" w:hAnsi="仿宋"/>
                <w:sz w:val="24"/>
              </w:rPr>
            </w:pPr>
            <w:r>
              <w:rPr>
                <w:rFonts w:ascii="仿宋" w:eastAsia="仿宋" w:hAnsi="仿宋" w:hint="eastAsia"/>
                <w:sz w:val="24"/>
              </w:rPr>
              <w:t>（五）</w:t>
            </w:r>
            <w:r>
              <w:rPr>
                <w:rFonts w:ascii="仿宋" w:eastAsia="仿宋" w:hAnsi="仿宋"/>
                <w:sz w:val="24"/>
              </w:rPr>
              <w:t>《国家税务总局关于修改企业所得税月（季）度预缴纳税申报表的公告》（国家税务总局公告2015年第79号）</w:t>
            </w:r>
            <w:r>
              <w:rPr>
                <w:rFonts w:ascii="仿宋" w:eastAsia="仿宋" w:hAnsi="仿宋" w:hint="eastAsia"/>
                <w:sz w:val="24"/>
              </w:rPr>
              <w:t>全文</w:t>
            </w:r>
            <w:r>
              <w:rPr>
                <w:rFonts w:ascii="仿宋" w:eastAsia="仿宋" w:hAnsi="仿宋"/>
                <w:sz w:val="24"/>
              </w:rPr>
              <w:t>。</w:t>
            </w:r>
          </w:p>
          <w:p w:rsidR="00013EC7" w:rsidRDefault="00575CDB">
            <w:pPr>
              <w:rPr>
                <w:rFonts w:ascii="仿宋" w:eastAsia="仿宋" w:hAnsi="仿宋"/>
                <w:sz w:val="24"/>
              </w:rPr>
            </w:pPr>
            <w:r>
              <w:rPr>
                <w:rFonts w:ascii="仿宋" w:eastAsia="仿宋" w:hAnsi="仿宋" w:hint="eastAsia"/>
                <w:sz w:val="24"/>
              </w:rPr>
              <w:t>（六）</w:t>
            </w:r>
            <w:r>
              <w:rPr>
                <w:rFonts w:ascii="仿宋" w:eastAsia="仿宋" w:hAnsi="仿宋"/>
                <w:sz w:val="24"/>
              </w:rPr>
              <w:t>《国家税务总局关于合理简并纳税人申报缴税次数的公告》（国家税务总局公告 2016 年第6号）</w:t>
            </w:r>
            <w:r>
              <w:rPr>
                <w:rFonts w:ascii="仿宋" w:eastAsia="仿宋" w:hAnsi="仿宋" w:hint="eastAsia"/>
                <w:sz w:val="24"/>
              </w:rPr>
              <w:t>第三条。</w:t>
            </w:r>
          </w:p>
        </w:tc>
        <w:tc>
          <w:tcPr>
            <w:tcW w:w="2126" w:type="dxa"/>
            <w:tcBorders>
              <w:top w:val="single" w:sz="4" w:space="0" w:color="auto"/>
              <w:bottom w:val="single" w:sz="4" w:space="0" w:color="auto"/>
            </w:tcBorders>
            <w:vAlign w:val="center"/>
          </w:tcPr>
          <w:p w:rsidR="00013EC7" w:rsidRDefault="00575CDB">
            <w:pPr>
              <w:spacing w:line="300" w:lineRule="exact"/>
              <w:rPr>
                <w:rFonts w:ascii="仿宋" w:eastAsia="仿宋" w:hAnsi="仿宋"/>
                <w:sz w:val="24"/>
              </w:rPr>
            </w:pPr>
            <w:r>
              <w:rPr>
                <w:rFonts w:ascii="仿宋" w:eastAsia="仿宋" w:hAnsi="仿宋" w:hint="eastAsia"/>
                <w:sz w:val="24"/>
              </w:rPr>
              <w:t>（一）（A06639）《中华人民共和国企业所得税月（季）度预缴和年度纳税申报表（B类，2015年版）》</w:t>
            </w:r>
            <w:r>
              <w:rPr>
                <w:rFonts w:ascii="仿宋" w:eastAsia="仿宋" w:hAnsi="仿宋" w:hint="eastAsia"/>
                <w:sz w:val="24"/>
                <w:highlight w:val="lightGray"/>
              </w:rPr>
              <w:t>2份。</w:t>
            </w:r>
          </w:p>
        </w:tc>
        <w:tc>
          <w:tcPr>
            <w:tcW w:w="1276" w:type="dxa"/>
            <w:vAlign w:val="center"/>
          </w:tcPr>
          <w:p w:rsidR="00013EC7" w:rsidRDefault="00575CDB">
            <w:pPr>
              <w:spacing w:line="300" w:lineRule="exact"/>
              <w:rPr>
                <w:rFonts w:ascii="仿宋" w:eastAsia="仿宋" w:hAnsi="仿宋"/>
                <w:sz w:val="24"/>
              </w:rPr>
            </w:pPr>
            <w:r>
              <w:rPr>
                <w:rFonts w:ascii="仿宋" w:eastAsia="仿宋" w:hAnsi="仿宋" w:hint="eastAsia"/>
                <w:sz w:val="24"/>
              </w:rPr>
              <w:t>纳税人提交</w:t>
            </w:r>
          </w:p>
        </w:tc>
        <w:tc>
          <w:tcPr>
            <w:tcW w:w="2268" w:type="dxa"/>
            <w:vAlign w:val="center"/>
          </w:tcPr>
          <w:p w:rsidR="00013EC7" w:rsidRDefault="00575CDB">
            <w:pPr>
              <w:spacing w:line="300" w:lineRule="exact"/>
              <w:rPr>
                <w:rFonts w:ascii="仿宋" w:eastAsia="仿宋" w:hAnsi="仿宋"/>
                <w:sz w:val="24"/>
              </w:rPr>
            </w:pPr>
            <w:r>
              <w:rPr>
                <w:rFonts w:ascii="仿宋" w:eastAsia="仿宋" w:hAnsi="仿宋" w:hint="eastAsia"/>
                <w:sz w:val="24"/>
              </w:rPr>
              <w:t>（一）（A06639）《中华人民共和国企业所得税月（季）度预缴和年度纳税申报表（B类，2015年版）》1份。</w:t>
            </w:r>
          </w:p>
        </w:tc>
        <w:tc>
          <w:tcPr>
            <w:tcW w:w="1134" w:type="dxa"/>
            <w:vAlign w:val="center"/>
          </w:tcPr>
          <w:p w:rsidR="00013EC7" w:rsidRDefault="00575CDB">
            <w:pPr>
              <w:spacing w:line="300" w:lineRule="exact"/>
              <w:rPr>
                <w:rFonts w:ascii="仿宋" w:eastAsia="仿宋" w:hAnsi="仿宋"/>
                <w:i/>
                <w:iCs/>
                <w:sz w:val="24"/>
              </w:rPr>
            </w:pPr>
            <w:r>
              <w:rPr>
                <w:rFonts w:ascii="仿宋" w:eastAsia="仿宋" w:hAnsi="仿宋" w:hint="eastAsia"/>
                <w:sz w:val="24"/>
              </w:rPr>
              <w:t>纳税人提交</w:t>
            </w:r>
          </w:p>
        </w:tc>
        <w:tc>
          <w:tcPr>
            <w:tcW w:w="2166" w:type="dxa"/>
            <w:vMerge w:val="restart"/>
            <w:vAlign w:val="center"/>
          </w:tcPr>
          <w:p w:rsidR="00013EC7" w:rsidRDefault="00575CDB">
            <w:pPr>
              <w:rPr>
                <w:rFonts w:ascii="仿宋" w:eastAsia="仿宋" w:hAnsi="仿宋"/>
                <w:sz w:val="24"/>
              </w:rPr>
            </w:pPr>
            <w:r>
              <w:rPr>
                <w:rFonts w:ascii="仿宋" w:eastAsia="仿宋" w:hAnsi="仿宋"/>
                <w:b/>
                <w:sz w:val="24"/>
              </w:rPr>
              <w:t>现场办理：</w:t>
            </w:r>
            <w:r>
              <w:rPr>
                <w:rFonts w:ascii="仿宋" w:eastAsia="仿宋" w:hAnsi="仿宋" w:hint="eastAsia"/>
                <w:bCs/>
                <w:sz w:val="24"/>
              </w:rPr>
              <w:t>纳税人</w:t>
            </w:r>
            <w:r>
              <w:rPr>
                <w:rFonts w:ascii="仿宋" w:eastAsia="仿宋" w:hAnsi="仿宋" w:hint="eastAsia"/>
                <w:sz w:val="24"/>
              </w:rPr>
              <w:t>提交书面材料，符合受理条件的当场受理办结。</w:t>
            </w:r>
          </w:p>
          <w:p w:rsidR="00013EC7" w:rsidRDefault="00575CDB">
            <w:pPr>
              <w:spacing w:line="300" w:lineRule="exact"/>
              <w:rPr>
                <w:rFonts w:ascii="仿宋" w:eastAsia="仿宋" w:hAnsi="仿宋"/>
                <w:sz w:val="24"/>
              </w:rPr>
            </w:pPr>
            <w:r>
              <w:rPr>
                <w:rFonts w:ascii="仿宋" w:eastAsia="仿宋" w:hAnsi="仿宋" w:cs="仿宋" w:hint="eastAsia"/>
                <w:b/>
                <w:bCs/>
                <w:sz w:val="24"/>
              </w:rPr>
              <w:t>网上办理：</w:t>
            </w:r>
            <w:r>
              <w:rPr>
                <w:rFonts w:ascii="仿宋" w:eastAsia="仿宋" w:hAnsi="仿宋" w:hint="eastAsia"/>
                <w:sz w:val="24"/>
              </w:rPr>
              <w:t>登录浙江国税电子税务局（网址：</w:t>
            </w:r>
            <w:hyperlink r:id="rId269" w:tgtFrame="https://wx.qq.com/_blank" w:history="1">
              <w:r>
                <w:rPr>
                  <w:rFonts w:ascii="仿宋" w:eastAsia="仿宋" w:hAnsi="仿宋" w:hint="eastAsia"/>
                  <w:sz w:val="24"/>
                </w:rPr>
                <w:t>http://etax.zjtax.gov.cn/</w:t>
              </w:r>
            </w:hyperlink>
          </w:p>
          <w:p w:rsidR="00013EC7" w:rsidRDefault="00575CDB">
            <w:pPr>
              <w:spacing w:line="300" w:lineRule="exact"/>
              <w:rPr>
                <w:rFonts w:ascii="仿宋" w:eastAsia="仿宋" w:hAnsi="仿宋"/>
                <w:sz w:val="24"/>
              </w:rPr>
            </w:pPr>
            <w:r>
              <w:rPr>
                <w:rFonts w:ascii="仿宋" w:eastAsia="仿宋" w:hAnsi="仿宋" w:hint="eastAsia"/>
                <w:sz w:val="24"/>
              </w:rPr>
              <w:t>）提交申请。</w:t>
            </w:r>
          </w:p>
        </w:tc>
        <w:tc>
          <w:tcPr>
            <w:tcW w:w="868" w:type="dxa"/>
            <w:vMerge w:val="restart"/>
            <w:vAlign w:val="center"/>
          </w:tcPr>
          <w:p w:rsidR="00013EC7" w:rsidRDefault="00575CDB">
            <w:pPr>
              <w:spacing w:line="300" w:lineRule="exact"/>
              <w:rPr>
                <w:rFonts w:ascii="仿宋" w:eastAsia="仿宋" w:hAnsi="仿宋"/>
                <w:sz w:val="24"/>
              </w:rPr>
            </w:pPr>
            <w:r>
              <w:rPr>
                <w:rFonts w:ascii="仿宋" w:eastAsia="仿宋" w:hAnsi="仿宋" w:hint="eastAsia"/>
                <w:sz w:val="24"/>
              </w:rPr>
              <w:t>即时办结</w:t>
            </w:r>
          </w:p>
        </w:tc>
        <w:tc>
          <w:tcPr>
            <w:tcW w:w="935" w:type="dxa"/>
            <w:vMerge w:val="restart"/>
            <w:vAlign w:val="center"/>
          </w:tcPr>
          <w:p w:rsidR="00013EC7" w:rsidRDefault="00575CDB">
            <w:pPr>
              <w:spacing w:line="300" w:lineRule="exact"/>
              <w:rPr>
                <w:rFonts w:ascii="仿宋" w:eastAsia="仿宋" w:hAnsi="仿宋"/>
                <w:sz w:val="24"/>
              </w:rPr>
            </w:pPr>
            <w:r>
              <w:rPr>
                <w:rFonts w:ascii="仿宋" w:eastAsia="仿宋" w:hAnsi="仿宋" w:hint="eastAsia"/>
                <w:sz w:val="24"/>
              </w:rPr>
              <w:t>即时办结</w:t>
            </w:r>
          </w:p>
        </w:tc>
        <w:tc>
          <w:tcPr>
            <w:tcW w:w="851" w:type="dxa"/>
            <w:vMerge w:val="restart"/>
            <w:vAlign w:val="center"/>
          </w:tcPr>
          <w:p w:rsidR="00013EC7" w:rsidRDefault="00575CDB">
            <w:pPr>
              <w:spacing w:line="300" w:lineRule="exact"/>
              <w:rPr>
                <w:rFonts w:ascii="仿宋" w:eastAsia="仿宋" w:hAnsi="仿宋"/>
                <w:sz w:val="24"/>
              </w:rPr>
            </w:pPr>
            <w:r>
              <w:rPr>
                <w:rFonts w:ascii="仿宋" w:eastAsia="仿宋" w:hAnsi="仿宋" w:hint="eastAsia"/>
                <w:sz w:val="24"/>
              </w:rPr>
              <w:t>是</w:t>
            </w:r>
          </w:p>
        </w:tc>
        <w:tc>
          <w:tcPr>
            <w:tcW w:w="1074" w:type="dxa"/>
            <w:vMerge w:val="restart"/>
            <w:vAlign w:val="center"/>
          </w:tcPr>
          <w:p w:rsidR="00013EC7" w:rsidRDefault="00575CDB">
            <w:pPr>
              <w:spacing w:line="300" w:lineRule="exact"/>
              <w:rPr>
                <w:rFonts w:ascii="仿宋" w:eastAsia="仿宋" w:hAnsi="仿宋"/>
                <w:sz w:val="24"/>
              </w:rPr>
            </w:pPr>
            <w:r>
              <w:rPr>
                <w:rFonts w:ascii="仿宋" w:eastAsia="仿宋" w:hAnsi="仿宋" w:hint="eastAsia"/>
                <w:sz w:val="24"/>
              </w:rPr>
              <w:t>所得税处</w:t>
            </w:r>
          </w:p>
        </w:tc>
        <w:tc>
          <w:tcPr>
            <w:tcW w:w="1476" w:type="dxa"/>
            <w:vMerge w:val="restart"/>
            <w:vAlign w:val="center"/>
          </w:tcPr>
          <w:p w:rsidR="00013EC7" w:rsidRDefault="00013EC7">
            <w:pPr>
              <w:spacing w:line="300" w:lineRule="exact"/>
              <w:rPr>
                <w:rFonts w:ascii="仿宋" w:eastAsia="仿宋" w:hAnsi="仿宋"/>
                <w:sz w:val="24"/>
              </w:rPr>
            </w:pPr>
          </w:p>
        </w:tc>
      </w:tr>
      <w:tr w:rsidR="00013EC7">
        <w:trPr>
          <w:trHeight w:val="756"/>
          <w:jc w:val="center"/>
        </w:trPr>
        <w:tc>
          <w:tcPr>
            <w:tcW w:w="672" w:type="dxa"/>
            <w:vMerge/>
            <w:tcBorders>
              <w:bottom w:val="single" w:sz="4" w:space="0" w:color="auto"/>
            </w:tcBorders>
            <w:textDirection w:val="tbRlV"/>
            <w:vAlign w:val="center"/>
          </w:tcPr>
          <w:p w:rsidR="00013EC7" w:rsidRDefault="00013EC7">
            <w:pPr>
              <w:rPr>
                <w:rFonts w:ascii="仿宋" w:eastAsia="仿宋" w:hAnsi="仿宋"/>
                <w:sz w:val="24"/>
              </w:rPr>
            </w:pPr>
          </w:p>
        </w:tc>
        <w:tc>
          <w:tcPr>
            <w:tcW w:w="1035" w:type="dxa"/>
            <w:vMerge/>
            <w:tcBorders>
              <w:bottom w:val="single" w:sz="4" w:space="0" w:color="auto"/>
            </w:tcBorders>
            <w:vAlign w:val="center"/>
          </w:tcPr>
          <w:p w:rsidR="00013EC7" w:rsidRDefault="00013EC7">
            <w:pPr>
              <w:rPr>
                <w:rFonts w:ascii="仿宋" w:eastAsia="仿宋" w:hAnsi="仿宋"/>
                <w:sz w:val="24"/>
              </w:rPr>
            </w:pPr>
          </w:p>
        </w:tc>
        <w:tc>
          <w:tcPr>
            <w:tcW w:w="3964" w:type="dxa"/>
            <w:vMerge/>
            <w:tcBorders>
              <w:bottom w:val="single" w:sz="4" w:space="0" w:color="auto"/>
            </w:tcBorders>
            <w:vAlign w:val="center"/>
          </w:tcPr>
          <w:p w:rsidR="00013EC7" w:rsidRDefault="00013EC7">
            <w:pPr>
              <w:rPr>
                <w:rFonts w:ascii="仿宋" w:eastAsia="仿宋" w:hAnsi="仿宋"/>
                <w:sz w:val="24"/>
              </w:rPr>
            </w:pPr>
          </w:p>
        </w:tc>
        <w:tc>
          <w:tcPr>
            <w:tcW w:w="2126" w:type="dxa"/>
            <w:tcBorders>
              <w:bottom w:val="single" w:sz="4" w:space="0" w:color="auto"/>
            </w:tcBorders>
            <w:vAlign w:val="center"/>
          </w:tcPr>
          <w:p w:rsidR="00013EC7" w:rsidRDefault="00575CDB">
            <w:pPr>
              <w:spacing w:line="300" w:lineRule="exact"/>
              <w:rPr>
                <w:rFonts w:ascii="仿宋" w:eastAsia="仿宋" w:hAnsi="仿宋" w:cs="宋体"/>
                <w:kern w:val="1"/>
                <w:sz w:val="24"/>
              </w:rPr>
            </w:pPr>
            <w:bookmarkStart w:id="346" w:name="RANGE!D5"/>
            <w:r>
              <w:rPr>
                <w:rFonts w:ascii="仿宋" w:eastAsia="仿宋" w:hAnsi="仿宋" w:hint="eastAsia"/>
                <w:sz w:val="24"/>
              </w:rPr>
              <w:t>（二）（</w:t>
            </w:r>
            <w:r>
              <w:rPr>
                <w:rFonts w:ascii="仿宋" w:eastAsia="仿宋" w:hAnsi="仿宋"/>
                <w:sz w:val="24"/>
              </w:rPr>
              <w:t>A06547</w:t>
            </w:r>
            <w:r>
              <w:rPr>
                <w:rFonts w:ascii="仿宋" w:eastAsia="仿宋" w:hAnsi="仿宋" w:hint="eastAsia"/>
                <w:sz w:val="24"/>
              </w:rPr>
              <w:t>）《居民企业参股外国企业信息报告表》</w:t>
            </w:r>
            <w:bookmarkEnd w:id="346"/>
            <w:r>
              <w:rPr>
                <w:rFonts w:ascii="仿宋" w:eastAsia="仿宋" w:hAnsi="仿宋" w:hint="eastAsia"/>
                <w:sz w:val="24"/>
              </w:rPr>
              <w:t>。</w:t>
            </w:r>
          </w:p>
        </w:tc>
        <w:tc>
          <w:tcPr>
            <w:tcW w:w="1276" w:type="dxa"/>
            <w:tcBorders>
              <w:bottom w:val="single" w:sz="4" w:space="0" w:color="auto"/>
            </w:tcBorders>
            <w:vAlign w:val="center"/>
          </w:tcPr>
          <w:p w:rsidR="00013EC7" w:rsidRDefault="00575CDB">
            <w:pPr>
              <w:rPr>
                <w:rFonts w:ascii="仿宋" w:eastAsia="仿宋" w:hAnsi="仿宋"/>
                <w:sz w:val="24"/>
              </w:rPr>
            </w:pPr>
            <w:r>
              <w:rPr>
                <w:rFonts w:ascii="仿宋" w:eastAsia="仿宋" w:hAnsi="仿宋" w:hint="eastAsia"/>
                <w:sz w:val="24"/>
              </w:rPr>
              <w:t>境外投资居民企业提交</w:t>
            </w:r>
          </w:p>
        </w:tc>
        <w:tc>
          <w:tcPr>
            <w:tcW w:w="2268" w:type="dxa"/>
            <w:tcBorders>
              <w:bottom w:val="single" w:sz="4" w:space="0" w:color="auto"/>
            </w:tcBorders>
            <w:vAlign w:val="center"/>
          </w:tcPr>
          <w:p w:rsidR="00013EC7" w:rsidRDefault="00575CDB">
            <w:pPr>
              <w:spacing w:line="300" w:lineRule="exact"/>
              <w:rPr>
                <w:rFonts w:ascii="仿宋" w:eastAsia="仿宋" w:hAnsi="仿宋"/>
                <w:sz w:val="24"/>
              </w:rPr>
            </w:pPr>
            <w:r>
              <w:rPr>
                <w:rFonts w:ascii="仿宋" w:eastAsia="仿宋" w:hAnsi="仿宋" w:hint="eastAsia"/>
                <w:sz w:val="24"/>
              </w:rPr>
              <w:t>（二）（</w:t>
            </w:r>
            <w:r>
              <w:rPr>
                <w:rFonts w:ascii="仿宋" w:eastAsia="仿宋" w:hAnsi="仿宋"/>
                <w:sz w:val="24"/>
              </w:rPr>
              <w:t>A06547</w:t>
            </w:r>
            <w:r>
              <w:rPr>
                <w:rFonts w:ascii="仿宋" w:eastAsia="仿宋" w:hAnsi="仿宋" w:hint="eastAsia"/>
                <w:sz w:val="24"/>
              </w:rPr>
              <w:t>）《居民企业参股外国企业信息报告表》1份。</w:t>
            </w:r>
          </w:p>
        </w:tc>
        <w:tc>
          <w:tcPr>
            <w:tcW w:w="1134" w:type="dxa"/>
            <w:tcBorders>
              <w:bottom w:val="single" w:sz="4" w:space="0" w:color="auto"/>
            </w:tcBorders>
            <w:vAlign w:val="center"/>
          </w:tcPr>
          <w:p w:rsidR="00013EC7" w:rsidRDefault="00575CDB">
            <w:pPr>
              <w:rPr>
                <w:rFonts w:ascii="仿宋" w:eastAsia="仿宋" w:hAnsi="仿宋"/>
                <w:sz w:val="24"/>
              </w:rPr>
            </w:pPr>
            <w:r>
              <w:rPr>
                <w:rFonts w:ascii="仿宋" w:eastAsia="仿宋" w:hAnsi="仿宋" w:hint="eastAsia"/>
                <w:sz w:val="24"/>
              </w:rPr>
              <w:t>境外投资居民企业提交</w:t>
            </w:r>
          </w:p>
        </w:tc>
        <w:tc>
          <w:tcPr>
            <w:tcW w:w="2166" w:type="dxa"/>
            <w:vMerge/>
            <w:tcBorders>
              <w:bottom w:val="single" w:sz="4" w:space="0" w:color="auto"/>
            </w:tcBorders>
            <w:vAlign w:val="center"/>
          </w:tcPr>
          <w:p w:rsidR="00013EC7" w:rsidRDefault="00013EC7">
            <w:pPr>
              <w:spacing w:line="300" w:lineRule="exact"/>
              <w:rPr>
                <w:rFonts w:ascii="仿宋" w:eastAsia="仿宋" w:hAnsi="仿宋"/>
                <w:sz w:val="24"/>
              </w:rPr>
            </w:pPr>
          </w:p>
        </w:tc>
        <w:tc>
          <w:tcPr>
            <w:tcW w:w="868" w:type="dxa"/>
            <w:vMerge/>
            <w:tcBorders>
              <w:bottom w:val="single" w:sz="4" w:space="0" w:color="auto"/>
            </w:tcBorders>
            <w:vAlign w:val="center"/>
          </w:tcPr>
          <w:p w:rsidR="00013EC7" w:rsidRDefault="00013EC7">
            <w:pPr>
              <w:rPr>
                <w:rFonts w:ascii="仿宋" w:eastAsia="仿宋" w:hAnsi="仿宋"/>
                <w:sz w:val="24"/>
              </w:rPr>
            </w:pPr>
          </w:p>
        </w:tc>
        <w:tc>
          <w:tcPr>
            <w:tcW w:w="935" w:type="dxa"/>
            <w:vMerge/>
            <w:tcBorders>
              <w:bottom w:val="single" w:sz="4" w:space="0" w:color="auto"/>
            </w:tcBorders>
            <w:vAlign w:val="center"/>
          </w:tcPr>
          <w:p w:rsidR="00013EC7" w:rsidRDefault="00013EC7">
            <w:pPr>
              <w:rPr>
                <w:rFonts w:ascii="仿宋" w:eastAsia="仿宋" w:hAnsi="仿宋"/>
                <w:sz w:val="24"/>
              </w:rPr>
            </w:pPr>
          </w:p>
        </w:tc>
        <w:tc>
          <w:tcPr>
            <w:tcW w:w="851" w:type="dxa"/>
            <w:vMerge/>
            <w:tcBorders>
              <w:bottom w:val="single" w:sz="4" w:space="0" w:color="auto"/>
            </w:tcBorders>
            <w:vAlign w:val="center"/>
          </w:tcPr>
          <w:p w:rsidR="00013EC7" w:rsidRDefault="00013EC7">
            <w:pPr>
              <w:rPr>
                <w:rFonts w:ascii="仿宋" w:eastAsia="仿宋" w:hAnsi="仿宋"/>
                <w:sz w:val="24"/>
              </w:rPr>
            </w:pPr>
          </w:p>
        </w:tc>
        <w:tc>
          <w:tcPr>
            <w:tcW w:w="1074" w:type="dxa"/>
            <w:vMerge/>
            <w:tcBorders>
              <w:bottom w:val="single" w:sz="4" w:space="0" w:color="auto"/>
            </w:tcBorders>
            <w:vAlign w:val="center"/>
          </w:tcPr>
          <w:p w:rsidR="00013EC7" w:rsidRDefault="00013EC7">
            <w:pPr>
              <w:rPr>
                <w:rFonts w:ascii="仿宋" w:eastAsia="仿宋" w:hAnsi="仿宋"/>
                <w:sz w:val="24"/>
              </w:rPr>
            </w:pPr>
          </w:p>
        </w:tc>
        <w:tc>
          <w:tcPr>
            <w:tcW w:w="1476" w:type="dxa"/>
            <w:vMerge/>
            <w:tcBorders>
              <w:bottom w:val="single" w:sz="4" w:space="0" w:color="auto"/>
            </w:tcBorders>
            <w:vAlign w:val="center"/>
          </w:tcPr>
          <w:p w:rsidR="00013EC7" w:rsidRDefault="00013EC7">
            <w:pPr>
              <w:rPr>
                <w:rFonts w:ascii="仿宋" w:eastAsia="仿宋" w:hAnsi="仿宋"/>
                <w:sz w:val="24"/>
              </w:rPr>
            </w:pPr>
          </w:p>
        </w:tc>
      </w:tr>
    </w:tbl>
    <w:p w:rsidR="00013EC7" w:rsidRDefault="00013EC7"/>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ascii="仿宋" w:eastAsia="仿宋" w:hAnsi="仿宋" w:cs="仿宋"/>
          <w:sz w:val="24"/>
        </w:rPr>
      </w:pPr>
    </w:p>
    <w:p w:rsidR="00013EC7" w:rsidRDefault="005262E6">
      <w:r>
        <w:rPr>
          <w:rFonts w:ascii="宋体" w:hAnsi="宋体" w:cs="宋体"/>
          <w:szCs w:val="21"/>
        </w:rPr>
        <w:lastRenderedPageBreak/>
        <w:object w:dxaOrig="1440" w:dyaOrig="1440">
          <v:shape id="_x0000_s1366" type="#_x0000_t75" style="position:absolute;left:0;text-align:left;margin-left:560.65pt;margin-top:109.05pt;width:409.5pt;height:572.25pt;z-index:251691008;mso-wrap-distance-top:0;mso-wrap-distance-bottom:0;mso-position-vertical-relative:page;mso-width-relative:page;mso-height-relative:page">
            <v:imagedata r:id="rId270" o:title=""/>
            <o:lock v:ext="edit" aspectratio="f"/>
            <w10:wrap type="topAndBottom" anchory="page"/>
          </v:shape>
          <o:OLEObject Type="Embed" ProgID="Visio.Drawing.11" ShapeID="_x0000_s1366" DrawAspect="Content" ObjectID="_1577296246" r:id="rId271"/>
        </w:object>
      </w:r>
      <w:r>
        <w:object w:dxaOrig="1440" w:dyaOrig="1440">
          <v:shape id="_x0000_s1365" type="#_x0000_t75" style="position:absolute;left:0;text-align:left;margin-left:13.2pt;margin-top:116.25pt;width:482pt;height:574.5pt;z-index:251689984;mso-wrap-distance-top:0;mso-wrap-distance-bottom:0;mso-position-vertical-relative:page;mso-width-relative:page;mso-height-relative:page">
            <v:imagedata r:id="rId272" o:title=""/>
            <w10:wrap type="topAndBottom" anchory="page"/>
          </v:shape>
          <o:OLEObject Type="Embed" ProgID="Visio.Drawing.11" ShapeID="_x0000_s1365" DrawAspect="Content" ObjectID="_1577296247" r:id="rId273"/>
        </w:object>
      </w:r>
    </w:p>
    <w:p w:rsidR="00013EC7" w:rsidRDefault="00013EC7"/>
    <w:p w:rsidR="00013EC7" w:rsidRDefault="00013EC7"/>
    <w:p w:rsidR="00013EC7" w:rsidRDefault="00013EC7"/>
    <w:p w:rsidR="00013EC7" w:rsidRDefault="00013EC7">
      <w:pPr>
        <w:jc w:val="left"/>
        <w:rPr>
          <w:rFonts w:ascii="宋体" w:hAnsi="宋体"/>
          <w:color w:val="FF0000"/>
          <w:sz w:val="28"/>
          <w:szCs w:val="28"/>
        </w:rPr>
        <w:sectPr w:rsidR="00013EC7">
          <w:pgSz w:w="23814" w:h="16840" w:orient="landscape"/>
          <w:pgMar w:top="1701" w:right="1843" w:bottom="1985" w:left="1843" w:header="851" w:footer="1701" w:gutter="0"/>
          <w:pgNumType w:fmt="numberInDash"/>
          <w:cols w:space="720"/>
          <w:docGrid w:type="lines" w:linePitch="312"/>
        </w:sectPr>
      </w:pPr>
    </w:p>
    <w:p w:rsidR="00013EC7" w:rsidRDefault="00013EC7">
      <w:pPr>
        <w:jc w:val="left"/>
        <w:rPr>
          <w:rFonts w:ascii="宋体" w:hAnsi="宋体"/>
          <w:color w:val="FF0000"/>
          <w:sz w:val="28"/>
          <w:szCs w:val="28"/>
        </w:rPr>
        <w:sectPr w:rsidR="00013EC7">
          <w:type w:val="continuous"/>
          <w:pgSz w:w="23814" w:h="16840" w:orient="landscape"/>
          <w:pgMar w:top="1701" w:right="1843" w:bottom="1985" w:left="1843" w:header="851" w:footer="1701" w:gutter="0"/>
          <w:pgNumType w:fmt="numberInDash"/>
          <w:cols w:space="720"/>
          <w:docGrid w:type="lines" w:linePitch="312"/>
        </w:sectPr>
      </w:pPr>
    </w:p>
    <w:p w:rsidR="00013EC7" w:rsidRDefault="00575CDB">
      <w:pPr>
        <w:pStyle w:val="2"/>
      </w:pPr>
      <w:bookmarkStart w:id="347" w:name="_Toc503467433"/>
      <w:bookmarkStart w:id="348" w:name="_Toc4585"/>
      <w:bookmarkStart w:id="349" w:name="_Toc31734"/>
      <w:bookmarkStart w:id="350" w:name="_Toc27679"/>
      <w:r>
        <w:rPr>
          <w:rFonts w:hint="eastAsia"/>
        </w:rPr>
        <w:lastRenderedPageBreak/>
        <w:t>17.13</w:t>
      </w:r>
      <w:r>
        <w:rPr>
          <w:rFonts w:hint="eastAsia"/>
        </w:rPr>
        <w:t>居民企业所得税年度纳税申报（适用查账征收）</w:t>
      </w:r>
      <w:bookmarkEnd w:id="347"/>
      <w:bookmarkEnd w:id="348"/>
      <w:bookmarkEnd w:id="349"/>
      <w:bookmarkEnd w:id="350"/>
    </w:p>
    <w:p w:rsidR="00013EC7" w:rsidRDefault="00575CDB">
      <w:pPr>
        <w:jc w:val="center"/>
        <w:rPr>
          <w:rFonts w:ascii="宋体" w:hAnsi="宋体"/>
          <w:b/>
          <w:sz w:val="52"/>
          <w:szCs w:val="52"/>
        </w:rPr>
      </w:pPr>
      <w:r>
        <w:rPr>
          <w:rFonts w:ascii="宋体" w:hAnsi="宋体" w:hint="eastAsia"/>
          <w:b/>
          <w:sz w:val="52"/>
          <w:szCs w:val="52"/>
        </w:rPr>
        <w:t>全省“最多跑一次”事项“八统一”梳理表</w:t>
      </w:r>
    </w:p>
    <w:tbl>
      <w:tblPr>
        <w:tblW w:w="19845"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1271"/>
        <w:gridCol w:w="4394"/>
        <w:gridCol w:w="851"/>
        <w:gridCol w:w="4252"/>
        <w:gridCol w:w="851"/>
        <w:gridCol w:w="2126"/>
        <w:gridCol w:w="850"/>
        <w:gridCol w:w="851"/>
        <w:gridCol w:w="850"/>
        <w:gridCol w:w="709"/>
        <w:gridCol w:w="1133"/>
      </w:tblGrid>
      <w:tr w:rsidR="00013EC7">
        <w:trPr>
          <w:trHeight w:val="340"/>
          <w:tblHeader/>
          <w:jc w:val="center"/>
        </w:trPr>
        <w:tc>
          <w:tcPr>
            <w:tcW w:w="672" w:type="dxa"/>
            <w:vMerge w:val="restart"/>
            <w:vAlign w:val="center"/>
          </w:tcPr>
          <w:p w:rsidR="00013EC7" w:rsidRDefault="00575CDB">
            <w:pPr>
              <w:spacing w:line="280" w:lineRule="exact"/>
              <w:jc w:val="center"/>
              <w:rPr>
                <w:rFonts w:ascii="黑体" w:eastAsia="黑体"/>
                <w:color w:val="000000" w:themeColor="text1"/>
                <w:sz w:val="24"/>
              </w:rPr>
            </w:pPr>
            <w:r>
              <w:rPr>
                <w:rFonts w:ascii="黑体" w:eastAsia="黑体" w:hint="eastAsia"/>
                <w:color w:val="000000" w:themeColor="text1"/>
                <w:sz w:val="24"/>
              </w:rPr>
              <w:t>主项名称</w:t>
            </w:r>
          </w:p>
        </w:tc>
        <w:tc>
          <w:tcPr>
            <w:tcW w:w="1035" w:type="dxa"/>
            <w:vMerge w:val="restart"/>
            <w:vAlign w:val="center"/>
          </w:tcPr>
          <w:p w:rsidR="00013EC7" w:rsidRDefault="00575CDB">
            <w:pPr>
              <w:spacing w:line="280" w:lineRule="exact"/>
              <w:jc w:val="center"/>
              <w:rPr>
                <w:rFonts w:ascii="黑体" w:eastAsia="黑体"/>
                <w:color w:val="000000" w:themeColor="text1"/>
                <w:sz w:val="24"/>
              </w:rPr>
            </w:pPr>
            <w:r>
              <w:rPr>
                <w:rFonts w:ascii="黑体" w:eastAsia="黑体" w:hint="eastAsia"/>
                <w:color w:val="000000" w:themeColor="text1"/>
                <w:sz w:val="24"/>
              </w:rPr>
              <w:t>子项名称</w:t>
            </w:r>
          </w:p>
        </w:tc>
        <w:tc>
          <w:tcPr>
            <w:tcW w:w="1271" w:type="dxa"/>
            <w:vMerge w:val="restart"/>
            <w:vAlign w:val="center"/>
          </w:tcPr>
          <w:p w:rsidR="00013EC7" w:rsidRDefault="00575CDB">
            <w:pPr>
              <w:spacing w:line="280" w:lineRule="exact"/>
              <w:jc w:val="center"/>
              <w:rPr>
                <w:rFonts w:ascii="黑体" w:eastAsia="黑体"/>
                <w:color w:val="000000" w:themeColor="text1"/>
                <w:sz w:val="24"/>
              </w:rPr>
            </w:pPr>
            <w:r>
              <w:rPr>
                <w:rFonts w:ascii="黑体" w:eastAsia="黑体" w:hint="eastAsia"/>
                <w:color w:val="000000" w:themeColor="text1"/>
                <w:sz w:val="24"/>
              </w:rPr>
              <w:t>经办依据</w:t>
            </w:r>
          </w:p>
        </w:tc>
        <w:tc>
          <w:tcPr>
            <w:tcW w:w="5245" w:type="dxa"/>
            <w:gridSpan w:val="2"/>
            <w:vAlign w:val="center"/>
          </w:tcPr>
          <w:p w:rsidR="00013EC7" w:rsidRDefault="00575CDB">
            <w:pPr>
              <w:spacing w:line="280" w:lineRule="exact"/>
              <w:jc w:val="center"/>
              <w:rPr>
                <w:rFonts w:ascii="黑体" w:eastAsia="黑体"/>
                <w:color w:val="000000" w:themeColor="text1"/>
                <w:sz w:val="24"/>
              </w:rPr>
            </w:pPr>
            <w:r>
              <w:rPr>
                <w:rFonts w:ascii="黑体" w:eastAsia="黑体" w:hint="eastAsia"/>
                <w:color w:val="000000" w:themeColor="text1"/>
                <w:sz w:val="24"/>
              </w:rPr>
              <w:t>原经办所需材料</w:t>
            </w:r>
          </w:p>
        </w:tc>
        <w:tc>
          <w:tcPr>
            <w:tcW w:w="7229" w:type="dxa"/>
            <w:gridSpan w:val="3"/>
            <w:vAlign w:val="center"/>
          </w:tcPr>
          <w:p w:rsidR="00013EC7" w:rsidRDefault="00575CDB">
            <w:pPr>
              <w:spacing w:line="280" w:lineRule="exact"/>
              <w:jc w:val="center"/>
              <w:rPr>
                <w:rFonts w:ascii="黑体" w:eastAsia="黑体"/>
                <w:color w:val="000000" w:themeColor="text1"/>
                <w:sz w:val="24"/>
              </w:rPr>
            </w:pPr>
            <w:r>
              <w:rPr>
                <w:rFonts w:ascii="黑体" w:eastAsia="黑体" w:hint="eastAsia"/>
                <w:color w:val="000000" w:themeColor="text1"/>
                <w:sz w:val="24"/>
              </w:rPr>
              <w:t>精简后经办所需材料</w:t>
            </w:r>
          </w:p>
        </w:tc>
        <w:tc>
          <w:tcPr>
            <w:tcW w:w="1701" w:type="dxa"/>
            <w:gridSpan w:val="2"/>
            <w:vAlign w:val="center"/>
          </w:tcPr>
          <w:p w:rsidR="00013EC7" w:rsidRDefault="00575CDB">
            <w:pPr>
              <w:spacing w:line="280" w:lineRule="exact"/>
              <w:jc w:val="center"/>
              <w:rPr>
                <w:rFonts w:ascii="黑体" w:eastAsia="黑体"/>
                <w:color w:val="000000" w:themeColor="text1"/>
                <w:sz w:val="24"/>
              </w:rPr>
            </w:pPr>
            <w:r>
              <w:rPr>
                <w:rFonts w:ascii="黑体" w:eastAsia="黑体" w:hint="eastAsia"/>
                <w:color w:val="000000" w:themeColor="text1"/>
                <w:sz w:val="24"/>
              </w:rPr>
              <w:t>办理时限</w:t>
            </w:r>
          </w:p>
        </w:tc>
        <w:tc>
          <w:tcPr>
            <w:tcW w:w="850" w:type="dxa"/>
            <w:vMerge w:val="restart"/>
            <w:vAlign w:val="center"/>
          </w:tcPr>
          <w:p w:rsidR="00013EC7" w:rsidRDefault="00575CDB">
            <w:pPr>
              <w:spacing w:line="280" w:lineRule="exact"/>
              <w:jc w:val="center"/>
              <w:rPr>
                <w:rFonts w:ascii="黑体" w:eastAsia="黑体"/>
                <w:color w:val="000000" w:themeColor="text1"/>
                <w:sz w:val="24"/>
              </w:rPr>
            </w:pPr>
            <w:r>
              <w:rPr>
                <w:rFonts w:ascii="黑体" w:eastAsia="黑体" w:hint="eastAsia"/>
                <w:color w:val="000000" w:themeColor="text1"/>
                <w:sz w:val="24"/>
              </w:rPr>
              <w:t>是否实现跑零次</w:t>
            </w:r>
          </w:p>
        </w:tc>
        <w:tc>
          <w:tcPr>
            <w:tcW w:w="709" w:type="dxa"/>
            <w:vMerge w:val="restart"/>
            <w:vAlign w:val="center"/>
          </w:tcPr>
          <w:p w:rsidR="00013EC7" w:rsidRDefault="00575CDB">
            <w:pPr>
              <w:spacing w:line="280" w:lineRule="exact"/>
              <w:jc w:val="center"/>
              <w:rPr>
                <w:rFonts w:ascii="黑体" w:eastAsia="黑体"/>
                <w:color w:val="000000" w:themeColor="text1"/>
                <w:sz w:val="24"/>
              </w:rPr>
            </w:pPr>
            <w:r>
              <w:rPr>
                <w:rFonts w:ascii="黑体" w:eastAsia="黑体" w:hint="eastAsia"/>
                <w:color w:val="000000" w:themeColor="text1"/>
                <w:sz w:val="24"/>
              </w:rPr>
              <w:t>责任处室（单位）</w:t>
            </w:r>
          </w:p>
        </w:tc>
        <w:tc>
          <w:tcPr>
            <w:tcW w:w="1133" w:type="dxa"/>
            <w:vMerge w:val="restart"/>
            <w:vAlign w:val="center"/>
          </w:tcPr>
          <w:p w:rsidR="00013EC7" w:rsidRDefault="00575CDB">
            <w:pPr>
              <w:spacing w:line="280" w:lineRule="exact"/>
              <w:jc w:val="center"/>
              <w:rPr>
                <w:rFonts w:ascii="黑体" w:eastAsia="黑体"/>
                <w:color w:val="000000" w:themeColor="text1"/>
                <w:sz w:val="24"/>
              </w:rPr>
            </w:pPr>
            <w:r>
              <w:rPr>
                <w:rFonts w:ascii="黑体" w:eastAsia="黑体" w:hint="eastAsia"/>
                <w:color w:val="000000" w:themeColor="text1"/>
                <w:sz w:val="24"/>
              </w:rPr>
              <w:t>进一步精简、规范建议</w:t>
            </w:r>
          </w:p>
        </w:tc>
      </w:tr>
      <w:tr w:rsidR="00013EC7">
        <w:trPr>
          <w:trHeight w:val="90"/>
          <w:tblHeader/>
          <w:jc w:val="center"/>
        </w:trPr>
        <w:tc>
          <w:tcPr>
            <w:tcW w:w="672" w:type="dxa"/>
            <w:vMerge/>
            <w:vAlign w:val="center"/>
          </w:tcPr>
          <w:p w:rsidR="00013EC7" w:rsidRDefault="00013EC7">
            <w:pPr>
              <w:jc w:val="center"/>
              <w:rPr>
                <w:color w:val="000000" w:themeColor="text1"/>
                <w:sz w:val="24"/>
              </w:rPr>
            </w:pPr>
          </w:p>
        </w:tc>
        <w:tc>
          <w:tcPr>
            <w:tcW w:w="1035" w:type="dxa"/>
            <w:vMerge/>
            <w:vAlign w:val="center"/>
          </w:tcPr>
          <w:p w:rsidR="00013EC7" w:rsidRDefault="00013EC7">
            <w:pPr>
              <w:jc w:val="center"/>
              <w:rPr>
                <w:color w:val="000000" w:themeColor="text1"/>
                <w:sz w:val="24"/>
              </w:rPr>
            </w:pPr>
          </w:p>
        </w:tc>
        <w:tc>
          <w:tcPr>
            <w:tcW w:w="1271" w:type="dxa"/>
            <w:vMerge/>
            <w:vAlign w:val="center"/>
          </w:tcPr>
          <w:p w:rsidR="00013EC7" w:rsidRDefault="00013EC7">
            <w:pPr>
              <w:jc w:val="center"/>
              <w:rPr>
                <w:color w:val="000000" w:themeColor="text1"/>
                <w:sz w:val="24"/>
              </w:rPr>
            </w:pPr>
          </w:p>
        </w:tc>
        <w:tc>
          <w:tcPr>
            <w:tcW w:w="4394" w:type="dxa"/>
            <w:tcBorders>
              <w:bottom w:val="single" w:sz="4" w:space="0" w:color="auto"/>
            </w:tcBorders>
            <w:vAlign w:val="center"/>
          </w:tcPr>
          <w:p w:rsidR="00013EC7" w:rsidRDefault="00575CDB">
            <w:pPr>
              <w:spacing w:line="280" w:lineRule="exact"/>
              <w:jc w:val="center"/>
              <w:rPr>
                <w:rFonts w:ascii="黑体" w:eastAsia="黑体"/>
                <w:color w:val="000000" w:themeColor="text1"/>
                <w:sz w:val="24"/>
              </w:rPr>
            </w:pPr>
            <w:r>
              <w:rPr>
                <w:rFonts w:ascii="黑体" w:eastAsia="黑体" w:hint="eastAsia"/>
                <w:color w:val="000000" w:themeColor="text1"/>
                <w:sz w:val="24"/>
              </w:rPr>
              <w:t>材料明细</w:t>
            </w:r>
          </w:p>
        </w:tc>
        <w:tc>
          <w:tcPr>
            <w:tcW w:w="851" w:type="dxa"/>
            <w:vAlign w:val="center"/>
          </w:tcPr>
          <w:p w:rsidR="00013EC7" w:rsidRDefault="00575CDB">
            <w:pPr>
              <w:spacing w:line="280" w:lineRule="exact"/>
              <w:jc w:val="center"/>
              <w:rPr>
                <w:rFonts w:ascii="黑体" w:eastAsia="黑体"/>
                <w:color w:val="000000" w:themeColor="text1"/>
                <w:sz w:val="24"/>
              </w:rPr>
            </w:pPr>
            <w:r>
              <w:rPr>
                <w:rFonts w:ascii="黑体" w:eastAsia="黑体" w:hint="eastAsia"/>
                <w:color w:val="000000" w:themeColor="text1"/>
                <w:sz w:val="24"/>
              </w:rPr>
              <w:t>材料来源</w:t>
            </w:r>
          </w:p>
        </w:tc>
        <w:tc>
          <w:tcPr>
            <w:tcW w:w="4252" w:type="dxa"/>
            <w:vAlign w:val="center"/>
          </w:tcPr>
          <w:p w:rsidR="00013EC7" w:rsidRDefault="00575CDB">
            <w:pPr>
              <w:spacing w:line="280" w:lineRule="exact"/>
              <w:jc w:val="center"/>
              <w:rPr>
                <w:rFonts w:ascii="黑体" w:eastAsia="黑体"/>
                <w:color w:val="000000" w:themeColor="text1"/>
                <w:sz w:val="24"/>
              </w:rPr>
            </w:pPr>
            <w:r>
              <w:rPr>
                <w:rFonts w:ascii="黑体" w:eastAsia="黑体" w:hint="eastAsia"/>
                <w:color w:val="000000" w:themeColor="text1"/>
                <w:sz w:val="24"/>
              </w:rPr>
              <w:t>材料明细</w:t>
            </w:r>
          </w:p>
        </w:tc>
        <w:tc>
          <w:tcPr>
            <w:tcW w:w="851" w:type="dxa"/>
            <w:vAlign w:val="center"/>
          </w:tcPr>
          <w:p w:rsidR="00013EC7" w:rsidRDefault="00575CDB">
            <w:pPr>
              <w:spacing w:line="280" w:lineRule="exact"/>
              <w:jc w:val="center"/>
              <w:rPr>
                <w:rFonts w:ascii="黑体" w:eastAsia="黑体"/>
                <w:color w:val="000000" w:themeColor="text1"/>
                <w:sz w:val="24"/>
              </w:rPr>
            </w:pPr>
            <w:r>
              <w:rPr>
                <w:rFonts w:ascii="黑体" w:eastAsia="黑体" w:hint="eastAsia"/>
                <w:color w:val="000000" w:themeColor="text1"/>
                <w:sz w:val="24"/>
              </w:rPr>
              <w:t>材料来源</w:t>
            </w:r>
          </w:p>
        </w:tc>
        <w:tc>
          <w:tcPr>
            <w:tcW w:w="2126" w:type="dxa"/>
            <w:vAlign w:val="center"/>
          </w:tcPr>
          <w:p w:rsidR="00013EC7" w:rsidRDefault="00575CDB">
            <w:pPr>
              <w:spacing w:line="280" w:lineRule="exact"/>
              <w:jc w:val="center"/>
              <w:rPr>
                <w:rFonts w:ascii="黑体" w:eastAsia="黑体"/>
                <w:color w:val="000000" w:themeColor="text1"/>
                <w:sz w:val="24"/>
              </w:rPr>
            </w:pPr>
            <w:r>
              <w:rPr>
                <w:rFonts w:ascii="黑体" w:eastAsia="黑体" w:hint="eastAsia"/>
                <w:color w:val="000000" w:themeColor="text1"/>
                <w:sz w:val="24"/>
              </w:rPr>
              <w:t>办理方式及材料</w:t>
            </w:r>
          </w:p>
          <w:p w:rsidR="00013EC7" w:rsidRDefault="00575CDB">
            <w:pPr>
              <w:spacing w:line="280" w:lineRule="exact"/>
              <w:jc w:val="center"/>
              <w:rPr>
                <w:rFonts w:ascii="黑体" w:eastAsia="黑体"/>
                <w:color w:val="000000" w:themeColor="text1"/>
                <w:sz w:val="24"/>
              </w:rPr>
            </w:pPr>
            <w:r>
              <w:rPr>
                <w:rFonts w:ascii="黑体" w:eastAsia="黑体" w:hint="eastAsia"/>
                <w:color w:val="000000" w:themeColor="text1"/>
                <w:sz w:val="24"/>
              </w:rPr>
              <w:t>信息获取方式说明</w:t>
            </w:r>
          </w:p>
        </w:tc>
        <w:tc>
          <w:tcPr>
            <w:tcW w:w="850" w:type="dxa"/>
            <w:vAlign w:val="center"/>
          </w:tcPr>
          <w:p w:rsidR="00013EC7" w:rsidRDefault="00575CDB">
            <w:pPr>
              <w:spacing w:line="280" w:lineRule="exact"/>
              <w:jc w:val="center"/>
              <w:rPr>
                <w:rFonts w:ascii="黑体" w:eastAsia="黑体"/>
                <w:color w:val="000000" w:themeColor="text1"/>
                <w:sz w:val="24"/>
              </w:rPr>
            </w:pPr>
            <w:r>
              <w:rPr>
                <w:rFonts w:ascii="黑体" w:eastAsia="黑体" w:hint="eastAsia"/>
                <w:color w:val="000000" w:themeColor="text1"/>
                <w:sz w:val="24"/>
              </w:rPr>
              <w:t>优化前</w:t>
            </w:r>
          </w:p>
        </w:tc>
        <w:tc>
          <w:tcPr>
            <w:tcW w:w="851" w:type="dxa"/>
            <w:vAlign w:val="center"/>
          </w:tcPr>
          <w:p w:rsidR="00013EC7" w:rsidRDefault="00575CDB">
            <w:pPr>
              <w:spacing w:line="280" w:lineRule="exact"/>
              <w:jc w:val="center"/>
              <w:rPr>
                <w:rFonts w:ascii="黑体" w:eastAsia="黑体"/>
                <w:color w:val="000000" w:themeColor="text1"/>
                <w:sz w:val="24"/>
              </w:rPr>
            </w:pPr>
            <w:r>
              <w:rPr>
                <w:rFonts w:ascii="黑体" w:eastAsia="黑体" w:hint="eastAsia"/>
                <w:color w:val="000000" w:themeColor="text1"/>
                <w:sz w:val="24"/>
              </w:rPr>
              <w:t>优化后</w:t>
            </w:r>
          </w:p>
        </w:tc>
        <w:tc>
          <w:tcPr>
            <w:tcW w:w="850" w:type="dxa"/>
            <w:vMerge/>
            <w:vAlign w:val="center"/>
          </w:tcPr>
          <w:p w:rsidR="00013EC7" w:rsidRDefault="00013EC7">
            <w:pPr>
              <w:jc w:val="center"/>
              <w:rPr>
                <w:color w:val="000000" w:themeColor="text1"/>
                <w:sz w:val="24"/>
              </w:rPr>
            </w:pPr>
          </w:p>
        </w:tc>
        <w:tc>
          <w:tcPr>
            <w:tcW w:w="709" w:type="dxa"/>
            <w:vMerge/>
            <w:vAlign w:val="center"/>
          </w:tcPr>
          <w:p w:rsidR="00013EC7" w:rsidRDefault="00013EC7">
            <w:pPr>
              <w:jc w:val="center"/>
              <w:rPr>
                <w:color w:val="000000" w:themeColor="text1"/>
                <w:sz w:val="24"/>
              </w:rPr>
            </w:pPr>
          </w:p>
        </w:tc>
        <w:tc>
          <w:tcPr>
            <w:tcW w:w="1133" w:type="dxa"/>
            <w:vMerge/>
            <w:vAlign w:val="center"/>
          </w:tcPr>
          <w:p w:rsidR="00013EC7" w:rsidRDefault="00013EC7">
            <w:pPr>
              <w:jc w:val="center"/>
              <w:rPr>
                <w:color w:val="000000" w:themeColor="text1"/>
                <w:sz w:val="24"/>
              </w:rPr>
            </w:pPr>
          </w:p>
        </w:tc>
      </w:tr>
      <w:tr w:rsidR="00013EC7">
        <w:trPr>
          <w:trHeight w:val="42"/>
          <w:jc w:val="center"/>
        </w:trPr>
        <w:tc>
          <w:tcPr>
            <w:tcW w:w="672" w:type="dxa"/>
            <w:vMerge w:val="restart"/>
            <w:vAlign w:val="center"/>
          </w:tcPr>
          <w:p w:rsidR="00013EC7" w:rsidRDefault="00575CDB">
            <w:pPr>
              <w:spacing w:line="240" w:lineRule="atLeast"/>
              <w:rPr>
                <w:rFonts w:ascii="仿宋" w:eastAsia="仿宋" w:hAnsi="仿宋"/>
                <w:color w:val="000000" w:themeColor="text1"/>
                <w:sz w:val="24"/>
              </w:rPr>
            </w:pPr>
            <w:r>
              <w:rPr>
                <w:rFonts w:ascii="仿宋" w:eastAsia="仿宋" w:hAnsi="仿宋"/>
                <w:color w:val="000000" w:themeColor="text1"/>
                <w:sz w:val="24"/>
              </w:rPr>
              <w:t>17日常税费申报</w:t>
            </w:r>
          </w:p>
        </w:tc>
        <w:tc>
          <w:tcPr>
            <w:tcW w:w="1035" w:type="dxa"/>
            <w:vMerge w:val="restart"/>
            <w:vAlign w:val="center"/>
          </w:tcPr>
          <w:p w:rsidR="00013EC7" w:rsidRDefault="00575CDB">
            <w:pPr>
              <w:spacing w:line="240" w:lineRule="atLeast"/>
              <w:rPr>
                <w:rFonts w:ascii="仿宋" w:eastAsia="仿宋" w:hAnsi="仿宋"/>
                <w:color w:val="000000" w:themeColor="text1"/>
                <w:sz w:val="24"/>
              </w:rPr>
            </w:pPr>
            <w:r>
              <w:rPr>
                <w:rFonts w:ascii="仿宋" w:eastAsia="仿宋" w:hAnsi="仿宋" w:hint="eastAsia"/>
                <w:color w:val="000000" w:themeColor="text1"/>
                <w:sz w:val="24"/>
              </w:rPr>
              <w:t>17.13居民企业所得税年度纳税申报（适用查账征收）</w:t>
            </w:r>
          </w:p>
        </w:tc>
        <w:tc>
          <w:tcPr>
            <w:tcW w:w="1271" w:type="dxa"/>
            <w:vMerge w:val="restart"/>
            <w:vAlign w:val="center"/>
          </w:tcPr>
          <w:p w:rsidR="00013EC7" w:rsidRDefault="00575CDB">
            <w:pPr>
              <w:jc w:val="left"/>
              <w:rPr>
                <w:rFonts w:ascii="仿宋" w:eastAsia="仿宋" w:hAnsi="仿宋" w:cs="宋体"/>
                <w:color w:val="000000" w:themeColor="text1"/>
                <w:kern w:val="1"/>
                <w:sz w:val="24"/>
              </w:rPr>
            </w:pPr>
            <w:r>
              <w:rPr>
                <w:rFonts w:ascii="仿宋" w:eastAsia="仿宋" w:hAnsi="仿宋" w:cs="宋体" w:hint="eastAsia"/>
                <w:color w:val="000000" w:themeColor="text1"/>
                <w:kern w:val="1"/>
                <w:sz w:val="24"/>
              </w:rPr>
              <w:t>（一）《全国人民代表大会常务委员会关于修改〈中华人民共和国企业所得税法〉的决定》（2017年中华人民共和国主席令第64号）第四十三条、第四十四条、第四十五条、第四十六条、第四十七条、第五十三条、第五十四条</w:t>
            </w:r>
            <w:r>
              <w:rPr>
                <w:rFonts w:ascii="仿宋" w:eastAsia="仿宋" w:hAnsi="仿宋" w:cs="宋体"/>
                <w:color w:val="000000" w:themeColor="text1"/>
                <w:kern w:val="1"/>
                <w:sz w:val="24"/>
              </w:rPr>
              <w:t>。</w:t>
            </w:r>
          </w:p>
          <w:p w:rsidR="00013EC7" w:rsidRDefault="00575CDB">
            <w:pPr>
              <w:jc w:val="left"/>
              <w:rPr>
                <w:rFonts w:ascii="仿宋" w:eastAsia="仿宋" w:hAnsi="仿宋" w:cs="宋体"/>
                <w:color w:val="000000" w:themeColor="text1"/>
                <w:kern w:val="1"/>
                <w:sz w:val="24"/>
              </w:rPr>
            </w:pPr>
            <w:r>
              <w:rPr>
                <w:rFonts w:ascii="仿宋" w:eastAsia="仿宋" w:hAnsi="仿宋" w:cs="宋体" w:hint="eastAsia"/>
                <w:color w:val="000000" w:themeColor="text1"/>
                <w:kern w:val="1"/>
                <w:sz w:val="24"/>
              </w:rPr>
              <w:t>（二）</w:t>
            </w:r>
            <w:r>
              <w:rPr>
                <w:rFonts w:ascii="仿宋" w:eastAsia="仿宋" w:hAnsi="仿宋" w:cs="宋体"/>
                <w:color w:val="000000" w:themeColor="text1"/>
                <w:kern w:val="1"/>
                <w:sz w:val="24"/>
              </w:rPr>
              <w:t>《中华人</w:t>
            </w:r>
            <w:r>
              <w:rPr>
                <w:rFonts w:ascii="仿宋" w:eastAsia="仿宋" w:hAnsi="仿宋" w:cs="宋体"/>
                <w:color w:val="000000" w:themeColor="text1"/>
                <w:kern w:val="1"/>
                <w:sz w:val="24"/>
              </w:rPr>
              <w:lastRenderedPageBreak/>
              <w:t>民共和国企业所得税法实施条例》</w:t>
            </w:r>
            <w:r>
              <w:rPr>
                <w:rFonts w:ascii="仿宋" w:eastAsia="仿宋" w:hAnsi="仿宋" w:cs="宋体" w:hint="eastAsia"/>
                <w:color w:val="000000" w:themeColor="text1"/>
                <w:kern w:val="1"/>
                <w:sz w:val="24"/>
              </w:rPr>
              <w:t>（2007年中华人民共和国国务院令第512号）第一百二十九条、第一百三十条</w:t>
            </w:r>
            <w:r>
              <w:rPr>
                <w:rFonts w:ascii="仿宋" w:eastAsia="仿宋" w:hAnsi="仿宋" w:cs="宋体"/>
                <w:color w:val="000000" w:themeColor="text1"/>
                <w:kern w:val="1"/>
                <w:sz w:val="24"/>
              </w:rPr>
              <w:t>。</w:t>
            </w:r>
          </w:p>
          <w:p w:rsidR="00013EC7" w:rsidRDefault="00575CDB">
            <w:pPr>
              <w:jc w:val="left"/>
              <w:rPr>
                <w:rFonts w:ascii="仿宋" w:eastAsia="仿宋" w:hAnsi="仿宋" w:cs="宋体"/>
                <w:color w:val="000000" w:themeColor="text1"/>
                <w:kern w:val="1"/>
                <w:sz w:val="24"/>
              </w:rPr>
            </w:pPr>
            <w:r>
              <w:rPr>
                <w:rFonts w:ascii="仿宋" w:eastAsia="仿宋" w:hAnsi="仿宋" w:cs="宋体" w:hint="eastAsia"/>
                <w:color w:val="000000" w:themeColor="text1"/>
                <w:kern w:val="1"/>
                <w:sz w:val="24"/>
              </w:rPr>
              <w:t>（三）</w:t>
            </w:r>
            <w:r>
              <w:rPr>
                <w:rFonts w:ascii="仿宋" w:eastAsia="仿宋" w:hAnsi="仿宋" w:cs="宋体"/>
                <w:color w:val="000000" w:themeColor="text1"/>
                <w:kern w:val="1"/>
                <w:sz w:val="24"/>
              </w:rPr>
              <w:t>《企业所得税汇算清缴管理办法》（国税发〔2009〕79号）</w:t>
            </w:r>
            <w:r>
              <w:rPr>
                <w:rFonts w:ascii="仿宋" w:eastAsia="仿宋" w:hAnsi="仿宋" w:cs="宋体" w:hint="eastAsia"/>
                <w:color w:val="000000" w:themeColor="text1"/>
                <w:kern w:val="1"/>
                <w:sz w:val="24"/>
              </w:rPr>
              <w:t>全文</w:t>
            </w:r>
            <w:r>
              <w:rPr>
                <w:rFonts w:ascii="仿宋" w:eastAsia="仿宋" w:hAnsi="仿宋" w:cs="宋体"/>
                <w:color w:val="000000" w:themeColor="text1"/>
                <w:kern w:val="1"/>
                <w:sz w:val="24"/>
              </w:rPr>
              <w:t>。</w:t>
            </w:r>
          </w:p>
          <w:p w:rsidR="00013EC7" w:rsidRDefault="00575CDB">
            <w:pPr>
              <w:jc w:val="left"/>
              <w:rPr>
                <w:rFonts w:ascii="仿宋" w:eastAsia="仿宋" w:hAnsi="仿宋" w:cs="宋体"/>
                <w:color w:val="000000" w:themeColor="text1"/>
                <w:kern w:val="1"/>
                <w:sz w:val="24"/>
              </w:rPr>
            </w:pPr>
            <w:r>
              <w:rPr>
                <w:rFonts w:ascii="仿宋" w:eastAsia="仿宋" w:hAnsi="仿宋" w:cs="宋体" w:hint="eastAsia"/>
                <w:color w:val="000000" w:themeColor="text1"/>
                <w:kern w:val="1"/>
                <w:sz w:val="24"/>
              </w:rPr>
              <w:t>（四）</w:t>
            </w:r>
            <w:r>
              <w:rPr>
                <w:rFonts w:ascii="仿宋" w:eastAsia="仿宋" w:hAnsi="仿宋" w:cs="宋体"/>
                <w:color w:val="000000" w:themeColor="text1"/>
                <w:kern w:val="1"/>
                <w:sz w:val="24"/>
              </w:rPr>
              <w:t>《国家税务总局关于发布&lt;企业资产损失所得税税前扣除管理办法&gt;的公告》（国家税务总局公告2011年</w:t>
            </w:r>
            <w:r>
              <w:rPr>
                <w:rFonts w:ascii="仿宋" w:eastAsia="仿宋" w:hAnsi="仿宋" w:cs="宋体"/>
                <w:color w:val="000000" w:themeColor="text1"/>
                <w:kern w:val="1"/>
                <w:sz w:val="24"/>
              </w:rPr>
              <w:lastRenderedPageBreak/>
              <w:t>第25号）</w:t>
            </w:r>
            <w:r>
              <w:rPr>
                <w:rFonts w:ascii="仿宋" w:eastAsia="仿宋" w:hAnsi="仿宋" w:cs="宋体" w:hint="eastAsia"/>
                <w:color w:val="000000" w:themeColor="text1"/>
                <w:kern w:val="1"/>
                <w:sz w:val="24"/>
              </w:rPr>
              <w:t>全文</w:t>
            </w:r>
            <w:r>
              <w:rPr>
                <w:rFonts w:ascii="仿宋" w:eastAsia="仿宋" w:hAnsi="仿宋" w:cs="宋体"/>
                <w:color w:val="000000" w:themeColor="text1"/>
                <w:kern w:val="1"/>
                <w:sz w:val="24"/>
              </w:rPr>
              <w:t>。</w:t>
            </w:r>
          </w:p>
          <w:p w:rsidR="00013EC7" w:rsidRDefault="00575CDB">
            <w:pPr>
              <w:jc w:val="left"/>
              <w:rPr>
                <w:rFonts w:ascii="仿宋" w:eastAsia="仿宋" w:hAnsi="仿宋" w:cs="宋体"/>
                <w:color w:val="000000" w:themeColor="text1"/>
                <w:kern w:val="1"/>
                <w:sz w:val="24"/>
              </w:rPr>
            </w:pPr>
            <w:r>
              <w:rPr>
                <w:rFonts w:ascii="仿宋" w:eastAsia="仿宋" w:hAnsi="仿宋" w:cs="宋体" w:hint="eastAsia"/>
                <w:color w:val="000000" w:themeColor="text1"/>
                <w:kern w:val="1"/>
                <w:sz w:val="24"/>
              </w:rPr>
              <w:t>（五）</w:t>
            </w:r>
            <w:r>
              <w:rPr>
                <w:rFonts w:ascii="仿宋" w:eastAsia="仿宋" w:hAnsi="仿宋" w:cs="宋体"/>
                <w:color w:val="000000" w:themeColor="text1"/>
                <w:kern w:val="1"/>
                <w:sz w:val="24"/>
              </w:rPr>
              <w:t>《财政部 国家税务总局关于企业资产损失税前扣除政策的通知》（财税〔2009〕57号）</w:t>
            </w:r>
            <w:r>
              <w:rPr>
                <w:rFonts w:ascii="仿宋" w:eastAsia="仿宋" w:hAnsi="仿宋" w:cs="宋体" w:hint="eastAsia"/>
                <w:color w:val="000000" w:themeColor="text1"/>
                <w:kern w:val="1"/>
                <w:sz w:val="24"/>
              </w:rPr>
              <w:t>全文</w:t>
            </w:r>
            <w:r>
              <w:rPr>
                <w:rFonts w:ascii="仿宋" w:eastAsia="仿宋" w:hAnsi="仿宋" w:cs="宋体"/>
                <w:color w:val="000000" w:themeColor="text1"/>
                <w:kern w:val="1"/>
                <w:sz w:val="24"/>
              </w:rPr>
              <w:t>。</w:t>
            </w:r>
          </w:p>
          <w:p w:rsidR="00013EC7" w:rsidRDefault="00575CDB">
            <w:pPr>
              <w:jc w:val="left"/>
              <w:rPr>
                <w:rFonts w:ascii="仿宋" w:eastAsia="仿宋" w:hAnsi="仿宋" w:cs="宋体"/>
                <w:color w:val="000000" w:themeColor="text1"/>
                <w:kern w:val="1"/>
                <w:sz w:val="24"/>
              </w:rPr>
            </w:pPr>
            <w:r>
              <w:rPr>
                <w:rFonts w:ascii="仿宋" w:eastAsia="仿宋" w:hAnsi="仿宋" w:cs="宋体" w:hint="eastAsia"/>
                <w:color w:val="000000" w:themeColor="text1"/>
                <w:kern w:val="1"/>
                <w:sz w:val="24"/>
              </w:rPr>
              <w:t>（六）</w:t>
            </w:r>
            <w:r>
              <w:rPr>
                <w:rFonts w:ascii="仿宋" w:eastAsia="仿宋" w:hAnsi="仿宋" w:cs="宋体"/>
                <w:color w:val="000000" w:themeColor="text1"/>
                <w:kern w:val="1"/>
                <w:sz w:val="24"/>
              </w:rPr>
              <w:t>《国家税务总局关于印发&lt;房地产开发经营业务企业所得税处理办法&gt;的通知》（国税发〔2009〕31号）</w:t>
            </w:r>
            <w:r>
              <w:rPr>
                <w:rFonts w:ascii="仿宋" w:eastAsia="仿宋" w:hAnsi="仿宋" w:cs="宋体" w:hint="eastAsia"/>
                <w:color w:val="000000" w:themeColor="text1"/>
                <w:kern w:val="1"/>
                <w:sz w:val="24"/>
              </w:rPr>
              <w:t>全文</w:t>
            </w:r>
            <w:r>
              <w:rPr>
                <w:rFonts w:ascii="仿宋" w:eastAsia="仿宋" w:hAnsi="仿宋" w:cs="宋体"/>
                <w:color w:val="000000" w:themeColor="text1"/>
                <w:kern w:val="1"/>
                <w:sz w:val="24"/>
              </w:rPr>
              <w:t>。</w:t>
            </w:r>
          </w:p>
          <w:p w:rsidR="00013EC7" w:rsidRDefault="00575CDB">
            <w:pPr>
              <w:jc w:val="left"/>
              <w:rPr>
                <w:rFonts w:ascii="仿宋" w:eastAsia="仿宋" w:hAnsi="仿宋" w:cs="宋体"/>
                <w:color w:val="000000" w:themeColor="text1"/>
                <w:kern w:val="1"/>
                <w:sz w:val="24"/>
              </w:rPr>
            </w:pPr>
            <w:r>
              <w:rPr>
                <w:rFonts w:ascii="仿宋" w:eastAsia="仿宋" w:hAnsi="仿宋" w:cs="宋体" w:hint="eastAsia"/>
                <w:color w:val="000000" w:themeColor="text1"/>
                <w:kern w:val="1"/>
                <w:sz w:val="24"/>
              </w:rPr>
              <w:t>（七）</w:t>
            </w:r>
            <w:r>
              <w:rPr>
                <w:rFonts w:ascii="仿宋" w:eastAsia="仿宋" w:hAnsi="仿宋" w:cs="宋体"/>
                <w:color w:val="000000" w:themeColor="text1"/>
                <w:kern w:val="1"/>
                <w:sz w:val="24"/>
              </w:rPr>
              <w:t>《国家税务总局关于企业政策性搬迁所得税有关问题的公告》（国家税</w:t>
            </w:r>
            <w:r>
              <w:rPr>
                <w:rFonts w:ascii="仿宋" w:eastAsia="仿宋" w:hAnsi="仿宋" w:cs="宋体"/>
                <w:color w:val="000000" w:themeColor="text1"/>
                <w:kern w:val="1"/>
                <w:sz w:val="24"/>
              </w:rPr>
              <w:lastRenderedPageBreak/>
              <w:t>务总局公告2013年第11号）</w:t>
            </w:r>
            <w:r>
              <w:rPr>
                <w:rFonts w:ascii="仿宋" w:eastAsia="仿宋" w:hAnsi="仿宋" w:cs="宋体" w:hint="eastAsia"/>
                <w:color w:val="000000" w:themeColor="text1"/>
                <w:kern w:val="1"/>
                <w:sz w:val="24"/>
              </w:rPr>
              <w:t>全文</w:t>
            </w:r>
            <w:r>
              <w:rPr>
                <w:rFonts w:ascii="仿宋" w:eastAsia="仿宋" w:hAnsi="仿宋" w:cs="宋体"/>
                <w:color w:val="000000" w:themeColor="text1"/>
                <w:kern w:val="1"/>
                <w:sz w:val="24"/>
              </w:rPr>
              <w:t>。</w:t>
            </w:r>
          </w:p>
          <w:p w:rsidR="00013EC7" w:rsidRDefault="00575CDB">
            <w:pPr>
              <w:jc w:val="left"/>
              <w:rPr>
                <w:rFonts w:ascii="仿宋" w:eastAsia="仿宋" w:hAnsi="仿宋" w:cs="宋体"/>
                <w:color w:val="000000" w:themeColor="text1"/>
                <w:kern w:val="1"/>
                <w:sz w:val="24"/>
              </w:rPr>
            </w:pPr>
            <w:r>
              <w:rPr>
                <w:rFonts w:ascii="仿宋" w:eastAsia="仿宋" w:hAnsi="仿宋" w:cs="宋体" w:hint="eastAsia"/>
                <w:color w:val="000000" w:themeColor="text1"/>
                <w:kern w:val="1"/>
                <w:sz w:val="24"/>
              </w:rPr>
              <w:t>（八）</w:t>
            </w:r>
            <w:r>
              <w:rPr>
                <w:rFonts w:ascii="仿宋" w:eastAsia="仿宋" w:hAnsi="仿宋" w:cs="宋体"/>
                <w:color w:val="000000" w:themeColor="text1"/>
                <w:kern w:val="1"/>
                <w:sz w:val="24"/>
              </w:rPr>
              <w:t>《国家税务总局关于印发&lt;跨地区经营汇总纳税企业所得税征收管理办法&gt;的公告》（国家税务总局公告2012年第57号）</w:t>
            </w:r>
            <w:r>
              <w:rPr>
                <w:rFonts w:ascii="仿宋" w:eastAsia="仿宋" w:hAnsi="仿宋" w:cs="宋体" w:hint="eastAsia"/>
                <w:color w:val="000000" w:themeColor="text1"/>
                <w:kern w:val="1"/>
                <w:sz w:val="24"/>
              </w:rPr>
              <w:t>第六条、第十条、第十一条</w:t>
            </w:r>
            <w:r>
              <w:rPr>
                <w:rFonts w:ascii="仿宋" w:eastAsia="仿宋" w:hAnsi="仿宋" w:cs="宋体"/>
                <w:color w:val="000000" w:themeColor="text1"/>
                <w:kern w:val="1"/>
                <w:sz w:val="24"/>
              </w:rPr>
              <w:t>。</w:t>
            </w:r>
          </w:p>
          <w:p w:rsidR="00013EC7" w:rsidRDefault="00575CDB">
            <w:pPr>
              <w:jc w:val="left"/>
              <w:rPr>
                <w:rFonts w:ascii="仿宋" w:eastAsia="仿宋" w:hAnsi="仿宋" w:cs="宋体"/>
                <w:color w:val="000000" w:themeColor="text1"/>
                <w:kern w:val="1"/>
                <w:sz w:val="24"/>
              </w:rPr>
            </w:pPr>
            <w:r>
              <w:rPr>
                <w:rFonts w:ascii="仿宋" w:eastAsia="仿宋" w:hAnsi="仿宋" w:cs="宋体" w:hint="eastAsia"/>
                <w:color w:val="000000" w:themeColor="text1"/>
                <w:kern w:val="1"/>
                <w:sz w:val="24"/>
              </w:rPr>
              <w:t>（九）《浙江省国家税务局 浙江省地方税务局关于省内跨市、县经营汇总纳税企业所得税征管问题的公告》（浙江省国家税务局 浙江省</w:t>
            </w:r>
            <w:r>
              <w:rPr>
                <w:rFonts w:ascii="仿宋" w:eastAsia="仿宋" w:hAnsi="仿宋" w:cs="宋体" w:hint="eastAsia"/>
                <w:color w:val="000000" w:themeColor="text1"/>
                <w:kern w:val="1"/>
                <w:sz w:val="24"/>
              </w:rPr>
              <w:lastRenderedPageBreak/>
              <w:t>地方税务局公告2013年第3号）第五条、第六条。</w:t>
            </w:r>
          </w:p>
          <w:p w:rsidR="00013EC7" w:rsidRDefault="00575CDB">
            <w:pPr>
              <w:jc w:val="left"/>
              <w:rPr>
                <w:rFonts w:ascii="仿宋" w:eastAsia="仿宋" w:hAnsi="仿宋" w:cs="宋体"/>
                <w:color w:val="000000" w:themeColor="text1"/>
                <w:kern w:val="1"/>
                <w:sz w:val="24"/>
              </w:rPr>
            </w:pPr>
            <w:r>
              <w:rPr>
                <w:rFonts w:ascii="仿宋" w:eastAsia="仿宋" w:hAnsi="仿宋" w:cs="宋体" w:hint="eastAsia"/>
                <w:color w:val="000000" w:themeColor="text1"/>
                <w:kern w:val="1"/>
                <w:sz w:val="24"/>
              </w:rPr>
              <w:t>（十）</w:t>
            </w:r>
            <w:r>
              <w:rPr>
                <w:rFonts w:ascii="仿宋" w:eastAsia="仿宋" w:hAnsi="仿宋" w:cs="宋体"/>
                <w:color w:val="000000" w:themeColor="text1"/>
                <w:kern w:val="1"/>
                <w:sz w:val="24"/>
              </w:rPr>
              <w:t>《国家税务总局关于居民企业报告境外投资和所得信息有关问题的公告》（国家税务总局公告2014年第38号）</w:t>
            </w:r>
            <w:r>
              <w:rPr>
                <w:rFonts w:ascii="仿宋" w:eastAsia="仿宋" w:hAnsi="仿宋" w:cs="宋体" w:hint="eastAsia"/>
                <w:color w:val="000000" w:themeColor="text1"/>
                <w:kern w:val="1"/>
                <w:sz w:val="24"/>
              </w:rPr>
              <w:t>第二条</w:t>
            </w:r>
            <w:r>
              <w:rPr>
                <w:rFonts w:ascii="仿宋" w:eastAsia="仿宋" w:hAnsi="仿宋" w:cs="宋体"/>
                <w:color w:val="000000" w:themeColor="text1"/>
                <w:kern w:val="1"/>
                <w:sz w:val="24"/>
              </w:rPr>
              <w:t>。</w:t>
            </w:r>
          </w:p>
          <w:p w:rsidR="00013EC7" w:rsidRDefault="00575CDB">
            <w:pPr>
              <w:jc w:val="left"/>
              <w:rPr>
                <w:rFonts w:ascii="仿宋" w:eastAsia="仿宋" w:hAnsi="仿宋" w:cs="宋体"/>
                <w:color w:val="000000" w:themeColor="text1"/>
                <w:kern w:val="1"/>
                <w:sz w:val="24"/>
              </w:rPr>
            </w:pPr>
            <w:r>
              <w:rPr>
                <w:rFonts w:ascii="仿宋" w:eastAsia="仿宋" w:hAnsi="仿宋" w:cs="宋体" w:hint="eastAsia"/>
                <w:color w:val="000000" w:themeColor="text1"/>
                <w:kern w:val="1"/>
                <w:sz w:val="24"/>
              </w:rPr>
              <w:t>（十一）</w:t>
            </w:r>
            <w:r>
              <w:rPr>
                <w:rFonts w:ascii="仿宋" w:eastAsia="仿宋" w:hAnsi="仿宋" w:cs="宋体"/>
                <w:color w:val="000000" w:themeColor="text1"/>
                <w:kern w:val="1"/>
                <w:sz w:val="24"/>
              </w:rPr>
              <w:t>《</w:t>
            </w:r>
            <w:r>
              <w:rPr>
                <w:rFonts w:ascii="仿宋" w:eastAsia="仿宋" w:hAnsi="仿宋" w:cs="宋体" w:hint="eastAsia"/>
                <w:color w:val="000000" w:themeColor="text1"/>
                <w:kern w:val="1"/>
                <w:sz w:val="24"/>
              </w:rPr>
              <w:t>国家税务总局关于发布</w:t>
            </w:r>
            <w:r>
              <w:rPr>
                <w:rFonts w:ascii="仿宋" w:eastAsia="仿宋" w:hAnsi="仿宋" w:cs="宋体"/>
                <w:color w:val="000000" w:themeColor="text1"/>
                <w:kern w:val="1"/>
                <w:sz w:val="24"/>
              </w:rPr>
              <w:t>&lt;</w:t>
            </w:r>
            <w:r>
              <w:rPr>
                <w:rFonts w:ascii="仿宋" w:eastAsia="仿宋" w:hAnsi="仿宋" w:cs="宋体" w:hint="eastAsia"/>
                <w:color w:val="000000" w:themeColor="text1"/>
                <w:kern w:val="1"/>
                <w:sz w:val="24"/>
              </w:rPr>
              <w:t>中华人民共和国企业所得税年度纳税申报表（A类，2017年版）</w:t>
            </w:r>
            <w:r>
              <w:rPr>
                <w:rFonts w:ascii="仿宋" w:eastAsia="仿宋" w:hAnsi="仿宋" w:cs="宋体"/>
                <w:color w:val="000000" w:themeColor="text1"/>
                <w:kern w:val="1"/>
                <w:sz w:val="24"/>
              </w:rPr>
              <w:t>&gt;</w:t>
            </w:r>
            <w:r>
              <w:rPr>
                <w:rFonts w:ascii="仿宋" w:eastAsia="仿宋" w:hAnsi="仿宋" w:cs="宋体" w:hint="eastAsia"/>
                <w:color w:val="000000" w:themeColor="text1"/>
                <w:kern w:val="1"/>
                <w:sz w:val="24"/>
              </w:rPr>
              <w:t>的公告</w:t>
            </w:r>
            <w:r>
              <w:rPr>
                <w:rFonts w:ascii="仿宋" w:eastAsia="仿宋" w:hAnsi="仿宋" w:cs="宋体"/>
                <w:color w:val="000000" w:themeColor="text1"/>
                <w:kern w:val="1"/>
                <w:sz w:val="24"/>
              </w:rPr>
              <w:t>》（国家税务总局公告201</w:t>
            </w:r>
            <w:r>
              <w:rPr>
                <w:rFonts w:ascii="仿宋" w:eastAsia="仿宋" w:hAnsi="仿宋" w:cs="宋体" w:hint="eastAsia"/>
                <w:color w:val="000000" w:themeColor="text1"/>
                <w:kern w:val="1"/>
                <w:sz w:val="24"/>
              </w:rPr>
              <w:t>7</w:t>
            </w:r>
            <w:r>
              <w:rPr>
                <w:rFonts w:ascii="仿宋" w:eastAsia="仿宋" w:hAnsi="仿宋" w:cs="宋体"/>
                <w:color w:val="000000" w:themeColor="text1"/>
                <w:kern w:val="1"/>
                <w:sz w:val="24"/>
              </w:rPr>
              <w:t>年第</w:t>
            </w:r>
            <w:r>
              <w:rPr>
                <w:rFonts w:ascii="仿宋" w:eastAsia="仿宋" w:hAnsi="仿宋" w:cs="宋体" w:hint="eastAsia"/>
                <w:color w:val="000000" w:themeColor="text1"/>
                <w:kern w:val="1"/>
                <w:sz w:val="24"/>
              </w:rPr>
              <w:t>5</w:t>
            </w:r>
            <w:r w:rsidR="00945930">
              <w:rPr>
                <w:rFonts w:ascii="仿宋" w:eastAsia="仿宋" w:hAnsi="仿宋" w:cs="宋体" w:hint="eastAsia"/>
                <w:color w:val="000000" w:themeColor="text1"/>
                <w:kern w:val="1"/>
                <w:sz w:val="24"/>
              </w:rPr>
              <w:t>4</w:t>
            </w:r>
            <w:r>
              <w:rPr>
                <w:rFonts w:ascii="仿宋" w:eastAsia="仿宋" w:hAnsi="仿宋" w:cs="宋体"/>
                <w:color w:val="000000" w:themeColor="text1"/>
                <w:kern w:val="1"/>
                <w:sz w:val="24"/>
              </w:rPr>
              <w:t>号）</w:t>
            </w:r>
            <w:r>
              <w:rPr>
                <w:rFonts w:ascii="仿宋" w:eastAsia="仿宋" w:hAnsi="仿宋" w:cs="宋体" w:hint="eastAsia"/>
                <w:color w:val="000000" w:themeColor="text1"/>
                <w:kern w:val="1"/>
                <w:sz w:val="24"/>
              </w:rPr>
              <w:t>全文</w:t>
            </w:r>
            <w:r>
              <w:rPr>
                <w:rFonts w:ascii="仿宋" w:eastAsia="仿宋" w:hAnsi="仿宋" w:cs="宋体"/>
                <w:color w:val="000000" w:themeColor="text1"/>
                <w:kern w:val="1"/>
                <w:sz w:val="24"/>
              </w:rPr>
              <w:t>。</w:t>
            </w:r>
          </w:p>
          <w:p w:rsidR="00013EC7" w:rsidRDefault="00575CDB">
            <w:pPr>
              <w:jc w:val="left"/>
              <w:rPr>
                <w:rFonts w:ascii="仿宋" w:eastAsia="仿宋" w:hAnsi="仿宋" w:cs="宋体"/>
                <w:color w:val="000000" w:themeColor="text1"/>
                <w:kern w:val="1"/>
                <w:sz w:val="24"/>
              </w:rPr>
            </w:pPr>
            <w:r>
              <w:rPr>
                <w:rFonts w:ascii="仿宋" w:eastAsia="仿宋" w:hAnsi="仿宋" w:cs="宋体" w:hint="eastAsia"/>
                <w:color w:val="000000" w:themeColor="text1"/>
                <w:kern w:val="1"/>
                <w:sz w:val="24"/>
              </w:rPr>
              <w:lastRenderedPageBreak/>
              <w:t>（十二）</w:t>
            </w:r>
            <w:r>
              <w:rPr>
                <w:rFonts w:ascii="仿宋" w:eastAsia="仿宋" w:hAnsi="仿宋" w:cs="宋体"/>
                <w:color w:val="000000" w:themeColor="text1"/>
                <w:kern w:val="1"/>
                <w:sz w:val="24"/>
              </w:rPr>
              <w:t>《财政部 国家税务总局关于企业手续费及佣金支出税前扣除政策的通知》（财税〔2009〕29号）</w:t>
            </w:r>
            <w:r>
              <w:rPr>
                <w:rFonts w:ascii="仿宋" w:eastAsia="仿宋" w:hAnsi="仿宋" w:cs="宋体" w:hint="eastAsia"/>
                <w:color w:val="000000" w:themeColor="text1"/>
                <w:kern w:val="1"/>
                <w:sz w:val="24"/>
              </w:rPr>
              <w:t>全文</w:t>
            </w:r>
            <w:r>
              <w:rPr>
                <w:rFonts w:ascii="仿宋" w:eastAsia="仿宋" w:hAnsi="仿宋" w:cs="宋体"/>
                <w:color w:val="000000" w:themeColor="text1"/>
                <w:kern w:val="1"/>
                <w:sz w:val="24"/>
              </w:rPr>
              <w:t>。</w:t>
            </w:r>
          </w:p>
          <w:p w:rsidR="00013EC7" w:rsidRDefault="00575CDB">
            <w:pPr>
              <w:jc w:val="left"/>
              <w:rPr>
                <w:rFonts w:ascii="仿宋" w:eastAsia="仿宋" w:hAnsi="仿宋" w:cs="宋体"/>
                <w:color w:val="000000" w:themeColor="text1"/>
                <w:kern w:val="1"/>
                <w:sz w:val="24"/>
              </w:rPr>
            </w:pPr>
            <w:r>
              <w:rPr>
                <w:rFonts w:ascii="仿宋" w:eastAsia="仿宋" w:hAnsi="仿宋" w:cs="宋体" w:hint="eastAsia"/>
                <w:color w:val="000000" w:themeColor="text1"/>
                <w:kern w:val="1"/>
                <w:sz w:val="24"/>
              </w:rPr>
              <w:t>（十三）</w:t>
            </w:r>
            <w:r>
              <w:rPr>
                <w:rFonts w:ascii="仿宋" w:eastAsia="仿宋" w:hAnsi="仿宋" w:cs="宋体"/>
                <w:color w:val="000000" w:themeColor="text1"/>
                <w:kern w:val="1"/>
                <w:sz w:val="24"/>
              </w:rPr>
              <w:t>《国家税务总局关于跨地区经营建筑企业所得税征收管理问题的通知》（国税函〔2010〕156号）</w:t>
            </w:r>
            <w:r>
              <w:rPr>
                <w:rFonts w:ascii="仿宋" w:eastAsia="仿宋" w:hAnsi="仿宋" w:cs="宋体" w:hint="eastAsia"/>
                <w:color w:val="000000" w:themeColor="text1"/>
                <w:kern w:val="1"/>
                <w:sz w:val="24"/>
              </w:rPr>
              <w:t>第五条、第七条</w:t>
            </w:r>
            <w:r>
              <w:rPr>
                <w:rFonts w:ascii="仿宋" w:eastAsia="仿宋" w:hAnsi="仿宋" w:cs="宋体"/>
                <w:color w:val="000000" w:themeColor="text1"/>
                <w:kern w:val="1"/>
                <w:sz w:val="24"/>
              </w:rPr>
              <w:t>。</w:t>
            </w:r>
          </w:p>
          <w:p w:rsidR="00013EC7" w:rsidRDefault="00575CDB">
            <w:pPr>
              <w:jc w:val="left"/>
              <w:rPr>
                <w:rFonts w:ascii="仿宋" w:eastAsia="仿宋" w:hAnsi="仿宋" w:cs="宋体"/>
                <w:color w:val="000000" w:themeColor="text1"/>
                <w:kern w:val="1"/>
                <w:sz w:val="24"/>
              </w:rPr>
            </w:pPr>
            <w:r>
              <w:rPr>
                <w:rFonts w:ascii="仿宋" w:eastAsia="仿宋" w:hAnsi="仿宋" w:cs="宋体" w:hint="eastAsia"/>
                <w:color w:val="000000" w:themeColor="text1"/>
                <w:kern w:val="1"/>
                <w:sz w:val="24"/>
              </w:rPr>
              <w:t>（十四）</w:t>
            </w:r>
            <w:r>
              <w:rPr>
                <w:rFonts w:ascii="仿宋" w:eastAsia="仿宋" w:hAnsi="仿宋" w:cs="宋体"/>
                <w:color w:val="000000" w:themeColor="text1"/>
                <w:kern w:val="1"/>
                <w:sz w:val="24"/>
              </w:rPr>
              <w:t>《财政部 国家税务总局关于保险公司准备金支出企业所得税税前扣除有关政策问题</w:t>
            </w:r>
            <w:r>
              <w:rPr>
                <w:rFonts w:ascii="仿宋" w:eastAsia="仿宋" w:hAnsi="仿宋" w:cs="宋体"/>
                <w:color w:val="000000" w:themeColor="text1"/>
                <w:kern w:val="1"/>
                <w:sz w:val="24"/>
              </w:rPr>
              <w:lastRenderedPageBreak/>
              <w:t>的通知》（财税〔2016〕114号）</w:t>
            </w:r>
            <w:r>
              <w:rPr>
                <w:rFonts w:ascii="仿宋" w:eastAsia="仿宋" w:hAnsi="仿宋" w:cs="宋体" w:hint="eastAsia"/>
                <w:color w:val="000000" w:themeColor="text1"/>
                <w:kern w:val="1"/>
                <w:sz w:val="24"/>
              </w:rPr>
              <w:t>全文</w:t>
            </w:r>
            <w:r>
              <w:rPr>
                <w:rFonts w:ascii="仿宋" w:eastAsia="仿宋" w:hAnsi="仿宋" w:cs="宋体"/>
                <w:color w:val="000000" w:themeColor="text1"/>
                <w:kern w:val="1"/>
                <w:sz w:val="24"/>
              </w:rPr>
              <w:t>。</w:t>
            </w:r>
          </w:p>
          <w:p w:rsidR="00013EC7" w:rsidRDefault="00575CDB">
            <w:pPr>
              <w:jc w:val="left"/>
              <w:rPr>
                <w:rFonts w:ascii="仿宋" w:eastAsia="仿宋" w:hAnsi="仿宋" w:cs="宋体"/>
                <w:color w:val="000000" w:themeColor="text1"/>
                <w:kern w:val="1"/>
                <w:sz w:val="24"/>
              </w:rPr>
            </w:pPr>
            <w:r>
              <w:rPr>
                <w:rFonts w:ascii="仿宋" w:eastAsia="仿宋" w:hAnsi="仿宋" w:cs="宋体" w:hint="eastAsia"/>
                <w:color w:val="000000" w:themeColor="text1"/>
                <w:kern w:val="1"/>
                <w:sz w:val="24"/>
              </w:rPr>
              <w:t>（十五）</w:t>
            </w:r>
            <w:r>
              <w:rPr>
                <w:rFonts w:ascii="仿宋" w:eastAsia="仿宋" w:hAnsi="仿宋" w:cs="宋体"/>
                <w:color w:val="000000" w:themeColor="text1"/>
                <w:kern w:val="1"/>
                <w:sz w:val="24"/>
              </w:rPr>
              <w:t>《国家税务总局关于发布&lt;企业境外所得税收抵免操作指南&gt;的公告》（国家税务总局公告2010年第1号）</w:t>
            </w:r>
            <w:r>
              <w:rPr>
                <w:rFonts w:ascii="仿宋" w:eastAsia="仿宋" w:hAnsi="仿宋" w:cs="宋体" w:hint="eastAsia"/>
                <w:color w:val="000000" w:themeColor="text1"/>
                <w:kern w:val="1"/>
                <w:sz w:val="24"/>
              </w:rPr>
              <w:t>附件</w:t>
            </w:r>
            <w:r>
              <w:rPr>
                <w:rFonts w:ascii="仿宋" w:eastAsia="仿宋" w:hAnsi="仿宋" w:cs="宋体"/>
                <w:color w:val="000000" w:themeColor="text1"/>
                <w:kern w:val="1"/>
                <w:sz w:val="24"/>
              </w:rPr>
              <w:t>。</w:t>
            </w:r>
          </w:p>
          <w:p w:rsidR="00013EC7" w:rsidRDefault="00575CDB">
            <w:pPr>
              <w:jc w:val="left"/>
              <w:rPr>
                <w:rFonts w:ascii="仿宋" w:eastAsia="仿宋" w:hAnsi="仿宋" w:cs="宋体"/>
                <w:color w:val="000000" w:themeColor="text1"/>
                <w:kern w:val="1"/>
                <w:sz w:val="24"/>
              </w:rPr>
            </w:pPr>
            <w:r>
              <w:rPr>
                <w:rFonts w:ascii="仿宋" w:eastAsia="仿宋" w:hAnsi="仿宋" w:cs="宋体" w:hint="eastAsia"/>
                <w:color w:val="000000" w:themeColor="text1"/>
                <w:kern w:val="1"/>
                <w:sz w:val="24"/>
              </w:rPr>
              <w:t>（十六）</w:t>
            </w:r>
            <w:r>
              <w:rPr>
                <w:rFonts w:ascii="仿宋" w:eastAsia="仿宋" w:hAnsi="仿宋" w:cs="宋体"/>
                <w:color w:val="000000" w:themeColor="text1"/>
                <w:kern w:val="1"/>
                <w:sz w:val="24"/>
              </w:rPr>
              <w:t>《国家税务总局关于发布</w:t>
            </w:r>
            <w:r>
              <w:rPr>
                <w:rFonts w:ascii="仿宋" w:eastAsia="仿宋" w:hAnsi="仿宋" w:cs="宋体" w:hint="eastAsia"/>
                <w:color w:val="000000" w:themeColor="text1"/>
                <w:kern w:val="1"/>
                <w:sz w:val="24"/>
              </w:rPr>
              <w:t>&lt;</w:t>
            </w:r>
            <w:r>
              <w:rPr>
                <w:rFonts w:ascii="仿宋" w:eastAsia="仿宋" w:hAnsi="仿宋" w:cs="宋体"/>
                <w:color w:val="000000" w:themeColor="text1"/>
                <w:kern w:val="1"/>
                <w:sz w:val="24"/>
              </w:rPr>
              <w:t>中华人民共和国企业所得税月（季）度预缴纳税申报表（2015年版）等报表</w:t>
            </w:r>
            <w:r>
              <w:rPr>
                <w:rFonts w:ascii="仿宋" w:eastAsia="仿宋" w:hAnsi="仿宋" w:cs="宋体" w:hint="eastAsia"/>
                <w:color w:val="000000" w:themeColor="text1"/>
                <w:kern w:val="1"/>
                <w:sz w:val="24"/>
              </w:rPr>
              <w:t>&gt;</w:t>
            </w:r>
            <w:r>
              <w:rPr>
                <w:rFonts w:ascii="仿宋" w:eastAsia="仿宋" w:hAnsi="仿宋" w:cs="宋体"/>
                <w:color w:val="000000" w:themeColor="text1"/>
                <w:kern w:val="1"/>
                <w:sz w:val="24"/>
              </w:rPr>
              <w:t>的公告》（国家税务总局公告2015年第31号）</w:t>
            </w:r>
            <w:r>
              <w:rPr>
                <w:rFonts w:ascii="仿宋" w:eastAsia="仿宋" w:hAnsi="仿宋" w:cs="宋体" w:hint="eastAsia"/>
                <w:color w:val="000000" w:themeColor="text1"/>
                <w:kern w:val="1"/>
                <w:sz w:val="24"/>
              </w:rPr>
              <w:t>第</w:t>
            </w:r>
            <w:r>
              <w:rPr>
                <w:rFonts w:ascii="仿宋" w:eastAsia="仿宋" w:hAnsi="仿宋" w:cs="宋体" w:hint="eastAsia"/>
                <w:color w:val="000000" w:themeColor="text1"/>
                <w:kern w:val="1"/>
                <w:sz w:val="24"/>
              </w:rPr>
              <w:lastRenderedPageBreak/>
              <w:t>二条</w:t>
            </w:r>
            <w:r>
              <w:rPr>
                <w:rFonts w:ascii="仿宋" w:eastAsia="仿宋" w:hAnsi="仿宋" w:cs="宋体"/>
                <w:color w:val="000000" w:themeColor="text1"/>
                <w:kern w:val="1"/>
                <w:sz w:val="24"/>
              </w:rPr>
              <w:t>。</w:t>
            </w:r>
          </w:p>
          <w:p w:rsidR="00013EC7" w:rsidRDefault="00575CDB">
            <w:pPr>
              <w:jc w:val="left"/>
              <w:rPr>
                <w:rFonts w:ascii="仿宋" w:eastAsia="仿宋" w:hAnsi="仿宋" w:cs="宋体"/>
                <w:color w:val="000000" w:themeColor="text1"/>
                <w:kern w:val="1"/>
                <w:sz w:val="24"/>
              </w:rPr>
            </w:pPr>
            <w:r>
              <w:rPr>
                <w:rFonts w:ascii="仿宋" w:eastAsia="仿宋" w:hAnsi="仿宋" w:cs="宋体" w:hint="eastAsia"/>
                <w:color w:val="000000" w:themeColor="text1"/>
                <w:kern w:val="1"/>
                <w:sz w:val="24"/>
              </w:rPr>
              <w:t>（十七）</w:t>
            </w:r>
            <w:r>
              <w:rPr>
                <w:rFonts w:ascii="仿宋" w:eastAsia="仿宋" w:hAnsi="仿宋" w:cs="宋体"/>
                <w:color w:val="000000" w:themeColor="text1"/>
                <w:kern w:val="1"/>
                <w:sz w:val="24"/>
              </w:rPr>
              <w:t>《国家税务总局关于非货币性资产投资企业所得税有关征管问题的公告》（国家税务总局公告2015年第33号）</w:t>
            </w:r>
            <w:r>
              <w:rPr>
                <w:rFonts w:ascii="仿宋" w:eastAsia="仿宋" w:hAnsi="仿宋" w:cs="宋体" w:hint="eastAsia"/>
                <w:color w:val="000000" w:themeColor="text1"/>
                <w:kern w:val="1"/>
                <w:sz w:val="24"/>
              </w:rPr>
              <w:t>全文</w:t>
            </w:r>
            <w:r>
              <w:rPr>
                <w:rFonts w:ascii="仿宋" w:eastAsia="仿宋" w:hAnsi="仿宋" w:cs="宋体"/>
                <w:color w:val="000000" w:themeColor="text1"/>
                <w:kern w:val="1"/>
                <w:sz w:val="24"/>
              </w:rPr>
              <w:t>。</w:t>
            </w:r>
          </w:p>
          <w:p w:rsidR="00013EC7" w:rsidRDefault="00575CDB">
            <w:pPr>
              <w:jc w:val="left"/>
              <w:rPr>
                <w:rFonts w:ascii="仿宋" w:eastAsia="仿宋" w:hAnsi="仿宋" w:cs="宋体"/>
                <w:color w:val="000000" w:themeColor="text1"/>
                <w:kern w:val="1"/>
                <w:sz w:val="24"/>
              </w:rPr>
            </w:pPr>
            <w:r>
              <w:rPr>
                <w:rFonts w:ascii="仿宋" w:eastAsia="仿宋" w:hAnsi="仿宋" w:cs="宋体" w:hint="eastAsia"/>
                <w:color w:val="000000" w:themeColor="text1"/>
                <w:kern w:val="1"/>
                <w:sz w:val="24"/>
              </w:rPr>
              <w:t>（十八）</w:t>
            </w:r>
            <w:r>
              <w:rPr>
                <w:rFonts w:ascii="仿宋" w:eastAsia="仿宋" w:hAnsi="仿宋" w:cs="宋体"/>
                <w:color w:val="000000" w:themeColor="text1"/>
                <w:kern w:val="1"/>
                <w:sz w:val="24"/>
              </w:rPr>
              <w:t>《</w:t>
            </w:r>
            <w:hyperlink w:anchor="_（财税〔2009〕59号）《财政部_国家税务总局关于企业重组业务企业所" w:history="1">
              <w:r>
                <w:rPr>
                  <w:rFonts w:ascii="仿宋" w:eastAsia="仿宋" w:hAnsi="仿宋" w:cs="宋体"/>
                  <w:color w:val="000000" w:themeColor="text1"/>
                  <w:kern w:val="1"/>
                  <w:sz w:val="24"/>
                </w:rPr>
                <w:t>财政部 国家税务总局关于企业重组业务企业所得税处理若干问题的通知</w:t>
              </w:r>
            </w:hyperlink>
            <w:r>
              <w:rPr>
                <w:rFonts w:ascii="仿宋" w:eastAsia="仿宋" w:hAnsi="仿宋" w:cs="宋体"/>
                <w:color w:val="000000" w:themeColor="text1"/>
                <w:kern w:val="1"/>
                <w:sz w:val="24"/>
              </w:rPr>
              <w:t>》（财税〔2009〕59号）</w:t>
            </w:r>
            <w:r>
              <w:rPr>
                <w:rFonts w:ascii="仿宋" w:eastAsia="仿宋" w:hAnsi="仿宋" w:cs="宋体" w:hint="eastAsia"/>
                <w:color w:val="000000" w:themeColor="text1"/>
                <w:kern w:val="1"/>
                <w:sz w:val="24"/>
              </w:rPr>
              <w:t>全文</w:t>
            </w:r>
            <w:r>
              <w:rPr>
                <w:rFonts w:ascii="仿宋" w:eastAsia="仿宋" w:hAnsi="仿宋" w:cs="宋体"/>
                <w:color w:val="000000" w:themeColor="text1"/>
                <w:kern w:val="1"/>
                <w:sz w:val="24"/>
              </w:rPr>
              <w:t>。</w:t>
            </w:r>
          </w:p>
          <w:p w:rsidR="00013EC7" w:rsidRDefault="00575CDB">
            <w:pPr>
              <w:jc w:val="left"/>
              <w:rPr>
                <w:rFonts w:ascii="仿宋" w:eastAsia="仿宋" w:hAnsi="仿宋" w:cs="宋体"/>
                <w:color w:val="000000" w:themeColor="text1"/>
                <w:kern w:val="1"/>
                <w:sz w:val="24"/>
              </w:rPr>
            </w:pPr>
            <w:r>
              <w:rPr>
                <w:rFonts w:ascii="仿宋" w:eastAsia="仿宋" w:hAnsi="仿宋" w:cs="宋体" w:hint="eastAsia"/>
                <w:color w:val="000000" w:themeColor="text1"/>
                <w:kern w:val="1"/>
                <w:sz w:val="24"/>
              </w:rPr>
              <w:t>（十九）</w:t>
            </w:r>
            <w:r w:rsidR="00945930" w:rsidRPr="00945930">
              <w:rPr>
                <w:rFonts w:ascii="仿宋" w:eastAsia="仿宋" w:hAnsi="仿宋" w:cs="宋体" w:hint="eastAsia"/>
                <w:color w:val="000000" w:themeColor="text1"/>
                <w:kern w:val="1"/>
                <w:sz w:val="24"/>
              </w:rPr>
              <w:t>《财政部 税务总局关于完善企业境外所得税收抵免政策问题的通</w:t>
            </w:r>
            <w:r w:rsidR="00945930" w:rsidRPr="00945930">
              <w:rPr>
                <w:rFonts w:ascii="仿宋" w:eastAsia="仿宋" w:hAnsi="仿宋" w:cs="宋体" w:hint="eastAsia"/>
                <w:color w:val="000000" w:themeColor="text1"/>
                <w:kern w:val="1"/>
                <w:sz w:val="24"/>
              </w:rPr>
              <w:lastRenderedPageBreak/>
              <w:t>知》 （财税〔2017〕84号）</w:t>
            </w:r>
            <w:r w:rsidR="00945930">
              <w:rPr>
                <w:rFonts w:ascii="仿宋" w:eastAsia="仿宋" w:hAnsi="仿宋" w:cs="宋体" w:hint="eastAsia"/>
                <w:color w:val="000000" w:themeColor="text1"/>
                <w:kern w:val="1"/>
                <w:sz w:val="24"/>
              </w:rPr>
              <w:t>全文。</w:t>
            </w:r>
          </w:p>
          <w:p w:rsidR="00013EC7" w:rsidRDefault="00575CDB">
            <w:pPr>
              <w:jc w:val="left"/>
              <w:rPr>
                <w:rFonts w:ascii="仿宋" w:eastAsia="仿宋" w:hAnsi="仿宋" w:cs="宋体"/>
                <w:color w:val="000000" w:themeColor="text1"/>
                <w:kern w:val="1"/>
                <w:sz w:val="24"/>
              </w:rPr>
            </w:pPr>
            <w:r>
              <w:rPr>
                <w:rFonts w:ascii="仿宋" w:eastAsia="仿宋" w:hAnsi="仿宋" w:cs="宋体" w:hint="eastAsia"/>
                <w:color w:val="000000" w:themeColor="text1"/>
                <w:kern w:val="1"/>
                <w:sz w:val="24"/>
              </w:rPr>
              <w:t>（二十）</w:t>
            </w:r>
            <w:r>
              <w:rPr>
                <w:rFonts w:ascii="仿宋" w:eastAsia="仿宋" w:hAnsi="仿宋" w:cs="宋体"/>
                <w:color w:val="000000" w:themeColor="text1"/>
                <w:kern w:val="1"/>
                <w:sz w:val="24"/>
              </w:rPr>
              <w:t>《</w:t>
            </w:r>
            <w:hyperlink w:anchor="_（财税〔2014〕109号）财政部_国家税务总局关于促进企业重组有关企" w:history="1">
              <w:r>
                <w:rPr>
                  <w:rFonts w:ascii="仿宋" w:eastAsia="仿宋" w:hAnsi="仿宋" w:cs="宋体"/>
                  <w:color w:val="000000" w:themeColor="text1"/>
                  <w:kern w:val="1"/>
                  <w:sz w:val="24"/>
                </w:rPr>
                <w:t>财政部 国家税务总局关于促进企业重组有关企业所得税处理问题的通知</w:t>
              </w:r>
            </w:hyperlink>
            <w:r>
              <w:rPr>
                <w:rFonts w:ascii="仿宋" w:eastAsia="仿宋" w:hAnsi="仿宋" w:cs="宋体"/>
                <w:color w:val="000000" w:themeColor="text1"/>
                <w:kern w:val="1"/>
                <w:sz w:val="24"/>
              </w:rPr>
              <w:t>》（财税〔2014〕109号）</w:t>
            </w:r>
            <w:r>
              <w:rPr>
                <w:rFonts w:ascii="仿宋" w:eastAsia="仿宋" w:hAnsi="仿宋" w:cs="宋体" w:hint="eastAsia"/>
                <w:color w:val="000000" w:themeColor="text1"/>
                <w:kern w:val="1"/>
                <w:sz w:val="24"/>
              </w:rPr>
              <w:t>全文</w:t>
            </w:r>
            <w:r>
              <w:rPr>
                <w:rFonts w:ascii="仿宋" w:eastAsia="仿宋" w:hAnsi="仿宋" w:cs="宋体"/>
                <w:color w:val="000000" w:themeColor="text1"/>
                <w:kern w:val="1"/>
                <w:sz w:val="24"/>
              </w:rPr>
              <w:t>。</w:t>
            </w:r>
          </w:p>
          <w:p w:rsidR="00013EC7" w:rsidRDefault="00575CDB">
            <w:pPr>
              <w:rPr>
                <w:rFonts w:ascii="仿宋" w:eastAsia="仿宋" w:hAnsi="仿宋" w:cs="宋体"/>
                <w:color w:val="000000" w:themeColor="text1"/>
                <w:kern w:val="1"/>
                <w:sz w:val="24"/>
              </w:rPr>
            </w:pPr>
            <w:r>
              <w:rPr>
                <w:rFonts w:ascii="仿宋" w:eastAsia="仿宋" w:hAnsi="仿宋" w:cs="宋体" w:hint="eastAsia"/>
                <w:color w:val="000000" w:themeColor="text1"/>
                <w:kern w:val="1"/>
                <w:sz w:val="24"/>
              </w:rPr>
              <w:t>（二十一）</w:t>
            </w:r>
            <w:r>
              <w:rPr>
                <w:rFonts w:ascii="仿宋" w:eastAsia="仿宋" w:hAnsi="仿宋" w:cs="宋体"/>
                <w:color w:val="000000" w:themeColor="text1"/>
                <w:kern w:val="1"/>
                <w:sz w:val="24"/>
              </w:rPr>
              <w:t>《国家税务总局关于资产（股权）划转企业所得税征管问题的公告》（国家税务总局公告2015年第40号）</w:t>
            </w:r>
            <w:r>
              <w:rPr>
                <w:rFonts w:ascii="仿宋" w:eastAsia="仿宋" w:hAnsi="仿宋" w:cs="宋体" w:hint="eastAsia"/>
                <w:color w:val="000000" w:themeColor="text1"/>
                <w:kern w:val="1"/>
                <w:sz w:val="24"/>
              </w:rPr>
              <w:t>全文</w:t>
            </w:r>
            <w:r>
              <w:rPr>
                <w:rFonts w:ascii="仿宋" w:eastAsia="仿宋" w:hAnsi="仿宋" w:cs="宋体"/>
                <w:color w:val="000000" w:themeColor="text1"/>
                <w:kern w:val="1"/>
                <w:sz w:val="24"/>
              </w:rPr>
              <w:t>。</w:t>
            </w:r>
          </w:p>
          <w:p w:rsidR="00013EC7" w:rsidRDefault="00575CDB">
            <w:pPr>
              <w:jc w:val="left"/>
              <w:rPr>
                <w:rFonts w:ascii="仿宋" w:eastAsia="仿宋" w:hAnsi="仿宋" w:cs="宋体"/>
                <w:color w:val="000000" w:themeColor="text1"/>
                <w:kern w:val="1"/>
                <w:sz w:val="24"/>
              </w:rPr>
            </w:pPr>
            <w:r>
              <w:rPr>
                <w:rFonts w:ascii="仿宋" w:eastAsia="仿宋" w:hAnsi="仿宋" w:cs="宋体" w:hint="eastAsia"/>
                <w:color w:val="000000" w:themeColor="text1"/>
                <w:kern w:val="1"/>
                <w:sz w:val="24"/>
              </w:rPr>
              <w:t>（二十二）</w:t>
            </w:r>
            <w:r>
              <w:rPr>
                <w:rFonts w:ascii="仿宋" w:eastAsia="仿宋" w:hAnsi="仿宋" w:cs="宋体"/>
                <w:color w:val="000000" w:themeColor="text1"/>
                <w:kern w:val="1"/>
                <w:sz w:val="24"/>
              </w:rPr>
              <w:t>《国家税务总局关于企业重组业</w:t>
            </w:r>
            <w:r>
              <w:rPr>
                <w:rFonts w:ascii="仿宋" w:eastAsia="仿宋" w:hAnsi="仿宋" w:cs="宋体"/>
                <w:color w:val="000000" w:themeColor="text1"/>
                <w:kern w:val="1"/>
                <w:sz w:val="24"/>
              </w:rPr>
              <w:lastRenderedPageBreak/>
              <w:t>务企业所得税征收管理若干问题的公告》（国家税务总局公告2015年第48号）</w:t>
            </w:r>
            <w:r>
              <w:rPr>
                <w:rFonts w:ascii="仿宋" w:eastAsia="仿宋" w:hAnsi="仿宋" w:cs="宋体" w:hint="eastAsia"/>
                <w:color w:val="000000" w:themeColor="text1"/>
                <w:kern w:val="1"/>
                <w:sz w:val="24"/>
              </w:rPr>
              <w:t>全文</w:t>
            </w:r>
            <w:r>
              <w:rPr>
                <w:rFonts w:ascii="仿宋" w:eastAsia="仿宋" w:hAnsi="仿宋" w:cs="宋体"/>
                <w:color w:val="000000" w:themeColor="text1"/>
                <w:kern w:val="1"/>
                <w:sz w:val="24"/>
              </w:rPr>
              <w:t>。</w:t>
            </w:r>
          </w:p>
          <w:p w:rsidR="00013EC7" w:rsidRDefault="00575CDB">
            <w:pPr>
              <w:jc w:val="left"/>
              <w:rPr>
                <w:rFonts w:ascii="仿宋" w:eastAsia="仿宋" w:hAnsi="仿宋" w:cs="宋体"/>
                <w:color w:val="000000" w:themeColor="text1"/>
                <w:kern w:val="1"/>
                <w:sz w:val="24"/>
              </w:rPr>
            </w:pPr>
            <w:r>
              <w:rPr>
                <w:rFonts w:ascii="仿宋" w:eastAsia="仿宋" w:hAnsi="仿宋" w:cs="宋体" w:hint="eastAsia"/>
                <w:color w:val="000000" w:themeColor="text1"/>
                <w:kern w:val="1"/>
                <w:sz w:val="24"/>
              </w:rPr>
              <w:t>（二十三）</w:t>
            </w:r>
            <w:r>
              <w:rPr>
                <w:rFonts w:ascii="仿宋" w:eastAsia="仿宋" w:hAnsi="仿宋" w:cs="宋体"/>
                <w:color w:val="000000" w:themeColor="text1"/>
                <w:kern w:val="1"/>
                <w:sz w:val="24"/>
              </w:rPr>
              <w:t>《财政部 国家税务总局关于公益股权捐赠企业所得税政策问题的通知》（财税〔2016〕45号）</w:t>
            </w:r>
            <w:r>
              <w:rPr>
                <w:rFonts w:ascii="仿宋" w:eastAsia="仿宋" w:hAnsi="仿宋" w:cs="宋体" w:hint="eastAsia"/>
                <w:color w:val="000000" w:themeColor="text1"/>
                <w:kern w:val="1"/>
                <w:sz w:val="24"/>
              </w:rPr>
              <w:t>全文</w:t>
            </w:r>
            <w:r>
              <w:rPr>
                <w:rFonts w:ascii="仿宋" w:eastAsia="仿宋" w:hAnsi="仿宋" w:cs="宋体"/>
                <w:color w:val="000000" w:themeColor="text1"/>
                <w:kern w:val="1"/>
                <w:sz w:val="24"/>
              </w:rPr>
              <w:t>。</w:t>
            </w:r>
          </w:p>
          <w:p w:rsidR="00013EC7" w:rsidRDefault="00575CDB">
            <w:pPr>
              <w:jc w:val="left"/>
              <w:rPr>
                <w:rFonts w:ascii="仿宋" w:eastAsia="仿宋" w:hAnsi="仿宋" w:cs="宋体"/>
                <w:color w:val="000000" w:themeColor="text1"/>
                <w:kern w:val="1"/>
                <w:sz w:val="24"/>
              </w:rPr>
            </w:pPr>
            <w:r>
              <w:rPr>
                <w:rFonts w:ascii="仿宋" w:eastAsia="仿宋" w:hAnsi="仿宋" w:cs="宋体" w:hint="eastAsia"/>
                <w:color w:val="000000" w:themeColor="text1"/>
                <w:kern w:val="1"/>
                <w:sz w:val="24"/>
              </w:rPr>
              <w:t>（二十四）</w:t>
            </w:r>
            <w:r>
              <w:rPr>
                <w:rFonts w:ascii="仿宋" w:eastAsia="仿宋" w:hAnsi="仿宋" w:cs="宋体"/>
                <w:color w:val="000000" w:themeColor="text1"/>
                <w:kern w:val="1"/>
                <w:sz w:val="24"/>
              </w:rPr>
              <w:t>《国家税务总局关于加快推行办税事项同城通办的通知》（税总发〔2016〕46 号）</w:t>
            </w:r>
            <w:r>
              <w:rPr>
                <w:rFonts w:ascii="仿宋" w:eastAsia="仿宋" w:hAnsi="仿宋" w:cs="宋体" w:hint="eastAsia"/>
                <w:color w:val="000000" w:themeColor="text1"/>
                <w:kern w:val="1"/>
                <w:sz w:val="24"/>
              </w:rPr>
              <w:t>附件</w:t>
            </w:r>
            <w:r>
              <w:rPr>
                <w:rFonts w:ascii="仿宋" w:eastAsia="仿宋" w:hAnsi="仿宋" w:cs="宋体"/>
                <w:color w:val="000000" w:themeColor="text1"/>
                <w:kern w:val="1"/>
                <w:sz w:val="24"/>
              </w:rPr>
              <w:t>。</w:t>
            </w:r>
          </w:p>
          <w:p w:rsidR="00013EC7" w:rsidRDefault="00575CDB">
            <w:pPr>
              <w:jc w:val="left"/>
              <w:rPr>
                <w:rFonts w:ascii="仿宋" w:eastAsia="仿宋" w:hAnsi="仿宋" w:cs="宋体"/>
                <w:color w:val="000000" w:themeColor="text1"/>
                <w:kern w:val="1"/>
                <w:sz w:val="24"/>
              </w:rPr>
            </w:pPr>
            <w:r>
              <w:rPr>
                <w:rFonts w:ascii="仿宋" w:eastAsia="仿宋" w:hAnsi="仿宋" w:cs="宋体" w:hint="eastAsia"/>
                <w:color w:val="000000" w:themeColor="text1"/>
                <w:kern w:val="1"/>
                <w:sz w:val="24"/>
              </w:rPr>
              <w:t>（二十</w:t>
            </w:r>
            <w:r>
              <w:rPr>
                <w:rFonts w:ascii="仿宋" w:eastAsia="仿宋" w:hAnsi="仿宋" w:cs="宋体" w:hint="eastAsia"/>
                <w:color w:val="000000" w:themeColor="text1"/>
                <w:kern w:val="1"/>
                <w:sz w:val="24"/>
              </w:rPr>
              <w:lastRenderedPageBreak/>
              <w:t>五）</w:t>
            </w:r>
            <w:r>
              <w:rPr>
                <w:rFonts w:ascii="仿宋" w:eastAsia="仿宋" w:hAnsi="仿宋" w:cs="宋体"/>
                <w:color w:val="000000" w:themeColor="text1"/>
                <w:kern w:val="1"/>
                <w:sz w:val="24"/>
              </w:rPr>
              <w:t>《国家税务总局关于企业所得税有关问题的公告》（国家税务总局公告2016年第80号）</w:t>
            </w:r>
            <w:r>
              <w:rPr>
                <w:rFonts w:ascii="仿宋" w:eastAsia="仿宋" w:hAnsi="仿宋" w:cs="宋体" w:hint="eastAsia"/>
                <w:color w:val="000000" w:themeColor="text1"/>
                <w:kern w:val="1"/>
                <w:sz w:val="24"/>
              </w:rPr>
              <w:t>全文</w:t>
            </w:r>
            <w:r>
              <w:rPr>
                <w:rFonts w:ascii="仿宋" w:eastAsia="仿宋" w:hAnsi="仿宋" w:cs="宋体"/>
                <w:color w:val="000000" w:themeColor="text1"/>
                <w:kern w:val="1"/>
                <w:sz w:val="24"/>
              </w:rPr>
              <w:t>。</w:t>
            </w:r>
          </w:p>
          <w:p w:rsidR="00013EC7" w:rsidRDefault="00575CDB">
            <w:pPr>
              <w:jc w:val="left"/>
              <w:rPr>
                <w:rFonts w:ascii="仿宋" w:eastAsia="仿宋" w:hAnsi="仿宋" w:cs="宋体"/>
                <w:color w:val="000000" w:themeColor="text1"/>
                <w:kern w:val="1"/>
                <w:sz w:val="24"/>
              </w:rPr>
            </w:pPr>
            <w:r>
              <w:rPr>
                <w:rFonts w:ascii="仿宋" w:eastAsia="仿宋" w:hAnsi="仿宋" w:cs="宋体" w:hint="eastAsia"/>
                <w:color w:val="000000" w:themeColor="text1"/>
                <w:kern w:val="1"/>
                <w:sz w:val="24"/>
              </w:rPr>
              <w:t>（二十六）《国家税务总局关于完善关联申报和同期资料管理有关事项的公告》（国家税务总局公告2016年第42号）全文。</w:t>
            </w:r>
          </w:p>
          <w:p w:rsidR="00013EC7" w:rsidRDefault="00575CDB">
            <w:pPr>
              <w:jc w:val="left"/>
              <w:rPr>
                <w:rFonts w:ascii="仿宋" w:eastAsia="仿宋" w:hAnsi="仿宋" w:cs="宋体"/>
                <w:color w:val="000000" w:themeColor="text1"/>
                <w:kern w:val="1"/>
                <w:sz w:val="24"/>
              </w:rPr>
            </w:pPr>
            <w:r>
              <w:rPr>
                <w:rFonts w:ascii="仿宋" w:eastAsia="仿宋" w:hAnsi="仿宋" w:cs="宋体" w:hint="eastAsia"/>
                <w:color w:val="000000" w:themeColor="text1"/>
                <w:kern w:val="1"/>
                <w:sz w:val="24"/>
              </w:rPr>
              <w:t>（二十七）《</w:t>
            </w:r>
            <w:r>
              <w:rPr>
                <w:rFonts w:ascii="仿宋" w:eastAsia="仿宋" w:hAnsi="仿宋" w:cs="宋体"/>
                <w:color w:val="000000" w:themeColor="text1"/>
                <w:kern w:val="1"/>
                <w:sz w:val="24"/>
              </w:rPr>
              <w:t>财政部 国家税务总局关于中小企业融资(信用)担保机构有关准备金企业所得税税前扣除政策的</w:t>
            </w:r>
            <w:r>
              <w:rPr>
                <w:rFonts w:ascii="仿宋" w:eastAsia="仿宋" w:hAnsi="仿宋" w:cs="宋体"/>
                <w:color w:val="000000" w:themeColor="text1"/>
                <w:kern w:val="1"/>
                <w:sz w:val="24"/>
              </w:rPr>
              <w:lastRenderedPageBreak/>
              <w:t>通知</w:t>
            </w:r>
            <w:r>
              <w:rPr>
                <w:rFonts w:ascii="仿宋" w:eastAsia="仿宋" w:hAnsi="仿宋" w:cs="宋体" w:hint="eastAsia"/>
                <w:color w:val="000000" w:themeColor="text1"/>
                <w:kern w:val="1"/>
                <w:sz w:val="24"/>
              </w:rPr>
              <w:t>》（</w:t>
            </w:r>
            <w:r>
              <w:rPr>
                <w:rFonts w:ascii="仿宋" w:eastAsia="仿宋" w:hAnsi="仿宋" w:cs="宋体"/>
                <w:color w:val="000000" w:themeColor="text1"/>
                <w:kern w:val="1"/>
                <w:sz w:val="24"/>
              </w:rPr>
              <w:t>财税〔2017〕22号</w:t>
            </w:r>
            <w:r>
              <w:rPr>
                <w:rFonts w:ascii="仿宋" w:eastAsia="仿宋" w:hAnsi="仿宋" w:cs="宋体" w:hint="eastAsia"/>
                <w:color w:val="000000" w:themeColor="text1"/>
                <w:kern w:val="1"/>
                <w:sz w:val="24"/>
              </w:rPr>
              <w:t>）全文。</w:t>
            </w:r>
          </w:p>
          <w:p w:rsidR="00013EC7" w:rsidRDefault="00013EC7">
            <w:pPr>
              <w:rPr>
                <w:rFonts w:ascii="仿宋" w:eastAsia="仿宋" w:hAnsi="仿宋" w:cs="宋体"/>
                <w:color w:val="000000" w:themeColor="text1"/>
                <w:kern w:val="1"/>
                <w:sz w:val="24"/>
              </w:rPr>
            </w:pPr>
          </w:p>
        </w:tc>
        <w:tc>
          <w:tcPr>
            <w:tcW w:w="4394" w:type="dxa"/>
            <w:tcBorders>
              <w:top w:val="single" w:sz="4" w:space="0" w:color="auto"/>
              <w:bottom w:val="single" w:sz="4" w:space="0" w:color="auto"/>
            </w:tcBorders>
            <w:vAlign w:val="center"/>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lastRenderedPageBreak/>
              <w:t>（一）</w:t>
            </w:r>
            <w:r>
              <w:rPr>
                <w:rFonts w:ascii="仿宋" w:eastAsia="仿宋" w:hAnsi="仿宋" w:hint="eastAsia"/>
                <w:color w:val="000000" w:themeColor="text1"/>
                <w:sz w:val="24"/>
                <w:highlight w:val="lightGray"/>
              </w:rPr>
              <w:t>《中华人民共和国企业所得税年度纳税申报表（A类，2014年版）》及附表各2份。</w:t>
            </w:r>
            <w:r>
              <w:rPr>
                <w:rFonts w:ascii="仿宋" w:eastAsia="仿宋" w:hAnsi="仿宋" w:hint="eastAsia"/>
                <w:color w:val="000000" w:themeColor="text1"/>
                <w:sz w:val="24"/>
              </w:rPr>
              <w:br/>
            </w:r>
            <w:r>
              <w:rPr>
                <w:rFonts w:ascii="仿宋" w:eastAsia="仿宋" w:hAnsi="仿宋" w:hint="eastAsia"/>
                <w:color w:val="000000" w:themeColor="text1"/>
                <w:sz w:val="24"/>
                <w:highlight w:val="lightGray"/>
              </w:rPr>
              <w:t>其中包括：（A06608）《中华人民共和国企业所得税年度纳税申报表（A 类，2014 版）封面》、（A06557 -A06598）相关年报主表及附表。</w:t>
            </w:r>
          </w:p>
        </w:tc>
        <w:tc>
          <w:tcPr>
            <w:tcW w:w="851" w:type="dxa"/>
            <w:vAlign w:val="center"/>
          </w:tcPr>
          <w:p w:rsidR="00013EC7" w:rsidRDefault="00575CDB">
            <w:pPr>
              <w:spacing w:line="300" w:lineRule="exact"/>
              <w:jc w:val="left"/>
              <w:rPr>
                <w:rFonts w:ascii="仿宋" w:eastAsia="仿宋" w:hAnsi="仿宋"/>
                <w:color w:val="000000" w:themeColor="text1"/>
                <w:sz w:val="24"/>
              </w:rPr>
            </w:pPr>
            <w:r>
              <w:rPr>
                <w:rFonts w:ascii="仿宋" w:eastAsia="仿宋" w:hAnsi="仿宋" w:hint="eastAsia"/>
                <w:color w:val="000000" w:themeColor="text1"/>
                <w:sz w:val="24"/>
              </w:rPr>
              <w:t>纳税人提交</w:t>
            </w:r>
          </w:p>
        </w:tc>
        <w:tc>
          <w:tcPr>
            <w:tcW w:w="4252" w:type="dxa"/>
            <w:vAlign w:val="center"/>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（一）《中华人民共和国企业所得税年度纳税申报表（A类，2017年版）》1份。</w:t>
            </w:r>
          </w:p>
        </w:tc>
        <w:tc>
          <w:tcPr>
            <w:tcW w:w="851" w:type="dxa"/>
            <w:vAlign w:val="center"/>
          </w:tcPr>
          <w:p w:rsidR="00013EC7" w:rsidRDefault="00575CDB">
            <w:pPr>
              <w:spacing w:line="300" w:lineRule="exact"/>
              <w:jc w:val="left"/>
              <w:rPr>
                <w:rFonts w:ascii="仿宋" w:eastAsia="仿宋" w:hAnsi="仿宋"/>
                <w:iCs/>
                <w:color w:val="000000" w:themeColor="text1"/>
                <w:sz w:val="24"/>
              </w:rPr>
            </w:pPr>
            <w:r>
              <w:rPr>
                <w:rFonts w:ascii="仿宋" w:eastAsia="仿宋" w:hAnsi="仿宋" w:hint="eastAsia"/>
                <w:color w:val="000000" w:themeColor="text1"/>
                <w:sz w:val="24"/>
              </w:rPr>
              <w:t>纳税人提交</w:t>
            </w:r>
          </w:p>
        </w:tc>
        <w:tc>
          <w:tcPr>
            <w:tcW w:w="2126" w:type="dxa"/>
            <w:vMerge w:val="restart"/>
            <w:vAlign w:val="center"/>
          </w:tcPr>
          <w:p w:rsidR="00013EC7" w:rsidRDefault="00575CDB">
            <w:pPr>
              <w:rPr>
                <w:rFonts w:ascii="仿宋" w:eastAsia="仿宋" w:hAnsi="仿宋"/>
                <w:color w:val="000000" w:themeColor="text1"/>
                <w:sz w:val="24"/>
              </w:rPr>
            </w:pPr>
            <w:r>
              <w:rPr>
                <w:rFonts w:ascii="仿宋" w:eastAsia="仿宋" w:hAnsi="仿宋"/>
                <w:b/>
                <w:color w:val="000000" w:themeColor="text1"/>
                <w:sz w:val="24"/>
              </w:rPr>
              <w:t>现场办理：</w:t>
            </w:r>
            <w:r>
              <w:rPr>
                <w:rFonts w:ascii="仿宋" w:eastAsia="仿宋" w:hAnsi="仿宋" w:hint="eastAsia"/>
                <w:bCs/>
                <w:color w:val="000000" w:themeColor="text1"/>
                <w:sz w:val="24"/>
              </w:rPr>
              <w:t>纳税人</w:t>
            </w:r>
            <w:r>
              <w:rPr>
                <w:rFonts w:ascii="仿宋" w:eastAsia="仿宋" w:hAnsi="仿宋" w:hint="eastAsia"/>
                <w:color w:val="000000" w:themeColor="text1"/>
                <w:sz w:val="24"/>
              </w:rPr>
              <w:t>提交书面材料，符合受理条件的当场受理办结。</w:t>
            </w:r>
          </w:p>
          <w:p w:rsidR="00013EC7" w:rsidRDefault="00575CDB">
            <w:pPr>
              <w:spacing w:line="300" w:lineRule="exact"/>
              <w:rPr>
                <w:rFonts w:ascii="仿宋" w:eastAsia="仿宋" w:hAnsi="仿宋"/>
                <w:color w:val="000000" w:themeColor="text1"/>
                <w:sz w:val="24"/>
              </w:rPr>
            </w:pPr>
            <w:r>
              <w:rPr>
                <w:rFonts w:ascii="仿宋" w:eastAsia="仿宋" w:hAnsi="仿宋" w:cs="仿宋" w:hint="eastAsia"/>
                <w:b/>
                <w:bCs/>
                <w:color w:val="000000" w:themeColor="text1"/>
                <w:sz w:val="24"/>
              </w:rPr>
              <w:t>网上办理：</w:t>
            </w:r>
            <w:r>
              <w:rPr>
                <w:rFonts w:ascii="仿宋" w:eastAsia="仿宋" w:hAnsi="仿宋" w:hint="eastAsia"/>
                <w:color w:val="000000" w:themeColor="text1"/>
                <w:sz w:val="24"/>
              </w:rPr>
              <w:t>登录浙江国税电子税务局（网址：</w:t>
            </w:r>
            <w:hyperlink r:id="rId274" w:tgtFrame="https://wx.qq.com/_blank" w:history="1">
              <w:r>
                <w:rPr>
                  <w:rFonts w:ascii="仿宋" w:eastAsia="仿宋" w:hAnsi="仿宋" w:hint="eastAsia"/>
                  <w:color w:val="000000" w:themeColor="text1"/>
                  <w:sz w:val="24"/>
                </w:rPr>
                <w:t>http://etax.zjtax.gov.cn/</w:t>
              </w:r>
            </w:hyperlink>
            <w:r>
              <w:rPr>
                <w:rFonts w:ascii="仿宋" w:eastAsia="仿宋" w:hAnsi="仿宋" w:hint="eastAsia"/>
                <w:color w:val="000000" w:themeColor="text1"/>
                <w:sz w:val="24"/>
              </w:rPr>
              <w:t>）提交申请。</w:t>
            </w:r>
          </w:p>
        </w:tc>
        <w:tc>
          <w:tcPr>
            <w:tcW w:w="850" w:type="dxa"/>
            <w:vMerge w:val="restart"/>
            <w:vAlign w:val="center"/>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即时办结</w:t>
            </w:r>
          </w:p>
        </w:tc>
        <w:tc>
          <w:tcPr>
            <w:tcW w:w="851" w:type="dxa"/>
            <w:vMerge w:val="restart"/>
            <w:vAlign w:val="center"/>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即时办结</w:t>
            </w:r>
          </w:p>
        </w:tc>
        <w:tc>
          <w:tcPr>
            <w:tcW w:w="850" w:type="dxa"/>
            <w:vMerge w:val="restart"/>
            <w:vAlign w:val="center"/>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是</w:t>
            </w:r>
          </w:p>
        </w:tc>
        <w:tc>
          <w:tcPr>
            <w:tcW w:w="709" w:type="dxa"/>
            <w:vMerge w:val="restart"/>
            <w:vAlign w:val="center"/>
          </w:tcPr>
          <w:p w:rsidR="00013EC7" w:rsidRDefault="00575CDB">
            <w:pPr>
              <w:spacing w:line="300" w:lineRule="exact"/>
              <w:jc w:val="left"/>
              <w:rPr>
                <w:rFonts w:ascii="仿宋" w:eastAsia="仿宋" w:hAnsi="仿宋"/>
                <w:color w:val="000000" w:themeColor="text1"/>
                <w:sz w:val="24"/>
              </w:rPr>
            </w:pPr>
            <w:r>
              <w:rPr>
                <w:rFonts w:ascii="仿宋" w:eastAsia="仿宋" w:hAnsi="仿宋" w:hint="eastAsia"/>
                <w:color w:val="000000" w:themeColor="text1"/>
                <w:sz w:val="24"/>
              </w:rPr>
              <w:t>所得税处</w:t>
            </w:r>
          </w:p>
        </w:tc>
        <w:tc>
          <w:tcPr>
            <w:tcW w:w="1133" w:type="dxa"/>
            <w:vMerge w:val="restart"/>
            <w:vAlign w:val="center"/>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涉及承诺书、情况说明、合同、协议类资料，均做留存备查。</w:t>
            </w:r>
          </w:p>
        </w:tc>
      </w:tr>
      <w:tr w:rsidR="00013EC7">
        <w:trPr>
          <w:trHeight w:val="1475"/>
          <w:jc w:val="center"/>
        </w:trPr>
        <w:tc>
          <w:tcPr>
            <w:tcW w:w="672" w:type="dxa"/>
            <w:vMerge/>
            <w:vAlign w:val="center"/>
          </w:tcPr>
          <w:p w:rsidR="00013EC7" w:rsidRDefault="00013EC7">
            <w:pPr>
              <w:spacing w:line="240" w:lineRule="atLeast"/>
              <w:rPr>
                <w:rFonts w:ascii="仿宋" w:eastAsia="仿宋" w:hAnsi="仿宋"/>
                <w:color w:val="000000" w:themeColor="text1"/>
                <w:sz w:val="24"/>
              </w:rPr>
            </w:pPr>
          </w:p>
        </w:tc>
        <w:tc>
          <w:tcPr>
            <w:tcW w:w="1035" w:type="dxa"/>
            <w:vMerge/>
            <w:vAlign w:val="center"/>
          </w:tcPr>
          <w:p w:rsidR="00013EC7" w:rsidRDefault="00013EC7">
            <w:pPr>
              <w:spacing w:line="240" w:lineRule="atLeast"/>
              <w:rPr>
                <w:rFonts w:ascii="仿宋" w:eastAsia="仿宋" w:hAnsi="仿宋"/>
                <w:color w:val="000000" w:themeColor="text1"/>
                <w:sz w:val="24"/>
              </w:rPr>
            </w:pPr>
          </w:p>
        </w:tc>
        <w:tc>
          <w:tcPr>
            <w:tcW w:w="1271" w:type="dxa"/>
            <w:vMerge/>
            <w:vAlign w:val="center"/>
          </w:tcPr>
          <w:p w:rsidR="00013EC7" w:rsidRDefault="00013EC7">
            <w:pPr>
              <w:spacing w:line="240" w:lineRule="atLeast"/>
              <w:rPr>
                <w:rFonts w:ascii="仿宋" w:eastAsia="仿宋" w:hAnsi="仿宋"/>
                <w:color w:val="000000" w:themeColor="text1"/>
                <w:sz w:val="24"/>
              </w:rPr>
            </w:pPr>
          </w:p>
        </w:tc>
        <w:tc>
          <w:tcPr>
            <w:tcW w:w="4394" w:type="dxa"/>
            <w:tcBorders>
              <w:top w:val="single" w:sz="4" w:space="0" w:color="auto"/>
              <w:bottom w:val="single" w:sz="4" w:space="0" w:color="auto"/>
            </w:tcBorders>
            <w:vAlign w:val="center"/>
          </w:tcPr>
          <w:p w:rsidR="00013EC7" w:rsidRDefault="00575CDB">
            <w:pPr>
              <w:spacing w:line="300" w:lineRule="exact"/>
              <w:rPr>
                <w:rFonts w:ascii="仿宋" w:eastAsia="仿宋" w:hAnsi="仿宋"/>
                <w:color w:val="000000" w:themeColor="text1"/>
                <w:sz w:val="24"/>
                <w:highlight w:val="lightGray"/>
              </w:rPr>
            </w:pPr>
            <w:r>
              <w:rPr>
                <w:rFonts w:ascii="仿宋" w:eastAsia="仿宋" w:hAnsi="仿宋" w:hint="eastAsia"/>
                <w:color w:val="000000" w:themeColor="text1"/>
                <w:sz w:val="24"/>
              </w:rPr>
              <w:t>（二）报送（</w:t>
            </w:r>
            <w:r>
              <w:rPr>
                <w:rFonts w:ascii="仿宋" w:eastAsia="仿宋" w:hAnsi="仿宋"/>
                <w:color w:val="000000" w:themeColor="text1"/>
                <w:sz w:val="24"/>
              </w:rPr>
              <w:t>A06083-A06092</w:t>
            </w:r>
            <w:r>
              <w:rPr>
                <w:rFonts w:ascii="仿宋" w:eastAsia="仿宋" w:hAnsi="仿宋" w:hint="eastAsia"/>
                <w:color w:val="000000" w:themeColor="text1"/>
                <w:sz w:val="24"/>
              </w:rPr>
              <w:t>）《中华人民共和国企业年度关联业务往来报告表》及附表各</w:t>
            </w:r>
            <w:r>
              <w:rPr>
                <w:rFonts w:ascii="仿宋" w:eastAsia="仿宋" w:hAnsi="仿宋"/>
                <w:color w:val="000000" w:themeColor="text1"/>
                <w:sz w:val="24"/>
                <w:highlight w:val="lightGray"/>
              </w:rPr>
              <w:t>2</w:t>
            </w:r>
            <w:r>
              <w:rPr>
                <w:rFonts w:ascii="仿宋" w:eastAsia="仿宋" w:hAnsi="仿宋" w:hint="eastAsia"/>
                <w:color w:val="000000" w:themeColor="text1"/>
                <w:sz w:val="24"/>
                <w:highlight w:val="lightGray"/>
              </w:rPr>
              <w:t>份</w:t>
            </w:r>
            <w:r>
              <w:rPr>
                <w:rFonts w:ascii="仿宋" w:eastAsia="仿宋" w:hAnsi="仿宋" w:hint="eastAsia"/>
                <w:color w:val="000000" w:themeColor="text1"/>
                <w:sz w:val="24"/>
              </w:rPr>
              <w:t>。</w:t>
            </w:r>
          </w:p>
        </w:tc>
        <w:tc>
          <w:tcPr>
            <w:tcW w:w="851" w:type="dxa"/>
            <w:vAlign w:val="center"/>
          </w:tcPr>
          <w:p w:rsidR="00013EC7" w:rsidRDefault="00575CDB">
            <w:pPr>
              <w:spacing w:line="300" w:lineRule="exact"/>
              <w:jc w:val="left"/>
              <w:rPr>
                <w:rFonts w:ascii="仿宋" w:eastAsia="仿宋" w:hAnsi="仿宋"/>
                <w:color w:val="000000" w:themeColor="text1"/>
                <w:sz w:val="24"/>
              </w:rPr>
            </w:pPr>
            <w:r>
              <w:rPr>
                <w:rFonts w:ascii="仿宋" w:eastAsia="仿宋" w:hAnsi="仿宋" w:hint="eastAsia"/>
                <w:color w:val="000000" w:themeColor="text1"/>
                <w:sz w:val="24"/>
              </w:rPr>
              <w:t>关联业务纳税人提交</w:t>
            </w:r>
          </w:p>
        </w:tc>
        <w:tc>
          <w:tcPr>
            <w:tcW w:w="4252" w:type="dxa"/>
            <w:vAlign w:val="center"/>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（二）涉及关联方业务往来的，同时应报送《中华人民共和国企业年度关联业务往来报告表（2016年版）》1份。</w:t>
            </w:r>
          </w:p>
        </w:tc>
        <w:tc>
          <w:tcPr>
            <w:tcW w:w="851" w:type="dxa"/>
            <w:vAlign w:val="center"/>
          </w:tcPr>
          <w:p w:rsidR="00013EC7" w:rsidRDefault="00575CDB">
            <w:pPr>
              <w:spacing w:line="300" w:lineRule="exact"/>
              <w:jc w:val="left"/>
              <w:rPr>
                <w:rFonts w:ascii="仿宋" w:eastAsia="仿宋" w:hAnsi="仿宋"/>
                <w:color w:val="000000" w:themeColor="text1"/>
                <w:sz w:val="24"/>
              </w:rPr>
            </w:pPr>
            <w:r>
              <w:rPr>
                <w:rFonts w:ascii="仿宋" w:eastAsia="仿宋" w:hAnsi="仿宋" w:hint="eastAsia"/>
                <w:color w:val="000000" w:themeColor="text1"/>
                <w:sz w:val="24"/>
              </w:rPr>
              <w:t>关联业务纳税人提交</w:t>
            </w:r>
          </w:p>
        </w:tc>
        <w:tc>
          <w:tcPr>
            <w:tcW w:w="2126" w:type="dxa"/>
            <w:vMerge/>
            <w:vAlign w:val="center"/>
          </w:tcPr>
          <w:p w:rsidR="00013EC7" w:rsidRDefault="00013EC7">
            <w:pPr>
              <w:spacing w:line="300" w:lineRule="exact"/>
              <w:rPr>
                <w:rFonts w:ascii="仿宋" w:eastAsia="仿宋" w:hAnsi="仿宋"/>
                <w:color w:val="000000" w:themeColor="text1"/>
                <w:sz w:val="24"/>
              </w:rPr>
            </w:pPr>
          </w:p>
        </w:tc>
        <w:tc>
          <w:tcPr>
            <w:tcW w:w="850" w:type="dxa"/>
            <w:vMerge/>
            <w:vAlign w:val="center"/>
          </w:tcPr>
          <w:p w:rsidR="00013EC7" w:rsidRDefault="00013EC7">
            <w:pPr>
              <w:spacing w:line="300" w:lineRule="exact"/>
              <w:rPr>
                <w:rFonts w:ascii="仿宋" w:eastAsia="仿宋" w:hAnsi="仿宋"/>
                <w:color w:val="000000" w:themeColor="text1"/>
                <w:sz w:val="24"/>
              </w:rPr>
            </w:pPr>
          </w:p>
        </w:tc>
        <w:tc>
          <w:tcPr>
            <w:tcW w:w="851" w:type="dxa"/>
            <w:vMerge/>
            <w:vAlign w:val="center"/>
          </w:tcPr>
          <w:p w:rsidR="00013EC7" w:rsidRDefault="00013EC7">
            <w:pPr>
              <w:spacing w:line="300" w:lineRule="exact"/>
              <w:rPr>
                <w:rFonts w:ascii="仿宋" w:eastAsia="仿宋" w:hAnsi="仿宋"/>
                <w:color w:val="000000" w:themeColor="text1"/>
                <w:sz w:val="24"/>
              </w:rPr>
            </w:pPr>
          </w:p>
        </w:tc>
        <w:tc>
          <w:tcPr>
            <w:tcW w:w="850" w:type="dxa"/>
            <w:vMerge/>
            <w:vAlign w:val="center"/>
          </w:tcPr>
          <w:p w:rsidR="00013EC7" w:rsidRDefault="00013EC7">
            <w:pPr>
              <w:spacing w:line="300" w:lineRule="exact"/>
              <w:rPr>
                <w:rFonts w:ascii="仿宋" w:eastAsia="仿宋" w:hAnsi="仿宋"/>
                <w:color w:val="000000" w:themeColor="text1"/>
                <w:sz w:val="24"/>
              </w:rPr>
            </w:pPr>
          </w:p>
        </w:tc>
        <w:tc>
          <w:tcPr>
            <w:tcW w:w="709" w:type="dxa"/>
            <w:vMerge/>
            <w:vAlign w:val="center"/>
          </w:tcPr>
          <w:p w:rsidR="00013EC7" w:rsidRDefault="00013EC7">
            <w:pPr>
              <w:spacing w:line="300" w:lineRule="exact"/>
              <w:rPr>
                <w:rFonts w:ascii="仿宋" w:eastAsia="仿宋" w:hAnsi="仿宋"/>
                <w:color w:val="000000" w:themeColor="text1"/>
                <w:sz w:val="24"/>
              </w:rPr>
            </w:pPr>
          </w:p>
        </w:tc>
        <w:tc>
          <w:tcPr>
            <w:tcW w:w="1133" w:type="dxa"/>
            <w:vMerge/>
            <w:vAlign w:val="center"/>
          </w:tcPr>
          <w:p w:rsidR="00013EC7" w:rsidRDefault="00013EC7">
            <w:pPr>
              <w:spacing w:line="300" w:lineRule="exact"/>
              <w:rPr>
                <w:rFonts w:ascii="仿宋" w:eastAsia="仿宋" w:hAnsi="仿宋"/>
                <w:color w:val="000000" w:themeColor="text1"/>
                <w:sz w:val="24"/>
              </w:rPr>
            </w:pPr>
          </w:p>
        </w:tc>
      </w:tr>
      <w:tr w:rsidR="00013EC7">
        <w:trPr>
          <w:trHeight w:val="1699"/>
          <w:jc w:val="center"/>
        </w:trPr>
        <w:tc>
          <w:tcPr>
            <w:tcW w:w="672" w:type="dxa"/>
            <w:vMerge/>
            <w:textDirection w:val="tbRlV"/>
            <w:vAlign w:val="center"/>
          </w:tcPr>
          <w:p w:rsidR="00013EC7" w:rsidRDefault="00013EC7">
            <w:pPr>
              <w:rPr>
                <w:rFonts w:ascii="仿宋" w:eastAsia="仿宋" w:hAnsi="仿宋"/>
                <w:color w:val="000000" w:themeColor="text1"/>
                <w:sz w:val="24"/>
              </w:rPr>
            </w:pPr>
          </w:p>
        </w:tc>
        <w:tc>
          <w:tcPr>
            <w:tcW w:w="1035" w:type="dxa"/>
            <w:vMerge/>
            <w:vAlign w:val="center"/>
          </w:tcPr>
          <w:p w:rsidR="00013EC7" w:rsidRDefault="00013EC7">
            <w:pPr>
              <w:rPr>
                <w:rFonts w:ascii="仿宋" w:eastAsia="仿宋" w:hAnsi="仿宋"/>
                <w:color w:val="000000" w:themeColor="text1"/>
                <w:sz w:val="24"/>
              </w:rPr>
            </w:pPr>
          </w:p>
        </w:tc>
        <w:tc>
          <w:tcPr>
            <w:tcW w:w="1271" w:type="dxa"/>
            <w:vMerge/>
            <w:vAlign w:val="center"/>
          </w:tcPr>
          <w:p w:rsidR="00013EC7" w:rsidRDefault="00013EC7">
            <w:pPr>
              <w:rPr>
                <w:rFonts w:ascii="仿宋" w:eastAsia="仿宋" w:hAnsi="仿宋"/>
                <w:color w:val="000000" w:themeColor="text1"/>
                <w:sz w:val="24"/>
              </w:rPr>
            </w:pPr>
          </w:p>
        </w:tc>
        <w:tc>
          <w:tcPr>
            <w:tcW w:w="4394" w:type="dxa"/>
            <w:tcBorders>
              <w:top w:val="single" w:sz="4" w:space="0" w:color="auto"/>
            </w:tcBorders>
            <w:vAlign w:val="center"/>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（三）属于清单申报的资产损失，企业可按会计核算科目进行归类、汇总，然后再将汇总清单报送税务机关，有关会计核算资料和纳税资料留存备查；</w:t>
            </w:r>
            <w:r>
              <w:rPr>
                <w:rFonts w:ascii="仿宋" w:eastAsia="仿宋" w:hAnsi="仿宋" w:hint="eastAsia"/>
                <w:color w:val="000000" w:themeColor="text1"/>
                <w:sz w:val="24"/>
              </w:rPr>
              <w:br/>
              <w:t>属于专项申报的资产损失，企业应逐项（或逐笔）报送申请报告，同时附送会计核算资料。</w:t>
            </w:r>
          </w:p>
        </w:tc>
        <w:tc>
          <w:tcPr>
            <w:tcW w:w="851" w:type="dxa"/>
            <w:vAlign w:val="center"/>
          </w:tcPr>
          <w:p w:rsidR="00013EC7" w:rsidRDefault="00575CDB">
            <w:pPr>
              <w:jc w:val="left"/>
              <w:rPr>
                <w:rFonts w:ascii="仿宋" w:eastAsia="仿宋" w:hAnsi="仿宋"/>
                <w:color w:val="000000" w:themeColor="text1"/>
                <w:sz w:val="24"/>
              </w:rPr>
            </w:pPr>
            <w:r>
              <w:rPr>
                <w:rFonts w:ascii="仿宋" w:eastAsia="仿宋" w:hAnsi="仿宋" w:hint="eastAsia"/>
                <w:color w:val="000000" w:themeColor="text1"/>
                <w:sz w:val="24"/>
              </w:rPr>
              <w:t>存在税前资产损失扣除情况的纳税人提交</w:t>
            </w:r>
          </w:p>
        </w:tc>
        <w:tc>
          <w:tcPr>
            <w:tcW w:w="4252" w:type="dxa"/>
            <w:vAlign w:val="center"/>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（三）资产损失按其申报内容和要求的不同，分为清单申报和专项申报两种申报形式：</w:t>
            </w:r>
          </w:p>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属于清单申报的资产损失，企业可按会计核算科目进行归类、汇总，然后再将汇总清单报送税务机关，有关会计核算资料和纳税资料留存备查；</w:t>
            </w:r>
          </w:p>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属于专项申报的资产损失，企业应逐项（或逐笔）报送申请报告，同时附送会计核算资料。</w:t>
            </w:r>
          </w:p>
        </w:tc>
        <w:tc>
          <w:tcPr>
            <w:tcW w:w="851" w:type="dxa"/>
            <w:vAlign w:val="center"/>
          </w:tcPr>
          <w:p w:rsidR="00013EC7" w:rsidRDefault="00575CDB">
            <w:pPr>
              <w:spacing w:line="300" w:lineRule="exact"/>
              <w:jc w:val="left"/>
              <w:rPr>
                <w:rFonts w:ascii="仿宋" w:eastAsia="仿宋" w:hAnsi="仿宋"/>
                <w:color w:val="000000" w:themeColor="text1"/>
                <w:sz w:val="24"/>
              </w:rPr>
            </w:pPr>
            <w:r>
              <w:rPr>
                <w:rFonts w:ascii="仿宋" w:eastAsia="仿宋" w:hAnsi="仿宋" w:hint="eastAsia"/>
                <w:color w:val="000000" w:themeColor="text1"/>
                <w:sz w:val="24"/>
              </w:rPr>
              <w:t>存在税前资产损失扣除情况的纳税人提交</w:t>
            </w:r>
          </w:p>
        </w:tc>
        <w:tc>
          <w:tcPr>
            <w:tcW w:w="2126" w:type="dxa"/>
            <w:vMerge/>
            <w:vAlign w:val="center"/>
          </w:tcPr>
          <w:p w:rsidR="00013EC7" w:rsidRDefault="00013EC7">
            <w:pPr>
              <w:spacing w:line="300" w:lineRule="exact"/>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851" w:type="dxa"/>
            <w:vMerge/>
            <w:vAlign w:val="center"/>
          </w:tcPr>
          <w:p w:rsidR="00013EC7" w:rsidRDefault="00013EC7">
            <w:pPr>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709" w:type="dxa"/>
            <w:vMerge/>
            <w:vAlign w:val="center"/>
          </w:tcPr>
          <w:p w:rsidR="00013EC7" w:rsidRDefault="00013EC7">
            <w:pPr>
              <w:rPr>
                <w:rFonts w:ascii="仿宋" w:eastAsia="仿宋" w:hAnsi="仿宋"/>
                <w:color w:val="000000" w:themeColor="text1"/>
                <w:sz w:val="24"/>
              </w:rPr>
            </w:pPr>
          </w:p>
        </w:tc>
        <w:tc>
          <w:tcPr>
            <w:tcW w:w="1133" w:type="dxa"/>
            <w:vMerge/>
            <w:vAlign w:val="center"/>
          </w:tcPr>
          <w:p w:rsidR="00013EC7" w:rsidRDefault="00013EC7">
            <w:pPr>
              <w:rPr>
                <w:rFonts w:ascii="仿宋" w:eastAsia="仿宋" w:hAnsi="仿宋"/>
                <w:color w:val="000000" w:themeColor="text1"/>
                <w:sz w:val="24"/>
              </w:rPr>
            </w:pPr>
          </w:p>
        </w:tc>
      </w:tr>
      <w:tr w:rsidR="00013EC7">
        <w:trPr>
          <w:trHeight w:val="340"/>
          <w:jc w:val="center"/>
        </w:trPr>
        <w:tc>
          <w:tcPr>
            <w:tcW w:w="672" w:type="dxa"/>
            <w:vMerge/>
            <w:textDirection w:val="tbRlV"/>
            <w:vAlign w:val="center"/>
          </w:tcPr>
          <w:p w:rsidR="00013EC7" w:rsidRDefault="00013EC7">
            <w:pPr>
              <w:rPr>
                <w:rFonts w:ascii="仿宋" w:eastAsia="仿宋" w:hAnsi="仿宋"/>
                <w:color w:val="000000" w:themeColor="text1"/>
                <w:sz w:val="24"/>
              </w:rPr>
            </w:pPr>
          </w:p>
        </w:tc>
        <w:tc>
          <w:tcPr>
            <w:tcW w:w="1035" w:type="dxa"/>
            <w:vMerge/>
            <w:vAlign w:val="center"/>
          </w:tcPr>
          <w:p w:rsidR="00013EC7" w:rsidRDefault="00013EC7">
            <w:pPr>
              <w:rPr>
                <w:rFonts w:ascii="仿宋" w:eastAsia="仿宋" w:hAnsi="仿宋"/>
                <w:color w:val="000000" w:themeColor="text1"/>
                <w:sz w:val="24"/>
              </w:rPr>
            </w:pPr>
          </w:p>
        </w:tc>
        <w:tc>
          <w:tcPr>
            <w:tcW w:w="1271" w:type="dxa"/>
            <w:vMerge/>
            <w:vAlign w:val="center"/>
          </w:tcPr>
          <w:p w:rsidR="00013EC7" w:rsidRDefault="00013EC7">
            <w:pPr>
              <w:rPr>
                <w:rFonts w:ascii="仿宋" w:eastAsia="仿宋" w:hAnsi="仿宋"/>
                <w:color w:val="000000" w:themeColor="text1"/>
                <w:sz w:val="24"/>
              </w:rPr>
            </w:pPr>
          </w:p>
        </w:tc>
        <w:tc>
          <w:tcPr>
            <w:tcW w:w="4394" w:type="dxa"/>
            <w:vAlign w:val="center"/>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（四）企业应当自搬迁开始年度至次年5月31日前，向税务机关报送政策性搬迁依据、搬迁规划等相关材料，包括：</w:t>
            </w:r>
            <w:r>
              <w:rPr>
                <w:rFonts w:ascii="仿宋" w:eastAsia="仿宋" w:hAnsi="仿宋" w:hint="eastAsia"/>
                <w:color w:val="000000" w:themeColor="text1"/>
                <w:sz w:val="24"/>
                <w:highlight w:val="lightGray"/>
              </w:rPr>
              <w:t>政府搬迁文件或公告、搬迁重置总体规划、拆迁补偿协议、资产处置计划；企业搬迁完成当年应同时报送（A06358）《企业政策性搬迁清算损益表》及相关材料。</w:t>
            </w:r>
          </w:p>
        </w:tc>
        <w:tc>
          <w:tcPr>
            <w:tcW w:w="851" w:type="dxa"/>
            <w:vAlign w:val="center"/>
          </w:tcPr>
          <w:p w:rsidR="00013EC7" w:rsidRDefault="00575CDB">
            <w:pPr>
              <w:jc w:val="left"/>
              <w:rPr>
                <w:rFonts w:ascii="仿宋" w:eastAsia="仿宋" w:hAnsi="仿宋"/>
                <w:color w:val="000000" w:themeColor="text1"/>
                <w:sz w:val="24"/>
              </w:rPr>
            </w:pPr>
            <w:r>
              <w:rPr>
                <w:rFonts w:ascii="仿宋" w:eastAsia="仿宋" w:hAnsi="仿宋" w:hint="eastAsia"/>
                <w:color w:val="000000" w:themeColor="text1"/>
                <w:sz w:val="24"/>
              </w:rPr>
              <w:t>搬迁企业提交</w:t>
            </w:r>
          </w:p>
        </w:tc>
        <w:tc>
          <w:tcPr>
            <w:tcW w:w="4252" w:type="dxa"/>
            <w:vAlign w:val="center"/>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（四）企业应当自搬迁开始年度至次年5月31日前，向税务机关报送政策性搬迁依据、搬迁规划等相关材料，包括：政府搬迁文件或公告、搬迁重置总体规划、拆迁补偿协议、资产处置计划。</w:t>
            </w:r>
          </w:p>
        </w:tc>
        <w:tc>
          <w:tcPr>
            <w:tcW w:w="851" w:type="dxa"/>
            <w:vAlign w:val="center"/>
          </w:tcPr>
          <w:p w:rsidR="00013EC7" w:rsidRDefault="00575CDB">
            <w:pPr>
              <w:jc w:val="left"/>
              <w:rPr>
                <w:rFonts w:ascii="仿宋" w:eastAsia="仿宋" w:hAnsi="仿宋"/>
                <w:color w:val="000000" w:themeColor="text1"/>
                <w:sz w:val="24"/>
              </w:rPr>
            </w:pPr>
            <w:r>
              <w:rPr>
                <w:rFonts w:ascii="仿宋" w:eastAsia="仿宋" w:hAnsi="仿宋" w:hint="eastAsia"/>
                <w:color w:val="000000" w:themeColor="text1"/>
                <w:sz w:val="24"/>
              </w:rPr>
              <w:t>搬迁企业留存备查</w:t>
            </w:r>
          </w:p>
        </w:tc>
        <w:tc>
          <w:tcPr>
            <w:tcW w:w="2126" w:type="dxa"/>
            <w:vMerge/>
            <w:vAlign w:val="center"/>
          </w:tcPr>
          <w:p w:rsidR="00013EC7" w:rsidRDefault="00013EC7">
            <w:pPr>
              <w:spacing w:line="300" w:lineRule="exact"/>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851" w:type="dxa"/>
            <w:vMerge/>
            <w:vAlign w:val="center"/>
          </w:tcPr>
          <w:p w:rsidR="00013EC7" w:rsidRDefault="00013EC7">
            <w:pPr>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709" w:type="dxa"/>
            <w:vMerge/>
            <w:vAlign w:val="center"/>
          </w:tcPr>
          <w:p w:rsidR="00013EC7" w:rsidRDefault="00013EC7">
            <w:pPr>
              <w:rPr>
                <w:rFonts w:ascii="仿宋" w:eastAsia="仿宋" w:hAnsi="仿宋"/>
                <w:color w:val="000000" w:themeColor="text1"/>
                <w:sz w:val="24"/>
              </w:rPr>
            </w:pPr>
          </w:p>
        </w:tc>
        <w:tc>
          <w:tcPr>
            <w:tcW w:w="1133" w:type="dxa"/>
            <w:vMerge/>
            <w:vAlign w:val="center"/>
          </w:tcPr>
          <w:p w:rsidR="00013EC7" w:rsidRDefault="00013EC7">
            <w:pPr>
              <w:rPr>
                <w:rFonts w:ascii="仿宋" w:eastAsia="仿宋" w:hAnsi="仿宋"/>
                <w:color w:val="000000" w:themeColor="text1"/>
                <w:sz w:val="24"/>
              </w:rPr>
            </w:pPr>
          </w:p>
        </w:tc>
      </w:tr>
      <w:tr w:rsidR="00013EC7">
        <w:trPr>
          <w:trHeight w:val="3758"/>
          <w:jc w:val="center"/>
        </w:trPr>
        <w:tc>
          <w:tcPr>
            <w:tcW w:w="672" w:type="dxa"/>
            <w:vMerge/>
            <w:vAlign w:val="center"/>
          </w:tcPr>
          <w:p w:rsidR="00013EC7" w:rsidRDefault="00013EC7">
            <w:pPr>
              <w:rPr>
                <w:rFonts w:ascii="仿宋" w:eastAsia="仿宋" w:hAnsi="仿宋"/>
                <w:color w:val="000000" w:themeColor="text1"/>
                <w:sz w:val="24"/>
              </w:rPr>
            </w:pPr>
          </w:p>
        </w:tc>
        <w:tc>
          <w:tcPr>
            <w:tcW w:w="1035" w:type="dxa"/>
            <w:vMerge/>
            <w:vAlign w:val="center"/>
          </w:tcPr>
          <w:p w:rsidR="00013EC7" w:rsidRDefault="00013EC7">
            <w:pPr>
              <w:rPr>
                <w:rFonts w:ascii="仿宋" w:eastAsia="仿宋" w:hAnsi="仿宋"/>
                <w:color w:val="000000" w:themeColor="text1"/>
                <w:sz w:val="24"/>
              </w:rPr>
            </w:pPr>
          </w:p>
        </w:tc>
        <w:tc>
          <w:tcPr>
            <w:tcW w:w="1271" w:type="dxa"/>
            <w:vMerge/>
            <w:vAlign w:val="center"/>
          </w:tcPr>
          <w:p w:rsidR="00013EC7" w:rsidRDefault="00013EC7">
            <w:pPr>
              <w:rPr>
                <w:rFonts w:ascii="仿宋" w:eastAsia="仿宋" w:hAnsi="仿宋"/>
                <w:color w:val="000000" w:themeColor="text1"/>
                <w:sz w:val="24"/>
              </w:rPr>
            </w:pPr>
          </w:p>
        </w:tc>
        <w:tc>
          <w:tcPr>
            <w:tcW w:w="4394" w:type="dxa"/>
            <w:vAlign w:val="center"/>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五）房地产开发产品实际毛利额与预计毛利额之间差异调整情况的报告；应报送依据计税成本对象确定原则确定的已完工开发产品成本对象，确定原则、依据，共同成本分配原则、方法，以及开发项目基本情况、开发计划等专项报告。</w:t>
            </w:r>
          </w:p>
        </w:tc>
        <w:tc>
          <w:tcPr>
            <w:tcW w:w="851" w:type="dxa"/>
            <w:vAlign w:val="center"/>
          </w:tcPr>
          <w:p w:rsidR="00013EC7" w:rsidRDefault="00575CDB">
            <w:pPr>
              <w:jc w:val="left"/>
              <w:rPr>
                <w:rFonts w:ascii="仿宋" w:eastAsia="仿宋" w:hAnsi="仿宋"/>
                <w:color w:val="000000" w:themeColor="text1"/>
                <w:sz w:val="24"/>
              </w:rPr>
            </w:pPr>
            <w:r>
              <w:rPr>
                <w:rFonts w:ascii="仿宋" w:eastAsia="仿宋" w:hAnsi="仿宋" w:hint="eastAsia"/>
                <w:color w:val="000000" w:themeColor="text1"/>
                <w:sz w:val="24"/>
              </w:rPr>
              <w:t>房地产开发企业应提交</w:t>
            </w:r>
          </w:p>
        </w:tc>
        <w:tc>
          <w:tcPr>
            <w:tcW w:w="4252" w:type="dxa"/>
            <w:vAlign w:val="center"/>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五）房地产开发经营企业应报送房地产开发产品实际毛利额与预计毛利额之间差异调整情况的报告；应报送依据计税成本对象确定原则确定的已完工开发产品成本对象，确定原则、依据，共同成本分配原则、方法，以及开发项目基本情况、开发计划等专项报告。</w:t>
            </w:r>
          </w:p>
        </w:tc>
        <w:tc>
          <w:tcPr>
            <w:tcW w:w="851" w:type="dxa"/>
            <w:vAlign w:val="center"/>
          </w:tcPr>
          <w:p w:rsidR="00013EC7" w:rsidRDefault="00575CDB">
            <w:pPr>
              <w:jc w:val="left"/>
              <w:rPr>
                <w:rFonts w:ascii="仿宋" w:eastAsia="仿宋" w:hAnsi="仿宋"/>
                <w:color w:val="000000" w:themeColor="text1"/>
                <w:sz w:val="24"/>
              </w:rPr>
            </w:pPr>
            <w:r>
              <w:rPr>
                <w:rFonts w:ascii="仿宋" w:eastAsia="仿宋" w:hAnsi="仿宋" w:hint="eastAsia"/>
                <w:color w:val="000000" w:themeColor="text1"/>
                <w:sz w:val="24"/>
              </w:rPr>
              <w:t>房地产开发企业应提交</w:t>
            </w:r>
          </w:p>
        </w:tc>
        <w:tc>
          <w:tcPr>
            <w:tcW w:w="2126" w:type="dxa"/>
            <w:vMerge/>
            <w:vAlign w:val="center"/>
          </w:tcPr>
          <w:p w:rsidR="00013EC7" w:rsidRDefault="00013EC7">
            <w:pPr>
              <w:spacing w:line="300" w:lineRule="exact"/>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851" w:type="dxa"/>
            <w:vMerge/>
            <w:vAlign w:val="center"/>
          </w:tcPr>
          <w:p w:rsidR="00013EC7" w:rsidRDefault="00013EC7">
            <w:pPr>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709" w:type="dxa"/>
            <w:vMerge/>
            <w:vAlign w:val="center"/>
          </w:tcPr>
          <w:p w:rsidR="00013EC7" w:rsidRDefault="00013EC7">
            <w:pPr>
              <w:rPr>
                <w:rFonts w:ascii="仿宋" w:eastAsia="仿宋" w:hAnsi="仿宋"/>
                <w:color w:val="000000" w:themeColor="text1"/>
                <w:sz w:val="24"/>
              </w:rPr>
            </w:pPr>
          </w:p>
        </w:tc>
        <w:tc>
          <w:tcPr>
            <w:tcW w:w="1133" w:type="dxa"/>
            <w:vMerge/>
            <w:vAlign w:val="center"/>
          </w:tcPr>
          <w:p w:rsidR="00013EC7" w:rsidRDefault="00013EC7">
            <w:pPr>
              <w:rPr>
                <w:rFonts w:ascii="仿宋" w:eastAsia="仿宋" w:hAnsi="仿宋"/>
                <w:color w:val="000000" w:themeColor="text1"/>
                <w:sz w:val="24"/>
              </w:rPr>
            </w:pPr>
          </w:p>
        </w:tc>
      </w:tr>
      <w:tr w:rsidR="00013EC7">
        <w:trPr>
          <w:trHeight w:val="340"/>
          <w:jc w:val="center"/>
        </w:trPr>
        <w:tc>
          <w:tcPr>
            <w:tcW w:w="672" w:type="dxa"/>
            <w:vMerge/>
            <w:vAlign w:val="center"/>
          </w:tcPr>
          <w:p w:rsidR="00013EC7" w:rsidRDefault="00013EC7">
            <w:pPr>
              <w:rPr>
                <w:rFonts w:ascii="仿宋" w:eastAsia="仿宋" w:hAnsi="仿宋"/>
                <w:color w:val="000000" w:themeColor="text1"/>
                <w:sz w:val="24"/>
              </w:rPr>
            </w:pPr>
          </w:p>
        </w:tc>
        <w:tc>
          <w:tcPr>
            <w:tcW w:w="1035" w:type="dxa"/>
            <w:vMerge/>
            <w:vAlign w:val="center"/>
          </w:tcPr>
          <w:p w:rsidR="00013EC7" w:rsidRDefault="00013EC7">
            <w:pPr>
              <w:rPr>
                <w:rFonts w:ascii="仿宋" w:eastAsia="仿宋" w:hAnsi="仿宋"/>
                <w:color w:val="000000" w:themeColor="text1"/>
                <w:sz w:val="24"/>
              </w:rPr>
            </w:pPr>
          </w:p>
        </w:tc>
        <w:tc>
          <w:tcPr>
            <w:tcW w:w="1271" w:type="dxa"/>
            <w:vMerge/>
            <w:vAlign w:val="center"/>
          </w:tcPr>
          <w:p w:rsidR="00013EC7" w:rsidRDefault="00013EC7">
            <w:pPr>
              <w:rPr>
                <w:rFonts w:ascii="仿宋" w:eastAsia="仿宋" w:hAnsi="仿宋"/>
                <w:color w:val="000000" w:themeColor="text1"/>
                <w:sz w:val="24"/>
              </w:rPr>
            </w:pPr>
          </w:p>
        </w:tc>
        <w:tc>
          <w:tcPr>
            <w:tcW w:w="4394" w:type="dxa"/>
            <w:vAlign w:val="center"/>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（六）当年手续费及佣金计算分配表，并依法取得合法真实凭证。</w:t>
            </w:r>
          </w:p>
        </w:tc>
        <w:tc>
          <w:tcPr>
            <w:tcW w:w="851" w:type="dxa"/>
            <w:vAlign w:val="center"/>
          </w:tcPr>
          <w:p w:rsidR="00013EC7" w:rsidRDefault="00575CDB">
            <w:pPr>
              <w:jc w:val="left"/>
              <w:rPr>
                <w:rFonts w:ascii="仿宋" w:eastAsia="仿宋" w:hAnsi="仿宋"/>
                <w:color w:val="000000" w:themeColor="text1"/>
                <w:sz w:val="24"/>
              </w:rPr>
            </w:pPr>
            <w:r>
              <w:rPr>
                <w:rFonts w:ascii="仿宋" w:eastAsia="仿宋" w:hAnsi="仿宋" w:hint="eastAsia"/>
                <w:color w:val="000000" w:themeColor="text1"/>
                <w:sz w:val="24"/>
              </w:rPr>
              <w:t>扣除手续费及佣金支出的企业提交</w:t>
            </w:r>
          </w:p>
        </w:tc>
        <w:tc>
          <w:tcPr>
            <w:tcW w:w="4252" w:type="dxa"/>
            <w:vAlign w:val="center"/>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（六）当年手续费及佣金计算分配表，并依法取得合法真实凭证。</w:t>
            </w:r>
          </w:p>
        </w:tc>
        <w:tc>
          <w:tcPr>
            <w:tcW w:w="851" w:type="dxa"/>
            <w:vAlign w:val="center"/>
          </w:tcPr>
          <w:p w:rsidR="00013EC7" w:rsidRDefault="00575CDB">
            <w:pPr>
              <w:spacing w:line="300" w:lineRule="exact"/>
              <w:jc w:val="left"/>
              <w:rPr>
                <w:rFonts w:ascii="仿宋" w:eastAsia="仿宋" w:hAnsi="仿宋"/>
                <w:color w:val="000000" w:themeColor="text1"/>
                <w:sz w:val="24"/>
              </w:rPr>
            </w:pPr>
            <w:r>
              <w:rPr>
                <w:rFonts w:ascii="仿宋" w:eastAsia="仿宋" w:hAnsi="仿宋" w:hint="eastAsia"/>
                <w:color w:val="000000" w:themeColor="text1"/>
                <w:sz w:val="24"/>
              </w:rPr>
              <w:t>扣除手续费及佣金支出的企业提交</w:t>
            </w:r>
          </w:p>
        </w:tc>
        <w:tc>
          <w:tcPr>
            <w:tcW w:w="2126" w:type="dxa"/>
            <w:vMerge/>
            <w:vAlign w:val="center"/>
          </w:tcPr>
          <w:p w:rsidR="00013EC7" w:rsidRDefault="00013EC7">
            <w:pPr>
              <w:spacing w:line="300" w:lineRule="exact"/>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851" w:type="dxa"/>
            <w:vMerge/>
            <w:vAlign w:val="center"/>
          </w:tcPr>
          <w:p w:rsidR="00013EC7" w:rsidRDefault="00013EC7">
            <w:pPr>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709" w:type="dxa"/>
            <w:vMerge/>
            <w:vAlign w:val="center"/>
          </w:tcPr>
          <w:p w:rsidR="00013EC7" w:rsidRDefault="00013EC7">
            <w:pPr>
              <w:rPr>
                <w:rFonts w:ascii="仿宋" w:eastAsia="仿宋" w:hAnsi="仿宋"/>
                <w:color w:val="000000" w:themeColor="text1"/>
                <w:sz w:val="24"/>
              </w:rPr>
            </w:pPr>
          </w:p>
        </w:tc>
        <w:tc>
          <w:tcPr>
            <w:tcW w:w="1133" w:type="dxa"/>
            <w:vMerge/>
            <w:vAlign w:val="center"/>
          </w:tcPr>
          <w:p w:rsidR="00013EC7" w:rsidRDefault="00013EC7">
            <w:pPr>
              <w:rPr>
                <w:rFonts w:ascii="仿宋" w:eastAsia="仿宋" w:hAnsi="仿宋"/>
                <w:color w:val="000000" w:themeColor="text1"/>
                <w:sz w:val="24"/>
              </w:rPr>
            </w:pPr>
          </w:p>
        </w:tc>
      </w:tr>
      <w:tr w:rsidR="00013EC7">
        <w:trPr>
          <w:trHeight w:val="1024"/>
          <w:jc w:val="center"/>
        </w:trPr>
        <w:tc>
          <w:tcPr>
            <w:tcW w:w="672" w:type="dxa"/>
            <w:vMerge/>
            <w:textDirection w:val="tbRlV"/>
            <w:vAlign w:val="center"/>
          </w:tcPr>
          <w:p w:rsidR="00013EC7" w:rsidRDefault="00013EC7">
            <w:pPr>
              <w:rPr>
                <w:rFonts w:ascii="仿宋" w:eastAsia="仿宋" w:hAnsi="仿宋"/>
                <w:color w:val="000000" w:themeColor="text1"/>
                <w:sz w:val="24"/>
              </w:rPr>
            </w:pPr>
          </w:p>
        </w:tc>
        <w:tc>
          <w:tcPr>
            <w:tcW w:w="1035" w:type="dxa"/>
            <w:vMerge/>
            <w:vAlign w:val="center"/>
          </w:tcPr>
          <w:p w:rsidR="00013EC7" w:rsidRDefault="00013EC7">
            <w:pPr>
              <w:rPr>
                <w:rFonts w:ascii="仿宋" w:eastAsia="仿宋" w:hAnsi="仿宋"/>
                <w:color w:val="000000" w:themeColor="text1"/>
                <w:sz w:val="24"/>
              </w:rPr>
            </w:pPr>
          </w:p>
        </w:tc>
        <w:tc>
          <w:tcPr>
            <w:tcW w:w="1271" w:type="dxa"/>
            <w:vMerge/>
            <w:vAlign w:val="center"/>
          </w:tcPr>
          <w:p w:rsidR="00013EC7" w:rsidRDefault="00013EC7">
            <w:pPr>
              <w:rPr>
                <w:rFonts w:ascii="仿宋" w:eastAsia="仿宋" w:hAnsi="仿宋"/>
                <w:color w:val="000000" w:themeColor="text1"/>
                <w:sz w:val="24"/>
              </w:rPr>
            </w:pPr>
          </w:p>
        </w:tc>
        <w:tc>
          <w:tcPr>
            <w:tcW w:w="4394" w:type="dxa"/>
            <w:vAlign w:val="center"/>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highlight w:val="lightGray"/>
              </w:rPr>
              <w:t>（七）法人执照副本复印件。</w:t>
            </w:r>
          </w:p>
        </w:tc>
        <w:tc>
          <w:tcPr>
            <w:tcW w:w="851" w:type="dxa"/>
            <w:vMerge w:val="restart"/>
            <w:vAlign w:val="center"/>
          </w:tcPr>
          <w:p w:rsidR="00013EC7" w:rsidRDefault="00575CDB">
            <w:pPr>
              <w:jc w:val="left"/>
              <w:rPr>
                <w:rFonts w:ascii="仿宋" w:eastAsia="仿宋" w:hAnsi="仿宋"/>
                <w:color w:val="000000" w:themeColor="text1"/>
                <w:sz w:val="24"/>
              </w:rPr>
            </w:pPr>
            <w:r>
              <w:rPr>
                <w:rFonts w:ascii="仿宋" w:eastAsia="仿宋" w:hAnsi="仿宋" w:hint="eastAsia"/>
                <w:color w:val="000000" w:themeColor="text1"/>
                <w:sz w:val="24"/>
              </w:rPr>
              <w:t>中小企业信用担保机构提交</w:t>
            </w:r>
          </w:p>
        </w:tc>
        <w:tc>
          <w:tcPr>
            <w:tcW w:w="4252" w:type="dxa"/>
            <w:vAlign w:val="center"/>
          </w:tcPr>
          <w:p w:rsidR="00013EC7" w:rsidRDefault="00575CDB">
            <w:pPr>
              <w:spacing w:line="240" w:lineRule="atLeast"/>
              <w:rPr>
                <w:rFonts w:ascii="仿宋" w:eastAsia="仿宋" w:hAnsi="仿宋"/>
                <w:color w:val="000000" w:themeColor="text1"/>
                <w:sz w:val="24"/>
              </w:rPr>
            </w:pPr>
            <w:r>
              <w:rPr>
                <w:rFonts w:ascii="仿宋" w:eastAsia="仿宋" w:hAnsi="仿宋" w:hint="eastAsia"/>
                <w:color w:val="000000" w:themeColor="text1"/>
                <w:sz w:val="24"/>
              </w:rPr>
              <w:t>（七）</w:t>
            </w:r>
            <w:r w:rsidR="00D9612D">
              <w:rPr>
                <w:rFonts w:ascii="仿宋" w:eastAsia="仿宋" w:hAnsi="仿宋" w:hint="eastAsia"/>
                <w:color w:val="000000" w:themeColor="text1"/>
                <w:sz w:val="24"/>
              </w:rPr>
              <w:t>企业工商</w:t>
            </w:r>
            <w:r>
              <w:rPr>
                <w:rFonts w:ascii="仿宋" w:eastAsia="仿宋" w:hAnsi="仿宋" w:hint="eastAsia"/>
                <w:color w:val="000000" w:themeColor="text1"/>
                <w:sz w:val="24"/>
              </w:rPr>
              <w:t>营业执照。</w:t>
            </w:r>
          </w:p>
        </w:tc>
        <w:tc>
          <w:tcPr>
            <w:tcW w:w="851" w:type="dxa"/>
            <w:vAlign w:val="center"/>
          </w:tcPr>
          <w:p w:rsidR="00013EC7" w:rsidRDefault="00575CDB">
            <w:pPr>
              <w:spacing w:line="300" w:lineRule="exact"/>
              <w:jc w:val="left"/>
              <w:rPr>
                <w:rFonts w:ascii="仿宋" w:eastAsia="仿宋" w:hAnsi="仿宋"/>
                <w:color w:val="000000" w:themeColor="text1"/>
                <w:sz w:val="24"/>
              </w:rPr>
            </w:pPr>
            <w:r>
              <w:rPr>
                <w:rFonts w:ascii="仿宋" w:eastAsia="仿宋" w:hAnsi="仿宋" w:cs="仿宋" w:hint="eastAsia"/>
                <w:b/>
                <w:bCs/>
                <w:i/>
                <w:iCs/>
                <w:color w:val="000000" w:themeColor="text1"/>
                <w:sz w:val="24"/>
              </w:rPr>
              <w:t>经办机构自行获取</w:t>
            </w:r>
          </w:p>
        </w:tc>
        <w:tc>
          <w:tcPr>
            <w:tcW w:w="2126" w:type="dxa"/>
            <w:vAlign w:val="center"/>
          </w:tcPr>
          <w:p w:rsidR="00013EC7" w:rsidRDefault="00575CDB">
            <w:pPr>
              <w:spacing w:line="300" w:lineRule="exact"/>
              <w:rPr>
                <w:rFonts w:ascii="仿宋" w:eastAsia="仿宋" w:hAnsi="仿宋"/>
                <w:color w:val="000000" w:themeColor="text1"/>
                <w:sz w:val="24"/>
              </w:rPr>
            </w:pPr>
            <w:r>
              <w:rPr>
                <w:rFonts w:ascii="仿宋" w:eastAsia="仿宋" w:hAnsi="仿宋" w:cs="仿宋" w:hint="eastAsia"/>
                <w:b/>
                <w:color w:val="000000" w:themeColor="text1"/>
                <w:sz w:val="24"/>
              </w:rPr>
              <w:t>外部共享：</w:t>
            </w:r>
            <w:r>
              <w:rPr>
                <w:rFonts w:ascii="仿宋" w:eastAsia="仿宋" w:hAnsi="仿宋" w:cs="仿宋" w:hint="eastAsia"/>
                <w:color w:val="000000" w:themeColor="text1"/>
                <w:sz w:val="24"/>
              </w:rPr>
              <w:t>由省工商局提供共享。</w:t>
            </w:r>
          </w:p>
        </w:tc>
        <w:tc>
          <w:tcPr>
            <w:tcW w:w="850" w:type="dxa"/>
            <w:vMerge/>
            <w:vAlign w:val="center"/>
          </w:tcPr>
          <w:p w:rsidR="00013EC7" w:rsidRDefault="00013EC7">
            <w:pPr>
              <w:rPr>
                <w:rFonts w:ascii="仿宋" w:eastAsia="仿宋" w:hAnsi="仿宋"/>
                <w:color w:val="000000" w:themeColor="text1"/>
                <w:sz w:val="24"/>
              </w:rPr>
            </w:pPr>
          </w:p>
        </w:tc>
        <w:tc>
          <w:tcPr>
            <w:tcW w:w="851" w:type="dxa"/>
            <w:vMerge/>
            <w:vAlign w:val="center"/>
          </w:tcPr>
          <w:p w:rsidR="00013EC7" w:rsidRDefault="00013EC7">
            <w:pPr>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709" w:type="dxa"/>
            <w:vMerge/>
            <w:vAlign w:val="center"/>
          </w:tcPr>
          <w:p w:rsidR="00013EC7" w:rsidRDefault="00013EC7">
            <w:pPr>
              <w:rPr>
                <w:rFonts w:ascii="仿宋" w:eastAsia="仿宋" w:hAnsi="仿宋"/>
                <w:color w:val="000000" w:themeColor="text1"/>
                <w:sz w:val="24"/>
              </w:rPr>
            </w:pPr>
          </w:p>
        </w:tc>
        <w:tc>
          <w:tcPr>
            <w:tcW w:w="1133" w:type="dxa"/>
            <w:vMerge/>
            <w:vAlign w:val="center"/>
          </w:tcPr>
          <w:p w:rsidR="00013EC7" w:rsidRDefault="00013EC7">
            <w:pPr>
              <w:rPr>
                <w:rFonts w:ascii="仿宋" w:eastAsia="仿宋" w:hAnsi="仿宋"/>
                <w:color w:val="000000" w:themeColor="text1"/>
                <w:sz w:val="24"/>
              </w:rPr>
            </w:pPr>
          </w:p>
        </w:tc>
      </w:tr>
      <w:tr w:rsidR="00013EC7">
        <w:trPr>
          <w:trHeight w:val="1210"/>
          <w:jc w:val="center"/>
        </w:trPr>
        <w:tc>
          <w:tcPr>
            <w:tcW w:w="672" w:type="dxa"/>
            <w:vMerge/>
            <w:textDirection w:val="tbRlV"/>
            <w:vAlign w:val="center"/>
          </w:tcPr>
          <w:p w:rsidR="00013EC7" w:rsidRDefault="00013EC7">
            <w:pPr>
              <w:rPr>
                <w:rFonts w:ascii="仿宋" w:eastAsia="仿宋" w:hAnsi="仿宋"/>
                <w:color w:val="000000" w:themeColor="text1"/>
                <w:sz w:val="24"/>
              </w:rPr>
            </w:pPr>
          </w:p>
        </w:tc>
        <w:tc>
          <w:tcPr>
            <w:tcW w:w="1035" w:type="dxa"/>
            <w:vMerge/>
            <w:vAlign w:val="center"/>
          </w:tcPr>
          <w:p w:rsidR="00013EC7" w:rsidRDefault="00013EC7">
            <w:pPr>
              <w:rPr>
                <w:rFonts w:ascii="仿宋" w:eastAsia="仿宋" w:hAnsi="仿宋"/>
                <w:color w:val="000000" w:themeColor="text1"/>
                <w:sz w:val="24"/>
              </w:rPr>
            </w:pPr>
          </w:p>
        </w:tc>
        <w:tc>
          <w:tcPr>
            <w:tcW w:w="1271" w:type="dxa"/>
            <w:vMerge/>
            <w:vAlign w:val="center"/>
          </w:tcPr>
          <w:p w:rsidR="00013EC7" w:rsidRDefault="00013EC7">
            <w:pPr>
              <w:rPr>
                <w:rFonts w:ascii="仿宋" w:eastAsia="仿宋" w:hAnsi="仿宋"/>
                <w:color w:val="000000" w:themeColor="text1"/>
                <w:sz w:val="24"/>
              </w:rPr>
            </w:pPr>
          </w:p>
        </w:tc>
        <w:tc>
          <w:tcPr>
            <w:tcW w:w="4394" w:type="dxa"/>
            <w:vAlign w:val="center"/>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（八）融资性担保机构监管部门颁发的经营许可证复印件。</w:t>
            </w:r>
          </w:p>
        </w:tc>
        <w:tc>
          <w:tcPr>
            <w:tcW w:w="851" w:type="dxa"/>
            <w:vMerge/>
            <w:vAlign w:val="center"/>
          </w:tcPr>
          <w:p w:rsidR="00013EC7" w:rsidRDefault="00013EC7">
            <w:pPr>
              <w:jc w:val="left"/>
              <w:rPr>
                <w:rFonts w:ascii="仿宋" w:eastAsia="仿宋" w:hAnsi="仿宋"/>
                <w:color w:val="000000" w:themeColor="text1"/>
                <w:sz w:val="24"/>
              </w:rPr>
            </w:pPr>
          </w:p>
        </w:tc>
        <w:tc>
          <w:tcPr>
            <w:tcW w:w="4252" w:type="dxa"/>
            <w:vAlign w:val="center"/>
          </w:tcPr>
          <w:p w:rsidR="00013EC7" w:rsidRDefault="00575CDB">
            <w:pPr>
              <w:spacing w:line="240" w:lineRule="atLeast"/>
              <w:rPr>
                <w:rFonts w:ascii="仿宋" w:eastAsia="仿宋" w:hAnsi="仿宋"/>
                <w:color w:val="000000" w:themeColor="text1"/>
                <w:sz w:val="24"/>
              </w:rPr>
            </w:pPr>
            <w:r>
              <w:rPr>
                <w:rFonts w:ascii="仿宋" w:eastAsia="仿宋" w:hAnsi="仿宋" w:hint="eastAsia"/>
                <w:color w:val="000000" w:themeColor="text1"/>
                <w:sz w:val="24"/>
              </w:rPr>
              <w:t>（八）融资性担保机构监管部门颁发的经营许可证复印件（复印件注明与原件一致并加盖公章）。</w:t>
            </w:r>
          </w:p>
        </w:tc>
        <w:tc>
          <w:tcPr>
            <w:tcW w:w="851" w:type="dxa"/>
            <w:vMerge w:val="restart"/>
            <w:vAlign w:val="center"/>
          </w:tcPr>
          <w:p w:rsidR="00013EC7" w:rsidRDefault="00575CDB">
            <w:pPr>
              <w:spacing w:line="300" w:lineRule="exact"/>
              <w:jc w:val="left"/>
              <w:rPr>
                <w:rFonts w:ascii="仿宋" w:eastAsia="仿宋" w:hAnsi="仿宋"/>
                <w:color w:val="000000" w:themeColor="text1"/>
                <w:sz w:val="24"/>
              </w:rPr>
            </w:pPr>
            <w:r>
              <w:rPr>
                <w:rFonts w:ascii="仿宋" w:eastAsia="仿宋" w:hAnsi="仿宋" w:hint="eastAsia"/>
                <w:color w:val="000000" w:themeColor="text1"/>
                <w:sz w:val="24"/>
              </w:rPr>
              <w:t>中小企业信用担保机构提交</w:t>
            </w:r>
          </w:p>
        </w:tc>
        <w:tc>
          <w:tcPr>
            <w:tcW w:w="2126" w:type="dxa"/>
            <w:vMerge w:val="restart"/>
            <w:vAlign w:val="center"/>
          </w:tcPr>
          <w:p w:rsidR="00013EC7" w:rsidRDefault="00575CDB">
            <w:pPr>
              <w:rPr>
                <w:rFonts w:ascii="仿宋" w:eastAsia="仿宋" w:hAnsi="仿宋"/>
                <w:color w:val="000000" w:themeColor="text1"/>
                <w:sz w:val="24"/>
              </w:rPr>
            </w:pPr>
            <w:r>
              <w:rPr>
                <w:rFonts w:ascii="仿宋" w:eastAsia="仿宋" w:hAnsi="仿宋"/>
                <w:b/>
                <w:color w:val="000000" w:themeColor="text1"/>
                <w:sz w:val="24"/>
              </w:rPr>
              <w:t>现场办理：</w:t>
            </w:r>
            <w:r>
              <w:rPr>
                <w:rFonts w:ascii="仿宋" w:eastAsia="仿宋" w:hAnsi="仿宋" w:hint="eastAsia"/>
                <w:bCs/>
                <w:color w:val="000000" w:themeColor="text1"/>
                <w:sz w:val="24"/>
              </w:rPr>
              <w:t>纳税人</w:t>
            </w:r>
            <w:r>
              <w:rPr>
                <w:rFonts w:ascii="仿宋" w:eastAsia="仿宋" w:hAnsi="仿宋" w:hint="eastAsia"/>
                <w:color w:val="000000" w:themeColor="text1"/>
                <w:sz w:val="24"/>
              </w:rPr>
              <w:t>提交书面材料，符合受理条件的当场受理办结。</w:t>
            </w:r>
          </w:p>
          <w:p w:rsidR="00013EC7" w:rsidRDefault="00575CDB">
            <w:pPr>
              <w:spacing w:line="300" w:lineRule="exact"/>
              <w:rPr>
                <w:rFonts w:ascii="仿宋" w:eastAsia="仿宋" w:hAnsi="仿宋" w:cs="宋体"/>
                <w:color w:val="000000" w:themeColor="text1"/>
                <w:kern w:val="1"/>
                <w:sz w:val="24"/>
              </w:rPr>
            </w:pPr>
            <w:r>
              <w:rPr>
                <w:rFonts w:ascii="仿宋" w:eastAsia="仿宋" w:hAnsi="仿宋" w:cs="仿宋" w:hint="eastAsia"/>
                <w:b/>
                <w:bCs/>
                <w:color w:val="000000" w:themeColor="text1"/>
                <w:sz w:val="24"/>
              </w:rPr>
              <w:t>网上办理：</w:t>
            </w:r>
            <w:r>
              <w:rPr>
                <w:rFonts w:ascii="仿宋" w:eastAsia="仿宋" w:hAnsi="仿宋" w:hint="eastAsia"/>
                <w:color w:val="000000" w:themeColor="text1"/>
                <w:sz w:val="24"/>
              </w:rPr>
              <w:t>登录浙江国税电子税务局（网址：</w:t>
            </w:r>
            <w:hyperlink r:id="rId275" w:tgtFrame="https://wx.qq.com/_blank" w:history="1">
              <w:r>
                <w:rPr>
                  <w:rFonts w:ascii="仿宋" w:eastAsia="仿宋" w:hAnsi="仿宋" w:hint="eastAsia"/>
                  <w:color w:val="000000" w:themeColor="text1"/>
                  <w:sz w:val="24"/>
                </w:rPr>
                <w:t>http://etax.zjtax.gov.cn/</w:t>
              </w:r>
            </w:hyperlink>
            <w:r>
              <w:rPr>
                <w:rFonts w:ascii="仿宋" w:eastAsia="仿宋" w:hAnsi="仿宋" w:hint="eastAsia"/>
                <w:color w:val="000000" w:themeColor="text1"/>
                <w:sz w:val="24"/>
              </w:rPr>
              <w:t>）提交申请。</w:t>
            </w:r>
          </w:p>
        </w:tc>
        <w:tc>
          <w:tcPr>
            <w:tcW w:w="850" w:type="dxa"/>
            <w:vMerge/>
            <w:vAlign w:val="center"/>
          </w:tcPr>
          <w:p w:rsidR="00013EC7" w:rsidRDefault="00013EC7">
            <w:pPr>
              <w:rPr>
                <w:rFonts w:ascii="仿宋" w:eastAsia="仿宋" w:hAnsi="仿宋"/>
                <w:color w:val="000000" w:themeColor="text1"/>
                <w:sz w:val="24"/>
              </w:rPr>
            </w:pPr>
          </w:p>
        </w:tc>
        <w:tc>
          <w:tcPr>
            <w:tcW w:w="851" w:type="dxa"/>
            <w:vMerge/>
            <w:vAlign w:val="center"/>
          </w:tcPr>
          <w:p w:rsidR="00013EC7" w:rsidRDefault="00013EC7">
            <w:pPr>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709" w:type="dxa"/>
            <w:vMerge/>
            <w:vAlign w:val="center"/>
          </w:tcPr>
          <w:p w:rsidR="00013EC7" w:rsidRDefault="00013EC7">
            <w:pPr>
              <w:rPr>
                <w:rFonts w:ascii="仿宋" w:eastAsia="仿宋" w:hAnsi="仿宋"/>
                <w:color w:val="000000" w:themeColor="text1"/>
                <w:sz w:val="24"/>
              </w:rPr>
            </w:pPr>
          </w:p>
        </w:tc>
        <w:tc>
          <w:tcPr>
            <w:tcW w:w="1133" w:type="dxa"/>
            <w:vMerge/>
            <w:vAlign w:val="center"/>
          </w:tcPr>
          <w:p w:rsidR="00013EC7" w:rsidRDefault="00013EC7">
            <w:pPr>
              <w:rPr>
                <w:rFonts w:ascii="仿宋" w:eastAsia="仿宋" w:hAnsi="仿宋"/>
                <w:color w:val="000000" w:themeColor="text1"/>
                <w:sz w:val="24"/>
              </w:rPr>
            </w:pPr>
          </w:p>
        </w:tc>
      </w:tr>
      <w:tr w:rsidR="00013EC7">
        <w:trPr>
          <w:trHeight w:val="1278"/>
          <w:jc w:val="center"/>
        </w:trPr>
        <w:tc>
          <w:tcPr>
            <w:tcW w:w="672" w:type="dxa"/>
            <w:vMerge/>
            <w:textDirection w:val="tbRlV"/>
            <w:vAlign w:val="center"/>
          </w:tcPr>
          <w:p w:rsidR="00013EC7" w:rsidRDefault="00013EC7">
            <w:pPr>
              <w:rPr>
                <w:rFonts w:ascii="仿宋" w:eastAsia="仿宋" w:hAnsi="仿宋"/>
                <w:color w:val="000000" w:themeColor="text1"/>
                <w:sz w:val="24"/>
              </w:rPr>
            </w:pPr>
          </w:p>
        </w:tc>
        <w:tc>
          <w:tcPr>
            <w:tcW w:w="1035" w:type="dxa"/>
            <w:vMerge/>
            <w:vAlign w:val="center"/>
          </w:tcPr>
          <w:p w:rsidR="00013EC7" w:rsidRDefault="00013EC7">
            <w:pPr>
              <w:rPr>
                <w:rFonts w:ascii="仿宋" w:eastAsia="仿宋" w:hAnsi="仿宋"/>
                <w:color w:val="000000" w:themeColor="text1"/>
                <w:sz w:val="24"/>
              </w:rPr>
            </w:pPr>
          </w:p>
        </w:tc>
        <w:tc>
          <w:tcPr>
            <w:tcW w:w="1271" w:type="dxa"/>
            <w:vMerge/>
            <w:vAlign w:val="center"/>
          </w:tcPr>
          <w:p w:rsidR="00013EC7" w:rsidRDefault="00013EC7">
            <w:pPr>
              <w:rPr>
                <w:rFonts w:ascii="仿宋" w:eastAsia="仿宋" w:hAnsi="仿宋"/>
                <w:color w:val="000000" w:themeColor="text1"/>
                <w:sz w:val="24"/>
              </w:rPr>
            </w:pPr>
          </w:p>
        </w:tc>
        <w:tc>
          <w:tcPr>
            <w:tcW w:w="4394" w:type="dxa"/>
            <w:vAlign w:val="center"/>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highlight w:val="lightGray"/>
              </w:rPr>
              <w:t>（九）具有资质的中介机构鉴证的</w:t>
            </w:r>
            <w:r>
              <w:rPr>
                <w:rFonts w:ascii="仿宋" w:eastAsia="仿宋" w:hAnsi="仿宋" w:hint="eastAsia"/>
                <w:color w:val="000000" w:themeColor="text1"/>
                <w:sz w:val="24"/>
              </w:rPr>
              <w:t>年度会计报表和担保业务情况（包括担保业务明细和风险准备金提取等）。</w:t>
            </w:r>
          </w:p>
        </w:tc>
        <w:tc>
          <w:tcPr>
            <w:tcW w:w="851" w:type="dxa"/>
            <w:vMerge/>
            <w:vAlign w:val="center"/>
          </w:tcPr>
          <w:p w:rsidR="00013EC7" w:rsidRDefault="00013EC7">
            <w:pPr>
              <w:jc w:val="left"/>
              <w:rPr>
                <w:rFonts w:ascii="仿宋" w:eastAsia="仿宋" w:hAnsi="仿宋"/>
                <w:color w:val="000000" w:themeColor="text1"/>
                <w:sz w:val="24"/>
              </w:rPr>
            </w:pPr>
          </w:p>
        </w:tc>
        <w:tc>
          <w:tcPr>
            <w:tcW w:w="4252" w:type="dxa"/>
            <w:vAlign w:val="center"/>
          </w:tcPr>
          <w:p w:rsidR="00013EC7" w:rsidRDefault="00575CDB">
            <w:pPr>
              <w:spacing w:line="240" w:lineRule="atLeast"/>
              <w:rPr>
                <w:rFonts w:ascii="仿宋" w:eastAsia="仿宋" w:hAnsi="仿宋"/>
                <w:color w:val="000000" w:themeColor="text1"/>
                <w:sz w:val="24"/>
              </w:rPr>
            </w:pPr>
            <w:r>
              <w:rPr>
                <w:rFonts w:ascii="仿宋" w:eastAsia="仿宋" w:hAnsi="仿宋" w:hint="eastAsia"/>
                <w:color w:val="000000" w:themeColor="text1"/>
                <w:sz w:val="24"/>
              </w:rPr>
              <w:t>（九）年度会计报表和担保业务情况（包括担保业务明细和风险准备金提取等）。</w:t>
            </w:r>
          </w:p>
        </w:tc>
        <w:tc>
          <w:tcPr>
            <w:tcW w:w="851" w:type="dxa"/>
            <w:vMerge/>
            <w:vAlign w:val="center"/>
          </w:tcPr>
          <w:p w:rsidR="00013EC7" w:rsidRDefault="00013EC7">
            <w:pPr>
              <w:spacing w:line="300" w:lineRule="exact"/>
              <w:jc w:val="left"/>
              <w:rPr>
                <w:rFonts w:ascii="仿宋" w:eastAsia="仿宋" w:hAnsi="仿宋"/>
                <w:color w:val="000000" w:themeColor="text1"/>
                <w:sz w:val="24"/>
              </w:rPr>
            </w:pPr>
          </w:p>
        </w:tc>
        <w:tc>
          <w:tcPr>
            <w:tcW w:w="2126" w:type="dxa"/>
            <w:vMerge/>
            <w:vAlign w:val="center"/>
          </w:tcPr>
          <w:p w:rsidR="00013EC7" w:rsidRDefault="00013EC7">
            <w:pPr>
              <w:spacing w:line="300" w:lineRule="exact"/>
              <w:rPr>
                <w:rFonts w:ascii="仿宋" w:eastAsia="仿宋" w:hAnsi="仿宋" w:cs="宋体"/>
                <w:color w:val="000000" w:themeColor="text1"/>
                <w:kern w:val="1"/>
                <w:sz w:val="24"/>
              </w:rPr>
            </w:pPr>
          </w:p>
        </w:tc>
        <w:tc>
          <w:tcPr>
            <w:tcW w:w="850" w:type="dxa"/>
            <w:vMerge/>
            <w:vAlign w:val="center"/>
          </w:tcPr>
          <w:p w:rsidR="00013EC7" w:rsidRDefault="00013EC7">
            <w:pPr>
              <w:rPr>
                <w:rFonts w:ascii="仿宋" w:eastAsia="仿宋" w:hAnsi="仿宋"/>
                <w:color w:val="000000" w:themeColor="text1"/>
                <w:sz w:val="24"/>
              </w:rPr>
            </w:pPr>
          </w:p>
        </w:tc>
        <w:tc>
          <w:tcPr>
            <w:tcW w:w="851" w:type="dxa"/>
            <w:vMerge/>
            <w:vAlign w:val="center"/>
          </w:tcPr>
          <w:p w:rsidR="00013EC7" w:rsidRDefault="00013EC7">
            <w:pPr>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709" w:type="dxa"/>
            <w:vMerge/>
            <w:vAlign w:val="center"/>
          </w:tcPr>
          <w:p w:rsidR="00013EC7" w:rsidRDefault="00013EC7">
            <w:pPr>
              <w:rPr>
                <w:rFonts w:ascii="仿宋" w:eastAsia="仿宋" w:hAnsi="仿宋"/>
                <w:color w:val="000000" w:themeColor="text1"/>
                <w:sz w:val="24"/>
              </w:rPr>
            </w:pPr>
          </w:p>
        </w:tc>
        <w:tc>
          <w:tcPr>
            <w:tcW w:w="1133" w:type="dxa"/>
            <w:vMerge/>
            <w:vAlign w:val="center"/>
          </w:tcPr>
          <w:p w:rsidR="00013EC7" w:rsidRDefault="00013EC7">
            <w:pPr>
              <w:rPr>
                <w:rFonts w:ascii="仿宋" w:eastAsia="仿宋" w:hAnsi="仿宋"/>
                <w:color w:val="000000" w:themeColor="text1"/>
                <w:sz w:val="24"/>
              </w:rPr>
            </w:pPr>
          </w:p>
        </w:tc>
      </w:tr>
      <w:tr w:rsidR="00013EC7">
        <w:trPr>
          <w:trHeight w:val="992"/>
          <w:jc w:val="center"/>
        </w:trPr>
        <w:tc>
          <w:tcPr>
            <w:tcW w:w="672" w:type="dxa"/>
            <w:vMerge/>
            <w:textDirection w:val="tbRlV"/>
            <w:vAlign w:val="center"/>
          </w:tcPr>
          <w:p w:rsidR="00013EC7" w:rsidRDefault="00013EC7">
            <w:pPr>
              <w:rPr>
                <w:rFonts w:ascii="仿宋" w:eastAsia="仿宋" w:hAnsi="仿宋"/>
                <w:color w:val="000000" w:themeColor="text1"/>
                <w:sz w:val="24"/>
              </w:rPr>
            </w:pPr>
          </w:p>
        </w:tc>
        <w:tc>
          <w:tcPr>
            <w:tcW w:w="1035" w:type="dxa"/>
            <w:vMerge/>
            <w:vAlign w:val="center"/>
          </w:tcPr>
          <w:p w:rsidR="00013EC7" w:rsidRDefault="00013EC7">
            <w:pPr>
              <w:rPr>
                <w:rFonts w:ascii="仿宋" w:eastAsia="仿宋" w:hAnsi="仿宋"/>
                <w:color w:val="000000" w:themeColor="text1"/>
                <w:sz w:val="24"/>
              </w:rPr>
            </w:pPr>
          </w:p>
        </w:tc>
        <w:tc>
          <w:tcPr>
            <w:tcW w:w="1271" w:type="dxa"/>
            <w:vMerge/>
            <w:vAlign w:val="center"/>
          </w:tcPr>
          <w:p w:rsidR="00013EC7" w:rsidRDefault="00013EC7">
            <w:pPr>
              <w:rPr>
                <w:rFonts w:ascii="仿宋" w:eastAsia="仿宋" w:hAnsi="仿宋"/>
                <w:color w:val="000000" w:themeColor="text1"/>
                <w:sz w:val="24"/>
              </w:rPr>
            </w:pPr>
          </w:p>
        </w:tc>
        <w:tc>
          <w:tcPr>
            <w:tcW w:w="4394" w:type="dxa"/>
            <w:vAlign w:val="center"/>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（十）提取巨灾风险准备金税前扣除的，应在向主管税务机关报送企业所得税纳税申报表时，同时附送巨灾风险准备金提取、使用情况的说明和报表。</w:t>
            </w:r>
          </w:p>
        </w:tc>
        <w:tc>
          <w:tcPr>
            <w:tcW w:w="851" w:type="dxa"/>
            <w:vAlign w:val="center"/>
          </w:tcPr>
          <w:p w:rsidR="00013EC7" w:rsidRDefault="00575CDB">
            <w:pPr>
              <w:jc w:val="left"/>
              <w:rPr>
                <w:rFonts w:ascii="仿宋" w:eastAsia="仿宋" w:hAnsi="仿宋"/>
                <w:color w:val="000000" w:themeColor="text1"/>
                <w:sz w:val="24"/>
              </w:rPr>
            </w:pPr>
            <w:r>
              <w:rPr>
                <w:rFonts w:ascii="仿宋" w:eastAsia="仿宋" w:hAnsi="仿宋" w:hint="eastAsia"/>
                <w:color w:val="000000" w:themeColor="text1"/>
                <w:sz w:val="24"/>
              </w:rPr>
              <w:t>保险公司提交</w:t>
            </w:r>
          </w:p>
        </w:tc>
        <w:tc>
          <w:tcPr>
            <w:tcW w:w="4252" w:type="dxa"/>
            <w:vAlign w:val="center"/>
          </w:tcPr>
          <w:p w:rsidR="00013EC7" w:rsidRDefault="00013EC7">
            <w:pPr>
              <w:spacing w:line="300" w:lineRule="exact"/>
              <w:rPr>
                <w:rFonts w:ascii="仿宋" w:eastAsia="仿宋" w:hAnsi="仿宋"/>
                <w:color w:val="000000" w:themeColor="text1"/>
                <w:sz w:val="24"/>
              </w:rPr>
            </w:pPr>
          </w:p>
        </w:tc>
        <w:tc>
          <w:tcPr>
            <w:tcW w:w="851" w:type="dxa"/>
            <w:vAlign w:val="center"/>
          </w:tcPr>
          <w:p w:rsidR="00013EC7" w:rsidRDefault="00575CDB">
            <w:pPr>
              <w:spacing w:line="300" w:lineRule="exact"/>
              <w:jc w:val="left"/>
              <w:rPr>
                <w:rFonts w:ascii="仿宋" w:eastAsia="仿宋" w:hAnsi="仿宋"/>
                <w:b/>
                <w:i/>
                <w:color w:val="000000" w:themeColor="text1"/>
                <w:sz w:val="24"/>
              </w:rPr>
            </w:pPr>
            <w:r>
              <w:rPr>
                <w:rFonts w:ascii="仿宋" w:eastAsia="仿宋" w:hAnsi="仿宋" w:hint="eastAsia"/>
                <w:b/>
                <w:i/>
                <w:color w:val="000000" w:themeColor="text1"/>
                <w:sz w:val="24"/>
              </w:rPr>
              <w:t>取消</w:t>
            </w:r>
          </w:p>
        </w:tc>
        <w:tc>
          <w:tcPr>
            <w:tcW w:w="2126" w:type="dxa"/>
            <w:vAlign w:val="center"/>
          </w:tcPr>
          <w:p w:rsidR="00013EC7" w:rsidRDefault="00013EC7">
            <w:pPr>
              <w:spacing w:line="300" w:lineRule="exact"/>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851" w:type="dxa"/>
            <w:vMerge/>
            <w:vAlign w:val="center"/>
          </w:tcPr>
          <w:p w:rsidR="00013EC7" w:rsidRDefault="00013EC7">
            <w:pPr>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709" w:type="dxa"/>
            <w:vMerge/>
            <w:vAlign w:val="center"/>
          </w:tcPr>
          <w:p w:rsidR="00013EC7" w:rsidRDefault="00013EC7">
            <w:pPr>
              <w:rPr>
                <w:rFonts w:ascii="仿宋" w:eastAsia="仿宋" w:hAnsi="仿宋"/>
                <w:color w:val="000000" w:themeColor="text1"/>
                <w:sz w:val="24"/>
              </w:rPr>
            </w:pPr>
          </w:p>
        </w:tc>
        <w:tc>
          <w:tcPr>
            <w:tcW w:w="1133" w:type="dxa"/>
            <w:vMerge/>
            <w:vAlign w:val="center"/>
          </w:tcPr>
          <w:p w:rsidR="00013EC7" w:rsidRDefault="00013EC7">
            <w:pPr>
              <w:rPr>
                <w:rFonts w:ascii="仿宋" w:eastAsia="仿宋" w:hAnsi="仿宋"/>
                <w:color w:val="000000" w:themeColor="text1"/>
                <w:sz w:val="24"/>
              </w:rPr>
            </w:pPr>
          </w:p>
        </w:tc>
      </w:tr>
      <w:tr w:rsidR="00013EC7">
        <w:trPr>
          <w:trHeight w:val="1103"/>
          <w:jc w:val="center"/>
        </w:trPr>
        <w:tc>
          <w:tcPr>
            <w:tcW w:w="672" w:type="dxa"/>
            <w:vMerge/>
            <w:textDirection w:val="tbRlV"/>
            <w:vAlign w:val="center"/>
          </w:tcPr>
          <w:p w:rsidR="00013EC7" w:rsidRDefault="00013EC7">
            <w:pPr>
              <w:rPr>
                <w:rFonts w:ascii="仿宋" w:eastAsia="仿宋" w:hAnsi="仿宋"/>
                <w:color w:val="000000" w:themeColor="text1"/>
                <w:sz w:val="24"/>
              </w:rPr>
            </w:pPr>
          </w:p>
        </w:tc>
        <w:tc>
          <w:tcPr>
            <w:tcW w:w="1035" w:type="dxa"/>
            <w:vMerge/>
            <w:vAlign w:val="center"/>
          </w:tcPr>
          <w:p w:rsidR="00013EC7" w:rsidRDefault="00013EC7">
            <w:pPr>
              <w:rPr>
                <w:rFonts w:ascii="仿宋" w:eastAsia="仿宋" w:hAnsi="仿宋"/>
                <w:color w:val="000000" w:themeColor="text1"/>
                <w:sz w:val="24"/>
              </w:rPr>
            </w:pPr>
          </w:p>
        </w:tc>
        <w:tc>
          <w:tcPr>
            <w:tcW w:w="1271" w:type="dxa"/>
            <w:vMerge/>
            <w:vAlign w:val="center"/>
          </w:tcPr>
          <w:p w:rsidR="00013EC7" w:rsidRDefault="00013EC7">
            <w:pPr>
              <w:rPr>
                <w:rFonts w:ascii="仿宋" w:eastAsia="仿宋" w:hAnsi="仿宋"/>
                <w:color w:val="000000" w:themeColor="text1"/>
                <w:sz w:val="24"/>
              </w:rPr>
            </w:pPr>
          </w:p>
        </w:tc>
        <w:tc>
          <w:tcPr>
            <w:tcW w:w="4394" w:type="dxa"/>
            <w:vAlign w:val="center"/>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（十一）与境外所得相关的完税证明或纳税凭证（原件或复印件）。</w:t>
            </w:r>
          </w:p>
        </w:tc>
        <w:tc>
          <w:tcPr>
            <w:tcW w:w="851" w:type="dxa"/>
            <w:vMerge w:val="restart"/>
            <w:vAlign w:val="center"/>
          </w:tcPr>
          <w:p w:rsidR="00013EC7" w:rsidRDefault="00575CDB">
            <w:pPr>
              <w:spacing w:line="300" w:lineRule="exact"/>
              <w:jc w:val="left"/>
              <w:rPr>
                <w:rFonts w:ascii="仿宋" w:eastAsia="仿宋" w:hAnsi="仿宋"/>
                <w:color w:val="000000" w:themeColor="text1"/>
                <w:sz w:val="24"/>
              </w:rPr>
            </w:pPr>
            <w:r>
              <w:rPr>
                <w:rFonts w:ascii="仿宋" w:eastAsia="仿宋" w:hAnsi="仿宋" w:hint="eastAsia"/>
                <w:color w:val="000000" w:themeColor="text1"/>
                <w:sz w:val="24"/>
              </w:rPr>
              <w:t>取得境外分支机构营业利润所得抵免境外所得税企业提交</w:t>
            </w:r>
          </w:p>
        </w:tc>
        <w:tc>
          <w:tcPr>
            <w:tcW w:w="4252" w:type="dxa"/>
            <w:vAlign w:val="center"/>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（十）与境外所得相关的完税证明或纳税凭证（原件或复印件）。</w:t>
            </w:r>
          </w:p>
        </w:tc>
        <w:tc>
          <w:tcPr>
            <w:tcW w:w="851" w:type="dxa"/>
            <w:vMerge w:val="restart"/>
            <w:vAlign w:val="center"/>
          </w:tcPr>
          <w:p w:rsidR="00013EC7" w:rsidRDefault="00575CDB">
            <w:pPr>
              <w:spacing w:line="300" w:lineRule="exact"/>
              <w:jc w:val="left"/>
              <w:rPr>
                <w:rFonts w:ascii="仿宋" w:eastAsia="仿宋" w:hAnsi="仿宋"/>
                <w:color w:val="000000" w:themeColor="text1"/>
                <w:sz w:val="24"/>
              </w:rPr>
            </w:pPr>
            <w:r>
              <w:rPr>
                <w:rFonts w:ascii="仿宋" w:eastAsia="仿宋" w:hAnsi="仿宋" w:hint="eastAsia"/>
                <w:color w:val="000000" w:themeColor="text1"/>
                <w:sz w:val="24"/>
              </w:rPr>
              <w:t>取得境外分支机构营业利润所得抵免境外所得税企业提交</w:t>
            </w:r>
          </w:p>
        </w:tc>
        <w:tc>
          <w:tcPr>
            <w:tcW w:w="2126" w:type="dxa"/>
            <w:vMerge w:val="restart"/>
            <w:vAlign w:val="center"/>
          </w:tcPr>
          <w:p w:rsidR="00013EC7" w:rsidRDefault="00575CDB">
            <w:pPr>
              <w:rPr>
                <w:rFonts w:ascii="仿宋" w:eastAsia="仿宋" w:hAnsi="仿宋"/>
                <w:color w:val="000000" w:themeColor="text1"/>
                <w:sz w:val="24"/>
              </w:rPr>
            </w:pPr>
            <w:r>
              <w:rPr>
                <w:rFonts w:ascii="仿宋" w:eastAsia="仿宋" w:hAnsi="仿宋"/>
                <w:b/>
                <w:color w:val="000000" w:themeColor="text1"/>
                <w:sz w:val="24"/>
              </w:rPr>
              <w:t>现场办理：</w:t>
            </w:r>
            <w:r>
              <w:rPr>
                <w:rFonts w:ascii="仿宋" w:eastAsia="仿宋" w:hAnsi="仿宋" w:hint="eastAsia"/>
                <w:bCs/>
                <w:color w:val="000000" w:themeColor="text1"/>
                <w:sz w:val="24"/>
              </w:rPr>
              <w:t>纳税人</w:t>
            </w:r>
            <w:r>
              <w:rPr>
                <w:rFonts w:ascii="仿宋" w:eastAsia="仿宋" w:hAnsi="仿宋" w:hint="eastAsia"/>
                <w:color w:val="000000" w:themeColor="text1"/>
                <w:sz w:val="24"/>
              </w:rPr>
              <w:t>提交书面材料，符合受理条件的当场受理办结。</w:t>
            </w:r>
          </w:p>
          <w:p w:rsidR="00013EC7" w:rsidRDefault="00575CDB">
            <w:pPr>
              <w:spacing w:line="300" w:lineRule="exact"/>
              <w:rPr>
                <w:rFonts w:ascii="仿宋" w:eastAsia="仿宋" w:hAnsi="仿宋"/>
                <w:color w:val="000000" w:themeColor="text1"/>
                <w:sz w:val="24"/>
              </w:rPr>
            </w:pPr>
            <w:r>
              <w:rPr>
                <w:rFonts w:ascii="仿宋" w:eastAsia="仿宋" w:hAnsi="仿宋" w:cs="仿宋" w:hint="eastAsia"/>
                <w:b/>
                <w:bCs/>
                <w:color w:val="000000" w:themeColor="text1"/>
                <w:sz w:val="24"/>
              </w:rPr>
              <w:t>网上办理：</w:t>
            </w:r>
            <w:r>
              <w:rPr>
                <w:rFonts w:ascii="仿宋" w:eastAsia="仿宋" w:hAnsi="仿宋" w:hint="eastAsia"/>
                <w:color w:val="000000" w:themeColor="text1"/>
                <w:sz w:val="24"/>
              </w:rPr>
              <w:t>登录浙江国税电子税务局（网址：</w:t>
            </w:r>
            <w:hyperlink r:id="rId276" w:tgtFrame="https://wx.qq.com/_blank" w:history="1">
              <w:r>
                <w:rPr>
                  <w:rFonts w:ascii="仿宋" w:eastAsia="仿宋" w:hAnsi="仿宋" w:hint="eastAsia"/>
                  <w:color w:val="000000" w:themeColor="text1"/>
                  <w:sz w:val="24"/>
                </w:rPr>
                <w:t>http://etax.zjtax.gov.cn/</w:t>
              </w:r>
            </w:hyperlink>
            <w:r>
              <w:rPr>
                <w:rFonts w:ascii="仿宋" w:eastAsia="仿宋" w:hAnsi="仿宋" w:hint="eastAsia"/>
                <w:color w:val="000000" w:themeColor="text1"/>
                <w:sz w:val="24"/>
              </w:rPr>
              <w:t>）提交申请。</w:t>
            </w:r>
          </w:p>
          <w:p w:rsidR="00013EC7" w:rsidRDefault="00013EC7">
            <w:pPr>
              <w:spacing w:line="300" w:lineRule="exact"/>
              <w:rPr>
                <w:rFonts w:ascii="仿宋" w:eastAsia="仿宋" w:hAnsi="仿宋"/>
                <w:color w:val="000000" w:themeColor="text1"/>
                <w:sz w:val="24"/>
              </w:rPr>
            </w:pPr>
          </w:p>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提交备案资料使用非中文的，企业应同时提交中文译本复印件（复印件注明与原件一致并加盖公章），译本须注明与原本无异义，并加盖企业公章。</w:t>
            </w:r>
          </w:p>
        </w:tc>
        <w:tc>
          <w:tcPr>
            <w:tcW w:w="850" w:type="dxa"/>
            <w:vMerge/>
            <w:vAlign w:val="center"/>
          </w:tcPr>
          <w:p w:rsidR="00013EC7" w:rsidRDefault="00013EC7">
            <w:pPr>
              <w:rPr>
                <w:rFonts w:ascii="仿宋" w:eastAsia="仿宋" w:hAnsi="仿宋"/>
                <w:color w:val="000000" w:themeColor="text1"/>
                <w:sz w:val="24"/>
              </w:rPr>
            </w:pPr>
          </w:p>
        </w:tc>
        <w:tc>
          <w:tcPr>
            <w:tcW w:w="851" w:type="dxa"/>
            <w:vMerge/>
            <w:vAlign w:val="center"/>
          </w:tcPr>
          <w:p w:rsidR="00013EC7" w:rsidRDefault="00013EC7">
            <w:pPr>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709" w:type="dxa"/>
            <w:vMerge/>
            <w:vAlign w:val="center"/>
          </w:tcPr>
          <w:p w:rsidR="00013EC7" w:rsidRDefault="00013EC7">
            <w:pPr>
              <w:rPr>
                <w:rFonts w:ascii="仿宋" w:eastAsia="仿宋" w:hAnsi="仿宋"/>
                <w:color w:val="000000" w:themeColor="text1"/>
                <w:sz w:val="24"/>
              </w:rPr>
            </w:pPr>
          </w:p>
        </w:tc>
        <w:tc>
          <w:tcPr>
            <w:tcW w:w="1133" w:type="dxa"/>
            <w:vMerge/>
            <w:vAlign w:val="center"/>
          </w:tcPr>
          <w:p w:rsidR="00013EC7" w:rsidRDefault="00013EC7">
            <w:pPr>
              <w:rPr>
                <w:rFonts w:ascii="仿宋" w:eastAsia="仿宋" w:hAnsi="仿宋"/>
                <w:color w:val="000000" w:themeColor="text1"/>
                <w:sz w:val="24"/>
              </w:rPr>
            </w:pPr>
          </w:p>
        </w:tc>
      </w:tr>
      <w:tr w:rsidR="00013EC7">
        <w:trPr>
          <w:trHeight w:val="716"/>
          <w:jc w:val="center"/>
        </w:trPr>
        <w:tc>
          <w:tcPr>
            <w:tcW w:w="672" w:type="dxa"/>
            <w:vMerge/>
            <w:textDirection w:val="tbRlV"/>
            <w:vAlign w:val="center"/>
          </w:tcPr>
          <w:p w:rsidR="00013EC7" w:rsidRDefault="00013EC7">
            <w:pPr>
              <w:rPr>
                <w:rFonts w:ascii="仿宋" w:eastAsia="仿宋" w:hAnsi="仿宋"/>
                <w:color w:val="000000" w:themeColor="text1"/>
                <w:sz w:val="24"/>
              </w:rPr>
            </w:pPr>
          </w:p>
        </w:tc>
        <w:tc>
          <w:tcPr>
            <w:tcW w:w="1035" w:type="dxa"/>
            <w:vMerge/>
            <w:vAlign w:val="center"/>
          </w:tcPr>
          <w:p w:rsidR="00013EC7" w:rsidRDefault="00013EC7">
            <w:pPr>
              <w:rPr>
                <w:rFonts w:ascii="仿宋" w:eastAsia="仿宋" w:hAnsi="仿宋"/>
                <w:color w:val="000000" w:themeColor="text1"/>
                <w:sz w:val="24"/>
              </w:rPr>
            </w:pPr>
          </w:p>
        </w:tc>
        <w:tc>
          <w:tcPr>
            <w:tcW w:w="1271" w:type="dxa"/>
            <w:vMerge/>
            <w:vAlign w:val="center"/>
          </w:tcPr>
          <w:p w:rsidR="00013EC7" w:rsidRDefault="00013EC7">
            <w:pPr>
              <w:rPr>
                <w:rFonts w:ascii="仿宋" w:eastAsia="仿宋" w:hAnsi="仿宋"/>
                <w:color w:val="000000" w:themeColor="text1"/>
                <w:sz w:val="24"/>
              </w:rPr>
            </w:pPr>
          </w:p>
        </w:tc>
        <w:tc>
          <w:tcPr>
            <w:tcW w:w="4394" w:type="dxa"/>
            <w:vAlign w:val="center"/>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（十二）境外分支机构会计报表。</w:t>
            </w:r>
          </w:p>
        </w:tc>
        <w:tc>
          <w:tcPr>
            <w:tcW w:w="851" w:type="dxa"/>
            <w:vMerge/>
            <w:vAlign w:val="center"/>
          </w:tcPr>
          <w:p w:rsidR="00013EC7" w:rsidRDefault="00013EC7">
            <w:pPr>
              <w:spacing w:line="300" w:lineRule="exact"/>
              <w:jc w:val="left"/>
              <w:rPr>
                <w:rFonts w:ascii="仿宋" w:eastAsia="仿宋" w:hAnsi="仿宋"/>
                <w:color w:val="000000" w:themeColor="text1"/>
                <w:sz w:val="24"/>
              </w:rPr>
            </w:pPr>
          </w:p>
        </w:tc>
        <w:tc>
          <w:tcPr>
            <w:tcW w:w="4252" w:type="dxa"/>
            <w:vAlign w:val="center"/>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（十一）境外分支机构会计报表。</w:t>
            </w:r>
          </w:p>
        </w:tc>
        <w:tc>
          <w:tcPr>
            <w:tcW w:w="851" w:type="dxa"/>
            <w:vMerge/>
            <w:vAlign w:val="center"/>
          </w:tcPr>
          <w:p w:rsidR="00013EC7" w:rsidRDefault="00013EC7">
            <w:pPr>
              <w:spacing w:line="300" w:lineRule="exact"/>
              <w:jc w:val="left"/>
              <w:rPr>
                <w:rFonts w:ascii="仿宋" w:eastAsia="仿宋" w:hAnsi="仿宋"/>
                <w:color w:val="000000" w:themeColor="text1"/>
                <w:sz w:val="24"/>
              </w:rPr>
            </w:pPr>
          </w:p>
        </w:tc>
        <w:tc>
          <w:tcPr>
            <w:tcW w:w="2126" w:type="dxa"/>
            <w:vMerge/>
            <w:vAlign w:val="center"/>
          </w:tcPr>
          <w:p w:rsidR="00013EC7" w:rsidRDefault="00013EC7">
            <w:pPr>
              <w:spacing w:line="300" w:lineRule="exact"/>
              <w:rPr>
                <w:rFonts w:ascii="仿宋" w:eastAsia="仿宋" w:hAnsi="仿宋" w:cs="宋体"/>
                <w:color w:val="000000" w:themeColor="text1"/>
                <w:kern w:val="1"/>
                <w:sz w:val="24"/>
              </w:rPr>
            </w:pPr>
          </w:p>
        </w:tc>
        <w:tc>
          <w:tcPr>
            <w:tcW w:w="850" w:type="dxa"/>
            <w:vMerge/>
            <w:vAlign w:val="center"/>
          </w:tcPr>
          <w:p w:rsidR="00013EC7" w:rsidRDefault="00013EC7">
            <w:pPr>
              <w:rPr>
                <w:rFonts w:ascii="仿宋" w:eastAsia="仿宋" w:hAnsi="仿宋"/>
                <w:color w:val="000000" w:themeColor="text1"/>
                <w:sz w:val="24"/>
              </w:rPr>
            </w:pPr>
          </w:p>
        </w:tc>
        <w:tc>
          <w:tcPr>
            <w:tcW w:w="851" w:type="dxa"/>
            <w:vMerge/>
            <w:vAlign w:val="center"/>
          </w:tcPr>
          <w:p w:rsidR="00013EC7" w:rsidRDefault="00013EC7">
            <w:pPr>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709" w:type="dxa"/>
            <w:vMerge/>
            <w:vAlign w:val="center"/>
          </w:tcPr>
          <w:p w:rsidR="00013EC7" w:rsidRDefault="00013EC7">
            <w:pPr>
              <w:rPr>
                <w:rFonts w:ascii="仿宋" w:eastAsia="仿宋" w:hAnsi="仿宋"/>
                <w:color w:val="000000" w:themeColor="text1"/>
                <w:sz w:val="24"/>
              </w:rPr>
            </w:pPr>
          </w:p>
        </w:tc>
        <w:tc>
          <w:tcPr>
            <w:tcW w:w="1133" w:type="dxa"/>
            <w:vMerge/>
            <w:vAlign w:val="center"/>
          </w:tcPr>
          <w:p w:rsidR="00013EC7" w:rsidRDefault="00013EC7">
            <w:pPr>
              <w:rPr>
                <w:rFonts w:ascii="仿宋" w:eastAsia="仿宋" w:hAnsi="仿宋"/>
                <w:color w:val="000000" w:themeColor="text1"/>
                <w:sz w:val="24"/>
              </w:rPr>
            </w:pPr>
          </w:p>
        </w:tc>
      </w:tr>
      <w:tr w:rsidR="00013EC7">
        <w:trPr>
          <w:trHeight w:val="712"/>
          <w:jc w:val="center"/>
        </w:trPr>
        <w:tc>
          <w:tcPr>
            <w:tcW w:w="672" w:type="dxa"/>
            <w:vMerge/>
            <w:textDirection w:val="tbRlV"/>
            <w:vAlign w:val="center"/>
          </w:tcPr>
          <w:p w:rsidR="00013EC7" w:rsidRDefault="00013EC7">
            <w:pPr>
              <w:rPr>
                <w:rFonts w:ascii="仿宋" w:eastAsia="仿宋" w:hAnsi="仿宋"/>
                <w:color w:val="000000" w:themeColor="text1"/>
                <w:sz w:val="24"/>
              </w:rPr>
            </w:pPr>
          </w:p>
        </w:tc>
        <w:tc>
          <w:tcPr>
            <w:tcW w:w="1035" w:type="dxa"/>
            <w:vMerge/>
            <w:vAlign w:val="center"/>
          </w:tcPr>
          <w:p w:rsidR="00013EC7" w:rsidRDefault="00013EC7">
            <w:pPr>
              <w:rPr>
                <w:rFonts w:ascii="仿宋" w:eastAsia="仿宋" w:hAnsi="仿宋"/>
                <w:color w:val="000000" w:themeColor="text1"/>
                <w:sz w:val="24"/>
              </w:rPr>
            </w:pPr>
          </w:p>
        </w:tc>
        <w:tc>
          <w:tcPr>
            <w:tcW w:w="1271" w:type="dxa"/>
            <w:vMerge/>
            <w:vAlign w:val="center"/>
          </w:tcPr>
          <w:p w:rsidR="00013EC7" w:rsidRDefault="00013EC7">
            <w:pPr>
              <w:rPr>
                <w:rFonts w:ascii="仿宋" w:eastAsia="仿宋" w:hAnsi="仿宋"/>
                <w:color w:val="000000" w:themeColor="text1"/>
                <w:sz w:val="24"/>
              </w:rPr>
            </w:pPr>
          </w:p>
        </w:tc>
        <w:tc>
          <w:tcPr>
            <w:tcW w:w="4394" w:type="dxa"/>
            <w:vAlign w:val="center"/>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highlight w:val="lightGray"/>
              </w:rPr>
              <w:t>（十三）境外分支机构所得依照中国境内企业所得税法及实施条例的规定计算的应纳税额的计算过程及说明资料。</w:t>
            </w:r>
          </w:p>
        </w:tc>
        <w:tc>
          <w:tcPr>
            <w:tcW w:w="851" w:type="dxa"/>
            <w:vMerge/>
            <w:vAlign w:val="center"/>
          </w:tcPr>
          <w:p w:rsidR="00013EC7" w:rsidRDefault="00013EC7">
            <w:pPr>
              <w:spacing w:line="300" w:lineRule="exact"/>
              <w:jc w:val="left"/>
              <w:rPr>
                <w:rFonts w:ascii="仿宋" w:eastAsia="仿宋" w:hAnsi="仿宋"/>
                <w:color w:val="000000" w:themeColor="text1"/>
                <w:sz w:val="24"/>
              </w:rPr>
            </w:pPr>
          </w:p>
        </w:tc>
        <w:tc>
          <w:tcPr>
            <w:tcW w:w="4252" w:type="dxa"/>
            <w:vAlign w:val="center"/>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（十二）境外分支机构所得依照中国境内企业所得税法及实施条例的规定计算的应纳税额的计算过程及说明资料（留存备查）。</w:t>
            </w:r>
          </w:p>
        </w:tc>
        <w:tc>
          <w:tcPr>
            <w:tcW w:w="851" w:type="dxa"/>
            <w:vMerge/>
            <w:vAlign w:val="center"/>
          </w:tcPr>
          <w:p w:rsidR="00013EC7" w:rsidRDefault="00013EC7">
            <w:pPr>
              <w:spacing w:line="300" w:lineRule="exact"/>
              <w:jc w:val="left"/>
              <w:rPr>
                <w:rFonts w:ascii="仿宋" w:eastAsia="仿宋" w:hAnsi="仿宋"/>
                <w:color w:val="000000" w:themeColor="text1"/>
                <w:sz w:val="24"/>
              </w:rPr>
            </w:pPr>
          </w:p>
        </w:tc>
        <w:tc>
          <w:tcPr>
            <w:tcW w:w="2126" w:type="dxa"/>
            <w:vMerge/>
            <w:vAlign w:val="center"/>
          </w:tcPr>
          <w:p w:rsidR="00013EC7" w:rsidRDefault="00013EC7">
            <w:pPr>
              <w:spacing w:line="300" w:lineRule="exact"/>
              <w:rPr>
                <w:rFonts w:ascii="仿宋" w:eastAsia="仿宋" w:hAnsi="仿宋" w:cs="宋体"/>
                <w:color w:val="000000" w:themeColor="text1"/>
                <w:kern w:val="1"/>
                <w:sz w:val="24"/>
              </w:rPr>
            </w:pPr>
          </w:p>
        </w:tc>
        <w:tc>
          <w:tcPr>
            <w:tcW w:w="850" w:type="dxa"/>
            <w:vMerge/>
            <w:vAlign w:val="center"/>
          </w:tcPr>
          <w:p w:rsidR="00013EC7" w:rsidRDefault="00013EC7">
            <w:pPr>
              <w:rPr>
                <w:rFonts w:ascii="仿宋" w:eastAsia="仿宋" w:hAnsi="仿宋"/>
                <w:color w:val="000000" w:themeColor="text1"/>
                <w:sz w:val="24"/>
              </w:rPr>
            </w:pPr>
          </w:p>
        </w:tc>
        <w:tc>
          <w:tcPr>
            <w:tcW w:w="851" w:type="dxa"/>
            <w:vMerge/>
            <w:vAlign w:val="center"/>
          </w:tcPr>
          <w:p w:rsidR="00013EC7" w:rsidRDefault="00013EC7">
            <w:pPr>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709" w:type="dxa"/>
            <w:vMerge/>
            <w:vAlign w:val="center"/>
          </w:tcPr>
          <w:p w:rsidR="00013EC7" w:rsidRDefault="00013EC7">
            <w:pPr>
              <w:rPr>
                <w:rFonts w:ascii="仿宋" w:eastAsia="仿宋" w:hAnsi="仿宋"/>
                <w:color w:val="000000" w:themeColor="text1"/>
                <w:sz w:val="24"/>
              </w:rPr>
            </w:pPr>
          </w:p>
        </w:tc>
        <w:tc>
          <w:tcPr>
            <w:tcW w:w="1133" w:type="dxa"/>
            <w:vMerge/>
            <w:vAlign w:val="center"/>
          </w:tcPr>
          <w:p w:rsidR="00013EC7" w:rsidRDefault="00013EC7">
            <w:pPr>
              <w:rPr>
                <w:rFonts w:ascii="仿宋" w:eastAsia="仿宋" w:hAnsi="仿宋"/>
                <w:color w:val="000000" w:themeColor="text1"/>
                <w:sz w:val="24"/>
              </w:rPr>
            </w:pPr>
          </w:p>
        </w:tc>
      </w:tr>
      <w:tr w:rsidR="00013EC7">
        <w:trPr>
          <w:trHeight w:val="712"/>
          <w:jc w:val="center"/>
        </w:trPr>
        <w:tc>
          <w:tcPr>
            <w:tcW w:w="672" w:type="dxa"/>
            <w:vMerge/>
            <w:textDirection w:val="tbRlV"/>
            <w:vAlign w:val="center"/>
          </w:tcPr>
          <w:p w:rsidR="00013EC7" w:rsidRDefault="00013EC7">
            <w:pPr>
              <w:rPr>
                <w:rFonts w:ascii="仿宋" w:eastAsia="仿宋" w:hAnsi="仿宋"/>
                <w:color w:val="000000" w:themeColor="text1"/>
                <w:sz w:val="24"/>
              </w:rPr>
            </w:pPr>
          </w:p>
        </w:tc>
        <w:tc>
          <w:tcPr>
            <w:tcW w:w="1035" w:type="dxa"/>
            <w:vMerge/>
            <w:vAlign w:val="center"/>
          </w:tcPr>
          <w:p w:rsidR="00013EC7" w:rsidRDefault="00013EC7">
            <w:pPr>
              <w:rPr>
                <w:rFonts w:ascii="仿宋" w:eastAsia="仿宋" w:hAnsi="仿宋"/>
                <w:color w:val="000000" w:themeColor="text1"/>
                <w:sz w:val="24"/>
              </w:rPr>
            </w:pPr>
          </w:p>
        </w:tc>
        <w:tc>
          <w:tcPr>
            <w:tcW w:w="1271" w:type="dxa"/>
            <w:vMerge/>
            <w:vAlign w:val="center"/>
          </w:tcPr>
          <w:p w:rsidR="00013EC7" w:rsidRDefault="00013EC7">
            <w:pPr>
              <w:rPr>
                <w:rFonts w:ascii="仿宋" w:eastAsia="仿宋" w:hAnsi="仿宋"/>
                <w:color w:val="000000" w:themeColor="text1"/>
                <w:sz w:val="24"/>
              </w:rPr>
            </w:pPr>
          </w:p>
        </w:tc>
        <w:tc>
          <w:tcPr>
            <w:tcW w:w="4394" w:type="dxa"/>
            <w:vAlign w:val="center"/>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highlight w:val="lightGray"/>
              </w:rPr>
              <w:t>（十四）具有资质的机构出具的有关分支机构审计报告。</w:t>
            </w:r>
          </w:p>
        </w:tc>
        <w:tc>
          <w:tcPr>
            <w:tcW w:w="851" w:type="dxa"/>
            <w:vMerge/>
            <w:vAlign w:val="center"/>
          </w:tcPr>
          <w:p w:rsidR="00013EC7" w:rsidRDefault="00013EC7">
            <w:pPr>
              <w:spacing w:line="300" w:lineRule="exact"/>
              <w:jc w:val="left"/>
              <w:rPr>
                <w:rFonts w:ascii="仿宋" w:eastAsia="仿宋" w:hAnsi="仿宋"/>
                <w:color w:val="000000" w:themeColor="text1"/>
                <w:sz w:val="24"/>
              </w:rPr>
            </w:pPr>
          </w:p>
        </w:tc>
        <w:tc>
          <w:tcPr>
            <w:tcW w:w="4252" w:type="dxa"/>
            <w:vAlign w:val="center"/>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（十三）具有资质的机构出具的有关分支机构审计报告（留存备查）。</w:t>
            </w:r>
          </w:p>
        </w:tc>
        <w:tc>
          <w:tcPr>
            <w:tcW w:w="851" w:type="dxa"/>
            <w:vMerge/>
            <w:vAlign w:val="center"/>
          </w:tcPr>
          <w:p w:rsidR="00013EC7" w:rsidRDefault="00013EC7">
            <w:pPr>
              <w:spacing w:line="300" w:lineRule="exact"/>
              <w:jc w:val="left"/>
              <w:rPr>
                <w:rFonts w:ascii="仿宋" w:eastAsia="仿宋" w:hAnsi="仿宋"/>
                <w:color w:val="000000" w:themeColor="text1"/>
                <w:sz w:val="24"/>
              </w:rPr>
            </w:pPr>
          </w:p>
        </w:tc>
        <w:tc>
          <w:tcPr>
            <w:tcW w:w="2126" w:type="dxa"/>
            <w:vMerge/>
            <w:vAlign w:val="center"/>
          </w:tcPr>
          <w:p w:rsidR="00013EC7" w:rsidRDefault="00013EC7">
            <w:pPr>
              <w:spacing w:line="300" w:lineRule="exact"/>
              <w:rPr>
                <w:rFonts w:ascii="仿宋" w:eastAsia="仿宋" w:hAnsi="仿宋" w:cs="宋体"/>
                <w:color w:val="000000" w:themeColor="text1"/>
                <w:kern w:val="1"/>
                <w:sz w:val="24"/>
              </w:rPr>
            </w:pPr>
          </w:p>
        </w:tc>
        <w:tc>
          <w:tcPr>
            <w:tcW w:w="850" w:type="dxa"/>
            <w:vMerge/>
            <w:vAlign w:val="center"/>
          </w:tcPr>
          <w:p w:rsidR="00013EC7" w:rsidRDefault="00013EC7">
            <w:pPr>
              <w:rPr>
                <w:rFonts w:ascii="仿宋" w:eastAsia="仿宋" w:hAnsi="仿宋"/>
                <w:color w:val="000000" w:themeColor="text1"/>
                <w:sz w:val="24"/>
              </w:rPr>
            </w:pPr>
          </w:p>
        </w:tc>
        <w:tc>
          <w:tcPr>
            <w:tcW w:w="851" w:type="dxa"/>
            <w:vMerge/>
            <w:vAlign w:val="center"/>
          </w:tcPr>
          <w:p w:rsidR="00013EC7" w:rsidRDefault="00013EC7">
            <w:pPr>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709" w:type="dxa"/>
            <w:vMerge/>
            <w:vAlign w:val="center"/>
          </w:tcPr>
          <w:p w:rsidR="00013EC7" w:rsidRDefault="00013EC7">
            <w:pPr>
              <w:rPr>
                <w:rFonts w:ascii="仿宋" w:eastAsia="仿宋" w:hAnsi="仿宋"/>
                <w:color w:val="000000" w:themeColor="text1"/>
                <w:sz w:val="24"/>
              </w:rPr>
            </w:pPr>
          </w:p>
        </w:tc>
        <w:tc>
          <w:tcPr>
            <w:tcW w:w="1133" w:type="dxa"/>
            <w:vMerge/>
            <w:vAlign w:val="center"/>
          </w:tcPr>
          <w:p w:rsidR="00013EC7" w:rsidRDefault="00013EC7">
            <w:pPr>
              <w:rPr>
                <w:rFonts w:ascii="仿宋" w:eastAsia="仿宋" w:hAnsi="仿宋"/>
                <w:color w:val="000000" w:themeColor="text1"/>
                <w:sz w:val="24"/>
              </w:rPr>
            </w:pPr>
          </w:p>
        </w:tc>
      </w:tr>
      <w:tr w:rsidR="00013EC7">
        <w:trPr>
          <w:trHeight w:val="712"/>
          <w:jc w:val="center"/>
        </w:trPr>
        <w:tc>
          <w:tcPr>
            <w:tcW w:w="672" w:type="dxa"/>
            <w:vMerge/>
            <w:textDirection w:val="tbRlV"/>
            <w:vAlign w:val="center"/>
          </w:tcPr>
          <w:p w:rsidR="00013EC7" w:rsidRDefault="00013EC7">
            <w:pPr>
              <w:rPr>
                <w:rFonts w:ascii="仿宋" w:eastAsia="仿宋" w:hAnsi="仿宋"/>
                <w:color w:val="000000" w:themeColor="text1"/>
                <w:sz w:val="24"/>
              </w:rPr>
            </w:pPr>
          </w:p>
        </w:tc>
        <w:tc>
          <w:tcPr>
            <w:tcW w:w="1035" w:type="dxa"/>
            <w:vMerge/>
            <w:vAlign w:val="center"/>
          </w:tcPr>
          <w:p w:rsidR="00013EC7" w:rsidRDefault="00013EC7">
            <w:pPr>
              <w:rPr>
                <w:rFonts w:ascii="仿宋" w:eastAsia="仿宋" w:hAnsi="仿宋"/>
                <w:color w:val="000000" w:themeColor="text1"/>
                <w:sz w:val="24"/>
              </w:rPr>
            </w:pPr>
          </w:p>
        </w:tc>
        <w:tc>
          <w:tcPr>
            <w:tcW w:w="1271" w:type="dxa"/>
            <w:vMerge/>
            <w:vAlign w:val="center"/>
          </w:tcPr>
          <w:p w:rsidR="00013EC7" w:rsidRDefault="00013EC7">
            <w:pPr>
              <w:rPr>
                <w:rFonts w:ascii="仿宋" w:eastAsia="仿宋" w:hAnsi="仿宋"/>
                <w:color w:val="000000" w:themeColor="text1"/>
                <w:sz w:val="24"/>
              </w:rPr>
            </w:pPr>
          </w:p>
        </w:tc>
        <w:tc>
          <w:tcPr>
            <w:tcW w:w="4394" w:type="dxa"/>
            <w:vAlign w:val="center"/>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（十一）与境外所得相关的完税证明或纳税凭证（原件或复印件）。</w:t>
            </w:r>
          </w:p>
        </w:tc>
        <w:tc>
          <w:tcPr>
            <w:tcW w:w="851" w:type="dxa"/>
            <w:vMerge w:val="restart"/>
            <w:vAlign w:val="center"/>
          </w:tcPr>
          <w:p w:rsidR="00013EC7" w:rsidRDefault="00575CDB">
            <w:pPr>
              <w:spacing w:line="300" w:lineRule="exact"/>
              <w:jc w:val="left"/>
              <w:rPr>
                <w:rFonts w:ascii="仿宋" w:eastAsia="仿宋" w:hAnsi="仿宋"/>
                <w:color w:val="000000" w:themeColor="text1"/>
                <w:sz w:val="24"/>
              </w:rPr>
            </w:pPr>
            <w:r>
              <w:rPr>
                <w:rFonts w:ascii="仿宋" w:eastAsia="仿宋" w:hAnsi="仿宋" w:hint="eastAsia"/>
                <w:color w:val="000000" w:themeColor="text1"/>
                <w:sz w:val="24"/>
              </w:rPr>
              <w:t>取得境外股息、红利所得抵免境外所得税企业提交</w:t>
            </w:r>
          </w:p>
        </w:tc>
        <w:tc>
          <w:tcPr>
            <w:tcW w:w="4252" w:type="dxa"/>
            <w:vAlign w:val="center"/>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（十）与境外所得相关的完税证明或纳税凭证（原件或复印件）。</w:t>
            </w:r>
          </w:p>
        </w:tc>
        <w:tc>
          <w:tcPr>
            <w:tcW w:w="851" w:type="dxa"/>
            <w:vMerge w:val="restart"/>
            <w:vAlign w:val="center"/>
          </w:tcPr>
          <w:p w:rsidR="00013EC7" w:rsidRDefault="00575CDB">
            <w:pPr>
              <w:spacing w:line="300" w:lineRule="exact"/>
              <w:jc w:val="left"/>
              <w:rPr>
                <w:rFonts w:ascii="仿宋" w:eastAsia="仿宋" w:hAnsi="仿宋"/>
                <w:color w:val="000000" w:themeColor="text1"/>
                <w:sz w:val="24"/>
              </w:rPr>
            </w:pPr>
            <w:r>
              <w:rPr>
                <w:rFonts w:ascii="仿宋" w:eastAsia="仿宋" w:hAnsi="仿宋" w:hint="eastAsia"/>
                <w:color w:val="000000" w:themeColor="text1"/>
                <w:sz w:val="24"/>
              </w:rPr>
              <w:t>取得境外股息、红利所得抵免境外所得税企业提交</w:t>
            </w:r>
          </w:p>
        </w:tc>
        <w:tc>
          <w:tcPr>
            <w:tcW w:w="2126" w:type="dxa"/>
            <w:vMerge/>
            <w:vAlign w:val="center"/>
          </w:tcPr>
          <w:p w:rsidR="00013EC7" w:rsidRDefault="00013EC7">
            <w:pPr>
              <w:spacing w:line="300" w:lineRule="exact"/>
              <w:rPr>
                <w:rFonts w:ascii="仿宋" w:eastAsia="仿宋" w:hAnsi="仿宋" w:cs="宋体"/>
                <w:color w:val="000000" w:themeColor="text1"/>
                <w:kern w:val="1"/>
                <w:sz w:val="24"/>
              </w:rPr>
            </w:pPr>
          </w:p>
        </w:tc>
        <w:tc>
          <w:tcPr>
            <w:tcW w:w="850" w:type="dxa"/>
            <w:vMerge/>
            <w:vAlign w:val="center"/>
          </w:tcPr>
          <w:p w:rsidR="00013EC7" w:rsidRDefault="00013EC7">
            <w:pPr>
              <w:rPr>
                <w:rFonts w:ascii="仿宋" w:eastAsia="仿宋" w:hAnsi="仿宋"/>
                <w:color w:val="000000" w:themeColor="text1"/>
                <w:sz w:val="24"/>
              </w:rPr>
            </w:pPr>
          </w:p>
        </w:tc>
        <w:tc>
          <w:tcPr>
            <w:tcW w:w="851" w:type="dxa"/>
            <w:vMerge/>
            <w:vAlign w:val="center"/>
          </w:tcPr>
          <w:p w:rsidR="00013EC7" w:rsidRDefault="00013EC7">
            <w:pPr>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709" w:type="dxa"/>
            <w:vMerge/>
            <w:vAlign w:val="center"/>
          </w:tcPr>
          <w:p w:rsidR="00013EC7" w:rsidRDefault="00013EC7">
            <w:pPr>
              <w:rPr>
                <w:rFonts w:ascii="仿宋" w:eastAsia="仿宋" w:hAnsi="仿宋"/>
                <w:color w:val="000000" w:themeColor="text1"/>
                <w:sz w:val="24"/>
              </w:rPr>
            </w:pPr>
          </w:p>
        </w:tc>
        <w:tc>
          <w:tcPr>
            <w:tcW w:w="1133" w:type="dxa"/>
            <w:vMerge/>
            <w:vAlign w:val="center"/>
          </w:tcPr>
          <w:p w:rsidR="00013EC7" w:rsidRDefault="00013EC7">
            <w:pPr>
              <w:rPr>
                <w:rFonts w:ascii="仿宋" w:eastAsia="仿宋" w:hAnsi="仿宋"/>
                <w:color w:val="000000" w:themeColor="text1"/>
                <w:sz w:val="24"/>
              </w:rPr>
            </w:pPr>
          </w:p>
        </w:tc>
      </w:tr>
      <w:tr w:rsidR="00013EC7">
        <w:trPr>
          <w:trHeight w:val="712"/>
          <w:jc w:val="center"/>
        </w:trPr>
        <w:tc>
          <w:tcPr>
            <w:tcW w:w="672" w:type="dxa"/>
            <w:vMerge/>
            <w:textDirection w:val="tbRlV"/>
            <w:vAlign w:val="center"/>
          </w:tcPr>
          <w:p w:rsidR="00013EC7" w:rsidRDefault="00013EC7">
            <w:pPr>
              <w:rPr>
                <w:rFonts w:ascii="仿宋" w:eastAsia="仿宋" w:hAnsi="仿宋"/>
                <w:color w:val="000000" w:themeColor="text1"/>
                <w:sz w:val="24"/>
              </w:rPr>
            </w:pPr>
          </w:p>
        </w:tc>
        <w:tc>
          <w:tcPr>
            <w:tcW w:w="1035" w:type="dxa"/>
            <w:vMerge/>
            <w:vAlign w:val="center"/>
          </w:tcPr>
          <w:p w:rsidR="00013EC7" w:rsidRDefault="00013EC7">
            <w:pPr>
              <w:rPr>
                <w:rFonts w:ascii="仿宋" w:eastAsia="仿宋" w:hAnsi="仿宋"/>
                <w:color w:val="000000" w:themeColor="text1"/>
                <w:sz w:val="24"/>
              </w:rPr>
            </w:pPr>
          </w:p>
        </w:tc>
        <w:tc>
          <w:tcPr>
            <w:tcW w:w="1271" w:type="dxa"/>
            <w:vMerge/>
            <w:vAlign w:val="center"/>
          </w:tcPr>
          <w:p w:rsidR="00013EC7" w:rsidRDefault="00013EC7">
            <w:pPr>
              <w:rPr>
                <w:rFonts w:ascii="仿宋" w:eastAsia="仿宋" w:hAnsi="仿宋"/>
                <w:color w:val="000000" w:themeColor="text1"/>
                <w:sz w:val="24"/>
              </w:rPr>
            </w:pPr>
          </w:p>
        </w:tc>
        <w:tc>
          <w:tcPr>
            <w:tcW w:w="4394" w:type="dxa"/>
            <w:vAlign w:val="center"/>
          </w:tcPr>
          <w:p w:rsidR="00013EC7" w:rsidRDefault="00575CDB">
            <w:pPr>
              <w:spacing w:line="300" w:lineRule="exact"/>
              <w:rPr>
                <w:rFonts w:ascii="仿宋" w:eastAsia="仿宋" w:hAnsi="仿宋"/>
                <w:color w:val="000000" w:themeColor="text1"/>
                <w:sz w:val="24"/>
                <w:highlight w:val="lightGray"/>
              </w:rPr>
            </w:pPr>
            <w:r>
              <w:rPr>
                <w:rFonts w:ascii="仿宋" w:eastAsia="仿宋" w:hAnsi="仿宋" w:hint="eastAsia"/>
                <w:color w:val="000000" w:themeColor="text1"/>
                <w:sz w:val="24"/>
                <w:highlight w:val="lightGray"/>
              </w:rPr>
              <w:t>（十二）集团组织架构图。</w:t>
            </w:r>
          </w:p>
        </w:tc>
        <w:tc>
          <w:tcPr>
            <w:tcW w:w="851" w:type="dxa"/>
            <w:vMerge/>
            <w:vAlign w:val="center"/>
          </w:tcPr>
          <w:p w:rsidR="00013EC7" w:rsidRDefault="00013EC7">
            <w:pPr>
              <w:spacing w:line="300" w:lineRule="exact"/>
              <w:jc w:val="left"/>
              <w:rPr>
                <w:rFonts w:ascii="仿宋" w:eastAsia="仿宋" w:hAnsi="仿宋"/>
                <w:color w:val="000000" w:themeColor="text1"/>
                <w:sz w:val="24"/>
              </w:rPr>
            </w:pPr>
          </w:p>
        </w:tc>
        <w:tc>
          <w:tcPr>
            <w:tcW w:w="4252" w:type="dxa"/>
            <w:vAlign w:val="center"/>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（十一）集团组织架构图（留存备查）。</w:t>
            </w:r>
          </w:p>
        </w:tc>
        <w:tc>
          <w:tcPr>
            <w:tcW w:w="851" w:type="dxa"/>
            <w:vMerge/>
            <w:vAlign w:val="center"/>
          </w:tcPr>
          <w:p w:rsidR="00013EC7" w:rsidRDefault="00013EC7">
            <w:pPr>
              <w:spacing w:line="300" w:lineRule="exact"/>
              <w:jc w:val="left"/>
              <w:rPr>
                <w:rFonts w:ascii="仿宋" w:eastAsia="仿宋" w:hAnsi="仿宋"/>
                <w:color w:val="000000" w:themeColor="text1"/>
                <w:sz w:val="24"/>
              </w:rPr>
            </w:pPr>
          </w:p>
        </w:tc>
        <w:tc>
          <w:tcPr>
            <w:tcW w:w="2126" w:type="dxa"/>
            <w:vMerge/>
            <w:vAlign w:val="center"/>
          </w:tcPr>
          <w:p w:rsidR="00013EC7" w:rsidRDefault="00013EC7">
            <w:pPr>
              <w:spacing w:line="300" w:lineRule="exact"/>
              <w:rPr>
                <w:rFonts w:ascii="仿宋" w:eastAsia="仿宋" w:hAnsi="仿宋" w:cs="宋体"/>
                <w:color w:val="000000" w:themeColor="text1"/>
                <w:kern w:val="1"/>
                <w:sz w:val="24"/>
              </w:rPr>
            </w:pPr>
          </w:p>
        </w:tc>
        <w:tc>
          <w:tcPr>
            <w:tcW w:w="850" w:type="dxa"/>
            <w:vMerge/>
            <w:vAlign w:val="center"/>
          </w:tcPr>
          <w:p w:rsidR="00013EC7" w:rsidRDefault="00013EC7">
            <w:pPr>
              <w:rPr>
                <w:rFonts w:ascii="仿宋" w:eastAsia="仿宋" w:hAnsi="仿宋"/>
                <w:color w:val="000000" w:themeColor="text1"/>
                <w:sz w:val="24"/>
              </w:rPr>
            </w:pPr>
          </w:p>
        </w:tc>
        <w:tc>
          <w:tcPr>
            <w:tcW w:w="851" w:type="dxa"/>
            <w:vMerge/>
            <w:vAlign w:val="center"/>
          </w:tcPr>
          <w:p w:rsidR="00013EC7" w:rsidRDefault="00013EC7">
            <w:pPr>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709" w:type="dxa"/>
            <w:vMerge/>
            <w:vAlign w:val="center"/>
          </w:tcPr>
          <w:p w:rsidR="00013EC7" w:rsidRDefault="00013EC7">
            <w:pPr>
              <w:rPr>
                <w:rFonts w:ascii="仿宋" w:eastAsia="仿宋" w:hAnsi="仿宋"/>
                <w:color w:val="000000" w:themeColor="text1"/>
                <w:sz w:val="24"/>
              </w:rPr>
            </w:pPr>
          </w:p>
        </w:tc>
        <w:tc>
          <w:tcPr>
            <w:tcW w:w="1133" w:type="dxa"/>
            <w:vMerge/>
            <w:vAlign w:val="center"/>
          </w:tcPr>
          <w:p w:rsidR="00013EC7" w:rsidRDefault="00013EC7">
            <w:pPr>
              <w:rPr>
                <w:rFonts w:ascii="仿宋" w:eastAsia="仿宋" w:hAnsi="仿宋"/>
                <w:color w:val="000000" w:themeColor="text1"/>
                <w:sz w:val="24"/>
              </w:rPr>
            </w:pPr>
          </w:p>
        </w:tc>
      </w:tr>
      <w:tr w:rsidR="00013EC7">
        <w:trPr>
          <w:trHeight w:val="712"/>
          <w:jc w:val="center"/>
        </w:trPr>
        <w:tc>
          <w:tcPr>
            <w:tcW w:w="672" w:type="dxa"/>
            <w:vMerge/>
            <w:textDirection w:val="tbRlV"/>
            <w:vAlign w:val="center"/>
          </w:tcPr>
          <w:p w:rsidR="00013EC7" w:rsidRDefault="00013EC7">
            <w:pPr>
              <w:rPr>
                <w:rFonts w:ascii="仿宋" w:eastAsia="仿宋" w:hAnsi="仿宋"/>
                <w:color w:val="000000" w:themeColor="text1"/>
                <w:sz w:val="24"/>
              </w:rPr>
            </w:pPr>
          </w:p>
        </w:tc>
        <w:tc>
          <w:tcPr>
            <w:tcW w:w="1035" w:type="dxa"/>
            <w:vMerge/>
            <w:vAlign w:val="center"/>
          </w:tcPr>
          <w:p w:rsidR="00013EC7" w:rsidRDefault="00013EC7">
            <w:pPr>
              <w:rPr>
                <w:rFonts w:ascii="仿宋" w:eastAsia="仿宋" w:hAnsi="仿宋"/>
                <w:color w:val="000000" w:themeColor="text1"/>
                <w:sz w:val="24"/>
              </w:rPr>
            </w:pPr>
          </w:p>
        </w:tc>
        <w:tc>
          <w:tcPr>
            <w:tcW w:w="1271" w:type="dxa"/>
            <w:vMerge/>
            <w:vAlign w:val="center"/>
          </w:tcPr>
          <w:p w:rsidR="00013EC7" w:rsidRDefault="00013EC7">
            <w:pPr>
              <w:rPr>
                <w:rFonts w:ascii="仿宋" w:eastAsia="仿宋" w:hAnsi="仿宋"/>
                <w:color w:val="000000" w:themeColor="text1"/>
                <w:sz w:val="24"/>
              </w:rPr>
            </w:pPr>
          </w:p>
        </w:tc>
        <w:tc>
          <w:tcPr>
            <w:tcW w:w="4394" w:type="dxa"/>
            <w:vAlign w:val="center"/>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（十三）被投资公司章程复印件。</w:t>
            </w:r>
          </w:p>
        </w:tc>
        <w:tc>
          <w:tcPr>
            <w:tcW w:w="851" w:type="dxa"/>
            <w:vMerge/>
            <w:vAlign w:val="center"/>
          </w:tcPr>
          <w:p w:rsidR="00013EC7" w:rsidRDefault="00013EC7">
            <w:pPr>
              <w:spacing w:line="300" w:lineRule="exact"/>
              <w:jc w:val="left"/>
              <w:rPr>
                <w:rFonts w:ascii="仿宋" w:eastAsia="仿宋" w:hAnsi="仿宋"/>
                <w:color w:val="000000" w:themeColor="text1"/>
                <w:sz w:val="24"/>
              </w:rPr>
            </w:pPr>
          </w:p>
        </w:tc>
        <w:tc>
          <w:tcPr>
            <w:tcW w:w="4252" w:type="dxa"/>
            <w:vAlign w:val="center"/>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（十二）被投资公司章程复印件（复印件注明与原件一致并加盖公章）。</w:t>
            </w:r>
          </w:p>
        </w:tc>
        <w:tc>
          <w:tcPr>
            <w:tcW w:w="851" w:type="dxa"/>
            <w:vMerge/>
            <w:vAlign w:val="center"/>
          </w:tcPr>
          <w:p w:rsidR="00013EC7" w:rsidRDefault="00013EC7">
            <w:pPr>
              <w:spacing w:line="300" w:lineRule="exact"/>
              <w:jc w:val="left"/>
              <w:rPr>
                <w:rFonts w:ascii="仿宋" w:eastAsia="仿宋" w:hAnsi="仿宋"/>
                <w:color w:val="000000" w:themeColor="text1"/>
                <w:sz w:val="24"/>
              </w:rPr>
            </w:pPr>
          </w:p>
        </w:tc>
        <w:tc>
          <w:tcPr>
            <w:tcW w:w="2126" w:type="dxa"/>
            <w:vMerge/>
            <w:vAlign w:val="center"/>
          </w:tcPr>
          <w:p w:rsidR="00013EC7" w:rsidRDefault="00013EC7">
            <w:pPr>
              <w:spacing w:line="300" w:lineRule="exact"/>
              <w:rPr>
                <w:rFonts w:ascii="仿宋" w:eastAsia="仿宋" w:hAnsi="仿宋" w:cs="宋体"/>
                <w:color w:val="000000" w:themeColor="text1"/>
                <w:kern w:val="1"/>
                <w:sz w:val="24"/>
              </w:rPr>
            </w:pPr>
          </w:p>
        </w:tc>
        <w:tc>
          <w:tcPr>
            <w:tcW w:w="850" w:type="dxa"/>
            <w:vMerge/>
            <w:vAlign w:val="center"/>
          </w:tcPr>
          <w:p w:rsidR="00013EC7" w:rsidRDefault="00013EC7">
            <w:pPr>
              <w:rPr>
                <w:rFonts w:ascii="仿宋" w:eastAsia="仿宋" w:hAnsi="仿宋"/>
                <w:color w:val="000000" w:themeColor="text1"/>
                <w:sz w:val="24"/>
              </w:rPr>
            </w:pPr>
          </w:p>
        </w:tc>
        <w:tc>
          <w:tcPr>
            <w:tcW w:w="851" w:type="dxa"/>
            <w:vMerge/>
            <w:vAlign w:val="center"/>
          </w:tcPr>
          <w:p w:rsidR="00013EC7" w:rsidRDefault="00013EC7">
            <w:pPr>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709" w:type="dxa"/>
            <w:vMerge/>
            <w:vAlign w:val="center"/>
          </w:tcPr>
          <w:p w:rsidR="00013EC7" w:rsidRDefault="00013EC7">
            <w:pPr>
              <w:rPr>
                <w:rFonts w:ascii="仿宋" w:eastAsia="仿宋" w:hAnsi="仿宋"/>
                <w:color w:val="000000" w:themeColor="text1"/>
                <w:sz w:val="24"/>
              </w:rPr>
            </w:pPr>
          </w:p>
        </w:tc>
        <w:tc>
          <w:tcPr>
            <w:tcW w:w="1133" w:type="dxa"/>
            <w:vMerge/>
            <w:vAlign w:val="center"/>
          </w:tcPr>
          <w:p w:rsidR="00013EC7" w:rsidRDefault="00013EC7">
            <w:pPr>
              <w:rPr>
                <w:rFonts w:ascii="仿宋" w:eastAsia="仿宋" w:hAnsi="仿宋"/>
                <w:color w:val="000000" w:themeColor="text1"/>
                <w:sz w:val="24"/>
              </w:rPr>
            </w:pPr>
          </w:p>
        </w:tc>
      </w:tr>
      <w:tr w:rsidR="00013EC7">
        <w:trPr>
          <w:trHeight w:val="712"/>
          <w:jc w:val="center"/>
        </w:trPr>
        <w:tc>
          <w:tcPr>
            <w:tcW w:w="672" w:type="dxa"/>
            <w:vMerge/>
            <w:textDirection w:val="tbRlV"/>
            <w:vAlign w:val="center"/>
          </w:tcPr>
          <w:p w:rsidR="00013EC7" w:rsidRDefault="00013EC7">
            <w:pPr>
              <w:rPr>
                <w:rFonts w:ascii="仿宋" w:eastAsia="仿宋" w:hAnsi="仿宋"/>
                <w:color w:val="000000" w:themeColor="text1"/>
                <w:sz w:val="24"/>
              </w:rPr>
            </w:pPr>
          </w:p>
        </w:tc>
        <w:tc>
          <w:tcPr>
            <w:tcW w:w="1035" w:type="dxa"/>
            <w:vMerge/>
            <w:vAlign w:val="center"/>
          </w:tcPr>
          <w:p w:rsidR="00013EC7" w:rsidRDefault="00013EC7">
            <w:pPr>
              <w:rPr>
                <w:rFonts w:ascii="仿宋" w:eastAsia="仿宋" w:hAnsi="仿宋"/>
                <w:color w:val="000000" w:themeColor="text1"/>
                <w:sz w:val="24"/>
              </w:rPr>
            </w:pPr>
          </w:p>
        </w:tc>
        <w:tc>
          <w:tcPr>
            <w:tcW w:w="1271" w:type="dxa"/>
            <w:vMerge/>
            <w:vAlign w:val="center"/>
          </w:tcPr>
          <w:p w:rsidR="00013EC7" w:rsidRDefault="00013EC7">
            <w:pPr>
              <w:rPr>
                <w:rFonts w:ascii="仿宋" w:eastAsia="仿宋" w:hAnsi="仿宋"/>
                <w:color w:val="000000" w:themeColor="text1"/>
                <w:sz w:val="24"/>
              </w:rPr>
            </w:pPr>
          </w:p>
        </w:tc>
        <w:tc>
          <w:tcPr>
            <w:tcW w:w="4394" w:type="dxa"/>
            <w:vAlign w:val="center"/>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highlight w:val="lightGray"/>
              </w:rPr>
              <w:t>（十四）境外企业有权决定利润分配的机构作出的决定书。</w:t>
            </w:r>
          </w:p>
        </w:tc>
        <w:tc>
          <w:tcPr>
            <w:tcW w:w="851" w:type="dxa"/>
            <w:vMerge/>
            <w:vAlign w:val="center"/>
          </w:tcPr>
          <w:p w:rsidR="00013EC7" w:rsidRDefault="00013EC7">
            <w:pPr>
              <w:spacing w:line="300" w:lineRule="exact"/>
              <w:jc w:val="left"/>
              <w:rPr>
                <w:rFonts w:ascii="仿宋" w:eastAsia="仿宋" w:hAnsi="仿宋"/>
                <w:color w:val="000000" w:themeColor="text1"/>
                <w:sz w:val="24"/>
              </w:rPr>
            </w:pPr>
          </w:p>
        </w:tc>
        <w:tc>
          <w:tcPr>
            <w:tcW w:w="4252" w:type="dxa"/>
            <w:vAlign w:val="center"/>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（十三）境外企业有权决定利润分配的机构作出的决定书（留存备查）。</w:t>
            </w:r>
          </w:p>
        </w:tc>
        <w:tc>
          <w:tcPr>
            <w:tcW w:w="851" w:type="dxa"/>
            <w:vMerge/>
            <w:vAlign w:val="center"/>
          </w:tcPr>
          <w:p w:rsidR="00013EC7" w:rsidRDefault="00013EC7">
            <w:pPr>
              <w:spacing w:line="300" w:lineRule="exact"/>
              <w:jc w:val="left"/>
              <w:rPr>
                <w:rFonts w:ascii="仿宋" w:eastAsia="仿宋" w:hAnsi="仿宋"/>
                <w:color w:val="000000" w:themeColor="text1"/>
                <w:sz w:val="24"/>
              </w:rPr>
            </w:pPr>
          </w:p>
        </w:tc>
        <w:tc>
          <w:tcPr>
            <w:tcW w:w="2126" w:type="dxa"/>
            <w:vMerge/>
            <w:vAlign w:val="center"/>
          </w:tcPr>
          <w:p w:rsidR="00013EC7" w:rsidRDefault="00013EC7">
            <w:pPr>
              <w:spacing w:line="300" w:lineRule="exact"/>
              <w:rPr>
                <w:rFonts w:ascii="仿宋" w:eastAsia="仿宋" w:hAnsi="仿宋" w:cs="宋体"/>
                <w:color w:val="000000" w:themeColor="text1"/>
                <w:kern w:val="1"/>
                <w:sz w:val="24"/>
              </w:rPr>
            </w:pPr>
          </w:p>
        </w:tc>
        <w:tc>
          <w:tcPr>
            <w:tcW w:w="850" w:type="dxa"/>
            <w:vMerge/>
            <w:vAlign w:val="center"/>
          </w:tcPr>
          <w:p w:rsidR="00013EC7" w:rsidRDefault="00013EC7">
            <w:pPr>
              <w:rPr>
                <w:rFonts w:ascii="仿宋" w:eastAsia="仿宋" w:hAnsi="仿宋"/>
                <w:color w:val="000000" w:themeColor="text1"/>
                <w:sz w:val="24"/>
              </w:rPr>
            </w:pPr>
          </w:p>
        </w:tc>
        <w:tc>
          <w:tcPr>
            <w:tcW w:w="851" w:type="dxa"/>
            <w:vMerge/>
            <w:vAlign w:val="center"/>
          </w:tcPr>
          <w:p w:rsidR="00013EC7" w:rsidRDefault="00013EC7">
            <w:pPr>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709" w:type="dxa"/>
            <w:vMerge/>
            <w:vAlign w:val="center"/>
          </w:tcPr>
          <w:p w:rsidR="00013EC7" w:rsidRDefault="00013EC7">
            <w:pPr>
              <w:rPr>
                <w:rFonts w:ascii="仿宋" w:eastAsia="仿宋" w:hAnsi="仿宋"/>
                <w:color w:val="000000" w:themeColor="text1"/>
                <w:sz w:val="24"/>
              </w:rPr>
            </w:pPr>
          </w:p>
        </w:tc>
        <w:tc>
          <w:tcPr>
            <w:tcW w:w="1133" w:type="dxa"/>
            <w:vMerge/>
            <w:vAlign w:val="center"/>
          </w:tcPr>
          <w:p w:rsidR="00013EC7" w:rsidRDefault="00013EC7">
            <w:pPr>
              <w:rPr>
                <w:rFonts w:ascii="仿宋" w:eastAsia="仿宋" w:hAnsi="仿宋"/>
                <w:color w:val="000000" w:themeColor="text1"/>
                <w:sz w:val="24"/>
              </w:rPr>
            </w:pPr>
          </w:p>
        </w:tc>
      </w:tr>
      <w:tr w:rsidR="00013EC7">
        <w:trPr>
          <w:trHeight w:val="105"/>
          <w:jc w:val="center"/>
        </w:trPr>
        <w:tc>
          <w:tcPr>
            <w:tcW w:w="672" w:type="dxa"/>
            <w:vMerge/>
            <w:textDirection w:val="tbRlV"/>
            <w:vAlign w:val="center"/>
          </w:tcPr>
          <w:p w:rsidR="00013EC7" w:rsidRDefault="00013EC7">
            <w:pPr>
              <w:rPr>
                <w:rFonts w:ascii="仿宋" w:eastAsia="仿宋" w:hAnsi="仿宋"/>
                <w:color w:val="000000" w:themeColor="text1"/>
                <w:sz w:val="24"/>
              </w:rPr>
            </w:pPr>
          </w:p>
        </w:tc>
        <w:tc>
          <w:tcPr>
            <w:tcW w:w="1035" w:type="dxa"/>
            <w:vMerge/>
            <w:vAlign w:val="center"/>
          </w:tcPr>
          <w:p w:rsidR="00013EC7" w:rsidRDefault="00013EC7">
            <w:pPr>
              <w:rPr>
                <w:rFonts w:ascii="仿宋" w:eastAsia="仿宋" w:hAnsi="仿宋"/>
                <w:color w:val="000000" w:themeColor="text1"/>
                <w:sz w:val="24"/>
              </w:rPr>
            </w:pPr>
          </w:p>
        </w:tc>
        <w:tc>
          <w:tcPr>
            <w:tcW w:w="1271" w:type="dxa"/>
            <w:vMerge/>
            <w:vAlign w:val="center"/>
          </w:tcPr>
          <w:p w:rsidR="00013EC7" w:rsidRDefault="00013EC7">
            <w:pPr>
              <w:rPr>
                <w:rFonts w:ascii="仿宋" w:eastAsia="仿宋" w:hAnsi="仿宋"/>
                <w:color w:val="000000" w:themeColor="text1"/>
                <w:sz w:val="24"/>
              </w:rPr>
            </w:pPr>
          </w:p>
        </w:tc>
        <w:tc>
          <w:tcPr>
            <w:tcW w:w="4394" w:type="dxa"/>
            <w:vAlign w:val="center"/>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（十一）与境外所得相关的完税证明或纳税凭证（原件或复印件）。</w:t>
            </w:r>
          </w:p>
        </w:tc>
        <w:tc>
          <w:tcPr>
            <w:tcW w:w="851" w:type="dxa"/>
            <w:vMerge w:val="restart"/>
            <w:vAlign w:val="center"/>
          </w:tcPr>
          <w:p w:rsidR="00013EC7" w:rsidRDefault="00575CDB">
            <w:pPr>
              <w:spacing w:line="300" w:lineRule="exact"/>
              <w:jc w:val="left"/>
              <w:rPr>
                <w:rFonts w:ascii="仿宋" w:eastAsia="仿宋" w:hAnsi="仿宋"/>
                <w:color w:val="000000" w:themeColor="text1"/>
                <w:sz w:val="24"/>
              </w:rPr>
            </w:pPr>
            <w:r>
              <w:rPr>
                <w:rFonts w:ascii="仿宋" w:eastAsia="仿宋" w:hAnsi="仿宋" w:hint="eastAsia"/>
                <w:color w:val="000000" w:themeColor="text1"/>
                <w:sz w:val="24"/>
              </w:rPr>
              <w:t>取得境外利息、租金、特许权使用费、转让财产等所得抵免境外所得税企业提交</w:t>
            </w:r>
          </w:p>
        </w:tc>
        <w:tc>
          <w:tcPr>
            <w:tcW w:w="4252" w:type="dxa"/>
            <w:vAlign w:val="center"/>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（十）与境外所得相关的完税证明或纳税凭证（原件或复印件）。</w:t>
            </w:r>
          </w:p>
        </w:tc>
        <w:tc>
          <w:tcPr>
            <w:tcW w:w="851" w:type="dxa"/>
            <w:vMerge w:val="restart"/>
            <w:vAlign w:val="center"/>
          </w:tcPr>
          <w:p w:rsidR="00013EC7" w:rsidRDefault="00575CDB">
            <w:pPr>
              <w:spacing w:line="300" w:lineRule="exact"/>
              <w:jc w:val="left"/>
              <w:rPr>
                <w:rFonts w:ascii="仿宋" w:eastAsia="仿宋" w:hAnsi="仿宋"/>
                <w:color w:val="000000" w:themeColor="text1"/>
                <w:sz w:val="24"/>
              </w:rPr>
            </w:pPr>
            <w:r>
              <w:rPr>
                <w:rFonts w:ascii="仿宋" w:eastAsia="仿宋" w:hAnsi="仿宋" w:hint="eastAsia"/>
                <w:color w:val="000000" w:themeColor="text1"/>
                <w:sz w:val="24"/>
              </w:rPr>
              <w:t>取得境外利息、租金、特许权使用费、转让财产等所得抵免境外所得税企业提交</w:t>
            </w:r>
          </w:p>
        </w:tc>
        <w:tc>
          <w:tcPr>
            <w:tcW w:w="2126" w:type="dxa"/>
            <w:vMerge/>
            <w:vAlign w:val="center"/>
          </w:tcPr>
          <w:p w:rsidR="00013EC7" w:rsidRDefault="00013EC7">
            <w:pPr>
              <w:spacing w:line="300" w:lineRule="exact"/>
              <w:rPr>
                <w:rFonts w:ascii="仿宋" w:eastAsia="仿宋" w:hAnsi="仿宋" w:cs="宋体"/>
                <w:color w:val="000000" w:themeColor="text1"/>
                <w:kern w:val="1"/>
                <w:sz w:val="24"/>
              </w:rPr>
            </w:pPr>
          </w:p>
        </w:tc>
        <w:tc>
          <w:tcPr>
            <w:tcW w:w="850" w:type="dxa"/>
            <w:vMerge/>
            <w:vAlign w:val="center"/>
          </w:tcPr>
          <w:p w:rsidR="00013EC7" w:rsidRDefault="00013EC7">
            <w:pPr>
              <w:rPr>
                <w:rFonts w:ascii="仿宋" w:eastAsia="仿宋" w:hAnsi="仿宋"/>
                <w:color w:val="000000" w:themeColor="text1"/>
                <w:sz w:val="24"/>
              </w:rPr>
            </w:pPr>
          </w:p>
        </w:tc>
        <w:tc>
          <w:tcPr>
            <w:tcW w:w="851" w:type="dxa"/>
            <w:vMerge/>
            <w:vAlign w:val="center"/>
          </w:tcPr>
          <w:p w:rsidR="00013EC7" w:rsidRDefault="00013EC7">
            <w:pPr>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709" w:type="dxa"/>
            <w:vMerge/>
            <w:vAlign w:val="center"/>
          </w:tcPr>
          <w:p w:rsidR="00013EC7" w:rsidRDefault="00013EC7">
            <w:pPr>
              <w:rPr>
                <w:rFonts w:ascii="仿宋" w:eastAsia="仿宋" w:hAnsi="仿宋"/>
                <w:color w:val="000000" w:themeColor="text1"/>
                <w:sz w:val="24"/>
              </w:rPr>
            </w:pPr>
          </w:p>
        </w:tc>
        <w:tc>
          <w:tcPr>
            <w:tcW w:w="1133" w:type="dxa"/>
            <w:vMerge/>
            <w:vAlign w:val="center"/>
          </w:tcPr>
          <w:p w:rsidR="00013EC7" w:rsidRDefault="00013EC7">
            <w:pPr>
              <w:rPr>
                <w:rFonts w:ascii="仿宋" w:eastAsia="仿宋" w:hAnsi="仿宋"/>
                <w:color w:val="000000" w:themeColor="text1"/>
                <w:sz w:val="24"/>
              </w:rPr>
            </w:pPr>
          </w:p>
        </w:tc>
      </w:tr>
      <w:tr w:rsidR="00013EC7">
        <w:trPr>
          <w:trHeight w:val="100"/>
          <w:jc w:val="center"/>
        </w:trPr>
        <w:tc>
          <w:tcPr>
            <w:tcW w:w="672" w:type="dxa"/>
            <w:vMerge/>
            <w:textDirection w:val="tbRlV"/>
            <w:vAlign w:val="center"/>
          </w:tcPr>
          <w:p w:rsidR="00013EC7" w:rsidRDefault="00013EC7">
            <w:pPr>
              <w:rPr>
                <w:rFonts w:ascii="仿宋" w:eastAsia="仿宋" w:hAnsi="仿宋"/>
                <w:color w:val="000000" w:themeColor="text1"/>
                <w:sz w:val="24"/>
              </w:rPr>
            </w:pPr>
          </w:p>
        </w:tc>
        <w:tc>
          <w:tcPr>
            <w:tcW w:w="1035" w:type="dxa"/>
            <w:vMerge/>
            <w:vAlign w:val="center"/>
          </w:tcPr>
          <w:p w:rsidR="00013EC7" w:rsidRDefault="00013EC7">
            <w:pPr>
              <w:rPr>
                <w:rFonts w:ascii="仿宋" w:eastAsia="仿宋" w:hAnsi="仿宋"/>
                <w:color w:val="000000" w:themeColor="text1"/>
                <w:sz w:val="24"/>
              </w:rPr>
            </w:pPr>
          </w:p>
        </w:tc>
        <w:tc>
          <w:tcPr>
            <w:tcW w:w="1271" w:type="dxa"/>
            <w:vMerge/>
            <w:vAlign w:val="center"/>
          </w:tcPr>
          <w:p w:rsidR="00013EC7" w:rsidRDefault="00013EC7">
            <w:pPr>
              <w:rPr>
                <w:rFonts w:ascii="仿宋" w:eastAsia="仿宋" w:hAnsi="仿宋"/>
                <w:color w:val="000000" w:themeColor="text1"/>
                <w:sz w:val="24"/>
              </w:rPr>
            </w:pPr>
          </w:p>
        </w:tc>
        <w:tc>
          <w:tcPr>
            <w:tcW w:w="4394" w:type="dxa"/>
            <w:vAlign w:val="center"/>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（十五）依照中国境内企业所得税法及实施条例规定计算的应纳税额的资料及计算过程。</w:t>
            </w:r>
          </w:p>
        </w:tc>
        <w:tc>
          <w:tcPr>
            <w:tcW w:w="851" w:type="dxa"/>
            <w:vMerge/>
            <w:vAlign w:val="center"/>
          </w:tcPr>
          <w:p w:rsidR="00013EC7" w:rsidRDefault="00013EC7">
            <w:pPr>
              <w:spacing w:line="300" w:lineRule="exact"/>
              <w:jc w:val="left"/>
              <w:rPr>
                <w:rFonts w:ascii="仿宋" w:eastAsia="仿宋" w:hAnsi="仿宋"/>
                <w:color w:val="000000" w:themeColor="text1"/>
                <w:sz w:val="24"/>
              </w:rPr>
            </w:pPr>
          </w:p>
        </w:tc>
        <w:tc>
          <w:tcPr>
            <w:tcW w:w="4252" w:type="dxa"/>
            <w:vAlign w:val="center"/>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（十四）依照中国境内企业所得税法及实施条例规定计算的应纳税额的资料及计算过程。</w:t>
            </w:r>
          </w:p>
        </w:tc>
        <w:tc>
          <w:tcPr>
            <w:tcW w:w="851" w:type="dxa"/>
            <w:vMerge/>
            <w:vAlign w:val="center"/>
          </w:tcPr>
          <w:p w:rsidR="00013EC7" w:rsidRDefault="00013EC7">
            <w:pPr>
              <w:spacing w:line="300" w:lineRule="exact"/>
              <w:jc w:val="left"/>
              <w:rPr>
                <w:rFonts w:ascii="仿宋" w:eastAsia="仿宋" w:hAnsi="仿宋"/>
                <w:color w:val="000000" w:themeColor="text1"/>
                <w:sz w:val="24"/>
              </w:rPr>
            </w:pPr>
          </w:p>
        </w:tc>
        <w:tc>
          <w:tcPr>
            <w:tcW w:w="2126" w:type="dxa"/>
            <w:vMerge/>
            <w:vAlign w:val="center"/>
          </w:tcPr>
          <w:p w:rsidR="00013EC7" w:rsidRDefault="00013EC7">
            <w:pPr>
              <w:spacing w:line="300" w:lineRule="exact"/>
              <w:rPr>
                <w:rFonts w:ascii="仿宋" w:eastAsia="仿宋" w:hAnsi="仿宋" w:cs="宋体"/>
                <w:color w:val="000000" w:themeColor="text1"/>
                <w:kern w:val="1"/>
                <w:sz w:val="24"/>
              </w:rPr>
            </w:pPr>
          </w:p>
        </w:tc>
        <w:tc>
          <w:tcPr>
            <w:tcW w:w="850" w:type="dxa"/>
            <w:vMerge/>
            <w:vAlign w:val="center"/>
          </w:tcPr>
          <w:p w:rsidR="00013EC7" w:rsidRDefault="00013EC7">
            <w:pPr>
              <w:rPr>
                <w:rFonts w:ascii="仿宋" w:eastAsia="仿宋" w:hAnsi="仿宋"/>
                <w:color w:val="000000" w:themeColor="text1"/>
                <w:sz w:val="24"/>
              </w:rPr>
            </w:pPr>
          </w:p>
        </w:tc>
        <w:tc>
          <w:tcPr>
            <w:tcW w:w="851" w:type="dxa"/>
            <w:vMerge/>
            <w:vAlign w:val="center"/>
          </w:tcPr>
          <w:p w:rsidR="00013EC7" w:rsidRDefault="00013EC7">
            <w:pPr>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709" w:type="dxa"/>
            <w:vMerge/>
            <w:vAlign w:val="center"/>
          </w:tcPr>
          <w:p w:rsidR="00013EC7" w:rsidRDefault="00013EC7">
            <w:pPr>
              <w:rPr>
                <w:rFonts w:ascii="仿宋" w:eastAsia="仿宋" w:hAnsi="仿宋"/>
                <w:color w:val="000000" w:themeColor="text1"/>
                <w:sz w:val="24"/>
              </w:rPr>
            </w:pPr>
          </w:p>
        </w:tc>
        <w:tc>
          <w:tcPr>
            <w:tcW w:w="1133" w:type="dxa"/>
            <w:vMerge/>
            <w:vAlign w:val="center"/>
          </w:tcPr>
          <w:p w:rsidR="00013EC7" w:rsidRDefault="00013EC7">
            <w:pPr>
              <w:rPr>
                <w:rFonts w:ascii="仿宋" w:eastAsia="仿宋" w:hAnsi="仿宋"/>
                <w:color w:val="000000" w:themeColor="text1"/>
                <w:sz w:val="24"/>
              </w:rPr>
            </w:pPr>
          </w:p>
        </w:tc>
      </w:tr>
      <w:tr w:rsidR="00013EC7">
        <w:trPr>
          <w:trHeight w:val="100"/>
          <w:jc w:val="center"/>
        </w:trPr>
        <w:tc>
          <w:tcPr>
            <w:tcW w:w="672" w:type="dxa"/>
            <w:vMerge/>
            <w:textDirection w:val="tbRlV"/>
            <w:vAlign w:val="center"/>
          </w:tcPr>
          <w:p w:rsidR="00013EC7" w:rsidRDefault="00013EC7">
            <w:pPr>
              <w:rPr>
                <w:rFonts w:ascii="仿宋" w:eastAsia="仿宋" w:hAnsi="仿宋"/>
                <w:color w:val="000000" w:themeColor="text1"/>
                <w:sz w:val="24"/>
              </w:rPr>
            </w:pPr>
          </w:p>
        </w:tc>
        <w:tc>
          <w:tcPr>
            <w:tcW w:w="1035" w:type="dxa"/>
            <w:vMerge/>
            <w:vAlign w:val="center"/>
          </w:tcPr>
          <w:p w:rsidR="00013EC7" w:rsidRDefault="00013EC7">
            <w:pPr>
              <w:rPr>
                <w:rFonts w:ascii="仿宋" w:eastAsia="仿宋" w:hAnsi="仿宋"/>
                <w:color w:val="000000" w:themeColor="text1"/>
                <w:sz w:val="24"/>
              </w:rPr>
            </w:pPr>
          </w:p>
        </w:tc>
        <w:tc>
          <w:tcPr>
            <w:tcW w:w="1271" w:type="dxa"/>
            <w:vMerge/>
            <w:vAlign w:val="center"/>
          </w:tcPr>
          <w:p w:rsidR="00013EC7" w:rsidRDefault="00013EC7">
            <w:pPr>
              <w:rPr>
                <w:rFonts w:ascii="仿宋" w:eastAsia="仿宋" w:hAnsi="仿宋"/>
                <w:color w:val="000000" w:themeColor="text1"/>
                <w:sz w:val="24"/>
              </w:rPr>
            </w:pPr>
          </w:p>
        </w:tc>
        <w:tc>
          <w:tcPr>
            <w:tcW w:w="4394" w:type="dxa"/>
            <w:vAlign w:val="center"/>
          </w:tcPr>
          <w:p w:rsidR="00013EC7" w:rsidRDefault="00575CDB">
            <w:pPr>
              <w:spacing w:line="300" w:lineRule="exact"/>
              <w:rPr>
                <w:rFonts w:ascii="仿宋" w:eastAsia="仿宋" w:hAnsi="仿宋"/>
                <w:color w:val="000000" w:themeColor="text1"/>
                <w:sz w:val="24"/>
                <w:highlight w:val="lightGray"/>
              </w:rPr>
            </w:pPr>
            <w:r>
              <w:rPr>
                <w:rFonts w:ascii="仿宋" w:eastAsia="仿宋" w:hAnsi="仿宋" w:hint="eastAsia"/>
                <w:color w:val="000000" w:themeColor="text1"/>
                <w:sz w:val="24"/>
                <w:highlight w:val="lightGray"/>
              </w:rPr>
              <w:t>（十六）项目合同复印件等。</w:t>
            </w:r>
          </w:p>
        </w:tc>
        <w:tc>
          <w:tcPr>
            <w:tcW w:w="851" w:type="dxa"/>
            <w:vMerge/>
            <w:vAlign w:val="center"/>
          </w:tcPr>
          <w:p w:rsidR="00013EC7" w:rsidRDefault="00013EC7">
            <w:pPr>
              <w:spacing w:line="300" w:lineRule="exact"/>
              <w:jc w:val="left"/>
              <w:rPr>
                <w:rFonts w:ascii="仿宋" w:eastAsia="仿宋" w:hAnsi="仿宋"/>
                <w:color w:val="000000" w:themeColor="text1"/>
                <w:sz w:val="24"/>
              </w:rPr>
            </w:pPr>
          </w:p>
        </w:tc>
        <w:tc>
          <w:tcPr>
            <w:tcW w:w="4252" w:type="dxa"/>
            <w:vAlign w:val="center"/>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（十五）项目合同复印件等（留存备查）。</w:t>
            </w:r>
          </w:p>
        </w:tc>
        <w:tc>
          <w:tcPr>
            <w:tcW w:w="851" w:type="dxa"/>
            <w:vMerge/>
            <w:vAlign w:val="center"/>
          </w:tcPr>
          <w:p w:rsidR="00013EC7" w:rsidRDefault="00013EC7">
            <w:pPr>
              <w:spacing w:line="300" w:lineRule="exact"/>
              <w:jc w:val="left"/>
              <w:rPr>
                <w:rFonts w:ascii="仿宋" w:eastAsia="仿宋" w:hAnsi="仿宋"/>
                <w:color w:val="000000" w:themeColor="text1"/>
                <w:sz w:val="24"/>
              </w:rPr>
            </w:pPr>
          </w:p>
        </w:tc>
        <w:tc>
          <w:tcPr>
            <w:tcW w:w="2126" w:type="dxa"/>
            <w:vMerge/>
            <w:vAlign w:val="center"/>
          </w:tcPr>
          <w:p w:rsidR="00013EC7" w:rsidRDefault="00013EC7">
            <w:pPr>
              <w:spacing w:line="300" w:lineRule="exact"/>
              <w:rPr>
                <w:rFonts w:ascii="仿宋" w:eastAsia="仿宋" w:hAnsi="仿宋" w:cs="宋体"/>
                <w:color w:val="000000" w:themeColor="text1"/>
                <w:kern w:val="1"/>
                <w:sz w:val="24"/>
              </w:rPr>
            </w:pPr>
          </w:p>
        </w:tc>
        <w:tc>
          <w:tcPr>
            <w:tcW w:w="850" w:type="dxa"/>
            <w:vMerge/>
            <w:vAlign w:val="center"/>
          </w:tcPr>
          <w:p w:rsidR="00013EC7" w:rsidRDefault="00013EC7">
            <w:pPr>
              <w:rPr>
                <w:rFonts w:ascii="仿宋" w:eastAsia="仿宋" w:hAnsi="仿宋"/>
                <w:color w:val="000000" w:themeColor="text1"/>
                <w:sz w:val="24"/>
              </w:rPr>
            </w:pPr>
          </w:p>
        </w:tc>
        <w:tc>
          <w:tcPr>
            <w:tcW w:w="851" w:type="dxa"/>
            <w:vMerge/>
            <w:vAlign w:val="center"/>
          </w:tcPr>
          <w:p w:rsidR="00013EC7" w:rsidRDefault="00013EC7">
            <w:pPr>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709" w:type="dxa"/>
            <w:vMerge/>
            <w:vAlign w:val="center"/>
          </w:tcPr>
          <w:p w:rsidR="00013EC7" w:rsidRDefault="00013EC7">
            <w:pPr>
              <w:rPr>
                <w:rFonts w:ascii="仿宋" w:eastAsia="仿宋" w:hAnsi="仿宋"/>
                <w:color w:val="000000" w:themeColor="text1"/>
                <w:sz w:val="24"/>
              </w:rPr>
            </w:pPr>
          </w:p>
        </w:tc>
        <w:tc>
          <w:tcPr>
            <w:tcW w:w="1133" w:type="dxa"/>
            <w:vMerge/>
            <w:vAlign w:val="center"/>
          </w:tcPr>
          <w:p w:rsidR="00013EC7" w:rsidRDefault="00013EC7">
            <w:pPr>
              <w:rPr>
                <w:rFonts w:ascii="仿宋" w:eastAsia="仿宋" w:hAnsi="仿宋"/>
                <w:color w:val="000000" w:themeColor="text1"/>
                <w:sz w:val="24"/>
              </w:rPr>
            </w:pPr>
          </w:p>
        </w:tc>
      </w:tr>
      <w:tr w:rsidR="00013EC7">
        <w:trPr>
          <w:trHeight w:val="100"/>
          <w:jc w:val="center"/>
        </w:trPr>
        <w:tc>
          <w:tcPr>
            <w:tcW w:w="672" w:type="dxa"/>
            <w:vMerge/>
            <w:textDirection w:val="tbRlV"/>
            <w:vAlign w:val="center"/>
          </w:tcPr>
          <w:p w:rsidR="00013EC7" w:rsidRDefault="00013EC7">
            <w:pPr>
              <w:rPr>
                <w:rFonts w:ascii="仿宋" w:eastAsia="仿宋" w:hAnsi="仿宋"/>
                <w:color w:val="000000" w:themeColor="text1"/>
                <w:sz w:val="24"/>
              </w:rPr>
            </w:pPr>
          </w:p>
        </w:tc>
        <w:tc>
          <w:tcPr>
            <w:tcW w:w="1035" w:type="dxa"/>
            <w:vMerge/>
            <w:vAlign w:val="center"/>
          </w:tcPr>
          <w:p w:rsidR="00013EC7" w:rsidRDefault="00013EC7">
            <w:pPr>
              <w:rPr>
                <w:rFonts w:ascii="仿宋" w:eastAsia="仿宋" w:hAnsi="仿宋"/>
                <w:color w:val="000000" w:themeColor="text1"/>
                <w:sz w:val="24"/>
              </w:rPr>
            </w:pPr>
          </w:p>
        </w:tc>
        <w:tc>
          <w:tcPr>
            <w:tcW w:w="1271" w:type="dxa"/>
            <w:vMerge/>
            <w:vAlign w:val="center"/>
          </w:tcPr>
          <w:p w:rsidR="00013EC7" w:rsidRDefault="00013EC7">
            <w:pPr>
              <w:rPr>
                <w:rFonts w:ascii="仿宋" w:eastAsia="仿宋" w:hAnsi="仿宋"/>
                <w:color w:val="000000" w:themeColor="text1"/>
                <w:sz w:val="24"/>
              </w:rPr>
            </w:pPr>
          </w:p>
        </w:tc>
        <w:tc>
          <w:tcPr>
            <w:tcW w:w="4394" w:type="dxa"/>
            <w:vAlign w:val="center"/>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（十一）与境外所得相关的完税证明或纳税凭证（原件或复印件）。</w:t>
            </w:r>
          </w:p>
        </w:tc>
        <w:tc>
          <w:tcPr>
            <w:tcW w:w="851" w:type="dxa"/>
            <w:vMerge w:val="restart"/>
            <w:vAlign w:val="center"/>
          </w:tcPr>
          <w:p w:rsidR="00013EC7" w:rsidRDefault="00575CDB">
            <w:pPr>
              <w:spacing w:line="300" w:lineRule="exact"/>
              <w:jc w:val="left"/>
              <w:rPr>
                <w:rFonts w:ascii="仿宋" w:eastAsia="仿宋" w:hAnsi="仿宋"/>
                <w:color w:val="000000" w:themeColor="text1"/>
                <w:sz w:val="24"/>
              </w:rPr>
            </w:pPr>
            <w:r>
              <w:rPr>
                <w:rFonts w:ascii="仿宋" w:eastAsia="仿宋" w:hAnsi="仿宋" w:hint="eastAsia"/>
                <w:color w:val="000000" w:themeColor="text1"/>
                <w:sz w:val="24"/>
              </w:rPr>
              <w:t>申请享受税收饶让抵</w:t>
            </w:r>
            <w:r>
              <w:rPr>
                <w:rFonts w:ascii="仿宋" w:eastAsia="仿宋" w:hAnsi="仿宋" w:hint="eastAsia"/>
                <w:color w:val="000000" w:themeColor="text1"/>
                <w:sz w:val="24"/>
              </w:rPr>
              <w:lastRenderedPageBreak/>
              <w:t>免的企业提交</w:t>
            </w:r>
          </w:p>
        </w:tc>
        <w:tc>
          <w:tcPr>
            <w:tcW w:w="4252" w:type="dxa"/>
            <w:vAlign w:val="center"/>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lastRenderedPageBreak/>
              <w:t>（十）与境外所得相关的完税证明或纳税凭证（原件或复印件）。</w:t>
            </w:r>
          </w:p>
        </w:tc>
        <w:tc>
          <w:tcPr>
            <w:tcW w:w="851" w:type="dxa"/>
            <w:vMerge w:val="restart"/>
            <w:vAlign w:val="center"/>
          </w:tcPr>
          <w:p w:rsidR="00013EC7" w:rsidRDefault="00575CDB">
            <w:pPr>
              <w:spacing w:line="300" w:lineRule="exact"/>
              <w:jc w:val="left"/>
              <w:rPr>
                <w:rFonts w:ascii="仿宋" w:eastAsia="仿宋" w:hAnsi="仿宋"/>
                <w:color w:val="000000" w:themeColor="text1"/>
                <w:sz w:val="24"/>
              </w:rPr>
            </w:pPr>
            <w:r>
              <w:rPr>
                <w:rFonts w:ascii="仿宋" w:eastAsia="仿宋" w:hAnsi="仿宋" w:hint="eastAsia"/>
                <w:color w:val="000000" w:themeColor="text1"/>
                <w:sz w:val="24"/>
              </w:rPr>
              <w:t>申请享受税收饶让抵</w:t>
            </w:r>
            <w:r>
              <w:rPr>
                <w:rFonts w:ascii="仿宋" w:eastAsia="仿宋" w:hAnsi="仿宋" w:hint="eastAsia"/>
                <w:color w:val="000000" w:themeColor="text1"/>
                <w:sz w:val="24"/>
              </w:rPr>
              <w:lastRenderedPageBreak/>
              <w:t>免的企业提交</w:t>
            </w:r>
          </w:p>
        </w:tc>
        <w:tc>
          <w:tcPr>
            <w:tcW w:w="2126" w:type="dxa"/>
            <w:vMerge/>
            <w:vAlign w:val="center"/>
          </w:tcPr>
          <w:p w:rsidR="00013EC7" w:rsidRDefault="00013EC7">
            <w:pPr>
              <w:spacing w:line="300" w:lineRule="exact"/>
              <w:rPr>
                <w:rFonts w:ascii="仿宋" w:eastAsia="仿宋" w:hAnsi="仿宋" w:cs="宋体"/>
                <w:color w:val="000000" w:themeColor="text1"/>
                <w:kern w:val="1"/>
                <w:sz w:val="24"/>
              </w:rPr>
            </w:pPr>
          </w:p>
        </w:tc>
        <w:tc>
          <w:tcPr>
            <w:tcW w:w="850" w:type="dxa"/>
            <w:vMerge/>
            <w:vAlign w:val="center"/>
          </w:tcPr>
          <w:p w:rsidR="00013EC7" w:rsidRDefault="00013EC7">
            <w:pPr>
              <w:rPr>
                <w:rFonts w:ascii="仿宋" w:eastAsia="仿宋" w:hAnsi="仿宋"/>
                <w:color w:val="000000" w:themeColor="text1"/>
                <w:sz w:val="24"/>
              </w:rPr>
            </w:pPr>
          </w:p>
        </w:tc>
        <w:tc>
          <w:tcPr>
            <w:tcW w:w="851" w:type="dxa"/>
            <w:vMerge/>
            <w:vAlign w:val="center"/>
          </w:tcPr>
          <w:p w:rsidR="00013EC7" w:rsidRDefault="00013EC7">
            <w:pPr>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709" w:type="dxa"/>
            <w:vMerge/>
            <w:vAlign w:val="center"/>
          </w:tcPr>
          <w:p w:rsidR="00013EC7" w:rsidRDefault="00013EC7">
            <w:pPr>
              <w:rPr>
                <w:rFonts w:ascii="仿宋" w:eastAsia="仿宋" w:hAnsi="仿宋"/>
                <w:color w:val="000000" w:themeColor="text1"/>
                <w:sz w:val="24"/>
              </w:rPr>
            </w:pPr>
          </w:p>
        </w:tc>
        <w:tc>
          <w:tcPr>
            <w:tcW w:w="1133" w:type="dxa"/>
            <w:vMerge/>
            <w:vAlign w:val="center"/>
          </w:tcPr>
          <w:p w:rsidR="00013EC7" w:rsidRDefault="00013EC7">
            <w:pPr>
              <w:rPr>
                <w:rFonts w:ascii="仿宋" w:eastAsia="仿宋" w:hAnsi="仿宋"/>
                <w:color w:val="000000" w:themeColor="text1"/>
                <w:sz w:val="24"/>
              </w:rPr>
            </w:pPr>
          </w:p>
        </w:tc>
      </w:tr>
      <w:tr w:rsidR="00013EC7">
        <w:trPr>
          <w:trHeight w:val="100"/>
          <w:jc w:val="center"/>
        </w:trPr>
        <w:tc>
          <w:tcPr>
            <w:tcW w:w="672" w:type="dxa"/>
            <w:vMerge/>
            <w:textDirection w:val="tbRlV"/>
            <w:vAlign w:val="center"/>
          </w:tcPr>
          <w:p w:rsidR="00013EC7" w:rsidRDefault="00013EC7">
            <w:pPr>
              <w:rPr>
                <w:rFonts w:ascii="仿宋" w:eastAsia="仿宋" w:hAnsi="仿宋"/>
                <w:color w:val="000000" w:themeColor="text1"/>
                <w:sz w:val="24"/>
              </w:rPr>
            </w:pPr>
          </w:p>
        </w:tc>
        <w:tc>
          <w:tcPr>
            <w:tcW w:w="1035" w:type="dxa"/>
            <w:vMerge/>
            <w:vAlign w:val="center"/>
          </w:tcPr>
          <w:p w:rsidR="00013EC7" w:rsidRDefault="00013EC7">
            <w:pPr>
              <w:rPr>
                <w:rFonts w:ascii="仿宋" w:eastAsia="仿宋" w:hAnsi="仿宋"/>
                <w:color w:val="000000" w:themeColor="text1"/>
                <w:sz w:val="24"/>
              </w:rPr>
            </w:pPr>
          </w:p>
        </w:tc>
        <w:tc>
          <w:tcPr>
            <w:tcW w:w="1271" w:type="dxa"/>
            <w:vMerge/>
            <w:vAlign w:val="center"/>
          </w:tcPr>
          <w:p w:rsidR="00013EC7" w:rsidRDefault="00013EC7">
            <w:pPr>
              <w:rPr>
                <w:rFonts w:ascii="仿宋" w:eastAsia="仿宋" w:hAnsi="仿宋"/>
                <w:color w:val="000000" w:themeColor="text1"/>
                <w:sz w:val="24"/>
              </w:rPr>
            </w:pPr>
          </w:p>
        </w:tc>
        <w:tc>
          <w:tcPr>
            <w:tcW w:w="4394" w:type="dxa"/>
            <w:vAlign w:val="center"/>
          </w:tcPr>
          <w:p w:rsidR="00013EC7" w:rsidRDefault="00575CDB">
            <w:pPr>
              <w:spacing w:line="300" w:lineRule="exact"/>
              <w:rPr>
                <w:rFonts w:ascii="仿宋" w:eastAsia="仿宋" w:hAnsi="仿宋"/>
                <w:color w:val="000000" w:themeColor="text1"/>
                <w:sz w:val="24"/>
                <w:highlight w:val="lightGray"/>
              </w:rPr>
            </w:pPr>
            <w:r>
              <w:rPr>
                <w:rFonts w:ascii="仿宋" w:eastAsia="仿宋" w:hAnsi="仿宋" w:hint="eastAsia"/>
                <w:color w:val="000000" w:themeColor="text1"/>
                <w:sz w:val="24"/>
                <w:highlight w:val="lightGray"/>
              </w:rPr>
              <w:t>（十七）本企业及其直接或间接控制的外</w:t>
            </w:r>
            <w:r>
              <w:rPr>
                <w:rFonts w:ascii="仿宋" w:eastAsia="仿宋" w:hAnsi="仿宋" w:hint="eastAsia"/>
                <w:color w:val="000000" w:themeColor="text1"/>
                <w:sz w:val="24"/>
                <w:highlight w:val="lightGray"/>
              </w:rPr>
              <w:lastRenderedPageBreak/>
              <w:t>国企业在境外所获免税及减税的依据及证明或有关审计报告披露该企业享受的优惠政策的复印件。</w:t>
            </w:r>
          </w:p>
        </w:tc>
        <w:tc>
          <w:tcPr>
            <w:tcW w:w="851" w:type="dxa"/>
            <w:vMerge/>
            <w:vAlign w:val="center"/>
          </w:tcPr>
          <w:p w:rsidR="00013EC7" w:rsidRDefault="00013EC7">
            <w:pPr>
              <w:spacing w:line="300" w:lineRule="exact"/>
              <w:jc w:val="left"/>
              <w:rPr>
                <w:rFonts w:ascii="仿宋" w:eastAsia="仿宋" w:hAnsi="仿宋"/>
                <w:color w:val="000000" w:themeColor="text1"/>
                <w:sz w:val="24"/>
              </w:rPr>
            </w:pPr>
          </w:p>
        </w:tc>
        <w:tc>
          <w:tcPr>
            <w:tcW w:w="4252" w:type="dxa"/>
            <w:vAlign w:val="center"/>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（十六）本企业及其直接或间接控制的</w:t>
            </w:r>
            <w:r>
              <w:rPr>
                <w:rFonts w:ascii="仿宋" w:eastAsia="仿宋" w:hAnsi="仿宋" w:hint="eastAsia"/>
                <w:color w:val="000000" w:themeColor="text1"/>
                <w:sz w:val="24"/>
              </w:rPr>
              <w:lastRenderedPageBreak/>
              <w:t>外国企业在境外所获免税及减税的依据及证明或有关审计报告披露该企业享受的优惠政策的复印件（留存备查）。</w:t>
            </w:r>
          </w:p>
        </w:tc>
        <w:tc>
          <w:tcPr>
            <w:tcW w:w="851" w:type="dxa"/>
            <w:vMerge/>
            <w:vAlign w:val="center"/>
          </w:tcPr>
          <w:p w:rsidR="00013EC7" w:rsidRDefault="00013EC7">
            <w:pPr>
              <w:spacing w:line="300" w:lineRule="exact"/>
              <w:jc w:val="left"/>
              <w:rPr>
                <w:rFonts w:ascii="仿宋" w:eastAsia="仿宋" w:hAnsi="仿宋"/>
                <w:color w:val="000000" w:themeColor="text1"/>
                <w:sz w:val="24"/>
              </w:rPr>
            </w:pPr>
          </w:p>
        </w:tc>
        <w:tc>
          <w:tcPr>
            <w:tcW w:w="2126" w:type="dxa"/>
            <w:vMerge/>
            <w:vAlign w:val="center"/>
          </w:tcPr>
          <w:p w:rsidR="00013EC7" w:rsidRDefault="00013EC7">
            <w:pPr>
              <w:spacing w:line="300" w:lineRule="exact"/>
              <w:rPr>
                <w:rFonts w:ascii="仿宋" w:eastAsia="仿宋" w:hAnsi="仿宋" w:cs="宋体"/>
                <w:color w:val="000000" w:themeColor="text1"/>
                <w:kern w:val="1"/>
                <w:sz w:val="24"/>
              </w:rPr>
            </w:pPr>
          </w:p>
        </w:tc>
        <w:tc>
          <w:tcPr>
            <w:tcW w:w="850" w:type="dxa"/>
            <w:vMerge/>
            <w:vAlign w:val="center"/>
          </w:tcPr>
          <w:p w:rsidR="00013EC7" w:rsidRDefault="00013EC7">
            <w:pPr>
              <w:rPr>
                <w:rFonts w:ascii="仿宋" w:eastAsia="仿宋" w:hAnsi="仿宋"/>
                <w:color w:val="000000" w:themeColor="text1"/>
                <w:sz w:val="24"/>
              </w:rPr>
            </w:pPr>
          </w:p>
        </w:tc>
        <w:tc>
          <w:tcPr>
            <w:tcW w:w="851" w:type="dxa"/>
            <w:vMerge/>
            <w:vAlign w:val="center"/>
          </w:tcPr>
          <w:p w:rsidR="00013EC7" w:rsidRDefault="00013EC7">
            <w:pPr>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709" w:type="dxa"/>
            <w:vMerge/>
            <w:vAlign w:val="center"/>
          </w:tcPr>
          <w:p w:rsidR="00013EC7" w:rsidRDefault="00013EC7">
            <w:pPr>
              <w:rPr>
                <w:rFonts w:ascii="仿宋" w:eastAsia="仿宋" w:hAnsi="仿宋"/>
                <w:color w:val="000000" w:themeColor="text1"/>
                <w:sz w:val="24"/>
              </w:rPr>
            </w:pPr>
          </w:p>
        </w:tc>
        <w:tc>
          <w:tcPr>
            <w:tcW w:w="1133" w:type="dxa"/>
            <w:vMerge/>
            <w:vAlign w:val="center"/>
          </w:tcPr>
          <w:p w:rsidR="00013EC7" w:rsidRDefault="00013EC7">
            <w:pPr>
              <w:rPr>
                <w:rFonts w:ascii="仿宋" w:eastAsia="仿宋" w:hAnsi="仿宋"/>
                <w:color w:val="000000" w:themeColor="text1"/>
                <w:sz w:val="24"/>
              </w:rPr>
            </w:pPr>
          </w:p>
        </w:tc>
      </w:tr>
      <w:tr w:rsidR="00013EC7">
        <w:trPr>
          <w:trHeight w:val="100"/>
          <w:jc w:val="center"/>
        </w:trPr>
        <w:tc>
          <w:tcPr>
            <w:tcW w:w="672" w:type="dxa"/>
            <w:vMerge/>
            <w:textDirection w:val="tbRlV"/>
            <w:vAlign w:val="center"/>
          </w:tcPr>
          <w:p w:rsidR="00013EC7" w:rsidRDefault="00013EC7">
            <w:pPr>
              <w:rPr>
                <w:rFonts w:ascii="仿宋" w:eastAsia="仿宋" w:hAnsi="仿宋"/>
                <w:color w:val="000000" w:themeColor="text1"/>
                <w:sz w:val="24"/>
              </w:rPr>
            </w:pPr>
          </w:p>
        </w:tc>
        <w:tc>
          <w:tcPr>
            <w:tcW w:w="1035" w:type="dxa"/>
            <w:vMerge/>
            <w:vAlign w:val="center"/>
          </w:tcPr>
          <w:p w:rsidR="00013EC7" w:rsidRDefault="00013EC7">
            <w:pPr>
              <w:rPr>
                <w:rFonts w:ascii="仿宋" w:eastAsia="仿宋" w:hAnsi="仿宋"/>
                <w:color w:val="000000" w:themeColor="text1"/>
                <w:sz w:val="24"/>
              </w:rPr>
            </w:pPr>
          </w:p>
        </w:tc>
        <w:tc>
          <w:tcPr>
            <w:tcW w:w="1271" w:type="dxa"/>
            <w:vMerge/>
            <w:vAlign w:val="center"/>
          </w:tcPr>
          <w:p w:rsidR="00013EC7" w:rsidRDefault="00013EC7">
            <w:pPr>
              <w:rPr>
                <w:rFonts w:ascii="仿宋" w:eastAsia="仿宋" w:hAnsi="仿宋"/>
                <w:color w:val="000000" w:themeColor="text1"/>
                <w:sz w:val="24"/>
              </w:rPr>
            </w:pPr>
          </w:p>
        </w:tc>
        <w:tc>
          <w:tcPr>
            <w:tcW w:w="4394" w:type="dxa"/>
            <w:vAlign w:val="center"/>
          </w:tcPr>
          <w:p w:rsidR="00013EC7" w:rsidRDefault="00575CDB">
            <w:pPr>
              <w:spacing w:line="300" w:lineRule="exact"/>
              <w:rPr>
                <w:rFonts w:ascii="仿宋" w:eastAsia="仿宋" w:hAnsi="仿宋"/>
                <w:color w:val="000000" w:themeColor="text1"/>
                <w:sz w:val="24"/>
                <w:highlight w:val="lightGray"/>
              </w:rPr>
            </w:pPr>
            <w:r>
              <w:rPr>
                <w:rFonts w:ascii="仿宋" w:eastAsia="仿宋" w:hAnsi="仿宋" w:hint="eastAsia"/>
                <w:color w:val="000000" w:themeColor="text1"/>
                <w:sz w:val="24"/>
                <w:highlight w:val="lightGray"/>
              </w:rPr>
              <w:t>（十八）企业在其直接或间接控制的外国企业的参股比例等情况的证明复印件。</w:t>
            </w:r>
          </w:p>
        </w:tc>
        <w:tc>
          <w:tcPr>
            <w:tcW w:w="851" w:type="dxa"/>
            <w:vMerge/>
            <w:vAlign w:val="center"/>
          </w:tcPr>
          <w:p w:rsidR="00013EC7" w:rsidRDefault="00013EC7">
            <w:pPr>
              <w:spacing w:line="300" w:lineRule="exact"/>
              <w:jc w:val="left"/>
              <w:rPr>
                <w:rFonts w:ascii="仿宋" w:eastAsia="仿宋" w:hAnsi="仿宋"/>
                <w:color w:val="000000" w:themeColor="text1"/>
                <w:sz w:val="24"/>
              </w:rPr>
            </w:pPr>
          </w:p>
        </w:tc>
        <w:tc>
          <w:tcPr>
            <w:tcW w:w="4252" w:type="dxa"/>
            <w:vAlign w:val="center"/>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（十七）企业在其直接或间接控制的外国企业的参股比例等情况的证明复印件（留存备查）。</w:t>
            </w:r>
          </w:p>
        </w:tc>
        <w:tc>
          <w:tcPr>
            <w:tcW w:w="851" w:type="dxa"/>
            <w:vMerge/>
            <w:vAlign w:val="center"/>
          </w:tcPr>
          <w:p w:rsidR="00013EC7" w:rsidRDefault="00013EC7">
            <w:pPr>
              <w:spacing w:line="300" w:lineRule="exact"/>
              <w:jc w:val="left"/>
              <w:rPr>
                <w:rFonts w:ascii="仿宋" w:eastAsia="仿宋" w:hAnsi="仿宋"/>
                <w:color w:val="000000" w:themeColor="text1"/>
                <w:sz w:val="24"/>
              </w:rPr>
            </w:pPr>
          </w:p>
        </w:tc>
        <w:tc>
          <w:tcPr>
            <w:tcW w:w="2126" w:type="dxa"/>
            <w:vMerge/>
            <w:vAlign w:val="center"/>
          </w:tcPr>
          <w:p w:rsidR="00013EC7" w:rsidRDefault="00013EC7">
            <w:pPr>
              <w:spacing w:line="300" w:lineRule="exact"/>
              <w:rPr>
                <w:rFonts w:ascii="仿宋" w:eastAsia="仿宋" w:hAnsi="仿宋" w:cs="宋体"/>
                <w:color w:val="000000" w:themeColor="text1"/>
                <w:kern w:val="1"/>
                <w:sz w:val="24"/>
              </w:rPr>
            </w:pPr>
          </w:p>
        </w:tc>
        <w:tc>
          <w:tcPr>
            <w:tcW w:w="850" w:type="dxa"/>
            <w:vMerge/>
            <w:vAlign w:val="center"/>
          </w:tcPr>
          <w:p w:rsidR="00013EC7" w:rsidRDefault="00013EC7">
            <w:pPr>
              <w:rPr>
                <w:rFonts w:ascii="仿宋" w:eastAsia="仿宋" w:hAnsi="仿宋"/>
                <w:color w:val="000000" w:themeColor="text1"/>
                <w:sz w:val="24"/>
              </w:rPr>
            </w:pPr>
          </w:p>
        </w:tc>
        <w:tc>
          <w:tcPr>
            <w:tcW w:w="851" w:type="dxa"/>
            <w:vMerge/>
            <w:vAlign w:val="center"/>
          </w:tcPr>
          <w:p w:rsidR="00013EC7" w:rsidRDefault="00013EC7">
            <w:pPr>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709" w:type="dxa"/>
            <w:vMerge/>
            <w:vAlign w:val="center"/>
          </w:tcPr>
          <w:p w:rsidR="00013EC7" w:rsidRDefault="00013EC7">
            <w:pPr>
              <w:rPr>
                <w:rFonts w:ascii="仿宋" w:eastAsia="仿宋" w:hAnsi="仿宋"/>
                <w:color w:val="000000" w:themeColor="text1"/>
                <w:sz w:val="24"/>
              </w:rPr>
            </w:pPr>
          </w:p>
        </w:tc>
        <w:tc>
          <w:tcPr>
            <w:tcW w:w="1133" w:type="dxa"/>
            <w:vMerge/>
            <w:vAlign w:val="center"/>
          </w:tcPr>
          <w:p w:rsidR="00013EC7" w:rsidRDefault="00013EC7">
            <w:pPr>
              <w:rPr>
                <w:rFonts w:ascii="仿宋" w:eastAsia="仿宋" w:hAnsi="仿宋"/>
                <w:color w:val="000000" w:themeColor="text1"/>
                <w:sz w:val="24"/>
              </w:rPr>
            </w:pPr>
          </w:p>
        </w:tc>
      </w:tr>
      <w:tr w:rsidR="00013EC7">
        <w:trPr>
          <w:trHeight w:val="100"/>
          <w:jc w:val="center"/>
        </w:trPr>
        <w:tc>
          <w:tcPr>
            <w:tcW w:w="672" w:type="dxa"/>
            <w:vMerge/>
            <w:textDirection w:val="tbRlV"/>
            <w:vAlign w:val="center"/>
          </w:tcPr>
          <w:p w:rsidR="00013EC7" w:rsidRDefault="00013EC7">
            <w:pPr>
              <w:rPr>
                <w:rFonts w:ascii="仿宋" w:eastAsia="仿宋" w:hAnsi="仿宋"/>
                <w:color w:val="000000" w:themeColor="text1"/>
                <w:sz w:val="24"/>
              </w:rPr>
            </w:pPr>
          </w:p>
        </w:tc>
        <w:tc>
          <w:tcPr>
            <w:tcW w:w="1035" w:type="dxa"/>
            <w:vMerge/>
            <w:vAlign w:val="center"/>
          </w:tcPr>
          <w:p w:rsidR="00013EC7" w:rsidRDefault="00013EC7">
            <w:pPr>
              <w:rPr>
                <w:rFonts w:ascii="仿宋" w:eastAsia="仿宋" w:hAnsi="仿宋"/>
                <w:color w:val="000000" w:themeColor="text1"/>
                <w:sz w:val="24"/>
              </w:rPr>
            </w:pPr>
          </w:p>
        </w:tc>
        <w:tc>
          <w:tcPr>
            <w:tcW w:w="1271" w:type="dxa"/>
            <w:vMerge/>
            <w:vAlign w:val="center"/>
          </w:tcPr>
          <w:p w:rsidR="00013EC7" w:rsidRDefault="00013EC7">
            <w:pPr>
              <w:rPr>
                <w:rFonts w:ascii="仿宋" w:eastAsia="仿宋" w:hAnsi="仿宋"/>
                <w:color w:val="000000" w:themeColor="text1"/>
                <w:sz w:val="24"/>
              </w:rPr>
            </w:pPr>
          </w:p>
        </w:tc>
        <w:tc>
          <w:tcPr>
            <w:tcW w:w="4394" w:type="dxa"/>
            <w:vAlign w:val="center"/>
          </w:tcPr>
          <w:p w:rsidR="00013EC7" w:rsidRDefault="00575CDB">
            <w:pPr>
              <w:spacing w:line="300" w:lineRule="exact"/>
              <w:rPr>
                <w:rFonts w:ascii="仿宋" w:eastAsia="仿宋" w:hAnsi="仿宋"/>
                <w:color w:val="000000" w:themeColor="text1"/>
                <w:sz w:val="24"/>
                <w:highlight w:val="lightGray"/>
              </w:rPr>
            </w:pPr>
            <w:r>
              <w:rPr>
                <w:rFonts w:ascii="仿宋" w:eastAsia="仿宋" w:hAnsi="仿宋" w:hint="eastAsia"/>
                <w:color w:val="000000" w:themeColor="text1"/>
                <w:sz w:val="24"/>
                <w:highlight w:val="lightGray"/>
              </w:rPr>
              <w:t>（十九）间接抵免税额或者饶让抵免税额的计算过程。</w:t>
            </w:r>
          </w:p>
        </w:tc>
        <w:tc>
          <w:tcPr>
            <w:tcW w:w="851" w:type="dxa"/>
            <w:vMerge/>
            <w:vAlign w:val="center"/>
          </w:tcPr>
          <w:p w:rsidR="00013EC7" w:rsidRDefault="00013EC7">
            <w:pPr>
              <w:spacing w:line="300" w:lineRule="exact"/>
              <w:jc w:val="left"/>
              <w:rPr>
                <w:rFonts w:ascii="仿宋" w:eastAsia="仿宋" w:hAnsi="仿宋"/>
                <w:color w:val="000000" w:themeColor="text1"/>
                <w:sz w:val="24"/>
              </w:rPr>
            </w:pPr>
          </w:p>
        </w:tc>
        <w:tc>
          <w:tcPr>
            <w:tcW w:w="4252" w:type="dxa"/>
            <w:vAlign w:val="center"/>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（十八）间接抵免税额或者饶让抵免税额的计算过程（留存备查）。</w:t>
            </w:r>
          </w:p>
        </w:tc>
        <w:tc>
          <w:tcPr>
            <w:tcW w:w="851" w:type="dxa"/>
            <w:vMerge/>
            <w:vAlign w:val="center"/>
          </w:tcPr>
          <w:p w:rsidR="00013EC7" w:rsidRDefault="00013EC7">
            <w:pPr>
              <w:spacing w:line="300" w:lineRule="exact"/>
              <w:jc w:val="left"/>
              <w:rPr>
                <w:rFonts w:ascii="仿宋" w:eastAsia="仿宋" w:hAnsi="仿宋"/>
                <w:color w:val="000000" w:themeColor="text1"/>
                <w:sz w:val="24"/>
              </w:rPr>
            </w:pPr>
          </w:p>
        </w:tc>
        <w:tc>
          <w:tcPr>
            <w:tcW w:w="2126" w:type="dxa"/>
            <w:vMerge/>
            <w:vAlign w:val="center"/>
          </w:tcPr>
          <w:p w:rsidR="00013EC7" w:rsidRDefault="00013EC7">
            <w:pPr>
              <w:spacing w:line="300" w:lineRule="exact"/>
              <w:rPr>
                <w:rFonts w:ascii="仿宋" w:eastAsia="仿宋" w:hAnsi="仿宋" w:cs="宋体"/>
                <w:color w:val="000000" w:themeColor="text1"/>
                <w:kern w:val="1"/>
                <w:sz w:val="24"/>
              </w:rPr>
            </w:pPr>
          </w:p>
        </w:tc>
        <w:tc>
          <w:tcPr>
            <w:tcW w:w="850" w:type="dxa"/>
            <w:vMerge/>
            <w:vAlign w:val="center"/>
          </w:tcPr>
          <w:p w:rsidR="00013EC7" w:rsidRDefault="00013EC7">
            <w:pPr>
              <w:rPr>
                <w:rFonts w:ascii="仿宋" w:eastAsia="仿宋" w:hAnsi="仿宋"/>
                <w:color w:val="000000" w:themeColor="text1"/>
                <w:sz w:val="24"/>
              </w:rPr>
            </w:pPr>
          </w:p>
        </w:tc>
        <w:tc>
          <w:tcPr>
            <w:tcW w:w="851" w:type="dxa"/>
            <w:vMerge/>
            <w:vAlign w:val="center"/>
          </w:tcPr>
          <w:p w:rsidR="00013EC7" w:rsidRDefault="00013EC7">
            <w:pPr>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709" w:type="dxa"/>
            <w:vMerge/>
            <w:vAlign w:val="center"/>
          </w:tcPr>
          <w:p w:rsidR="00013EC7" w:rsidRDefault="00013EC7">
            <w:pPr>
              <w:rPr>
                <w:rFonts w:ascii="仿宋" w:eastAsia="仿宋" w:hAnsi="仿宋"/>
                <w:color w:val="000000" w:themeColor="text1"/>
                <w:sz w:val="24"/>
              </w:rPr>
            </w:pPr>
          </w:p>
        </w:tc>
        <w:tc>
          <w:tcPr>
            <w:tcW w:w="1133" w:type="dxa"/>
            <w:vMerge/>
            <w:vAlign w:val="center"/>
          </w:tcPr>
          <w:p w:rsidR="00013EC7" w:rsidRDefault="00013EC7">
            <w:pPr>
              <w:rPr>
                <w:rFonts w:ascii="仿宋" w:eastAsia="仿宋" w:hAnsi="仿宋"/>
                <w:color w:val="000000" w:themeColor="text1"/>
                <w:sz w:val="24"/>
              </w:rPr>
            </w:pPr>
          </w:p>
        </w:tc>
      </w:tr>
      <w:tr w:rsidR="00013EC7">
        <w:trPr>
          <w:trHeight w:val="436"/>
          <w:jc w:val="center"/>
        </w:trPr>
        <w:tc>
          <w:tcPr>
            <w:tcW w:w="672" w:type="dxa"/>
            <w:vMerge/>
            <w:textDirection w:val="tbRlV"/>
            <w:vAlign w:val="center"/>
          </w:tcPr>
          <w:p w:rsidR="00013EC7" w:rsidRDefault="00013EC7">
            <w:pPr>
              <w:rPr>
                <w:rFonts w:ascii="仿宋" w:eastAsia="仿宋" w:hAnsi="仿宋"/>
                <w:color w:val="000000" w:themeColor="text1"/>
                <w:sz w:val="24"/>
              </w:rPr>
            </w:pPr>
          </w:p>
        </w:tc>
        <w:tc>
          <w:tcPr>
            <w:tcW w:w="1035" w:type="dxa"/>
            <w:vMerge/>
            <w:vAlign w:val="center"/>
          </w:tcPr>
          <w:p w:rsidR="00013EC7" w:rsidRDefault="00013EC7">
            <w:pPr>
              <w:rPr>
                <w:rFonts w:ascii="仿宋" w:eastAsia="仿宋" w:hAnsi="仿宋"/>
                <w:color w:val="000000" w:themeColor="text1"/>
                <w:sz w:val="24"/>
              </w:rPr>
            </w:pPr>
          </w:p>
        </w:tc>
        <w:tc>
          <w:tcPr>
            <w:tcW w:w="1271" w:type="dxa"/>
            <w:vMerge/>
            <w:vAlign w:val="center"/>
          </w:tcPr>
          <w:p w:rsidR="00013EC7" w:rsidRDefault="00013EC7">
            <w:pPr>
              <w:rPr>
                <w:rFonts w:ascii="仿宋" w:eastAsia="仿宋" w:hAnsi="仿宋"/>
                <w:color w:val="000000" w:themeColor="text1"/>
                <w:sz w:val="24"/>
              </w:rPr>
            </w:pPr>
          </w:p>
        </w:tc>
        <w:tc>
          <w:tcPr>
            <w:tcW w:w="4394" w:type="dxa"/>
            <w:vAlign w:val="center"/>
          </w:tcPr>
          <w:p w:rsidR="00013EC7" w:rsidRDefault="00575CDB">
            <w:pPr>
              <w:spacing w:line="300" w:lineRule="exact"/>
              <w:rPr>
                <w:rFonts w:ascii="仿宋" w:eastAsia="仿宋" w:hAnsi="仿宋"/>
                <w:color w:val="000000" w:themeColor="text1"/>
                <w:sz w:val="24"/>
                <w:highlight w:val="lightGray"/>
              </w:rPr>
            </w:pPr>
            <w:r>
              <w:rPr>
                <w:rFonts w:ascii="仿宋" w:eastAsia="仿宋" w:hAnsi="仿宋" w:hint="eastAsia"/>
                <w:color w:val="000000" w:themeColor="text1"/>
                <w:sz w:val="24"/>
                <w:highlight w:val="lightGray"/>
              </w:rPr>
              <w:t>（二十）由本企业直接或间接控制的外国企业的财务会计资料。</w:t>
            </w:r>
          </w:p>
        </w:tc>
        <w:tc>
          <w:tcPr>
            <w:tcW w:w="851" w:type="dxa"/>
            <w:vMerge/>
            <w:vAlign w:val="center"/>
          </w:tcPr>
          <w:p w:rsidR="00013EC7" w:rsidRDefault="00013EC7">
            <w:pPr>
              <w:spacing w:line="300" w:lineRule="exact"/>
              <w:jc w:val="left"/>
              <w:rPr>
                <w:rFonts w:ascii="仿宋" w:eastAsia="仿宋" w:hAnsi="仿宋"/>
                <w:color w:val="000000" w:themeColor="text1"/>
                <w:sz w:val="24"/>
              </w:rPr>
            </w:pPr>
          </w:p>
        </w:tc>
        <w:tc>
          <w:tcPr>
            <w:tcW w:w="4252" w:type="dxa"/>
            <w:vAlign w:val="center"/>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（十九）由本企业直接或间接控制的外国企业的财务会计资料（留存备查）。</w:t>
            </w:r>
          </w:p>
        </w:tc>
        <w:tc>
          <w:tcPr>
            <w:tcW w:w="851" w:type="dxa"/>
            <w:vMerge/>
            <w:vAlign w:val="center"/>
          </w:tcPr>
          <w:p w:rsidR="00013EC7" w:rsidRDefault="00013EC7">
            <w:pPr>
              <w:spacing w:line="300" w:lineRule="exact"/>
              <w:jc w:val="left"/>
              <w:rPr>
                <w:rFonts w:ascii="仿宋" w:eastAsia="仿宋" w:hAnsi="仿宋"/>
                <w:color w:val="000000" w:themeColor="text1"/>
                <w:sz w:val="24"/>
              </w:rPr>
            </w:pPr>
          </w:p>
        </w:tc>
        <w:tc>
          <w:tcPr>
            <w:tcW w:w="2126" w:type="dxa"/>
            <w:vMerge/>
            <w:vAlign w:val="center"/>
          </w:tcPr>
          <w:p w:rsidR="00013EC7" w:rsidRDefault="00013EC7">
            <w:pPr>
              <w:spacing w:line="300" w:lineRule="exact"/>
              <w:rPr>
                <w:rFonts w:ascii="仿宋" w:eastAsia="仿宋" w:hAnsi="仿宋" w:cs="宋体"/>
                <w:color w:val="000000" w:themeColor="text1"/>
                <w:kern w:val="1"/>
                <w:sz w:val="24"/>
              </w:rPr>
            </w:pPr>
          </w:p>
        </w:tc>
        <w:tc>
          <w:tcPr>
            <w:tcW w:w="850" w:type="dxa"/>
            <w:vMerge/>
            <w:vAlign w:val="center"/>
          </w:tcPr>
          <w:p w:rsidR="00013EC7" w:rsidRDefault="00013EC7">
            <w:pPr>
              <w:rPr>
                <w:rFonts w:ascii="仿宋" w:eastAsia="仿宋" w:hAnsi="仿宋"/>
                <w:color w:val="000000" w:themeColor="text1"/>
                <w:sz w:val="24"/>
              </w:rPr>
            </w:pPr>
          </w:p>
        </w:tc>
        <w:tc>
          <w:tcPr>
            <w:tcW w:w="851" w:type="dxa"/>
            <w:vMerge/>
            <w:vAlign w:val="center"/>
          </w:tcPr>
          <w:p w:rsidR="00013EC7" w:rsidRDefault="00013EC7">
            <w:pPr>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709" w:type="dxa"/>
            <w:vMerge/>
            <w:vAlign w:val="center"/>
          </w:tcPr>
          <w:p w:rsidR="00013EC7" w:rsidRDefault="00013EC7">
            <w:pPr>
              <w:rPr>
                <w:rFonts w:ascii="仿宋" w:eastAsia="仿宋" w:hAnsi="仿宋"/>
                <w:color w:val="000000" w:themeColor="text1"/>
                <w:sz w:val="24"/>
              </w:rPr>
            </w:pPr>
          </w:p>
        </w:tc>
        <w:tc>
          <w:tcPr>
            <w:tcW w:w="1133" w:type="dxa"/>
            <w:vMerge/>
            <w:vAlign w:val="center"/>
          </w:tcPr>
          <w:p w:rsidR="00013EC7" w:rsidRDefault="00013EC7">
            <w:pPr>
              <w:rPr>
                <w:rFonts w:ascii="仿宋" w:eastAsia="仿宋" w:hAnsi="仿宋"/>
                <w:color w:val="000000" w:themeColor="text1"/>
                <w:sz w:val="24"/>
              </w:rPr>
            </w:pPr>
          </w:p>
        </w:tc>
      </w:tr>
      <w:tr w:rsidR="00013EC7">
        <w:trPr>
          <w:trHeight w:val="433"/>
          <w:jc w:val="center"/>
        </w:trPr>
        <w:tc>
          <w:tcPr>
            <w:tcW w:w="672" w:type="dxa"/>
            <w:vMerge/>
            <w:textDirection w:val="tbRlV"/>
            <w:vAlign w:val="center"/>
          </w:tcPr>
          <w:p w:rsidR="00013EC7" w:rsidRDefault="00013EC7">
            <w:pPr>
              <w:rPr>
                <w:rFonts w:ascii="仿宋" w:eastAsia="仿宋" w:hAnsi="仿宋"/>
                <w:color w:val="000000" w:themeColor="text1"/>
                <w:sz w:val="24"/>
              </w:rPr>
            </w:pPr>
          </w:p>
        </w:tc>
        <w:tc>
          <w:tcPr>
            <w:tcW w:w="1035" w:type="dxa"/>
            <w:vMerge/>
            <w:vAlign w:val="center"/>
          </w:tcPr>
          <w:p w:rsidR="00013EC7" w:rsidRDefault="00013EC7">
            <w:pPr>
              <w:rPr>
                <w:rFonts w:ascii="仿宋" w:eastAsia="仿宋" w:hAnsi="仿宋"/>
                <w:color w:val="000000" w:themeColor="text1"/>
                <w:sz w:val="24"/>
              </w:rPr>
            </w:pPr>
          </w:p>
        </w:tc>
        <w:tc>
          <w:tcPr>
            <w:tcW w:w="1271" w:type="dxa"/>
            <w:vMerge/>
            <w:vAlign w:val="center"/>
          </w:tcPr>
          <w:p w:rsidR="00013EC7" w:rsidRDefault="00013EC7">
            <w:pPr>
              <w:rPr>
                <w:rFonts w:ascii="仿宋" w:eastAsia="仿宋" w:hAnsi="仿宋"/>
                <w:color w:val="000000" w:themeColor="text1"/>
                <w:sz w:val="24"/>
              </w:rPr>
            </w:pPr>
          </w:p>
        </w:tc>
        <w:tc>
          <w:tcPr>
            <w:tcW w:w="4394" w:type="dxa"/>
            <w:vAlign w:val="center"/>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（十一）与境外所得相关的完税证明或纳税凭证（原件或复印件）。</w:t>
            </w:r>
          </w:p>
        </w:tc>
        <w:tc>
          <w:tcPr>
            <w:tcW w:w="851" w:type="dxa"/>
            <w:vMerge w:val="restart"/>
            <w:vAlign w:val="center"/>
          </w:tcPr>
          <w:p w:rsidR="00013EC7" w:rsidRDefault="00575CDB">
            <w:pPr>
              <w:spacing w:line="300" w:lineRule="exact"/>
              <w:jc w:val="left"/>
              <w:rPr>
                <w:rFonts w:ascii="仿宋" w:eastAsia="仿宋" w:hAnsi="仿宋"/>
                <w:color w:val="000000" w:themeColor="text1"/>
                <w:sz w:val="24"/>
              </w:rPr>
            </w:pPr>
            <w:r>
              <w:rPr>
                <w:rFonts w:ascii="仿宋" w:eastAsia="仿宋" w:hAnsi="仿宋" w:hint="eastAsia"/>
                <w:color w:val="000000" w:themeColor="text1"/>
                <w:sz w:val="24"/>
              </w:rPr>
              <w:t>采用简易办法计算抵免限额的企业提交</w:t>
            </w:r>
          </w:p>
        </w:tc>
        <w:tc>
          <w:tcPr>
            <w:tcW w:w="4252" w:type="dxa"/>
            <w:vAlign w:val="center"/>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（十）与境外所得相关的完税证明或纳税凭证（原件或复印件）。</w:t>
            </w:r>
          </w:p>
        </w:tc>
        <w:tc>
          <w:tcPr>
            <w:tcW w:w="851" w:type="dxa"/>
            <w:vMerge w:val="restart"/>
            <w:vAlign w:val="center"/>
          </w:tcPr>
          <w:p w:rsidR="00013EC7" w:rsidRDefault="00575CDB">
            <w:pPr>
              <w:spacing w:line="300" w:lineRule="exact"/>
              <w:jc w:val="left"/>
              <w:rPr>
                <w:rFonts w:ascii="仿宋" w:eastAsia="仿宋" w:hAnsi="仿宋"/>
                <w:color w:val="000000" w:themeColor="text1"/>
                <w:sz w:val="24"/>
              </w:rPr>
            </w:pPr>
            <w:r>
              <w:rPr>
                <w:rFonts w:ascii="仿宋" w:eastAsia="仿宋" w:hAnsi="仿宋" w:hint="eastAsia"/>
                <w:color w:val="000000" w:themeColor="text1"/>
                <w:sz w:val="24"/>
              </w:rPr>
              <w:t>采用简易办法计算抵免限额的企业提交</w:t>
            </w:r>
          </w:p>
        </w:tc>
        <w:tc>
          <w:tcPr>
            <w:tcW w:w="2126" w:type="dxa"/>
            <w:vMerge/>
            <w:vAlign w:val="center"/>
          </w:tcPr>
          <w:p w:rsidR="00013EC7" w:rsidRDefault="00013EC7">
            <w:pPr>
              <w:spacing w:line="300" w:lineRule="exact"/>
              <w:rPr>
                <w:rFonts w:ascii="仿宋" w:eastAsia="仿宋" w:hAnsi="仿宋" w:cs="宋体"/>
                <w:color w:val="000000" w:themeColor="text1"/>
                <w:kern w:val="1"/>
                <w:sz w:val="24"/>
              </w:rPr>
            </w:pPr>
          </w:p>
        </w:tc>
        <w:tc>
          <w:tcPr>
            <w:tcW w:w="850" w:type="dxa"/>
            <w:vMerge/>
            <w:vAlign w:val="center"/>
          </w:tcPr>
          <w:p w:rsidR="00013EC7" w:rsidRDefault="00013EC7">
            <w:pPr>
              <w:rPr>
                <w:rFonts w:ascii="仿宋" w:eastAsia="仿宋" w:hAnsi="仿宋"/>
                <w:color w:val="000000" w:themeColor="text1"/>
                <w:sz w:val="24"/>
              </w:rPr>
            </w:pPr>
          </w:p>
        </w:tc>
        <w:tc>
          <w:tcPr>
            <w:tcW w:w="851" w:type="dxa"/>
            <w:vMerge/>
            <w:vAlign w:val="center"/>
          </w:tcPr>
          <w:p w:rsidR="00013EC7" w:rsidRDefault="00013EC7">
            <w:pPr>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709" w:type="dxa"/>
            <w:vMerge/>
            <w:vAlign w:val="center"/>
          </w:tcPr>
          <w:p w:rsidR="00013EC7" w:rsidRDefault="00013EC7">
            <w:pPr>
              <w:rPr>
                <w:rFonts w:ascii="仿宋" w:eastAsia="仿宋" w:hAnsi="仿宋"/>
                <w:color w:val="000000" w:themeColor="text1"/>
                <w:sz w:val="24"/>
              </w:rPr>
            </w:pPr>
          </w:p>
        </w:tc>
        <w:tc>
          <w:tcPr>
            <w:tcW w:w="1133" w:type="dxa"/>
            <w:vMerge/>
            <w:vAlign w:val="center"/>
          </w:tcPr>
          <w:p w:rsidR="00013EC7" w:rsidRDefault="00013EC7">
            <w:pPr>
              <w:rPr>
                <w:rFonts w:ascii="仿宋" w:eastAsia="仿宋" w:hAnsi="仿宋"/>
                <w:color w:val="000000" w:themeColor="text1"/>
                <w:sz w:val="24"/>
              </w:rPr>
            </w:pPr>
          </w:p>
        </w:tc>
      </w:tr>
      <w:tr w:rsidR="00013EC7">
        <w:trPr>
          <w:trHeight w:val="433"/>
          <w:jc w:val="center"/>
        </w:trPr>
        <w:tc>
          <w:tcPr>
            <w:tcW w:w="672" w:type="dxa"/>
            <w:vMerge/>
            <w:textDirection w:val="tbRlV"/>
            <w:vAlign w:val="center"/>
          </w:tcPr>
          <w:p w:rsidR="00013EC7" w:rsidRDefault="00013EC7">
            <w:pPr>
              <w:rPr>
                <w:rFonts w:ascii="仿宋" w:eastAsia="仿宋" w:hAnsi="仿宋"/>
                <w:color w:val="000000" w:themeColor="text1"/>
                <w:sz w:val="24"/>
              </w:rPr>
            </w:pPr>
          </w:p>
        </w:tc>
        <w:tc>
          <w:tcPr>
            <w:tcW w:w="1035" w:type="dxa"/>
            <w:vMerge/>
            <w:vAlign w:val="center"/>
          </w:tcPr>
          <w:p w:rsidR="00013EC7" w:rsidRDefault="00013EC7">
            <w:pPr>
              <w:rPr>
                <w:rFonts w:ascii="仿宋" w:eastAsia="仿宋" w:hAnsi="仿宋"/>
                <w:color w:val="000000" w:themeColor="text1"/>
                <w:sz w:val="24"/>
              </w:rPr>
            </w:pPr>
          </w:p>
        </w:tc>
        <w:tc>
          <w:tcPr>
            <w:tcW w:w="1271" w:type="dxa"/>
            <w:vMerge/>
            <w:vAlign w:val="center"/>
          </w:tcPr>
          <w:p w:rsidR="00013EC7" w:rsidRDefault="00013EC7">
            <w:pPr>
              <w:rPr>
                <w:rFonts w:ascii="仿宋" w:eastAsia="仿宋" w:hAnsi="仿宋"/>
                <w:color w:val="000000" w:themeColor="text1"/>
                <w:sz w:val="24"/>
              </w:rPr>
            </w:pPr>
          </w:p>
        </w:tc>
        <w:tc>
          <w:tcPr>
            <w:tcW w:w="4394" w:type="dxa"/>
            <w:vAlign w:val="center"/>
          </w:tcPr>
          <w:p w:rsidR="00013EC7" w:rsidRDefault="00575CDB">
            <w:pPr>
              <w:spacing w:line="300" w:lineRule="exact"/>
              <w:rPr>
                <w:rFonts w:ascii="仿宋" w:eastAsia="仿宋" w:hAnsi="仿宋"/>
                <w:color w:val="000000" w:themeColor="text1"/>
                <w:sz w:val="24"/>
                <w:highlight w:val="lightGray"/>
              </w:rPr>
            </w:pPr>
            <w:r>
              <w:rPr>
                <w:rFonts w:ascii="仿宋" w:eastAsia="仿宋" w:hAnsi="仿宋" w:hint="eastAsia"/>
                <w:color w:val="000000" w:themeColor="text1"/>
                <w:sz w:val="24"/>
                <w:highlight w:val="lightGray"/>
              </w:rPr>
              <w:t>（二十一）取得境外分支机构的营业利润所得需提供企业申请及有关情况说明</w:t>
            </w:r>
          </w:p>
        </w:tc>
        <w:tc>
          <w:tcPr>
            <w:tcW w:w="851" w:type="dxa"/>
            <w:vMerge/>
            <w:vAlign w:val="center"/>
          </w:tcPr>
          <w:p w:rsidR="00013EC7" w:rsidRDefault="00013EC7">
            <w:pPr>
              <w:spacing w:line="300" w:lineRule="exact"/>
              <w:jc w:val="left"/>
              <w:rPr>
                <w:rFonts w:ascii="仿宋" w:eastAsia="仿宋" w:hAnsi="仿宋"/>
                <w:color w:val="000000" w:themeColor="text1"/>
                <w:sz w:val="24"/>
              </w:rPr>
            </w:pPr>
          </w:p>
        </w:tc>
        <w:tc>
          <w:tcPr>
            <w:tcW w:w="4252" w:type="dxa"/>
            <w:vAlign w:val="center"/>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（二十）取得境外分支机构的营业利润所得需提供企业申请及有关情况说明（留存备查）。</w:t>
            </w:r>
          </w:p>
        </w:tc>
        <w:tc>
          <w:tcPr>
            <w:tcW w:w="851" w:type="dxa"/>
            <w:vMerge/>
            <w:vAlign w:val="center"/>
          </w:tcPr>
          <w:p w:rsidR="00013EC7" w:rsidRDefault="00013EC7">
            <w:pPr>
              <w:spacing w:line="300" w:lineRule="exact"/>
              <w:jc w:val="left"/>
              <w:rPr>
                <w:rFonts w:ascii="仿宋" w:eastAsia="仿宋" w:hAnsi="仿宋"/>
                <w:color w:val="000000" w:themeColor="text1"/>
                <w:sz w:val="24"/>
              </w:rPr>
            </w:pPr>
          </w:p>
        </w:tc>
        <w:tc>
          <w:tcPr>
            <w:tcW w:w="2126" w:type="dxa"/>
            <w:vMerge/>
            <w:vAlign w:val="center"/>
          </w:tcPr>
          <w:p w:rsidR="00013EC7" w:rsidRDefault="00013EC7">
            <w:pPr>
              <w:spacing w:line="300" w:lineRule="exact"/>
              <w:rPr>
                <w:rFonts w:ascii="仿宋" w:eastAsia="仿宋" w:hAnsi="仿宋" w:cs="宋体"/>
                <w:color w:val="000000" w:themeColor="text1"/>
                <w:kern w:val="1"/>
                <w:sz w:val="24"/>
              </w:rPr>
            </w:pPr>
          </w:p>
        </w:tc>
        <w:tc>
          <w:tcPr>
            <w:tcW w:w="850" w:type="dxa"/>
            <w:vMerge/>
            <w:vAlign w:val="center"/>
          </w:tcPr>
          <w:p w:rsidR="00013EC7" w:rsidRDefault="00013EC7">
            <w:pPr>
              <w:rPr>
                <w:rFonts w:ascii="仿宋" w:eastAsia="仿宋" w:hAnsi="仿宋"/>
                <w:color w:val="000000" w:themeColor="text1"/>
                <w:sz w:val="24"/>
              </w:rPr>
            </w:pPr>
          </w:p>
        </w:tc>
        <w:tc>
          <w:tcPr>
            <w:tcW w:w="851" w:type="dxa"/>
            <w:vMerge/>
            <w:vAlign w:val="center"/>
          </w:tcPr>
          <w:p w:rsidR="00013EC7" w:rsidRDefault="00013EC7">
            <w:pPr>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709" w:type="dxa"/>
            <w:vMerge/>
            <w:vAlign w:val="center"/>
          </w:tcPr>
          <w:p w:rsidR="00013EC7" w:rsidRDefault="00013EC7">
            <w:pPr>
              <w:rPr>
                <w:rFonts w:ascii="仿宋" w:eastAsia="仿宋" w:hAnsi="仿宋"/>
                <w:color w:val="000000" w:themeColor="text1"/>
                <w:sz w:val="24"/>
              </w:rPr>
            </w:pPr>
          </w:p>
        </w:tc>
        <w:tc>
          <w:tcPr>
            <w:tcW w:w="1133" w:type="dxa"/>
            <w:vMerge/>
            <w:vAlign w:val="center"/>
          </w:tcPr>
          <w:p w:rsidR="00013EC7" w:rsidRDefault="00013EC7">
            <w:pPr>
              <w:rPr>
                <w:rFonts w:ascii="仿宋" w:eastAsia="仿宋" w:hAnsi="仿宋"/>
                <w:color w:val="000000" w:themeColor="text1"/>
                <w:sz w:val="24"/>
              </w:rPr>
            </w:pPr>
          </w:p>
        </w:tc>
      </w:tr>
      <w:tr w:rsidR="00013EC7">
        <w:trPr>
          <w:trHeight w:val="433"/>
          <w:jc w:val="center"/>
        </w:trPr>
        <w:tc>
          <w:tcPr>
            <w:tcW w:w="672" w:type="dxa"/>
            <w:vMerge/>
            <w:textDirection w:val="tbRlV"/>
            <w:vAlign w:val="center"/>
          </w:tcPr>
          <w:p w:rsidR="00013EC7" w:rsidRDefault="00013EC7">
            <w:pPr>
              <w:rPr>
                <w:rFonts w:ascii="仿宋" w:eastAsia="仿宋" w:hAnsi="仿宋"/>
                <w:color w:val="000000" w:themeColor="text1"/>
                <w:sz w:val="24"/>
              </w:rPr>
            </w:pPr>
          </w:p>
        </w:tc>
        <w:tc>
          <w:tcPr>
            <w:tcW w:w="1035" w:type="dxa"/>
            <w:vMerge/>
            <w:vAlign w:val="center"/>
          </w:tcPr>
          <w:p w:rsidR="00013EC7" w:rsidRDefault="00013EC7">
            <w:pPr>
              <w:rPr>
                <w:rFonts w:ascii="仿宋" w:eastAsia="仿宋" w:hAnsi="仿宋"/>
                <w:color w:val="000000" w:themeColor="text1"/>
                <w:sz w:val="24"/>
              </w:rPr>
            </w:pPr>
          </w:p>
        </w:tc>
        <w:tc>
          <w:tcPr>
            <w:tcW w:w="1271" w:type="dxa"/>
            <w:vMerge/>
            <w:vAlign w:val="center"/>
          </w:tcPr>
          <w:p w:rsidR="00013EC7" w:rsidRDefault="00013EC7">
            <w:pPr>
              <w:rPr>
                <w:rFonts w:ascii="仿宋" w:eastAsia="仿宋" w:hAnsi="仿宋"/>
                <w:color w:val="000000" w:themeColor="text1"/>
                <w:sz w:val="24"/>
              </w:rPr>
            </w:pPr>
          </w:p>
        </w:tc>
        <w:tc>
          <w:tcPr>
            <w:tcW w:w="4394" w:type="dxa"/>
            <w:vAlign w:val="center"/>
          </w:tcPr>
          <w:p w:rsidR="00013EC7" w:rsidRDefault="00575CDB">
            <w:pPr>
              <w:spacing w:line="300" w:lineRule="exact"/>
              <w:rPr>
                <w:rFonts w:ascii="仿宋" w:eastAsia="仿宋" w:hAnsi="仿宋"/>
                <w:color w:val="000000" w:themeColor="text1"/>
                <w:sz w:val="24"/>
                <w:highlight w:val="lightGray"/>
              </w:rPr>
            </w:pPr>
            <w:r>
              <w:rPr>
                <w:rFonts w:ascii="仿宋" w:eastAsia="仿宋" w:hAnsi="仿宋" w:hint="eastAsia"/>
                <w:color w:val="000000" w:themeColor="text1"/>
                <w:sz w:val="24"/>
                <w:highlight w:val="lightGray"/>
              </w:rPr>
              <w:t>（二十二）来源国（地区）政府机关核发的具有纳税性质的凭证和证明复印件。</w:t>
            </w:r>
          </w:p>
        </w:tc>
        <w:tc>
          <w:tcPr>
            <w:tcW w:w="851" w:type="dxa"/>
            <w:vMerge/>
            <w:vAlign w:val="center"/>
          </w:tcPr>
          <w:p w:rsidR="00013EC7" w:rsidRDefault="00013EC7">
            <w:pPr>
              <w:spacing w:line="300" w:lineRule="exact"/>
              <w:jc w:val="left"/>
              <w:rPr>
                <w:rFonts w:ascii="仿宋" w:eastAsia="仿宋" w:hAnsi="仿宋"/>
                <w:color w:val="000000" w:themeColor="text1"/>
                <w:sz w:val="24"/>
              </w:rPr>
            </w:pPr>
          </w:p>
        </w:tc>
        <w:tc>
          <w:tcPr>
            <w:tcW w:w="4252" w:type="dxa"/>
            <w:vAlign w:val="center"/>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（二十一）来源国（地区）政府机关核发的具有纳税性质的凭证和证明复印件（留存备查）。</w:t>
            </w:r>
          </w:p>
        </w:tc>
        <w:tc>
          <w:tcPr>
            <w:tcW w:w="851" w:type="dxa"/>
            <w:vMerge/>
            <w:vAlign w:val="center"/>
          </w:tcPr>
          <w:p w:rsidR="00013EC7" w:rsidRDefault="00013EC7">
            <w:pPr>
              <w:spacing w:line="300" w:lineRule="exact"/>
              <w:jc w:val="left"/>
              <w:rPr>
                <w:rFonts w:ascii="仿宋" w:eastAsia="仿宋" w:hAnsi="仿宋"/>
                <w:color w:val="000000" w:themeColor="text1"/>
                <w:sz w:val="24"/>
              </w:rPr>
            </w:pPr>
          </w:p>
        </w:tc>
        <w:tc>
          <w:tcPr>
            <w:tcW w:w="2126" w:type="dxa"/>
            <w:vMerge/>
            <w:vAlign w:val="center"/>
          </w:tcPr>
          <w:p w:rsidR="00013EC7" w:rsidRDefault="00013EC7">
            <w:pPr>
              <w:spacing w:line="300" w:lineRule="exact"/>
              <w:rPr>
                <w:rFonts w:ascii="仿宋" w:eastAsia="仿宋" w:hAnsi="仿宋" w:cs="宋体"/>
                <w:color w:val="000000" w:themeColor="text1"/>
                <w:kern w:val="1"/>
                <w:sz w:val="24"/>
              </w:rPr>
            </w:pPr>
          </w:p>
        </w:tc>
        <w:tc>
          <w:tcPr>
            <w:tcW w:w="850" w:type="dxa"/>
            <w:vMerge/>
            <w:vAlign w:val="center"/>
          </w:tcPr>
          <w:p w:rsidR="00013EC7" w:rsidRDefault="00013EC7">
            <w:pPr>
              <w:rPr>
                <w:rFonts w:ascii="仿宋" w:eastAsia="仿宋" w:hAnsi="仿宋"/>
                <w:color w:val="000000" w:themeColor="text1"/>
                <w:sz w:val="24"/>
              </w:rPr>
            </w:pPr>
          </w:p>
        </w:tc>
        <w:tc>
          <w:tcPr>
            <w:tcW w:w="851" w:type="dxa"/>
            <w:vMerge/>
            <w:vAlign w:val="center"/>
          </w:tcPr>
          <w:p w:rsidR="00013EC7" w:rsidRDefault="00013EC7">
            <w:pPr>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709" w:type="dxa"/>
            <w:vMerge/>
            <w:vAlign w:val="center"/>
          </w:tcPr>
          <w:p w:rsidR="00013EC7" w:rsidRDefault="00013EC7">
            <w:pPr>
              <w:rPr>
                <w:rFonts w:ascii="仿宋" w:eastAsia="仿宋" w:hAnsi="仿宋"/>
                <w:color w:val="000000" w:themeColor="text1"/>
                <w:sz w:val="24"/>
              </w:rPr>
            </w:pPr>
          </w:p>
        </w:tc>
        <w:tc>
          <w:tcPr>
            <w:tcW w:w="1133" w:type="dxa"/>
            <w:vMerge/>
            <w:vAlign w:val="center"/>
          </w:tcPr>
          <w:p w:rsidR="00013EC7" w:rsidRDefault="00013EC7">
            <w:pPr>
              <w:rPr>
                <w:rFonts w:ascii="仿宋" w:eastAsia="仿宋" w:hAnsi="仿宋"/>
                <w:color w:val="000000" w:themeColor="text1"/>
                <w:sz w:val="24"/>
              </w:rPr>
            </w:pPr>
          </w:p>
        </w:tc>
      </w:tr>
      <w:tr w:rsidR="00013EC7">
        <w:trPr>
          <w:trHeight w:val="433"/>
          <w:jc w:val="center"/>
        </w:trPr>
        <w:tc>
          <w:tcPr>
            <w:tcW w:w="672" w:type="dxa"/>
            <w:vMerge/>
            <w:textDirection w:val="tbRlV"/>
            <w:vAlign w:val="center"/>
          </w:tcPr>
          <w:p w:rsidR="00013EC7" w:rsidRDefault="00013EC7">
            <w:pPr>
              <w:rPr>
                <w:rFonts w:ascii="仿宋" w:eastAsia="仿宋" w:hAnsi="仿宋"/>
                <w:color w:val="000000" w:themeColor="text1"/>
                <w:sz w:val="24"/>
              </w:rPr>
            </w:pPr>
          </w:p>
        </w:tc>
        <w:tc>
          <w:tcPr>
            <w:tcW w:w="1035" w:type="dxa"/>
            <w:vMerge/>
            <w:vAlign w:val="center"/>
          </w:tcPr>
          <w:p w:rsidR="00013EC7" w:rsidRDefault="00013EC7">
            <w:pPr>
              <w:rPr>
                <w:rFonts w:ascii="仿宋" w:eastAsia="仿宋" w:hAnsi="仿宋"/>
                <w:color w:val="000000" w:themeColor="text1"/>
                <w:sz w:val="24"/>
              </w:rPr>
            </w:pPr>
          </w:p>
        </w:tc>
        <w:tc>
          <w:tcPr>
            <w:tcW w:w="1271" w:type="dxa"/>
            <w:vMerge/>
            <w:vAlign w:val="center"/>
          </w:tcPr>
          <w:p w:rsidR="00013EC7" w:rsidRDefault="00013EC7">
            <w:pPr>
              <w:rPr>
                <w:rFonts w:ascii="仿宋" w:eastAsia="仿宋" w:hAnsi="仿宋"/>
                <w:color w:val="000000" w:themeColor="text1"/>
                <w:sz w:val="24"/>
              </w:rPr>
            </w:pPr>
          </w:p>
        </w:tc>
        <w:tc>
          <w:tcPr>
            <w:tcW w:w="4394" w:type="dxa"/>
            <w:vAlign w:val="center"/>
          </w:tcPr>
          <w:p w:rsidR="00013EC7" w:rsidRDefault="00575CDB">
            <w:pPr>
              <w:spacing w:line="300" w:lineRule="exact"/>
              <w:rPr>
                <w:rFonts w:ascii="仿宋" w:eastAsia="仿宋" w:hAnsi="仿宋"/>
                <w:color w:val="000000" w:themeColor="text1"/>
                <w:sz w:val="24"/>
                <w:highlight w:val="lightGray"/>
              </w:rPr>
            </w:pPr>
            <w:r>
              <w:rPr>
                <w:rFonts w:ascii="仿宋" w:eastAsia="仿宋" w:hAnsi="仿宋" w:hint="eastAsia"/>
                <w:color w:val="000000" w:themeColor="text1"/>
                <w:sz w:val="24"/>
                <w:highlight w:val="lightGray"/>
              </w:rPr>
              <w:t>（二十三）取得符合境外税额间接抵免条件的股息所得需提供企业申请及有关情况说明。</w:t>
            </w:r>
          </w:p>
        </w:tc>
        <w:tc>
          <w:tcPr>
            <w:tcW w:w="851" w:type="dxa"/>
            <w:vMerge/>
            <w:vAlign w:val="center"/>
          </w:tcPr>
          <w:p w:rsidR="00013EC7" w:rsidRDefault="00013EC7">
            <w:pPr>
              <w:spacing w:line="300" w:lineRule="exact"/>
              <w:jc w:val="left"/>
              <w:rPr>
                <w:rFonts w:ascii="仿宋" w:eastAsia="仿宋" w:hAnsi="仿宋"/>
                <w:color w:val="000000" w:themeColor="text1"/>
                <w:sz w:val="24"/>
              </w:rPr>
            </w:pPr>
          </w:p>
        </w:tc>
        <w:tc>
          <w:tcPr>
            <w:tcW w:w="4252" w:type="dxa"/>
            <w:vAlign w:val="center"/>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（二十二）取得符合境外税额间接抵免条件的股息所得需提供企业申请及有关情况说明（留存备查）。</w:t>
            </w:r>
          </w:p>
        </w:tc>
        <w:tc>
          <w:tcPr>
            <w:tcW w:w="851" w:type="dxa"/>
            <w:vMerge/>
            <w:vAlign w:val="center"/>
          </w:tcPr>
          <w:p w:rsidR="00013EC7" w:rsidRDefault="00013EC7">
            <w:pPr>
              <w:spacing w:line="300" w:lineRule="exact"/>
              <w:jc w:val="left"/>
              <w:rPr>
                <w:rFonts w:ascii="仿宋" w:eastAsia="仿宋" w:hAnsi="仿宋"/>
                <w:color w:val="000000" w:themeColor="text1"/>
                <w:sz w:val="24"/>
              </w:rPr>
            </w:pPr>
          </w:p>
        </w:tc>
        <w:tc>
          <w:tcPr>
            <w:tcW w:w="2126" w:type="dxa"/>
            <w:vMerge/>
            <w:vAlign w:val="center"/>
          </w:tcPr>
          <w:p w:rsidR="00013EC7" w:rsidRDefault="00013EC7">
            <w:pPr>
              <w:spacing w:line="300" w:lineRule="exact"/>
              <w:rPr>
                <w:rFonts w:ascii="仿宋" w:eastAsia="仿宋" w:hAnsi="仿宋" w:cs="宋体"/>
                <w:color w:val="000000" w:themeColor="text1"/>
                <w:kern w:val="1"/>
                <w:sz w:val="24"/>
              </w:rPr>
            </w:pPr>
          </w:p>
        </w:tc>
        <w:tc>
          <w:tcPr>
            <w:tcW w:w="850" w:type="dxa"/>
            <w:vMerge/>
            <w:vAlign w:val="center"/>
          </w:tcPr>
          <w:p w:rsidR="00013EC7" w:rsidRDefault="00013EC7">
            <w:pPr>
              <w:rPr>
                <w:rFonts w:ascii="仿宋" w:eastAsia="仿宋" w:hAnsi="仿宋"/>
                <w:color w:val="000000" w:themeColor="text1"/>
                <w:sz w:val="24"/>
              </w:rPr>
            </w:pPr>
          </w:p>
        </w:tc>
        <w:tc>
          <w:tcPr>
            <w:tcW w:w="851" w:type="dxa"/>
            <w:vMerge/>
            <w:vAlign w:val="center"/>
          </w:tcPr>
          <w:p w:rsidR="00013EC7" w:rsidRDefault="00013EC7">
            <w:pPr>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709" w:type="dxa"/>
            <w:vMerge/>
            <w:vAlign w:val="center"/>
          </w:tcPr>
          <w:p w:rsidR="00013EC7" w:rsidRDefault="00013EC7">
            <w:pPr>
              <w:rPr>
                <w:rFonts w:ascii="仿宋" w:eastAsia="仿宋" w:hAnsi="仿宋"/>
                <w:color w:val="000000" w:themeColor="text1"/>
                <w:sz w:val="24"/>
              </w:rPr>
            </w:pPr>
          </w:p>
        </w:tc>
        <w:tc>
          <w:tcPr>
            <w:tcW w:w="1133" w:type="dxa"/>
            <w:vMerge/>
            <w:vAlign w:val="center"/>
          </w:tcPr>
          <w:p w:rsidR="00013EC7" w:rsidRDefault="00013EC7">
            <w:pPr>
              <w:rPr>
                <w:rFonts w:ascii="仿宋" w:eastAsia="仿宋" w:hAnsi="仿宋"/>
                <w:color w:val="000000" w:themeColor="text1"/>
                <w:sz w:val="24"/>
              </w:rPr>
            </w:pPr>
          </w:p>
        </w:tc>
      </w:tr>
      <w:tr w:rsidR="00013EC7">
        <w:trPr>
          <w:trHeight w:val="1940"/>
          <w:jc w:val="center"/>
        </w:trPr>
        <w:tc>
          <w:tcPr>
            <w:tcW w:w="672" w:type="dxa"/>
            <w:vMerge/>
            <w:textDirection w:val="tbRlV"/>
            <w:vAlign w:val="center"/>
          </w:tcPr>
          <w:p w:rsidR="00013EC7" w:rsidRDefault="00013EC7">
            <w:pPr>
              <w:rPr>
                <w:rFonts w:ascii="仿宋" w:eastAsia="仿宋" w:hAnsi="仿宋"/>
                <w:color w:val="000000" w:themeColor="text1"/>
                <w:sz w:val="24"/>
              </w:rPr>
            </w:pPr>
          </w:p>
        </w:tc>
        <w:tc>
          <w:tcPr>
            <w:tcW w:w="1035" w:type="dxa"/>
            <w:vMerge/>
            <w:vAlign w:val="center"/>
          </w:tcPr>
          <w:p w:rsidR="00013EC7" w:rsidRDefault="00013EC7">
            <w:pPr>
              <w:rPr>
                <w:rFonts w:ascii="仿宋" w:eastAsia="仿宋" w:hAnsi="仿宋"/>
                <w:color w:val="000000" w:themeColor="text1"/>
                <w:sz w:val="24"/>
              </w:rPr>
            </w:pPr>
          </w:p>
        </w:tc>
        <w:tc>
          <w:tcPr>
            <w:tcW w:w="1271" w:type="dxa"/>
            <w:vMerge/>
            <w:vAlign w:val="center"/>
          </w:tcPr>
          <w:p w:rsidR="00013EC7" w:rsidRDefault="00013EC7">
            <w:pPr>
              <w:rPr>
                <w:rFonts w:ascii="仿宋" w:eastAsia="仿宋" w:hAnsi="仿宋"/>
                <w:color w:val="000000" w:themeColor="text1"/>
                <w:sz w:val="24"/>
              </w:rPr>
            </w:pPr>
          </w:p>
        </w:tc>
        <w:tc>
          <w:tcPr>
            <w:tcW w:w="4394" w:type="dxa"/>
            <w:tcBorders>
              <w:bottom w:val="single" w:sz="4" w:space="0" w:color="auto"/>
            </w:tcBorders>
            <w:vAlign w:val="center"/>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（二十四）符合企业所得税法第二十四条条件的有关股权证明的文件或凭证复印件。</w:t>
            </w:r>
          </w:p>
        </w:tc>
        <w:tc>
          <w:tcPr>
            <w:tcW w:w="851" w:type="dxa"/>
            <w:vMerge/>
            <w:tcBorders>
              <w:bottom w:val="single" w:sz="4" w:space="0" w:color="auto"/>
            </w:tcBorders>
            <w:vAlign w:val="center"/>
          </w:tcPr>
          <w:p w:rsidR="00013EC7" w:rsidRDefault="00013EC7">
            <w:pPr>
              <w:spacing w:line="300" w:lineRule="exact"/>
              <w:jc w:val="left"/>
              <w:rPr>
                <w:rFonts w:ascii="仿宋" w:eastAsia="仿宋" w:hAnsi="仿宋"/>
                <w:color w:val="000000" w:themeColor="text1"/>
                <w:sz w:val="24"/>
              </w:rPr>
            </w:pPr>
          </w:p>
        </w:tc>
        <w:tc>
          <w:tcPr>
            <w:tcW w:w="4252" w:type="dxa"/>
            <w:tcBorders>
              <w:bottom w:val="single" w:sz="4" w:space="0" w:color="auto"/>
            </w:tcBorders>
            <w:vAlign w:val="center"/>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（二十三）符合企业所得税法第二十四条条件的有关股权证明的文件或凭证复印件（复印件注明与原件一致并加盖公章）。</w:t>
            </w:r>
          </w:p>
        </w:tc>
        <w:tc>
          <w:tcPr>
            <w:tcW w:w="851" w:type="dxa"/>
            <w:vMerge/>
            <w:tcBorders>
              <w:bottom w:val="single" w:sz="4" w:space="0" w:color="auto"/>
            </w:tcBorders>
            <w:vAlign w:val="center"/>
          </w:tcPr>
          <w:p w:rsidR="00013EC7" w:rsidRDefault="00013EC7">
            <w:pPr>
              <w:spacing w:line="300" w:lineRule="exact"/>
              <w:jc w:val="left"/>
              <w:rPr>
                <w:rFonts w:ascii="仿宋" w:eastAsia="仿宋" w:hAnsi="仿宋"/>
                <w:color w:val="000000" w:themeColor="text1"/>
                <w:sz w:val="24"/>
              </w:rPr>
            </w:pPr>
          </w:p>
        </w:tc>
        <w:tc>
          <w:tcPr>
            <w:tcW w:w="2126" w:type="dxa"/>
            <w:vMerge/>
            <w:vAlign w:val="center"/>
          </w:tcPr>
          <w:p w:rsidR="00013EC7" w:rsidRDefault="00013EC7">
            <w:pPr>
              <w:spacing w:line="300" w:lineRule="exact"/>
              <w:rPr>
                <w:rFonts w:ascii="仿宋" w:eastAsia="仿宋" w:hAnsi="仿宋" w:cs="宋体"/>
                <w:color w:val="000000" w:themeColor="text1"/>
                <w:kern w:val="1"/>
                <w:sz w:val="24"/>
              </w:rPr>
            </w:pPr>
          </w:p>
        </w:tc>
        <w:tc>
          <w:tcPr>
            <w:tcW w:w="850" w:type="dxa"/>
            <w:vMerge/>
            <w:vAlign w:val="center"/>
          </w:tcPr>
          <w:p w:rsidR="00013EC7" w:rsidRDefault="00013EC7">
            <w:pPr>
              <w:rPr>
                <w:rFonts w:ascii="仿宋" w:eastAsia="仿宋" w:hAnsi="仿宋"/>
                <w:color w:val="000000" w:themeColor="text1"/>
                <w:sz w:val="24"/>
              </w:rPr>
            </w:pPr>
          </w:p>
        </w:tc>
        <w:tc>
          <w:tcPr>
            <w:tcW w:w="851" w:type="dxa"/>
            <w:vMerge/>
            <w:vAlign w:val="center"/>
          </w:tcPr>
          <w:p w:rsidR="00013EC7" w:rsidRDefault="00013EC7">
            <w:pPr>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709" w:type="dxa"/>
            <w:vMerge/>
            <w:vAlign w:val="center"/>
          </w:tcPr>
          <w:p w:rsidR="00013EC7" w:rsidRDefault="00013EC7">
            <w:pPr>
              <w:rPr>
                <w:rFonts w:ascii="仿宋" w:eastAsia="仿宋" w:hAnsi="仿宋"/>
                <w:color w:val="000000" w:themeColor="text1"/>
                <w:sz w:val="24"/>
              </w:rPr>
            </w:pPr>
          </w:p>
        </w:tc>
        <w:tc>
          <w:tcPr>
            <w:tcW w:w="1133" w:type="dxa"/>
            <w:vMerge/>
            <w:vAlign w:val="center"/>
          </w:tcPr>
          <w:p w:rsidR="00013EC7" w:rsidRDefault="00013EC7">
            <w:pPr>
              <w:rPr>
                <w:rFonts w:ascii="仿宋" w:eastAsia="仿宋" w:hAnsi="仿宋"/>
                <w:color w:val="000000" w:themeColor="text1"/>
                <w:sz w:val="24"/>
              </w:rPr>
            </w:pPr>
          </w:p>
        </w:tc>
      </w:tr>
      <w:tr w:rsidR="00013EC7">
        <w:trPr>
          <w:trHeight w:val="340"/>
          <w:jc w:val="center"/>
        </w:trPr>
        <w:tc>
          <w:tcPr>
            <w:tcW w:w="672" w:type="dxa"/>
            <w:vMerge/>
            <w:textDirection w:val="tbRlV"/>
            <w:vAlign w:val="center"/>
          </w:tcPr>
          <w:p w:rsidR="00013EC7" w:rsidRDefault="00013EC7">
            <w:pPr>
              <w:rPr>
                <w:rFonts w:ascii="仿宋" w:eastAsia="仿宋" w:hAnsi="仿宋"/>
                <w:color w:val="000000" w:themeColor="text1"/>
                <w:sz w:val="24"/>
              </w:rPr>
            </w:pPr>
          </w:p>
        </w:tc>
        <w:tc>
          <w:tcPr>
            <w:tcW w:w="1035" w:type="dxa"/>
            <w:vMerge/>
            <w:vAlign w:val="center"/>
          </w:tcPr>
          <w:p w:rsidR="00013EC7" w:rsidRDefault="00013EC7">
            <w:pPr>
              <w:rPr>
                <w:rFonts w:ascii="仿宋" w:eastAsia="仿宋" w:hAnsi="仿宋"/>
                <w:color w:val="000000" w:themeColor="text1"/>
                <w:sz w:val="24"/>
              </w:rPr>
            </w:pPr>
          </w:p>
        </w:tc>
        <w:tc>
          <w:tcPr>
            <w:tcW w:w="1271" w:type="dxa"/>
            <w:vMerge/>
            <w:vAlign w:val="center"/>
          </w:tcPr>
          <w:p w:rsidR="00013EC7" w:rsidRDefault="00013EC7">
            <w:pPr>
              <w:rPr>
                <w:rFonts w:ascii="仿宋" w:eastAsia="仿宋" w:hAnsi="仿宋"/>
                <w:color w:val="000000" w:themeColor="text1"/>
                <w:sz w:val="24"/>
              </w:rPr>
            </w:pPr>
          </w:p>
        </w:tc>
        <w:tc>
          <w:tcPr>
            <w:tcW w:w="4394" w:type="dxa"/>
            <w:vAlign w:val="center"/>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二十五）总机构应报送年度财务报表、《中华人民共和国企业所得税年度纳税申报表（A类，2014年版）》，同时报送《中华人民共和国企业所得税汇总纳税分支机构所得税分配表（2015年版）》和各分支机构的年度财务报表、各分支机构参与企业年度纳税调整情况的说明。</w:t>
            </w:r>
          </w:p>
        </w:tc>
        <w:tc>
          <w:tcPr>
            <w:tcW w:w="851" w:type="dxa"/>
            <w:vMerge w:val="restart"/>
            <w:vAlign w:val="center"/>
          </w:tcPr>
          <w:p w:rsidR="00013EC7" w:rsidRDefault="00575CDB">
            <w:pPr>
              <w:jc w:val="left"/>
              <w:rPr>
                <w:rFonts w:ascii="仿宋" w:eastAsia="仿宋" w:hAnsi="仿宋"/>
                <w:color w:val="000000" w:themeColor="text1"/>
                <w:sz w:val="24"/>
              </w:rPr>
            </w:pPr>
            <w:r>
              <w:rPr>
                <w:rFonts w:ascii="仿宋" w:eastAsia="仿宋" w:hAnsi="仿宋" w:hint="eastAsia"/>
                <w:color w:val="000000" w:themeColor="text1"/>
                <w:sz w:val="24"/>
              </w:rPr>
              <w:t>汇总纳税企业提交</w:t>
            </w:r>
          </w:p>
        </w:tc>
        <w:tc>
          <w:tcPr>
            <w:tcW w:w="4252" w:type="dxa"/>
            <w:vAlign w:val="center"/>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二十四）总机构应报送年度财务报表、《中华人民共和国企业所得税年度纳税申报表（A类，2017年版）》，同时报送《中华人民共和国企业所得税汇总纳税分支机构所得税分配表》和各分支机构的年度财务报表、各分支机构参与企业年度纳税调整情况的说明。</w:t>
            </w:r>
          </w:p>
        </w:tc>
        <w:tc>
          <w:tcPr>
            <w:tcW w:w="851" w:type="dxa"/>
            <w:vMerge w:val="restart"/>
            <w:vAlign w:val="center"/>
          </w:tcPr>
          <w:p w:rsidR="00013EC7" w:rsidRDefault="00575CDB">
            <w:pPr>
              <w:jc w:val="left"/>
              <w:rPr>
                <w:rFonts w:ascii="仿宋" w:eastAsia="仿宋" w:hAnsi="仿宋"/>
                <w:color w:val="000000" w:themeColor="text1"/>
                <w:sz w:val="24"/>
              </w:rPr>
            </w:pPr>
            <w:r>
              <w:rPr>
                <w:rFonts w:ascii="仿宋" w:eastAsia="仿宋" w:hAnsi="仿宋" w:hint="eastAsia"/>
                <w:color w:val="000000" w:themeColor="text1"/>
                <w:sz w:val="24"/>
              </w:rPr>
              <w:t>汇总纳税企业提交</w:t>
            </w:r>
          </w:p>
        </w:tc>
        <w:tc>
          <w:tcPr>
            <w:tcW w:w="2126" w:type="dxa"/>
            <w:vMerge/>
            <w:vAlign w:val="center"/>
          </w:tcPr>
          <w:p w:rsidR="00013EC7" w:rsidRDefault="00013EC7">
            <w:pPr>
              <w:spacing w:line="300" w:lineRule="exact"/>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851" w:type="dxa"/>
            <w:vMerge/>
            <w:vAlign w:val="center"/>
          </w:tcPr>
          <w:p w:rsidR="00013EC7" w:rsidRDefault="00013EC7">
            <w:pPr>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709" w:type="dxa"/>
            <w:vMerge/>
            <w:vAlign w:val="center"/>
          </w:tcPr>
          <w:p w:rsidR="00013EC7" w:rsidRDefault="00013EC7">
            <w:pPr>
              <w:rPr>
                <w:rFonts w:ascii="仿宋" w:eastAsia="仿宋" w:hAnsi="仿宋"/>
                <w:color w:val="000000" w:themeColor="text1"/>
                <w:sz w:val="24"/>
              </w:rPr>
            </w:pPr>
          </w:p>
        </w:tc>
        <w:tc>
          <w:tcPr>
            <w:tcW w:w="1133" w:type="dxa"/>
            <w:vMerge/>
            <w:vAlign w:val="center"/>
          </w:tcPr>
          <w:p w:rsidR="00013EC7" w:rsidRDefault="00013EC7">
            <w:pPr>
              <w:rPr>
                <w:rFonts w:ascii="仿宋" w:eastAsia="仿宋" w:hAnsi="仿宋"/>
                <w:color w:val="000000" w:themeColor="text1"/>
                <w:sz w:val="24"/>
              </w:rPr>
            </w:pPr>
          </w:p>
        </w:tc>
      </w:tr>
      <w:tr w:rsidR="00013EC7">
        <w:trPr>
          <w:trHeight w:val="340"/>
          <w:jc w:val="center"/>
        </w:trPr>
        <w:tc>
          <w:tcPr>
            <w:tcW w:w="672" w:type="dxa"/>
            <w:vMerge/>
            <w:textDirection w:val="tbRlV"/>
            <w:vAlign w:val="center"/>
          </w:tcPr>
          <w:p w:rsidR="00013EC7" w:rsidRDefault="00013EC7">
            <w:pPr>
              <w:rPr>
                <w:rFonts w:ascii="仿宋" w:eastAsia="仿宋" w:hAnsi="仿宋"/>
                <w:color w:val="000000" w:themeColor="text1"/>
                <w:sz w:val="24"/>
              </w:rPr>
            </w:pPr>
          </w:p>
        </w:tc>
        <w:tc>
          <w:tcPr>
            <w:tcW w:w="1035" w:type="dxa"/>
            <w:vMerge/>
            <w:vAlign w:val="center"/>
          </w:tcPr>
          <w:p w:rsidR="00013EC7" w:rsidRDefault="00013EC7">
            <w:pPr>
              <w:rPr>
                <w:rFonts w:ascii="仿宋" w:eastAsia="仿宋" w:hAnsi="仿宋"/>
                <w:color w:val="000000" w:themeColor="text1"/>
                <w:sz w:val="24"/>
              </w:rPr>
            </w:pPr>
          </w:p>
        </w:tc>
        <w:tc>
          <w:tcPr>
            <w:tcW w:w="1271" w:type="dxa"/>
            <w:vMerge/>
            <w:vAlign w:val="center"/>
          </w:tcPr>
          <w:p w:rsidR="00013EC7" w:rsidRDefault="00013EC7">
            <w:pPr>
              <w:rPr>
                <w:rFonts w:ascii="仿宋" w:eastAsia="仿宋" w:hAnsi="仿宋"/>
                <w:color w:val="000000" w:themeColor="text1"/>
                <w:sz w:val="24"/>
              </w:rPr>
            </w:pPr>
          </w:p>
        </w:tc>
        <w:tc>
          <w:tcPr>
            <w:tcW w:w="4394" w:type="dxa"/>
            <w:vAlign w:val="center"/>
          </w:tcPr>
          <w:p w:rsidR="00013EC7" w:rsidRDefault="00575CDB">
            <w:pPr>
              <w:spacing w:line="300" w:lineRule="exact"/>
              <w:rPr>
                <w:rFonts w:ascii="仿宋" w:eastAsia="仿宋" w:hAnsi="仿宋" w:cs="宋体"/>
                <w:color w:val="000000" w:themeColor="text1"/>
                <w:kern w:val="1"/>
                <w:sz w:val="24"/>
              </w:rPr>
            </w:pPr>
            <w:r>
              <w:rPr>
                <w:rFonts w:ascii="仿宋" w:eastAsia="仿宋" w:hAnsi="仿宋" w:cs="宋体" w:hint="eastAsia"/>
                <w:color w:val="000000" w:themeColor="text1"/>
                <w:kern w:val="1"/>
                <w:sz w:val="24"/>
              </w:rPr>
              <w:t>（二十六）分支机构应报送《中华人民共和国企业所得税月（季）度预缴纳税申报</w:t>
            </w:r>
            <w:r>
              <w:rPr>
                <w:rFonts w:ascii="仿宋" w:eastAsia="仿宋" w:hAnsi="仿宋" w:cs="宋体" w:hint="eastAsia"/>
                <w:color w:val="000000" w:themeColor="text1"/>
                <w:kern w:val="1"/>
                <w:sz w:val="24"/>
              </w:rPr>
              <w:lastRenderedPageBreak/>
              <w:t>表（A类，2015年版）》，同时报送总机构申报后加盖有税务机关业务专用章的《中华人民共和国企业所得税汇总纳税分支机构所得税分配表（2015年版）》复印件，分支机构参与企业年度纳税调整情况的说明。</w:t>
            </w:r>
          </w:p>
        </w:tc>
        <w:tc>
          <w:tcPr>
            <w:tcW w:w="851" w:type="dxa"/>
            <w:vMerge/>
            <w:vAlign w:val="center"/>
          </w:tcPr>
          <w:p w:rsidR="00013EC7" w:rsidRDefault="00013EC7">
            <w:pPr>
              <w:jc w:val="left"/>
              <w:rPr>
                <w:rFonts w:ascii="仿宋" w:eastAsia="仿宋" w:hAnsi="仿宋"/>
                <w:color w:val="000000" w:themeColor="text1"/>
                <w:sz w:val="24"/>
              </w:rPr>
            </w:pPr>
          </w:p>
        </w:tc>
        <w:tc>
          <w:tcPr>
            <w:tcW w:w="4252" w:type="dxa"/>
            <w:vAlign w:val="center"/>
          </w:tcPr>
          <w:p w:rsidR="00013EC7" w:rsidRDefault="00575CDB">
            <w:pPr>
              <w:spacing w:line="300" w:lineRule="exact"/>
              <w:rPr>
                <w:rFonts w:ascii="仿宋" w:eastAsia="仿宋" w:hAnsi="仿宋" w:cs="宋体"/>
                <w:color w:val="000000" w:themeColor="text1"/>
                <w:kern w:val="1"/>
                <w:sz w:val="24"/>
              </w:rPr>
            </w:pPr>
            <w:r>
              <w:rPr>
                <w:rFonts w:ascii="仿宋" w:eastAsia="仿宋" w:hAnsi="仿宋" w:cs="宋体" w:hint="eastAsia"/>
                <w:color w:val="000000" w:themeColor="text1"/>
                <w:kern w:val="1"/>
                <w:sz w:val="24"/>
              </w:rPr>
              <w:t>（二十五）分支机构应报送《中华人民共和国企业所得税月（季）度预缴纳税申报</w:t>
            </w:r>
            <w:r>
              <w:rPr>
                <w:rFonts w:ascii="仿宋" w:eastAsia="仿宋" w:hAnsi="仿宋" w:cs="宋体" w:hint="eastAsia"/>
                <w:color w:val="000000" w:themeColor="text1"/>
                <w:kern w:val="1"/>
                <w:sz w:val="24"/>
              </w:rPr>
              <w:lastRenderedPageBreak/>
              <w:t>表（A类，2015年版）》，同时报送总机构申报后加盖有税务机关业务专用章的《中华人民共和国企业所得税汇总纳税分支机构所得税分配表》复印件</w:t>
            </w:r>
            <w:r>
              <w:rPr>
                <w:rFonts w:ascii="仿宋" w:eastAsia="仿宋" w:hAnsi="仿宋" w:hint="eastAsia"/>
                <w:color w:val="000000" w:themeColor="text1"/>
                <w:sz w:val="24"/>
              </w:rPr>
              <w:t>（复印件注明与原件一致并加盖公章），</w:t>
            </w:r>
            <w:r>
              <w:rPr>
                <w:rFonts w:ascii="仿宋" w:eastAsia="仿宋" w:hAnsi="仿宋" w:cs="宋体" w:hint="eastAsia"/>
                <w:color w:val="000000" w:themeColor="text1"/>
                <w:kern w:val="1"/>
                <w:sz w:val="24"/>
              </w:rPr>
              <w:t>分支机构参与企业年度纳税调整情况的说明。</w:t>
            </w:r>
          </w:p>
        </w:tc>
        <w:tc>
          <w:tcPr>
            <w:tcW w:w="851" w:type="dxa"/>
            <w:vMerge/>
            <w:vAlign w:val="center"/>
          </w:tcPr>
          <w:p w:rsidR="00013EC7" w:rsidRDefault="00013EC7">
            <w:pPr>
              <w:jc w:val="left"/>
              <w:rPr>
                <w:rFonts w:ascii="仿宋" w:eastAsia="仿宋" w:hAnsi="仿宋"/>
                <w:color w:val="000000" w:themeColor="text1"/>
                <w:sz w:val="24"/>
              </w:rPr>
            </w:pPr>
          </w:p>
        </w:tc>
        <w:tc>
          <w:tcPr>
            <w:tcW w:w="2126" w:type="dxa"/>
            <w:vMerge/>
            <w:vAlign w:val="center"/>
          </w:tcPr>
          <w:p w:rsidR="00013EC7" w:rsidRDefault="00013EC7">
            <w:pPr>
              <w:spacing w:line="300" w:lineRule="exact"/>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851" w:type="dxa"/>
            <w:vMerge/>
            <w:vAlign w:val="center"/>
          </w:tcPr>
          <w:p w:rsidR="00013EC7" w:rsidRDefault="00013EC7">
            <w:pPr>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709" w:type="dxa"/>
            <w:vMerge/>
            <w:vAlign w:val="center"/>
          </w:tcPr>
          <w:p w:rsidR="00013EC7" w:rsidRDefault="00013EC7">
            <w:pPr>
              <w:rPr>
                <w:rFonts w:ascii="仿宋" w:eastAsia="仿宋" w:hAnsi="仿宋"/>
                <w:color w:val="000000" w:themeColor="text1"/>
                <w:sz w:val="24"/>
              </w:rPr>
            </w:pPr>
          </w:p>
        </w:tc>
        <w:tc>
          <w:tcPr>
            <w:tcW w:w="1133" w:type="dxa"/>
            <w:vMerge/>
            <w:vAlign w:val="center"/>
          </w:tcPr>
          <w:p w:rsidR="00013EC7" w:rsidRDefault="00013EC7">
            <w:pPr>
              <w:rPr>
                <w:rFonts w:ascii="仿宋" w:eastAsia="仿宋" w:hAnsi="仿宋"/>
                <w:color w:val="000000" w:themeColor="text1"/>
                <w:sz w:val="24"/>
              </w:rPr>
            </w:pPr>
          </w:p>
        </w:tc>
      </w:tr>
      <w:tr w:rsidR="00013EC7">
        <w:trPr>
          <w:trHeight w:val="3123"/>
          <w:jc w:val="center"/>
        </w:trPr>
        <w:tc>
          <w:tcPr>
            <w:tcW w:w="672" w:type="dxa"/>
            <w:vMerge/>
            <w:tcBorders>
              <w:bottom w:val="single" w:sz="4" w:space="0" w:color="auto"/>
            </w:tcBorders>
            <w:textDirection w:val="tbRlV"/>
            <w:vAlign w:val="center"/>
          </w:tcPr>
          <w:p w:rsidR="00013EC7" w:rsidRDefault="00013EC7">
            <w:pPr>
              <w:rPr>
                <w:rFonts w:ascii="仿宋" w:eastAsia="仿宋" w:hAnsi="仿宋"/>
                <w:color w:val="000000" w:themeColor="text1"/>
                <w:sz w:val="24"/>
              </w:rPr>
            </w:pPr>
          </w:p>
        </w:tc>
        <w:tc>
          <w:tcPr>
            <w:tcW w:w="1035" w:type="dxa"/>
            <w:vMerge/>
            <w:tcBorders>
              <w:bottom w:val="single" w:sz="4" w:space="0" w:color="auto"/>
            </w:tcBorders>
            <w:vAlign w:val="center"/>
          </w:tcPr>
          <w:p w:rsidR="00013EC7" w:rsidRDefault="00013EC7">
            <w:pPr>
              <w:rPr>
                <w:rFonts w:ascii="仿宋" w:eastAsia="仿宋" w:hAnsi="仿宋"/>
                <w:color w:val="000000" w:themeColor="text1"/>
                <w:sz w:val="24"/>
              </w:rPr>
            </w:pPr>
          </w:p>
        </w:tc>
        <w:tc>
          <w:tcPr>
            <w:tcW w:w="1271" w:type="dxa"/>
            <w:vMerge/>
            <w:tcBorders>
              <w:bottom w:val="single" w:sz="4" w:space="0" w:color="auto"/>
            </w:tcBorders>
            <w:vAlign w:val="center"/>
          </w:tcPr>
          <w:p w:rsidR="00013EC7" w:rsidRDefault="00013EC7">
            <w:pPr>
              <w:rPr>
                <w:rFonts w:ascii="仿宋" w:eastAsia="仿宋" w:hAnsi="仿宋"/>
                <w:color w:val="000000" w:themeColor="text1"/>
                <w:sz w:val="24"/>
              </w:rPr>
            </w:pPr>
          </w:p>
        </w:tc>
        <w:tc>
          <w:tcPr>
            <w:tcW w:w="4394" w:type="dxa"/>
            <w:tcBorders>
              <w:bottom w:val="single" w:sz="4" w:space="0" w:color="auto"/>
            </w:tcBorders>
            <w:vAlign w:val="center"/>
          </w:tcPr>
          <w:p w:rsidR="00013EC7" w:rsidRDefault="00575CDB">
            <w:pPr>
              <w:spacing w:line="300" w:lineRule="exact"/>
              <w:rPr>
                <w:rFonts w:ascii="仿宋" w:eastAsia="仿宋" w:hAnsi="仿宋" w:cs="宋体"/>
                <w:color w:val="000000" w:themeColor="text1"/>
                <w:kern w:val="1"/>
                <w:sz w:val="24"/>
              </w:rPr>
            </w:pPr>
            <w:r>
              <w:rPr>
                <w:rFonts w:ascii="仿宋" w:eastAsia="仿宋" w:hAnsi="仿宋" w:cs="宋体" w:hint="eastAsia"/>
                <w:color w:val="000000" w:themeColor="text1"/>
                <w:kern w:val="1"/>
                <w:sz w:val="24"/>
              </w:rPr>
              <w:t>（二十七）直接管理的跨地区经营项目部就地预缴税款的完税证明</w:t>
            </w:r>
          </w:p>
        </w:tc>
        <w:tc>
          <w:tcPr>
            <w:tcW w:w="851" w:type="dxa"/>
            <w:tcBorders>
              <w:bottom w:val="single" w:sz="4" w:space="0" w:color="auto"/>
            </w:tcBorders>
            <w:vAlign w:val="center"/>
          </w:tcPr>
          <w:p w:rsidR="00013EC7" w:rsidRDefault="00575CDB">
            <w:pPr>
              <w:jc w:val="left"/>
              <w:rPr>
                <w:rFonts w:ascii="仿宋" w:eastAsia="仿宋" w:hAnsi="仿宋"/>
                <w:color w:val="000000" w:themeColor="text1"/>
                <w:sz w:val="24"/>
              </w:rPr>
            </w:pPr>
            <w:r>
              <w:rPr>
                <w:rFonts w:ascii="仿宋" w:eastAsia="仿宋" w:hAnsi="仿宋" w:cs="宋体" w:hint="eastAsia"/>
                <w:color w:val="000000" w:themeColor="text1"/>
                <w:kern w:val="1"/>
                <w:sz w:val="24"/>
              </w:rPr>
              <w:t>跨省、自治区、直辖市和计划单列市经营的建筑企业总机构</w:t>
            </w:r>
            <w:r>
              <w:rPr>
                <w:rFonts w:ascii="仿宋" w:eastAsia="仿宋" w:hAnsi="仿宋" w:hint="eastAsia"/>
                <w:color w:val="000000" w:themeColor="text1"/>
                <w:sz w:val="24"/>
              </w:rPr>
              <w:t>提交</w:t>
            </w:r>
          </w:p>
        </w:tc>
        <w:tc>
          <w:tcPr>
            <w:tcW w:w="4252" w:type="dxa"/>
            <w:tcBorders>
              <w:bottom w:val="single" w:sz="4" w:space="0" w:color="auto"/>
            </w:tcBorders>
            <w:vAlign w:val="center"/>
          </w:tcPr>
          <w:p w:rsidR="00013EC7" w:rsidRDefault="00575CDB">
            <w:pPr>
              <w:spacing w:line="300" w:lineRule="exact"/>
              <w:rPr>
                <w:rFonts w:ascii="仿宋" w:eastAsia="仿宋" w:hAnsi="仿宋"/>
                <w:color w:val="000000" w:themeColor="text1"/>
                <w:sz w:val="24"/>
              </w:rPr>
            </w:pPr>
            <w:r>
              <w:rPr>
                <w:rFonts w:ascii="仿宋" w:eastAsia="仿宋" w:hAnsi="仿宋" w:cs="宋体" w:hint="eastAsia"/>
                <w:color w:val="000000" w:themeColor="text1"/>
                <w:kern w:val="1"/>
                <w:sz w:val="24"/>
              </w:rPr>
              <w:t>（二十六）直接管理的跨地区经营项目部就地预缴税款的完税证明。</w:t>
            </w:r>
          </w:p>
        </w:tc>
        <w:tc>
          <w:tcPr>
            <w:tcW w:w="851" w:type="dxa"/>
            <w:tcBorders>
              <w:bottom w:val="single" w:sz="4" w:space="0" w:color="auto"/>
            </w:tcBorders>
            <w:vAlign w:val="center"/>
          </w:tcPr>
          <w:p w:rsidR="00013EC7" w:rsidRDefault="00575CDB">
            <w:pPr>
              <w:jc w:val="left"/>
              <w:rPr>
                <w:rFonts w:ascii="仿宋" w:eastAsia="仿宋" w:hAnsi="仿宋"/>
                <w:color w:val="000000" w:themeColor="text1"/>
                <w:sz w:val="24"/>
              </w:rPr>
            </w:pPr>
            <w:r>
              <w:rPr>
                <w:rFonts w:ascii="仿宋" w:eastAsia="仿宋" w:hAnsi="仿宋" w:cs="宋体" w:hint="eastAsia"/>
                <w:color w:val="000000" w:themeColor="text1"/>
                <w:kern w:val="1"/>
                <w:sz w:val="24"/>
              </w:rPr>
              <w:t>跨省、自治区、直辖市和计划单列市经营的建筑企业总机构</w:t>
            </w:r>
            <w:r>
              <w:rPr>
                <w:rFonts w:ascii="仿宋" w:eastAsia="仿宋" w:hAnsi="仿宋" w:hint="eastAsia"/>
                <w:color w:val="000000" w:themeColor="text1"/>
                <w:sz w:val="24"/>
              </w:rPr>
              <w:t>提交</w:t>
            </w:r>
          </w:p>
        </w:tc>
        <w:tc>
          <w:tcPr>
            <w:tcW w:w="2126" w:type="dxa"/>
            <w:vMerge/>
            <w:tcBorders>
              <w:bottom w:val="single" w:sz="4" w:space="0" w:color="auto"/>
            </w:tcBorders>
            <w:vAlign w:val="center"/>
          </w:tcPr>
          <w:p w:rsidR="00013EC7" w:rsidRDefault="00013EC7">
            <w:pPr>
              <w:spacing w:line="300" w:lineRule="exact"/>
              <w:rPr>
                <w:rFonts w:ascii="仿宋" w:eastAsia="仿宋" w:hAnsi="仿宋"/>
                <w:color w:val="000000" w:themeColor="text1"/>
                <w:sz w:val="24"/>
              </w:rPr>
            </w:pPr>
          </w:p>
        </w:tc>
        <w:tc>
          <w:tcPr>
            <w:tcW w:w="850" w:type="dxa"/>
            <w:vMerge/>
            <w:tcBorders>
              <w:bottom w:val="single" w:sz="4" w:space="0" w:color="auto"/>
            </w:tcBorders>
            <w:vAlign w:val="center"/>
          </w:tcPr>
          <w:p w:rsidR="00013EC7" w:rsidRDefault="00013EC7">
            <w:pPr>
              <w:rPr>
                <w:rFonts w:ascii="仿宋" w:eastAsia="仿宋" w:hAnsi="仿宋"/>
                <w:color w:val="000000" w:themeColor="text1"/>
                <w:sz w:val="24"/>
              </w:rPr>
            </w:pPr>
          </w:p>
        </w:tc>
        <w:tc>
          <w:tcPr>
            <w:tcW w:w="851" w:type="dxa"/>
            <w:vMerge/>
            <w:tcBorders>
              <w:bottom w:val="single" w:sz="4" w:space="0" w:color="auto"/>
            </w:tcBorders>
            <w:vAlign w:val="center"/>
          </w:tcPr>
          <w:p w:rsidR="00013EC7" w:rsidRDefault="00013EC7">
            <w:pPr>
              <w:rPr>
                <w:rFonts w:ascii="仿宋" w:eastAsia="仿宋" w:hAnsi="仿宋"/>
                <w:color w:val="000000" w:themeColor="text1"/>
                <w:sz w:val="24"/>
              </w:rPr>
            </w:pPr>
          </w:p>
        </w:tc>
        <w:tc>
          <w:tcPr>
            <w:tcW w:w="850" w:type="dxa"/>
            <w:vMerge/>
            <w:tcBorders>
              <w:bottom w:val="single" w:sz="4" w:space="0" w:color="auto"/>
            </w:tcBorders>
            <w:vAlign w:val="center"/>
          </w:tcPr>
          <w:p w:rsidR="00013EC7" w:rsidRDefault="00013EC7">
            <w:pPr>
              <w:rPr>
                <w:rFonts w:ascii="仿宋" w:eastAsia="仿宋" w:hAnsi="仿宋"/>
                <w:color w:val="000000" w:themeColor="text1"/>
                <w:sz w:val="24"/>
              </w:rPr>
            </w:pPr>
          </w:p>
        </w:tc>
        <w:tc>
          <w:tcPr>
            <w:tcW w:w="709" w:type="dxa"/>
            <w:vMerge/>
            <w:tcBorders>
              <w:bottom w:val="single" w:sz="4" w:space="0" w:color="auto"/>
            </w:tcBorders>
            <w:vAlign w:val="center"/>
          </w:tcPr>
          <w:p w:rsidR="00013EC7" w:rsidRDefault="00013EC7">
            <w:pPr>
              <w:rPr>
                <w:rFonts w:ascii="仿宋" w:eastAsia="仿宋" w:hAnsi="仿宋"/>
                <w:color w:val="000000" w:themeColor="text1"/>
                <w:sz w:val="24"/>
              </w:rPr>
            </w:pPr>
          </w:p>
        </w:tc>
        <w:tc>
          <w:tcPr>
            <w:tcW w:w="1133" w:type="dxa"/>
            <w:vMerge/>
            <w:vAlign w:val="center"/>
          </w:tcPr>
          <w:p w:rsidR="00013EC7" w:rsidRDefault="00013EC7">
            <w:pPr>
              <w:rPr>
                <w:rFonts w:ascii="仿宋" w:eastAsia="仿宋" w:hAnsi="仿宋"/>
                <w:color w:val="000000" w:themeColor="text1"/>
                <w:sz w:val="24"/>
              </w:rPr>
            </w:pPr>
          </w:p>
        </w:tc>
      </w:tr>
      <w:tr w:rsidR="00013EC7">
        <w:trPr>
          <w:trHeight w:val="1510"/>
          <w:jc w:val="center"/>
        </w:trPr>
        <w:tc>
          <w:tcPr>
            <w:tcW w:w="672" w:type="dxa"/>
            <w:vMerge/>
            <w:textDirection w:val="tbRlV"/>
            <w:vAlign w:val="center"/>
          </w:tcPr>
          <w:p w:rsidR="00013EC7" w:rsidRDefault="00013EC7">
            <w:pPr>
              <w:rPr>
                <w:rFonts w:ascii="仿宋" w:eastAsia="仿宋" w:hAnsi="仿宋"/>
                <w:color w:val="000000" w:themeColor="text1"/>
                <w:sz w:val="24"/>
              </w:rPr>
            </w:pPr>
          </w:p>
        </w:tc>
        <w:tc>
          <w:tcPr>
            <w:tcW w:w="1035" w:type="dxa"/>
            <w:vMerge/>
            <w:vAlign w:val="center"/>
          </w:tcPr>
          <w:p w:rsidR="00013EC7" w:rsidRDefault="00013EC7">
            <w:pPr>
              <w:rPr>
                <w:rFonts w:ascii="仿宋" w:eastAsia="仿宋" w:hAnsi="仿宋"/>
                <w:color w:val="000000" w:themeColor="text1"/>
                <w:sz w:val="24"/>
              </w:rPr>
            </w:pPr>
          </w:p>
        </w:tc>
        <w:tc>
          <w:tcPr>
            <w:tcW w:w="1271" w:type="dxa"/>
            <w:vMerge/>
            <w:vAlign w:val="center"/>
          </w:tcPr>
          <w:p w:rsidR="00013EC7" w:rsidRDefault="00013EC7">
            <w:pPr>
              <w:rPr>
                <w:rFonts w:ascii="仿宋" w:eastAsia="仿宋" w:hAnsi="仿宋"/>
                <w:color w:val="000000" w:themeColor="text1"/>
                <w:sz w:val="24"/>
              </w:rPr>
            </w:pPr>
          </w:p>
        </w:tc>
        <w:tc>
          <w:tcPr>
            <w:tcW w:w="4394" w:type="dxa"/>
            <w:tcBorders>
              <w:bottom w:val="single" w:sz="4" w:space="0" w:color="auto"/>
            </w:tcBorders>
            <w:vAlign w:val="center"/>
          </w:tcPr>
          <w:p w:rsidR="00013EC7" w:rsidRDefault="00575CDB">
            <w:pPr>
              <w:spacing w:line="300" w:lineRule="exact"/>
              <w:rPr>
                <w:rFonts w:ascii="仿宋" w:eastAsia="仿宋" w:hAnsi="仿宋" w:cs="宋体"/>
                <w:color w:val="000000" w:themeColor="text1"/>
                <w:kern w:val="1"/>
                <w:sz w:val="24"/>
              </w:rPr>
            </w:pPr>
            <w:r>
              <w:rPr>
                <w:rFonts w:ascii="仿宋" w:eastAsia="仿宋" w:hAnsi="仿宋" w:cs="宋体" w:hint="eastAsia"/>
                <w:color w:val="000000" w:themeColor="text1"/>
                <w:kern w:val="1"/>
                <w:sz w:val="24"/>
              </w:rPr>
              <w:t>（二十八）双方签订的代理合同，并附送中介机构出具的包括纳税调整的项目、原因、依据、计算过程、调整金额等内容的报告。</w:t>
            </w:r>
          </w:p>
        </w:tc>
        <w:tc>
          <w:tcPr>
            <w:tcW w:w="851" w:type="dxa"/>
            <w:tcBorders>
              <w:bottom w:val="single" w:sz="4" w:space="0" w:color="auto"/>
            </w:tcBorders>
            <w:vAlign w:val="center"/>
          </w:tcPr>
          <w:p w:rsidR="00013EC7" w:rsidRDefault="00575CDB">
            <w:pPr>
              <w:jc w:val="left"/>
              <w:rPr>
                <w:rFonts w:ascii="仿宋" w:eastAsia="仿宋" w:hAnsi="仿宋"/>
                <w:color w:val="000000" w:themeColor="text1"/>
                <w:sz w:val="24"/>
              </w:rPr>
            </w:pPr>
            <w:r>
              <w:rPr>
                <w:rFonts w:ascii="仿宋" w:eastAsia="仿宋" w:hAnsi="仿宋" w:cs="宋体" w:hint="eastAsia"/>
                <w:color w:val="000000" w:themeColor="text1"/>
                <w:kern w:val="1"/>
                <w:sz w:val="24"/>
              </w:rPr>
              <w:t>委托中介机构代理纳税申报的纳税人提交</w:t>
            </w:r>
          </w:p>
        </w:tc>
        <w:tc>
          <w:tcPr>
            <w:tcW w:w="4252" w:type="dxa"/>
            <w:tcBorders>
              <w:bottom w:val="single" w:sz="4" w:space="0" w:color="auto"/>
            </w:tcBorders>
            <w:vAlign w:val="center"/>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（二十七）双方签订的代理合同，并附送中介机构出具的包括纳税调整的项目、原因、依据、计算过程、调整金额等内容的报告。</w:t>
            </w:r>
          </w:p>
        </w:tc>
        <w:tc>
          <w:tcPr>
            <w:tcW w:w="851" w:type="dxa"/>
            <w:tcBorders>
              <w:bottom w:val="single" w:sz="4" w:space="0" w:color="auto"/>
            </w:tcBorders>
            <w:vAlign w:val="center"/>
          </w:tcPr>
          <w:p w:rsidR="00013EC7" w:rsidRDefault="00575CDB">
            <w:pPr>
              <w:jc w:val="left"/>
              <w:rPr>
                <w:rFonts w:ascii="仿宋" w:eastAsia="仿宋" w:hAnsi="仿宋"/>
                <w:color w:val="000000" w:themeColor="text1"/>
                <w:sz w:val="24"/>
              </w:rPr>
            </w:pPr>
            <w:r>
              <w:rPr>
                <w:rFonts w:ascii="仿宋" w:eastAsia="仿宋" w:hAnsi="仿宋" w:cs="宋体" w:hint="eastAsia"/>
                <w:color w:val="000000" w:themeColor="text1"/>
                <w:kern w:val="1"/>
                <w:sz w:val="24"/>
              </w:rPr>
              <w:t>委托中介机构代理纳税申报的纳税人提交</w:t>
            </w:r>
          </w:p>
        </w:tc>
        <w:tc>
          <w:tcPr>
            <w:tcW w:w="2126" w:type="dxa"/>
            <w:vMerge/>
            <w:vAlign w:val="center"/>
          </w:tcPr>
          <w:p w:rsidR="00013EC7" w:rsidRDefault="00013EC7">
            <w:pPr>
              <w:spacing w:line="300" w:lineRule="exact"/>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851" w:type="dxa"/>
            <w:vMerge/>
            <w:vAlign w:val="center"/>
          </w:tcPr>
          <w:p w:rsidR="00013EC7" w:rsidRDefault="00013EC7">
            <w:pPr>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709" w:type="dxa"/>
            <w:vMerge/>
            <w:vAlign w:val="center"/>
          </w:tcPr>
          <w:p w:rsidR="00013EC7" w:rsidRDefault="00013EC7">
            <w:pPr>
              <w:rPr>
                <w:rFonts w:ascii="仿宋" w:eastAsia="仿宋" w:hAnsi="仿宋"/>
                <w:color w:val="000000" w:themeColor="text1"/>
                <w:sz w:val="24"/>
              </w:rPr>
            </w:pPr>
          </w:p>
        </w:tc>
        <w:tc>
          <w:tcPr>
            <w:tcW w:w="1133" w:type="dxa"/>
            <w:vMerge/>
            <w:vAlign w:val="center"/>
          </w:tcPr>
          <w:p w:rsidR="00013EC7" w:rsidRDefault="00013EC7">
            <w:pPr>
              <w:rPr>
                <w:rFonts w:ascii="仿宋" w:eastAsia="仿宋" w:hAnsi="仿宋"/>
                <w:color w:val="000000" w:themeColor="text1"/>
                <w:sz w:val="24"/>
              </w:rPr>
            </w:pPr>
          </w:p>
        </w:tc>
      </w:tr>
      <w:tr w:rsidR="00013EC7">
        <w:trPr>
          <w:trHeight w:val="1350"/>
          <w:jc w:val="center"/>
        </w:trPr>
        <w:tc>
          <w:tcPr>
            <w:tcW w:w="672" w:type="dxa"/>
            <w:vMerge/>
            <w:textDirection w:val="tbRlV"/>
            <w:vAlign w:val="center"/>
          </w:tcPr>
          <w:p w:rsidR="00013EC7" w:rsidRDefault="00013EC7">
            <w:pPr>
              <w:rPr>
                <w:rFonts w:ascii="仿宋" w:eastAsia="仿宋" w:hAnsi="仿宋"/>
                <w:color w:val="000000" w:themeColor="text1"/>
                <w:sz w:val="24"/>
              </w:rPr>
            </w:pPr>
          </w:p>
        </w:tc>
        <w:tc>
          <w:tcPr>
            <w:tcW w:w="1035" w:type="dxa"/>
            <w:vMerge/>
            <w:vAlign w:val="center"/>
          </w:tcPr>
          <w:p w:rsidR="00013EC7" w:rsidRDefault="00013EC7">
            <w:pPr>
              <w:rPr>
                <w:rFonts w:ascii="仿宋" w:eastAsia="仿宋" w:hAnsi="仿宋"/>
                <w:color w:val="000000" w:themeColor="text1"/>
                <w:sz w:val="24"/>
              </w:rPr>
            </w:pPr>
          </w:p>
        </w:tc>
        <w:tc>
          <w:tcPr>
            <w:tcW w:w="1271" w:type="dxa"/>
            <w:vMerge/>
            <w:vAlign w:val="center"/>
          </w:tcPr>
          <w:p w:rsidR="00013EC7" w:rsidRDefault="00013EC7">
            <w:pPr>
              <w:rPr>
                <w:rFonts w:ascii="仿宋" w:eastAsia="仿宋" w:hAnsi="仿宋"/>
                <w:color w:val="000000" w:themeColor="text1"/>
                <w:sz w:val="24"/>
              </w:rPr>
            </w:pPr>
          </w:p>
        </w:tc>
        <w:tc>
          <w:tcPr>
            <w:tcW w:w="4394" w:type="dxa"/>
            <w:vAlign w:val="center"/>
          </w:tcPr>
          <w:p w:rsidR="00013EC7" w:rsidRDefault="00575CDB">
            <w:pPr>
              <w:spacing w:line="300" w:lineRule="exact"/>
              <w:rPr>
                <w:rFonts w:ascii="仿宋" w:eastAsia="仿宋" w:hAnsi="仿宋" w:cs="宋体"/>
                <w:color w:val="000000" w:themeColor="text1"/>
                <w:kern w:val="1"/>
                <w:sz w:val="24"/>
              </w:rPr>
            </w:pPr>
            <w:r>
              <w:rPr>
                <w:rFonts w:ascii="仿宋" w:eastAsia="仿宋" w:hAnsi="仿宋" w:cs="宋体" w:hint="eastAsia"/>
                <w:color w:val="000000" w:themeColor="text1"/>
                <w:kern w:val="1"/>
                <w:sz w:val="24"/>
              </w:rPr>
              <w:t>（二十九）适用《企业所得税法》第45条情形或者需要适用《特别纳税调整实施办法（试行）》第84条规定的居民企业，应填报（A06548）《受控外国企业信息报告表》。</w:t>
            </w:r>
          </w:p>
        </w:tc>
        <w:tc>
          <w:tcPr>
            <w:tcW w:w="851" w:type="dxa"/>
            <w:vMerge w:val="restart"/>
            <w:vAlign w:val="center"/>
          </w:tcPr>
          <w:p w:rsidR="00013EC7" w:rsidRDefault="00575CDB">
            <w:pPr>
              <w:jc w:val="left"/>
              <w:rPr>
                <w:rFonts w:ascii="仿宋" w:eastAsia="仿宋" w:hAnsi="仿宋"/>
                <w:color w:val="000000" w:themeColor="text1"/>
                <w:sz w:val="24"/>
              </w:rPr>
            </w:pPr>
            <w:r>
              <w:rPr>
                <w:rFonts w:ascii="仿宋" w:eastAsia="仿宋" w:hAnsi="仿宋" w:hint="eastAsia"/>
                <w:color w:val="000000" w:themeColor="text1"/>
                <w:sz w:val="24"/>
              </w:rPr>
              <w:t>控制外国企业的纳税人提交</w:t>
            </w:r>
          </w:p>
        </w:tc>
        <w:tc>
          <w:tcPr>
            <w:tcW w:w="4252" w:type="dxa"/>
            <w:vAlign w:val="center"/>
          </w:tcPr>
          <w:p w:rsidR="00013EC7" w:rsidRDefault="00575CDB">
            <w:pPr>
              <w:spacing w:line="300" w:lineRule="exact"/>
              <w:rPr>
                <w:rFonts w:ascii="仿宋" w:eastAsia="仿宋" w:hAnsi="仿宋"/>
                <w:color w:val="000000" w:themeColor="text1"/>
                <w:sz w:val="24"/>
              </w:rPr>
            </w:pPr>
            <w:r>
              <w:rPr>
                <w:rFonts w:ascii="仿宋" w:eastAsia="仿宋" w:hAnsi="仿宋" w:cs="宋体" w:hint="eastAsia"/>
                <w:color w:val="000000" w:themeColor="text1"/>
                <w:kern w:val="1"/>
                <w:sz w:val="24"/>
              </w:rPr>
              <w:t>（二十八）适用《企业所得税法》第45条情形或者需要适用《特别纳税调整实施办法（试行）》第84条规定的居民企业，应填报（A06548）《受控外国企业信息报告表》。</w:t>
            </w:r>
          </w:p>
        </w:tc>
        <w:tc>
          <w:tcPr>
            <w:tcW w:w="851" w:type="dxa"/>
            <w:vMerge w:val="restart"/>
            <w:vAlign w:val="center"/>
          </w:tcPr>
          <w:p w:rsidR="00013EC7" w:rsidRDefault="00575CDB">
            <w:pPr>
              <w:jc w:val="left"/>
              <w:rPr>
                <w:rFonts w:ascii="仿宋" w:eastAsia="仿宋" w:hAnsi="仿宋"/>
                <w:color w:val="000000" w:themeColor="text1"/>
                <w:sz w:val="24"/>
              </w:rPr>
            </w:pPr>
            <w:r>
              <w:rPr>
                <w:rFonts w:ascii="仿宋" w:eastAsia="仿宋" w:hAnsi="仿宋" w:hint="eastAsia"/>
                <w:color w:val="000000" w:themeColor="text1"/>
                <w:sz w:val="24"/>
              </w:rPr>
              <w:t>控制外国企业的纳税人提交</w:t>
            </w:r>
          </w:p>
        </w:tc>
        <w:tc>
          <w:tcPr>
            <w:tcW w:w="2126" w:type="dxa"/>
            <w:vMerge/>
            <w:vAlign w:val="center"/>
          </w:tcPr>
          <w:p w:rsidR="00013EC7" w:rsidRDefault="00013EC7">
            <w:pPr>
              <w:spacing w:line="300" w:lineRule="exact"/>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851" w:type="dxa"/>
            <w:vMerge/>
            <w:vAlign w:val="center"/>
          </w:tcPr>
          <w:p w:rsidR="00013EC7" w:rsidRDefault="00013EC7">
            <w:pPr>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709" w:type="dxa"/>
            <w:vMerge/>
            <w:vAlign w:val="center"/>
          </w:tcPr>
          <w:p w:rsidR="00013EC7" w:rsidRDefault="00013EC7">
            <w:pPr>
              <w:rPr>
                <w:rFonts w:ascii="仿宋" w:eastAsia="仿宋" w:hAnsi="仿宋"/>
                <w:color w:val="000000" w:themeColor="text1"/>
                <w:sz w:val="24"/>
              </w:rPr>
            </w:pPr>
          </w:p>
        </w:tc>
        <w:tc>
          <w:tcPr>
            <w:tcW w:w="1133" w:type="dxa"/>
            <w:vMerge/>
            <w:vAlign w:val="center"/>
          </w:tcPr>
          <w:p w:rsidR="00013EC7" w:rsidRDefault="00013EC7">
            <w:pPr>
              <w:rPr>
                <w:rFonts w:ascii="仿宋" w:eastAsia="仿宋" w:hAnsi="仿宋"/>
                <w:color w:val="000000" w:themeColor="text1"/>
                <w:sz w:val="24"/>
              </w:rPr>
            </w:pPr>
          </w:p>
        </w:tc>
      </w:tr>
      <w:tr w:rsidR="00013EC7">
        <w:trPr>
          <w:trHeight w:val="1350"/>
          <w:jc w:val="center"/>
        </w:trPr>
        <w:tc>
          <w:tcPr>
            <w:tcW w:w="672" w:type="dxa"/>
            <w:vMerge/>
            <w:textDirection w:val="tbRlV"/>
            <w:vAlign w:val="center"/>
          </w:tcPr>
          <w:p w:rsidR="00013EC7" w:rsidRDefault="00013EC7">
            <w:pPr>
              <w:rPr>
                <w:rFonts w:ascii="仿宋" w:eastAsia="仿宋" w:hAnsi="仿宋"/>
                <w:color w:val="000000" w:themeColor="text1"/>
                <w:sz w:val="24"/>
              </w:rPr>
            </w:pPr>
          </w:p>
        </w:tc>
        <w:tc>
          <w:tcPr>
            <w:tcW w:w="1035" w:type="dxa"/>
            <w:vMerge/>
            <w:vAlign w:val="center"/>
          </w:tcPr>
          <w:p w:rsidR="00013EC7" w:rsidRDefault="00013EC7">
            <w:pPr>
              <w:rPr>
                <w:rFonts w:ascii="仿宋" w:eastAsia="仿宋" w:hAnsi="仿宋"/>
                <w:color w:val="000000" w:themeColor="text1"/>
                <w:sz w:val="24"/>
              </w:rPr>
            </w:pPr>
          </w:p>
        </w:tc>
        <w:tc>
          <w:tcPr>
            <w:tcW w:w="1271" w:type="dxa"/>
            <w:vMerge/>
            <w:vAlign w:val="center"/>
          </w:tcPr>
          <w:p w:rsidR="00013EC7" w:rsidRDefault="00013EC7">
            <w:pPr>
              <w:rPr>
                <w:rFonts w:ascii="仿宋" w:eastAsia="仿宋" w:hAnsi="仿宋"/>
                <w:color w:val="000000" w:themeColor="text1"/>
                <w:sz w:val="24"/>
              </w:rPr>
            </w:pPr>
          </w:p>
        </w:tc>
        <w:tc>
          <w:tcPr>
            <w:tcW w:w="4394" w:type="dxa"/>
            <w:vAlign w:val="center"/>
          </w:tcPr>
          <w:p w:rsidR="00013EC7" w:rsidRDefault="00575CDB">
            <w:pPr>
              <w:spacing w:line="300" w:lineRule="exact"/>
              <w:rPr>
                <w:rFonts w:ascii="仿宋" w:eastAsia="仿宋" w:hAnsi="仿宋" w:cs="宋体"/>
                <w:color w:val="000000" w:themeColor="text1"/>
                <w:kern w:val="1"/>
                <w:sz w:val="24"/>
              </w:rPr>
            </w:pPr>
            <w:r>
              <w:rPr>
                <w:rFonts w:ascii="仿宋" w:eastAsia="仿宋" w:hAnsi="仿宋" w:cs="宋体" w:hint="eastAsia"/>
                <w:color w:val="000000" w:themeColor="text1"/>
                <w:kern w:val="1"/>
                <w:sz w:val="24"/>
              </w:rPr>
              <w:t>（三十）纳入《企业所得税法》第24条规定抵免范围的外国企业或符合《企业所得税法》第45条规定的受控外国企业，应报送按照中国会计制度编报的年度独立财务报表。</w:t>
            </w:r>
          </w:p>
        </w:tc>
        <w:tc>
          <w:tcPr>
            <w:tcW w:w="851" w:type="dxa"/>
            <w:vMerge/>
            <w:vAlign w:val="center"/>
          </w:tcPr>
          <w:p w:rsidR="00013EC7" w:rsidRDefault="00013EC7">
            <w:pPr>
              <w:jc w:val="left"/>
              <w:rPr>
                <w:rFonts w:ascii="仿宋" w:eastAsia="仿宋" w:hAnsi="仿宋"/>
                <w:color w:val="000000" w:themeColor="text1"/>
                <w:sz w:val="24"/>
              </w:rPr>
            </w:pPr>
          </w:p>
        </w:tc>
        <w:tc>
          <w:tcPr>
            <w:tcW w:w="4252" w:type="dxa"/>
            <w:vAlign w:val="center"/>
          </w:tcPr>
          <w:p w:rsidR="00013EC7" w:rsidRDefault="00575CDB">
            <w:pPr>
              <w:spacing w:line="300" w:lineRule="exact"/>
              <w:rPr>
                <w:rFonts w:ascii="仿宋" w:eastAsia="仿宋" w:hAnsi="仿宋" w:cs="宋体"/>
                <w:color w:val="000000" w:themeColor="text1"/>
                <w:kern w:val="1"/>
                <w:sz w:val="24"/>
              </w:rPr>
            </w:pPr>
            <w:r>
              <w:rPr>
                <w:rFonts w:ascii="仿宋" w:eastAsia="仿宋" w:hAnsi="仿宋" w:cs="宋体" w:hint="eastAsia"/>
                <w:color w:val="000000" w:themeColor="text1"/>
                <w:kern w:val="1"/>
                <w:sz w:val="24"/>
              </w:rPr>
              <w:t>（二十九）纳入《企业所得税法》第24条规定抵免范围的外国企业或符合《企业所得税法》第45条规定的受控外国企业，应报送按照中国会计制度编报的年度独立财务报表。</w:t>
            </w:r>
          </w:p>
        </w:tc>
        <w:tc>
          <w:tcPr>
            <w:tcW w:w="851" w:type="dxa"/>
            <w:vMerge/>
            <w:vAlign w:val="center"/>
          </w:tcPr>
          <w:p w:rsidR="00013EC7" w:rsidRDefault="00013EC7">
            <w:pPr>
              <w:jc w:val="left"/>
              <w:rPr>
                <w:rFonts w:ascii="仿宋" w:eastAsia="仿宋" w:hAnsi="仿宋"/>
                <w:color w:val="000000" w:themeColor="text1"/>
                <w:sz w:val="24"/>
              </w:rPr>
            </w:pPr>
          </w:p>
        </w:tc>
        <w:tc>
          <w:tcPr>
            <w:tcW w:w="2126" w:type="dxa"/>
            <w:vMerge/>
            <w:vAlign w:val="center"/>
          </w:tcPr>
          <w:p w:rsidR="00013EC7" w:rsidRDefault="00013EC7">
            <w:pPr>
              <w:spacing w:line="300" w:lineRule="exact"/>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851" w:type="dxa"/>
            <w:vMerge/>
            <w:vAlign w:val="center"/>
          </w:tcPr>
          <w:p w:rsidR="00013EC7" w:rsidRDefault="00013EC7">
            <w:pPr>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709" w:type="dxa"/>
            <w:vMerge/>
            <w:vAlign w:val="center"/>
          </w:tcPr>
          <w:p w:rsidR="00013EC7" w:rsidRDefault="00013EC7">
            <w:pPr>
              <w:rPr>
                <w:rFonts w:ascii="仿宋" w:eastAsia="仿宋" w:hAnsi="仿宋"/>
                <w:color w:val="000000" w:themeColor="text1"/>
                <w:sz w:val="24"/>
              </w:rPr>
            </w:pPr>
          </w:p>
        </w:tc>
        <w:tc>
          <w:tcPr>
            <w:tcW w:w="1133" w:type="dxa"/>
            <w:vMerge/>
            <w:vAlign w:val="center"/>
          </w:tcPr>
          <w:p w:rsidR="00013EC7" w:rsidRDefault="00013EC7">
            <w:pPr>
              <w:rPr>
                <w:rFonts w:ascii="仿宋" w:eastAsia="仿宋" w:hAnsi="仿宋"/>
                <w:color w:val="000000" w:themeColor="text1"/>
                <w:sz w:val="24"/>
              </w:rPr>
            </w:pPr>
          </w:p>
        </w:tc>
      </w:tr>
      <w:tr w:rsidR="00013EC7">
        <w:trPr>
          <w:trHeight w:val="340"/>
          <w:jc w:val="center"/>
        </w:trPr>
        <w:tc>
          <w:tcPr>
            <w:tcW w:w="672" w:type="dxa"/>
            <w:vMerge/>
            <w:textDirection w:val="tbRlV"/>
            <w:vAlign w:val="center"/>
          </w:tcPr>
          <w:p w:rsidR="00013EC7" w:rsidRDefault="00013EC7">
            <w:pPr>
              <w:rPr>
                <w:rFonts w:ascii="仿宋" w:eastAsia="仿宋" w:hAnsi="仿宋"/>
                <w:color w:val="000000" w:themeColor="text1"/>
                <w:sz w:val="24"/>
              </w:rPr>
            </w:pPr>
          </w:p>
        </w:tc>
        <w:tc>
          <w:tcPr>
            <w:tcW w:w="1035" w:type="dxa"/>
            <w:vMerge/>
            <w:vAlign w:val="center"/>
          </w:tcPr>
          <w:p w:rsidR="00013EC7" w:rsidRDefault="00013EC7">
            <w:pPr>
              <w:rPr>
                <w:rFonts w:ascii="仿宋" w:eastAsia="仿宋" w:hAnsi="仿宋"/>
                <w:color w:val="000000" w:themeColor="text1"/>
                <w:sz w:val="24"/>
              </w:rPr>
            </w:pPr>
          </w:p>
        </w:tc>
        <w:tc>
          <w:tcPr>
            <w:tcW w:w="1271" w:type="dxa"/>
            <w:vMerge/>
            <w:vAlign w:val="center"/>
          </w:tcPr>
          <w:p w:rsidR="00013EC7" w:rsidRDefault="00013EC7">
            <w:pPr>
              <w:rPr>
                <w:rFonts w:ascii="仿宋" w:eastAsia="仿宋" w:hAnsi="仿宋"/>
                <w:color w:val="000000" w:themeColor="text1"/>
                <w:sz w:val="24"/>
              </w:rPr>
            </w:pPr>
          </w:p>
        </w:tc>
        <w:tc>
          <w:tcPr>
            <w:tcW w:w="4394" w:type="dxa"/>
            <w:vAlign w:val="center"/>
          </w:tcPr>
          <w:p w:rsidR="00013EC7" w:rsidRDefault="00575CDB">
            <w:pPr>
              <w:spacing w:line="300" w:lineRule="exact"/>
              <w:rPr>
                <w:rFonts w:ascii="仿宋" w:eastAsia="仿宋" w:hAnsi="仿宋" w:cs="宋体"/>
                <w:color w:val="000000" w:themeColor="text1"/>
                <w:kern w:val="1"/>
                <w:sz w:val="24"/>
              </w:rPr>
            </w:pPr>
            <w:r>
              <w:rPr>
                <w:rFonts w:ascii="仿宋" w:eastAsia="仿宋" w:hAnsi="仿宋" w:cs="宋体" w:hint="eastAsia"/>
                <w:color w:val="000000" w:themeColor="text1"/>
                <w:kern w:val="1"/>
                <w:sz w:val="24"/>
              </w:rPr>
              <w:t>（三十一）适用分期均匀计入相应年度的应纳税所得额按规定计算缴纳企业所得税的，应向主管税务机关报送（A06657）《非货币性资产投资递延纳税调整明细表》；</w:t>
            </w:r>
          </w:p>
        </w:tc>
        <w:tc>
          <w:tcPr>
            <w:tcW w:w="851" w:type="dxa"/>
            <w:vAlign w:val="center"/>
          </w:tcPr>
          <w:p w:rsidR="00013EC7" w:rsidRDefault="00575CDB">
            <w:pPr>
              <w:jc w:val="left"/>
              <w:rPr>
                <w:rFonts w:ascii="仿宋" w:eastAsia="仿宋" w:hAnsi="仿宋"/>
                <w:color w:val="000000" w:themeColor="text1"/>
                <w:sz w:val="24"/>
              </w:rPr>
            </w:pPr>
            <w:r>
              <w:rPr>
                <w:rFonts w:ascii="仿宋" w:eastAsia="仿宋" w:hAnsi="仿宋" w:cs="宋体" w:hint="eastAsia"/>
                <w:color w:val="000000" w:themeColor="text1"/>
                <w:kern w:val="1"/>
                <w:sz w:val="24"/>
              </w:rPr>
              <w:t>以非货币性资产对外投资的纳税人</w:t>
            </w:r>
          </w:p>
        </w:tc>
        <w:tc>
          <w:tcPr>
            <w:tcW w:w="4252" w:type="dxa"/>
            <w:vAlign w:val="center"/>
          </w:tcPr>
          <w:p w:rsidR="00013EC7" w:rsidRDefault="00575CDB">
            <w:pPr>
              <w:spacing w:line="300" w:lineRule="exact"/>
              <w:rPr>
                <w:rFonts w:ascii="仿宋" w:eastAsia="仿宋" w:hAnsi="仿宋"/>
                <w:color w:val="000000" w:themeColor="text1"/>
                <w:sz w:val="24"/>
              </w:rPr>
            </w:pPr>
            <w:r>
              <w:rPr>
                <w:rFonts w:ascii="仿宋" w:eastAsia="仿宋" w:hAnsi="仿宋" w:cs="宋体" w:hint="eastAsia"/>
                <w:color w:val="000000" w:themeColor="text1"/>
                <w:kern w:val="1"/>
                <w:sz w:val="24"/>
              </w:rPr>
              <w:t>（三十）适用分期均匀计入相应年度的应纳税所得额按规定计算缴纳企业所得税的，应向主管税务机关报送（A06657）《非货币性资产投资递延纳税调整明细表》。</w:t>
            </w:r>
          </w:p>
        </w:tc>
        <w:tc>
          <w:tcPr>
            <w:tcW w:w="851" w:type="dxa"/>
            <w:vAlign w:val="center"/>
          </w:tcPr>
          <w:p w:rsidR="00013EC7" w:rsidRDefault="00575CDB">
            <w:pPr>
              <w:jc w:val="left"/>
              <w:rPr>
                <w:rFonts w:ascii="仿宋" w:eastAsia="仿宋" w:hAnsi="仿宋"/>
                <w:color w:val="000000" w:themeColor="text1"/>
                <w:sz w:val="24"/>
              </w:rPr>
            </w:pPr>
            <w:r>
              <w:rPr>
                <w:rFonts w:ascii="仿宋" w:eastAsia="仿宋" w:hAnsi="仿宋" w:cs="宋体" w:hint="eastAsia"/>
                <w:color w:val="000000" w:themeColor="text1"/>
                <w:kern w:val="1"/>
                <w:sz w:val="24"/>
              </w:rPr>
              <w:t>以非货币性资产对外投资的纳税人</w:t>
            </w:r>
          </w:p>
        </w:tc>
        <w:tc>
          <w:tcPr>
            <w:tcW w:w="2126" w:type="dxa"/>
            <w:vMerge/>
            <w:vAlign w:val="center"/>
          </w:tcPr>
          <w:p w:rsidR="00013EC7" w:rsidRDefault="00013EC7">
            <w:pPr>
              <w:spacing w:line="300" w:lineRule="exact"/>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851" w:type="dxa"/>
            <w:vMerge/>
            <w:vAlign w:val="center"/>
          </w:tcPr>
          <w:p w:rsidR="00013EC7" w:rsidRDefault="00013EC7">
            <w:pPr>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709" w:type="dxa"/>
            <w:vMerge/>
            <w:vAlign w:val="center"/>
          </w:tcPr>
          <w:p w:rsidR="00013EC7" w:rsidRDefault="00013EC7">
            <w:pPr>
              <w:rPr>
                <w:rFonts w:ascii="仿宋" w:eastAsia="仿宋" w:hAnsi="仿宋"/>
                <w:color w:val="000000" w:themeColor="text1"/>
                <w:sz w:val="24"/>
              </w:rPr>
            </w:pPr>
          </w:p>
        </w:tc>
        <w:tc>
          <w:tcPr>
            <w:tcW w:w="1133" w:type="dxa"/>
            <w:vMerge/>
            <w:vAlign w:val="center"/>
          </w:tcPr>
          <w:p w:rsidR="00013EC7" w:rsidRDefault="00013EC7">
            <w:pPr>
              <w:rPr>
                <w:rFonts w:ascii="仿宋" w:eastAsia="仿宋" w:hAnsi="仿宋"/>
                <w:color w:val="000000" w:themeColor="text1"/>
                <w:sz w:val="24"/>
              </w:rPr>
            </w:pPr>
          </w:p>
        </w:tc>
      </w:tr>
      <w:tr w:rsidR="00013EC7">
        <w:trPr>
          <w:trHeight w:val="260"/>
          <w:jc w:val="center"/>
        </w:trPr>
        <w:tc>
          <w:tcPr>
            <w:tcW w:w="672" w:type="dxa"/>
            <w:vMerge/>
            <w:textDirection w:val="tbRlV"/>
            <w:vAlign w:val="center"/>
          </w:tcPr>
          <w:p w:rsidR="00013EC7" w:rsidRDefault="00013EC7">
            <w:pPr>
              <w:rPr>
                <w:rFonts w:ascii="仿宋" w:eastAsia="仿宋" w:hAnsi="仿宋"/>
                <w:color w:val="000000" w:themeColor="text1"/>
                <w:sz w:val="24"/>
              </w:rPr>
            </w:pPr>
          </w:p>
        </w:tc>
        <w:tc>
          <w:tcPr>
            <w:tcW w:w="1035" w:type="dxa"/>
            <w:vMerge/>
            <w:vAlign w:val="center"/>
          </w:tcPr>
          <w:p w:rsidR="00013EC7" w:rsidRDefault="00013EC7">
            <w:pPr>
              <w:rPr>
                <w:rFonts w:ascii="仿宋" w:eastAsia="仿宋" w:hAnsi="仿宋"/>
                <w:color w:val="000000" w:themeColor="text1"/>
                <w:sz w:val="24"/>
              </w:rPr>
            </w:pPr>
          </w:p>
        </w:tc>
        <w:tc>
          <w:tcPr>
            <w:tcW w:w="1271" w:type="dxa"/>
            <w:vMerge/>
            <w:vAlign w:val="center"/>
          </w:tcPr>
          <w:p w:rsidR="00013EC7" w:rsidRDefault="00013EC7">
            <w:pPr>
              <w:rPr>
                <w:rFonts w:ascii="仿宋" w:eastAsia="仿宋" w:hAnsi="仿宋"/>
                <w:color w:val="000000" w:themeColor="text1"/>
                <w:sz w:val="24"/>
              </w:rPr>
            </w:pPr>
          </w:p>
        </w:tc>
        <w:tc>
          <w:tcPr>
            <w:tcW w:w="4394" w:type="dxa"/>
            <w:vAlign w:val="center"/>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（三十二）《企业重组所得税特殊性税务处理报告表及附表》。</w:t>
            </w:r>
          </w:p>
        </w:tc>
        <w:tc>
          <w:tcPr>
            <w:tcW w:w="851" w:type="dxa"/>
            <w:vMerge w:val="restart"/>
            <w:vAlign w:val="center"/>
          </w:tcPr>
          <w:p w:rsidR="00013EC7" w:rsidRDefault="00575CDB">
            <w:pPr>
              <w:jc w:val="left"/>
              <w:rPr>
                <w:rFonts w:ascii="仿宋" w:eastAsia="仿宋" w:hAnsi="仿宋"/>
                <w:color w:val="000000" w:themeColor="text1"/>
                <w:sz w:val="24"/>
              </w:rPr>
            </w:pPr>
            <w:r>
              <w:rPr>
                <w:rFonts w:ascii="仿宋" w:eastAsia="仿宋" w:hAnsi="仿宋"/>
                <w:color w:val="000000" w:themeColor="text1"/>
                <w:sz w:val="24"/>
              </w:rPr>
              <w:t>发生</w:t>
            </w:r>
            <w:r>
              <w:rPr>
                <w:rFonts w:ascii="仿宋" w:eastAsia="仿宋" w:hAnsi="仿宋" w:hint="eastAsia"/>
                <w:color w:val="000000" w:themeColor="text1"/>
                <w:sz w:val="24"/>
              </w:rPr>
              <w:t>债务重组</w:t>
            </w:r>
            <w:r>
              <w:rPr>
                <w:rFonts w:ascii="仿宋" w:eastAsia="仿宋" w:hAnsi="仿宋"/>
                <w:color w:val="000000" w:themeColor="text1"/>
                <w:sz w:val="24"/>
              </w:rPr>
              <w:t>并选择特殊性税务处理的</w:t>
            </w:r>
            <w:r>
              <w:rPr>
                <w:rFonts w:ascii="仿宋" w:eastAsia="仿宋" w:hAnsi="仿宋" w:hint="eastAsia"/>
                <w:color w:val="000000" w:themeColor="text1"/>
                <w:sz w:val="24"/>
              </w:rPr>
              <w:t>纳税人提交</w:t>
            </w:r>
          </w:p>
        </w:tc>
        <w:tc>
          <w:tcPr>
            <w:tcW w:w="4252" w:type="dxa"/>
            <w:vAlign w:val="center"/>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（三十一）《企业重组所得税特殊性税务处理报告表及附表》。</w:t>
            </w:r>
          </w:p>
        </w:tc>
        <w:tc>
          <w:tcPr>
            <w:tcW w:w="851" w:type="dxa"/>
            <w:vMerge w:val="restart"/>
            <w:vAlign w:val="center"/>
          </w:tcPr>
          <w:p w:rsidR="00013EC7" w:rsidRDefault="00575CDB">
            <w:pPr>
              <w:jc w:val="left"/>
              <w:rPr>
                <w:rFonts w:ascii="仿宋" w:eastAsia="仿宋" w:hAnsi="仿宋"/>
                <w:color w:val="000000" w:themeColor="text1"/>
                <w:sz w:val="24"/>
              </w:rPr>
            </w:pPr>
            <w:r>
              <w:rPr>
                <w:rFonts w:ascii="仿宋" w:eastAsia="仿宋" w:hAnsi="仿宋"/>
                <w:color w:val="000000" w:themeColor="text1"/>
                <w:sz w:val="24"/>
              </w:rPr>
              <w:t>发生</w:t>
            </w:r>
            <w:r>
              <w:rPr>
                <w:rFonts w:ascii="仿宋" w:eastAsia="仿宋" w:hAnsi="仿宋" w:hint="eastAsia"/>
                <w:color w:val="000000" w:themeColor="text1"/>
                <w:sz w:val="24"/>
              </w:rPr>
              <w:t>债务重组</w:t>
            </w:r>
            <w:r>
              <w:rPr>
                <w:rFonts w:ascii="仿宋" w:eastAsia="仿宋" w:hAnsi="仿宋"/>
                <w:color w:val="000000" w:themeColor="text1"/>
                <w:sz w:val="24"/>
              </w:rPr>
              <w:t>并选择特殊性税务处理的</w:t>
            </w:r>
            <w:r>
              <w:rPr>
                <w:rFonts w:ascii="仿宋" w:eastAsia="仿宋" w:hAnsi="仿宋" w:hint="eastAsia"/>
                <w:color w:val="000000" w:themeColor="text1"/>
                <w:sz w:val="24"/>
              </w:rPr>
              <w:t>纳税人提交</w:t>
            </w:r>
          </w:p>
        </w:tc>
        <w:tc>
          <w:tcPr>
            <w:tcW w:w="2126" w:type="dxa"/>
            <w:vMerge/>
            <w:vAlign w:val="center"/>
          </w:tcPr>
          <w:p w:rsidR="00013EC7" w:rsidRDefault="00013EC7">
            <w:pPr>
              <w:rPr>
                <w:rFonts w:ascii="仿宋" w:eastAsia="仿宋" w:hAnsi="仿宋"/>
                <w:b/>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851" w:type="dxa"/>
            <w:vMerge/>
            <w:vAlign w:val="center"/>
          </w:tcPr>
          <w:p w:rsidR="00013EC7" w:rsidRDefault="00013EC7">
            <w:pPr>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709" w:type="dxa"/>
            <w:vMerge/>
            <w:vAlign w:val="center"/>
          </w:tcPr>
          <w:p w:rsidR="00013EC7" w:rsidRDefault="00013EC7">
            <w:pPr>
              <w:rPr>
                <w:rFonts w:ascii="仿宋" w:eastAsia="仿宋" w:hAnsi="仿宋"/>
                <w:color w:val="000000" w:themeColor="text1"/>
                <w:sz w:val="24"/>
              </w:rPr>
            </w:pPr>
          </w:p>
        </w:tc>
        <w:tc>
          <w:tcPr>
            <w:tcW w:w="1133" w:type="dxa"/>
            <w:vMerge/>
            <w:vAlign w:val="center"/>
          </w:tcPr>
          <w:p w:rsidR="00013EC7" w:rsidRDefault="00013EC7">
            <w:pPr>
              <w:rPr>
                <w:rFonts w:ascii="仿宋" w:eastAsia="仿宋" w:hAnsi="仿宋"/>
                <w:color w:val="000000" w:themeColor="text1"/>
                <w:sz w:val="24"/>
              </w:rPr>
            </w:pPr>
          </w:p>
        </w:tc>
      </w:tr>
      <w:tr w:rsidR="00013EC7">
        <w:trPr>
          <w:trHeight w:val="260"/>
          <w:jc w:val="center"/>
        </w:trPr>
        <w:tc>
          <w:tcPr>
            <w:tcW w:w="672" w:type="dxa"/>
            <w:vMerge/>
            <w:textDirection w:val="tbRlV"/>
            <w:vAlign w:val="center"/>
          </w:tcPr>
          <w:p w:rsidR="00013EC7" w:rsidRDefault="00013EC7">
            <w:pPr>
              <w:rPr>
                <w:rFonts w:ascii="仿宋" w:eastAsia="仿宋" w:hAnsi="仿宋"/>
                <w:color w:val="000000" w:themeColor="text1"/>
                <w:sz w:val="24"/>
              </w:rPr>
            </w:pPr>
          </w:p>
        </w:tc>
        <w:tc>
          <w:tcPr>
            <w:tcW w:w="1035" w:type="dxa"/>
            <w:vMerge/>
            <w:vAlign w:val="center"/>
          </w:tcPr>
          <w:p w:rsidR="00013EC7" w:rsidRDefault="00013EC7">
            <w:pPr>
              <w:rPr>
                <w:rFonts w:ascii="仿宋" w:eastAsia="仿宋" w:hAnsi="仿宋"/>
                <w:color w:val="000000" w:themeColor="text1"/>
                <w:sz w:val="24"/>
              </w:rPr>
            </w:pPr>
          </w:p>
        </w:tc>
        <w:tc>
          <w:tcPr>
            <w:tcW w:w="1271" w:type="dxa"/>
            <w:vMerge/>
            <w:vAlign w:val="center"/>
          </w:tcPr>
          <w:p w:rsidR="00013EC7" w:rsidRDefault="00013EC7">
            <w:pPr>
              <w:rPr>
                <w:rFonts w:ascii="仿宋" w:eastAsia="仿宋" w:hAnsi="仿宋"/>
                <w:color w:val="000000" w:themeColor="text1"/>
                <w:sz w:val="24"/>
              </w:rPr>
            </w:pPr>
          </w:p>
        </w:tc>
        <w:tc>
          <w:tcPr>
            <w:tcW w:w="4394" w:type="dxa"/>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highlight w:val="lightGray"/>
              </w:rPr>
              <w:t>（三十三）债务重组的总体情况说明，包括债务重组方案、基本情况、债务重组所产生的应纳税所得额，并逐条说明债务重组的商业目的；以非货币资产清偿债务的，还应包括企业当年应纳税所得额情况。</w:t>
            </w:r>
          </w:p>
        </w:tc>
        <w:tc>
          <w:tcPr>
            <w:tcW w:w="851" w:type="dxa"/>
            <w:vMerge/>
            <w:vAlign w:val="center"/>
          </w:tcPr>
          <w:p w:rsidR="00013EC7" w:rsidRDefault="00013EC7">
            <w:pPr>
              <w:jc w:val="left"/>
              <w:rPr>
                <w:rFonts w:ascii="仿宋" w:eastAsia="仿宋" w:hAnsi="仿宋"/>
                <w:color w:val="000000" w:themeColor="text1"/>
                <w:sz w:val="24"/>
              </w:rPr>
            </w:pPr>
          </w:p>
        </w:tc>
        <w:tc>
          <w:tcPr>
            <w:tcW w:w="4252" w:type="dxa"/>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三十二）债务重组的总体情况说明，包括债务重组方案、基本情况、债务重组所产生的应纳税所得额，并逐条说明债务重组的商业目的；以非货币资产清偿债务的，还应包括企业当年应纳税所得额情况（留存备查）。</w:t>
            </w:r>
          </w:p>
        </w:tc>
        <w:tc>
          <w:tcPr>
            <w:tcW w:w="851" w:type="dxa"/>
            <w:vMerge/>
            <w:vAlign w:val="center"/>
          </w:tcPr>
          <w:p w:rsidR="00013EC7" w:rsidRDefault="00013EC7">
            <w:pPr>
              <w:jc w:val="left"/>
              <w:rPr>
                <w:rFonts w:ascii="仿宋" w:eastAsia="仿宋" w:hAnsi="仿宋"/>
                <w:color w:val="000000" w:themeColor="text1"/>
                <w:sz w:val="24"/>
              </w:rPr>
            </w:pPr>
          </w:p>
        </w:tc>
        <w:tc>
          <w:tcPr>
            <w:tcW w:w="2126" w:type="dxa"/>
            <w:vMerge/>
            <w:vAlign w:val="center"/>
          </w:tcPr>
          <w:p w:rsidR="00013EC7" w:rsidRDefault="00013EC7">
            <w:pPr>
              <w:rPr>
                <w:rFonts w:ascii="仿宋" w:eastAsia="仿宋" w:hAnsi="仿宋"/>
                <w:b/>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851" w:type="dxa"/>
            <w:vMerge/>
            <w:vAlign w:val="center"/>
          </w:tcPr>
          <w:p w:rsidR="00013EC7" w:rsidRDefault="00013EC7">
            <w:pPr>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709" w:type="dxa"/>
            <w:vMerge/>
            <w:vAlign w:val="center"/>
          </w:tcPr>
          <w:p w:rsidR="00013EC7" w:rsidRDefault="00013EC7">
            <w:pPr>
              <w:rPr>
                <w:rFonts w:ascii="仿宋" w:eastAsia="仿宋" w:hAnsi="仿宋"/>
                <w:color w:val="000000" w:themeColor="text1"/>
                <w:sz w:val="24"/>
              </w:rPr>
            </w:pPr>
          </w:p>
        </w:tc>
        <w:tc>
          <w:tcPr>
            <w:tcW w:w="1133" w:type="dxa"/>
            <w:vMerge/>
            <w:vAlign w:val="center"/>
          </w:tcPr>
          <w:p w:rsidR="00013EC7" w:rsidRDefault="00013EC7">
            <w:pPr>
              <w:rPr>
                <w:rFonts w:ascii="仿宋" w:eastAsia="仿宋" w:hAnsi="仿宋"/>
                <w:color w:val="000000" w:themeColor="text1"/>
                <w:sz w:val="24"/>
              </w:rPr>
            </w:pPr>
          </w:p>
        </w:tc>
      </w:tr>
      <w:tr w:rsidR="00013EC7">
        <w:trPr>
          <w:trHeight w:val="260"/>
          <w:jc w:val="center"/>
        </w:trPr>
        <w:tc>
          <w:tcPr>
            <w:tcW w:w="672" w:type="dxa"/>
            <w:vMerge/>
            <w:textDirection w:val="tbRlV"/>
            <w:vAlign w:val="center"/>
          </w:tcPr>
          <w:p w:rsidR="00013EC7" w:rsidRDefault="00013EC7">
            <w:pPr>
              <w:rPr>
                <w:rFonts w:ascii="仿宋" w:eastAsia="仿宋" w:hAnsi="仿宋"/>
                <w:color w:val="000000" w:themeColor="text1"/>
                <w:sz w:val="24"/>
              </w:rPr>
            </w:pPr>
          </w:p>
        </w:tc>
        <w:tc>
          <w:tcPr>
            <w:tcW w:w="1035" w:type="dxa"/>
            <w:vMerge/>
            <w:vAlign w:val="center"/>
          </w:tcPr>
          <w:p w:rsidR="00013EC7" w:rsidRDefault="00013EC7">
            <w:pPr>
              <w:rPr>
                <w:rFonts w:ascii="仿宋" w:eastAsia="仿宋" w:hAnsi="仿宋"/>
                <w:color w:val="000000" w:themeColor="text1"/>
                <w:sz w:val="24"/>
              </w:rPr>
            </w:pPr>
          </w:p>
        </w:tc>
        <w:tc>
          <w:tcPr>
            <w:tcW w:w="1271" w:type="dxa"/>
            <w:vMerge/>
            <w:vAlign w:val="center"/>
          </w:tcPr>
          <w:p w:rsidR="00013EC7" w:rsidRDefault="00013EC7">
            <w:pPr>
              <w:rPr>
                <w:rFonts w:ascii="仿宋" w:eastAsia="仿宋" w:hAnsi="仿宋"/>
                <w:color w:val="000000" w:themeColor="text1"/>
                <w:sz w:val="24"/>
              </w:rPr>
            </w:pPr>
          </w:p>
        </w:tc>
        <w:tc>
          <w:tcPr>
            <w:tcW w:w="4394" w:type="dxa"/>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highlight w:val="lightGray"/>
              </w:rPr>
              <w:t>（三十四）当事各方所签订的债务重组合同或协议，需有权部门（包括内部和外部）批准的，应提供批准文件。</w:t>
            </w:r>
          </w:p>
        </w:tc>
        <w:tc>
          <w:tcPr>
            <w:tcW w:w="851" w:type="dxa"/>
            <w:vMerge/>
            <w:vAlign w:val="center"/>
          </w:tcPr>
          <w:p w:rsidR="00013EC7" w:rsidRDefault="00013EC7">
            <w:pPr>
              <w:jc w:val="left"/>
              <w:rPr>
                <w:rFonts w:ascii="仿宋" w:eastAsia="仿宋" w:hAnsi="仿宋"/>
                <w:color w:val="000000" w:themeColor="text1"/>
                <w:sz w:val="24"/>
              </w:rPr>
            </w:pPr>
          </w:p>
        </w:tc>
        <w:tc>
          <w:tcPr>
            <w:tcW w:w="4252" w:type="dxa"/>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（三十三）当事各方所签订的债务重组合同或协议，需有权部门（包括内部和外部）批准的，应提供批准文件（留存备查）。</w:t>
            </w:r>
          </w:p>
        </w:tc>
        <w:tc>
          <w:tcPr>
            <w:tcW w:w="851" w:type="dxa"/>
            <w:vMerge/>
            <w:vAlign w:val="center"/>
          </w:tcPr>
          <w:p w:rsidR="00013EC7" w:rsidRDefault="00013EC7">
            <w:pPr>
              <w:jc w:val="left"/>
              <w:rPr>
                <w:rFonts w:ascii="仿宋" w:eastAsia="仿宋" w:hAnsi="仿宋"/>
                <w:color w:val="000000" w:themeColor="text1"/>
                <w:sz w:val="24"/>
              </w:rPr>
            </w:pPr>
          </w:p>
        </w:tc>
        <w:tc>
          <w:tcPr>
            <w:tcW w:w="2126" w:type="dxa"/>
            <w:vMerge/>
            <w:vAlign w:val="center"/>
          </w:tcPr>
          <w:p w:rsidR="00013EC7" w:rsidRDefault="00013EC7">
            <w:pPr>
              <w:rPr>
                <w:rFonts w:ascii="仿宋" w:eastAsia="仿宋" w:hAnsi="仿宋"/>
                <w:b/>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851" w:type="dxa"/>
            <w:vMerge/>
            <w:vAlign w:val="center"/>
          </w:tcPr>
          <w:p w:rsidR="00013EC7" w:rsidRDefault="00013EC7">
            <w:pPr>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709" w:type="dxa"/>
            <w:vMerge/>
            <w:vAlign w:val="center"/>
          </w:tcPr>
          <w:p w:rsidR="00013EC7" w:rsidRDefault="00013EC7">
            <w:pPr>
              <w:rPr>
                <w:rFonts w:ascii="仿宋" w:eastAsia="仿宋" w:hAnsi="仿宋"/>
                <w:color w:val="000000" w:themeColor="text1"/>
                <w:sz w:val="24"/>
              </w:rPr>
            </w:pPr>
          </w:p>
        </w:tc>
        <w:tc>
          <w:tcPr>
            <w:tcW w:w="1133" w:type="dxa"/>
            <w:vMerge/>
            <w:vAlign w:val="center"/>
          </w:tcPr>
          <w:p w:rsidR="00013EC7" w:rsidRDefault="00013EC7">
            <w:pPr>
              <w:rPr>
                <w:rFonts w:ascii="仿宋" w:eastAsia="仿宋" w:hAnsi="仿宋"/>
                <w:color w:val="000000" w:themeColor="text1"/>
                <w:sz w:val="24"/>
              </w:rPr>
            </w:pPr>
          </w:p>
        </w:tc>
      </w:tr>
      <w:tr w:rsidR="00013EC7">
        <w:trPr>
          <w:trHeight w:val="260"/>
          <w:jc w:val="center"/>
        </w:trPr>
        <w:tc>
          <w:tcPr>
            <w:tcW w:w="672" w:type="dxa"/>
            <w:vMerge/>
            <w:textDirection w:val="tbRlV"/>
            <w:vAlign w:val="center"/>
          </w:tcPr>
          <w:p w:rsidR="00013EC7" w:rsidRDefault="00013EC7">
            <w:pPr>
              <w:rPr>
                <w:rFonts w:ascii="仿宋" w:eastAsia="仿宋" w:hAnsi="仿宋"/>
                <w:color w:val="000000" w:themeColor="text1"/>
                <w:sz w:val="24"/>
              </w:rPr>
            </w:pPr>
          </w:p>
        </w:tc>
        <w:tc>
          <w:tcPr>
            <w:tcW w:w="1035" w:type="dxa"/>
            <w:vMerge/>
            <w:vAlign w:val="center"/>
          </w:tcPr>
          <w:p w:rsidR="00013EC7" w:rsidRDefault="00013EC7">
            <w:pPr>
              <w:rPr>
                <w:rFonts w:ascii="仿宋" w:eastAsia="仿宋" w:hAnsi="仿宋"/>
                <w:color w:val="000000" w:themeColor="text1"/>
                <w:sz w:val="24"/>
              </w:rPr>
            </w:pPr>
          </w:p>
        </w:tc>
        <w:tc>
          <w:tcPr>
            <w:tcW w:w="1271" w:type="dxa"/>
            <w:vMerge/>
            <w:vAlign w:val="center"/>
          </w:tcPr>
          <w:p w:rsidR="00013EC7" w:rsidRDefault="00013EC7">
            <w:pPr>
              <w:rPr>
                <w:rFonts w:ascii="仿宋" w:eastAsia="仿宋" w:hAnsi="仿宋"/>
                <w:color w:val="000000" w:themeColor="text1"/>
                <w:sz w:val="24"/>
              </w:rPr>
            </w:pPr>
          </w:p>
        </w:tc>
        <w:tc>
          <w:tcPr>
            <w:tcW w:w="4394" w:type="dxa"/>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（三十五）债务重组所产生的应纳税所得额、企业当年应纳税所得额情况说明。</w:t>
            </w:r>
          </w:p>
        </w:tc>
        <w:tc>
          <w:tcPr>
            <w:tcW w:w="851" w:type="dxa"/>
            <w:vMerge/>
            <w:vAlign w:val="center"/>
          </w:tcPr>
          <w:p w:rsidR="00013EC7" w:rsidRDefault="00013EC7">
            <w:pPr>
              <w:jc w:val="left"/>
              <w:rPr>
                <w:rFonts w:ascii="仿宋" w:eastAsia="仿宋" w:hAnsi="仿宋"/>
                <w:color w:val="000000" w:themeColor="text1"/>
                <w:sz w:val="24"/>
              </w:rPr>
            </w:pPr>
          </w:p>
        </w:tc>
        <w:tc>
          <w:tcPr>
            <w:tcW w:w="4252" w:type="dxa"/>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（三十四）债务重组所产生的应纳税所得额、企业当年应纳税所得额情况说明。</w:t>
            </w:r>
          </w:p>
        </w:tc>
        <w:tc>
          <w:tcPr>
            <w:tcW w:w="851" w:type="dxa"/>
            <w:vMerge/>
            <w:vAlign w:val="center"/>
          </w:tcPr>
          <w:p w:rsidR="00013EC7" w:rsidRDefault="00013EC7">
            <w:pPr>
              <w:jc w:val="left"/>
              <w:rPr>
                <w:rFonts w:ascii="仿宋" w:eastAsia="仿宋" w:hAnsi="仿宋"/>
                <w:color w:val="000000" w:themeColor="text1"/>
                <w:sz w:val="24"/>
              </w:rPr>
            </w:pPr>
          </w:p>
        </w:tc>
        <w:tc>
          <w:tcPr>
            <w:tcW w:w="2126" w:type="dxa"/>
            <w:vMerge/>
            <w:vAlign w:val="center"/>
          </w:tcPr>
          <w:p w:rsidR="00013EC7" w:rsidRDefault="00013EC7">
            <w:pPr>
              <w:rPr>
                <w:rFonts w:ascii="仿宋" w:eastAsia="仿宋" w:hAnsi="仿宋"/>
                <w:b/>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851" w:type="dxa"/>
            <w:vMerge/>
            <w:vAlign w:val="center"/>
          </w:tcPr>
          <w:p w:rsidR="00013EC7" w:rsidRDefault="00013EC7">
            <w:pPr>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709" w:type="dxa"/>
            <w:vMerge/>
            <w:vAlign w:val="center"/>
          </w:tcPr>
          <w:p w:rsidR="00013EC7" w:rsidRDefault="00013EC7">
            <w:pPr>
              <w:rPr>
                <w:rFonts w:ascii="仿宋" w:eastAsia="仿宋" w:hAnsi="仿宋"/>
                <w:color w:val="000000" w:themeColor="text1"/>
                <w:sz w:val="24"/>
              </w:rPr>
            </w:pPr>
          </w:p>
        </w:tc>
        <w:tc>
          <w:tcPr>
            <w:tcW w:w="1133" w:type="dxa"/>
            <w:vMerge/>
            <w:vAlign w:val="center"/>
          </w:tcPr>
          <w:p w:rsidR="00013EC7" w:rsidRDefault="00013EC7">
            <w:pPr>
              <w:rPr>
                <w:rFonts w:ascii="仿宋" w:eastAsia="仿宋" w:hAnsi="仿宋"/>
                <w:color w:val="000000" w:themeColor="text1"/>
                <w:sz w:val="24"/>
              </w:rPr>
            </w:pPr>
          </w:p>
        </w:tc>
      </w:tr>
      <w:tr w:rsidR="00013EC7">
        <w:trPr>
          <w:trHeight w:val="260"/>
          <w:jc w:val="center"/>
        </w:trPr>
        <w:tc>
          <w:tcPr>
            <w:tcW w:w="672" w:type="dxa"/>
            <w:vMerge/>
            <w:textDirection w:val="tbRlV"/>
            <w:vAlign w:val="center"/>
          </w:tcPr>
          <w:p w:rsidR="00013EC7" w:rsidRDefault="00013EC7">
            <w:pPr>
              <w:rPr>
                <w:rFonts w:ascii="仿宋" w:eastAsia="仿宋" w:hAnsi="仿宋"/>
                <w:color w:val="000000" w:themeColor="text1"/>
                <w:sz w:val="24"/>
              </w:rPr>
            </w:pPr>
          </w:p>
        </w:tc>
        <w:tc>
          <w:tcPr>
            <w:tcW w:w="1035" w:type="dxa"/>
            <w:vMerge/>
            <w:vAlign w:val="center"/>
          </w:tcPr>
          <w:p w:rsidR="00013EC7" w:rsidRDefault="00013EC7">
            <w:pPr>
              <w:rPr>
                <w:rFonts w:ascii="仿宋" w:eastAsia="仿宋" w:hAnsi="仿宋"/>
                <w:color w:val="000000" w:themeColor="text1"/>
                <w:sz w:val="24"/>
              </w:rPr>
            </w:pPr>
          </w:p>
        </w:tc>
        <w:tc>
          <w:tcPr>
            <w:tcW w:w="1271" w:type="dxa"/>
            <w:vMerge/>
            <w:vAlign w:val="center"/>
          </w:tcPr>
          <w:p w:rsidR="00013EC7" w:rsidRDefault="00013EC7">
            <w:pPr>
              <w:rPr>
                <w:rFonts w:ascii="仿宋" w:eastAsia="仿宋" w:hAnsi="仿宋"/>
                <w:color w:val="000000" w:themeColor="text1"/>
                <w:sz w:val="24"/>
              </w:rPr>
            </w:pPr>
          </w:p>
        </w:tc>
        <w:tc>
          <w:tcPr>
            <w:tcW w:w="4394" w:type="dxa"/>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highlight w:val="lightGray"/>
              </w:rPr>
              <w:t>（三十六）重组当事各方一致选择特殊性税务处理并加盖当事各方公章的证明资料。</w:t>
            </w:r>
          </w:p>
        </w:tc>
        <w:tc>
          <w:tcPr>
            <w:tcW w:w="851" w:type="dxa"/>
            <w:vMerge/>
            <w:vAlign w:val="center"/>
          </w:tcPr>
          <w:p w:rsidR="00013EC7" w:rsidRDefault="00013EC7">
            <w:pPr>
              <w:jc w:val="left"/>
              <w:rPr>
                <w:rFonts w:ascii="仿宋" w:eastAsia="仿宋" w:hAnsi="仿宋"/>
                <w:color w:val="000000" w:themeColor="text1"/>
                <w:sz w:val="24"/>
              </w:rPr>
            </w:pPr>
          </w:p>
        </w:tc>
        <w:tc>
          <w:tcPr>
            <w:tcW w:w="4252" w:type="dxa"/>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（三十五）重组当事各方一致选择特殊性税务处理并加盖当事各方公章的证明资料（留存备查）。</w:t>
            </w:r>
          </w:p>
        </w:tc>
        <w:tc>
          <w:tcPr>
            <w:tcW w:w="851" w:type="dxa"/>
            <w:vMerge/>
            <w:vAlign w:val="center"/>
          </w:tcPr>
          <w:p w:rsidR="00013EC7" w:rsidRDefault="00013EC7">
            <w:pPr>
              <w:jc w:val="left"/>
              <w:rPr>
                <w:rFonts w:ascii="仿宋" w:eastAsia="仿宋" w:hAnsi="仿宋"/>
                <w:color w:val="000000" w:themeColor="text1"/>
                <w:sz w:val="24"/>
              </w:rPr>
            </w:pPr>
          </w:p>
        </w:tc>
        <w:tc>
          <w:tcPr>
            <w:tcW w:w="2126" w:type="dxa"/>
            <w:vMerge/>
            <w:vAlign w:val="center"/>
          </w:tcPr>
          <w:p w:rsidR="00013EC7" w:rsidRDefault="00013EC7">
            <w:pPr>
              <w:rPr>
                <w:rFonts w:ascii="仿宋" w:eastAsia="仿宋" w:hAnsi="仿宋"/>
                <w:b/>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851" w:type="dxa"/>
            <w:vMerge/>
            <w:vAlign w:val="center"/>
          </w:tcPr>
          <w:p w:rsidR="00013EC7" w:rsidRDefault="00013EC7">
            <w:pPr>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709" w:type="dxa"/>
            <w:vMerge/>
            <w:vAlign w:val="center"/>
          </w:tcPr>
          <w:p w:rsidR="00013EC7" w:rsidRDefault="00013EC7">
            <w:pPr>
              <w:rPr>
                <w:rFonts w:ascii="仿宋" w:eastAsia="仿宋" w:hAnsi="仿宋"/>
                <w:color w:val="000000" w:themeColor="text1"/>
                <w:sz w:val="24"/>
              </w:rPr>
            </w:pPr>
          </w:p>
        </w:tc>
        <w:tc>
          <w:tcPr>
            <w:tcW w:w="1133" w:type="dxa"/>
            <w:vMerge/>
            <w:vAlign w:val="center"/>
          </w:tcPr>
          <w:p w:rsidR="00013EC7" w:rsidRDefault="00013EC7">
            <w:pPr>
              <w:rPr>
                <w:rFonts w:ascii="仿宋" w:eastAsia="仿宋" w:hAnsi="仿宋"/>
                <w:color w:val="000000" w:themeColor="text1"/>
                <w:sz w:val="24"/>
              </w:rPr>
            </w:pPr>
          </w:p>
        </w:tc>
      </w:tr>
      <w:tr w:rsidR="00013EC7">
        <w:trPr>
          <w:trHeight w:val="260"/>
          <w:jc w:val="center"/>
        </w:trPr>
        <w:tc>
          <w:tcPr>
            <w:tcW w:w="672" w:type="dxa"/>
            <w:vMerge/>
            <w:textDirection w:val="tbRlV"/>
            <w:vAlign w:val="center"/>
          </w:tcPr>
          <w:p w:rsidR="00013EC7" w:rsidRDefault="00013EC7">
            <w:pPr>
              <w:rPr>
                <w:rFonts w:ascii="仿宋" w:eastAsia="仿宋" w:hAnsi="仿宋"/>
                <w:color w:val="000000" w:themeColor="text1"/>
                <w:sz w:val="24"/>
              </w:rPr>
            </w:pPr>
          </w:p>
        </w:tc>
        <w:tc>
          <w:tcPr>
            <w:tcW w:w="1035" w:type="dxa"/>
            <w:vMerge/>
            <w:vAlign w:val="center"/>
          </w:tcPr>
          <w:p w:rsidR="00013EC7" w:rsidRDefault="00013EC7">
            <w:pPr>
              <w:rPr>
                <w:rFonts w:ascii="仿宋" w:eastAsia="仿宋" w:hAnsi="仿宋"/>
                <w:color w:val="000000" w:themeColor="text1"/>
                <w:sz w:val="24"/>
              </w:rPr>
            </w:pPr>
          </w:p>
        </w:tc>
        <w:tc>
          <w:tcPr>
            <w:tcW w:w="1271" w:type="dxa"/>
            <w:vMerge/>
            <w:vAlign w:val="center"/>
          </w:tcPr>
          <w:p w:rsidR="00013EC7" w:rsidRDefault="00013EC7">
            <w:pPr>
              <w:rPr>
                <w:rFonts w:ascii="仿宋" w:eastAsia="仿宋" w:hAnsi="仿宋"/>
                <w:color w:val="000000" w:themeColor="text1"/>
                <w:sz w:val="24"/>
              </w:rPr>
            </w:pPr>
          </w:p>
        </w:tc>
        <w:tc>
          <w:tcPr>
            <w:tcW w:w="4394" w:type="dxa"/>
          </w:tcPr>
          <w:p w:rsidR="00013EC7" w:rsidRDefault="00575CDB">
            <w:pPr>
              <w:spacing w:line="300" w:lineRule="exact"/>
              <w:rPr>
                <w:rFonts w:ascii="仿宋" w:eastAsia="仿宋" w:hAnsi="仿宋"/>
                <w:color w:val="000000" w:themeColor="text1"/>
                <w:sz w:val="24"/>
                <w:highlight w:val="lightGray"/>
              </w:rPr>
            </w:pPr>
            <w:r>
              <w:rPr>
                <w:rFonts w:ascii="仿宋" w:eastAsia="仿宋" w:hAnsi="仿宋" w:hint="eastAsia"/>
                <w:color w:val="000000" w:themeColor="text1"/>
                <w:sz w:val="24"/>
                <w:highlight w:val="lightGray"/>
              </w:rPr>
              <w:t>（三十七）重组前连续12个月内有无与该重组相关的其他股权、资产交易,与该重组是否构成分步交易、是否作为一项企业重组业务进行处理情况的说明。</w:t>
            </w:r>
          </w:p>
        </w:tc>
        <w:tc>
          <w:tcPr>
            <w:tcW w:w="851" w:type="dxa"/>
            <w:vMerge/>
            <w:vAlign w:val="center"/>
          </w:tcPr>
          <w:p w:rsidR="00013EC7" w:rsidRDefault="00013EC7">
            <w:pPr>
              <w:jc w:val="left"/>
              <w:rPr>
                <w:rFonts w:ascii="仿宋" w:eastAsia="仿宋" w:hAnsi="仿宋"/>
                <w:color w:val="000000" w:themeColor="text1"/>
                <w:sz w:val="24"/>
              </w:rPr>
            </w:pPr>
          </w:p>
        </w:tc>
        <w:tc>
          <w:tcPr>
            <w:tcW w:w="4252" w:type="dxa"/>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（三十六）重组前连续12个月内有无与该重组相关的其他股权、资产交易,与该重组是否构成分步交易、是否作为一项企业重组业务进行处理情况的说明（留存备查）。</w:t>
            </w:r>
          </w:p>
        </w:tc>
        <w:tc>
          <w:tcPr>
            <w:tcW w:w="851" w:type="dxa"/>
            <w:vMerge/>
            <w:vAlign w:val="center"/>
          </w:tcPr>
          <w:p w:rsidR="00013EC7" w:rsidRDefault="00013EC7">
            <w:pPr>
              <w:jc w:val="left"/>
              <w:rPr>
                <w:rFonts w:ascii="仿宋" w:eastAsia="仿宋" w:hAnsi="仿宋"/>
                <w:color w:val="000000" w:themeColor="text1"/>
                <w:sz w:val="24"/>
              </w:rPr>
            </w:pPr>
          </w:p>
        </w:tc>
        <w:tc>
          <w:tcPr>
            <w:tcW w:w="2126" w:type="dxa"/>
            <w:vMerge/>
            <w:vAlign w:val="center"/>
          </w:tcPr>
          <w:p w:rsidR="00013EC7" w:rsidRDefault="00013EC7">
            <w:pPr>
              <w:rPr>
                <w:rFonts w:ascii="仿宋" w:eastAsia="仿宋" w:hAnsi="仿宋"/>
                <w:b/>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851" w:type="dxa"/>
            <w:vMerge/>
            <w:vAlign w:val="center"/>
          </w:tcPr>
          <w:p w:rsidR="00013EC7" w:rsidRDefault="00013EC7">
            <w:pPr>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709" w:type="dxa"/>
            <w:vMerge/>
            <w:vAlign w:val="center"/>
          </w:tcPr>
          <w:p w:rsidR="00013EC7" w:rsidRDefault="00013EC7">
            <w:pPr>
              <w:rPr>
                <w:rFonts w:ascii="仿宋" w:eastAsia="仿宋" w:hAnsi="仿宋"/>
                <w:color w:val="000000" w:themeColor="text1"/>
                <w:sz w:val="24"/>
              </w:rPr>
            </w:pPr>
          </w:p>
        </w:tc>
        <w:tc>
          <w:tcPr>
            <w:tcW w:w="1133" w:type="dxa"/>
            <w:vMerge/>
            <w:vAlign w:val="center"/>
          </w:tcPr>
          <w:p w:rsidR="00013EC7" w:rsidRDefault="00013EC7">
            <w:pPr>
              <w:rPr>
                <w:rFonts w:ascii="仿宋" w:eastAsia="仿宋" w:hAnsi="仿宋"/>
                <w:color w:val="000000" w:themeColor="text1"/>
                <w:sz w:val="24"/>
              </w:rPr>
            </w:pPr>
          </w:p>
        </w:tc>
      </w:tr>
      <w:tr w:rsidR="00013EC7">
        <w:trPr>
          <w:trHeight w:val="260"/>
          <w:jc w:val="center"/>
        </w:trPr>
        <w:tc>
          <w:tcPr>
            <w:tcW w:w="672" w:type="dxa"/>
            <w:vMerge/>
            <w:textDirection w:val="tbRlV"/>
            <w:vAlign w:val="center"/>
          </w:tcPr>
          <w:p w:rsidR="00013EC7" w:rsidRDefault="00013EC7">
            <w:pPr>
              <w:rPr>
                <w:rFonts w:ascii="仿宋" w:eastAsia="仿宋" w:hAnsi="仿宋"/>
                <w:color w:val="000000" w:themeColor="text1"/>
                <w:sz w:val="24"/>
              </w:rPr>
            </w:pPr>
          </w:p>
        </w:tc>
        <w:tc>
          <w:tcPr>
            <w:tcW w:w="1035" w:type="dxa"/>
            <w:vMerge/>
            <w:vAlign w:val="center"/>
          </w:tcPr>
          <w:p w:rsidR="00013EC7" w:rsidRDefault="00013EC7">
            <w:pPr>
              <w:rPr>
                <w:rFonts w:ascii="仿宋" w:eastAsia="仿宋" w:hAnsi="仿宋"/>
                <w:color w:val="000000" w:themeColor="text1"/>
                <w:sz w:val="24"/>
              </w:rPr>
            </w:pPr>
          </w:p>
        </w:tc>
        <w:tc>
          <w:tcPr>
            <w:tcW w:w="1271" w:type="dxa"/>
            <w:vMerge/>
            <w:vAlign w:val="center"/>
          </w:tcPr>
          <w:p w:rsidR="00013EC7" w:rsidRDefault="00013EC7">
            <w:pPr>
              <w:rPr>
                <w:rFonts w:ascii="仿宋" w:eastAsia="仿宋" w:hAnsi="仿宋"/>
                <w:color w:val="000000" w:themeColor="text1"/>
                <w:sz w:val="24"/>
              </w:rPr>
            </w:pPr>
          </w:p>
        </w:tc>
        <w:tc>
          <w:tcPr>
            <w:tcW w:w="4394" w:type="dxa"/>
          </w:tcPr>
          <w:p w:rsidR="00013EC7" w:rsidRDefault="00575CDB">
            <w:pPr>
              <w:rPr>
                <w:color w:val="000000" w:themeColor="text1"/>
                <w:highlight w:val="lightGray"/>
              </w:rPr>
            </w:pPr>
            <w:r>
              <w:rPr>
                <w:rFonts w:ascii="仿宋" w:eastAsia="仿宋" w:hAnsi="仿宋" w:hint="eastAsia"/>
                <w:color w:val="000000" w:themeColor="text1"/>
                <w:sz w:val="24"/>
                <w:highlight w:val="lightGray"/>
              </w:rPr>
              <w:t>（三十八）按会计准则规定当期应确认资产（股权）转让损益的，应提供按税法规定核算的资产（股权）计税基础与按会计准则规定核算的相关资产（股权）账面价值的暂时性差异专项说明。</w:t>
            </w:r>
          </w:p>
        </w:tc>
        <w:tc>
          <w:tcPr>
            <w:tcW w:w="851" w:type="dxa"/>
            <w:vMerge/>
            <w:vAlign w:val="center"/>
          </w:tcPr>
          <w:p w:rsidR="00013EC7" w:rsidRDefault="00013EC7">
            <w:pPr>
              <w:jc w:val="left"/>
              <w:rPr>
                <w:rFonts w:ascii="仿宋" w:eastAsia="仿宋" w:hAnsi="仿宋"/>
                <w:color w:val="000000" w:themeColor="text1"/>
                <w:sz w:val="24"/>
              </w:rPr>
            </w:pPr>
          </w:p>
        </w:tc>
        <w:tc>
          <w:tcPr>
            <w:tcW w:w="4252" w:type="dxa"/>
          </w:tcPr>
          <w:p w:rsidR="00013EC7" w:rsidRDefault="00575CDB">
            <w:pPr>
              <w:rPr>
                <w:color w:val="000000" w:themeColor="text1"/>
              </w:rPr>
            </w:pPr>
            <w:r>
              <w:rPr>
                <w:rFonts w:ascii="仿宋" w:eastAsia="仿宋" w:hAnsi="仿宋" w:hint="eastAsia"/>
                <w:color w:val="000000" w:themeColor="text1"/>
                <w:sz w:val="24"/>
              </w:rPr>
              <w:t>（三十七）按会计准则规定当期应确认资产（股权）转让损益的，应提供按税法规定核算的资产（股权）计税基础与按会计准则规定核算的相关资产（股权）账面价值的暂时性差异专项说明（留存备查）。</w:t>
            </w:r>
          </w:p>
        </w:tc>
        <w:tc>
          <w:tcPr>
            <w:tcW w:w="851" w:type="dxa"/>
            <w:vMerge/>
            <w:vAlign w:val="center"/>
          </w:tcPr>
          <w:p w:rsidR="00013EC7" w:rsidRDefault="00013EC7">
            <w:pPr>
              <w:jc w:val="left"/>
              <w:rPr>
                <w:rFonts w:ascii="仿宋" w:eastAsia="仿宋" w:hAnsi="仿宋"/>
                <w:color w:val="000000" w:themeColor="text1"/>
                <w:sz w:val="24"/>
              </w:rPr>
            </w:pPr>
          </w:p>
        </w:tc>
        <w:tc>
          <w:tcPr>
            <w:tcW w:w="2126" w:type="dxa"/>
            <w:vMerge/>
            <w:vAlign w:val="center"/>
          </w:tcPr>
          <w:p w:rsidR="00013EC7" w:rsidRDefault="00013EC7">
            <w:pPr>
              <w:rPr>
                <w:rFonts w:ascii="仿宋" w:eastAsia="仿宋" w:hAnsi="仿宋"/>
                <w:b/>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851" w:type="dxa"/>
            <w:vMerge/>
            <w:vAlign w:val="center"/>
          </w:tcPr>
          <w:p w:rsidR="00013EC7" w:rsidRDefault="00013EC7">
            <w:pPr>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709" w:type="dxa"/>
            <w:vMerge/>
            <w:vAlign w:val="center"/>
          </w:tcPr>
          <w:p w:rsidR="00013EC7" w:rsidRDefault="00013EC7">
            <w:pPr>
              <w:rPr>
                <w:rFonts w:ascii="仿宋" w:eastAsia="仿宋" w:hAnsi="仿宋"/>
                <w:color w:val="000000" w:themeColor="text1"/>
                <w:sz w:val="24"/>
              </w:rPr>
            </w:pPr>
          </w:p>
        </w:tc>
        <w:tc>
          <w:tcPr>
            <w:tcW w:w="1133" w:type="dxa"/>
            <w:vMerge/>
            <w:vAlign w:val="center"/>
          </w:tcPr>
          <w:p w:rsidR="00013EC7" w:rsidRDefault="00013EC7">
            <w:pPr>
              <w:rPr>
                <w:rFonts w:ascii="仿宋" w:eastAsia="仿宋" w:hAnsi="仿宋"/>
                <w:color w:val="000000" w:themeColor="text1"/>
                <w:sz w:val="24"/>
              </w:rPr>
            </w:pPr>
          </w:p>
        </w:tc>
      </w:tr>
      <w:tr w:rsidR="00013EC7">
        <w:trPr>
          <w:trHeight w:val="260"/>
          <w:jc w:val="center"/>
        </w:trPr>
        <w:tc>
          <w:tcPr>
            <w:tcW w:w="672" w:type="dxa"/>
            <w:vMerge/>
            <w:textDirection w:val="tbRlV"/>
            <w:vAlign w:val="center"/>
          </w:tcPr>
          <w:p w:rsidR="00013EC7" w:rsidRDefault="00013EC7">
            <w:pPr>
              <w:rPr>
                <w:rFonts w:ascii="仿宋" w:eastAsia="仿宋" w:hAnsi="仿宋"/>
                <w:color w:val="000000" w:themeColor="text1"/>
                <w:sz w:val="24"/>
              </w:rPr>
            </w:pPr>
          </w:p>
        </w:tc>
        <w:tc>
          <w:tcPr>
            <w:tcW w:w="1035" w:type="dxa"/>
            <w:vMerge/>
            <w:vAlign w:val="center"/>
          </w:tcPr>
          <w:p w:rsidR="00013EC7" w:rsidRDefault="00013EC7">
            <w:pPr>
              <w:rPr>
                <w:rFonts w:ascii="仿宋" w:eastAsia="仿宋" w:hAnsi="仿宋"/>
                <w:color w:val="000000" w:themeColor="text1"/>
                <w:sz w:val="24"/>
              </w:rPr>
            </w:pPr>
          </w:p>
        </w:tc>
        <w:tc>
          <w:tcPr>
            <w:tcW w:w="1271" w:type="dxa"/>
            <w:vMerge/>
            <w:vAlign w:val="center"/>
          </w:tcPr>
          <w:p w:rsidR="00013EC7" w:rsidRDefault="00013EC7">
            <w:pPr>
              <w:rPr>
                <w:rFonts w:ascii="仿宋" w:eastAsia="仿宋" w:hAnsi="仿宋"/>
                <w:color w:val="000000" w:themeColor="text1"/>
                <w:sz w:val="24"/>
              </w:rPr>
            </w:pPr>
          </w:p>
        </w:tc>
        <w:tc>
          <w:tcPr>
            <w:tcW w:w="4394" w:type="dxa"/>
            <w:vAlign w:val="center"/>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（三十二）《企业重组所得税特殊性税务处理报告表及附表》。</w:t>
            </w:r>
          </w:p>
        </w:tc>
        <w:tc>
          <w:tcPr>
            <w:tcW w:w="851" w:type="dxa"/>
            <w:vMerge w:val="restart"/>
            <w:vAlign w:val="center"/>
          </w:tcPr>
          <w:p w:rsidR="00013EC7" w:rsidRDefault="00575CDB">
            <w:pPr>
              <w:jc w:val="left"/>
              <w:rPr>
                <w:rFonts w:ascii="仿宋" w:eastAsia="仿宋" w:hAnsi="仿宋"/>
                <w:color w:val="000000" w:themeColor="text1"/>
                <w:sz w:val="24"/>
              </w:rPr>
            </w:pPr>
            <w:r>
              <w:rPr>
                <w:rFonts w:ascii="仿宋" w:eastAsia="仿宋" w:hAnsi="仿宋"/>
                <w:color w:val="000000" w:themeColor="text1"/>
                <w:sz w:val="24"/>
              </w:rPr>
              <w:t>发生</w:t>
            </w:r>
            <w:r>
              <w:rPr>
                <w:rFonts w:ascii="仿宋" w:eastAsia="仿宋" w:hAnsi="仿宋" w:hint="eastAsia"/>
                <w:color w:val="000000" w:themeColor="text1"/>
                <w:sz w:val="24"/>
              </w:rPr>
              <w:t>债权转股权</w:t>
            </w:r>
            <w:r>
              <w:rPr>
                <w:rFonts w:ascii="仿宋" w:eastAsia="仿宋" w:hAnsi="仿宋"/>
                <w:color w:val="000000" w:themeColor="text1"/>
                <w:sz w:val="24"/>
              </w:rPr>
              <w:t>并选择特殊性税务处理的</w:t>
            </w:r>
            <w:r>
              <w:rPr>
                <w:rFonts w:ascii="仿宋" w:eastAsia="仿宋" w:hAnsi="仿宋" w:hint="eastAsia"/>
                <w:color w:val="000000" w:themeColor="text1"/>
                <w:sz w:val="24"/>
              </w:rPr>
              <w:t>纳税人提交</w:t>
            </w:r>
          </w:p>
        </w:tc>
        <w:tc>
          <w:tcPr>
            <w:tcW w:w="4252" w:type="dxa"/>
            <w:vAlign w:val="center"/>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（三十一）《企业重组所得税特殊性税务处理报告表及附表》。</w:t>
            </w:r>
          </w:p>
        </w:tc>
        <w:tc>
          <w:tcPr>
            <w:tcW w:w="851" w:type="dxa"/>
            <w:vMerge w:val="restart"/>
            <w:vAlign w:val="center"/>
          </w:tcPr>
          <w:p w:rsidR="00013EC7" w:rsidRDefault="00575CDB">
            <w:pPr>
              <w:jc w:val="center"/>
              <w:rPr>
                <w:rFonts w:ascii="仿宋" w:eastAsia="仿宋" w:hAnsi="仿宋"/>
                <w:color w:val="000000" w:themeColor="text1"/>
                <w:sz w:val="24"/>
              </w:rPr>
            </w:pPr>
            <w:r>
              <w:rPr>
                <w:rFonts w:ascii="仿宋" w:eastAsia="仿宋" w:hAnsi="仿宋"/>
                <w:color w:val="000000" w:themeColor="text1"/>
                <w:sz w:val="24"/>
              </w:rPr>
              <w:t>发生</w:t>
            </w:r>
            <w:r>
              <w:rPr>
                <w:rFonts w:ascii="仿宋" w:eastAsia="仿宋" w:hAnsi="仿宋" w:hint="eastAsia"/>
                <w:color w:val="000000" w:themeColor="text1"/>
                <w:sz w:val="24"/>
              </w:rPr>
              <w:t>债权转股权</w:t>
            </w:r>
            <w:r>
              <w:rPr>
                <w:rFonts w:ascii="仿宋" w:eastAsia="仿宋" w:hAnsi="仿宋"/>
                <w:color w:val="000000" w:themeColor="text1"/>
                <w:sz w:val="24"/>
              </w:rPr>
              <w:t>并选择特殊性税务处理的</w:t>
            </w:r>
            <w:r>
              <w:rPr>
                <w:rFonts w:ascii="仿宋" w:eastAsia="仿宋" w:hAnsi="仿宋" w:hint="eastAsia"/>
                <w:color w:val="000000" w:themeColor="text1"/>
                <w:sz w:val="24"/>
              </w:rPr>
              <w:t>纳税人提交</w:t>
            </w:r>
          </w:p>
        </w:tc>
        <w:tc>
          <w:tcPr>
            <w:tcW w:w="2126" w:type="dxa"/>
            <w:vMerge/>
            <w:vAlign w:val="center"/>
          </w:tcPr>
          <w:p w:rsidR="00013EC7" w:rsidRDefault="00013EC7">
            <w:pPr>
              <w:rPr>
                <w:rFonts w:ascii="仿宋" w:eastAsia="仿宋" w:hAnsi="仿宋"/>
                <w:b/>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851" w:type="dxa"/>
            <w:vMerge/>
            <w:vAlign w:val="center"/>
          </w:tcPr>
          <w:p w:rsidR="00013EC7" w:rsidRDefault="00013EC7">
            <w:pPr>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709" w:type="dxa"/>
            <w:vMerge/>
            <w:vAlign w:val="center"/>
          </w:tcPr>
          <w:p w:rsidR="00013EC7" w:rsidRDefault="00013EC7">
            <w:pPr>
              <w:rPr>
                <w:rFonts w:ascii="仿宋" w:eastAsia="仿宋" w:hAnsi="仿宋"/>
                <w:color w:val="000000" w:themeColor="text1"/>
                <w:sz w:val="24"/>
              </w:rPr>
            </w:pPr>
          </w:p>
        </w:tc>
        <w:tc>
          <w:tcPr>
            <w:tcW w:w="1133" w:type="dxa"/>
            <w:vMerge/>
            <w:vAlign w:val="center"/>
          </w:tcPr>
          <w:p w:rsidR="00013EC7" w:rsidRDefault="00013EC7">
            <w:pPr>
              <w:rPr>
                <w:rFonts w:ascii="仿宋" w:eastAsia="仿宋" w:hAnsi="仿宋"/>
                <w:color w:val="000000" w:themeColor="text1"/>
                <w:sz w:val="24"/>
              </w:rPr>
            </w:pPr>
          </w:p>
        </w:tc>
      </w:tr>
      <w:tr w:rsidR="00013EC7">
        <w:trPr>
          <w:trHeight w:val="260"/>
          <w:jc w:val="center"/>
        </w:trPr>
        <w:tc>
          <w:tcPr>
            <w:tcW w:w="672" w:type="dxa"/>
            <w:vMerge/>
            <w:textDirection w:val="tbRlV"/>
            <w:vAlign w:val="center"/>
          </w:tcPr>
          <w:p w:rsidR="00013EC7" w:rsidRDefault="00013EC7">
            <w:pPr>
              <w:rPr>
                <w:rFonts w:ascii="仿宋" w:eastAsia="仿宋" w:hAnsi="仿宋"/>
                <w:color w:val="000000" w:themeColor="text1"/>
                <w:sz w:val="24"/>
              </w:rPr>
            </w:pPr>
          </w:p>
        </w:tc>
        <w:tc>
          <w:tcPr>
            <w:tcW w:w="1035" w:type="dxa"/>
            <w:vMerge/>
            <w:vAlign w:val="center"/>
          </w:tcPr>
          <w:p w:rsidR="00013EC7" w:rsidRDefault="00013EC7">
            <w:pPr>
              <w:rPr>
                <w:rFonts w:ascii="仿宋" w:eastAsia="仿宋" w:hAnsi="仿宋"/>
                <w:color w:val="000000" w:themeColor="text1"/>
                <w:sz w:val="24"/>
              </w:rPr>
            </w:pPr>
          </w:p>
        </w:tc>
        <w:tc>
          <w:tcPr>
            <w:tcW w:w="1271" w:type="dxa"/>
            <w:vMerge/>
            <w:vAlign w:val="center"/>
          </w:tcPr>
          <w:p w:rsidR="00013EC7" w:rsidRDefault="00013EC7">
            <w:pPr>
              <w:rPr>
                <w:rFonts w:ascii="仿宋" w:eastAsia="仿宋" w:hAnsi="仿宋"/>
                <w:color w:val="000000" w:themeColor="text1"/>
                <w:sz w:val="24"/>
              </w:rPr>
            </w:pPr>
          </w:p>
        </w:tc>
        <w:tc>
          <w:tcPr>
            <w:tcW w:w="4394" w:type="dxa"/>
          </w:tcPr>
          <w:p w:rsidR="00013EC7" w:rsidRDefault="00575CDB">
            <w:pPr>
              <w:spacing w:line="300" w:lineRule="exact"/>
              <w:rPr>
                <w:rFonts w:ascii="仿宋" w:eastAsia="仿宋" w:hAnsi="仿宋"/>
                <w:color w:val="000000" w:themeColor="text1"/>
                <w:sz w:val="24"/>
                <w:highlight w:val="lightGray"/>
              </w:rPr>
            </w:pPr>
            <w:r>
              <w:rPr>
                <w:rFonts w:ascii="仿宋" w:eastAsia="仿宋" w:hAnsi="仿宋" w:hint="eastAsia"/>
                <w:color w:val="000000" w:themeColor="text1"/>
                <w:sz w:val="24"/>
                <w:highlight w:val="lightGray"/>
              </w:rPr>
              <w:t>（三十九）债务重组的总体情况说明，包括债务重组方案、基本情况，并逐条说明债务重组的商业目的。</w:t>
            </w:r>
          </w:p>
        </w:tc>
        <w:tc>
          <w:tcPr>
            <w:tcW w:w="851" w:type="dxa"/>
            <w:vMerge/>
            <w:vAlign w:val="center"/>
          </w:tcPr>
          <w:p w:rsidR="00013EC7" w:rsidRDefault="00013EC7">
            <w:pPr>
              <w:jc w:val="left"/>
              <w:rPr>
                <w:rFonts w:ascii="仿宋" w:eastAsia="仿宋" w:hAnsi="仿宋"/>
                <w:color w:val="000000" w:themeColor="text1"/>
                <w:sz w:val="24"/>
              </w:rPr>
            </w:pPr>
          </w:p>
        </w:tc>
        <w:tc>
          <w:tcPr>
            <w:tcW w:w="4252" w:type="dxa"/>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（三十八）债务重组的总体情况说明，包括债务重组方案、基本情况，并逐条说明债务重组的商业目的（留存备查）。</w:t>
            </w:r>
          </w:p>
        </w:tc>
        <w:tc>
          <w:tcPr>
            <w:tcW w:w="851" w:type="dxa"/>
            <w:vMerge/>
            <w:vAlign w:val="center"/>
          </w:tcPr>
          <w:p w:rsidR="00013EC7" w:rsidRDefault="00013EC7">
            <w:pPr>
              <w:jc w:val="left"/>
              <w:rPr>
                <w:rFonts w:ascii="仿宋" w:eastAsia="仿宋" w:hAnsi="仿宋"/>
                <w:color w:val="000000" w:themeColor="text1"/>
                <w:sz w:val="24"/>
              </w:rPr>
            </w:pPr>
          </w:p>
        </w:tc>
        <w:tc>
          <w:tcPr>
            <w:tcW w:w="2126" w:type="dxa"/>
            <w:vMerge/>
            <w:vAlign w:val="center"/>
          </w:tcPr>
          <w:p w:rsidR="00013EC7" w:rsidRDefault="00013EC7">
            <w:pPr>
              <w:rPr>
                <w:rFonts w:ascii="仿宋" w:eastAsia="仿宋" w:hAnsi="仿宋"/>
                <w:b/>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851" w:type="dxa"/>
            <w:vMerge/>
            <w:vAlign w:val="center"/>
          </w:tcPr>
          <w:p w:rsidR="00013EC7" w:rsidRDefault="00013EC7">
            <w:pPr>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709" w:type="dxa"/>
            <w:vMerge/>
            <w:vAlign w:val="center"/>
          </w:tcPr>
          <w:p w:rsidR="00013EC7" w:rsidRDefault="00013EC7">
            <w:pPr>
              <w:rPr>
                <w:rFonts w:ascii="仿宋" w:eastAsia="仿宋" w:hAnsi="仿宋"/>
                <w:color w:val="000000" w:themeColor="text1"/>
                <w:sz w:val="24"/>
              </w:rPr>
            </w:pPr>
          </w:p>
        </w:tc>
        <w:tc>
          <w:tcPr>
            <w:tcW w:w="1133" w:type="dxa"/>
            <w:vMerge/>
            <w:vAlign w:val="center"/>
          </w:tcPr>
          <w:p w:rsidR="00013EC7" w:rsidRDefault="00013EC7">
            <w:pPr>
              <w:rPr>
                <w:rFonts w:ascii="仿宋" w:eastAsia="仿宋" w:hAnsi="仿宋"/>
                <w:color w:val="000000" w:themeColor="text1"/>
                <w:sz w:val="24"/>
              </w:rPr>
            </w:pPr>
          </w:p>
        </w:tc>
      </w:tr>
      <w:tr w:rsidR="00013EC7">
        <w:trPr>
          <w:trHeight w:val="260"/>
          <w:jc w:val="center"/>
        </w:trPr>
        <w:tc>
          <w:tcPr>
            <w:tcW w:w="672" w:type="dxa"/>
            <w:vMerge/>
            <w:textDirection w:val="tbRlV"/>
            <w:vAlign w:val="center"/>
          </w:tcPr>
          <w:p w:rsidR="00013EC7" w:rsidRDefault="00013EC7">
            <w:pPr>
              <w:rPr>
                <w:rFonts w:ascii="仿宋" w:eastAsia="仿宋" w:hAnsi="仿宋"/>
                <w:color w:val="000000" w:themeColor="text1"/>
                <w:sz w:val="24"/>
              </w:rPr>
            </w:pPr>
          </w:p>
        </w:tc>
        <w:tc>
          <w:tcPr>
            <w:tcW w:w="1035" w:type="dxa"/>
            <w:vMerge/>
            <w:vAlign w:val="center"/>
          </w:tcPr>
          <w:p w:rsidR="00013EC7" w:rsidRDefault="00013EC7">
            <w:pPr>
              <w:rPr>
                <w:rFonts w:ascii="仿宋" w:eastAsia="仿宋" w:hAnsi="仿宋"/>
                <w:color w:val="000000" w:themeColor="text1"/>
                <w:sz w:val="24"/>
              </w:rPr>
            </w:pPr>
          </w:p>
        </w:tc>
        <w:tc>
          <w:tcPr>
            <w:tcW w:w="1271" w:type="dxa"/>
            <w:vMerge/>
            <w:vAlign w:val="center"/>
          </w:tcPr>
          <w:p w:rsidR="00013EC7" w:rsidRDefault="00013EC7">
            <w:pPr>
              <w:rPr>
                <w:rFonts w:ascii="仿宋" w:eastAsia="仿宋" w:hAnsi="仿宋"/>
                <w:color w:val="000000" w:themeColor="text1"/>
                <w:sz w:val="24"/>
              </w:rPr>
            </w:pPr>
          </w:p>
        </w:tc>
        <w:tc>
          <w:tcPr>
            <w:tcW w:w="4394" w:type="dxa"/>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（四十）双方所签订的债转股合同或协议。</w:t>
            </w:r>
          </w:p>
        </w:tc>
        <w:tc>
          <w:tcPr>
            <w:tcW w:w="851" w:type="dxa"/>
            <w:vMerge/>
            <w:vAlign w:val="center"/>
          </w:tcPr>
          <w:p w:rsidR="00013EC7" w:rsidRDefault="00013EC7">
            <w:pPr>
              <w:jc w:val="left"/>
              <w:rPr>
                <w:rFonts w:ascii="仿宋" w:eastAsia="仿宋" w:hAnsi="仿宋"/>
                <w:color w:val="000000" w:themeColor="text1"/>
                <w:sz w:val="24"/>
              </w:rPr>
            </w:pPr>
          </w:p>
        </w:tc>
        <w:tc>
          <w:tcPr>
            <w:tcW w:w="4252" w:type="dxa"/>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（三十九）双方所签订的债转股合同或协议。</w:t>
            </w:r>
          </w:p>
        </w:tc>
        <w:tc>
          <w:tcPr>
            <w:tcW w:w="851" w:type="dxa"/>
            <w:vMerge/>
            <w:vAlign w:val="center"/>
          </w:tcPr>
          <w:p w:rsidR="00013EC7" w:rsidRDefault="00013EC7">
            <w:pPr>
              <w:jc w:val="left"/>
              <w:rPr>
                <w:rFonts w:ascii="仿宋" w:eastAsia="仿宋" w:hAnsi="仿宋"/>
                <w:color w:val="000000" w:themeColor="text1"/>
                <w:sz w:val="24"/>
              </w:rPr>
            </w:pPr>
          </w:p>
        </w:tc>
        <w:tc>
          <w:tcPr>
            <w:tcW w:w="2126" w:type="dxa"/>
            <w:vMerge/>
            <w:vAlign w:val="center"/>
          </w:tcPr>
          <w:p w:rsidR="00013EC7" w:rsidRDefault="00013EC7">
            <w:pPr>
              <w:rPr>
                <w:rFonts w:ascii="仿宋" w:eastAsia="仿宋" w:hAnsi="仿宋"/>
                <w:b/>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851" w:type="dxa"/>
            <w:vMerge/>
            <w:vAlign w:val="center"/>
          </w:tcPr>
          <w:p w:rsidR="00013EC7" w:rsidRDefault="00013EC7">
            <w:pPr>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709" w:type="dxa"/>
            <w:vMerge/>
            <w:vAlign w:val="center"/>
          </w:tcPr>
          <w:p w:rsidR="00013EC7" w:rsidRDefault="00013EC7">
            <w:pPr>
              <w:rPr>
                <w:rFonts w:ascii="仿宋" w:eastAsia="仿宋" w:hAnsi="仿宋"/>
                <w:color w:val="000000" w:themeColor="text1"/>
                <w:sz w:val="24"/>
              </w:rPr>
            </w:pPr>
          </w:p>
        </w:tc>
        <w:tc>
          <w:tcPr>
            <w:tcW w:w="1133" w:type="dxa"/>
            <w:vMerge/>
            <w:vAlign w:val="center"/>
          </w:tcPr>
          <w:p w:rsidR="00013EC7" w:rsidRDefault="00013EC7">
            <w:pPr>
              <w:rPr>
                <w:rFonts w:ascii="仿宋" w:eastAsia="仿宋" w:hAnsi="仿宋"/>
                <w:color w:val="000000" w:themeColor="text1"/>
                <w:sz w:val="24"/>
              </w:rPr>
            </w:pPr>
          </w:p>
        </w:tc>
      </w:tr>
      <w:tr w:rsidR="00013EC7">
        <w:trPr>
          <w:trHeight w:val="260"/>
          <w:jc w:val="center"/>
        </w:trPr>
        <w:tc>
          <w:tcPr>
            <w:tcW w:w="672" w:type="dxa"/>
            <w:vMerge/>
            <w:textDirection w:val="tbRlV"/>
            <w:vAlign w:val="center"/>
          </w:tcPr>
          <w:p w:rsidR="00013EC7" w:rsidRDefault="00013EC7">
            <w:pPr>
              <w:rPr>
                <w:rFonts w:ascii="仿宋" w:eastAsia="仿宋" w:hAnsi="仿宋"/>
                <w:color w:val="000000" w:themeColor="text1"/>
                <w:sz w:val="24"/>
              </w:rPr>
            </w:pPr>
          </w:p>
        </w:tc>
        <w:tc>
          <w:tcPr>
            <w:tcW w:w="1035" w:type="dxa"/>
            <w:vMerge/>
            <w:vAlign w:val="center"/>
          </w:tcPr>
          <w:p w:rsidR="00013EC7" w:rsidRDefault="00013EC7">
            <w:pPr>
              <w:rPr>
                <w:rFonts w:ascii="仿宋" w:eastAsia="仿宋" w:hAnsi="仿宋"/>
                <w:color w:val="000000" w:themeColor="text1"/>
                <w:sz w:val="24"/>
              </w:rPr>
            </w:pPr>
          </w:p>
        </w:tc>
        <w:tc>
          <w:tcPr>
            <w:tcW w:w="1271" w:type="dxa"/>
            <w:vMerge/>
            <w:vAlign w:val="center"/>
          </w:tcPr>
          <w:p w:rsidR="00013EC7" w:rsidRDefault="00013EC7">
            <w:pPr>
              <w:rPr>
                <w:rFonts w:ascii="仿宋" w:eastAsia="仿宋" w:hAnsi="仿宋"/>
                <w:color w:val="000000" w:themeColor="text1"/>
                <w:sz w:val="24"/>
              </w:rPr>
            </w:pPr>
          </w:p>
        </w:tc>
        <w:tc>
          <w:tcPr>
            <w:tcW w:w="4394" w:type="dxa"/>
          </w:tcPr>
          <w:p w:rsidR="00013EC7" w:rsidRDefault="00575CDB">
            <w:pPr>
              <w:spacing w:line="300" w:lineRule="exact"/>
              <w:rPr>
                <w:rFonts w:ascii="仿宋" w:eastAsia="仿宋" w:hAnsi="仿宋"/>
                <w:color w:val="000000" w:themeColor="text1"/>
                <w:sz w:val="24"/>
                <w:highlight w:val="lightGray"/>
              </w:rPr>
            </w:pPr>
            <w:r>
              <w:rPr>
                <w:rFonts w:ascii="仿宋" w:eastAsia="仿宋" w:hAnsi="仿宋" w:hint="eastAsia"/>
                <w:color w:val="000000" w:themeColor="text1"/>
                <w:sz w:val="24"/>
                <w:highlight w:val="lightGray"/>
              </w:rPr>
              <w:t>（四十一）债权转股权的，提供股权评估报告等公允价值证明。</w:t>
            </w:r>
          </w:p>
        </w:tc>
        <w:tc>
          <w:tcPr>
            <w:tcW w:w="851" w:type="dxa"/>
            <w:vMerge/>
            <w:vAlign w:val="center"/>
          </w:tcPr>
          <w:p w:rsidR="00013EC7" w:rsidRDefault="00013EC7">
            <w:pPr>
              <w:jc w:val="left"/>
              <w:rPr>
                <w:rFonts w:ascii="仿宋" w:eastAsia="仿宋" w:hAnsi="仿宋"/>
                <w:color w:val="000000" w:themeColor="text1"/>
                <w:sz w:val="24"/>
              </w:rPr>
            </w:pPr>
          </w:p>
        </w:tc>
        <w:tc>
          <w:tcPr>
            <w:tcW w:w="4252" w:type="dxa"/>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（四十）债权转股权的，提供股权评估报告等公允价值证明（留存备查）。</w:t>
            </w:r>
          </w:p>
        </w:tc>
        <w:tc>
          <w:tcPr>
            <w:tcW w:w="851" w:type="dxa"/>
            <w:vMerge/>
            <w:vAlign w:val="center"/>
          </w:tcPr>
          <w:p w:rsidR="00013EC7" w:rsidRDefault="00013EC7">
            <w:pPr>
              <w:jc w:val="left"/>
              <w:rPr>
                <w:rFonts w:ascii="仿宋" w:eastAsia="仿宋" w:hAnsi="仿宋"/>
                <w:color w:val="000000" w:themeColor="text1"/>
                <w:sz w:val="24"/>
              </w:rPr>
            </w:pPr>
          </w:p>
        </w:tc>
        <w:tc>
          <w:tcPr>
            <w:tcW w:w="2126" w:type="dxa"/>
            <w:vMerge/>
            <w:vAlign w:val="center"/>
          </w:tcPr>
          <w:p w:rsidR="00013EC7" w:rsidRDefault="00013EC7">
            <w:pPr>
              <w:rPr>
                <w:rFonts w:ascii="仿宋" w:eastAsia="仿宋" w:hAnsi="仿宋"/>
                <w:b/>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851" w:type="dxa"/>
            <w:vMerge/>
            <w:vAlign w:val="center"/>
          </w:tcPr>
          <w:p w:rsidR="00013EC7" w:rsidRDefault="00013EC7">
            <w:pPr>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709" w:type="dxa"/>
            <w:vMerge/>
            <w:vAlign w:val="center"/>
          </w:tcPr>
          <w:p w:rsidR="00013EC7" w:rsidRDefault="00013EC7">
            <w:pPr>
              <w:rPr>
                <w:rFonts w:ascii="仿宋" w:eastAsia="仿宋" w:hAnsi="仿宋"/>
                <w:color w:val="000000" w:themeColor="text1"/>
                <w:sz w:val="24"/>
              </w:rPr>
            </w:pPr>
          </w:p>
        </w:tc>
        <w:tc>
          <w:tcPr>
            <w:tcW w:w="1133" w:type="dxa"/>
            <w:vMerge/>
            <w:vAlign w:val="center"/>
          </w:tcPr>
          <w:p w:rsidR="00013EC7" w:rsidRDefault="00013EC7">
            <w:pPr>
              <w:rPr>
                <w:rFonts w:ascii="仿宋" w:eastAsia="仿宋" w:hAnsi="仿宋"/>
                <w:color w:val="000000" w:themeColor="text1"/>
                <w:sz w:val="24"/>
              </w:rPr>
            </w:pPr>
          </w:p>
        </w:tc>
      </w:tr>
      <w:tr w:rsidR="00013EC7">
        <w:trPr>
          <w:trHeight w:val="260"/>
          <w:jc w:val="center"/>
        </w:trPr>
        <w:tc>
          <w:tcPr>
            <w:tcW w:w="672" w:type="dxa"/>
            <w:vMerge/>
            <w:textDirection w:val="tbRlV"/>
            <w:vAlign w:val="center"/>
          </w:tcPr>
          <w:p w:rsidR="00013EC7" w:rsidRDefault="00013EC7">
            <w:pPr>
              <w:rPr>
                <w:rFonts w:ascii="仿宋" w:eastAsia="仿宋" w:hAnsi="仿宋"/>
                <w:color w:val="000000" w:themeColor="text1"/>
                <w:sz w:val="24"/>
              </w:rPr>
            </w:pPr>
          </w:p>
        </w:tc>
        <w:tc>
          <w:tcPr>
            <w:tcW w:w="1035" w:type="dxa"/>
            <w:vMerge/>
            <w:vAlign w:val="center"/>
          </w:tcPr>
          <w:p w:rsidR="00013EC7" w:rsidRDefault="00013EC7">
            <w:pPr>
              <w:rPr>
                <w:rFonts w:ascii="仿宋" w:eastAsia="仿宋" w:hAnsi="仿宋"/>
                <w:color w:val="000000" w:themeColor="text1"/>
                <w:sz w:val="24"/>
              </w:rPr>
            </w:pPr>
          </w:p>
        </w:tc>
        <w:tc>
          <w:tcPr>
            <w:tcW w:w="1271" w:type="dxa"/>
            <w:vMerge/>
            <w:vAlign w:val="center"/>
          </w:tcPr>
          <w:p w:rsidR="00013EC7" w:rsidRDefault="00013EC7">
            <w:pPr>
              <w:rPr>
                <w:rFonts w:ascii="仿宋" w:eastAsia="仿宋" w:hAnsi="仿宋"/>
                <w:color w:val="000000" w:themeColor="text1"/>
                <w:sz w:val="24"/>
              </w:rPr>
            </w:pPr>
          </w:p>
        </w:tc>
        <w:tc>
          <w:tcPr>
            <w:tcW w:w="4394" w:type="dxa"/>
          </w:tcPr>
          <w:p w:rsidR="00013EC7" w:rsidRDefault="00575CDB">
            <w:pPr>
              <w:spacing w:line="300" w:lineRule="exact"/>
              <w:rPr>
                <w:rFonts w:ascii="仿宋" w:eastAsia="仿宋" w:hAnsi="仿宋"/>
                <w:color w:val="000000" w:themeColor="text1"/>
                <w:sz w:val="24"/>
                <w:highlight w:val="lightGray"/>
              </w:rPr>
            </w:pPr>
            <w:r>
              <w:rPr>
                <w:rFonts w:ascii="仿宋" w:eastAsia="仿宋" w:hAnsi="仿宋" w:hint="eastAsia"/>
                <w:color w:val="000000" w:themeColor="text1"/>
                <w:sz w:val="24"/>
                <w:highlight w:val="lightGray"/>
              </w:rPr>
              <w:t>（四十二）工商部门及有关部门核准相关企业股权变更事项证明材料，以及债权人12个月内不转让所取得股权的承诺书。</w:t>
            </w:r>
          </w:p>
        </w:tc>
        <w:tc>
          <w:tcPr>
            <w:tcW w:w="851" w:type="dxa"/>
            <w:vMerge/>
            <w:vAlign w:val="center"/>
          </w:tcPr>
          <w:p w:rsidR="00013EC7" w:rsidRDefault="00013EC7">
            <w:pPr>
              <w:jc w:val="left"/>
              <w:rPr>
                <w:rFonts w:ascii="仿宋" w:eastAsia="仿宋" w:hAnsi="仿宋"/>
                <w:color w:val="000000" w:themeColor="text1"/>
                <w:sz w:val="24"/>
              </w:rPr>
            </w:pPr>
          </w:p>
        </w:tc>
        <w:tc>
          <w:tcPr>
            <w:tcW w:w="4252" w:type="dxa"/>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（四十一）工商部门及有关部门核准相关企业股权变更事项证明材料，以及债权人12个月内不转让所取得股权的承诺书（留存备查）。</w:t>
            </w:r>
          </w:p>
        </w:tc>
        <w:tc>
          <w:tcPr>
            <w:tcW w:w="851" w:type="dxa"/>
            <w:vMerge/>
            <w:vAlign w:val="center"/>
          </w:tcPr>
          <w:p w:rsidR="00013EC7" w:rsidRDefault="00013EC7">
            <w:pPr>
              <w:jc w:val="left"/>
              <w:rPr>
                <w:rFonts w:ascii="仿宋" w:eastAsia="仿宋" w:hAnsi="仿宋"/>
                <w:color w:val="000000" w:themeColor="text1"/>
                <w:sz w:val="24"/>
              </w:rPr>
            </w:pPr>
          </w:p>
        </w:tc>
        <w:tc>
          <w:tcPr>
            <w:tcW w:w="2126" w:type="dxa"/>
            <w:vMerge/>
            <w:vAlign w:val="center"/>
          </w:tcPr>
          <w:p w:rsidR="00013EC7" w:rsidRDefault="00013EC7">
            <w:pPr>
              <w:rPr>
                <w:rFonts w:ascii="仿宋" w:eastAsia="仿宋" w:hAnsi="仿宋"/>
                <w:b/>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851" w:type="dxa"/>
            <w:vMerge/>
            <w:vAlign w:val="center"/>
          </w:tcPr>
          <w:p w:rsidR="00013EC7" w:rsidRDefault="00013EC7">
            <w:pPr>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709" w:type="dxa"/>
            <w:vMerge/>
            <w:vAlign w:val="center"/>
          </w:tcPr>
          <w:p w:rsidR="00013EC7" w:rsidRDefault="00013EC7">
            <w:pPr>
              <w:rPr>
                <w:rFonts w:ascii="仿宋" w:eastAsia="仿宋" w:hAnsi="仿宋"/>
                <w:color w:val="000000" w:themeColor="text1"/>
                <w:sz w:val="24"/>
              </w:rPr>
            </w:pPr>
          </w:p>
        </w:tc>
        <w:tc>
          <w:tcPr>
            <w:tcW w:w="1133" w:type="dxa"/>
            <w:vMerge/>
            <w:vAlign w:val="center"/>
          </w:tcPr>
          <w:p w:rsidR="00013EC7" w:rsidRDefault="00013EC7">
            <w:pPr>
              <w:rPr>
                <w:rFonts w:ascii="仿宋" w:eastAsia="仿宋" w:hAnsi="仿宋"/>
                <w:color w:val="000000" w:themeColor="text1"/>
                <w:sz w:val="24"/>
              </w:rPr>
            </w:pPr>
          </w:p>
        </w:tc>
      </w:tr>
      <w:tr w:rsidR="00013EC7">
        <w:trPr>
          <w:trHeight w:val="260"/>
          <w:jc w:val="center"/>
        </w:trPr>
        <w:tc>
          <w:tcPr>
            <w:tcW w:w="672" w:type="dxa"/>
            <w:vMerge/>
            <w:textDirection w:val="tbRlV"/>
            <w:vAlign w:val="center"/>
          </w:tcPr>
          <w:p w:rsidR="00013EC7" w:rsidRDefault="00013EC7">
            <w:pPr>
              <w:rPr>
                <w:rFonts w:ascii="仿宋" w:eastAsia="仿宋" w:hAnsi="仿宋"/>
                <w:color w:val="000000" w:themeColor="text1"/>
                <w:sz w:val="24"/>
              </w:rPr>
            </w:pPr>
          </w:p>
        </w:tc>
        <w:tc>
          <w:tcPr>
            <w:tcW w:w="1035" w:type="dxa"/>
            <w:vMerge/>
            <w:vAlign w:val="center"/>
          </w:tcPr>
          <w:p w:rsidR="00013EC7" w:rsidRDefault="00013EC7">
            <w:pPr>
              <w:rPr>
                <w:rFonts w:ascii="仿宋" w:eastAsia="仿宋" w:hAnsi="仿宋"/>
                <w:color w:val="000000" w:themeColor="text1"/>
                <w:sz w:val="24"/>
              </w:rPr>
            </w:pPr>
          </w:p>
        </w:tc>
        <w:tc>
          <w:tcPr>
            <w:tcW w:w="1271" w:type="dxa"/>
            <w:vMerge/>
            <w:vAlign w:val="center"/>
          </w:tcPr>
          <w:p w:rsidR="00013EC7" w:rsidRDefault="00013EC7">
            <w:pPr>
              <w:rPr>
                <w:rFonts w:ascii="仿宋" w:eastAsia="仿宋" w:hAnsi="仿宋"/>
                <w:color w:val="000000" w:themeColor="text1"/>
                <w:sz w:val="24"/>
              </w:rPr>
            </w:pPr>
          </w:p>
        </w:tc>
        <w:tc>
          <w:tcPr>
            <w:tcW w:w="4394" w:type="dxa"/>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highlight w:val="lightGray"/>
              </w:rPr>
              <w:t>（四十三）重组当事各方一致选择特殊性税务处理并加盖当事各方公章的证明资料。</w:t>
            </w:r>
          </w:p>
        </w:tc>
        <w:tc>
          <w:tcPr>
            <w:tcW w:w="851" w:type="dxa"/>
            <w:vMerge/>
            <w:vAlign w:val="center"/>
          </w:tcPr>
          <w:p w:rsidR="00013EC7" w:rsidRDefault="00013EC7">
            <w:pPr>
              <w:jc w:val="left"/>
              <w:rPr>
                <w:rFonts w:ascii="仿宋" w:eastAsia="仿宋" w:hAnsi="仿宋"/>
                <w:color w:val="000000" w:themeColor="text1"/>
                <w:sz w:val="24"/>
              </w:rPr>
            </w:pPr>
          </w:p>
        </w:tc>
        <w:tc>
          <w:tcPr>
            <w:tcW w:w="4252" w:type="dxa"/>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（四十二）重组当事各方一致选择特殊性税务处理并加盖当事各方公章的证明资料（留存备查）。</w:t>
            </w:r>
          </w:p>
        </w:tc>
        <w:tc>
          <w:tcPr>
            <w:tcW w:w="851" w:type="dxa"/>
            <w:vMerge/>
            <w:vAlign w:val="center"/>
          </w:tcPr>
          <w:p w:rsidR="00013EC7" w:rsidRDefault="00013EC7">
            <w:pPr>
              <w:jc w:val="left"/>
              <w:rPr>
                <w:rFonts w:ascii="仿宋" w:eastAsia="仿宋" w:hAnsi="仿宋"/>
                <w:color w:val="000000" w:themeColor="text1"/>
                <w:sz w:val="24"/>
              </w:rPr>
            </w:pPr>
          </w:p>
        </w:tc>
        <w:tc>
          <w:tcPr>
            <w:tcW w:w="2126" w:type="dxa"/>
            <w:vMerge/>
            <w:vAlign w:val="center"/>
          </w:tcPr>
          <w:p w:rsidR="00013EC7" w:rsidRDefault="00013EC7">
            <w:pPr>
              <w:rPr>
                <w:rFonts w:ascii="仿宋" w:eastAsia="仿宋" w:hAnsi="仿宋"/>
                <w:b/>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851" w:type="dxa"/>
            <w:vMerge/>
            <w:vAlign w:val="center"/>
          </w:tcPr>
          <w:p w:rsidR="00013EC7" w:rsidRDefault="00013EC7">
            <w:pPr>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709" w:type="dxa"/>
            <w:vMerge/>
            <w:vAlign w:val="center"/>
          </w:tcPr>
          <w:p w:rsidR="00013EC7" w:rsidRDefault="00013EC7">
            <w:pPr>
              <w:rPr>
                <w:rFonts w:ascii="仿宋" w:eastAsia="仿宋" w:hAnsi="仿宋"/>
                <w:color w:val="000000" w:themeColor="text1"/>
                <w:sz w:val="24"/>
              </w:rPr>
            </w:pPr>
          </w:p>
        </w:tc>
        <w:tc>
          <w:tcPr>
            <w:tcW w:w="1133" w:type="dxa"/>
            <w:vMerge/>
            <w:vAlign w:val="center"/>
          </w:tcPr>
          <w:p w:rsidR="00013EC7" w:rsidRDefault="00013EC7">
            <w:pPr>
              <w:rPr>
                <w:rFonts w:ascii="仿宋" w:eastAsia="仿宋" w:hAnsi="仿宋"/>
                <w:color w:val="000000" w:themeColor="text1"/>
                <w:sz w:val="24"/>
              </w:rPr>
            </w:pPr>
          </w:p>
        </w:tc>
      </w:tr>
      <w:tr w:rsidR="00013EC7">
        <w:trPr>
          <w:trHeight w:val="260"/>
          <w:jc w:val="center"/>
        </w:trPr>
        <w:tc>
          <w:tcPr>
            <w:tcW w:w="672" w:type="dxa"/>
            <w:vMerge/>
            <w:textDirection w:val="tbRlV"/>
            <w:vAlign w:val="center"/>
          </w:tcPr>
          <w:p w:rsidR="00013EC7" w:rsidRDefault="00013EC7">
            <w:pPr>
              <w:rPr>
                <w:rFonts w:ascii="仿宋" w:eastAsia="仿宋" w:hAnsi="仿宋"/>
                <w:color w:val="000000" w:themeColor="text1"/>
                <w:sz w:val="24"/>
              </w:rPr>
            </w:pPr>
          </w:p>
        </w:tc>
        <w:tc>
          <w:tcPr>
            <w:tcW w:w="1035" w:type="dxa"/>
            <w:vMerge/>
            <w:vAlign w:val="center"/>
          </w:tcPr>
          <w:p w:rsidR="00013EC7" w:rsidRDefault="00013EC7">
            <w:pPr>
              <w:rPr>
                <w:rFonts w:ascii="仿宋" w:eastAsia="仿宋" w:hAnsi="仿宋"/>
                <w:color w:val="000000" w:themeColor="text1"/>
                <w:sz w:val="24"/>
              </w:rPr>
            </w:pPr>
          </w:p>
        </w:tc>
        <w:tc>
          <w:tcPr>
            <w:tcW w:w="1271" w:type="dxa"/>
            <w:vMerge/>
            <w:vAlign w:val="center"/>
          </w:tcPr>
          <w:p w:rsidR="00013EC7" w:rsidRDefault="00013EC7">
            <w:pPr>
              <w:rPr>
                <w:rFonts w:ascii="仿宋" w:eastAsia="仿宋" w:hAnsi="仿宋"/>
                <w:color w:val="000000" w:themeColor="text1"/>
                <w:sz w:val="24"/>
              </w:rPr>
            </w:pPr>
          </w:p>
        </w:tc>
        <w:tc>
          <w:tcPr>
            <w:tcW w:w="4394" w:type="dxa"/>
          </w:tcPr>
          <w:p w:rsidR="00013EC7" w:rsidRDefault="00575CDB">
            <w:pPr>
              <w:spacing w:line="300" w:lineRule="exact"/>
              <w:rPr>
                <w:rFonts w:ascii="仿宋" w:eastAsia="仿宋" w:hAnsi="仿宋"/>
                <w:color w:val="000000" w:themeColor="text1"/>
                <w:sz w:val="24"/>
                <w:highlight w:val="lightGray"/>
              </w:rPr>
            </w:pPr>
            <w:r>
              <w:rPr>
                <w:rFonts w:ascii="仿宋" w:eastAsia="仿宋" w:hAnsi="仿宋" w:hint="eastAsia"/>
                <w:color w:val="000000" w:themeColor="text1"/>
                <w:sz w:val="24"/>
                <w:highlight w:val="lightGray"/>
              </w:rPr>
              <w:t>（四十四）重组前连续12个月内有无与该重组相关的其他股权、资产交易,与该重组是否构成分步交易、是否作为一项企业重组业务进行处理情况的说明。</w:t>
            </w:r>
          </w:p>
        </w:tc>
        <w:tc>
          <w:tcPr>
            <w:tcW w:w="851" w:type="dxa"/>
            <w:vMerge/>
            <w:vAlign w:val="center"/>
          </w:tcPr>
          <w:p w:rsidR="00013EC7" w:rsidRDefault="00013EC7">
            <w:pPr>
              <w:jc w:val="left"/>
              <w:rPr>
                <w:rFonts w:ascii="仿宋" w:eastAsia="仿宋" w:hAnsi="仿宋"/>
                <w:color w:val="000000" w:themeColor="text1"/>
                <w:sz w:val="24"/>
              </w:rPr>
            </w:pPr>
          </w:p>
        </w:tc>
        <w:tc>
          <w:tcPr>
            <w:tcW w:w="4252" w:type="dxa"/>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（四十三）重组前连续12个月内有无与该重组相关的其他股权、资产交易,与该重组是否构成分步交易、是否作为一项企业重组业务进行处理情况的说明（留存备查）。</w:t>
            </w:r>
          </w:p>
        </w:tc>
        <w:tc>
          <w:tcPr>
            <w:tcW w:w="851" w:type="dxa"/>
            <w:vMerge/>
            <w:vAlign w:val="center"/>
          </w:tcPr>
          <w:p w:rsidR="00013EC7" w:rsidRDefault="00013EC7">
            <w:pPr>
              <w:jc w:val="left"/>
              <w:rPr>
                <w:rFonts w:ascii="仿宋" w:eastAsia="仿宋" w:hAnsi="仿宋"/>
                <w:color w:val="000000" w:themeColor="text1"/>
                <w:sz w:val="24"/>
              </w:rPr>
            </w:pPr>
          </w:p>
        </w:tc>
        <w:tc>
          <w:tcPr>
            <w:tcW w:w="2126" w:type="dxa"/>
            <w:vMerge/>
            <w:vAlign w:val="center"/>
          </w:tcPr>
          <w:p w:rsidR="00013EC7" w:rsidRDefault="00013EC7">
            <w:pPr>
              <w:rPr>
                <w:rFonts w:ascii="仿宋" w:eastAsia="仿宋" w:hAnsi="仿宋"/>
                <w:b/>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851" w:type="dxa"/>
            <w:vMerge/>
            <w:vAlign w:val="center"/>
          </w:tcPr>
          <w:p w:rsidR="00013EC7" w:rsidRDefault="00013EC7">
            <w:pPr>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709" w:type="dxa"/>
            <w:vMerge/>
            <w:vAlign w:val="center"/>
          </w:tcPr>
          <w:p w:rsidR="00013EC7" w:rsidRDefault="00013EC7">
            <w:pPr>
              <w:rPr>
                <w:rFonts w:ascii="仿宋" w:eastAsia="仿宋" w:hAnsi="仿宋"/>
                <w:color w:val="000000" w:themeColor="text1"/>
                <w:sz w:val="24"/>
              </w:rPr>
            </w:pPr>
          </w:p>
        </w:tc>
        <w:tc>
          <w:tcPr>
            <w:tcW w:w="1133" w:type="dxa"/>
            <w:vMerge/>
            <w:vAlign w:val="center"/>
          </w:tcPr>
          <w:p w:rsidR="00013EC7" w:rsidRDefault="00013EC7">
            <w:pPr>
              <w:rPr>
                <w:rFonts w:ascii="仿宋" w:eastAsia="仿宋" w:hAnsi="仿宋"/>
                <w:color w:val="000000" w:themeColor="text1"/>
                <w:sz w:val="24"/>
              </w:rPr>
            </w:pPr>
          </w:p>
        </w:tc>
      </w:tr>
      <w:tr w:rsidR="00013EC7">
        <w:trPr>
          <w:trHeight w:val="260"/>
          <w:jc w:val="center"/>
        </w:trPr>
        <w:tc>
          <w:tcPr>
            <w:tcW w:w="672" w:type="dxa"/>
            <w:vMerge/>
            <w:textDirection w:val="tbRlV"/>
            <w:vAlign w:val="center"/>
          </w:tcPr>
          <w:p w:rsidR="00013EC7" w:rsidRDefault="00013EC7">
            <w:pPr>
              <w:rPr>
                <w:rFonts w:ascii="仿宋" w:eastAsia="仿宋" w:hAnsi="仿宋"/>
                <w:color w:val="000000" w:themeColor="text1"/>
                <w:sz w:val="24"/>
              </w:rPr>
            </w:pPr>
          </w:p>
        </w:tc>
        <w:tc>
          <w:tcPr>
            <w:tcW w:w="1035" w:type="dxa"/>
            <w:vMerge/>
            <w:vAlign w:val="center"/>
          </w:tcPr>
          <w:p w:rsidR="00013EC7" w:rsidRDefault="00013EC7">
            <w:pPr>
              <w:rPr>
                <w:rFonts w:ascii="仿宋" w:eastAsia="仿宋" w:hAnsi="仿宋"/>
                <w:color w:val="000000" w:themeColor="text1"/>
                <w:sz w:val="24"/>
              </w:rPr>
            </w:pPr>
          </w:p>
        </w:tc>
        <w:tc>
          <w:tcPr>
            <w:tcW w:w="1271" w:type="dxa"/>
            <w:vMerge/>
            <w:vAlign w:val="center"/>
          </w:tcPr>
          <w:p w:rsidR="00013EC7" w:rsidRDefault="00013EC7">
            <w:pPr>
              <w:rPr>
                <w:rFonts w:ascii="仿宋" w:eastAsia="仿宋" w:hAnsi="仿宋"/>
                <w:color w:val="000000" w:themeColor="text1"/>
                <w:sz w:val="24"/>
              </w:rPr>
            </w:pPr>
          </w:p>
        </w:tc>
        <w:tc>
          <w:tcPr>
            <w:tcW w:w="4394" w:type="dxa"/>
          </w:tcPr>
          <w:p w:rsidR="00013EC7" w:rsidRDefault="00575CDB">
            <w:pPr>
              <w:rPr>
                <w:color w:val="000000" w:themeColor="text1"/>
              </w:rPr>
            </w:pPr>
            <w:r>
              <w:rPr>
                <w:rFonts w:ascii="仿宋" w:eastAsia="仿宋" w:hAnsi="仿宋" w:hint="eastAsia"/>
                <w:color w:val="000000" w:themeColor="text1"/>
                <w:sz w:val="24"/>
                <w:highlight w:val="lightGray"/>
              </w:rPr>
              <w:t>（四十五）按会计准则规定当期应确认资产（股权）转让损益的，应提供按税法规定核算的资产（股权）计税基础与按会计准则规定核算的相关资产（股权）账面价值的暂时性差异专项说明。</w:t>
            </w:r>
          </w:p>
        </w:tc>
        <w:tc>
          <w:tcPr>
            <w:tcW w:w="851" w:type="dxa"/>
            <w:vMerge/>
            <w:vAlign w:val="center"/>
          </w:tcPr>
          <w:p w:rsidR="00013EC7" w:rsidRDefault="00013EC7">
            <w:pPr>
              <w:jc w:val="left"/>
              <w:rPr>
                <w:rFonts w:ascii="仿宋" w:eastAsia="仿宋" w:hAnsi="仿宋"/>
                <w:color w:val="000000" w:themeColor="text1"/>
                <w:sz w:val="24"/>
              </w:rPr>
            </w:pPr>
          </w:p>
        </w:tc>
        <w:tc>
          <w:tcPr>
            <w:tcW w:w="4252" w:type="dxa"/>
          </w:tcPr>
          <w:p w:rsidR="00013EC7" w:rsidRDefault="00575CDB">
            <w:pPr>
              <w:rPr>
                <w:color w:val="000000" w:themeColor="text1"/>
              </w:rPr>
            </w:pPr>
            <w:r>
              <w:rPr>
                <w:rFonts w:ascii="仿宋" w:eastAsia="仿宋" w:hAnsi="仿宋" w:hint="eastAsia"/>
                <w:color w:val="000000" w:themeColor="text1"/>
                <w:sz w:val="24"/>
              </w:rPr>
              <w:t>（四十四）按会计准则规定当期应确认资产（股权）转让损益的，应提供按税法规定核算的资产（股权）计税基础与按会计准则规定核算的相关资产（股权）账面价值的暂时性差异专项说明（留存备查）。</w:t>
            </w:r>
          </w:p>
        </w:tc>
        <w:tc>
          <w:tcPr>
            <w:tcW w:w="851" w:type="dxa"/>
            <w:vMerge/>
            <w:vAlign w:val="center"/>
          </w:tcPr>
          <w:p w:rsidR="00013EC7" w:rsidRDefault="00013EC7">
            <w:pPr>
              <w:jc w:val="left"/>
              <w:rPr>
                <w:rFonts w:ascii="仿宋" w:eastAsia="仿宋" w:hAnsi="仿宋"/>
                <w:color w:val="000000" w:themeColor="text1"/>
                <w:sz w:val="24"/>
              </w:rPr>
            </w:pPr>
          </w:p>
        </w:tc>
        <w:tc>
          <w:tcPr>
            <w:tcW w:w="2126" w:type="dxa"/>
            <w:vMerge/>
            <w:vAlign w:val="center"/>
          </w:tcPr>
          <w:p w:rsidR="00013EC7" w:rsidRDefault="00013EC7">
            <w:pPr>
              <w:rPr>
                <w:rFonts w:ascii="仿宋" w:eastAsia="仿宋" w:hAnsi="仿宋"/>
                <w:b/>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851" w:type="dxa"/>
            <w:vMerge/>
            <w:vAlign w:val="center"/>
          </w:tcPr>
          <w:p w:rsidR="00013EC7" w:rsidRDefault="00013EC7">
            <w:pPr>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709" w:type="dxa"/>
            <w:vMerge/>
            <w:vAlign w:val="center"/>
          </w:tcPr>
          <w:p w:rsidR="00013EC7" w:rsidRDefault="00013EC7">
            <w:pPr>
              <w:rPr>
                <w:rFonts w:ascii="仿宋" w:eastAsia="仿宋" w:hAnsi="仿宋"/>
                <w:color w:val="000000" w:themeColor="text1"/>
                <w:sz w:val="24"/>
              </w:rPr>
            </w:pPr>
          </w:p>
        </w:tc>
        <w:tc>
          <w:tcPr>
            <w:tcW w:w="1133" w:type="dxa"/>
            <w:vMerge/>
            <w:vAlign w:val="center"/>
          </w:tcPr>
          <w:p w:rsidR="00013EC7" w:rsidRDefault="00013EC7">
            <w:pPr>
              <w:rPr>
                <w:rFonts w:ascii="仿宋" w:eastAsia="仿宋" w:hAnsi="仿宋"/>
                <w:color w:val="000000" w:themeColor="text1"/>
                <w:sz w:val="24"/>
              </w:rPr>
            </w:pPr>
          </w:p>
        </w:tc>
      </w:tr>
      <w:tr w:rsidR="00013EC7">
        <w:trPr>
          <w:trHeight w:val="260"/>
          <w:jc w:val="center"/>
        </w:trPr>
        <w:tc>
          <w:tcPr>
            <w:tcW w:w="672" w:type="dxa"/>
            <w:vMerge/>
            <w:textDirection w:val="tbRlV"/>
            <w:vAlign w:val="center"/>
          </w:tcPr>
          <w:p w:rsidR="00013EC7" w:rsidRDefault="00013EC7">
            <w:pPr>
              <w:rPr>
                <w:rFonts w:ascii="仿宋" w:eastAsia="仿宋" w:hAnsi="仿宋"/>
                <w:color w:val="000000" w:themeColor="text1"/>
                <w:sz w:val="24"/>
              </w:rPr>
            </w:pPr>
          </w:p>
        </w:tc>
        <w:tc>
          <w:tcPr>
            <w:tcW w:w="1035" w:type="dxa"/>
            <w:vMerge/>
            <w:vAlign w:val="center"/>
          </w:tcPr>
          <w:p w:rsidR="00013EC7" w:rsidRDefault="00013EC7">
            <w:pPr>
              <w:rPr>
                <w:rFonts w:ascii="仿宋" w:eastAsia="仿宋" w:hAnsi="仿宋"/>
                <w:color w:val="000000" w:themeColor="text1"/>
                <w:sz w:val="24"/>
              </w:rPr>
            </w:pPr>
          </w:p>
        </w:tc>
        <w:tc>
          <w:tcPr>
            <w:tcW w:w="1271" w:type="dxa"/>
            <w:vMerge/>
            <w:vAlign w:val="center"/>
          </w:tcPr>
          <w:p w:rsidR="00013EC7" w:rsidRDefault="00013EC7">
            <w:pPr>
              <w:rPr>
                <w:rFonts w:ascii="仿宋" w:eastAsia="仿宋" w:hAnsi="仿宋"/>
                <w:color w:val="000000" w:themeColor="text1"/>
                <w:sz w:val="24"/>
              </w:rPr>
            </w:pPr>
          </w:p>
        </w:tc>
        <w:tc>
          <w:tcPr>
            <w:tcW w:w="4394" w:type="dxa"/>
            <w:vAlign w:val="center"/>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（三十二）《企业重组所得税特殊性税务处理报告表及附表》。</w:t>
            </w:r>
          </w:p>
        </w:tc>
        <w:tc>
          <w:tcPr>
            <w:tcW w:w="851" w:type="dxa"/>
            <w:vMerge w:val="restart"/>
            <w:vAlign w:val="center"/>
          </w:tcPr>
          <w:p w:rsidR="00013EC7" w:rsidRDefault="00575CDB">
            <w:pPr>
              <w:jc w:val="left"/>
              <w:rPr>
                <w:rFonts w:ascii="仿宋" w:eastAsia="仿宋" w:hAnsi="仿宋"/>
                <w:color w:val="000000" w:themeColor="text1"/>
                <w:sz w:val="24"/>
              </w:rPr>
            </w:pPr>
            <w:r>
              <w:rPr>
                <w:rFonts w:ascii="仿宋" w:eastAsia="仿宋" w:hAnsi="仿宋"/>
                <w:color w:val="000000" w:themeColor="text1"/>
                <w:sz w:val="24"/>
              </w:rPr>
              <w:t>发生</w:t>
            </w:r>
            <w:r>
              <w:rPr>
                <w:rFonts w:ascii="仿宋" w:eastAsia="仿宋" w:hAnsi="仿宋" w:cs="宋体" w:hint="eastAsia"/>
                <w:color w:val="000000" w:themeColor="text1"/>
                <w:kern w:val="1"/>
                <w:sz w:val="24"/>
              </w:rPr>
              <w:t>股权收购</w:t>
            </w:r>
            <w:r>
              <w:rPr>
                <w:rFonts w:ascii="仿宋" w:eastAsia="仿宋" w:hAnsi="仿宋"/>
                <w:color w:val="000000" w:themeColor="text1"/>
                <w:sz w:val="24"/>
              </w:rPr>
              <w:t>并选择特殊性税务处理的</w:t>
            </w:r>
            <w:r>
              <w:rPr>
                <w:rFonts w:ascii="仿宋" w:eastAsia="仿宋" w:hAnsi="仿宋" w:hint="eastAsia"/>
                <w:color w:val="000000" w:themeColor="text1"/>
                <w:sz w:val="24"/>
              </w:rPr>
              <w:t>纳税人提交</w:t>
            </w:r>
          </w:p>
        </w:tc>
        <w:tc>
          <w:tcPr>
            <w:tcW w:w="4252" w:type="dxa"/>
            <w:vAlign w:val="center"/>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（三十一）《企业重组所得税特殊性税务处理报告表及附表》。</w:t>
            </w:r>
          </w:p>
        </w:tc>
        <w:tc>
          <w:tcPr>
            <w:tcW w:w="851" w:type="dxa"/>
            <w:vMerge w:val="restart"/>
            <w:vAlign w:val="center"/>
          </w:tcPr>
          <w:p w:rsidR="00013EC7" w:rsidRDefault="00575CDB">
            <w:pPr>
              <w:jc w:val="left"/>
              <w:rPr>
                <w:rFonts w:ascii="仿宋" w:eastAsia="仿宋" w:hAnsi="仿宋"/>
                <w:color w:val="000000" w:themeColor="text1"/>
                <w:sz w:val="24"/>
              </w:rPr>
            </w:pPr>
            <w:r>
              <w:rPr>
                <w:rFonts w:ascii="仿宋" w:eastAsia="仿宋" w:hAnsi="仿宋"/>
                <w:color w:val="000000" w:themeColor="text1"/>
                <w:sz w:val="24"/>
              </w:rPr>
              <w:t>发生</w:t>
            </w:r>
            <w:r>
              <w:rPr>
                <w:rFonts w:ascii="仿宋" w:eastAsia="仿宋" w:hAnsi="仿宋" w:cs="宋体" w:hint="eastAsia"/>
                <w:color w:val="000000" w:themeColor="text1"/>
                <w:kern w:val="1"/>
                <w:sz w:val="24"/>
              </w:rPr>
              <w:t>股权收购</w:t>
            </w:r>
            <w:r>
              <w:rPr>
                <w:rFonts w:ascii="仿宋" w:eastAsia="仿宋" w:hAnsi="仿宋"/>
                <w:color w:val="000000" w:themeColor="text1"/>
                <w:sz w:val="24"/>
              </w:rPr>
              <w:t>并选择特殊性税务处理的</w:t>
            </w:r>
            <w:r>
              <w:rPr>
                <w:rFonts w:ascii="仿宋" w:eastAsia="仿宋" w:hAnsi="仿宋" w:hint="eastAsia"/>
                <w:color w:val="000000" w:themeColor="text1"/>
                <w:sz w:val="24"/>
              </w:rPr>
              <w:t>纳税人提交</w:t>
            </w:r>
          </w:p>
        </w:tc>
        <w:tc>
          <w:tcPr>
            <w:tcW w:w="2126" w:type="dxa"/>
            <w:vMerge/>
            <w:vAlign w:val="center"/>
          </w:tcPr>
          <w:p w:rsidR="00013EC7" w:rsidRDefault="00013EC7">
            <w:pPr>
              <w:rPr>
                <w:rFonts w:ascii="仿宋" w:eastAsia="仿宋" w:hAnsi="仿宋"/>
                <w:b/>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851" w:type="dxa"/>
            <w:vMerge/>
            <w:vAlign w:val="center"/>
          </w:tcPr>
          <w:p w:rsidR="00013EC7" w:rsidRDefault="00013EC7">
            <w:pPr>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709" w:type="dxa"/>
            <w:vMerge/>
            <w:vAlign w:val="center"/>
          </w:tcPr>
          <w:p w:rsidR="00013EC7" w:rsidRDefault="00013EC7">
            <w:pPr>
              <w:rPr>
                <w:rFonts w:ascii="仿宋" w:eastAsia="仿宋" w:hAnsi="仿宋"/>
                <w:color w:val="000000" w:themeColor="text1"/>
                <w:sz w:val="24"/>
              </w:rPr>
            </w:pPr>
          </w:p>
        </w:tc>
        <w:tc>
          <w:tcPr>
            <w:tcW w:w="1133" w:type="dxa"/>
            <w:vMerge/>
            <w:vAlign w:val="center"/>
          </w:tcPr>
          <w:p w:rsidR="00013EC7" w:rsidRDefault="00013EC7">
            <w:pPr>
              <w:rPr>
                <w:rFonts w:ascii="仿宋" w:eastAsia="仿宋" w:hAnsi="仿宋"/>
                <w:color w:val="000000" w:themeColor="text1"/>
                <w:sz w:val="24"/>
              </w:rPr>
            </w:pPr>
          </w:p>
        </w:tc>
      </w:tr>
      <w:tr w:rsidR="00013EC7">
        <w:trPr>
          <w:trHeight w:val="260"/>
          <w:jc w:val="center"/>
        </w:trPr>
        <w:tc>
          <w:tcPr>
            <w:tcW w:w="672" w:type="dxa"/>
            <w:vMerge/>
            <w:textDirection w:val="tbRlV"/>
            <w:vAlign w:val="center"/>
          </w:tcPr>
          <w:p w:rsidR="00013EC7" w:rsidRDefault="00013EC7">
            <w:pPr>
              <w:rPr>
                <w:rFonts w:ascii="仿宋" w:eastAsia="仿宋" w:hAnsi="仿宋"/>
                <w:color w:val="000000" w:themeColor="text1"/>
                <w:sz w:val="24"/>
              </w:rPr>
            </w:pPr>
          </w:p>
        </w:tc>
        <w:tc>
          <w:tcPr>
            <w:tcW w:w="1035" w:type="dxa"/>
            <w:vMerge/>
            <w:vAlign w:val="center"/>
          </w:tcPr>
          <w:p w:rsidR="00013EC7" w:rsidRDefault="00013EC7">
            <w:pPr>
              <w:rPr>
                <w:rFonts w:ascii="仿宋" w:eastAsia="仿宋" w:hAnsi="仿宋"/>
                <w:color w:val="000000" w:themeColor="text1"/>
                <w:sz w:val="24"/>
              </w:rPr>
            </w:pPr>
          </w:p>
        </w:tc>
        <w:tc>
          <w:tcPr>
            <w:tcW w:w="1271" w:type="dxa"/>
            <w:vMerge/>
            <w:vAlign w:val="center"/>
          </w:tcPr>
          <w:p w:rsidR="00013EC7" w:rsidRDefault="00013EC7">
            <w:pPr>
              <w:rPr>
                <w:rFonts w:ascii="仿宋" w:eastAsia="仿宋" w:hAnsi="仿宋"/>
                <w:color w:val="000000" w:themeColor="text1"/>
                <w:sz w:val="24"/>
              </w:rPr>
            </w:pPr>
          </w:p>
        </w:tc>
        <w:tc>
          <w:tcPr>
            <w:tcW w:w="4394" w:type="dxa"/>
          </w:tcPr>
          <w:p w:rsidR="00013EC7" w:rsidRDefault="00575CDB">
            <w:pPr>
              <w:spacing w:line="300" w:lineRule="exact"/>
              <w:rPr>
                <w:rFonts w:ascii="仿宋" w:eastAsia="仿宋" w:hAnsi="仿宋"/>
                <w:color w:val="000000" w:themeColor="text1"/>
                <w:sz w:val="24"/>
                <w:highlight w:val="lightGray"/>
              </w:rPr>
            </w:pPr>
            <w:r>
              <w:rPr>
                <w:rFonts w:ascii="仿宋" w:eastAsia="仿宋" w:hAnsi="仿宋" w:hint="eastAsia"/>
                <w:color w:val="000000" w:themeColor="text1"/>
                <w:sz w:val="24"/>
                <w:highlight w:val="lightGray"/>
              </w:rPr>
              <w:t>（四十六）当事方的股权收购业务总体情况说明，包括股权收购方案、基本情况，并逐条说明股权收购的商业目的。</w:t>
            </w:r>
          </w:p>
        </w:tc>
        <w:tc>
          <w:tcPr>
            <w:tcW w:w="851" w:type="dxa"/>
            <w:vMerge/>
            <w:vAlign w:val="center"/>
          </w:tcPr>
          <w:p w:rsidR="00013EC7" w:rsidRDefault="00013EC7">
            <w:pPr>
              <w:jc w:val="left"/>
              <w:rPr>
                <w:rFonts w:ascii="仿宋" w:eastAsia="仿宋" w:hAnsi="仿宋"/>
                <w:color w:val="000000" w:themeColor="text1"/>
                <w:sz w:val="24"/>
              </w:rPr>
            </w:pPr>
          </w:p>
        </w:tc>
        <w:tc>
          <w:tcPr>
            <w:tcW w:w="4252" w:type="dxa"/>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（四十五）当事方的股权收购业务总体情况说明，包括股权收购方案、基本情况，并逐条说明股权收购的商业目的（留存备查）。</w:t>
            </w:r>
          </w:p>
        </w:tc>
        <w:tc>
          <w:tcPr>
            <w:tcW w:w="851" w:type="dxa"/>
            <w:vMerge/>
            <w:vAlign w:val="center"/>
          </w:tcPr>
          <w:p w:rsidR="00013EC7" w:rsidRDefault="00013EC7">
            <w:pPr>
              <w:jc w:val="left"/>
              <w:rPr>
                <w:rFonts w:ascii="仿宋" w:eastAsia="仿宋" w:hAnsi="仿宋"/>
                <w:color w:val="000000" w:themeColor="text1"/>
                <w:sz w:val="24"/>
              </w:rPr>
            </w:pPr>
          </w:p>
        </w:tc>
        <w:tc>
          <w:tcPr>
            <w:tcW w:w="2126" w:type="dxa"/>
            <w:vMerge/>
            <w:vAlign w:val="center"/>
          </w:tcPr>
          <w:p w:rsidR="00013EC7" w:rsidRDefault="00013EC7">
            <w:pPr>
              <w:rPr>
                <w:rFonts w:ascii="仿宋" w:eastAsia="仿宋" w:hAnsi="仿宋"/>
                <w:b/>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851" w:type="dxa"/>
            <w:vMerge/>
            <w:vAlign w:val="center"/>
          </w:tcPr>
          <w:p w:rsidR="00013EC7" w:rsidRDefault="00013EC7">
            <w:pPr>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709" w:type="dxa"/>
            <w:vMerge/>
            <w:vAlign w:val="center"/>
          </w:tcPr>
          <w:p w:rsidR="00013EC7" w:rsidRDefault="00013EC7">
            <w:pPr>
              <w:rPr>
                <w:rFonts w:ascii="仿宋" w:eastAsia="仿宋" w:hAnsi="仿宋"/>
                <w:color w:val="000000" w:themeColor="text1"/>
                <w:sz w:val="24"/>
              </w:rPr>
            </w:pPr>
          </w:p>
        </w:tc>
        <w:tc>
          <w:tcPr>
            <w:tcW w:w="1133" w:type="dxa"/>
            <w:vMerge/>
            <w:vAlign w:val="center"/>
          </w:tcPr>
          <w:p w:rsidR="00013EC7" w:rsidRDefault="00013EC7">
            <w:pPr>
              <w:rPr>
                <w:rFonts w:ascii="仿宋" w:eastAsia="仿宋" w:hAnsi="仿宋"/>
                <w:color w:val="000000" w:themeColor="text1"/>
                <w:sz w:val="24"/>
              </w:rPr>
            </w:pPr>
          </w:p>
        </w:tc>
      </w:tr>
      <w:tr w:rsidR="00013EC7">
        <w:trPr>
          <w:trHeight w:val="260"/>
          <w:jc w:val="center"/>
        </w:trPr>
        <w:tc>
          <w:tcPr>
            <w:tcW w:w="672" w:type="dxa"/>
            <w:vMerge/>
            <w:textDirection w:val="tbRlV"/>
            <w:vAlign w:val="center"/>
          </w:tcPr>
          <w:p w:rsidR="00013EC7" w:rsidRDefault="00013EC7">
            <w:pPr>
              <w:rPr>
                <w:rFonts w:ascii="仿宋" w:eastAsia="仿宋" w:hAnsi="仿宋"/>
                <w:color w:val="000000" w:themeColor="text1"/>
                <w:sz w:val="24"/>
              </w:rPr>
            </w:pPr>
          </w:p>
        </w:tc>
        <w:tc>
          <w:tcPr>
            <w:tcW w:w="1035" w:type="dxa"/>
            <w:vMerge/>
            <w:vAlign w:val="center"/>
          </w:tcPr>
          <w:p w:rsidR="00013EC7" w:rsidRDefault="00013EC7">
            <w:pPr>
              <w:rPr>
                <w:rFonts w:ascii="仿宋" w:eastAsia="仿宋" w:hAnsi="仿宋"/>
                <w:color w:val="000000" w:themeColor="text1"/>
                <w:sz w:val="24"/>
              </w:rPr>
            </w:pPr>
          </w:p>
        </w:tc>
        <w:tc>
          <w:tcPr>
            <w:tcW w:w="1271" w:type="dxa"/>
            <w:vMerge/>
            <w:vAlign w:val="center"/>
          </w:tcPr>
          <w:p w:rsidR="00013EC7" w:rsidRDefault="00013EC7">
            <w:pPr>
              <w:rPr>
                <w:rFonts w:ascii="仿宋" w:eastAsia="仿宋" w:hAnsi="仿宋"/>
                <w:color w:val="000000" w:themeColor="text1"/>
                <w:sz w:val="24"/>
              </w:rPr>
            </w:pPr>
          </w:p>
        </w:tc>
        <w:tc>
          <w:tcPr>
            <w:tcW w:w="4394" w:type="dxa"/>
          </w:tcPr>
          <w:p w:rsidR="00013EC7" w:rsidRDefault="00575CDB">
            <w:pPr>
              <w:spacing w:line="300" w:lineRule="exact"/>
              <w:rPr>
                <w:rFonts w:ascii="仿宋" w:eastAsia="仿宋" w:hAnsi="仿宋"/>
                <w:color w:val="000000" w:themeColor="text1"/>
                <w:sz w:val="24"/>
                <w:highlight w:val="lightGray"/>
              </w:rPr>
            </w:pPr>
            <w:r>
              <w:rPr>
                <w:rFonts w:ascii="仿宋" w:eastAsia="仿宋" w:hAnsi="仿宋" w:hint="eastAsia"/>
                <w:color w:val="000000" w:themeColor="text1"/>
                <w:sz w:val="24"/>
                <w:highlight w:val="lightGray"/>
              </w:rPr>
              <w:t>（四十七）双方或多方所签订的股权收购业务合同或协议，需有权部门（包括内部和外部）批准的，应提供批准文件。</w:t>
            </w:r>
          </w:p>
        </w:tc>
        <w:tc>
          <w:tcPr>
            <w:tcW w:w="851" w:type="dxa"/>
            <w:vMerge/>
            <w:vAlign w:val="center"/>
          </w:tcPr>
          <w:p w:rsidR="00013EC7" w:rsidRDefault="00013EC7">
            <w:pPr>
              <w:jc w:val="left"/>
              <w:rPr>
                <w:rFonts w:ascii="仿宋" w:eastAsia="仿宋" w:hAnsi="仿宋"/>
                <w:color w:val="000000" w:themeColor="text1"/>
                <w:sz w:val="24"/>
              </w:rPr>
            </w:pPr>
          </w:p>
        </w:tc>
        <w:tc>
          <w:tcPr>
            <w:tcW w:w="4252" w:type="dxa"/>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（四十六）双方或多方所签订的股权收购业务合同或协议，需有权部门（包括内部和外部）批准的，应提供批准文件（留存备查）。</w:t>
            </w:r>
          </w:p>
        </w:tc>
        <w:tc>
          <w:tcPr>
            <w:tcW w:w="851" w:type="dxa"/>
            <w:vMerge/>
            <w:vAlign w:val="center"/>
          </w:tcPr>
          <w:p w:rsidR="00013EC7" w:rsidRDefault="00013EC7">
            <w:pPr>
              <w:jc w:val="left"/>
              <w:rPr>
                <w:rFonts w:ascii="仿宋" w:eastAsia="仿宋" w:hAnsi="仿宋"/>
                <w:color w:val="000000" w:themeColor="text1"/>
                <w:sz w:val="24"/>
              </w:rPr>
            </w:pPr>
          </w:p>
        </w:tc>
        <w:tc>
          <w:tcPr>
            <w:tcW w:w="2126" w:type="dxa"/>
            <w:vMerge/>
            <w:vAlign w:val="center"/>
          </w:tcPr>
          <w:p w:rsidR="00013EC7" w:rsidRDefault="00013EC7">
            <w:pPr>
              <w:rPr>
                <w:rFonts w:ascii="仿宋" w:eastAsia="仿宋" w:hAnsi="仿宋"/>
                <w:b/>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851" w:type="dxa"/>
            <w:vMerge/>
            <w:vAlign w:val="center"/>
          </w:tcPr>
          <w:p w:rsidR="00013EC7" w:rsidRDefault="00013EC7">
            <w:pPr>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709" w:type="dxa"/>
            <w:vMerge/>
            <w:vAlign w:val="center"/>
          </w:tcPr>
          <w:p w:rsidR="00013EC7" w:rsidRDefault="00013EC7">
            <w:pPr>
              <w:rPr>
                <w:rFonts w:ascii="仿宋" w:eastAsia="仿宋" w:hAnsi="仿宋"/>
                <w:color w:val="000000" w:themeColor="text1"/>
                <w:sz w:val="24"/>
              </w:rPr>
            </w:pPr>
          </w:p>
        </w:tc>
        <w:tc>
          <w:tcPr>
            <w:tcW w:w="1133" w:type="dxa"/>
            <w:vMerge/>
            <w:vAlign w:val="center"/>
          </w:tcPr>
          <w:p w:rsidR="00013EC7" w:rsidRDefault="00013EC7">
            <w:pPr>
              <w:rPr>
                <w:rFonts w:ascii="仿宋" w:eastAsia="仿宋" w:hAnsi="仿宋"/>
                <w:color w:val="000000" w:themeColor="text1"/>
                <w:sz w:val="24"/>
              </w:rPr>
            </w:pPr>
          </w:p>
        </w:tc>
      </w:tr>
      <w:tr w:rsidR="00013EC7">
        <w:trPr>
          <w:trHeight w:val="260"/>
          <w:jc w:val="center"/>
        </w:trPr>
        <w:tc>
          <w:tcPr>
            <w:tcW w:w="672" w:type="dxa"/>
            <w:vMerge/>
            <w:textDirection w:val="tbRlV"/>
            <w:vAlign w:val="center"/>
          </w:tcPr>
          <w:p w:rsidR="00013EC7" w:rsidRDefault="00013EC7">
            <w:pPr>
              <w:rPr>
                <w:rFonts w:ascii="仿宋" w:eastAsia="仿宋" w:hAnsi="仿宋"/>
                <w:color w:val="000000" w:themeColor="text1"/>
                <w:sz w:val="24"/>
              </w:rPr>
            </w:pPr>
          </w:p>
        </w:tc>
        <w:tc>
          <w:tcPr>
            <w:tcW w:w="1035" w:type="dxa"/>
            <w:vMerge/>
            <w:vAlign w:val="center"/>
          </w:tcPr>
          <w:p w:rsidR="00013EC7" w:rsidRDefault="00013EC7">
            <w:pPr>
              <w:rPr>
                <w:rFonts w:ascii="仿宋" w:eastAsia="仿宋" w:hAnsi="仿宋"/>
                <w:color w:val="000000" w:themeColor="text1"/>
                <w:sz w:val="24"/>
              </w:rPr>
            </w:pPr>
          </w:p>
        </w:tc>
        <w:tc>
          <w:tcPr>
            <w:tcW w:w="1271" w:type="dxa"/>
            <w:vMerge/>
            <w:vAlign w:val="center"/>
          </w:tcPr>
          <w:p w:rsidR="00013EC7" w:rsidRDefault="00013EC7">
            <w:pPr>
              <w:rPr>
                <w:rFonts w:ascii="仿宋" w:eastAsia="仿宋" w:hAnsi="仿宋"/>
                <w:color w:val="000000" w:themeColor="text1"/>
                <w:sz w:val="24"/>
              </w:rPr>
            </w:pPr>
          </w:p>
        </w:tc>
        <w:tc>
          <w:tcPr>
            <w:tcW w:w="4394" w:type="dxa"/>
          </w:tcPr>
          <w:p w:rsidR="00013EC7" w:rsidRDefault="00575CDB">
            <w:pPr>
              <w:spacing w:line="300" w:lineRule="exact"/>
              <w:rPr>
                <w:rFonts w:ascii="仿宋" w:eastAsia="仿宋" w:hAnsi="仿宋"/>
                <w:color w:val="000000" w:themeColor="text1"/>
                <w:sz w:val="24"/>
                <w:highlight w:val="lightGray"/>
              </w:rPr>
            </w:pPr>
            <w:r>
              <w:rPr>
                <w:rFonts w:ascii="仿宋" w:eastAsia="仿宋" w:hAnsi="仿宋" w:hint="eastAsia"/>
                <w:color w:val="000000" w:themeColor="text1"/>
                <w:sz w:val="24"/>
                <w:highlight w:val="lightGray"/>
              </w:rPr>
              <w:t>（四十八）由评估机构出具的资产评估报告等公允价值证明。</w:t>
            </w:r>
          </w:p>
        </w:tc>
        <w:tc>
          <w:tcPr>
            <w:tcW w:w="851" w:type="dxa"/>
            <w:vMerge/>
            <w:vAlign w:val="center"/>
          </w:tcPr>
          <w:p w:rsidR="00013EC7" w:rsidRDefault="00013EC7">
            <w:pPr>
              <w:jc w:val="left"/>
              <w:rPr>
                <w:rFonts w:ascii="仿宋" w:eastAsia="仿宋" w:hAnsi="仿宋"/>
                <w:color w:val="000000" w:themeColor="text1"/>
                <w:sz w:val="24"/>
              </w:rPr>
            </w:pPr>
          </w:p>
        </w:tc>
        <w:tc>
          <w:tcPr>
            <w:tcW w:w="4252" w:type="dxa"/>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（四十七）由评估机构出具的资产评估报告等公允价值证明（留存备查）。</w:t>
            </w:r>
          </w:p>
        </w:tc>
        <w:tc>
          <w:tcPr>
            <w:tcW w:w="851" w:type="dxa"/>
            <w:vMerge/>
            <w:vAlign w:val="center"/>
          </w:tcPr>
          <w:p w:rsidR="00013EC7" w:rsidRDefault="00013EC7">
            <w:pPr>
              <w:jc w:val="left"/>
              <w:rPr>
                <w:rFonts w:ascii="仿宋" w:eastAsia="仿宋" w:hAnsi="仿宋"/>
                <w:color w:val="000000" w:themeColor="text1"/>
                <w:sz w:val="24"/>
              </w:rPr>
            </w:pPr>
          </w:p>
        </w:tc>
        <w:tc>
          <w:tcPr>
            <w:tcW w:w="2126" w:type="dxa"/>
            <w:vMerge/>
            <w:vAlign w:val="center"/>
          </w:tcPr>
          <w:p w:rsidR="00013EC7" w:rsidRDefault="00013EC7">
            <w:pPr>
              <w:rPr>
                <w:rFonts w:ascii="仿宋" w:eastAsia="仿宋" w:hAnsi="仿宋"/>
                <w:b/>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851" w:type="dxa"/>
            <w:vMerge/>
            <w:vAlign w:val="center"/>
          </w:tcPr>
          <w:p w:rsidR="00013EC7" w:rsidRDefault="00013EC7">
            <w:pPr>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709" w:type="dxa"/>
            <w:vMerge/>
            <w:vAlign w:val="center"/>
          </w:tcPr>
          <w:p w:rsidR="00013EC7" w:rsidRDefault="00013EC7">
            <w:pPr>
              <w:rPr>
                <w:rFonts w:ascii="仿宋" w:eastAsia="仿宋" w:hAnsi="仿宋"/>
                <w:color w:val="000000" w:themeColor="text1"/>
                <w:sz w:val="24"/>
              </w:rPr>
            </w:pPr>
          </w:p>
        </w:tc>
        <w:tc>
          <w:tcPr>
            <w:tcW w:w="1133" w:type="dxa"/>
            <w:vMerge/>
            <w:vAlign w:val="center"/>
          </w:tcPr>
          <w:p w:rsidR="00013EC7" w:rsidRDefault="00013EC7">
            <w:pPr>
              <w:rPr>
                <w:rFonts w:ascii="仿宋" w:eastAsia="仿宋" w:hAnsi="仿宋"/>
                <w:color w:val="000000" w:themeColor="text1"/>
                <w:sz w:val="24"/>
              </w:rPr>
            </w:pPr>
          </w:p>
        </w:tc>
      </w:tr>
      <w:tr w:rsidR="00013EC7">
        <w:trPr>
          <w:trHeight w:val="260"/>
          <w:jc w:val="center"/>
        </w:trPr>
        <w:tc>
          <w:tcPr>
            <w:tcW w:w="672" w:type="dxa"/>
            <w:vMerge/>
            <w:textDirection w:val="tbRlV"/>
            <w:vAlign w:val="center"/>
          </w:tcPr>
          <w:p w:rsidR="00013EC7" w:rsidRDefault="00013EC7">
            <w:pPr>
              <w:rPr>
                <w:rFonts w:ascii="仿宋" w:eastAsia="仿宋" w:hAnsi="仿宋"/>
                <w:color w:val="000000" w:themeColor="text1"/>
                <w:sz w:val="24"/>
              </w:rPr>
            </w:pPr>
          </w:p>
        </w:tc>
        <w:tc>
          <w:tcPr>
            <w:tcW w:w="1035" w:type="dxa"/>
            <w:vMerge/>
            <w:vAlign w:val="center"/>
          </w:tcPr>
          <w:p w:rsidR="00013EC7" w:rsidRDefault="00013EC7">
            <w:pPr>
              <w:rPr>
                <w:rFonts w:ascii="仿宋" w:eastAsia="仿宋" w:hAnsi="仿宋"/>
                <w:color w:val="000000" w:themeColor="text1"/>
                <w:sz w:val="24"/>
              </w:rPr>
            </w:pPr>
          </w:p>
        </w:tc>
        <w:tc>
          <w:tcPr>
            <w:tcW w:w="1271" w:type="dxa"/>
            <w:vMerge/>
            <w:vAlign w:val="center"/>
          </w:tcPr>
          <w:p w:rsidR="00013EC7" w:rsidRDefault="00013EC7">
            <w:pPr>
              <w:rPr>
                <w:rFonts w:ascii="仿宋" w:eastAsia="仿宋" w:hAnsi="仿宋"/>
                <w:color w:val="000000" w:themeColor="text1"/>
                <w:sz w:val="24"/>
              </w:rPr>
            </w:pPr>
          </w:p>
        </w:tc>
        <w:tc>
          <w:tcPr>
            <w:tcW w:w="4394" w:type="dxa"/>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highlight w:val="lightGray"/>
              </w:rPr>
              <w:t>（四十九）涉及非货币性资产支付的，应提供非货币性资产评估报告等公允价值证明。</w:t>
            </w:r>
          </w:p>
        </w:tc>
        <w:tc>
          <w:tcPr>
            <w:tcW w:w="851" w:type="dxa"/>
            <w:vMerge/>
            <w:vAlign w:val="center"/>
          </w:tcPr>
          <w:p w:rsidR="00013EC7" w:rsidRDefault="00013EC7">
            <w:pPr>
              <w:jc w:val="left"/>
              <w:rPr>
                <w:rFonts w:ascii="仿宋" w:eastAsia="仿宋" w:hAnsi="仿宋"/>
                <w:color w:val="000000" w:themeColor="text1"/>
                <w:sz w:val="24"/>
              </w:rPr>
            </w:pPr>
          </w:p>
        </w:tc>
        <w:tc>
          <w:tcPr>
            <w:tcW w:w="4252" w:type="dxa"/>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（四十八）涉及非货币性资产支付的，应提供非货币性资产评估报告等公允价值证明（留存备查）。</w:t>
            </w:r>
          </w:p>
        </w:tc>
        <w:tc>
          <w:tcPr>
            <w:tcW w:w="851" w:type="dxa"/>
            <w:vMerge/>
            <w:vAlign w:val="center"/>
          </w:tcPr>
          <w:p w:rsidR="00013EC7" w:rsidRDefault="00013EC7">
            <w:pPr>
              <w:jc w:val="left"/>
              <w:rPr>
                <w:rFonts w:ascii="仿宋" w:eastAsia="仿宋" w:hAnsi="仿宋"/>
                <w:color w:val="000000" w:themeColor="text1"/>
                <w:sz w:val="24"/>
              </w:rPr>
            </w:pPr>
          </w:p>
        </w:tc>
        <w:tc>
          <w:tcPr>
            <w:tcW w:w="2126" w:type="dxa"/>
            <w:vMerge/>
            <w:vAlign w:val="center"/>
          </w:tcPr>
          <w:p w:rsidR="00013EC7" w:rsidRDefault="00013EC7">
            <w:pPr>
              <w:rPr>
                <w:rFonts w:ascii="仿宋" w:eastAsia="仿宋" w:hAnsi="仿宋"/>
                <w:b/>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851" w:type="dxa"/>
            <w:vMerge/>
            <w:vAlign w:val="center"/>
          </w:tcPr>
          <w:p w:rsidR="00013EC7" w:rsidRDefault="00013EC7">
            <w:pPr>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709" w:type="dxa"/>
            <w:vMerge/>
            <w:vAlign w:val="center"/>
          </w:tcPr>
          <w:p w:rsidR="00013EC7" w:rsidRDefault="00013EC7">
            <w:pPr>
              <w:rPr>
                <w:rFonts w:ascii="仿宋" w:eastAsia="仿宋" w:hAnsi="仿宋"/>
                <w:color w:val="000000" w:themeColor="text1"/>
                <w:sz w:val="24"/>
              </w:rPr>
            </w:pPr>
          </w:p>
        </w:tc>
        <w:tc>
          <w:tcPr>
            <w:tcW w:w="1133" w:type="dxa"/>
            <w:vMerge/>
            <w:vAlign w:val="center"/>
          </w:tcPr>
          <w:p w:rsidR="00013EC7" w:rsidRDefault="00013EC7">
            <w:pPr>
              <w:rPr>
                <w:rFonts w:ascii="仿宋" w:eastAsia="仿宋" w:hAnsi="仿宋"/>
                <w:color w:val="000000" w:themeColor="text1"/>
                <w:sz w:val="24"/>
              </w:rPr>
            </w:pPr>
          </w:p>
        </w:tc>
      </w:tr>
      <w:tr w:rsidR="00013EC7">
        <w:trPr>
          <w:trHeight w:val="260"/>
          <w:jc w:val="center"/>
        </w:trPr>
        <w:tc>
          <w:tcPr>
            <w:tcW w:w="672" w:type="dxa"/>
            <w:vMerge/>
            <w:textDirection w:val="tbRlV"/>
            <w:vAlign w:val="center"/>
          </w:tcPr>
          <w:p w:rsidR="00013EC7" w:rsidRDefault="00013EC7">
            <w:pPr>
              <w:rPr>
                <w:rFonts w:ascii="仿宋" w:eastAsia="仿宋" w:hAnsi="仿宋"/>
                <w:color w:val="000000" w:themeColor="text1"/>
                <w:sz w:val="24"/>
              </w:rPr>
            </w:pPr>
          </w:p>
        </w:tc>
        <w:tc>
          <w:tcPr>
            <w:tcW w:w="1035" w:type="dxa"/>
            <w:vMerge/>
            <w:vAlign w:val="center"/>
          </w:tcPr>
          <w:p w:rsidR="00013EC7" w:rsidRDefault="00013EC7">
            <w:pPr>
              <w:rPr>
                <w:rFonts w:ascii="仿宋" w:eastAsia="仿宋" w:hAnsi="仿宋"/>
                <w:color w:val="000000" w:themeColor="text1"/>
                <w:sz w:val="24"/>
              </w:rPr>
            </w:pPr>
          </w:p>
        </w:tc>
        <w:tc>
          <w:tcPr>
            <w:tcW w:w="1271" w:type="dxa"/>
            <w:vMerge/>
            <w:vAlign w:val="center"/>
          </w:tcPr>
          <w:p w:rsidR="00013EC7" w:rsidRDefault="00013EC7">
            <w:pPr>
              <w:rPr>
                <w:rFonts w:ascii="仿宋" w:eastAsia="仿宋" w:hAnsi="仿宋"/>
                <w:color w:val="000000" w:themeColor="text1"/>
                <w:sz w:val="24"/>
              </w:rPr>
            </w:pPr>
          </w:p>
        </w:tc>
        <w:tc>
          <w:tcPr>
            <w:tcW w:w="4394" w:type="dxa"/>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highlight w:val="lightGray"/>
              </w:rPr>
              <w:t>（五十）</w:t>
            </w:r>
            <w:r>
              <w:rPr>
                <w:rFonts w:ascii="仿宋" w:eastAsia="仿宋" w:hAnsi="仿宋" w:hint="eastAsia"/>
                <w:color w:val="000000" w:themeColor="text1"/>
                <w:sz w:val="24"/>
              </w:rPr>
              <w:t>证明重组符合特殊性税务处理条件的资料，包括股权比例，支付对价情况。</w:t>
            </w:r>
            <w:r>
              <w:rPr>
                <w:rFonts w:ascii="仿宋" w:eastAsia="仿宋" w:hAnsi="仿宋" w:hint="eastAsia"/>
                <w:color w:val="000000" w:themeColor="text1"/>
                <w:sz w:val="24"/>
                <w:highlight w:val="lightGray"/>
              </w:rPr>
              <w:t>以及12个月内不改变资产原来的实质性经营活动和原主要股东不转让所取得股</w:t>
            </w:r>
            <w:r>
              <w:rPr>
                <w:rFonts w:ascii="仿宋" w:eastAsia="仿宋" w:hAnsi="仿宋" w:hint="eastAsia"/>
                <w:color w:val="000000" w:themeColor="text1"/>
                <w:sz w:val="24"/>
                <w:highlight w:val="lightGray"/>
              </w:rPr>
              <w:lastRenderedPageBreak/>
              <w:t>权的承诺书。</w:t>
            </w:r>
          </w:p>
        </w:tc>
        <w:tc>
          <w:tcPr>
            <w:tcW w:w="851" w:type="dxa"/>
            <w:vMerge/>
            <w:vAlign w:val="center"/>
          </w:tcPr>
          <w:p w:rsidR="00013EC7" w:rsidRDefault="00013EC7">
            <w:pPr>
              <w:jc w:val="left"/>
              <w:rPr>
                <w:rFonts w:ascii="仿宋" w:eastAsia="仿宋" w:hAnsi="仿宋"/>
                <w:color w:val="000000" w:themeColor="text1"/>
                <w:sz w:val="24"/>
              </w:rPr>
            </w:pPr>
          </w:p>
        </w:tc>
        <w:tc>
          <w:tcPr>
            <w:tcW w:w="4252" w:type="dxa"/>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（四十九）证明重组符合特殊性税务处理条件的资料，包括股权比例，支付对价情况。以及12个月内不改变资产原来的实质性经营活动和原主要股东不转让所</w:t>
            </w:r>
            <w:r>
              <w:rPr>
                <w:rFonts w:ascii="仿宋" w:eastAsia="仿宋" w:hAnsi="仿宋" w:hint="eastAsia"/>
                <w:color w:val="000000" w:themeColor="text1"/>
                <w:sz w:val="24"/>
              </w:rPr>
              <w:lastRenderedPageBreak/>
              <w:t>取得股权的承诺书（留存备查）。</w:t>
            </w:r>
          </w:p>
        </w:tc>
        <w:tc>
          <w:tcPr>
            <w:tcW w:w="851" w:type="dxa"/>
            <w:vMerge/>
            <w:vAlign w:val="center"/>
          </w:tcPr>
          <w:p w:rsidR="00013EC7" w:rsidRDefault="00013EC7">
            <w:pPr>
              <w:jc w:val="left"/>
              <w:rPr>
                <w:rFonts w:ascii="仿宋" w:eastAsia="仿宋" w:hAnsi="仿宋"/>
                <w:color w:val="000000" w:themeColor="text1"/>
                <w:sz w:val="24"/>
              </w:rPr>
            </w:pPr>
          </w:p>
        </w:tc>
        <w:tc>
          <w:tcPr>
            <w:tcW w:w="2126" w:type="dxa"/>
            <w:vMerge/>
            <w:vAlign w:val="center"/>
          </w:tcPr>
          <w:p w:rsidR="00013EC7" w:rsidRDefault="00013EC7">
            <w:pPr>
              <w:rPr>
                <w:rFonts w:ascii="仿宋" w:eastAsia="仿宋" w:hAnsi="仿宋"/>
                <w:b/>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851" w:type="dxa"/>
            <w:vMerge/>
            <w:vAlign w:val="center"/>
          </w:tcPr>
          <w:p w:rsidR="00013EC7" w:rsidRDefault="00013EC7">
            <w:pPr>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709" w:type="dxa"/>
            <w:vMerge/>
            <w:vAlign w:val="center"/>
          </w:tcPr>
          <w:p w:rsidR="00013EC7" w:rsidRDefault="00013EC7">
            <w:pPr>
              <w:rPr>
                <w:rFonts w:ascii="仿宋" w:eastAsia="仿宋" w:hAnsi="仿宋"/>
                <w:color w:val="000000" w:themeColor="text1"/>
                <w:sz w:val="24"/>
              </w:rPr>
            </w:pPr>
          </w:p>
        </w:tc>
        <w:tc>
          <w:tcPr>
            <w:tcW w:w="1133" w:type="dxa"/>
            <w:vMerge/>
            <w:vAlign w:val="center"/>
          </w:tcPr>
          <w:p w:rsidR="00013EC7" w:rsidRDefault="00013EC7">
            <w:pPr>
              <w:rPr>
                <w:rFonts w:ascii="仿宋" w:eastAsia="仿宋" w:hAnsi="仿宋"/>
                <w:color w:val="000000" w:themeColor="text1"/>
                <w:sz w:val="24"/>
              </w:rPr>
            </w:pPr>
          </w:p>
        </w:tc>
      </w:tr>
      <w:tr w:rsidR="00013EC7">
        <w:trPr>
          <w:trHeight w:val="260"/>
          <w:jc w:val="center"/>
        </w:trPr>
        <w:tc>
          <w:tcPr>
            <w:tcW w:w="672" w:type="dxa"/>
            <w:vMerge/>
            <w:textDirection w:val="tbRlV"/>
            <w:vAlign w:val="center"/>
          </w:tcPr>
          <w:p w:rsidR="00013EC7" w:rsidRDefault="00013EC7">
            <w:pPr>
              <w:rPr>
                <w:rFonts w:ascii="仿宋" w:eastAsia="仿宋" w:hAnsi="仿宋"/>
                <w:color w:val="000000" w:themeColor="text1"/>
                <w:sz w:val="24"/>
              </w:rPr>
            </w:pPr>
          </w:p>
        </w:tc>
        <w:tc>
          <w:tcPr>
            <w:tcW w:w="1035" w:type="dxa"/>
            <w:vMerge/>
            <w:vAlign w:val="center"/>
          </w:tcPr>
          <w:p w:rsidR="00013EC7" w:rsidRDefault="00013EC7">
            <w:pPr>
              <w:rPr>
                <w:rFonts w:ascii="仿宋" w:eastAsia="仿宋" w:hAnsi="仿宋"/>
                <w:color w:val="000000" w:themeColor="text1"/>
                <w:sz w:val="24"/>
              </w:rPr>
            </w:pPr>
          </w:p>
        </w:tc>
        <w:tc>
          <w:tcPr>
            <w:tcW w:w="1271" w:type="dxa"/>
            <w:vMerge/>
            <w:vAlign w:val="center"/>
          </w:tcPr>
          <w:p w:rsidR="00013EC7" w:rsidRDefault="00013EC7">
            <w:pPr>
              <w:rPr>
                <w:rFonts w:ascii="仿宋" w:eastAsia="仿宋" w:hAnsi="仿宋"/>
                <w:color w:val="000000" w:themeColor="text1"/>
                <w:sz w:val="24"/>
              </w:rPr>
            </w:pPr>
          </w:p>
        </w:tc>
        <w:tc>
          <w:tcPr>
            <w:tcW w:w="4394" w:type="dxa"/>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highlight w:val="lightGray"/>
              </w:rPr>
              <w:t>（五十一）工商等相关部门核准相关企业股权变更事项证明材料。</w:t>
            </w:r>
          </w:p>
        </w:tc>
        <w:tc>
          <w:tcPr>
            <w:tcW w:w="851" w:type="dxa"/>
            <w:vMerge/>
            <w:vAlign w:val="center"/>
          </w:tcPr>
          <w:p w:rsidR="00013EC7" w:rsidRDefault="00013EC7">
            <w:pPr>
              <w:jc w:val="left"/>
              <w:rPr>
                <w:rFonts w:ascii="仿宋" w:eastAsia="仿宋" w:hAnsi="仿宋"/>
                <w:color w:val="000000" w:themeColor="text1"/>
                <w:sz w:val="24"/>
              </w:rPr>
            </w:pPr>
          </w:p>
        </w:tc>
        <w:tc>
          <w:tcPr>
            <w:tcW w:w="4252" w:type="dxa"/>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（五十）工商等相关部门核准相关企业股权变更事项证明材料（留存备查）。</w:t>
            </w:r>
          </w:p>
        </w:tc>
        <w:tc>
          <w:tcPr>
            <w:tcW w:w="851" w:type="dxa"/>
            <w:vMerge/>
            <w:vAlign w:val="center"/>
          </w:tcPr>
          <w:p w:rsidR="00013EC7" w:rsidRDefault="00013EC7">
            <w:pPr>
              <w:jc w:val="left"/>
              <w:rPr>
                <w:rFonts w:ascii="仿宋" w:eastAsia="仿宋" w:hAnsi="仿宋"/>
                <w:color w:val="000000" w:themeColor="text1"/>
                <w:sz w:val="24"/>
              </w:rPr>
            </w:pPr>
          </w:p>
        </w:tc>
        <w:tc>
          <w:tcPr>
            <w:tcW w:w="2126" w:type="dxa"/>
            <w:vMerge/>
            <w:vAlign w:val="center"/>
          </w:tcPr>
          <w:p w:rsidR="00013EC7" w:rsidRDefault="00013EC7">
            <w:pPr>
              <w:rPr>
                <w:rFonts w:ascii="仿宋" w:eastAsia="仿宋" w:hAnsi="仿宋"/>
                <w:b/>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851" w:type="dxa"/>
            <w:vMerge/>
            <w:vAlign w:val="center"/>
          </w:tcPr>
          <w:p w:rsidR="00013EC7" w:rsidRDefault="00013EC7">
            <w:pPr>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709" w:type="dxa"/>
            <w:vMerge/>
            <w:vAlign w:val="center"/>
          </w:tcPr>
          <w:p w:rsidR="00013EC7" w:rsidRDefault="00013EC7">
            <w:pPr>
              <w:rPr>
                <w:rFonts w:ascii="仿宋" w:eastAsia="仿宋" w:hAnsi="仿宋"/>
                <w:color w:val="000000" w:themeColor="text1"/>
                <w:sz w:val="24"/>
              </w:rPr>
            </w:pPr>
          </w:p>
        </w:tc>
        <w:tc>
          <w:tcPr>
            <w:tcW w:w="1133" w:type="dxa"/>
            <w:vMerge/>
            <w:vAlign w:val="center"/>
          </w:tcPr>
          <w:p w:rsidR="00013EC7" w:rsidRDefault="00013EC7">
            <w:pPr>
              <w:rPr>
                <w:rFonts w:ascii="仿宋" w:eastAsia="仿宋" w:hAnsi="仿宋"/>
                <w:color w:val="000000" w:themeColor="text1"/>
                <w:sz w:val="24"/>
              </w:rPr>
            </w:pPr>
          </w:p>
        </w:tc>
      </w:tr>
      <w:tr w:rsidR="00013EC7">
        <w:trPr>
          <w:trHeight w:val="260"/>
          <w:jc w:val="center"/>
        </w:trPr>
        <w:tc>
          <w:tcPr>
            <w:tcW w:w="672" w:type="dxa"/>
            <w:vMerge/>
            <w:textDirection w:val="tbRlV"/>
            <w:vAlign w:val="center"/>
          </w:tcPr>
          <w:p w:rsidR="00013EC7" w:rsidRDefault="00013EC7">
            <w:pPr>
              <w:rPr>
                <w:rFonts w:ascii="仿宋" w:eastAsia="仿宋" w:hAnsi="仿宋"/>
                <w:color w:val="000000" w:themeColor="text1"/>
                <w:sz w:val="24"/>
              </w:rPr>
            </w:pPr>
          </w:p>
        </w:tc>
        <w:tc>
          <w:tcPr>
            <w:tcW w:w="1035" w:type="dxa"/>
            <w:vMerge/>
            <w:vAlign w:val="center"/>
          </w:tcPr>
          <w:p w:rsidR="00013EC7" w:rsidRDefault="00013EC7">
            <w:pPr>
              <w:rPr>
                <w:rFonts w:ascii="仿宋" w:eastAsia="仿宋" w:hAnsi="仿宋"/>
                <w:color w:val="000000" w:themeColor="text1"/>
                <w:sz w:val="24"/>
              </w:rPr>
            </w:pPr>
          </w:p>
        </w:tc>
        <w:tc>
          <w:tcPr>
            <w:tcW w:w="1271" w:type="dxa"/>
            <w:vMerge/>
            <w:vAlign w:val="center"/>
          </w:tcPr>
          <w:p w:rsidR="00013EC7" w:rsidRDefault="00013EC7">
            <w:pPr>
              <w:rPr>
                <w:rFonts w:ascii="仿宋" w:eastAsia="仿宋" w:hAnsi="仿宋"/>
                <w:color w:val="000000" w:themeColor="text1"/>
                <w:sz w:val="24"/>
              </w:rPr>
            </w:pPr>
          </w:p>
        </w:tc>
        <w:tc>
          <w:tcPr>
            <w:tcW w:w="4394" w:type="dxa"/>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highlight w:val="lightGray"/>
              </w:rPr>
              <w:t>（五十二）重组当事各方一致选择特殊性税务处理并加盖当事各方公章的证明资料。</w:t>
            </w:r>
          </w:p>
        </w:tc>
        <w:tc>
          <w:tcPr>
            <w:tcW w:w="851" w:type="dxa"/>
            <w:vMerge/>
            <w:vAlign w:val="center"/>
          </w:tcPr>
          <w:p w:rsidR="00013EC7" w:rsidRDefault="00013EC7">
            <w:pPr>
              <w:jc w:val="left"/>
              <w:rPr>
                <w:rFonts w:ascii="仿宋" w:eastAsia="仿宋" w:hAnsi="仿宋"/>
                <w:color w:val="000000" w:themeColor="text1"/>
                <w:sz w:val="24"/>
              </w:rPr>
            </w:pPr>
          </w:p>
        </w:tc>
        <w:tc>
          <w:tcPr>
            <w:tcW w:w="4252" w:type="dxa"/>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（五十一）重组当事各方一致选择特殊性税务处理并加盖当事各方公章的证明资料（留存备查）。</w:t>
            </w:r>
          </w:p>
        </w:tc>
        <w:tc>
          <w:tcPr>
            <w:tcW w:w="851" w:type="dxa"/>
            <w:vMerge/>
            <w:vAlign w:val="center"/>
          </w:tcPr>
          <w:p w:rsidR="00013EC7" w:rsidRDefault="00013EC7">
            <w:pPr>
              <w:jc w:val="left"/>
              <w:rPr>
                <w:rFonts w:ascii="仿宋" w:eastAsia="仿宋" w:hAnsi="仿宋"/>
                <w:color w:val="000000" w:themeColor="text1"/>
                <w:sz w:val="24"/>
              </w:rPr>
            </w:pPr>
          </w:p>
        </w:tc>
        <w:tc>
          <w:tcPr>
            <w:tcW w:w="2126" w:type="dxa"/>
            <w:vMerge/>
            <w:vAlign w:val="center"/>
          </w:tcPr>
          <w:p w:rsidR="00013EC7" w:rsidRDefault="00013EC7">
            <w:pPr>
              <w:rPr>
                <w:rFonts w:ascii="仿宋" w:eastAsia="仿宋" w:hAnsi="仿宋"/>
                <w:b/>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851" w:type="dxa"/>
            <w:vMerge/>
            <w:vAlign w:val="center"/>
          </w:tcPr>
          <w:p w:rsidR="00013EC7" w:rsidRDefault="00013EC7">
            <w:pPr>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709" w:type="dxa"/>
            <w:vMerge/>
            <w:vAlign w:val="center"/>
          </w:tcPr>
          <w:p w:rsidR="00013EC7" w:rsidRDefault="00013EC7">
            <w:pPr>
              <w:rPr>
                <w:rFonts w:ascii="仿宋" w:eastAsia="仿宋" w:hAnsi="仿宋"/>
                <w:color w:val="000000" w:themeColor="text1"/>
                <w:sz w:val="24"/>
              </w:rPr>
            </w:pPr>
          </w:p>
        </w:tc>
        <w:tc>
          <w:tcPr>
            <w:tcW w:w="1133" w:type="dxa"/>
            <w:vMerge/>
            <w:vAlign w:val="center"/>
          </w:tcPr>
          <w:p w:rsidR="00013EC7" w:rsidRDefault="00013EC7">
            <w:pPr>
              <w:rPr>
                <w:rFonts w:ascii="仿宋" w:eastAsia="仿宋" w:hAnsi="仿宋"/>
                <w:color w:val="000000" w:themeColor="text1"/>
                <w:sz w:val="24"/>
              </w:rPr>
            </w:pPr>
          </w:p>
        </w:tc>
      </w:tr>
      <w:tr w:rsidR="00013EC7">
        <w:trPr>
          <w:trHeight w:val="260"/>
          <w:jc w:val="center"/>
        </w:trPr>
        <w:tc>
          <w:tcPr>
            <w:tcW w:w="672" w:type="dxa"/>
            <w:vMerge/>
            <w:textDirection w:val="tbRlV"/>
            <w:vAlign w:val="center"/>
          </w:tcPr>
          <w:p w:rsidR="00013EC7" w:rsidRDefault="00013EC7">
            <w:pPr>
              <w:rPr>
                <w:rFonts w:ascii="仿宋" w:eastAsia="仿宋" w:hAnsi="仿宋"/>
                <w:color w:val="000000" w:themeColor="text1"/>
                <w:sz w:val="24"/>
              </w:rPr>
            </w:pPr>
          </w:p>
        </w:tc>
        <w:tc>
          <w:tcPr>
            <w:tcW w:w="1035" w:type="dxa"/>
            <w:vMerge/>
            <w:vAlign w:val="center"/>
          </w:tcPr>
          <w:p w:rsidR="00013EC7" w:rsidRDefault="00013EC7">
            <w:pPr>
              <w:rPr>
                <w:rFonts w:ascii="仿宋" w:eastAsia="仿宋" w:hAnsi="仿宋"/>
                <w:color w:val="000000" w:themeColor="text1"/>
                <w:sz w:val="24"/>
              </w:rPr>
            </w:pPr>
          </w:p>
        </w:tc>
        <w:tc>
          <w:tcPr>
            <w:tcW w:w="1271" w:type="dxa"/>
            <w:vMerge/>
            <w:vAlign w:val="center"/>
          </w:tcPr>
          <w:p w:rsidR="00013EC7" w:rsidRDefault="00013EC7">
            <w:pPr>
              <w:rPr>
                <w:rFonts w:ascii="仿宋" w:eastAsia="仿宋" w:hAnsi="仿宋"/>
                <w:color w:val="000000" w:themeColor="text1"/>
                <w:sz w:val="24"/>
              </w:rPr>
            </w:pPr>
          </w:p>
        </w:tc>
        <w:tc>
          <w:tcPr>
            <w:tcW w:w="4394" w:type="dxa"/>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highlight w:val="lightGray"/>
              </w:rPr>
              <w:t>（五十三）重组前连续12个月内有无与该重组相关的其他股权、资产交易,与该重组是否构成分步交易、是否作为一项企业重组业务进行处理情况的说明。</w:t>
            </w:r>
          </w:p>
        </w:tc>
        <w:tc>
          <w:tcPr>
            <w:tcW w:w="851" w:type="dxa"/>
            <w:vMerge/>
            <w:vAlign w:val="center"/>
          </w:tcPr>
          <w:p w:rsidR="00013EC7" w:rsidRDefault="00013EC7">
            <w:pPr>
              <w:jc w:val="left"/>
              <w:rPr>
                <w:rFonts w:ascii="仿宋" w:eastAsia="仿宋" w:hAnsi="仿宋"/>
                <w:color w:val="000000" w:themeColor="text1"/>
                <w:sz w:val="24"/>
              </w:rPr>
            </w:pPr>
          </w:p>
        </w:tc>
        <w:tc>
          <w:tcPr>
            <w:tcW w:w="4252" w:type="dxa"/>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（五十二）重组前连续12个月内有无与该重组相关的其他股权、资产交易,与该重组是否构成分步交易、是否作为一项企业重组业务进行处理情况的说明（留存备查）。</w:t>
            </w:r>
          </w:p>
        </w:tc>
        <w:tc>
          <w:tcPr>
            <w:tcW w:w="851" w:type="dxa"/>
            <w:vMerge/>
            <w:vAlign w:val="center"/>
          </w:tcPr>
          <w:p w:rsidR="00013EC7" w:rsidRDefault="00013EC7">
            <w:pPr>
              <w:jc w:val="left"/>
              <w:rPr>
                <w:rFonts w:ascii="仿宋" w:eastAsia="仿宋" w:hAnsi="仿宋"/>
                <w:color w:val="000000" w:themeColor="text1"/>
                <w:sz w:val="24"/>
              </w:rPr>
            </w:pPr>
          </w:p>
        </w:tc>
        <w:tc>
          <w:tcPr>
            <w:tcW w:w="2126" w:type="dxa"/>
            <w:vMerge/>
            <w:vAlign w:val="center"/>
          </w:tcPr>
          <w:p w:rsidR="00013EC7" w:rsidRDefault="00013EC7">
            <w:pPr>
              <w:rPr>
                <w:rFonts w:ascii="仿宋" w:eastAsia="仿宋" w:hAnsi="仿宋"/>
                <w:b/>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851" w:type="dxa"/>
            <w:vMerge/>
            <w:vAlign w:val="center"/>
          </w:tcPr>
          <w:p w:rsidR="00013EC7" w:rsidRDefault="00013EC7">
            <w:pPr>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709" w:type="dxa"/>
            <w:vMerge/>
            <w:vAlign w:val="center"/>
          </w:tcPr>
          <w:p w:rsidR="00013EC7" w:rsidRDefault="00013EC7">
            <w:pPr>
              <w:rPr>
                <w:rFonts w:ascii="仿宋" w:eastAsia="仿宋" w:hAnsi="仿宋"/>
                <w:color w:val="000000" w:themeColor="text1"/>
                <w:sz w:val="24"/>
              </w:rPr>
            </w:pPr>
          </w:p>
        </w:tc>
        <w:tc>
          <w:tcPr>
            <w:tcW w:w="1133" w:type="dxa"/>
            <w:vMerge/>
            <w:vAlign w:val="center"/>
          </w:tcPr>
          <w:p w:rsidR="00013EC7" w:rsidRDefault="00013EC7">
            <w:pPr>
              <w:rPr>
                <w:rFonts w:ascii="仿宋" w:eastAsia="仿宋" w:hAnsi="仿宋"/>
                <w:color w:val="000000" w:themeColor="text1"/>
                <w:sz w:val="24"/>
              </w:rPr>
            </w:pPr>
          </w:p>
        </w:tc>
      </w:tr>
      <w:tr w:rsidR="00013EC7">
        <w:trPr>
          <w:trHeight w:val="260"/>
          <w:jc w:val="center"/>
        </w:trPr>
        <w:tc>
          <w:tcPr>
            <w:tcW w:w="672" w:type="dxa"/>
            <w:vMerge/>
            <w:textDirection w:val="tbRlV"/>
            <w:vAlign w:val="center"/>
          </w:tcPr>
          <w:p w:rsidR="00013EC7" w:rsidRDefault="00013EC7">
            <w:pPr>
              <w:rPr>
                <w:rFonts w:ascii="仿宋" w:eastAsia="仿宋" w:hAnsi="仿宋"/>
                <w:color w:val="000000" w:themeColor="text1"/>
                <w:sz w:val="24"/>
              </w:rPr>
            </w:pPr>
          </w:p>
        </w:tc>
        <w:tc>
          <w:tcPr>
            <w:tcW w:w="1035" w:type="dxa"/>
            <w:vMerge/>
            <w:vAlign w:val="center"/>
          </w:tcPr>
          <w:p w:rsidR="00013EC7" w:rsidRDefault="00013EC7">
            <w:pPr>
              <w:rPr>
                <w:rFonts w:ascii="仿宋" w:eastAsia="仿宋" w:hAnsi="仿宋"/>
                <w:color w:val="000000" w:themeColor="text1"/>
                <w:sz w:val="24"/>
              </w:rPr>
            </w:pPr>
          </w:p>
        </w:tc>
        <w:tc>
          <w:tcPr>
            <w:tcW w:w="1271" w:type="dxa"/>
            <w:vMerge/>
            <w:vAlign w:val="center"/>
          </w:tcPr>
          <w:p w:rsidR="00013EC7" w:rsidRDefault="00013EC7">
            <w:pPr>
              <w:rPr>
                <w:rFonts w:ascii="仿宋" w:eastAsia="仿宋" w:hAnsi="仿宋"/>
                <w:color w:val="000000" w:themeColor="text1"/>
                <w:sz w:val="24"/>
              </w:rPr>
            </w:pPr>
          </w:p>
        </w:tc>
        <w:tc>
          <w:tcPr>
            <w:tcW w:w="4394" w:type="dxa"/>
          </w:tcPr>
          <w:p w:rsidR="00013EC7" w:rsidRDefault="00575CDB">
            <w:pPr>
              <w:rPr>
                <w:color w:val="000000" w:themeColor="text1"/>
              </w:rPr>
            </w:pPr>
            <w:r>
              <w:rPr>
                <w:rFonts w:ascii="仿宋" w:eastAsia="仿宋" w:hAnsi="仿宋" w:hint="eastAsia"/>
                <w:color w:val="000000" w:themeColor="text1"/>
                <w:sz w:val="24"/>
                <w:highlight w:val="lightGray"/>
              </w:rPr>
              <w:t>（五十四）按会计准则规定当期应确认资产（股权）转让损益的，应提供按税法规定核算的资产（股权）计税基础与按会计准则规定核算的相关资产（股权）账面价值的暂时性差异专项说明。</w:t>
            </w:r>
          </w:p>
        </w:tc>
        <w:tc>
          <w:tcPr>
            <w:tcW w:w="851" w:type="dxa"/>
            <w:vMerge/>
            <w:vAlign w:val="center"/>
          </w:tcPr>
          <w:p w:rsidR="00013EC7" w:rsidRDefault="00013EC7">
            <w:pPr>
              <w:jc w:val="left"/>
              <w:rPr>
                <w:rFonts w:ascii="仿宋" w:eastAsia="仿宋" w:hAnsi="仿宋"/>
                <w:color w:val="000000" w:themeColor="text1"/>
                <w:sz w:val="24"/>
              </w:rPr>
            </w:pPr>
          </w:p>
        </w:tc>
        <w:tc>
          <w:tcPr>
            <w:tcW w:w="4252" w:type="dxa"/>
          </w:tcPr>
          <w:p w:rsidR="00013EC7" w:rsidRDefault="00575CDB">
            <w:pPr>
              <w:rPr>
                <w:color w:val="000000" w:themeColor="text1"/>
              </w:rPr>
            </w:pPr>
            <w:r>
              <w:rPr>
                <w:rFonts w:ascii="仿宋" w:eastAsia="仿宋" w:hAnsi="仿宋" w:hint="eastAsia"/>
                <w:color w:val="000000" w:themeColor="text1"/>
                <w:sz w:val="24"/>
              </w:rPr>
              <w:t>（五十三）按会计准则规定当期应确认资产（股权）转让损益的，应提供按税法规定核算的资产（股权）计税基础与按会计准则规定核算的相关资产（股权）账面价值的暂时性差异专项说明（留存备查）。</w:t>
            </w:r>
          </w:p>
        </w:tc>
        <w:tc>
          <w:tcPr>
            <w:tcW w:w="851" w:type="dxa"/>
            <w:vMerge/>
            <w:vAlign w:val="center"/>
          </w:tcPr>
          <w:p w:rsidR="00013EC7" w:rsidRDefault="00013EC7">
            <w:pPr>
              <w:jc w:val="left"/>
              <w:rPr>
                <w:rFonts w:ascii="仿宋" w:eastAsia="仿宋" w:hAnsi="仿宋"/>
                <w:color w:val="000000" w:themeColor="text1"/>
                <w:sz w:val="24"/>
              </w:rPr>
            </w:pPr>
          </w:p>
        </w:tc>
        <w:tc>
          <w:tcPr>
            <w:tcW w:w="2126" w:type="dxa"/>
            <w:vMerge/>
            <w:vAlign w:val="center"/>
          </w:tcPr>
          <w:p w:rsidR="00013EC7" w:rsidRDefault="00013EC7">
            <w:pPr>
              <w:rPr>
                <w:rFonts w:ascii="仿宋" w:eastAsia="仿宋" w:hAnsi="仿宋"/>
                <w:b/>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851" w:type="dxa"/>
            <w:vMerge/>
            <w:vAlign w:val="center"/>
          </w:tcPr>
          <w:p w:rsidR="00013EC7" w:rsidRDefault="00013EC7">
            <w:pPr>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709" w:type="dxa"/>
            <w:vMerge/>
            <w:vAlign w:val="center"/>
          </w:tcPr>
          <w:p w:rsidR="00013EC7" w:rsidRDefault="00013EC7">
            <w:pPr>
              <w:rPr>
                <w:rFonts w:ascii="仿宋" w:eastAsia="仿宋" w:hAnsi="仿宋"/>
                <w:color w:val="000000" w:themeColor="text1"/>
                <w:sz w:val="24"/>
              </w:rPr>
            </w:pPr>
          </w:p>
        </w:tc>
        <w:tc>
          <w:tcPr>
            <w:tcW w:w="1133" w:type="dxa"/>
            <w:vMerge/>
            <w:vAlign w:val="center"/>
          </w:tcPr>
          <w:p w:rsidR="00013EC7" w:rsidRDefault="00013EC7">
            <w:pPr>
              <w:rPr>
                <w:rFonts w:ascii="仿宋" w:eastAsia="仿宋" w:hAnsi="仿宋"/>
                <w:color w:val="000000" w:themeColor="text1"/>
                <w:sz w:val="24"/>
              </w:rPr>
            </w:pPr>
          </w:p>
        </w:tc>
      </w:tr>
      <w:tr w:rsidR="00013EC7">
        <w:trPr>
          <w:trHeight w:val="260"/>
          <w:jc w:val="center"/>
        </w:trPr>
        <w:tc>
          <w:tcPr>
            <w:tcW w:w="672" w:type="dxa"/>
            <w:vMerge/>
            <w:textDirection w:val="tbRlV"/>
            <w:vAlign w:val="center"/>
          </w:tcPr>
          <w:p w:rsidR="00013EC7" w:rsidRDefault="00013EC7">
            <w:pPr>
              <w:rPr>
                <w:rFonts w:ascii="仿宋" w:eastAsia="仿宋" w:hAnsi="仿宋"/>
                <w:color w:val="000000" w:themeColor="text1"/>
                <w:sz w:val="24"/>
              </w:rPr>
            </w:pPr>
          </w:p>
        </w:tc>
        <w:tc>
          <w:tcPr>
            <w:tcW w:w="1035" w:type="dxa"/>
            <w:vMerge/>
            <w:vAlign w:val="center"/>
          </w:tcPr>
          <w:p w:rsidR="00013EC7" w:rsidRDefault="00013EC7">
            <w:pPr>
              <w:rPr>
                <w:rFonts w:ascii="仿宋" w:eastAsia="仿宋" w:hAnsi="仿宋"/>
                <w:color w:val="000000" w:themeColor="text1"/>
                <w:sz w:val="24"/>
              </w:rPr>
            </w:pPr>
          </w:p>
        </w:tc>
        <w:tc>
          <w:tcPr>
            <w:tcW w:w="1271" w:type="dxa"/>
            <w:vMerge/>
            <w:vAlign w:val="center"/>
          </w:tcPr>
          <w:p w:rsidR="00013EC7" w:rsidRDefault="00013EC7">
            <w:pPr>
              <w:rPr>
                <w:rFonts w:ascii="仿宋" w:eastAsia="仿宋" w:hAnsi="仿宋"/>
                <w:color w:val="000000" w:themeColor="text1"/>
                <w:sz w:val="24"/>
              </w:rPr>
            </w:pPr>
          </w:p>
        </w:tc>
        <w:tc>
          <w:tcPr>
            <w:tcW w:w="4394" w:type="dxa"/>
            <w:vAlign w:val="center"/>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（三十一）《企业重组所得税特殊性税务处理报告表及附表》。</w:t>
            </w:r>
          </w:p>
        </w:tc>
        <w:tc>
          <w:tcPr>
            <w:tcW w:w="851" w:type="dxa"/>
            <w:vMerge w:val="restart"/>
            <w:vAlign w:val="center"/>
          </w:tcPr>
          <w:p w:rsidR="00013EC7" w:rsidRDefault="00575CDB">
            <w:pPr>
              <w:jc w:val="left"/>
              <w:rPr>
                <w:rFonts w:ascii="仿宋" w:eastAsia="仿宋" w:hAnsi="仿宋"/>
                <w:color w:val="000000" w:themeColor="text1"/>
                <w:sz w:val="24"/>
              </w:rPr>
            </w:pPr>
            <w:r>
              <w:rPr>
                <w:rFonts w:ascii="仿宋" w:eastAsia="仿宋" w:hAnsi="仿宋"/>
                <w:color w:val="000000" w:themeColor="text1"/>
                <w:sz w:val="24"/>
              </w:rPr>
              <w:t>发生</w:t>
            </w:r>
            <w:r>
              <w:rPr>
                <w:rFonts w:ascii="仿宋" w:eastAsia="仿宋" w:hAnsi="仿宋" w:hint="eastAsia"/>
                <w:color w:val="000000" w:themeColor="text1"/>
                <w:sz w:val="24"/>
              </w:rPr>
              <w:t>资产收购</w:t>
            </w:r>
            <w:r>
              <w:rPr>
                <w:rFonts w:ascii="仿宋" w:eastAsia="仿宋" w:hAnsi="仿宋"/>
                <w:color w:val="000000" w:themeColor="text1"/>
                <w:sz w:val="24"/>
              </w:rPr>
              <w:t>并选择特殊性税务处理的</w:t>
            </w:r>
            <w:r>
              <w:rPr>
                <w:rFonts w:ascii="仿宋" w:eastAsia="仿宋" w:hAnsi="仿宋" w:hint="eastAsia"/>
                <w:color w:val="000000" w:themeColor="text1"/>
                <w:sz w:val="24"/>
              </w:rPr>
              <w:t>纳税人提交</w:t>
            </w:r>
          </w:p>
        </w:tc>
        <w:tc>
          <w:tcPr>
            <w:tcW w:w="4252" w:type="dxa"/>
            <w:vAlign w:val="center"/>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（三十一）《企业重组所得税特殊性税务处理报告表及附表》。</w:t>
            </w:r>
          </w:p>
        </w:tc>
        <w:tc>
          <w:tcPr>
            <w:tcW w:w="851" w:type="dxa"/>
            <w:vMerge w:val="restart"/>
            <w:vAlign w:val="center"/>
          </w:tcPr>
          <w:p w:rsidR="00013EC7" w:rsidRDefault="00575CDB">
            <w:pPr>
              <w:jc w:val="left"/>
              <w:rPr>
                <w:rFonts w:ascii="仿宋" w:eastAsia="仿宋" w:hAnsi="仿宋"/>
                <w:color w:val="000000" w:themeColor="text1"/>
                <w:sz w:val="24"/>
              </w:rPr>
            </w:pPr>
            <w:r>
              <w:rPr>
                <w:rFonts w:ascii="仿宋" w:eastAsia="仿宋" w:hAnsi="仿宋"/>
                <w:color w:val="000000" w:themeColor="text1"/>
                <w:sz w:val="24"/>
              </w:rPr>
              <w:t>发生</w:t>
            </w:r>
            <w:r>
              <w:rPr>
                <w:rFonts w:ascii="仿宋" w:eastAsia="仿宋" w:hAnsi="仿宋" w:hint="eastAsia"/>
                <w:color w:val="000000" w:themeColor="text1"/>
                <w:sz w:val="24"/>
              </w:rPr>
              <w:t>资产收购</w:t>
            </w:r>
            <w:r>
              <w:rPr>
                <w:rFonts w:ascii="仿宋" w:eastAsia="仿宋" w:hAnsi="仿宋"/>
                <w:color w:val="000000" w:themeColor="text1"/>
                <w:sz w:val="24"/>
              </w:rPr>
              <w:t>并选择特殊性税务处理的</w:t>
            </w:r>
            <w:r>
              <w:rPr>
                <w:rFonts w:ascii="仿宋" w:eastAsia="仿宋" w:hAnsi="仿宋" w:hint="eastAsia"/>
                <w:color w:val="000000" w:themeColor="text1"/>
                <w:sz w:val="24"/>
              </w:rPr>
              <w:t>纳税人提交</w:t>
            </w:r>
          </w:p>
        </w:tc>
        <w:tc>
          <w:tcPr>
            <w:tcW w:w="2126" w:type="dxa"/>
            <w:vMerge/>
            <w:vAlign w:val="center"/>
          </w:tcPr>
          <w:p w:rsidR="00013EC7" w:rsidRDefault="00013EC7">
            <w:pPr>
              <w:rPr>
                <w:rFonts w:ascii="仿宋" w:eastAsia="仿宋" w:hAnsi="仿宋"/>
                <w:b/>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851" w:type="dxa"/>
            <w:vMerge/>
            <w:vAlign w:val="center"/>
          </w:tcPr>
          <w:p w:rsidR="00013EC7" w:rsidRDefault="00013EC7">
            <w:pPr>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709" w:type="dxa"/>
            <w:vMerge/>
            <w:vAlign w:val="center"/>
          </w:tcPr>
          <w:p w:rsidR="00013EC7" w:rsidRDefault="00013EC7">
            <w:pPr>
              <w:rPr>
                <w:rFonts w:ascii="仿宋" w:eastAsia="仿宋" w:hAnsi="仿宋"/>
                <w:color w:val="000000" w:themeColor="text1"/>
                <w:sz w:val="24"/>
              </w:rPr>
            </w:pPr>
          </w:p>
        </w:tc>
        <w:tc>
          <w:tcPr>
            <w:tcW w:w="1133" w:type="dxa"/>
            <w:vMerge/>
            <w:vAlign w:val="center"/>
          </w:tcPr>
          <w:p w:rsidR="00013EC7" w:rsidRDefault="00013EC7">
            <w:pPr>
              <w:rPr>
                <w:rFonts w:ascii="仿宋" w:eastAsia="仿宋" w:hAnsi="仿宋"/>
                <w:color w:val="000000" w:themeColor="text1"/>
                <w:sz w:val="24"/>
              </w:rPr>
            </w:pPr>
          </w:p>
        </w:tc>
      </w:tr>
      <w:tr w:rsidR="00013EC7">
        <w:trPr>
          <w:trHeight w:val="260"/>
          <w:jc w:val="center"/>
        </w:trPr>
        <w:tc>
          <w:tcPr>
            <w:tcW w:w="672" w:type="dxa"/>
            <w:vMerge/>
            <w:textDirection w:val="tbRlV"/>
            <w:vAlign w:val="center"/>
          </w:tcPr>
          <w:p w:rsidR="00013EC7" w:rsidRDefault="00013EC7">
            <w:pPr>
              <w:rPr>
                <w:rFonts w:ascii="仿宋" w:eastAsia="仿宋" w:hAnsi="仿宋"/>
                <w:color w:val="000000" w:themeColor="text1"/>
                <w:sz w:val="24"/>
              </w:rPr>
            </w:pPr>
          </w:p>
        </w:tc>
        <w:tc>
          <w:tcPr>
            <w:tcW w:w="1035" w:type="dxa"/>
            <w:vMerge/>
            <w:vAlign w:val="center"/>
          </w:tcPr>
          <w:p w:rsidR="00013EC7" w:rsidRDefault="00013EC7">
            <w:pPr>
              <w:rPr>
                <w:rFonts w:ascii="仿宋" w:eastAsia="仿宋" w:hAnsi="仿宋"/>
                <w:color w:val="000000" w:themeColor="text1"/>
                <w:sz w:val="24"/>
              </w:rPr>
            </w:pPr>
          </w:p>
        </w:tc>
        <w:tc>
          <w:tcPr>
            <w:tcW w:w="1271" w:type="dxa"/>
            <w:vMerge/>
            <w:vAlign w:val="center"/>
          </w:tcPr>
          <w:p w:rsidR="00013EC7" w:rsidRDefault="00013EC7">
            <w:pPr>
              <w:rPr>
                <w:rFonts w:ascii="仿宋" w:eastAsia="仿宋" w:hAnsi="仿宋"/>
                <w:color w:val="000000" w:themeColor="text1"/>
                <w:sz w:val="24"/>
              </w:rPr>
            </w:pPr>
          </w:p>
        </w:tc>
        <w:tc>
          <w:tcPr>
            <w:tcW w:w="4394" w:type="dxa"/>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highlight w:val="lightGray"/>
              </w:rPr>
              <w:t>（五十五）当事方的资产收购业务总体情况说明，包括资产收购方案、基本情况，并逐条说明资产收购的商业目的。</w:t>
            </w:r>
          </w:p>
        </w:tc>
        <w:tc>
          <w:tcPr>
            <w:tcW w:w="851" w:type="dxa"/>
            <w:vMerge/>
            <w:vAlign w:val="center"/>
          </w:tcPr>
          <w:p w:rsidR="00013EC7" w:rsidRDefault="00013EC7">
            <w:pPr>
              <w:jc w:val="left"/>
              <w:rPr>
                <w:rFonts w:ascii="仿宋" w:eastAsia="仿宋" w:hAnsi="仿宋"/>
                <w:color w:val="000000" w:themeColor="text1"/>
                <w:sz w:val="24"/>
              </w:rPr>
            </w:pPr>
          </w:p>
        </w:tc>
        <w:tc>
          <w:tcPr>
            <w:tcW w:w="4252" w:type="dxa"/>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（五十四）当事方的资产收购业务总体情况说明，包括资产收购方案、基本情况，并逐条说明资产收购的商业目的（留存备查）。</w:t>
            </w:r>
          </w:p>
        </w:tc>
        <w:tc>
          <w:tcPr>
            <w:tcW w:w="851" w:type="dxa"/>
            <w:vMerge/>
            <w:vAlign w:val="center"/>
          </w:tcPr>
          <w:p w:rsidR="00013EC7" w:rsidRDefault="00013EC7">
            <w:pPr>
              <w:jc w:val="left"/>
              <w:rPr>
                <w:rFonts w:ascii="仿宋" w:eastAsia="仿宋" w:hAnsi="仿宋"/>
                <w:color w:val="000000" w:themeColor="text1"/>
                <w:sz w:val="24"/>
              </w:rPr>
            </w:pPr>
          </w:p>
        </w:tc>
        <w:tc>
          <w:tcPr>
            <w:tcW w:w="2126" w:type="dxa"/>
            <w:vMerge/>
            <w:vAlign w:val="center"/>
          </w:tcPr>
          <w:p w:rsidR="00013EC7" w:rsidRDefault="00013EC7">
            <w:pPr>
              <w:rPr>
                <w:rFonts w:ascii="仿宋" w:eastAsia="仿宋" w:hAnsi="仿宋"/>
                <w:b/>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851" w:type="dxa"/>
            <w:vMerge/>
            <w:vAlign w:val="center"/>
          </w:tcPr>
          <w:p w:rsidR="00013EC7" w:rsidRDefault="00013EC7">
            <w:pPr>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709" w:type="dxa"/>
            <w:vMerge/>
            <w:vAlign w:val="center"/>
          </w:tcPr>
          <w:p w:rsidR="00013EC7" w:rsidRDefault="00013EC7">
            <w:pPr>
              <w:rPr>
                <w:rFonts w:ascii="仿宋" w:eastAsia="仿宋" w:hAnsi="仿宋"/>
                <w:color w:val="000000" w:themeColor="text1"/>
                <w:sz w:val="24"/>
              </w:rPr>
            </w:pPr>
          </w:p>
        </w:tc>
        <w:tc>
          <w:tcPr>
            <w:tcW w:w="1133" w:type="dxa"/>
            <w:vMerge/>
            <w:vAlign w:val="center"/>
          </w:tcPr>
          <w:p w:rsidR="00013EC7" w:rsidRDefault="00013EC7">
            <w:pPr>
              <w:rPr>
                <w:rFonts w:ascii="仿宋" w:eastAsia="仿宋" w:hAnsi="仿宋"/>
                <w:color w:val="000000" w:themeColor="text1"/>
                <w:sz w:val="24"/>
              </w:rPr>
            </w:pPr>
          </w:p>
        </w:tc>
      </w:tr>
      <w:tr w:rsidR="00013EC7">
        <w:trPr>
          <w:trHeight w:val="260"/>
          <w:jc w:val="center"/>
        </w:trPr>
        <w:tc>
          <w:tcPr>
            <w:tcW w:w="672" w:type="dxa"/>
            <w:vMerge/>
            <w:textDirection w:val="tbRlV"/>
            <w:vAlign w:val="center"/>
          </w:tcPr>
          <w:p w:rsidR="00013EC7" w:rsidRDefault="00013EC7">
            <w:pPr>
              <w:rPr>
                <w:rFonts w:ascii="仿宋" w:eastAsia="仿宋" w:hAnsi="仿宋"/>
                <w:color w:val="000000" w:themeColor="text1"/>
                <w:sz w:val="24"/>
              </w:rPr>
            </w:pPr>
          </w:p>
        </w:tc>
        <w:tc>
          <w:tcPr>
            <w:tcW w:w="1035" w:type="dxa"/>
            <w:vMerge/>
            <w:vAlign w:val="center"/>
          </w:tcPr>
          <w:p w:rsidR="00013EC7" w:rsidRDefault="00013EC7">
            <w:pPr>
              <w:rPr>
                <w:rFonts w:ascii="仿宋" w:eastAsia="仿宋" w:hAnsi="仿宋"/>
                <w:color w:val="000000" w:themeColor="text1"/>
                <w:sz w:val="24"/>
              </w:rPr>
            </w:pPr>
          </w:p>
        </w:tc>
        <w:tc>
          <w:tcPr>
            <w:tcW w:w="1271" w:type="dxa"/>
            <w:vMerge/>
            <w:vAlign w:val="center"/>
          </w:tcPr>
          <w:p w:rsidR="00013EC7" w:rsidRDefault="00013EC7">
            <w:pPr>
              <w:rPr>
                <w:rFonts w:ascii="仿宋" w:eastAsia="仿宋" w:hAnsi="仿宋"/>
                <w:color w:val="000000" w:themeColor="text1"/>
                <w:sz w:val="24"/>
              </w:rPr>
            </w:pPr>
          </w:p>
        </w:tc>
        <w:tc>
          <w:tcPr>
            <w:tcW w:w="4394" w:type="dxa"/>
          </w:tcPr>
          <w:p w:rsidR="00013EC7" w:rsidRDefault="00575CDB">
            <w:pPr>
              <w:spacing w:line="300" w:lineRule="exact"/>
              <w:rPr>
                <w:rFonts w:ascii="仿宋" w:eastAsia="仿宋" w:hAnsi="仿宋"/>
                <w:color w:val="000000" w:themeColor="text1"/>
                <w:sz w:val="24"/>
                <w:highlight w:val="lightGray"/>
              </w:rPr>
            </w:pPr>
            <w:r>
              <w:rPr>
                <w:rFonts w:ascii="仿宋" w:eastAsia="仿宋" w:hAnsi="仿宋" w:hint="eastAsia"/>
                <w:color w:val="000000" w:themeColor="text1"/>
                <w:sz w:val="24"/>
                <w:highlight w:val="lightGray"/>
              </w:rPr>
              <w:t>（五十六）当事各方所签订的资产收购业务合同或协议，需有权部门（包括内部和外部）批准的，应提供批准文件。</w:t>
            </w:r>
          </w:p>
        </w:tc>
        <w:tc>
          <w:tcPr>
            <w:tcW w:w="851" w:type="dxa"/>
            <w:vMerge/>
            <w:vAlign w:val="center"/>
          </w:tcPr>
          <w:p w:rsidR="00013EC7" w:rsidRDefault="00013EC7">
            <w:pPr>
              <w:jc w:val="left"/>
              <w:rPr>
                <w:rFonts w:ascii="仿宋" w:eastAsia="仿宋" w:hAnsi="仿宋"/>
                <w:color w:val="000000" w:themeColor="text1"/>
                <w:sz w:val="24"/>
              </w:rPr>
            </w:pPr>
          </w:p>
        </w:tc>
        <w:tc>
          <w:tcPr>
            <w:tcW w:w="4252" w:type="dxa"/>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（五十五）当事各方所签订的资产收购业务合同或协议，需有权部门（包括内部和外部）批准的，应提供批准文件（留存备查）。</w:t>
            </w:r>
          </w:p>
        </w:tc>
        <w:tc>
          <w:tcPr>
            <w:tcW w:w="851" w:type="dxa"/>
            <w:vMerge/>
            <w:vAlign w:val="center"/>
          </w:tcPr>
          <w:p w:rsidR="00013EC7" w:rsidRDefault="00013EC7">
            <w:pPr>
              <w:jc w:val="left"/>
              <w:rPr>
                <w:rFonts w:ascii="仿宋" w:eastAsia="仿宋" w:hAnsi="仿宋"/>
                <w:color w:val="000000" w:themeColor="text1"/>
                <w:sz w:val="24"/>
              </w:rPr>
            </w:pPr>
          </w:p>
        </w:tc>
        <w:tc>
          <w:tcPr>
            <w:tcW w:w="2126" w:type="dxa"/>
            <w:vMerge/>
            <w:vAlign w:val="center"/>
          </w:tcPr>
          <w:p w:rsidR="00013EC7" w:rsidRDefault="00013EC7">
            <w:pPr>
              <w:rPr>
                <w:rFonts w:ascii="仿宋" w:eastAsia="仿宋" w:hAnsi="仿宋"/>
                <w:b/>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851" w:type="dxa"/>
            <w:vMerge/>
            <w:vAlign w:val="center"/>
          </w:tcPr>
          <w:p w:rsidR="00013EC7" w:rsidRDefault="00013EC7">
            <w:pPr>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709" w:type="dxa"/>
            <w:vMerge/>
            <w:vAlign w:val="center"/>
          </w:tcPr>
          <w:p w:rsidR="00013EC7" w:rsidRDefault="00013EC7">
            <w:pPr>
              <w:rPr>
                <w:rFonts w:ascii="仿宋" w:eastAsia="仿宋" w:hAnsi="仿宋"/>
                <w:color w:val="000000" w:themeColor="text1"/>
                <w:sz w:val="24"/>
              </w:rPr>
            </w:pPr>
          </w:p>
        </w:tc>
        <w:tc>
          <w:tcPr>
            <w:tcW w:w="1133" w:type="dxa"/>
            <w:vMerge/>
            <w:vAlign w:val="center"/>
          </w:tcPr>
          <w:p w:rsidR="00013EC7" w:rsidRDefault="00013EC7">
            <w:pPr>
              <w:rPr>
                <w:rFonts w:ascii="仿宋" w:eastAsia="仿宋" w:hAnsi="仿宋"/>
                <w:color w:val="000000" w:themeColor="text1"/>
                <w:sz w:val="24"/>
              </w:rPr>
            </w:pPr>
          </w:p>
        </w:tc>
      </w:tr>
      <w:tr w:rsidR="00013EC7">
        <w:trPr>
          <w:trHeight w:val="260"/>
          <w:jc w:val="center"/>
        </w:trPr>
        <w:tc>
          <w:tcPr>
            <w:tcW w:w="672" w:type="dxa"/>
            <w:vMerge/>
            <w:textDirection w:val="tbRlV"/>
            <w:vAlign w:val="center"/>
          </w:tcPr>
          <w:p w:rsidR="00013EC7" w:rsidRDefault="00013EC7">
            <w:pPr>
              <w:rPr>
                <w:rFonts w:ascii="仿宋" w:eastAsia="仿宋" w:hAnsi="仿宋"/>
                <w:color w:val="000000" w:themeColor="text1"/>
                <w:sz w:val="24"/>
              </w:rPr>
            </w:pPr>
          </w:p>
        </w:tc>
        <w:tc>
          <w:tcPr>
            <w:tcW w:w="1035" w:type="dxa"/>
            <w:vMerge/>
            <w:vAlign w:val="center"/>
          </w:tcPr>
          <w:p w:rsidR="00013EC7" w:rsidRDefault="00013EC7">
            <w:pPr>
              <w:rPr>
                <w:rFonts w:ascii="仿宋" w:eastAsia="仿宋" w:hAnsi="仿宋"/>
                <w:color w:val="000000" w:themeColor="text1"/>
                <w:sz w:val="24"/>
              </w:rPr>
            </w:pPr>
          </w:p>
        </w:tc>
        <w:tc>
          <w:tcPr>
            <w:tcW w:w="1271" w:type="dxa"/>
            <w:vMerge/>
            <w:vAlign w:val="center"/>
          </w:tcPr>
          <w:p w:rsidR="00013EC7" w:rsidRDefault="00013EC7">
            <w:pPr>
              <w:rPr>
                <w:rFonts w:ascii="仿宋" w:eastAsia="仿宋" w:hAnsi="仿宋"/>
                <w:color w:val="000000" w:themeColor="text1"/>
                <w:sz w:val="24"/>
              </w:rPr>
            </w:pPr>
          </w:p>
        </w:tc>
        <w:tc>
          <w:tcPr>
            <w:tcW w:w="4394" w:type="dxa"/>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highlight w:val="lightGray"/>
              </w:rPr>
              <w:t>（五十七）评估机构出具的资产收购所体现的资产评估报告等公允价值证明。</w:t>
            </w:r>
          </w:p>
        </w:tc>
        <w:tc>
          <w:tcPr>
            <w:tcW w:w="851" w:type="dxa"/>
            <w:vMerge/>
            <w:vAlign w:val="center"/>
          </w:tcPr>
          <w:p w:rsidR="00013EC7" w:rsidRDefault="00013EC7">
            <w:pPr>
              <w:jc w:val="left"/>
              <w:rPr>
                <w:rFonts w:ascii="仿宋" w:eastAsia="仿宋" w:hAnsi="仿宋"/>
                <w:color w:val="000000" w:themeColor="text1"/>
                <w:sz w:val="24"/>
              </w:rPr>
            </w:pPr>
          </w:p>
        </w:tc>
        <w:tc>
          <w:tcPr>
            <w:tcW w:w="4252" w:type="dxa"/>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（五十六）评估机构出具的资产收购所体现的资产评估报告等公允价值证明（留存备查）。</w:t>
            </w:r>
          </w:p>
        </w:tc>
        <w:tc>
          <w:tcPr>
            <w:tcW w:w="851" w:type="dxa"/>
            <w:vMerge/>
            <w:vAlign w:val="center"/>
          </w:tcPr>
          <w:p w:rsidR="00013EC7" w:rsidRDefault="00013EC7">
            <w:pPr>
              <w:jc w:val="left"/>
              <w:rPr>
                <w:rFonts w:ascii="仿宋" w:eastAsia="仿宋" w:hAnsi="仿宋"/>
                <w:color w:val="000000" w:themeColor="text1"/>
                <w:sz w:val="24"/>
              </w:rPr>
            </w:pPr>
          </w:p>
        </w:tc>
        <w:tc>
          <w:tcPr>
            <w:tcW w:w="2126" w:type="dxa"/>
            <w:vMerge/>
            <w:vAlign w:val="center"/>
          </w:tcPr>
          <w:p w:rsidR="00013EC7" w:rsidRDefault="00013EC7">
            <w:pPr>
              <w:rPr>
                <w:rFonts w:ascii="仿宋" w:eastAsia="仿宋" w:hAnsi="仿宋"/>
                <w:b/>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851" w:type="dxa"/>
            <w:vMerge/>
            <w:vAlign w:val="center"/>
          </w:tcPr>
          <w:p w:rsidR="00013EC7" w:rsidRDefault="00013EC7">
            <w:pPr>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709" w:type="dxa"/>
            <w:vMerge/>
            <w:vAlign w:val="center"/>
          </w:tcPr>
          <w:p w:rsidR="00013EC7" w:rsidRDefault="00013EC7">
            <w:pPr>
              <w:rPr>
                <w:rFonts w:ascii="仿宋" w:eastAsia="仿宋" w:hAnsi="仿宋"/>
                <w:color w:val="000000" w:themeColor="text1"/>
                <w:sz w:val="24"/>
              </w:rPr>
            </w:pPr>
          </w:p>
        </w:tc>
        <w:tc>
          <w:tcPr>
            <w:tcW w:w="1133" w:type="dxa"/>
            <w:vMerge/>
            <w:vAlign w:val="center"/>
          </w:tcPr>
          <w:p w:rsidR="00013EC7" w:rsidRDefault="00013EC7">
            <w:pPr>
              <w:rPr>
                <w:rFonts w:ascii="仿宋" w:eastAsia="仿宋" w:hAnsi="仿宋"/>
                <w:color w:val="000000" w:themeColor="text1"/>
                <w:sz w:val="24"/>
              </w:rPr>
            </w:pPr>
          </w:p>
        </w:tc>
      </w:tr>
      <w:tr w:rsidR="00013EC7">
        <w:trPr>
          <w:trHeight w:val="260"/>
          <w:jc w:val="center"/>
        </w:trPr>
        <w:tc>
          <w:tcPr>
            <w:tcW w:w="672" w:type="dxa"/>
            <w:vMerge/>
            <w:textDirection w:val="tbRlV"/>
            <w:vAlign w:val="center"/>
          </w:tcPr>
          <w:p w:rsidR="00013EC7" w:rsidRDefault="00013EC7">
            <w:pPr>
              <w:rPr>
                <w:rFonts w:ascii="仿宋" w:eastAsia="仿宋" w:hAnsi="仿宋"/>
                <w:color w:val="000000" w:themeColor="text1"/>
                <w:sz w:val="24"/>
              </w:rPr>
            </w:pPr>
          </w:p>
        </w:tc>
        <w:tc>
          <w:tcPr>
            <w:tcW w:w="1035" w:type="dxa"/>
            <w:vMerge/>
            <w:vAlign w:val="center"/>
          </w:tcPr>
          <w:p w:rsidR="00013EC7" w:rsidRDefault="00013EC7">
            <w:pPr>
              <w:rPr>
                <w:rFonts w:ascii="仿宋" w:eastAsia="仿宋" w:hAnsi="仿宋"/>
                <w:color w:val="000000" w:themeColor="text1"/>
                <w:sz w:val="24"/>
              </w:rPr>
            </w:pPr>
          </w:p>
        </w:tc>
        <w:tc>
          <w:tcPr>
            <w:tcW w:w="1271" w:type="dxa"/>
            <w:vMerge/>
            <w:vAlign w:val="center"/>
          </w:tcPr>
          <w:p w:rsidR="00013EC7" w:rsidRDefault="00013EC7">
            <w:pPr>
              <w:rPr>
                <w:rFonts w:ascii="仿宋" w:eastAsia="仿宋" w:hAnsi="仿宋"/>
                <w:color w:val="000000" w:themeColor="text1"/>
                <w:sz w:val="24"/>
              </w:rPr>
            </w:pPr>
          </w:p>
        </w:tc>
        <w:tc>
          <w:tcPr>
            <w:tcW w:w="4394" w:type="dxa"/>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highlight w:val="lightGray"/>
              </w:rPr>
              <w:t>（五十八）涉及非货币性资产支付的，应提供非货币性资产评估报告等公允价值证明。</w:t>
            </w:r>
          </w:p>
        </w:tc>
        <w:tc>
          <w:tcPr>
            <w:tcW w:w="851" w:type="dxa"/>
            <w:vMerge/>
            <w:vAlign w:val="center"/>
          </w:tcPr>
          <w:p w:rsidR="00013EC7" w:rsidRDefault="00013EC7">
            <w:pPr>
              <w:jc w:val="left"/>
              <w:rPr>
                <w:rFonts w:ascii="仿宋" w:eastAsia="仿宋" w:hAnsi="仿宋"/>
                <w:color w:val="000000" w:themeColor="text1"/>
                <w:sz w:val="24"/>
              </w:rPr>
            </w:pPr>
          </w:p>
        </w:tc>
        <w:tc>
          <w:tcPr>
            <w:tcW w:w="4252" w:type="dxa"/>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（五十七）涉及非货币性资产支付的，应提供非货币性资产评估报告等公允价值证明（留存备查）。</w:t>
            </w:r>
          </w:p>
        </w:tc>
        <w:tc>
          <w:tcPr>
            <w:tcW w:w="851" w:type="dxa"/>
            <w:vMerge/>
            <w:vAlign w:val="center"/>
          </w:tcPr>
          <w:p w:rsidR="00013EC7" w:rsidRDefault="00013EC7">
            <w:pPr>
              <w:jc w:val="left"/>
              <w:rPr>
                <w:rFonts w:ascii="仿宋" w:eastAsia="仿宋" w:hAnsi="仿宋"/>
                <w:color w:val="000000" w:themeColor="text1"/>
                <w:sz w:val="24"/>
              </w:rPr>
            </w:pPr>
          </w:p>
        </w:tc>
        <w:tc>
          <w:tcPr>
            <w:tcW w:w="2126" w:type="dxa"/>
            <w:vMerge/>
            <w:vAlign w:val="center"/>
          </w:tcPr>
          <w:p w:rsidR="00013EC7" w:rsidRDefault="00013EC7">
            <w:pPr>
              <w:rPr>
                <w:rFonts w:ascii="仿宋" w:eastAsia="仿宋" w:hAnsi="仿宋"/>
                <w:b/>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851" w:type="dxa"/>
            <w:vMerge/>
            <w:vAlign w:val="center"/>
          </w:tcPr>
          <w:p w:rsidR="00013EC7" w:rsidRDefault="00013EC7">
            <w:pPr>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709" w:type="dxa"/>
            <w:vMerge/>
            <w:vAlign w:val="center"/>
          </w:tcPr>
          <w:p w:rsidR="00013EC7" w:rsidRDefault="00013EC7">
            <w:pPr>
              <w:rPr>
                <w:rFonts w:ascii="仿宋" w:eastAsia="仿宋" w:hAnsi="仿宋"/>
                <w:color w:val="000000" w:themeColor="text1"/>
                <w:sz w:val="24"/>
              </w:rPr>
            </w:pPr>
          </w:p>
        </w:tc>
        <w:tc>
          <w:tcPr>
            <w:tcW w:w="1133" w:type="dxa"/>
            <w:vMerge/>
            <w:vAlign w:val="center"/>
          </w:tcPr>
          <w:p w:rsidR="00013EC7" w:rsidRDefault="00013EC7">
            <w:pPr>
              <w:rPr>
                <w:rFonts w:ascii="仿宋" w:eastAsia="仿宋" w:hAnsi="仿宋"/>
                <w:color w:val="000000" w:themeColor="text1"/>
                <w:sz w:val="24"/>
              </w:rPr>
            </w:pPr>
          </w:p>
        </w:tc>
      </w:tr>
      <w:tr w:rsidR="00013EC7">
        <w:trPr>
          <w:trHeight w:val="340"/>
          <w:jc w:val="center"/>
        </w:trPr>
        <w:tc>
          <w:tcPr>
            <w:tcW w:w="672" w:type="dxa"/>
            <w:vMerge/>
            <w:textDirection w:val="tbRlV"/>
            <w:vAlign w:val="center"/>
          </w:tcPr>
          <w:p w:rsidR="00013EC7" w:rsidRDefault="00013EC7">
            <w:pPr>
              <w:rPr>
                <w:rFonts w:ascii="仿宋" w:eastAsia="仿宋" w:hAnsi="仿宋"/>
                <w:color w:val="000000" w:themeColor="text1"/>
                <w:sz w:val="24"/>
              </w:rPr>
            </w:pPr>
          </w:p>
        </w:tc>
        <w:tc>
          <w:tcPr>
            <w:tcW w:w="1035" w:type="dxa"/>
            <w:vMerge/>
            <w:vAlign w:val="center"/>
          </w:tcPr>
          <w:p w:rsidR="00013EC7" w:rsidRDefault="00013EC7">
            <w:pPr>
              <w:rPr>
                <w:rFonts w:ascii="仿宋" w:eastAsia="仿宋" w:hAnsi="仿宋"/>
                <w:color w:val="000000" w:themeColor="text1"/>
                <w:sz w:val="24"/>
              </w:rPr>
            </w:pPr>
          </w:p>
        </w:tc>
        <w:tc>
          <w:tcPr>
            <w:tcW w:w="1271" w:type="dxa"/>
            <w:vMerge/>
            <w:vAlign w:val="center"/>
          </w:tcPr>
          <w:p w:rsidR="00013EC7" w:rsidRDefault="00013EC7">
            <w:pPr>
              <w:rPr>
                <w:rFonts w:ascii="仿宋" w:eastAsia="仿宋" w:hAnsi="仿宋"/>
                <w:color w:val="000000" w:themeColor="text1"/>
                <w:sz w:val="24"/>
              </w:rPr>
            </w:pPr>
          </w:p>
        </w:tc>
        <w:tc>
          <w:tcPr>
            <w:tcW w:w="4394" w:type="dxa"/>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highlight w:val="lightGray"/>
              </w:rPr>
              <w:t>（五十九）被收购资产原计税基础的证明。</w:t>
            </w:r>
          </w:p>
        </w:tc>
        <w:tc>
          <w:tcPr>
            <w:tcW w:w="851" w:type="dxa"/>
            <w:vMerge/>
            <w:vAlign w:val="center"/>
          </w:tcPr>
          <w:p w:rsidR="00013EC7" w:rsidRDefault="00013EC7">
            <w:pPr>
              <w:rPr>
                <w:rFonts w:ascii="仿宋" w:eastAsia="仿宋" w:hAnsi="仿宋"/>
                <w:color w:val="000000" w:themeColor="text1"/>
                <w:sz w:val="24"/>
              </w:rPr>
            </w:pPr>
          </w:p>
        </w:tc>
        <w:tc>
          <w:tcPr>
            <w:tcW w:w="4252" w:type="dxa"/>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（五十八）被收购资产原计税基础的证明（留存备查）。</w:t>
            </w:r>
          </w:p>
        </w:tc>
        <w:tc>
          <w:tcPr>
            <w:tcW w:w="851" w:type="dxa"/>
            <w:vMerge/>
            <w:vAlign w:val="center"/>
          </w:tcPr>
          <w:p w:rsidR="00013EC7" w:rsidRDefault="00013EC7">
            <w:pPr>
              <w:rPr>
                <w:rFonts w:ascii="仿宋" w:eastAsia="仿宋" w:hAnsi="仿宋"/>
                <w:color w:val="000000" w:themeColor="text1"/>
                <w:sz w:val="24"/>
              </w:rPr>
            </w:pPr>
          </w:p>
        </w:tc>
        <w:tc>
          <w:tcPr>
            <w:tcW w:w="2126" w:type="dxa"/>
            <w:vMerge/>
            <w:vAlign w:val="center"/>
          </w:tcPr>
          <w:p w:rsidR="00013EC7" w:rsidRDefault="00013EC7">
            <w:pPr>
              <w:spacing w:line="300" w:lineRule="exact"/>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851" w:type="dxa"/>
            <w:vMerge/>
            <w:vAlign w:val="center"/>
          </w:tcPr>
          <w:p w:rsidR="00013EC7" w:rsidRDefault="00013EC7">
            <w:pPr>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709" w:type="dxa"/>
            <w:vMerge/>
            <w:vAlign w:val="center"/>
          </w:tcPr>
          <w:p w:rsidR="00013EC7" w:rsidRDefault="00013EC7">
            <w:pPr>
              <w:rPr>
                <w:rFonts w:ascii="仿宋" w:eastAsia="仿宋" w:hAnsi="仿宋"/>
                <w:color w:val="000000" w:themeColor="text1"/>
                <w:sz w:val="24"/>
              </w:rPr>
            </w:pPr>
          </w:p>
        </w:tc>
        <w:tc>
          <w:tcPr>
            <w:tcW w:w="1133" w:type="dxa"/>
            <w:vMerge/>
            <w:vAlign w:val="center"/>
          </w:tcPr>
          <w:p w:rsidR="00013EC7" w:rsidRDefault="00013EC7">
            <w:pPr>
              <w:rPr>
                <w:rFonts w:ascii="仿宋" w:eastAsia="仿宋" w:hAnsi="仿宋"/>
                <w:color w:val="000000" w:themeColor="text1"/>
                <w:sz w:val="24"/>
              </w:rPr>
            </w:pPr>
          </w:p>
        </w:tc>
      </w:tr>
      <w:tr w:rsidR="00013EC7">
        <w:trPr>
          <w:trHeight w:val="340"/>
          <w:jc w:val="center"/>
        </w:trPr>
        <w:tc>
          <w:tcPr>
            <w:tcW w:w="672" w:type="dxa"/>
            <w:vMerge/>
            <w:textDirection w:val="tbRlV"/>
            <w:vAlign w:val="center"/>
          </w:tcPr>
          <w:p w:rsidR="00013EC7" w:rsidRDefault="00013EC7">
            <w:pPr>
              <w:rPr>
                <w:rFonts w:ascii="仿宋" w:eastAsia="仿宋" w:hAnsi="仿宋"/>
                <w:color w:val="000000" w:themeColor="text1"/>
                <w:sz w:val="24"/>
              </w:rPr>
            </w:pPr>
          </w:p>
        </w:tc>
        <w:tc>
          <w:tcPr>
            <w:tcW w:w="1035" w:type="dxa"/>
            <w:vMerge/>
            <w:vAlign w:val="center"/>
          </w:tcPr>
          <w:p w:rsidR="00013EC7" w:rsidRDefault="00013EC7">
            <w:pPr>
              <w:rPr>
                <w:rFonts w:ascii="仿宋" w:eastAsia="仿宋" w:hAnsi="仿宋"/>
                <w:color w:val="000000" w:themeColor="text1"/>
                <w:sz w:val="24"/>
              </w:rPr>
            </w:pPr>
          </w:p>
        </w:tc>
        <w:tc>
          <w:tcPr>
            <w:tcW w:w="1271" w:type="dxa"/>
            <w:vMerge/>
            <w:vAlign w:val="center"/>
          </w:tcPr>
          <w:p w:rsidR="00013EC7" w:rsidRDefault="00013EC7">
            <w:pPr>
              <w:rPr>
                <w:rFonts w:ascii="仿宋" w:eastAsia="仿宋" w:hAnsi="仿宋"/>
                <w:color w:val="000000" w:themeColor="text1"/>
                <w:sz w:val="24"/>
              </w:rPr>
            </w:pPr>
          </w:p>
        </w:tc>
        <w:tc>
          <w:tcPr>
            <w:tcW w:w="4394" w:type="dxa"/>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highlight w:val="lightGray"/>
              </w:rPr>
              <w:t>（六十）</w:t>
            </w:r>
            <w:r>
              <w:rPr>
                <w:rFonts w:ascii="仿宋" w:eastAsia="仿宋" w:hAnsi="仿宋" w:hint="eastAsia"/>
                <w:color w:val="000000" w:themeColor="text1"/>
                <w:sz w:val="24"/>
              </w:rPr>
              <w:t>证明重组符合特殊性税务处理条</w:t>
            </w:r>
            <w:r>
              <w:rPr>
                <w:rFonts w:ascii="仿宋" w:eastAsia="仿宋" w:hAnsi="仿宋" w:hint="eastAsia"/>
                <w:color w:val="000000" w:themeColor="text1"/>
                <w:sz w:val="24"/>
              </w:rPr>
              <w:lastRenderedPageBreak/>
              <w:t>件的资料，包括资产收购比例，支付对价情况。</w:t>
            </w:r>
            <w:r>
              <w:rPr>
                <w:rFonts w:ascii="仿宋" w:eastAsia="仿宋" w:hAnsi="仿宋" w:hint="eastAsia"/>
                <w:color w:val="000000" w:themeColor="text1"/>
                <w:sz w:val="24"/>
                <w:highlight w:val="lightGray"/>
              </w:rPr>
              <w:t>以及12个月内不改变资产原来的实质性经营活动、原主要股东不转让所取得股权的承诺书。</w:t>
            </w:r>
          </w:p>
        </w:tc>
        <w:tc>
          <w:tcPr>
            <w:tcW w:w="851" w:type="dxa"/>
            <w:vMerge/>
            <w:vAlign w:val="center"/>
          </w:tcPr>
          <w:p w:rsidR="00013EC7" w:rsidRDefault="00013EC7">
            <w:pPr>
              <w:rPr>
                <w:rFonts w:ascii="仿宋" w:eastAsia="仿宋" w:hAnsi="仿宋"/>
                <w:color w:val="000000" w:themeColor="text1"/>
                <w:sz w:val="24"/>
              </w:rPr>
            </w:pPr>
          </w:p>
        </w:tc>
        <w:tc>
          <w:tcPr>
            <w:tcW w:w="4252" w:type="dxa"/>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（五十九）证明重组符合特殊性税务处</w:t>
            </w:r>
            <w:r>
              <w:rPr>
                <w:rFonts w:ascii="仿宋" w:eastAsia="仿宋" w:hAnsi="仿宋" w:hint="eastAsia"/>
                <w:color w:val="000000" w:themeColor="text1"/>
                <w:sz w:val="24"/>
              </w:rPr>
              <w:lastRenderedPageBreak/>
              <w:t>理条件的资料，包括资产收购比例，支付对价情况。以及12个月内不改变资产原来的实质性经营活动、原主要股东不转让所取得股权的承诺书（留存备查）。</w:t>
            </w:r>
          </w:p>
        </w:tc>
        <w:tc>
          <w:tcPr>
            <w:tcW w:w="851" w:type="dxa"/>
            <w:vMerge/>
            <w:vAlign w:val="center"/>
          </w:tcPr>
          <w:p w:rsidR="00013EC7" w:rsidRDefault="00013EC7">
            <w:pPr>
              <w:rPr>
                <w:rFonts w:ascii="仿宋" w:eastAsia="仿宋" w:hAnsi="仿宋"/>
                <w:color w:val="000000" w:themeColor="text1"/>
                <w:sz w:val="24"/>
              </w:rPr>
            </w:pPr>
          </w:p>
        </w:tc>
        <w:tc>
          <w:tcPr>
            <w:tcW w:w="2126" w:type="dxa"/>
            <w:vMerge/>
            <w:vAlign w:val="center"/>
          </w:tcPr>
          <w:p w:rsidR="00013EC7" w:rsidRDefault="00013EC7">
            <w:pPr>
              <w:spacing w:line="300" w:lineRule="exact"/>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851" w:type="dxa"/>
            <w:vMerge/>
            <w:vAlign w:val="center"/>
          </w:tcPr>
          <w:p w:rsidR="00013EC7" w:rsidRDefault="00013EC7">
            <w:pPr>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709" w:type="dxa"/>
            <w:vMerge/>
            <w:vAlign w:val="center"/>
          </w:tcPr>
          <w:p w:rsidR="00013EC7" w:rsidRDefault="00013EC7">
            <w:pPr>
              <w:rPr>
                <w:rFonts w:ascii="仿宋" w:eastAsia="仿宋" w:hAnsi="仿宋"/>
                <w:color w:val="000000" w:themeColor="text1"/>
                <w:sz w:val="24"/>
              </w:rPr>
            </w:pPr>
          </w:p>
        </w:tc>
        <w:tc>
          <w:tcPr>
            <w:tcW w:w="1133" w:type="dxa"/>
            <w:vMerge/>
            <w:vAlign w:val="center"/>
          </w:tcPr>
          <w:p w:rsidR="00013EC7" w:rsidRDefault="00013EC7">
            <w:pPr>
              <w:rPr>
                <w:rFonts w:ascii="仿宋" w:eastAsia="仿宋" w:hAnsi="仿宋"/>
                <w:color w:val="000000" w:themeColor="text1"/>
                <w:sz w:val="24"/>
              </w:rPr>
            </w:pPr>
          </w:p>
        </w:tc>
      </w:tr>
      <w:tr w:rsidR="00013EC7">
        <w:trPr>
          <w:trHeight w:val="340"/>
          <w:jc w:val="center"/>
        </w:trPr>
        <w:tc>
          <w:tcPr>
            <w:tcW w:w="672" w:type="dxa"/>
            <w:vMerge/>
            <w:textDirection w:val="tbRlV"/>
            <w:vAlign w:val="center"/>
          </w:tcPr>
          <w:p w:rsidR="00013EC7" w:rsidRDefault="00013EC7">
            <w:pPr>
              <w:rPr>
                <w:rFonts w:ascii="仿宋" w:eastAsia="仿宋" w:hAnsi="仿宋"/>
                <w:color w:val="000000" w:themeColor="text1"/>
                <w:sz w:val="24"/>
              </w:rPr>
            </w:pPr>
          </w:p>
        </w:tc>
        <w:tc>
          <w:tcPr>
            <w:tcW w:w="1035" w:type="dxa"/>
            <w:vMerge/>
            <w:vAlign w:val="center"/>
          </w:tcPr>
          <w:p w:rsidR="00013EC7" w:rsidRDefault="00013EC7">
            <w:pPr>
              <w:rPr>
                <w:rFonts w:ascii="仿宋" w:eastAsia="仿宋" w:hAnsi="仿宋"/>
                <w:color w:val="000000" w:themeColor="text1"/>
                <w:sz w:val="24"/>
              </w:rPr>
            </w:pPr>
          </w:p>
        </w:tc>
        <w:tc>
          <w:tcPr>
            <w:tcW w:w="1271" w:type="dxa"/>
            <w:vMerge/>
            <w:vAlign w:val="center"/>
          </w:tcPr>
          <w:p w:rsidR="00013EC7" w:rsidRDefault="00013EC7">
            <w:pPr>
              <w:rPr>
                <w:rFonts w:ascii="仿宋" w:eastAsia="仿宋" w:hAnsi="仿宋"/>
                <w:color w:val="000000" w:themeColor="text1"/>
                <w:sz w:val="24"/>
              </w:rPr>
            </w:pPr>
          </w:p>
        </w:tc>
        <w:tc>
          <w:tcPr>
            <w:tcW w:w="4394" w:type="dxa"/>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highlight w:val="lightGray"/>
              </w:rPr>
              <w:t>（六十一）工商部门核准相关企业股权变更事项证明材料。</w:t>
            </w:r>
          </w:p>
        </w:tc>
        <w:tc>
          <w:tcPr>
            <w:tcW w:w="851" w:type="dxa"/>
            <w:vMerge/>
            <w:vAlign w:val="center"/>
          </w:tcPr>
          <w:p w:rsidR="00013EC7" w:rsidRDefault="00013EC7">
            <w:pPr>
              <w:rPr>
                <w:rFonts w:ascii="仿宋" w:eastAsia="仿宋" w:hAnsi="仿宋"/>
                <w:color w:val="000000" w:themeColor="text1"/>
                <w:sz w:val="24"/>
              </w:rPr>
            </w:pPr>
          </w:p>
        </w:tc>
        <w:tc>
          <w:tcPr>
            <w:tcW w:w="4252" w:type="dxa"/>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（六十）工商部门核准相关企业股权变更事项证明材料（留存备查）。</w:t>
            </w:r>
          </w:p>
        </w:tc>
        <w:tc>
          <w:tcPr>
            <w:tcW w:w="851" w:type="dxa"/>
            <w:vMerge/>
            <w:vAlign w:val="center"/>
          </w:tcPr>
          <w:p w:rsidR="00013EC7" w:rsidRDefault="00013EC7">
            <w:pPr>
              <w:rPr>
                <w:rFonts w:ascii="仿宋" w:eastAsia="仿宋" w:hAnsi="仿宋"/>
                <w:color w:val="000000" w:themeColor="text1"/>
                <w:sz w:val="24"/>
              </w:rPr>
            </w:pPr>
          </w:p>
        </w:tc>
        <w:tc>
          <w:tcPr>
            <w:tcW w:w="2126" w:type="dxa"/>
            <w:vMerge/>
            <w:vAlign w:val="center"/>
          </w:tcPr>
          <w:p w:rsidR="00013EC7" w:rsidRDefault="00013EC7">
            <w:pPr>
              <w:spacing w:line="300" w:lineRule="exact"/>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851" w:type="dxa"/>
            <w:vMerge/>
            <w:vAlign w:val="center"/>
          </w:tcPr>
          <w:p w:rsidR="00013EC7" w:rsidRDefault="00013EC7">
            <w:pPr>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709" w:type="dxa"/>
            <w:vMerge/>
            <w:vAlign w:val="center"/>
          </w:tcPr>
          <w:p w:rsidR="00013EC7" w:rsidRDefault="00013EC7">
            <w:pPr>
              <w:rPr>
                <w:rFonts w:ascii="仿宋" w:eastAsia="仿宋" w:hAnsi="仿宋"/>
                <w:color w:val="000000" w:themeColor="text1"/>
                <w:sz w:val="24"/>
              </w:rPr>
            </w:pPr>
          </w:p>
        </w:tc>
        <w:tc>
          <w:tcPr>
            <w:tcW w:w="1133" w:type="dxa"/>
            <w:vMerge/>
            <w:vAlign w:val="center"/>
          </w:tcPr>
          <w:p w:rsidR="00013EC7" w:rsidRDefault="00013EC7">
            <w:pPr>
              <w:rPr>
                <w:rFonts w:ascii="仿宋" w:eastAsia="仿宋" w:hAnsi="仿宋"/>
                <w:color w:val="000000" w:themeColor="text1"/>
                <w:sz w:val="24"/>
              </w:rPr>
            </w:pPr>
          </w:p>
        </w:tc>
      </w:tr>
      <w:tr w:rsidR="00013EC7">
        <w:trPr>
          <w:trHeight w:val="340"/>
          <w:jc w:val="center"/>
        </w:trPr>
        <w:tc>
          <w:tcPr>
            <w:tcW w:w="672" w:type="dxa"/>
            <w:vMerge/>
            <w:textDirection w:val="tbRlV"/>
            <w:vAlign w:val="center"/>
          </w:tcPr>
          <w:p w:rsidR="00013EC7" w:rsidRDefault="00013EC7">
            <w:pPr>
              <w:rPr>
                <w:rFonts w:ascii="仿宋" w:eastAsia="仿宋" w:hAnsi="仿宋"/>
                <w:color w:val="000000" w:themeColor="text1"/>
                <w:sz w:val="24"/>
              </w:rPr>
            </w:pPr>
          </w:p>
        </w:tc>
        <w:tc>
          <w:tcPr>
            <w:tcW w:w="1035" w:type="dxa"/>
            <w:vMerge/>
            <w:vAlign w:val="center"/>
          </w:tcPr>
          <w:p w:rsidR="00013EC7" w:rsidRDefault="00013EC7">
            <w:pPr>
              <w:rPr>
                <w:rFonts w:ascii="仿宋" w:eastAsia="仿宋" w:hAnsi="仿宋"/>
                <w:color w:val="000000" w:themeColor="text1"/>
                <w:sz w:val="24"/>
              </w:rPr>
            </w:pPr>
          </w:p>
        </w:tc>
        <w:tc>
          <w:tcPr>
            <w:tcW w:w="1271" w:type="dxa"/>
            <w:vMerge/>
            <w:vAlign w:val="center"/>
          </w:tcPr>
          <w:p w:rsidR="00013EC7" w:rsidRDefault="00013EC7">
            <w:pPr>
              <w:rPr>
                <w:rFonts w:ascii="仿宋" w:eastAsia="仿宋" w:hAnsi="仿宋"/>
                <w:color w:val="000000" w:themeColor="text1"/>
                <w:sz w:val="24"/>
              </w:rPr>
            </w:pPr>
          </w:p>
        </w:tc>
        <w:tc>
          <w:tcPr>
            <w:tcW w:w="4394" w:type="dxa"/>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highlight w:val="lightGray"/>
              </w:rPr>
              <w:t>（六十二）重组当事各方一致选择特殊性税务处理并加盖当事各方公章的证明资料。</w:t>
            </w:r>
          </w:p>
        </w:tc>
        <w:tc>
          <w:tcPr>
            <w:tcW w:w="851" w:type="dxa"/>
            <w:vMerge/>
            <w:vAlign w:val="center"/>
          </w:tcPr>
          <w:p w:rsidR="00013EC7" w:rsidRDefault="00013EC7">
            <w:pPr>
              <w:rPr>
                <w:rFonts w:ascii="仿宋" w:eastAsia="仿宋" w:hAnsi="仿宋"/>
                <w:color w:val="000000" w:themeColor="text1"/>
                <w:sz w:val="24"/>
              </w:rPr>
            </w:pPr>
          </w:p>
        </w:tc>
        <w:tc>
          <w:tcPr>
            <w:tcW w:w="4252" w:type="dxa"/>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（六十一）重组当事各方一致选择特殊性税务处理并加盖当事各方公章的证明资料（留存备查）。</w:t>
            </w:r>
          </w:p>
        </w:tc>
        <w:tc>
          <w:tcPr>
            <w:tcW w:w="851" w:type="dxa"/>
            <w:vMerge/>
            <w:vAlign w:val="center"/>
          </w:tcPr>
          <w:p w:rsidR="00013EC7" w:rsidRDefault="00013EC7">
            <w:pPr>
              <w:rPr>
                <w:rFonts w:ascii="仿宋" w:eastAsia="仿宋" w:hAnsi="仿宋"/>
                <w:color w:val="000000" w:themeColor="text1"/>
                <w:sz w:val="24"/>
              </w:rPr>
            </w:pPr>
          </w:p>
        </w:tc>
        <w:tc>
          <w:tcPr>
            <w:tcW w:w="2126" w:type="dxa"/>
            <w:vMerge/>
            <w:vAlign w:val="center"/>
          </w:tcPr>
          <w:p w:rsidR="00013EC7" w:rsidRDefault="00013EC7">
            <w:pPr>
              <w:spacing w:line="300" w:lineRule="exact"/>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851" w:type="dxa"/>
            <w:vMerge/>
            <w:vAlign w:val="center"/>
          </w:tcPr>
          <w:p w:rsidR="00013EC7" w:rsidRDefault="00013EC7">
            <w:pPr>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709" w:type="dxa"/>
            <w:vMerge/>
            <w:vAlign w:val="center"/>
          </w:tcPr>
          <w:p w:rsidR="00013EC7" w:rsidRDefault="00013EC7">
            <w:pPr>
              <w:rPr>
                <w:rFonts w:ascii="仿宋" w:eastAsia="仿宋" w:hAnsi="仿宋"/>
                <w:color w:val="000000" w:themeColor="text1"/>
                <w:sz w:val="24"/>
              </w:rPr>
            </w:pPr>
          </w:p>
        </w:tc>
        <w:tc>
          <w:tcPr>
            <w:tcW w:w="1133" w:type="dxa"/>
            <w:vMerge/>
            <w:vAlign w:val="center"/>
          </w:tcPr>
          <w:p w:rsidR="00013EC7" w:rsidRDefault="00013EC7">
            <w:pPr>
              <w:rPr>
                <w:rFonts w:ascii="仿宋" w:eastAsia="仿宋" w:hAnsi="仿宋"/>
                <w:color w:val="000000" w:themeColor="text1"/>
                <w:sz w:val="24"/>
              </w:rPr>
            </w:pPr>
          </w:p>
        </w:tc>
      </w:tr>
      <w:tr w:rsidR="00013EC7">
        <w:trPr>
          <w:trHeight w:val="340"/>
          <w:jc w:val="center"/>
        </w:trPr>
        <w:tc>
          <w:tcPr>
            <w:tcW w:w="672" w:type="dxa"/>
            <w:vMerge/>
            <w:textDirection w:val="tbRlV"/>
            <w:vAlign w:val="center"/>
          </w:tcPr>
          <w:p w:rsidR="00013EC7" w:rsidRDefault="00013EC7">
            <w:pPr>
              <w:rPr>
                <w:rFonts w:ascii="仿宋" w:eastAsia="仿宋" w:hAnsi="仿宋"/>
                <w:color w:val="000000" w:themeColor="text1"/>
                <w:sz w:val="24"/>
              </w:rPr>
            </w:pPr>
          </w:p>
        </w:tc>
        <w:tc>
          <w:tcPr>
            <w:tcW w:w="1035" w:type="dxa"/>
            <w:vMerge/>
            <w:vAlign w:val="center"/>
          </w:tcPr>
          <w:p w:rsidR="00013EC7" w:rsidRDefault="00013EC7">
            <w:pPr>
              <w:rPr>
                <w:rFonts w:ascii="仿宋" w:eastAsia="仿宋" w:hAnsi="仿宋"/>
                <w:color w:val="000000" w:themeColor="text1"/>
                <w:sz w:val="24"/>
              </w:rPr>
            </w:pPr>
          </w:p>
        </w:tc>
        <w:tc>
          <w:tcPr>
            <w:tcW w:w="1271" w:type="dxa"/>
            <w:vMerge/>
            <w:vAlign w:val="center"/>
          </w:tcPr>
          <w:p w:rsidR="00013EC7" w:rsidRDefault="00013EC7">
            <w:pPr>
              <w:rPr>
                <w:rFonts w:ascii="仿宋" w:eastAsia="仿宋" w:hAnsi="仿宋"/>
                <w:color w:val="000000" w:themeColor="text1"/>
                <w:sz w:val="24"/>
              </w:rPr>
            </w:pPr>
          </w:p>
        </w:tc>
        <w:tc>
          <w:tcPr>
            <w:tcW w:w="4394" w:type="dxa"/>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highlight w:val="lightGray"/>
              </w:rPr>
              <w:t>（六十三）重组前连续12个月内有无与该重组相关的其他股权、资产交易,与该重组是否构成分步交易、是否作为一项企业重组业务进行处理情况的说明。</w:t>
            </w:r>
          </w:p>
        </w:tc>
        <w:tc>
          <w:tcPr>
            <w:tcW w:w="851" w:type="dxa"/>
            <w:vMerge/>
            <w:vAlign w:val="center"/>
          </w:tcPr>
          <w:p w:rsidR="00013EC7" w:rsidRDefault="00013EC7">
            <w:pPr>
              <w:rPr>
                <w:rFonts w:ascii="仿宋" w:eastAsia="仿宋" w:hAnsi="仿宋"/>
                <w:color w:val="000000" w:themeColor="text1"/>
                <w:sz w:val="24"/>
              </w:rPr>
            </w:pPr>
          </w:p>
        </w:tc>
        <w:tc>
          <w:tcPr>
            <w:tcW w:w="4252" w:type="dxa"/>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（六十二）重组前连续12个月内有无与该重组相关的其他股权、资产交易,与该重组是否构成分步交易、是否作为一项企业重组业务进行处理情况的说明（留存备查）。</w:t>
            </w:r>
          </w:p>
        </w:tc>
        <w:tc>
          <w:tcPr>
            <w:tcW w:w="851" w:type="dxa"/>
            <w:vMerge/>
            <w:vAlign w:val="center"/>
          </w:tcPr>
          <w:p w:rsidR="00013EC7" w:rsidRDefault="00013EC7">
            <w:pPr>
              <w:rPr>
                <w:rFonts w:ascii="仿宋" w:eastAsia="仿宋" w:hAnsi="仿宋"/>
                <w:color w:val="000000" w:themeColor="text1"/>
                <w:sz w:val="24"/>
              </w:rPr>
            </w:pPr>
          </w:p>
        </w:tc>
        <w:tc>
          <w:tcPr>
            <w:tcW w:w="2126" w:type="dxa"/>
            <w:vMerge/>
            <w:vAlign w:val="center"/>
          </w:tcPr>
          <w:p w:rsidR="00013EC7" w:rsidRDefault="00013EC7">
            <w:pPr>
              <w:spacing w:line="300" w:lineRule="exact"/>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851" w:type="dxa"/>
            <w:vMerge/>
            <w:vAlign w:val="center"/>
          </w:tcPr>
          <w:p w:rsidR="00013EC7" w:rsidRDefault="00013EC7">
            <w:pPr>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709" w:type="dxa"/>
            <w:vMerge/>
            <w:vAlign w:val="center"/>
          </w:tcPr>
          <w:p w:rsidR="00013EC7" w:rsidRDefault="00013EC7">
            <w:pPr>
              <w:rPr>
                <w:rFonts w:ascii="仿宋" w:eastAsia="仿宋" w:hAnsi="仿宋"/>
                <w:color w:val="000000" w:themeColor="text1"/>
                <w:sz w:val="24"/>
              </w:rPr>
            </w:pPr>
          </w:p>
        </w:tc>
        <w:tc>
          <w:tcPr>
            <w:tcW w:w="1133" w:type="dxa"/>
            <w:vMerge/>
            <w:vAlign w:val="center"/>
          </w:tcPr>
          <w:p w:rsidR="00013EC7" w:rsidRDefault="00013EC7">
            <w:pPr>
              <w:rPr>
                <w:rFonts w:ascii="仿宋" w:eastAsia="仿宋" w:hAnsi="仿宋"/>
                <w:color w:val="000000" w:themeColor="text1"/>
                <w:sz w:val="24"/>
              </w:rPr>
            </w:pPr>
          </w:p>
        </w:tc>
      </w:tr>
      <w:tr w:rsidR="00013EC7">
        <w:trPr>
          <w:trHeight w:val="340"/>
          <w:jc w:val="center"/>
        </w:trPr>
        <w:tc>
          <w:tcPr>
            <w:tcW w:w="672" w:type="dxa"/>
            <w:vMerge/>
            <w:textDirection w:val="tbRlV"/>
            <w:vAlign w:val="center"/>
          </w:tcPr>
          <w:p w:rsidR="00013EC7" w:rsidRDefault="00013EC7">
            <w:pPr>
              <w:rPr>
                <w:rFonts w:ascii="仿宋" w:eastAsia="仿宋" w:hAnsi="仿宋"/>
                <w:color w:val="000000" w:themeColor="text1"/>
                <w:sz w:val="24"/>
              </w:rPr>
            </w:pPr>
          </w:p>
        </w:tc>
        <w:tc>
          <w:tcPr>
            <w:tcW w:w="1035" w:type="dxa"/>
            <w:vMerge/>
            <w:vAlign w:val="center"/>
          </w:tcPr>
          <w:p w:rsidR="00013EC7" w:rsidRDefault="00013EC7">
            <w:pPr>
              <w:rPr>
                <w:rFonts w:ascii="仿宋" w:eastAsia="仿宋" w:hAnsi="仿宋"/>
                <w:color w:val="000000" w:themeColor="text1"/>
                <w:sz w:val="24"/>
              </w:rPr>
            </w:pPr>
          </w:p>
        </w:tc>
        <w:tc>
          <w:tcPr>
            <w:tcW w:w="1271" w:type="dxa"/>
            <w:vMerge/>
            <w:vAlign w:val="center"/>
          </w:tcPr>
          <w:p w:rsidR="00013EC7" w:rsidRDefault="00013EC7">
            <w:pPr>
              <w:rPr>
                <w:rFonts w:ascii="仿宋" w:eastAsia="仿宋" w:hAnsi="仿宋"/>
                <w:color w:val="000000" w:themeColor="text1"/>
                <w:sz w:val="24"/>
              </w:rPr>
            </w:pPr>
          </w:p>
        </w:tc>
        <w:tc>
          <w:tcPr>
            <w:tcW w:w="4394" w:type="dxa"/>
          </w:tcPr>
          <w:p w:rsidR="00013EC7" w:rsidRDefault="00575CDB">
            <w:pPr>
              <w:rPr>
                <w:color w:val="000000" w:themeColor="text1"/>
              </w:rPr>
            </w:pPr>
            <w:r>
              <w:rPr>
                <w:rFonts w:ascii="仿宋" w:eastAsia="仿宋" w:hAnsi="仿宋" w:hint="eastAsia"/>
                <w:color w:val="000000" w:themeColor="text1"/>
                <w:sz w:val="24"/>
                <w:highlight w:val="lightGray"/>
              </w:rPr>
              <w:t>（六十四）按会计准则规定当期应确认资产（股权）转让损益的，应提供按税法规定核算的资产（股权）计税基础与按会计准则规定核算的相关资产（股权）账面价值的暂时性差异专项说明。</w:t>
            </w:r>
          </w:p>
        </w:tc>
        <w:tc>
          <w:tcPr>
            <w:tcW w:w="851" w:type="dxa"/>
            <w:vMerge/>
            <w:vAlign w:val="center"/>
          </w:tcPr>
          <w:p w:rsidR="00013EC7" w:rsidRDefault="00013EC7">
            <w:pPr>
              <w:rPr>
                <w:rFonts w:ascii="仿宋" w:eastAsia="仿宋" w:hAnsi="仿宋"/>
                <w:color w:val="000000" w:themeColor="text1"/>
                <w:sz w:val="24"/>
              </w:rPr>
            </w:pPr>
          </w:p>
        </w:tc>
        <w:tc>
          <w:tcPr>
            <w:tcW w:w="4252" w:type="dxa"/>
          </w:tcPr>
          <w:p w:rsidR="00013EC7" w:rsidRDefault="00575CDB">
            <w:pPr>
              <w:rPr>
                <w:color w:val="000000" w:themeColor="text1"/>
              </w:rPr>
            </w:pPr>
            <w:r>
              <w:rPr>
                <w:rFonts w:ascii="仿宋" w:eastAsia="仿宋" w:hAnsi="仿宋" w:hint="eastAsia"/>
                <w:color w:val="000000" w:themeColor="text1"/>
                <w:sz w:val="24"/>
              </w:rPr>
              <w:t>（六十三）按会计准则规定当期应确认资产（股权）转让损益的，应提供按税法规定核算的资产（股权）计税基础与按会计准则规定核算的相关资产（股权）账面价值的暂时性差异专项说明（留存备查）。</w:t>
            </w:r>
          </w:p>
        </w:tc>
        <w:tc>
          <w:tcPr>
            <w:tcW w:w="851" w:type="dxa"/>
            <w:vMerge/>
            <w:vAlign w:val="center"/>
          </w:tcPr>
          <w:p w:rsidR="00013EC7" w:rsidRDefault="00013EC7">
            <w:pPr>
              <w:rPr>
                <w:rFonts w:ascii="仿宋" w:eastAsia="仿宋" w:hAnsi="仿宋"/>
                <w:color w:val="000000" w:themeColor="text1"/>
                <w:sz w:val="24"/>
              </w:rPr>
            </w:pPr>
          </w:p>
        </w:tc>
        <w:tc>
          <w:tcPr>
            <w:tcW w:w="2126" w:type="dxa"/>
            <w:vMerge/>
            <w:vAlign w:val="center"/>
          </w:tcPr>
          <w:p w:rsidR="00013EC7" w:rsidRDefault="00013EC7">
            <w:pPr>
              <w:spacing w:line="300" w:lineRule="exact"/>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851" w:type="dxa"/>
            <w:vMerge/>
            <w:vAlign w:val="center"/>
          </w:tcPr>
          <w:p w:rsidR="00013EC7" w:rsidRDefault="00013EC7">
            <w:pPr>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709" w:type="dxa"/>
            <w:vMerge/>
            <w:vAlign w:val="center"/>
          </w:tcPr>
          <w:p w:rsidR="00013EC7" w:rsidRDefault="00013EC7">
            <w:pPr>
              <w:rPr>
                <w:rFonts w:ascii="仿宋" w:eastAsia="仿宋" w:hAnsi="仿宋"/>
                <w:color w:val="000000" w:themeColor="text1"/>
                <w:sz w:val="24"/>
              </w:rPr>
            </w:pPr>
          </w:p>
        </w:tc>
        <w:tc>
          <w:tcPr>
            <w:tcW w:w="1133" w:type="dxa"/>
            <w:vMerge/>
            <w:vAlign w:val="center"/>
          </w:tcPr>
          <w:p w:rsidR="00013EC7" w:rsidRDefault="00013EC7">
            <w:pPr>
              <w:rPr>
                <w:rFonts w:ascii="仿宋" w:eastAsia="仿宋" w:hAnsi="仿宋"/>
                <w:color w:val="000000" w:themeColor="text1"/>
                <w:sz w:val="24"/>
              </w:rPr>
            </w:pPr>
          </w:p>
        </w:tc>
      </w:tr>
      <w:tr w:rsidR="00013EC7">
        <w:trPr>
          <w:trHeight w:val="340"/>
          <w:jc w:val="center"/>
        </w:trPr>
        <w:tc>
          <w:tcPr>
            <w:tcW w:w="672" w:type="dxa"/>
            <w:vMerge/>
            <w:textDirection w:val="tbRlV"/>
            <w:vAlign w:val="center"/>
          </w:tcPr>
          <w:p w:rsidR="00013EC7" w:rsidRDefault="00013EC7">
            <w:pPr>
              <w:rPr>
                <w:rFonts w:ascii="仿宋" w:eastAsia="仿宋" w:hAnsi="仿宋"/>
                <w:color w:val="000000" w:themeColor="text1"/>
                <w:sz w:val="24"/>
              </w:rPr>
            </w:pPr>
          </w:p>
        </w:tc>
        <w:tc>
          <w:tcPr>
            <w:tcW w:w="1035" w:type="dxa"/>
            <w:vMerge/>
            <w:vAlign w:val="center"/>
          </w:tcPr>
          <w:p w:rsidR="00013EC7" w:rsidRDefault="00013EC7">
            <w:pPr>
              <w:rPr>
                <w:rFonts w:ascii="仿宋" w:eastAsia="仿宋" w:hAnsi="仿宋"/>
                <w:color w:val="000000" w:themeColor="text1"/>
                <w:sz w:val="24"/>
              </w:rPr>
            </w:pPr>
          </w:p>
        </w:tc>
        <w:tc>
          <w:tcPr>
            <w:tcW w:w="1271" w:type="dxa"/>
            <w:vMerge/>
            <w:vAlign w:val="center"/>
          </w:tcPr>
          <w:p w:rsidR="00013EC7" w:rsidRDefault="00013EC7">
            <w:pPr>
              <w:rPr>
                <w:rFonts w:ascii="仿宋" w:eastAsia="仿宋" w:hAnsi="仿宋"/>
                <w:color w:val="000000" w:themeColor="text1"/>
                <w:sz w:val="24"/>
              </w:rPr>
            </w:pPr>
          </w:p>
        </w:tc>
        <w:tc>
          <w:tcPr>
            <w:tcW w:w="4394" w:type="dxa"/>
            <w:vAlign w:val="center"/>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（三十二）《企业重组所得税特殊性税务处理报告表及附表》。</w:t>
            </w:r>
          </w:p>
        </w:tc>
        <w:tc>
          <w:tcPr>
            <w:tcW w:w="851" w:type="dxa"/>
            <w:vMerge w:val="restart"/>
            <w:vAlign w:val="center"/>
          </w:tcPr>
          <w:p w:rsidR="00013EC7" w:rsidRDefault="00575CDB">
            <w:pPr>
              <w:rPr>
                <w:rFonts w:ascii="仿宋" w:eastAsia="仿宋" w:hAnsi="仿宋"/>
                <w:color w:val="000000" w:themeColor="text1"/>
                <w:sz w:val="24"/>
              </w:rPr>
            </w:pPr>
            <w:r>
              <w:rPr>
                <w:rFonts w:ascii="仿宋" w:eastAsia="仿宋" w:hAnsi="仿宋"/>
                <w:color w:val="000000" w:themeColor="text1"/>
                <w:sz w:val="24"/>
              </w:rPr>
              <w:t>发生</w:t>
            </w:r>
            <w:r>
              <w:rPr>
                <w:rFonts w:ascii="仿宋" w:eastAsia="仿宋" w:hAnsi="仿宋" w:hint="eastAsia"/>
                <w:color w:val="000000" w:themeColor="text1"/>
                <w:sz w:val="24"/>
              </w:rPr>
              <w:t>企业合并</w:t>
            </w:r>
            <w:r>
              <w:rPr>
                <w:rFonts w:ascii="仿宋" w:eastAsia="仿宋" w:hAnsi="仿宋"/>
                <w:color w:val="000000" w:themeColor="text1"/>
                <w:sz w:val="24"/>
              </w:rPr>
              <w:t>并选择特殊性税务处理的</w:t>
            </w:r>
            <w:r>
              <w:rPr>
                <w:rFonts w:ascii="仿宋" w:eastAsia="仿宋" w:hAnsi="仿宋" w:hint="eastAsia"/>
                <w:color w:val="000000" w:themeColor="text1"/>
                <w:sz w:val="24"/>
              </w:rPr>
              <w:t>纳税人提交</w:t>
            </w:r>
          </w:p>
        </w:tc>
        <w:tc>
          <w:tcPr>
            <w:tcW w:w="4252" w:type="dxa"/>
            <w:vAlign w:val="center"/>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（三十一）《企业重组所得税特殊性税务处理报告表及附表》。</w:t>
            </w:r>
          </w:p>
        </w:tc>
        <w:tc>
          <w:tcPr>
            <w:tcW w:w="851" w:type="dxa"/>
            <w:vMerge w:val="restart"/>
            <w:vAlign w:val="center"/>
          </w:tcPr>
          <w:p w:rsidR="00013EC7" w:rsidRDefault="00575CDB">
            <w:pPr>
              <w:rPr>
                <w:rFonts w:ascii="仿宋" w:eastAsia="仿宋" w:hAnsi="仿宋"/>
                <w:color w:val="000000" w:themeColor="text1"/>
                <w:sz w:val="24"/>
              </w:rPr>
            </w:pPr>
            <w:r>
              <w:rPr>
                <w:rFonts w:ascii="仿宋" w:eastAsia="仿宋" w:hAnsi="仿宋"/>
                <w:color w:val="000000" w:themeColor="text1"/>
                <w:sz w:val="24"/>
              </w:rPr>
              <w:t>发生</w:t>
            </w:r>
            <w:r>
              <w:rPr>
                <w:rFonts w:ascii="仿宋" w:eastAsia="仿宋" w:hAnsi="仿宋" w:hint="eastAsia"/>
                <w:color w:val="000000" w:themeColor="text1"/>
                <w:sz w:val="24"/>
              </w:rPr>
              <w:t>企业合并</w:t>
            </w:r>
            <w:r>
              <w:rPr>
                <w:rFonts w:ascii="仿宋" w:eastAsia="仿宋" w:hAnsi="仿宋"/>
                <w:color w:val="000000" w:themeColor="text1"/>
                <w:sz w:val="24"/>
              </w:rPr>
              <w:t>并选择特殊性税务处理的</w:t>
            </w:r>
            <w:r>
              <w:rPr>
                <w:rFonts w:ascii="仿宋" w:eastAsia="仿宋" w:hAnsi="仿宋" w:hint="eastAsia"/>
                <w:color w:val="000000" w:themeColor="text1"/>
                <w:sz w:val="24"/>
              </w:rPr>
              <w:t>纳税人提交</w:t>
            </w:r>
          </w:p>
        </w:tc>
        <w:tc>
          <w:tcPr>
            <w:tcW w:w="2126" w:type="dxa"/>
            <w:vMerge/>
            <w:vAlign w:val="center"/>
          </w:tcPr>
          <w:p w:rsidR="00013EC7" w:rsidRDefault="00013EC7">
            <w:pPr>
              <w:spacing w:line="300" w:lineRule="exact"/>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851" w:type="dxa"/>
            <w:vMerge/>
            <w:vAlign w:val="center"/>
          </w:tcPr>
          <w:p w:rsidR="00013EC7" w:rsidRDefault="00013EC7">
            <w:pPr>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709" w:type="dxa"/>
            <w:vMerge/>
            <w:vAlign w:val="center"/>
          </w:tcPr>
          <w:p w:rsidR="00013EC7" w:rsidRDefault="00013EC7">
            <w:pPr>
              <w:rPr>
                <w:rFonts w:ascii="仿宋" w:eastAsia="仿宋" w:hAnsi="仿宋"/>
                <w:color w:val="000000" w:themeColor="text1"/>
                <w:sz w:val="24"/>
              </w:rPr>
            </w:pPr>
          </w:p>
        </w:tc>
        <w:tc>
          <w:tcPr>
            <w:tcW w:w="1133" w:type="dxa"/>
            <w:vMerge/>
            <w:vAlign w:val="center"/>
          </w:tcPr>
          <w:p w:rsidR="00013EC7" w:rsidRDefault="00013EC7">
            <w:pPr>
              <w:rPr>
                <w:rFonts w:ascii="仿宋" w:eastAsia="仿宋" w:hAnsi="仿宋"/>
                <w:color w:val="000000" w:themeColor="text1"/>
                <w:sz w:val="24"/>
              </w:rPr>
            </w:pPr>
          </w:p>
        </w:tc>
      </w:tr>
      <w:tr w:rsidR="00013EC7">
        <w:trPr>
          <w:trHeight w:val="340"/>
          <w:jc w:val="center"/>
        </w:trPr>
        <w:tc>
          <w:tcPr>
            <w:tcW w:w="672" w:type="dxa"/>
            <w:vMerge/>
            <w:textDirection w:val="tbRlV"/>
            <w:vAlign w:val="center"/>
          </w:tcPr>
          <w:p w:rsidR="00013EC7" w:rsidRDefault="00013EC7">
            <w:pPr>
              <w:rPr>
                <w:rFonts w:ascii="仿宋" w:eastAsia="仿宋" w:hAnsi="仿宋"/>
                <w:color w:val="000000" w:themeColor="text1"/>
                <w:sz w:val="24"/>
              </w:rPr>
            </w:pPr>
          </w:p>
        </w:tc>
        <w:tc>
          <w:tcPr>
            <w:tcW w:w="1035" w:type="dxa"/>
            <w:vMerge/>
            <w:vAlign w:val="center"/>
          </w:tcPr>
          <w:p w:rsidR="00013EC7" w:rsidRDefault="00013EC7">
            <w:pPr>
              <w:rPr>
                <w:rFonts w:ascii="仿宋" w:eastAsia="仿宋" w:hAnsi="仿宋"/>
                <w:color w:val="000000" w:themeColor="text1"/>
                <w:sz w:val="24"/>
              </w:rPr>
            </w:pPr>
          </w:p>
        </w:tc>
        <w:tc>
          <w:tcPr>
            <w:tcW w:w="1271" w:type="dxa"/>
            <w:vMerge/>
            <w:vAlign w:val="center"/>
          </w:tcPr>
          <w:p w:rsidR="00013EC7" w:rsidRDefault="00013EC7">
            <w:pPr>
              <w:rPr>
                <w:rFonts w:ascii="仿宋" w:eastAsia="仿宋" w:hAnsi="仿宋"/>
                <w:color w:val="000000" w:themeColor="text1"/>
                <w:sz w:val="24"/>
              </w:rPr>
            </w:pPr>
          </w:p>
        </w:tc>
        <w:tc>
          <w:tcPr>
            <w:tcW w:w="4394" w:type="dxa"/>
          </w:tcPr>
          <w:p w:rsidR="00013EC7" w:rsidRDefault="00575CDB">
            <w:pPr>
              <w:spacing w:line="300" w:lineRule="exact"/>
              <w:rPr>
                <w:rFonts w:ascii="仿宋" w:eastAsia="仿宋" w:hAnsi="仿宋"/>
                <w:color w:val="000000" w:themeColor="text1"/>
                <w:sz w:val="24"/>
                <w:highlight w:val="lightGray"/>
              </w:rPr>
            </w:pPr>
            <w:r>
              <w:rPr>
                <w:rFonts w:ascii="仿宋" w:eastAsia="仿宋" w:hAnsi="仿宋" w:hint="eastAsia"/>
                <w:color w:val="000000" w:themeColor="text1"/>
                <w:sz w:val="24"/>
                <w:highlight w:val="lightGray"/>
              </w:rPr>
              <w:t>（六十五）当事方企业合并的总体情况说明，包括合并方案、基本情况，并逐条说明企业合并的商业目的。</w:t>
            </w:r>
          </w:p>
        </w:tc>
        <w:tc>
          <w:tcPr>
            <w:tcW w:w="851" w:type="dxa"/>
            <w:vMerge/>
            <w:vAlign w:val="center"/>
          </w:tcPr>
          <w:p w:rsidR="00013EC7" w:rsidRDefault="00013EC7">
            <w:pPr>
              <w:rPr>
                <w:rFonts w:ascii="仿宋" w:eastAsia="仿宋" w:hAnsi="仿宋"/>
                <w:color w:val="000000" w:themeColor="text1"/>
                <w:sz w:val="24"/>
              </w:rPr>
            </w:pPr>
          </w:p>
        </w:tc>
        <w:tc>
          <w:tcPr>
            <w:tcW w:w="4252" w:type="dxa"/>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（六十四）当事方企业合并的总体情况说明，包括合并方案、基本情况，并逐条说明企业合并的商业目的（留存备查）。</w:t>
            </w:r>
          </w:p>
        </w:tc>
        <w:tc>
          <w:tcPr>
            <w:tcW w:w="851" w:type="dxa"/>
            <w:vMerge/>
            <w:vAlign w:val="center"/>
          </w:tcPr>
          <w:p w:rsidR="00013EC7" w:rsidRDefault="00013EC7">
            <w:pPr>
              <w:rPr>
                <w:rFonts w:ascii="仿宋" w:eastAsia="仿宋" w:hAnsi="仿宋"/>
                <w:color w:val="000000" w:themeColor="text1"/>
                <w:sz w:val="24"/>
              </w:rPr>
            </w:pPr>
          </w:p>
        </w:tc>
        <w:tc>
          <w:tcPr>
            <w:tcW w:w="2126" w:type="dxa"/>
            <w:vMerge/>
            <w:vAlign w:val="center"/>
          </w:tcPr>
          <w:p w:rsidR="00013EC7" w:rsidRDefault="00013EC7">
            <w:pPr>
              <w:spacing w:line="300" w:lineRule="exact"/>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851" w:type="dxa"/>
            <w:vMerge/>
            <w:vAlign w:val="center"/>
          </w:tcPr>
          <w:p w:rsidR="00013EC7" w:rsidRDefault="00013EC7">
            <w:pPr>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709" w:type="dxa"/>
            <w:vMerge/>
            <w:vAlign w:val="center"/>
          </w:tcPr>
          <w:p w:rsidR="00013EC7" w:rsidRDefault="00013EC7">
            <w:pPr>
              <w:rPr>
                <w:rFonts w:ascii="仿宋" w:eastAsia="仿宋" w:hAnsi="仿宋"/>
                <w:color w:val="000000" w:themeColor="text1"/>
                <w:sz w:val="24"/>
              </w:rPr>
            </w:pPr>
          </w:p>
        </w:tc>
        <w:tc>
          <w:tcPr>
            <w:tcW w:w="1133" w:type="dxa"/>
            <w:vMerge/>
            <w:vAlign w:val="center"/>
          </w:tcPr>
          <w:p w:rsidR="00013EC7" w:rsidRDefault="00013EC7">
            <w:pPr>
              <w:rPr>
                <w:rFonts w:ascii="仿宋" w:eastAsia="仿宋" w:hAnsi="仿宋"/>
                <w:color w:val="000000" w:themeColor="text1"/>
                <w:sz w:val="24"/>
              </w:rPr>
            </w:pPr>
          </w:p>
        </w:tc>
      </w:tr>
      <w:tr w:rsidR="00013EC7">
        <w:trPr>
          <w:trHeight w:val="340"/>
          <w:jc w:val="center"/>
        </w:trPr>
        <w:tc>
          <w:tcPr>
            <w:tcW w:w="672" w:type="dxa"/>
            <w:vMerge/>
            <w:textDirection w:val="tbRlV"/>
            <w:vAlign w:val="center"/>
          </w:tcPr>
          <w:p w:rsidR="00013EC7" w:rsidRDefault="00013EC7">
            <w:pPr>
              <w:rPr>
                <w:rFonts w:ascii="仿宋" w:eastAsia="仿宋" w:hAnsi="仿宋"/>
                <w:color w:val="000000" w:themeColor="text1"/>
                <w:sz w:val="24"/>
              </w:rPr>
            </w:pPr>
          </w:p>
        </w:tc>
        <w:tc>
          <w:tcPr>
            <w:tcW w:w="1035" w:type="dxa"/>
            <w:vMerge/>
            <w:vAlign w:val="center"/>
          </w:tcPr>
          <w:p w:rsidR="00013EC7" w:rsidRDefault="00013EC7">
            <w:pPr>
              <w:rPr>
                <w:rFonts w:ascii="仿宋" w:eastAsia="仿宋" w:hAnsi="仿宋"/>
                <w:color w:val="000000" w:themeColor="text1"/>
                <w:sz w:val="24"/>
              </w:rPr>
            </w:pPr>
          </w:p>
        </w:tc>
        <w:tc>
          <w:tcPr>
            <w:tcW w:w="1271" w:type="dxa"/>
            <w:vMerge/>
            <w:vAlign w:val="center"/>
          </w:tcPr>
          <w:p w:rsidR="00013EC7" w:rsidRDefault="00013EC7">
            <w:pPr>
              <w:rPr>
                <w:rFonts w:ascii="仿宋" w:eastAsia="仿宋" w:hAnsi="仿宋"/>
                <w:color w:val="000000" w:themeColor="text1"/>
                <w:sz w:val="24"/>
              </w:rPr>
            </w:pPr>
          </w:p>
        </w:tc>
        <w:tc>
          <w:tcPr>
            <w:tcW w:w="4394" w:type="dxa"/>
          </w:tcPr>
          <w:p w:rsidR="00013EC7" w:rsidRDefault="00575CDB">
            <w:pPr>
              <w:spacing w:line="300" w:lineRule="exact"/>
              <w:rPr>
                <w:rFonts w:ascii="仿宋" w:eastAsia="仿宋" w:hAnsi="仿宋"/>
                <w:color w:val="000000" w:themeColor="text1"/>
                <w:sz w:val="24"/>
                <w:highlight w:val="lightGray"/>
              </w:rPr>
            </w:pPr>
            <w:r>
              <w:rPr>
                <w:rFonts w:ascii="仿宋" w:eastAsia="仿宋" w:hAnsi="仿宋" w:hint="eastAsia"/>
                <w:color w:val="000000" w:themeColor="text1"/>
                <w:sz w:val="24"/>
                <w:highlight w:val="lightGray"/>
              </w:rPr>
              <w:t>（六十六）企业合并协议或决议，若需要政府部门批准合并的，提供企业合并的政府主管部门批准文件原件及复印件（企业合并、分立时提供）。</w:t>
            </w:r>
          </w:p>
        </w:tc>
        <w:tc>
          <w:tcPr>
            <w:tcW w:w="851" w:type="dxa"/>
            <w:vMerge/>
            <w:vAlign w:val="center"/>
          </w:tcPr>
          <w:p w:rsidR="00013EC7" w:rsidRDefault="00013EC7">
            <w:pPr>
              <w:rPr>
                <w:rFonts w:ascii="仿宋" w:eastAsia="仿宋" w:hAnsi="仿宋"/>
                <w:color w:val="000000" w:themeColor="text1"/>
                <w:sz w:val="24"/>
              </w:rPr>
            </w:pPr>
          </w:p>
        </w:tc>
        <w:tc>
          <w:tcPr>
            <w:tcW w:w="4252" w:type="dxa"/>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（六十五）企业合并协议或决议，若需要政府部门批准合并的，提供企业合并的政府主管部门批准文件原件及复印件（企业合并、分立时提供）（留存备查）。</w:t>
            </w:r>
          </w:p>
        </w:tc>
        <w:tc>
          <w:tcPr>
            <w:tcW w:w="851" w:type="dxa"/>
            <w:vMerge/>
            <w:vAlign w:val="center"/>
          </w:tcPr>
          <w:p w:rsidR="00013EC7" w:rsidRDefault="00013EC7">
            <w:pPr>
              <w:rPr>
                <w:rFonts w:ascii="仿宋" w:eastAsia="仿宋" w:hAnsi="仿宋"/>
                <w:color w:val="000000" w:themeColor="text1"/>
                <w:sz w:val="24"/>
              </w:rPr>
            </w:pPr>
          </w:p>
        </w:tc>
        <w:tc>
          <w:tcPr>
            <w:tcW w:w="2126" w:type="dxa"/>
            <w:vMerge/>
            <w:vAlign w:val="center"/>
          </w:tcPr>
          <w:p w:rsidR="00013EC7" w:rsidRDefault="00013EC7">
            <w:pPr>
              <w:spacing w:line="300" w:lineRule="exact"/>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851" w:type="dxa"/>
            <w:vMerge/>
            <w:vAlign w:val="center"/>
          </w:tcPr>
          <w:p w:rsidR="00013EC7" w:rsidRDefault="00013EC7">
            <w:pPr>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709" w:type="dxa"/>
            <w:vMerge/>
            <w:vAlign w:val="center"/>
          </w:tcPr>
          <w:p w:rsidR="00013EC7" w:rsidRDefault="00013EC7">
            <w:pPr>
              <w:rPr>
                <w:rFonts w:ascii="仿宋" w:eastAsia="仿宋" w:hAnsi="仿宋"/>
                <w:color w:val="000000" w:themeColor="text1"/>
                <w:sz w:val="24"/>
              </w:rPr>
            </w:pPr>
          </w:p>
        </w:tc>
        <w:tc>
          <w:tcPr>
            <w:tcW w:w="1133" w:type="dxa"/>
            <w:vMerge/>
            <w:vAlign w:val="center"/>
          </w:tcPr>
          <w:p w:rsidR="00013EC7" w:rsidRDefault="00013EC7">
            <w:pPr>
              <w:rPr>
                <w:rFonts w:ascii="仿宋" w:eastAsia="仿宋" w:hAnsi="仿宋"/>
                <w:color w:val="000000" w:themeColor="text1"/>
                <w:sz w:val="24"/>
              </w:rPr>
            </w:pPr>
          </w:p>
        </w:tc>
      </w:tr>
      <w:tr w:rsidR="00013EC7">
        <w:trPr>
          <w:trHeight w:val="340"/>
          <w:jc w:val="center"/>
        </w:trPr>
        <w:tc>
          <w:tcPr>
            <w:tcW w:w="672" w:type="dxa"/>
            <w:vMerge/>
            <w:textDirection w:val="tbRlV"/>
            <w:vAlign w:val="center"/>
          </w:tcPr>
          <w:p w:rsidR="00013EC7" w:rsidRDefault="00013EC7">
            <w:pPr>
              <w:rPr>
                <w:rFonts w:ascii="仿宋" w:eastAsia="仿宋" w:hAnsi="仿宋"/>
                <w:color w:val="000000" w:themeColor="text1"/>
                <w:sz w:val="24"/>
              </w:rPr>
            </w:pPr>
          </w:p>
        </w:tc>
        <w:tc>
          <w:tcPr>
            <w:tcW w:w="1035" w:type="dxa"/>
            <w:vMerge/>
            <w:vAlign w:val="center"/>
          </w:tcPr>
          <w:p w:rsidR="00013EC7" w:rsidRDefault="00013EC7">
            <w:pPr>
              <w:rPr>
                <w:rFonts w:ascii="仿宋" w:eastAsia="仿宋" w:hAnsi="仿宋"/>
                <w:color w:val="000000" w:themeColor="text1"/>
                <w:sz w:val="24"/>
              </w:rPr>
            </w:pPr>
          </w:p>
        </w:tc>
        <w:tc>
          <w:tcPr>
            <w:tcW w:w="1271" w:type="dxa"/>
            <w:vMerge/>
            <w:vAlign w:val="center"/>
          </w:tcPr>
          <w:p w:rsidR="00013EC7" w:rsidRDefault="00013EC7">
            <w:pPr>
              <w:rPr>
                <w:rFonts w:ascii="仿宋" w:eastAsia="仿宋" w:hAnsi="仿宋"/>
                <w:color w:val="000000" w:themeColor="text1"/>
                <w:sz w:val="24"/>
              </w:rPr>
            </w:pPr>
          </w:p>
        </w:tc>
        <w:tc>
          <w:tcPr>
            <w:tcW w:w="4394" w:type="dxa"/>
          </w:tcPr>
          <w:p w:rsidR="00013EC7" w:rsidRDefault="00575CDB">
            <w:pPr>
              <w:spacing w:line="300" w:lineRule="exact"/>
              <w:rPr>
                <w:rFonts w:ascii="仿宋" w:eastAsia="仿宋" w:hAnsi="仿宋"/>
                <w:color w:val="000000" w:themeColor="text1"/>
                <w:sz w:val="24"/>
                <w:highlight w:val="lightGray"/>
              </w:rPr>
            </w:pPr>
            <w:r>
              <w:rPr>
                <w:rFonts w:ascii="仿宋" w:eastAsia="仿宋" w:hAnsi="仿宋" w:hint="eastAsia"/>
                <w:color w:val="000000" w:themeColor="text1"/>
                <w:sz w:val="24"/>
                <w:highlight w:val="lightGray"/>
              </w:rPr>
              <w:t>（六十七）企业合并各方当事人的股权关系说明，若属同一控制下且不需支付对价的合并，还需提供在企业合并前，参与合并各方受最终控制方的控制在12个月以上的证明材料。</w:t>
            </w:r>
          </w:p>
        </w:tc>
        <w:tc>
          <w:tcPr>
            <w:tcW w:w="851" w:type="dxa"/>
            <w:vMerge/>
            <w:vAlign w:val="center"/>
          </w:tcPr>
          <w:p w:rsidR="00013EC7" w:rsidRDefault="00013EC7">
            <w:pPr>
              <w:rPr>
                <w:rFonts w:ascii="仿宋" w:eastAsia="仿宋" w:hAnsi="仿宋"/>
                <w:color w:val="000000" w:themeColor="text1"/>
                <w:sz w:val="24"/>
              </w:rPr>
            </w:pPr>
          </w:p>
        </w:tc>
        <w:tc>
          <w:tcPr>
            <w:tcW w:w="4252" w:type="dxa"/>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（六十六）企业合并各方当事人的股权关系说明，若属同一控制下且不需支付对价的合并，还需提供在企业合并前，参与合并各方受最终控制方的控制在12个月以上的证明材料（留存备查）。</w:t>
            </w:r>
          </w:p>
        </w:tc>
        <w:tc>
          <w:tcPr>
            <w:tcW w:w="851" w:type="dxa"/>
            <w:vMerge/>
            <w:vAlign w:val="center"/>
          </w:tcPr>
          <w:p w:rsidR="00013EC7" w:rsidRDefault="00013EC7">
            <w:pPr>
              <w:rPr>
                <w:rFonts w:ascii="仿宋" w:eastAsia="仿宋" w:hAnsi="仿宋"/>
                <w:color w:val="000000" w:themeColor="text1"/>
                <w:sz w:val="24"/>
              </w:rPr>
            </w:pPr>
          </w:p>
        </w:tc>
        <w:tc>
          <w:tcPr>
            <w:tcW w:w="2126" w:type="dxa"/>
            <w:vMerge/>
            <w:vAlign w:val="center"/>
          </w:tcPr>
          <w:p w:rsidR="00013EC7" w:rsidRDefault="00013EC7">
            <w:pPr>
              <w:spacing w:line="300" w:lineRule="exact"/>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851" w:type="dxa"/>
            <w:vMerge/>
            <w:vAlign w:val="center"/>
          </w:tcPr>
          <w:p w:rsidR="00013EC7" w:rsidRDefault="00013EC7">
            <w:pPr>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709" w:type="dxa"/>
            <w:vMerge/>
            <w:vAlign w:val="center"/>
          </w:tcPr>
          <w:p w:rsidR="00013EC7" w:rsidRDefault="00013EC7">
            <w:pPr>
              <w:rPr>
                <w:rFonts w:ascii="仿宋" w:eastAsia="仿宋" w:hAnsi="仿宋"/>
                <w:color w:val="000000" w:themeColor="text1"/>
                <w:sz w:val="24"/>
              </w:rPr>
            </w:pPr>
          </w:p>
        </w:tc>
        <w:tc>
          <w:tcPr>
            <w:tcW w:w="1133" w:type="dxa"/>
            <w:vMerge/>
            <w:vAlign w:val="center"/>
          </w:tcPr>
          <w:p w:rsidR="00013EC7" w:rsidRDefault="00013EC7">
            <w:pPr>
              <w:rPr>
                <w:rFonts w:ascii="仿宋" w:eastAsia="仿宋" w:hAnsi="仿宋"/>
                <w:color w:val="000000" w:themeColor="text1"/>
                <w:sz w:val="24"/>
              </w:rPr>
            </w:pPr>
          </w:p>
        </w:tc>
      </w:tr>
      <w:tr w:rsidR="00013EC7">
        <w:trPr>
          <w:trHeight w:val="340"/>
          <w:jc w:val="center"/>
        </w:trPr>
        <w:tc>
          <w:tcPr>
            <w:tcW w:w="672" w:type="dxa"/>
            <w:vMerge/>
            <w:textDirection w:val="tbRlV"/>
            <w:vAlign w:val="center"/>
          </w:tcPr>
          <w:p w:rsidR="00013EC7" w:rsidRDefault="00013EC7">
            <w:pPr>
              <w:rPr>
                <w:rFonts w:ascii="仿宋" w:eastAsia="仿宋" w:hAnsi="仿宋"/>
                <w:color w:val="000000" w:themeColor="text1"/>
                <w:sz w:val="24"/>
              </w:rPr>
            </w:pPr>
          </w:p>
        </w:tc>
        <w:tc>
          <w:tcPr>
            <w:tcW w:w="1035" w:type="dxa"/>
            <w:vMerge/>
            <w:vAlign w:val="center"/>
          </w:tcPr>
          <w:p w:rsidR="00013EC7" w:rsidRDefault="00013EC7">
            <w:pPr>
              <w:rPr>
                <w:rFonts w:ascii="仿宋" w:eastAsia="仿宋" w:hAnsi="仿宋"/>
                <w:color w:val="000000" w:themeColor="text1"/>
                <w:sz w:val="24"/>
              </w:rPr>
            </w:pPr>
          </w:p>
        </w:tc>
        <w:tc>
          <w:tcPr>
            <w:tcW w:w="1271" w:type="dxa"/>
            <w:vMerge/>
            <w:vAlign w:val="center"/>
          </w:tcPr>
          <w:p w:rsidR="00013EC7" w:rsidRDefault="00013EC7">
            <w:pPr>
              <w:rPr>
                <w:rFonts w:ascii="仿宋" w:eastAsia="仿宋" w:hAnsi="仿宋"/>
                <w:color w:val="000000" w:themeColor="text1"/>
                <w:sz w:val="24"/>
              </w:rPr>
            </w:pPr>
          </w:p>
        </w:tc>
        <w:tc>
          <w:tcPr>
            <w:tcW w:w="4394" w:type="dxa"/>
          </w:tcPr>
          <w:p w:rsidR="00013EC7" w:rsidRDefault="00575CDB">
            <w:pPr>
              <w:spacing w:line="300" w:lineRule="exact"/>
              <w:rPr>
                <w:rFonts w:ascii="仿宋" w:eastAsia="仿宋" w:hAnsi="仿宋"/>
                <w:color w:val="000000" w:themeColor="text1"/>
                <w:sz w:val="24"/>
                <w:highlight w:val="lightGray"/>
              </w:rPr>
            </w:pPr>
            <w:r>
              <w:rPr>
                <w:rFonts w:ascii="仿宋" w:eastAsia="仿宋" w:hAnsi="仿宋" w:hint="eastAsia"/>
                <w:color w:val="000000" w:themeColor="text1"/>
                <w:sz w:val="24"/>
                <w:highlight w:val="lightGray"/>
              </w:rPr>
              <w:t>（六十八）被合并企业的净资产、各单项资产和负债及账面价值和计税基础等相关资料。</w:t>
            </w:r>
          </w:p>
        </w:tc>
        <w:tc>
          <w:tcPr>
            <w:tcW w:w="851" w:type="dxa"/>
            <w:vMerge/>
            <w:vAlign w:val="center"/>
          </w:tcPr>
          <w:p w:rsidR="00013EC7" w:rsidRDefault="00013EC7">
            <w:pPr>
              <w:rPr>
                <w:rFonts w:ascii="仿宋" w:eastAsia="仿宋" w:hAnsi="仿宋"/>
                <w:color w:val="000000" w:themeColor="text1"/>
                <w:sz w:val="24"/>
              </w:rPr>
            </w:pPr>
          </w:p>
        </w:tc>
        <w:tc>
          <w:tcPr>
            <w:tcW w:w="4252" w:type="dxa"/>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（六十七）被合并企业的净资产、各单项资产和负债及账面价值和计税基础等相关资料（留存备查）。</w:t>
            </w:r>
          </w:p>
        </w:tc>
        <w:tc>
          <w:tcPr>
            <w:tcW w:w="851" w:type="dxa"/>
            <w:vMerge/>
            <w:vAlign w:val="center"/>
          </w:tcPr>
          <w:p w:rsidR="00013EC7" w:rsidRDefault="00013EC7">
            <w:pPr>
              <w:rPr>
                <w:rFonts w:ascii="仿宋" w:eastAsia="仿宋" w:hAnsi="仿宋"/>
                <w:color w:val="000000" w:themeColor="text1"/>
                <w:sz w:val="24"/>
              </w:rPr>
            </w:pPr>
          </w:p>
        </w:tc>
        <w:tc>
          <w:tcPr>
            <w:tcW w:w="2126" w:type="dxa"/>
            <w:vMerge/>
            <w:vAlign w:val="center"/>
          </w:tcPr>
          <w:p w:rsidR="00013EC7" w:rsidRDefault="00013EC7">
            <w:pPr>
              <w:spacing w:line="300" w:lineRule="exact"/>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851" w:type="dxa"/>
            <w:vMerge/>
            <w:vAlign w:val="center"/>
          </w:tcPr>
          <w:p w:rsidR="00013EC7" w:rsidRDefault="00013EC7">
            <w:pPr>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709" w:type="dxa"/>
            <w:vMerge/>
            <w:vAlign w:val="center"/>
          </w:tcPr>
          <w:p w:rsidR="00013EC7" w:rsidRDefault="00013EC7">
            <w:pPr>
              <w:rPr>
                <w:rFonts w:ascii="仿宋" w:eastAsia="仿宋" w:hAnsi="仿宋"/>
                <w:color w:val="000000" w:themeColor="text1"/>
                <w:sz w:val="24"/>
              </w:rPr>
            </w:pPr>
          </w:p>
        </w:tc>
        <w:tc>
          <w:tcPr>
            <w:tcW w:w="1133" w:type="dxa"/>
            <w:vMerge/>
            <w:vAlign w:val="center"/>
          </w:tcPr>
          <w:p w:rsidR="00013EC7" w:rsidRDefault="00013EC7">
            <w:pPr>
              <w:rPr>
                <w:rFonts w:ascii="仿宋" w:eastAsia="仿宋" w:hAnsi="仿宋"/>
                <w:color w:val="000000" w:themeColor="text1"/>
                <w:sz w:val="24"/>
              </w:rPr>
            </w:pPr>
          </w:p>
        </w:tc>
      </w:tr>
      <w:tr w:rsidR="00013EC7">
        <w:trPr>
          <w:trHeight w:val="340"/>
          <w:jc w:val="center"/>
        </w:trPr>
        <w:tc>
          <w:tcPr>
            <w:tcW w:w="672" w:type="dxa"/>
            <w:vMerge/>
            <w:textDirection w:val="tbRlV"/>
            <w:vAlign w:val="center"/>
          </w:tcPr>
          <w:p w:rsidR="00013EC7" w:rsidRDefault="00013EC7">
            <w:pPr>
              <w:rPr>
                <w:rFonts w:ascii="仿宋" w:eastAsia="仿宋" w:hAnsi="仿宋"/>
                <w:color w:val="000000" w:themeColor="text1"/>
                <w:sz w:val="24"/>
              </w:rPr>
            </w:pPr>
          </w:p>
        </w:tc>
        <w:tc>
          <w:tcPr>
            <w:tcW w:w="1035" w:type="dxa"/>
            <w:vMerge/>
            <w:vAlign w:val="center"/>
          </w:tcPr>
          <w:p w:rsidR="00013EC7" w:rsidRDefault="00013EC7">
            <w:pPr>
              <w:rPr>
                <w:rFonts w:ascii="仿宋" w:eastAsia="仿宋" w:hAnsi="仿宋"/>
                <w:color w:val="000000" w:themeColor="text1"/>
                <w:sz w:val="24"/>
              </w:rPr>
            </w:pPr>
          </w:p>
        </w:tc>
        <w:tc>
          <w:tcPr>
            <w:tcW w:w="1271" w:type="dxa"/>
            <w:vMerge/>
            <w:vAlign w:val="center"/>
          </w:tcPr>
          <w:p w:rsidR="00013EC7" w:rsidRDefault="00013EC7">
            <w:pPr>
              <w:rPr>
                <w:rFonts w:ascii="仿宋" w:eastAsia="仿宋" w:hAnsi="仿宋"/>
                <w:color w:val="000000" w:themeColor="text1"/>
                <w:sz w:val="24"/>
              </w:rPr>
            </w:pPr>
          </w:p>
        </w:tc>
        <w:tc>
          <w:tcPr>
            <w:tcW w:w="4394" w:type="dxa"/>
          </w:tcPr>
          <w:p w:rsidR="00013EC7" w:rsidRDefault="00575CDB">
            <w:pPr>
              <w:spacing w:line="300" w:lineRule="exact"/>
              <w:rPr>
                <w:rFonts w:ascii="仿宋" w:eastAsia="仿宋" w:hAnsi="仿宋"/>
                <w:color w:val="000000" w:themeColor="text1"/>
                <w:sz w:val="24"/>
                <w:highlight w:val="lightGray"/>
              </w:rPr>
            </w:pPr>
            <w:r>
              <w:rPr>
                <w:rFonts w:ascii="仿宋" w:eastAsia="仿宋" w:hAnsi="仿宋" w:hint="eastAsia"/>
                <w:color w:val="000000" w:themeColor="text1"/>
                <w:sz w:val="24"/>
                <w:highlight w:val="lightGray"/>
              </w:rPr>
              <w:t>（六十九）</w:t>
            </w:r>
            <w:r>
              <w:rPr>
                <w:rFonts w:ascii="仿宋" w:eastAsia="仿宋" w:hAnsi="仿宋" w:hint="eastAsia"/>
                <w:color w:val="000000" w:themeColor="text1"/>
                <w:sz w:val="24"/>
              </w:rPr>
              <w:t>证明重组符合特殊性税务处理条件的资料，包括合并前企业各股东取得股权支付比例情况</w:t>
            </w:r>
            <w:r>
              <w:rPr>
                <w:rFonts w:ascii="仿宋" w:eastAsia="仿宋" w:hAnsi="仿宋" w:hint="eastAsia"/>
                <w:color w:val="000000" w:themeColor="text1"/>
                <w:sz w:val="24"/>
                <w:highlight w:val="lightGray"/>
              </w:rPr>
              <w:t>。以及12个月内不改变资产原来的实质性经营活动、原主要股东不转让所取得股权的承诺书。</w:t>
            </w:r>
          </w:p>
        </w:tc>
        <w:tc>
          <w:tcPr>
            <w:tcW w:w="851" w:type="dxa"/>
            <w:vMerge/>
            <w:vAlign w:val="center"/>
          </w:tcPr>
          <w:p w:rsidR="00013EC7" w:rsidRDefault="00013EC7">
            <w:pPr>
              <w:rPr>
                <w:rFonts w:ascii="仿宋" w:eastAsia="仿宋" w:hAnsi="仿宋"/>
                <w:color w:val="000000" w:themeColor="text1"/>
                <w:sz w:val="24"/>
              </w:rPr>
            </w:pPr>
          </w:p>
        </w:tc>
        <w:tc>
          <w:tcPr>
            <w:tcW w:w="4252" w:type="dxa"/>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（六十八）证明重组符合特殊性税务处理条件的资料，包括合并前企业各股东取得股权支付比例情况。以及12个月内不改变资产原来的实质性经营活动、原主要股东不转让所取得股权的承诺书（留存备查）。</w:t>
            </w:r>
          </w:p>
        </w:tc>
        <w:tc>
          <w:tcPr>
            <w:tcW w:w="851" w:type="dxa"/>
            <w:vMerge/>
            <w:vAlign w:val="center"/>
          </w:tcPr>
          <w:p w:rsidR="00013EC7" w:rsidRDefault="00013EC7">
            <w:pPr>
              <w:rPr>
                <w:rFonts w:ascii="仿宋" w:eastAsia="仿宋" w:hAnsi="仿宋"/>
                <w:color w:val="000000" w:themeColor="text1"/>
                <w:sz w:val="24"/>
              </w:rPr>
            </w:pPr>
          </w:p>
        </w:tc>
        <w:tc>
          <w:tcPr>
            <w:tcW w:w="2126" w:type="dxa"/>
            <w:vMerge/>
            <w:vAlign w:val="center"/>
          </w:tcPr>
          <w:p w:rsidR="00013EC7" w:rsidRDefault="00013EC7">
            <w:pPr>
              <w:spacing w:line="300" w:lineRule="exact"/>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851" w:type="dxa"/>
            <w:vMerge/>
            <w:vAlign w:val="center"/>
          </w:tcPr>
          <w:p w:rsidR="00013EC7" w:rsidRDefault="00013EC7">
            <w:pPr>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709" w:type="dxa"/>
            <w:vMerge/>
            <w:vAlign w:val="center"/>
          </w:tcPr>
          <w:p w:rsidR="00013EC7" w:rsidRDefault="00013EC7">
            <w:pPr>
              <w:rPr>
                <w:rFonts w:ascii="仿宋" w:eastAsia="仿宋" w:hAnsi="仿宋"/>
                <w:color w:val="000000" w:themeColor="text1"/>
                <w:sz w:val="24"/>
              </w:rPr>
            </w:pPr>
          </w:p>
        </w:tc>
        <w:tc>
          <w:tcPr>
            <w:tcW w:w="1133" w:type="dxa"/>
            <w:vMerge/>
            <w:vAlign w:val="center"/>
          </w:tcPr>
          <w:p w:rsidR="00013EC7" w:rsidRDefault="00013EC7">
            <w:pPr>
              <w:rPr>
                <w:rFonts w:ascii="仿宋" w:eastAsia="仿宋" w:hAnsi="仿宋"/>
                <w:color w:val="000000" w:themeColor="text1"/>
                <w:sz w:val="24"/>
              </w:rPr>
            </w:pPr>
          </w:p>
        </w:tc>
      </w:tr>
      <w:tr w:rsidR="00013EC7">
        <w:trPr>
          <w:trHeight w:val="340"/>
          <w:jc w:val="center"/>
        </w:trPr>
        <w:tc>
          <w:tcPr>
            <w:tcW w:w="672" w:type="dxa"/>
            <w:vMerge/>
            <w:textDirection w:val="tbRlV"/>
            <w:vAlign w:val="center"/>
          </w:tcPr>
          <w:p w:rsidR="00013EC7" w:rsidRDefault="00013EC7">
            <w:pPr>
              <w:rPr>
                <w:rFonts w:ascii="仿宋" w:eastAsia="仿宋" w:hAnsi="仿宋"/>
                <w:color w:val="000000" w:themeColor="text1"/>
                <w:sz w:val="24"/>
              </w:rPr>
            </w:pPr>
          </w:p>
        </w:tc>
        <w:tc>
          <w:tcPr>
            <w:tcW w:w="1035" w:type="dxa"/>
            <w:vMerge/>
            <w:vAlign w:val="center"/>
          </w:tcPr>
          <w:p w:rsidR="00013EC7" w:rsidRDefault="00013EC7">
            <w:pPr>
              <w:rPr>
                <w:rFonts w:ascii="仿宋" w:eastAsia="仿宋" w:hAnsi="仿宋"/>
                <w:color w:val="000000" w:themeColor="text1"/>
                <w:sz w:val="24"/>
              </w:rPr>
            </w:pPr>
          </w:p>
        </w:tc>
        <w:tc>
          <w:tcPr>
            <w:tcW w:w="1271" w:type="dxa"/>
            <w:vMerge/>
            <w:vAlign w:val="center"/>
          </w:tcPr>
          <w:p w:rsidR="00013EC7" w:rsidRDefault="00013EC7">
            <w:pPr>
              <w:rPr>
                <w:rFonts w:ascii="仿宋" w:eastAsia="仿宋" w:hAnsi="仿宋"/>
                <w:color w:val="000000" w:themeColor="text1"/>
                <w:sz w:val="24"/>
              </w:rPr>
            </w:pPr>
          </w:p>
        </w:tc>
        <w:tc>
          <w:tcPr>
            <w:tcW w:w="4394" w:type="dxa"/>
          </w:tcPr>
          <w:p w:rsidR="00013EC7" w:rsidRDefault="00575CDB">
            <w:pPr>
              <w:spacing w:line="300" w:lineRule="exact"/>
              <w:rPr>
                <w:rFonts w:ascii="仿宋" w:eastAsia="仿宋" w:hAnsi="仿宋"/>
                <w:color w:val="000000" w:themeColor="text1"/>
                <w:sz w:val="24"/>
                <w:highlight w:val="lightGray"/>
              </w:rPr>
            </w:pPr>
            <w:r>
              <w:rPr>
                <w:rFonts w:ascii="仿宋" w:eastAsia="仿宋" w:hAnsi="仿宋" w:hint="eastAsia"/>
                <w:color w:val="000000" w:themeColor="text1"/>
                <w:sz w:val="24"/>
                <w:highlight w:val="lightGray"/>
              </w:rPr>
              <w:t>（七十）工商部门核准相关企业股权变更事项证明材料。</w:t>
            </w:r>
          </w:p>
        </w:tc>
        <w:tc>
          <w:tcPr>
            <w:tcW w:w="851" w:type="dxa"/>
            <w:vMerge/>
            <w:vAlign w:val="center"/>
          </w:tcPr>
          <w:p w:rsidR="00013EC7" w:rsidRDefault="00013EC7">
            <w:pPr>
              <w:rPr>
                <w:rFonts w:ascii="仿宋" w:eastAsia="仿宋" w:hAnsi="仿宋"/>
                <w:color w:val="000000" w:themeColor="text1"/>
                <w:sz w:val="24"/>
              </w:rPr>
            </w:pPr>
          </w:p>
        </w:tc>
        <w:tc>
          <w:tcPr>
            <w:tcW w:w="4252" w:type="dxa"/>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（六十九）工商部门核准相关企业股权变更事项证明材料（留存备查）。</w:t>
            </w:r>
          </w:p>
        </w:tc>
        <w:tc>
          <w:tcPr>
            <w:tcW w:w="851" w:type="dxa"/>
            <w:vMerge/>
            <w:vAlign w:val="center"/>
          </w:tcPr>
          <w:p w:rsidR="00013EC7" w:rsidRDefault="00013EC7">
            <w:pPr>
              <w:rPr>
                <w:rFonts w:ascii="仿宋" w:eastAsia="仿宋" w:hAnsi="仿宋"/>
                <w:color w:val="000000" w:themeColor="text1"/>
                <w:sz w:val="24"/>
              </w:rPr>
            </w:pPr>
          </w:p>
        </w:tc>
        <w:tc>
          <w:tcPr>
            <w:tcW w:w="2126" w:type="dxa"/>
            <w:vMerge/>
            <w:vAlign w:val="center"/>
          </w:tcPr>
          <w:p w:rsidR="00013EC7" w:rsidRDefault="00013EC7">
            <w:pPr>
              <w:spacing w:line="300" w:lineRule="exact"/>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851" w:type="dxa"/>
            <w:vMerge/>
            <w:vAlign w:val="center"/>
          </w:tcPr>
          <w:p w:rsidR="00013EC7" w:rsidRDefault="00013EC7">
            <w:pPr>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709" w:type="dxa"/>
            <w:vMerge/>
            <w:vAlign w:val="center"/>
          </w:tcPr>
          <w:p w:rsidR="00013EC7" w:rsidRDefault="00013EC7">
            <w:pPr>
              <w:rPr>
                <w:rFonts w:ascii="仿宋" w:eastAsia="仿宋" w:hAnsi="仿宋"/>
                <w:color w:val="000000" w:themeColor="text1"/>
                <w:sz w:val="24"/>
              </w:rPr>
            </w:pPr>
          </w:p>
        </w:tc>
        <w:tc>
          <w:tcPr>
            <w:tcW w:w="1133" w:type="dxa"/>
            <w:vMerge/>
            <w:vAlign w:val="center"/>
          </w:tcPr>
          <w:p w:rsidR="00013EC7" w:rsidRDefault="00013EC7">
            <w:pPr>
              <w:rPr>
                <w:rFonts w:ascii="仿宋" w:eastAsia="仿宋" w:hAnsi="仿宋"/>
                <w:color w:val="000000" w:themeColor="text1"/>
                <w:sz w:val="24"/>
              </w:rPr>
            </w:pPr>
          </w:p>
        </w:tc>
      </w:tr>
      <w:tr w:rsidR="00013EC7">
        <w:trPr>
          <w:trHeight w:val="340"/>
          <w:jc w:val="center"/>
        </w:trPr>
        <w:tc>
          <w:tcPr>
            <w:tcW w:w="672" w:type="dxa"/>
            <w:vMerge/>
            <w:textDirection w:val="tbRlV"/>
            <w:vAlign w:val="center"/>
          </w:tcPr>
          <w:p w:rsidR="00013EC7" w:rsidRDefault="00013EC7">
            <w:pPr>
              <w:rPr>
                <w:rFonts w:ascii="仿宋" w:eastAsia="仿宋" w:hAnsi="仿宋"/>
                <w:color w:val="000000" w:themeColor="text1"/>
                <w:sz w:val="24"/>
              </w:rPr>
            </w:pPr>
          </w:p>
        </w:tc>
        <w:tc>
          <w:tcPr>
            <w:tcW w:w="1035" w:type="dxa"/>
            <w:vMerge/>
            <w:vAlign w:val="center"/>
          </w:tcPr>
          <w:p w:rsidR="00013EC7" w:rsidRDefault="00013EC7">
            <w:pPr>
              <w:rPr>
                <w:rFonts w:ascii="仿宋" w:eastAsia="仿宋" w:hAnsi="仿宋"/>
                <w:color w:val="000000" w:themeColor="text1"/>
                <w:sz w:val="24"/>
              </w:rPr>
            </w:pPr>
          </w:p>
        </w:tc>
        <w:tc>
          <w:tcPr>
            <w:tcW w:w="1271" w:type="dxa"/>
            <w:vMerge/>
            <w:vAlign w:val="center"/>
          </w:tcPr>
          <w:p w:rsidR="00013EC7" w:rsidRDefault="00013EC7">
            <w:pPr>
              <w:rPr>
                <w:rFonts w:ascii="仿宋" w:eastAsia="仿宋" w:hAnsi="仿宋"/>
                <w:color w:val="000000" w:themeColor="text1"/>
                <w:sz w:val="24"/>
              </w:rPr>
            </w:pPr>
          </w:p>
        </w:tc>
        <w:tc>
          <w:tcPr>
            <w:tcW w:w="4394" w:type="dxa"/>
          </w:tcPr>
          <w:p w:rsidR="00013EC7" w:rsidRDefault="00575CDB">
            <w:pPr>
              <w:spacing w:line="300" w:lineRule="exact"/>
              <w:rPr>
                <w:rFonts w:ascii="仿宋" w:eastAsia="仿宋" w:hAnsi="仿宋"/>
                <w:color w:val="000000" w:themeColor="text1"/>
                <w:sz w:val="24"/>
                <w:highlight w:val="lightGray"/>
              </w:rPr>
            </w:pPr>
            <w:r>
              <w:rPr>
                <w:rFonts w:ascii="仿宋" w:eastAsia="仿宋" w:hAnsi="仿宋" w:hint="eastAsia"/>
                <w:color w:val="000000" w:themeColor="text1"/>
                <w:sz w:val="24"/>
                <w:highlight w:val="lightGray"/>
              </w:rPr>
              <w:t>（七十一）合并企业承继被合并企业相关所得税事项（包括尚未确认的资产损失、分期确认收入和尚未享受期满的税收优惠政策等）情况说明。</w:t>
            </w:r>
          </w:p>
        </w:tc>
        <w:tc>
          <w:tcPr>
            <w:tcW w:w="851" w:type="dxa"/>
            <w:vMerge/>
            <w:vAlign w:val="center"/>
          </w:tcPr>
          <w:p w:rsidR="00013EC7" w:rsidRDefault="00013EC7">
            <w:pPr>
              <w:rPr>
                <w:rFonts w:ascii="仿宋" w:eastAsia="仿宋" w:hAnsi="仿宋"/>
                <w:color w:val="000000" w:themeColor="text1"/>
                <w:sz w:val="24"/>
              </w:rPr>
            </w:pPr>
          </w:p>
        </w:tc>
        <w:tc>
          <w:tcPr>
            <w:tcW w:w="4252" w:type="dxa"/>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（七十）合并企业承继被合并企业相关所得税事项（包括尚未确认的资产损失、分期确认收入和尚未享受期满的税收优惠政策等）情况说明（留存备查）。</w:t>
            </w:r>
          </w:p>
        </w:tc>
        <w:tc>
          <w:tcPr>
            <w:tcW w:w="851" w:type="dxa"/>
            <w:vMerge/>
            <w:vAlign w:val="center"/>
          </w:tcPr>
          <w:p w:rsidR="00013EC7" w:rsidRDefault="00013EC7">
            <w:pPr>
              <w:rPr>
                <w:rFonts w:ascii="仿宋" w:eastAsia="仿宋" w:hAnsi="仿宋"/>
                <w:color w:val="000000" w:themeColor="text1"/>
                <w:sz w:val="24"/>
              </w:rPr>
            </w:pPr>
          </w:p>
        </w:tc>
        <w:tc>
          <w:tcPr>
            <w:tcW w:w="2126" w:type="dxa"/>
            <w:vMerge/>
            <w:vAlign w:val="center"/>
          </w:tcPr>
          <w:p w:rsidR="00013EC7" w:rsidRDefault="00013EC7">
            <w:pPr>
              <w:spacing w:line="300" w:lineRule="exact"/>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851" w:type="dxa"/>
            <w:vMerge/>
            <w:vAlign w:val="center"/>
          </w:tcPr>
          <w:p w:rsidR="00013EC7" w:rsidRDefault="00013EC7">
            <w:pPr>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709" w:type="dxa"/>
            <w:vMerge/>
            <w:vAlign w:val="center"/>
          </w:tcPr>
          <w:p w:rsidR="00013EC7" w:rsidRDefault="00013EC7">
            <w:pPr>
              <w:rPr>
                <w:rFonts w:ascii="仿宋" w:eastAsia="仿宋" w:hAnsi="仿宋"/>
                <w:color w:val="000000" w:themeColor="text1"/>
                <w:sz w:val="24"/>
              </w:rPr>
            </w:pPr>
          </w:p>
        </w:tc>
        <w:tc>
          <w:tcPr>
            <w:tcW w:w="1133" w:type="dxa"/>
            <w:vMerge/>
            <w:vAlign w:val="center"/>
          </w:tcPr>
          <w:p w:rsidR="00013EC7" w:rsidRDefault="00013EC7">
            <w:pPr>
              <w:rPr>
                <w:rFonts w:ascii="仿宋" w:eastAsia="仿宋" w:hAnsi="仿宋"/>
                <w:color w:val="000000" w:themeColor="text1"/>
                <w:sz w:val="24"/>
              </w:rPr>
            </w:pPr>
          </w:p>
        </w:tc>
      </w:tr>
      <w:tr w:rsidR="00013EC7">
        <w:trPr>
          <w:trHeight w:val="340"/>
          <w:jc w:val="center"/>
        </w:trPr>
        <w:tc>
          <w:tcPr>
            <w:tcW w:w="672" w:type="dxa"/>
            <w:vMerge/>
            <w:textDirection w:val="tbRlV"/>
            <w:vAlign w:val="center"/>
          </w:tcPr>
          <w:p w:rsidR="00013EC7" w:rsidRDefault="00013EC7">
            <w:pPr>
              <w:rPr>
                <w:rFonts w:ascii="仿宋" w:eastAsia="仿宋" w:hAnsi="仿宋"/>
                <w:color w:val="000000" w:themeColor="text1"/>
                <w:sz w:val="24"/>
              </w:rPr>
            </w:pPr>
          </w:p>
        </w:tc>
        <w:tc>
          <w:tcPr>
            <w:tcW w:w="1035" w:type="dxa"/>
            <w:vMerge/>
            <w:vAlign w:val="center"/>
          </w:tcPr>
          <w:p w:rsidR="00013EC7" w:rsidRDefault="00013EC7">
            <w:pPr>
              <w:rPr>
                <w:rFonts w:ascii="仿宋" w:eastAsia="仿宋" w:hAnsi="仿宋"/>
                <w:color w:val="000000" w:themeColor="text1"/>
                <w:sz w:val="24"/>
              </w:rPr>
            </w:pPr>
          </w:p>
        </w:tc>
        <w:tc>
          <w:tcPr>
            <w:tcW w:w="1271" w:type="dxa"/>
            <w:vMerge/>
            <w:vAlign w:val="center"/>
          </w:tcPr>
          <w:p w:rsidR="00013EC7" w:rsidRDefault="00013EC7">
            <w:pPr>
              <w:rPr>
                <w:rFonts w:ascii="仿宋" w:eastAsia="仿宋" w:hAnsi="仿宋"/>
                <w:color w:val="000000" w:themeColor="text1"/>
                <w:sz w:val="24"/>
              </w:rPr>
            </w:pPr>
          </w:p>
        </w:tc>
        <w:tc>
          <w:tcPr>
            <w:tcW w:w="4394" w:type="dxa"/>
          </w:tcPr>
          <w:p w:rsidR="00013EC7" w:rsidRDefault="00575CDB">
            <w:pPr>
              <w:spacing w:line="300" w:lineRule="exact"/>
              <w:rPr>
                <w:rFonts w:ascii="仿宋" w:eastAsia="仿宋" w:hAnsi="仿宋"/>
                <w:color w:val="000000" w:themeColor="text1"/>
                <w:sz w:val="24"/>
                <w:highlight w:val="lightGray"/>
              </w:rPr>
            </w:pPr>
            <w:r>
              <w:rPr>
                <w:rFonts w:ascii="仿宋" w:eastAsia="仿宋" w:hAnsi="仿宋" w:hint="eastAsia"/>
                <w:color w:val="000000" w:themeColor="text1"/>
                <w:sz w:val="24"/>
                <w:highlight w:val="lightGray"/>
              </w:rPr>
              <w:t>（七十二）涉及可由合并企业弥补被合并企业亏损的，需要提供其合并日净资产公允价值证明材料及主管税务机关确认的亏损弥补情况说明。</w:t>
            </w:r>
          </w:p>
        </w:tc>
        <w:tc>
          <w:tcPr>
            <w:tcW w:w="851" w:type="dxa"/>
            <w:vMerge/>
            <w:vAlign w:val="center"/>
          </w:tcPr>
          <w:p w:rsidR="00013EC7" w:rsidRDefault="00013EC7">
            <w:pPr>
              <w:rPr>
                <w:rFonts w:ascii="仿宋" w:eastAsia="仿宋" w:hAnsi="仿宋"/>
                <w:color w:val="000000" w:themeColor="text1"/>
                <w:sz w:val="24"/>
              </w:rPr>
            </w:pPr>
          </w:p>
        </w:tc>
        <w:tc>
          <w:tcPr>
            <w:tcW w:w="4252" w:type="dxa"/>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（七十一）涉及可由合并企业弥补被合并企业亏损的，需要提供其合并日净资产公允价值证明材料及主管税务机关确认的亏损弥补情况说明（留存备查）。</w:t>
            </w:r>
          </w:p>
        </w:tc>
        <w:tc>
          <w:tcPr>
            <w:tcW w:w="851" w:type="dxa"/>
            <w:vMerge/>
            <w:vAlign w:val="center"/>
          </w:tcPr>
          <w:p w:rsidR="00013EC7" w:rsidRDefault="00013EC7">
            <w:pPr>
              <w:rPr>
                <w:rFonts w:ascii="仿宋" w:eastAsia="仿宋" w:hAnsi="仿宋"/>
                <w:color w:val="000000" w:themeColor="text1"/>
                <w:sz w:val="24"/>
              </w:rPr>
            </w:pPr>
          </w:p>
        </w:tc>
        <w:tc>
          <w:tcPr>
            <w:tcW w:w="2126" w:type="dxa"/>
            <w:vMerge/>
            <w:vAlign w:val="center"/>
          </w:tcPr>
          <w:p w:rsidR="00013EC7" w:rsidRDefault="00013EC7">
            <w:pPr>
              <w:spacing w:line="300" w:lineRule="exact"/>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851" w:type="dxa"/>
            <w:vMerge/>
            <w:vAlign w:val="center"/>
          </w:tcPr>
          <w:p w:rsidR="00013EC7" w:rsidRDefault="00013EC7">
            <w:pPr>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709" w:type="dxa"/>
            <w:vMerge/>
            <w:vAlign w:val="center"/>
          </w:tcPr>
          <w:p w:rsidR="00013EC7" w:rsidRDefault="00013EC7">
            <w:pPr>
              <w:rPr>
                <w:rFonts w:ascii="仿宋" w:eastAsia="仿宋" w:hAnsi="仿宋"/>
                <w:color w:val="000000" w:themeColor="text1"/>
                <w:sz w:val="24"/>
              </w:rPr>
            </w:pPr>
          </w:p>
        </w:tc>
        <w:tc>
          <w:tcPr>
            <w:tcW w:w="1133" w:type="dxa"/>
            <w:vMerge/>
            <w:vAlign w:val="center"/>
          </w:tcPr>
          <w:p w:rsidR="00013EC7" w:rsidRDefault="00013EC7">
            <w:pPr>
              <w:rPr>
                <w:rFonts w:ascii="仿宋" w:eastAsia="仿宋" w:hAnsi="仿宋"/>
                <w:color w:val="000000" w:themeColor="text1"/>
                <w:sz w:val="24"/>
              </w:rPr>
            </w:pPr>
          </w:p>
        </w:tc>
      </w:tr>
      <w:tr w:rsidR="00013EC7">
        <w:trPr>
          <w:trHeight w:val="340"/>
          <w:jc w:val="center"/>
        </w:trPr>
        <w:tc>
          <w:tcPr>
            <w:tcW w:w="672" w:type="dxa"/>
            <w:vMerge/>
            <w:textDirection w:val="tbRlV"/>
            <w:vAlign w:val="center"/>
          </w:tcPr>
          <w:p w:rsidR="00013EC7" w:rsidRDefault="00013EC7">
            <w:pPr>
              <w:rPr>
                <w:rFonts w:ascii="仿宋" w:eastAsia="仿宋" w:hAnsi="仿宋"/>
                <w:color w:val="000000" w:themeColor="text1"/>
                <w:sz w:val="24"/>
              </w:rPr>
            </w:pPr>
          </w:p>
        </w:tc>
        <w:tc>
          <w:tcPr>
            <w:tcW w:w="1035" w:type="dxa"/>
            <w:vMerge/>
            <w:vAlign w:val="center"/>
          </w:tcPr>
          <w:p w:rsidR="00013EC7" w:rsidRDefault="00013EC7">
            <w:pPr>
              <w:rPr>
                <w:rFonts w:ascii="仿宋" w:eastAsia="仿宋" w:hAnsi="仿宋"/>
                <w:color w:val="000000" w:themeColor="text1"/>
                <w:sz w:val="24"/>
              </w:rPr>
            </w:pPr>
          </w:p>
        </w:tc>
        <w:tc>
          <w:tcPr>
            <w:tcW w:w="1271" w:type="dxa"/>
            <w:vMerge/>
            <w:vAlign w:val="center"/>
          </w:tcPr>
          <w:p w:rsidR="00013EC7" w:rsidRDefault="00013EC7">
            <w:pPr>
              <w:rPr>
                <w:rFonts w:ascii="仿宋" w:eastAsia="仿宋" w:hAnsi="仿宋"/>
                <w:color w:val="000000" w:themeColor="text1"/>
                <w:sz w:val="24"/>
              </w:rPr>
            </w:pPr>
          </w:p>
        </w:tc>
        <w:tc>
          <w:tcPr>
            <w:tcW w:w="4394" w:type="dxa"/>
          </w:tcPr>
          <w:p w:rsidR="00013EC7" w:rsidRDefault="00575CDB">
            <w:pPr>
              <w:spacing w:line="300" w:lineRule="exact"/>
              <w:rPr>
                <w:rFonts w:ascii="仿宋" w:eastAsia="仿宋" w:hAnsi="仿宋"/>
                <w:color w:val="000000" w:themeColor="text1"/>
                <w:sz w:val="24"/>
                <w:highlight w:val="lightGray"/>
              </w:rPr>
            </w:pPr>
            <w:r>
              <w:rPr>
                <w:rFonts w:ascii="仿宋" w:eastAsia="仿宋" w:hAnsi="仿宋" w:hint="eastAsia"/>
                <w:color w:val="000000" w:themeColor="text1"/>
                <w:sz w:val="24"/>
                <w:highlight w:val="lightGray"/>
              </w:rPr>
              <w:t>（七十三）涉及非货币性资产支付的，应提供非货币性资产评估报告等公允价值证明。</w:t>
            </w:r>
          </w:p>
        </w:tc>
        <w:tc>
          <w:tcPr>
            <w:tcW w:w="851" w:type="dxa"/>
            <w:vMerge/>
            <w:vAlign w:val="center"/>
          </w:tcPr>
          <w:p w:rsidR="00013EC7" w:rsidRDefault="00013EC7">
            <w:pPr>
              <w:rPr>
                <w:rFonts w:ascii="仿宋" w:eastAsia="仿宋" w:hAnsi="仿宋"/>
                <w:color w:val="000000" w:themeColor="text1"/>
                <w:sz w:val="24"/>
              </w:rPr>
            </w:pPr>
          </w:p>
        </w:tc>
        <w:tc>
          <w:tcPr>
            <w:tcW w:w="4252" w:type="dxa"/>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（七十二）涉及非货币性资产支付的，应提供非货币性资产评估报告等公允价值证明（留存备查）。</w:t>
            </w:r>
          </w:p>
        </w:tc>
        <w:tc>
          <w:tcPr>
            <w:tcW w:w="851" w:type="dxa"/>
            <w:vMerge/>
            <w:vAlign w:val="center"/>
          </w:tcPr>
          <w:p w:rsidR="00013EC7" w:rsidRDefault="00013EC7">
            <w:pPr>
              <w:rPr>
                <w:rFonts w:ascii="仿宋" w:eastAsia="仿宋" w:hAnsi="仿宋"/>
                <w:color w:val="000000" w:themeColor="text1"/>
                <w:sz w:val="24"/>
              </w:rPr>
            </w:pPr>
          </w:p>
        </w:tc>
        <w:tc>
          <w:tcPr>
            <w:tcW w:w="2126" w:type="dxa"/>
            <w:vMerge/>
            <w:vAlign w:val="center"/>
          </w:tcPr>
          <w:p w:rsidR="00013EC7" w:rsidRDefault="00013EC7">
            <w:pPr>
              <w:spacing w:line="300" w:lineRule="exact"/>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851" w:type="dxa"/>
            <w:vMerge/>
            <w:vAlign w:val="center"/>
          </w:tcPr>
          <w:p w:rsidR="00013EC7" w:rsidRDefault="00013EC7">
            <w:pPr>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709" w:type="dxa"/>
            <w:vMerge/>
            <w:vAlign w:val="center"/>
          </w:tcPr>
          <w:p w:rsidR="00013EC7" w:rsidRDefault="00013EC7">
            <w:pPr>
              <w:rPr>
                <w:rFonts w:ascii="仿宋" w:eastAsia="仿宋" w:hAnsi="仿宋"/>
                <w:color w:val="000000" w:themeColor="text1"/>
                <w:sz w:val="24"/>
              </w:rPr>
            </w:pPr>
          </w:p>
        </w:tc>
        <w:tc>
          <w:tcPr>
            <w:tcW w:w="1133" w:type="dxa"/>
            <w:vMerge/>
            <w:vAlign w:val="center"/>
          </w:tcPr>
          <w:p w:rsidR="00013EC7" w:rsidRDefault="00013EC7">
            <w:pPr>
              <w:rPr>
                <w:rFonts w:ascii="仿宋" w:eastAsia="仿宋" w:hAnsi="仿宋"/>
                <w:color w:val="000000" w:themeColor="text1"/>
                <w:sz w:val="24"/>
              </w:rPr>
            </w:pPr>
          </w:p>
        </w:tc>
      </w:tr>
      <w:tr w:rsidR="00013EC7">
        <w:trPr>
          <w:trHeight w:val="340"/>
          <w:jc w:val="center"/>
        </w:trPr>
        <w:tc>
          <w:tcPr>
            <w:tcW w:w="672" w:type="dxa"/>
            <w:vMerge/>
            <w:textDirection w:val="tbRlV"/>
            <w:vAlign w:val="center"/>
          </w:tcPr>
          <w:p w:rsidR="00013EC7" w:rsidRDefault="00013EC7">
            <w:pPr>
              <w:rPr>
                <w:rFonts w:ascii="仿宋" w:eastAsia="仿宋" w:hAnsi="仿宋"/>
                <w:color w:val="000000" w:themeColor="text1"/>
                <w:sz w:val="24"/>
              </w:rPr>
            </w:pPr>
          </w:p>
        </w:tc>
        <w:tc>
          <w:tcPr>
            <w:tcW w:w="1035" w:type="dxa"/>
            <w:vMerge/>
            <w:vAlign w:val="center"/>
          </w:tcPr>
          <w:p w:rsidR="00013EC7" w:rsidRDefault="00013EC7">
            <w:pPr>
              <w:rPr>
                <w:rFonts w:ascii="仿宋" w:eastAsia="仿宋" w:hAnsi="仿宋"/>
                <w:color w:val="000000" w:themeColor="text1"/>
                <w:sz w:val="24"/>
              </w:rPr>
            </w:pPr>
          </w:p>
        </w:tc>
        <w:tc>
          <w:tcPr>
            <w:tcW w:w="1271" w:type="dxa"/>
            <w:vMerge/>
            <w:vAlign w:val="center"/>
          </w:tcPr>
          <w:p w:rsidR="00013EC7" w:rsidRDefault="00013EC7">
            <w:pPr>
              <w:rPr>
                <w:rFonts w:ascii="仿宋" w:eastAsia="仿宋" w:hAnsi="仿宋"/>
                <w:color w:val="000000" w:themeColor="text1"/>
                <w:sz w:val="24"/>
              </w:rPr>
            </w:pPr>
          </w:p>
        </w:tc>
        <w:tc>
          <w:tcPr>
            <w:tcW w:w="4394" w:type="dxa"/>
          </w:tcPr>
          <w:p w:rsidR="00013EC7" w:rsidRDefault="00575CDB">
            <w:pPr>
              <w:spacing w:line="300" w:lineRule="exact"/>
              <w:rPr>
                <w:rFonts w:ascii="仿宋" w:eastAsia="仿宋" w:hAnsi="仿宋"/>
                <w:color w:val="000000" w:themeColor="text1"/>
                <w:sz w:val="24"/>
                <w:highlight w:val="lightGray"/>
              </w:rPr>
            </w:pPr>
            <w:r>
              <w:rPr>
                <w:rFonts w:ascii="仿宋" w:eastAsia="仿宋" w:hAnsi="仿宋" w:hint="eastAsia"/>
                <w:color w:val="000000" w:themeColor="text1"/>
                <w:sz w:val="24"/>
                <w:highlight w:val="lightGray"/>
              </w:rPr>
              <w:t>（七十四）重组当事各方一致选择特殊性税务处理并加盖当事各方公章的证明资料。</w:t>
            </w:r>
          </w:p>
        </w:tc>
        <w:tc>
          <w:tcPr>
            <w:tcW w:w="851" w:type="dxa"/>
            <w:vMerge/>
            <w:vAlign w:val="center"/>
          </w:tcPr>
          <w:p w:rsidR="00013EC7" w:rsidRDefault="00013EC7">
            <w:pPr>
              <w:rPr>
                <w:rFonts w:ascii="仿宋" w:eastAsia="仿宋" w:hAnsi="仿宋"/>
                <w:color w:val="000000" w:themeColor="text1"/>
                <w:sz w:val="24"/>
              </w:rPr>
            </w:pPr>
          </w:p>
        </w:tc>
        <w:tc>
          <w:tcPr>
            <w:tcW w:w="4252" w:type="dxa"/>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（七十三）重组当事各方一致选择特殊性税务处理并加盖当事各方公章的证明资料（留存备查）。</w:t>
            </w:r>
          </w:p>
        </w:tc>
        <w:tc>
          <w:tcPr>
            <w:tcW w:w="851" w:type="dxa"/>
            <w:vMerge/>
            <w:vAlign w:val="center"/>
          </w:tcPr>
          <w:p w:rsidR="00013EC7" w:rsidRDefault="00013EC7">
            <w:pPr>
              <w:rPr>
                <w:rFonts w:ascii="仿宋" w:eastAsia="仿宋" w:hAnsi="仿宋"/>
                <w:color w:val="000000" w:themeColor="text1"/>
                <w:sz w:val="24"/>
              </w:rPr>
            </w:pPr>
          </w:p>
        </w:tc>
        <w:tc>
          <w:tcPr>
            <w:tcW w:w="2126" w:type="dxa"/>
            <w:vMerge/>
            <w:vAlign w:val="center"/>
          </w:tcPr>
          <w:p w:rsidR="00013EC7" w:rsidRDefault="00013EC7">
            <w:pPr>
              <w:spacing w:line="300" w:lineRule="exact"/>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851" w:type="dxa"/>
            <w:vMerge/>
            <w:vAlign w:val="center"/>
          </w:tcPr>
          <w:p w:rsidR="00013EC7" w:rsidRDefault="00013EC7">
            <w:pPr>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709" w:type="dxa"/>
            <w:vMerge/>
            <w:vAlign w:val="center"/>
          </w:tcPr>
          <w:p w:rsidR="00013EC7" w:rsidRDefault="00013EC7">
            <w:pPr>
              <w:rPr>
                <w:rFonts w:ascii="仿宋" w:eastAsia="仿宋" w:hAnsi="仿宋"/>
                <w:color w:val="000000" w:themeColor="text1"/>
                <w:sz w:val="24"/>
              </w:rPr>
            </w:pPr>
          </w:p>
        </w:tc>
        <w:tc>
          <w:tcPr>
            <w:tcW w:w="1133" w:type="dxa"/>
            <w:vMerge/>
            <w:vAlign w:val="center"/>
          </w:tcPr>
          <w:p w:rsidR="00013EC7" w:rsidRDefault="00013EC7">
            <w:pPr>
              <w:rPr>
                <w:rFonts w:ascii="仿宋" w:eastAsia="仿宋" w:hAnsi="仿宋"/>
                <w:color w:val="000000" w:themeColor="text1"/>
                <w:sz w:val="24"/>
              </w:rPr>
            </w:pPr>
          </w:p>
        </w:tc>
      </w:tr>
      <w:tr w:rsidR="00013EC7">
        <w:trPr>
          <w:trHeight w:val="340"/>
          <w:jc w:val="center"/>
        </w:trPr>
        <w:tc>
          <w:tcPr>
            <w:tcW w:w="672" w:type="dxa"/>
            <w:vMerge/>
            <w:textDirection w:val="tbRlV"/>
            <w:vAlign w:val="center"/>
          </w:tcPr>
          <w:p w:rsidR="00013EC7" w:rsidRDefault="00013EC7">
            <w:pPr>
              <w:rPr>
                <w:rFonts w:ascii="仿宋" w:eastAsia="仿宋" w:hAnsi="仿宋"/>
                <w:color w:val="000000" w:themeColor="text1"/>
                <w:sz w:val="24"/>
              </w:rPr>
            </w:pPr>
          </w:p>
        </w:tc>
        <w:tc>
          <w:tcPr>
            <w:tcW w:w="1035" w:type="dxa"/>
            <w:vMerge/>
            <w:vAlign w:val="center"/>
          </w:tcPr>
          <w:p w:rsidR="00013EC7" w:rsidRDefault="00013EC7">
            <w:pPr>
              <w:rPr>
                <w:rFonts w:ascii="仿宋" w:eastAsia="仿宋" w:hAnsi="仿宋"/>
                <w:color w:val="000000" w:themeColor="text1"/>
                <w:sz w:val="24"/>
              </w:rPr>
            </w:pPr>
          </w:p>
        </w:tc>
        <w:tc>
          <w:tcPr>
            <w:tcW w:w="1271" w:type="dxa"/>
            <w:vMerge/>
            <w:vAlign w:val="center"/>
          </w:tcPr>
          <w:p w:rsidR="00013EC7" w:rsidRDefault="00013EC7">
            <w:pPr>
              <w:rPr>
                <w:rFonts w:ascii="仿宋" w:eastAsia="仿宋" w:hAnsi="仿宋"/>
                <w:color w:val="000000" w:themeColor="text1"/>
                <w:sz w:val="24"/>
              </w:rPr>
            </w:pPr>
          </w:p>
        </w:tc>
        <w:tc>
          <w:tcPr>
            <w:tcW w:w="4394" w:type="dxa"/>
          </w:tcPr>
          <w:p w:rsidR="00013EC7" w:rsidRDefault="00575CDB">
            <w:pPr>
              <w:spacing w:line="300" w:lineRule="exact"/>
              <w:rPr>
                <w:rFonts w:ascii="仿宋" w:eastAsia="仿宋" w:hAnsi="仿宋"/>
                <w:color w:val="000000" w:themeColor="text1"/>
                <w:sz w:val="24"/>
                <w:highlight w:val="lightGray"/>
              </w:rPr>
            </w:pPr>
            <w:r>
              <w:rPr>
                <w:rFonts w:ascii="仿宋" w:eastAsia="仿宋" w:hAnsi="仿宋" w:hint="eastAsia"/>
                <w:color w:val="000000" w:themeColor="text1"/>
                <w:sz w:val="24"/>
                <w:highlight w:val="lightGray"/>
              </w:rPr>
              <w:t>（七十五）重组前连续12个月内有无与该重组相关的其他股权、资产交易,与该重组是否构成分步交易、是否作为一项企业重组业务进行处理情况的说明。</w:t>
            </w:r>
          </w:p>
        </w:tc>
        <w:tc>
          <w:tcPr>
            <w:tcW w:w="851" w:type="dxa"/>
            <w:vMerge/>
            <w:vAlign w:val="center"/>
          </w:tcPr>
          <w:p w:rsidR="00013EC7" w:rsidRDefault="00013EC7">
            <w:pPr>
              <w:rPr>
                <w:rFonts w:ascii="仿宋" w:eastAsia="仿宋" w:hAnsi="仿宋"/>
                <w:color w:val="000000" w:themeColor="text1"/>
                <w:sz w:val="24"/>
              </w:rPr>
            </w:pPr>
          </w:p>
        </w:tc>
        <w:tc>
          <w:tcPr>
            <w:tcW w:w="4252" w:type="dxa"/>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（七十四）重组前连续12个月内有无与该重组相关的其他股权、资产交易,与该重组是否构成分步交易、是否作为一项企业重组业务进行处理情况的说明（留存备查）。</w:t>
            </w:r>
          </w:p>
        </w:tc>
        <w:tc>
          <w:tcPr>
            <w:tcW w:w="851" w:type="dxa"/>
            <w:vMerge/>
            <w:vAlign w:val="center"/>
          </w:tcPr>
          <w:p w:rsidR="00013EC7" w:rsidRDefault="00013EC7">
            <w:pPr>
              <w:rPr>
                <w:rFonts w:ascii="仿宋" w:eastAsia="仿宋" w:hAnsi="仿宋"/>
                <w:color w:val="000000" w:themeColor="text1"/>
                <w:sz w:val="24"/>
              </w:rPr>
            </w:pPr>
          </w:p>
        </w:tc>
        <w:tc>
          <w:tcPr>
            <w:tcW w:w="2126" w:type="dxa"/>
            <w:vMerge/>
            <w:vAlign w:val="center"/>
          </w:tcPr>
          <w:p w:rsidR="00013EC7" w:rsidRDefault="00013EC7">
            <w:pPr>
              <w:spacing w:line="300" w:lineRule="exact"/>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851" w:type="dxa"/>
            <w:vMerge/>
            <w:vAlign w:val="center"/>
          </w:tcPr>
          <w:p w:rsidR="00013EC7" w:rsidRDefault="00013EC7">
            <w:pPr>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709" w:type="dxa"/>
            <w:vMerge/>
            <w:vAlign w:val="center"/>
          </w:tcPr>
          <w:p w:rsidR="00013EC7" w:rsidRDefault="00013EC7">
            <w:pPr>
              <w:rPr>
                <w:rFonts w:ascii="仿宋" w:eastAsia="仿宋" w:hAnsi="仿宋"/>
                <w:color w:val="000000" w:themeColor="text1"/>
                <w:sz w:val="24"/>
              </w:rPr>
            </w:pPr>
          </w:p>
        </w:tc>
        <w:tc>
          <w:tcPr>
            <w:tcW w:w="1133" w:type="dxa"/>
            <w:vMerge/>
            <w:vAlign w:val="center"/>
          </w:tcPr>
          <w:p w:rsidR="00013EC7" w:rsidRDefault="00013EC7">
            <w:pPr>
              <w:rPr>
                <w:rFonts w:ascii="仿宋" w:eastAsia="仿宋" w:hAnsi="仿宋"/>
                <w:color w:val="000000" w:themeColor="text1"/>
                <w:sz w:val="24"/>
              </w:rPr>
            </w:pPr>
          </w:p>
        </w:tc>
      </w:tr>
      <w:tr w:rsidR="00013EC7">
        <w:trPr>
          <w:trHeight w:val="340"/>
          <w:jc w:val="center"/>
        </w:trPr>
        <w:tc>
          <w:tcPr>
            <w:tcW w:w="672" w:type="dxa"/>
            <w:vMerge/>
            <w:textDirection w:val="tbRlV"/>
            <w:vAlign w:val="center"/>
          </w:tcPr>
          <w:p w:rsidR="00013EC7" w:rsidRDefault="00013EC7">
            <w:pPr>
              <w:rPr>
                <w:rFonts w:ascii="仿宋" w:eastAsia="仿宋" w:hAnsi="仿宋"/>
                <w:color w:val="000000" w:themeColor="text1"/>
                <w:sz w:val="24"/>
              </w:rPr>
            </w:pPr>
          </w:p>
        </w:tc>
        <w:tc>
          <w:tcPr>
            <w:tcW w:w="1035" w:type="dxa"/>
            <w:vMerge/>
            <w:vAlign w:val="center"/>
          </w:tcPr>
          <w:p w:rsidR="00013EC7" w:rsidRDefault="00013EC7">
            <w:pPr>
              <w:rPr>
                <w:rFonts w:ascii="仿宋" w:eastAsia="仿宋" w:hAnsi="仿宋"/>
                <w:color w:val="000000" w:themeColor="text1"/>
                <w:sz w:val="24"/>
              </w:rPr>
            </w:pPr>
          </w:p>
        </w:tc>
        <w:tc>
          <w:tcPr>
            <w:tcW w:w="1271" w:type="dxa"/>
            <w:vMerge/>
            <w:vAlign w:val="center"/>
          </w:tcPr>
          <w:p w:rsidR="00013EC7" w:rsidRDefault="00013EC7">
            <w:pPr>
              <w:rPr>
                <w:rFonts w:ascii="仿宋" w:eastAsia="仿宋" w:hAnsi="仿宋"/>
                <w:color w:val="000000" w:themeColor="text1"/>
                <w:sz w:val="24"/>
              </w:rPr>
            </w:pPr>
          </w:p>
        </w:tc>
        <w:tc>
          <w:tcPr>
            <w:tcW w:w="4394" w:type="dxa"/>
          </w:tcPr>
          <w:p w:rsidR="00013EC7" w:rsidRDefault="00575CDB">
            <w:pPr>
              <w:rPr>
                <w:color w:val="000000" w:themeColor="text1"/>
                <w:highlight w:val="lightGray"/>
              </w:rPr>
            </w:pPr>
            <w:r>
              <w:rPr>
                <w:rFonts w:ascii="仿宋" w:eastAsia="仿宋" w:hAnsi="仿宋" w:hint="eastAsia"/>
                <w:color w:val="000000" w:themeColor="text1"/>
                <w:sz w:val="24"/>
                <w:highlight w:val="lightGray"/>
              </w:rPr>
              <w:t>（七十六）按会计准则规定当期应确认资产（股权）转让损益的，应提供按税法规定核算的资产（股权）计税基础与按会计准则规定核算的相关资产（股权）账面价值的暂时性差异专项说明。</w:t>
            </w:r>
          </w:p>
        </w:tc>
        <w:tc>
          <w:tcPr>
            <w:tcW w:w="851" w:type="dxa"/>
            <w:vMerge/>
            <w:vAlign w:val="center"/>
          </w:tcPr>
          <w:p w:rsidR="00013EC7" w:rsidRDefault="00013EC7">
            <w:pPr>
              <w:rPr>
                <w:rFonts w:ascii="仿宋" w:eastAsia="仿宋" w:hAnsi="仿宋"/>
                <w:color w:val="000000" w:themeColor="text1"/>
                <w:sz w:val="24"/>
              </w:rPr>
            </w:pPr>
          </w:p>
        </w:tc>
        <w:tc>
          <w:tcPr>
            <w:tcW w:w="4252" w:type="dxa"/>
          </w:tcPr>
          <w:p w:rsidR="00013EC7" w:rsidRDefault="00575CDB">
            <w:pPr>
              <w:rPr>
                <w:color w:val="000000" w:themeColor="text1"/>
              </w:rPr>
            </w:pPr>
            <w:r>
              <w:rPr>
                <w:rFonts w:ascii="仿宋" w:eastAsia="仿宋" w:hAnsi="仿宋" w:hint="eastAsia"/>
                <w:color w:val="000000" w:themeColor="text1"/>
                <w:sz w:val="24"/>
              </w:rPr>
              <w:t>（七十五）按会计准则规定当期应确认资产（股权）转让损益的，应提供按税法规定核算的资产（股权）计税基础与按会计准则规定核算的相关资产（股权）账面价值的暂时性差异专项说明（留存备查）。</w:t>
            </w:r>
          </w:p>
        </w:tc>
        <w:tc>
          <w:tcPr>
            <w:tcW w:w="851" w:type="dxa"/>
            <w:vMerge/>
            <w:vAlign w:val="center"/>
          </w:tcPr>
          <w:p w:rsidR="00013EC7" w:rsidRDefault="00013EC7">
            <w:pPr>
              <w:rPr>
                <w:rFonts w:ascii="仿宋" w:eastAsia="仿宋" w:hAnsi="仿宋"/>
                <w:color w:val="000000" w:themeColor="text1"/>
                <w:sz w:val="24"/>
              </w:rPr>
            </w:pPr>
          </w:p>
        </w:tc>
        <w:tc>
          <w:tcPr>
            <w:tcW w:w="2126" w:type="dxa"/>
            <w:vMerge/>
            <w:vAlign w:val="center"/>
          </w:tcPr>
          <w:p w:rsidR="00013EC7" w:rsidRDefault="00013EC7">
            <w:pPr>
              <w:spacing w:line="300" w:lineRule="exact"/>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851" w:type="dxa"/>
            <w:vMerge/>
            <w:vAlign w:val="center"/>
          </w:tcPr>
          <w:p w:rsidR="00013EC7" w:rsidRDefault="00013EC7">
            <w:pPr>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709" w:type="dxa"/>
            <w:vMerge/>
            <w:vAlign w:val="center"/>
          </w:tcPr>
          <w:p w:rsidR="00013EC7" w:rsidRDefault="00013EC7">
            <w:pPr>
              <w:rPr>
                <w:rFonts w:ascii="仿宋" w:eastAsia="仿宋" w:hAnsi="仿宋"/>
                <w:color w:val="000000" w:themeColor="text1"/>
                <w:sz w:val="24"/>
              </w:rPr>
            </w:pPr>
          </w:p>
        </w:tc>
        <w:tc>
          <w:tcPr>
            <w:tcW w:w="1133" w:type="dxa"/>
            <w:vMerge/>
            <w:vAlign w:val="center"/>
          </w:tcPr>
          <w:p w:rsidR="00013EC7" w:rsidRDefault="00013EC7">
            <w:pPr>
              <w:rPr>
                <w:rFonts w:ascii="仿宋" w:eastAsia="仿宋" w:hAnsi="仿宋"/>
                <w:color w:val="000000" w:themeColor="text1"/>
                <w:sz w:val="24"/>
              </w:rPr>
            </w:pPr>
          </w:p>
        </w:tc>
      </w:tr>
      <w:tr w:rsidR="00013EC7">
        <w:trPr>
          <w:trHeight w:val="340"/>
          <w:jc w:val="center"/>
        </w:trPr>
        <w:tc>
          <w:tcPr>
            <w:tcW w:w="672" w:type="dxa"/>
            <w:vMerge/>
            <w:textDirection w:val="tbRlV"/>
            <w:vAlign w:val="center"/>
          </w:tcPr>
          <w:p w:rsidR="00013EC7" w:rsidRDefault="00013EC7">
            <w:pPr>
              <w:rPr>
                <w:rFonts w:ascii="仿宋" w:eastAsia="仿宋" w:hAnsi="仿宋"/>
                <w:color w:val="000000" w:themeColor="text1"/>
                <w:sz w:val="24"/>
              </w:rPr>
            </w:pPr>
          </w:p>
        </w:tc>
        <w:tc>
          <w:tcPr>
            <w:tcW w:w="1035" w:type="dxa"/>
            <w:vMerge/>
            <w:vAlign w:val="center"/>
          </w:tcPr>
          <w:p w:rsidR="00013EC7" w:rsidRDefault="00013EC7">
            <w:pPr>
              <w:rPr>
                <w:rFonts w:ascii="仿宋" w:eastAsia="仿宋" w:hAnsi="仿宋"/>
                <w:color w:val="000000" w:themeColor="text1"/>
                <w:sz w:val="24"/>
              </w:rPr>
            </w:pPr>
          </w:p>
        </w:tc>
        <w:tc>
          <w:tcPr>
            <w:tcW w:w="1271" w:type="dxa"/>
            <w:vMerge/>
            <w:vAlign w:val="center"/>
          </w:tcPr>
          <w:p w:rsidR="00013EC7" w:rsidRDefault="00013EC7">
            <w:pPr>
              <w:rPr>
                <w:rFonts w:ascii="仿宋" w:eastAsia="仿宋" w:hAnsi="仿宋"/>
                <w:color w:val="000000" w:themeColor="text1"/>
                <w:sz w:val="24"/>
              </w:rPr>
            </w:pPr>
          </w:p>
        </w:tc>
        <w:tc>
          <w:tcPr>
            <w:tcW w:w="4394" w:type="dxa"/>
            <w:vAlign w:val="center"/>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（三十二）《企业重组所得税特殊性税务处理报告表及附表》。</w:t>
            </w:r>
          </w:p>
        </w:tc>
        <w:tc>
          <w:tcPr>
            <w:tcW w:w="851" w:type="dxa"/>
            <w:vMerge w:val="restart"/>
            <w:vAlign w:val="center"/>
          </w:tcPr>
          <w:p w:rsidR="00013EC7" w:rsidRDefault="00575CDB">
            <w:pPr>
              <w:rPr>
                <w:rFonts w:ascii="仿宋" w:eastAsia="仿宋" w:hAnsi="仿宋"/>
                <w:color w:val="000000" w:themeColor="text1"/>
                <w:sz w:val="24"/>
              </w:rPr>
            </w:pPr>
            <w:r>
              <w:rPr>
                <w:rFonts w:ascii="仿宋" w:eastAsia="仿宋" w:hAnsi="仿宋"/>
                <w:color w:val="000000" w:themeColor="text1"/>
                <w:sz w:val="24"/>
              </w:rPr>
              <w:t>发生</w:t>
            </w:r>
            <w:r>
              <w:rPr>
                <w:rFonts w:ascii="仿宋" w:eastAsia="仿宋" w:hAnsi="仿宋" w:hint="eastAsia"/>
                <w:color w:val="000000" w:themeColor="text1"/>
                <w:sz w:val="24"/>
              </w:rPr>
              <w:t>企业分立</w:t>
            </w:r>
            <w:r>
              <w:rPr>
                <w:rFonts w:ascii="仿宋" w:eastAsia="仿宋" w:hAnsi="仿宋"/>
                <w:color w:val="000000" w:themeColor="text1"/>
                <w:sz w:val="24"/>
              </w:rPr>
              <w:t>并选择特殊性</w:t>
            </w:r>
            <w:r>
              <w:rPr>
                <w:rFonts w:ascii="仿宋" w:eastAsia="仿宋" w:hAnsi="仿宋"/>
                <w:color w:val="000000" w:themeColor="text1"/>
                <w:sz w:val="24"/>
              </w:rPr>
              <w:lastRenderedPageBreak/>
              <w:t>税务处理的</w:t>
            </w:r>
            <w:r>
              <w:rPr>
                <w:rFonts w:ascii="仿宋" w:eastAsia="仿宋" w:hAnsi="仿宋" w:hint="eastAsia"/>
                <w:color w:val="000000" w:themeColor="text1"/>
                <w:sz w:val="24"/>
              </w:rPr>
              <w:t>纳税人提交</w:t>
            </w:r>
          </w:p>
        </w:tc>
        <w:tc>
          <w:tcPr>
            <w:tcW w:w="4252" w:type="dxa"/>
            <w:vAlign w:val="center"/>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lastRenderedPageBreak/>
              <w:t>（三十一）《企业重组所得税特殊性税务处理报告表及附表》。</w:t>
            </w:r>
          </w:p>
        </w:tc>
        <w:tc>
          <w:tcPr>
            <w:tcW w:w="851" w:type="dxa"/>
            <w:vMerge w:val="restart"/>
            <w:vAlign w:val="center"/>
          </w:tcPr>
          <w:p w:rsidR="00013EC7" w:rsidRDefault="00575CDB">
            <w:pPr>
              <w:rPr>
                <w:rFonts w:ascii="仿宋" w:eastAsia="仿宋" w:hAnsi="仿宋"/>
                <w:color w:val="000000" w:themeColor="text1"/>
                <w:sz w:val="24"/>
              </w:rPr>
            </w:pPr>
            <w:r>
              <w:rPr>
                <w:rFonts w:ascii="仿宋" w:eastAsia="仿宋" w:hAnsi="仿宋"/>
                <w:color w:val="000000" w:themeColor="text1"/>
                <w:sz w:val="24"/>
              </w:rPr>
              <w:t>发生</w:t>
            </w:r>
            <w:r>
              <w:rPr>
                <w:rFonts w:ascii="仿宋" w:eastAsia="仿宋" w:hAnsi="仿宋" w:hint="eastAsia"/>
                <w:color w:val="000000" w:themeColor="text1"/>
                <w:sz w:val="24"/>
              </w:rPr>
              <w:t>企业分立</w:t>
            </w:r>
            <w:r>
              <w:rPr>
                <w:rFonts w:ascii="仿宋" w:eastAsia="仿宋" w:hAnsi="仿宋"/>
                <w:color w:val="000000" w:themeColor="text1"/>
                <w:sz w:val="24"/>
              </w:rPr>
              <w:t>并选择特殊性</w:t>
            </w:r>
            <w:r>
              <w:rPr>
                <w:rFonts w:ascii="仿宋" w:eastAsia="仿宋" w:hAnsi="仿宋"/>
                <w:color w:val="000000" w:themeColor="text1"/>
                <w:sz w:val="24"/>
              </w:rPr>
              <w:lastRenderedPageBreak/>
              <w:t>税务处理的</w:t>
            </w:r>
            <w:r>
              <w:rPr>
                <w:rFonts w:ascii="仿宋" w:eastAsia="仿宋" w:hAnsi="仿宋" w:hint="eastAsia"/>
                <w:color w:val="000000" w:themeColor="text1"/>
                <w:sz w:val="24"/>
              </w:rPr>
              <w:t>纳税人提交</w:t>
            </w:r>
          </w:p>
        </w:tc>
        <w:tc>
          <w:tcPr>
            <w:tcW w:w="2126" w:type="dxa"/>
            <w:vMerge/>
            <w:vAlign w:val="center"/>
          </w:tcPr>
          <w:p w:rsidR="00013EC7" w:rsidRDefault="00013EC7">
            <w:pPr>
              <w:spacing w:line="300" w:lineRule="exact"/>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851" w:type="dxa"/>
            <w:vMerge/>
            <w:vAlign w:val="center"/>
          </w:tcPr>
          <w:p w:rsidR="00013EC7" w:rsidRDefault="00013EC7">
            <w:pPr>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709" w:type="dxa"/>
            <w:vMerge/>
            <w:vAlign w:val="center"/>
          </w:tcPr>
          <w:p w:rsidR="00013EC7" w:rsidRDefault="00013EC7">
            <w:pPr>
              <w:rPr>
                <w:rFonts w:ascii="仿宋" w:eastAsia="仿宋" w:hAnsi="仿宋"/>
                <w:color w:val="000000" w:themeColor="text1"/>
                <w:sz w:val="24"/>
              </w:rPr>
            </w:pPr>
          </w:p>
        </w:tc>
        <w:tc>
          <w:tcPr>
            <w:tcW w:w="1133" w:type="dxa"/>
            <w:vMerge/>
            <w:vAlign w:val="center"/>
          </w:tcPr>
          <w:p w:rsidR="00013EC7" w:rsidRDefault="00013EC7">
            <w:pPr>
              <w:rPr>
                <w:rFonts w:ascii="仿宋" w:eastAsia="仿宋" w:hAnsi="仿宋"/>
                <w:color w:val="000000" w:themeColor="text1"/>
                <w:sz w:val="24"/>
              </w:rPr>
            </w:pPr>
          </w:p>
        </w:tc>
      </w:tr>
      <w:tr w:rsidR="00013EC7">
        <w:trPr>
          <w:trHeight w:val="340"/>
          <w:jc w:val="center"/>
        </w:trPr>
        <w:tc>
          <w:tcPr>
            <w:tcW w:w="672" w:type="dxa"/>
            <w:vMerge/>
            <w:textDirection w:val="tbRlV"/>
            <w:vAlign w:val="center"/>
          </w:tcPr>
          <w:p w:rsidR="00013EC7" w:rsidRDefault="00013EC7">
            <w:pPr>
              <w:rPr>
                <w:rFonts w:ascii="仿宋" w:eastAsia="仿宋" w:hAnsi="仿宋"/>
                <w:color w:val="000000" w:themeColor="text1"/>
                <w:sz w:val="24"/>
              </w:rPr>
            </w:pPr>
          </w:p>
        </w:tc>
        <w:tc>
          <w:tcPr>
            <w:tcW w:w="1035" w:type="dxa"/>
            <w:vMerge/>
            <w:vAlign w:val="center"/>
          </w:tcPr>
          <w:p w:rsidR="00013EC7" w:rsidRDefault="00013EC7">
            <w:pPr>
              <w:rPr>
                <w:rFonts w:ascii="仿宋" w:eastAsia="仿宋" w:hAnsi="仿宋"/>
                <w:color w:val="000000" w:themeColor="text1"/>
                <w:sz w:val="24"/>
              </w:rPr>
            </w:pPr>
          </w:p>
        </w:tc>
        <w:tc>
          <w:tcPr>
            <w:tcW w:w="1271" w:type="dxa"/>
            <w:vMerge/>
            <w:vAlign w:val="center"/>
          </w:tcPr>
          <w:p w:rsidR="00013EC7" w:rsidRDefault="00013EC7">
            <w:pPr>
              <w:rPr>
                <w:rFonts w:ascii="仿宋" w:eastAsia="仿宋" w:hAnsi="仿宋"/>
                <w:color w:val="000000" w:themeColor="text1"/>
                <w:sz w:val="24"/>
              </w:rPr>
            </w:pPr>
          </w:p>
        </w:tc>
        <w:tc>
          <w:tcPr>
            <w:tcW w:w="4394" w:type="dxa"/>
          </w:tcPr>
          <w:p w:rsidR="00013EC7" w:rsidRDefault="00575CDB">
            <w:pPr>
              <w:spacing w:line="300" w:lineRule="exact"/>
              <w:rPr>
                <w:rFonts w:ascii="仿宋" w:eastAsia="仿宋" w:hAnsi="仿宋"/>
                <w:color w:val="000000" w:themeColor="text1"/>
                <w:sz w:val="24"/>
                <w:highlight w:val="lightGray"/>
              </w:rPr>
            </w:pPr>
            <w:r>
              <w:rPr>
                <w:rFonts w:ascii="仿宋" w:eastAsia="仿宋" w:hAnsi="仿宋" w:hint="eastAsia"/>
                <w:color w:val="000000" w:themeColor="text1"/>
                <w:sz w:val="24"/>
                <w:highlight w:val="lightGray"/>
              </w:rPr>
              <w:t>（七十七）当事方企业分立的总体情况说明，包括分立方案、基本情况，并逐条说</w:t>
            </w:r>
            <w:r>
              <w:rPr>
                <w:rFonts w:ascii="仿宋" w:eastAsia="仿宋" w:hAnsi="仿宋" w:hint="eastAsia"/>
                <w:color w:val="000000" w:themeColor="text1"/>
                <w:sz w:val="24"/>
                <w:highlight w:val="lightGray"/>
              </w:rPr>
              <w:lastRenderedPageBreak/>
              <w:t>明企业分立的商业目的。</w:t>
            </w:r>
          </w:p>
        </w:tc>
        <w:tc>
          <w:tcPr>
            <w:tcW w:w="851" w:type="dxa"/>
            <w:vMerge/>
            <w:vAlign w:val="center"/>
          </w:tcPr>
          <w:p w:rsidR="00013EC7" w:rsidRDefault="00013EC7">
            <w:pPr>
              <w:rPr>
                <w:rFonts w:ascii="仿宋" w:eastAsia="仿宋" w:hAnsi="仿宋"/>
                <w:color w:val="000000" w:themeColor="text1"/>
                <w:sz w:val="24"/>
              </w:rPr>
            </w:pPr>
          </w:p>
        </w:tc>
        <w:tc>
          <w:tcPr>
            <w:tcW w:w="4252" w:type="dxa"/>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（七十六）当事方企业分立的总体情况说明，包括分立方案、基本情况，并逐条</w:t>
            </w:r>
            <w:r>
              <w:rPr>
                <w:rFonts w:ascii="仿宋" w:eastAsia="仿宋" w:hAnsi="仿宋" w:hint="eastAsia"/>
                <w:color w:val="000000" w:themeColor="text1"/>
                <w:sz w:val="24"/>
              </w:rPr>
              <w:lastRenderedPageBreak/>
              <w:t>说明企业分立的商业目的（留存备查）。</w:t>
            </w:r>
          </w:p>
        </w:tc>
        <w:tc>
          <w:tcPr>
            <w:tcW w:w="851" w:type="dxa"/>
            <w:vMerge/>
            <w:vAlign w:val="center"/>
          </w:tcPr>
          <w:p w:rsidR="00013EC7" w:rsidRDefault="00013EC7">
            <w:pPr>
              <w:rPr>
                <w:rFonts w:ascii="仿宋" w:eastAsia="仿宋" w:hAnsi="仿宋"/>
                <w:color w:val="000000" w:themeColor="text1"/>
                <w:sz w:val="24"/>
              </w:rPr>
            </w:pPr>
          </w:p>
        </w:tc>
        <w:tc>
          <w:tcPr>
            <w:tcW w:w="2126" w:type="dxa"/>
            <w:vMerge/>
            <w:vAlign w:val="center"/>
          </w:tcPr>
          <w:p w:rsidR="00013EC7" w:rsidRDefault="00013EC7">
            <w:pPr>
              <w:spacing w:line="300" w:lineRule="exact"/>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851" w:type="dxa"/>
            <w:vMerge/>
            <w:vAlign w:val="center"/>
          </w:tcPr>
          <w:p w:rsidR="00013EC7" w:rsidRDefault="00013EC7">
            <w:pPr>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709" w:type="dxa"/>
            <w:vMerge/>
            <w:vAlign w:val="center"/>
          </w:tcPr>
          <w:p w:rsidR="00013EC7" w:rsidRDefault="00013EC7">
            <w:pPr>
              <w:rPr>
                <w:rFonts w:ascii="仿宋" w:eastAsia="仿宋" w:hAnsi="仿宋"/>
                <w:color w:val="000000" w:themeColor="text1"/>
                <w:sz w:val="24"/>
              </w:rPr>
            </w:pPr>
          </w:p>
        </w:tc>
        <w:tc>
          <w:tcPr>
            <w:tcW w:w="1133" w:type="dxa"/>
            <w:vMerge/>
            <w:vAlign w:val="center"/>
          </w:tcPr>
          <w:p w:rsidR="00013EC7" w:rsidRDefault="00013EC7">
            <w:pPr>
              <w:rPr>
                <w:rFonts w:ascii="仿宋" w:eastAsia="仿宋" w:hAnsi="仿宋"/>
                <w:color w:val="000000" w:themeColor="text1"/>
                <w:sz w:val="24"/>
              </w:rPr>
            </w:pPr>
          </w:p>
        </w:tc>
      </w:tr>
      <w:tr w:rsidR="00013EC7">
        <w:trPr>
          <w:trHeight w:val="340"/>
          <w:jc w:val="center"/>
        </w:trPr>
        <w:tc>
          <w:tcPr>
            <w:tcW w:w="672" w:type="dxa"/>
            <w:vMerge/>
            <w:textDirection w:val="tbRlV"/>
            <w:vAlign w:val="center"/>
          </w:tcPr>
          <w:p w:rsidR="00013EC7" w:rsidRDefault="00013EC7">
            <w:pPr>
              <w:rPr>
                <w:rFonts w:ascii="仿宋" w:eastAsia="仿宋" w:hAnsi="仿宋"/>
                <w:color w:val="000000" w:themeColor="text1"/>
                <w:sz w:val="24"/>
              </w:rPr>
            </w:pPr>
          </w:p>
        </w:tc>
        <w:tc>
          <w:tcPr>
            <w:tcW w:w="1035" w:type="dxa"/>
            <w:vMerge/>
            <w:vAlign w:val="center"/>
          </w:tcPr>
          <w:p w:rsidR="00013EC7" w:rsidRDefault="00013EC7">
            <w:pPr>
              <w:rPr>
                <w:rFonts w:ascii="仿宋" w:eastAsia="仿宋" w:hAnsi="仿宋"/>
                <w:color w:val="000000" w:themeColor="text1"/>
                <w:sz w:val="24"/>
              </w:rPr>
            </w:pPr>
          </w:p>
        </w:tc>
        <w:tc>
          <w:tcPr>
            <w:tcW w:w="1271" w:type="dxa"/>
            <w:vMerge/>
            <w:vAlign w:val="center"/>
          </w:tcPr>
          <w:p w:rsidR="00013EC7" w:rsidRDefault="00013EC7">
            <w:pPr>
              <w:rPr>
                <w:rFonts w:ascii="仿宋" w:eastAsia="仿宋" w:hAnsi="仿宋"/>
                <w:color w:val="000000" w:themeColor="text1"/>
                <w:sz w:val="24"/>
              </w:rPr>
            </w:pPr>
          </w:p>
        </w:tc>
        <w:tc>
          <w:tcPr>
            <w:tcW w:w="4394" w:type="dxa"/>
          </w:tcPr>
          <w:p w:rsidR="00013EC7" w:rsidRDefault="00575CDB">
            <w:pPr>
              <w:spacing w:line="300" w:lineRule="exact"/>
              <w:rPr>
                <w:rFonts w:ascii="仿宋" w:eastAsia="仿宋" w:hAnsi="仿宋"/>
                <w:color w:val="000000" w:themeColor="text1"/>
                <w:sz w:val="24"/>
                <w:highlight w:val="lightGray"/>
              </w:rPr>
            </w:pPr>
            <w:r>
              <w:rPr>
                <w:rFonts w:ascii="仿宋" w:eastAsia="仿宋" w:hAnsi="仿宋" w:hint="eastAsia"/>
                <w:color w:val="000000" w:themeColor="text1"/>
                <w:sz w:val="24"/>
                <w:highlight w:val="lightGray"/>
              </w:rPr>
              <w:t>（七十八）被分立企业董事会、股东会（股东大会）关于企业分立的决议，若需要政府部门批准分立的，提供企业分立的政府主管部门批准文件。</w:t>
            </w:r>
          </w:p>
        </w:tc>
        <w:tc>
          <w:tcPr>
            <w:tcW w:w="851" w:type="dxa"/>
            <w:vMerge/>
            <w:vAlign w:val="center"/>
          </w:tcPr>
          <w:p w:rsidR="00013EC7" w:rsidRDefault="00013EC7">
            <w:pPr>
              <w:rPr>
                <w:rFonts w:ascii="仿宋" w:eastAsia="仿宋" w:hAnsi="仿宋"/>
                <w:color w:val="000000" w:themeColor="text1"/>
                <w:sz w:val="24"/>
              </w:rPr>
            </w:pPr>
          </w:p>
        </w:tc>
        <w:tc>
          <w:tcPr>
            <w:tcW w:w="4252" w:type="dxa"/>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（七十七）被分立企业董事会、股东会（股东大会）关于企业分立的决议，若需要政府部门批准分立的，提供企业分立的政府主管部门批准文件（留存备查）。</w:t>
            </w:r>
          </w:p>
        </w:tc>
        <w:tc>
          <w:tcPr>
            <w:tcW w:w="851" w:type="dxa"/>
            <w:vMerge/>
            <w:vAlign w:val="center"/>
          </w:tcPr>
          <w:p w:rsidR="00013EC7" w:rsidRDefault="00013EC7">
            <w:pPr>
              <w:rPr>
                <w:rFonts w:ascii="仿宋" w:eastAsia="仿宋" w:hAnsi="仿宋"/>
                <w:color w:val="000000" w:themeColor="text1"/>
                <w:sz w:val="24"/>
              </w:rPr>
            </w:pPr>
          </w:p>
        </w:tc>
        <w:tc>
          <w:tcPr>
            <w:tcW w:w="2126" w:type="dxa"/>
            <w:vMerge/>
            <w:vAlign w:val="center"/>
          </w:tcPr>
          <w:p w:rsidR="00013EC7" w:rsidRDefault="00013EC7">
            <w:pPr>
              <w:spacing w:line="300" w:lineRule="exact"/>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851" w:type="dxa"/>
            <w:vMerge/>
            <w:vAlign w:val="center"/>
          </w:tcPr>
          <w:p w:rsidR="00013EC7" w:rsidRDefault="00013EC7">
            <w:pPr>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709" w:type="dxa"/>
            <w:vMerge/>
            <w:vAlign w:val="center"/>
          </w:tcPr>
          <w:p w:rsidR="00013EC7" w:rsidRDefault="00013EC7">
            <w:pPr>
              <w:rPr>
                <w:rFonts w:ascii="仿宋" w:eastAsia="仿宋" w:hAnsi="仿宋"/>
                <w:color w:val="000000" w:themeColor="text1"/>
                <w:sz w:val="24"/>
              </w:rPr>
            </w:pPr>
          </w:p>
        </w:tc>
        <w:tc>
          <w:tcPr>
            <w:tcW w:w="1133" w:type="dxa"/>
            <w:vMerge/>
            <w:vAlign w:val="center"/>
          </w:tcPr>
          <w:p w:rsidR="00013EC7" w:rsidRDefault="00013EC7">
            <w:pPr>
              <w:rPr>
                <w:rFonts w:ascii="仿宋" w:eastAsia="仿宋" w:hAnsi="仿宋"/>
                <w:color w:val="000000" w:themeColor="text1"/>
                <w:sz w:val="24"/>
              </w:rPr>
            </w:pPr>
          </w:p>
        </w:tc>
      </w:tr>
      <w:tr w:rsidR="00013EC7">
        <w:trPr>
          <w:trHeight w:val="340"/>
          <w:jc w:val="center"/>
        </w:trPr>
        <w:tc>
          <w:tcPr>
            <w:tcW w:w="672" w:type="dxa"/>
            <w:vMerge/>
            <w:textDirection w:val="tbRlV"/>
            <w:vAlign w:val="center"/>
          </w:tcPr>
          <w:p w:rsidR="00013EC7" w:rsidRDefault="00013EC7">
            <w:pPr>
              <w:rPr>
                <w:rFonts w:ascii="仿宋" w:eastAsia="仿宋" w:hAnsi="仿宋"/>
                <w:color w:val="000000" w:themeColor="text1"/>
                <w:sz w:val="24"/>
              </w:rPr>
            </w:pPr>
          </w:p>
        </w:tc>
        <w:tc>
          <w:tcPr>
            <w:tcW w:w="1035" w:type="dxa"/>
            <w:vMerge/>
            <w:vAlign w:val="center"/>
          </w:tcPr>
          <w:p w:rsidR="00013EC7" w:rsidRDefault="00013EC7">
            <w:pPr>
              <w:rPr>
                <w:rFonts w:ascii="仿宋" w:eastAsia="仿宋" w:hAnsi="仿宋"/>
                <w:color w:val="000000" w:themeColor="text1"/>
                <w:sz w:val="24"/>
              </w:rPr>
            </w:pPr>
          </w:p>
        </w:tc>
        <w:tc>
          <w:tcPr>
            <w:tcW w:w="1271" w:type="dxa"/>
            <w:vMerge/>
            <w:vAlign w:val="center"/>
          </w:tcPr>
          <w:p w:rsidR="00013EC7" w:rsidRDefault="00013EC7">
            <w:pPr>
              <w:rPr>
                <w:rFonts w:ascii="仿宋" w:eastAsia="仿宋" w:hAnsi="仿宋"/>
                <w:color w:val="000000" w:themeColor="text1"/>
                <w:sz w:val="24"/>
              </w:rPr>
            </w:pPr>
          </w:p>
        </w:tc>
        <w:tc>
          <w:tcPr>
            <w:tcW w:w="4394" w:type="dxa"/>
          </w:tcPr>
          <w:p w:rsidR="00013EC7" w:rsidRDefault="00575CDB">
            <w:pPr>
              <w:spacing w:line="300" w:lineRule="exact"/>
              <w:rPr>
                <w:rFonts w:ascii="仿宋" w:eastAsia="仿宋" w:hAnsi="仿宋"/>
                <w:color w:val="000000" w:themeColor="text1"/>
                <w:sz w:val="24"/>
                <w:highlight w:val="lightGray"/>
              </w:rPr>
            </w:pPr>
            <w:r>
              <w:rPr>
                <w:rFonts w:ascii="仿宋" w:eastAsia="仿宋" w:hAnsi="仿宋" w:hint="eastAsia"/>
                <w:color w:val="000000" w:themeColor="text1"/>
                <w:sz w:val="24"/>
                <w:highlight w:val="lightGray"/>
              </w:rPr>
              <w:t>（七十九）被分立企业的净资产、各单项资产和负债账面价值和计税基础等相关资料。</w:t>
            </w:r>
          </w:p>
        </w:tc>
        <w:tc>
          <w:tcPr>
            <w:tcW w:w="851" w:type="dxa"/>
            <w:vMerge/>
            <w:vAlign w:val="center"/>
          </w:tcPr>
          <w:p w:rsidR="00013EC7" w:rsidRDefault="00013EC7">
            <w:pPr>
              <w:rPr>
                <w:rFonts w:ascii="仿宋" w:eastAsia="仿宋" w:hAnsi="仿宋"/>
                <w:color w:val="000000" w:themeColor="text1"/>
                <w:sz w:val="24"/>
              </w:rPr>
            </w:pPr>
          </w:p>
        </w:tc>
        <w:tc>
          <w:tcPr>
            <w:tcW w:w="4252" w:type="dxa"/>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（七十八）被分立企业的净资产、各单项资产和负债账面价值和计税基础等相关资料（留存备查）。</w:t>
            </w:r>
          </w:p>
        </w:tc>
        <w:tc>
          <w:tcPr>
            <w:tcW w:w="851" w:type="dxa"/>
            <w:vMerge/>
            <w:vAlign w:val="center"/>
          </w:tcPr>
          <w:p w:rsidR="00013EC7" w:rsidRDefault="00013EC7">
            <w:pPr>
              <w:rPr>
                <w:rFonts w:ascii="仿宋" w:eastAsia="仿宋" w:hAnsi="仿宋"/>
                <w:color w:val="000000" w:themeColor="text1"/>
                <w:sz w:val="24"/>
              </w:rPr>
            </w:pPr>
          </w:p>
        </w:tc>
        <w:tc>
          <w:tcPr>
            <w:tcW w:w="2126" w:type="dxa"/>
            <w:vMerge/>
            <w:vAlign w:val="center"/>
          </w:tcPr>
          <w:p w:rsidR="00013EC7" w:rsidRDefault="00013EC7">
            <w:pPr>
              <w:spacing w:line="300" w:lineRule="exact"/>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851" w:type="dxa"/>
            <w:vMerge/>
            <w:vAlign w:val="center"/>
          </w:tcPr>
          <w:p w:rsidR="00013EC7" w:rsidRDefault="00013EC7">
            <w:pPr>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709" w:type="dxa"/>
            <w:vMerge/>
            <w:vAlign w:val="center"/>
          </w:tcPr>
          <w:p w:rsidR="00013EC7" w:rsidRDefault="00013EC7">
            <w:pPr>
              <w:rPr>
                <w:rFonts w:ascii="仿宋" w:eastAsia="仿宋" w:hAnsi="仿宋"/>
                <w:color w:val="000000" w:themeColor="text1"/>
                <w:sz w:val="24"/>
              </w:rPr>
            </w:pPr>
          </w:p>
        </w:tc>
        <w:tc>
          <w:tcPr>
            <w:tcW w:w="1133" w:type="dxa"/>
            <w:vMerge/>
            <w:vAlign w:val="center"/>
          </w:tcPr>
          <w:p w:rsidR="00013EC7" w:rsidRDefault="00013EC7">
            <w:pPr>
              <w:rPr>
                <w:rFonts w:ascii="仿宋" w:eastAsia="仿宋" w:hAnsi="仿宋"/>
                <w:color w:val="000000" w:themeColor="text1"/>
                <w:sz w:val="24"/>
              </w:rPr>
            </w:pPr>
          </w:p>
        </w:tc>
      </w:tr>
      <w:tr w:rsidR="00013EC7">
        <w:trPr>
          <w:trHeight w:val="340"/>
          <w:jc w:val="center"/>
        </w:trPr>
        <w:tc>
          <w:tcPr>
            <w:tcW w:w="672" w:type="dxa"/>
            <w:vMerge/>
            <w:textDirection w:val="tbRlV"/>
            <w:vAlign w:val="center"/>
          </w:tcPr>
          <w:p w:rsidR="00013EC7" w:rsidRDefault="00013EC7">
            <w:pPr>
              <w:rPr>
                <w:rFonts w:ascii="仿宋" w:eastAsia="仿宋" w:hAnsi="仿宋"/>
                <w:color w:val="000000" w:themeColor="text1"/>
                <w:sz w:val="24"/>
              </w:rPr>
            </w:pPr>
          </w:p>
        </w:tc>
        <w:tc>
          <w:tcPr>
            <w:tcW w:w="1035" w:type="dxa"/>
            <w:vMerge/>
            <w:vAlign w:val="center"/>
          </w:tcPr>
          <w:p w:rsidR="00013EC7" w:rsidRDefault="00013EC7">
            <w:pPr>
              <w:rPr>
                <w:rFonts w:ascii="仿宋" w:eastAsia="仿宋" w:hAnsi="仿宋"/>
                <w:color w:val="000000" w:themeColor="text1"/>
                <w:sz w:val="24"/>
              </w:rPr>
            </w:pPr>
          </w:p>
        </w:tc>
        <w:tc>
          <w:tcPr>
            <w:tcW w:w="1271" w:type="dxa"/>
            <w:vMerge/>
            <w:vAlign w:val="center"/>
          </w:tcPr>
          <w:p w:rsidR="00013EC7" w:rsidRDefault="00013EC7">
            <w:pPr>
              <w:rPr>
                <w:rFonts w:ascii="仿宋" w:eastAsia="仿宋" w:hAnsi="仿宋"/>
                <w:color w:val="000000" w:themeColor="text1"/>
                <w:sz w:val="24"/>
              </w:rPr>
            </w:pPr>
          </w:p>
        </w:tc>
        <w:tc>
          <w:tcPr>
            <w:tcW w:w="4394" w:type="dxa"/>
          </w:tcPr>
          <w:p w:rsidR="00013EC7" w:rsidRDefault="00575CDB">
            <w:pPr>
              <w:spacing w:line="300" w:lineRule="exact"/>
              <w:rPr>
                <w:rFonts w:ascii="仿宋" w:eastAsia="仿宋" w:hAnsi="仿宋"/>
                <w:color w:val="000000" w:themeColor="text1"/>
                <w:sz w:val="24"/>
                <w:highlight w:val="lightGray"/>
              </w:rPr>
            </w:pPr>
            <w:r>
              <w:rPr>
                <w:rFonts w:ascii="仿宋" w:eastAsia="仿宋" w:hAnsi="仿宋" w:hint="eastAsia"/>
                <w:color w:val="000000" w:themeColor="text1"/>
                <w:sz w:val="24"/>
                <w:highlight w:val="lightGray"/>
              </w:rPr>
              <w:t>（八十）</w:t>
            </w:r>
            <w:r>
              <w:rPr>
                <w:rFonts w:ascii="仿宋" w:eastAsia="仿宋" w:hAnsi="仿宋" w:hint="eastAsia"/>
                <w:color w:val="000000" w:themeColor="text1"/>
                <w:sz w:val="24"/>
              </w:rPr>
              <w:t>证明重组符合特殊性税务处理条件的资料，包括分立后企业各股东取得股权支付比例情况。</w:t>
            </w:r>
            <w:r>
              <w:rPr>
                <w:rFonts w:ascii="仿宋" w:eastAsia="仿宋" w:hAnsi="仿宋" w:hint="eastAsia"/>
                <w:color w:val="000000" w:themeColor="text1"/>
                <w:sz w:val="24"/>
                <w:highlight w:val="lightGray"/>
              </w:rPr>
              <w:t>以及12个月内不改变资产原来的实质性经营活动、原主要股东不转让所取得股权的承诺书。</w:t>
            </w:r>
          </w:p>
        </w:tc>
        <w:tc>
          <w:tcPr>
            <w:tcW w:w="851" w:type="dxa"/>
            <w:vMerge/>
            <w:vAlign w:val="center"/>
          </w:tcPr>
          <w:p w:rsidR="00013EC7" w:rsidRDefault="00013EC7">
            <w:pPr>
              <w:rPr>
                <w:rFonts w:ascii="仿宋" w:eastAsia="仿宋" w:hAnsi="仿宋"/>
                <w:color w:val="000000" w:themeColor="text1"/>
                <w:sz w:val="24"/>
              </w:rPr>
            </w:pPr>
          </w:p>
        </w:tc>
        <w:tc>
          <w:tcPr>
            <w:tcW w:w="4252" w:type="dxa"/>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（七十九）证明重组符合特殊性税务处理条件的资料，包括分立后企业各股东取得股权支付比例情况。以及12个月内不改变资产原来的实质性经营活动、原主要股东不转让所取得股权的承诺书（留存备查）。</w:t>
            </w:r>
          </w:p>
        </w:tc>
        <w:tc>
          <w:tcPr>
            <w:tcW w:w="851" w:type="dxa"/>
            <w:vMerge/>
            <w:vAlign w:val="center"/>
          </w:tcPr>
          <w:p w:rsidR="00013EC7" w:rsidRDefault="00013EC7">
            <w:pPr>
              <w:rPr>
                <w:rFonts w:ascii="仿宋" w:eastAsia="仿宋" w:hAnsi="仿宋"/>
                <w:color w:val="000000" w:themeColor="text1"/>
                <w:sz w:val="24"/>
              </w:rPr>
            </w:pPr>
          </w:p>
        </w:tc>
        <w:tc>
          <w:tcPr>
            <w:tcW w:w="2126" w:type="dxa"/>
            <w:vMerge/>
            <w:vAlign w:val="center"/>
          </w:tcPr>
          <w:p w:rsidR="00013EC7" w:rsidRDefault="00013EC7">
            <w:pPr>
              <w:spacing w:line="300" w:lineRule="exact"/>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851" w:type="dxa"/>
            <w:vMerge/>
            <w:vAlign w:val="center"/>
          </w:tcPr>
          <w:p w:rsidR="00013EC7" w:rsidRDefault="00013EC7">
            <w:pPr>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709" w:type="dxa"/>
            <w:vMerge/>
            <w:vAlign w:val="center"/>
          </w:tcPr>
          <w:p w:rsidR="00013EC7" w:rsidRDefault="00013EC7">
            <w:pPr>
              <w:rPr>
                <w:rFonts w:ascii="仿宋" w:eastAsia="仿宋" w:hAnsi="仿宋"/>
                <w:color w:val="000000" w:themeColor="text1"/>
                <w:sz w:val="24"/>
              </w:rPr>
            </w:pPr>
          </w:p>
        </w:tc>
        <w:tc>
          <w:tcPr>
            <w:tcW w:w="1133" w:type="dxa"/>
            <w:vMerge/>
            <w:vAlign w:val="center"/>
          </w:tcPr>
          <w:p w:rsidR="00013EC7" w:rsidRDefault="00013EC7">
            <w:pPr>
              <w:rPr>
                <w:rFonts w:ascii="仿宋" w:eastAsia="仿宋" w:hAnsi="仿宋"/>
                <w:color w:val="000000" w:themeColor="text1"/>
                <w:sz w:val="24"/>
              </w:rPr>
            </w:pPr>
          </w:p>
        </w:tc>
      </w:tr>
      <w:tr w:rsidR="00013EC7">
        <w:trPr>
          <w:trHeight w:val="340"/>
          <w:jc w:val="center"/>
        </w:trPr>
        <w:tc>
          <w:tcPr>
            <w:tcW w:w="672" w:type="dxa"/>
            <w:vMerge/>
            <w:textDirection w:val="tbRlV"/>
            <w:vAlign w:val="center"/>
          </w:tcPr>
          <w:p w:rsidR="00013EC7" w:rsidRDefault="00013EC7">
            <w:pPr>
              <w:rPr>
                <w:rFonts w:ascii="仿宋" w:eastAsia="仿宋" w:hAnsi="仿宋"/>
                <w:color w:val="000000" w:themeColor="text1"/>
                <w:sz w:val="24"/>
              </w:rPr>
            </w:pPr>
          </w:p>
        </w:tc>
        <w:tc>
          <w:tcPr>
            <w:tcW w:w="1035" w:type="dxa"/>
            <w:vMerge/>
            <w:vAlign w:val="center"/>
          </w:tcPr>
          <w:p w:rsidR="00013EC7" w:rsidRDefault="00013EC7">
            <w:pPr>
              <w:rPr>
                <w:rFonts w:ascii="仿宋" w:eastAsia="仿宋" w:hAnsi="仿宋"/>
                <w:color w:val="000000" w:themeColor="text1"/>
                <w:sz w:val="24"/>
              </w:rPr>
            </w:pPr>
          </w:p>
        </w:tc>
        <w:tc>
          <w:tcPr>
            <w:tcW w:w="1271" w:type="dxa"/>
            <w:vMerge/>
            <w:vAlign w:val="center"/>
          </w:tcPr>
          <w:p w:rsidR="00013EC7" w:rsidRDefault="00013EC7">
            <w:pPr>
              <w:rPr>
                <w:rFonts w:ascii="仿宋" w:eastAsia="仿宋" w:hAnsi="仿宋"/>
                <w:color w:val="000000" w:themeColor="text1"/>
                <w:sz w:val="24"/>
              </w:rPr>
            </w:pPr>
          </w:p>
        </w:tc>
        <w:tc>
          <w:tcPr>
            <w:tcW w:w="4394" w:type="dxa"/>
          </w:tcPr>
          <w:p w:rsidR="00013EC7" w:rsidRDefault="00575CDB">
            <w:pPr>
              <w:spacing w:line="300" w:lineRule="exact"/>
              <w:rPr>
                <w:rFonts w:ascii="仿宋" w:eastAsia="仿宋" w:hAnsi="仿宋"/>
                <w:color w:val="000000" w:themeColor="text1"/>
                <w:sz w:val="24"/>
                <w:highlight w:val="lightGray"/>
              </w:rPr>
            </w:pPr>
            <w:r>
              <w:rPr>
                <w:rFonts w:ascii="仿宋" w:eastAsia="仿宋" w:hAnsi="仿宋" w:hint="eastAsia"/>
                <w:color w:val="000000" w:themeColor="text1"/>
                <w:sz w:val="24"/>
                <w:highlight w:val="lightGray"/>
              </w:rPr>
              <w:t>（八十一）工商部门认定的分立和被分立企业股东股权比例证明材料。分立后，分立和被分立企业工商营业执照复印件。</w:t>
            </w:r>
          </w:p>
        </w:tc>
        <w:tc>
          <w:tcPr>
            <w:tcW w:w="851" w:type="dxa"/>
            <w:vMerge/>
            <w:vAlign w:val="center"/>
          </w:tcPr>
          <w:p w:rsidR="00013EC7" w:rsidRDefault="00013EC7">
            <w:pPr>
              <w:rPr>
                <w:rFonts w:ascii="仿宋" w:eastAsia="仿宋" w:hAnsi="仿宋"/>
                <w:color w:val="000000" w:themeColor="text1"/>
                <w:sz w:val="24"/>
              </w:rPr>
            </w:pPr>
          </w:p>
        </w:tc>
        <w:tc>
          <w:tcPr>
            <w:tcW w:w="4252" w:type="dxa"/>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（八十）工商部门认定的分立和被分立企业股东股权比例证明材料。分立后，分立和被分立企业工商营业执照复印件（留存备查）。</w:t>
            </w:r>
          </w:p>
        </w:tc>
        <w:tc>
          <w:tcPr>
            <w:tcW w:w="851" w:type="dxa"/>
            <w:vMerge/>
            <w:vAlign w:val="center"/>
          </w:tcPr>
          <w:p w:rsidR="00013EC7" w:rsidRDefault="00013EC7">
            <w:pPr>
              <w:rPr>
                <w:rFonts w:ascii="仿宋" w:eastAsia="仿宋" w:hAnsi="仿宋"/>
                <w:color w:val="000000" w:themeColor="text1"/>
                <w:sz w:val="24"/>
              </w:rPr>
            </w:pPr>
          </w:p>
        </w:tc>
        <w:tc>
          <w:tcPr>
            <w:tcW w:w="2126" w:type="dxa"/>
            <w:vMerge/>
            <w:vAlign w:val="center"/>
          </w:tcPr>
          <w:p w:rsidR="00013EC7" w:rsidRDefault="00013EC7">
            <w:pPr>
              <w:spacing w:line="300" w:lineRule="exact"/>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851" w:type="dxa"/>
            <w:vMerge/>
            <w:vAlign w:val="center"/>
          </w:tcPr>
          <w:p w:rsidR="00013EC7" w:rsidRDefault="00013EC7">
            <w:pPr>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709" w:type="dxa"/>
            <w:vMerge/>
            <w:vAlign w:val="center"/>
          </w:tcPr>
          <w:p w:rsidR="00013EC7" w:rsidRDefault="00013EC7">
            <w:pPr>
              <w:rPr>
                <w:rFonts w:ascii="仿宋" w:eastAsia="仿宋" w:hAnsi="仿宋"/>
                <w:color w:val="000000" w:themeColor="text1"/>
                <w:sz w:val="24"/>
              </w:rPr>
            </w:pPr>
          </w:p>
        </w:tc>
        <w:tc>
          <w:tcPr>
            <w:tcW w:w="1133" w:type="dxa"/>
            <w:vMerge/>
            <w:vAlign w:val="center"/>
          </w:tcPr>
          <w:p w:rsidR="00013EC7" w:rsidRDefault="00013EC7">
            <w:pPr>
              <w:rPr>
                <w:rFonts w:ascii="仿宋" w:eastAsia="仿宋" w:hAnsi="仿宋"/>
                <w:color w:val="000000" w:themeColor="text1"/>
                <w:sz w:val="24"/>
              </w:rPr>
            </w:pPr>
          </w:p>
        </w:tc>
      </w:tr>
      <w:tr w:rsidR="00013EC7">
        <w:trPr>
          <w:trHeight w:val="340"/>
          <w:jc w:val="center"/>
        </w:trPr>
        <w:tc>
          <w:tcPr>
            <w:tcW w:w="672" w:type="dxa"/>
            <w:vMerge/>
            <w:textDirection w:val="tbRlV"/>
            <w:vAlign w:val="center"/>
          </w:tcPr>
          <w:p w:rsidR="00013EC7" w:rsidRDefault="00013EC7">
            <w:pPr>
              <w:rPr>
                <w:rFonts w:ascii="仿宋" w:eastAsia="仿宋" w:hAnsi="仿宋"/>
                <w:color w:val="000000" w:themeColor="text1"/>
                <w:sz w:val="24"/>
              </w:rPr>
            </w:pPr>
          </w:p>
        </w:tc>
        <w:tc>
          <w:tcPr>
            <w:tcW w:w="1035" w:type="dxa"/>
            <w:vMerge/>
            <w:vAlign w:val="center"/>
          </w:tcPr>
          <w:p w:rsidR="00013EC7" w:rsidRDefault="00013EC7">
            <w:pPr>
              <w:rPr>
                <w:rFonts w:ascii="仿宋" w:eastAsia="仿宋" w:hAnsi="仿宋"/>
                <w:color w:val="000000" w:themeColor="text1"/>
                <w:sz w:val="24"/>
              </w:rPr>
            </w:pPr>
          </w:p>
        </w:tc>
        <w:tc>
          <w:tcPr>
            <w:tcW w:w="1271" w:type="dxa"/>
            <w:vMerge/>
            <w:vAlign w:val="center"/>
          </w:tcPr>
          <w:p w:rsidR="00013EC7" w:rsidRDefault="00013EC7">
            <w:pPr>
              <w:rPr>
                <w:rFonts w:ascii="仿宋" w:eastAsia="仿宋" w:hAnsi="仿宋"/>
                <w:color w:val="000000" w:themeColor="text1"/>
                <w:sz w:val="24"/>
              </w:rPr>
            </w:pPr>
          </w:p>
        </w:tc>
        <w:tc>
          <w:tcPr>
            <w:tcW w:w="4394" w:type="dxa"/>
          </w:tcPr>
          <w:p w:rsidR="00013EC7" w:rsidRDefault="00575CDB">
            <w:pPr>
              <w:spacing w:line="300" w:lineRule="exact"/>
              <w:rPr>
                <w:rFonts w:ascii="仿宋" w:eastAsia="仿宋" w:hAnsi="仿宋"/>
                <w:color w:val="000000" w:themeColor="text1"/>
                <w:sz w:val="24"/>
                <w:highlight w:val="lightGray"/>
              </w:rPr>
            </w:pPr>
            <w:r>
              <w:rPr>
                <w:rFonts w:ascii="仿宋" w:eastAsia="仿宋" w:hAnsi="仿宋" w:hint="eastAsia"/>
                <w:color w:val="000000" w:themeColor="text1"/>
                <w:sz w:val="24"/>
                <w:highlight w:val="lightGray"/>
              </w:rPr>
              <w:t>（八十二）分立企业承继被分立企业所分立资产相关所得税事项（包括尚未确认的资产损失、分期确认收入和尚未享受期满的税收优惠政策等）情况说明。</w:t>
            </w:r>
          </w:p>
        </w:tc>
        <w:tc>
          <w:tcPr>
            <w:tcW w:w="851" w:type="dxa"/>
            <w:vMerge/>
            <w:vAlign w:val="center"/>
          </w:tcPr>
          <w:p w:rsidR="00013EC7" w:rsidRDefault="00013EC7">
            <w:pPr>
              <w:rPr>
                <w:rFonts w:ascii="仿宋" w:eastAsia="仿宋" w:hAnsi="仿宋"/>
                <w:color w:val="000000" w:themeColor="text1"/>
                <w:sz w:val="24"/>
              </w:rPr>
            </w:pPr>
          </w:p>
        </w:tc>
        <w:tc>
          <w:tcPr>
            <w:tcW w:w="4252" w:type="dxa"/>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（八十一）分立企业承继被分立企业所分立资产相关所得税事项（包括尚未确认的资产损失、分期确认收入和尚未享受期满的税收优惠政策等）情况说明（留存备查）。</w:t>
            </w:r>
          </w:p>
        </w:tc>
        <w:tc>
          <w:tcPr>
            <w:tcW w:w="851" w:type="dxa"/>
            <w:vMerge/>
            <w:vAlign w:val="center"/>
          </w:tcPr>
          <w:p w:rsidR="00013EC7" w:rsidRDefault="00013EC7">
            <w:pPr>
              <w:rPr>
                <w:rFonts w:ascii="仿宋" w:eastAsia="仿宋" w:hAnsi="仿宋"/>
                <w:color w:val="000000" w:themeColor="text1"/>
                <w:sz w:val="24"/>
              </w:rPr>
            </w:pPr>
          </w:p>
        </w:tc>
        <w:tc>
          <w:tcPr>
            <w:tcW w:w="2126" w:type="dxa"/>
            <w:vMerge/>
            <w:vAlign w:val="center"/>
          </w:tcPr>
          <w:p w:rsidR="00013EC7" w:rsidRDefault="00013EC7">
            <w:pPr>
              <w:spacing w:line="300" w:lineRule="exact"/>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851" w:type="dxa"/>
            <w:vMerge/>
            <w:vAlign w:val="center"/>
          </w:tcPr>
          <w:p w:rsidR="00013EC7" w:rsidRDefault="00013EC7">
            <w:pPr>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709" w:type="dxa"/>
            <w:vMerge/>
            <w:vAlign w:val="center"/>
          </w:tcPr>
          <w:p w:rsidR="00013EC7" w:rsidRDefault="00013EC7">
            <w:pPr>
              <w:rPr>
                <w:rFonts w:ascii="仿宋" w:eastAsia="仿宋" w:hAnsi="仿宋"/>
                <w:color w:val="000000" w:themeColor="text1"/>
                <w:sz w:val="24"/>
              </w:rPr>
            </w:pPr>
          </w:p>
        </w:tc>
        <w:tc>
          <w:tcPr>
            <w:tcW w:w="1133" w:type="dxa"/>
            <w:vMerge/>
            <w:vAlign w:val="center"/>
          </w:tcPr>
          <w:p w:rsidR="00013EC7" w:rsidRDefault="00013EC7">
            <w:pPr>
              <w:rPr>
                <w:rFonts w:ascii="仿宋" w:eastAsia="仿宋" w:hAnsi="仿宋"/>
                <w:color w:val="000000" w:themeColor="text1"/>
                <w:sz w:val="24"/>
              </w:rPr>
            </w:pPr>
          </w:p>
        </w:tc>
      </w:tr>
      <w:tr w:rsidR="00013EC7">
        <w:trPr>
          <w:trHeight w:val="340"/>
          <w:jc w:val="center"/>
        </w:trPr>
        <w:tc>
          <w:tcPr>
            <w:tcW w:w="672" w:type="dxa"/>
            <w:vMerge/>
            <w:textDirection w:val="tbRlV"/>
            <w:vAlign w:val="center"/>
          </w:tcPr>
          <w:p w:rsidR="00013EC7" w:rsidRDefault="00013EC7">
            <w:pPr>
              <w:rPr>
                <w:rFonts w:ascii="仿宋" w:eastAsia="仿宋" w:hAnsi="仿宋"/>
                <w:color w:val="000000" w:themeColor="text1"/>
                <w:sz w:val="24"/>
              </w:rPr>
            </w:pPr>
          </w:p>
        </w:tc>
        <w:tc>
          <w:tcPr>
            <w:tcW w:w="1035" w:type="dxa"/>
            <w:vMerge/>
            <w:vAlign w:val="center"/>
          </w:tcPr>
          <w:p w:rsidR="00013EC7" w:rsidRDefault="00013EC7">
            <w:pPr>
              <w:rPr>
                <w:rFonts w:ascii="仿宋" w:eastAsia="仿宋" w:hAnsi="仿宋"/>
                <w:color w:val="000000" w:themeColor="text1"/>
                <w:sz w:val="24"/>
              </w:rPr>
            </w:pPr>
          </w:p>
        </w:tc>
        <w:tc>
          <w:tcPr>
            <w:tcW w:w="1271" w:type="dxa"/>
            <w:vMerge/>
            <w:vAlign w:val="center"/>
          </w:tcPr>
          <w:p w:rsidR="00013EC7" w:rsidRDefault="00013EC7">
            <w:pPr>
              <w:rPr>
                <w:rFonts w:ascii="仿宋" w:eastAsia="仿宋" w:hAnsi="仿宋"/>
                <w:color w:val="000000" w:themeColor="text1"/>
                <w:sz w:val="24"/>
              </w:rPr>
            </w:pPr>
          </w:p>
        </w:tc>
        <w:tc>
          <w:tcPr>
            <w:tcW w:w="4394" w:type="dxa"/>
          </w:tcPr>
          <w:p w:rsidR="00013EC7" w:rsidRDefault="00575CDB">
            <w:pPr>
              <w:spacing w:line="300" w:lineRule="exact"/>
              <w:rPr>
                <w:rFonts w:ascii="仿宋" w:eastAsia="仿宋" w:hAnsi="仿宋"/>
                <w:color w:val="000000" w:themeColor="text1"/>
                <w:sz w:val="24"/>
                <w:highlight w:val="lightGray"/>
              </w:rPr>
            </w:pPr>
            <w:r>
              <w:rPr>
                <w:rFonts w:ascii="仿宋" w:eastAsia="仿宋" w:hAnsi="仿宋" w:hint="eastAsia"/>
                <w:color w:val="000000" w:themeColor="text1"/>
                <w:sz w:val="24"/>
                <w:highlight w:val="lightGray"/>
              </w:rPr>
              <w:t>（八十三）若被分立企业尚有未超过法定弥补期限的亏损，应提供亏损弥补情况说明、被分立企业重组前净资产和分立资产公允价值的证明材料。</w:t>
            </w:r>
          </w:p>
        </w:tc>
        <w:tc>
          <w:tcPr>
            <w:tcW w:w="851" w:type="dxa"/>
            <w:vMerge/>
            <w:vAlign w:val="center"/>
          </w:tcPr>
          <w:p w:rsidR="00013EC7" w:rsidRDefault="00013EC7">
            <w:pPr>
              <w:rPr>
                <w:rFonts w:ascii="仿宋" w:eastAsia="仿宋" w:hAnsi="仿宋"/>
                <w:color w:val="000000" w:themeColor="text1"/>
                <w:sz w:val="24"/>
              </w:rPr>
            </w:pPr>
          </w:p>
        </w:tc>
        <w:tc>
          <w:tcPr>
            <w:tcW w:w="4252" w:type="dxa"/>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（八十二）若被分立企业尚有未超过法定弥补期限的亏损，应提供亏损弥补情况说明、被分立企业重组前净资产和分立资产公允价值的证明材料（留存备查）。</w:t>
            </w:r>
          </w:p>
        </w:tc>
        <w:tc>
          <w:tcPr>
            <w:tcW w:w="851" w:type="dxa"/>
            <w:vMerge/>
            <w:vAlign w:val="center"/>
          </w:tcPr>
          <w:p w:rsidR="00013EC7" w:rsidRDefault="00013EC7">
            <w:pPr>
              <w:rPr>
                <w:rFonts w:ascii="仿宋" w:eastAsia="仿宋" w:hAnsi="仿宋"/>
                <w:color w:val="000000" w:themeColor="text1"/>
                <w:sz w:val="24"/>
              </w:rPr>
            </w:pPr>
          </w:p>
        </w:tc>
        <w:tc>
          <w:tcPr>
            <w:tcW w:w="2126" w:type="dxa"/>
            <w:vMerge/>
            <w:vAlign w:val="center"/>
          </w:tcPr>
          <w:p w:rsidR="00013EC7" w:rsidRDefault="00013EC7">
            <w:pPr>
              <w:spacing w:line="300" w:lineRule="exact"/>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851" w:type="dxa"/>
            <w:vMerge/>
            <w:vAlign w:val="center"/>
          </w:tcPr>
          <w:p w:rsidR="00013EC7" w:rsidRDefault="00013EC7">
            <w:pPr>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709" w:type="dxa"/>
            <w:vMerge/>
            <w:vAlign w:val="center"/>
          </w:tcPr>
          <w:p w:rsidR="00013EC7" w:rsidRDefault="00013EC7">
            <w:pPr>
              <w:rPr>
                <w:rFonts w:ascii="仿宋" w:eastAsia="仿宋" w:hAnsi="仿宋"/>
                <w:color w:val="000000" w:themeColor="text1"/>
                <w:sz w:val="24"/>
              </w:rPr>
            </w:pPr>
          </w:p>
        </w:tc>
        <w:tc>
          <w:tcPr>
            <w:tcW w:w="1133" w:type="dxa"/>
            <w:vMerge/>
            <w:vAlign w:val="center"/>
          </w:tcPr>
          <w:p w:rsidR="00013EC7" w:rsidRDefault="00013EC7">
            <w:pPr>
              <w:rPr>
                <w:rFonts w:ascii="仿宋" w:eastAsia="仿宋" w:hAnsi="仿宋"/>
                <w:color w:val="000000" w:themeColor="text1"/>
                <w:sz w:val="24"/>
              </w:rPr>
            </w:pPr>
          </w:p>
        </w:tc>
      </w:tr>
      <w:tr w:rsidR="00013EC7">
        <w:trPr>
          <w:trHeight w:val="340"/>
          <w:jc w:val="center"/>
        </w:trPr>
        <w:tc>
          <w:tcPr>
            <w:tcW w:w="672" w:type="dxa"/>
            <w:vMerge/>
            <w:textDirection w:val="tbRlV"/>
            <w:vAlign w:val="center"/>
          </w:tcPr>
          <w:p w:rsidR="00013EC7" w:rsidRDefault="00013EC7">
            <w:pPr>
              <w:rPr>
                <w:rFonts w:ascii="仿宋" w:eastAsia="仿宋" w:hAnsi="仿宋"/>
                <w:color w:val="000000" w:themeColor="text1"/>
                <w:sz w:val="24"/>
              </w:rPr>
            </w:pPr>
          </w:p>
        </w:tc>
        <w:tc>
          <w:tcPr>
            <w:tcW w:w="1035" w:type="dxa"/>
            <w:vMerge/>
            <w:vAlign w:val="center"/>
          </w:tcPr>
          <w:p w:rsidR="00013EC7" w:rsidRDefault="00013EC7">
            <w:pPr>
              <w:rPr>
                <w:rFonts w:ascii="仿宋" w:eastAsia="仿宋" w:hAnsi="仿宋"/>
                <w:color w:val="000000" w:themeColor="text1"/>
                <w:sz w:val="24"/>
              </w:rPr>
            </w:pPr>
          </w:p>
        </w:tc>
        <w:tc>
          <w:tcPr>
            <w:tcW w:w="1271" w:type="dxa"/>
            <w:vMerge/>
            <w:vAlign w:val="center"/>
          </w:tcPr>
          <w:p w:rsidR="00013EC7" w:rsidRDefault="00013EC7">
            <w:pPr>
              <w:rPr>
                <w:rFonts w:ascii="仿宋" w:eastAsia="仿宋" w:hAnsi="仿宋"/>
                <w:color w:val="000000" w:themeColor="text1"/>
                <w:sz w:val="24"/>
              </w:rPr>
            </w:pPr>
          </w:p>
        </w:tc>
        <w:tc>
          <w:tcPr>
            <w:tcW w:w="4394" w:type="dxa"/>
          </w:tcPr>
          <w:p w:rsidR="00013EC7" w:rsidRDefault="00575CDB">
            <w:pPr>
              <w:spacing w:line="300" w:lineRule="exact"/>
              <w:rPr>
                <w:rFonts w:ascii="仿宋" w:eastAsia="仿宋" w:hAnsi="仿宋"/>
                <w:color w:val="000000" w:themeColor="text1"/>
                <w:sz w:val="24"/>
                <w:highlight w:val="lightGray"/>
              </w:rPr>
            </w:pPr>
            <w:r>
              <w:rPr>
                <w:rFonts w:ascii="仿宋" w:eastAsia="仿宋" w:hAnsi="仿宋" w:hint="eastAsia"/>
                <w:color w:val="000000" w:themeColor="text1"/>
                <w:sz w:val="24"/>
                <w:highlight w:val="lightGray"/>
              </w:rPr>
              <w:t>（八十四）涉及非货币性资产支付的，应提供非货币性资产评估报告等公允价值证明。</w:t>
            </w:r>
          </w:p>
        </w:tc>
        <w:tc>
          <w:tcPr>
            <w:tcW w:w="851" w:type="dxa"/>
            <w:vMerge/>
            <w:vAlign w:val="center"/>
          </w:tcPr>
          <w:p w:rsidR="00013EC7" w:rsidRDefault="00013EC7">
            <w:pPr>
              <w:rPr>
                <w:rFonts w:ascii="仿宋" w:eastAsia="仿宋" w:hAnsi="仿宋"/>
                <w:color w:val="000000" w:themeColor="text1"/>
                <w:sz w:val="24"/>
              </w:rPr>
            </w:pPr>
          </w:p>
        </w:tc>
        <w:tc>
          <w:tcPr>
            <w:tcW w:w="4252" w:type="dxa"/>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（八十三）涉及非货币性资产支付的，应提供非货币性资产评估报告等公允价值证明（留存备查）。</w:t>
            </w:r>
          </w:p>
        </w:tc>
        <w:tc>
          <w:tcPr>
            <w:tcW w:w="851" w:type="dxa"/>
            <w:vMerge/>
            <w:vAlign w:val="center"/>
          </w:tcPr>
          <w:p w:rsidR="00013EC7" w:rsidRDefault="00013EC7">
            <w:pPr>
              <w:rPr>
                <w:rFonts w:ascii="仿宋" w:eastAsia="仿宋" w:hAnsi="仿宋"/>
                <w:color w:val="000000" w:themeColor="text1"/>
                <w:sz w:val="24"/>
              </w:rPr>
            </w:pPr>
          </w:p>
        </w:tc>
        <w:tc>
          <w:tcPr>
            <w:tcW w:w="2126" w:type="dxa"/>
            <w:vMerge/>
            <w:vAlign w:val="center"/>
          </w:tcPr>
          <w:p w:rsidR="00013EC7" w:rsidRDefault="00013EC7">
            <w:pPr>
              <w:spacing w:line="300" w:lineRule="exact"/>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851" w:type="dxa"/>
            <w:vMerge/>
            <w:vAlign w:val="center"/>
          </w:tcPr>
          <w:p w:rsidR="00013EC7" w:rsidRDefault="00013EC7">
            <w:pPr>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709" w:type="dxa"/>
            <w:vMerge/>
            <w:vAlign w:val="center"/>
          </w:tcPr>
          <w:p w:rsidR="00013EC7" w:rsidRDefault="00013EC7">
            <w:pPr>
              <w:rPr>
                <w:rFonts w:ascii="仿宋" w:eastAsia="仿宋" w:hAnsi="仿宋"/>
                <w:color w:val="000000" w:themeColor="text1"/>
                <w:sz w:val="24"/>
              </w:rPr>
            </w:pPr>
          </w:p>
        </w:tc>
        <w:tc>
          <w:tcPr>
            <w:tcW w:w="1133" w:type="dxa"/>
            <w:vMerge/>
            <w:vAlign w:val="center"/>
          </w:tcPr>
          <w:p w:rsidR="00013EC7" w:rsidRDefault="00013EC7">
            <w:pPr>
              <w:rPr>
                <w:rFonts w:ascii="仿宋" w:eastAsia="仿宋" w:hAnsi="仿宋"/>
                <w:color w:val="000000" w:themeColor="text1"/>
                <w:sz w:val="24"/>
              </w:rPr>
            </w:pPr>
          </w:p>
        </w:tc>
      </w:tr>
      <w:tr w:rsidR="00013EC7">
        <w:trPr>
          <w:trHeight w:val="340"/>
          <w:jc w:val="center"/>
        </w:trPr>
        <w:tc>
          <w:tcPr>
            <w:tcW w:w="672" w:type="dxa"/>
            <w:vMerge/>
            <w:textDirection w:val="tbRlV"/>
            <w:vAlign w:val="center"/>
          </w:tcPr>
          <w:p w:rsidR="00013EC7" w:rsidRDefault="00013EC7">
            <w:pPr>
              <w:rPr>
                <w:rFonts w:ascii="仿宋" w:eastAsia="仿宋" w:hAnsi="仿宋"/>
                <w:color w:val="000000" w:themeColor="text1"/>
                <w:sz w:val="24"/>
              </w:rPr>
            </w:pPr>
          </w:p>
        </w:tc>
        <w:tc>
          <w:tcPr>
            <w:tcW w:w="1035" w:type="dxa"/>
            <w:vMerge/>
            <w:vAlign w:val="center"/>
          </w:tcPr>
          <w:p w:rsidR="00013EC7" w:rsidRDefault="00013EC7">
            <w:pPr>
              <w:rPr>
                <w:rFonts w:ascii="仿宋" w:eastAsia="仿宋" w:hAnsi="仿宋"/>
                <w:color w:val="000000" w:themeColor="text1"/>
                <w:sz w:val="24"/>
              </w:rPr>
            </w:pPr>
          </w:p>
        </w:tc>
        <w:tc>
          <w:tcPr>
            <w:tcW w:w="1271" w:type="dxa"/>
            <w:vMerge/>
            <w:vAlign w:val="center"/>
          </w:tcPr>
          <w:p w:rsidR="00013EC7" w:rsidRDefault="00013EC7">
            <w:pPr>
              <w:rPr>
                <w:rFonts w:ascii="仿宋" w:eastAsia="仿宋" w:hAnsi="仿宋"/>
                <w:color w:val="000000" w:themeColor="text1"/>
                <w:sz w:val="24"/>
              </w:rPr>
            </w:pPr>
          </w:p>
        </w:tc>
        <w:tc>
          <w:tcPr>
            <w:tcW w:w="4394" w:type="dxa"/>
          </w:tcPr>
          <w:p w:rsidR="00013EC7" w:rsidRDefault="00575CDB">
            <w:pPr>
              <w:spacing w:line="300" w:lineRule="exact"/>
              <w:rPr>
                <w:rFonts w:ascii="仿宋" w:eastAsia="仿宋" w:hAnsi="仿宋"/>
                <w:color w:val="000000" w:themeColor="text1"/>
                <w:sz w:val="24"/>
                <w:highlight w:val="lightGray"/>
              </w:rPr>
            </w:pPr>
            <w:r>
              <w:rPr>
                <w:rFonts w:ascii="仿宋" w:eastAsia="仿宋" w:hAnsi="仿宋" w:hint="eastAsia"/>
                <w:color w:val="000000" w:themeColor="text1"/>
                <w:sz w:val="24"/>
                <w:highlight w:val="lightGray"/>
              </w:rPr>
              <w:t>（八十五）重组当事各方一致选择特殊性税务处理并加盖当事各方公章的证明资料。</w:t>
            </w:r>
          </w:p>
        </w:tc>
        <w:tc>
          <w:tcPr>
            <w:tcW w:w="851" w:type="dxa"/>
            <w:vMerge/>
            <w:vAlign w:val="center"/>
          </w:tcPr>
          <w:p w:rsidR="00013EC7" w:rsidRDefault="00013EC7">
            <w:pPr>
              <w:rPr>
                <w:rFonts w:ascii="仿宋" w:eastAsia="仿宋" w:hAnsi="仿宋"/>
                <w:color w:val="000000" w:themeColor="text1"/>
                <w:sz w:val="24"/>
              </w:rPr>
            </w:pPr>
          </w:p>
        </w:tc>
        <w:tc>
          <w:tcPr>
            <w:tcW w:w="4252" w:type="dxa"/>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（八十四）重组当事各方一致选择特殊性税务处理并加盖当事各方公章的证明资料（留存备查）。</w:t>
            </w:r>
          </w:p>
        </w:tc>
        <w:tc>
          <w:tcPr>
            <w:tcW w:w="851" w:type="dxa"/>
            <w:vMerge/>
            <w:vAlign w:val="center"/>
          </w:tcPr>
          <w:p w:rsidR="00013EC7" w:rsidRDefault="00013EC7">
            <w:pPr>
              <w:rPr>
                <w:rFonts w:ascii="仿宋" w:eastAsia="仿宋" w:hAnsi="仿宋"/>
                <w:color w:val="000000" w:themeColor="text1"/>
                <w:sz w:val="24"/>
              </w:rPr>
            </w:pPr>
          </w:p>
        </w:tc>
        <w:tc>
          <w:tcPr>
            <w:tcW w:w="2126" w:type="dxa"/>
            <w:vMerge/>
            <w:vAlign w:val="center"/>
          </w:tcPr>
          <w:p w:rsidR="00013EC7" w:rsidRDefault="00013EC7">
            <w:pPr>
              <w:spacing w:line="300" w:lineRule="exact"/>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851" w:type="dxa"/>
            <w:vMerge/>
            <w:vAlign w:val="center"/>
          </w:tcPr>
          <w:p w:rsidR="00013EC7" w:rsidRDefault="00013EC7">
            <w:pPr>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709" w:type="dxa"/>
            <w:vMerge/>
            <w:vAlign w:val="center"/>
          </w:tcPr>
          <w:p w:rsidR="00013EC7" w:rsidRDefault="00013EC7">
            <w:pPr>
              <w:rPr>
                <w:rFonts w:ascii="仿宋" w:eastAsia="仿宋" w:hAnsi="仿宋"/>
                <w:color w:val="000000" w:themeColor="text1"/>
                <w:sz w:val="24"/>
              </w:rPr>
            </w:pPr>
          </w:p>
        </w:tc>
        <w:tc>
          <w:tcPr>
            <w:tcW w:w="1133" w:type="dxa"/>
            <w:vMerge/>
            <w:vAlign w:val="center"/>
          </w:tcPr>
          <w:p w:rsidR="00013EC7" w:rsidRDefault="00013EC7">
            <w:pPr>
              <w:rPr>
                <w:rFonts w:ascii="仿宋" w:eastAsia="仿宋" w:hAnsi="仿宋"/>
                <w:color w:val="000000" w:themeColor="text1"/>
                <w:sz w:val="24"/>
              </w:rPr>
            </w:pPr>
          </w:p>
        </w:tc>
      </w:tr>
      <w:tr w:rsidR="00013EC7">
        <w:trPr>
          <w:trHeight w:val="340"/>
          <w:jc w:val="center"/>
        </w:trPr>
        <w:tc>
          <w:tcPr>
            <w:tcW w:w="672" w:type="dxa"/>
            <w:vMerge/>
            <w:textDirection w:val="tbRlV"/>
            <w:vAlign w:val="center"/>
          </w:tcPr>
          <w:p w:rsidR="00013EC7" w:rsidRDefault="00013EC7">
            <w:pPr>
              <w:rPr>
                <w:rFonts w:ascii="仿宋" w:eastAsia="仿宋" w:hAnsi="仿宋"/>
                <w:color w:val="000000" w:themeColor="text1"/>
                <w:sz w:val="24"/>
              </w:rPr>
            </w:pPr>
          </w:p>
        </w:tc>
        <w:tc>
          <w:tcPr>
            <w:tcW w:w="1035" w:type="dxa"/>
            <w:vMerge/>
            <w:vAlign w:val="center"/>
          </w:tcPr>
          <w:p w:rsidR="00013EC7" w:rsidRDefault="00013EC7">
            <w:pPr>
              <w:rPr>
                <w:rFonts w:ascii="仿宋" w:eastAsia="仿宋" w:hAnsi="仿宋"/>
                <w:color w:val="000000" w:themeColor="text1"/>
                <w:sz w:val="24"/>
              </w:rPr>
            </w:pPr>
          </w:p>
        </w:tc>
        <w:tc>
          <w:tcPr>
            <w:tcW w:w="1271" w:type="dxa"/>
            <w:vMerge/>
            <w:vAlign w:val="center"/>
          </w:tcPr>
          <w:p w:rsidR="00013EC7" w:rsidRDefault="00013EC7">
            <w:pPr>
              <w:rPr>
                <w:rFonts w:ascii="仿宋" w:eastAsia="仿宋" w:hAnsi="仿宋"/>
                <w:color w:val="000000" w:themeColor="text1"/>
                <w:sz w:val="24"/>
              </w:rPr>
            </w:pPr>
          </w:p>
        </w:tc>
        <w:tc>
          <w:tcPr>
            <w:tcW w:w="4394" w:type="dxa"/>
          </w:tcPr>
          <w:p w:rsidR="00013EC7" w:rsidRDefault="00575CDB">
            <w:pPr>
              <w:spacing w:line="300" w:lineRule="exact"/>
              <w:rPr>
                <w:rFonts w:ascii="仿宋" w:eastAsia="仿宋" w:hAnsi="仿宋"/>
                <w:color w:val="000000" w:themeColor="text1"/>
                <w:sz w:val="24"/>
                <w:highlight w:val="lightGray"/>
              </w:rPr>
            </w:pPr>
            <w:r>
              <w:rPr>
                <w:rFonts w:ascii="仿宋" w:eastAsia="仿宋" w:hAnsi="仿宋" w:hint="eastAsia"/>
                <w:color w:val="000000" w:themeColor="text1"/>
                <w:sz w:val="24"/>
                <w:highlight w:val="lightGray"/>
              </w:rPr>
              <w:t>（八十六）重组前连续12个月内有无与该重组相关的其他股权、资产交易,与该重组是否构成分步交易、是否作为一项企</w:t>
            </w:r>
            <w:r>
              <w:rPr>
                <w:rFonts w:ascii="仿宋" w:eastAsia="仿宋" w:hAnsi="仿宋" w:hint="eastAsia"/>
                <w:color w:val="000000" w:themeColor="text1"/>
                <w:sz w:val="24"/>
                <w:highlight w:val="lightGray"/>
              </w:rPr>
              <w:lastRenderedPageBreak/>
              <w:t>业重组业务进行处理情况的说明。</w:t>
            </w:r>
          </w:p>
        </w:tc>
        <w:tc>
          <w:tcPr>
            <w:tcW w:w="851" w:type="dxa"/>
            <w:vMerge/>
            <w:vAlign w:val="center"/>
          </w:tcPr>
          <w:p w:rsidR="00013EC7" w:rsidRDefault="00013EC7">
            <w:pPr>
              <w:rPr>
                <w:rFonts w:ascii="仿宋" w:eastAsia="仿宋" w:hAnsi="仿宋"/>
                <w:color w:val="000000" w:themeColor="text1"/>
                <w:sz w:val="24"/>
              </w:rPr>
            </w:pPr>
          </w:p>
        </w:tc>
        <w:tc>
          <w:tcPr>
            <w:tcW w:w="4252" w:type="dxa"/>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（八十五）重组前连续12个月内有无与该重组相关的其他股权、资产交易,与该重组是否构成分步交易、是否作为一项</w:t>
            </w:r>
            <w:r>
              <w:rPr>
                <w:rFonts w:ascii="仿宋" w:eastAsia="仿宋" w:hAnsi="仿宋" w:hint="eastAsia"/>
                <w:color w:val="000000" w:themeColor="text1"/>
                <w:sz w:val="24"/>
              </w:rPr>
              <w:lastRenderedPageBreak/>
              <w:t>企业重组业务进行处理情况的说明（留存备查）。</w:t>
            </w:r>
          </w:p>
        </w:tc>
        <w:tc>
          <w:tcPr>
            <w:tcW w:w="851" w:type="dxa"/>
            <w:vMerge/>
            <w:vAlign w:val="center"/>
          </w:tcPr>
          <w:p w:rsidR="00013EC7" w:rsidRDefault="00013EC7">
            <w:pPr>
              <w:rPr>
                <w:rFonts w:ascii="仿宋" w:eastAsia="仿宋" w:hAnsi="仿宋"/>
                <w:color w:val="000000" w:themeColor="text1"/>
                <w:sz w:val="24"/>
              </w:rPr>
            </w:pPr>
          </w:p>
        </w:tc>
        <w:tc>
          <w:tcPr>
            <w:tcW w:w="2126" w:type="dxa"/>
            <w:vMerge/>
            <w:vAlign w:val="center"/>
          </w:tcPr>
          <w:p w:rsidR="00013EC7" w:rsidRDefault="00013EC7">
            <w:pPr>
              <w:spacing w:line="300" w:lineRule="exact"/>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851" w:type="dxa"/>
            <w:vMerge/>
            <w:vAlign w:val="center"/>
          </w:tcPr>
          <w:p w:rsidR="00013EC7" w:rsidRDefault="00013EC7">
            <w:pPr>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709" w:type="dxa"/>
            <w:vMerge/>
            <w:vAlign w:val="center"/>
          </w:tcPr>
          <w:p w:rsidR="00013EC7" w:rsidRDefault="00013EC7">
            <w:pPr>
              <w:rPr>
                <w:rFonts w:ascii="仿宋" w:eastAsia="仿宋" w:hAnsi="仿宋"/>
                <w:color w:val="000000" w:themeColor="text1"/>
                <w:sz w:val="24"/>
              </w:rPr>
            </w:pPr>
          </w:p>
        </w:tc>
        <w:tc>
          <w:tcPr>
            <w:tcW w:w="1133" w:type="dxa"/>
            <w:vMerge/>
            <w:vAlign w:val="center"/>
          </w:tcPr>
          <w:p w:rsidR="00013EC7" w:rsidRDefault="00013EC7">
            <w:pPr>
              <w:rPr>
                <w:rFonts w:ascii="仿宋" w:eastAsia="仿宋" w:hAnsi="仿宋"/>
                <w:color w:val="000000" w:themeColor="text1"/>
                <w:sz w:val="24"/>
              </w:rPr>
            </w:pPr>
          </w:p>
        </w:tc>
      </w:tr>
      <w:tr w:rsidR="00013EC7">
        <w:trPr>
          <w:trHeight w:val="340"/>
          <w:jc w:val="center"/>
        </w:trPr>
        <w:tc>
          <w:tcPr>
            <w:tcW w:w="672" w:type="dxa"/>
            <w:vMerge/>
            <w:textDirection w:val="tbRlV"/>
            <w:vAlign w:val="center"/>
          </w:tcPr>
          <w:p w:rsidR="00013EC7" w:rsidRDefault="00013EC7">
            <w:pPr>
              <w:rPr>
                <w:rFonts w:ascii="仿宋" w:eastAsia="仿宋" w:hAnsi="仿宋"/>
                <w:color w:val="000000" w:themeColor="text1"/>
                <w:sz w:val="24"/>
              </w:rPr>
            </w:pPr>
          </w:p>
        </w:tc>
        <w:tc>
          <w:tcPr>
            <w:tcW w:w="1035" w:type="dxa"/>
            <w:vMerge/>
            <w:vAlign w:val="center"/>
          </w:tcPr>
          <w:p w:rsidR="00013EC7" w:rsidRDefault="00013EC7">
            <w:pPr>
              <w:rPr>
                <w:rFonts w:ascii="仿宋" w:eastAsia="仿宋" w:hAnsi="仿宋"/>
                <w:color w:val="000000" w:themeColor="text1"/>
                <w:sz w:val="24"/>
              </w:rPr>
            </w:pPr>
          </w:p>
        </w:tc>
        <w:tc>
          <w:tcPr>
            <w:tcW w:w="1271" w:type="dxa"/>
            <w:vMerge/>
            <w:vAlign w:val="center"/>
          </w:tcPr>
          <w:p w:rsidR="00013EC7" w:rsidRDefault="00013EC7">
            <w:pPr>
              <w:rPr>
                <w:rFonts w:ascii="仿宋" w:eastAsia="仿宋" w:hAnsi="仿宋"/>
                <w:color w:val="000000" w:themeColor="text1"/>
                <w:sz w:val="24"/>
              </w:rPr>
            </w:pPr>
          </w:p>
        </w:tc>
        <w:tc>
          <w:tcPr>
            <w:tcW w:w="4394" w:type="dxa"/>
          </w:tcPr>
          <w:p w:rsidR="00013EC7" w:rsidRDefault="00575CDB">
            <w:pPr>
              <w:rPr>
                <w:color w:val="000000" w:themeColor="text1"/>
                <w:highlight w:val="lightGray"/>
              </w:rPr>
            </w:pPr>
            <w:r>
              <w:rPr>
                <w:rFonts w:ascii="仿宋" w:eastAsia="仿宋" w:hAnsi="仿宋" w:hint="eastAsia"/>
                <w:color w:val="000000" w:themeColor="text1"/>
                <w:sz w:val="24"/>
                <w:highlight w:val="lightGray"/>
              </w:rPr>
              <w:t>（八十七）按会计准则规定当期应确认资产（股权）转让损益的，应提供按税法规定核算的资产（股权）计税基础与按会计准则规定核算的相关资产（股权）账面价值的暂时性差异专项说明。</w:t>
            </w:r>
          </w:p>
        </w:tc>
        <w:tc>
          <w:tcPr>
            <w:tcW w:w="851" w:type="dxa"/>
            <w:vMerge/>
            <w:vAlign w:val="center"/>
          </w:tcPr>
          <w:p w:rsidR="00013EC7" w:rsidRDefault="00013EC7">
            <w:pPr>
              <w:rPr>
                <w:rFonts w:ascii="仿宋" w:eastAsia="仿宋" w:hAnsi="仿宋"/>
                <w:color w:val="000000" w:themeColor="text1"/>
                <w:sz w:val="24"/>
              </w:rPr>
            </w:pPr>
          </w:p>
        </w:tc>
        <w:tc>
          <w:tcPr>
            <w:tcW w:w="4252" w:type="dxa"/>
          </w:tcPr>
          <w:p w:rsidR="00013EC7" w:rsidRDefault="00575CDB">
            <w:pPr>
              <w:rPr>
                <w:color w:val="000000" w:themeColor="text1"/>
              </w:rPr>
            </w:pPr>
            <w:r>
              <w:rPr>
                <w:rFonts w:ascii="仿宋" w:eastAsia="仿宋" w:hAnsi="仿宋" w:hint="eastAsia"/>
                <w:color w:val="000000" w:themeColor="text1"/>
                <w:sz w:val="24"/>
              </w:rPr>
              <w:t>（八十六）按会计准则规定当期应确认资产（股权）转让损益的，应提供按税法规定核算的资产（股权）计税基础与按会计准则规定核算的相关资产（股权）账面价值的暂时性差异专项说明（留存备查）。</w:t>
            </w:r>
          </w:p>
        </w:tc>
        <w:tc>
          <w:tcPr>
            <w:tcW w:w="851" w:type="dxa"/>
            <w:vMerge/>
            <w:vAlign w:val="center"/>
          </w:tcPr>
          <w:p w:rsidR="00013EC7" w:rsidRDefault="00013EC7">
            <w:pPr>
              <w:rPr>
                <w:rFonts w:ascii="仿宋" w:eastAsia="仿宋" w:hAnsi="仿宋"/>
                <w:color w:val="000000" w:themeColor="text1"/>
                <w:sz w:val="24"/>
              </w:rPr>
            </w:pPr>
          </w:p>
        </w:tc>
        <w:tc>
          <w:tcPr>
            <w:tcW w:w="2126" w:type="dxa"/>
            <w:vMerge/>
            <w:vAlign w:val="center"/>
          </w:tcPr>
          <w:p w:rsidR="00013EC7" w:rsidRDefault="00013EC7">
            <w:pPr>
              <w:spacing w:line="300" w:lineRule="exact"/>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851" w:type="dxa"/>
            <w:vMerge/>
            <w:vAlign w:val="center"/>
          </w:tcPr>
          <w:p w:rsidR="00013EC7" w:rsidRDefault="00013EC7">
            <w:pPr>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709" w:type="dxa"/>
            <w:vMerge/>
            <w:vAlign w:val="center"/>
          </w:tcPr>
          <w:p w:rsidR="00013EC7" w:rsidRDefault="00013EC7">
            <w:pPr>
              <w:rPr>
                <w:rFonts w:ascii="仿宋" w:eastAsia="仿宋" w:hAnsi="仿宋"/>
                <w:color w:val="000000" w:themeColor="text1"/>
                <w:sz w:val="24"/>
              </w:rPr>
            </w:pPr>
          </w:p>
        </w:tc>
        <w:tc>
          <w:tcPr>
            <w:tcW w:w="1133" w:type="dxa"/>
            <w:vMerge/>
            <w:vAlign w:val="center"/>
          </w:tcPr>
          <w:p w:rsidR="00013EC7" w:rsidRDefault="00013EC7">
            <w:pPr>
              <w:rPr>
                <w:rFonts w:ascii="仿宋" w:eastAsia="仿宋" w:hAnsi="仿宋"/>
                <w:color w:val="000000" w:themeColor="text1"/>
                <w:sz w:val="24"/>
              </w:rPr>
            </w:pPr>
          </w:p>
        </w:tc>
      </w:tr>
      <w:tr w:rsidR="00013EC7">
        <w:trPr>
          <w:trHeight w:val="340"/>
          <w:jc w:val="center"/>
        </w:trPr>
        <w:tc>
          <w:tcPr>
            <w:tcW w:w="672" w:type="dxa"/>
            <w:vMerge/>
            <w:textDirection w:val="tbRlV"/>
            <w:vAlign w:val="center"/>
          </w:tcPr>
          <w:p w:rsidR="00013EC7" w:rsidRDefault="00013EC7">
            <w:pPr>
              <w:rPr>
                <w:rFonts w:ascii="仿宋" w:eastAsia="仿宋" w:hAnsi="仿宋"/>
                <w:color w:val="000000" w:themeColor="text1"/>
                <w:sz w:val="24"/>
              </w:rPr>
            </w:pPr>
          </w:p>
        </w:tc>
        <w:tc>
          <w:tcPr>
            <w:tcW w:w="1035" w:type="dxa"/>
            <w:vMerge/>
            <w:vAlign w:val="center"/>
          </w:tcPr>
          <w:p w:rsidR="00013EC7" w:rsidRDefault="00013EC7">
            <w:pPr>
              <w:rPr>
                <w:rFonts w:ascii="仿宋" w:eastAsia="仿宋" w:hAnsi="仿宋"/>
                <w:color w:val="000000" w:themeColor="text1"/>
                <w:sz w:val="24"/>
              </w:rPr>
            </w:pPr>
          </w:p>
        </w:tc>
        <w:tc>
          <w:tcPr>
            <w:tcW w:w="1271" w:type="dxa"/>
            <w:vMerge/>
            <w:vAlign w:val="center"/>
          </w:tcPr>
          <w:p w:rsidR="00013EC7" w:rsidRDefault="00013EC7">
            <w:pPr>
              <w:rPr>
                <w:rFonts w:ascii="仿宋" w:eastAsia="仿宋" w:hAnsi="仿宋"/>
                <w:color w:val="000000" w:themeColor="text1"/>
                <w:sz w:val="24"/>
              </w:rPr>
            </w:pPr>
          </w:p>
        </w:tc>
        <w:tc>
          <w:tcPr>
            <w:tcW w:w="4394" w:type="dxa"/>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（八十八）当事方的重组情况说明，申请文件中应说明股权转让的商业目的。</w:t>
            </w:r>
          </w:p>
        </w:tc>
        <w:tc>
          <w:tcPr>
            <w:tcW w:w="851" w:type="dxa"/>
            <w:vMerge w:val="restart"/>
            <w:vAlign w:val="center"/>
          </w:tcPr>
          <w:p w:rsidR="00013EC7" w:rsidRDefault="00575CDB">
            <w:pPr>
              <w:rPr>
                <w:rFonts w:ascii="仿宋" w:eastAsia="仿宋" w:hAnsi="仿宋"/>
                <w:color w:val="000000" w:themeColor="text1"/>
                <w:sz w:val="24"/>
              </w:rPr>
            </w:pPr>
            <w:r>
              <w:rPr>
                <w:rFonts w:ascii="仿宋" w:eastAsia="仿宋" w:hAnsi="仿宋"/>
                <w:color w:val="000000" w:themeColor="text1"/>
                <w:sz w:val="24"/>
              </w:rPr>
              <w:t>发生</w:t>
            </w:r>
            <w:r>
              <w:rPr>
                <w:rFonts w:ascii="仿宋" w:eastAsia="仿宋" w:hAnsi="仿宋" w:hint="eastAsia"/>
                <w:color w:val="000000" w:themeColor="text1"/>
                <w:sz w:val="24"/>
              </w:rPr>
              <w:t>居民企业对非居民企业进行投资</w:t>
            </w:r>
            <w:r>
              <w:rPr>
                <w:rFonts w:ascii="仿宋" w:eastAsia="仿宋" w:hAnsi="仿宋"/>
                <w:color w:val="000000" w:themeColor="text1"/>
                <w:sz w:val="24"/>
              </w:rPr>
              <w:t>并选择特殊性税务处理的</w:t>
            </w:r>
            <w:r>
              <w:rPr>
                <w:rFonts w:ascii="仿宋" w:eastAsia="仿宋" w:hAnsi="仿宋" w:hint="eastAsia"/>
                <w:color w:val="000000" w:themeColor="text1"/>
                <w:sz w:val="24"/>
              </w:rPr>
              <w:t>纳税人提交</w:t>
            </w:r>
          </w:p>
        </w:tc>
        <w:tc>
          <w:tcPr>
            <w:tcW w:w="4252" w:type="dxa"/>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（八十七）当事方的重组情况说明，申请文件中应说明股权转让的商业目的。</w:t>
            </w:r>
          </w:p>
        </w:tc>
        <w:tc>
          <w:tcPr>
            <w:tcW w:w="851" w:type="dxa"/>
            <w:vMerge w:val="restart"/>
            <w:vAlign w:val="center"/>
          </w:tcPr>
          <w:p w:rsidR="00013EC7" w:rsidRDefault="00575CDB">
            <w:pPr>
              <w:rPr>
                <w:rFonts w:ascii="仿宋" w:eastAsia="仿宋" w:hAnsi="仿宋"/>
                <w:color w:val="000000" w:themeColor="text1"/>
                <w:sz w:val="24"/>
              </w:rPr>
            </w:pPr>
            <w:r>
              <w:rPr>
                <w:rFonts w:ascii="仿宋" w:eastAsia="仿宋" w:hAnsi="仿宋"/>
                <w:color w:val="000000" w:themeColor="text1"/>
                <w:sz w:val="24"/>
              </w:rPr>
              <w:t>发生</w:t>
            </w:r>
            <w:r>
              <w:rPr>
                <w:rFonts w:ascii="仿宋" w:eastAsia="仿宋" w:hAnsi="仿宋" w:hint="eastAsia"/>
                <w:color w:val="000000" w:themeColor="text1"/>
                <w:sz w:val="24"/>
              </w:rPr>
              <w:t>居民企业对非居民企业进行投资</w:t>
            </w:r>
            <w:r>
              <w:rPr>
                <w:rFonts w:ascii="仿宋" w:eastAsia="仿宋" w:hAnsi="仿宋"/>
                <w:color w:val="000000" w:themeColor="text1"/>
                <w:sz w:val="24"/>
              </w:rPr>
              <w:t>并选择特殊性税务处理的</w:t>
            </w:r>
            <w:r>
              <w:rPr>
                <w:rFonts w:ascii="仿宋" w:eastAsia="仿宋" w:hAnsi="仿宋" w:hint="eastAsia"/>
                <w:color w:val="000000" w:themeColor="text1"/>
                <w:sz w:val="24"/>
              </w:rPr>
              <w:t>纳税人提交</w:t>
            </w:r>
          </w:p>
        </w:tc>
        <w:tc>
          <w:tcPr>
            <w:tcW w:w="2126" w:type="dxa"/>
            <w:vMerge/>
            <w:vAlign w:val="center"/>
          </w:tcPr>
          <w:p w:rsidR="00013EC7" w:rsidRDefault="00013EC7">
            <w:pPr>
              <w:spacing w:line="300" w:lineRule="exact"/>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851" w:type="dxa"/>
            <w:vMerge/>
            <w:vAlign w:val="center"/>
          </w:tcPr>
          <w:p w:rsidR="00013EC7" w:rsidRDefault="00013EC7">
            <w:pPr>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709" w:type="dxa"/>
            <w:vMerge/>
            <w:vAlign w:val="center"/>
          </w:tcPr>
          <w:p w:rsidR="00013EC7" w:rsidRDefault="00013EC7">
            <w:pPr>
              <w:rPr>
                <w:rFonts w:ascii="仿宋" w:eastAsia="仿宋" w:hAnsi="仿宋"/>
                <w:color w:val="000000" w:themeColor="text1"/>
                <w:sz w:val="24"/>
              </w:rPr>
            </w:pPr>
          </w:p>
        </w:tc>
        <w:tc>
          <w:tcPr>
            <w:tcW w:w="1133" w:type="dxa"/>
            <w:vMerge/>
            <w:vAlign w:val="center"/>
          </w:tcPr>
          <w:p w:rsidR="00013EC7" w:rsidRDefault="00013EC7">
            <w:pPr>
              <w:rPr>
                <w:rFonts w:ascii="仿宋" w:eastAsia="仿宋" w:hAnsi="仿宋"/>
                <w:color w:val="000000" w:themeColor="text1"/>
                <w:sz w:val="24"/>
              </w:rPr>
            </w:pPr>
          </w:p>
        </w:tc>
      </w:tr>
      <w:tr w:rsidR="00013EC7">
        <w:trPr>
          <w:trHeight w:val="340"/>
          <w:jc w:val="center"/>
        </w:trPr>
        <w:tc>
          <w:tcPr>
            <w:tcW w:w="672" w:type="dxa"/>
            <w:vMerge/>
            <w:textDirection w:val="tbRlV"/>
            <w:vAlign w:val="center"/>
          </w:tcPr>
          <w:p w:rsidR="00013EC7" w:rsidRDefault="00013EC7">
            <w:pPr>
              <w:rPr>
                <w:rFonts w:ascii="仿宋" w:eastAsia="仿宋" w:hAnsi="仿宋"/>
                <w:color w:val="000000" w:themeColor="text1"/>
                <w:sz w:val="24"/>
              </w:rPr>
            </w:pPr>
          </w:p>
        </w:tc>
        <w:tc>
          <w:tcPr>
            <w:tcW w:w="1035" w:type="dxa"/>
            <w:vMerge/>
            <w:vAlign w:val="center"/>
          </w:tcPr>
          <w:p w:rsidR="00013EC7" w:rsidRDefault="00013EC7">
            <w:pPr>
              <w:rPr>
                <w:rFonts w:ascii="仿宋" w:eastAsia="仿宋" w:hAnsi="仿宋"/>
                <w:color w:val="000000" w:themeColor="text1"/>
                <w:sz w:val="24"/>
              </w:rPr>
            </w:pPr>
          </w:p>
        </w:tc>
        <w:tc>
          <w:tcPr>
            <w:tcW w:w="1271" w:type="dxa"/>
            <w:vMerge/>
            <w:vAlign w:val="center"/>
          </w:tcPr>
          <w:p w:rsidR="00013EC7" w:rsidRDefault="00013EC7">
            <w:pPr>
              <w:rPr>
                <w:rFonts w:ascii="仿宋" w:eastAsia="仿宋" w:hAnsi="仿宋"/>
                <w:color w:val="000000" w:themeColor="text1"/>
                <w:sz w:val="24"/>
              </w:rPr>
            </w:pPr>
          </w:p>
        </w:tc>
        <w:tc>
          <w:tcPr>
            <w:tcW w:w="4394" w:type="dxa"/>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（八十九）双方所签订的股权转让协议。</w:t>
            </w:r>
          </w:p>
        </w:tc>
        <w:tc>
          <w:tcPr>
            <w:tcW w:w="851" w:type="dxa"/>
            <w:vMerge/>
            <w:vAlign w:val="center"/>
          </w:tcPr>
          <w:p w:rsidR="00013EC7" w:rsidRDefault="00013EC7">
            <w:pPr>
              <w:rPr>
                <w:rFonts w:ascii="仿宋" w:eastAsia="仿宋" w:hAnsi="仿宋"/>
                <w:color w:val="000000" w:themeColor="text1"/>
                <w:sz w:val="24"/>
              </w:rPr>
            </w:pPr>
          </w:p>
        </w:tc>
        <w:tc>
          <w:tcPr>
            <w:tcW w:w="4252" w:type="dxa"/>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（八十八）双方所签订的股权转让协议。</w:t>
            </w:r>
          </w:p>
        </w:tc>
        <w:tc>
          <w:tcPr>
            <w:tcW w:w="851" w:type="dxa"/>
            <w:vMerge/>
            <w:vAlign w:val="center"/>
          </w:tcPr>
          <w:p w:rsidR="00013EC7" w:rsidRDefault="00013EC7">
            <w:pPr>
              <w:rPr>
                <w:rFonts w:ascii="仿宋" w:eastAsia="仿宋" w:hAnsi="仿宋"/>
                <w:color w:val="000000" w:themeColor="text1"/>
                <w:sz w:val="24"/>
              </w:rPr>
            </w:pPr>
          </w:p>
        </w:tc>
        <w:tc>
          <w:tcPr>
            <w:tcW w:w="2126" w:type="dxa"/>
            <w:vMerge/>
            <w:vAlign w:val="center"/>
          </w:tcPr>
          <w:p w:rsidR="00013EC7" w:rsidRDefault="00013EC7">
            <w:pPr>
              <w:spacing w:line="300" w:lineRule="exact"/>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851" w:type="dxa"/>
            <w:vMerge/>
            <w:vAlign w:val="center"/>
          </w:tcPr>
          <w:p w:rsidR="00013EC7" w:rsidRDefault="00013EC7">
            <w:pPr>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709" w:type="dxa"/>
            <w:vMerge/>
            <w:vAlign w:val="center"/>
          </w:tcPr>
          <w:p w:rsidR="00013EC7" w:rsidRDefault="00013EC7">
            <w:pPr>
              <w:rPr>
                <w:rFonts w:ascii="仿宋" w:eastAsia="仿宋" w:hAnsi="仿宋"/>
                <w:color w:val="000000" w:themeColor="text1"/>
                <w:sz w:val="24"/>
              </w:rPr>
            </w:pPr>
          </w:p>
        </w:tc>
        <w:tc>
          <w:tcPr>
            <w:tcW w:w="1133" w:type="dxa"/>
            <w:vMerge/>
            <w:vAlign w:val="center"/>
          </w:tcPr>
          <w:p w:rsidR="00013EC7" w:rsidRDefault="00013EC7">
            <w:pPr>
              <w:rPr>
                <w:rFonts w:ascii="仿宋" w:eastAsia="仿宋" w:hAnsi="仿宋"/>
                <w:color w:val="000000" w:themeColor="text1"/>
                <w:sz w:val="24"/>
              </w:rPr>
            </w:pPr>
          </w:p>
        </w:tc>
      </w:tr>
      <w:tr w:rsidR="00013EC7">
        <w:trPr>
          <w:trHeight w:val="340"/>
          <w:jc w:val="center"/>
        </w:trPr>
        <w:tc>
          <w:tcPr>
            <w:tcW w:w="672" w:type="dxa"/>
            <w:vMerge/>
            <w:textDirection w:val="tbRlV"/>
            <w:vAlign w:val="center"/>
          </w:tcPr>
          <w:p w:rsidR="00013EC7" w:rsidRDefault="00013EC7">
            <w:pPr>
              <w:rPr>
                <w:rFonts w:ascii="仿宋" w:eastAsia="仿宋" w:hAnsi="仿宋"/>
                <w:color w:val="000000" w:themeColor="text1"/>
                <w:sz w:val="24"/>
              </w:rPr>
            </w:pPr>
          </w:p>
        </w:tc>
        <w:tc>
          <w:tcPr>
            <w:tcW w:w="1035" w:type="dxa"/>
            <w:vMerge/>
            <w:vAlign w:val="center"/>
          </w:tcPr>
          <w:p w:rsidR="00013EC7" w:rsidRDefault="00013EC7">
            <w:pPr>
              <w:rPr>
                <w:rFonts w:ascii="仿宋" w:eastAsia="仿宋" w:hAnsi="仿宋"/>
                <w:color w:val="000000" w:themeColor="text1"/>
                <w:sz w:val="24"/>
              </w:rPr>
            </w:pPr>
          </w:p>
        </w:tc>
        <w:tc>
          <w:tcPr>
            <w:tcW w:w="1271" w:type="dxa"/>
            <w:vMerge/>
            <w:vAlign w:val="center"/>
          </w:tcPr>
          <w:p w:rsidR="00013EC7" w:rsidRDefault="00013EC7">
            <w:pPr>
              <w:rPr>
                <w:rFonts w:ascii="仿宋" w:eastAsia="仿宋" w:hAnsi="仿宋"/>
                <w:color w:val="000000" w:themeColor="text1"/>
                <w:sz w:val="24"/>
              </w:rPr>
            </w:pPr>
          </w:p>
        </w:tc>
        <w:tc>
          <w:tcPr>
            <w:tcW w:w="4394" w:type="dxa"/>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（九十）双方控股情况说明。</w:t>
            </w:r>
          </w:p>
        </w:tc>
        <w:tc>
          <w:tcPr>
            <w:tcW w:w="851" w:type="dxa"/>
            <w:vMerge/>
            <w:vAlign w:val="center"/>
          </w:tcPr>
          <w:p w:rsidR="00013EC7" w:rsidRDefault="00013EC7">
            <w:pPr>
              <w:rPr>
                <w:rFonts w:ascii="仿宋" w:eastAsia="仿宋" w:hAnsi="仿宋"/>
                <w:color w:val="000000" w:themeColor="text1"/>
                <w:sz w:val="24"/>
              </w:rPr>
            </w:pPr>
          </w:p>
        </w:tc>
        <w:tc>
          <w:tcPr>
            <w:tcW w:w="4252" w:type="dxa"/>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（八十九）双方控股情况说明。</w:t>
            </w:r>
          </w:p>
        </w:tc>
        <w:tc>
          <w:tcPr>
            <w:tcW w:w="851" w:type="dxa"/>
            <w:vMerge/>
            <w:vAlign w:val="center"/>
          </w:tcPr>
          <w:p w:rsidR="00013EC7" w:rsidRDefault="00013EC7">
            <w:pPr>
              <w:rPr>
                <w:rFonts w:ascii="仿宋" w:eastAsia="仿宋" w:hAnsi="仿宋"/>
                <w:color w:val="000000" w:themeColor="text1"/>
                <w:sz w:val="24"/>
              </w:rPr>
            </w:pPr>
          </w:p>
        </w:tc>
        <w:tc>
          <w:tcPr>
            <w:tcW w:w="2126" w:type="dxa"/>
            <w:vMerge/>
            <w:vAlign w:val="center"/>
          </w:tcPr>
          <w:p w:rsidR="00013EC7" w:rsidRDefault="00013EC7">
            <w:pPr>
              <w:spacing w:line="300" w:lineRule="exact"/>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851" w:type="dxa"/>
            <w:vMerge/>
            <w:vAlign w:val="center"/>
          </w:tcPr>
          <w:p w:rsidR="00013EC7" w:rsidRDefault="00013EC7">
            <w:pPr>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709" w:type="dxa"/>
            <w:vMerge/>
            <w:vAlign w:val="center"/>
          </w:tcPr>
          <w:p w:rsidR="00013EC7" w:rsidRDefault="00013EC7">
            <w:pPr>
              <w:rPr>
                <w:rFonts w:ascii="仿宋" w:eastAsia="仿宋" w:hAnsi="仿宋"/>
                <w:color w:val="000000" w:themeColor="text1"/>
                <w:sz w:val="24"/>
              </w:rPr>
            </w:pPr>
          </w:p>
        </w:tc>
        <w:tc>
          <w:tcPr>
            <w:tcW w:w="1133" w:type="dxa"/>
            <w:vMerge/>
            <w:vAlign w:val="center"/>
          </w:tcPr>
          <w:p w:rsidR="00013EC7" w:rsidRDefault="00013EC7">
            <w:pPr>
              <w:rPr>
                <w:rFonts w:ascii="仿宋" w:eastAsia="仿宋" w:hAnsi="仿宋"/>
                <w:color w:val="000000" w:themeColor="text1"/>
                <w:sz w:val="24"/>
              </w:rPr>
            </w:pPr>
          </w:p>
        </w:tc>
      </w:tr>
      <w:tr w:rsidR="00013EC7">
        <w:trPr>
          <w:trHeight w:val="340"/>
          <w:jc w:val="center"/>
        </w:trPr>
        <w:tc>
          <w:tcPr>
            <w:tcW w:w="672" w:type="dxa"/>
            <w:vMerge/>
            <w:textDirection w:val="tbRlV"/>
            <w:vAlign w:val="center"/>
          </w:tcPr>
          <w:p w:rsidR="00013EC7" w:rsidRDefault="00013EC7">
            <w:pPr>
              <w:rPr>
                <w:rFonts w:ascii="仿宋" w:eastAsia="仿宋" w:hAnsi="仿宋"/>
                <w:color w:val="000000" w:themeColor="text1"/>
                <w:sz w:val="24"/>
              </w:rPr>
            </w:pPr>
          </w:p>
        </w:tc>
        <w:tc>
          <w:tcPr>
            <w:tcW w:w="1035" w:type="dxa"/>
            <w:vMerge/>
            <w:vAlign w:val="center"/>
          </w:tcPr>
          <w:p w:rsidR="00013EC7" w:rsidRDefault="00013EC7">
            <w:pPr>
              <w:rPr>
                <w:rFonts w:ascii="仿宋" w:eastAsia="仿宋" w:hAnsi="仿宋"/>
                <w:color w:val="000000" w:themeColor="text1"/>
                <w:sz w:val="24"/>
              </w:rPr>
            </w:pPr>
          </w:p>
        </w:tc>
        <w:tc>
          <w:tcPr>
            <w:tcW w:w="1271" w:type="dxa"/>
            <w:vMerge/>
            <w:vAlign w:val="center"/>
          </w:tcPr>
          <w:p w:rsidR="00013EC7" w:rsidRDefault="00013EC7">
            <w:pPr>
              <w:rPr>
                <w:rFonts w:ascii="仿宋" w:eastAsia="仿宋" w:hAnsi="仿宋"/>
                <w:color w:val="000000" w:themeColor="text1"/>
                <w:sz w:val="24"/>
              </w:rPr>
            </w:pPr>
          </w:p>
        </w:tc>
        <w:tc>
          <w:tcPr>
            <w:tcW w:w="4394" w:type="dxa"/>
          </w:tcPr>
          <w:p w:rsidR="00013EC7" w:rsidRDefault="00575CDB">
            <w:pPr>
              <w:spacing w:line="300" w:lineRule="exact"/>
              <w:rPr>
                <w:rFonts w:ascii="仿宋" w:eastAsia="仿宋" w:hAnsi="仿宋"/>
                <w:color w:val="000000" w:themeColor="text1"/>
                <w:sz w:val="24"/>
                <w:highlight w:val="lightGray"/>
              </w:rPr>
            </w:pPr>
            <w:r>
              <w:rPr>
                <w:rFonts w:ascii="仿宋" w:eastAsia="仿宋" w:hAnsi="仿宋" w:hint="eastAsia"/>
                <w:color w:val="000000" w:themeColor="text1"/>
                <w:sz w:val="24"/>
                <w:highlight w:val="lightGray"/>
              </w:rPr>
              <w:t>（九十一）由评估机构出具的资产或股权评估报告。报告中应分别列示涉及的各单项被转让资产和负债的公允价值。</w:t>
            </w:r>
          </w:p>
        </w:tc>
        <w:tc>
          <w:tcPr>
            <w:tcW w:w="851" w:type="dxa"/>
            <w:vMerge/>
            <w:vAlign w:val="center"/>
          </w:tcPr>
          <w:p w:rsidR="00013EC7" w:rsidRDefault="00013EC7">
            <w:pPr>
              <w:rPr>
                <w:rFonts w:ascii="仿宋" w:eastAsia="仿宋" w:hAnsi="仿宋"/>
                <w:color w:val="000000" w:themeColor="text1"/>
                <w:sz w:val="24"/>
              </w:rPr>
            </w:pPr>
          </w:p>
        </w:tc>
        <w:tc>
          <w:tcPr>
            <w:tcW w:w="4252" w:type="dxa"/>
          </w:tcPr>
          <w:p w:rsidR="00013EC7" w:rsidRDefault="00575CDB">
            <w:pPr>
              <w:spacing w:line="300" w:lineRule="exact"/>
              <w:rPr>
                <w:rFonts w:ascii="仿宋" w:eastAsia="仿宋" w:hAnsi="仿宋"/>
                <w:color w:val="000000" w:themeColor="text1"/>
                <w:sz w:val="24"/>
              </w:rPr>
            </w:pPr>
            <w:r>
              <w:rPr>
                <w:rFonts w:ascii="仿宋" w:eastAsia="仿宋" w:hAnsi="仿宋" w:hint="eastAsia"/>
                <w:color w:val="000000" w:themeColor="text1"/>
                <w:sz w:val="24"/>
              </w:rPr>
              <w:t>（九十）由评估机构出具的资产或股权评估报告（留存备查）。报告中应分别列示涉及的各单项被转让资产和负债的公允价值。</w:t>
            </w:r>
          </w:p>
        </w:tc>
        <w:tc>
          <w:tcPr>
            <w:tcW w:w="851" w:type="dxa"/>
            <w:vMerge/>
            <w:vAlign w:val="center"/>
          </w:tcPr>
          <w:p w:rsidR="00013EC7" w:rsidRDefault="00013EC7">
            <w:pPr>
              <w:rPr>
                <w:rFonts w:ascii="仿宋" w:eastAsia="仿宋" w:hAnsi="仿宋"/>
                <w:color w:val="000000" w:themeColor="text1"/>
                <w:sz w:val="24"/>
              </w:rPr>
            </w:pPr>
          </w:p>
        </w:tc>
        <w:tc>
          <w:tcPr>
            <w:tcW w:w="2126" w:type="dxa"/>
            <w:vMerge/>
            <w:vAlign w:val="center"/>
          </w:tcPr>
          <w:p w:rsidR="00013EC7" w:rsidRDefault="00013EC7">
            <w:pPr>
              <w:spacing w:line="300" w:lineRule="exact"/>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851" w:type="dxa"/>
            <w:vMerge/>
            <w:vAlign w:val="center"/>
          </w:tcPr>
          <w:p w:rsidR="00013EC7" w:rsidRDefault="00013EC7">
            <w:pPr>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709" w:type="dxa"/>
            <w:vMerge/>
            <w:vAlign w:val="center"/>
          </w:tcPr>
          <w:p w:rsidR="00013EC7" w:rsidRDefault="00013EC7">
            <w:pPr>
              <w:rPr>
                <w:rFonts w:ascii="仿宋" w:eastAsia="仿宋" w:hAnsi="仿宋"/>
                <w:color w:val="000000" w:themeColor="text1"/>
                <w:sz w:val="24"/>
              </w:rPr>
            </w:pPr>
          </w:p>
        </w:tc>
        <w:tc>
          <w:tcPr>
            <w:tcW w:w="1133" w:type="dxa"/>
            <w:vMerge/>
            <w:vAlign w:val="center"/>
          </w:tcPr>
          <w:p w:rsidR="00013EC7" w:rsidRDefault="00013EC7">
            <w:pPr>
              <w:rPr>
                <w:rFonts w:ascii="仿宋" w:eastAsia="仿宋" w:hAnsi="仿宋"/>
                <w:color w:val="000000" w:themeColor="text1"/>
                <w:sz w:val="24"/>
              </w:rPr>
            </w:pPr>
          </w:p>
        </w:tc>
      </w:tr>
      <w:tr w:rsidR="00013EC7">
        <w:trPr>
          <w:trHeight w:val="340"/>
          <w:jc w:val="center"/>
        </w:trPr>
        <w:tc>
          <w:tcPr>
            <w:tcW w:w="672" w:type="dxa"/>
            <w:vMerge/>
            <w:textDirection w:val="tbRlV"/>
            <w:vAlign w:val="center"/>
          </w:tcPr>
          <w:p w:rsidR="00013EC7" w:rsidRDefault="00013EC7">
            <w:pPr>
              <w:rPr>
                <w:rFonts w:ascii="仿宋" w:eastAsia="仿宋" w:hAnsi="仿宋"/>
                <w:color w:val="000000" w:themeColor="text1"/>
                <w:sz w:val="24"/>
              </w:rPr>
            </w:pPr>
          </w:p>
        </w:tc>
        <w:tc>
          <w:tcPr>
            <w:tcW w:w="1035" w:type="dxa"/>
            <w:vMerge/>
            <w:vAlign w:val="center"/>
          </w:tcPr>
          <w:p w:rsidR="00013EC7" w:rsidRDefault="00013EC7">
            <w:pPr>
              <w:rPr>
                <w:rFonts w:ascii="仿宋" w:eastAsia="仿宋" w:hAnsi="仿宋"/>
                <w:color w:val="000000" w:themeColor="text1"/>
                <w:sz w:val="24"/>
              </w:rPr>
            </w:pPr>
          </w:p>
        </w:tc>
        <w:tc>
          <w:tcPr>
            <w:tcW w:w="1271" w:type="dxa"/>
            <w:vMerge/>
            <w:vAlign w:val="center"/>
          </w:tcPr>
          <w:p w:rsidR="00013EC7" w:rsidRDefault="00013EC7">
            <w:pPr>
              <w:rPr>
                <w:rFonts w:ascii="仿宋" w:eastAsia="仿宋" w:hAnsi="仿宋"/>
                <w:color w:val="000000" w:themeColor="text1"/>
                <w:sz w:val="24"/>
              </w:rPr>
            </w:pPr>
          </w:p>
        </w:tc>
        <w:tc>
          <w:tcPr>
            <w:tcW w:w="4394" w:type="dxa"/>
          </w:tcPr>
          <w:p w:rsidR="00013EC7" w:rsidRDefault="00575CDB">
            <w:pPr>
              <w:rPr>
                <w:color w:val="000000" w:themeColor="text1"/>
                <w:highlight w:val="lightGray"/>
              </w:rPr>
            </w:pPr>
            <w:r>
              <w:rPr>
                <w:rFonts w:ascii="仿宋" w:eastAsia="仿宋" w:hAnsi="仿宋" w:hint="eastAsia"/>
                <w:color w:val="000000" w:themeColor="text1"/>
                <w:sz w:val="24"/>
                <w:highlight w:val="lightGray"/>
              </w:rPr>
              <w:t>（九十二）</w:t>
            </w:r>
            <w:r>
              <w:rPr>
                <w:rFonts w:ascii="仿宋" w:eastAsia="仿宋" w:hAnsi="仿宋" w:hint="eastAsia"/>
                <w:color w:val="000000" w:themeColor="text1"/>
                <w:sz w:val="24"/>
              </w:rPr>
              <w:t>证明重组符合特殊性税务处理条件的资料，包括股权或资产转让比例，支付对价情况。</w:t>
            </w:r>
            <w:r>
              <w:rPr>
                <w:rFonts w:ascii="仿宋" w:eastAsia="仿宋" w:hAnsi="仿宋" w:hint="eastAsia"/>
                <w:color w:val="000000" w:themeColor="text1"/>
                <w:sz w:val="24"/>
                <w:highlight w:val="lightGray"/>
              </w:rPr>
              <w:t>以及12个月内不改变资产原来的实质性经营活动、不转让所取得股权的承诺书。</w:t>
            </w:r>
          </w:p>
        </w:tc>
        <w:tc>
          <w:tcPr>
            <w:tcW w:w="851" w:type="dxa"/>
            <w:vMerge/>
            <w:vAlign w:val="center"/>
          </w:tcPr>
          <w:p w:rsidR="00013EC7" w:rsidRDefault="00013EC7">
            <w:pPr>
              <w:rPr>
                <w:rFonts w:ascii="仿宋" w:eastAsia="仿宋" w:hAnsi="仿宋"/>
                <w:color w:val="000000" w:themeColor="text1"/>
                <w:sz w:val="24"/>
              </w:rPr>
            </w:pPr>
          </w:p>
        </w:tc>
        <w:tc>
          <w:tcPr>
            <w:tcW w:w="4252" w:type="dxa"/>
          </w:tcPr>
          <w:p w:rsidR="00013EC7" w:rsidRDefault="00575CDB">
            <w:pPr>
              <w:rPr>
                <w:color w:val="000000" w:themeColor="text1"/>
              </w:rPr>
            </w:pPr>
            <w:r>
              <w:rPr>
                <w:rFonts w:ascii="仿宋" w:eastAsia="仿宋" w:hAnsi="仿宋" w:hint="eastAsia"/>
                <w:color w:val="000000" w:themeColor="text1"/>
                <w:sz w:val="24"/>
              </w:rPr>
              <w:t>（九十一）证明重组符合特殊性税务处理条件的资料，包括股权或资产转让比例，支付对价情况。以及12个月内不改变资产原来的实质性经营活动、不转让所取得股权的承诺书（留存备查）。</w:t>
            </w:r>
          </w:p>
        </w:tc>
        <w:tc>
          <w:tcPr>
            <w:tcW w:w="851" w:type="dxa"/>
            <w:vMerge/>
            <w:vAlign w:val="center"/>
          </w:tcPr>
          <w:p w:rsidR="00013EC7" w:rsidRDefault="00013EC7">
            <w:pPr>
              <w:rPr>
                <w:rFonts w:ascii="仿宋" w:eastAsia="仿宋" w:hAnsi="仿宋"/>
                <w:color w:val="000000" w:themeColor="text1"/>
                <w:sz w:val="24"/>
              </w:rPr>
            </w:pPr>
          </w:p>
        </w:tc>
        <w:tc>
          <w:tcPr>
            <w:tcW w:w="2126" w:type="dxa"/>
            <w:vMerge/>
            <w:vAlign w:val="center"/>
          </w:tcPr>
          <w:p w:rsidR="00013EC7" w:rsidRDefault="00013EC7">
            <w:pPr>
              <w:spacing w:line="300" w:lineRule="exact"/>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851" w:type="dxa"/>
            <w:vMerge/>
            <w:vAlign w:val="center"/>
          </w:tcPr>
          <w:p w:rsidR="00013EC7" w:rsidRDefault="00013EC7">
            <w:pPr>
              <w:rPr>
                <w:rFonts w:ascii="仿宋" w:eastAsia="仿宋" w:hAnsi="仿宋"/>
                <w:color w:val="000000" w:themeColor="text1"/>
                <w:sz w:val="24"/>
              </w:rPr>
            </w:pPr>
          </w:p>
        </w:tc>
        <w:tc>
          <w:tcPr>
            <w:tcW w:w="850" w:type="dxa"/>
            <w:vMerge/>
            <w:vAlign w:val="center"/>
          </w:tcPr>
          <w:p w:rsidR="00013EC7" w:rsidRDefault="00013EC7">
            <w:pPr>
              <w:rPr>
                <w:rFonts w:ascii="仿宋" w:eastAsia="仿宋" w:hAnsi="仿宋"/>
                <w:color w:val="000000" w:themeColor="text1"/>
                <w:sz w:val="24"/>
              </w:rPr>
            </w:pPr>
          </w:p>
        </w:tc>
        <w:tc>
          <w:tcPr>
            <w:tcW w:w="709" w:type="dxa"/>
            <w:vMerge/>
            <w:vAlign w:val="center"/>
          </w:tcPr>
          <w:p w:rsidR="00013EC7" w:rsidRDefault="00013EC7">
            <w:pPr>
              <w:rPr>
                <w:rFonts w:ascii="仿宋" w:eastAsia="仿宋" w:hAnsi="仿宋"/>
                <w:color w:val="000000" w:themeColor="text1"/>
                <w:sz w:val="24"/>
              </w:rPr>
            </w:pPr>
          </w:p>
        </w:tc>
        <w:tc>
          <w:tcPr>
            <w:tcW w:w="1133" w:type="dxa"/>
            <w:vMerge/>
            <w:vAlign w:val="center"/>
          </w:tcPr>
          <w:p w:rsidR="00013EC7" w:rsidRDefault="00013EC7">
            <w:pPr>
              <w:rPr>
                <w:rFonts w:ascii="仿宋" w:eastAsia="仿宋" w:hAnsi="仿宋"/>
                <w:color w:val="000000" w:themeColor="text1"/>
                <w:sz w:val="24"/>
              </w:rPr>
            </w:pPr>
          </w:p>
        </w:tc>
      </w:tr>
    </w:tbl>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ascii="仿宋" w:eastAsia="仿宋" w:hAnsi="仿宋" w:cs="仿宋"/>
          <w:sz w:val="24"/>
        </w:rPr>
      </w:pPr>
    </w:p>
    <w:p w:rsidR="00013EC7" w:rsidRDefault="00013EC7"/>
    <w:p w:rsidR="00013EC7" w:rsidRDefault="00013EC7"/>
    <w:p w:rsidR="00013EC7" w:rsidRDefault="005262E6">
      <w:r>
        <w:rPr>
          <w:rFonts w:ascii="宋体" w:hAnsi="宋体" w:cs="宋体"/>
          <w:b/>
          <w:szCs w:val="21"/>
        </w:rPr>
        <w:lastRenderedPageBreak/>
        <w:object w:dxaOrig="1440" w:dyaOrig="1440">
          <v:shape id="_x0000_s1463" type="#_x0000_t75" style="position:absolute;left:0;text-align:left;margin-left:589.05pt;margin-top:129.6pt;width:409.5pt;height:572.25pt;z-index:251719680;mso-wrap-distance-top:0;mso-wrap-distance-bottom:0;mso-position-vertical-relative:page;mso-width-relative:page;mso-height-relative:page">
            <v:imagedata r:id="rId277" o:title=""/>
            <o:lock v:ext="edit" aspectratio="f"/>
            <w10:wrap type="topAndBottom" anchory="page"/>
          </v:shape>
          <o:OLEObject Type="Embed" ProgID="Visio.Drawing.11" ShapeID="_x0000_s1463" DrawAspect="Content" ObjectID="_1577296248" r:id="rId278"/>
        </w:object>
      </w:r>
      <w:r>
        <w:object w:dxaOrig="1440" w:dyaOrig="1440">
          <v:shape id="_x0000_s1464" type="#_x0000_t75" style="position:absolute;left:0;text-align:left;margin-left:42.85pt;margin-top:129.75pt;width:481.9pt;height:574.55pt;z-index:251720704;mso-wrap-distance-top:0;mso-wrap-distance-bottom:0;mso-position-vertical-relative:page;mso-width-relative:page;mso-height-relative:page">
            <v:imagedata r:id="rId279" o:title=""/>
            <w10:wrap type="topAndBottom" anchory="page"/>
          </v:shape>
          <o:OLEObject Type="Embed" ProgID="Visio.Drawing.11" ShapeID="_x0000_s1464" DrawAspect="Content" ObjectID="_1577296249" r:id="rId280"/>
        </w:object>
      </w:r>
    </w:p>
    <w:p w:rsidR="00013EC7" w:rsidRDefault="00013EC7"/>
    <w:p w:rsidR="00013EC7" w:rsidRDefault="00013EC7">
      <w:pPr>
        <w:jc w:val="left"/>
        <w:rPr>
          <w:rFonts w:ascii="宋体" w:hAnsi="宋体" w:cs="宋体"/>
          <w:sz w:val="28"/>
          <w:szCs w:val="28"/>
        </w:rPr>
        <w:sectPr w:rsidR="00013EC7">
          <w:pgSz w:w="23814" w:h="16840" w:orient="landscape"/>
          <w:pgMar w:top="1701" w:right="1843" w:bottom="1985" w:left="1843" w:header="851" w:footer="1701" w:gutter="0"/>
          <w:pgNumType w:fmt="numberInDash"/>
          <w:cols w:space="720"/>
          <w:docGrid w:type="lines" w:linePitch="312"/>
        </w:sectPr>
      </w:pPr>
      <w:bookmarkStart w:id="351" w:name="_Toc498705741"/>
    </w:p>
    <w:p w:rsidR="00013EC7" w:rsidRDefault="00575CDB">
      <w:pPr>
        <w:pStyle w:val="2"/>
      </w:pPr>
      <w:bookmarkStart w:id="352" w:name="_Toc8754"/>
      <w:bookmarkStart w:id="353" w:name="_Toc503467434"/>
      <w:bookmarkStart w:id="354" w:name="_Toc19208"/>
      <w:bookmarkStart w:id="355" w:name="_Toc24380"/>
      <w:r>
        <w:rPr>
          <w:rFonts w:hint="eastAsia"/>
        </w:rPr>
        <w:lastRenderedPageBreak/>
        <w:t xml:space="preserve">17.14 </w:t>
      </w:r>
      <w:r>
        <w:rPr>
          <w:rFonts w:hint="eastAsia"/>
        </w:rPr>
        <w:t>居民企业所得税年度纳税申报（适用核定征收）</w:t>
      </w:r>
      <w:bookmarkEnd w:id="351"/>
      <w:bookmarkEnd w:id="352"/>
      <w:bookmarkEnd w:id="353"/>
      <w:bookmarkEnd w:id="354"/>
      <w:bookmarkEnd w:id="355"/>
    </w:p>
    <w:p w:rsidR="00013EC7" w:rsidRDefault="00575CDB">
      <w:pPr>
        <w:jc w:val="center"/>
        <w:rPr>
          <w:rFonts w:ascii="宋体" w:hAnsi="宋体" w:cs="宋体"/>
          <w:b/>
          <w:bCs/>
          <w:sz w:val="52"/>
          <w:szCs w:val="52"/>
        </w:rPr>
      </w:pPr>
      <w:r>
        <w:rPr>
          <w:rFonts w:ascii="宋体" w:hAnsi="宋体" w:cs="宋体" w:hint="eastAsia"/>
          <w:b/>
          <w:bCs/>
          <w:sz w:val="52"/>
          <w:szCs w:val="52"/>
        </w:rPr>
        <w:t>全省“最多跑一次”事项“八统一”梳理表</w:t>
      </w:r>
    </w:p>
    <w:tbl>
      <w:tblPr>
        <w:tblW w:w="19845"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2972"/>
        <w:gridCol w:w="2551"/>
        <w:gridCol w:w="1418"/>
        <w:gridCol w:w="2551"/>
        <w:gridCol w:w="1418"/>
        <w:gridCol w:w="2126"/>
        <w:gridCol w:w="766"/>
        <w:gridCol w:w="798"/>
        <w:gridCol w:w="958"/>
        <w:gridCol w:w="1104"/>
        <w:gridCol w:w="1476"/>
      </w:tblGrid>
      <w:tr w:rsidR="00013EC7">
        <w:trPr>
          <w:trHeight w:val="340"/>
          <w:tblHeader/>
          <w:jc w:val="center"/>
        </w:trPr>
        <w:tc>
          <w:tcPr>
            <w:tcW w:w="672"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主项名称</w:t>
            </w:r>
          </w:p>
        </w:tc>
        <w:tc>
          <w:tcPr>
            <w:tcW w:w="1035"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子项名称</w:t>
            </w:r>
          </w:p>
        </w:tc>
        <w:tc>
          <w:tcPr>
            <w:tcW w:w="2972"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经办依据</w:t>
            </w:r>
          </w:p>
        </w:tc>
        <w:tc>
          <w:tcPr>
            <w:tcW w:w="3969"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原经办所需材料</w:t>
            </w:r>
          </w:p>
        </w:tc>
        <w:tc>
          <w:tcPr>
            <w:tcW w:w="6095" w:type="dxa"/>
            <w:gridSpan w:val="3"/>
            <w:vAlign w:val="center"/>
          </w:tcPr>
          <w:p w:rsidR="00013EC7" w:rsidRDefault="00575CDB">
            <w:pPr>
              <w:spacing w:line="280" w:lineRule="exact"/>
              <w:jc w:val="center"/>
              <w:rPr>
                <w:rFonts w:ascii="黑体" w:eastAsia="黑体"/>
                <w:sz w:val="24"/>
              </w:rPr>
            </w:pPr>
            <w:r>
              <w:rPr>
                <w:rFonts w:ascii="黑体" w:eastAsia="黑体" w:hint="eastAsia"/>
                <w:sz w:val="24"/>
              </w:rPr>
              <w:t>精简后经办所需材料</w:t>
            </w:r>
          </w:p>
        </w:tc>
        <w:tc>
          <w:tcPr>
            <w:tcW w:w="1564"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办理时限</w:t>
            </w:r>
          </w:p>
        </w:tc>
        <w:tc>
          <w:tcPr>
            <w:tcW w:w="958"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是否实现跑零次</w:t>
            </w:r>
          </w:p>
        </w:tc>
        <w:tc>
          <w:tcPr>
            <w:tcW w:w="1104"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责任处室</w:t>
            </w:r>
          </w:p>
          <w:p w:rsidR="00013EC7" w:rsidRDefault="00575CDB">
            <w:pPr>
              <w:spacing w:line="280" w:lineRule="exact"/>
              <w:jc w:val="center"/>
              <w:rPr>
                <w:rFonts w:ascii="黑体" w:eastAsia="黑体"/>
                <w:sz w:val="24"/>
              </w:rPr>
            </w:pPr>
            <w:r>
              <w:rPr>
                <w:rFonts w:ascii="黑体" w:eastAsia="黑体" w:hint="eastAsia"/>
                <w:sz w:val="24"/>
              </w:rPr>
              <w:t>（单位）</w:t>
            </w:r>
          </w:p>
        </w:tc>
        <w:tc>
          <w:tcPr>
            <w:tcW w:w="1476"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进一步精简、</w:t>
            </w:r>
          </w:p>
          <w:p w:rsidR="00013EC7" w:rsidRDefault="00575CDB">
            <w:pPr>
              <w:spacing w:line="280" w:lineRule="exact"/>
              <w:jc w:val="center"/>
              <w:rPr>
                <w:rFonts w:ascii="黑体" w:eastAsia="黑体"/>
                <w:sz w:val="24"/>
              </w:rPr>
            </w:pPr>
            <w:r>
              <w:rPr>
                <w:rFonts w:ascii="黑体" w:eastAsia="黑体" w:hint="eastAsia"/>
                <w:sz w:val="24"/>
              </w:rPr>
              <w:t>规范建议</w:t>
            </w:r>
          </w:p>
        </w:tc>
      </w:tr>
      <w:tr w:rsidR="00013EC7">
        <w:trPr>
          <w:trHeight w:val="90"/>
          <w:tblHeader/>
          <w:jc w:val="center"/>
        </w:trPr>
        <w:tc>
          <w:tcPr>
            <w:tcW w:w="672" w:type="dxa"/>
            <w:vMerge/>
            <w:vAlign w:val="center"/>
          </w:tcPr>
          <w:p w:rsidR="00013EC7" w:rsidRDefault="00013EC7">
            <w:pPr>
              <w:rPr>
                <w:sz w:val="24"/>
              </w:rPr>
            </w:pPr>
          </w:p>
        </w:tc>
        <w:tc>
          <w:tcPr>
            <w:tcW w:w="1035" w:type="dxa"/>
            <w:vMerge/>
          </w:tcPr>
          <w:p w:rsidR="00013EC7" w:rsidRDefault="00013EC7">
            <w:pPr>
              <w:rPr>
                <w:sz w:val="24"/>
              </w:rPr>
            </w:pPr>
          </w:p>
        </w:tc>
        <w:tc>
          <w:tcPr>
            <w:tcW w:w="2972" w:type="dxa"/>
            <w:vMerge/>
          </w:tcPr>
          <w:p w:rsidR="00013EC7" w:rsidRDefault="00013EC7">
            <w:pPr>
              <w:rPr>
                <w:sz w:val="24"/>
              </w:rPr>
            </w:pPr>
          </w:p>
        </w:tc>
        <w:tc>
          <w:tcPr>
            <w:tcW w:w="2551" w:type="dxa"/>
            <w:tcBorders>
              <w:bottom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418"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2551" w:type="dxa"/>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418"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2126" w:type="dxa"/>
            <w:vAlign w:val="center"/>
          </w:tcPr>
          <w:p w:rsidR="00013EC7" w:rsidRDefault="00575CDB">
            <w:pPr>
              <w:spacing w:line="280" w:lineRule="exact"/>
              <w:jc w:val="center"/>
              <w:rPr>
                <w:rFonts w:ascii="黑体" w:eastAsia="黑体"/>
                <w:sz w:val="24"/>
              </w:rPr>
            </w:pPr>
            <w:r>
              <w:rPr>
                <w:rFonts w:ascii="黑体" w:eastAsia="黑体" w:hint="eastAsia"/>
                <w:sz w:val="24"/>
              </w:rPr>
              <w:t>办理方式及材料</w:t>
            </w:r>
          </w:p>
          <w:p w:rsidR="00013EC7" w:rsidRDefault="00575CDB">
            <w:pPr>
              <w:spacing w:line="280" w:lineRule="exact"/>
              <w:jc w:val="center"/>
              <w:rPr>
                <w:rFonts w:ascii="黑体" w:eastAsia="黑体"/>
                <w:sz w:val="24"/>
              </w:rPr>
            </w:pPr>
            <w:r>
              <w:rPr>
                <w:rFonts w:ascii="黑体" w:eastAsia="黑体" w:hint="eastAsia"/>
                <w:sz w:val="24"/>
              </w:rPr>
              <w:t>信息获取方式说明</w:t>
            </w:r>
          </w:p>
        </w:tc>
        <w:tc>
          <w:tcPr>
            <w:tcW w:w="766" w:type="dxa"/>
            <w:vAlign w:val="center"/>
          </w:tcPr>
          <w:p w:rsidR="00013EC7" w:rsidRDefault="00575CDB">
            <w:pPr>
              <w:spacing w:line="280" w:lineRule="exact"/>
              <w:jc w:val="center"/>
              <w:rPr>
                <w:rFonts w:ascii="黑体" w:eastAsia="黑体"/>
                <w:sz w:val="24"/>
              </w:rPr>
            </w:pPr>
            <w:r>
              <w:rPr>
                <w:rFonts w:ascii="黑体" w:eastAsia="黑体" w:hint="eastAsia"/>
                <w:sz w:val="24"/>
              </w:rPr>
              <w:t>优化前</w:t>
            </w:r>
          </w:p>
        </w:tc>
        <w:tc>
          <w:tcPr>
            <w:tcW w:w="798" w:type="dxa"/>
            <w:vAlign w:val="center"/>
          </w:tcPr>
          <w:p w:rsidR="00013EC7" w:rsidRDefault="00575CDB">
            <w:pPr>
              <w:spacing w:line="280" w:lineRule="exact"/>
              <w:jc w:val="center"/>
              <w:rPr>
                <w:rFonts w:ascii="黑体" w:eastAsia="黑体"/>
                <w:sz w:val="24"/>
              </w:rPr>
            </w:pPr>
            <w:r>
              <w:rPr>
                <w:rFonts w:ascii="黑体" w:eastAsia="黑体" w:hint="eastAsia"/>
                <w:sz w:val="24"/>
              </w:rPr>
              <w:t>优化后</w:t>
            </w:r>
          </w:p>
        </w:tc>
        <w:tc>
          <w:tcPr>
            <w:tcW w:w="958" w:type="dxa"/>
            <w:vMerge/>
            <w:vAlign w:val="center"/>
          </w:tcPr>
          <w:p w:rsidR="00013EC7" w:rsidRDefault="00013EC7">
            <w:pPr>
              <w:rPr>
                <w:sz w:val="24"/>
              </w:rPr>
            </w:pPr>
          </w:p>
        </w:tc>
        <w:tc>
          <w:tcPr>
            <w:tcW w:w="1104" w:type="dxa"/>
            <w:vMerge/>
            <w:vAlign w:val="center"/>
          </w:tcPr>
          <w:p w:rsidR="00013EC7" w:rsidRDefault="00013EC7">
            <w:pPr>
              <w:rPr>
                <w:sz w:val="24"/>
              </w:rPr>
            </w:pPr>
          </w:p>
        </w:tc>
        <w:tc>
          <w:tcPr>
            <w:tcW w:w="1476" w:type="dxa"/>
            <w:vMerge/>
            <w:vAlign w:val="center"/>
          </w:tcPr>
          <w:p w:rsidR="00013EC7" w:rsidRDefault="00013EC7">
            <w:pPr>
              <w:rPr>
                <w:sz w:val="24"/>
              </w:rPr>
            </w:pPr>
          </w:p>
        </w:tc>
      </w:tr>
      <w:tr w:rsidR="00013EC7">
        <w:trPr>
          <w:trHeight w:val="1475"/>
          <w:jc w:val="center"/>
        </w:trPr>
        <w:tc>
          <w:tcPr>
            <w:tcW w:w="672" w:type="dxa"/>
            <w:vMerge w:val="restart"/>
            <w:vAlign w:val="center"/>
          </w:tcPr>
          <w:p w:rsidR="00013EC7" w:rsidRDefault="00575CDB">
            <w:pPr>
              <w:jc w:val="center"/>
              <w:rPr>
                <w:rFonts w:ascii="仿宋" w:eastAsia="仿宋" w:hAnsi="仿宋"/>
                <w:sz w:val="24"/>
              </w:rPr>
            </w:pPr>
            <w:r>
              <w:rPr>
                <w:rFonts w:ascii="仿宋" w:eastAsia="仿宋" w:hAnsi="仿宋"/>
                <w:sz w:val="24"/>
              </w:rPr>
              <w:t>1</w:t>
            </w:r>
            <w:r>
              <w:rPr>
                <w:rFonts w:ascii="仿宋" w:eastAsia="仿宋" w:hAnsi="仿宋" w:hint="eastAsia"/>
                <w:sz w:val="24"/>
              </w:rPr>
              <w:t>7</w:t>
            </w:r>
            <w:r>
              <w:rPr>
                <w:rFonts w:ascii="仿宋" w:eastAsia="仿宋" w:hAnsi="仿宋"/>
                <w:sz w:val="24"/>
              </w:rPr>
              <w:t>日常税费申报</w:t>
            </w:r>
          </w:p>
        </w:tc>
        <w:tc>
          <w:tcPr>
            <w:tcW w:w="1035" w:type="dxa"/>
            <w:vMerge w:val="restart"/>
            <w:vAlign w:val="center"/>
          </w:tcPr>
          <w:p w:rsidR="00013EC7" w:rsidRDefault="00575CDB">
            <w:pPr>
              <w:jc w:val="center"/>
              <w:rPr>
                <w:rFonts w:ascii="仿宋" w:eastAsia="仿宋" w:hAnsi="仿宋"/>
                <w:sz w:val="24"/>
              </w:rPr>
            </w:pPr>
            <w:r>
              <w:rPr>
                <w:rFonts w:ascii="仿宋" w:eastAsia="仿宋" w:hAnsi="仿宋" w:hint="eastAsia"/>
                <w:sz w:val="24"/>
              </w:rPr>
              <w:t>17.14居民企业所得税年度纳税申报（适用核定征收）</w:t>
            </w:r>
          </w:p>
        </w:tc>
        <w:tc>
          <w:tcPr>
            <w:tcW w:w="2972" w:type="dxa"/>
            <w:vMerge w:val="restart"/>
          </w:tcPr>
          <w:p w:rsidR="00013EC7" w:rsidRDefault="00575CDB">
            <w:pPr>
              <w:jc w:val="left"/>
              <w:rPr>
                <w:rFonts w:ascii="仿宋" w:eastAsia="仿宋" w:hAnsi="仿宋" w:cs="宋体"/>
                <w:kern w:val="1"/>
                <w:sz w:val="24"/>
              </w:rPr>
            </w:pPr>
            <w:r>
              <w:rPr>
                <w:rFonts w:ascii="仿宋" w:eastAsia="仿宋" w:hAnsi="仿宋" w:cs="宋体" w:hint="eastAsia"/>
                <w:kern w:val="1"/>
                <w:sz w:val="24"/>
              </w:rPr>
              <w:t>（一）《全国人民代表大会常务委员会关于修改〈中华人民共和国企业所得税法〉的决定》（</w:t>
            </w:r>
            <w:r>
              <w:rPr>
                <w:rFonts w:ascii="仿宋" w:eastAsia="仿宋" w:hAnsi="仿宋" w:cs="宋体"/>
                <w:kern w:val="1"/>
                <w:sz w:val="24"/>
              </w:rPr>
              <w:t>2017</w:t>
            </w:r>
            <w:r>
              <w:rPr>
                <w:rFonts w:ascii="仿宋" w:eastAsia="仿宋" w:hAnsi="仿宋" w:cs="宋体" w:hint="eastAsia"/>
                <w:kern w:val="1"/>
                <w:sz w:val="24"/>
              </w:rPr>
              <w:t>年中华人民共和国主席令第</w:t>
            </w:r>
            <w:r>
              <w:rPr>
                <w:rFonts w:ascii="仿宋" w:eastAsia="仿宋" w:hAnsi="仿宋" w:cs="宋体"/>
                <w:kern w:val="1"/>
                <w:sz w:val="24"/>
              </w:rPr>
              <w:t>64</w:t>
            </w:r>
            <w:r>
              <w:rPr>
                <w:rFonts w:ascii="仿宋" w:eastAsia="仿宋" w:hAnsi="仿宋" w:cs="宋体" w:hint="eastAsia"/>
                <w:kern w:val="1"/>
                <w:sz w:val="24"/>
              </w:rPr>
              <w:t>号）第五十四条。</w:t>
            </w:r>
          </w:p>
          <w:p w:rsidR="00013EC7" w:rsidRDefault="00575CDB">
            <w:pPr>
              <w:widowControl/>
              <w:jc w:val="left"/>
              <w:rPr>
                <w:rFonts w:ascii="仿宋" w:eastAsia="仿宋" w:hAnsi="仿宋" w:cs="宋体"/>
                <w:kern w:val="1"/>
                <w:sz w:val="24"/>
              </w:rPr>
            </w:pPr>
            <w:r>
              <w:rPr>
                <w:rFonts w:ascii="仿宋" w:eastAsia="仿宋" w:hAnsi="仿宋" w:cs="宋体" w:hint="eastAsia"/>
                <w:kern w:val="1"/>
                <w:sz w:val="24"/>
              </w:rPr>
              <w:t>（二）《中华人民共和国企业所得税法实施条例》（</w:t>
            </w:r>
            <w:r>
              <w:rPr>
                <w:rFonts w:ascii="仿宋" w:eastAsia="仿宋" w:hAnsi="仿宋" w:cs="宋体"/>
                <w:kern w:val="1"/>
                <w:sz w:val="24"/>
              </w:rPr>
              <w:t>2007</w:t>
            </w:r>
            <w:r>
              <w:rPr>
                <w:rFonts w:ascii="仿宋" w:eastAsia="仿宋" w:hAnsi="仿宋" w:cs="宋体" w:hint="eastAsia"/>
                <w:kern w:val="1"/>
                <w:sz w:val="24"/>
              </w:rPr>
              <w:t>年中华人民共和国国务院令第</w:t>
            </w:r>
            <w:r>
              <w:rPr>
                <w:rFonts w:ascii="仿宋" w:eastAsia="仿宋" w:hAnsi="仿宋" w:cs="宋体"/>
                <w:kern w:val="1"/>
                <w:sz w:val="24"/>
              </w:rPr>
              <w:t>512</w:t>
            </w:r>
            <w:r>
              <w:rPr>
                <w:rFonts w:ascii="仿宋" w:eastAsia="仿宋" w:hAnsi="仿宋" w:cs="宋体" w:hint="eastAsia"/>
                <w:kern w:val="1"/>
                <w:sz w:val="24"/>
              </w:rPr>
              <w:t>号）第一百二十八条、第一百二十九条、第一百三十条。</w:t>
            </w:r>
          </w:p>
          <w:p w:rsidR="00013EC7" w:rsidRDefault="00575CDB">
            <w:pPr>
              <w:jc w:val="left"/>
              <w:rPr>
                <w:rFonts w:ascii="仿宋" w:eastAsia="仿宋" w:hAnsi="仿宋" w:cs="宋体"/>
                <w:kern w:val="1"/>
                <w:sz w:val="24"/>
              </w:rPr>
            </w:pPr>
            <w:r>
              <w:rPr>
                <w:rFonts w:ascii="仿宋" w:eastAsia="仿宋" w:hAnsi="仿宋" w:cs="宋体" w:hint="eastAsia"/>
                <w:kern w:val="1"/>
                <w:sz w:val="24"/>
              </w:rPr>
              <w:t>（三）《国家税务总局关于印发〈企业所得税核定征收办法〉（试行）的通知》（国税发〔</w:t>
            </w:r>
            <w:r>
              <w:rPr>
                <w:rFonts w:ascii="仿宋" w:eastAsia="仿宋" w:hAnsi="仿宋" w:cs="宋体"/>
                <w:kern w:val="1"/>
                <w:sz w:val="24"/>
              </w:rPr>
              <w:t>2008</w:t>
            </w:r>
            <w:r>
              <w:rPr>
                <w:rFonts w:ascii="仿宋" w:eastAsia="仿宋" w:hAnsi="仿宋" w:cs="宋体" w:hint="eastAsia"/>
                <w:kern w:val="1"/>
                <w:sz w:val="24"/>
              </w:rPr>
              <w:t>〕</w:t>
            </w:r>
            <w:r>
              <w:rPr>
                <w:rFonts w:ascii="仿宋" w:eastAsia="仿宋" w:hAnsi="仿宋" w:cs="宋体"/>
                <w:kern w:val="1"/>
                <w:sz w:val="24"/>
              </w:rPr>
              <w:t>30</w:t>
            </w:r>
            <w:r>
              <w:rPr>
                <w:rFonts w:ascii="仿宋" w:eastAsia="仿宋" w:hAnsi="仿宋" w:cs="宋体" w:hint="eastAsia"/>
                <w:kern w:val="1"/>
                <w:sz w:val="24"/>
              </w:rPr>
              <w:t>号）第十三条、第十四条。</w:t>
            </w:r>
          </w:p>
          <w:p w:rsidR="00013EC7" w:rsidRDefault="00575CDB">
            <w:pPr>
              <w:jc w:val="left"/>
              <w:rPr>
                <w:rFonts w:ascii="仿宋" w:eastAsia="仿宋" w:hAnsi="仿宋" w:cs="宋体"/>
                <w:kern w:val="1"/>
                <w:sz w:val="24"/>
              </w:rPr>
            </w:pPr>
            <w:r>
              <w:rPr>
                <w:rFonts w:ascii="仿宋" w:eastAsia="仿宋" w:hAnsi="仿宋" w:cs="宋体" w:hint="eastAsia"/>
                <w:kern w:val="1"/>
                <w:sz w:val="24"/>
              </w:rPr>
              <w:t>（四）《国家税务总局关于企业所得税核定征收若干问题的通知》（国税函〔</w:t>
            </w:r>
            <w:r>
              <w:rPr>
                <w:rFonts w:ascii="仿宋" w:eastAsia="仿宋" w:hAnsi="仿宋" w:cs="宋体"/>
                <w:kern w:val="1"/>
                <w:sz w:val="24"/>
              </w:rPr>
              <w:t>2009</w:t>
            </w:r>
            <w:r>
              <w:rPr>
                <w:rFonts w:ascii="仿宋" w:eastAsia="仿宋" w:hAnsi="仿宋" w:cs="宋体" w:hint="eastAsia"/>
                <w:kern w:val="1"/>
                <w:sz w:val="24"/>
              </w:rPr>
              <w:t>〕</w:t>
            </w:r>
            <w:r>
              <w:rPr>
                <w:rFonts w:ascii="仿宋" w:eastAsia="仿宋" w:hAnsi="仿宋" w:cs="宋体"/>
                <w:kern w:val="1"/>
                <w:sz w:val="24"/>
              </w:rPr>
              <w:t>377</w:t>
            </w:r>
            <w:r>
              <w:rPr>
                <w:rFonts w:ascii="仿宋" w:eastAsia="仿宋" w:hAnsi="仿宋" w:cs="宋体" w:hint="eastAsia"/>
                <w:kern w:val="1"/>
                <w:sz w:val="24"/>
              </w:rPr>
              <w:t>号）全文。</w:t>
            </w:r>
          </w:p>
          <w:p w:rsidR="00013EC7" w:rsidRDefault="00575CDB">
            <w:pPr>
              <w:jc w:val="left"/>
              <w:rPr>
                <w:rFonts w:ascii="仿宋" w:eastAsia="仿宋" w:hAnsi="仿宋" w:cs="宋体"/>
                <w:kern w:val="1"/>
                <w:sz w:val="24"/>
              </w:rPr>
            </w:pPr>
            <w:r>
              <w:rPr>
                <w:rFonts w:ascii="仿宋" w:eastAsia="仿宋" w:hAnsi="仿宋" w:cs="宋体" w:hint="eastAsia"/>
                <w:kern w:val="1"/>
                <w:sz w:val="24"/>
              </w:rPr>
              <w:lastRenderedPageBreak/>
              <w:t>（五）《国家税务总局关于企业所得税核定征收有关问题的公告》（国家税务总局公告</w:t>
            </w:r>
            <w:r>
              <w:rPr>
                <w:rFonts w:ascii="仿宋" w:eastAsia="仿宋" w:hAnsi="仿宋" w:cs="宋体"/>
                <w:kern w:val="1"/>
                <w:sz w:val="24"/>
              </w:rPr>
              <w:t>2012</w:t>
            </w:r>
            <w:r>
              <w:rPr>
                <w:rFonts w:ascii="仿宋" w:eastAsia="仿宋" w:hAnsi="仿宋" w:cs="宋体" w:hint="eastAsia"/>
                <w:kern w:val="1"/>
                <w:sz w:val="24"/>
              </w:rPr>
              <w:t>年第</w:t>
            </w:r>
            <w:r>
              <w:rPr>
                <w:rFonts w:ascii="仿宋" w:eastAsia="仿宋" w:hAnsi="仿宋" w:cs="宋体"/>
                <w:kern w:val="1"/>
                <w:sz w:val="24"/>
              </w:rPr>
              <w:t>27</w:t>
            </w:r>
            <w:r>
              <w:rPr>
                <w:rFonts w:ascii="仿宋" w:eastAsia="仿宋" w:hAnsi="仿宋" w:cs="宋体" w:hint="eastAsia"/>
                <w:kern w:val="1"/>
                <w:sz w:val="24"/>
              </w:rPr>
              <w:t>号）全文。</w:t>
            </w:r>
          </w:p>
          <w:p w:rsidR="00013EC7" w:rsidRDefault="00575CDB">
            <w:pPr>
              <w:widowControl/>
              <w:jc w:val="left"/>
              <w:rPr>
                <w:rFonts w:ascii="仿宋" w:eastAsia="仿宋" w:hAnsi="仿宋" w:cs="宋体"/>
                <w:kern w:val="1"/>
                <w:sz w:val="24"/>
              </w:rPr>
            </w:pPr>
            <w:r>
              <w:rPr>
                <w:rFonts w:ascii="仿宋" w:eastAsia="仿宋" w:hAnsi="仿宋" w:cs="宋体" w:hint="eastAsia"/>
                <w:kern w:val="1"/>
                <w:sz w:val="24"/>
              </w:rPr>
              <w:t>（六）《国家税务总局关于居民企业报告境外投资和所得信息有关问题的公告》（国家税务总局公告</w:t>
            </w:r>
            <w:r>
              <w:rPr>
                <w:rFonts w:ascii="仿宋" w:eastAsia="仿宋" w:hAnsi="仿宋" w:cs="宋体"/>
                <w:kern w:val="1"/>
                <w:sz w:val="24"/>
              </w:rPr>
              <w:t>2014</w:t>
            </w:r>
            <w:r>
              <w:rPr>
                <w:rFonts w:ascii="仿宋" w:eastAsia="仿宋" w:hAnsi="仿宋" w:cs="宋体" w:hint="eastAsia"/>
                <w:kern w:val="1"/>
                <w:sz w:val="24"/>
              </w:rPr>
              <w:t>年第</w:t>
            </w:r>
            <w:r>
              <w:rPr>
                <w:rFonts w:ascii="仿宋" w:eastAsia="仿宋" w:hAnsi="仿宋" w:cs="宋体"/>
                <w:kern w:val="1"/>
                <w:sz w:val="24"/>
              </w:rPr>
              <w:t>38</w:t>
            </w:r>
            <w:r>
              <w:rPr>
                <w:rFonts w:ascii="仿宋" w:eastAsia="仿宋" w:hAnsi="仿宋" w:cs="宋体" w:hint="eastAsia"/>
                <w:kern w:val="1"/>
                <w:sz w:val="24"/>
              </w:rPr>
              <w:t>号）第一条。</w:t>
            </w:r>
          </w:p>
          <w:p w:rsidR="00013EC7" w:rsidRDefault="00575CDB">
            <w:pPr>
              <w:jc w:val="left"/>
              <w:rPr>
                <w:rFonts w:ascii="仿宋" w:eastAsia="仿宋" w:hAnsi="仿宋" w:cs="宋体"/>
                <w:kern w:val="1"/>
                <w:sz w:val="24"/>
              </w:rPr>
            </w:pPr>
            <w:r>
              <w:rPr>
                <w:rFonts w:ascii="仿宋" w:eastAsia="仿宋" w:hAnsi="仿宋" w:cs="宋体" w:hint="eastAsia"/>
                <w:kern w:val="1"/>
                <w:sz w:val="24"/>
              </w:rPr>
              <w:t>（七）《国家税务总局关于发布〈中华人民共和国企业所得税月（季）度预缴纳税申报表（</w:t>
            </w:r>
            <w:r>
              <w:rPr>
                <w:rFonts w:ascii="仿宋" w:eastAsia="仿宋" w:hAnsi="仿宋" w:cs="宋体"/>
                <w:kern w:val="1"/>
                <w:sz w:val="24"/>
              </w:rPr>
              <w:t>2015</w:t>
            </w:r>
            <w:r>
              <w:rPr>
                <w:rFonts w:ascii="仿宋" w:eastAsia="仿宋" w:hAnsi="仿宋" w:cs="宋体" w:hint="eastAsia"/>
                <w:kern w:val="1"/>
                <w:sz w:val="24"/>
              </w:rPr>
              <w:t>年版）等报表〉的公告》（国家税务总局公告</w:t>
            </w:r>
            <w:r>
              <w:rPr>
                <w:rFonts w:ascii="仿宋" w:eastAsia="仿宋" w:hAnsi="仿宋" w:cs="宋体"/>
                <w:kern w:val="1"/>
                <w:sz w:val="24"/>
              </w:rPr>
              <w:t xml:space="preserve"> 2015</w:t>
            </w:r>
            <w:r>
              <w:rPr>
                <w:rFonts w:ascii="仿宋" w:eastAsia="仿宋" w:hAnsi="仿宋" w:cs="宋体" w:hint="eastAsia"/>
                <w:kern w:val="1"/>
                <w:sz w:val="24"/>
              </w:rPr>
              <w:t>年第</w:t>
            </w:r>
            <w:r>
              <w:rPr>
                <w:rFonts w:ascii="仿宋" w:eastAsia="仿宋" w:hAnsi="仿宋" w:cs="宋体"/>
                <w:kern w:val="1"/>
                <w:sz w:val="24"/>
              </w:rPr>
              <w:t>31</w:t>
            </w:r>
            <w:r>
              <w:rPr>
                <w:rFonts w:ascii="仿宋" w:eastAsia="仿宋" w:hAnsi="仿宋" w:cs="宋体" w:hint="eastAsia"/>
                <w:kern w:val="1"/>
                <w:sz w:val="24"/>
              </w:rPr>
              <w:t>号）全文。</w:t>
            </w:r>
          </w:p>
        </w:tc>
        <w:tc>
          <w:tcPr>
            <w:tcW w:w="2551" w:type="dxa"/>
            <w:tcBorders>
              <w:top w:val="single" w:sz="4" w:space="0" w:color="auto"/>
              <w:bottom w:val="single" w:sz="4" w:space="0" w:color="auto"/>
            </w:tcBorders>
            <w:vAlign w:val="center"/>
          </w:tcPr>
          <w:p w:rsidR="00013EC7" w:rsidRDefault="00575CDB">
            <w:pPr>
              <w:spacing w:line="300" w:lineRule="exact"/>
              <w:rPr>
                <w:rFonts w:ascii="仿宋" w:eastAsia="仿宋" w:hAnsi="仿宋"/>
                <w:sz w:val="24"/>
              </w:rPr>
            </w:pPr>
            <w:r>
              <w:rPr>
                <w:rFonts w:ascii="仿宋" w:eastAsia="仿宋" w:hAnsi="仿宋" w:hint="eastAsia"/>
                <w:sz w:val="24"/>
              </w:rPr>
              <w:lastRenderedPageBreak/>
              <w:t>（一）（A06639）《中华人民共和国企业所得税月（季）度预缴和年度纳税申报表（B类，2015年版）》</w:t>
            </w:r>
            <w:r>
              <w:rPr>
                <w:rFonts w:ascii="仿宋" w:eastAsia="仿宋" w:hAnsi="仿宋" w:hint="eastAsia"/>
                <w:sz w:val="24"/>
                <w:highlight w:val="lightGray"/>
              </w:rPr>
              <w:t>2份</w:t>
            </w:r>
            <w:r>
              <w:rPr>
                <w:rFonts w:ascii="仿宋" w:eastAsia="仿宋" w:hAnsi="仿宋" w:hint="eastAsia"/>
                <w:sz w:val="24"/>
              </w:rPr>
              <w:t>。</w:t>
            </w:r>
          </w:p>
        </w:tc>
        <w:tc>
          <w:tcPr>
            <w:tcW w:w="1418" w:type="dxa"/>
            <w:vAlign w:val="center"/>
          </w:tcPr>
          <w:p w:rsidR="00013EC7" w:rsidRDefault="00575CDB">
            <w:pPr>
              <w:spacing w:line="300" w:lineRule="exact"/>
              <w:jc w:val="left"/>
              <w:rPr>
                <w:rFonts w:ascii="仿宋" w:eastAsia="仿宋" w:hAnsi="仿宋"/>
                <w:sz w:val="24"/>
              </w:rPr>
            </w:pPr>
            <w:r>
              <w:rPr>
                <w:rFonts w:ascii="仿宋" w:eastAsia="仿宋" w:hAnsi="仿宋" w:hint="eastAsia"/>
                <w:sz w:val="24"/>
              </w:rPr>
              <w:t>纳税人提交</w:t>
            </w:r>
          </w:p>
        </w:tc>
        <w:tc>
          <w:tcPr>
            <w:tcW w:w="2551" w:type="dxa"/>
            <w:vAlign w:val="center"/>
          </w:tcPr>
          <w:p w:rsidR="00013EC7" w:rsidRDefault="00575CDB">
            <w:pPr>
              <w:spacing w:line="300" w:lineRule="exact"/>
              <w:rPr>
                <w:rFonts w:ascii="仿宋" w:eastAsia="仿宋" w:hAnsi="仿宋"/>
                <w:sz w:val="24"/>
              </w:rPr>
            </w:pPr>
            <w:r>
              <w:rPr>
                <w:rFonts w:ascii="仿宋" w:eastAsia="仿宋" w:hAnsi="仿宋" w:hint="eastAsia"/>
                <w:sz w:val="24"/>
              </w:rPr>
              <w:t>（一）（A06639）《中华人民共和国企业所得税月（季）度和年度纳税申报表（B类，2015年版）》1份。</w:t>
            </w:r>
          </w:p>
        </w:tc>
        <w:tc>
          <w:tcPr>
            <w:tcW w:w="1418" w:type="dxa"/>
            <w:vAlign w:val="center"/>
          </w:tcPr>
          <w:p w:rsidR="00013EC7" w:rsidRDefault="00575CDB">
            <w:pPr>
              <w:spacing w:line="300" w:lineRule="exact"/>
              <w:jc w:val="left"/>
              <w:rPr>
                <w:rFonts w:ascii="仿宋" w:eastAsia="仿宋" w:hAnsi="仿宋"/>
                <w:i/>
                <w:iCs/>
                <w:sz w:val="24"/>
              </w:rPr>
            </w:pPr>
            <w:r>
              <w:rPr>
                <w:rFonts w:ascii="仿宋" w:eastAsia="仿宋" w:hAnsi="仿宋" w:hint="eastAsia"/>
                <w:sz w:val="24"/>
              </w:rPr>
              <w:t>纳税人提交</w:t>
            </w:r>
          </w:p>
        </w:tc>
        <w:tc>
          <w:tcPr>
            <w:tcW w:w="2126" w:type="dxa"/>
            <w:vMerge w:val="restart"/>
            <w:vAlign w:val="center"/>
          </w:tcPr>
          <w:p w:rsidR="00013EC7" w:rsidRDefault="00575CDB">
            <w:pPr>
              <w:rPr>
                <w:rFonts w:ascii="仿宋" w:eastAsia="仿宋" w:hAnsi="仿宋"/>
                <w:sz w:val="24"/>
              </w:rPr>
            </w:pPr>
            <w:r>
              <w:rPr>
                <w:rFonts w:ascii="仿宋" w:eastAsia="仿宋" w:hAnsi="仿宋"/>
                <w:b/>
                <w:sz w:val="24"/>
              </w:rPr>
              <w:t>现场办理：</w:t>
            </w:r>
            <w:r>
              <w:rPr>
                <w:rFonts w:ascii="仿宋" w:eastAsia="仿宋" w:hAnsi="仿宋" w:hint="eastAsia"/>
                <w:bCs/>
                <w:sz w:val="24"/>
              </w:rPr>
              <w:t>纳税人</w:t>
            </w:r>
            <w:r>
              <w:rPr>
                <w:rFonts w:ascii="仿宋" w:eastAsia="仿宋" w:hAnsi="仿宋" w:hint="eastAsia"/>
                <w:sz w:val="24"/>
              </w:rPr>
              <w:t>提交书面材料，符合受理条件的当场受理办结。</w:t>
            </w:r>
          </w:p>
          <w:p w:rsidR="00013EC7" w:rsidRDefault="00575CDB">
            <w:pPr>
              <w:spacing w:line="300" w:lineRule="exact"/>
              <w:rPr>
                <w:rFonts w:ascii="仿宋" w:eastAsia="仿宋" w:hAnsi="仿宋"/>
                <w:sz w:val="24"/>
              </w:rPr>
            </w:pPr>
            <w:r>
              <w:rPr>
                <w:rFonts w:ascii="仿宋" w:eastAsia="仿宋" w:hAnsi="仿宋" w:cs="仿宋" w:hint="eastAsia"/>
                <w:b/>
                <w:bCs/>
                <w:sz w:val="24"/>
              </w:rPr>
              <w:t>网上办理：</w:t>
            </w:r>
            <w:r>
              <w:rPr>
                <w:rFonts w:ascii="仿宋" w:eastAsia="仿宋" w:hAnsi="仿宋" w:hint="eastAsia"/>
                <w:sz w:val="24"/>
              </w:rPr>
              <w:t>登录浙江国税电子税务局（网址：</w:t>
            </w:r>
            <w:hyperlink r:id="rId281" w:tgtFrame="https://wx.qq.com/_blank" w:history="1">
              <w:r>
                <w:rPr>
                  <w:rFonts w:ascii="仿宋" w:eastAsia="仿宋" w:hAnsi="仿宋" w:hint="eastAsia"/>
                  <w:sz w:val="24"/>
                </w:rPr>
                <w:t>http://etax.zjtax.gov.cn/</w:t>
              </w:r>
            </w:hyperlink>
            <w:r>
              <w:rPr>
                <w:rFonts w:ascii="仿宋" w:eastAsia="仿宋" w:hAnsi="仿宋" w:hint="eastAsia"/>
                <w:sz w:val="24"/>
              </w:rPr>
              <w:t>）提交申请。</w:t>
            </w:r>
          </w:p>
        </w:tc>
        <w:tc>
          <w:tcPr>
            <w:tcW w:w="766" w:type="dxa"/>
            <w:vMerge w:val="restart"/>
            <w:vAlign w:val="center"/>
          </w:tcPr>
          <w:p w:rsidR="00013EC7" w:rsidRDefault="00575CDB">
            <w:pPr>
              <w:spacing w:line="300" w:lineRule="exact"/>
              <w:jc w:val="left"/>
              <w:rPr>
                <w:rFonts w:ascii="仿宋" w:eastAsia="仿宋" w:hAnsi="仿宋"/>
                <w:sz w:val="24"/>
              </w:rPr>
            </w:pPr>
            <w:r>
              <w:rPr>
                <w:rFonts w:ascii="仿宋" w:eastAsia="仿宋" w:hAnsi="仿宋" w:hint="eastAsia"/>
                <w:sz w:val="24"/>
              </w:rPr>
              <w:t>即时办结</w:t>
            </w:r>
          </w:p>
        </w:tc>
        <w:tc>
          <w:tcPr>
            <w:tcW w:w="798" w:type="dxa"/>
            <w:vMerge w:val="restart"/>
            <w:vAlign w:val="center"/>
          </w:tcPr>
          <w:p w:rsidR="00013EC7" w:rsidRDefault="00575CDB">
            <w:pPr>
              <w:spacing w:line="300" w:lineRule="exact"/>
              <w:jc w:val="left"/>
              <w:rPr>
                <w:rFonts w:ascii="仿宋" w:eastAsia="仿宋" w:hAnsi="仿宋"/>
                <w:sz w:val="24"/>
              </w:rPr>
            </w:pPr>
            <w:r>
              <w:rPr>
                <w:rFonts w:ascii="仿宋" w:eastAsia="仿宋" w:hAnsi="仿宋" w:hint="eastAsia"/>
                <w:sz w:val="24"/>
              </w:rPr>
              <w:t>即时办结</w:t>
            </w:r>
          </w:p>
        </w:tc>
        <w:tc>
          <w:tcPr>
            <w:tcW w:w="958" w:type="dxa"/>
            <w:vMerge w:val="restart"/>
            <w:vAlign w:val="center"/>
          </w:tcPr>
          <w:p w:rsidR="00013EC7" w:rsidRDefault="00575CDB">
            <w:pPr>
              <w:spacing w:line="300" w:lineRule="exact"/>
              <w:jc w:val="left"/>
              <w:rPr>
                <w:rFonts w:ascii="仿宋" w:eastAsia="仿宋" w:hAnsi="仿宋"/>
                <w:sz w:val="24"/>
              </w:rPr>
            </w:pPr>
            <w:r>
              <w:rPr>
                <w:rFonts w:ascii="仿宋" w:eastAsia="仿宋" w:hAnsi="仿宋" w:hint="eastAsia"/>
                <w:sz w:val="24"/>
              </w:rPr>
              <w:t>是</w:t>
            </w:r>
          </w:p>
        </w:tc>
        <w:tc>
          <w:tcPr>
            <w:tcW w:w="1104" w:type="dxa"/>
            <w:vMerge w:val="restart"/>
            <w:vAlign w:val="center"/>
          </w:tcPr>
          <w:p w:rsidR="00013EC7" w:rsidRDefault="00575CDB">
            <w:pPr>
              <w:spacing w:line="300" w:lineRule="exact"/>
              <w:jc w:val="center"/>
              <w:rPr>
                <w:rFonts w:ascii="仿宋" w:eastAsia="仿宋" w:hAnsi="仿宋"/>
                <w:sz w:val="24"/>
              </w:rPr>
            </w:pPr>
            <w:r>
              <w:rPr>
                <w:rFonts w:ascii="仿宋" w:eastAsia="仿宋" w:hAnsi="仿宋" w:hint="eastAsia"/>
                <w:sz w:val="24"/>
              </w:rPr>
              <w:t>所得税处</w:t>
            </w:r>
          </w:p>
        </w:tc>
        <w:tc>
          <w:tcPr>
            <w:tcW w:w="1476" w:type="dxa"/>
            <w:vMerge w:val="restart"/>
            <w:vAlign w:val="center"/>
          </w:tcPr>
          <w:p w:rsidR="00013EC7" w:rsidRDefault="00013EC7">
            <w:pPr>
              <w:spacing w:line="300" w:lineRule="exact"/>
              <w:rPr>
                <w:rFonts w:eastAsia="方正书宋简体"/>
                <w:sz w:val="24"/>
              </w:rPr>
            </w:pPr>
          </w:p>
        </w:tc>
      </w:tr>
      <w:tr w:rsidR="00013EC7">
        <w:trPr>
          <w:trHeight w:val="5568"/>
          <w:jc w:val="center"/>
        </w:trPr>
        <w:tc>
          <w:tcPr>
            <w:tcW w:w="672" w:type="dxa"/>
            <w:vMerge/>
            <w:textDirection w:val="tbRlV"/>
            <w:vAlign w:val="center"/>
          </w:tcPr>
          <w:p w:rsidR="00013EC7" w:rsidRDefault="00013EC7">
            <w:pPr>
              <w:rPr>
                <w:sz w:val="24"/>
              </w:rPr>
            </w:pPr>
          </w:p>
        </w:tc>
        <w:tc>
          <w:tcPr>
            <w:tcW w:w="1035" w:type="dxa"/>
            <w:vMerge/>
            <w:vAlign w:val="center"/>
          </w:tcPr>
          <w:p w:rsidR="00013EC7" w:rsidRDefault="00013EC7">
            <w:pPr>
              <w:rPr>
                <w:sz w:val="24"/>
              </w:rPr>
            </w:pPr>
          </w:p>
        </w:tc>
        <w:tc>
          <w:tcPr>
            <w:tcW w:w="2972" w:type="dxa"/>
            <w:vMerge/>
            <w:vAlign w:val="center"/>
          </w:tcPr>
          <w:p w:rsidR="00013EC7" w:rsidRDefault="00013EC7">
            <w:pPr>
              <w:rPr>
                <w:sz w:val="24"/>
              </w:rPr>
            </w:pPr>
          </w:p>
        </w:tc>
        <w:tc>
          <w:tcPr>
            <w:tcW w:w="2551" w:type="dxa"/>
            <w:vAlign w:val="center"/>
          </w:tcPr>
          <w:p w:rsidR="00013EC7" w:rsidRDefault="00575CDB">
            <w:pPr>
              <w:spacing w:line="300" w:lineRule="exact"/>
              <w:rPr>
                <w:rFonts w:ascii="仿宋" w:eastAsia="仿宋" w:hAnsi="仿宋" w:cs="宋体"/>
                <w:kern w:val="1"/>
                <w:sz w:val="24"/>
              </w:rPr>
            </w:pPr>
            <w:r>
              <w:rPr>
                <w:rFonts w:ascii="仿宋" w:eastAsia="仿宋" w:hAnsi="仿宋" w:hint="eastAsia"/>
                <w:sz w:val="24"/>
              </w:rPr>
              <w:t>（二）</w:t>
            </w:r>
            <w:hyperlink r:id="rId282" w:history="1">
              <w:r>
                <w:rPr>
                  <w:rFonts w:ascii="仿宋" w:eastAsia="仿宋" w:hAnsi="仿宋" w:cs="宋体"/>
                  <w:kern w:val="1"/>
                  <w:sz w:val="24"/>
                </w:rPr>
                <w:t>（A06548）《受控外国企业信息报告表》</w:t>
              </w:r>
            </w:hyperlink>
            <w:r>
              <w:rPr>
                <w:rFonts w:ascii="仿宋" w:eastAsia="仿宋" w:hAnsi="仿宋" w:cs="宋体" w:hint="eastAsia"/>
                <w:kern w:val="1"/>
                <w:sz w:val="24"/>
              </w:rPr>
              <w:t>。</w:t>
            </w:r>
          </w:p>
        </w:tc>
        <w:tc>
          <w:tcPr>
            <w:tcW w:w="1418" w:type="dxa"/>
            <w:vAlign w:val="center"/>
          </w:tcPr>
          <w:p w:rsidR="00013EC7" w:rsidRDefault="00575CDB">
            <w:pPr>
              <w:jc w:val="left"/>
              <w:rPr>
                <w:rFonts w:ascii="仿宋" w:eastAsia="仿宋" w:hAnsi="仿宋"/>
                <w:sz w:val="24"/>
              </w:rPr>
            </w:pPr>
            <w:r>
              <w:rPr>
                <w:rFonts w:ascii="仿宋" w:eastAsia="仿宋" w:hAnsi="仿宋" w:cs="宋体"/>
                <w:kern w:val="1"/>
                <w:sz w:val="24"/>
              </w:rPr>
              <w:t>适用《企业所得税法》第45条情形或者需要适用《特别纳税调整实施办法（试行）》第84条规定的居民企业</w:t>
            </w:r>
            <w:r>
              <w:rPr>
                <w:rFonts w:ascii="仿宋" w:eastAsia="仿宋" w:hAnsi="仿宋" w:cs="宋体" w:hint="eastAsia"/>
                <w:kern w:val="1"/>
                <w:sz w:val="24"/>
              </w:rPr>
              <w:t>提交</w:t>
            </w:r>
          </w:p>
        </w:tc>
        <w:tc>
          <w:tcPr>
            <w:tcW w:w="2551" w:type="dxa"/>
            <w:vAlign w:val="center"/>
          </w:tcPr>
          <w:p w:rsidR="00013EC7" w:rsidRDefault="00575CDB">
            <w:pPr>
              <w:spacing w:line="300" w:lineRule="exact"/>
              <w:rPr>
                <w:rFonts w:ascii="仿宋" w:eastAsia="仿宋" w:hAnsi="仿宋" w:cs="宋体"/>
                <w:kern w:val="1"/>
                <w:sz w:val="24"/>
              </w:rPr>
            </w:pPr>
            <w:r>
              <w:rPr>
                <w:rFonts w:ascii="仿宋" w:eastAsia="仿宋" w:hAnsi="仿宋" w:hint="eastAsia"/>
                <w:sz w:val="24"/>
              </w:rPr>
              <w:t>（二）</w:t>
            </w:r>
            <w:hyperlink r:id="rId283" w:history="1">
              <w:r>
                <w:rPr>
                  <w:rFonts w:ascii="仿宋" w:eastAsia="仿宋" w:hAnsi="仿宋" w:hint="eastAsia"/>
                  <w:sz w:val="24"/>
                </w:rPr>
                <w:t>（A06548）《受控外国企业信息报告表》</w:t>
              </w:r>
            </w:hyperlink>
            <w:r>
              <w:rPr>
                <w:rFonts w:ascii="仿宋" w:eastAsia="仿宋" w:hAnsi="仿宋" w:hint="eastAsia"/>
                <w:sz w:val="24"/>
              </w:rPr>
              <w:t xml:space="preserve">1份。 </w:t>
            </w:r>
          </w:p>
        </w:tc>
        <w:tc>
          <w:tcPr>
            <w:tcW w:w="1418" w:type="dxa"/>
            <w:vAlign w:val="center"/>
          </w:tcPr>
          <w:p w:rsidR="00013EC7" w:rsidRDefault="00575CDB">
            <w:pPr>
              <w:jc w:val="left"/>
              <w:rPr>
                <w:rFonts w:ascii="仿宋" w:eastAsia="仿宋" w:hAnsi="仿宋"/>
                <w:sz w:val="24"/>
              </w:rPr>
            </w:pPr>
            <w:r>
              <w:rPr>
                <w:rFonts w:ascii="仿宋" w:eastAsia="仿宋" w:hAnsi="仿宋" w:cs="宋体"/>
                <w:kern w:val="1"/>
                <w:sz w:val="24"/>
              </w:rPr>
              <w:t>适用《企业所得税法》第45条情形或者需要适用《特别纳税调整实施办法（试行）》第84条规定的居民企业</w:t>
            </w:r>
            <w:r>
              <w:rPr>
                <w:rFonts w:ascii="仿宋" w:eastAsia="仿宋" w:hAnsi="仿宋" w:cs="宋体" w:hint="eastAsia"/>
                <w:kern w:val="1"/>
                <w:sz w:val="24"/>
              </w:rPr>
              <w:t>提交</w:t>
            </w:r>
          </w:p>
        </w:tc>
        <w:tc>
          <w:tcPr>
            <w:tcW w:w="2126" w:type="dxa"/>
            <w:vMerge/>
            <w:vAlign w:val="center"/>
          </w:tcPr>
          <w:p w:rsidR="00013EC7" w:rsidRDefault="00013EC7">
            <w:pPr>
              <w:spacing w:line="300" w:lineRule="exact"/>
              <w:rPr>
                <w:rFonts w:eastAsia="方正书宋简体"/>
                <w:sz w:val="24"/>
              </w:rPr>
            </w:pPr>
          </w:p>
        </w:tc>
        <w:tc>
          <w:tcPr>
            <w:tcW w:w="766" w:type="dxa"/>
            <w:vMerge/>
            <w:vAlign w:val="center"/>
          </w:tcPr>
          <w:p w:rsidR="00013EC7" w:rsidRDefault="00013EC7">
            <w:pPr>
              <w:rPr>
                <w:sz w:val="24"/>
              </w:rPr>
            </w:pPr>
          </w:p>
        </w:tc>
        <w:tc>
          <w:tcPr>
            <w:tcW w:w="798" w:type="dxa"/>
            <w:vMerge/>
            <w:vAlign w:val="center"/>
          </w:tcPr>
          <w:p w:rsidR="00013EC7" w:rsidRDefault="00013EC7">
            <w:pPr>
              <w:rPr>
                <w:sz w:val="24"/>
              </w:rPr>
            </w:pPr>
          </w:p>
        </w:tc>
        <w:tc>
          <w:tcPr>
            <w:tcW w:w="958" w:type="dxa"/>
            <w:vMerge/>
            <w:vAlign w:val="center"/>
          </w:tcPr>
          <w:p w:rsidR="00013EC7" w:rsidRDefault="00013EC7">
            <w:pPr>
              <w:rPr>
                <w:sz w:val="24"/>
              </w:rPr>
            </w:pPr>
          </w:p>
        </w:tc>
        <w:tc>
          <w:tcPr>
            <w:tcW w:w="1104" w:type="dxa"/>
            <w:vMerge/>
            <w:vAlign w:val="center"/>
          </w:tcPr>
          <w:p w:rsidR="00013EC7" w:rsidRDefault="00013EC7">
            <w:pPr>
              <w:rPr>
                <w:sz w:val="24"/>
              </w:rPr>
            </w:pPr>
          </w:p>
        </w:tc>
        <w:tc>
          <w:tcPr>
            <w:tcW w:w="1476" w:type="dxa"/>
            <w:vMerge/>
            <w:vAlign w:val="center"/>
          </w:tcPr>
          <w:p w:rsidR="00013EC7" w:rsidRDefault="00013EC7">
            <w:pPr>
              <w:rPr>
                <w:sz w:val="24"/>
              </w:rPr>
            </w:pPr>
          </w:p>
        </w:tc>
      </w:tr>
      <w:tr w:rsidR="00013EC7">
        <w:trPr>
          <w:trHeight w:val="5567"/>
          <w:jc w:val="center"/>
        </w:trPr>
        <w:tc>
          <w:tcPr>
            <w:tcW w:w="672" w:type="dxa"/>
            <w:vMerge/>
            <w:tcBorders>
              <w:bottom w:val="single" w:sz="4" w:space="0" w:color="auto"/>
            </w:tcBorders>
            <w:textDirection w:val="tbRlV"/>
            <w:vAlign w:val="center"/>
          </w:tcPr>
          <w:p w:rsidR="00013EC7" w:rsidRDefault="00013EC7">
            <w:pPr>
              <w:rPr>
                <w:sz w:val="24"/>
              </w:rPr>
            </w:pPr>
          </w:p>
        </w:tc>
        <w:tc>
          <w:tcPr>
            <w:tcW w:w="1035" w:type="dxa"/>
            <w:vMerge/>
            <w:tcBorders>
              <w:bottom w:val="single" w:sz="4" w:space="0" w:color="auto"/>
            </w:tcBorders>
            <w:vAlign w:val="center"/>
          </w:tcPr>
          <w:p w:rsidR="00013EC7" w:rsidRDefault="00013EC7">
            <w:pPr>
              <w:rPr>
                <w:sz w:val="24"/>
              </w:rPr>
            </w:pPr>
          </w:p>
        </w:tc>
        <w:tc>
          <w:tcPr>
            <w:tcW w:w="2972" w:type="dxa"/>
            <w:vMerge/>
            <w:tcBorders>
              <w:bottom w:val="single" w:sz="4" w:space="0" w:color="auto"/>
            </w:tcBorders>
            <w:vAlign w:val="center"/>
          </w:tcPr>
          <w:p w:rsidR="00013EC7" w:rsidRDefault="00013EC7">
            <w:pPr>
              <w:rPr>
                <w:sz w:val="24"/>
              </w:rPr>
            </w:pPr>
          </w:p>
        </w:tc>
        <w:tc>
          <w:tcPr>
            <w:tcW w:w="2551" w:type="dxa"/>
            <w:tcBorders>
              <w:bottom w:val="single" w:sz="4" w:space="0" w:color="auto"/>
            </w:tcBorders>
            <w:vAlign w:val="center"/>
          </w:tcPr>
          <w:p w:rsidR="00013EC7" w:rsidRDefault="00575CDB">
            <w:pPr>
              <w:spacing w:line="300" w:lineRule="exact"/>
              <w:rPr>
                <w:rFonts w:ascii="仿宋" w:eastAsia="仿宋" w:hAnsi="仿宋" w:cs="宋体"/>
                <w:kern w:val="1"/>
                <w:sz w:val="24"/>
              </w:rPr>
            </w:pPr>
            <w:r>
              <w:rPr>
                <w:rFonts w:ascii="仿宋" w:eastAsia="仿宋" w:hAnsi="仿宋" w:cs="宋体" w:hint="eastAsia"/>
                <w:kern w:val="1"/>
                <w:sz w:val="24"/>
              </w:rPr>
              <w:t>（三）按照中国会计制度编报的年度独立财务报表。</w:t>
            </w:r>
          </w:p>
        </w:tc>
        <w:tc>
          <w:tcPr>
            <w:tcW w:w="1418" w:type="dxa"/>
            <w:tcBorders>
              <w:bottom w:val="single" w:sz="4" w:space="0" w:color="auto"/>
            </w:tcBorders>
            <w:vAlign w:val="center"/>
          </w:tcPr>
          <w:p w:rsidR="00013EC7" w:rsidRDefault="00575CDB">
            <w:pPr>
              <w:jc w:val="left"/>
              <w:rPr>
                <w:rFonts w:ascii="仿宋" w:eastAsia="仿宋" w:hAnsi="仿宋" w:cs="宋体"/>
                <w:kern w:val="1"/>
                <w:sz w:val="24"/>
              </w:rPr>
            </w:pPr>
            <w:r>
              <w:rPr>
                <w:rFonts w:ascii="仿宋" w:eastAsia="仿宋" w:hAnsi="仿宋" w:cs="宋体"/>
                <w:kern w:val="1"/>
                <w:sz w:val="24"/>
              </w:rPr>
              <w:t>纳入《企业所得税法》第24条规定抵免范围的外国企业或符合《企业所得税法》第45条规定的受控外国企业</w:t>
            </w:r>
            <w:r>
              <w:rPr>
                <w:rFonts w:ascii="仿宋" w:eastAsia="仿宋" w:hAnsi="仿宋" w:cs="宋体" w:hint="eastAsia"/>
                <w:kern w:val="1"/>
                <w:sz w:val="24"/>
              </w:rPr>
              <w:t>提交</w:t>
            </w:r>
          </w:p>
        </w:tc>
        <w:tc>
          <w:tcPr>
            <w:tcW w:w="2551" w:type="dxa"/>
            <w:tcBorders>
              <w:bottom w:val="single" w:sz="4" w:space="0" w:color="auto"/>
            </w:tcBorders>
            <w:vAlign w:val="center"/>
          </w:tcPr>
          <w:p w:rsidR="00013EC7" w:rsidRDefault="00575CDB">
            <w:pPr>
              <w:spacing w:line="300" w:lineRule="exact"/>
              <w:rPr>
                <w:rFonts w:ascii="仿宋" w:eastAsia="仿宋" w:hAnsi="仿宋" w:cs="宋体"/>
                <w:kern w:val="1"/>
                <w:sz w:val="24"/>
              </w:rPr>
            </w:pPr>
            <w:r>
              <w:rPr>
                <w:rFonts w:ascii="仿宋" w:eastAsia="仿宋" w:hAnsi="仿宋" w:cs="宋体" w:hint="eastAsia"/>
                <w:kern w:val="1"/>
                <w:sz w:val="24"/>
              </w:rPr>
              <w:t>（三）按照中国会计制度编报的年度独立财务报表1份</w:t>
            </w:r>
          </w:p>
        </w:tc>
        <w:tc>
          <w:tcPr>
            <w:tcW w:w="1418" w:type="dxa"/>
            <w:tcBorders>
              <w:bottom w:val="single" w:sz="4" w:space="0" w:color="auto"/>
            </w:tcBorders>
            <w:vAlign w:val="center"/>
          </w:tcPr>
          <w:p w:rsidR="00013EC7" w:rsidRDefault="00575CDB">
            <w:pPr>
              <w:jc w:val="left"/>
              <w:rPr>
                <w:rFonts w:ascii="仿宋" w:eastAsia="仿宋" w:hAnsi="仿宋" w:cs="宋体"/>
                <w:kern w:val="1"/>
                <w:sz w:val="24"/>
              </w:rPr>
            </w:pPr>
            <w:r>
              <w:rPr>
                <w:rFonts w:ascii="仿宋" w:eastAsia="仿宋" w:hAnsi="仿宋" w:cs="宋体"/>
                <w:kern w:val="1"/>
                <w:sz w:val="24"/>
              </w:rPr>
              <w:t>纳入《企业所得税法》第24条规定抵免范围的外国企业或符合《企业所得税法》第45条规定的受控外国企业</w:t>
            </w:r>
            <w:r>
              <w:rPr>
                <w:rFonts w:ascii="仿宋" w:eastAsia="仿宋" w:hAnsi="仿宋" w:cs="宋体" w:hint="eastAsia"/>
                <w:kern w:val="1"/>
                <w:sz w:val="24"/>
              </w:rPr>
              <w:t>提交</w:t>
            </w:r>
          </w:p>
        </w:tc>
        <w:tc>
          <w:tcPr>
            <w:tcW w:w="2126" w:type="dxa"/>
            <w:vMerge/>
            <w:tcBorders>
              <w:bottom w:val="single" w:sz="4" w:space="0" w:color="auto"/>
            </w:tcBorders>
            <w:vAlign w:val="center"/>
          </w:tcPr>
          <w:p w:rsidR="00013EC7" w:rsidRDefault="00013EC7">
            <w:pPr>
              <w:spacing w:line="300" w:lineRule="exact"/>
              <w:rPr>
                <w:rFonts w:eastAsia="方正书宋简体"/>
                <w:sz w:val="24"/>
              </w:rPr>
            </w:pPr>
          </w:p>
        </w:tc>
        <w:tc>
          <w:tcPr>
            <w:tcW w:w="766" w:type="dxa"/>
            <w:vMerge/>
            <w:tcBorders>
              <w:bottom w:val="single" w:sz="4" w:space="0" w:color="auto"/>
            </w:tcBorders>
            <w:vAlign w:val="center"/>
          </w:tcPr>
          <w:p w:rsidR="00013EC7" w:rsidRDefault="00013EC7">
            <w:pPr>
              <w:rPr>
                <w:sz w:val="24"/>
              </w:rPr>
            </w:pPr>
          </w:p>
        </w:tc>
        <w:tc>
          <w:tcPr>
            <w:tcW w:w="798" w:type="dxa"/>
            <w:vMerge/>
            <w:tcBorders>
              <w:bottom w:val="single" w:sz="4" w:space="0" w:color="auto"/>
            </w:tcBorders>
            <w:vAlign w:val="center"/>
          </w:tcPr>
          <w:p w:rsidR="00013EC7" w:rsidRDefault="00013EC7">
            <w:pPr>
              <w:rPr>
                <w:sz w:val="24"/>
              </w:rPr>
            </w:pPr>
          </w:p>
        </w:tc>
        <w:tc>
          <w:tcPr>
            <w:tcW w:w="958" w:type="dxa"/>
            <w:vMerge/>
            <w:tcBorders>
              <w:bottom w:val="single" w:sz="4" w:space="0" w:color="auto"/>
            </w:tcBorders>
            <w:vAlign w:val="center"/>
          </w:tcPr>
          <w:p w:rsidR="00013EC7" w:rsidRDefault="00013EC7">
            <w:pPr>
              <w:rPr>
                <w:sz w:val="24"/>
              </w:rPr>
            </w:pPr>
          </w:p>
        </w:tc>
        <w:tc>
          <w:tcPr>
            <w:tcW w:w="1104" w:type="dxa"/>
            <w:vMerge/>
            <w:tcBorders>
              <w:bottom w:val="single" w:sz="4" w:space="0" w:color="auto"/>
            </w:tcBorders>
            <w:vAlign w:val="center"/>
          </w:tcPr>
          <w:p w:rsidR="00013EC7" w:rsidRDefault="00013EC7">
            <w:pPr>
              <w:rPr>
                <w:sz w:val="24"/>
              </w:rPr>
            </w:pPr>
          </w:p>
        </w:tc>
        <w:tc>
          <w:tcPr>
            <w:tcW w:w="1476" w:type="dxa"/>
            <w:vMerge/>
            <w:tcBorders>
              <w:bottom w:val="single" w:sz="4" w:space="0" w:color="auto"/>
            </w:tcBorders>
            <w:vAlign w:val="center"/>
          </w:tcPr>
          <w:p w:rsidR="00013EC7" w:rsidRDefault="00013EC7">
            <w:pPr>
              <w:rPr>
                <w:sz w:val="24"/>
              </w:rPr>
            </w:pPr>
          </w:p>
        </w:tc>
      </w:tr>
    </w:tbl>
    <w:p w:rsidR="00013EC7" w:rsidRDefault="00013EC7">
      <w:pPr>
        <w:rPr>
          <w:sz w:val="24"/>
        </w:rPr>
      </w:pPr>
    </w:p>
    <w:p w:rsidR="00013EC7" w:rsidRDefault="00013EC7">
      <w:pPr>
        <w:rPr>
          <w:rFonts w:eastAsia="方正书宋简体"/>
          <w:sz w:val="24"/>
        </w:rPr>
      </w:pPr>
    </w:p>
    <w:p w:rsidR="00013EC7" w:rsidRDefault="00013EC7">
      <w:pPr>
        <w:rPr>
          <w:rFonts w:eastAsia="方正书宋简体"/>
          <w:sz w:val="24"/>
        </w:rPr>
      </w:pPr>
    </w:p>
    <w:p w:rsidR="00013EC7" w:rsidRDefault="00013EC7">
      <w:pPr>
        <w:rPr>
          <w:rFonts w:ascii="仿宋" w:eastAsia="仿宋" w:hAnsi="仿宋" w:cs="仿宋"/>
          <w:sz w:val="24"/>
        </w:rPr>
      </w:pPr>
    </w:p>
    <w:p w:rsidR="00013EC7" w:rsidRDefault="005262E6">
      <w:r>
        <w:rPr>
          <w:rFonts w:ascii="黑体" w:eastAsia="黑体" w:hAnsi="黑体"/>
        </w:rPr>
        <w:lastRenderedPageBreak/>
        <w:object w:dxaOrig="1440" w:dyaOrig="1440">
          <v:shape id="_x0000_s1370" type="#_x0000_t75" style="position:absolute;left:0;text-align:left;margin-left:556.85pt;margin-top:113.45pt;width:409.5pt;height:572.25pt;z-index:251693056;mso-wrap-distance-top:0;mso-wrap-distance-bottom:0;mso-position-vertical-relative:page;mso-width-relative:page;mso-height-relative:page">
            <v:imagedata r:id="rId284" o:title=""/>
            <o:lock v:ext="edit" aspectratio="f"/>
            <w10:wrap type="topAndBottom" anchory="page"/>
          </v:shape>
          <o:OLEObject Type="Embed" ProgID="Visio.Drawing.11" ShapeID="_x0000_s1370" DrawAspect="Content" ObjectID="_1577296250" r:id="rId285"/>
        </w:object>
      </w:r>
      <w:r>
        <w:object w:dxaOrig="1440" w:dyaOrig="1440">
          <v:shape id="_x0000_s1369" type="#_x0000_t75" style="position:absolute;left:0;text-align:left;margin-left:5.6pt;margin-top:116.2pt;width:482pt;height:574.5pt;z-index:251692032;mso-wrap-distance-top:0;mso-wrap-distance-bottom:0;mso-position-vertical-relative:page;mso-width-relative:page;mso-height-relative:page">
            <v:imagedata r:id="rId286" o:title=""/>
            <w10:wrap type="topAndBottom" anchory="page"/>
          </v:shape>
          <o:OLEObject Type="Embed" ProgID="Visio.Drawing.11" ShapeID="_x0000_s1369" DrawAspect="Content" ObjectID="_1577296251" r:id="rId287"/>
        </w:object>
      </w:r>
    </w:p>
    <w:p w:rsidR="00013EC7" w:rsidRDefault="00013EC7"/>
    <w:p w:rsidR="00013EC7" w:rsidRDefault="00013EC7"/>
    <w:p w:rsidR="00013EC7" w:rsidRDefault="00013EC7"/>
    <w:p w:rsidR="00013EC7" w:rsidRDefault="00013EC7">
      <w:pPr>
        <w:rPr>
          <w:rFonts w:ascii="宋体" w:hAnsi="宋体"/>
          <w:sz w:val="28"/>
          <w:szCs w:val="28"/>
        </w:rPr>
        <w:sectPr w:rsidR="00013EC7">
          <w:pgSz w:w="23814" w:h="16840" w:orient="landscape"/>
          <w:pgMar w:top="1701" w:right="1843" w:bottom="1985" w:left="1843" w:header="851" w:footer="1701" w:gutter="0"/>
          <w:pgNumType w:fmt="numberInDash"/>
          <w:cols w:space="720"/>
          <w:docGrid w:type="lines" w:linePitch="312"/>
        </w:sectPr>
      </w:pPr>
    </w:p>
    <w:p w:rsidR="00013EC7" w:rsidRDefault="00575CDB">
      <w:pPr>
        <w:pStyle w:val="2"/>
      </w:pPr>
      <w:bookmarkStart w:id="356" w:name="_Toc19220"/>
      <w:bookmarkStart w:id="357" w:name="_Toc25593"/>
      <w:bookmarkStart w:id="358" w:name="_Toc503467435"/>
      <w:bookmarkStart w:id="359" w:name="_Toc17884"/>
      <w:r>
        <w:rPr>
          <w:rFonts w:hint="eastAsia"/>
        </w:rPr>
        <w:lastRenderedPageBreak/>
        <w:t>17.15</w:t>
      </w:r>
      <w:r>
        <w:rPr>
          <w:rFonts w:hint="eastAsia"/>
        </w:rPr>
        <w:t>非居民企业所得税季度纳税申报（适用据实申报）</w:t>
      </w:r>
      <w:bookmarkEnd w:id="356"/>
      <w:bookmarkEnd w:id="357"/>
      <w:bookmarkEnd w:id="358"/>
      <w:bookmarkEnd w:id="359"/>
    </w:p>
    <w:p w:rsidR="00013EC7" w:rsidRDefault="00575CDB">
      <w:pPr>
        <w:jc w:val="center"/>
        <w:rPr>
          <w:rFonts w:ascii="宋体" w:hAnsi="宋体" w:cs="宋体"/>
          <w:b/>
          <w:bCs/>
          <w:sz w:val="52"/>
          <w:szCs w:val="52"/>
        </w:rPr>
      </w:pPr>
      <w:r>
        <w:rPr>
          <w:rFonts w:ascii="宋体" w:hAnsi="宋体" w:cs="宋体" w:hint="eastAsia"/>
          <w:b/>
          <w:bCs/>
          <w:sz w:val="52"/>
          <w:szCs w:val="52"/>
        </w:rPr>
        <w:t>全省“最多跑一次”事项“八统一”梳理表</w:t>
      </w:r>
    </w:p>
    <w:p w:rsidR="00013EC7" w:rsidRDefault="00013EC7">
      <w:pPr>
        <w:rPr>
          <w:rFonts w:eastAsia="仿宋_GB2312"/>
          <w:szCs w:val="21"/>
        </w:rPr>
      </w:pPr>
    </w:p>
    <w:tbl>
      <w:tblPr>
        <w:tblW w:w="20186"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shd w:val="clear" w:color="auto" w:fill="FFFFFF"/>
        <w:tblLayout w:type="fixed"/>
        <w:tblCellMar>
          <w:top w:w="28" w:type="dxa"/>
          <w:left w:w="57" w:type="dxa"/>
          <w:bottom w:w="28" w:type="dxa"/>
          <w:right w:w="57" w:type="dxa"/>
        </w:tblCellMar>
        <w:tblLook w:val="04A0" w:firstRow="1" w:lastRow="0" w:firstColumn="1" w:lastColumn="0" w:noHBand="0" w:noVBand="1"/>
      </w:tblPr>
      <w:tblGrid>
        <w:gridCol w:w="672"/>
        <w:gridCol w:w="1035"/>
        <w:gridCol w:w="3028"/>
        <w:gridCol w:w="3062"/>
        <w:gridCol w:w="1191"/>
        <w:gridCol w:w="3129"/>
        <w:gridCol w:w="1123"/>
        <w:gridCol w:w="1276"/>
        <w:gridCol w:w="1134"/>
        <w:gridCol w:w="992"/>
        <w:gridCol w:w="851"/>
        <w:gridCol w:w="1134"/>
        <w:gridCol w:w="1559"/>
      </w:tblGrid>
      <w:tr w:rsidR="00013EC7">
        <w:trPr>
          <w:trHeight w:val="340"/>
          <w:tblHeader/>
        </w:trPr>
        <w:tc>
          <w:tcPr>
            <w:tcW w:w="672" w:type="dxa"/>
            <w:vMerge w:val="restart"/>
            <w:shd w:val="clear" w:color="auto" w:fill="FFFFFF"/>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主项名称</w:t>
            </w:r>
          </w:p>
        </w:tc>
        <w:tc>
          <w:tcPr>
            <w:tcW w:w="1035" w:type="dxa"/>
            <w:vMerge w:val="restart"/>
            <w:shd w:val="clear" w:color="auto" w:fill="FFFFFF"/>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子项名称</w:t>
            </w:r>
          </w:p>
        </w:tc>
        <w:tc>
          <w:tcPr>
            <w:tcW w:w="3028" w:type="dxa"/>
            <w:vMerge w:val="restart"/>
            <w:shd w:val="clear" w:color="auto" w:fill="FFFFFF"/>
            <w:vAlign w:val="center"/>
          </w:tcPr>
          <w:p w:rsidR="00013EC7" w:rsidRDefault="00575CDB">
            <w:pPr>
              <w:spacing w:line="280" w:lineRule="exact"/>
              <w:ind w:rightChars="-111" w:right="-233"/>
              <w:jc w:val="center"/>
              <w:rPr>
                <w:rFonts w:ascii="黑体" w:eastAsia="黑体" w:hAnsi="黑体"/>
                <w:sz w:val="24"/>
              </w:rPr>
            </w:pPr>
            <w:r>
              <w:rPr>
                <w:rFonts w:ascii="黑体" w:eastAsia="黑体" w:hAnsi="黑体" w:hint="eastAsia"/>
                <w:sz w:val="24"/>
              </w:rPr>
              <w:t>经办依据</w:t>
            </w:r>
          </w:p>
        </w:tc>
        <w:tc>
          <w:tcPr>
            <w:tcW w:w="4253" w:type="dxa"/>
            <w:gridSpan w:val="2"/>
            <w:shd w:val="clear" w:color="auto" w:fill="FFFFFF"/>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原经办所需材料</w:t>
            </w:r>
          </w:p>
        </w:tc>
        <w:tc>
          <w:tcPr>
            <w:tcW w:w="5528" w:type="dxa"/>
            <w:gridSpan w:val="3"/>
            <w:shd w:val="clear" w:color="auto" w:fill="FFFFFF"/>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精简后经办所需材料</w:t>
            </w:r>
          </w:p>
        </w:tc>
        <w:tc>
          <w:tcPr>
            <w:tcW w:w="2126" w:type="dxa"/>
            <w:gridSpan w:val="2"/>
            <w:shd w:val="clear" w:color="auto" w:fill="FFFFFF"/>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办理时限</w:t>
            </w:r>
          </w:p>
        </w:tc>
        <w:tc>
          <w:tcPr>
            <w:tcW w:w="851" w:type="dxa"/>
            <w:vMerge w:val="restart"/>
            <w:shd w:val="clear" w:color="auto" w:fill="FFFFFF"/>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是否实现跑零次</w:t>
            </w:r>
          </w:p>
        </w:tc>
        <w:tc>
          <w:tcPr>
            <w:tcW w:w="1134" w:type="dxa"/>
            <w:vMerge w:val="restart"/>
            <w:shd w:val="clear" w:color="auto" w:fill="FFFFFF"/>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责任处室</w:t>
            </w:r>
          </w:p>
          <w:p w:rsidR="00013EC7" w:rsidRDefault="00575CDB">
            <w:pPr>
              <w:spacing w:line="280" w:lineRule="exact"/>
              <w:jc w:val="center"/>
              <w:rPr>
                <w:rFonts w:ascii="黑体" w:eastAsia="黑体" w:hAnsi="黑体"/>
                <w:sz w:val="24"/>
              </w:rPr>
            </w:pPr>
            <w:r>
              <w:rPr>
                <w:rFonts w:ascii="黑体" w:eastAsia="黑体" w:hAnsi="黑体" w:hint="eastAsia"/>
                <w:sz w:val="24"/>
              </w:rPr>
              <w:t>（单位）</w:t>
            </w:r>
          </w:p>
        </w:tc>
        <w:tc>
          <w:tcPr>
            <w:tcW w:w="1559" w:type="dxa"/>
            <w:vMerge w:val="restart"/>
            <w:shd w:val="clear" w:color="auto" w:fill="FFFFFF"/>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进一步精简、</w:t>
            </w:r>
          </w:p>
          <w:p w:rsidR="00013EC7" w:rsidRDefault="00575CDB">
            <w:pPr>
              <w:spacing w:line="280" w:lineRule="exact"/>
              <w:jc w:val="center"/>
              <w:rPr>
                <w:rFonts w:ascii="黑体" w:eastAsia="黑体" w:hAnsi="黑体"/>
                <w:sz w:val="24"/>
              </w:rPr>
            </w:pPr>
            <w:r>
              <w:rPr>
                <w:rFonts w:ascii="黑体" w:eastAsia="黑体" w:hAnsi="黑体" w:hint="eastAsia"/>
                <w:sz w:val="24"/>
              </w:rPr>
              <w:t>规范建议</w:t>
            </w:r>
          </w:p>
        </w:tc>
      </w:tr>
      <w:tr w:rsidR="00013EC7">
        <w:trPr>
          <w:trHeight w:val="340"/>
          <w:tblHeader/>
        </w:trPr>
        <w:tc>
          <w:tcPr>
            <w:tcW w:w="672" w:type="dxa"/>
            <w:vMerge/>
            <w:shd w:val="clear" w:color="auto" w:fill="FFFFFF"/>
            <w:vAlign w:val="center"/>
          </w:tcPr>
          <w:p w:rsidR="00013EC7" w:rsidRDefault="00013EC7">
            <w:pPr>
              <w:jc w:val="left"/>
              <w:rPr>
                <w:rFonts w:ascii="仿宋" w:eastAsia="仿宋" w:hAnsi="仿宋"/>
                <w:sz w:val="24"/>
              </w:rPr>
            </w:pPr>
          </w:p>
        </w:tc>
        <w:tc>
          <w:tcPr>
            <w:tcW w:w="1035" w:type="dxa"/>
            <w:vMerge/>
            <w:shd w:val="clear" w:color="auto" w:fill="FFFFFF"/>
            <w:vAlign w:val="center"/>
          </w:tcPr>
          <w:p w:rsidR="00013EC7" w:rsidRDefault="00013EC7">
            <w:pPr>
              <w:jc w:val="left"/>
              <w:rPr>
                <w:rFonts w:ascii="仿宋" w:eastAsia="仿宋" w:hAnsi="仿宋"/>
                <w:sz w:val="24"/>
              </w:rPr>
            </w:pPr>
          </w:p>
        </w:tc>
        <w:tc>
          <w:tcPr>
            <w:tcW w:w="3028" w:type="dxa"/>
            <w:vMerge/>
            <w:shd w:val="clear" w:color="auto" w:fill="FFFFFF"/>
            <w:vAlign w:val="center"/>
          </w:tcPr>
          <w:p w:rsidR="00013EC7" w:rsidRDefault="00013EC7">
            <w:pPr>
              <w:jc w:val="left"/>
              <w:rPr>
                <w:rFonts w:ascii="仿宋" w:eastAsia="仿宋" w:hAnsi="仿宋"/>
                <w:sz w:val="24"/>
              </w:rPr>
            </w:pPr>
          </w:p>
        </w:tc>
        <w:tc>
          <w:tcPr>
            <w:tcW w:w="3062" w:type="dxa"/>
            <w:tcBorders>
              <w:bottom w:val="single" w:sz="4" w:space="0" w:color="auto"/>
            </w:tcBorders>
            <w:shd w:val="clear" w:color="auto" w:fill="FFFFFF"/>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材料明细</w:t>
            </w:r>
          </w:p>
        </w:tc>
        <w:tc>
          <w:tcPr>
            <w:tcW w:w="1191" w:type="dxa"/>
            <w:shd w:val="clear" w:color="auto" w:fill="FFFFFF"/>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材料来源</w:t>
            </w:r>
          </w:p>
        </w:tc>
        <w:tc>
          <w:tcPr>
            <w:tcW w:w="3129" w:type="dxa"/>
            <w:shd w:val="clear" w:color="auto" w:fill="FFFFFF"/>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材料明细</w:t>
            </w:r>
          </w:p>
        </w:tc>
        <w:tc>
          <w:tcPr>
            <w:tcW w:w="1123" w:type="dxa"/>
            <w:shd w:val="clear" w:color="auto" w:fill="FFFFFF"/>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材料来源</w:t>
            </w:r>
          </w:p>
        </w:tc>
        <w:tc>
          <w:tcPr>
            <w:tcW w:w="1276" w:type="dxa"/>
            <w:shd w:val="clear" w:color="auto" w:fill="FFFFFF"/>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办理方式及材料信息获取方式说明</w:t>
            </w:r>
          </w:p>
        </w:tc>
        <w:tc>
          <w:tcPr>
            <w:tcW w:w="1134" w:type="dxa"/>
            <w:shd w:val="clear" w:color="auto" w:fill="FFFFFF"/>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优化前</w:t>
            </w:r>
          </w:p>
        </w:tc>
        <w:tc>
          <w:tcPr>
            <w:tcW w:w="992" w:type="dxa"/>
            <w:shd w:val="clear" w:color="auto" w:fill="FFFFFF"/>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优化后</w:t>
            </w:r>
          </w:p>
        </w:tc>
        <w:tc>
          <w:tcPr>
            <w:tcW w:w="851" w:type="dxa"/>
            <w:vMerge/>
            <w:shd w:val="clear" w:color="auto" w:fill="FFFFFF"/>
            <w:vAlign w:val="center"/>
          </w:tcPr>
          <w:p w:rsidR="00013EC7" w:rsidRDefault="00013EC7">
            <w:pPr>
              <w:jc w:val="left"/>
              <w:rPr>
                <w:rFonts w:ascii="仿宋" w:eastAsia="仿宋" w:hAnsi="仿宋"/>
                <w:sz w:val="24"/>
              </w:rPr>
            </w:pPr>
          </w:p>
        </w:tc>
        <w:tc>
          <w:tcPr>
            <w:tcW w:w="1134" w:type="dxa"/>
            <w:vMerge/>
            <w:shd w:val="clear" w:color="auto" w:fill="FFFFFF"/>
            <w:vAlign w:val="center"/>
          </w:tcPr>
          <w:p w:rsidR="00013EC7" w:rsidRDefault="00013EC7">
            <w:pPr>
              <w:jc w:val="left"/>
              <w:rPr>
                <w:rFonts w:ascii="仿宋" w:eastAsia="仿宋" w:hAnsi="仿宋"/>
                <w:sz w:val="24"/>
              </w:rPr>
            </w:pPr>
          </w:p>
        </w:tc>
        <w:tc>
          <w:tcPr>
            <w:tcW w:w="1559" w:type="dxa"/>
            <w:vMerge/>
            <w:shd w:val="clear" w:color="auto" w:fill="FFFFFF"/>
            <w:vAlign w:val="center"/>
          </w:tcPr>
          <w:p w:rsidR="00013EC7" w:rsidRDefault="00013EC7">
            <w:pPr>
              <w:jc w:val="left"/>
              <w:rPr>
                <w:rFonts w:ascii="仿宋" w:eastAsia="仿宋" w:hAnsi="仿宋"/>
                <w:sz w:val="24"/>
              </w:rPr>
            </w:pPr>
          </w:p>
        </w:tc>
      </w:tr>
      <w:tr w:rsidR="00013EC7">
        <w:trPr>
          <w:trHeight w:val="1475"/>
        </w:trPr>
        <w:tc>
          <w:tcPr>
            <w:tcW w:w="672" w:type="dxa"/>
            <w:vMerge w:val="restart"/>
            <w:shd w:val="clear" w:color="auto" w:fill="FFFFFF"/>
            <w:vAlign w:val="center"/>
          </w:tcPr>
          <w:p w:rsidR="00013EC7" w:rsidRDefault="00575CDB">
            <w:pPr>
              <w:spacing w:line="300" w:lineRule="exact"/>
              <w:jc w:val="left"/>
              <w:rPr>
                <w:rFonts w:ascii="仿宋" w:eastAsia="仿宋" w:hAnsi="仿宋"/>
                <w:sz w:val="24"/>
              </w:rPr>
            </w:pPr>
            <w:r>
              <w:rPr>
                <w:rFonts w:ascii="仿宋" w:eastAsia="仿宋" w:hAnsi="仿宋" w:hint="eastAsia"/>
                <w:sz w:val="24"/>
              </w:rPr>
              <w:t>17日常税费申报</w:t>
            </w:r>
          </w:p>
        </w:tc>
        <w:tc>
          <w:tcPr>
            <w:tcW w:w="1035" w:type="dxa"/>
            <w:vMerge w:val="restart"/>
            <w:shd w:val="clear" w:color="auto" w:fill="FFFFFF"/>
            <w:vAlign w:val="center"/>
          </w:tcPr>
          <w:p w:rsidR="00013EC7" w:rsidRDefault="00575CDB">
            <w:pPr>
              <w:spacing w:line="310" w:lineRule="exact"/>
              <w:jc w:val="left"/>
              <w:rPr>
                <w:rFonts w:ascii="仿宋" w:eastAsia="仿宋" w:hAnsi="仿宋"/>
                <w:sz w:val="24"/>
              </w:rPr>
            </w:pPr>
            <w:r>
              <w:rPr>
                <w:rFonts w:ascii="仿宋" w:eastAsia="仿宋" w:hAnsi="仿宋" w:hint="eastAsia"/>
                <w:sz w:val="24"/>
              </w:rPr>
              <w:t>17.15非居民企业所得税季度纳税申报（适用据实申报）</w:t>
            </w:r>
          </w:p>
        </w:tc>
        <w:tc>
          <w:tcPr>
            <w:tcW w:w="3028" w:type="dxa"/>
            <w:vMerge w:val="restart"/>
            <w:shd w:val="clear" w:color="auto" w:fill="FFFFFF"/>
            <w:vAlign w:val="center"/>
          </w:tcPr>
          <w:p w:rsidR="00013EC7" w:rsidRDefault="00575CDB">
            <w:pPr>
              <w:jc w:val="left"/>
              <w:rPr>
                <w:rFonts w:ascii="仿宋" w:eastAsia="仿宋" w:hAnsi="仿宋" w:cs="宋体"/>
                <w:kern w:val="1"/>
                <w:sz w:val="24"/>
              </w:rPr>
            </w:pPr>
            <w:r>
              <w:rPr>
                <w:rFonts w:ascii="仿宋" w:eastAsia="仿宋" w:hAnsi="仿宋" w:cs="宋体" w:hint="eastAsia"/>
                <w:kern w:val="1"/>
                <w:sz w:val="24"/>
              </w:rPr>
              <w:t>（一）《中华人民共和国企业所得税法》（2007年中华人民共和国主席令第63号）全文。</w:t>
            </w:r>
          </w:p>
          <w:p w:rsidR="00013EC7" w:rsidRDefault="00575CDB">
            <w:pPr>
              <w:jc w:val="left"/>
              <w:rPr>
                <w:rFonts w:ascii="仿宋" w:eastAsia="仿宋" w:hAnsi="仿宋" w:cs="宋体"/>
                <w:kern w:val="1"/>
                <w:sz w:val="24"/>
              </w:rPr>
            </w:pPr>
            <w:r>
              <w:rPr>
                <w:rFonts w:ascii="仿宋" w:eastAsia="仿宋" w:hAnsi="仿宋" w:cs="宋体" w:hint="eastAsia"/>
                <w:kern w:val="1"/>
                <w:sz w:val="24"/>
              </w:rPr>
              <w:t>（二）《中华人民共和国企业所得税法实施条例》（2002年中华人民共和国国务院令第512号）全文。</w:t>
            </w:r>
          </w:p>
          <w:p w:rsidR="00013EC7" w:rsidRDefault="00575CDB">
            <w:pPr>
              <w:jc w:val="left"/>
              <w:rPr>
                <w:rFonts w:ascii="仿宋" w:eastAsia="仿宋" w:hAnsi="仿宋" w:cs="宋体"/>
                <w:kern w:val="1"/>
                <w:sz w:val="24"/>
              </w:rPr>
            </w:pPr>
            <w:r>
              <w:rPr>
                <w:rFonts w:ascii="仿宋" w:eastAsia="仿宋" w:hAnsi="仿宋" w:cs="宋体" w:hint="eastAsia"/>
                <w:kern w:val="1"/>
                <w:sz w:val="24"/>
              </w:rPr>
              <w:t>（三）《国家税务总局关于非居民企业所得管理若干问题的公告》（国家税务总局公告2011年第24号）全文。</w:t>
            </w:r>
          </w:p>
          <w:p w:rsidR="00013EC7" w:rsidRDefault="00575CDB">
            <w:pPr>
              <w:jc w:val="left"/>
              <w:rPr>
                <w:rFonts w:ascii="仿宋" w:eastAsia="仿宋" w:hAnsi="仿宋" w:cs="宋体"/>
                <w:kern w:val="1"/>
                <w:sz w:val="24"/>
              </w:rPr>
            </w:pPr>
            <w:r>
              <w:rPr>
                <w:rFonts w:ascii="仿宋" w:eastAsia="仿宋" w:hAnsi="仿宋" w:cs="宋体" w:hint="eastAsia"/>
                <w:kern w:val="1"/>
                <w:sz w:val="24"/>
              </w:rPr>
              <w:t>（四）《非居民承包工程作业和提供劳务税收管理暂行办法》（2009年国家税务总局令第19号）第三章第一节。</w:t>
            </w:r>
          </w:p>
          <w:p w:rsidR="00013EC7" w:rsidRDefault="00575CDB">
            <w:pPr>
              <w:jc w:val="left"/>
              <w:rPr>
                <w:rFonts w:ascii="仿宋" w:eastAsia="仿宋" w:hAnsi="仿宋" w:cs="宋体"/>
                <w:kern w:val="1"/>
                <w:sz w:val="24"/>
              </w:rPr>
            </w:pPr>
            <w:r>
              <w:rPr>
                <w:rFonts w:ascii="仿宋" w:eastAsia="仿宋" w:hAnsi="仿宋" w:cs="宋体" w:hint="eastAsia"/>
                <w:kern w:val="1"/>
                <w:sz w:val="24"/>
              </w:rPr>
              <w:t>（五）《国家税务总局关于发布&lt;中华人民共和国非居民企业所得税年度纳税申报表&gt;等报表的公告》（国家税务总局公告2015年第30号）第一条。</w:t>
            </w:r>
          </w:p>
          <w:p w:rsidR="00013EC7" w:rsidRDefault="00575CDB">
            <w:pPr>
              <w:jc w:val="left"/>
              <w:rPr>
                <w:rFonts w:ascii="仿宋" w:eastAsia="仿宋" w:hAnsi="仿宋"/>
                <w:kern w:val="1"/>
                <w:sz w:val="24"/>
              </w:rPr>
            </w:pPr>
            <w:r>
              <w:rPr>
                <w:rFonts w:ascii="仿宋" w:eastAsia="仿宋" w:hAnsi="仿宋" w:cs="宋体" w:hint="eastAsia"/>
                <w:kern w:val="1"/>
                <w:sz w:val="24"/>
              </w:rPr>
              <w:t>（六）《国家税务总局关于发布&lt;非居民纳税人享受税收协定待遇管理办法&gt;的公告》（国家税务总局公告2015年第60号）第四条第二款。</w:t>
            </w:r>
          </w:p>
        </w:tc>
        <w:tc>
          <w:tcPr>
            <w:tcW w:w="3062" w:type="dxa"/>
            <w:tcBorders>
              <w:top w:val="single" w:sz="4" w:space="0" w:color="auto"/>
              <w:bottom w:val="single" w:sz="4" w:space="0" w:color="auto"/>
            </w:tcBorders>
            <w:shd w:val="clear" w:color="auto" w:fill="FFFFFF"/>
            <w:vAlign w:val="center"/>
          </w:tcPr>
          <w:p w:rsidR="00013EC7" w:rsidRDefault="00575CDB">
            <w:pPr>
              <w:spacing w:line="300" w:lineRule="exact"/>
              <w:jc w:val="left"/>
              <w:rPr>
                <w:rFonts w:ascii="仿宋" w:eastAsia="仿宋" w:hAnsi="仿宋"/>
                <w:sz w:val="24"/>
              </w:rPr>
            </w:pPr>
            <w:r>
              <w:rPr>
                <w:rFonts w:ascii="仿宋" w:eastAsia="仿宋" w:hAnsi="仿宋" w:cs="宋体" w:hint="eastAsia"/>
                <w:kern w:val="1"/>
                <w:sz w:val="24"/>
              </w:rPr>
              <w:t>（一）</w:t>
            </w:r>
            <w:r>
              <w:rPr>
                <w:rFonts w:ascii="仿宋" w:eastAsia="仿宋" w:hAnsi="仿宋" w:hint="eastAsia"/>
                <w:sz w:val="24"/>
              </w:rPr>
              <w:t>（A06077）《中华人民共和国非居民企业所得税季度纳税申报表（适用于据实申报企业）》</w:t>
            </w:r>
            <w:r>
              <w:rPr>
                <w:rFonts w:ascii="仿宋" w:eastAsia="仿宋" w:hAnsi="仿宋" w:hint="eastAsia"/>
                <w:sz w:val="24"/>
                <w:highlight w:val="lightGray"/>
              </w:rPr>
              <w:t>3</w:t>
            </w:r>
            <w:r>
              <w:rPr>
                <w:rFonts w:ascii="仿宋" w:eastAsia="仿宋" w:hAnsi="仿宋"/>
                <w:sz w:val="24"/>
                <w:highlight w:val="lightGray"/>
              </w:rPr>
              <w:t>份</w:t>
            </w:r>
            <w:r>
              <w:rPr>
                <w:rFonts w:ascii="仿宋" w:eastAsia="仿宋" w:hAnsi="仿宋"/>
                <w:sz w:val="24"/>
              </w:rPr>
              <w:t>。</w:t>
            </w:r>
          </w:p>
        </w:tc>
        <w:tc>
          <w:tcPr>
            <w:tcW w:w="1191" w:type="dxa"/>
            <w:shd w:val="clear" w:color="auto" w:fill="FFFFFF"/>
            <w:vAlign w:val="center"/>
          </w:tcPr>
          <w:p w:rsidR="00013EC7" w:rsidRDefault="00575CDB">
            <w:pPr>
              <w:spacing w:line="300" w:lineRule="exact"/>
              <w:jc w:val="left"/>
              <w:rPr>
                <w:rFonts w:ascii="仿宋" w:eastAsia="仿宋" w:hAnsi="仿宋"/>
                <w:sz w:val="24"/>
              </w:rPr>
            </w:pPr>
            <w:r>
              <w:rPr>
                <w:rFonts w:ascii="仿宋" w:eastAsia="仿宋" w:hAnsi="仿宋" w:hint="eastAsia"/>
                <w:sz w:val="24"/>
              </w:rPr>
              <w:t>纳税人</w:t>
            </w:r>
            <w:r>
              <w:rPr>
                <w:rFonts w:ascii="仿宋" w:eastAsia="仿宋" w:hAnsi="仿宋"/>
                <w:sz w:val="24"/>
              </w:rPr>
              <w:t>提交</w:t>
            </w:r>
          </w:p>
        </w:tc>
        <w:tc>
          <w:tcPr>
            <w:tcW w:w="3129" w:type="dxa"/>
            <w:shd w:val="clear" w:color="auto" w:fill="FFFFFF"/>
            <w:vAlign w:val="center"/>
          </w:tcPr>
          <w:p w:rsidR="00013EC7" w:rsidRDefault="00575CDB">
            <w:pPr>
              <w:spacing w:line="300" w:lineRule="exact"/>
              <w:jc w:val="left"/>
              <w:rPr>
                <w:rFonts w:ascii="仿宋" w:eastAsia="仿宋" w:hAnsi="仿宋"/>
                <w:bCs/>
                <w:sz w:val="24"/>
              </w:rPr>
            </w:pPr>
            <w:r>
              <w:rPr>
                <w:rFonts w:ascii="仿宋" w:eastAsia="仿宋" w:hAnsi="仿宋" w:cs="宋体" w:hint="eastAsia"/>
                <w:kern w:val="1"/>
                <w:sz w:val="24"/>
              </w:rPr>
              <w:t>（一）</w:t>
            </w:r>
            <w:r>
              <w:rPr>
                <w:rFonts w:ascii="仿宋" w:eastAsia="仿宋" w:hAnsi="仿宋" w:hint="eastAsia"/>
                <w:sz w:val="24"/>
              </w:rPr>
              <w:t>（A06077）《中华人民共和国非居民企业所得税季度纳税申报表（适用于据实申报企业）》1</w:t>
            </w:r>
            <w:r>
              <w:rPr>
                <w:rFonts w:ascii="仿宋" w:eastAsia="仿宋" w:hAnsi="仿宋"/>
                <w:sz w:val="24"/>
              </w:rPr>
              <w:t>份。</w:t>
            </w:r>
          </w:p>
        </w:tc>
        <w:tc>
          <w:tcPr>
            <w:tcW w:w="1123" w:type="dxa"/>
            <w:shd w:val="clear" w:color="auto" w:fill="FFFFFF"/>
            <w:vAlign w:val="center"/>
          </w:tcPr>
          <w:p w:rsidR="00013EC7" w:rsidRDefault="00575CDB">
            <w:pPr>
              <w:spacing w:line="300" w:lineRule="exact"/>
              <w:jc w:val="left"/>
              <w:rPr>
                <w:rFonts w:ascii="仿宋" w:eastAsia="仿宋" w:hAnsi="仿宋"/>
                <w:bCs/>
                <w:i/>
                <w:iCs/>
                <w:sz w:val="24"/>
              </w:rPr>
            </w:pPr>
            <w:r>
              <w:rPr>
                <w:rFonts w:ascii="仿宋" w:eastAsia="仿宋" w:hAnsi="仿宋" w:hint="eastAsia"/>
                <w:bCs/>
                <w:sz w:val="24"/>
              </w:rPr>
              <w:t>纳税人提交</w:t>
            </w:r>
          </w:p>
        </w:tc>
        <w:tc>
          <w:tcPr>
            <w:tcW w:w="1276" w:type="dxa"/>
            <w:vMerge w:val="restart"/>
            <w:shd w:val="clear" w:color="auto" w:fill="FFFFFF"/>
            <w:vAlign w:val="center"/>
          </w:tcPr>
          <w:p w:rsidR="00013EC7" w:rsidRDefault="00575CDB">
            <w:pPr>
              <w:spacing w:line="300" w:lineRule="exac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申报单位提交书面材料。</w:t>
            </w:r>
          </w:p>
          <w:p w:rsidR="00013EC7" w:rsidRDefault="00575CDB">
            <w:pPr>
              <w:spacing w:line="300" w:lineRule="exact"/>
              <w:rPr>
                <w:rFonts w:ascii="仿宋" w:eastAsia="仿宋" w:hAnsi="仿宋" w:cs="仿宋"/>
                <w:sz w:val="24"/>
              </w:rPr>
            </w:pPr>
            <w:r>
              <w:rPr>
                <w:rFonts w:ascii="仿宋" w:eastAsia="仿宋" w:hAnsi="仿宋" w:cs="仿宋" w:hint="eastAsia"/>
                <w:b/>
                <w:sz w:val="24"/>
              </w:rPr>
              <w:t>网上办理：</w:t>
            </w:r>
            <w:r>
              <w:rPr>
                <w:rFonts w:ascii="仿宋" w:eastAsia="仿宋" w:hAnsi="仿宋" w:cs="仿宋" w:hint="eastAsia"/>
                <w:sz w:val="24"/>
              </w:rPr>
              <w:t>登录浙江国税电子税务局（网址：http://etax.zjtax.gov.cn/</w:t>
            </w:r>
          </w:p>
          <w:p w:rsidR="00013EC7" w:rsidRDefault="00575CDB">
            <w:pPr>
              <w:spacing w:line="300" w:lineRule="exact"/>
              <w:jc w:val="left"/>
              <w:rPr>
                <w:rFonts w:ascii="仿宋" w:eastAsia="仿宋" w:hAnsi="仿宋"/>
                <w:sz w:val="24"/>
              </w:rPr>
            </w:pPr>
            <w:r>
              <w:rPr>
                <w:rFonts w:ascii="仿宋" w:eastAsia="仿宋" w:hAnsi="仿宋" w:cs="仿宋" w:hint="eastAsia"/>
                <w:sz w:val="24"/>
              </w:rPr>
              <w:t>）提交申请。</w:t>
            </w:r>
          </w:p>
        </w:tc>
        <w:tc>
          <w:tcPr>
            <w:tcW w:w="1134" w:type="dxa"/>
            <w:vMerge w:val="restart"/>
            <w:shd w:val="clear" w:color="auto" w:fill="FFFFFF"/>
            <w:vAlign w:val="center"/>
          </w:tcPr>
          <w:p w:rsidR="00013EC7" w:rsidRDefault="00575CDB">
            <w:pPr>
              <w:spacing w:line="300" w:lineRule="exact"/>
              <w:jc w:val="left"/>
              <w:rPr>
                <w:rFonts w:ascii="仿宋" w:eastAsia="仿宋" w:hAnsi="仿宋"/>
                <w:sz w:val="24"/>
              </w:rPr>
            </w:pPr>
            <w:r>
              <w:rPr>
                <w:rFonts w:ascii="仿宋" w:eastAsia="仿宋" w:hAnsi="仿宋" w:hint="eastAsia"/>
                <w:sz w:val="24"/>
              </w:rPr>
              <w:t>即时办结</w:t>
            </w:r>
          </w:p>
        </w:tc>
        <w:tc>
          <w:tcPr>
            <w:tcW w:w="992" w:type="dxa"/>
            <w:vMerge w:val="restart"/>
            <w:shd w:val="clear" w:color="auto" w:fill="FFFFFF"/>
            <w:vAlign w:val="center"/>
          </w:tcPr>
          <w:p w:rsidR="00013EC7" w:rsidRDefault="00575CDB">
            <w:pPr>
              <w:spacing w:line="300" w:lineRule="exact"/>
              <w:jc w:val="left"/>
              <w:rPr>
                <w:rFonts w:ascii="仿宋" w:eastAsia="仿宋" w:hAnsi="仿宋"/>
                <w:sz w:val="24"/>
              </w:rPr>
            </w:pPr>
            <w:r>
              <w:rPr>
                <w:rFonts w:ascii="仿宋" w:eastAsia="仿宋" w:hAnsi="仿宋" w:hint="eastAsia"/>
                <w:sz w:val="24"/>
              </w:rPr>
              <w:t>即时办结</w:t>
            </w:r>
          </w:p>
        </w:tc>
        <w:tc>
          <w:tcPr>
            <w:tcW w:w="851" w:type="dxa"/>
            <w:vMerge w:val="restart"/>
            <w:shd w:val="clear" w:color="auto" w:fill="FFFFFF"/>
            <w:vAlign w:val="center"/>
          </w:tcPr>
          <w:p w:rsidR="00013EC7" w:rsidRDefault="00575CDB">
            <w:pPr>
              <w:spacing w:line="300" w:lineRule="exact"/>
              <w:jc w:val="left"/>
              <w:rPr>
                <w:rFonts w:ascii="仿宋" w:eastAsia="仿宋" w:hAnsi="仿宋"/>
                <w:sz w:val="24"/>
              </w:rPr>
            </w:pPr>
            <w:r>
              <w:rPr>
                <w:rFonts w:ascii="仿宋" w:eastAsia="仿宋" w:hAnsi="仿宋" w:hint="eastAsia"/>
                <w:sz w:val="24"/>
              </w:rPr>
              <w:t>是</w:t>
            </w:r>
          </w:p>
        </w:tc>
        <w:tc>
          <w:tcPr>
            <w:tcW w:w="1134" w:type="dxa"/>
            <w:vMerge w:val="restart"/>
            <w:shd w:val="clear" w:color="auto" w:fill="FFFFFF"/>
            <w:vAlign w:val="center"/>
          </w:tcPr>
          <w:p w:rsidR="00013EC7" w:rsidRDefault="00575CDB">
            <w:pPr>
              <w:spacing w:line="300" w:lineRule="exact"/>
              <w:jc w:val="left"/>
              <w:rPr>
                <w:rFonts w:ascii="仿宋" w:eastAsia="仿宋" w:hAnsi="仿宋"/>
                <w:sz w:val="24"/>
              </w:rPr>
            </w:pPr>
            <w:r>
              <w:rPr>
                <w:rFonts w:ascii="仿宋" w:eastAsia="仿宋" w:hAnsi="仿宋" w:hint="eastAsia"/>
                <w:sz w:val="24"/>
              </w:rPr>
              <w:t>国际税务处</w:t>
            </w:r>
          </w:p>
        </w:tc>
        <w:tc>
          <w:tcPr>
            <w:tcW w:w="1559" w:type="dxa"/>
            <w:vMerge w:val="restart"/>
            <w:shd w:val="clear" w:color="auto" w:fill="FFFFFF"/>
            <w:vAlign w:val="center"/>
          </w:tcPr>
          <w:p w:rsidR="00013EC7" w:rsidRDefault="00013EC7">
            <w:pPr>
              <w:spacing w:line="300" w:lineRule="exact"/>
              <w:jc w:val="left"/>
              <w:rPr>
                <w:rFonts w:ascii="仿宋" w:eastAsia="仿宋" w:hAnsi="仿宋"/>
                <w:sz w:val="24"/>
              </w:rPr>
            </w:pPr>
          </w:p>
        </w:tc>
      </w:tr>
      <w:tr w:rsidR="00013EC7">
        <w:trPr>
          <w:trHeight w:val="1339"/>
        </w:trPr>
        <w:tc>
          <w:tcPr>
            <w:tcW w:w="672" w:type="dxa"/>
            <w:vMerge/>
            <w:shd w:val="clear" w:color="auto" w:fill="FFFFFF"/>
            <w:textDirection w:val="tbRlV"/>
            <w:vAlign w:val="center"/>
          </w:tcPr>
          <w:p w:rsidR="00013EC7" w:rsidRDefault="00013EC7">
            <w:pPr>
              <w:spacing w:line="300" w:lineRule="exact"/>
              <w:jc w:val="left"/>
              <w:rPr>
                <w:rFonts w:ascii="仿宋" w:eastAsia="仿宋" w:hAnsi="仿宋"/>
                <w:sz w:val="24"/>
              </w:rPr>
            </w:pPr>
          </w:p>
        </w:tc>
        <w:tc>
          <w:tcPr>
            <w:tcW w:w="1035" w:type="dxa"/>
            <w:vMerge/>
            <w:shd w:val="clear" w:color="auto" w:fill="FFFFFF"/>
            <w:vAlign w:val="center"/>
          </w:tcPr>
          <w:p w:rsidR="00013EC7" w:rsidRDefault="00013EC7">
            <w:pPr>
              <w:spacing w:line="300" w:lineRule="exact"/>
              <w:jc w:val="left"/>
              <w:rPr>
                <w:rFonts w:ascii="仿宋" w:eastAsia="仿宋" w:hAnsi="仿宋"/>
                <w:sz w:val="24"/>
              </w:rPr>
            </w:pPr>
          </w:p>
        </w:tc>
        <w:tc>
          <w:tcPr>
            <w:tcW w:w="3028" w:type="dxa"/>
            <w:vMerge/>
            <w:shd w:val="clear" w:color="auto" w:fill="FFFFFF"/>
            <w:vAlign w:val="center"/>
          </w:tcPr>
          <w:p w:rsidR="00013EC7" w:rsidRDefault="00013EC7">
            <w:pPr>
              <w:spacing w:line="300" w:lineRule="exact"/>
              <w:jc w:val="left"/>
              <w:rPr>
                <w:rFonts w:ascii="仿宋" w:eastAsia="仿宋" w:hAnsi="仿宋"/>
                <w:sz w:val="24"/>
              </w:rPr>
            </w:pPr>
          </w:p>
        </w:tc>
        <w:tc>
          <w:tcPr>
            <w:tcW w:w="3062" w:type="dxa"/>
            <w:tcBorders>
              <w:top w:val="single" w:sz="4" w:space="0" w:color="auto"/>
            </w:tcBorders>
            <w:shd w:val="clear" w:color="auto" w:fill="FFFFFF"/>
            <w:vAlign w:val="center"/>
          </w:tcPr>
          <w:p w:rsidR="00013EC7" w:rsidRDefault="00575CDB">
            <w:pPr>
              <w:spacing w:line="300" w:lineRule="exact"/>
              <w:jc w:val="left"/>
              <w:rPr>
                <w:rFonts w:ascii="仿宋" w:eastAsia="仿宋" w:hAnsi="仿宋"/>
                <w:sz w:val="24"/>
              </w:rPr>
            </w:pPr>
            <w:r>
              <w:rPr>
                <w:rFonts w:ascii="仿宋" w:eastAsia="仿宋" w:hAnsi="仿宋" w:cs="宋体" w:hint="eastAsia"/>
                <w:kern w:val="1"/>
                <w:sz w:val="24"/>
              </w:rPr>
              <w:t>（二）</w:t>
            </w:r>
            <w:r>
              <w:rPr>
                <w:rFonts w:ascii="仿宋" w:eastAsia="仿宋" w:hAnsi="仿宋" w:hint="eastAsia"/>
                <w:sz w:val="24"/>
              </w:rPr>
              <w:t>工程作业（劳务）决算（结算）报告等说明材料</w:t>
            </w:r>
            <w:r>
              <w:rPr>
                <w:rFonts w:ascii="仿宋" w:eastAsia="仿宋" w:hAnsi="仿宋"/>
                <w:sz w:val="24"/>
              </w:rPr>
              <w:t>。</w:t>
            </w:r>
          </w:p>
        </w:tc>
        <w:tc>
          <w:tcPr>
            <w:tcW w:w="1191" w:type="dxa"/>
            <w:vMerge w:val="restart"/>
            <w:shd w:val="clear" w:color="auto" w:fill="FFFFFF"/>
            <w:vAlign w:val="center"/>
          </w:tcPr>
          <w:p w:rsidR="00013EC7" w:rsidRDefault="00575CDB">
            <w:pPr>
              <w:spacing w:line="300" w:lineRule="exact"/>
              <w:jc w:val="left"/>
              <w:rPr>
                <w:rFonts w:ascii="仿宋" w:eastAsia="仿宋" w:hAnsi="仿宋"/>
                <w:sz w:val="24"/>
              </w:rPr>
            </w:pPr>
            <w:r>
              <w:rPr>
                <w:rFonts w:ascii="仿宋" w:eastAsia="仿宋" w:hAnsi="仿宋" w:hint="eastAsia"/>
                <w:sz w:val="24"/>
              </w:rPr>
              <w:t>在中华人民共和国境内承包工程作业或提供劳务项目的非居民企业提交</w:t>
            </w:r>
          </w:p>
        </w:tc>
        <w:tc>
          <w:tcPr>
            <w:tcW w:w="3129" w:type="dxa"/>
            <w:shd w:val="clear" w:color="auto" w:fill="FFFFFF"/>
            <w:vAlign w:val="center"/>
          </w:tcPr>
          <w:p w:rsidR="00013EC7" w:rsidRDefault="00575CDB">
            <w:pPr>
              <w:spacing w:line="300" w:lineRule="exact"/>
              <w:jc w:val="left"/>
              <w:rPr>
                <w:rFonts w:ascii="仿宋" w:eastAsia="仿宋" w:hAnsi="仿宋"/>
                <w:sz w:val="24"/>
              </w:rPr>
            </w:pPr>
            <w:r>
              <w:rPr>
                <w:rFonts w:ascii="仿宋" w:eastAsia="仿宋" w:hAnsi="仿宋" w:cs="宋体" w:hint="eastAsia"/>
                <w:kern w:val="1"/>
                <w:sz w:val="24"/>
              </w:rPr>
              <w:t>（二）</w:t>
            </w:r>
            <w:r>
              <w:rPr>
                <w:rFonts w:ascii="仿宋" w:eastAsia="仿宋" w:hAnsi="仿宋" w:hint="eastAsia"/>
                <w:sz w:val="24"/>
              </w:rPr>
              <w:t>工程作业（劳务）决算（结算）报告等说明材料</w:t>
            </w:r>
            <w:r>
              <w:rPr>
                <w:rFonts w:ascii="仿宋" w:eastAsia="仿宋" w:hAnsi="仿宋"/>
                <w:sz w:val="24"/>
              </w:rPr>
              <w:t>。</w:t>
            </w:r>
          </w:p>
        </w:tc>
        <w:tc>
          <w:tcPr>
            <w:tcW w:w="1123" w:type="dxa"/>
            <w:vMerge w:val="restart"/>
            <w:shd w:val="clear" w:color="auto" w:fill="FFFFFF"/>
            <w:vAlign w:val="center"/>
          </w:tcPr>
          <w:p w:rsidR="00013EC7" w:rsidRDefault="00575CDB">
            <w:pPr>
              <w:spacing w:line="300" w:lineRule="exact"/>
              <w:jc w:val="left"/>
              <w:rPr>
                <w:rFonts w:ascii="仿宋" w:eastAsia="仿宋" w:hAnsi="仿宋"/>
                <w:sz w:val="24"/>
              </w:rPr>
            </w:pPr>
            <w:r>
              <w:rPr>
                <w:rFonts w:ascii="仿宋" w:eastAsia="仿宋" w:hAnsi="仿宋" w:hint="eastAsia"/>
                <w:sz w:val="24"/>
              </w:rPr>
              <w:t>在中华人民共和国境内承包工程作业或提供劳务项目的非居民企业提交</w:t>
            </w:r>
          </w:p>
        </w:tc>
        <w:tc>
          <w:tcPr>
            <w:tcW w:w="1276" w:type="dxa"/>
            <w:vMerge/>
            <w:shd w:val="clear" w:color="auto" w:fill="FFFFFF"/>
            <w:vAlign w:val="center"/>
          </w:tcPr>
          <w:p w:rsidR="00013EC7" w:rsidRDefault="00013EC7">
            <w:pPr>
              <w:spacing w:line="300" w:lineRule="exact"/>
              <w:jc w:val="left"/>
              <w:rPr>
                <w:rFonts w:ascii="仿宋" w:eastAsia="仿宋" w:hAnsi="仿宋"/>
                <w:sz w:val="24"/>
              </w:rPr>
            </w:pPr>
          </w:p>
        </w:tc>
        <w:tc>
          <w:tcPr>
            <w:tcW w:w="1134" w:type="dxa"/>
            <w:vMerge/>
            <w:shd w:val="clear" w:color="auto" w:fill="FFFFFF"/>
            <w:vAlign w:val="center"/>
          </w:tcPr>
          <w:p w:rsidR="00013EC7" w:rsidRDefault="00013EC7">
            <w:pPr>
              <w:spacing w:line="300" w:lineRule="exact"/>
              <w:jc w:val="left"/>
              <w:rPr>
                <w:rFonts w:ascii="仿宋" w:eastAsia="仿宋" w:hAnsi="仿宋"/>
                <w:sz w:val="24"/>
              </w:rPr>
            </w:pPr>
          </w:p>
        </w:tc>
        <w:tc>
          <w:tcPr>
            <w:tcW w:w="992" w:type="dxa"/>
            <w:vMerge/>
            <w:shd w:val="clear" w:color="auto" w:fill="FFFFFF"/>
            <w:vAlign w:val="center"/>
          </w:tcPr>
          <w:p w:rsidR="00013EC7" w:rsidRDefault="00013EC7">
            <w:pPr>
              <w:spacing w:line="300" w:lineRule="exact"/>
              <w:jc w:val="left"/>
              <w:rPr>
                <w:rFonts w:ascii="仿宋" w:eastAsia="仿宋" w:hAnsi="仿宋"/>
                <w:sz w:val="24"/>
              </w:rPr>
            </w:pPr>
          </w:p>
        </w:tc>
        <w:tc>
          <w:tcPr>
            <w:tcW w:w="851" w:type="dxa"/>
            <w:vMerge/>
            <w:shd w:val="clear" w:color="auto" w:fill="FFFFFF"/>
            <w:vAlign w:val="center"/>
          </w:tcPr>
          <w:p w:rsidR="00013EC7" w:rsidRDefault="00013EC7">
            <w:pPr>
              <w:spacing w:line="300" w:lineRule="exact"/>
              <w:jc w:val="left"/>
              <w:rPr>
                <w:rFonts w:ascii="仿宋" w:eastAsia="仿宋" w:hAnsi="仿宋"/>
                <w:sz w:val="24"/>
              </w:rPr>
            </w:pPr>
          </w:p>
        </w:tc>
        <w:tc>
          <w:tcPr>
            <w:tcW w:w="1134" w:type="dxa"/>
            <w:vMerge/>
            <w:shd w:val="clear" w:color="auto" w:fill="FFFFFF"/>
            <w:vAlign w:val="center"/>
          </w:tcPr>
          <w:p w:rsidR="00013EC7" w:rsidRDefault="00013EC7">
            <w:pPr>
              <w:spacing w:line="300" w:lineRule="exact"/>
              <w:jc w:val="left"/>
              <w:rPr>
                <w:rFonts w:ascii="仿宋" w:eastAsia="仿宋" w:hAnsi="仿宋"/>
                <w:sz w:val="24"/>
              </w:rPr>
            </w:pPr>
          </w:p>
        </w:tc>
        <w:tc>
          <w:tcPr>
            <w:tcW w:w="1559" w:type="dxa"/>
            <w:vMerge/>
            <w:shd w:val="clear" w:color="auto" w:fill="FFFFFF"/>
            <w:vAlign w:val="center"/>
          </w:tcPr>
          <w:p w:rsidR="00013EC7" w:rsidRDefault="00013EC7">
            <w:pPr>
              <w:spacing w:line="300" w:lineRule="exact"/>
              <w:jc w:val="left"/>
              <w:rPr>
                <w:rFonts w:ascii="仿宋" w:eastAsia="仿宋" w:hAnsi="仿宋"/>
                <w:sz w:val="24"/>
              </w:rPr>
            </w:pPr>
          </w:p>
        </w:tc>
      </w:tr>
      <w:tr w:rsidR="00013EC7">
        <w:trPr>
          <w:trHeight w:val="2990"/>
        </w:trPr>
        <w:tc>
          <w:tcPr>
            <w:tcW w:w="672" w:type="dxa"/>
            <w:vMerge/>
            <w:shd w:val="clear" w:color="auto" w:fill="FFFFFF"/>
            <w:textDirection w:val="tbRlV"/>
            <w:vAlign w:val="center"/>
          </w:tcPr>
          <w:p w:rsidR="00013EC7" w:rsidRDefault="00013EC7">
            <w:pPr>
              <w:spacing w:line="300" w:lineRule="exact"/>
              <w:jc w:val="left"/>
              <w:rPr>
                <w:rFonts w:ascii="仿宋" w:eastAsia="仿宋" w:hAnsi="仿宋"/>
                <w:sz w:val="24"/>
              </w:rPr>
            </w:pPr>
          </w:p>
        </w:tc>
        <w:tc>
          <w:tcPr>
            <w:tcW w:w="1035" w:type="dxa"/>
            <w:vMerge/>
            <w:shd w:val="clear" w:color="auto" w:fill="FFFFFF"/>
            <w:vAlign w:val="center"/>
          </w:tcPr>
          <w:p w:rsidR="00013EC7" w:rsidRDefault="00013EC7">
            <w:pPr>
              <w:spacing w:line="300" w:lineRule="exact"/>
              <w:jc w:val="left"/>
              <w:rPr>
                <w:rFonts w:ascii="仿宋" w:eastAsia="仿宋" w:hAnsi="仿宋"/>
                <w:sz w:val="24"/>
              </w:rPr>
            </w:pPr>
          </w:p>
        </w:tc>
        <w:tc>
          <w:tcPr>
            <w:tcW w:w="3028" w:type="dxa"/>
            <w:vMerge/>
            <w:shd w:val="clear" w:color="auto" w:fill="FFFFFF"/>
            <w:vAlign w:val="center"/>
          </w:tcPr>
          <w:p w:rsidR="00013EC7" w:rsidRDefault="00013EC7">
            <w:pPr>
              <w:spacing w:line="300" w:lineRule="exact"/>
              <w:jc w:val="left"/>
              <w:rPr>
                <w:rFonts w:ascii="仿宋" w:eastAsia="仿宋" w:hAnsi="仿宋"/>
                <w:sz w:val="24"/>
              </w:rPr>
            </w:pPr>
          </w:p>
        </w:tc>
        <w:tc>
          <w:tcPr>
            <w:tcW w:w="3062" w:type="dxa"/>
            <w:shd w:val="clear" w:color="auto" w:fill="FFFFFF"/>
            <w:vAlign w:val="center"/>
          </w:tcPr>
          <w:p w:rsidR="00013EC7" w:rsidRDefault="00575CDB">
            <w:pPr>
              <w:spacing w:line="300" w:lineRule="exact"/>
              <w:jc w:val="left"/>
              <w:rPr>
                <w:rFonts w:ascii="仿宋" w:eastAsia="仿宋" w:hAnsi="仿宋"/>
                <w:sz w:val="24"/>
              </w:rPr>
            </w:pPr>
            <w:r>
              <w:rPr>
                <w:rFonts w:ascii="仿宋" w:eastAsia="仿宋" w:hAnsi="仿宋" w:cs="宋体" w:hint="eastAsia"/>
                <w:kern w:val="1"/>
                <w:sz w:val="24"/>
              </w:rPr>
              <w:t>（三）</w:t>
            </w:r>
            <w:r>
              <w:rPr>
                <w:rFonts w:ascii="仿宋" w:eastAsia="仿宋" w:hAnsi="仿宋" w:hint="eastAsia"/>
                <w:sz w:val="24"/>
              </w:rPr>
              <w:t>参与工程作业或劳务项目外籍人员姓名、国籍、出入境时间、在华工作时间、地点、内容、报酬标准、支付方式、相关费用等情况的书面报告</w:t>
            </w:r>
            <w:r>
              <w:rPr>
                <w:rFonts w:ascii="仿宋" w:eastAsia="仿宋" w:hAnsi="仿宋"/>
                <w:sz w:val="24"/>
              </w:rPr>
              <w:t>。</w:t>
            </w:r>
          </w:p>
        </w:tc>
        <w:tc>
          <w:tcPr>
            <w:tcW w:w="1191" w:type="dxa"/>
            <w:vMerge/>
            <w:shd w:val="clear" w:color="auto" w:fill="FFFFFF"/>
            <w:vAlign w:val="center"/>
          </w:tcPr>
          <w:p w:rsidR="00013EC7" w:rsidRDefault="00013EC7">
            <w:pPr>
              <w:spacing w:line="300" w:lineRule="exact"/>
              <w:jc w:val="left"/>
              <w:rPr>
                <w:rFonts w:ascii="仿宋" w:eastAsia="仿宋" w:hAnsi="仿宋"/>
                <w:sz w:val="24"/>
              </w:rPr>
            </w:pPr>
          </w:p>
        </w:tc>
        <w:tc>
          <w:tcPr>
            <w:tcW w:w="3129" w:type="dxa"/>
            <w:shd w:val="clear" w:color="auto" w:fill="FFFFFF"/>
            <w:vAlign w:val="center"/>
          </w:tcPr>
          <w:p w:rsidR="00013EC7" w:rsidRDefault="00575CDB">
            <w:pPr>
              <w:spacing w:line="300" w:lineRule="exact"/>
              <w:jc w:val="left"/>
              <w:rPr>
                <w:rFonts w:ascii="仿宋" w:eastAsia="仿宋" w:hAnsi="仿宋"/>
                <w:sz w:val="24"/>
              </w:rPr>
            </w:pPr>
            <w:r>
              <w:rPr>
                <w:rFonts w:ascii="仿宋" w:eastAsia="仿宋" w:hAnsi="仿宋" w:cs="宋体" w:hint="eastAsia"/>
                <w:kern w:val="1"/>
                <w:sz w:val="24"/>
              </w:rPr>
              <w:t>（三）</w:t>
            </w:r>
            <w:r>
              <w:rPr>
                <w:rFonts w:ascii="仿宋" w:eastAsia="仿宋" w:hAnsi="仿宋" w:hint="eastAsia"/>
                <w:sz w:val="24"/>
              </w:rPr>
              <w:t>参与工程作业或劳务项目外籍人员姓名、国籍、出入境时间、在华工作时间、地点、内容、报酬标准、支付方式、相关费用等情况的书面报告</w:t>
            </w:r>
            <w:r>
              <w:rPr>
                <w:rFonts w:ascii="仿宋" w:eastAsia="仿宋" w:hAnsi="仿宋"/>
                <w:sz w:val="24"/>
              </w:rPr>
              <w:t>。</w:t>
            </w:r>
          </w:p>
        </w:tc>
        <w:tc>
          <w:tcPr>
            <w:tcW w:w="1123" w:type="dxa"/>
            <w:vMerge/>
            <w:shd w:val="clear" w:color="auto" w:fill="FFFFFF"/>
            <w:vAlign w:val="center"/>
          </w:tcPr>
          <w:p w:rsidR="00013EC7" w:rsidRDefault="00013EC7">
            <w:pPr>
              <w:spacing w:line="300" w:lineRule="exact"/>
              <w:jc w:val="left"/>
              <w:rPr>
                <w:rFonts w:ascii="仿宋" w:eastAsia="仿宋" w:hAnsi="仿宋"/>
                <w:sz w:val="24"/>
              </w:rPr>
            </w:pPr>
          </w:p>
        </w:tc>
        <w:tc>
          <w:tcPr>
            <w:tcW w:w="1276" w:type="dxa"/>
            <w:vMerge/>
            <w:shd w:val="clear" w:color="auto" w:fill="FFFFFF"/>
            <w:vAlign w:val="center"/>
          </w:tcPr>
          <w:p w:rsidR="00013EC7" w:rsidRDefault="00013EC7">
            <w:pPr>
              <w:spacing w:line="300" w:lineRule="exact"/>
              <w:jc w:val="left"/>
              <w:rPr>
                <w:rFonts w:ascii="仿宋" w:eastAsia="仿宋" w:hAnsi="仿宋"/>
                <w:sz w:val="24"/>
              </w:rPr>
            </w:pPr>
          </w:p>
        </w:tc>
        <w:tc>
          <w:tcPr>
            <w:tcW w:w="1134" w:type="dxa"/>
            <w:vMerge/>
            <w:shd w:val="clear" w:color="auto" w:fill="FFFFFF"/>
            <w:vAlign w:val="center"/>
          </w:tcPr>
          <w:p w:rsidR="00013EC7" w:rsidRDefault="00013EC7">
            <w:pPr>
              <w:spacing w:line="300" w:lineRule="exact"/>
              <w:jc w:val="left"/>
              <w:rPr>
                <w:rFonts w:ascii="仿宋" w:eastAsia="仿宋" w:hAnsi="仿宋"/>
                <w:sz w:val="24"/>
              </w:rPr>
            </w:pPr>
          </w:p>
        </w:tc>
        <w:tc>
          <w:tcPr>
            <w:tcW w:w="992" w:type="dxa"/>
            <w:vMerge/>
            <w:shd w:val="clear" w:color="auto" w:fill="FFFFFF"/>
            <w:vAlign w:val="center"/>
          </w:tcPr>
          <w:p w:rsidR="00013EC7" w:rsidRDefault="00013EC7">
            <w:pPr>
              <w:spacing w:line="300" w:lineRule="exact"/>
              <w:jc w:val="left"/>
              <w:rPr>
                <w:rFonts w:ascii="仿宋" w:eastAsia="仿宋" w:hAnsi="仿宋"/>
                <w:sz w:val="24"/>
              </w:rPr>
            </w:pPr>
          </w:p>
        </w:tc>
        <w:tc>
          <w:tcPr>
            <w:tcW w:w="851" w:type="dxa"/>
            <w:vMerge/>
            <w:shd w:val="clear" w:color="auto" w:fill="FFFFFF"/>
            <w:vAlign w:val="center"/>
          </w:tcPr>
          <w:p w:rsidR="00013EC7" w:rsidRDefault="00013EC7">
            <w:pPr>
              <w:spacing w:line="300" w:lineRule="exact"/>
              <w:jc w:val="left"/>
              <w:rPr>
                <w:rFonts w:ascii="仿宋" w:eastAsia="仿宋" w:hAnsi="仿宋"/>
                <w:sz w:val="24"/>
              </w:rPr>
            </w:pPr>
          </w:p>
        </w:tc>
        <w:tc>
          <w:tcPr>
            <w:tcW w:w="1134" w:type="dxa"/>
            <w:vMerge/>
            <w:shd w:val="clear" w:color="auto" w:fill="FFFFFF"/>
            <w:vAlign w:val="center"/>
          </w:tcPr>
          <w:p w:rsidR="00013EC7" w:rsidRDefault="00013EC7">
            <w:pPr>
              <w:spacing w:line="300" w:lineRule="exact"/>
              <w:jc w:val="left"/>
              <w:rPr>
                <w:rFonts w:ascii="仿宋" w:eastAsia="仿宋" w:hAnsi="仿宋"/>
                <w:sz w:val="24"/>
              </w:rPr>
            </w:pPr>
          </w:p>
        </w:tc>
        <w:tc>
          <w:tcPr>
            <w:tcW w:w="1559" w:type="dxa"/>
            <w:vMerge/>
            <w:shd w:val="clear" w:color="auto" w:fill="FFFFFF"/>
            <w:vAlign w:val="center"/>
          </w:tcPr>
          <w:p w:rsidR="00013EC7" w:rsidRDefault="00013EC7">
            <w:pPr>
              <w:spacing w:line="300" w:lineRule="exact"/>
              <w:jc w:val="left"/>
              <w:rPr>
                <w:rFonts w:ascii="仿宋" w:eastAsia="仿宋" w:hAnsi="仿宋"/>
                <w:sz w:val="24"/>
              </w:rPr>
            </w:pPr>
          </w:p>
        </w:tc>
      </w:tr>
      <w:tr w:rsidR="00013EC7">
        <w:trPr>
          <w:trHeight w:val="340"/>
        </w:trPr>
        <w:tc>
          <w:tcPr>
            <w:tcW w:w="672" w:type="dxa"/>
            <w:vMerge/>
            <w:shd w:val="clear" w:color="auto" w:fill="FFFFFF"/>
            <w:vAlign w:val="center"/>
          </w:tcPr>
          <w:p w:rsidR="00013EC7" w:rsidRDefault="00013EC7">
            <w:pPr>
              <w:spacing w:line="300" w:lineRule="exact"/>
              <w:jc w:val="left"/>
              <w:rPr>
                <w:rFonts w:ascii="仿宋" w:eastAsia="仿宋" w:hAnsi="仿宋"/>
                <w:sz w:val="24"/>
              </w:rPr>
            </w:pPr>
          </w:p>
        </w:tc>
        <w:tc>
          <w:tcPr>
            <w:tcW w:w="1035" w:type="dxa"/>
            <w:vMerge/>
            <w:shd w:val="clear" w:color="auto" w:fill="FFFFFF"/>
            <w:vAlign w:val="center"/>
          </w:tcPr>
          <w:p w:rsidR="00013EC7" w:rsidRDefault="00013EC7">
            <w:pPr>
              <w:spacing w:line="300" w:lineRule="exact"/>
              <w:jc w:val="left"/>
              <w:rPr>
                <w:rFonts w:ascii="仿宋" w:eastAsia="仿宋" w:hAnsi="仿宋"/>
                <w:sz w:val="24"/>
              </w:rPr>
            </w:pPr>
          </w:p>
        </w:tc>
        <w:tc>
          <w:tcPr>
            <w:tcW w:w="3028" w:type="dxa"/>
            <w:vMerge/>
            <w:shd w:val="clear" w:color="auto" w:fill="FFFFFF"/>
            <w:vAlign w:val="center"/>
          </w:tcPr>
          <w:p w:rsidR="00013EC7" w:rsidRDefault="00013EC7">
            <w:pPr>
              <w:spacing w:line="300" w:lineRule="exact"/>
              <w:jc w:val="left"/>
              <w:rPr>
                <w:rFonts w:ascii="仿宋" w:eastAsia="仿宋" w:hAnsi="仿宋"/>
                <w:sz w:val="24"/>
              </w:rPr>
            </w:pPr>
          </w:p>
        </w:tc>
        <w:tc>
          <w:tcPr>
            <w:tcW w:w="3062" w:type="dxa"/>
            <w:shd w:val="clear" w:color="auto" w:fill="FFFFFF"/>
            <w:vAlign w:val="center"/>
          </w:tcPr>
          <w:p w:rsidR="00013EC7" w:rsidRDefault="00575CDB">
            <w:pPr>
              <w:spacing w:line="300" w:lineRule="exact"/>
              <w:jc w:val="left"/>
              <w:rPr>
                <w:rFonts w:ascii="仿宋" w:eastAsia="仿宋" w:hAnsi="仿宋"/>
                <w:sz w:val="24"/>
              </w:rPr>
            </w:pPr>
            <w:r>
              <w:rPr>
                <w:rFonts w:ascii="仿宋" w:eastAsia="仿宋" w:hAnsi="仿宋" w:cs="宋体" w:hint="eastAsia"/>
                <w:kern w:val="1"/>
                <w:sz w:val="24"/>
              </w:rPr>
              <w:t>（四）</w:t>
            </w:r>
            <w:r>
              <w:rPr>
                <w:rFonts w:ascii="仿宋" w:eastAsia="仿宋" w:hAnsi="仿宋" w:hint="eastAsia"/>
                <w:sz w:val="24"/>
              </w:rPr>
              <w:t>非居民企业依据税收协定在中华人民共和国境内未构成常设机构，需要享受税收协定待遇的，应提交（</w:t>
            </w:r>
            <w:r>
              <w:rPr>
                <w:rFonts w:ascii="仿宋" w:eastAsia="仿宋" w:hAnsi="仿宋"/>
                <w:sz w:val="24"/>
              </w:rPr>
              <w:t>A06208</w:t>
            </w:r>
            <w:r>
              <w:rPr>
                <w:rFonts w:ascii="仿宋" w:eastAsia="仿宋" w:hAnsi="仿宋" w:hint="eastAsia"/>
                <w:sz w:val="24"/>
              </w:rPr>
              <w:t>）《非居民享受税收协定待遇执行</w:t>
            </w:r>
            <w:r>
              <w:rPr>
                <w:rFonts w:ascii="仿宋" w:eastAsia="仿宋" w:hAnsi="仿宋"/>
                <w:sz w:val="24"/>
              </w:rPr>
              <w:t>.</w:t>
            </w:r>
            <w:hyperlink r:id="rId288" w:history="1">
              <w:r>
                <w:rPr>
                  <w:rFonts w:ascii="仿宋" w:eastAsia="仿宋" w:hAnsi="仿宋" w:hint="eastAsia"/>
                  <w:sz w:val="24"/>
                </w:rPr>
                <w:t>情况报告表》。</w:t>
              </w:r>
            </w:hyperlink>
          </w:p>
        </w:tc>
        <w:tc>
          <w:tcPr>
            <w:tcW w:w="1191" w:type="dxa"/>
            <w:vMerge/>
            <w:shd w:val="clear" w:color="auto" w:fill="FFFFFF"/>
            <w:vAlign w:val="center"/>
          </w:tcPr>
          <w:p w:rsidR="00013EC7" w:rsidRDefault="00013EC7">
            <w:pPr>
              <w:spacing w:line="300" w:lineRule="exact"/>
              <w:jc w:val="left"/>
              <w:rPr>
                <w:rFonts w:ascii="仿宋" w:eastAsia="仿宋" w:hAnsi="仿宋"/>
                <w:sz w:val="24"/>
              </w:rPr>
            </w:pPr>
          </w:p>
        </w:tc>
        <w:tc>
          <w:tcPr>
            <w:tcW w:w="3129" w:type="dxa"/>
            <w:shd w:val="clear" w:color="auto" w:fill="FFFFFF"/>
            <w:vAlign w:val="center"/>
          </w:tcPr>
          <w:p w:rsidR="00013EC7" w:rsidRDefault="00575CDB">
            <w:pPr>
              <w:spacing w:line="300" w:lineRule="exact"/>
              <w:jc w:val="left"/>
              <w:rPr>
                <w:rFonts w:ascii="仿宋" w:eastAsia="仿宋" w:hAnsi="仿宋"/>
                <w:sz w:val="24"/>
              </w:rPr>
            </w:pPr>
            <w:r>
              <w:rPr>
                <w:rFonts w:ascii="仿宋" w:eastAsia="仿宋" w:hAnsi="仿宋" w:cs="宋体" w:hint="eastAsia"/>
                <w:kern w:val="1"/>
                <w:sz w:val="24"/>
              </w:rPr>
              <w:t>（四）</w:t>
            </w:r>
            <w:r>
              <w:rPr>
                <w:rFonts w:ascii="仿宋" w:eastAsia="仿宋" w:hAnsi="仿宋" w:hint="eastAsia"/>
                <w:sz w:val="24"/>
              </w:rPr>
              <w:t>非居民企业依据税收协定在中华人民共和国境内未构成常设机构，需要享受税收协定待遇的，应提交（</w:t>
            </w:r>
            <w:r>
              <w:rPr>
                <w:rFonts w:ascii="仿宋" w:eastAsia="仿宋" w:hAnsi="仿宋"/>
                <w:sz w:val="24"/>
              </w:rPr>
              <w:t>A06208</w:t>
            </w:r>
            <w:r>
              <w:rPr>
                <w:rFonts w:ascii="仿宋" w:eastAsia="仿宋" w:hAnsi="仿宋" w:hint="eastAsia"/>
                <w:sz w:val="24"/>
              </w:rPr>
              <w:t>）《非居民享受税收协定待遇执行</w:t>
            </w:r>
            <w:hyperlink r:id="rId289" w:history="1">
              <w:r>
                <w:rPr>
                  <w:rFonts w:ascii="仿宋" w:eastAsia="仿宋" w:hAnsi="仿宋" w:hint="eastAsia"/>
                  <w:sz w:val="24"/>
                </w:rPr>
                <w:t>情况报告表》。</w:t>
              </w:r>
            </w:hyperlink>
          </w:p>
        </w:tc>
        <w:tc>
          <w:tcPr>
            <w:tcW w:w="1123" w:type="dxa"/>
            <w:vMerge/>
            <w:shd w:val="clear" w:color="auto" w:fill="FFFFFF"/>
            <w:vAlign w:val="center"/>
          </w:tcPr>
          <w:p w:rsidR="00013EC7" w:rsidRDefault="00013EC7">
            <w:pPr>
              <w:spacing w:line="300" w:lineRule="exact"/>
              <w:jc w:val="left"/>
              <w:rPr>
                <w:rFonts w:ascii="仿宋" w:eastAsia="仿宋" w:hAnsi="仿宋"/>
                <w:sz w:val="24"/>
              </w:rPr>
            </w:pPr>
          </w:p>
        </w:tc>
        <w:tc>
          <w:tcPr>
            <w:tcW w:w="1276" w:type="dxa"/>
            <w:vMerge/>
            <w:shd w:val="clear" w:color="auto" w:fill="FFFFFF"/>
            <w:vAlign w:val="center"/>
          </w:tcPr>
          <w:p w:rsidR="00013EC7" w:rsidRDefault="00013EC7">
            <w:pPr>
              <w:spacing w:line="300" w:lineRule="exact"/>
              <w:jc w:val="left"/>
              <w:rPr>
                <w:rFonts w:ascii="仿宋" w:eastAsia="仿宋" w:hAnsi="仿宋"/>
                <w:sz w:val="24"/>
              </w:rPr>
            </w:pPr>
          </w:p>
        </w:tc>
        <w:tc>
          <w:tcPr>
            <w:tcW w:w="1134" w:type="dxa"/>
            <w:vMerge/>
            <w:shd w:val="clear" w:color="auto" w:fill="FFFFFF"/>
            <w:vAlign w:val="center"/>
          </w:tcPr>
          <w:p w:rsidR="00013EC7" w:rsidRDefault="00013EC7">
            <w:pPr>
              <w:spacing w:line="300" w:lineRule="exact"/>
              <w:jc w:val="left"/>
              <w:rPr>
                <w:rFonts w:ascii="仿宋" w:eastAsia="仿宋" w:hAnsi="仿宋"/>
                <w:sz w:val="24"/>
              </w:rPr>
            </w:pPr>
          </w:p>
        </w:tc>
        <w:tc>
          <w:tcPr>
            <w:tcW w:w="992" w:type="dxa"/>
            <w:vMerge/>
            <w:shd w:val="clear" w:color="auto" w:fill="FFFFFF"/>
            <w:vAlign w:val="center"/>
          </w:tcPr>
          <w:p w:rsidR="00013EC7" w:rsidRDefault="00013EC7">
            <w:pPr>
              <w:spacing w:line="300" w:lineRule="exact"/>
              <w:jc w:val="left"/>
              <w:rPr>
                <w:rFonts w:ascii="仿宋" w:eastAsia="仿宋" w:hAnsi="仿宋"/>
                <w:sz w:val="24"/>
              </w:rPr>
            </w:pPr>
          </w:p>
        </w:tc>
        <w:tc>
          <w:tcPr>
            <w:tcW w:w="851" w:type="dxa"/>
            <w:vMerge/>
            <w:shd w:val="clear" w:color="auto" w:fill="FFFFFF"/>
            <w:vAlign w:val="center"/>
          </w:tcPr>
          <w:p w:rsidR="00013EC7" w:rsidRDefault="00013EC7">
            <w:pPr>
              <w:spacing w:line="300" w:lineRule="exact"/>
              <w:jc w:val="left"/>
              <w:rPr>
                <w:rFonts w:ascii="仿宋" w:eastAsia="仿宋" w:hAnsi="仿宋"/>
                <w:sz w:val="24"/>
              </w:rPr>
            </w:pPr>
          </w:p>
        </w:tc>
        <w:tc>
          <w:tcPr>
            <w:tcW w:w="1134" w:type="dxa"/>
            <w:vMerge/>
            <w:shd w:val="clear" w:color="auto" w:fill="FFFFFF"/>
            <w:vAlign w:val="center"/>
          </w:tcPr>
          <w:p w:rsidR="00013EC7" w:rsidRDefault="00013EC7">
            <w:pPr>
              <w:spacing w:line="300" w:lineRule="exact"/>
              <w:jc w:val="left"/>
              <w:rPr>
                <w:rFonts w:ascii="仿宋" w:eastAsia="仿宋" w:hAnsi="仿宋"/>
                <w:sz w:val="24"/>
              </w:rPr>
            </w:pPr>
          </w:p>
        </w:tc>
        <w:tc>
          <w:tcPr>
            <w:tcW w:w="1559" w:type="dxa"/>
            <w:vMerge/>
            <w:shd w:val="clear" w:color="auto" w:fill="FFFFFF"/>
            <w:vAlign w:val="center"/>
          </w:tcPr>
          <w:p w:rsidR="00013EC7" w:rsidRDefault="00013EC7">
            <w:pPr>
              <w:spacing w:line="300" w:lineRule="exact"/>
              <w:jc w:val="left"/>
              <w:rPr>
                <w:rFonts w:ascii="仿宋" w:eastAsia="仿宋" w:hAnsi="仿宋"/>
                <w:sz w:val="24"/>
              </w:rPr>
            </w:pPr>
          </w:p>
        </w:tc>
      </w:tr>
    </w:tbl>
    <w:p w:rsidR="00013EC7" w:rsidRDefault="00013EC7">
      <w:pPr>
        <w:spacing w:line="300" w:lineRule="exact"/>
        <w:rPr>
          <w:rFonts w:eastAsia="方正书宋简体"/>
          <w:szCs w:val="21"/>
        </w:rPr>
      </w:pPr>
    </w:p>
    <w:p w:rsidR="00013EC7" w:rsidRDefault="005262E6">
      <w:pPr>
        <w:rPr>
          <w:rFonts w:ascii="宋体" w:hAnsi="宋体" w:cs="宋体"/>
          <w:b/>
          <w:bCs/>
          <w:sz w:val="28"/>
          <w:szCs w:val="28"/>
        </w:rPr>
      </w:pPr>
      <w:r>
        <w:rPr>
          <w:rFonts w:ascii="黑体" w:eastAsia="黑体" w:hAnsi="黑体"/>
        </w:rPr>
        <w:object w:dxaOrig="1440" w:dyaOrig="1440">
          <v:shape id="_x0000_s1372" type="#_x0000_t75" style="position:absolute;left:0;text-align:left;margin-left:557.85pt;margin-top:106.85pt;width:409.5pt;height:571.5pt;z-index:251695104;mso-wrap-distance-top:0;mso-wrap-distance-bottom:0;mso-position-vertical-relative:page;mso-width-relative:page;mso-height-relative:page">
            <v:imagedata r:id="rId290" o:title=""/>
            <o:lock v:ext="edit" aspectratio="f"/>
            <w10:wrap type="topAndBottom" anchory="page"/>
          </v:shape>
          <o:OLEObject Type="Embed" ProgID="Visio.Drawing.11" ShapeID="_x0000_s1372" DrawAspect="Content" ObjectID="_1577296252" r:id="rId291"/>
        </w:object>
      </w:r>
      <w:r>
        <w:object w:dxaOrig="1440" w:dyaOrig="1440">
          <v:shape id="_x0000_s1371" type="#_x0000_t75" style="position:absolute;left:0;text-align:left;margin-left:18.75pt;margin-top:114.35pt;width:482pt;height:574.5pt;z-index:251694080;mso-wrap-distance-top:0;mso-wrap-distance-bottom:0;mso-position-vertical-relative:page;mso-width-relative:page;mso-height-relative:page">
            <v:imagedata r:id="rId292" o:title=""/>
            <w10:wrap type="topAndBottom" anchory="page"/>
          </v:shape>
          <o:OLEObject Type="Embed" ProgID="Visio.Drawing.11" ShapeID="_x0000_s1371" DrawAspect="Content" ObjectID="_1577296253" r:id="rId293"/>
        </w:object>
      </w:r>
      <w:r w:rsidR="00575CDB">
        <w:rPr>
          <w:rFonts w:eastAsia="方正书宋简体"/>
          <w:szCs w:val="21"/>
        </w:rPr>
        <w:br w:type="page"/>
      </w:r>
      <w:bookmarkStart w:id="360" w:name="_Toc25659"/>
      <w:bookmarkStart w:id="361" w:name="_Toc5214"/>
      <w:bookmarkStart w:id="362" w:name="_Toc503467436"/>
      <w:r w:rsidR="00575CDB">
        <w:rPr>
          <w:rStyle w:val="20"/>
          <w:rFonts w:hint="eastAsia"/>
        </w:rPr>
        <w:lastRenderedPageBreak/>
        <w:t>17.16</w:t>
      </w:r>
      <w:r w:rsidR="00575CDB">
        <w:rPr>
          <w:rStyle w:val="20"/>
          <w:rFonts w:hint="eastAsia"/>
        </w:rPr>
        <w:t>非居民企业所得税季度纳税申报（适用核定征收）及不构成常设机构和国际运输免税申报</w:t>
      </w:r>
      <w:bookmarkEnd w:id="360"/>
      <w:bookmarkEnd w:id="361"/>
      <w:bookmarkEnd w:id="362"/>
    </w:p>
    <w:p w:rsidR="00013EC7" w:rsidRDefault="00575CDB">
      <w:pPr>
        <w:jc w:val="center"/>
        <w:rPr>
          <w:rFonts w:ascii="宋体" w:hAnsi="宋体" w:cs="宋体"/>
          <w:b/>
          <w:bCs/>
          <w:sz w:val="52"/>
          <w:szCs w:val="52"/>
        </w:rPr>
      </w:pPr>
      <w:r>
        <w:rPr>
          <w:rFonts w:ascii="宋体" w:hAnsi="宋体" w:cs="宋体" w:hint="eastAsia"/>
          <w:b/>
          <w:bCs/>
          <w:sz w:val="52"/>
          <w:szCs w:val="52"/>
        </w:rPr>
        <w:t>全省“最多跑一次”事项“八统一”梳理表</w:t>
      </w:r>
    </w:p>
    <w:tbl>
      <w:tblPr>
        <w:tblW w:w="20186"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shd w:val="clear" w:color="auto" w:fill="FFFFFF"/>
        <w:tblLayout w:type="fixed"/>
        <w:tblCellMar>
          <w:top w:w="28" w:type="dxa"/>
          <w:left w:w="57" w:type="dxa"/>
          <w:bottom w:w="28" w:type="dxa"/>
          <w:right w:w="57" w:type="dxa"/>
        </w:tblCellMar>
        <w:tblLook w:val="04A0" w:firstRow="1" w:lastRow="0" w:firstColumn="1" w:lastColumn="0" w:noHBand="0" w:noVBand="1"/>
      </w:tblPr>
      <w:tblGrid>
        <w:gridCol w:w="672"/>
        <w:gridCol w:w="1035"/>
        <w:gridCol w:w="3028"/>
        <w:gridCol w:w="3544"/>
        <w:gridCol w:w="709"/>
        <w:gridCol w:w="3543"/>
        <w:gridCol w:w="709"/>
        <w:gridCol w:w="1276"/>
        <w:gridCol w:w="1134"/>
        <w:gridCol w:w="992"/>
        <w:gridCol w:w="851"/>
        <w:gridCol w:w="992"/>
        <w:gridCol w:w="1701"/>
      </w:tblGrid>
      <w:tr w:rsidR="00013EC7">
        <w:trPr>
          <w:trHeight w:val="340"/>
          <w:tblHeader/>
        </w:trPr>
        <w:tc>
          <w:tcPr>
            <w:tcW w:w="672" w:type="dxa"/>
            <w:vMerge w:val="restart"/>
            <w:shd w:val="clear" w:color="auto" w:fill="FFFFFF"/>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主项名称</w:t>
            </w:r>
          </w:p>
        </w:tc>
        <w:tc>
          <w:tcPr>
            <w:tcW w:w="1035" w:type="dxa"/>
            <w:vMerge w:val="restart"/>
            <w:shd w:val="clear" w:color="auto" w:fill="FFFFFF"/>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子项名称</w:t>
            </w:r>
          </w:p>
        </w:tc>
        <w:tc>
          <w:tcPr>
            <w:tcW w:w="3028" w:type="dxa"/>
            <w:vMerge w:val="restart"/>
            <w:shd w:val="clear" w:color="auto" w:fill="FFFFFF"/>
            <w:vAlign w:val="center"/>
          </w:tcPr>
          <w:p w:rsidR="00013EC7" w:rsidRDefault="00575CDB">
            <w:pPr>
              <w:spacing w:line="280" w:lineRule="exact"/>
              <w:ind w:rightChars="-111" w:right="-233"/>
              <w:jc w:val="center"/>
              <w:rPr>
                <w:rFonts w:ascii="黑体" w:eastAsia="黑体" w:hAnsi="黑体"/>
                <w:sz w:val="24"/>
              </w:rPr>
            </w:pPr>
            <w:r>
              <w:rPr>
                <w:rFonts w:ascii="黑体" w:eastAsia="黑体" w:hAnsi="黑体" w:hint="eastAsia"/>
                <w:sz w:val="24"/>
              </w:rPr>
              <w:t>经办依据</w:t>
            </w:r>
          </w:p>
        </w:tc>
        <w:tc>
          <w:tcPr>
            <w:tcW w:w="4253" w:type="dxa"/>
            <w:gridSpan w:val="2"/>
            <w:shd w:val="clear" w:color="auto" w:fill="FFFFFF"/>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原经办所需材料</w:t>
            </w:r>
          </w:p>
        </w:tc>
        <w:tc>
          <w:tcPr>
            <w:tcW w:w="5528" w:type="dxa"/>
            <w:gridSpan w:val="3"/>
            <w:shd w:val="clear" w:color="auto" w:fill="FFFFFF"/>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精简后经办所需材料</w:t>
            </w:r>
          </w:p>
        </w:tc>
        <w:tc>
          <w:tcPr>
            <w:tcW w:w="2126" w:type="dxa"/>
            <w:gridSpan w:val="2"/>
            <w:shd w:val="clear" w:color="auto" w:fill="FFFFFF"/>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办理时限</w:t>
            </w:r>
          </w:p>
        </w:tc>
        <w:tc>
          <w:tcPr>
            <w:tcW w:w="851" w:type="dxa"/>
            <w:vMerge w:val="restart"/>
            <w:shd w:val="clear" w:color="auto" w:fill="FFFFFF"/>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是否实现跑零次</w:t>
            </w:r>
          </w:p>
        </w:tc>
        <w:tc>
          <w:tcPr>
            <w:tcW w:w="992" w:type="dxa"/>
            <w:vMerge w:val="restart"/>
            <w:shd w:val="clear" w:color="auto" w:fill="FFFFFF"/>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责任处室</w:t>
            </w:r>
          </w:p>
          <w:p w:rsidR="00013EC7" w:rsidRDefault="00575CDB">
            <w:pPr>
              <w:spacing w:line="280" w:lineRule="exact"/>
              <w:jc w:val="center"/>
              <w:rPr>
                <w:rFonts w:ascii="黑体" w:eastAsia="黑体" w:hAnsi="黑体"/>
                <w:sz w:val="24"/>
              </w:rPr>
            </w:pPr>
            <w:r>
              <w:rPr>
                <w:rFonts w:ascii="黑体" w:eastAsia="黑体" w:hAnsi="黑体" w:hint="eastAsia"/>
                <w:sz w:val="24"/>
              </w:rPr>
              <w:t>（单位）</w:t>
            </w:r>
          </w:p>
        </w:tc>
        <w:tc>
          <w:tcPr>
            <w:tcW w:w="1701" w:type="dxa"/>
            <w:vMerge w:val="restart"/>
            <w:shd w:val="clear" w:color="auto" w:fill="FFFFFF"/>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进一步精简、</w:t>
            </w:r>
          </w:p>
          <w:p w:rsidR="00013EC7" w:rsidRDefault="00575CDB">
            <w:pPr>
              <w:spacing w:line="280" w:lineRule="exact"/>
              <w:jc w:val="center"/>
              <w:rPr>
                <w:rFonts w:ascii="黑体" w:eastAsia="黑体" w:hAnsi="黑体"/>
                <w:sz w:val="24"/>
              </w:rPr>
            </w:pPr>
            <w:r>
              <w:rPr>
                <w:rFonts w:ascii="黑体" w:eastAsia="黑体" w:hAnsi="黑体" w:hint="eastAsia"/>
                <w:sz w:val="24"/>
              </w:rPr>
              <w:t>规范建议</w:t>
            </w:r>
          </w:p>
        </w:tc>
      </w:tr>
      <w:tr w:rsidR="00013EC7">
        <w:trPr>
          <w:trHeight w:val="340"/>
          <w:tblHeader/>
        </w:trPr>
        <w:tc>
          <w:tcPr>
            <w:tcW w:w="672" w:type="dxa"/>
            <w:vMerge/>
            <w:shd w:val="clear" w:color="auto" w:fill="FFFFFF"/>
            <w:vAlign w:val="center"/>
          </w:tcPr>
          <w:p w:rsidR="00013EC7" w:rsidRDefault="00013EC7">
            <w:pPr>
              <w:jc w:val="left"/>
              <w:rPr>
                <w:rFonts w:ascii="仿宋" w:eastAsia="仿宋" w:hAnsi="仿宋"/>
                <w:sz w:val="24"/>
              </w:rPr>
            </w:pPr>
          </w:p>
        </w:tc>
        <w:tc>
          <w:tcPr>
            <w:tcW w:w="1035" w:type="dxa"/>
            <w:vMerge/>
            <w:shd w:val="clear" w:color="auto" w:fill="FFFFFF"/>
            <w:vAlign w:val="center"/>
          </w:tcPr>
          <w:p w:rsidR="00013EC7" w:rsidRDefault="00013EC7">
            <w:pPr>
              <w:jc w:val="left"/>
              <w:rPr>
                <w:rFonts w:ascii="仿宋" w:eastAsia="仿宋" w:hAnsi="仿宋"/>
                <w:sz w:val="24"/>
              </w:rPr>
            </w:pPr>
          </w:p>
        </w:tc>
        <w:tc>
          <w:tcPr>
            <w:tcW w:w="3028" w:type="dxa"/>
            <w:vMerge/>
            <w:shd w:val="clear" w:color="auto" w:fill="FFFFFF"/>
            <w:vAlign w:val="center"/>
          </w:tcPr>
          <w:p w:rsidR="00013EC7" w:rsidRDefault="00013EC7">
            <w:pPr>
              <w:jc w:val="left"/>
              <w:rPr>
                <w:rFonts w:ascii="仿宋" w:eastAsia="仿宋" w:hAnsi="仿宋"/>
                <w:sz w:val="24"/>
              </w:rPr>
            </w:pPr>
          </w:p>
        </w:tc>
        <w:tc>
          <w:tcPr>
            <w:tcW w:w="3544" w:type="dxa"/>
            <w:tcBorders>
              <w:bottom w:val="single" w:sz="4" w:space="0" w:color="auto"/>
            </w:tcBorders>
            <w:shd w:val="clear" w:color="auto" w:fill="FFFFFF"/>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材料明细</w:t>
            </w:r>
          </w:p>
        </w:tc>
        <w:tc>
          <w:tcPr>
            <w:tcW w:w="709" w:type="dxa"/>
            <w:shd w:val="clear" w:color="auto" w:fill="FFFFFF"/>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材料来源</w:t>
            </w:r>
          </w:p>
        </w:tc>
        <w:tc>
          <w:tcPr>
            <w:tcW w:w="3543" w:type="dxa"/>
            <w:shd w:val="clear" w:color="auto" w:fill="FFFFFF"/>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材料明细</w:t>
            </w:r>
          </w:p>
        </w:tc>
        <w:tc>
          <w:tcPr>
            <w:tcW w:w="709" w:type="dxa"/>
            <w:shd w:val="clear" w:color="auto" w:fill="FFFFFF"/>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材料来源</w:t>
            </w:r>
          </w:p>
        </w:tc>
        <w:tc>
          <w:tcPr>
            <w:tcW w:w="1276" w:type="dxa"/>
            <w:shd w:val="clear" w:color="auto" w:fill="FFFFFF"/>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办理方式及材料信息获取方式说明</w:t>
            </w:r>
          </w:p>
        </w:tc>
        <w:tc>
          <w:tcPr>
            <w:tcW w:w="1134" w:type="dxa"/>
            <w:shd w:val="clear" w:color="auto" w:fill="FFFFFF"/>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优化前</w:t>
            </w:r>
          </w:p>
        </w:tc>
        <w:tc>
          <w:tcPr>
            <w:tcW w:w="992" w:type="dxa"/>
            <w:shd w:val="clear" w:color="auto" w:fill="FFFFFF"/>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优化后</w:t>
            </w:r>
          </w:p>
        </w:tc>
        <w:tc>
          <w:tcPr>
            <w:tcW w:w="851" w:type="dxa"/>
            <w:vMerge/>
            <w:shd w:val="clear" w:color="auto" w:fill="FFFFFF"/>
            <w:vAlign w:val="center"/>
          </w:tcPr>
          <w:p w:rsidR="00013EC7" w:rsidRDefault="00013EC7">
            <w:pPr>
              <w:jc w:val="left"/>
              <w:rPr>
                <w:rFonts w:ascii="仿宋" w:eastAsia="仿宋" w:hAnsi="仿宋"/>
                <w:sz w:val="24"/>
              </w:rPr>
            </w:pPr>
          </w:p>
        </w:tc>
        <w:tc>
          <w:tcPr>
            <w:tcW w:w="992" w:type="dxa"/>
            <w:vMerge/>
            <w:shd w:val="clear" w:color="auto" w:fill="FFFFFF"/>
            <w:vAlign w:val="center"/>
          </w:tcPr>
          <w:p w:rsidR="00013EC7" w:rsidRDefault="00013EC7">
            <w:pPr>
              <w:jc w:val="left"/>
              <w:rPr>
                <w:rFonts w:ascii="仿宋" w:eastAsia="仿宋" w:hAnsi="仿宋"/>
                <w:sz w:val="24"/>
              </w:rPr>
            </w:pPr>
          </w:p>
        </w:tc>
        <w:tc>
          <w:tcPr>
            <w:tcW w:w="1701" w:type="dxa"/>
            <w:vMerge/>
            <w:shd w:val="clear" w:color="auto" w:fill="FFFFFF"/>
            <w:vAlign w:val="center"/>
          </w:tcPr>
          <w:p w:rsidR="00013EC7" w:rsidRDefault="00013EC7">
            <w:pPr>
              <w:jc w:val="left"/>
              <w:rPr>
                <w:rFonts w:ascii="仿宋" w:eastAsia="仿宋" w:hAnsi="仿宋"/>
                <w:sz w:val="24"/>
              </w:rPr>
            </w:pPr>
          </w:p>
        </w:tc>
      </w:tr>
      <w:tr w:rsidR="00013EC7">
        <w:trPr>
          <w:trHeight w:val="1475"/>
        </w:trPr>
        <w:tc>
          <w:tcPr>
            <w:tcW w:w="672" w:type="dxa"/>
            <w:shd w:val="clear" w:color="auto" w:fill="FFFFFF"/>
            <w:vAlign w:val="center"/>
          </w:tcPr>
          <w:p w:rsidR="00013EC7" w:rsidRDefault="00575CDB">
            <w:pPr>
              <w:spacing w:line="300" w:lineRule="exact"/>
              <w:jc w:val="left"/>
              <w:rPr>
                <w:rFonts w:ascii="仿宋" w:eastAsia="仿宋" w:hAnsi="仿宋"/>
                <w:sz w:val="24"/>
              </w:rPr>
            </w:pPr>
            <w:r>
              <w:rPr>
                <w:rFonts w:ascii="仿宋" w:eastAsia="仿宋" w:hAnsi="仿宋" w:hint="eastAsia"/>
                <w:sz w:val="24"/>
              </w:rPr>
              <w:t>17日常税费申报</w:t>
            </w:r>
          </w:p>
        </w:tc>
        <w:tc>
          <w:tcPr>
            <w:tcW w:w="1035" w:type="dxa"/>
            <w:shd w:val="clear" w:color="auto" w:fill="FFFFFF"/>
            <w:vAlign w:val="center"/>
          </w:tcPr>
          <w:p w:rsidR="00013EC7" w:rsidRDefault="00575CDB">
            <w:pPr>
              <w:spacing w:line="310" w:lineRule="exact"/>
              <w:jc w:val="left"/>
              <w:rPr>
                <w:rFonts w:ascii="仿宋" w:eastAsia="仿宋" w:hAnsi="仿宋"/>
                <w:sz w:val="24"/>
              </w:rPr>
            </w:pPr>
            <w:r>
              <w:rPr>
                <w:rFonts w:ascii="仿宋" w:eastAsia="仿宋" w:hAnsi="仿宋" w:hint="eastAsia"/>
                <w:sz w:val="24"/>
              </w:rPr>
              <w:t>17.16非居民企业所得税季度纳税申报（适用核定征收）及不构成常设机构和国际运输免税申报）</w:t>
            </w:r>
          </w:p>
        </w:tc>
        <w:tc>
          <w:tcPr>
            <w:tcW w:w="3028" w:type="dxa"/>
            <w:shd w:val="clear" w:color="auto" w:fill="FFFFFF"/>
            <w:vAlign w:val="center"/>
          </w:tcPr>
          <w:p w:rsidR="00013EC7" w:rsidRDefault="00575CDB">
            <w:pPr>
              <w:jc w:val="left"/>
              <w:rPr>
                <w:rFonts w:ascii="仿宋" w:eastAsia="仿宋" w:hAnsi="仿宋" w:cs="宋体"/>
                <w:kern w:val="1"/>
                <w:sz w:val="24"/>
              </w:rPr>
            </w:pPr>
            <w:r>
              <w:rPr>
                <w:rFonts w:ascii="仿宋" w:eastAsia="仿宋" w:hAnsi="仿宋" w:cs="宋体" w:hint="eastAsia"/>
                <w:kern w:val="1"/>
                <w:sz w:val="24"/>
              </w:rPr>
              <w:t>（一）《中华人民共和国企业所得税法》（2007年中华人民共和国主席令第63号）全文。</w:t>
            </w:r>
          </w:p>
          <w:p w:rsidR="00013EC7" w:rsidRDefault="00575CDB">
            <w:pPr>
              <w:jc w:val="left"/>
              <w:rPr>
                <w:rFonts w:ascii="仿宋" w:eastAsia="仿宋" w:hAnsi="仿宋" w:cs="宋体"/>
                <w:kern w:val="1"/>
                <w:sz w:val="24"/>
              </w:rPr>
            </w:pPr>
            <w:r>
              <w:rPr>
                <w:rFonts w:ascii="仿宋" w:eastAsia="仿宋" w:hAnsi="仿宋" w:cs="宋体" w:hint="eastAsia"/>
                <w:kern w:val="1"/>
                <w:sz w:val="24"/>
              </w:rPr>
              <w:t>（二）《中华人民共和国企业所得税法实施条例》（2002年中华人民共和国国务院令第512号）全文。</w:t>
            </w:r>
          </w:p>
          <w:p w:rsidR="00013EC7" w:rsidRDefault="00575CDB">
            <w:pPr>
              <w:jc w:val="left"/>
              <w:rPr>
                <w:rFonts w:ascii="仿宋" w:eastAsia="仿宋" w:hAnsi="仿宋" w:cs="宋体"/>
                <w:kern w:val="1"/>
                <w:sz w:val="24"/>
              </w:rPr>
            </w:pPr>
            <w:r>
              <w:rPr>
                <w:rFonts w:ascii="仿宋" w:eastAsia="仿宋" w:hAnsi="仿宋" w:cs="宋体" w:hint="eastAsia"/>
                <w:kern w:val="1"/>
                <w:sz w:val="24"/>
              </w:rPr>
              <w:t>（三）《国家税务总局关于非居民企业所得管理若干问题的公告》（国家税务总局公告2011年第24号）全文。</w:t>
            </w:r>
          </w:p>
          <w:p w:rsidR="00013EC7" w:rsidRDefault="00575CDB">
            <w:pPr>
              <w:jc w:val="left"/>
              <w:rPr>
                <w:rFonts w:ascii="仿宋" w:eastAsia="仿宋" w:hAnsi="仿宋" w:cs="宋体"/>
                <w:kern w:val="1"/>
                <w:sz w:val="24"/>
              </w:rPr>
            </w:pPr>
            <w:r>
              <w:rPr>
                <w:rFonts w:ascii="仿宋" w:eastAsia="仿宋" w:hAnsi="仿宋" w:cs="宋体" w:hint="eastAsia"/>
                <w:kern w:val="1"/>
                <w:sz w:val="24"/>
              </w:rPr>
              <w:t>（四）《非居民承包工程作业和提供劳务税收管理暂行办法》（2009年国家税务总局令第19号）第三章第一节。</w:t>
            </w:r>
          </w:p>
          <w:p w:rsidR="00013EC7" w:rsidRDefault="00575CDB">
            <w:pPr>
              <w:jc w:val="left"/>
              <w:rPr>
                <w:rFonts w:ascii="仿宋" w:eastAsia="仿宋" w:hAnsi="仿宋" w:cs="宋体"/>
                <w:kern w:val="1"/>
                <w:sz w:val="24"/>
              </w:rPr>
            </w:pPr>
            <w:r>
              <w:rPr>
                <w:rFonts w:ascii="仿宋" w:eastAsia="仿宋" w:hAnsi="仿宋" w:cs="宋体" w:hint="eastAsia"/>
                <w:kern w:val="1"/>
                <w:sz w:val="24"/>
              </w:rPr>
              <w:t>（五）《国家税务总局关于发布&lt;中华人民共和国非居民企业所得税年度纳税申报表&gt;等报表的公告》（国家税务总局公告2015年第30号）第一条。</w:t>
            </w:r>
          </w:p>
          <w:p w:rsidR="00013EC7" w:rsidRDefault="00575CDB">
            <w:pPr>
              <w:jc w:val="left"/>
              <w:rPr>
                <w:rFonts w:ascii="仿宋" w:eastAsia="仿宋" w:hAnsi="仿宋" w:cs="宋体"/>
                <w:kern w:val="1"/>
                <w:sz w:val="24"/>
              </w:rPr>
            </w:pPr>
            <w:r>
              <w:rPr>
                <w:rFonts w:ascii="仿宋" w:eastAsia="仿宋" w:hAnsi="仿宋" w:cs="宋体" w:hint="eastAsia"/>
                <w:kern w:val="1"/>
                <w:sz w:val="24"/>
              </w:rPr>
              <w:t>（六）《国家税务总局关于发布&lt;非居民纳税人享受税收协定待遇管理办法&gt;的公告》（国家税务总局公告2015年第60号）第四条第二款。</w:t>
            </w:r>
          </w:p>
        </w:tc>
        <w:tc>
          <w:tcPr>
            <w:tcW w:w="3544" w:type="dxa"/>
            <w:tcBorders>
              <w:top w:val="single" w:sz="4" w:space="0" w:color="auto"/>
              <w:bottom w:val="single" w:sz="4" w:space="0" w:color="auto"/>
            </w:tcBorders>
            <w:shd w:val="clear" w:color="auto" w:fill="FFFFFF"/>
            <w:vAlign w:val="center"/>
          </w:tcPr>
          <w:p w:rsidR="00013EC7" w:rsidRDefault="00575CDB">
            <w:pPr>
              <w:widowControl/>
              <w:jc w:val="left"/>
              <w:rPr>
                <w:rFonts w:ascii="仿宋" w:eastAsia="仿宋" w:hAnsi="仿宋" w:cs="宋体"/>
                <w:kern w:val="1"/>
                <w:sz w:val="24"/>
              </w:rPr>
            </w:pPr>
            <w:r>
              <w:rPr>
                <w:rFonts w:ascii="仿宋" w:eastAsia="仿宋" w:hAnsi="仿宋" w:cs="宋体" w:hint="eastAsia"/>
                <w:kern w:val="1"/>
                <w:sz w:val="24"/>
              </w:rPr>
              <w:t>（一）</w:t>
            </w:r>
            <w:r>
              <w:rPr>
                <w:rFonts w:ascii="仿宋" w:eastAsia="仿宋" w:hAnsi="仿宋" w:cs="宋体"/>
                <w:kern w:val="1"/>
                <w:sz w:val="24"/>
              </w:rPr>
              <w:t>（A06651）《中华人民共和国非居民企业所得税季度和年度纳税申报表（适用于核定征收企业）/（不构成常设机构和国际运输免税申报）》</w:t>
            </w:r>
            <w:r>
              <w:rPr>
                <w:rFonts w:ascii="仿宋" w:eastAsia="仿宋" w:hAnsi="仿宋" w:cs="宋体" w:hint="eastAsia"/>
                <w:kern w:val="1"/>
                <w:sz w:val="24"/>
              </w:rPr>
              <w:t>1</w:t>
            </w:r>
            <w:r>
              <w:rPr>
                <w:rFonts w:ascii="仿宋" w:eastAsia="仿宋" w:hAnsi="仿宋" w:cs="宋体"/>
                <w:kern w:val="1"/>
                <w:sz w:val="24"/>
              </w:rPr>
              <w:t>份。</w:t>
            </w:r>
          </w:p>
          <w:p w:rsidR="00013EC7" w:rsidRDefault="00013EC7">
            <w:pPr>
              <w:widowControl/>
              <w:ind w:firstLine="420"/>
              <w:jc w:val="left"/>
              <w:rPr>
                <w:rFonts w:ascii="仿宋" w:eastAsia="仿宋" w:hAnsi="仿宋" w:cs="宋体"/>
                <w:sz w:val="24"/>
              </w:rPr>
            </w:pPr>
          </w:p>
        </w:tc>
        <w:tc>
          <w:tcPr>
            <w:tcW w:w="709" w:type="dxa"/>
            <w:shd w:val="clear" w:color="auto" w:fill="FFFFFF"/>
            <w:vAlign w:val="center"/>
          </w:tcPr>
          <w:p w:rsidR="00013EC7" w:rsidRDefault="00575CDB">
            <w:pPr>
              <w:spacing w:line="300" w:lineRule="exact"/>
              <w:jc w:val="left"/>
              <w:rPr>
                <w:rFonts w:ascii="仿宋" w:eastAsia="仿宋" w:hAnsi="仿宋"/>
                <w:sz w:val="24"/>
              </w:rPr>
            </w:pPr>
            <w:r>
              <w:rPr>
                <w:rFonts w:ascii="仿宋" w:eastAsia="仿宋" w:hAnsi="仿宋" w:hint="eastAsia"/>
                <w:sz w:val="24"/>
              </w:rPr>
              <w:t>纳税人</w:t>
            </w:r>
            <w:r>
              <w:rPr>
                <w:rFonts w:ascii="仿宋" w:eastAsia="仿宋" w:hAnsi="仿宋"/>
                <w:sz w:val="24"/>
              </w:rPr>
              <w:t>提交</w:t>
            </w:r>
          </w:p>
        </w:tc>
        <w:tc>
          <w:tcPr>
            <w:tcW w:w="3543" w:type="dxa"/>
            <w:shd w:val="clear" w:color="auto" w:fill="FFFFFF"/>
            <w:vAlign w:val="center"/>
          </w:tcPr>
          <w:p w:rsidR="00013EC7" w:rsidRDefault="00575CDB">
            <w:pPr>
              <w:widowControl/>
              <w:jc w:val="left"/>
              <w:rPr>
                <w:rFonts w:ascii="仿宋" w:eastAsia="仿宋" w:hAnsi="仿宋" w:cs="宋体"/>
                <w:sz w:val="24"/>
              </w:rPr>
            </w:pPr>
            <w:r>
              <w:rPr>
                <w:rFonts w:ascii="仿宋" w:eastAsia="仿宋" w:hAnsi="仿宋" w:cs="宋体" w:hint="eastAsia"/>
                <w:kern w:val="1"/>
                <w:sz w:val="24"/>
              </w:rPr>
              <w:t>（一）（A06651）《中华人民共和国非居民企业所得税季度和年度纳税申报表（适用于核定征收企业）/（不构成常设机构和国际运输免税申报）》1份。</w:t>
            </w:r>
          </w:p>
        </w:tc>
        <w:tc>
          <w:tcPr>
            <w:tcW w:w="709" w:type="dxa"/>
            <w:shd w:val="clear" w:color="auto" w:fill="FFFFFF"/>
            <w:vAlign w:val="center"/>
          </w:tcPr>
          <w:p w:rsidR="00013EC7" w:rsidRDefault="00575CDB">
            <w:pPr>
              <w:spacing w:line="300" w:lineRule="exact"/>
              <w:jc w:val="left"/>
              <w:rPr>
                <w:rFonts w:ascii="仿宋" w:eastAsia="仿宋" w:hAnsi="仿宋"/>
                <w:bCs/>
                <w:i/>
                <w:iCs/>
                <w:sz w:val="24"/>
              </w:rPr>
            </w:pPr>
            <w:r>
              <w:rPr>
                <w:rFonts w:ascii="仿宋" w:eastAsia="仿宋" w:hAnsi="仿宋" w:hint="eastAsia"/>
                <w:bCs/>
                <w:sz w:val="24"/>
              </w:rPr>
              <w:t>纳税人提交</w:t>
            </w:r>
          </w:p>
        </w:tc>
        <w:tc>
          <w:tcPr>
            <w:tcW w:w="1276" w:type="dxa"/>
            <w:shd w:val="clear" w:color="auto" w:fill="FFFFFF"/>
            <w:vAlign w:val="center"/>
          </w:tcPr>
          <w:p w:rsidR="00013EC7" w:rsidRDefault="00575CDB">
            <w:pPr>
              <w:spacing w:line="300" w:lineRule="exac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申报单位提交书面材料。</w:t>
            </w:r>
          </w:p>
          <w:p w:rsidR="00013EC7" w:rsidRDefault="00575CDB">
            <w:pPr>
              <w:spacing w:line="300" w:lineRule="exact"/>
              <w:rPr>
                <w:rFonts w:ascii="仿宋" w:eastAsia="仿宋" w:hAnsi="仿宋" w:cs="仿宋"/>
                <w:sz w:val="24"/>
              </w:rPr>
            </w:pPr>
            <w:r>
              <w:rPr>
                <w:rFonts w:ascii="仿宋" w:eastAsia="仿宋" w:hAnsi="仿宋" w:cs="仿宋" w:hint="eastAsia"/>
                <w:b/>
                <w:sz w:val="24"/>
              </w:rPr>
              <w:t>网上办理：</w:t>
            </w:r>
            <w:r>
              <w:rPr>
                <w:rFonts w:ascii="仿宋" w:eastAsia="仿宋" w:hAnsi="仿宋" w:cs="仿宋" w:hint="eastAsia"/>
                <w:sz w:val="24"/>
              </w:rPr>
              <w:t>登录浙江国税电子税务局（网址：http://etax.zjtax.gov.cn/</w:t>
            </w:r>
          </w:p>
          <w:p w:rsidR="00013EC7" w:rsidRDefault="00575CDB">
            <w:pPr>
              <w:spacing w:line="300" w:lineRule="exact"/>
              <w:jc w:val="left"/>
              <w:rPr>
                <w:rFonts w:ascii="仿宋" w:eastAsia="仿宋" w:hAnsi="仿宋"/>
                <w:sz w:val="24"/>
              </w:rPr>
            </w:pPr>
            <w:r>
              <w:rPr>
                <w:rFonts w:ascii="仿宋" w:eastAsia="仿宋" w:hAnsi="仿宋" w:cs="仿宋" w:hint="eastAsia"/>
                <w:sz w:val="24"/>
              </w:rPr>
              <w:t>）提交申请。</w:t>
            </w:r>
          </w:p>
        </w:tc>
        <w:tc>
          <w:tcPr>
            <w:tcW w:w="1134" w:type="dxa"/>
            <w:shd w:val="clear" w:color="auto" w:fill="FFFFFF"/>
            <w:vAlign w:val="center"/>
          </w:tcPr>
          <w:p w:rsidR="00013EC7" w:rsidRDefault="00575CDB">
            <w:pPr>
              <w:spacing w:line="300" w:lineRule="exact"/>
              <w:jc w:val="left"/>
              <w:rPr>
                <w:rFonts w:ascii="仿宋" w:eastAsia="仿宋" w:hAnsi="仿宋"/>
                <w:sz w:val="24"/>
              </w:rPr>
            </w:pPr>
            <w:r>
              <w:rPr>
                <w:rFonts w:ascii="仿宋" w:eastAsia="仿宋" w:hAnsi="仿宋" w:hint="eastAsia"/>
                <w:sz w:val="24"/>
              </w:rPr>
              <w:t>即时办结</w:t>
            </w:r>
          </w:p>
        </w:tc>
        <w:tc>
          <w:tcPr>
            <w:tcW w:w="992" w:type="dxa"/>
            <w:shd w:val="clear" w:color="auto" w:fill="FFFFFF"/>
            <w:vAlign w:val="center"/>
          </w:tcPr>
          <w:p w:rsidR="00013EC7" w:rsidRDefault="00575CDB">
            <w:pPr>
              <w:spacing w:line="300" w:lineRule="exact"/>
              <w:jc w:val="left"/>
              <w:rPr>
                <w:rFonts w:ascii="仿宋" w:eastAsia="仿宋" w:hAnsi="仿宋"/>
                <w:sz w:val="24"/>
              </w:rPr>
            </w:pPr>
            <w:r>
              <w:rPr>
                <w:rFonts w:ascii="仿宋" w:eastAsia="仿宋" w:hAnsi="仿宋" w:hint="eastAsia"/>
                <w:sz w:val="24"/>
              </w:rPr>
              <w:t>即时办结</w:t>
            </w:r>
          </w:p>
        </w:tc>
        <w:tc>
          <w:tcPr>
            <w:tcW w:w="851" w:type="dxa"/>
            <w:shd w:val="clear" w:color="auto" w:fill="FFFFFF"/>
            <w:vAlign w:val="center"/>
          </w:tcPr>
          <w:p w:rsidR="00013EC7" w:rsidRDefault="00575CDB">
            <w:pPr>
              <w:spacing w:line="300" w:lineRule="exact"/>
              <w:jc w:val="left"/>
              <w:rPr>
                <w:rFonts w:ascii="仿宋" w:eastAsia="仿宋" w:hAnsi="仿宋"/>
                <w:sz w:val="24"/>
              </w:rPr>
            </w:pPr>
            <w:r>
              <w:rPr>
                <w:rFonts w:ascii="仿宋" w:eastAsia="仿宋" w:hAnsi="仿宋" w:hint="eastAsia"/>
                <w:sz w:val="24"/>
              </w:rPr>
              <w:t>是</w:t>
            </w:r>
          </w:p>
        </w:tc>
        <w:tc>
          <w:tcPr>
            <w:tcW w:w="992" w:type="dxa"/>
            <w:shd w:val="clear" w:color="auto" w:fill="FFFFFF"/>
            <w:vAlign w:val="center"/>
          </w:tcPr>
          <w:p w:rsidR="00013EC7" w:rsidRDefault="00575CDB">
            <w:pPr>
              <w:spacing w:line="300" w:lineRule="exact"/>
              <w:jc w:val="left"/>
              <w:rPr>
                <w:rFonts w:ascii="仿宋" w:eastAsia="仿宋" w:hAnsi="仿宋"/>
                <w:sz w:val="24"/>
              </w:rPr>
            </w:pPr>
            <w:r>
              <w:rPr>
                <w:rFonts w:ascii="仿宋" w:eastAsia="仿宋" w:hAnsi="仿宋" w:hint="eastAsia"/>
                <w:sz w:val="24"/>
              </w:rPr>
              <w:t>国际税务处</w:t>
            </w:r>
          </w:p>
        </w:tc>
        <w:tc>
          <w:tcPr>
            <w:tcW w:w="1701" w:type="dxa"/>
            <w:shd w:val="clear" w:color="auto" w:fill="FFFFFF"/>
            <w:vAlign w:val="center"/>
          </w:tcPr>
          <w:p w:rsidR="00013EC7" w:rsidRDefault="00013EC7">
            <w:pPr>
              <w:spacing w:line="300" w:lineRule="exact"/>
              <w:jc w:val="left"/>
              <w:rPr>
                <w:rFonts w:ascii="仿宋" w:eastAsia="仿宋" w:hAnsi="仿宋"/>
                <w:sz w:val="24"/>
              </w:rPr>
            </w:pPr>
          </w:p>
        </w:tc>
      </w:tr>
    </w:tbl>
    <w:p w:rsidR="00013EC7" w:rsidRDefault="00013EC7">
      <w:pPr>
        <w:spacing w:line="300" w:lineRule="exact"/>
        <w:rPr>
          <w:rFonts w:eastAsia="方正书宋简体"/>
          <w:szCs w:val="21"/>
        </w:rPr>
      </w:pPr>
    </w:p>
    <w:p w:rsidR="00013EC7" w:rsidRDefault="00013EC7">
      <w:pPr>
        <w:jc w:val="center"/>
      </w:pPr>
    </w:p>
    <w:p w:rsidR="00013EC7" w:rsidRDefault="005262E6">
      <w:pPr>
        <w:rPr>
          <w:rFonts w:ascii="仿宋" w:eastAsia="仿宋" w:hAnsi="仿宋" w:cs="仿宋"/>
          <w:sz w:val="24"/>
        </w:rPr>
      </w:pPr>
      <w:r>
        <w:rPr>
          <w:rFonts w:ascii="宋体" w:hAnsi="宋体" w:cs="宋体"/>
          <w:szCs w:val="21"/>
        </w:rPr>
        <w:object w:dxaOrig="1440" w:dyaOrig="1440">
          <v:shape id="_x0000_s1374" type="#_x0000_t75" style="position:absolute;left:0;text-align:left;margin-left:577.5pt;margin-top:104.75pt;width:409.5pt;height:578.25pt;z-index:251697152;mso-wrap-distance-top:0;mso-wrap-distance-bottom:0;mso-position-vertical-relative:page;mso-width-relative:page;mso-height-relative:page">
            <v:imagedata r:id="rId294" o:title=""/>
            <o:lock v:ext="edit" aspectratio="f"/>
            <w10:wrap type="topAndBottom" anchory="page"/>
          </v:shape>
          <o:OLEObject Type="Embed" ProgID="Visio.Drawing.11" ShapeID="_x0000_s1374" DrawAspect="Content" ObjectID="_1577296254" r:id="rId295"/>
        </w:object>
      </w:r>
      <w:r>
        <w:object w:dxaOrig="1440" w:dyaOrig="1440">
          <v:shape id="_x0000_s1373" type="#_x0000_t75" style="position:absolute;left:0;text-align:left;margin-left:6.55pt;margin-top:89.05pt;width:482pt;height:574.5pt;z-index:251696128;mso-wrap-distance-top:0;mso-wrap-distance-bottom:0;mso-position-vertical-relative:page;mso-width-relative:page;mso-height-relative:page">
            <v:imagedata r:id="rId296" o:title=""/>
            <w10:wrap type="topAndBottom" anchory="page"/>
          </v:shape>
          <o:OLEObject Type="Embed" ProgID="Visio.Drawing.11" ShapeID="_x0000_s1373" DrawAspect="Content" ObjectID="_1577296255" r:id="rId297"/>
        </w:object>
      </w:r>
    </w:p>
    <w:p w:rsidR="00013EC7" w:rsidRDefault="00013EC7"/>
    <w:p w:rsidR="00013EC7" w:rsidRDefault="00013EC7">
      <w:pPr>
        <w:jc w:val="left"/>
        <w:rPr>
          <w:rFonts w:ascii="宋体" w:hAnsi="宋体"/>
          <w:sz w:val="28"/>
          <w:szCs w:val="28"/>
        </w:rPr>
        <w:sectPr w:rsidR="00013EC7">
          <w:pgSz w:w="23814" w:h="16840" w:orient="landscape"/>
          <w:pgMar w:top="1701" w:right="1843" w:bottom="1985" w:left="1843" w:header="851" w:footer="1701" w:gutter="0"/>
          <w:pgNumType w:fmt="numberInDash"/>
          <w:cols w:space="720"/>
          <w:docGrid w:type="lines" w:linePitch="312"/>
        </w:sectPr>
      </w:pPr>
    </w:p>
    <w:p w:rsidR="00013EC7" w:rsidRDefault="00575CDB">
      <w:pPr>
        <w:pStyle w:val="2"/>
      </w:pPr>
      <w:bookmarkStart w:id="363" w:name="_Toc26788"/>
      <w:bookmarkStart w:id="364" w:name="_Toc6202"/>
      <w:bookmarkStart w:id="365" w:name="_Toc503467437"/>
      <w:bookmarkStart w:id="366" w:name="_Toc12281"/>
      <w:r>
        <w:rPr>
          <w:rFonts w:hint="eastAsia"/>
        </w:rPr>
        <w:lastRenderedPageBreak/>
        <w:t>17.17</w:t>
      </w:r>
      <w:r>
        <w:rPr>
          <w:rFonts w:hint="eastAsia"/>
        </w:rPr>
        <w:t>非居民企业所得税年度纳税申报（适用据实申报）</w:t>
      </w:r>
      <w:bookmarkEnd w:id="363"/>
      <w:bookmarkEnd w:id="364"/>
      <w:bookmarkEnd w:id="365"/>
      <w:bookmarkEnd w:id="366"/>
    </w:p>
    <w:p w:rsidR="00013EC7" w:rsidRDefault="00575CDB">
      <w:pPr>
        <w:jc w:val="center"/>
        <w:rPr>
          <w:rFonts w:ascii="宋体" w:hAnsi="宋体" w:cs="宋体"/>
          <w:b/>
          <w:bCs/>
          <w:sz w:val="52"/>
          <w:szCs w:val="52"/>
        </w:rPr>
      </w:pPr>
      <w:r>
        <w:rPr>
          <w:rFonts w:ascii="宋体" w:hAnsi="宋体" w:cs="宋体" w:hint="eastAsia"/>
          <w:b/>
          <w:bCs/>
          <w:sz w:val="52"/>
          <w:szCs w:val="52"/>
        </w:rPr>
        <w:t>全省“最多跑一次”事项“八统一”梳理表</w:t>
      </w:r>
    </w:p>
    <w:tbl>
      <w:tblPr>
        <w:tblW w:w="20186"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shd w:val="clear" w:color="auto" w:fill="FFFFFF"/>
        <w:tblLayout w:type="fixed"/>
        <w:tblCellMar>
          <w:top w:w="28" w:type="dxa"/>
          <w:left w:w="57" w:type="dxa"/>
          <w:bottom w:w="28" w:type="dxa"/>
          <w:right w:w="57" w:type="dxa"/>
        </w:tblCellMar>
        <w:tblLook w:val="04A0" w:firstRow="1" w:lastRow="0" w:firstColumn="1" w:lastColumn="0" w:noHBand="0" w:noVBand="1"/>
      </w:tblPr>
      <w:tblGrid>
        <w:gridCol w:w="672"/>
        <w:gridCol w:w="1035"/>
        <w:gridCol w:w="3028"/>
        <w:gridCol w:w="3544"/>
        <w:gridCol w:w="709"/>
        <w:gridCol w:w="3543"/>
        <w:gridCol w:w="709"/>
        <w:gridCol w:w="1276"/>
        <w:gridCol w:w="1134"/>
        <w:gridCol w:w="992"/>
        <w:gridCol w:w="851"/>
        <w:gridCol w:w="992"/>
        <w:gridCol w:w="1701"/>
      </w:tblGrid>
      <w:tr w:rsidR="00013EC7">
        <w:trPr>
          <w:trHeight w:val="340"/>
          <w:tblHeader/>
        </w:trPr>
        <w:tc>
          <w:tcPr>
            <w:tcW w:w="672" w:type="dxa"/>
            <w:vMerge w:val="restart"/>
            <w:shd w:val="clear" w:color="auto" w:fill="FFFFFF"/>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主项名称</w:t>
            </w:r>
          </w:p>
        </w:tc>
        <w:tc>
          <w:tcPr>
            <w:tcW w:w="1035" w:type="dxa"/>
            <w:vMerge w:val="restart"/>
            <w:shd w:val="clear" w:color="auto" w:fill="FFFFFF"/>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子项名称</w:t>
            </w:r>
          </w:p>
        </w:tc>
        <w:tc>
          <w:tcPr>
            <w:tcW w:w="3028" w:type="dxa"/>
            <w:vMerge w:val="restart"/>
            <w:shd w:val="clear" w:color="auto" w:fill="FFFFFF"/>
            <w:vAlign w:val="center"/>
          </w:tcPr>
          <w:p w:rsidR="00013EC7" w:rsidRDefault="00575CDB">
            <w:pPr>
              <w:spacing w:line="280" w:lineRule="exact"/>
              <w:ind w:rightChars="-111" w:right="-233"/>
              <w:jc w:val="center"/>
              <w:rPr>
                <w:rFonts w:ascii="黑体" w:eastAsia="黑体" w:hAnsi="黑体"/>
                <w:sz w:val="24"/>
              </w:rPr>
            </w:pPr>
            <w:r>
              <w:rPr>
                <w:rFonts w:ascii="黑体" w:eastAsia="黑体" w:hAnsi="黑体" w:hint="eastAsia"/>
                <w:sz w:val="24"/>
              </w:rPr>
              <w:t>经办依据</w:t>
            </w:r>
          </w:p>
        </w:tc>
        <w:tc>
          <w:tcPr>
            <w:tcW w:w="4253" w:type="dxa"/>
            <w:gridSpan w:val="2"/>
            <w:shd w:val="clear" w:color="auto" w:fill="FFFFFF"/>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原经办所需材料</w:t>
            </w:r>
          </w:p>
        </w:tc>
        <w:tc>
          <w:tcPr>
            <w:tcW w:w="5528" w:type="dxa"/>
            <w:gridSpan w:val="3"/>
            <w:shd w:val="clear" w:color="auto" w:fill="FFFFFF"/>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精简后经办所需材料</w:t>
            </w:r>
          </w:p>
        </w:tc>
        <w:tc>
          <w:tcPr>
            <w:tcW w:w="2126" w:type="dxa"/>
            <w:gridSpan w:val="2"/>
            <w:shd w:val="clear" w:color="auto" w:fill="FFFFFF"/>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办理时限</w:t>
            </w:r>
          </w:p>
        </w:tc>
        <w:tc>
          <w:tcPr>
            <w:tcW w:w="851" w:type="dxa"/>
            <w:vMerge w:val="restart"/>
            <w:shd w:val="clear" w:color="auto" w:fill="FFFFFF"/>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是否实现跑零次</w:t>
            </w:r>
          </w:p>
        </w:tc>
        <w:tc>
          <w:tcPr>
            <w:tcW w:w="992" w:type="dxa"/>
            <w:vMerge w:val="restart"/>
            <w:shd w:val="clear" w:color="auto" w:fill="FFFFFF"/>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责任处室</w:t>
            </w:r>
          </w:p>
          <w:p w:rsidR="00013EC7" w:rsidRDefault="00575CDB">
            <w:pPr>
              <w:spacing w:line="280" w:lineRule="exact"/>
              <w:jc w:val="center"/>
              <w:rPr>
                <w:rFonts w:ascii="黑体" w:eastAsia="黑体" w:hAnsi="黑体"/>
                <w:sz w:val="24"/>
              </w:rPr>
            </w:pPr>
            <w:r>
              <w:rPr>
                <w:rFonts w:ascii="黑体" w:eastAsia="黑体" w:hAnsi="黑体" w:hint="eastAsia"/>
                <w:sz w:val="24"/>
              </w:rPr>
              <w:t>（单位）</w:t>
            </w:r>
          </w:p>
        </w:tc>
        <w:tc>
          <w:tcPr>
            <w:tcW w:w="1701" w:type="dxa"/>
            <w:vMerge w:val="restart"/>
            <w:shd w:val="clear" w:color="auto" w:fill="FFFFFF"/>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进一步精简、</w:t>
            </w:r>
          </w:p>
          <w:p w:rsidR="00013EC7" w:rsidRDefault="00575CDB">
            <w:pPr>
              <w:spacing w:line="280" w:lineRule="exact"/>
              <w:jc w:val="center"/>
              <w:rPr>
                <w:rFonts w:ascii="黑体" w:eastAsia="黑体" w:hAnsi="黑体"/>
                <w:sz w:val="24"/>
              </w:rPr>
            </w:pPr>
            <w:r>
              <w:rPr>
                <w:rFonts w:ascii="黑体" w:eastAsia="黑体" w:hAnsi="黑体" w:hint="eastAsia"/>
                <w:sz w:val="24"/>
              </w:rPr>
              <w:t>规范建议</w:t>
            </w:r>
          </w:p>
        </w:tc>
      </w:tr>
      <w:tr w:rsidR="00013EC7">
        <w:trPr>
          <w:trHeight w:val="340"/>
          <w:tblHeader/>
        </w:trPr>
        <w:tc>
          <w:tcPr>
            <w:tcW w:w="672" w:type="dxa"/>
            <w:vMerge/>
            <w:shd w:val="clear" w:color="auto" w:fill="FFFFFF"/>
            <w:vAlign w:val="center"/>
          </w:tcPr>
          <w:p w:rsidR="00013EC7" w:rsidRDefault="00013EC7">
            <w:pPr>
              <w:jc w:val="left"/>
              <w:rPr>
                <w:rFonts w:ascii="仿宋" w:eastAsia="仿宋" w:hAnsi="仿宋"/>
                <w:sz w:val="24"/>
              </w:rPr>
            </w:pPr>
          </w:p>
        </w:tc>
        <w:tc>
          <w:tcPr>
            <w:tcW w:w="1035" w:type="dxa"/>
            <w:vMerge/>
            <w:shd w:val="clear" w:color="auto" w:fill="FFFFFF"/>
            <w:vAlign w:val="center"/>
          </w:tcPr>
          <w:p w:rsidR="00013EC7" w:rsidRDefault="00013EC7">
            <w:pPr>
              <w:jc w:val="left"/>
              <w:rPr>
                <w:rFonts w:ascii="仿宋" w:eastAsia="仿宋" w:hAnsi="仿宋"/>
                <w:sz w:val="24"/>
              </w:rPr>
            </w:pPr>
          </w:p>
        </w:tc>
        <w:tc>
          <w:tcPr>
            <w:tcW w:w="3028" w:type="dxa"/>
            <w:vMerge/>
            <w:shd w:val="clear" w:color="auto" w:fill="FFFFFF"/>
            <w:vAlign w:val="center"/>
          </w:tcPr>
          <w:p w:rsidR="00013EC7" w:rsidRDefault="00013EC7">
            <w:pPr>
              <w:jc w:val="left"/>
              <w:rPr>
                <w:rFonts w:ascii="仿宋" w:eastAsia="仿宋" w:hAnsi="仿宋"/>
                <w:sz w:val="24"/>
              </w:rPr>
            </w:pPr>
          </w:p>
        </w:tc>
        <w:tc>
          <w:tcPr>
            <w:tcW w:w="3544" w:type="dxa"/>
            <w:tcBorders>
              <w:bottom w:val="single" w:sz="4" w:space="0" w:color="auto"/>
            </w:tcBorders>
            <w:shd w:val="clear" w:color="auto" w:fill="FFFFFF"/>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材料明细</w:t>
            </w:r>
          </w:p>
        </w:tc>
        <w:tc>
          <w:tcPr>
            <w:tcW w:w="709" w:type="dxa"/>
            <w:shd w:val="clear" w:color="auto" w:fill="FFFFFF"/>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材料来源</w:t>
            </w:r>
          </w:p>
        </w:tc>
        <w:tc>
          <w:tcPr>
            <w:tcW w:w="3543" w:type="dxa"/>
            <w:shd w:val="clear" w:color="auto" w:fill="FFFFFF"/>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材料明细</w:t>
            </w:r>
          </w:p>
        </w:tc>
        <w:tc>
          <w:tcPr>
            <w:tcW w:w="709" w:type="dxa"/>
            <w:shd w:val="clear" w:color="auto" w:fill="FFFFFF"/>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材料来源</w:t>
            </w:r>
          </w:p>
        </w:tc>
        <w:tc>
          <w:tcPr>
            <w:tcW w:w="1276" w:type="dxa"/>
            <w:shd w:val="clear" w:color="auto" w:fill="FFFFFF"/>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办理方式及材料信息获取方式说明</w:t>
            </w:r>
          </w:p>
        </w:tc>
        <w:tc>
          <w:tcPr>
            <w:tcW w:w="1134" w:type="dxa"/>
            <w:shd w:val="clear" w:color="auto" w:fill="FFFFFF"/>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优化前</w:t>
            </w:r>
          </w:p>
        </w:tc>
        <w:tc>
          <w:tcPr>
            <w:tcW w:w="992" w:type="dxa"/>
            <w:shd w:val="clear" w:color="auto" w:fill="FFFFFF"/>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优化后</w:t>
            </w:r>
          </w:p>
        </w:tc>
        <w:tc>
          <w:tcPr>
            <w:tcW w:w="851" w:type="dxa"/>
            <w:vMerge/>
            <w:shd w:val="clear" w:color="auto" w:fill="FFFFFF"/>
            <w:vAlign w:val="center"/>
          </w:tcPr>
          <w:p w:rsidR="00013EC7" w:rsidRDefault="00013EC7">
            <w:pPr>
              <w:jc w:val="left"/>
              <w:rPr>
                <w:rFonts w:ascii="仿宋" w:eastAsia="仿宋" w:hAnsi="仿宋"/>
                <w:sz w:val="24"/>
              </w:rPr>
            </w:pPr>
          </w:p>
        </w:tc>
        <w:tc>
          <w:tcPr>
            <w:tcW w:w="992" w:type="dxa"/>
            <w:vMerge/>
            <w:shd w:val="clear" w:color="auto" w:fill="FFFFFF"/>
            <w:vAlign w:val="center"/>
          </w:tcPr>
          <w:p w:rsidR="00013EC7" w:rsidRDefault="00013EC7">
            <w:pPr>
              <w:jc w:val="left"/>
              <w:rPr>
                <w:rFonts w:ascii="仿宋" w:eastAsia="仿宋" w:hAnsi="仿宋"/>
                <w:sz w:val="24"/>
              </w:rPr>
            </w:pPr>
          </w:p>
        </w:tc>
        <w:tc>
          <w:tcPr>
            <w:tcW w:w="1701" w:type="dxa"/>
            <w:vMerge/>
            <w:shd w:val="clear" w:color="auto" w:fill="FFFFFF"/>
            <w:vAlign w:val="center"/>
          </w:tcPr>
          <w:p w:rsidR="00013EC7" w:rsidRDefault="00013EC7">
            <w:pPr>
              <w:jc w:val="left"/>
              <w:rPr>
                <w:rFonts w:ascii="仿宋" w:eastAsia="仿宋" w:hAnsi="仿宋"/>
                <w:sz w:val="24"/>
              </w:rPr>
            </w:pPr>
          </w:p>
        </w:tc>
      </w:tr>
      <w:tr w:rsidR="00013EC7">
        <w:trPr>
          <w:trHeight w:val="1475"/>
        </w:trPr>
        <w:tc>
          <w:tcPr>
            <w:tcW w:w="672" w:type="dxa"/>
            <w:vMerge w:val="restart"/>
            <w:shd w:val="clear" w:color="auto" w:fill="FFFFFF"/>
            <w:vAlign w:val="center"/>
          </w:tcPr>
          <w:p w:rsidR="00013EC7" w:rsidRDefault="00575CDB">
            <w:pPr>
              <w:spacing w:line="300" w:lineRule="exact"/>
              <w:jc w:val="left"/>
              <w:rPr>
                <w:rFonts w:ascii="仿宋" w:eastAsia="仿宋" w:hAnsi="仿宋"/>
                <w:sz w:val="24"/>
              </w:rPr>
            </w:pPr>
            <w:r>
              <w:rPr>
                <w:rFonts w:ascii="仿宋" w:eastAsia="仿宋" w:hAnsi="仿宋" w:hint="eastAsia"/>
                <w:sz w:val="24"/>
              </w:rPr>
              <w:t>17日常税费申报</w:t>
            </w:r>
          </w:p>
        </w:tc>
        <w:tc>
          <w:tcPr>
            <w:tcW w:w="1035" w:type="dxa"/>
            <w:vMerge w:val="restart"/>
            <w:shd w:val="clear" w:color="auto" w:fill="FFFFFF"/>
            <w:vAlign w:val="center"/>
          </w:tcPr>
          <w:p w:rsidR="00013EC7" w:rsidRDefault="00575CDB">
            <w:pPr>
              <w:spacing w:line="310" w:lineRule="exact"/>
              <w:jc w:val="left"/>
              <w:rPr>
                <w:rFonts w:ascii="仿宋" w:eastAsia="仿宋" w:hAnsi="仿宋"/>
                <w:sz w:val="24"/>
              </w:rPr>
            </w:pPr>
            <w:r>
              <w:rPr>
                <w:rFonts w:ascii="仿宋" w:eastAsia="仿宋" w:hAnsi="仿宋" w:hint="eastAsia"/>
                <w:sz w:val="24"/>
              </w:rPr>
              <w:t>17.17非居民企业所得税年度纳税申报（适用据实申报）</w:t>
            </w:r>
          </w:p>
        </w:tc>
        <w:tc>
          <w:tcPr>
            <w:tcW w:w="3028" w:type="dxa"/>
            <w:vMerge w:val="restart"/>
            <w:shd w:val="clear" w:color="auto" w:fill="FFFFFF"/>
            <w:vAlign w:val="center"/>
          </w:tcPr>
          <w:p w:rsidR="00013EC7" w:rsidRDefault="00575CDB">
            <w:pPr>
              <w:jc w:val="left"/>
              <w:rPr>
                <w:rFonts w:ascii="仿宋" w:eastAsia="仿宋" w:hAnsi="仿宋" w:cs="宋体"/>
                <w:kern w:val="1"/>
                <w:sz w:val="24"/>
              </w:rPr>
            </w:pPr>
            <w:r>
              <w:rPr>
                <w:rFonts w:ascii="仿宋" w:eastAsia="仿宋" w:hAnsi="仿宋" w:cs="宋体" w:hint="eastAsia"/>
                <w:kern w:val="1"/>
                <w:sz w:val="24"/>
              </w:rPr>
              <w:t>（一）《中华人民共和国企业所得税法》（2007年中华人民共和国主席令第63号）全文。</w:t>
            </w:r>
          </w:p>
          <w:p w:rsidR="00013EC7" w:rsidRDefault="00575CDB">
            <w:pPr>
              <w:jc w:val="left"/>
              <w:rPr>
                <w:rFonts w:ascii="仿宋" w:eastAsia="仿宋" w:hAnsi="仿宋" w:cs="宋体"/>
                <w:kern w:val="1"/>
                <w:sz w:val="24"/>
              </w:rPr>
            </w:pPr>
            <w:r>
              <w:rPr>
                <w:rFonts w:ascii="仿宋" w:eastAsia="仿宋" w:hAnsi="仿宋" w:cs="宋体" w:hint="eastAsia"/>
                <w:kern w:val="1"/>
                <w:sz w:val="24"/>
              </w:rPr>
              <w:t>（二）《中华人民共和国企业所得税法实施条例》（2002年中华人民共和国国务院令第512号）全文。</w:t>
            </w:r>
          </w:p>
          <w:p w:rsidR="00013EC7" w:rsidRDefault="00575CDB">
            <w:pPr>
              <w:jc w:val="left"/>
              <w:rPr>
                <w:rFonts w:ascii="仿宋" w:eastAsia="仿宋" w:hAnsi="仿宋" w:cs="宋体"/>
                <w:kern w:val="1"/>
                <w:sz w:val="24"/>
              </w:rPr>
            </w:pPr>
            <w:r>
              <w:rPr>
                <w:rFonts w:ascii="仿宋" w:eastAsia="仿宋" w:hAnsi="仿宋" w:cs="宋体" w:hint="eastAsia"/>
                <w:kern w:val="1"/>
                <w:sz w:val="24"/>
              </w:rPr>
              <w:t>（三）《国家税务总局关于非居民企业所得管理若干问题的公告》（国家税务总局公告2011年第24号）全文。</w:t>
            </w:r>
          </w:p>
          <w:p w:rsidR="00013EC7" w:rsidRDefault="00575CDB">
            <w:pPr>
              <w:jc w:val="left"/>
              <w:rPr>
                <w:rFonts w:ascii="仿宋" w:eastAsia="仿宋" w:hAnsi="仿宋" w:cs="宋体"/>
                <w:kern w:val="1"/>
                <w:sz w:val="24"/>
              </w:rPr>
            </w:pPr>
            <w:r>
              <w:rPr>
                <w:rFonts w:ascii="仿宋" w:eastAsia="仿宋" w:hAnsi="仿宋" w:cs="宋体" w:hint="eastAsia"/>
                <w:kern w:val="1"/>
                <w:sz w:val="24"/>
              </w:rPr>
              <w:t>（四）《非居民承包工程作业和提供劳务税收管理暂行办法》（2009年国家税务总局令第19号）第三章第一节。</w:t>
            </w:r>
          </w:p>
          <w:p w:rsidR="00013EC7" w:rsidRDefault="00575CDB">
            <w:pPr>
              <w:jc w:val="left"/>
              <w:rPr>
                <w:rFonts w:ascii="仿宋" w:eastAsia="仿宋" w:hAnsi="仿宋" w:cs="宋体"/>
                <w:kern w:val="1"/>
                <w:sz w:val="24"/>
              </w:rPr>
            </w:pPr>
            <w:r>
              <w:rPr>
                <w:rFonts w:ascii="仿宋" w:eastAsia="仿宋" w:hAnsi="仿宋" w:cs="宋体" w:hint="eastAsia"/>
                <w:kern w:val="1"/>
                <w:sz w:val="24"/>
              </w:rPr>
              <w:t>（五）《国家税务总局关于发布&lt;中华人民共和国非居民企业所得税年度纳税申报表&gt;等报表的公告》（国家税务总局公告2015年第30号）第一条。</w:t>
            </w:r>
          </w:p>
          <w:p w:rsidR="00013EC7" w:rsidRDefault="00575CDB">
            <w:pPr>
              <w:jc w:val="left"/>
              <w:rPr>
                <w:rFonts w:ascii="仿宋" w:eastAsia="仿宋" w:hAnsi="仿宋" w:cs="宋体"/>
                <w:kern w:val="1"/>
                <w:sz w:val="24"/>
              </w:rPr>
            </w:pPr>
            <w:r>
              <w:rPr>
                <w:rFonts w:ascii="仿宋" w:eastAsia="仿宋" w:hAnsi="仿宋" w:cs="宋体" w:hint="eastAsia"/>
                <w:kern w:val="1"/>
                <w:sz w:val="24"/>
              </w:rPr>
              <w:t>（六）《国家税务总局关于发布&lt;非居民纳税人享受税收协定待遇管理办法&gt;的公告》（国家税务总局公告2015年第60号）第四条第二款。</w:t>
            </w:r>
          </w:p>
          <w:p w:rsidR="00013EC7" w:rsidRDefault="00575CDB">
            <w:pPr>
              <w:jc w:val="left"/>
              <w:rPr>
                <w:rFonts w:ascii="仿宋" w:eastAsia="仿宋" w:hAnsi="仿宋" w:cs="宋体"/>
                <w:kern w:val="1"/>
                <w:sz w:val="24"/>
              </w:rPr>
            </w:pPr>
            <w:r>
              <w:rPr>
                <w:rFonts w:ascii="仿宋" w:eastAsia="仿宋" w:hAnsi="仿宋" w:cs="宋体" w:hint="eastAsia"/>
                <w:kern w:val="1"/>
                <w:sz w:val="24"/>
              </w:rPr>
              <w:lastRenderedPageBreak/>
              <w:t>（七）《国家税务总局关于印发〈非居民企业所得税汇算清缴管理办法〉的通知》（国税发〔2009〕6号）第三条。</w:t>
            </w:r>
          </w:p>
          <w:p w:rsidR="00013EC7" w:rsidRDefault="00575CDB">
            <w:pPr>
              <w:jc w:val="left"/>
              <w:rPr>
                <w:rFonts w:ascii="仿宋" w:eastAsia="仿宋" w:hAnsi="仿宋" w:cs="宋体"/>
                <w:kern w:val="1"/>
                <w:sz w:val="24"/>
              </w:rPr>
            </w:pPr>
            <w:r>
              <w:rPr>
                <w:rFonts w:ascii="仿宋" w:eastAsia="仿宋" w:hAnsi="仿宋" w:cs="宋体" w:hint="eastAsia"/>
                <w:kern w:val="1"/>
                <w:sz w:val="24"/>
              </w:rPr>
              <w:t>（八）《国家税务总局关于印发〈非居民企业所得税汇算清缴工作规程〉的通知》（国税发〔2009〕11号）全文。</w:t>
            </w:r>
          </w:p>
          <w:p w:rsidR="00013EC7" w:rsidRDefault="00575CDB">
            <w:pPr>
              <w:jc w:val="left"/>
              <w:rPr>
                <w:rFonts w:ascii="仿宋" w:eastAsia="仿宋" w:hAnsi="仿宋" w:cs="宋体"/>
                <w:kern w:val="1"/>
                <w:sz w:val="24"/>
              </w:rPr>
            </w:pPr>
            <w:r>
              <w:rPr>
                <w:rFonts w:ascii="仿宋" w:eastAsia="仿宋" w:hAnsi="仿宋" w:cs="宋体" w:hint="eastAsia"/>
                <w:kern w:val="1"/>
                <w:sz w:val="24"/>
              </w:rPr>
              <w:t>（九）《国家税务总局关于完善关联申报和同期资料管理有关事项的公告》（国家税务总局公告2016年第42号）第一条。</w:t>
            </w:r>
          </w:p>
        </w:tc>
        <w:tc>
          <w:tcPr>
            <w:tcW w:w="3544" w:type="dxa"/>
            <w:tcBorders>
              <w:top w:val="single" w:sz="4" w:space="0" w:color="auto"/>
              <w:bottom w:val="single" w:sz="4" w:space="0" w:color="auto"/>
            </w:tcBorders>
            <w:shd w:val="clear" w:color="auto" w:fill="FFFFFF"/>
            <w:vAlign w:val="center"/>
          </w:tcPr>
          <w:p w:rsidR="00013EC7" w:rsidRDefault="00575CDB">
            <w:pPr>
              <w:spacing w:line="300" w:lineRule="exact"/>
              <w:jc w:val="left"/>
              <w:rPr>
                <w:rFonts w:ascii="仿宋" w:eastAsia="仿宋" w:hAnsi="仿宋"/>
                <w:sz w:val="24"/>
              </w:rPr>
            </w:pPr>
            <w:r>
              <w:rPr>
                <w:rFonts w:ascii="仿宋" w:eastAsia="仿宋" w:hAnsi="仿宋" w:cs="宋体" w:hint="eastAsia"/>
                <w:kern w:val="1"/>
                <w:sz w:val="24"/>
              </w:rPr>
              <w:lastRenderedPageBreak/>
              <w:t>（一）</w:t>
            </w:r>
            <w:r>
              <w:rPr>
                <w:rFonts w:ascii="仿宋" w:eastAsia="仿宋" w:hAnsi="仿宋" w:hint="eastAsia"/>
                <w:sz w:val="24"/>
              </w:rPr>
              <w:t>（A06077）《中华人民共和国非居民企业所得税季度纳税申报表（适用于据实申报企业）》</w:t>
            </w:r>
            <w:r>
              <w:rPr>
                <w:rFonts w:ascii="仿宋" w:eastAsia="仿宋" w:hAnsi="仿宋" w:hint="eastAsia"/>
                <w:sz w:val="24"/>
                <w:highlight w:val="lightGray"/>
              </w:rPr>
              <w:t>3</w:t>
            </w:r>
            <w:r>
              <w:rPr>
                <w:rFonts w:ascii="仿宋" w:eastAsia="仿宋" w:hAnsi="仿宋"/>
                <w:sz w:val="24"/>
                <w:highlight w:val="lightGray"/>
              </w:rPr>
              <w:t>份</w:t>
            </w:r>
            <w:r>
              <w:rPr>
                <w:rFonts w:ascii="仿宋" w:eastAsia="仿宋" w:hAnsi="仿宋"/>
                <w:sz w:val="24"/>
              </w:rPr>
              <w:t>。</w:t>
            </w:r>
          </w:p>
        </w:tc>
        <w:tc>
          <w:tcPr>
            <w:tcW w:w="709" w:type="dxa"/>
            <w:shd w:val="clear" w:color="auto" w:fill="FFFFFF"/>
            <w:vAlign w:val="center"/>
          </w:tcPr>
          <w:p w:rsidR="00013EC7" w:rsidRDefault="00575CDB">
            <w:pPr>
              <w:spacing w:line="300" w:lineRule="exact"/>
              <w:jc w:val="left"/>
              <w:rPr>
                <w:rFonts w:ascii="仿宋" w:eastAsia="仿宋" w:hAnsi="仿宋"/>
                <w:sz w:val="24"/>
              </w:rPr>
            </w:pPr>
            <w:r>
              <w:rPr>
                <w:rFonts w:ascii="仿宋" w:eastAsia="仿宋" w:hAnsi="仿宋" w:hint="eastAsia"/>
                <w:sz w:val="24"/>
              </w:rPr>
              <w:t>纳税人</w:t>
            </w:r>
            <w:r>
              <w:rPr>
                <w:rFonts w:ascii="仿宋" w:eastAsia="仿宋" w:hAnsi="仿宋"/>
                <w:sz w:val="24"/>
              </w:rPr>
              <w:t>提交</w:t>
            </w:r>
          </w:p>
        </w:tc>
        <w:tc>
          <w:tcPr>
            <w:tcW w:w="3543" w:type="dxa"/>
            <w:shd w:val="clear" w:color="auto" w:fill="FFFFFF"/>
            <w:vAlign w:val="center"/>
          </w:tcPr>
          <w:p w:rsidR="00013EC7" w:rsidRDefault="00575CDB">
            <w:pPr>
              <w:spacing w:line="300" w:lineRule="exact"/>
              <w:jc w:val="left"/>
              <w:rPr>
                <w:rFonts w:ascii="仿宋" w:eastAsia="仿宋" w:hAnsi="仿宋"/>
                <w:bCs/>
                <w:sz w:val="24"/>
              </w:rPr>
            </w:pPr>
            <w:r>
              <w:rPr>
                <w:rFonts w:ascii="仿宋" w:eastAsia="仿宋" w:hAnsi="仿宋" w:cs="宋体" w:hint="eastAsia"/>
                <w:kern w:val="1"/>
                <w:sz w:val="24"/>
              </w:rPr>
              <w:t>（一）</w:t>
            </w:r>
            <w:r>
              <w:rPr>
                <w:rFonts w:ascii="仿宋" w:eastAsia="仿宋" w:hAnsi="仿宋" w:hint="eastAsia"/>
                <w:sz w:val="24"/>
              </w:rPr>
              <w:t>（A06077）《中华人民共和国非居民企业所得税季度纳税申报表（适用于据实申报企业）》1</w:t>
            </w:r>
            <w:r>
              <w:rPr>
                <w:rFonts w:ascii="仿宋" w:eastAsia="仿宋" w:hAnsi="仿宋"/>
                <w:sz w:val="24"/>
              </w:rPr>
              <w:t>份。</w:t>
            </w:r>
          </w:p>
        </w:tc>
        <w:tc>
          <w:tcPr>
            <w:tcW w:w="709" w:type="dxa"/>
            <w:shd w:val="clear" w:color="auto" w:fill="FFFFFF"/>
            <w:vAlign w:val="center"/>
          </w:tcPr>
          <w:p w:rsidR="00013EC7" w:rsidRDefault="00575CDB">
            <w:pPr>
              <w:spacing w:line="300" w:lineRule="exact"/>
              <w:jc w:val="left"/>
              <w:rPr>
                <w:rFonts w:ascii="仿宋" w:eastAsia="仿宋" w:hAnsi="仿宋"/>
                <w:bCs/>
                <w:i/>
                <w:iCs/>
                <w:sz w:val="24"/>
              </w:rPr>
            </w:pPr>
            <w:r>
              <w:rPr>
                <w:rFonts w:ascii="仿宋" w:eastAsia="仿宋" w:hAnsi="仿宋" w:hint="eastAsia"/>
                <w:bCs/>
                <w:sz w:val="24"/>
              </w:rPr>
              <w:t>纳税人提交</w:t>
            </w:r>
          </w:p>
        </w:tc>
        <w:tc>
          <w:tcPr>
            <w:tcW w:w="1276" w:type="dxa"/>
            <w:vMerge w:val="restart"/>
            <w:shd w:val="clear" w:color="auto" w:fill="FFFFFF"/>
            <w:vAlign w:val="center"/>
          </w:tcPr>
          <w:p w:rsidR="00013EC7" w:rsidRDefault="00575CDB">
            <w:pPr>
              <w:spacing w:line="300" w:lineRule="exac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申报单位提交书面材料。</w:t>
            </w:r>
          </w:p>
          <w:p w:rsidR="00013EC7" w:rsidRDefault="00575CDB">
            <w:pPr>
              <w:spacing w:line="300" w:lineRule="exact"/>
              <w:rPr>
                <w:rFonts w:ascii="仿宋" w:eastAsia="仿宋" w:hAnsi="仿宋" w:cs="仿宋"/>
                <w:sz w:val="24"/>
              </w:rPr>
            </w:pPr>
            <w:r>
              <w:rPr>
                <w:rFonts w:ascii="仿宋" w:eastAsia="仿宋" w:hAnsi="仿宋" w:cs="仿宋" w:hint="eastAsia"/>
                <w:b/>
                <w:sz w:val="24"/>
              </w:rPr>
              <w:t>网上办理：</w:t>
            </w:r>
            <w:r>
              <w:rPr>
                <w:rFonts w:ascii="仿宋" w:eastAsia="仿宋" w:hAnsi="仿宋" w:cs="仿宋" w:hint="eastAsia"/>
                <w:sz w:val="24"/>
              </w:rPr>
              <w:t>登录浙江国税电子税务局（网址：http://etax.zjtax.gov.cn/</w:t>
            </w:r>
          </w:p>
          <w:p w:rsidR="00013EC7" w:rsidRDefault="00575CDB">
            <w:pPr>
              <w:spacing w:line="300" w:lineRule="exact"/>
              <w:jc w:val="left"/>
              <w:rPr>
                <w:rFonts w:ascii="仿宋" w:eastAsia="仿宋" w:hAnsi="仿宋"/>
                <w:sz w:val="24"/>
              </w:rPr>
            </w:pPr>
            <w:r>
              <w:rPr>
                <w:rFonts w:ascii="仿宋" w:eastAsia="仿宋" w:hAnsi="仿宋" w:cs="仿宋" w:hint="eastAsia"/>
                <w:sz w:val="24"/>
              </w:rPr>
              <w:t>）提交申请</w:t>
            </w:r>
            <w:r>
              <w:rPr>
                <w:rFonts w:ascii="仿宋" w:eastAsia="仿宋" w:hAnsi="仿宋" w:hint="eastAsia"/>
                <w:sz w:val="24"/>
              </w:rPr>
              <w:t>。</w:t>
            </w:r>
          </w:p>
        </w:tc>
        <w:tc>
          <w:tcPr>
            <w:tcW w:w="1134" w:type="dxa"/>
            <w:vMerge w:val="restart"/>
            <w:shd w:val="clear" w:color="auto" w:fill="FFFFFF"/>
            <w:vAlign w:val="center"/>
          </w:tcPr>
          <w:p w:rsidR="00013EC7" w:rsidRDefault="00575CDB">
            <w:pPr>
              <w:spacing w:line="300" w:lineRule="exact"/>
              <w:jc w:val="left"/>
              <w:rPr>
                <w:rFonts w:ascii="仿宋" w:eastAsia="仿宋" w:hAnsi="仿宋"/>
                <w:sz w:val="24"/>
              </w:rPr>
            </w:pPr>
            <w:r>
              <w:rPr>
                <w:rFonts w:ascii="仿宋" w:eastAsia="仿宋" w:hAnsi="仿宋" w:hint="eastAsia"/>
                <w:sz w:val="24"/>
              </w:rPr>
              <w:t>即时办结</w:t>
            </w:r>
          </w:p>
        </w:tc>
        <w:tc>
          <w:tcPr>
            <w:tcW w:w="992" w:type="dxa"/>
            <w:vMerge w:val="restart"/>
            <w:shd w:val="clear" w:color="auto" w:fill="FFFFFF"/>
            <w:vAlign w:val="center"/>
          </w:tcPr>
          <w:p w:rsidR="00013EC7" w:rsidRDefault="00575CDB">
            <w:pPr>
              <w:spacing w:line="300" w:lineRule="exact"/>
              <w:jc w:val="left"/>
              <w:rPr>
                <w:rFonts w:ascii="仿宋" w:eastAsia="仿宋" w:hAnsi="仿宋"/>
                <w:sz w:val="24"/>
              </w:rPr>
            </w:pPr>
            <w:r>
              <w:rPr>
                <w:rFonts w:ascii="仿宋" w:eastAsia="仿宋" w:hAnsi="仿宋" w:hint="eastAsia"/>
                <w:sz w:val="24"/>
              </w:rPr>
              <w:t>即时办结</w:t>
            </w:r>
          </w:p>
        </w:tc>
        <w:tc>
          <w:tcPr>
            <w:tcW w:w="851" w:type="dxa"/>
            <w:vMerge w:val="restart"/>
            <w:shd w:val="clear" w:color="auto" w:fill="FFFFFF"/>
            <w:vAlign w:val="center"/>
          </w:tcPr>
          <w:p w:rsidR="00013EC7" w:rsidRDefault="00575CDB">
            <w:pPr>
              <w:spacing w:line="300" w:lineRule="exact"/>
              <w:jc w:val="left"/>
              <w:rPr>
                <w:rFonts w:ascii="仿宋" w:eastAsia="仿宋" w:hAnsi="仿宋"/>
                <w:sz w:val="24"/>
              </w:rPr>
            </w:pPr>
            <w:r>
              <w:rPr>
                <w:rFonts w:ascii="仿宋" w:eastAsia="仿宋" w:hAnsi="仿宋" w:hint="eastAsia"/>
                <w:sz w:val="24"/>
              </w:rPr>
              <w:t>是</w:t>
            </w:r>
          </w:p>
        </w:tc>
        <w:tc>
          <w:tcPr>
            <w:tcW w:w="992" w:type="dxa"/>
            <w:vMerge w:val="restart"/>
            <w:shd w:val="clear" w:color="auto" w:fill="FFFFFF"/>
            <w:vAlign w:val="center"/>
          </w:tcPr>
          <w:p w:rsidR="00013EC7" w:rsidRDefault="00575CDB">
            <w:pPr>
              <w:spacing w:line="300" w:lineRule="exact"/>
              <w:jc w:val="left"/>
              <w:rPr>
                <w:rFonts w:ascii="仿宋" w:eastAsia="仿宋" w:hAnsi="仿宋"/>
                <w:sz w:val="24"/>
              </w:rPr>
            </w:pPr>
            <w:r>
              <w:rPr>
                <w:rFonts w:ascii="仿宋" w:eastAsia="仿宋" w:hAnsi="仿宋" w:hint="eastAsia"/>
                <w:sz w:val="24"/>
              </w:rPr>
              <w:t>国际税务处</w:t>
            </w:r>
          </w:p>
        </w:tc>
        <w:tc>
          <w:tcPr>
            <w:tcW w:w="1701" w:type="dxa"/>
            <w:vMerge w:val="restart"/>
            <w:shd w:val="clear" w:color="auto" w:fill="FFFFFF"/>
            <w:vAlign w:val="center"/>
          </w:tcPr>
          <w:p w:rsidR="00013EC7" w:rsidRDefault="00013EC7">
            <w:pPr>
              <w:spacing w:line="300" w:lineRule="exact"/>
              <w:jc w:val="left"/>
              <w:rPr>
                <w:rFonts w:ascii="仿宋" w:eastAsia="仿宋" w:hAnsi="仿宋"/>
                <w:sz w:val="24"/>
              </w:rPr>
            </w:pPr>
          </w:p>
        </w:tc>
      </w:tr>
      <w:tr w:rsidR="00013EC7">
        <w:trPr>
          <w:trHeight w:val="1699"/>
        </w:trPr>
        <w:tc>
          <w:tcPr>
            <w:tcW w:w="672" w:type="dxa"/>
            <w:vMerge/>
            <w:shd w:val="clear" w:color="auto" w:fill="FFFFFF"/>
            <w:textDirection w:val="tbRlV"/>
            <w:vAlign w:val="center"/>
          </w:tcPr>
          <w:p w:rsidR="00013EC7" w:rsidRDefault="00013EC7">
            <w:pPr>
              <w:spacing w:line="300" w:lineRule="exact"/>
              <w:jc w:val="left"/>
              <w:rPr>
                <w:rFonts w:ascii="仿宋" w:eastAsia="仿宋" w:hAnsi="仿宋"/>
                <w:sz w:val="24"/>
              </w:rPr>
            </w:pPr>
          </w:p>
        </w:tc>
        <w:tc>
          <w:tcPr>
            <w:tcW w:w="1035" w:type="dxa"/>
            <w:vMerge/>
            <w:shd w:val="clear" w:color="auto" w:fill="FFFFFF"/>
            <w:vAlign w:val="center"/>
          </w:tcPr>
          <w:p w:rsidR="00013EC7" w:rsidRDefault="00013EC7">
            <w:pPr>
              <w:spacing w:line="300" w:lineRule="exact"/>
              <w:jc w:val="left"/>
              <w:rPr>
                <w:rFonts w:ascii="仿宋" w:eastAsia="仿宋" w:hAnsi="仿宋"/>
                <w:sz w:val="24"/>
              </w:rPr>
            </w:pPr>
          </w:p>
        </w:tc>
        <w:tc>
          <w:tcPr>
            <w:tcW w:w="3028" w:type="dxa"/>
            <w:vMerge/>
            <w:shd w:val="clear" w:color="auto" w:fill="FFFFFF"/>
            <w:vAlign w:val="center"/>
          </w:tcPr>
          <w:p w:rsidR="00013EC7" w:rsidRDefault="00013EC7">
            <w:pPr>
              <w:spacing w:line="300" w:lineRule="exact"/>
              <w:jc w:val="left"/>
              <w:rPr>
                <w:rFonts w:ascii="仿宋" w:eastAsia="仿宋" w:hAnsi="仿宋"/>
                <w:sz w:val="24"/>
              </w:rPr>
            </w:pPr>
          </w:p>
        </w:tc>
        <w:tc>
          <w:tcPr>
            <w:tcW w:w="3544" w:type="dxa"/>
            <w:tcBorders>
              <w:top w:val="single" w:sz="4" w:space="0" w:color="auto"/>
            </w:tcBorders>
            <w:shd w:val="clear" w:color="auto" w:fill="FFFFFF"/>
            <w:vAlign w:val="center"/>
          </w:tcPr>
          <w:p w:rsidR="00013EC7" w:rsidRDefault="00575CDB">
            <w:pPr>
              <w:spacing w:line="300" w:lineRule="exact"/>
              <w:jc w:val="left"/>
              <w:rPr>
                <w:rFonts w:ascii="仿宋" w:eastAsia="仿宋" w:hAnsi="仿宋"/>
                <w:sz w:val="24"/>
              </w:rPr>
            </w:pPr>
            <w:r>
              <w:rPr>
                <w:rFonts w:ascii="仿宋" w:eastAsia="仿宋" w:hAnsi="仿宋" w:cs="宋体" w:hint="eastAsia"/>
                <w:kern w:val="1"/>
                <w:sz w:val="24"/>
              </w:rPr>
              <w:t>（二）</w:t>
            </w:r>
            <w:r>
              <w:rPr>
                <w:rFonts w:ascii="仿宋" w:eastAsia="仿宋" w:hAnsi="仿宋" w:cs="宋体" w:hint="eastAsia"/>
                <w:sz w:val="24"/>
              </w:rPr>
              <w:t>(</w:t>
            </w:r>
            <w:r>
              <w:rPr>
                <w:rFonts w:ascii="仿宋" w:eastAsia="仿宋" w:hAnsi="仿宋" w:cs="宋体"/>
                <w:sz w:val="24"/>
              </w:rPr>
              <w:t>A06083-A06092</w:t>
            </w:r>
            <w:r>
              <w:rPr>
                <w:rFonts w:ascii="仿宋" w:eastAsia="仿宋" w:hAnsi="仿宋" w:cs="宋体" w:hint="eastAsia"/>
                <w:sz w:val="24"/>
              </w:rPr>
              <w:t>)</w:t>
            </w:r>
            <w:r>
              <w:rPr>
                <w:rFonts w:ascii="仿宋" w:eastAsia="仿宋" w:hAnsi="仿宋" w:cs="宋体"/>
                <w:sz w:val="24"/>
              </w:rPr>
              <w:t>《中华人民共和国企业年度关联业务往来报告表（2016年版）》及附表各</w:t>
            </w:r>
            <w:r>
              <w:rPr>
                <w:rFonts w:ascii="仿宋" w:eastAsia="仿宋" w:hAnsi="仿宋" w:cs="宋体"/>
                <w:sz w:val="24"/>
                <w:highlight w:val="lightGray"/>
              </w:rPr>
              <w:t>2份</w:t>
            </w:r>
            <w:r>
              <w:rPr>
                <w:rFonts w:ascii="仿宋" w:eastAsia="仿宋" w:hAnsi="仿宋" w:cs="宋体" w:hint="eastAsia"/>
                <w:sz w:val="24"/>
              </w:rPr>
              <w:t>。</w:t>
            </w:r>
          </w:p>
        </w:tc>
        <w:tc>
          <w:tcPr>
            <w:tcW w:w="709" w:type="dxa"/>
            <w:shd w:val="clear" w:color="auto" w:fill="FFFFFF"/>
            <w:vAlign w:val="center"/>
          </w:tcPr>
          <w:p w:rsidR="00013EC7" w:rsidRDefault="00575CDB">
            <w:pPr>
              <w:spacing w:line="300" w:lineRule="exact"/>
              <w:jc w:val="left"/>
              <w:rPr>
                <w:rFonts w:ascii="仿宋" w:eastAsia="仿宋" w:hAnsi="仿宋"/>
                <w:sz w:val="24"/>
              </w:rPr>
            </w:pPr>
            <w:r>
              <w:rPr>
                <w:rFonts w:ascii="仿宋" w:eastAsia="仿宋" w:hAnsi="仿宋" w:cs="宋体"/>
                <w:sz w:val="24"/>
              </w:rPr>
              <w:t>涉及关联方业务往来的</w:t>
            </w:r>
            <w:r>
              <w:rPr>
                <w:rFonts w:ascii="仿宋" w:eastAsia="仿宋" w:hAnsi="仿宋" w:cs="宋体" w:hint="eastAsia"/>
                <w:sz w:val="24"/>
              </w:rPr>
              <w:t>纳税人提交</w:t>
            </w:r>
          </w:p>
        </w:tc>
        <w:tc>
          <w:tcPr>
            <w:tcW w:w="3543" w:type="dxa"/>
            <w:shd w:val="clear" w:color="auto" w:fill="FFFFFF"/>
            <w:vAlign w:val="center"/>
          </w:tcPr>
          <w:p w:rsidR="00013EC7" w:rsidRDefault="00575CDB">
            <w:pPr>
              <w:spacing w:line="300" w:lineRule="exact"/>
              <w:jc w:val="left"/>
              <w:rPr>
                <w:rFonts w:ascii="仿宋" w:eastAsia="仿宋" w:hAnsi="仿宋"/>
                <w:sz w:val="24"/>
              </w:rPr>
            </w:pPr>
            <w:r>
              <w:rPr>
                <w:rFonts w:ascii="仿宋" w:eastAsia="仿宋" w:hAnsi="仿宋" w:cs="宋体" w:hint="eastAsia"/>
                <w:kern w:val="1"/>
                <w:sz w:val="24"/>
              </w:rPr>
              <w:t>（二）</w:t>
            </w:r>
            <w:r>
              <w:rPr>
                <w:rFonts w:ascii="仿宋" w:eastAsia="仿宋" w:hAnsi="仿宋" w:cs="宋体" w:hint="eastAsia"/>
                <w:sz w:val="24"/>
              </w:rPr>
              <w:t>(</w:t>
            </w:r>
            <w:r>
              <w:rPr>
                <w:rFonts w:ascii="仿宋" w:eastAsia="仿宋" w:hAnsi="仿宋" w:cs="宋体"/>
                <w:sz w:val="24"/>
              </w:rPr>
              <w:t>A06083-A06092</w:t>
            </w:r>
            <w:r>
              <w:rPr>
                <w:rFonts w:ascii="仿宋" w:eastAsia="仿宋" w:hAnsi="仿宋" w:cs="宋体" w:hint="eastAsia"/>
                <w:sz w:val="24"/>
              </w:rPr>
              <w:t>)</w:t>
            </w:r>
            <w:r>
              <w:rPr>
                <w:rFonts w:ascii="仿宋" w:eastAsia="仿宋" w:hAnsi="仿宋" w:cs="宋体"/>
                <w:sz w:val="24"/>
              </w:rPr>
              <w:t>《中华人民共和国企业年度关联业务往来报告表（2016年版）》及附表各1份</w:t>
            </w:r>
            <w:r>
              <w:rPr>
                <w:rFonts w:ascii="仿宋" w:eastAsia="仿宋" w:hAnsi="仿宋" w:cs="宋体" w:hint="eastAsia"/>
                <w:sz w:val="24"/>
              </w:rPr>
              <w:t>。</w:t>
            </w:r>
          </w:p>
        </w:tc>
        <w:tc>
          <w:tcPr>
            <w:tcW w:w="709" w:type="dxa"/>
            <w:shd w:val="clear" w:color="auto" w:fill="FFFFFF"/>
            <w:vAlign w:val="center"/>
          </w:tcPr>
          <w:p w:rsidR="00013EC7" w:rsidRDefault="00575CDB">
            <w:pPr>
              <w:spacing w:line="300" w:lineRule="exact"/>
              <w:jc w:val="left"/>
              <w:rPr>
                <w:rFonts w:ascii="仿宋" w:eastAsia="仿宋" w:hAnsi="仿宋"/>
                <w:sz w:val="24"/>
              </w:rPr>
            </w:pPr>
            <w:r>
              <w:rPr>
                <w:rFonts w:ascii="仿宋" w:eastAsia="仿宋" w:hAnsi="仿宋" w:cs="宋体"/>
                <w:sz w:val="24"/>
              </w:rPr>
              <w:t>涉及关联方业务往来的</w:t>
            </w:r>
            <w:r>
              <w:rPr>
                <w:rFonts w:ascii="仿宋" w:eastAsia="仿宋" w:hAnsi="仿宋" w:cs="宋体" w:hint="eastAsia"/>
                <w:sz w:val="24"/>
              </w:rPr>
              <w:t>纳税人提交</w:t>
            </w:r>
          </w:p>
        </w:tc>
        <w:tc>
          <w:tcPr>
            <w:tcW w:w="1276" w:type="dxa"/>
            <w:vMerge/>
            <w:shd w:val="clear" w:color="auto" w:fill="FFFFFF"/>
            <w:vAlign w:val="center"/>
          </w:tcPr>
          <w:p w:rsidR="00013EC7" w:rsidRDefault="00013EC7">
            <w:pPr>
              <w:spacing w:line="300" w:lineRule="exact"/>
              <w:jc w:val="left"/>
              <w:rPr>
                <w:rFonts w:ascii="仿宋" w:eastAsia="仿宋" w:hAnsi="仿宋"/>
                <w:sz w:val="24"/>
              </w:rPr>
            </w:pPr>
          </w:p>
        </w:tc>
        <w:tc>
          <w:tcPr>
            <w:tcW w:w="1134" w:type="dxa"/>
            <w:vMerge/>
            <w:shd w:val="clear" w:color="auto" w:fill="FFFFFF"/>
            <w:vAlign w:val="center"/>
          </w:tcPr>
          <w:p w:rsidR="00013EC7" w:rsidRDefault="00013EC7">
            <w:pPr>
              <w:spacing w:line="300" w:lineRule="exact"/>
              <w:jc w:val="left"/>
              <w:rPr>
                <w:rFonts w:ascii="仿宋" w:eastAsia="仿宋" w:hAnsi="仿宋"/>
                <w:sz w:val="24"/>
              </w:rPr>
            </w:pPr>
          </w:p>
        </w:tc>
        <w:tc>
          <w:tcPr>
            <w:tcW w:w="992" w:type="dxa"/>
            <w:vMerge/>
            <w:shd w:val="clear" w:color="auto" w:fill="FFFFFF"/>
            <w:vAlign w:val="center"/>
          </w:tcPr>
          <w:p w:rsidR="00013EC7" w:rsidRDefault="00013EC7">
            <w:pPr>
              <w:spacing w:line="300" w:lineRule="exact"/>
              <w:jc w:val="left"/>
              <w:rPr>
                <w:rFonts w:ascii="仿宋" w:eastAsia="仿宋" w:hAnsi="仿宋"/>
                <w:sz w:val="24"/>
              </w:rPr>
            </w:pPr>
          </w:p>
        </w:tc>
        <w:tc>
          <w:tcPr>
            <w:tcW w:w="851" w:type="dxa"/>
            <w:vMerge/>
            <w:shd w:val="clear" w:color="auto" w:fill="FFFFFF"/>
            <w:vAlign w:val="center"/>
          </w:tcPr>
          <w:p w:rsidR="00013EC7" w:rsidRDefault="00013EC7">
            <w:pPr>
              <w:spacing w:line="300" w:lineRule="exact"/>
              <w:jc w:val="left"/>
              <w:rPr>
                <w:rFonts w:ascii="仿宋" w:eastAsia="仿宋" w:hAnsi="仿宋"/>
                <w:sz w:val="24"/>
              </w:rPr>
            </w:pPr>
          </w:p>
        </w:tc>
        <w:tc>
          <w:tcPr>
            <w:tcW w:w="992" w:type="dxa"/>
            <w:vMerge/>
            <w:shd w:val="clear" w:color="auto" w:fill="FFFFFF"/>
            <w:vAlign w:val="center"/>
          </w:tcPr>
          <w:p w:rsidR="00013EC7" w:rsidRDefault="00013EC7">
            <w:pPr>
              <w:spacing w:line="300" w:lineRule="exact"/>
              <w:jc w:val="left"/>
              <w:rPr>
                <w:rFonts w:ascii="仿宋" w:eastAsia="仿宋" w:hAnsi="仿宋"/>
                <w:sz w:val="24"/>
              </w:rPr>
            </w:pPr>
          </w:p>
        </w:tc>
        <w:tc>
          <w:tcPr>
            <w:tcW w:w="1701" w:type="dxa"/>
            <w:vMerge/>
            <w:shd w:val="clear" w:color="auto" w:fill="FFFFFF"/>
            <w:vAlign w:val="center"/>
          </w:tcPr>
          <w:p w:rsidR="00013EC7" w:rsidRDefault="00013EC7">
            <w:pPr>
              <w:spacing w:line="300" w:lineRule="exact"/>
              <w:jc w:val="left"/>
              <w:rPr>
                <w:rFonts w:ascii="仿宋" w:eastAsia="仿宋" w:hAnsi="仿宋"/>
                <w:sz w:val="24"/>
              </w:rPr>
            </w:pPr>
          </w:p>
        </w:tc>
      </w:tr>
      <w:tr w:rsidR="00013EC7">
        <w:trPr>
          <w:trHeight w:val="1699"/>
        </w:trPr>
        <w:tc>
          <w:tcPr>
            <w:tcW w:w="672" w:type="dxa"/>
            <w:vMerge/>
            <w:shd w:val="clear" w:color="auto" w:fill="FFFFFF"/>
            <w:textDirection w:val="tbRlV"/>
            <w:vAlign w:val="center"/>
          </w:tcPr>
          <w:p w:rsidR="00013EC7" w:rsidRDefault="00013EC7">
            <w:pPr>
              <w:spacing w:line="300" w:lineRule="exact"/>
              <w:jc w:val="left"/>
              <w:rPr>
                <w:rFonts w:ascii="仿宋" w:eastAsia="仿宋" w:hAnsi="仿宋"/>
                <w:sz w:val="24"/>
              </w:rPr>
            </w:pPr>
          </w:p>
        </w:tc>
        <w:tc>
          <w:tcPr>
            <w:tcW w:w="1035" w:type="dxa"/>
            <w:vMerge/>
            <w:shd w:val="clear" w:color="auto" w:fill="FFFFFF"/>
            <w:vAlign w:val="center"/>
          </w:tcPr>
          <w:p w:rsidR="00013EC7" w:rsidRDefault="00013EC7">
            <w:pPr>
              <w:spacing w:line="300" w:lineRule="exact"/>
              <w:jc w:val="left"/>
              <w:rPr>
                <w:rFonts w:ascii="仿宋" w:eastAsia="仿宋" w:hAnsi="仿宋"/>
                <w:sz w:val="24"/>
              </w:rPr>
            </w:pPr>
          </w:p>
        </w:tc>
        <w:tc>
          <w:tcPr>
            <w:tcW w:w="3028" w:type="dxa"/>
            <w:vMerge/>
            <w:shd w:val="clear" w:color="auto" w:fill="FFFFFF"/>
            <w:vAlign w:val="center"/>
          </w:tcPr>
          <w:p w:rsidR="00013EC7" w:rsidRDefault="00013EC7">
            <w:pPr>
              <w:spacing w:line="300" w:lineRule="exact"/>
              <w:jc w:val="left"/>
              <w:rPr>
                <w:rFonts w:ascii="仿宋" w:eastAsia="仿宋" w:hAnsi="仿宋"/>
                <w:sz w:val="24"/>
              </w:rPr>
            </w:pPr>
          </w:p>
        </w:tc>
        <w:tc>
          <w:tcPr>
            <w:tcW w:w="3544" w:type="dxa"/>
            <w:tcBorders>
              <w:top w:val="single" w:sz="4" w:space="0" w:color="auto"/>
            </w:tcBorders>
            <w:shd w:val="clear" w:color="auto" w:fill="FFFFFF"/>
            <w:vAlign w:val="center"/>
          </w:tcPr>
          <w:p w:rsidR="00013EC7" w:rsidRDefault="00575CDB">
            <w:pPr>
              <w:spacing w:line="300" w:lineRule="exact"/>
              <w:jc w:val="left"/>
              <w:rPr>
                <w:rFonts w:ascii="仿宋" w:eastAsia="仿宋" w:hAnsi="仿宋"/>
                <w:sz w:val="24"/>
              </w:rPr>
            </w:pPr>
            <w:r>
              <w:rPr>
                <w:rFonts w:ascii="仿宋" w:eastAsia="仿宋" w:hAnsi="仿宋" w:cs="宋体" w:hint="eastAsia"/>
                <w:kern w:val="1"/>
                <w:sz w:val="24"/>
              </w:rPr>
              <w:t>（三）</w:t>
            </w:r>
            <w:r>
              <w:rPr>
                <w:rFonts w:ascii="仿宋" w:eastAsia="仿宋" w:hAnsi="仿宋" w:hint="eastAsia"/>
                <w:sz w:val="24"/>
              </w:rPr>
              <w:t>工程作业（劳务）决算（结算）报告等说明材料</w:t>
            </w:r>
            <w:r>
              <w:rPr>
                <w:rFonts w:ascii="仿宋" w:eastAsia="仿宋" w:hAnsi="仿宋"/>
                <w:sz w:val="24"/>
              </w:rPr>
              <w:t>。</w:t>
            </w:r>
          </w:p>
        </w:tc>
        <w:tc>
          <w:tcPr>
            <w:tcW w:w="709" w:type="dxa"/>
            <w:vMerge w:val="restart"/>
            <w:shd w:val="clear" w:color="auto" w:fill="FFFFFF"/>
            <w:vAlign w:val="center"/>
          </w:tcPr>
          <w:p w:rsidR="00013EC7" w:rsidRDefault="00575CDB">
            <w:pPr>
              <w:spacing w:line="300" w:lineRule="exact"/>
              <w:jc w:val="left"/>
              <w:rPr>
                <w:rFonts w:ascii="仿宋" w:eastAsia="仿宋" w:hAnsi="仿宋"/>
                <w:sz w:val="24"/>
              </w:rPr>
            </w:pPr>
            <w:r>
              <w:rPr>
                <w:rFonts w:ascii="仿宋" w:eastAsia="仿宋" w:hAnsi="仿宋" w:hint="eastAsia"/>
                <w:sz w:val="24"/>
              </w:rPr>
              <w:t>非居民企业在中华人民共和国境内承包工程作业或提供劳务项目的纳税人提交</w:t>
            </w:r>
          </w:p>
        </w:tc>
        <w:tc>
          <w:tcPr>
            <w:tcW w:w="3543" w:type="dxa"/>
            <w:shd w:val="clear" w:color="auto" w:fill="FFFFFF"/>
            <w:vAlign w:val="center"/>
          </w:tcPr>
          <w:p w:rsidR="00013EC7" w:rsidRDefault="00575CDB">
            <w:pPr>
              <w:spacing w:line="300" w:lineRule="exact"/>
              <w:jc w:val="left"/>
              <w:rPr>
                <w:rFonts w:ascii="仿宋" w:eastAsia="仿宋" w:hAnsi="仿宋"/>
                <w:sz w:val="24"/>
              </w:rPr>
            </w:pPr>
            <w:r>
              <w:rPr>
                <w:rFonts w:ascii="仿宋" w:eastAsia="仿宋" w:hAnsi="仿宋" w:cs="宋体" w:hint="eastAsia"/>
                <w:kern w:val="1"/>
                <w:sz w:val="24"/>
              </w:rPr>
              <w:t>（三）</w:t>
            </w:r>
            <w:r>
              <w:rPr>
                <w:rFonts w:ascii="仿宋" w:eastAsia="仿宋" w:hAnsi="仿宋" w:hint="eastAsia"/>
                <w:sz w:val="24"/>
              </w:rPr>
              <w:t>工程作业（劳务）决算（结算）报告等说明材料</w:t>
            </w:r>
            <w:r>
              <w:rPr>
                <w:rFonts w:ascii="仿宋" w:eastAsia="仿宋" w:hAnsi="仿宋"/>
                <w:sz w:val="24"/>
              </w:rPr>
              <w:t>。</w:t>
            </w:r>
          </w:p>
        </w:tc>
        <w:tc>
          <w:tcPr>
            <w:tcW w:w="709" w:type="dxa"/>
            <w:vMerge w:val="restart"/>
            <w:shd w:val="clear" w:color="auto" w:fill="FFFFFF"/>
            <w:vAlign w:val="center"/>
          </w:tcPr>
          <w:p w:rsidR="00013EC7" w:rsidRDefault="00575CDB">
            <w:pPr>
              <w:spacing w:line="300" w:lineRule="exact"/>
              <w:jc w:val="left"/>
              <w:rPr>
                <w:rFonts w:ascii="仿宋" w:eastAsia="仿宋" w:hAnsi="仿宋"/>
                <w:sz w:val="24"/>
              </w:rPr>
            </w:pPr>
            <w:r>
              <w:rPr>
                <w:rFonts w:ascii="仿宋" w:eastAsia="仿宋" w:hAnsi="仿宋" w:hint="eastAsia"/>
                <w:sz w:val="24"/>
              </w:rPr>
              <w:t>非居民企业在中华人民共和国境内承包工程作业或提供劳务项目的纳税人提交</w:t>
            </w:r>
          </w:p>
        </w:tc>
        <w:tc>
          <w:tcPr>
            <w:tcW w:w="1276" w:type="dxa"/>
            <w:vMerge/>
            <w:shd w:val="clear" w:color="auto" w:fill="FFFFFF"/>
            <w:vAlign w:val="center"/>
          </w:tcPr>
          <w:p w:rsidR="00013EC7" w:rsidRDefault="00013EC7">
            <w:pPr>
              <w:spacing w:line="300" w:lineRule="exact"/>
              <w:jc w:val="left"/>
              <w:rPr>
                <w:rFonts w:ascii="仿宋" w:eastAsia="仿宋" w:hAnsi="仿宋"/>
                <w:sz w:val="24"/>
              </w:rPr>
            </w:pPr>
          </w:p>
        </w:tc>
        <w:tc>
          <w:tcPr>
            <w:tcW w:w="1134" w:type="dxa"/>
            <w:vMerge/>
            <w:shd w:val="clear" w:color="auto" w:fill="FFFFFF"/>
            <w:vAlign w:val="center"/>
          </w:tcPr>
          <w:p w:rsidR="00013EC7" w:rsidRDefault="00013EC7">
            <w:pPr>
              <w:spacing w:line="300" w:lineRule="exact"/>
              <w:jc w:val="left"/>
              <w:rPr>
                <w:rFonts w:ascii="仿宋" w:eastAsia="仿宋" w:hAnsi="仿宋"/>
                <w:sz w:val="24"/>
              </w:rPr>
            </w:pPr>
          </w:p>
        </w:tc>
        <w:tc>
          <w:tcPr>
            <w:tcW w:w="992" w:type="dxa"/>
            <w:vMerge/>
            <w:shd w:val="clear" w:color="auto" w:fill="FFFFFF"/>
            <w:vAlign w:val="center"/>
          </w:tcPr>
          <w:p w:rsidR="00013EC7" w:rsidRDefault="00013EC7">
            <w:pPr>
              <w:spacing w:line="300" w:lineRule="exact"/>
              <w:jc w:val="left"/>
              <w:rPr>
                <w:rFonts w:ascii="仿宋" w:eastAsia="仿宋" w:hAnsi="仿宋"/>
                <w:sz w:val="24"/>
              </w:rPr>
            </w:pPr>
          </w:p>
        </w:tc>
        <w:tc>
          <w:tcPr>
            <w:tcW w:w="851" w:type="dxa"/>
            <w:vMerge/>
            <w:shd w:val="clear" w:color="auto" w:fill="FFFFFF"/>
            <w:vAlign w:val="center"/>
          </w:tcPr>
          <w:p w:rsidR="00013EC7" w:rsidRDefault="00013EC7">
            <w:pPr>
              <w:spacing w:line="300" w:lineRule="exact"/>
              <w:jc w:val="left"/>
              <w:rPr>
                <w:rFonts w:ascii="仿宋" w:eastAsia="仿宋" w:hAnsi="仿宋"/>
                <w:sz w:val="24"/>
              </w:rPr>
            </w:pPr>
          </w:p>
        </w:tc>
        <w:tc>
          <w:tcPr>
            <w:tcW w:w="992" w:type="dxa"/>
            <w:vMerge/>
            <w:shd w:val="clear" w:color="auto" w:fill="FFFFFF"/>
            <w:vAlign w:val="center"/>
          </w:tcPr>
          <w:p w:rsidR="00013EC7" w:rsidRDefault="00013EC7">
            <w:pPr>
              <w:spacing w:line="300" w:lineRule="exact"/>
              <w:jc w:val="left"/>
              <w:rPr>
                <w:rFonts w:ascii="仿宋" w:eastAsia="仿宋" w:hAnsi="仿宋"/>
                <w:sz w:val="24"/>
              </w:rPr>
            </w:pPr>
          </w:p>
        </w:tc>
        <w:tc>
          <w:tcPr>
            <w:tcW w:w="1701" w:type="dxa"/>
            <w:vMerge/>
            <w:shd w:val="clear" w:color="auto" w:fill="FFFFFF"/>
            <w:vAlign w:val="center"/>
          </w:tcPr>
          <w:p w:rsidR="00013EC7" w:rsidRDefault="00013EC7">
            <w:pPr>
              <w:spacing w:line="300" w:lineRule="exact"/>
              <w:jc w:val="left"/>
              <w:rPr>
                <w:rFonts w:ascii="仿宋" w:eastAsia="仿宋" w:hAnsi="仿宋"/>
                <w:sz w:val="24"/>
              </w:rPr>
            </w:pPr>
          </w:p>
        </w:tc>
      </w:tr>
      <w:tr w:rsidR="00013EC7">
        <w:trPr>
          <w:trHeight w:val="3817"/>
        </w:trPr>
        <w:tc>
          <w:tcPr>
            <w:tcW w:w="672" w:type="dxa"/>
            <w:vMerge/>
            <w:shd w:val="clear" w:color="auto" w:fill="FFFFFF"/>
            <w:textDirection w:val="tbRlV"/>
            <w:vAlign w:val="center"/>
          </w:tcPr>
          <w:p w:rsidR="00013EC7" w:rsidRDefault="00013EC7">
            <w:pPr>
              <w:spacing w:line="300" w:lineRule="exact"/>
              <w:jc w:val="left"/>
              <w:rPr>
                <w:rFonts w:ascii="仿宋" w:eastAsia="仿宋" w:hAnsi="仿宋"/>
                <w:sz w:val="24"/>
              </w:rPr>
            </w:pPr>
          </w:p>
        </w:tc>
        <w:tc>
          <w:tcPr>
            <w:tcW w:w="1035" w:type="dxa"/>
            <w:vMerge/>
            <w:shd w:val="clear" w:color="auto" w:fill="FFFFFF"/>
            <w:vAlign w:val="center"/>
          </w:tcPr>
          <w:p w:rsidR="00013EC7" w:rsidRDefault="00013EC7">
            <w:pPr>
              <w:spacing w:line="300" w:lineRule="exact"/>
              <w:jc w:val="left"/>
              <w:rPr>
                <w:rFonts w:ascii="仿宋" w:eastAsia="仿宋" w:hAnsi="仿宋"/>
                <w:sz w:val="24"/>
              </w:rPr>
            </w:pPr>
          </w:p>
        </w:tc>
        <w:tc>
          <w:tcPr>
            <w:tcW w:w="3028" w:type="dxa"/>
            <w:vMerge/>
            <w:shd w:val="clear" w:color="auto" w:fill="FFFFFF"/>
            <w:vAlign w:val="center"/>
          </w:tcPr>
          <w:p w:rsidR="00013EC7" w:rsidRDefault="00013EC7">
            <w:pPr>
              <w:spacing w:line="300" w:lineRule="exact"/>
              <w:jc w:val="left"/>
              <w:rPr>
                <w:rFonts w:ascii="仿宋" w:eastAsia="仿宋" w:hAnsi="仿宋"/>
                <w:sz w:val="24"/>
              </w:rPr>
            </w:pPr>
          </w:p>
        </w:tc>
        <w:tc>
          <w:tcPr>
            <w:tcW w:w="3544" w:type="dxa"/>
            <w:shd w:val="clear" w:color="auto" w:fill="FFFFFF"/>
            <w:vAlign w:val="center"/>
          </w:tcPr>
          <w:p w:rsidR="00013EC7" w:rsidRDefault="00575CDB">
            <w:pPr>
              <w:spacing w:line="300" w:lineRule="exact"/>
              <w:jc w:val="left"/>
              <w:rPr>
                <w:rFonts w:ascii="仿宋" w:eastAsia="仿宋" w:hAnsi="仿宋"/>
                <w:sz w:val="24"/>
              </w:rPr>
            </w:pPr>
            <w:r>
              <w:rPr>
                <w:rFonts w:ascii="仿宋" w:eastAsia="仿宋" w:hAnsi="仿宋" w:cs="宋体" w:hint="eastAsia"/>
                <w:kern w:val="1"/>
                <w:sz w:val="24"/>
              </w:rPr>
              <w:t>（四）</w:t>
            </w:r>
            <w:r>
              <w:rPr>
                <w:rFonts w:ascii="仿宋" w:eastAsia="仿宋" w:hAnsi="仿宋" w:hint="eastAsia"/>
                <w:sz w:val="24"/>
              </w:rPr>
              <w:t>参与工程作业或劳务项目外籍人员姓名、国籍、出入境时间、在华工作时间、地点、内容、报酬标准、支付方式、相关费用等情况的书面报告</w:t>
            </w:r>
            <w:r>
              <w:rPr>
                <w:rFonts w:ascii="仿宋" w:eastAsia="仿宋" w:hAnsi="仿宋"/>
                <w:sz w:val="24"/>
              </w:rPr>
              <w:t>。</w:t>
            </w:r>
          </w:p>
        </w:tc>
        <w:tc>
          <w:tcPr>
            <w:tcW w:w="709" w:type="dxa"/>
            <w:vMerge/>
            <w:shd w:val="clear" w:color="auto" w:fill="FFFFFF"/>
            <w:vAlign w:val="center"/>
          </w:tcPr>
          <w:p w:rsidR="00013EC7" w:rsidRDefault="00013EC7">
            <w:pPr>
              <w:spacing w:line="300" w:lineRule="exact"/>
              <w:jc w:val="left"/>
              <w:rPr>
                <w:rFonts w:ascii="仿宋" w:eastAsia="仿宋" w:hAnsi="仿宋"/>
                <w:sz w:val="24"/>
              </w:rPr>
            </w:pPr>
          </w:p>
        </w:tc>
        <w:tc>
          <w:tcPr>
            <w:tcW w:w="3543" w:type="dxa"/>
            <w:shd w:val="clear" w:color="auto" w:fill="FFFFFF"/>
            <w:vAlign w:val="center"/>
          </w:tcPr>
          <w:p w:rsidR="00013EC7" w:rsidRDefault="00575CDB">
            <w:pPr>
              <w:spacing w:line="300" w:lineRule="exact"/>
              <w:jc w:val="left"/>
              <w:rPr>
                <w:rFonts w:ascii="仿宋" w:eastAsia="仿宋" w:hAnsi="仿宋"/>
                <w:sz w:val="24"/>
              </w:rPr>
            </w:pPr>
            <w:r>
              <w:rPr>
                <w:rFonts w:ascii="仿宋" w:eastAsia="仿宋" w:hAnsi="仿宋" w:cs="宋体" w:hint="eastAsia"/>
                <w:kern w:val="1"/>
                <w:sz w:val="24"/>
              </w:rPr>
              <w:t>（四）</w:t>
            </w:r>
            <w:r>
              <w:rPr>
                <w:rFonts w:ascii="仿宋" w:eastAsia="仿宋" w:hAnsi="仿宋" w:hint="eastAsia"/>
                <w:sz w:val="24"/>
              </w:rPr>
              <w:t>参与工程作业或劳务项目外籍人员姓名、国籍、出入境时间、在华工作时间、地点、内容、报酬标准、支付方式、相关费用等情况的书面报告</w:t>
            </w:r>
            <w:r>
              <w:rPr>
                <w:rFonts w:ascii="仿宋" w:eastAsia="仿宋" w:hAnsi="仿宋"/>
                <w:sz w:val="24"/>
              </w:rPr>
              <w:t>。</w:t>
            </w:r>
          </w:p>
        </w:tc>
        <w:tc>
          <w:tcPr>
            <w:tcW w:w="709" w:type="dxa"/>
            <w:vMerge/>
            <w:shd w:val="clear" w:color="auto" w:fill="FFFFFF"/>
            <w:vAlign w:val="center"/>
          </w:tcPr>
          <w:p w:rsidR="00013EC7" w:rsidRDefault="00013EC7">
            <w:pPr>
              <w:spacing w:line="300" w:lineRule="exact"/>
              <w:jc w:val="left"/>
              <w:rPr>
                <w:rFonts w:ascii="仿宋" w:eastAsia="仿宋" w:hAnsi="仿宋"/>
                <w:sz w:val="24"/>
              </w:rPr>
            </w:pPr>
          </w:p>
        </w:tc>
        <w:tc>
          <w:tcPr>
            <w:tcW w:w="1276" w:type="dxa"/>
            <w:vMerge/>
            <w:shd w:val="clear" w:color="auto" w:fill="FFFFFF"/>
            <w:vAlign w:val="center"/>
          </w:tcPr>
          <w:p w:rsidR="00013EC7" w:rsidRDefault="00013EC7">
            <w:pPr>
              <w:spacing w:line="300" w:lineRule="exact"/>
              <w:jc w:val="left"/>
              <w:rPr>
                <w:rFonts w:ascii="仿宋" w:eastAsia="仿宋" w:hAnsi="仿宋"/>
                <w:sz w:val="24"/>
              </w:rPr>
            </w:pPr>
          </w:p>
        </w:tc>
        <w:tc>
          <w:tcPr>
            <w:tcW w:w="1134" w:type="dxa"/>
            <w:vMerge/>
            <w:shd w:val="clear" w:color="auto" w:fill="FFFFFF"/>
            <w:vAlign w:val="center"/>
          </w:tcPr>
          <w:p w:rsidR="00013EC7" w:rsidRDefault="00013EC7">
            <w:pPr>
              <w:spacing w:line="300" w:lineRule="exact"/>
              <w:jc w:val="left"/>
              <w:rPr>
                <w:rFonts w:ascii="仿宋" w:eastAsia="仿宋" w:hAnsi="仿宋"/>
                <w:sz w:val="24"/>
              </w:rPr>
            </w:pPr>
          </w:p>
        </w:tc>
        <w:tc>
          <w:tcPr>
            <w:tcW w:w="992" w:type="dxa"/>
            <w:vMerge/>
            <w:shd w:val="clear" w:color="auto" w:fill="FFFFFF"/>
            <w:vAlign w:val="center"/>
          </w:tcPr>
          <w:p w:rsidR="00013EC7" w:rsidRDefault="00013EC7">
            <w:pPr>
              <w:spacing w:line="300" w:lineRule="exact"/>
              <w:jc w:val="left"/>
              <w:rPr>
                <w:rFonts w:ascii="仿宋" w:eastAsia="仿宋" w:hAnsi="仿宋"/>
                <w:sz w:val="24"/>
              </w:rPr>
            </w:pPr>
          </w:p>
        </w:tc>
        <w:tc>
          <w:tcPr>
            <w:tcW w:w="851" w:type="dxa"/>
            <w:vMerge/>
            <w:shd w:val="clear" w:color="auto" w:fill="FFFFFF"/>
            <w:vAlign w:val="center"/>
          </w:tcPr>
          <w:p w:rsidR="00013EC7" w:rsidRDefault="00013EC7">
            <w:pPr>
              <w:spacing w:line="300" w:lineRule="exact"/>
              <w:jc w:val="left"/>
              <w:rPr>
                <w:rFonts w:ascii="仿宋" w:eastAsia="仿宋" w:hAnsi="仿宋"/>
                <w:sz w:val="24"/>
              </w:rPr>
            </w:pPr>
          </w:p>
        </w:tc>
        <w:tc>
          <w:tcPr>
            <w:tcW w:w="992" w:type="dxa"/>
            <w:vMerge/>
            <w:shd w:val="clear" w:color="auto" w:fill="FFFFFF"/>
            <w:vAlign w:val="center"/>
          </w:tcPr>
          <w:p w:rsidR="00013EC7" w:rsidRDefault="00013EC7">
            <w:pPr>
              <w:spacing w:line="300" w:lineRule="exact"/>
              <w:jc w:val="left"/>
              <w:rPr>
                <w:rFonts w:ascii="仿宋" w:eastAsia="仿宋" w:hAnsi="仿宋"/>
                <w:sz w:val="24"/>
              </w:rPr>
            </w:pPr>
          </w:p>
        </w:tc>
        <w:tc>
          <w:tcPr>
            <w:tcW w:w="1701" w:type="dxa"/>
            <w:vMerge/>
            <w:shd w:val="clear" w:color="auto" w:fill="FFFFFF"/>
            <w:vAlign w:val="center"/>
          </w:tcPr>
          <w:p w:rsidR="00013EC7" w:rsidRDefault="00013EC7">
            <w:pPr>
              <w:spacing w:line="300" w:lineRule="exact"/>
              <w:jc w:val="left"/>
              <w:rPr>
                <w:rFonts w:ascii="仿宋" w:eastAsia="仿宋" w:hAnsi="仿宋"/>
                <w:sz w:val="24"/>
              </w:rPr>
            </w:pPr>
          </w:p>
        </w:tc>
      </w:tr>
      <w:tr w:rsidR="00013EC7">
        <w:trPr>
          <w:trHeight w:val="340"/>
        </w:trPr>
        <w:tc>
          <w:tcPr>
            <w:tcW w:w="672" w:type="dxa"/>
            <w:vMerge/>
            <w:shd w:val="clear" w:color="auto" w:fill="FFFFFF"/>
            <w:vAlign w:val="center"/>
          </w:tcPr>
          <w:p w:rsidR="00013EC7" w:rsidRDefault="00013EC7">
            <w:pPr>
              <w:spacing w:line="300" w:lineRule="exact"/>
              <w:jc w:val="left"/>
              <w:rPr>
                <w:rFonts w:ascii="仿宋" w:eastAsia="仿宋" w:hAnsi="仿宋"/>
                <w:sz w:val="24"/>
              </w:rPr>
            </w:pPr>
          </w:p>
        </w:tc>
        <w:tc>
          <w:tcPr>
            <w:tcW w:w="1035" w:type="dxa"/>
            <w:vMerge/>
            <w:shd w:val="clear" w:color="auto" w:fill="FFFFFF"/>
            <w:vAlign w:val="center"/>
          </w:tcPr>
          <w:p w:rsidR="00013EC7" w:rsidRDefault="00013EC7">
            <w:pPr>
              <w:spacing w:line="300" w:lineRule="exact"/>
              <w:jc w:val="left"/>
              <w:rPr>
                <w:rFonts w:ascii="仿宋" w:eastAsia="仿宋" w:hAnsi="仿宋"/>
                <w:sz w:val="24"/>
              </w:rPr>
            </w:pPr>
          </w:p>
        </w:tc>
        <w:tc>
          <w:tcPr>
            <w:tcW w:w="3028" w:type="dxa"/>
            <w:vMerge/>
            <w:shd w:val="clear" w:color="auto" w:fill="FFFFFF"/>
            <w:vAlign w:val="center"/>
          </w:tcPr>
          <w:p w:rsidR="00013EC7" w:rsidRDefault="00013EC7">
            <w:pPr>
              <w:spacing w:line="300" w:lineRule="exact"/>
              <w:jc w:val="left"/>
              <w:rPr>
                <w:rFonts w:ascii="仿宋" w:eastAsia="仿宋" w:hAnsi="仿宋"/>
                <w:sz w:val="24"/>
              </w:rPr>
            </w:pPr>
          </w:p>
        </w:tc>
        <w:tc>
          <w:tcPr>
            <w:tcW w:w="3544" w:type="dxa"/>
            <w:shd w:val="clear" w:color="auto" w:fill="FFFFFF"/>
            <w:vAlign w:val="center"/>
          </w:tcPr>
          <w:p w:rsidR="00013EC7" w:rsidRDefault="00575CDB">
            <w:pPr>
              <w:spacing w:line="300" w:lineRule="exact"/>
              <w:jc w:val="left"/>
              <w:rPr>
                <w:rFonts w:ascii="仿宋" w:eastAsia="仿宋" w:hAnsi="仿宋"/>
                <w:sz w:val="24"/>
              </w:rPr>
            </w:pPr>
            <w:r>
              <w:rPr>
                <w:rFonts w:ascii="仿宋" w:eastAsia="仿宋" w:hAnsi="仿宋" w:cs="宋体" w:hint="eastAsia"/>
                <w:kern w:val="1"/>
                <w:sz w:val="24"/>
              </w:rPr>
              <w:t>（五）</w:t>
            </w:r>
            <w:r>
              <w:rPr>
                <w:rFonts w:ascii="仿宋" w:eastAsia="仿宋" w:hAnsi="仿宋"/>
                <w:sz w:val="24"/>
              </w:rPr>
              <w:t>非居民企业依据税收协定在中华人民共和国境内未构成常设机构，需要享受税收协定待遇的，应提交</w:t>
            </w:r>
            <w:hyperlink r:id="rId298" w:history="1">
              <w:r>
                <w:rPr>
                  <w:rFonts w:ascii="仿宋" w:eastAsia="仿宋" w:hAnsi="仿宋" w:hint="eastAsia"/>
                  <w:sz w:val="24"/>
                </w:rPr>
                <w:t>（A06208）《非居民享受税收协定待遇执行情况报告表》</w:t>
              </w:r>
              <w:r>
                <w:rPr>
                  <w:rFonts w:ascii="仿宋" w:eastAsia="仿宋" w:hAnsi="仿宋"/>
                  <w:sz w:val="24"/>
                </w:rPr>
                <w:t>。</w:t>
              </w:r>
            </w:hyperlink>
          </w:p>
        </w:tc>
        <w:tc>
          <w:tcPr>
            <w:tcW w:w="709" w:type="dxa"/>
            <w:vMerge/>
            <w:shd w:val="clear" w:color="auto" w:fill="FFFFFF"/>
            <w:vAlign w:val="center"/>
          </w:tcPr>
          <w:p w:rsidR="00013EC7" w:rsidRDefault="00013EC7">
            <w:pPr>
              <w:spacing w:line="300" w:lineRule="exact"/>
              <w:jc w:val="left"/>
              <w:rPr>
                <w:rFonts w:ascii="仿宋" w:eastAsia="仿宋" w:hAnsi="仿宋"/>
                <w:sz w:val="24"/>
              </w:rPr>
            </w:pPr>
          </w:p>
        </w:tc>
        <w:tc>
          <w:tcPr>
            <w:tcW w:w="3543" w:type="dxa"/>
            <w:shd w:val="clear" w:color="auto" w:fill="FFFFFF"/>
            <w:vAlign w:val="center"/>
          </w:tcPr>
          <w:p w:rsidR="00013EC7" w:rsidRDefault="00575CDB">
            <w:pPr>
              <w:spacing w:line="300" w:lineRule="exact"/>
              <w:jc w:val="left"/>
              <w:rPr>
                <w:rFonts w:ascii="仿宋" w:eastAsia="仿宋" w:hAnsi="仿宋"/>
                <w:sz w:val="24"/>
              </w:rPr>
            </w:pPr>
            <w:r>
              <w:rPr>
                <w:rFonts w:ascii="仿宋" w:eastAsia="仿宋" w:hAnsi="仿宋" w:cs="宋体" w:hint="eastAsia"/>
                <w:kern w:val="1"/>
                <w:sz w:val="24"/>
              </w:rPr>
              <w:t>（五）</w:t>
            </w:r>
            <w:r>
              <w:rPr>
                <w:rFonts w:ascii="仿宋" w:eastAsia="仿宋" w:hAnsi="仿宋" w:hint="eastAsia"/>
                <w:sz w:val="24"/>
              </w:rPr>
              <w:t>非居民企业依据税收协定在中华人民共和国境内未构成常设机构，需要享受税收协定待遇的，应提交</w:t>
            </w:r>
            <w:hyperlink r:id="rId299" w:history="1">
              <w:r>
                <w:rPr>
                  <w:rFonts w:ascii="仿宋" w:eastAsia="仿宋" w:hAnsi="仿宋" w:hint="eastAsia"/>
                  <w:sz w:val="24"/>
                </w:rPr>
                <w:t>（</w:t>
              </w:r>
              <w:r>
                <w:rPr>
                  <w:rFonts w:ascii="仿宋" w:eastAsia="仿宋" w:hAnsi="仿宋"/>
                  <w:sz w:val="24"/>
                </w:rPr>
                <w:t>A06208</w:t>
              </w:r>
              <w:r>
                <w:rPr>
                  <w:rFonts w:ascii="仿宋" w:eastAsia="仿宋" w:hAnsi="仿宋" w:hint="eastAsia"/>
                  <w:sz w:val="24"/>
                </w:rPr>
                <w:t>）《非居民享受税收协定待遇执行情况报告表》。</w:t>
              </w:r>
            </w:hyperlink>
          </w:p>
        </w:tc>
        <w:tc>
          <w:tcPr>
            <w:tcW w:w="709" w:type="dxa"/>
            <w:vMerge/>
            <w:shd w:val="clear" w:color="auto" w:fill="FFFFFF"/>
            <w:vAlign w:val="center"/>
          </w:tcPr>
          <w:p w:rsidR="00013EC7" w:rsidRDefault="00013EC7">
            <w:pPr>
              <w:spacing w:line="300" w:lineRule="exact"/>
              <w:jc w:val="left"/>
              <w:rPr>
                <w:rFonts w:ascii="仿宋" w:eastAsia="仿宋" w:hAnsi="仿宋"/>
                <w:sz w:val="24"/>
              </w:rPr>
            </w:pPr>
          </w:p>
        </w:tc>
        <w:tc>
          <w:tcPr>
            <w:tcW w:w="1276" w:type="dxa"/>
            <w:vMerge/>
            <w:shd w:val="clear" w:color="auto" w:fill="FFFFFF"/>
            <w:vAlign w:val="center"/>
          </w:tcPr>
          <w:p w:rsidR="00013EC7" w:rsidRDefault="00013EC7">
            <w:pPr>
              <w:spacing w:line="300" w:lineRule="exact"/>
              <w:jc w:val="left"/>
              <w:rPr>
                <w:rFonts w:ascii="仿宋" w:eastAsia="仿宋" w:hAnsi="仿宋"/>
                <w:sz w:val="24"/>
              </w:rPr>
            </w:pPr>
          </w:p>
        </w:tc>
        <w:tc>
          <w:tcPr>
            <w:tcW w:w="1134" w:type="dxa"/>
            <w:vMerge/>
            <w:shd w:val="clear" w:color="auto" w:fill="FFFFFF"/>
            <w:vAlign w:val="center"/>
          </w:tcPr>
          <w:p w:rsidR="00013EC7" w:rsidRDefault="00013EC7">
            <w:pPr>
              <w:spacing w:line="300" w:lineRule="exact"/>
              <w:jc w:val="left"/>
              <w:rPr>
                <w:rFonts w:ascii="仿宋" w:eastAsia="仿宋" w:hAnsi="仿宋"/>
                <w:sz w:val="24"/>
              </w:rPr>
            </w:pPr>
          </w:p>
        </w:tc>
        <w:tc>
          <w:tcPr>
            <w:tcW w:w="992" w:type="dxa"/>
            <w:vMerge/>
            <w:shd w:val="clear" w:color="auto" w:fill="FFFFFF"/>
            <w:vAlign w:val="center"/>
          </w:tcPr>
          <w:p w:rsidR="00013EC7" w:rsidRDefault="00013EC7">
            <w:pPr>
              <w:spacing w:line="300" w:lineRule="exact"/>
              <w:jc w:val="left"/>
              <w:rPr>
                <w:rFonts w:ascii="仿宋" w:eastAsia="仿宋" w:hAnsi="仿宋"/>
                <w:sz w:val="24"/>
              </w:rPr>
            </w:pPr>
          </w:p>
        </w:tc>
        <w:tc>
          <w:tcPr>
            <w:tcW w:w="851" w:type="dxa"/>
            <w:vMerge/>
            <w:shd w:val="clear" w:color="auto" w:fill="FFFFFF"/>
            <w:vAlign w:val="center"/>
          </w:tcPr>
          <w:p w:rsidR="00013EC7" w:rsidRDefault="00013EC7">
            <w:pPr>
              <w:spacing w:line="300" w:lineRule="exact"/>
              <w:jc w:val="left"/>
              <w:rPr>
                <w:rFonts w:ascii="仿宋" w:eastAsia="仿宋" w:hAnsi="仿宋"/>
                <w:sz w:val="24"/>
              </w:rPr>
            </w:pPr>
          </w:p>
        </w:tc>
        <w:tc>
          <w:tcPr>
            <w:tcW w:w="992" w:type="dxa"/>
            <w:vMerge/>
            <w:shd w:val="clear" w:color="auto" w:fill="FFFFFF"/>
            <w:vAlign w:val="center"/>
          </w:tcPr>
          <w:p w:rsidR="00013EC7" w:rsidRDefault="00013EC7">
            <w:pPr>
              <w:spacing w:line="300" w:lineRule="exact"/>
              <w:jc w:val="left"/>
              <w:rPr>
                <w:rFonts w:ascii="仿宋" w:eastAsia="仿宋" w:hAnsi="仿宋"/>
                <w:sz w:val="24"/>
              </w:rPr>
            </w:pPr>
          </w:p>
        </w:tc>
        <w:tc>
          <w:tcPr>
            <w:tcW w:w="1701" w:type="dxa"/>
            <w:vMerge/>
            <w:shd w:val="clear" w:color="auto" w:fill="FFFFFF"/>
            <w:vAlign w:val="center"/>
          </w:tcPr>
          <w:p w:rsidR="00013EC7" w:rsidRDefault="00013EC7">
            <w:pPr>
              <w:spacing w:line="300" w:lineRule="exact"/>
              <w:jc w:val="left"/>
              <w:rPr>
                <w:rFonts w:ascii="仿宋" w:eastAsia="仿宋" w:hAnsi="仿宋"/>
                <w:sz w:val="24"/>
              </w:rPr>
            </w:pPr>
          </w:p>
        </w:tc>
      </w:tr>
    </w:tbl>
    <w:p w:rsidR="00013EC7" w:rsidRDefault="00013EC7">
      <w:pPr>
        <w:spacing w:line="300" w:lineRule="exact"/>
        <w:rPr>
          <w:rFonts w:eastAsia="方正书宋简体"/>
          <w:szCs w:val="21"/>
        </w:rPr>
      </w:pPr>
    </w:p>
    <w:p w:rsidR="00013EC7" w:rsidRDefault="00013EC7">
      <w:pPr>
        <w:jc w:val="center"/>
      </w:pPr>
    </w:p>
    <w:p w:rsidR="00013EC7" w:rsidRDefault="00575CDB">
      <w:pPr>
        <w:rPr>
          <w:rFonts w:eastAsia="方正书宋简体"/>
          <w:szCs w:val="21"/>
        </w:rPr>
      </w:pPr>
      <w:r>
        <w:rPr>
          <w:rFonts w:eastAsia="方正书宋简体"/>
          <w:szCs w:val="21"/>
        </w:rPr>
        <w:br w:type="page"/>
      </w:r>
    </w:p>
    <w:p w:rsidR="00013EC7" w:rsidRDefault="005262E6">
      <w:pPr>
        <w:rPr>
          <w:rFonts w:ascii="仿宋" w:eastAsia="仿宋" w:hAnsi="仿宋" w:cs="仿宋"/>
          <w:sz w:val="24"/>
        </w:rPr>
      </w:pPr>
      <w:r>
        <w:rPr>
          <w:rFonts w:ascii="宋体" w:hAnsi="宋体" w:cs="宋体"/>
          <w:szCs w:val="21"/>
        </w:rPr>
        <w:lastRenderedPageBreak/>
        <w:object w:dxaOrig="1440" w:dyaOrig="1440">
          <v:shape id="_x0000_s1376" type="#_x0000_t75" style="position:absolute;left:0;text-align:left;margin-left:571.85pt;margin-top:95.95pt;width:409.5pt;height:570.75pt;z-index:251699200;mso-wrap-distance-top:0;mso-wrap-distance-bottom:0;mso-position-vertical-relative:page;mso-width-relative:page;mso-height-relative:page">
            <v:imagedata r:id="rId300" o:title=""/>
            <o:lock v:ext="edit" aspectratio="f"/>
            <w10:wrap type="topAndBottom" anchory="page"/>
          </v:shape>
          <o:OLEObject Type="Embed" ProgID="Visio.Drawing.11" ShapeID="_x0000_s1376" DrawAspect="Content" ObjectID="_1577296256" r:id="rId301"/>
        </w:object>
      </w:r>
      <w:r>
        <w:object w:dxaOrig="1440" w:dyaOrig="1440">
          <v:shape id="_x0000_s1375" type="#_x0000_t75" style="position:absolute;left:0;text-align:left;margin-left:-1.9pt;margin-top:99.5pt;width:482pt;height:574.5pt;z-index:251698176;mso-wrap-distance-top:0;mso-wrap-distance-bottom:0;mso-position-vertical-relative:page;mso-width-relative:page;mso-height-relative:page">
            <v:imagedata r:id="rId302" o:title=""/>
            <w10:wrap type="topAndBottom" anchory="page"/>
          </v:shape>
          <o:OLEObject Type="Embed" ProgID="Visio.Drawing.11" ShapeID="_x0000_s1375" DrawAspect="Content" ObjectID="_1577296257" r:id="rId303"/>
        </w:object>
      </w:r>
    </w:p>
    <w:p w:rsidR="00013EC7" w:rsidRDefault="00013EC7"/>
    <w:p w:rsidR="00013EC7" w:rsidRDefault="00013EC7"/>
    <w:p w:rsidR="00013EC7" w:rsidRDefault="00013EC7">
      <w:pPr>
        <w:jc w:val="left"/>
        <w:rPr>
          <w:rFonts w:ascii="宋体" w:hAnsi="宋体"/>
          <w:color w:val="FF0000"/>
          <w:sz w:val="28"/>
          <w:szCs w:val="28"/>
        </w:rPr>
        <w:sectPr w:rsidR="00013EC7">
          <w:pgSz w:w="23814" w:h="16840" w:orient="landscape"/>
          <w:pgMar w:top="1701" w:right="1843" w:bottom="1985" w:left="1843" w:header="851" w:footer="1701" w:gutter="0"/>
          <w:pgNumType w:fmt="numberInDash"/>
          <w:cols w:space="720"/>
          <w:docGrid w:type="lines" w:linePitch="312"/>
        </w:sectPr>
      </w:pPr>
    </w:p>
    <w:p w:rsidR="00013EC7" w:rsidRDefault="00575CDB">
      <w:pPr>
        <w:pStyle w:val="2"/>
      </w:pPr>
      <w:bookmarkStart w:id="367" w:name="_Toc503467438"/>
      <w:bookmarkStart w:id="368" w:name="_Toc8189"/>
      <w:bookmarkStart w:id="369" w:name="_Toc10129"/>
      <w:bookmarkStart w:id="370" w:name="_Toc23506"/>
      <w:r>
        <w:rPr>
          <w:rFonts w:hint="eastAsia"/>
        </w:rPr>
        <w:lastRenderedPageBreak/>
        <w:t>17.18</w:t>
      </w:r>
      <w:r>
        <w:rPr>
          <w:rFonts w:hint="eastAsia"/>
        </w:rPr>
        <w:t>非居民企业所得税年度纳税申报（适用核定征收）及不构成常设机构和国际运输免税申报</w:t>
      </w:r>
      <w:bookmarkEnd w:id="367"/>
      <w:bookmarkEnd w:id="368"/>
      <w:bookmarkEnd w:id="369"/>
      <w:bookmarkEnd w:id="370"/>
    </w:p>
    <w:p w:rsidR="00013EC7" w:rsidRDefault="00575CDB">
      <w:pPr>
        <w:jc w:val="center"/>
        <w:rPr>
          <w:rFonts w:ascii="宋体" w:hAnsi="宋体" w:cs="宋体"/>
          <w:b/>
          <w:bCs/>
          <w:sz w:val="52"/>
          <w:szCs w:val="52"/>
        </w:rPr>
      </w:pPr>
      <w:r>
        <w:rPr>
          <w:rFonts w:ascii="宋体" w:hAnsi="宋体" w:cs="宋体" w:hint="eastAsia"/>
          <w:b/>
          <w:bCs/>
          <w:sz w:val="52"/>
          <w:szCs w:val="52"/>
        </w:rPr>
        <w:t>全省“最多跑一次”事项“八统一”梳理表</w:t>
      </w:r>
    </w:p>
    <w:tbl>
      <w:tblPr>
        <w:tblW w:w="20186"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shd w:val="clear" w:color="auto" w:fill="FFFFFF"/>
        <w:tblLayout w:type="fixed"/>
        <w:tblCellMar>
          <w:top w:w="28" w:type="dxa"/>
          <w:left w:w="57" w:type="dxa"/>
          <w:bottom w:w="28" w:type="dxa"/>
          <w:right w:w="57" w:type="dxa"/>
        </w:tblCellMar>
        <w:tblLook w:val="04A0" w:firstRow="1" w:lastRow="0" w:firstColumn="1" w:lastColumn="0" w:noHBand="0" w:noVBand="1"/>
      </w:tblPr>
      <w:tblGrid>
        <w:gridCol w:w="672"/>
        <w:gridCol w:w="1035"/>
        <w:gridCol w:w="3737"/>
        <w:gridCol w:w="2835"/>
        <w:gridCol w:w="850"/>
        <w:gridCol w:w="3402"/>
        <w:gridCol w:w="709"/>
        <w:gridCol w:w="1276"/>
        <w:gridCol w:w="1134"/>
        <w:gridCol w:w="992"/>
        <w:gridCol w:w="851"/>
        <w:gridCol w:w="992"/>
        <w:gridCol w:w="1701"/>
      </w:tblGrid>
      <w:tr w:rsidR="00013EC7">
        <w:trPr>
          <w:trHeight w:val="340"/>
          <w:tblHeader/>
        </w:trPr>
        <w:tc>
          <w:tcPr>
            <w:tcW w:w="672" w:type="dxa"/>
            <w:vMerge w:val="restart"/>
            <w:shd w:val="clear" w:color="auto" w:fill="FFFFFF"/>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主项名称</w:t>
            </w:r>
          </w:p>
        </w:tc>
        <w:tc>
          <w:tcPr>
            <w:tcW w:w="1035" w:type="dxa"/>
            <w:vMerge w:val="restart"/>
            <w:shd w:val="clear" w:color="auto" w:fill="FFFFFF"/>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子项名称</w:t>
            </w:r>
          </w:p>
        </w:tc>
        <w:tc>
          <w:tcPr>
            <w:tcW w:w="3737" w:type="dxa"/>
            <w:vMerge w:val="restart"/>
            <w:shd w:val="clear" w:color="auto" w:fill="FFFFFF"/>
            <w:vAlign w:val="center"/>
          </w:tcPr>
          <w:p w:rsidR="00013EC7" w:rsidRDefault="00575CDB">
            <w:pPr>
              <w:spacing w:line="280" w:lineRule="exact"/>
              <w:ind w:rightChars="-111" w:right="-233"/>
              <w:jc w:val="center"/>
              <w:rPr>
                <w:rFonts w:ascii="黑体" w:eastAsia="黑体" w:hAnsi="黑体"/>
                <w:sz w:val="24"/>
              </w:rPr>
            </w:pPr>
            <w:r>
              <w:rPr>
                <w:rFonts w:ascii="黑体" w:eastAsia="黑体" w:hAnsi="黑体" w:hint="eastAsia"/>
                <w:sz w:val="24"/>
              </w:rPr>
              <w:t>经办依据</w:t>
            </w:r>
          </w:p>
        </w:tc>
        <w:tc>
          <w:tcPr>
            <w:tcW w:w="3685" w:type="dxa"/>
            <w:gridSpan w:val="2"/>
            <w:shd w:val="clear" w:color="auto" w:fill="FFFFFF"/>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原经办所需材料</w:t>
            </w:r>
          </w:p>
        </w:tc>
        <w:tc>
          <w:tcPr>
            <w:tcW w:w="5387" w:type="dxa"/>
            <w:gridSpan w:val="3"/>
            <w:shd w:val="clear" w:color="auto" w:fill="FFFFFF"/>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精简后经办所需材料</w:t>
            </w:r>
          </w:p>
        </w:tc>
        <w:tc>
          <w:tcPr>
            <w:tcW w:w="2126" w:type="dxa"/>
            <w:gridSpan w:val="2"/>
            <w:shd w:val="clear" w:color="auto" w:fill="FFFFFF"/>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办理时限</w:t>
            </w:r>
          </w:p>
        </w:tc>
        <w:tc>
          <w:tcPr>
            <w:tcW w:w="851" w:type="dxa"/>
            <w:vMerge w:val="restart"/>
            <w:shd w:val="clear" w:color="auto" w:fill="FFFFFF"/>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是否实现跑零次</w:t>
            </w:r>
          </w:p>
        </w:tc>
        <w:tc>
          <w:tcPr>
            <w:tcW w:w="992" w:type="dxa"/>
            <w:vMerge w:val="restart"/>
            <w:shd w:val="clear" w:color="auto" w:fill="FFFFFF"/>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责任处室</w:t>
            </w:r>
          </w:p>
          <w:p w:rsidR="00013EC7" w:rsidRDefault="00575CDB">
            <w:pPr>
              <w:spacing w:line="280" w:lineRule="exact"/>
              <w:jc w:val="center"/>
              <w:rPr>
                <w:rFonts w:ascii="黑体" w:eastAsia="黑体" w:hAnsi="黑体"/>
                <w:sz w:val="24"/>
              </w:rPr>
            </w:pPr>
            <w:r>
              <w:rPr>
                <w:rFonts w:ascii="黑体" w:eastAsia="黑体" w:hAnsi="黑体" w:hint="eastAsia"/>
                <w:sz w:val="24"/>
              </w:rPr>
              <w:t>（单位）</w:t>
            </w:r>
          </w:p>
        </w:tc>
        <w:tc>
          <w:tcPr>
            <w:tcW w:w="1701" w:type="dxa"/>
            <w:vMerge w:val="restart"/>
            <w:shd w:val="clear" w:color="auto" w:fill="FFFFFF"/>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进一步精简、</w:t>
            </w:r>
          </w:p>
          <w:p w:rsidR="00013EC7" w:rsidRDefault="00575CDB">
            <w:pPr>
              <w:spacing w:line="280" w:lineRule="exact"/>
              <w:jc w:val="center"/>
              <w:rPr>
                <w:rFonts w:ascii="黑体" w:eastAsia="黑体" w:hAnsi="黑体"/>
                <w:sz w:val="24"/>
              </w:rPr>
            </w:pPr>
            <w:r>
              <w:rPr>
                <w:rFonts w:ascii="黑体" w:eastAsia="黑体" w:hAnsi="黑体" w:hint="eastAsia"/>
                <w:sz w:val="24"/>
              </w:rPr>
              <w:t>规范建议</w:t>
            </w:r>
          </w:p>
        </w:tc>
      </w:tr>
      <w:tr w:rsidR="00013EC7">
        <w:trPr>
          <w:trHeight w:val="340"/>
          <w:tblHeader/>
        </w:trPr>
        <w:tc>
          <w:tcPr>
            <w:tcW w:w="672" w:type="dxa"/>
            <w:vMerge/>
            <w:shd w:val="clear" w:color="auto" w:fill="FFFFFF"/>
            <w:vAlign w:val="center"/>
          </w:tcPr>
          <w:p w:rsidR="00013EC7" w:rsidRDefault="00013EC7">
            <w:pPr>
              <w:jc w:val="left"/>
              <w:rPr>
                <w:rFonts w:ascii="仿宋" w:eastAsia="仿宋" w:hAnsi="仿宋"/>
                <w:sz w:val="24"/>
              </w:rPr>
            </w:pPr>
          </w:p>
        </w:tc>
        <w:tc>
          <w:tcPr>
            <w:tcW w:w="1035" w:type="dxa"/>
            <w:vMerge/>
            <w:shd w:val="clear" w:color="auto" w:fill="FFFFFF"/>
            <w:vAlign w:val="center"/>
          </w:tcPr>
          <w:p w:rsidR="00013EC7" w:rsidRDefault="00013EC7">
            <w:pPr>
              <w:jc w:val="left"/>
              <w:rPr>
                <w:rFonts w:ascii="仿宋" w:eastAsia="仿宋" w:hAnsi="仿宋"/>
                <w:sz w:val="24"/>
              </w:rPr>
            </w:pPr>
          </w:p>
        </w:tc>
        <w:tc>
          <w:tcPr>
            <w:tcW w:w="3737" w:type="dxa"/>
            <w:vMerge/>
            <w:shd w:val="clear" w:color="auto" w:fill="FFFFFF"/>
            <w:vAlign w:val="center"/>
          </w:tcPr>
          <w:p w:rsidR="00013EC7" w:rsidRDefault="00013EC7">
            <w:pPr>
              <w:jc w:val="left"/>
              <w:rPr>
                <w:rFonts w:ascii="仿宋" w:eastAsia="仿宋" w:hAnsi="仿宋"/>
                <w:sz w:val="24"/>
              </w:rPr>
            </w:pPr>
          </w:p>
        </w:tc>
        <w:tc>
          <w:tcPr>
            <w:tcW w:w="2835" w:type="dxa"/>
            <w:tcBorders>
              <w:bottom w:val="single" w:sz="4" w:space="0" w:color="auto"/>
            </w:tcBorders>
            <w:shd w:val="clear" w:color="auto" w:fill="FFFFFF"/>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材料明细</w:t>
            </w:r>
          </w:p>
        </w:tc>
        <w:tc>
          <w:tcPr>
            <w:tcW w:w="850" w:type="dxa"/>
            <w:shd w:val="clear" w:color="auto" w:fill="FFFFFF"/>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材料来源</w:t>
            </w:r>
          </w:p>
        </w:tc>
        <w:tc>
          <w:tcPr>
            <w:tcW w:w="3402" w:type="dxa"/>
            <w:shd w:val="clear" w:color="auto" w:fill="FFFFFF"/>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材料明细</w:t>
            </w:r>
          </w:p>
        </w:tc>
        <w:tc>
          <w:tcPr>
            <w:tcW w:w="709" w:type="dxa"/>
            <w:shd w:val="clear" w:color="auto" w:fill="FFFFFF"/>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材料来源</w:t>
            </w:r>
          </w:p>
        </w:tc>
        <w:tc>
          <w:tcPr>
            <w:tcW w:w="1276" w:type="dxa"/>
            <w:shd w:val="clear" w:color="auto" w:fill="FFFFFF"/>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办理方式及材料信息获取方式说明</w:t>
            </w:r>
          </w:p>
        </w:tc>
        <w:tc>
          <w:tcPr>
            <w:tcW w:w="1134" w:type="dxa"/>
            <w:shd w:val="clear" w:color="auto" w:fill="FFFFFF"/>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优化前</w:t>
            </w:r>
          </w:p>
        </w:tc>
        <w:tc>
          <w:tcPr>
            <w:tcW w:w="992" w:type="dxa"/>
            <w:shd w:val="clear" w:color="auto" w:fill="FFFFFF"/>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优化后</w:t>
            </w:r>
          </w:p>
        </w:tc>
        <w:tc>
          <w:tcPr>
            <w:tcW w:w="851" w:type="dxa"/>
            <w:vMerge/>
            <w:shd w:val="clear" w:color="auto" w:fill="FFFFFF"/>
            <w:vAlign w:val="center"/>
          </w:tcPr>
          <w:p w:rsidR="00013EC7" w:rsidRDefault="00013EC7">
            <w:pPr>
              <w:jc w:val="left"/>
              <w:rPr>
                <w:rFonts w:ascii="仿宋" w:eastAsia="仿宋" w:hAnsi="仿宋"/>
                <w:sz w:val="24"/>
              </w:rPr>
            </w:pPr>
          </w:p>
        </w:tc>
        <w:tc>
          <w:tcPr>
            <w:tcW w:w="992" w:type="dxa"/>
            <w:vMerge/>
            <w:shd w:val="clear" w:color="auto" w:fill="FFFFFF"/>
            <w:vAlign w:val="center"/>
          </w:tcPr>
          <w:p w:rsidR="00013EC7" w:rsidRDefault="00013EC7">
            <w:pPr>
              <w:jc w:val="left"/>
              <w:rPr>
                <w:rFonts w:ascii="仿宋" w:eastAsia="仿宋" w:hAnsi="仿宋"/>
                <w:sz w:val="24"/>
              </w:rPr>
            </w:pPr>
          </w:p>
        </w:tc>
        <w:tc>
          <w:tcPr>
            <w:tcW w:w="1701" w:type="dxa"/>
            <w:vMerge/>
            <w:shd w:val="clear" w:color="auto" w:fill="FFFFFF"/>
            <w:vAlign w:val="center"/>
          </w:tcPr>
          <w:p w:rsidR="00013EC7" w:rsidRDefault="00013EC7">
            <w:pPr>
              <w:jc w:val="left"/>
              <w:rPr>
                <w:rFonts w:ascii="仿宋" w:eastAsia="仿宋" w:hAnsi="仿宋"/>
                <w:sz w:val="24"/>
              </w:rPr>
            </w:pPr>
          </w:p>
        </w:tc>
      </w:tr>
      <w:tr w:rsidR="00013EC7">
        <w:trPr>
          <w:trHeight w:val="1475"/>
        </w:trPr>
        <w:tc>
          <w:tcPr>
            <w:tcW w:w="672" w:type="dxa"/>
            <w:shd w:val="clear" w:color="auto" w:fill="FFFFFF"/>
            <w:vAlign w:val="center"/>
          </w:tcPr>
          <w:p w:rsidR="00013EC7" w:rsidRDefault="00575CDB">
            <w:pPr>
              <w:spacing w:line="300" w:lineRule="exact"/>
              <w:jc w:val="left"/>
              <w:rPr>
                <w:rFonts w:ascii="仿宋" w:eastAsia="仿宋" w:hAnsi="仿宋"/>
                <w:sz w:val="24"/>
              </w:rPr>
            </w:pPr>
            <w:r>
              <w:rPr>
                <w:rFonts w:ascii="仿宋" w:eastAsia="仿宋" w:hAnsi="仿宋" w:hint="eastAsia"/>
                <w:sz w:val="24"/>
              </w:rPr>
              <w:t>17日常税费申报</w:t>
            </w:r>
          </w:p>
        </w:tc>
        <w:tc>
          <w:tcPr>
            <w:tcW w:w="1035" w:type="dxa"/>
            <w:shd w:val="clear" w:color="auto" w:fill="FFFFFF"/>
            <w:vAlign w:val="center"/>
          </w:tcPr>
          <w:p w:rsidR="00013EC7" w:rsidRDefault="00575CDB">
            <w:pPr>
              <w:spacing w:line="310" w:lineRule="exact"/>
              <w:jc w:val="left"/>
              <w:rPr>
                <w:rFonts w:ascii="仿宋" w:eastAsia="仿宋" w:hAnsi="仿宋"/>
                <w:sz w:val="24"/>
              </w:rPr>
            </w:pPr>
            <w:r>
              <w:rPr>
                <w:rFonts w:ascii="仿宋" w:eastAsia="仿宋" w:hAnsi="仿宋" w:hint="eastAsia"/>
                <w:sz w:val="24"/>
              </w:rPr>
              <w:t>17.18非居民企业所得税年度纳税申报（适用核定征收）及不构成常设机构和国际运输免税申报）</w:t>
            </w:r>
          </w:p>
        </w:tc>
        <w:tc>
          <w:tcPr>
            <w:tcW w:w="3737" w:type="dxa"/>
            <w:shd w:val="clear" w:color="auto" w:fill="FFFFFF"/>
            <w:vAlign w:val="center"/>
          </w:tcPr>
          <w:p w:rsidR="00013EC7" w:rsidRDefault="00575CDB">
            <w:pPr>
              <w:jc w:val="left"/>
              <w:rPr>
                <w:rFonts w:ascii="仿宋" w:eastAsia="仿宋" w:hAnsi="仿宋" w:cs="宋体"/>
                <w:kern w:val="1"/>
                <w:sz w:val="24"/>
              </w:rPr>
            </w:pPr>
            <w:r>
              <w:rPr>
                <w:rFonts w:ascii="仿宋" w:eastAsia="仿宋" w:hAnsi="仿宋" w:cs="宋体" w:hint="eastAsia"/>
                <w:kern w:val="1"/>
                <w:sz w:val="24"/>
              </w:rPr>
              <w:t>（一）《中华人民共和国企业所得税法》（2007年中华人民共和国主席令第63号）全文。</w:t>
            </w:r>
          </w:p>
          <w:p w:rsidR="00013EC7" w:rsidRDefault="00575CDB">
            <w:pPr>
              <w:jc w:val="left"/>
              <w:rPr>
                <w:rFonts w:ascii="仿宋" w:eastAsia="仿宋" w:hAnsi="仿宋" w:cs="宋体"/>
                <w:kern w:val="1"/>
                <w:sz w:val="24"/>
              </w:rPr>
            </w:pPr>
            <w:r>
              <w:rPr>
                <w:rFonts w:ascii="仿宋" w:eastAsia="仿宋" w:hAnsi="仿宋" w:cs="宋体" w:hint="eastAsia"/>
                <w:kern w:val="1"/>
                <w:sz w:val="24"/>
              </w:rPr>
              <w:t>（二）《中华人民共和国企业所得税法实施条例》（2002年中华人民共和国国务院令第512号）全文。</w:t>
            </w:r>
          </w:p>
          <w:p w:rsidR="00013EC7" w:rsidRDefault="00575CDB">
            <w:pPr>
              <w:jc w:val="left"/>
              <w:rPr>
                <w:rFonts w:ascii="仿宋" w:eastAsia="仿宋" w:hAnsi="仿宋" w:cs="宋体"/>
                <w:kern w:val="1"/>
                <w:sz w:val="24"/>
              </w:rPr>
            </w:pPr>
            <w:r>
              <w:rPr>
                <w:rFonts w:ascii="仿宋" w:eastAsia="仿宋" w:hAnsi="仿宋" w:cs="宋体" w:hint="eastAsia"/>
                <w:kern w:val="1"/>
                <w:sz w:val="24"/>
              </w:rPr>
              <w:t>（三）《国家税务总局关于非居民企业所得管理若干问题的公告》（国家税务总局公告2011年第24号）全文。</w:t>
            </w:r>
          </w:p>
          <w:p w:rsidR="00013EC7" w:rsidRDefault="00575CDB">
            <w:pPr>
              <w:jc w:val="left"/>
              <w:rPr>
                <w:rFonts w:ascii="仿宋" w:eastAsia="仿宋" w:hAnsi="仿宋" w:cs="宋体"/>
                <w:kern w:val="1"/>
                <w:sz w:val="24"/>
              </w:rPr>
            </w:pPr>
            <w:r>
              <w:rPr>
                <w:rFonts w:ascii="仿宋" w:eastAsia="仿宋" w:hAnsi="仿宋" w:cs="宋体" w:hint="eastAsia"/>
                <w:kern w:val="1"/>
                <w:sz w:val="24"/>
              </w:rPr>
              <w:t>（四）《国家税务总局关于发布&lt;非居民纳税人享受税收协定待遇管理办法&gt;的公告》（国家税务总局公告2015年第60号）第四条第二款。</w:t>
            </w:r>
          </w:p>
          <w:p w:rsidR="00013EC7" w:rsidRDefault="00575CDB">
            <w:pPr>
              <w:jc w:val="left"/>
              <w:rPr>
                <w:rFonts w:ascii="仿宋" w:eastAsia="仿宋" w:hAnsi="仿宋" w:cs="宋体"/>
                <w:kern w:val="1"/>
                <w:sz w:val="24"/>
              </w:rPr>
            </w:pPr>
            <w:r>
              <w:rPr>
                <w:rFonts w:ascii="仿宋" w:eastAsia="仿宋" w:hAnsi="仿宋" w:cs="宋体" w:hint="eastAsia"/>
                <w:kern w:val="1"/>
                <w:sz w:val="24"/>
              </w:rPr>
              <w:t>（五）《国家税务总局关于印发〈非居民企业所得税汇算清缴管理办法〉的通知》（国税发〔2009〕6号）第三条。</w:t>
            </w:r>
          </w:p>
          <w:p w:rsidR="00013EC7" w:rsidRDefault="00575CDB">
            <w:pPr>
              <w:jc w:val="left"/>
              <w:rPr>
                <w:rFonts w:ascii="仿宋" w:eastAsia="仿宋" w:hAnsi="仿宋" w:cs="宋体"/>
                <w:kern w:val="1"/>
                <w:sz w:val="24"/>
              </w:rPr>
            </w:pPr>
            <w:r>
              <w:rPr>
                <w:rFonts w:ascii="仿宋" w:eastAsia="仿宋" w:hAnsi="仿宋" w:cs="宋体" w:hint="eastAsia"/>
                <w:kern w:val="1"/>
                <w:sz w:val="24"/>
              </w:rPr>
              <w:t>（六）《国家税务总局关于印发〈非居民企业所得税汇算清缴工作规程〉的通知》（国税发〔2009〕11号）全文。</w:t>
            </w:r>
          </w:p>
          <w:p w:rsidR="00013EC7" w:rsidRDefault="00575CDB">
            <w:pPr>
              <w:jc w:val="left"/>
              <w:rPr>
                <w:rFonts w:ascii="仿宋" w:eastAsia="仿宋" w:hAnsi="仿宋"/>
                <w:sz w:val="24"/>
              </w:rPr>
            </w:pPr>
            <w:r>
              <w:rPr>
                <w:rFonts w:ascii="仿宋" w:eastAsia="仿宋" w:hAnsi="仿宋" w:cs="宋体" w:hint="eastAsia"/>
                <w:kern w:val="1"/>
                <w:sz w:val="24"/>
              </w:rPr>
              <w:t>（七）《国家税务总局关于发布&lt;中华人民共和国非居民企业所得税年度纳税申报表&gt;等报表的公告》（国家税务总局公告2015年第30号）第一条。</w:t>
            </w:r>
          </w:p>
        </w:tc>
        <w:tc>
          <w:tcPr>
            <w:tcW w:w="2835" w:type="dxa"/>
            <w:tcBorders>
              <w:top w:val="single" w:sz="4" w:space="0" w:color="auto"/>
              <w:bottom w:val="single" w:sz="4" w:space="0" w:color="auto"/>
            </w:tcBorders>
            <w:shd w:val="clear" w:color="auto" w:fill="FFFFFF"/>
            <w:vAlign w:val="center"/>
          </w:tcPr>
          <w:p w:rsidR="00013EC7" w:rsidRDefault="00575CDB">
            <w:pPr>
              <w:widowControl/>
              <w:jc w:val="left"/>
              <w:rPr>
                <w:rFonts w:ascii="仿宋" w:eastAsia="仿宋" w:hAnsi="仿宋" w:cs="宋体"/>
                <w:color w:val="000000"/>
                <w:sz w:val="24"/>
              </w:rPr>
            </w:pPr>
            <w:r>
              <w:rPr>
                <w:rFonts w:ascii="仿宋" w:eastAsia="仿宋" w:hAnsi="仿宋" w:cs="宋体" w:hint="eastAsia"/>
                <w:kern w:val="1"/>
                <w:sz w:val="24"/>
              </w:rPr>
              <w:t>（一）</w:t>
            </w:r>
            <w:r>
              <w:rPr>
                <w:rFonts w:ascii="仿宋" w:eastAsia="仿宋" w:hAnsi="仿宋" w:cs="宋体"/>
                <w:sz w:val="24"/>
              </w:rPr>
              <w:t>（A06651）《中华人民共和国非居民企业所得税季度和年度纳税申报表（适用于核定征收企业）/（不构成常设机构和国际运输免税申报）》</w:t>
            </w:r>
            <w:r>
              <w:rPr>
                <w:rFonts w:ascii="仿宋" w:eastAsia="仿宋" w:hAnsi="仿宋" w:cs="宋体" w:hint="eastAsia"/>
                <w:sz w:val="24"/>
                <w:highlight w:val="lightGray"/>
              </w:rPr>
              <w:t>3</w:t>
            </w:r>
            <w:r>
              <w:rPr>
                <w:rFonts w:ascii="仿宋" w:eastAsia="仿宋" w:hAnsi="仿宋" w:cs="宋体"/>
                <w:sz w:val="24"/>
                <w:highlight w:val="lightGray"/>
              </w:rPr>
              <w:t>份</w:t>
            </w:r>
            <w:r>
              <w:rPr>
                <w:rFonts w:ascii="仿宋" w:eastAsia="仿宋" w:hAnsi="仿宋" w:cs="宋体"/>
                <w:sz w:val="24"/>
              </w:rPr>
              <w:t>。</w:t>
            </w:r>
          </w:p>
        </w:tc>
        <w:tc>
          <w:tcPr>
            <w:tcW w:w="850" w:type="dxa"/>
            <w:shd w:val="clear" w:color="auto" w:fill="FFFFFF"/>
            <w:vAlign w:val="center"/>
          </w:tcPr>
          <w:p w:rsidR="00013EC7" w:rsidRDefault="00575CDB">
            <w:pPr>
              <w:spacing w:line="300" w:lineRule="exact"/>
              <w:jc w:val="left"/>
              <w:rPr>
                <w:rFonts w:ascii="仿宋" w:eastAsia="仿宋" w:hAnsi="仿宋"/>
                <w:sz w:val="24"/>
              </w:rPr>
            </w:pPr>
            <w:r>
              <w:rPr>
                <w:rFonts w:ascii="仿宋" w:eastAsia="仿宋" w:hAnsi="仿宋" w:hint="eastAsia"/>
                <w:sz w:val="24"/>
              </w:rPr>
              <w:t>纳税人</w:t>
            </w:r>
            <w:r>
              <w:rPr>
                <w:rFonts w:ascii="仿宋" w:eastAsia="仿宋" w:hAnsi="仿宋"/>
                <w:sz w:val="24"/>
              </w:rPr>
              <w:t>提交</w:t>
            </w:r>
          </w:p>
        </w:tc>
        <w:tc>
          <w:tcPr>
            <w:tcW w:w="3402" w:type="dxa"/>
            <w:shd w:val="clear" w:color="auto" w:fill="FFFFFF"/>
            <w:vAlign w:val="center"/>
          </w:tcPr>
          <w:p w:rsidR="00013EC7" w:rsidRDefault="00575CDB">
            <w:pPr>
              <w:widowControl/>
              <w:jc w:val="left"/>
              <w:rPr>
                <w:rFonts w:ascii="仿宋" w:eastAsia="仿宋" w:hAnsi="仿宋" w:cs="宋体"/>
                <w:sz w:val="24"/>
              </w:rPr>
            </w:pPr>
            <w:r>
              <w:rPr>
                <w:rFonts w:ascii="仿宋" w:eastAsia="仿宋" w:hAnsi="仿宋" w:cs="宋体" w:hint="eastAsia"/>
                <w:kern w:val="1"/>
                <w:sz w:val="24"/>
              </w:rPr>
              <w:t>（一）</w:t>
            </w:r>
            <w:r>
              <w:rPr>
                <w:rFonts w:ascii="仿宋" w:eastAsia="仿宋" w:hAnsi="仿宋" w:cs="宋体"/>
                <w:sz w:val="24"/>
              </w:rPr>
              <w:t>（A06651）《中华人民共和国非居民企业所得税季度和年度纳税申报表（适用于核定征收企业）/（不构成常设机构和国际运输免税申报）》</w:t>
            </w:r>
            <w:r>
              <w:rPr>
                <w:rFonts w:ascii="仿宋" w:eastAsia="仿宋" w:hAnsi="仿宋" w:cs="宋体" w:hint="eastAsia"/>
                <w:sz w:val="24"/>
              </w:rPr>
              <w:t>1</w:t>
            </w:r>
            <w:r>
              <w:rPr>
                <w:rFonts w:ascii="仿宋" w:eastAsia="仿宋" w:hAnsi="仿宋" w:cs="宋体"/>
                <w:sz w:val="24"/>
              </w:rPr>
              <w:t>份。</w:t>
            </w:r>
          </w:p>
        </w:tc>
        <w:tc>
          <w:tcPr>
            <w:tcW w:w="709" w:type="dxa"/>
            <w:shd w:val="clear" w:color="auto" w:fill="FFFFFF"/>
            <w:vAlign w:val="center"/>
          </w:tcPr>
          <w:p w:rsidR="00013EC7" w:rsidRDefault="00575CDB">
            <w:pPr>
              <w:spacing w:line="300" w:lineRule="exact"/>
              <w:jc w:val="left"/>
              <w:rPr>
                <w:rFonts w:ascii="仿宋" w:eastAsia="仿宋" w:hAnsi="仿宋"/>
                <w:bCs/>
                <w:i/>
                <w:iCs/>
                <w:sz w:val="24"/>
              </w:rPr>
            </w:pPr>
            <w:r>
              <w:rPr>
                <w:rFonts w:ascii="仿宋" w:eastAsia="仿宋" w:hAnsi="仿宋" w:hint="eastAsia"/>
                <w:bCs/>
                <w:sz w:val="24"/>
              </w:rPr>
              <w:t>纳税人提交</w:t>
            </w:r>
          </w:p>
        </w:tc>
        <w:tc>
          <w:tcPr>
            <w:tcW w:w="1276" w:type="dxa"/>
            <w:shd w:val="clear" w:color="auto" w:fill="FFFFFF"/>
            <w:vAlign w:val="center"/>
          </w:tcPr>
          <w:p w:rsidR="00013EC7" w:rsidRDefault="00575CDB">
            <w:pPr>
              <w:spacing w:line="300" w:lineRule="exac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申报单位提交书面材料。</w:t>
            </w:r>
          </w:p>
          <w:p w:rsidR="00013EC7" w:rsidRDefault="00575CDB">
            <w:pPr>
              <w:spacing w:line="300" w:lineRule="exact"/>
              <w:rPr>
                <w:rFonts w:ascii="仿宋" w:eastAsia="仿宋" w:hAnsi="仿宋" w:cs="仿宋"/>
                <w:sz w:val="24"/>
              </w:rPr>
            </w:pPr>
            <w:r>
              <w:rPr>
                <w:rFonts w:ascii="仿宋" w:eastAsia="仿宋" w:hAnsi="仿宋" w:cs="仿宋" w:hint="eastAsia"/>
                <w:b/>
                <w:sz w:val="24"/>
              </w:rPr>
              <w:t>网上办理：</w:t>
            </w:r>
            <w:r>
              <w:rPr>
                <w:rFonts w:ascii="仿宋" w:eastAsia="仿宋" w:hAnsi="仿宋" w:cs="仿宋" w:hint="eastAsia"/>
                <w:sz w:val="24"/>
              </w:rPr>
              <w:t>登录浙江国税电子税务局（网址：http://etax.zjtax.gov.cn/</w:t>
            </w:r>
          </w:p>
          <w:p w:rsidR="00013EC7" w:rsidRDefault="00575CDB">
            <w:pPr>
              <w:spacing w:line="300" w:lineRule="exact"/>
              <w:jc w:val="left"/>
              <w:rPr>
                <w:rFonts w:ascii="仿宋" w:eastAsia="仿宋" w:hAnsi="仿宋"/>
                <w:sz w:val="24"/>
              </w:rPr>
            </w:pPr>
            <w:r>
              <w:rPr>
                <w:rFonts w:ascii="仿宋" w:eastAsia="仿宋" w:hAnsi="仿宋" w:cs="仿宋" w:hint="eastAsia"/>
                <w:sz w:val="24"/>
              </w:rPr>
              <w:t>）提交申请</w:t>
            </w:r>
            <w:r>
              <w:rPr>
                <w:rFonts w:ascii="仿宋" w:eastAsia="仿宋" w:hAnsi="仿宋" w:hint="eastAsia"/>
                <w:sz w:val="24"/>
              </w:rPr>
              <w:t>。</w:t>
            </w:r>
          </w:p>
        </w:tc>
        <w:tc>
          <w:tcPr>
            <w:tcW w:w="1134" w:type="dxa"/>
            <w:shd w:val="clear" w:color="auto" w:fill="FFFFFF"/>
            <w:vAlign w:val="center"/>
          </w:tcPr>
          <w:p w:rsidR="00013EC7" w:rsidRDefault="00575CDB">
            <w:pPr>
              <w:spacing w:line="300" w:lineRule="exact"/>
              <w:jc w:val="left"/>
              <w:rPr>
                <w:rFonts w:ascii="仿宋" w:eastAsia="仿宋" w:hAnsi="仿宋"/>
                <w:sz w:val="24"/>
              </w:rPr>
            </w:pPr>
            <w:r>
              <w:rPr>
                <w:rFonts w:ascii="仿宋" w:eastAsia="仿宋" w:hAnsi="仿宋" w:hint="eastAsia"/>
                <w:sz w:val="24"/>
              </w:rPr>
              <w:t>即时办结</w:t>
            </w:r>
          </w:p>
        </w:tc>
        <w:tc>
          <w:tcPr>
            <w:tcW w:w="992" w:type="dxa"/>
            <w:shd w:val="clear" w:color="auto" w:fill="FFFFFF"/>
            <w:vAlign w:val="center"/>
          </w:tcPr>
          <w:p w:rsidR="00013EC7" w:rsidRDefault="00575CDB">
            <w:pPr>
              <w:spacing w:line="300" w:lineRule="exact"/>
              <w:jc w:val="left"/>
              <w:rPr>
                <w:rFonts w:ascii="仿宋" w:eastAsia="仿宋" w:hAnsi="仿宋"/>
                <w:sz w:val="24"/>
              </w:rPr>
            </w:pPr>
            <w:r>
              <w:rPr>
                <w:rFonts w:ascii="仿宋" w:eastAsia="仿宋" w:hAnsi="仿宋" w:hint="eastAsia"/>
                <w:sz w:val="24"/>
              </w:rPr>
              <w:t>即时办结</w:t>
            </w:r>
          </w:p>
        </w:tc>
        <w:tc>
          <w:tcPr>
            <w:tcW w:w="851" w:type="dxa"/>
            <w:shd w:val="clear" w:color="auto" w:fill="FFFFFF"/>
            <w:vAlign w:val="center"/>
          </w:tcPr>
          <w:p w:rsidR="00013EC7" w:rsidRDefault="00575CDB">
            <w:pPr>
              <w:spacing w:line="300" w:lineRule="exact"/>
              <w:jc w:val="left"/>
              <w:rPr>
                <w:rFonts w:ascii="仿宋" w:eastAsia="仿宋" w:hAnsi="仿宋"/>
                <w:sz w:val="24"/>
              </w:rPr>
            </w:pPr>
            <w:r>
              <w:rPr>
                <w:rFonts w:ascii="仿宋" w:eastAsia="仿宋" w:hAnsi="仿宋" w:hint="eastAsia"/>
                <w:sz w:val="24"/>
              </w:rPr>
              <w:t>是</w:t>
            </w:r>
          </w:p>
        </w:tc>
        <w:tc>
          <w:tcPr>
            <w:tcW w:w="992" w:type="dxa"/>
            <w:shd w:val="clear" w:color="auto" w:fill="FFFFFF"/>
            <w:vAlign w:val="center"/>
          </w:tcPr>
          <w:p w:rsidR="00013EC7" w:rsidRDefault="00575CDB">
            <w:pPr>
              <w:spacing w:line="300" w:lineRule="exact"/>
              <w:jc w:val="left"/>
              <w:rPr>
                <w:rFonts w:ascii="仿宋" w:eastAsia="仿宋" w:hAnsi="仿宋"/>
                <w:sz w:val="24"/>
              </w:rPr>
            </w:pPr>
            <w:r>
              <w:rPr>
                <w:rFonts w:ascii="仿宋" w:eastAsia="仿宋" w:hAnsi="仿宋" w:hint="eastAsia"/>
                <w:sz w:val="24"/>
              </w:rPr>
              <w:t>国际税务处</w:t>
            </w:r>
          </w:p>
        </w:tc>
        <w:tc>
          <w:tcPr>
            <w:tcW w:w="1701" w:type="dxa"/>
            <w:shd w:val="clear" w:color="auto" w:fill="FFFFFF"/>
            <w:vAlign w:val="center"/>
          </w:tcPr>
          <w:p w:rsidR="00013EC7" w:rsidRDefault="00013EC7">
            <w:pPr>
              <w:spacing w:line="300" w:lineRule="exact"/>
              <w:jc w:val="left"/>
              <w:rPr>
                <w:rFonts w:ascii="仿宋" w:eastAsia="仿宋" w:hAnsi="仿宋"/>
                <w:sz w:val="24"/>
              </w:rPr>
            </w:pPr>
          </w:p>
        </w:tc>
      </w:tr>
    </w:tbl>
    <w:p w:rsidR="00013EC7" w:rsidRDefault="00013EC7">
      <w:pPr>
        <w:spacing w:line="300" w:lineRule="exact"/>
        <w:rPr>
          <w:rFonts w:eastAsia="方正书宋简体"/>
          <w:szCs w:val="21"/>
        </w:rPr>
      </w:pPr>
    </w:p>
    <w:p w:rsidR="00013EC7" w:rsidRDefault="00013EC7">
      <w:pPr>
        <w:jc w:val="center"/>
      </w:pPr>
    </w:p>
    <w:p w:rsidR="00013EC7" w:rsidRDefault="00013EC7">
      <w:pPr>
        <w:rPr>
          <w:rFonts w:eastAsia="方正书宋简体"/>
          <w:szCs w:val="21"/>
        </w:rPr>
      </w:pPr>
    </w:p>
    <w:p w:rsidR="00013EC7" w:rsidRDefault="005262E6">
      <w:pPr>
        <w:rPr>
          <w:rFonts w:ascii="仿宋" w:eastAsia="仿宋" w:hAnsi="仿宋" w:cs="仿宋"/>
          <w:sz w:val="24"/>
        </w:rPr>
      </w:pPr>
      <w:r>
        <w:rPr>
          <w:rFonts w:ascii="宋体" w:hAnsi="宋体" w:cs="宋体"/>
          <w:kern w:val="1"/>
          <w:szCs w:val="21"/>
        </w:rPr>
        <w:object w:dxaOrig="1440" w:dyaOrig="1440">
          <v:shape id="_x0000_s1377" type="#_x0000_t75" style="position:absolute;left:0;text-align:left;margin-left:577.6pt;margin-top:129.3pt;width:409.5pt;height:577.5pt;z-index:251700224;mso-wrap-distance-top:0;mso-wrap-distance-bottom:0;mso-position-vertical-relative:page;mso-width-relative:page;mso-height-relative:page">
            <v:imagedata r:id="rId304" o:title=""/>
            <o:lock v:ext="edit" aspectratio="f"/>
            <w10:wrap type="topAndBottom" anchory="page"/>
          </v:shape>
          <o:OLEObject Type="Embed" ProgID="Visio.Drawing.11" ShapeID="_x0000_s1377" DrawAspect="Content" ObjectID="_1577296258" r:id="rId305"/>
        </w:object>
      </w:r>
      <w:r>
        <w:object w:dxaOrig="1440" w:dyaOrig="1440">
          <v:shape id="_x0000_s1378" type="#_x0000_t75" style="position:absolute;left:0;text-align:left;margin-left:.95pt;margin-top:107.4pt;width:482pt;height:574.5pt;z-index:251701248;mso-wrap-distance-top:0;mso-wrap-distance-bottom:0;mso-position-vertical-relative:page;mso-width-relative:page;mso-height-relative:page">
            <v:imagedata r:id="rId306" o:title=""/>
            <w10:wrap type="topAndBottom" anchory="page"/>
          </v:shape>
          <o:OLEObject Type="Embed" ProgID="Visio.Drawing.11" ShapeID="_x0000_s1378" DrawAspect="Content" ObjectID="_1577296259" r:id="rId307"/>
        </w:object>
      </w:r>
    </w:p>
    <w:p w:rsidR="00013EC7" w:rsidRDefault="00013EC7"/>
    <w:p w:rsidR="00013EC7" w:rsidRDefault="00013EC7"/>
    <w:p w:rsidR="00013EC7" w:rsidRDefault="00013EC7">
      <w:pPr>
        <w:jc w:val="left"/>
        <w:rPr>
          <w:rFonts w:ascii="宋体" w:hAnsi="宋体" w:cs="宋体"/>
          <w:sz w:val="28"/>
          <w:szCs w:val="28"/>
        </w:rPr>
        <w:sectPr w:rsidR="00013EC7">
          <w:pgSz w:w="23814" w:h="16840" w:orient="landscape"/>
          <w:pgMar w:top="1701" w:right="1843" w:bottom="1985" w:left="1843" w:header="851" w:footer="1701" w:gutter="0"/>
          <w:pgNumType w:fmt="numberInDash"/>
          <w:cols w:space="720"/>
          <w:docGrid w:type="lines" w:linePitch="312"/>
        </w:sectPr>
      </w:pPr>
      <w:bookmarkStart w:id="371" w:name="_Toc498705746"/>
    </w:p>
    <w:p w:rsidR="00013EC7" w:rsidRDefault="00575CDB">
      <w:pPr>
        <w:pStyle w:val="2"/>
      </w:pPr>
      <w:bookmarkStart w:id="372" w:name="_Toc2941"/>
      <w:bookmarkStart w:id="373" w:name="_Toc27602"/>
      <w:bookmarkStart w:id="374" w:name="_Toc4858"/>
      <w:bookmarkStart w:id="375" w:name="_Toc503467439"/>
      <w:r>
        <w:rPr>
          <w:rFonts w:hint="eastAsia"/>
        </w:rPr>
        <w:lastRenderedPageBreak/>
        <w:t>17.19</w:t>
      </w:r>
      <w:r>
        <w:rPr>
          <w:rFonts w:hint="eastAsia"/>
        </w:rPr>
        <w:t>废弃电器电子产品处理基金申报</w:t>
      </w:r>
      <w:bookmarkEnd w:id="371"/>
      <w:bookmarkEnd w:id="372"/>
      <w:bookmarkEnd w:id="373"/>
      <w:bookmarkEnd w:id="374"/>
      <w:bookmarkEnd w:id="375"/>
    </w:p>
    <w:p w:rsidR="00013EC7" w:rsidRDefault="00575CDB">
      <w:pPr>
        <w:jc w:val="center"/>
        <w:rPr>
          <w:rFonts w:ascii="宋体" w:hAnsi="宋体" w:cs="宋体"/>
          <w:b/>
          <w:bCs/>
          <w:sz w:val="52"/>
          <w:szCs w:val="52"/>
        </w:rPr>
      </w:pPr>
      <w:r>
        <w:rPr>
          <w:rFonts w:ascii="宋体" w:hAnsi="宋体" w:cs="宋体" w:hint="eastAsia"/>
          <w:b/>
          <w:bCs/>
          <w:sz w:val="52"/>
          <w:szCs w:val="52"/>
        </w:rPr>
        <w:t>全省“最多跑一次”事项“八统一”梳理表</w:t>
      </w:r>
    </w:p>
    <w:tbl>
      <w:tblPr>
        <w:tblW w:w="20592"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2829"/>
        <w:gridCol w:w="2553"/>
        <w:gridCol w:w="1288"/>
        <w:gridCol w:w="2837"/>
        <w:gridCol w:w="1326"/>
        <w:gridCol w:w="2848"/>
        <w:gridCol w:w="868"/>
        <w:gridCol w:w="798"/>
        <w:gridCol w:w="958"/>
        <w:gridCol w:w="1104"/>
        <w:gridCol w:w="1476"/>
      </w:tblGrid>
      <w:tr w:rsidR="00013EC7">
        <w:trPr>
          <w:trHeight w:val="340"/>
          <w:tblHeader/>
          <w:jc w:val="center"/>
        </w:trPr>
        <w:tc>
          <w:tcPr>
            <w:tcW w:w="672"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主项名称</w:t>
            </w:r>
          </w:p>
        </w:tc>
        <w:tc>
          <w:tcPr>
            <w:tcW w:w="1035"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子项名称</w:t>
            </w:r>
          </w:p>
        </w:tc>
        <w:tc>
          <w:tcPr>
            <w:tcW w:w="2829"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经办依据</w:t>
            </w:r>
          </w:p>
        </w:tc>
        <w:tc>
          <w:tcPr>
            <w:tcW w:w="3841"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原经办所需材料</w:t>
            </w:r>
          </w:p>
        </w:tc>
        <w:tc>
          <w:tcPr>
            <w:tcW w:w="7011" w:type="dxa"/>
            <w:gridSpan w:val="3"/>
            <w:vAlign w:val="center"/>
          </w:tcPr>
          <w:p w:rsidR="00013EC7" w:rsidRDefault="00575CDB">
            <w:pPr>
              <w:spacing w:line="280" w:lineRule="exact"/>
              <w:jc w:val="center"/>
              <w:rPr>
                <w:rFonts w:ascii="黑体" w:eastAsia="黑体"/>
                <w:sz w:val="24"/>
              </w:rPr>
            </w:pPr>
            <w:r>
              <w:rPr>
                <w:rFonts w:ascii="黑体" w:eastAsia="黑体" w:hint="eastAsia"/>
                <w:sz w:val="24"/>
              </w:rPr>
              <w:t>精简后经办所需材料</w:t>
            </w:r>
          </w:p>
        </w:tc>
        <w:tc>
          <w:tcPr>
            <w:tcW w:w="1666"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办理时限</w:t>
            </w:r>
          </w:p>
        </w:tc>
        <w:tc>
          <w:tcPr>
            <w:tcW w:w="958"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是否实现跑零次</w:t>
            </w:r>
          </w:p>
        </w:tc>
        <w:tc>
          <w:tcPr>
            <w:tcW w:w="1104"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省厅对口</w:t>
            </w:r>
          </w:p>
          <w:p w:rsidR="00013EC7" w:rsidRDefault="00575CDB">
            <w:pPr>
              <w:spacing w:line="280" w:lineRule="exact"/>
              <w:jc w:val="center"/>
              <w:rPr>
                <w:rFonts w:ascii="黑体" w:eastAsia="黑体"/>
                <w:sz w:val="24"/>
              </w:rPr>
            </w:pPr>
            <w:r>
              <w:rPr>
                <w:rFonts w:ascii="黑体" w:eastAsia="黑体" w:hint="eastAsia"/>
                <w:sz w:val="24"/>
              </w:rPr>
              <w:t>指导处室</w:t>
            </w:r>
          </w:p>
          <w:p w:rsidR="00013EC7" w:rsidRDefault="00575CDB">
            <w:pPr>
              <w:spacing w:line="280" w:lineRule="exact"/>
              <w:jc w:val="center"/>
              <w:rPr>
                <w:rFonts w:ascii="黑体" w:eastAsia="黑体"/>
                <w:sz w:val="24"/>
              </w:rPr>
            </w:pPr>
            <w:r>
              <w:rPr>
                <w:rFonts w:ascii="黑体" w:eastAsia="黑体" w:hint="eastAsia"/>
                <w:sz w:val="24"/>
              </w:rPr>
              <w:t>（单位）</w:t>
            </w:r>
          </w:p>
        </w:tc>
        <w:tc>
          <w:tcPr>
            <w:tcW w:w="1476"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进一步精简、</w:t>
            </w:r>
          </w:p>
          <w:p w:rsidR="00013EC7" w:rsidRDefault="00575CDB">
            <w:pPr>
              <w:spacing w:line="280" w:lineRule="exact"/>
              <w:jc w:val="center"/>
              <w:rPr>
                <w:rFonts w:ascii="黑体" w:eastAsia="黑体"/>
                <w:sz w:val="24"/>
              </w:rPr>
            </w:pPr>
            <w:r>
              <w:rPr>
                <w:rFonts w:ascii="黑体" w:eastAsia="黑体" w:hint="eastAsia"/>
                <w:sz w:val="24"/>
              </w:rPr>
              <w:t>规范建议</w:t>
            </w:r>
          </w:p>
        </w:tc>
      </w:tr>
      <w:tr w:rsidR="00013EC7">
        <w:trPr>
          <w:trHeight w:val="340"/>
          <w:tblHeader/>
          <w:jc w:val="center"/>
        </w:trPr>
        <w:tc>
          <w:tcPr>
            <w:tcW w:w="672" w:type="dxa"/>
            <w:vMerge/>
            <w:vAlign w:val="center"/>
          </w:tcPr>
          <w:p w:rsidR="00013EC7" w:rsidRDefault="00013EC7">
            <w:pPr>
              <w:rPr>
                <w:sz w:val="24"/>
              </w:rPr>
            </w:pPr>
          </w:p>
        </w:tc>
        <w:tc>
          <w:tcPr>
            <w:tcW w:w="1035" w:type="dxa"/>
            <w:vMerge/>
          </w:tcPr>
          <w:p w:rsidR="00013EC7" w:rsidRDefault="00013EC7">
            <w:pPr>
              <w:rPr>
                <w:sz w:val="24"/>
              </w:rPr>
            </w:pPr>
          </w:p>
        </w:tc>
        <w:tc>
          <w:tcPr>
            <w:tcW w:w="2829" w:type="dxa"/>
            <w:vMerge/>
          </w:tcPr>
          <w:p w:rsidR="00013EC7" w:rsidRDefault="00013EC7">
            <w:pPr>
              <w:rPr>
                <w:sz w:val="24"/>
              </w:rPr>
            </w:pPr>
          </w:p>
        </w:tc>
        <w:tc>
          <w:tcPr>
            <w:tcW w:w="2553" w:type="dxa"/>
            <w:tcBorders>
              <w:bottom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288"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2837" w:type="dxa"/>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326"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2848" w:type="dxa"/>
            <w:vAlign w:val="center"/>
          </w:tcPr>
          <w:p w:rsidR="00013EC7" w:rsidRDefault="00575CDB">
            <w:pPr>
              <w:spacing w:line="280" w:lineRule="exact"/>
              <w:jc w:val="center"/>
              <w:rPr>
                <w:rFonts w:ascii="黑体" w:eastAsia="黑体"/>
                <w:sz w:val="24"/>
              </w:rPr>
            </w:pPr>
            <w:r>
              <w:rPr>
                <w:rFonts w:ascii="黑体" w:eastAsia="黑体" w:hint="eastAsia"/>
                <w:sz w:val="24"/>
              </w:rPr>
              <w:t>办理方式及材料</w:t>
            </w:r>
          </w:p>
          <w:p w:rsidR="00013EC7" w:rsidRDefault="00575CDB">
            <w:pPr>
              <w:spacing w:line="280" w:lineRule="exact"/>
              <w:jc w:val="center"/>
              <w:rPr>
                <w:rFonts w:ascii="黑体" w:eastAsia="黑体"/>
                <w:sz w:val="24"/>
              </w:rPr>
            </w:pPr>
            <w:r>
              <w:rPr>
                <w:rFonts w:ascii="黑体" w:eastAsia="黑体" w:hint="eastAsia"/>
                <w:sz w:val="24"/>
              </w:rPr>
              <w:t>信息获取方式说明</w:t>
            </w:r>
          </w:p>
        </w:tc>
        <w:tc>
          <w:tcPr>
            <w:tcW w:w="868" w:type="dxa"/>
            <w:vAlign w:val="center"/>
          </w:tcPr>
          <w:p w:rsidR="00013EC7" w:rsidRDefault="00575CDB">
            <w:pPr>
              <w:spacing w:line="280" w:lineRule="exact"/>
              <w:jc w:val="center"/>
              <w:rPr>
                <w:rFonts w:ascii="黑体" w:eastAsia="黑体"/>
                <w:sz w:val="24"/>
              </w:rPr>
            </w:pPr>
            <w:r>
              <w:rPr>
                <w:rFonts w:ascii="黑体" w:eastAsia="黑体" w:hint="eastAsia"/>
                <w:sz w:val="24"/>
              </w:rPr>
              <w:t>优化前</w:t>
            </w:r>
          </w:p>
        </w:tc>
        <w:tc>
          <w:tcPr>
            <w:tcW w:w="798" w:type="dxa"/>
            <w:vAlign w:val="center"/>
          </w:tcPr>
          <w:p w:rsidR="00013EC7" w:rsidRDefault="00575CDB">
            <w:pPr>
              <w:spacing w:line="280" w:lineRule="exact"/>
              <w:jc w:val="center"/>
              <w:rPr>
                <w:rFonts w:ascii="黑体" w:eastAsia="黑体"/>
                <w:sz w:val="24"/>
              </w:rPr>
            </w:pPr>
            <w:r>
              <w:rPr>
                <w:rFonts w:ascii="黑体" w:eastAsia="黑体" w:hint="eastAsia"/>
                <w:sz w:val="24"/>
              </w:rPr>
              <w:t>优化后</w:t>
            </w:r>
          </w:p>
        </w:tc>
        <w:tc>
          <w:tcPr>
            <w:tcW w:w="958" w:type="dxa"/>
            <w:vMerge/>
            <w:vAlign w:val="center"/>
          </w:tcPr>
          <w:p w:rsidR="00013EC7" w:rsidRDefault="00013EC7">
            <w:pPr>
              <w:rPr>
                <w:sz w:val="24"/>
              </w:rPr>
            </w:pPr>
          </w:p>
        </w:tc>
        <w:tc>
          <w:tcPr>
            <w:tcW w:w="1104" w:type="dxa"/>
            <w:vMerge/>
            <w:vAlign w:val="center"/>
          </w:tcPr>
          <w:p w:rsidR="00013EC7" w:rsidRDefault="00013EC7">
            <w:pPr>
              <w:rPr>
                <w:sz w:val="24"/>
              </w:rPr>
            </w:pPr>
          </w:p>
        </w:tc>
        <w:tc>
          <w:tcPr>
            <w:tcW w:w="1476" w:type="dxa"/>
            <w:vMerge/>
            <w:vAlign w:val="center"/>
          </w:tcPr>
          <w:p w:rsidR="00013EC7" w:rsidRDefault="00013EC7">
            <w:pPr>
              <w:rPr>
                <w:sz w:val="24"/>
              </w:rPr>
            </w:pPr>
          </w:p>
        </w:tc>
      </w:tr>
      <w:tr w:rsidR="00013EC7">
        <w:trPr>
          <w:trHeight w:val="2943"/>
          <w:jc w:val="center"/>
        </w:trPr>
        <w:tc>
          <w:tcPr>
            <w:tcW w:w="672" w:type="dxa"/>
            <w:vAlign w:val="center"/>
          </w:tcPr>
          <w:p w:rsidR="00013EC7" w:rsidRDefault="00575CDB">
            <w:pPr>
              <w:rPr>
                <w:rFonts w:ascii="仿宋" w:eastAsia="仿宋" w:hAnsi="仿宋"/>
                <w:sz w:val="24"/>
              </w:rPr>
            </w:pPr>
            <w:r>
              <w:rPr>
                <w:rFonts w:ascii="仿宋" w:eastAsia="仿宋" w:hAnsi="仿宋" w:hint="eastAsia"/>
                <w:sz w:val="24"/>
              </w:rPr>
              <w:t>17</w:t>
            </w:r>
            <w:r>
              <w:rPr>
                <w:rFonts w:ascii="仿宋" w:eastAsia="仿宋" w:hAnsi="仿宋"/>
                <w:sz w:val="24"/>
              </w:rPr>
              <w:t>.日常税费申报</w:t>
            </w:r>
          </w:p>
        </w:tc>
        <w:tc>
          <w:tcPr>
            <w:tcW w:w="1035" w:type="dxa"/>
            <w:vAlign w:val="center"/>
          </w:tcPr>
          <w:p w:rsidR="00013EC7" w:rsidRDefault="00575CDB">
            <w:pPr>
              <w:rPr>
                <w:rFonts w:ascii="仿宋" w:eastAsia="仿宋" w:hAnsi="仿宋"/>
                <w:sz w:val="24"/>
              </w:rPr>
            </w:pPr>
            <w:r>
              <w:rPr>
                <w:rFonts w:ascii="仿宋" w:eastAsia="仿宋" w:hAnsi="仿宋"/>
                <w:sz w:val="24"/>
              </w:rPr>
              <w:t>1</w:t>
            </w:r>
            <w:r>
              <w:rPr>
                <w:rFonts w:ascii="仿宋" w:eastAsia="仿宋" w:hAnsi="仿宋" w:hint="eastAsia"/>
                <w:sz w:val="24"/>
              </w:rPr>
              <w:t>7</w:t>
            </w:r>
            <w:r>
              <w:rPr>
                <w:rFonts w:ascii="仿宋" w:eastAsia="仿宋" w:hAnsi="仿宋"/>
                <w:sz w:val="24"/>
              </w:rPr>
              <w:t>.19</w:t>
            </w:r>
            <w:r>
              <w:rPr>
                <w:rFonts w:ascii="仿宋" w:eastAsia="仿宋" w:hAnsi="仿宋" w:hint="eastAsia"/>
                <w:sz w:val="24"/>
              </w:rPr>
              <w:t>废弃电器电子产品处理基金申报</w:t>
            </w:r>
          </w:p>
        </w:tc>
        <w:tc>
          <w:tcPr>
            <w:tcW w:w="2829" w:type="dxa"/>
            <w:vAlign w:val="center"/>
          </w:tcPr>
          <w:p w:rsidR="00013EC7" w:rsidRDefault="00575CDB">
            <w:pPr>
              <w:rPr>
                <w:rFonts w:ascii="仿宋" w:eastAsia="仿宋" w:hAnsi="仿宋"/>
                <w:sz w:val="24"/>
              </w:rPr>
            </w:pPr>
            <w:r>
              <w:rPr>
                <w:rFonts w:ascii="仿宋" w:eastAsia="仿宋" w:hAnsi="仿宋"/>
                <w:sz w:val="24"/>
              </w:rPr>
              <w:t>（一）《财政部 环境保护部 国家发展改革委工业和信息化部 海关总署 国家税务总局关于印发〈废弃电器电子产品处理基金征收使用管理办法〉的通知》（财综〔2012〕34号）</w:t>
            </w:r>
            <w:r>
              <w:rPr>
                <w:rFonts w:ascii="仿宋" w:eastAsia="仿宋" w:hAnsi="仿宋" w:hint="eastAsia"/>
                <w:sz w:val="24"/>
              </w:rPr>
              <w:t>全文</w:t>
            </w:r>
            <w:r>
              <w:rPr>
                <w:rFonts w:ascii="仿宋" w:eastAsia="仿宋" w:hAnsi="仿宋"/>
                <w:sz w:val="24"/>
              </w:rPr>
              <w:t>。</w:t>
            </w:r>
          </w:p>
          <w:p w:rsidR="00013EC7" w:rsidRDefault="00575CDB">
            <w:pPr>
              <w:rPr>
                <w:rFonts w:ascii="仿宋" w:eastAsia="仿宋" w:hAnsi="仿宋"/>
                <w:sz w:val="24"/>
              </w:rPr>
            </w:pPr>
            <w:r>
              <w:rPr>
                <w:rFonts w:ascii="仿宋" w:eastAsia="仿宋" w:hAnsi="仿宋"/>
                <w:sz w:val="24"/>
              </w:rPr>
              <w:t>（二）《国家税务总局关于发布〈废弃电器电子产品处理基金征收管理规定〉的公告》（国家税务总局公告2012年第41号）</w:t>
            </w:r>
            <w:r>
              <w:rPr>
                <w:rFonts w:ascii="仿宋" w:eastAsia="仿宋" w:hAnsi="仿宋" w:hint="eastAsia"/>
                <w:sz w:val="24"/>
              </w:rPr>
              <w:t>全文</w:t>
            </w:r>
            <w:r>
              <w:rPr>
                <w:rFonts w:ascii="仿宋" w:eastAsia="仿宋" w:hAnsi="仿宋"/>
                <w:sz w:val="24"/>
              </w:rPr>
              <w:t>。</w:t>
            </w:r>
          </w:p>
          <w:p w:rsidR="00013EC7" w:rsidRDefault="00575CDB">
            <w:pPr>
              <w:rPr>
                <w:rFonts w:ascii="仿宋" w:eastAsia="仿宋" w:hAnsi="仿宋"/>
                <w:sz w:val="24"/>
              </w:rPr>
            </w:pPr>
            <w:r>
              <w:rPr>
                <w:rFonts w:ascii="仿宋" w:eastAsia="仿宋" w:hAnsi="仿宋"/>
                <w:sz w:val="24"/>
              </w:rPr>
              <w:t>（三）《财政部 国家税务总局关于进一步明确废弃电器电子产品处理基金征收产品范围的通知》（财综〔2012〕80号）</w:t>
            </w:r>
            <w:r>
              <w:rPr>
                <w:rFonts w:ascii="仿宋" w:eastAsia="仿宋" w:hAnsi="仿宋" w:hint="eastAsia"/>
                <w:sz w:val="24"/>
              </w:rPr>
              <w:t>全文</w:t>
            </w:r>
            <w:r>
              <w:rPr>
                <w:rFonts w:ascii="仿宋" w:eastAsia="仿宋" w:hAnsi="仿宋"/>
                <w:sz w:val="24"/>
              </w:rPr>
              <w:t>。</w:t>
            </w:r>
          </w:p>
          <w:p w:rsidR="00013EC7" w:rsidRDefault="00575CDB">
            <w:pPr>
              <w:rPr>
                <w:rFonts w:ascii="仿宋" w:eastAsia="仿宋" w:hAnsi="仿宋"/>
                <w:sz w:val="24"/>
              </w:rPr>
            </w:pPr>
            <w:r>
              <w:rPr>
                <w:rFonts w:ascii="仿宋" w:eastAsia="仿宋" w:hAnsi="仿宋"/>
                <w:sz w:val="24"/>
              </w:rPr>
              <w:t>（四）《国家税务总局关于修订〈废弃电器电子产品处理基金申报表〉的公告》（国家税务总局公告2015年</w:t>
            </w:r>
            <w:r>
              <w:rPr>
                <w:rFonts w:ascii="仿宋" w:eastAsia="仿宋" w:hAnsi="仿宋" w:hint="eastAsia"/>
                <w:sz w:val="24"/>
              </w:rPr>
              <w:t>第</w:t>
            </w:r>
            <w:r>
              <w:rPr>
                <w:rFonts w:ascii="仿宋" w:eastAsia="仿宋" w:hAnsi="仿宋"/>
                <w:sz w:val="24"/>
              </w:rPr>
              <w:t>62号）</w:t>
            </w:r>
            <w:r>
              <w:rPr>
                <w:rFonts w:ascii="仿宋" w:eastAsia="仿宋" w:hAnsi="仿宋" w:hint="eastAsia"/>
                <w:sz w:val="24"/>
              </w:rPr>
              <w:t>全文</w:t>
            </w:r>
            <w:r>
              <w:rPr>
                <w:rFonts w:ascii="仿宋" w:eastAsia="仿宋" w:hAnsi="仿宋"/>
                <w:sz w:val="24"/>
              </w:rPr>
              <w:t>。</w:t>
            </w:r>
          </w:p>
          <w:p w:rsidR="00013EC7" w:rsidRDefault="00575CDB">
            <w:pPr>
              <w:rPr>
                <w:rFonts w:ascii="仿宋" w:eastAsia="仿宋" w:hAnsi="仿宋"/>
                <w:sz w:val="24"/>
              </w:rPr>
            </w:pPr>
            <w:r>
              <w:rPr>
                <w:rFonts w:ascii="仿宋" w:eastAsia="仿宋" w:hAnsi="仿宋"/>
                <w:sz w:val="24"/>
              </w:rPr>
              <w:t>（五）《财政部国家税务总局海关总署关于进（来）料受托加工复出口免征基金有关问题公告》（财政部国家税务总局海关总署公告2014年第29号）</w:t>
            </w:r>
            <w:r>
              <w:rPr>
                <w:rFonts w:ascii="仿宋" w:eastAsia="仿宋" w:hAnsi="仿宋" w:hint="eastAsia"/>
                <w:sz w:val="24"/>
              </w:rPr>
              <w:t>全文</w:t>
            </w:r>
            <w:r>
              <w:rPr>
                <w:rFonts w:ascii="仿宋" w:eastAsia="仿宋" w:hAnsi="仿宋"/>
                <w:sz w:val="24"/>
              </w:rPr>
              <w:t>。</w:t>
            </w:r>
          </w:p>
        </w:tc>
        <w:tc>
          <w:tcPr>
            <w:tcW w:w="2553" w:type="dxa"/>
            <w:tcBorders>
              <w:top w:val="single" w:sz="4" w:space="0" w:color="auto"/>
            </w:tcBorders>
            <w:vAlign w:val="center"/>
          </w:tcPr>
          <w:p w:rsidR="00013EC7" w:rsidRDefault="00575CDB">
            <w:pPr>
              <w:rPr>
                <w:rFonts w:ascii="仿宋" w:eastAsia="仿宋" w:hAnsi="仿宋"/>
                <w:sz w:val="24"/>
              </w:rPr>
            </w:pPr>
            <w:r>
              <w:rPr>
                <w:rFonts w:ascii="仿宋" w:eastAsia="仿宋" w:hAnsi="仿宋" w:hint="eastAsia"/>
                <w:sz w:val="24"/>
              </w:rPr>
              <w:t>（一）</w:t>
            </w:r>
            <w:r>
              <w:rPr>
                <w:rFonts w:ascii="仿宋" w:eastAsia="仿宋" w:hAnsi="仿宋"/>
                <w:sz w:val="24"/>
                <w:highlight w:val="lightGray"/>
              </w:rPr>
              <w:t>（A06339）《废弃电器电子产品处理基金申报表》2份或</w:t>
            </w:r>
            <w:r>
              <w:rPr>
                <w:rFonts w:ascii="仿宋" w:eastAsia="仿宋" w:hAnsi="仿宋"/>
                <w:sz w:val="24"/>
              </w:rPr>
              <w:t>（A06679）《废弃电器电子产品处理基金申报表（2015年版）》</w:t>
            </w:r>
            <w:r>
              <w:rPr>
                <w:rFonts w:ascii="仿宋" w:eastAsia="仿宋" w:hAnsi="仿宋"/>
                <w:sz w:val="24"/>
                <w:highlight w:val="lightGray"/>
              </w:rPr>
              <w:t>2份</w:t>
            </w:r>
            <w:r>
              <w:rPr>
                <w:rFonts w:ascii="仿宋" w:eastAsia="仿宋" w:hAnsi="仿宋"/>
                <w:sz w:val="24"/>
              </w:rPr>
              <w:t>（2016年3月1日起）</w:t>
            </w:r>
            <w:r>
              <w:rPr>
                <w:rFonts w:ascii="仿宋" w:eastAsia="仿宋" w:hAnsi="仿宋" w:hint="eastAsia"/>
                <w:sz w:val="24"/>
              </w:rPr>
              <w:t>。</w:t>
            </w:r>
          </w:p>
        </w:tc>
        <w:tc>
          <w:tcPr>
            <w:tcW w:w="1288" w:type="dxa"/>
            <w:vAlign w:val="center"/>
          </w:tcPr>
          <w:p w:rsidR="00013EC7" w:rsidRDefault="00575CDB">
            <w:pPr>
              <w:spacing w:line="300" w:lineRule="exact"/>
              <w:rPr>
                <w:rFonts w:ascii="仿宋" w:eastAsia="仿宋" w:hAnsi="仿宋"/>
                <w:sz w:val="24"/>
              </w:rPr>
            </w:pPr>
            <w:r>
              <w:rPr>
                <w:rFonts w:ascii="仿宋" w:eastAsia="仿宋" w:hAnsi="仿宋" w:hint="eastAsia"/>
                <w:sz w:val="24"/>
              </w:rPr>
              <w:t>纳税人提交</w:t>
            </w:r>
          </w:p>
        </w:tc>
        <w:tc>
          <w:tcPr>
            <w:tcW w:w="2837" w:type="dxa"/>
            <w:vAlign w:val="center"/>
          </w:tcPr>
          <w:p w:rsidR="00013EC7" w:rsidRDefault="00575CDB">
            <w:pPr>
              <w:rPr>
                <w:rFonts w:ascii="仿宋" w:eastAsia="仿宋" w:hAnsi="仿宋"/>
                <w:sz w:val="24"/>
              </w:rPr>
            </w:pPr>
            <w:r>
              <w:rPr>
                <w:rFonts w:ascii="仿宋" w:eastAsia="仿宋" w:hAnsi="仿宋" w:hint="eastAsia"/>
                <w:sz w:val="24"/>
              </w:rPr>
              <w:t>（一）</w:t>
            </w:r>
            <w:r>
              <w:rPr>
                <w:rFonts w:ascii="仿宋" w:eastAsia="仿宋" w:hAnsi="仿宋"/>
                <w:sz w:val="24"/>
              </w:rPr>
              <w:t>（A06679）《废弃电器电子产品处理基金申报表（2015年版）》1份。</w:t>
            </w:r>
          </w:p>
          <w:p w:rsidR="00013EC7" w:rsidRDefault="00013EC7">
            <w:pPr>
              <w:rPr>
                <w:rFonts w:ascii="仿宋" w:eastAsia="仿宋" w:hAnsi="仿宋"/>
                <w:sz w:val="24"/>
              </w:rPr>
            </w:pPr>
          </w:p>
        </w:tc>
        <w:tc>
          <w:tcPr>
            <w:tcW w:w="1326" w:type="dxa"/>
            <w:vAlign w:val="center"/>
          </w:tcPr>
          <w:p w:rsidR="00013EC7" w:rsidRDefault="00575CDB">
            <w:pPr>
              <w:spacing w:line="300" w:lineRule="exact"/>
              <w:rPr>
                <w:rFonts w:ascii="仿宋" w:eastAsia="仿宋" w:hAnsi="仿宋"/>
                <w:b/>
                <w:bCs/>
                <w:i/>
                <w:iCs/>
                <w:sz w:val="24"/>
              </w:rPr>
            </w:pPr>
            <w:r>
              <w:rPr>
                <w:rFonts w:ascii="仿宋" w:eastAsia="仿宋" w:hAnsi="仿宋" w:hint="eastAsia"/>
                <w:sz w:val="24"/>
              </w:rPr>
              <w:t>纳税人提交</w:t>
            </w:r>
          </w:p>
        </w:tc>
        <w:tc>
          <w:tcPr>
            <w:tcW w:w="2848" w:type="dxa"/>
            <w:vAlign w:val="center"/>
          </w:tcPr>
          <w:p w:rsidR="00013EC7" w:rsidRDefault="00575CDB">
            <w:pPr>
              <w:spacing w:line="300" w:lineRule="exact"/>
              <w:rPr>
                <w:rFonts w:ascii="仿宋" w:eastAsia="仿宋" w:hAnsi="仿宋"/>
                <w:sz w:val="24"/>
              </w:rPr>
            </w:pPr>
            <w:r>
              <w:rPr>
                <w:rFonts w:ascii="仿宋" w:eastAsia="仿宋" w:hAnsi="仿宋"/>
                <w:b/>
                <w:sz w:val="24"/>
              </w:rPr>
              <w:t>现场办理：</w:t>
            </w:r>
            <w:r>
              <w:rPr>
                <w:rFonts w:ascii="仿宋" w:eastAsia="仿宋" w:hAnsi="仿宋" w:hint="eastAsia"/>
                <w:sz w:val="24"/>
              </w:rPr>
              <w:t>纳税人</w:t>
            </w:r>
            <w:r>
              <w:rPr>
                <w:rFonts w:ascii="仿宋" w:eastAsia="仿宋" w:hAnsi="仿宋"/>
                <w:sz w:val="24"/>
              </w:rPr>
              <w:t>提交书面材料。</w:t>
            </w:r>
          </w:p>
          <w:p w:rsidR="00013EC7" w:rsidRDefault="00575CDB">
            <w:pPr>
              <w:spacing w:line="300" w:lineRule="exact"/>
              <w:rPr>
                <w:rFonts w:ascii="仿宋" w:eastAsia="仿宋" w:hAnsi="仿宋"/>
                <w:sz w:val="24"/>
              </w:rPr>
            </w:pPr>
            <w:r>
              <w:rPr>
                <w:rFonts w:ascii="仿宋" w:eastAsia="仿宋" w:hAnsi="仿宋" w:hint="eastAsia"/>
                <w:b/>
                <w:sz w:val="24"/>
              </w:rPr>
              <w:t>网上办理：</w:t>
            </w:r>
            <w:r>
              <w:rPr>
                <w:rFonts w:ascii="仿宋" w:eastAsia="仿宋" w:hAnsi="仿宋" w:hint="eastAsia"/>
                <w:sz w:val="24"/>
              </w:rPr>
              <w:t>登录浙江国税电子税务局（网址：</w:t>
            </w:r>
            <w:hyperlink r:id="rId308" w:tgtFrame="https://wx.qq.com/_blank" w:history="1">
              <w:r>
                <w:rPr>
                  <w:rFonts w:ascii="仿宋" w:eastAsia="仿宋" w:hAnsi="仿宋" w:hint="eastAsia"/>
                  <w:sz w:val="24"/>
                </w:rPr>
                <w:t>http://etax.zjtax.gov.cn/</w:t>
              </w:r>
            </w:hyperlink>
            <w:r>
              <w:rPr>
                <w:rFonts w:ascii="仿宋" w:eastAsia="仿宋" w:hAnsi="仿宋" w:hint="eastAsia"/>
                <w:sz w:val="24"/>
              </w:rPr>
              <w:t>）提交申请。</w:t>
            </w:r>
          </w:p>
        </w:tc>
        <w:tc>
          <w:tcPr>
            <w:tcW w:w="868" w:type="dxa"/>
            <w:vAlign w:val="center"/>
          </w:tcPr>
          <w:p w:rsidR="00013EC7" w:rsidRDefault="00575CDB">
            <w:pPr>
              <w:spacing w:line="300" w:lineRule="exact"/>
              <w:rPr>
                <w:rFonts w:ascii="仿宋" w:eastAsia="仿宋" w:hAnsi="仿宋"/>
                <w:sz w:val="24"/>
              </w:rPr>
            </w:pPr>
            <w:r>
              <w:rPr>
                <w:rFonts w:ascii="仿宋" w:eastAsia="仿宋" w:hAnsi="仿宋" w:hint="eastAsia"/>
                <w:sz w:val="24"/>
              </w:rPr>
              <w:t>即时办结</w:t>
            </w:r>
          </w:p>
        </w:tc>
        <w:tc>
          <w:tcPr>
            <w:tcW w:w="798" w:type="dxa"/>
            <w:vAlign w:val="center"/>
          </w:tcPr>
          <w:p w:rsidR="00013EC7" w:rsidRDefault="00575CDB">
            <w:pPr>
              <w:spacing w:line="300" w:lineRule="exact"/>
              <w:rPr>
                <w:rFonts w:ascii="仿宋" w:eastAsia="仿宋" w:hAnsi="仿宋"/>
                <w:sz w:val="24"/>
              </w:rPr>
            </w:pPr>
            <w:r>
              <w:rPr>
                <w:rFonts w:ascii="仿宋" w:eastAsia="仿宋" w:hAnsi="仿宋" w:hint="eastAsia"/>
                <w:sz w:val="24"/>
              </w:rPr>
              <w:t>即时办结</w:t>
            </w:r>
          </w:p>
        </w:tc>
        <w:tc>
          <w:tcPr>
            <w:tcW w:w="958" w:type="dxa"/>
            <w:vAlign w:val="center"/>
          </w:tcPr>
          <w:p w:rsidR="00013EC7" w:rsidRDefault="00575CDB">
            <w:pPr>
              <w:spacing w:line="300" w:lineRule="exact"/>
              <w:rPr>
                <w:rFonts w:ascii="仿宋" w:eastAsia="仿宋" w:hAnsi="仿宋"/>
                <w:sz w:val="24"/>
              </w:rPr>
            </w:pPr>
            <w:r>
              <w:rPr>
                <w:rFonts w:ascii="仿宋" w:eastAsia="仿宋" w:hAnsi="仿宋" w:hint="eastAsia"/>
                <w:sz w:val="24"/>
              </w:rPr>
              <w:t>是</w:t>
            </w:r>
          </w:p>
        </w:tc>
        <w:tc>
          <w:tcPr>
            <w:tcW w:w="1104" w:type="dxa"/>
            <w:vAlign w:val="center"/>
          </w:tcPr>
          <w:p w:rsidR="00013EC7" w:rsidRDefault="00575CDB">
            <w:pPr>
              <w:spacing w:line="300" w:lineRule="exact"/>
              <w:rPr>
                <w:rFonts w:ascii="仿宋" w:eastAsia="仿宋" w:hAnsi="仿宋"/>
                <w:sz w:val="24"/>
              </w:rPr>
            </w:pPr>
            <w:r>
              <w:rPr>
                <w:rFonts w:ascii="仿宋" w:eastAsia="仿宋" w:hAnsi="仿宋" w:hint="eastAsia"/>
                <w:sz w:val="24"/>
              </w:rPr>
              <w:t>征管科技处</w:t>
            </w:r>
          </w:p>
        </w:tc>
        <w:tc>
          <w:tcPr>
            <w:tcW w:w="1476" w:type="dxa"/>
            <w:vAlign w:val="center"/>
          </w:tcPr>
          <w:p w:rsidR="00013EC7" w:rsidRDefault="00013EC7">
            <w:pPr>
              <w:spacing w:line="300" w:lineRule="exact"/>
              <w:rPr>
                <w:rFonts w:ascii="仿宋" w:eastAsia="仿宋" w:hAnsi="仿宋"/>
                <w:sz w:val="24"/>
              </w:rPr>
            </w:pPr>
          </w:p>
        </w:tc>
      </w:tr>
    </w:tbl>
    <w:p w:rsidR="00013EC7" w:rsidRDefault="00013EC7">
      <w:pPr>
        <w:ind w:firstLineChars="100" w:firstLine="210"/>
        <w:rPr>
          <w:rFonts w:eastAsia="方正书宋简体"/>
          <w:szCs w:val="21"/>
        </w:rPr>
      </w:pPr>
    </w:p>
    <w:p w:rsidR="00013EC7" w:rsidRDefault="00013EC7"/>
    <w:p w:rsidR="00013EC7" w:rsidRDefault="005262E6">
      <w:pPr>
        <w:rPr>
          <w:rFonts w:ascii="仿宋" w:eastAsia="仿宋" w:hAnsi="仿宋" w:cs="仿宋"/>
          <w:sz w:val="24"/>
        </w:rPr>
      </w:pPr>
      <w:r>
        <w:rPr>
          <w:rFonts w:ascii="宋体" w:hAnsi="宋体" w:cs="宋体"/>
          <w:b/>
          <w:szCs w:val="21"/>
        </w:rPr>
        <w:lastRenderedPageBreak/>
        <w:object w:dxaOrig="1440" w:dyaOrig="1440">
          <v:shape id="_x0000_s1380" type="#_x0000_t75" style="position:absolute;left:0;text-align:left;margin-left:579.4pt;margin-top:83.85pt;width:409.5pt;height:571.5pt;z-index:251703296;mso-wrap-distance-top:0;mso-wrap-distance-bottom:0;mso-position-vertical-relative:page;mso-width-relative:page;mso-height-relative:page">
            <v:imagedata r:id="rId309" o:title=""/>
            <o:lock v:ext="edit" aspectratio="f"/>
            <w10:wrap type="topAndBottom" anchory="page"/>
          </v:shape>
          <o:OLEObject Type="Embed" ProgID="Visio.Drawing.11" ShapeID="_x0000_s1380" DrawAspect="Content" ObjectID="_1577296260" r:id="rId310"/>
        </w:object>
      </w:r>
      <w:r>
        <w:object w:dxaOrig="1440" w:dyaOrig="1440">
          <v:shape id="_x0000_s1379" type="#_x0000_t75" style="position:absolute;left:0;text-align:left;margin-left:0;margin-top:86.4pt;width:501.6pt;height:597.9pt;z-index:251702272;mso-wrap-distance-top:0;mso-wrap-distance-bottom:0;mso-position-vertical-relative:page;mso-width-relative:page;mso-height-relative:page">
            <v:imagedata r:id="rId311" o:title=""/>
            <w10:wrap type="topAndBottom" anchory="page"/>
          </v:shape>
          <o:OLEObject Type="Embed" ProgID="Visio.Drawing.11" ShapeID="_x0000_s1379" DrawAspect="Content" ObjectID="_1577296261" r:id="rId312"/>
        </w:object>
      </w:r>
    </w:p>
    <w:p w:rsidR="00013EC7" w:rsidRDefault="00013EC7">
      <w:pPr>
        <w:jc w:val="left"/>
        <w:rPr>
          <w:rFonts w:ascii="宋体" w:hAnsi="宋体" w:cs="宋体"/>
          <w:bCs/>
          <w:sz w:val="28"/>
          <w:szCs w:val="28"/>
        </w:rPr>
        <w:sectPr w:rsidR="00013EC7">
          <w:pgSz w:w="23814" w:h="16840" w:orient="landscape"/>
          <w:pgMar w:top="1701" w:right="1843" w:bottom="1985" w:left="1843" w:header="851" w:footer="1701" w:gutter="0"/>
          <w:pgNumType w:fmt="numberInDash"/>
          <w:cols w:space="720"/>
          <w:docGrid w:type="lines" w:linePitch="312"/>
        </w:sectPr>
      </w:pPr>
    </w:p>
    <w:p w:rsidR="00013EC7" w:rsidRDefault="00575CDB">
      <w:pPr>
        <w:pStyle w:val="2"/>
      </w:pPr>
      <w:bookmarkStart w:id="376" w:name="_Toc11492"/>
      <w:bookmarkStart w:id="377" w:name="_Toc1505"/>
      <w:bookmarkStart w:id="378" w:name="_Toc503467440"/>
      <w:bookmarkStart w:id="379" w:name="_Toc406"/>
      <w:r>
        <w:rPr>
          <w:rFonts w:hint="eastAsia"/>
        </w:rPr>
        <w:lastRenderedPageBreak/>
        <w:t>17.20</w:t>
      </w:r>
      <w:r>
        <w:rPr>
          <w:rFonts w:hint="eastAsia"/>
        </w:rPr>
        <w:t>文化事业建设费申报</w:t>
      </w:r>
      <w:bookmarkEnd w:id="376"/>
      <w:bookmarkEnd w:id="377"/>
      <w:bookmarkEnd w:id="378"/>
      <w:bookmarkEnd w:id="379"/>
    </w:p>
    <w:p w:rsidR="00013EC7" w:rsidRDefault="00575CDB">
      <w:pPr>
        <w:jc w:val="center"/>
        <w:rPr>
          <w:rFonts w:ascii="宋体" w:hAnsi="宋体" w:cs="宋体"/>
          <w:b/>
          <w:bCs/>
          <w:sz w:val="52"/>
          <w:szCs w:val="52"/>
        </w:rPr>
      </w:pPr>
      <w:r>
        <w:rPr>
          <w:rFonts w:ascii="宋体" w:hAnsi="宋体" w:cs="宋体" w:hint="eastAsia"/>
          <w:b/>
          <w:bCs/>
          <w:sz w:val="52"/>
          <w:szCs w:val="52"/>
        </w:rPr>
        <w:t>全省“最多跑一次”事项“八统一”梳理表</w:t>
      </w:r>
    </w:p>
    <w:tbl>
      <w:tblPr>
        <w:tblW w:w="20592"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2622"/>
        <w:gridCol w:w="2760"/>
        <w:gridCol w:w="1288"/>
        <w:gridCol w:w="2837"/>
        <w:gridCol w:w="1326"/>
        <w:gridCol w:w="2848"/>
        <w:gridCol w:w="868"/>
        <w:gridCol w:w="798"/>
        <w:gridCol w:w="958"/>
        <w:gridCol w:w="1104"/>
        <w:gridCol w:w="1476"/>
      </w:tblGrid>
      <w:tr w:rsidR="00013EC7">
        <w:trPr>
          <w:trHeight w:val="340"/>
          <w:tblHeader/>
          <w:jc w:val="center"/>
        </w:trPr>
        <w:tc>
          <w:tcPr>
            <w:tcW w:w="672"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主项名称</w:t>
            </w:r>
          </w:p>
        </w:tc>
        <w:tc>
          <w:tcPr>
            <w:tcW w:w="1035"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子项名称</w:t>
            </w:r>
          </w:p>
        </w:tc>
        <w:tc>
          <w:tcPr>
            <w:tcW w:w="2622"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经办依据</w:t>
            </w:r>
          </w:p>
        </w:tc>
        <w:tc>
          <w:tcPr>
            <w:tcW w:w="4048"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原经办所需材料</w:t>
            </w:r>
          </w:p>
        </w:tc>
        <w:tc>
          <w:tcPr>
            <w:tcW w:w="7011" w:type="dxa"/>
            <w:gridSpan w:val="3"/>
            <w:vAlign w:val="center"/>
          </w:tcPr>
          <w:p w:rsidR="00013EC7" w:rsidRDefault="00575CDB">
            <w:pPr>
              <w:spacing w:line="280" w:lineRule="exact"/>
              <w:jc w:val="center"/>
              <w:rPr>
                <w:rFonts w:ascii="黑体" w:eastAsia="黑体"/>
                <w:sz w:val="24"/>
              </w:rPr>
            </w:pPr>
            <w:r>
              <w:rPr>
                <w:rFonts w:ascii="黑体" w:eastAsia="黑体" w:hint="eastAsia"/>
                <w:sz w:val="24"/>
              </w:rPr>
              <w:t>精简后经办所需材料</w:t>
            </w:r>
          </w:p>
        </w:tc>
        <w:tc>
          <w:tcPr>
            <w:tcW w:w="1666"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办理时限</w:t>
            </w:r>
          </w:p>
        </w:tc>
        <w:tc>
          <w:tcPr>
            <w:tcW w:w="958"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是否实现跑零次</w:t>
            </w:r>
          </w:p>
        </w:tc>
        <w:tc>
          <w:tcPr>
            <w:tcW w:w="1104"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省厅对口</w:t>
            </w:r>
          </w:p>
          <w:p w:rsidR="00013EC7" w:rsidRDefault="00575CDB">
            <w:pPr>
              <w:spacing w:line="280" w:lineRule="exact"/>
              <w:jc w:val="center"/>
              <w:rPr>
                <w:rFonts w:ascii="黑体" w:eastAsia="黑体"/>
                <w:sz w:val="24"/>
              </w:rPr>
            </w:pPr>
            <w:r>
              <w:rPr>
                <w:rFonts w:ascii="黑体" w:eastAsia="黑体" w:hint="eastAsia"/>
                <w:sz w:val="24"/>
              </w:rPr>
              <w:t>指导处室</w:t>
            </w:r>
          </w:p>
          <w:p w:rsidR="00013EC7" w:rsidRDefault="00575CDB">
            <w:pPr>
              <w:spacing w:line="280" w:lineRule="exact"/>
              <w:jc w:val="center"/>
              <w:rPr>
                <w:rFonts w:ascii="黑体" w:eastAsia="黑体"/>
                <w:sz w:val="24"/>
              </w:rPr>
            </w:pPr>
            <w:r>
              <w:rPr>
                <w:rFonts w:ascii="黑体" w:eastAsia="黑体" w:hint="eastAsia"/>
                <w:sz w:val="24"/>
              </w:rPr>
              <w:t>（单位）</w:t>
            </w:r>
          </w:p>
        </w:tc>
        <w:tc>
          <w:tcPr>
            <w:tcW w:w="1476"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进一步精简、</w:t>
            </w:r>
          </w:p>
          <w:p w:rsidR="00013EC7" w:rsidRDefault="00575CDB">
            <w:pPr>
              <w:spacing w:line="280" w:lineRule="exact"/>
              <w:jc w:val="center"/>
              <w:rPr>
                <w:rFonts w:ascii="黑体" w:eastAsia="黑体"/>
                <w:sz w:val="24"/>
              </w:rPr>
            </w:pPr>
            <w:r>
              <w:rPr>
                <w:rFonts w:ascii="黑体" w:eastAsia="黑体" w:hint="eastAsia"/>
                <w:sz w:val="24"/>
              </w:rPr>
              <w:t>规范建议</w:t>
            </w:r>
          </w:p>
        </w:tc>
      </w:tr>
      <w:tr w:rsidR="00013EC7">
        <w:trPr>
          <w:trHeight w:val="340"/>
          <w:tblHeader/>
          <w:jc w:val="center"/>
        </w:trPr>
        <w:tc>
          <w:tcPr>
            <w:tcW w:w="672" w:type="dxa"/>
            <w:vMerge/>
            <w:vAlign w:val="center"/>
          </w:tcPr>
          <w:p w:rsidR="00013EC7" w:rsidRDefault="00013EC7">
            <w:pPr>
              <w:jc w:val="center"/>
              <w:rPr>
                <w:sz w:val="24"/>
              </w:rPr>
            </w:pPr>
          </w:p>
        </w:tc>
        <w:tc>
          <w:tcPr>
            <w:tcW w:w="1035" w:type="dxa"/>
            <w:vMerge/>
            <w:vAlign w:val="center"/>
          </w:tcPr>
          <w:p w:rsidR="00013EC7" w:rsidRDefault="00013EC7">
            <w:pPr>
              <w:jc w:val="center"/>
              <w:rPr>
                <w:sz w:val="24"/>
              </w:rPr>
            </w:pPr>
          </w:p>
        </w:tc>
        <w:tc>
          <w:tcPr>
            <w:tcW w:w="2622" w:type="dxa"/>
            <w:vMerge/>
            <w:vAlign w:val="center"/>
          </w:tcPr>
          <w:p w:rsidR="00013EC7" w:rsidRDefault="00013EC7">
            <w:pPr>
              <w:jc w:val="center"/>
              <w:rPr>
                <w:sz w:val="24"/>
              </w:rPr>
            </w:pPr>
          </w:p>
        </w:tc>
        <w:tc>
          <w:tcPr>
            <w:tcW w:w="2760" w:type="dxa"/>
            <w:tcBorders>
              <w:bottom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288"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2837" w:type="dxa"/>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326"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2848" w:type="dxa"/>
            <w:vAlign w:val="center"/>
          </w:tcPr>
          <w:p w:rsidR="00013EC7" w:rsidRDefault="00575CDB">
            <w:pPr>
              <w:spacing w:line="280" w:lineRule="exact"/>
              <w:jc w:val="center"/>
              <w:rPr>
                <w:rFonts w:ascii="黑体" w:eastAsia="黑体"/>
                <w:sz w:val="24"/>
              </w:rPr>
            </w:pPr>
            <w:r>
              <w:rPr>
                <w:rFonts w:ascii="黑体" w:eastAsia="黑体" w:hint="eastAsia"/>
                <w:sz w:val="24"/>
              </w:rPr>
              <w:t>办理方式及材料</w:t>
            </w:r>
          </w:p>
          <w:p w:rsidR="00013EC7" w:rsidRDefault="00575CDB">
            <w:pPr>
              <w:spacing w:line="280" w:lineRule="exact"/>
              <w:jc w:val="center"/>
              <w:rPr>
                <w:rFonts w:ascii="黑体" w:eastAsia="黑体"/>
                <w:sz w:val="24"/>
              </w:rPr>
            </w:pPr>
            <w:r>
              <w:rPr>
                <w:rFonts w:ascii="黑体" w:eastAsia="黑体" w:hint="eastAsia"/>
                <w:sz w:val="24"/>
              </w:rPr>
              <w:t>信息获取方式说明</w:t>
            </w:r>
          </w:p>
        </w:tc>
        <w:tc>
          <w:tcPr>
            <w:tcW w:w="868" w:type="dxa"/>
            <w:vAlign w:val="center"/>
          </w:tcPr>
          <w:p w:rsidR="00013EC7" w:rsidRDefault="00575CDB">
            <w:pPr>
              <w:spacing w:line="280" w:lineRule="exact"/>
              <w:jc w:val="center"/>
              <w:rPr>
                <w:rFonts w:ascii="黑体" w:eastAsia="黑体"/>
                <w:sz w:val="24"/>
              </w:rPr>
            </w:pPr>
            <w:r>
              <w:rPr>
                <w:rFonts w:ascii="黑体" w:eastAsia="黑体" w:hint="eastAsia"/>
                <w:sz w:val="24"/>
              </w:rPr>
              <w:t>优化前</w:t>
            </w:r>
          </w:p>
        </w:tc>
        <w:tc>
          <w:tcPr>
            <w:tcW w:w="798" w:type="dxa"/>
            <w:vAlign w:val="center"/>
          </w:tcPr>
          <w:p w:rsidR="00013EC7" w:rsidRDefault="00575CDB">
            <w:pPr>
              <w:spacing w:line="280" w:lineRule="exact"/>
              <w:jc w:val="center"/>
              <w:rPr>
                <w:rFonts w:ascii="黑体" w:eastAsia="黑体"/>
                <w:sz w:val="24"/>
              </w:rPr>
            </w:pPr>
            <w:r>
              <w:rPr>
                <w:rFonts w:ascii="黑体" w:eastAsia="黑体" w:hint="eastAsia"/>
                <w:sz w:val="24"/>
              </w:rPr>
              <w:t>优化后</w:t>
            </w:r>
          </w:p>
        </w:tc>
        <w:tc>
          <w:tcPr>
            <w:tcW w:w="958" w:type="dxa"/>
            <w:vMerge/>
            <w:vAlign w:val="center"/>
          </w:tcPr>
          <w:p w:rsidR="00013EC7" w:rsidRDefault="00013EC7">
            <w:pPr>
              <w:jc w:val="center"/>
              <w:rPr>
                <w:sz w:val="24"/>
              </w:rPr>
            </w:pPr>
          </w:p>
        </w:tc>
        <w:tc>
          <w:tcPr>
            <w:tcW w:w="1104" w:type="dxa"/>
            <w:vMerge/>
            <w:vAlign w:val="center"/>
          </w:tcPr>
          <w:p w:rsidR="00013EC7" w:rsidRDefault="00013EC7">
            <w:pPr>
              <w:jc w:val="center"/>
              <w:rPr>
                <w:sz w:val="24"/>
              </w:rPr>
            </w:pPr>
          </w:p>
        </w:tc>
        <w:tc>
          <w:tcPr>
            <w:tcW w:w="1476" w:type="dxa"/>
            <w:vMerge/>
            <w:vAlign w:val="center"/>
          </w:tcPr>
          <w:p w:rsidR="00013EC7" w:rsidRDefault="00013EC7">
            <w:pPr>
              <w:jc w:val="center"/>
              <w:rPr>
                <w:sz w:val="24"/>
              </w:rPr>
            </w:pPr>
          </w:p>
        </w:tc>
      </w:tr>
      <w:tr w:rsidR="00013EC7">
        <w:trPr>
          <w:trHeight w:val="2943"/>
          <w:jc w:val="center"/>
        </w:trPr>
        <w:tc>
          <w:tcPr>
            <w:tcW w:w="672" w:type="dxa"/>
            <w:vAlign w:val="center"/>
          </w:tcPr>
          <w:p w:rsidR="00013EC7" w:rsidRDefault="00575CDB">
            <w:pPr>
              <w:rPr>
                <w:rFonts w:ascii="仿宋" w:eastAsia="仿宋" w:hAnsi="仿宋"/>
                <w:sz w:val="24"/>
              </w:rPr>
            </w:pPr>
            <w:r>
              <w:rPr>
                <w:rFonts w:ascii="仿宋" w:eastAsia="仿宋" w:hAnsi="仿宋"/>
                <w:sz w:val="24"/>
              </w:rPr>
              <w:t>1</w:t>
            </w:r>
            <w:r>
              <w:rPr>
                <w:rFonts w:ascii="仿宋" w:eastAsia="仿宋" w:hAnsi="仿宋" w:hint="eastAsia"/>
                <w:sz w:val="24"/>
              </w:rPr>
              <w:t>7</w:t>
            </w:r>
            <w:r>
              <w:rPr>
                <w:rFonts w:ascii="仿宋" w:eastAsia="仿宋" w:hAnsi="仿宋"/>
                <w:sz w:val="24"/>
              </w:rPr>
              <w:t>日常税费申报</w:t>
            </w:r>
          </w:p>
        </w:tc>
        <w:tc>
          <w:tcPr>
            <w:tcW w:w="1035" w:type="dxa"/>
            <w:vAlign w:val="center"/>
          </w:tcPr>
          <w:p w:rsidR="00013EC7" w:rsidRDefault="00575CDB">
            <w:pPr>
              <w:rPr>
                <w:rFonts w:ascii="仿宋" w:eastAsia="仿宋" w:hAnsi="仿宋"/>
                <w:sz w:val="24"/>
              </w:rPr>
            </w:pPr>
            <w:r>
              <w:rPr>
                <w:rFonts w:ascii="仿宋" w:eastAsia="仿宋" w:hAnsi="仿宋"/>
                <w:sz w:val="24"/>
              </w:rPr>
              <w:t>1</w:t>
            </w:r>
            <w:r>
              <w:rPr>
                <w:rFonts w:ascii="仿宋" w:eastAsia="仿宋" w:hAnsi="仿宋" w:hint="eastAsia"/>
                <w:sz w:val="24"/>
              </w:rPr>
              <w:t>7</w:t>
            </w:r>
            <w:r>
              <w:rPr>
                <w:rFonts w:ascii="仿宋" w:eastAsia="仿宋" w:hAnsi="仿宋"/>
                <w:sz w:val="24"/>
              </w:rPr>
              <w:t>.20</w:t>
            </w:r>
            <w:r>
              <w:rPr>
                <w:rFonts w:ascii="仿宋" w:eastAsia="仿宋" w:hAnsi="仿宋" w:hint="eastAsia"/>
                <w:sz w:val="24"/>
              </w:rPr>
              <w:t>文化事业建设费申报</w:t>
            </w:r>
          </w:p>
        </w:tc>
        <w:tc>
          <w:tcPr>
            <w:tcW w:w="2622" w:type="dxa"/>
            <w:vAlign w:val="center"/>
          </w:tcPr>
          <w:p w:rsidR="00013EC7" w:rsidRDefault="00575CDB">
            <w:pPr>
              <w:rPr>
                <w:rFonts w:ascii="仿宋" w:eastAsia="仿宋" w:hAnsi="仿宋"/>
                <w:sz w:val="24"/>
              </w:rPr>
            </w:pPr>
            <w:r>
              <w:rPr>
                <w:rFonts w:ascii="仿宋" w:eastAsia="仿宋" w:hAnsi="仿宋" w:hint="eastAsia"/>
                <w:sz w:val="24"/>
              </w:rPr>
              <w:t>（一）《国家税务总局关于营业税改征增值税试点有关文化事业建设费登记与申报事项的公告》（国家税务总局公告2013年第64号）第二条。</w:t>
            </w:r>
          </w:p>
          <w:p w:rsidR="00013EC7" w:rsidRDefault="00575CDB">
            <w:pPr>
              <w:rPr>
                <w:rFonts w:ascii="仿宋" w:eastAsia="仿宋" w:hAnsi="仿宋"/>
                <w:sz w:val="24"/>
              </w:rPr>
            </w:pPr>
            <w:r>
              <w:rPr>
                <w:rFonts w:ascii="仿宋" w:eastAsia="仿宋" w:hAnsi="仿宋" w:hint="eastAsia"/>
                <w:sz w:val="24"/>
              </w:rPr>
              <w:t>（二）《财政部 国家税务总局关于对小微企业免征有关政府性基金的通知》（财税〔2014〕122号）第一条。</w:t>
            </w:r>
          </w:p>
          <w:p w:rsidR="00013EC7" w:rsidRDefault="00575CDB">
            <w:pPr>
              <w:rPr>
                <w:rFonts w:ascii="仿宋" w:eastAsia="仿宋" w:hAnsi="仿宋"/>
                <w:sz w:val="24"/>
              </w:rPr>
            </w:pPr>
            <w:r>
              <w:rPr>
                <w:rFonts w:ascii="仿宋" w:eastAsia="仿宋" w:hAnsi="仿宋" w:hint="eastAsia"/>
                <w:sz w:val="24"/>
              </w:rPr>
              <w:t>（三）《财政部国家税务总局关于营业税改征增值税试点有关文化事业建设费政策及征收管理问题的通知》（财税〔2016〕25号）全文。</w:t>
            </w:r>
          </w:p>
          <w:p w:rsidR="00013EC7" w:rsidRDefault="00575CDB">
            <w:pPr>
              <w:rPr>
                <w:rFonts w:ascii="仿宋" w:eastAsia="仿宋" w:hAnsi="仿宋"/>
                <w:sz w:val="24"/>
                <w:highlight w:val="yellow"/>
              </w:rPr>
            </w:pPr>
            <w:r>
              <w:rPr>
                <w:rFonts w:ascii="仿宋" w:eastAsia="仿宋" w:hAnsi="仿宋" w:hint="eastAsia"/>
                <w:sz w:val="24"/>
              </w:rPr>
              <w:t>（四）《财政部国家税务总局关于营业税改征增值税试点有关文化事业建设费政策及征收管理问题的补充通知》（财税〔2016〕60号）全文。</w:t>
            </w:r>
          </w:p>
        </w:tc>
        <w:tc>
          <w:tcPr>
            <w:tcW w:w="2760" w:type="dxa"/>
            <w:tcBorders>
              <w:top w:val="single" w:sz="4" w:space="0" w:color="auto"/>
            </w:tcBorders>
            <w:vAlign w:val="center"/>
          </w:tcPr>
          <w:p w:rsidR="00013EC7" w:rsidRDefault="00575CDB">
            <w:pPr>
              <w:rPr>
                <w:rFonts w:ascii="仿宋" w:eastAsia="仿宋" w:hAnsi="仿宋"/>
                <w:sz w:val="24"/>
              </w:rPr>
            </w:pPr>
            <w:r>
              <w:rPr>
                <w:rFonts w:ascii="仿宋" w:eastAsia="仿宋" w:hAnsi="仿宋" w:hint="eastAsia"/>
                <w:sz w:val="24"/>
              </w:rPr>
              <w:t>（一）</w:t>
            </w:r>
            <w:r>
              <w:rPr>
                <w:rFonts w:ascii="仿宋" w:eastAsia="仿宋" w:hAnsi="仿宋"/>
                <w:sz w:val="24"/>
              </w:rPr>
              <w:t>（A06340）《文化事业建设费申报表》和（A06366）《应税服务扣除项目清单》各</w:t>
            </w:r>
            <w:r>
              <w:rPr>
                <w:rFonts w:ascii="仿宋" w:eastAsia="仿宋" w:hAnsi="仿宋"/>
                <w:sz w:val="24"/>
                <w:highlight w:val="lightGray"/>
              </w:rPr>
              <w:t>2份</w:t>
            </w:r>
            <w:r>
              <w:rPr>
                <w:rFonts w:ascii="仿宋" w:eastAsia="仿宋" w:hAnsi="仿宋"/>
                <w:sz w:val="24"/>
              </w:rPr>
              <w:t>。</w:t>
            </w:r>
          </w:p>
        </w:tc>
        <w:tc>
          <w:tcPr>
            <w:tcW w:w="1288" w:type="dxa"/>
            <w:vAlign w:val="center"/>
          </w:tcPr>
          <w:p w:rsidR="00013EC7" w:rsidRDefault="00575CDB">
            <w:pPr>
              <w:spacing w:line="300" w:lineRule="exact"/>
              <w:rPr>
                <w:rFonts w:ascii="仿宋" w:eastAsia="仿宋" w:hAnsi="仿宋"/>
                <w:sz w:val="24"/>
              </w:rPr>
            </w:pPr>
            <w:r>
              <w:rPr>
                <w:rFonts w:ascii="仿宋" w:eastAsia="仿宋" w:hAnsi="仿宋" w:hint="eastAsia"/>
                <w:sz w:val="24"/>
              </w:rPr>
              <w:t>纳税人提交</w:t>
            </w:r>
          </w:p>
        </w:tc>
        <w:tc>
          <w:tcPr>
            <w:tcW w:w="2837" w:type="dxa"/>
            <w:vAlign w:val="center"/>
          </w:tcPr>
          <w:p w:rsidR="00013EC7" w:rsidRDefault="00575CDB">
            <w:pPr>
              <w:rPr>
                <w:rFonts w:ascii="仿宋" w:eastAsia="仿宋" w:hAnsi="仿宋"/>
                <w:sz w:val="24"/>
              </w:rPr>
            </w:pPr>
            <w:r>
              <w:rPr>
                <w:rFonts w:ascii="仿宋" w:eastAsia="仿宋" w:hAnsi="仿宋" w:hint="eastAsia"/>
                <w:sz w:val="24"/>
              </w:rPr>
              <w:t>（一）</w:t>
            </w:r>
            <w:hyperlink r:id="rId313" w:history="1">
              <w:r>
                <w:rPr>
                  <w:rFonts w:ascii="仿宋" w:eastAsia="仿宋" w:hAnsi="仿宋"/>
                  <w:sz w:val="24"/>
                </w:rPr>
                <w:t>（A06340）《文化事业建设费申报表》</w:t>
              </w:r>
            </w:hyperlink>
            <w:r>
              <w:rPr>
                <w:rFonts w:ascii="仿宋" w:eastAsia="仿宋" w:hAnsi="仿宋"/>
                <w:sz w:val="24"/>
              </w:rPr>
              <w:t>和</w:t>
            </w:r>
            <w:hyperlink r:id="rId314" w:history="1">
              <w:r>
                <w:rPr>
                  <w:rFonts w:ascii="仿宋" w:eastAsia="仿宋" w:hAnsi="仿宋"/>
                  <w:sz w:val="24"/>
                </w:rPr>
                <w:t>（A06366）《应税服务扣除项目清单》</w:t>
              </w:r>
            </w:hyperlink>
            <w:r>
              <w:rPr>
                <w:rFonts w:ascii="仿宋" w:eastAsia="仿宋" w:hAnsi="仿宋"/>
                <w:sz w:val="24"/>
              </w:rPr>
              <w:t>各1份。</w:t>
            </w:r>
          </w:p>
        </w:tc>
        <w:tc>
          <w:tcPr>
            <w:tcW w:w="1326" w:type="dxa"/>
            <w:vAlign w:val="center"/>
          </w:tcPr>
          <w:p w:rsidR="00013EC7" w:rsidRDefault="00575CDB">
            <w:pPr>
              <w:spacing w:line="300" w:lineRule="exact"/>
              <w:rPr>
                <w:rFonts w:ascii="仿宋" w:eastAsia="仿宋" w:hAnsi="仿宋"/>
                <w:b/>
                <w:bCs/>
                <w:i/>
                <w:iCs/>
                <w:sz w:val="24"/>
              </w:rPr>
            </w:pPr>
            <w:r>
              <w:rPr>
                <w:rFonts w:ascii="仿宋" w:eastAsia="仿宋" w:hAnsi="仿宋" w:hint="eastAsia"/>
                <w:sz w:val="24"/>
              </w:rPr>
              <w:t>纳税人提交</w:t>
            </w:r>
          </w:p>
        </w:tc>
        <w:tc>
          <w:tcPr>
            <w:tcW w:w="2848" w:type="dxa"/>
            <w:vAlign w:val="center"/>
          </w:tcPr>
          <w:p w:rsidR="00013EC7" w:rsidRDefault="00575CDB">
            <w:pPr>
              <w:spacing w:line="300" w:lineRule="exact"/>
              <w:rPr>
                <w:rFonts w:ascii="仿宋" w:eastAsia="仿宋" w:hAnsi="仿宋"/>
                <w:b/>
                <w:sz w:val="24"/>
              </w:rPr>
            </w:pPr>
            <w:r>
              <w:rPr>
                <w:rFonts w:ascii="仿宋" w:eastAsia="仿宋" w:hAnsi="仿宋"/>
                <w:b/>
                <w:sz w:val="24"/>
              </w:rPr>
              <w:t>现场办理：</w:t>
            </w:r>
            <w:r>
              <w:rPr>
                <w:rFonts w:ascii="仿宋" w:eastAsia="仿宋" w:hAnsi="仿宋" w:hint="eastAsia"/>
                <w:sz w:val="24"/>
              </w:rPr>
              <w:t>纳税人</w:t>
            </w:r>
            <w:r>
              <w:rPr>
                <w:rFonts w:ascii="仿宋" w:eastAsia="仿宋" w:hAnsi="仿宋"/>
                <w:sz w:val="24"/>
              </w:rPr>
              <w:t>提交书面材料。</w:t>
            </w:r>
          </w:p>
          <w:p w:rsidR="00013EC7" w:rsidRDefault="00575CDB">
            <w:pPr>
              <w:spacing w:line="300" w:lineRule="exact"/>
              <w:rPr>
                <w:rFonts w:ascii="仿宋" w:eastAsia="仿宋" w:hAnsi="仿宋"/>
                <w:sz w:val="24"/>
              </w:rPr>
            </w:pPr>
            <w:r>
              <w:rPr>
                <w:rFonts w:ascii="仿宋" w:eastAsia="仿宋" w:hAnsi="仿宋" w:hint="eastAsia"/>
                <w:b/>
                <w:sz w:val="24"/>
              </w:rPr>
              <w:t>网上办理：</w:t>
            </w:r>
            <w:r>
              <w:rPr>
                <w:rFonts w:ascii="仿宋" w:eastAsia="仿宋" w:hAnsi="仿宋" w:hint="eastAsia"/>
                <w:sz w:val="24"/>
              </w:rPr>
              <w:t>登录浙江国税电子税务局（网址：</w:t>
            </w:r>
            <w:hyperlink r:id="rId315" w:tgtFrame="https://wx.qq.com/_blank" w:history="1">
              <w:r>
                <w:rPr>
                  <w:rFonts w:ascii="仿宋" w:eastAsia="仿宋" w:hAnsi="仿宋" w:hint="eastAsia"/>
                  <w:sz w:val="24"/>
                </w:rPr>
                <w:t>http://etax.zjtax.gov.cn/</w:t>
              </w:r>
            </w:hyperlink>
            <w:r>
              <w:rPr>
                <w:rFonts w:ascii="仿宋" w:eastAsia="仿宋" w:hAnsi="仿宋" w:hint="eastAsia"/>
                <w:sz w:val="24"/>
              </w:rPr>
              <w:t>）提交申请。</w:t>
            </w:r>
          </w:p>
        </w:tc>
        <w:tc>
          <w:tcPr>
            <w:tcW w:w="868" w:type="dxa"/>
            <w:vAlign w:val="center"/>
          </w:tcPr>
          <w:p w:rsidR="00013EC7" w:rsidRDefault="00575CDB">
            <w:pPr>
              <w:spacing w:line="300" w:lineRule="exact"/>
              <w:rPr>
                <w:rFonts w:ascii="仿宋" w:eastAsia="仿宋" w:hAnsi="仿宋"/>
                <w:sz w:val="24"/>
              </w:rPr>
            </w:pPr>
            <w:r>
              <w:rPr>
                <w:rFonts w:ascii="仿宋" w:eastAsia="仿宋" w:hAnsi="仿宋" w:hint="eastAsia"/>
                <w:sz w:val="24"/>
              </w:rPr>
              <w:t>即时办结</w:t>
            </w:r>
          </w:p>
        </w:tc>
        <w:tc>
          <w:tcPr>
            <w:tcW w:w="798" w:type="dxa"/>
            <w:vAlign w:val="center"/>
          </w:tcPr>
          <w:p w:rsidR="00013EC7" w:rsidRDefault="00575CDB">
            <w:pPr>
              <w:spacing w:line="300" w:lineRule="exact"/>
              <w:rPr>
                <w:rFonts w:ascii="仿宋" w:eastAsia="仿宋" w:hAnsi="仿宋"/>
                <w:sz w:val="24"/>
              </w:rPr>
            </w:pPr>
            <w:r>
              <w:rPr>
                <w:rFonts w:ascii="仿宋" w:eastAsia="仿宋" w:hAnsi="仿宋" w:hint="eastAsia"/>
                <w:sz w:val="24"/>
              </w:rPr>
              <w:t>即时办结</w:t>
            </w:r>
          </w:p>
        </w:tc>
        <w:tc>
          <w:tcPr>
            <w:tcW w:w="958" w:type="dxa"/>
            <w:vAlign w:val="center"/>
          </w:tcPr>
          <w:p w:rsidR="00013EC7" w:rsidRDefault="00575CDB">
            <w:pPr>
              <w:spacing w:line="300" w:lineRule="exact"/>
              <w:rPr>
                <w:rFonts w:ascii="仿宋" w:eastAsia="仿宋" w:hAnsi="仿宋"/>
                <w:sz w:val="24"/>
              </w:rPr>
            </w:pPr>
            <w:r>
              <w:rPr>
                <w:rFonts w:ascii="仿宋" w:eastAsia="仿宋" w:hAnsi="仿宋" w:hint="eastAsia"/>
                <w:sz w:val="24"/>
              </w:rPr>
              <w:t>是</w:t>
            </w:r>
          </w:p>
        </w:tc>
        <w:tc>
          <w:tcPr>
            <w:tcW w:w="1104" w:type="dxa"/>
            <w:vAlign w:val="center"/>
          </w:tcPr>
          <w:p w:rsidR="00013EC7" w:rsidRDefault="00575CDB">
            <w:pPr>
              <w:spacing w:line="300" w:lineRule="exact"/>
              <w:rPr>
                <w:rFonts w:ascii="仿宋" w:eastAsia="仿宋" w:hAnsi="仿宋"/>
                <w:sz w:val="24"/>
              </w:rPr>
            </w:pPr>
            <w:r>
              <w:rPr>
                <w:rFonts w:ascii="仿宋" w:eastAsia="仿宋" w:hAnsi="仿宋" w:hint="eastAsia"/>
                <w:sz w:val="24"/>
              </w:rPr>
              <w:t>货物和劳务税处</w:t>
            </w:r>
          </w:p>
        </w:tc>
        <w:tc>
          <w:tcPr>
            <w:tcW w:w="1476" w:type="dxa"/>
            <w:vAlign w:val="center"/>
          </w:tcPr>
          <w:p w:rsidR="00013EC7" w:rsidRDefault="00013EC7">
            <w:pPr>
              <w:spacing w:line="300" w:lineRule="exact"/>
              <w:rPr>
                <w:rFonts w:ascii="仿宋" w:eastAsia="仿宋" w:hAnsi="仿宋"/>
                <w:sz w:val="24"/>
              </w:rPr>
            </w:pPr>
          </w:p>
        </w:tc>
      </w:tr>
    </w:tbl>
    <w:p w:rsidR="00013EC7" w:rsidRDefault="005262E6">
      <w:pPr>
        <w:rPr>
          <w:rFonts w:ascii="仿宋" w:eastAsia="仿宋" w:hAnsi="仿宋" w:cs="仿宋"/>
          <w:sz w:val="24"/>
        </w:rPr>
      </w:pPr>
      <w:r>
        <w:lastRenderedPageBreak/>
        <w:object w:dxaOrig="1440" w:dyaOrig="1440">
          <v:shape id="_x0000_s1382" type="#_x0000_t75" style="position:absolute;left:0;text-align:left;margin-left:562.25pt;margin-top:91pt;width:408.75pt;height:567pt;z-index:251705344;mso-wrap-distance-top:0;mso-wrap-distance-bottom:0;mso-position-horizontal-relative:text;mso-position-vertical-relative:page;mso-width-relative:page;mso-height-relative:page">
            <v:imagedata r:id="rId316" o:title=""/>
            <w10:wrap type="topAndBottom" anchory="page"/>
          </v:shape>
          <o:OLEObject Type="Embed" ProgID="Visio.Drawing.11" ShapeID="_x0000_s1382" DrawAspect="Content" ObjectID="_1577296262" r:id="rId317"/>
        </w:object>
      </w:r>
      <w:r>
        <w:object w:dxaOrig="1440" w:dyaOrig="1440">
          <v:shape id="_x0000_s1381" type="#_x0000_t75" style="position:absolute;left:0;text-align:left;margin-left:7.5pt;margin-top:100.3pt;width:482pt;height:574.5pt;z-index:251704320;mso-wrap-distance-left:9pt;mso-wrap-distance-top:0;mso-wrap-distance-right:9pt;mso-wrap-distance-bottom:0;mso-position-horizontal-relative:text;mso-position-vertical-relative:page;mso-width-relative:page;mso-height-relative:page">
            <v:imagedata r:id="rId318" o:title=""/>
            <w10:wrap type="square" anchory="page"/>
          </v:shape>
          <o:OLEObject Type="Embed" ProgID="Visio.Drawing.11" ShapeID="_x0000_s1381" DrawAspect="Content" ObjectID="_1577296263" r:id="rId319"/>
        </w:object>
      </w:r>
    </w:p>
    <w:p w:rsidR="00013EC7" w:rsidRDefault="00013EC7">
      <w:pPr>
        <w:rPr>
          <w:rFonts w:eastAsia="方正书宋简体"/>
          <w:szCs w:val="21"/>
        </w:rPr>
      </w:pPr>
    </w:p>
    <w:p w:rsidR="00013EC7" w:rsidRDefault="00013EC7"/>
    <w:p w:rsidR="00013EC7" w:rsidRDefault="00013EC7"/>
    <w:p w:rsidR="00013EC7" w:rsidRDefault="00013EC7"/>
    <w:p w:rsidR="00013EC7" w:rsidRDefault="00013EC7">
      <w:pPr>
        <w:jc w:val="left"/>
        <w:rPr>
          <w:rFonts w:ascii="宋体" w:hAnsi="宋体" w:cs="宋体"/>
          <w:bCs/>
          <w:sz w:val="28"/>
          <w:szCs w:val="28"/>
        </w:rPr>
        <w:sectPr w:rsidR="00013EC7">
          <w:pgSz w:w="23814" w:h="16840" w:orient="landscape"/>
          <w:pgMar w:top="1701" w:right="1843" w:bottom="1985" w:left="1843" w:header="851" w:footer="1701" w:gutter="0"/>
          <w:pgNumType w:fmt="numberInDash"/>
          <w:cols w:space="720"/>
          <w:docGrid w:type="lines" w:linePitch="312"/>
        </w:sectPr>
      </w:pPr>
    </w:p>
    <w:p w:rsidR="00013EC7" w:rsidRDefault="00575CDB">
      <w:pPr>
        <w:pStyle w:val="2"/>
      </w:pPr>
      <w:bookmarkStart w:id="380" w:name="_Toc21360"/>
      <w:bookmarkStart w:id="381" w:name="_Toc17592"/>
      <w:bookmarkStart w:id="382" w:name="_Toc503467441"/>
      <w:bookmarkStart w:id="383" w:name="_Toc29361"/>
      <w:r>
        <w:rPr>
          <w:rFonts w:hint="eastAsia"/>
        </w:rPr>
        <w:lastRenderedPageBreak/>
        <w:t>17.21</w:t>
      </w:r>
      <w:r>
        <w:rPr>
          <w:rFonts w:hint="eastAsia"/>
        </w:rPr>
        <w:t>定期定额个体工商户申报</w:t>
      </w:r>
      <w:bookmarkEnd w:id="380"/>
      <w:bookmarkEnd w:id="381"/>
      <w:bookmarkEnd w:id="382"/>
      <w:bookmarkEnd w:id="383"/>
    </w:p>
    <w:p w:rsidR="00013EC7" w:rsidRDefault="00575CDB">
      <w:pPr>
        <w:jc w:val="center"/>
        <w:rPr>
          <w:rFonts w:ascii="宋体" w:hAnsi="宋体" w:cs="宋体"/>
          <w:b/>
          <w:bCs/>
          <w:sz w:val="52"/>
          <w:szCs w:val="52"/>
        </w:rPr>
      </w:pPr>
      <w:r>
        <w:rPr>
          <w:rFonts w:ascii="宋体" w:hAnsi="宋体" w:cs="宋体" w:hint="eastAsia"/>
          <w:b/>
          <w:bCs/>
          <w:sz w:val="52"/>
          <w:szCs w:val="52"/>
        </w:rPr>
        <w:t>全省“最多跑一次”事项“八统一”梳理表</w:t>
      </w:r>
    </w:p>
    <w:tbl>
      <w:tblPr>
        <w:tblW w:w="19845"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4248"/>
        <w:gridCol w:w="2126"/>
        <w:gridCol w:w="1134"/>
        <w:gridCol w:w="2126"/>
        <w:gridCol w:w="1134"/>
        <w:gridCol w:w="2166"/>
        <w:gridCol w:w="868"/>
        <w:gridCol w:w="798"/>
        <w:gridCol w:w="958"/>
        <w:gridCol w:w="1104"/>
        <w:gridCol w:w="1476"/>
      </w:tblGrid>
      <w:tr w:rsidR="00013EC7">
        <w:trPr>
          <w:trHeight w:val="340"/>
          <w:tblHeader/>
          <w:jc w:val="center"/>
        </w:trPr>
        <w:tc>
          <w:tcPr>
            <w:tcW w:w="672" w:type="dxa"/>
            <w:vMerge w:val="restart"/>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主项名称</w:t>
            </w:r>
          </w:p>
        </w:tc>
        <w:tc>
          <w:tcPr>
            <w:tcW w:w="1035" w:type="dxa"/>
            <w:vMerge w:val="restart"/>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子项名称</w:t>
            </w:r>
          </w:p>
        </w:tc>
        <w:tc>
          <w:tcPr>
            <w:tcW w:w="4248" w:type="dxa"/>
            <w:vMerge w:val="restart"/>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经办依据</w:t>
            </w:r>
          </w:p>
        </w:tc>
        <w:tc>
          <w:tcPr>
            <w:tcW w:w="3260" w:type="dxa"/>
            <w:gridSpan w:val="2"/>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原经办所需材料</w:t>
            </w:r>
          </w:p>
        </w:tc>
        <w:tc>
          <w:tcPr>
            <w:tcW w:w="5426" w:type="dxa"/>
            <w:gridSpan w:val="3"/>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精简后经办所需材料</w:t>
            </w:r>
          </w:p>
        </w:tc>
        <w:tc>
          <w:tcPr>
            <w:tcW w:w="1666" w:type="dxa"/>
            <w:gridSpan w:val="2"/>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办理时限</w:t>
            </w:r>
          </w:p>
        </w:tc>
        <w:tc>
          <w:tcPr>
            <w:tcW w:w="958" w:type="dxa"/>
            <w:vMerge w:val="restart"/>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是否实现跑零次</w:t>
            </w:r>
          </w:p>
        </w:tc>
        <w:tc>
          <w:tcPr>
            <w:tcW w:w="1104" w:type="dxa"/>
            <w:vMerge w:val="restart"/>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责任处室</w:t>
            </w:r>
          </w:p>
          <w:p w:rsidR="00013EC7" w:rsidRDefault="00575CDB">
            <w:pPr>
              <w:spacing w:line="280" w:lineRule="exact"/>
              <w:jc w:val="center"/>
              <w:rPr>
                <w:rFonts w:ascii="黑体" w:eastAsia="黑体" w:hAnsi="黑体"/>
                <w:sz w:val="24"/>
              </w:rPr>
            </w:pPr>
            <w:r>
              <w:rPr>
                <w:rFonts w:ascii="黑体" w:eastAsia="黑体" w:hAnsi="黑体" w:hint="eastAsia"/>
                <w:sz w:val="24"/>
              </w:rPr>
              <w:t>（单位）</w:t>
            </w:r>
          </w:p>
        </w:tc>
        <w:tc>
          <w:tcPr>
            <w:tcW w:w="1476" w:type="dxa"/>
            <w:vMerge w:val="restart"/>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进一步精简、</w:t>
            </w:r>
          </w:p>
          <w:p w:rsidR="00013EC7" w:rsidRDefault="00575CDB">
            <w:pPr>
              <w:spacing w:line="280" w:lineRule="exact"/>
              <w:jc w:val="center"/>
              <w:rPr>
                <w:rFonts w:ascii="黑体" w:eastAsia="黑体" w:hAnsi="黑体"/>
                <w:sz w:val="24"/>
              </w:rPr>
            </w:pPr>
            <w:r>
              <w:rPr>
                <w:rFonts w:ascii="黑体" w:eastAsia="黑体" w:hAnsi="黑体" w:hint="eastAsia"/>
                <w:sz w:val="24"/>
              </w:rPr>
              <w:t>规范建议</w:t>
            </w:r>
          </w:p>
        </w:tc>
      </w:tr>
      <w:tr w:rsidR="00013EC7">
        <w:trPr>
          <w:trHeight w:val="340"/>
          <w:tblHeader/>
          <w:jc w:val="center"/>
        </w:trPr>
        <w:tc>
          <w:tcPr>
            <w:tcW w:w="672" w:type="dxa"/>
            <w:vMerge/>
            <w:vAlign w:val="center"/>
          </w:tcPr>
          <w:p w:rsidR="00013EC7" w:rsidRDefault="00013EC7">
            <w:pPr>
              <w:rPr>
                <w:rFonts w:ascii="仿宋" w:eastAsia="仿宋" w:hAnsi="仿宋"/>
                <w:sz w:val="24"/>
              </w:rPr>
            </w:pPr>
          </w:p>
        </w:tc>
        <w:tc>
          <w:tcPr>
            <w:tcW w:w="1035" w:type="dxa"/>
            <w:vMerge/>
          </w:tcPr>
          <w:p w:rsidR="00013EC7" w:rsidRDefault="00013EC7">
            <w:pPr>
              <w:rPr>
                <w:rFonts w:ascii="仿宋" w:eastAsia="仿宋" w:hAnsi="仿宋"/>
                <w:sz w:val="24"/>
              </w:rPr>
            </w:pPr>
          </w:p>
        </w:tc>
        <w:tc>
          <w:tcPr>
            <w:tcW w:w="4248" w:type="dxa"/>
            <w:vMerge/>
          </w:tcPr>
          <w:p w:rsidR="00013EC7" w:rsidRDefault="00013EC7">
            <w:pPr>
              <w:rPr>
                <w:rFonts w:ascii="仿宋" w:eastAsia="仿宋" w:hAnsi="仿宋"/>
                <w:sz w:val="24"/>
              </w:rPr>
            </w:pPr>
          </w:p>
        </w:tc>
        <w:tc>
          <w:tcPr>
            <w:tcW w:w="2126" w:type="dxa"/>
            <w:tcBorders>
              <w:bottom w:val="single" w:sz="4" w:space="0" w:color="auto"/>
            </w:tcBorders>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材料明细</w:t>
            </w:r>
          </w:p>
        </w:tc>
        <w:tc>
          <w:tcPr>
            <w:tcW w:w="1134" w:type="dxa"/>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材料来源</w:t>
            </w:r>
          </w:p>
        </w:tc>
        <w:tc>
          <w:tcPr>
            <w:tcW w:w="2126" w:type="dxa"/>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材料明细</w:t>
            </w:r>
          </w:p>
        </w:tc>
        <w:tc>
          <w:tcPr>
            <w:tcW w:w="1134" w:type="dxa"/>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材料来源</w:t>
            </w:r>
          </w:p>
        </w:tc>
        <w:tc>
          <w:tcPr>
            <w:tcW w:w="2166" w:type="dxa"/>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办理方式及材料</w:t>
            </w:r>
          </w:p>
          <w:p w:rsidR="00013EC7" w:rsidRDefault="00575CDB">
            <w:pPr>
              <w:spacing w:line="280" w:lineRule="exact"/>
              <w:jc w:val="center"/>
              <w:rPr>
                <w:rFonts w:ascii="黑体" w:eastAsia="黑体" w:hAnsi="黑体"/>
                <w:sz w:val="24"/>
              </w:rPr>
            </w:pPr>
            <w:r>
              <w:rPr>
                <w:rFonts w:ascii="黑体" w:eastAsia="黑体" w:hAnsi="黑体" w:hint="eastAsia"/>
                <w:sz w:val="24"/>
              </w:rPr>
              <w:t>信息获取方式说明</w:t>
            </w:r>
          </w:p>
        </w:tc>
        <w:tc>
          <w:tcPr>
            <w:tcW w:w="868" w:type="dxa"/>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优化前</w:t>
            </w:r>
          </w:p>
        </w:tc>
        <w:tc>
          <w:tcPr>
            <w:tcW w:w="798" w:type="dxa"/>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优化后</w:t>
            </w:r>
          </w:p>
        </w:tc>
        <w:tc>
          <w:tcPr>
            <w:tcW w:w="958" w:type="dxa"/>
            <w:vMerge/>
            <w:vAlign w:val="center"/>
          </w:tcPr>
          <w:p w:rsidR="00013EC7" w:rsidRDefault="00013EC7"/>
        </w:tc>
        <w:tc>
          <w:tcPr>
            <w:tcW w:w="1104" w:type="dxa"/>
            <w:vMerge/>
            <w:vAlign w:val="center"/>
          </w:tcPr>
          <w:p w:rsidR="00013EC7" w:rsidRDefault="00013EC7"/>
        </w:tc>
        <w:tc>
          <w:tcPr>
            <w:tcW w:w="1476" w:type="dxa"/>
            <w:vMerge/>
            <w:vAlign w:val="center"/>
          </w:tcPr>
          <w:p w:rsidR="00013EC7" w:rsidRDefault="00013EC7"/>
        </w:tc>
      </w:tr>
      <w:tr w:rsidR="00013EC7">
        <w:trPr>
          <w:trHeight w:val="3493"/>
          <w:jc w:val="center"/>
        </w:trPr>
        <w:tc>
          <w:tcPr>
            <w:tcW w:w="672" w:type="dxa"/>
            <w:vMerge w:val="restart"/>
            <w:vAlign w:val="center"/>
          </w:tcPr>
          <w:p w:rsidR="00013EC7" w:rsidRDefault="00575CDB">
            <w:pPr>
              <w:spacing w:line="300" w:lineRule="exact"/>
              <w:jc w:val="center"/>
              <w:rPr>
                <w:rFonts w:ascii="仿宋" w:eastAsia="仿宋" w:hAnsi="仿宋"/>
                <w:sz w:val="24"/>
              </w:rPr>
            </w:pPr>
            <w:r>
              <w:rPr>
                <w:rFonts w:ascii="仿宋" w:eastAsia="仿宋" w:hAnsi="仿宋" w:hint="eastAsia"/>
                <w:sz w:val="24"/>
              </w:rPr>
              <w:t>17日常税费申报</w:t>
            </w:r>
          </w:p>
        </w:tc>
        <w:tc>
          <w:tcPr>
            <w:tcW w:w="1035" w:type="dxa"/>
            <w:vMerge w:val="restart"/>
            <w:vAlign w:val="center"/>
          </w:tcPr>
          <w:p w:rsidR="00013EC7" w:rsidRDefault="00575CDB">
            <w:pPr>
              <w:spacing w:line="310" w:lineRule="exact"/>
              <w:jc w:val="center"/>
              <w:rPr>
                <w:rFonts w:ascii="仿宋" w:eastAsia="仿宋" w:hAnsi="仿宋"/>
                <w:sz w:val="24"/>
              </w:rPr>
            </w:pPr>
            <w:r>
              <w:rPr>
                <w:rFonts w:ascii="仿宋" w:eastAsia="仿宋" w:hAnsi="仿宋" w:hint="eastAsia"/>
                <w:sz w:val="24"/>
              </w:rPr>
              <w:t>17.21定期定额个体工商户申报</w:t>
            </w:r>
          </w:p>
        </w:tc>
        <w:tc>
          <w:tcPr>
            <w:tcW w:w="4248" w:type="dxa"/>
            <w:vMerge w:val="restart"/>
            <w:vAlign w:val="center"/>
          </w:tcPr>
          <w:p w:rsidR="00013EC7" w:rsidRDefault="00575CDB">
            <w:pPr>
              <w:spacing w:line="310" w:lineRule="exact"/>
              <w:rPr>
                <w:rFonts w:ascii="仿宋" w:eastAsia="仿宋" w:hAnsi="仿宋"/>
                <w:sz w:val="24"/>
              </w:rPr>
            </w:pPr>
            <w:r>
              <w:rPr>
                <w:rFonts w:ascii="仿宋" w:eastAsia="仿宋" w:hAnsi="仿宋"/>
                <w:sz w:val="24"/>
              </w:rPr>
              <w:t>（一）《中华人民共和国税收征收管理法》（</w:t>
            </w:r>
            <w:r>
              <w:rPr>
                <w:rFonts w:ascii="仿宋" w:eastAsia="仿宋" w:hAnsi="仿宋" w:hint="eastAsia"/>
                <w:sz w:val="24"/>
              </w:rPr>
              <w:t>2001年</w:t>
            </w:r>
            <w:r>
              <w:rPr>
                <w:rFonts w:ascii="仿宋" w:eastAsia="仿宋" w:hAnsi="仿宋"/>
                <w:sz w:val="24"/>
              </w:rPr>
              <w:t>中华人民共和国主席令第49号）</w:t>
            </w:r>
            <w:r>
              <w:rPr>
                <w:rFonts w:ascii="仿宋" w:eastAsia="仿宋" w:hAnsi="仿宋" w:hint="eastAsia"/>
                <w:sz w:val="24"/>
              </w:rPr>
              <w:t>第二章第三节</w:t>
            </w:r>
            <w:r>
              <w:rPr>
                <w:rFonts w:ascii="仿宋" w:eastAsia="仿宋" w:hAnsi="仿宋"/>
                <w:sz w:val="24"/>
              </w:rPr>
              <w:t>。</w:t>
            </w:r>
          </w:p>
          <w:p w:rsidR="00013EC7" w:rsidRDefault="00575CDB">
            <w:pPr>
              <w:spacing w:line="310" w:lineRule="exact"/>
              <w:rPr>
                <w:rFonts w:ascii="仿宋" w:eastAsia="仿宋" w:hAnsi="仿宋"/>
                <w:sz w:val="24"/>
              </w:rPr>
            </w:pPr>
            <w:r>
              <w:rPr>
                <w:rFonts w:ascii="仿宋" w:eastAsia="仿宋" w:hAnsi="仿宋"/>
                <w:sz w:val="24"/>
              </w:rPr>
              <w:t>（二）《中华人民共和国税收征收管理法实施细则》（</w:t>
            </w:r>
            <w:r>
              <w:rPr>
                <w:rFonts w:ascii="仿宋" w:eastAsia="仿宋" w:hAnsi="仿宋" w:hint="eastAsia"/>
                <w:sz w:val="24"/>
              </w:rPr>
              <w:t>2002年</w:t>
            </w:r>
            <w:r>
              <w:rPr>
                <w:rFonts w:ascii="仿宋" w:eastAsia="仿宋" w:hAnsi="仿宋"/>
                <w:sz w:val="24"/>
              </w:rPr>
              <w:t>中华人民共和国国务院令第362号）</w:t>
            </w:r>
            <w:r>
              <w:rPr>
                <w:rFonts w:ascii="仿宋" w:eastAsia="仿宋" w:hAnsi="仿宋" w:hint="eastAsia"/>
                <w:sz w:val="24"/>
              </w:rPr>
              <w:t>第四章</w:t>
            </w:r>
            <w:r>
              <w:rPr>
                <w:rFonts w:ascii="仿宋" w:eastAsia="仿宋" w:hAnsi="仿宋"/>
                <w:sz w:val="24"/>
              </w:rPr>
              <w:t>。</w:t>
            </w:r>
          </w:p>
          <w:p w:rsidR="00013EC7" w:rsidRDefault="00575CDB">
            <w:pPr>
              <w:spacing w:line="310" w:lineRule="exact"/>
              <w:rPr>
                <w:rFonts w:ascii="仿宋" w:eastAsia="仿宋" w:hAnsi="仿宋"/>
                <w:sz w:val="24"/>
              </w:rPr>
            </w:pPr>
            <w:r>
              <w:rPr>
                <w:rFonts w:ascii="仿宋" w:eastAsia="仿宋" w:hAnsi="仿宋"/>
                <w:sz w:val="24"/>
              </w:rPr>
              <w:t>（三）《关于印发个体工商户税收定期定额征收管理文书的通知》（国税</w:t>
            </w:r>
            <w:r>
              <w:rPr>
                <w:rFonts w:ascii="仿宋" w:eastAsia="仿宋" w:hAnsi="仿宋" w:hint="eastAsia"/>
                <w:sz w:val="24"/>
              </w:rPr>
              <w:t>函</w:t>
            </w:r>
            <w:r>
              <w:rPr>
                <w:rFonts w:ascii="仿宋" w:eastAsia="仿宋" w:hAnsi="仿宋"/>
                <w:sz w:val="24"/>
              </w:rPr>
              <w:t>〔200</w:t>
            </w:r>
            <w:r>
              <w:rPr>
                <w:rFonts w:ascii="仿宋" w:eastAsia="仿宋" w:hAnsi="仿宋" w:hint="eastAsia"/>
                <w:sz w:val="24"/>
              </w:rPr>
              <w:t>6</w:t>
            </w:r>
            <w:r>
              <w:rPr>
                <w:rFonts w:ascii="仿宋" w:eastAsia="仿宋" w:hAnsi="仿宋"/>
                <w:sz w:val="24"/>
              </w:rPr>
              <w:t>〕1</w:t>
            </w:r>
            <w:r>
              <w:rPr>
                <w:rFonts w:ascii="仿宋" w:eastAsia="仿宋" w:hAnsi="仿宋" w:hint="eastAsia"/>
                <w:sz w:val="24"/>
              </w:rPr>
              <w:t>19</w:t>
            </w:r>
            <w:r>
              <w:rPr>
                <w:rFonts w:ascii="仿宋" w:eastAsia="仿宋" w:hAnsi="仿宋"/>
                <w:sz w:val="24"/>
              </w:rPr>
              <w:t>9号）</w:t>
            </w:r>
            <w:r>
              <w:rPr>
                <w:rFonts w:ascii="仿宋" w:eastAsia="仿宋" w:hAnsi="仿宋" w:hint="eastAsia"/>
                <w:sz w:val="24"/>
              </w:rPr>
              <w:t>全文</w:t>
            </w:r>
            <w:r>
              <w:rPr>
                <w:rFonts w:ascii="仿宋" w:eastAsia="仿宋" w:hAnsi="仿宋"/>
                <w:sz w:val="24"/>
              </w:rPr>
              <w:t>。</w:t>
            </w:r>
          </w:p>
          <w:p w:rsidR="00013EC7" w:rsidRDefault="00575CDB">
            <w:pPr>
              <w:spacing w:line="310" w:lineRule="exact"/>
              <w:rPr>
                <w:rFonts w:ascii="仿宋" w:eastAsia="仿宋" w:hAnsi="仿宋"/>
                <w:sz w:val="24"/>
              </w:rPr>
            </w:pPr>
            <w:r>
              <w:rPr>
                <w:rFonts w:ascii="仿宋" w:eastAsia="仿宋" w:hAnsi="仿宋"/>
                <w:sz w:val="24"/>
              </w:rPr>
              <w:t>（四）《个体工商户税收定期定额征收管理办法》（</w:t>
            </w:r>
            <w:r>
              <w:rPr>
                <w:rFonts w:ascii="仿宋" w:eastAsia="仿宋" w:hAnsi="仿宋" w:hint="eastAsia"/>
                <w:sz w:val="24"/>
              </w:rPr>
              <w:t>2006年</w:t>
            </w:r>
            <w:r>
              <w:rPr>
                <w:rFonts w:ascii="仿宋" w:eastAsia="仿宋" w:hAnsi="仿宋"/>
                <w:sz w:val="24"/>
              </w:rPr>
              <w:t>国家税务总局令第 16 号）</w:t>
            </w:r>
            <w:r>
              <w:rPr>
                <w:rFonts w:ascii="仿宋" w:eastAsia="仿宋" w:hAnsi="仿宋" w:hint="eastAsia"/>
                <w:sz w:val="24"/>
              </w:rPr>
              <w:t>全文</w:t>
            </w:r>
            <w:r>
              <w:rPr>
                <w:rFonts w:ascii="仿宋" w:eastAsia="仿宋" w:hAnsi="仿宋"/>
                <w:sz w:val="24"/>
              </w:rPr>
              <w:t>。</w:t>
            </w:r>
          </w:p>
          <w:p w:rsidR="00013EC7" w:rsidRDefault="00575CDB">
            <w:pPr>
              <w:spacing w:line="310" w:lineRule="exact"/>
              <w:rPr>
                <w:rFonts w:ascii="仿宋" w:eastAsia="仿宋" w:hAnsi="仿宋"/>
                <w:sz w:val="24"/>
              </w:rPr>
            </w:pPr>
            <w:r>
              <w:rPr>
                <w:rFonts w:ascii="仿宋" w:eastAsia="仿宋" w:hAnsi="仿宋"/>
                <w:sz w:val="24"/>
              </w:rPr>
              <w:t>（五）《中华人民共和国消费税暂行条例》（</w:t>
            </w:r>
            <w:r>
              <w:rPr>
                <w:rFonts w:ascii="仿宋" w:eastAsia="仿宋" w:hAnsi="仿宋" w:hint="eastAsia"/>
                <w:sz w:val="24"/>
              </w:rPr>
              <w:t>2008年</w:t>
            </w:r>
            <w:r>
              <w:rPr>
                <w:rFonts w:ascii="仿宋" w:eastAsia="仿宋" w:hAnsi="仿宋"/>
                <w:sz w:val="24"/>
              </w:rPr>
              <w:t>中华人民共和国国务院令第</w:t>
            </w:r>
            <w:r>
              <w:rPr>
                <w:rFonts w:ascii="仿宋" w:eastAsia="仿宋" w:hAnsi="仿宋" w:hint="eastAsia"/>
                <w:sz w:val="24"/>
              </w:rPr>
              <w:t>539</w:t>
            </w:r>
            <w:r>
              <w:rPr>
                <w:rFonts w:ascii="仿宋" w:eastAsia="仿宋" w:hAnsi="仿宋"/>
                <w:sz w:val="24"/>
              </w:rPr>
              <w:t>号）</w:t>
            </w:r>
            <w:r>
              <w:rPr>
                <w:rFonts w:ascii="仿宋" w:eastAsia="仿宋" w:hAnsi="仿宋" w:hint="eastAsia"/>
                <w:sz w:val="24"/>
              </w:rPr>
              <w:t>第十三条第一款、第十四条第一款、第二款</w:t>
            </w:r>
            <w:r>
              <w:rPr>
                <w:rFonts w:ascii="仿宋" w:eastAsia="仿宋" w:hAnsi="仿宋"/>
                <w:sz w:val="24"/>
              </w:rPr>
              <w:t>。</w:t>
            </w:r>
          </w:p>
          <w:p w:rsidR="00013EC7" w:rsidRDefault="00575CDB">
            <w:pPr>
              <w:spacing w:line="310" w:lineRule="exact"/>
              <w:rPr>
                <w:rFonts w:ascii="仿宋" w:eastAsia="仿宋" w:hAnsi="仿宋"/>
                <w:sz w:val="24"/>
              </w:rPr>
            </w:pPr>
            <w:r>
              <w:rPr>
                <w:rFonts w:ascii="仿宋" w:eastAsia="仿宋" w:hAnsi="仿宋"/>
                <w:sz w:val="24"/>
              </w:rPr>
              <w:t>（六）《财政部国家税务总局关于调整和完善消费税政策的通知》（财税〔2006〕33号）</w:t>
            </w:r>
            <w:r>
              <w:rPr>
                <w:rFonts w:ascii="仿宋" w:eastAsia="仿宋" w:hAnsi="仿宋" w:hint="eastAsia"/>
                <w:sz w:val="24"/>
              </w:rPr>
              <w:t>第二条</w:t>
            </w:r>
            <w:r>
              <w:rPr>
                <w:rFonts w:ascii="仿宋" w:eastAsia="仿宋" w:hAnsi="仿宋"/>
                <w:sz w:val="24"/>
              </w:rPr>
              <w:t>。</w:t>
            </w:r>
          </w:p>
          <w:p w:rsidR="00013EC7" w:rsidRDefault="00575CDB">
            <w:pPr>
              <w:spacing w:line="310" w:lineRule="exact"/>
              <w:rPr>
                <w:rFonts w:ascii="仿宋" w:eastAsia="仿宋" w:hAnsi="仿宋"/>
                <w:sz w:val="24"/>
              </w:rPr>
            </w:pPr>
            <w:r>
              <w:rPr>
                <w:rFonts w:ascii="仿宋" w:eastAsia="仿宋" w:hAnsi="仿宋"/>
                <w:sz w:val="24"/>
              </w:rPr>
              <w:t>（七）《国家税务总局关于印发&lt;调整和完善消费税政策征收管理规定&gt;的通知》（国税发〔2006〕49号）</w:t>
            </w:r>
            <w:r>
              <w:rPr>
                <w:rFonts w:ascii="仿宋" w:eastAsia="仿宋" w:hAnsi="仿宋" w:hint="eastAsia"/>
                <w:sz w:val="24"/>
              </w:rPr>
              <w:t>第二条</w:t>
            </w:r>
            <w:r>
              <w:rPr>
                <w:rFonts w:ascii="仿宋" w:eastAsia="仿宋" w:hAnsi="仿宋"/>
                <w:sz w:val="24"/>
              </w:rPr>
              <w:t xml:space="preserve">。 </w:t>
            </w:r>
          </w:p>
          <w:p w:rsidR="00013EC7" w:rsidRDefault="00575CDB">
            <w:pPr>
              <w:spacing w:line="310" w:lineRule="exact"/>
              <w:rPr>
                <w:rFonts w:ascii="仿宋" w:eastAsia="仿宋" w:hAnsi="仿宋"/>
                <w:sz w:val="24"/>
              </w:rPr>
            </w:pPr>
            <w:r>
              <w:rPr>
                <w:rFonts w:ascii="仿宋" w:eastAsia="仿宋" w:hAnsi="仿宋"/>
                <w:sz w:val="24"/>
              </w:rPr>
              <w:t>（八）《国家税务总局关于进一步加强消费税纳税申报及税款抵扣管理的通知》（国税函〔2006〕769号）</w:t>
            </w:r>
            <w:r>
              <w:rPr>
                <w:rFonts w:ascii="仿宋" w:eastAsia="仿宋" w:hAnsi="仿宋" w:hint="eastAsia"/>
                <w:sz w:val="24"/>
              </w:rPr>
              <w:t>第一条</w:t>
            </w:r>
            <w:r>
              <w:rPr>
                <w:rFonts w:ascii="仿宋" w:eastAsia="仿宋" w:hAnsi="仿宋"/>
                <w:sz w:val="24"/>
              </w:rPr>
              <w:t>。</w:t>
            </w:r>
          </w:p>
          <w:p w:rsidR="00013EC7" w:rsidRDefault="00575CDB">
            <w:pPr>
              <w:spacing w:line="310" w:lineRule="exact"/>
              <w:rPr>
                <w:rFonts w:ascii="仿宋" w:eastAsia="仿宋" w:hAnsi="仿宋"/>
                <w:sz w:val="24"/>
              </w:rPr>
            </w:pPr>
            <w:r>
              <w:rPr>
                <w:rFonts w:ascii="仿宋" w:eastAsia="仿宋" w:hAnsi="仿宋"/>
                <w:sz w:val="24"/>
              </w:rPr>
              <w:t>（九）《国家税务总局关于个体工商户定期定额征收管理有关问题的通知》（国税发〔2006〕183号）</w:t>
            </w:r>
            <w:r>
              <w:rPr>
                <w:rFonts w:ascii="仿宋" w:eastAsia="仿宋" w:hAnsi="仿宋" w:hint="eastAsia"/>
                <w:sz w:val="24"/>
              </w:rPr>
              <w:t>全文</w:t>
            </w:r>
            <w:r>
              <w:rPr>
                <w:rFonts w:ascii="仿宋" w:eastAsia="仿宋" w:hAnsi="仿宋"/>
                <w:sz w:val="24"/>
              </w:rPr>
              <w:t>。</w:t>
            </w:r>
          </w:p>
          <w:p w:rsidR="00013EC7" w:rsidRDefault="00575CDB">
            <w:pPr>
              <w:spacing w:line="310" w:lineRule="exact"/>
              <w:rPr>
                <w:rFonts w:ascii="仿宋" w:eastAsia="仿宋" w:hAnsi="仿宋"/>
                <w:sz w:val="24"/>
              </w:rPr>
            </w:pPr>
            <w:r>
              <w:rPr>
                <w:rFonts w:ascii="仿宋" w:eastAsia="仿宋" w:hAnsi="仿宋"/>
                <w:sz w:val="24"/>
              </w:rPr>
              <w:t>（十）《浙江省国家税务局关于印发〈浙江省国家税务局个体工商户税收定期定额征收管理实施办法（ 试行）〉的通知》（浙国税征〔2007〕7号）</w:t>
            </w:r>
            <w:r>
              <w:rPr>
                <w:rFonts w:ascii="仿宋" w:eastAsia="仿宋" w:hAnsi="仿宋" w:hint="eastAsia"/>
                <w:sz w:val="24"/>
              </w:rPr>
              <w:t>全文</w:t>
            </w:r>
            <w:r>
              <w:rPr>
                <w:rFonts w:ascii="仿宋" w:eastAsia="仿宋" w:hAnsi="仿宋"/>
                <w:sz w:val="24"/>
              </w:rPr>
              <w:t>。</w:t>
            </w:r>
          </w:p>
        </w:tc>
        <w:tc>
          <w:tcPr>
            <w:tcW w:w="2126" w:type="dxa"/>
            <w:tcBorders>
              <w:top w:val="single" w:sz="4" w:space="0" w:color="auto"/>
              <w:bottom w:val="single" w:sz="4" w:space="0" w:color="auto"/>
            </w:tcBorders>
            <w:vAlign w:val="center"/>
          </w:tcPr>
          <w:p w:rsidR="00013EC7" w:rsidRDefault="00575CDB">
            <w:pPr>
              <w:spacing w:line="310" w:lineRule="exact"/>
              <w:rPr>
                <w:rFonts w:ascii="仿宋" w:eastAsia="仿宋" w:hAnsi="仿宋"/>
                <w:sz w:val="24"/>
              </w:rPr>
            </w:pPr>
            <w:r>
              <w:rPr>
                <w:rFonts w:ascii="仿宋" w:eastAsia="仿宋" w:hAnsi="仿宋" w:hint="eastAsia"/>
                <w:sz w:val="24"/>
              </w:rPr>
              <w:t>（一）</w:t>
            </w:r>
            <w:hyperlink r:id="rId320" w:history="1">
              <w:r>
                <w:rPr>
                  <w:rFonts w:ascii="仿宋" w:eastAsia="仿宋" w:hAnsi="仿宋"/>
                  <w:sz w:val="24"/>
                </w:rPr>
                <w:t>（A06491）《增值税纳税申报表（适用增值税小规模纳税人）》</w:t>
              </w:r>
            </w:hyperlink>
            <w:r>
              <w:rPr>
                <w:rFonts w:ascii="仿宋" w:eastAsia="仿宋" w:hAnsi="仿宋" w:cs="仿宋"/>
                <w:kern w:val="1"/>
                <w:sz w:val="24"/>
                <w:highlight w:val="lightGray"/>
              </w:rPr>
              <w:t>2份</w:t>
            </w:r>
            <w:r>
              <w:rPr>
                <w:rFonts w:ascii="仿宋" w:eastAsia="仿宋" w:hAnsi="仿宋" w:hint="eastAsia"/>
                <w:sz w:val="24"/>
              </w:rPr>
              <w:t>。</w:t>
            </w:r>
          </w:p>
        </w:tc>
        <w:tc>
          <w:tcPr>
            <w:tcW w:w="1134" w:type="dxa"/>
            <w:vAlign w:val="center"/>
          </w:tcPr>
          <w:p w:rsidR="00013EC7" w:rsidRDefault="00575CDB">
            <w:pPr>
              <w:spacing w:line="310" w:lineRule="exact"/>
              <w:jc w:val="left"/>
              <w:rPr>
                <w:rFonts w:ascii="仿宋" w:eastAsia="仿宋" w:hAnsi="仿宋"/>
                <w:sz w:val="24"/>
              </w:rPr>
            </w:pPr>
            <w:r>
              <w:rPr>
                <w:rFonts w:ascii="仿宋" w:eastAsia="仿宋" w:hAnsi="仿宋" w:hint="eastAsia"/>
                <w:sz w:val="24"/>
              </w:rPr>
              <w:t>纳税人</w:t>
            </w:r>
            <w:r>
              <w:rPr>
                <w:rFonts w:ascii="仿宋" w:eastAsia="仿宋" w:hAnsi="仿宋"/>
                <w:sz w:val="24"/>
              </w:rPr>
              <w:t>提交</w:t>
            </w:r>
          </w:p>
        </w:tc>
        <w:tc>
          <w:tcPr>
            <w:tcW w:w="2126" w:type="dxa"/>
            <w:vAlign w:val="center"/>
          </w:tcPr>
          <w:p w:rsidR="00013EC7" w:rsidRDefault="00575CDB">
            <w:pPr>
              <w:spacing w:line="310" w:lineRule="exact"/>
              <w:rPr>
                <w:rFonts w:ascii="仿宋" w:eastAsia="仿宋" w:hAnsi="仿宋"/>
                <w:sz w:val="24"/>
              </w:rPr>
            </w:pPr>
            <w:r>
              <w:rPr>
                <w:rFonts w:ascii="仿宋" w:eastAsia="仿宋" w:hAnsi="仿宋"/>
                <w:sz w:val="24"/>
              </w:rPr>
              <w:t>（一）</w:t>
            </w:r>
            <w:hyperlink r:id="rId321" w:history="1">
              <w:r>
                <w:rPr>
                  <w:rFonts w:ascii="仿宋" w:eastAsia="仿宋" w:hAnsi="仿宋"/>
                  <w:sz w:val="24"/>
                </w:rPr>
                <w:t>（A06491）《增值税纳税申报表（适用增值税小规模纳税人）》</w:t>
              </w:r>
            </w:hyperlink>
            <w:r>
              <w:rPr>
                <w:rFonts w:ascii="仿宋" w:eastAsia="仿宋" w:hAnsi="仿宋" w:hint="eastAsia"/>
                <w:sz w:val="24"/>
              </w:rPr>
              <w:t>1</w:t>
            </w:r>
            <w:r>
              <w:rPr>
                <w:rFonts w:ascii="仿宋" w:eastAsia="仿宋" w:hAnsi="仿宋"/>
                <w:sz w:val="24"/>
              </w:rPr>
              <w:t>份（经税务机关核准采取简易申报方式的定期定额户正常申报除外）。</w:t>
            </w:r>
          </w:p>
          <w:p w:rsidR="00013EC7" w:rsidRDefault="00013EC7">
            <w:pPr>
              <w:spacing w:line="310" w:lineRule="exact"/>
              <w:rPr>
                <w:rFonts w:ascii="仿宋" w:eastAsia="仿宋" w:hAnsi="仿宋"/>
                <w:sz w:val="24"/>
              </w:rPr>
            </w:pPr>
          </w:p>
        </w:tc>
        <w:tc>
          <w:tcPr>
            <w:tcW w:w="1134" w:type="dxa"/>
            <w:vAlign w:val="center"/>
          </w:tcPr>
          <w:p w:rsidR="00013EC7" w:rsidRDefault="00575CDB">
            <w:pPr>
              <w:spacing w:line="310" w:lineRule="exact"/>
              <w:jc w:val="left"/>
              <w:rPr>
                <w:rFonts w:ascii="仿宋" w:eastAsia="仿宋" w:hAnsi="仿宋"/>
                <w:sz w:val="24"/>
              </w:rPr>
            </w:pPr>
            <w:r>
              <w:rPr>
                <w:rFonts w:ascii="仿宋" w:eastAsia="仿宋" w:hAnsi="仿宋" w:hint="eastAsia"/>
                <w:sz w:val="24"/>
              </w:rPr>
              <w:t>纳税人提交</w:t>
            </w:r>
          </w:p>
        </w:tc>
        <w:tc>
          <w:tcPr>
            <w:tcW w:w="2166" w:type="dxa"/>
            <w:vMerge w:val="restart"/>
            <w:vAlign w:val="center"/>
          </w:tcPr>
          <w:p w:rsidR="00013EC7" w:rsidRDefault="00575CDB">
            <w:pPr>
              <w:spacing w:line="310" w:lineRule="exact"/>
              <w:rPr>
                <w:rFonts w:ascii="仿宋" w:eastAsia="仿宋" w:hAnsi="仿宋"/>
                <w:sz w:val="24"/>
              </w:rPr>
            </w:pPr>
            <w:r>
              <w:rPr>
                <w:rFonts w:ascii="仿宋" w:eastAsia="仿宋" w:hAnsi="仿宋"/>
                <w:b/>
                <w:bCs/>
                <w:sz w:val="24"/>
              </w:rPr>
              <w:t>现场办理：</w:t>
            </w:r>
            <w:r>
              <w:rPr>
                <w:rFonts w:ascii="仿宋" w:eastAsia="仿宋" w:hAnsi="仿宋" w:hint="eastAsia"/>
                <w:sz w:val="24"/>
              </w:rPr>
              <w:t>纳税人提交书面材料，符合受理条件的当场受理办结。</w:t>
            </w:r>
          </w:p>
          <w:p w:rsidR="00013EC7" w:rsidRDefault="00013EC7">
            <w:pPr>
              <w:spacing w:line="310" w:lineRule="exact"/>
              <w:rPr>
                <w:rFonts w:ascii="仿宋" w:eastAsia="仿宋" w:hAnsi="仿宋"/>
                <w:sz w:val="24"/>
              </w:rPr>
            </w:pPr>
          </w:p>
        </w:tc>
        <w:tc>
          <w:tcPr>
            <w:tcW w:w="868" w:type="dxa"/>
            <w:vMerge w:val="restart"/>
            <w:vAlign w:val="center"/>
          </w:tcPr>
          <w:p w:rsidR="00013EC7" w:rsidRDefault="00575CDB">
            <w:pPr>
              <w:spacing w:line="310" w:lineRule="exact"/>
              <w:jc w:val="left"/>
              <w:rPr>
                <w:rFonts w:ascii="仿宋" w:eastAsia="仿宋" w:hAnsi="仿宋"/>
                <w:sz w:val="24"/>
              </w:rPr>
            </w:pPr>
            <w:r>
              <w:rPr>
                <w:rFonts w:ascii="仿宋" w:eastAsia="仿宋" w:hAnsi="仿宋" w:hint="eastAsia"/>
                <w:sz w:val="24"/>
              </w:rPr>
              <w:t>即时办结</w:t>
            </w:r>
          </w:p>
        </w:tc>
        <w:tc>
          <w:tcPr>
            <w:tcW w:w="798" w:type="dxa"/>
            <w:vMerge w:val="restart"/>
            <w:vAlign w:val="center"/>
          </w:tcPr>
          <w:p w:rsidR="00013EC7" w:rsidRDefault="00575CDB">
            <w:pPr>
              <w:spacing w:line="310" w:lineRule="exact"/>
              <w:jc w:val="left"/>
              <w:rPr>
                <w:rFonts w:ascii="仿宋" w:eastAsia="仿宋" w:hAnsi="仿宋"/>
                <w:sz w:val="24"/>
              </w:rPr>
            </w:pPr>
            <w:r>
              <w:rPr>
                <w:rFonts w:ascii="仿宋" w:eastAsia="仿宋" w:hAnsi="仿宋" w:hint="eastAsia"/>
                <w:sz w:val="24"/>
              </w:rPr>
              <w:t>即时办结</w:t>
            </w:r>
          </w:p>
        </w:tc>
        <w:tc>
          <w:tcPr>
            <w:tcW w:w="958" w:type="dxa"/>
            <w:vMerge w:val="restart"/>
            <w:vAlign w:val="center"/>
          </w:tcPr>
          <w:p w:rsidR="00013EC7" w:rsidRDefault="00575CDB">
            <w:pPr>
              <w:spacing w:line="310" w:lineRule="exact"/>
              <w:jc w:val="left"/>
              <w:rPr>
                <w:rFonts w:ascii="仿宋" w:eastAsia="仿宋" w:hAnsi="仿宋"/>
                <w:sz w:val="24"/>
              </w:rPr>
            </w:pPr>
            <w:r>
              <w:rPr>
                <w:rFonts w:ascii="仿宋" w:eastAsia="仿宋" w:hAnsi="仿宋" w:hint="eastAsia"/>
                <w:sz w:val="24"/>
              </w:rPr>
              <w:t>是</w:t>
            </w:r>
          </w:p>
        </w:tc>
        <w:tc>
          <w:tcPr>
            <w:tcW w:w="1104" w:type="dxa"/>
            <w:vMerge w:val="restart"/>
            <w:vAlign w:val="center"/>
          </w:tcPr>
          <w:p w:rsidR="00013EC7" w:rsidRDefault="00575CDB">
            <w:pPr>
              <w:spacing w:line="310" w:lineRule="exact"/>
              <w:jc w:val="left"/>
              <w:rPr>
                <w:rFonts w:ascii="仿宋" w:eastAsia="仿宋" w:hAnsi="仿宋"/>
                <w:sz w:val="24"/>
              </w:rPr>
            </w:pPr>
            <w:r>
              <w:rPr>
                <w:rFonts w:ascii="仿宋" w:eastAsia="仿宋" w:hAnsi="仿宋" w:hint="eastAsia"/>
                <w:sz w:val="24"/>
              </w:rPr>
              <w:t>货物和劳务税处</w:t>
            </w:r>
          </w:p>
        </w:tc>
        <w:tc>
          <w:tcPr>
            <w:tcW w:w="1476" w:type="dxa"/>
            <w:vMerge w:val="restart"/>
            <w:vAlign w:val="center"/>
          </w:tcPr>
          <w:p w:rsidR="00013EC7" w:rsidRDefault="00013EC7">
            <w:pPr>
              <w:spacing w:line="300" w:lineRule="exact"/>
              <w:rPr>
                <w:rFonts w:eastAsia="方正书宋简体"/>
                <w:szCs w:val="21"/>
              </w:rPr>
            </w:pPr>
          </w:p>
        </w:tc>
      </w:tr>
      <w:tr w:rsidR="00013EC7">
        <w:trPr>
          <w:trHeight w:val="340"/>
          <w:jc w:val="center"/>
        </w:trPr>
        <w:tc>
          <w:tcPr>
            <w:tcW w:w="672" w:type="dxa"/>
            <w:vMerge/>
            <w:textDirection w:val="tbRlV"/>
            <w:vAlign w:val="center"/>
          </w:tcPr>
          <w:p w:rsidR="00013EC7" w:rsidRDefault="00013EC7"/>
        </w:tc>
        <w:tc>
          <w:tcPr>
            <w:tcW w:w="1035" w:type="dxa"/>
            <w:vMerge/>
            <w:vAlign w:val="center"/>
          </w:tcPr>
          <w:p w:rsidR="00013EC7" w:rsidRDefault="00013EC7"/>
        </w:tc>
        <w:tc>
          <w:tcPr>
            <w:tcW w:w="4248" w:type="dxa"/>
            <w:vMerge/>
            <w:vAlign w:val="center"/>
          </w:tcPr>
          <w:p w:rsidR="00013EC7" w:rsidRDefault="00013EC7"/>
        </w:tc>
        <w:tc>
          <w:tcPr>
            <w:tcW w:w="2126" w:type="dxa"/>
            <w:vAlign w:val="center"/>
          </w:tcPr>
          <w:p w:rsidR="00013EC7" w:rsidRDefault="00575CDB">
            <w:pPr>
              <w:spacing w:line="310" w:lineRule="exact"/>
              <w:rPr>
                <w:rFonts w:ascii="仿宋" w:eastAsia="仿宋" w:hAnsi="仿宋"/>
                <w:sz w:val="24"/>
              </w:rPr>
            </w:pPr>
            <w:r>
              <w:rPr>
                <w:rFonts w:ascii="仿宋" w:eastAsia="仿宋" w:hAnsi="仿宋" w:hint="eastAsia"/>
                <w:sz w:val="24"/>
              </w:rPr>
              <w:t>（二）</w:t>
            </w:r>
            <w:hyperlink r:id="rId322" w:history="1">
              <w:r>
                <w:rPr>
                  <w:rFonts w:ascii="仿宋" w:eastAsia="仿宋" w:hAnsi="仿宋"/>
                  <w:sz w:val="24"/>
                </w:rPr>
                <w:t>（A06620）《其他应税消费品消费税纳税申报表》</w:t>
              </w:r>
            </w:hyperlink>
            <w:r>
              <w:rPr>
                <w:rFonts w:ascii="仿宋" w:eastAsia="仿宋" w:hAnsi="仿宋" w:cs="仿宋"/>
                <w:kern w:val="1"/>
                <w:sz w:val="24"/>
                <w:highlight w:val="lightGray"/>
              </w:rPr>
              <w:t>2份</w:t>
            </w:r>
            <w:r>
              <w:rPr>
                <w:rFonts w:ascii="仿宋" w:eastAsia="仿宋" w:hAnsi="仿宋" w:hint="eastAsia"/>
                <w:sz w:val="24"/>
              </w:rPr>
              <w:t>。</w:t>
            </w:r>
          </w:p>
        </w:tc>
        <w:tc>
          <w:tcPr>
            <w:tcW w:w="1134" w:type="dxa"/>
            <w:vAlign w:val="center"/>
          </w:tcPr>
          <w:p w:rsidR="00013EC7" w:rsidRDefault="00575CDB">
            <w:pPr>
              <w:spacing w:line="310" w:lineRule="exact"/>
              <w:jc w:val="left"/>
              <w:rPr>
                <w:rFonts w:ascii="仿宋" w:eastAsia="仿宋" w:hAnsi="仿宋"/>
                <w:sz w:val="24"/>
              </w:rPr>
            </w:pPr>
            <w:r>
              <w:rPr>
                <w:rFonts w:ascii="仿宋" w:eastAsia="仿宋" w:hAnsi="仿宋"/>
                <w:sz w:val="24"/>
              </w:rPr>
              <w:t>消费税纳税人提交</w:t>
            </w:r>
          </w:p>
        </w:tc>
        <w:tc>
          <w:tcPr>
            <w:tcW w:w="2126" w:type="dxa"/>
            <w:vAlign w:val="center"/>
          </w:tcPr>
          <w:p w:rsidR="00013EC7" w:rsidRDefault="00575CDB">
            <w:pPr>
              <w:spacing w:line="310" w:lineRule="exact"/>
              <w:rPr>
                <w:rFonts w:ascii="仿宋" w:eastAsia="仿宋" w:hAnsi="仿宋"/>
                <w:sz w:val="24"/>
              </w:rPr>
            </w:pPr>
            <w:r>
              <w:rPr>
                <w:rFonts w:ascii="仿宋" w:eastAsia="仿宋" w:hAnsi="仿宋" w:hint="eastAsia"/>
                <w:sz w:val="24"/>
              </w:rPr>
              <w:t>（二）（A06620）《其他应税消费品消费税纳税申报表》1份（经税务机关核准采取简易申报方式的定期定额户正常申报除外）。</w:t>
            </w:r>
          </w:p>
        </w:tc>
        <w:tc>
          <w:tcPr>
            <w:tcW w:w="1134" w:type="dxa"/>
            <w:vAlign w:val="center"/>
          </w:tcPr>
          <w:p w:rsidR="00013EC7" w:rsidRDefault="00575CDB">
            <w:pPr>
              <w:spacing w:line="310" w:lineRule="exact"/>
              <w:jc w:val="left"/>
              <w:rPr>
                <w:rFonts w:ascii="仿宋" w:eastAsia="仿宋" w:hAnsi="仿宋"/>
                <w:sz w:val="24"/>
              </w:rPr>
            </w:pPr>
            <w:r>
              <w:rPr>
                <w:rFonts w:ascii="仿宋" w:eastAsia="仿宋" w:hAnsi="仿宋" w:hint="eastAsia"/>
                <w:sz w:val="24"/>
              </w:rPr>
              <w:t>消费税纳税人提交</w:t>
            </w:r>
          </w:p>
        </w:tc>
        <w:tc>
          <w:tcPr>
            <w:tcW w:w="2166" w:type="dxa"/>
            <w:vMerge/>
            <w:vAlign w:val="center"/>
          </w:tcPr>
          <w:p w:rsidR="00013EC7" w:rsidRDefault="00013EC7">
            <w:pPr>
              <w:spacing w:line="310" w:lineRule="exact"/>
              <w:rPr>
                <w:rFonts w:ascii="仿宋" w:eastAsia="仿宋" w:hAnsi="仿宋"/>
                <w:sz w:val="24"/>
              </w:rPr>
            </w:pPr>
          </w:p>
        </w:tc>
        <w:tc>
          <w:tcPr>
            <w:tcW w:w="868" w:type="dxa"/>
            <w:vMerge/>
            <w:vAlign w:val="center"/>
          </w:tcPr>
          <w:p w:rsidR="00013EC7" w:rsidRDefault="00013EC7"/>
        </w:tc>
        <w:tc>
          <w:tcPr>
            <w:tcW w:w="798" w:type="dxa"/>
            <w:vMerge/>
            <w:vAlign w:val="center"/>
          </w:tcPr>
          <w:p w:rsidR="00013EC7" w:rsidRDefault="00013EC7"/>
        </w:tc>
        <w:tc>
          <w:tcPr>
            <w:tcW w:w="958" w:type="dxa"/>
            <w:vMerge/>
            <w:vAlign w:val="center"/>
          </w:tcPr>
          <w:p w:rsidR="00013EC7" w:rsidRDefault="00013EC7"/>
        </w:tc>
        <w:tc>
          <w:tcPr>
            <w:tcW w:w="1104" w:type="dxa"/>
            <w:vMerge/>
            <w:vAlign w:val="center"/>
          </w:tcPr>
          <w:p w:rsidR="00013EC7" w:rsidRDefault="00013EC7"/>
        </w:tc>
        <w:tc>
          <w:tcPr>
            <w:tcW w:w="1476" w:type="dxa"/>
            <w:vMerge/>
            <w:vAlign w:val="center"/>
          </w:tcPr>
          <w:p w:rsidR="00013EC7" w:rsidRDefault="00013EC7"/>
        </w:tc>
      </w:tr>
    </w:tbl>
    <w:p w:rsidR="00013EC7" w:rsidRDefault="00013EC7"/>
    <w:p w:rsidR="00013EC7" w:rsidRDefault="00575CDB">
      <w:pPr>
        <w:rPr>
          <w:rFonts w:ascii="仿宋" w:eastAsia="仿宋" w:hAnsi="仿宋" w:cs="仿宋"/>
          <w:sz w:val="24"/>
        </w:rPr>
      </w:pPr>
      <w:r>
        <w:object w:dxaOrig="9638" w:dyaOrig="11491">
          <v:shape id="_x0000_i1732" type="#_x0000_t75" style="width:481.9pt;height:574.55pt" o:ole="">
            <v:imagedata r:id="rId323" o:title=""/>
          </v:shape>
          <o:OLEObject Type="Embed" ProgID="Visio.Drawing.11" ShapeID="_x0000_i1732" DrawAspect="Content" ObjectID="_1577296118" r:id="rId324"/>
        </w:object>
      </w:r>
    </w:p>
    <w:p w:rsidR="00013EC7" w:rsidRDefault="00013EC7">
      <w:pPr>
        <w:jc w:val="center"/>
      </w:pPr>
    </w:p>
    <w:p w:rsidR="00013EC7" w:rsidRDefault="00013EC7">
      <w:pPr>
        <w:jc w:val="left"/>
        <w:rPr>
          <w:rFonts w:ascii="宋体" w:hAnsi="宋体" w:cs="宋体"/>
          <w:sz w:val="28"/>
          <w:szCs w:val="28"/>
        </w:rPr>
      </w:pPr>
    </w:p>
    <w:p w:rsidR="00013EC7" w:rsidRDefault="00575CDB">
      <w:pPr>
        <w:pStyle w:val="1"/>
      </w:pPr>
      <w:bookmarkStart w:id="384" w:name="_Toc503467442"/>
      <w:bookmarkStart w:id="385" w:name="_Toc23741"/>
      <w:bookmarkStart w:id="386" w:name="_Toc15648"/>
      <w:bookmarkStart w:id="387" w:name="_Toc23605"/>
      <w:r>
        <w:rPr>
          <w:rFonts w:hint="eastAsia"/>
        </w:rPr>
        <w:lastRenderedPageBreak/>
        <w:t>十八、居民企业清算企业所得税申报</w:t>
      </w:r>
      <w:bookmarkEnd w:id="384"/>
      <w:bookmarkEnd w:id="385"/>
      <w:bookmarkEnd w:id="386"/>
      <w:bookmarkEnd w:id="387"/>
    </w:p>
    <w:p w:rsidR="00013EC7" w:rsidRDefault="00575CDB">
      <w:pPr>
        <w:pStyle w:val="2"/>
      </w:pPr>
      <w:bookmarkStart w:id="388" w:name="_Toc31937"/>
      <w:bookmarkStart w:id="389" w:name="_Toc503467443"/>
      <w:bookmarkStart w:id="390" w:name="_Toc1410"/>
      <w:bookmarkStart w:id="391" w:name="_Toc24478"/>
      <w:bookmarkEnd w:id="293"/>
      <w:r>
        <w:rPr>
          <w:rFonts w:hint="eastAsia"/>
        </w:rPr>
        <w:t>18.1</w:t>
      </w:r>
      <w:r>
        <w:rPr>
          <w:rFonts w:hint="eastAsia"/>
        </w:rPr>
        <w:t>居民企业清算企业所得税申报</w:t>
      </w:r>
      <w:bookmarkEnd w:id="388"/>
      <w:bookmarkEnd w:id="389"/>
      <w:bookmarkEnd w:id="390"/>
      <w:bookmarkEnd w:id="391"/>
    </w:p>
    <w:p w:rsidR="00013EC7" w:rsidRDefault="00575CDB">
      <w:pPr>
        <w:jc w:val="center"/>
        <w:rPr>
          <w:rFonts w:ascii="宋体" w:hAnsi="宋体" w:cs="宋体"/>
          <w:b/>
          <w:bCs/>
          <w:sz w:val="52"/>
          <w:szCs w:val="52"/>
        </w:rPr>
      </w:pPr>
      <w:r>
        <w:rPr>
          <w:rFonts w:ascii="宋体" w:hAnsi="宋体" w:cs="宋体" w:hint="eastAsia"/>
          <w:b/>
          <w:bCs/>
          <w:sz w:val="52"/>
          <w:szCs w:val="52"/>
        </w:rPr>
        <w:t>全省“最多跑一次”事项“八统一”梳理表</w:t>
      </w:r>
    </w:p>
    <w:tbl>
      <w:tblPr>
        <w:tblW w:w="20438"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2622"/>
        <w:gridCol w:w="2760"/>
        <w:gridCol w:w="1430"/>
        <w:gridCol w:w="2551"/>
        <w:gridCol w:w="1316"/>
        <w:gridCol w:w="2848"/>
        <w:gridCol w:w="868"/>
        <w:gridCol w:w="922"/>
        <w:gridCol w:w="834"/>
        <w:gridCol w:w="1104"/>
        <w:gridCol w:w="1476"/>
      </w:tblGrid>
      <w:tr w:rsidR="00013EC7">
        <w:trPr>
          <w:trHeight w:val="340"/>
          <w:tblHeader/>
          <w:jc w:val="center"/>
        </w:trPr>
        <w:tc>
          <w:tcPr>
            <w:tcW w:w="672"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主项名称</w:t>
            </w:r>
          </w:p>
        </w:tc>
        <w:tc>
          <w:tcPr>
            <w:tcW w:w="1035"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子项名称</w:t>
            </w:r>
          </w:p>
        </w:tc>
        <w:tc>
          <w:tcPr>
            <w:tcW w:w="2622"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经办依据</w:t>
            </w:r>
          </w:p>
        </w:tc>
        <w:tc>
          <w:tcPr>
            <w:tcW w:w="4190"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原经办所需材料</w:t>
            </w:r>
          </w:p>
        </w:tc>
        <w:tc>
          <w:tcPr>
            <w:tcW w:w="6715" w:type="dxa"/>
            <w:gridSpan w:val="3"/>
            <w:vAlign w:val="center"/>
          </w:tcPr>
          <w:p w:rsidR="00013EC7" w:rsidRDefault="00575CDB">
            <w:pPr>
              <w:spacing w:line="280" w:lineRule="exact"/>
              <w:jc w:val="center"/>
              <w:rPr>
                <w:rFonts w:ascii="黑体" w:eastAsia="黑体"/>
                <w:sz w:val="24"/>
              </w:rPr>
            </w:pPr>
            <w:r>
              <w:rPr>
                <w:rFonts w:ascii="黑体" w:eastAsia="黑体" w:hint="eastAsia"/>
                <w:sz w:val="24"/>
              </w:rPr>
              <w:t>精简后经办所需材料</w:t>
            </w:r>
          </w:p>
        </w:tc>
        <w:tc>
          <w:tcPr>
            <w:tcW w:w="1790"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办理时限</w:t>
            </w:r>
          </w:p>
        </w:tc>
        <w:tc>
          <w:tcPr>
            <w:tcW w:w="834"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是否实现跑零次</w:t>
            </w:r>
          </w:p>
        </w:tc>
        <w:tc>
          <w:tcPr>
            <w:tcW w:w="1104"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省厅对口</w:t>
            </w:r>
          </w:p>
          <w:p w:rsidR="00013EC7" w:rsidRDefault="00575CDB">
            <w:pPr>
              <w:spacing w:line="280" w:lineRule="exact"/>
              <w:jc w:val="center"/>
              <w:rPr>
                <w:rFonts w:ascii="黑体" w:eastAsia="黑体"/>
                <w:sz w:val="24"/>
              </w:rPr>
            </w:pPr>
            <w:r>
              <w:rPr>
                <w:rFonts w:ascii="黑体" w:eastAsia="黑体" w:hint="eastAsia"/>
                <w:sz w:val="24"/>
              </w:rPr>
              <w:t>指导处室</w:t>
            </w:r>
          </w:p>
          <w:p w:rsidR="00013EC7" w:rsidRDefault="00575CDB">
            <w:pPr>
              <w:spacing w:line="280" w:lineRule="exact"/>
              <w:jc w:val="center"/>
              <w:rPr>
                <w:rFonts w:ascii="黑体" w:eastAsia="黑体"/>
                <w:sz w:val="24"/>
              </w:rPr>
            </w:pPr>
            <w:r>
              <w:rPr>
                <w:rFonts w:ascii="黑体" w:eastAsia="黑体" w:hint="eastAsia"/>
                <w:sz w:val="24"/>
              </w:rPr>
              <w:t>（单位）</w:t>
            </w:r>
          </w:p>
        </w:tc>
        <w:tc>
          <w:tcPr>
            <w:tcW w:w="1476"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进一步精简、</w:t>
            </w:r>
          </w:p>
          <w:p w:rsidR="00013EC7" w:rsidRDefault="00575CDB">
            <w:pPr>
              <w:spacing w:line="280" w:lineRule="exact"/>
              <w:jc w:val="center"/>
              <w:rPr>
                <w:rFonts w:ascii="黑体" w:eastAsia="黑体"/>
                <w:sz w:val="24"/>
              </w:rPr>
            </w:pPr>
            <w:r>
              <w:rPr>
                <w:rFonts w:ascii="黑体" w:eastAsia="黑体" w:hint="eastAsia"/>
                <w:sz w:val="24"/>
              </w:rPr>
              <w:t>规范建议</w:t>
            </w:r>
          </w:p>
        </w:tc>
      </w:tr>
      <w:tr w:rsidR="00013EC7">
        <w:trPr>
          <w:trHeight w:val="340"/>
          <w:tblHeader/>
          <w:jc w:val="center"/>
        </w:trPr>
        <w:tc>
          <w:tcPr>
            <w:tcW w:w="672" w:type="dxa"/>
            <w:vMerge/>
            <w:vAlign w:val="center"/>
          </w:tcPr>
          <w:p w:rsidR="00013EC7" w:rsidRDefault="00013EC7"/>
        </w:tc>
        <w:tc>
          <w:tcPr>
            <w:tcW w:w="1035" w:type="dxa"/>
            <w:vMerge/>
          </w:tcPr>
          <w:p w:rsidR="00013EC7" w:rsidRDefault="00013EC7"/>
        </w:tc>
        <w:tc>
          <w:tcPr>
            <w:tcW w:w="2622" w:type="dxa"/>
            <w:vMerge/>
          </w:tcPr>
          <w:p w:rsidR="00013EC7" w:rsidRDefault="00013EC7"/>
        </w:tc>
        <w:tc>
          <w:tcPr>
            <w:tcW w:w="2760" w:type="dxa"/>
            <w:tcBorders>
              <w:bottom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430"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2551" w:type="dxa"/>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316"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2848" w:type="dxa"/>
            <w:vAlign w:val="center"/>
          </w:tcPr>
          <w:p w:rsidR="00013EC7" w:rsidRDefault="00575CDB">
            <w:pPr>
              <w:spacing w:line="280" w:lineRule="exact"/>
              <w:jc w:val="center"/>
              <w:rPr>
                <w:rFonts w:ascii="黑体" w:eastAsia="黑体"/>
                <w:sz w:val="24"/>
              </w:rPr>
            </w:pPr>
            <w:r>
              <w:rPr>
                <w:rFonts w:ascii="黑体" w:eastAsia="黑体" w:hint="eastAsia"/>
                <w:sz w:val="24"/>
              </w:rPr>
              <w:t>办理方式及材料</w:t>
            </w:r>
          </w:p>
          <w:p w:rsidR="00013EC7" w:rsidRDefault="00575CDB">
            <w:pPr>
              <w:spacing w:line="280" w:lineRule="exact"/>
              <w:jc w:val="center"/>
              <w:rPr>
                <w:rFonts w:ascii="黑体" w:eastAsia="黑体"/>
                <w:sz w:val="24"/>
              </w:rPr>
            </w:pPr>
            <w:r>
              <w:rPr>
                <w:rFonts w:ascii="黑体" w:eastAsia="黑体" w:hint="eastAsia"/>
                <w:sz w:val="24"/>
              </w:rPr>
              <w:t>信息获取方式说明</w:t>
            </w:r>
          </w:p>
        </w:tc>
        <w:tc>
          <w:tcPr>
            <w:tcW w:w="868" w:type="dxa"/>
            <w:vAlign w:val="center"/>
          </w:tcPr>
          <w:p w:rsidR="00013EC7" w:rsidRDefault="00575CDB">
            <w:pPr>
              <w:spacing w:line="280" w:lineRule="exact"/>
              <w:jc w:val="center"/>
              <w:rPr>
                <w:rFonts w:ascii="黑体" w:eastAsia="黑体"/>
                <w:sz w:val="24"/>
              </w:rPr>
            </w:pPr>
            <w:r>
              <w:rPr>
                <w:rFonts w:ascii="黑体" w:eastAsia="黑体" w:hint="eastAsia"/>
                <w:sz w:val="24"/>
              </w:rPr>
              <w:t>优化前</w:t>
            </w:r>
          </w:p>
        </w:tc>
        <w:tc>
          <w:tcPr>
            <w:tcW w:w="922" w:type="dxa"/>
            <w:vAlign w:val="center"/>
          </w:tcPr>
          <w:p w:rsidR="00013EC7" w:rsidRDefault="00575CDB">
            <w:pPr>
              <w:spacing w:line="280" w:lineRule="exact"/>
              <w:jc w:val="center"/>
              <w:rPr>
                <w:rFonts w:ascii="黑体" w:eastAsia="黑体"/>
                <w:sz w:val="24"/>
              </w:rPr>
            </w:pPr>
            <w:r>
              <w:rPr>
                <w:rFonts w:ascii="黑体" w:eastAsia="黑体" w:hint="eastAsia"/>
                <w:sz w:val="24"/>
              </w:rPr>
              <w:t>优化后</w:t>
            </w:r>
          </w:p>
        </w:tc>
        <w:tc>
          <w:tcPr>
            <w:tcW w:w="834" w:type="dxa"/>
            <w:vMerge/>
            <w:vAlign w:val="center"/>
          </w:tcPr>
          <w:p w:rsidR="00013EC7" w:rsidRDefault="00013EC7"/>
        </w:tc>
        <w:tc>
          <w:tcPr>
            <w:tcW w:w="1104" w:type="dxa"/>
            <w:vMerge/>
            <w:vAlign w:val="center"/>
          </w:tcPr>
          <w:p w:rsidR="00013EC7" w:rsidRDefault="00013EC7"/>
        </w:tc>
        <w:tc>
          <w:tcPr>
            <w:tcW w:w="1476" w:type="dxa"/>
            <w:vMerge/>
            <w:vAlign w:val="center"/>
          </w:tcPr>
          <w:p w:rsidR="00013EC7" w:rsidRDefault="00013EC7"/>
        </w:tc>
      </w:tr>
      <w:tr w:rsidR="00013EC7">
        <w:trPr>
          <w:trHeight w:val="5049"/>
          <w:jc w:val="center"/>
        </w:trPr>
        <w:tc>
          <w:tcPr>
            <w:tcW w:w="672" w:type="dxa"/>
            <w:vMerge w:val="restart"/>
            <w:vAlign w:val="center"/>
          </w:tcPr>
          <w:p w:rsidR="00013EC7" w:rsidRDefault="00575CDB">
            <w:pPr>
              <w:jc w:val="left"/>
              <w:rPr>
                <w:rFonts w:ascii="仿宋" w:eastAsia="仿宋" w:hAnsi="仿宋" w:cs="宋体"/>
                <w:sz w:val="24"/>
              </w:rPr>
            </w:pPr>
            <w:r>
              <w:rPr>
                <w:rFonts w:ascii="仿宋" w:eastAsia="仿宋" w:hAnsi="仿宋" w:cs="宋体" w:hint="eastAsia"/>
                <w:sz w:val="24"/>
              </w:rPr>
              <w:t>18居民企业清算企业所得税申报</w:t>
            </w:r>
          </w:p>
        </w:tc>
        <w:tc>
          <w:tcPr>
            <w:tcW w:w="1035" w:type="dxa"/>
            <w:vMerge w:val="restart"/>
            <w:vAlign w:val="center"/>
          </w:tcPr>
          <w:p w:rsidR="00013EC7" w:rsidRDefault="00575CDB">
            <w:pPr>
              <w:jc w:val="left"/>
              <w:rPr>
                <w:rFonts w:ascii="仿宋" w:eastAsia="仿宋" w:hAnsi="仿宋" w:cs="宋体"/>
                <w:sz w:val="24"/>
              </w:rPr>
            </w:pPr>
            <w:r>
              <w:rPr>
                <w:rFonts w:ascii="仿宋" w:eastAsia="仿宋" w:hAnsi="仿宋" w:cs="宋体" w:hint="eastAsia"/>
                <w:sz w:val="24"/>
              </w:rPr>
              <w:t>18.1居民企业清算企业所得税申报</w:t>
            </w:r>
          </w:p>
        </w:tc>
        <w:tc>
          <w:tcPr>
            <w:tcW w:w="2622" w:type="dxa"/>
            <w:vMerge w:val="restart"/>
            <w:vAlign w:val="center"/>
          </w:tcPr>
          <w:p w:rsidR="00013EC7" w:rsidRDefault="00575CDB">
            <w:pPr>
              <w:jc w:val="left"/>
              <w:rPr>
                <w:rFonts w:ascii="仿宋" w:eastAsia="仿宋" w:hAnsi="仿宋" w:cs="宋体"/>
                <w:sz w:val="24"/>
              </w:rPr>
            </w:pPr>
            <w:r>
              <w:rPr>
                <w:rFonts w:ascii="仿宋" w:eastAsia="仿宋" w:hAnsi="仿宋" w:cs="宋体" w:hint="eastAsia"/>
                <w:sz w:val="24"/>
              </w:rPr>
              <w:t>（一）《全国人民代表大会常务委员会关于修改&lt;中华人民共和国企业所得税法&gt;的决定》（2017年中华人民共和国主席令第64号）第五十三条、第五十五条。</w:t>
            </w:r>
          </w:p>
          <w:p w:rsidR="00013EC7" w:rsidRDefault="00575CDB">
            <w:pPr>
              <w:jc w:val="left"/>
              <w:rPr>
                <w:rFonts w:ascii="仿宋" w:eastAsia="仿宋" w:hAnsi="仿宋" w:cs="宋体"/>
                <w:sz w:val="24"/>
              </w:rPr>
            </w:pPr>
            <w:r>
              <w:rPr>
                <w:rFonts w:ascii="仿宋" w:eastAsia="仿宋" w:hAnsi="仿宋" w:cs="宋体" w:hint="eastAsia"/>
                <w:sz w:val="24"/>
              </w:rPr>
              <w:t>（二）《中华人民共和国企业所得税法实施条例》（2007年中华人民共和国国务院令第512号）第十一条。</w:t>
            </w:r>
          </w:p>
          <w:p w:rsidR="00013EC7" w:rsidRDefault="00575CDB">
            <w:pPr>
              <w:jc w:val="left"/>
              <w:rPr>
                <w:rFonts w:ascii="仿宋" w:eastAsia="仿宋" w:hAnsi="仿宋" w:cs="宋体"/>
                <w:sz w:val="24"/>
              </w:rPr>
            </w:pPr>
            <w:r>
              <w:rPr>
                <w:rFonts w:ascii="仿宋" w:eastAsia="仿宋" w:hAnsi="仿宋" w:cs="宋体" w:hint="eastAsia"/>
                <w:sz w:val="24"/>
              </w:rPr>
              <w:t>（三）《财政部 国家税务总局关于企业清算业务企业所得税处理若干问题的通知》（财税（2009）60号）全文。</w:t>
            </w:r>
          </w:p>
          <w:p w:rsidR="00013EC7" w:rsidRDefault="00575CDB">
            <w:pPr>
              <w:jc w:val="left"/>
              <w:rPr>
                <w:rFonts w:ascii="仿宋" w:eastAsia="仿宋" w:hAnsi="仿宋" w:cs="宋体"/>
                <w:sz w:val="24"/>
              </w:rPr>
            </w:pPr>
            <w:r>
              <w:rPr>
                <w:rFonts w:ascii="仿宋" w:eastAsia="仿宋" w:hAnsi="仿宋" w:cs="宋体" w:hint="eastAsia"/>
                <w:sz w:val="24"/>
              </w:rPr>
              <w:t>（四）《国家税务总局关于企业清算所得税有关问题的通知》（国税函（2009）684号）全文。</w:t>
            </w:r>
          </w:p>
          <w:p w:rsidR="00013EC7" w:rsidRDefault="00575CDB">
            <w:pPr>
              <w:jc w:val="left"/>
              <w:rPr>
                <w:rFonts w:ascii="仿宋" w:eastAsia="仿宋" w:hAnsi="仿宋" w:cs="宋体"/>
                <w:sz w:val="24"/>
              </w:rPr>
            </w:pPr>
            <w:r>
              <w:rPr>
                <w:rFonts w:ascii="仿宋" w:eastAsia="仿宋" w:hAnsi="仿宋" w:cs="宋体" w:hint="eastAsia"/>
                <w:sz w:val="24"/>
              </w:rPr>
              <w:t>（五）《国家税务总局关于印发〈中华人民共</w:t>
            </w:r>
            <w:r>
              <w:rPr>
                <w:rFonts w:ascii="仿宋" w:eastAsia="仿宋" w:hAnsi="仿宋" w:cs="宋体" w:hint="eastAsia"/>
                <w:sz w:val="24"/>
              </w:rPr>
              <w:lastRenderedPageBreak/>
              <w:t>和国企业清算所得税申报表〉的通知》（国税函（2009）388号）全文。</w:t>
            </w:r>
          </w:p>
          <w:p w:rsidR="00013EC7" w:rsidRDefault="00575CDB">
            <w:pPr>
              <w:jc w:val="left"/>
              <w:rPr>
                <w:rFonts w:ascii="仿宋" w:eastAsia="仿宋" w:hAnsi="仿宋" w:cs="宋体"/>
                <w:sz w:val="24"/>
              </w:rPr>
            </w:pPr>
            <w:r>
              <w:rPr>
                <w:rFonts w:ascii="仿宋" w:eastAsia="仿宋" w:hAnsi="仿宋" w:cs="宋体" w:hint="eastAsia"/>
                <w:sz w:val="24"/>
              </w:rPr>
              <w:t>（六）《国家税务总局关于发布〈企业重组业务企业所得税管理办法〉的公告》（国家税务总局公告2010年第4号）第十条。</w:t>
            </w:r>
          </w:p>
          <w:p w:rsidR="00013EC7" w:rsidRDefault="00575CDB">
            <w:pPr>
              <w:jc w:val="left"/>
              <w:rPr>
                <w:rFonts w:ascii="仿宋" w:eastAsia="仿宋" w:hAnsi="仿宋" w:cs="宋体"/>
                <w:sz w:val="24"/>
              </w:rPr>
            </w:pPr>
            <w:r>
              <w:rPr>
                <w:rFonts w:ascii="仿宋" w:eastAsia="仿宋" w:hAnsi="仿宋" w:cs="宋体" w:hint="eastAsia"/>
                <w:sz w:val="24"/>
              </w:rPr>
              <w:t>（七）《国家税务总局关于印发〈境外注册中资控股居民企业所得税管理办法（试行）〉的公告》（国家税务总局公告 2011年第45号）第二十一条。</w:t>
            </w:r>
          </w:p>
        </w:tc>
        <w:tc>
          <w:tcPr>
            <w:tcW w:w="2760" w:type="dxa"/>
            <w:tcBorders>
              <w:top w:val="single" w:sz="4" w:space="0" w:color="auto"/>
              <w:bottom w:val="single" w:sz="4" w:space="0" w:color="auto"/>
            </w:tcBorders>
            <w:vAlign w:val="center"/>
          </w:tcPr>
          <w:p w:rsidR="00013EC7" w:rsidRDefault="00575CDB">
            <w:pPr>
              <w:rPr>
                <w:rFonts w:ascii="仿宋" w:eastAsia="仿宋" w:hAnsi="仿宋" w:cs="宋体"/>
                <w:sz w:val="24"/>
              </w:rPr>
            </w:pPr>
            <w:r>
              <w:rPr>
                <w:rFonts w:ascii="仿宋" w:eastAsia="仿宋" w:hAnsi="仿宋" w:cs="宋体" w:hint="eastAsia"/>
                <w:sz w:val="24"/>
              </w:rPr>
              <w:lastRenderedPageBreak/>
              <w:t>（一）（A06213-A06216）《中华人民共和国企业清算所得税申报表》及其附表各</w:t>
            </w:r>
            <w:r>
              <w:rPr>
                <w:rFonts w:ascii="仿宋" w:eastAsia="仿宋" w:hAnsi="仿宋" w:cs="仿宋" w:hint="eastAsia"/>
                <w:sz w:val="24"/>
                <w:shd w:val="clear" w:color="FFFFFF" w:fill="D9D9D9"/>
              </w:rPr>
              <w:t>2份</w:t>
            </w:r>
            <w:r>
              <w:rPr>
                <w:rFonts w:ascii="仿宋" w:eastAsia="仿宋" w:hAnsi="仿宋" w:cs="宋体" w:hint="eastAsia"/>
                <w:sz w:val="24"/>
              </w:rPr>
              <w:t>。</w:t>
            </w:r>
          </w:p>
        </w:tc>
        <w:tc>
          <w:tcPr>
            <w:tcW w:w="1430" w:type="dxa"/>
            <w:vAlign w:val="center"/>
          </w:tcPr>
          <w:p w:rsidR="00013EC7" w:rsidRDefault="00575CDB">
            <w:pPr>
              <w:jc w:val="left"/>
              <w:rPr>
                <w:rFonts w:ascii="仿宋" w:eastAsia="仿宋" w:hAnsi="仿宋" w:cs="宋体"/>
                <w:sz w:val="24"/>
              </w:rPr>
            </w:pPr>
            <w:r>
              <w:rPr>
                <w:rFonts w:ascii="仿宋" w:eastAsia="仿宋" w:hAnsi="仿宋" w:cs="宋体" w:hint="eastAsia"/>
                <w:sz w:val="24"/>
              </w:rPr>
              <w:t>纳税人提交</w:t>
            </w:r>
          </w:p>
        </w:tc>
        <w:tc>
          <w:tcPr>
            <w:tcW w:w="2551" w:type="dxa"/>
            <w:vAlign w:val="center"/>
          </w:tcPr>
          <w:p w:rsidR="00013EC7" w:rsidRDefault="00575CDB">
            <w:pPr>
              <w:rPr>
                <w:rFonts w:ascii="仿宋" w:eastAsia="仿宋" w:hAnsi="仿宋" w:cs="宋体"/>
                <w:sz w:val="24"/>
              </w:rPr>
            </w:pPr>
            <w:r>
              <w:rPr>
                <w:rFonts w:ascii="仿宋" w:eastAsia="仿宋" w:hAnsi="仿宋" w:cs="宋体" w:hint="eastAsia"/>
                <w:sz w:val="24"/>
              </w:rPr>
              <w:t>（一）（A06213-A06216）《中华人民共和国企业清算所得税申报表》及其附表各1份。</w:t>
            </w:r>
          </w:p>
        </w:tc>
        <w:tc>
          <w:tcPr>
            <w:tcW w:w="1316" w:type="dxa"/>
            <w:vAlign w:val="center"/>
          </w:tcPr>
          <w:p w:rsidR="00013EC7" w:rsidRDefault="00575CDB">
            <w:pPr>
              <w:jc w:val="left"/>
              <w:rPr>
                <w:rFonts w:ascii="仿宋" w:eastAsia="仿宋" w:hAnsi="仿宋" w:cs="宋体"/>
                <w:sz w:val="24"/>
              </w:rPr>
            </w:pPr>
            <w:r>
              <w:rPr>
                <w:rFonts w:ascii="仿宋" w:eastAsia="仿宋" w:hAnsi="仿宋" w:cs="宋体" w:hint="eastAsia"/>
                <w:sz w:val="24"/>
              </w:rPr>
              <w:t>纳税人提交</w:t>
            </w:r>
          </w:p>
        </w:tc>
        <w:tc>
          <w:tcPr>
            <w:tcW w:w="2848" w:type="dxa"/>
            <w:vAlign w:val="center"/>
          </w:tcPr>
          <w:p w:rsidR="00013EC7" w:rsidRDefault="00575CDB">
            <w:pPr>
              <w:rPr>
                <w:rFonts w:ascii="仿宋" w:eastAsia="仿宋" w:hAnsi="仿宋" w:cs="宋体"/>
                <w:sz w:val="24"/>
              </w:rPr>
            </w:pPr>
            <w:r>
              <w:rPr>
                <w:rFonts w:ascii="仿宋" w:eastAsia="仿宋" w:hAnsi="仿宋" w:cs="宋体"/>
                <w:b/>
                <w:sz w:val="24"/>
              </w:rPr>
              <w:t>现场办理：</w:t>
            </w:r>
            <w:r>
              <w:rPr>
                <w:rFonts w:ascii="仿宋" w:eastAsia="仿宋" w:hAnsi="仿宋" w:cs="宋体" w:hint="eastAsia"/>
                <w:sz w:val="24"/>
              </w:rPr>
              <w:t>纳税人提交书面材料，符合受理条件的当场受理办结。</w:t>
            </w:r>
          </w:p>
          <w:p w:rsidR="00013EC7" w:rsidRDefault="00575CDB">
            <w:pPr>
              <w:spacing w:line="300" w:lineRule="exact"/>
              <w:rPr>
                <w:rFonts w:ascii="仿宋" w:eastAsia="仿宋" w:hAnsi="仿宋" w:cs="仿宋"/>
                <w:b/>
                <w:sz w:val="24"/>
              </w:rPr>
            </w:pPr>
            <w:r>
              <w:rPr>
                <w:rFonts w:ascii="仿宋" w:eastAsia="仿宋" w:hAnsi="仿宋" w:cs="仿宋" w:hint="eastAsia"/>
                <w:b/>
                <w:sz w:val="24"/>
              </w:rPr>
              <w:t>网上办理：</w:t>
            </w:r>
            <w:r>
              <w:rPr>
                <w:rFonts w:ascii="仿宋" w:eastAsia="仿宋" w:hAnsi="仿宋" w:cs="仿宋" w:hint="eastAsia"/>
                <w:sz w:val="24"/>
              </w:rPr>
              <w:t>登录浙江国税电子税务局（网址：</w:t>
            </w:r>
            <w:hyperlink r:id="rId325" w:tgtFrame="https://wx.qq.com/_blank" w:history="1">
              <w:r>
                <w:rPr>
                  <w:rFonts w:ascii="仿宋" w:eastAsia="仿宋" w:hAnsi="仿宋" w:cs="仿宋" w:hint="eastAsia"/>
                  <w:sz w:val="24"/>
                </w:rPr>
                <w:t>http://etax.zjtax.gov.cn/</w:t>
              </w:r>
            </w:hyperlink>
            <w:r>
              <w:rPr>
                <w:rFonts w:ascii="仿宋" w:eastAsia="仿宋" w:hAnsi="仿宋" w:cs="仿宋" w:hint="eastAsia"/>
                <w:sz w:val="24"/>
              </w:rPr>
              <w:t>）提交申请。</w:t>
            </w:r>
          </w:p>
          <w:p w:rsidR="00013EC7" w:rsidRDefault="00013EC7">
            <w:pPr>
              <w:rPr>
                <w:rFonts w:ascii="仿宋" w:eastAsia="仿宋" w:hAnsi="仿宋" w:cs="宋体"/>
                <w:sz w:val="24"/>
              </w:rPr>
            </w:pPr>
          </w:p>
        </w:tc>
        <w:tc>
          <w:tcPr>
            <w:tcW w:w="868" w:type="dxa"/>
            <w:vMerge w:val="restart"/>
            <w:vAlign w:val="center"/>
          </w:tcPr>
          <w:p w:rsidR="00013EC7" w:rsidRDefault="00575CDB">
            <w:pPr>
              <w:rPr>
                <w:rFonts w:ascii="仿宋" w:eastAsia="仿宋" w:hAnsi="仿宋" w:cs="宋体"/>
                <w:sz w:val="24"/>
              </w:rPr>
            </w:pPr>
            <w:r>
              <w:rPr>
                <w:rFonts w:ascii="仿宋" w:eastAsia="仿宋" w:hAnsi="仿宋" w:cs="宋体" w:hint="eastAsia"/>
                <w:sz w:val="24"/>
              </w:rPr>
              <w:t>即时办结</w:t>
            </w:r>
          </w:p>
        </w:tc>
        <w:tc>
          <w:tcPr>
            <w:tcW w:w="922" w:type="dxa"/>
            <w:vMerge w:val="restart"/>
            <w:vAlign w:val="center"/>
          </w:tcPr>
          <w:p w:rsidR="00013EC7" w:rsidRDefault="00575CDB">
            <w:pPr>
              <w:jc w:val="left"/>
              <w:rPr>
                <w:rFonts w:ascii="仿宋" w:eastAsia="仿宋" w:hAnsi="仿宋" w:cs="宋体"/>
                <w:sz w:val="24"/>
              </w:rPr>
            </w:pPr>
            <w:r>
              <w:rPr>
                <w:rFonts w:ascii="仿宋" w:eastAsia="仿宋" w:hAnsi="仿宋" w:cs="宋体" w:hint="eastAsia"/>
                <w:sz w:val="24"/>
              </w:rPr>
              <w:t>即时办结</w:t>
            </w:r>
          </w:p>
        </w:tc>
        <w:tc>
          <w:tcPr>
            <w:tcW w:w="834" w:type="dxa"/>
            <w:vMerge w:val="restart"/>
            <w:vAlign w:val="center"/>
          </w:tcPr>
          <w:p w:rsidR="00013EC7" w:rsidRDefault="00575CDB">
            <w:pPr>
              <w:rPr>
                <w:rFonts w:ascii="仿宋" w:eastAsia="仿宋" w:hAnsi="仿宋" w:cs="宋体"/>
                <w:sz w:val="24"/>
              </w:rPr>
            </w:pPr>
            <w:r>
              <w:rPr>
                <w:rFonts w:ascii="仿宋" w:eastAsia="仿宋" w:hAnsi="仿宋" w:cs="宋体" w:hint="eastAsia"/>
                <w:sz w:val="24"/>
              </w:rPr>
              <w:t>是</w:t>
            </w:r>
          </w:p>
        </w:tc>
        <w:tc>
          <w:tcPr>
            <w:tcW w:w="1104" w:type="dxa"/>
            <w:vMerge w:val="restart"/>
            <w:vAlign w:val="center"/>
          </w:tcPr>
          <w:p w:rsidR="00013EC7" w:rsidRDefault="00575CDB">
            <w:pPr>
              <w:rPr>
                <w:rFonts w:ascii="仿宋" w:eastAsia="仿宋" w:hAnsi="仿宋" w:cs="宋体"/>
                <w:sz w:val="24"/>
              </w:rPr>
            </w:pPr>
            <w:r>
              <w:rPr>
                <w:rFonts w:ascii="仿宋" w:eastAsia="仿宋" w:hAnsi="仿宋" w:cs="宋体" w:hint="eastAsia"/>
                <w:sz w:val="24"/>
              </w:rPr>
              <w:t>所得税处</w:t>
            </w:r>
          </w:p>
        </w:tc>
        <w:tc>
          <w:tcPr>
            <w:tcW w:w="1476" w:type="dxa"/>
            <w:vMerge w:val="restart"/>
            <w:vAlign w:val="center"/>
          </w:tcPr>
          <w:p w:rsidR="00013EC7" w:rsidRDefault="00575CDB">
            <w:pPr>
              <w:jc w:val="left"/>
              <w:rPr>
                <w:rFonts w:ascii="仿宋" w:eastAsia="仿宋" w:hAnsi="仿宋" w:cs="宋体"/>
                <w:sz w:val="24"/>
              </w:rPr>
            </w:pPr>
            <w:r>
              <w:rPr>
                <w:rFonts w:ascii="仿宋" w:eastAsia="仿宋" w:hAnsi="仿宋" w:cs="宋体" w:hint="eastAsia"/>
                <w:sz w:val="24"/>
              </w:rPr>
              <w:t>建议取消以下材料复印件报送，通过外部信息共享获得：1.企业改变法律形式的工商部门或其他政府部门的批准文件。2.企业合并的工商部门或其他政府部门的批准文件。3.企业分立的工商部门或其他政府部门的批准文件。4.企业全部资产的计税基础以及评估机构出具的资产评估报告</w:t>
            </w:r>
            <w:r>
              <w:rPr>
                <w:rFonts w:ascii="仿宋" w:eastAsia="仿宋" w:hAnsi="仿宋" w:cs="宋体" w:hint="eastAsia"/>
                <w:sz w:val="24"/>
              </w:rPr>
              <w:lastRenderedPageBreak/>
              <w:t>复印件。5.企业债务处理或归属情况说明复印件。</w:t>
            </w:r>
          </w:p>
        </w:tc>
      </w:tr>
      <w:tr w:rsidR="00013EC7">
        <w:trPr>
          <w:trHeight w:val="2965"/>
          <w:jc w:val="center"/>
        </w:trPr>
        <w:tc>
          <w:tcPr>
            <w:tcW w:w="672" w:type="dxa"/>
            <w:vMerge/>
            <w:vAlign w:val="center"/>
          </w:tcPr>
          <w:p w:rsidR="00013EC7" w:rsidRDefault="00013EC7">
            <w:pPr>
              <w:jc w:val="center"/>
              <w:rPr>
                <w:rFonts w:eastAsia="方正书宋简体"/>
                <w:szCs w:val="21"/>
              </w:rPr>
            </w:pPr>
          </w:p>
        </w:tc>
        <w:tc>
          <w:tcPr>
            <w:tcW w:w="1035" w:type="dxa"/>
            <w:vMerge/>
            <w:vAlign w:val="center"/>
          </w:tcPr>
          <w:p w:rsidR="00013EC7" w:rsidRDefault="00013EC7">
            <w:pPr>
              <w:rPr>
                <w:rFonts w:eastAsia="方正书宋简体"/>
                <w:szCs w:val="21"/>
              </w:rPr>
            </w:pPr>
          </w:p>
        </w:tc>
        <w:tc>
          <w:tcPr>
            <w:tcW w:w="2622" w:type="dxa"/>
            <w:vMerge/>
            <w:vAlign w:val="center"/>
          </w:tcPr>
          <w:p w:rsidR="00013EC7" w:rsidRDefault="00013EC7">
            <w:pPr>
              <w:ind w:firstLine="420"/>
              <w:jc w:val="left"/>
              <w:rPr>
                <w:rFonts w:ascii="宋体" w:hAnsi="宋体" w:cs="宋体"/>
                <w:szCs w:val="21"/>
              </w:rPr>
            </w:pPr>
          </w:p>
        </w:tc>
        <w:tc>
          <w:tcPr>
            <w:tcW w:w="2760" w:type="dxa"/>
            <w:tcBorders>
              <w:top w:val="single" w:sz="4" w:space="0" w:color="auto"/>
              <w:bottom w:val="single" w:sz="4" w:space="0" w:color="auto"/>
            </w:tcBorders>
            <w:vAlign w:val="center"/>
          </w:tcPr>
          <w:p w:rsidR="00013EC7" w:rsidRDefault="00575CDB">
            <w:pPr>
              <w:rPr>
                <w:rFonts w:ascii="仿宋" w:eastAsia="仿宋" w:hAnsi="仿宋" w:cs="宋体"/>
                <w:sz w:val="24"/>
              </w:rPr>
            </w:pPr>
            <w:r>
              <w:rPr>
                <w:rFonts w:ascii="仿宋" w:eastAsia="仿宋" w:hAnsi="仿宋" w:cs="宋体" w:hint="eastAsia"/>
                <w:sz w:val="24"/>
              </w:rPr>
              <w:t>（二）企业改变法律形式的工商部门等政府部门的文件</w:t>
            </w:r>
            <w:r>
              <w:rPr>
                <w:rFonts w:ascii="仿宋" w:eastAsia="仿宋" w:hAnsi="仿宋" w:cs="仿宋" w:hint="eastAsia"/>
                <w:sz w:val="24"/>
                <w:shd w:val="clear" w:color="FFFFFF" w:fill="D9D9D9"/>
              </w:rPr>
              <w:t>原件及</w:t>
            </w:r>
            <w:r>
              <w:rPr>
                <w:rFonts w:ascii="仿宋" w:eastAsia="仿宋" w:hAnsi="仿宋" w:cs="宋体" w:hint="eastAsia"/>
                <w:sz w:val="24"/>
              </w:rPr>
              <w:t>复印件（加盖公章）。</w:t>
            </w:r>
          </w:p>
        </w:tc>
        <w:tc>
          <w:tcPr>
            <w:tcW w:w="1430" w:type="dxa"/>
            <w:vMerge w:val="restart"/>
            <w:vAlign w:val="center"/>
          </w:tcPr>
          <w:p w:rsidR="00013EC7" w:rsidRDefault="00575CDB">
            <w:pPr>
              <w:jc w:val="left"/>
              <w:rPr>
                <w:rFonts w:ascii="仿宋" w:eastAsia="仿宋" w:hAnsi="仿宋" w:cs="宋体"/>
                <w:sz w:val="24"/>
              </w:rPr>
            </w:pPr>
            <w:r>
              <w:rPr>
                <w:rFonts w:ascii="仿宋" w:eastAsia="仿宋" w:hAnsi="仿宋" w:cs="宋体" w:hint="eastAsia"/>
                <w:sz w:val="24"/>
              </w:rPr>
              <w:t>由法人转变为个人独资企业、合伙企业等非法人组织，或将登记注册地转移至中华人民共和国境外（包</w:t>
            </w:r>
            <w:r>
              <w:rPr>
                <w:rFonts w:ascii="仿宋" w:eastAsia="仿宋" w:hAnsi="仿宋" w:cs="宋体" w:hint="eastAsia"/>
                <w:sz w:val="24"/>
              </w:rPr>
              <w:lastRenderedPageBreak/>
              <w:t>括港澳台地区）的企业提交</w:t>
            </w:r>
          </w:p>
        </w:tc>
        <w:tc>
          <w:tcPr>
            <w:tcW w:w="2551" w:type="dxa"/>
            <w:vAlign w:val="center"/>
          </w:tcPr>
          <w:p w:rsidR="00013EC7" w:rsidRDefault="00575CDB">
            <w:pPr>
              <w:rPr>
                <w:rFonts w:ascii="仿宋" w:eastAsia="仿宋" w:hAnsi="仿宋" w:cs="宋体"/>
                <w:sz w:val="24"/>
              </w:rPr>
            </w:pPr>
            <w:r>
              <w:rPr>
                <w:rFonts w:ascii="仿宋" w:eastAsia="仿宋" w:hAnsi="仿宋" w:cs="宋体" w:hint="eastAsia"/>
                <w:sz w:val="24"/>
              </w:rPr>
              <w:lastRenderedPageBreak/>
              <w:t>（二）企业改变法律形式的工商部门等政府部门的文件复印件1份（注明与原件一致，并加盖公章）。</w:t>
            </w:r>
          </w:p>
        </w:tc>
        <w:tc>
          <w:tcPr>
            <w:tcW w:w="1316" w:type="dxa"/>
            <w:vMerge w:val="restart"/>
            <w:vAlign w:val="center"/>
          </w:tcPr>
          <w:p w:rsidR="00013EC7" w:rsidRDefault="00575CDB">
            <w:pPr>
              <w:jc w:val="left"/>
              <w:rPr>
                <w:rFonts w:ascii="仿宋" w:eastAsia="仿宋" w:hAnsi="仿宋" w:cs="宋体"/>
                <w:sz w:val="24"/>
              </w:rPr>
            </w:pPr>
            <w:r>
              <w:rPr>
                <w:rFonts w:ascii="仿宋" w:eastAsia="仿宋" w:hAnsi="仿宋" w:cs="宋体" w:hint="eastAsia"/>
                <w:sz w:val="24"/>
              </w:rPr>
              <w:t>由法人转变为个人独资企业、合伙企业等非法人组织，或将登记注册地转移至中华人民共和国境外（包</w:t>
            </w:r>
            <w:r>
              <w:rPr>
                <w:rFonts w:ascii="仿宋" w:eastAsia="仿宋" w:hAnsi="仿宋" w:cs="宋体" w:hint="eastAsia"/>
                <w:sz w:val="24"/>
              </w:rPr>
              <w:lastRenderedPageBreak/>
              <w:t>括港澳台地区）的企业提交</w:t>
            </w:r>
          </w:p>
        </w:tc>
        <w:tc>
          <w:tcPr>
            <w:tcW w:w="2848" w:type="dxa"/>
            <w:vMerge w:val="restart"/>
            <w:vAlign w:val="center"/>
          </w:tcPr>
          <w:p w:rsidR="00013EC7" w:rsidRDefault="00013EC7">
            <w:pPr>
              <w:rPr>
                <w:rFonts w:ascii="仿宋" w:eastAsia="仿宋" w:hAnsi="仿宋"/>
                <w:b/>
                <w:sz w:val="24"/>
              </w:rPr>
            </w:pPr>
          </w:p>
          <w:p w:rsidR="00013EC7" w:rsidRDefault="00013EC7">
            <w:pPr>
              <w:rPr>
                <w:rFonts w:ascii="仿宋" w:eastAsia="仿宋" w:hAnsi="仿宋"/>
                <w:b/>
                <w:sz w:val="24"/>
              </w:rPr>
            </w:pPr>
          </w:p>
          <w:p w:rsidR="00013EC7" w:rsidRDefault="00013EC7">
            <w:pPr>
              <w:rPr>
                <w:rFonts w:ascii="仿宋" w:eastAsia="仿宋" w:hAnsi="仿宋"/>
                <w:b/>
                <w:sz w:val="24"/>
              </w:rPr>
            </w:pPr>
          </w:p>
          <w:p w:rsidR="00013EC7" w:rsidRDefault="00575CDB">
            <w:pPr>
              <w:rPr>
                <w:rFonts w:ascii="仿宋" w:eastAsia="仿宋" w:hAnsi="仿宋" w:cs="宋体"/>
                <w:sz w:val="24"/>
              </w:rPr>
            </w:pPr>
            <w:r>
              <w:rPr>
                <w:rFonts w:ascii="仿宋" w:eastAsia="仿宋" w:hAnsi="仿宋"/>
                <w:b/>
                <w:sz w:val="24"/>
              </w:rPr>
              <w:t>现场办理：</w:t>
            </w:r>
            <w:r>
              <w:rPr>
                <w:rFonts w:ascii="仿宋" w:eastAsia="仿宋" w:hAnsi="仿宋" w:cs="宋体" w:hint="eastAsia"/>
                <w:sz w:val="24"/>
              </w:rPr>
              <w:t>纳税人提交书面材料，符合受理条件的当场受理办结。</w:t>
            </w:r>
          </w:p>
          <w:p w:rsidR="00013EC7" w:rsidRDefault="00575CDB">
            <w:pPr>
              <w:spacing w:line="300" w:lineRule="exact"/>
              <w:rPr>
                <w:rFonts w:ascii="仿宋" w:eastAsia="仿宋" w:hAnsi="仿宋" w:cs="仿宋"/>
                <w:b/>
                <w:sz w:val="24"/>
              </w:rPr>
            </w:pPr>
            <w:r>
              <w:rPr>
                <w:rFonts w:ascii="仿宋" w:eastAsia="仿宋" w:hAnsi="仿宋" w:cs="仿宋" w:hint="eastAsia"/>
                <w:b/>
                <w:sz w:val="24"/>
              </w:rPr>
              <w:t>网上办理：</w:t>
            </w:r>
            <w:r>
              <w:rPr>
                <w:rFonts w:ascii="仿宋" w:eastAsia="仿宋" w:hAnsi="仿宋" w:cs="仿宋" w:hint="eastAsia"/>
                <w:sz w:val="24"/>
              </w:rPr>
              <w:t>登录浙江国税电子税务局（网址：</w:t>
            </w:r>
            <w:hyperlink r:id="rId326" w:tgtFrame="https://wx.qq.com/_blank" w:history="1">
              <w:r>
                <w:rPr>
                  <w:rFonts w:ascii="仿宋" w:eastAsia="仿宋" w:hAnsi="仿宋" w:cs="仿宋" w:hint="eastAsia"/>
                  <w:sz w:val="24"/>
                </w:rPr>
                <w:t>http://etax.zjtax.gov.</w:t>
              </w:r>
              <w:r>
                <w:rPr>
                  <w:rFonts w:ascii="仿宋" w:eastAsia="仿宋" w:hAnsi="仿宋" w:cs="仿宋" w:hint="eastAsia"/>
                  <w:sz w:val="24"/>
                </w:rPr>
                <w:lastRenderedPageBreak/>
                <w:t>cn/</w:t>
              </w:r>
            </w:hyperlink>
            <w:r>
              <w:rPr>
                <w:rFonts w:ascii="仿宋" w:eastAsia="仿宋" w:hAnsi="仿宋" w:cs="仿宋" w:hint="eastAsia"/>
                <w:sz w:val="24"/>
              </w:rPr>
              <w:t>）提交申请。</w:t>
            </w:r>
          </w:p>
          <w:p w:rsidR="00013EC7" w:rsidRDefault="00013EC7">
            <w:pPr>
              <w:rPr>
                <w:rFonts w:ascii="仿宋" w:eastAsia="仿宋" w:hAnsi="仿宋" w:cs="宋体"/>
                <w:sz w:val="24"/>
              </w:rPr>
            </w:pPr>
          </w:p>
        </w:tc>
        <w:tc>
          <w:tcPr>
            <w:tcW w:w="868" w:type="dxa"/>
            <w:vMerge/>
            <w:vAlign w:val="center"/>
          </w:tcPr>
          <w:p w:rsidR="00013EC7" w:rsidRDefault="00013EC7">
            <w:pPr>
              <w:jc w:val="center"/>
              <w:rPr>
                <w:rFonts w:eastAsia="方正书宋简体"/>
                <w:szCs w:val="21"/>
              </w:rPr>
            </w:pPr>
          </w:p>
        </w:tc>
        <w:tc>
          <w:tcPr>
            <w:tcW w:w="922" w:type="dxa"/>
            <w:vMerge/>
            <w:vAlign w:val="center"/>
          </w:tcPr>
          <w:p w:rsidR="00013EC7" w:rsidRDefault="00013EC7">
            <w:pPr>
              <w:jc w:val="center"/>
              <w:rPr>
                <w:rFonts w:eastAsia="方正书宋简体"/>
                <w:szCs w:val="21"/>
              </w:rPr>
            </w:pPr>
          </w:p>
        </w:tc>
        <w:tc>
          <w:tcPr>
            <w:tcW w:w="834" w:type="dxa"/>
            <w:vMerge/>
            <w:vAlign w:val="center"/>
          </w:tcPr>
          <w:p w:rsidR="00013EC7" w:rsidRDefault="00013EC7">
            <w:pPr>
              <w:jc w:val="center"/>
              <w:rPr>
                <w:rFonts w:eastAsia="方正书宋简体"/>
                <w:szCs w:val="21"/>
              </w:rPr>
            </w:pPr>
          </w:p>
        </w:tc>
        <w:tc>
          <w:tcPr>
            <w:tcW w:w="1104" w:type="dxa"/>
            <w:vMerge/>
            <w:vAlign w:val="center"/>
          </w:tcPr>
          <w:p w:rsidR="00013EC7" w:rsidRDefault="00013EC7">
            <w:pPr>
              <w:jc w:val="center"/>
              <w:rPr>
                <w:rFonts w:eastAsia="方正书宋简体"/>
                <w:szCs w:val="21"/>
              </w:rPr>
            </w:pPr>
          </w:p>
        </w:tc>
        <w:tc>
          <w:tcPr>
            <w:tcW w:w="1476" w:type="dxa"/>
            <w:vMerge/>
            <w:vAlign w:val="center"/>
          </w:tcPr>
          <w:p w:rsidR="00013EC7" w:rsidRDefault="00013EC7">
            <w:pPr>
              <w:rPr>
                <w:rFonts w:eastAsia="方正书宋简体"/>
                <w:szCs w:val="21"/>
              </w:rPr>
            </w:pPr>
          </w:p>
        </w:tc>
      </w:tr>
      <w:tr w:rsidR="00013EC7">
        <w:trPr>
          <w:trHeight w:val="2965"/>
          <w:jc w:val="center"/>
        </w:trPr>
        <w:tc>
          <w:tcPr>
            <w:tcW w:w="672" w:type="dxa"/>
            <w:vMerge/>
            <w:vAlign w:val="center"/>
          </w:tcPr>
          <w:p w:rsidR="00013EC7" w:rsidRDefault="00013EC7">
            <w:pPr>
              <w:jc w:val="center"/>
              <w:rPr>
                <w:rFonts w:eastAsia="方正书宋简体"/>
                <w:szCs w:val="21"/>
              </w:rPr>
            </w:pPr>
          </w:p>
        </w:tc>
        <w:tc>
          <w:tcPr>
            <w:tcW w:w="1035" w:type="dxa"/>
            <w:vMerge/>
            <w:vAlign w:val="center"/>
          </w:tcPr>
          <w:p w:rsidR="00013EC7" w:rsidRDefault="00013EC7">
            <w:pPr>
              <w:rPr>
                <w:rFonts w:eastAsia="方正书宋简体"/>
                <w:szCs w:val="21"/>
              </w:rPr>
            </w:pPr>
          </w:p>
        </w:tc>
        <w:tc>
          <w:tcPr>
            <w:tcW w:w="2622" w:type="dxa"/>
            <w:vMerge/>
            <w:vAlign w:val="center"/>
          </w:tcPr>
          <w:p w:rsidR="00013EC7" w:rsidRDefault="00013EC7">
            <w:pPr>
              <w:ind w:firstLine="420"/>
              <w:jc w:val="left"/>
              <w:rPr>
                <w:rFonts w:ascii="宋体" w:hAnsi="宋体" w:cs="宋体"/>
                <w:szCs w:val="21"/>
              </w:rPr>
            </w:pPr>
          </w:p>
        </w:tc>
        <w:tc>
          <w:tcPr>
            <w:tcW w:w="2760" w:type="dxa"/>
            <w:tcBorders>
              <w:top w:val="single" w:sz="4" w:space="0" w:color="auto"/>
              <w:bottom w:val="single" w:sz="4" w:space="0" w:color="auto"/>
            </w:tcBorders>
            <w:vAlign w:val="center"/>
          </w:tcPr>
          <w:p w:rsidR="00013EC7" w:rsidRDefault="00575CDB">
            <w:pPr>
              <w:rPr>
                <w:rFonts w:ascii="仿宋" w:eastAsia="仿宋" w:hAnsi="仿宋" w:cs="宋体"/>
                <w:sz w:val="24"/>
              </w:rPr>
            </w:pPr>
            <w:r>
              <w:rPr>
                <w:rFonts w:ascii="仿宋" w:eastAsia="仿宋" w:hAnsi="仿宋" w:cs="宋体" w:hint="eastAsia"/>
                <w:sz w:val="24"/>
              </w:rPr>
              <w:t>（三）企业全部资产的计税基础以及评估机构出具的资产评估报告</w:t>
            </w:r>
            <w:r>
              <w:rPr>
                <w:rFonts w:ascii="仿宋" w:eastAsia="仿宋" w:hAnsi="仿宋" w:cs="仿宋" w:hint="eastAsia"/>
                <w:sz w:val="24"/>
                <w:shd w:val="clear" w:color="FFFFFF" w:fill="D9D9D9"/>
              </w:rPr>
              <w:t>原件及</w:t>
            </w:r>
            <w:r>
              <w:rPr>
                <w:rFonts w:ascii="仿宋" w:eastAsia="仿宋" w:hAnsi="仿宋" w:cs="宋体" w:hint="eastAsia"/>
                <w:sz w:val="24"/>
              </w:rPr>
              <w:t>复印件（加盖公章）。</w:t>
            </w:r>
          </w:p>
        </w:tc>
        <w:tc>
          <w:tcPr>
            <w:tcW w:w="1430" w:type="dxa"/>
            <w:vMerge/>
            <w:vAlign w:val="center"/>
          </w:tcPr>
          <w:p w:rsidR="00013EC7" w:rsidRDefault="00013EC7">
            <w:pPr>
              <w:jc w:val="left"/>
              <w:rPr>
                <w:rFonts w:ascii="仿宋" w:eastAsia="仿宋" w:hAnsi="仿宋" w:cs="宋体"/>
                <w:sz w:val="24"/>
              </w:rPr>
            </w:pPr>
          </w:p>
        </w:tc>
        <w:tc>
          <w:tcPr>
            <w:tcW w:w="2551" w:type="dxa"/>
            <w:vAlign w:val="center"/>
          </w:tcPr>
          <w:p w:rsidR="00013EC7" w:rsidRDefault="00575CDB">
            <w:pPr>
              <w:rPr>
                <w:rFonts w:ascii="仿宋" w:eastAsia="仿宋" w:hAnsi="仿宋" w:cs="宋体"/>
                <w:sz w:val="24"/>
              </w:rPr>
            </w:pPr>
            <w:r>
              <w:rPr>
                <w:rFonts w:ascii="仿宋" w:eastAsia="仿宋" w:hAnsi="仿宋" w:cs="宋体" w:hint="eastAsia"/>
                <w:sz w:val="24"/>
              </w:rPr>
              <w:t>（三）企业全部资产的计税基础以及评估机构出具的资产评估报告复印件1份（注明与原件一致，并加盖公章。</w:t>
            </w:r>
          </w:p>
        </w:tc>
        <w:tc>
          <w:tcPr>
            <w:tcW w:w="1316" w:type="dxa"/>
            <w:vMerge/>
            <w:vAlign w:val="center"/>
          </w:tcPr>
          <w:p w:rsidR="00013EC7" w:rsidRDefault="00013EC7">
            <w:pPr>
              <w:jc w:val="left"/>
              <w:rPr>
                <w:rFonts w:ascii="仿宋" w:eastAsia="仿宋" w:hAnsi="仿宋" w:cs="宋体"/>
                <w:sz w:val="24"/>
              </w:rPr>
            </w:pPr>
          </w:p>
        </w:tc>
        <w:tc>
          <w:tcPr>
            <w:tcW w:w="2848" w:type="dxa"/>
            <w:vMerge/>
            <w:vAlign w:val="center"/>
          </w:tcPr>
          <w:p w:rsidR="00013EC7" w:rsidRDefault="00013EC7">
            <w:pPr>
              <w:rPr>
                <w:rFonts w:ascii="仿宋" w:eastAsia="仿宋" w:hAnsi="仿宋" w:cs="宋体"/>
                <w:sz w:val="24"/>
              </w:rPr>
            </w:pPr>
          </w:p>
        </w:tc>
        <w:tc>
          <w:tcPr>
            <w:tcW w:w="868" w:type="dxa"/>
            <w:vMerge/>
            <w:vAlign w:val="center"/>
          </w:tcPr>
          <w:p w:rsidR="00013EC7" w:rsidRDefault="00013EC7">
            <w:pPr>
              <w:jc w:val="center"/>
              <w:rPr>
                <w:rFonts w:eastAsia="方正书宋简体"/>
                <w:szCs w:val="21"/>
              </w:rPr>
            </w:pPr>
          </w:p>
        </w:tc>
        <w:tc>
          <w:tcPr>
            <w:tcW w:w="922" w:type="dxa"/>
            <w:vMerge/>
            <w:vAlign w:val="center"/>
          </w:tcPr>
          <w:p w:rsidR="00013EC7" w:rsidRDefault="00013EC7">
            <w:pPr>
              <w:jc w:val="center"/>
              <w:rPr>
                <w:rFonts w:eastAsia="方正书宋简体"/>
                <w:szCs w:val="21"/>
              </w:rPr>
            </w:pPr>
          </w:p>
        </w:tc>
        <w:tc>
          <w:tcPr>
            <w:tcW w:w="834" w:type="dxa"/>
            <w:vMerge/>
            <w:vAlign w:val="center"/>
          </w:tcPr>
          <w:p w:rsidR="00013EC7" w:rsidRDefault="00013EC7">
            <w:pPr>
              <w:jc w:val="center"/>
              <w:rPr>
                <w:rFonts w:eastAsia="方正书宋简体"/>
                <w:szCs w:val="21"/>
              </w:rPr>
            </w:pPr>
          </w:p>
        </w:tc>
        <w:tc>
          <w:tcPr>
            <w:tcW w:w="1104" w:type="dxa"/>
            <w:vMerge/>
            <w:vAlign w:val="center"/>
          </w:tcPr>
          <w:p w:rsidR="00013EC7" w:rsidRDefault="00013EC7">
            <w:pPr>
              <w:jc w:val="center"/>
              <w:rPr>
                <w:rFonts w:eastAsia="方正书宋简体"/>
                <w:szCs w:val="21"/>
              </w:rPr>
            </w:pPr>
          </w:p>
        </w:tc>
        <w:tc>
          <w:tcPr>
            <w:tcW w:w="1476" w:type="dxa"/>
            <w:vMerge/>
            <w:vAlign w:val="center"/>
          </w:tcPr>
          <w:p w:rsidR="00013EC7" w:rsidRDefault="00013EC7">
            <w:pPr>
              <w:rPr>
                <w:rFonts w:eastAsia="方正书宋简体"/>
                <w:szCs w:val="21"/>
              </w:rPr>
            </w:pPr>
          </w:p>
        </w:tc>
      </w:tr>
      <w:tr w:rsidR="00013EC7">
        <w:trPr>
          <w:trHeight w:val="2965"/>
          <w:jc w:val="center"/>
        </w:trPr>
        <w:tc>
          <w:tcPr>
            <w:tcW w:w="672" w:type="dxa"/>
            <w:vMerge/>
            <w:vAlign w:val="center"/>
          </w:tcPr>
          <w:p w:rsidR="00013EC7" w:rsidRDefault="00013EC7">
            <w:pPr>
              <w:jc w:val="center"/>
              <w:rPr>
                <w:rFonts w:eastAsia="方正书宋简体"/>
                <w:szCs w:val="21"/>
              </w:rPr>
            </w:pPr>
          </w:p>
        </w:tc>
        <w:tc>
          <w:tcPr>
            <w:tcW w:w="1035" w:type="dxa"/>
            <w:vMerge/>
            <w:vAlign w:val="center"/>
          </w:tcPr>
          <w:p w:rsidR="00013EC7" w:rsidRDefault="00013EC7">
            <w:pPr>
              <w:rPr>
                <w:rFonts w:eastAsia="方正书宋简体"/>
                <w:szCs w:val="21"/>
              </w:rPr>
            </w:pPr>
          </w:p>
        </w:tc>
        <w:tc>
          <w:tcPr>
            <w:tcW w:w="2622" w:type="dxa"/>
            <w:vMerge/>
            <w:vAlign w:val="center"/>
          </w:tcPr>
          <w:p w:rsidR="00013EC7" w:rsidRDefault="00013EC7">
            <w:pPr>
              <w:ind w:firstLine="420"/>
              <w:jc w:val="left"/>
              <w:rPr>
                <w:rFonts w:ascii="宋体" w:hAnsi="宋体" w:cs="宋体"/>
                <w:szCs w:val="21"/>
              </w:rPr>
            </w:pPr>
          </w:p>
        </w:tc>
        <w:tc>
          <w:tcPr>
            <w:tcW w:w="2760" w:type="dxa"/>
            <w:tcBorders>
              <w:top w:val="single" w:sz="4" w:space="0" w:color="auto"/>
              <w:bottom w:val="single" w:sz="4" w:space="0" w:color="auto"/>
            </w:tcBorders>
            <w:vAlign w:val="center"/>
          </w:tcPr>
          <w:p w:rsidR="00013EC7" w:rsidRDefault="00575CDB">
            <w:pPr>
              <w:rPr>
                <w:rFonts w:ascii="仿宋" w:eastAsia="仿宋" w:hAnsi="仿宋" w:cs="宋体"/>
                <w:sz w:val="24"/>
              </w:rPr>
            </w:pPr>
            <w:r>
              <w:rPr>
                <w:rFonts w:ascii="仿宋" w:eastAsia="仿宋" w:hAnsi="仿宋" w:cs="宋体" w:hint="eastAsia"/>
                <w:sz w:val="24"/>
              </w:rPr>
              <w:t>（四）企业债权、债务处理或归属情况说明</w:t>
            </w:r>
            <w:r>
              <w:rPr>
                <w:rFonts w:ascii="仿宋" w:eastAsia="仿宋" w:hAnsi="仿宋" w:cs="仿宋" w:hint="eastAsia"/>
                <w:sz w:val="24"/>
                <w:shd w:val="clear" w:color="FFFFFF" w:fill="D9D9D9"/>
              </w:rPr>
              <w:t>原件及</w:t>
            </w:r>
            <w:r>
              <w:rPr>
                <w:rFonts w:ascii="仿宋" w:eastAsia="仿宋" w:hAnsi="仿宋" w:cs="宋体" w:hint="eastAsia"/>
                <w:sz w:val="24"/>
              </w:rPr>
              <w:t>复印件（加盖公章）。</w:t>
            </w:r>
          </w:p>
        </w:tc>
        <w:tc>
          <w:tcPr>
            <w:tcW w:w="1430" w:type="dxa"/>
            <w:vMerge/>
            <w:vAlign w:val="center"/>
          </w:tcPr>
          <w:p w:rsidR="00013EC7" w:rsidRDefault="00013EC7">
            <w:pPr>
              <w:jc w:val="left"/>
              <w:rPr>
                <w:rFonts w:ascii="仿宋" w:eastAsia="仿宋" w:hAnsi="仿宋" w:cs="宋体"/>
                <w:sz w:val="24"/>
              </w:rPr>
            </w:pPr>
          </w:p>
        </w:tc>
        <w:tc>
          <w:tcPr>
            <w:tcW w:w="2551" w:type="dxa"/>
            <w:vAlign w:val="center"/>
          </w:tcPr>
          <w:p w:rsidR="00013EC7" w:rsidRDefault="00575CDB">
            <w:pPr>
              <w:rPr>
                <w:rFonts w:ascii="仿宋" w:eastAsia="仿宋" w:hAnsi="仿宋" w:cs="宋体"/>
                <w:sz w:val="24"/>
              </w:rPr>
            </w:pPr>
            <w:r>
              <w:rPr>
                <w:rFonts w:ascii="仿宋" w:eastAsia="仿宋" w:hAnsi="仿宋" w:cs="宋体" w:hint="eastAsia"/>
                <w:sz w:val="24"/>
              </w:rPr>
              <w:t>（四）企业债权、债务处理或归属情况说明复印件1份（注明与原件一致，并加盖公章）。</w:t>
            </w:r>
          </w:p>
        </w:tc>
        <w:tc>
          <w:tcPr>
            <w:tcW w:w="1316" w:type="dxa"/>
            <w:vMerge/>
            <w:vAlign w:val="center"/>
          </w:tcPr>
          <w:p w:rsidR="00013EC7" w:rsidRDefault="00013EC7">
            <w:pPr>
              <w:jc w:val="left"/>
              <w:rPr>
                <w:rFonts w:ascii="仿宋" w:eastAsia="仿宋" w:hAnsi="仿宋" w:cs="宋体"/>
                <w:sz w:val="24"/>
              </w:rPr>
            </w:pPr>
          </w:p>
        </w:tc>
        <w:tc>
          <w:tcPr>
            <w:tcW w:w="2848" w:type="dxa"/>
            <w:vMerge/>
            <w:vAlign w:val="center"/>
          </w:tcPr>
          <w:p w:rsidR="00013EC7" w:rsidRDefault="00013EC7">
            <w:pPr>
              <w:rPr>
                <w:rFonts w:ascii="仿宋" w:eastAsia="仿宋" w:hAnsi="仿宋" w:cs="宋体"/>
                <w:sz w:val="24"/>
              </w:rPr>
            </w:pPr>
          </w:p>
        </w:tc>
        <w:tc>
          <w:tcPr>
            <w:tcW w:w="868" w:type="dxa"/>
            <w:vMerge/>
            <w:vAlign w:val="center"/>
          </w:tcPr>
          <w:p w:rsidR="00013EC7" w:rsidRDefault="00013EC7">
            <w:pPr>
              <w:jc w:val="center"/>
              <w:rPr>
                <w:rFonts w:eastAsia="方正书宋简体"/>
                <w:szCs w:val="21"/>
              </w:rPr>
            </w:pPr>
          </w:p>
        </w:tc>
        <w:tc>
          <w:tcPr>
            <w:tcW w:w="922" w:type="dxa"/>
            <w:vMerge/>
            <w:vAlign w:val="center"/>
          </w:tcPr>
          <w:p w:rsidR="00013EC7" w:rsidRDefault="00013EC7">
            <w:pPr>
              <w:jc w:val="center"/>
              <w:rPr>
                <w:rFonts w:eastAsia="方正书宋简体"/>
                <w:szCs w:val="21"/>
              </w:rPr>
            </w:pPr>
          </w:p>
        </w:tc>
        <w:tc>
          <w:tcPr>
            <w:tcW w:w="834" w:type="dxa"/>
            <w:vMerge/>
            <w:vAlign w:val="center"/>
          </w:tcPr>
          <w:p w:rsidR="00013EC7" w:rsidRDefault="00013EC7">
            <w:pPr>
              <w:jc w:val="center"/>
              <w:rPr>
                <w:rFonts w:eastAsia="方正书宋简体"/>
                <w:szCs w:val="21"/>
              </w:rPr>
            </w:pPr>
          </w:p>
        </w:tc>
        <w:tc>
          <w:tcPr>
            <w:tcW w:w="1104" w:type="dxa"/>
            <w:vMerge/>
            <w:vAlign w:val="center"/>
          </w:tcPr>
          <w:p w:rsidR="00013EC7" w:rsidRDefault="00013EC7">
            <w:pPr>
              <w:jc w:val="center"/>
              <w:rPr>
                <w:rFonts w:eastAsia="方正书宋简体"/>
                <w:szCs w:val="21"/>
              </w:rPr>
            </w:pPr>
          </w:p>
        </w:tc>
        <w:tc>
          <w:tcPr>
            <w:tcW w:w="1476" w:type="dxa"/>
            <w:vMerge/>
            <w:vAlign w:val="center"/>
          </w:tcPr>
          <w:p w:rsidR="00013EC7" w:rsidRDefault="00013EC7">
            <w:pPr>
              <w:rPr>
                <w:rFonts w:eastAsia="方正书宋简体"/>
                <w:szCs w:val="21"/>
              </w:rPr>
            </w:pPr>
          </w:p>
        </w:tc>
      </w:tr>
      <w:tr w:rsidR="00013EC7">
        <w:trPr>
          <w:trHeight w:val="1685"/>
          <w:jc w:val="center"/>
        </w:trPr>
        <w:tc>
          <w:tcPr>
            <w:tcW w:w="672" w:type="dxa"/>
            <w:vMerge/>
            <w:vAlign w:val="center"/>
          </w:tcPr>
          <w:p w:rsidR="00013EC7" w:rsidRDefault="00013EC7">
            <w:pPr>
              <w:jc w:val="center"/>
              <w:rPr>
                <w:rFonts w:eastAsia="方正书宋简体"/>
                <w:szCs w:val="21"/>
              </w:rPr>
            </w:pPr>
          </w:p>
        </w:tc>
        <w:tc>
          <w:tcPr>
            <w:tcW w:w="1035" w:type="dxa"/>
            <w:vMerge/>
            <w:vAlign w:val="center"/>
          </w:tcPr>
          <w:p w:rsidR="00013EC7" w:rsidRDefault="00013EC7">
            <w:pPr>
              <w:rPr>
                <w:rFonts w:eastAsia="方正书宋简体"/>
                <w:szCs w:val="21"/>
              </w:rPr>
            </w:pPr>
          </w:p>
        </w:tc>
        <w:tc>
          <w:tcPr>
            <w:tcW w:w="2622" w:type="dxa"/>
            <w:vMerge/>
            <w:vAlign w:val="center"/>
          </w:tcPr>
          <w:p w:rsidR="00013EC7" w:rsidRDefault="00013EC7">
            <w:pPr>
              <w:ind w:firstLine="420"/>
              <w:jc w:val="left"/>
              <w:rPr>
                <w:rFonts w:ascii="宋体" w:hAnsi="宋体" w:cs="宋体"/>
                <w:szCs w:val="21"/>
              </w:rPr>
            </w:pPr>
          </w:p>
        </w:tc>
        <w:tc>
          <w:tcPr>
            <w:tcW w:w="2760" w:type="dxa"/>
            <w:tcBorders>
              <w:top w:val="single" w:sz="4" w:space="0" w:color="auto"/>
              <w:bottom w:val="single" w:sz="4" w:space="0" w:color="auto"/>
            </w:tcBorders>
            <w:vAlign w:val="center"/>
          </w:tcPr>
          <w:p w:rsidR="00013EC7" w:rsidRDefault="00575CDB">
            <w:pPr>
              <w:rPr>
                <w:rFonts w:ascii="仿宋" w:eastAsia="仿宋" w:hAnsi="仿宋"/>
                <w:sz w:val="24"/>
              </w:rPr>
            </w:pPr>
            <w:r>
              <w:rPr>
                <w:rFonts w:ascii="仿宋" w:eastAsia="仿宋" w:hAnsi="仿宋" w:hint="eastAsia"/>
                <w:sz w:val="24"/>
              </w:rPr>
              <w:t>（五）企业合并的工商部门等政府部门的文件</w:t>
            </w:r>
            <w:r>
              <w:rPr>
                <w:rFonts w:ascii="仿宋" w:eastAsia="仿宋" w:hAnsi="仿宋" w:cs="仿宋" w:hint="eastAsia"/>
                <w:sz w:val="24"/>
                <w:shd w:val="clear" w:color="FFFFFF" w:fill="D9D9D9"/>
              </w:rPr>
              <w:t>原件及</w:t>
            </w:r>
            <w:r>
              <w:rPr>
                <w:rFonts w:ascii="仿宋" w:eastAsia="仿宋" w:hAnsi="仿宋" w:hint="eastAsia"/>
                <w:sz w:val="24"/>
              </w:rPr>
              <w:t>复印件（加盖</w:t>
            </w:r>
            <w:r>
              <w:rPr>
                <w:rFonts w:ascii="仿宋" w:eastAsia="仿宋" w:hAnsi="仿宋" w:cs="宋体" w:hint="eastAsia"/>
                <w:sz w:val="24"/>
              </w:rPr>
              <w:t>公</w:t>
            </w:r>
            <w:r>
              <w:rPr>
                <w:rFonts w:ascii="仿宋" w:eastAsia="仿宋" w:hAnsi="仿宋" w:hint="eastAsia"/>
                <w:sz w:val="24"/>
              </w:rPr>
              <w:t>章）。</w:t>
            </w:r>
          </w:p>
        </w:tc>
        <w:tc>
          <w:tcPr>
            <w:tcW w:w="1430" w:type="dxa"/>
            <w:vMerge w:val="restart"/>
            <w:vAlign w:val="center"/>
          </w:tcPr>
          <w:p w:rsidR="00013EC7" w:rsidRDefault="00575CDB">
            <w:pPr>
              <w:jc w:val="left"/>
              <w:rPr>
                <w:rFonts w:ascii="仿宋" w:eastAsia="仿宋" w:hAnsi="仿宋"/>
                <w:sz w:val="24"/>
              </w:rPr>
            </w:pPr>
            <w:r>
              <w:rPr>
                <w:rFonts w:ascii="仿宋" w:eastAsia="仿宋" w:hAnsi="仿宋" w:hint="eastAsia"/>
                <w:sz w:val="24"/>
              </w:rPr>
              <w:t>被合并企业提交</w:t>
            </w:r>
          </w:p>
        </w:tc>
        <w:tc>
          <w:tcPr>
            <w:tcW w:w="2551" w:type="dxa"/>
            <w:vAlign w:val="center"/>
          </w:tcPr>
          <w:p w:rsidR="00013EC7" w:rsidRDefault="00575CDB">
            <w:pPr>
              <w:rPr>
                <w:rFonts w:ascii="仿宋" w:eastAsia="仿宋" w:hAnsi="仿宋"/>
                <w:sz w:val="24"/>
              </w:rPr>
            </w:pPr>
            <w:r>
              <w:rPr>
                <w:rFonts w:ascii="仿宋" w:eastAsia="仿宋" w:hAnsi="仿宋" w:hint="eastAsia"/>
                <w:sz w:val="24"/>
              </w:rPr>
              <w:t>（五）企业合并的工商部门等政府部门的文件复印件1份</w:t>
            </w:r>
            <w:r>
              <w:rPr>
                <w:rFonts w:ascii="仿宋" w:eastAsia="仿宋" w:hAnsi="仿宋" w:cs="宋体" w:hint="eastAsia"/>
                <w:sz w:val="24"/>
              </w:rPr>
              <w:t>（注明与原件一致，并加盖公章）</w:t>
            </w:r>
            <w:r>
              <w:rPr>
                <w:rFonts w:ascii="仿宋" w:eastAsia="仿宋" w:hAnsi="仿宋" w:hint="eastAsia"/>
                <w:sz w:val="24"/>
              </w:rPr>
              <w:t>。</w:t>
            </w:r>
          </w:p>
        </w:tc>
        <w:tc>
          <w:tcPr>
            <w:tcW w:w="1316" w:type="dxa"/>
            <w:vMerge w:val="restart"/>
            <w:vAlign w:val="center"/>
          </w:tcPr>
          <w:p w:rsidR="00013EC7" w:rsidRDefault="00575CDB">
            <w:pPr>
              <w:jc w:val="left"/>
              <w:rPr>
                <w:rFonts w:ascii="仿宋" w:eastAsia="仿宋" w:hAnsi="仿宋"/>
                <w:sz w:val="24"/>
              </w:rPr>
            </w:pPr>
            <w:r>
              <w:rPr>
                <w:rFonts w:ascii="仿宋" w:eastAsia="仿宋" w:hAnsi="仿宋" w:hint="eastAsia"/>
                <w:sz w:val="24"/>
              </w:rPr>
              <w:t>被合并企业提交</w:t>
            </w:r>
          </w:p>
        </w:tc>
        <w:tc>
          <w:tcPr>
            <w:tcW w:w="2848" w:type="dxa"/>
            <w:vMerge w:val="restart"/>
            <w:vAlign w:val="center"/>
          </w:tcPr>
          <w:p w:rsidR="00013EC7" w:rsidRDefault="00575CDB">
            <w:pPr>
              <w:rPr>
                <w:rFonts w:ascii="仿宋" w:eastAsia="仿宋" w:hAnsi="仿宋"/>
                <w:sz w:val="24"/>
              </w:rPr>
            </w:pPr>
            <w:r>
              <w:rPr>
                <w:rFonts w:ascii="仿宋" w:eastAsia="仿宋" w:hAnsi="仿宋"/>
                <w:b/>
                <w:sz w:val="24"/>
              </w:rPr>
              <w:t>现场办理：</w:t>
            </w:r>
            <w:r>
              <w:rPr>
                <w:rFonts w:ascii="仿宋" w:eastAsia="仿宋" w:hAnsi="仿宋" w:hint="eastAsia"/>
                <w:bCs/>
                <w:sz w:val="24"/>
              </w:rPr>
              <w:t>纳税人</w:t>
            </w:r>
            <w:r>
              <w:rPr>
                <w:rFonts w:ascii="仿宋" w:eastAsia="仿宋" w:hAnsi="仿宋" w:hint="eastAsia"/>
                <w:sz w:val="24"/>
              </w:rPr>
              <w:t>提交书面材料，符合受理条件的当场受理办结。</w:t>
            </w:r>
          </w:p>
          <w:p w:rsidR="00013EC7" w:rsidRDefault="00575CDB">
            <w:pPr>
              <w:spacing w:line="300" w:lineRule="exact"/>
              <w:rPr>
                <w:rFonts w:ascii="仿宋" w:eastAsia="仿宋" w:hAnsi="仿宋" w:cs="仿宋"/>
                <w:b/>
                <w:sz w:val="24"/>
              </w:rPr>
            </w:pPr>
            <w:r>
              <w:rPr>
                <w:rFonts w:ascii="仿宋" w:eastAsia="仿宋" w:hAnsi="仿宋" w:cs="仿宋" w:hint="eastAsia"/>
                <w:b/>
                <w:sz w:val="24"/>
              </w:rPr>
              <w:t>网上办理：</w:t>
            </w:r>
            <w:r>
              <w:rPr>
                <w:rFonts w:ascii="仿宋" w:eastAsia="仿宋" w:hAnsi="仿宋" w:cs="仿宋" w:hint="eastAsia"/>
                <w:sz w:val="24"/>
              </w:rPr>
              <w:t>登录浙江国税电子税务局（网址：</w:t>
            </w:r>
            <w:hyperlink r:id="rId327" w:tgtFrame="https://wx.qq.com/_blank" w:history="1">
              <w:r>
                <w:rPr>
                  <w:rFonts w:ascii="仿宋" w:eastAsia="仿宋" w:hAnsi="仿宋" w:cs="仿宋" w:hint="eastAsia"/>
                  <w:sz w:val="24"/>
                </w:rPr>
                <w:t>http://etax.zjtax.gov.cn/</w:t>
              </w:r>
            </w:hyperlink>
            <w:r>
              <w:rPr>
                <w:rFonts w:ascii="仿宋" w:eastAsia="仿宋" w:hAnsi="仿宋" w:cs="仿宋" w:hint="eastAsia"/>
                <w:sz w:val="24"/>
              </w:rPr>
              <w:t>）提交申请。</w:t>
            </w:r>
          </w:p>
          <w:p w:rsidR="00013EC7" w:rsidRDefault="00013EC7">
            <w:pPr>
              <w:rPr>
                <w:rFonts w:ascii="仿宋" w:eastAsia="仿宋" w:hAnsi="仿宋"/>
                <w:sz w:val="24"/>
              </w:rPr>
            </w:pPr>
          </w:p>
        </w:tc>
        <w:tc>
          <w:tcPr>
            <w:tcW w:w="868" w:type="dxa"/>
            <w:vMerge/>
            <w:vAlign w:val="center"/>
          </w:tcPr>
          <w:p w:rsidR="00013EC7" w:rsidRDefault="00013EC7">
            <w:pPr>
              <w:jc w:val="center"/>
              <w:rPr>
                <w:rFonts w:eastAsia="方正书宋简体"/>
                <w:szCs w:val="21"/>
              </w:rPr>
            </w:pPr>
          </w:p>
        </w:tc>
        <w:tc>
          <w:tcPr>
            <w:tcW w:w="922" w:type="dxa"/>
            <w:vMerge/>
            <w:vAlign w:val="center"/>
          </w:tcPr>
          <w:p w:rsidR="00013EC7" w:rsidRDefault="00013EC7">
            <w:pPr>
              <w:jc w:val="center"/>
              <w:rPr>
                <w:rFonts w:eastAsia="方正书宋简体"/>
                <w:szCs w:val="21"/>
              </w:rPr>
            </w:pPr>
          </w:p>
        </w:tc>
        <w:tc>
          <w:tcPr>
            <w:tcW w:w="834" w:type="dxa"/>
            <w:vMerge/>
            <w:vAlign w:val="center"/>
          </w:tcPr>
          <w:p w:rsidR="00013EC7" w:rsidRDefault="00013EC7">
            <w:pPr>
              <w:jc w:val="center"/>
              <w:rPr>
                <w:rFonts w:eastAsia="方正书宋简体"/>
                <w:szCs w:val="21"/>
              </w:rPr>
            </w:pPr>
          </w:p>
        </w:tc>
        <w:tc>
          <w:tcPr>
            <w:tcW w:w="1104" w:type="dxa"/>
            <w:vMerge/>
            <w:vAlign w:val="center"/>
          </w:tcPr>
          <w:p w:rsidR="00013EC7" w:rsidRDefault="00013EC7">
            <w:pPr>
              <w:jc w:val="center"/>
              <w:rPr>
                <w:rFonts w:eastAsia="方正书宋简体"/>
                <w:szCs w:val="21"/>
              </w:rPr>
            </w:pPr>
          </w:p>
        </w:tc>
        <w:tc>
          <w:tcPr>
            <w:tcW w:w="1476" w:type="dxa"/>
            <w:vMerge/>
            <w:vAlign w:val="center"/>
          </w:tcPr>
          <w:p w:rsidR="00013EC7" w:rsidRDefault="00013EC7">
            <w:pPr>
              <w:rPr>
                <w:rFonts w:eastAsia="方正书宋简体"/>
                <w:szCs w:val="21"/>
              </w:rPr>
            </w:pPr>
          </w:p>
        </w:tc>
      </w:tr>
      <w:tr w:rsidR="00013EC7">
        <w:trPr>
          <w:trHeight w:val="1685"/>
          <w:jc w:val="center"/>
        </w:trPr>
        <w:tc>
          <w:tcPr>
            <w:tcW w:w="672" w:type="dxa"/>
            <w:vMerge/>
            <w:vAlign w:val="center"/>
          </w:tcPr>
          <w:p w:rsidR="00013EC7" w:rsidRDefault="00013EC7">
            <w:pPr>
              <w:jc w:val="center"/>
              <w:rPr>
                <w:rFonts w:eastAsia="方正书宋简体"/>
                <w:szCs w:val="21"/>
              </w:rPr>
            </w:pPr>
          </w:p>
        </w:tc>
        <w:tc>
          <w:tcPr>
            <w:tcW w:w="1035" w:type="dxa"/>
            <w:vMerge/>
            <w:vAlign w:val="center"/>
          </w:tcPr>
          <w:p w:rsidR="00013EC7" w:rsidRDefault="00013EC7">
            <w:pPr>
              <w:rPr>
                <w:rFonts w:eastAsia="方正书宋简体"/>
                <w:szCs w:val="21"/>
              </w:rPr>
            </w:pPr>
          </w:p>
        </w:tc>
        <w:tc>
          <w:tcPr>
            <w:tcW w:w="2622" w:type="dxa"/>
            <w:vMerge/>
            <w:vAlign w:val="center"/>
          </w:tcPr>
          <w:p w:rsidR="00013EC7" w:rsidRDefault="00013EC7">
            <w:pPr>
              <w:ind w:firstLine="420"/>
              <w:jc w:val="left"/>
              <w:rPr>
                <w:rFonts w:ascii="宋体" w:hAnsi="宋体" w:cs="宋体"/>
                <w:szCs w:val="21"/>
              </w:rPr>
            </w:pPr>
          </w:p>
        </w:tc>
        <w:tc>
          <w:tcPr>
            <w:tcW w:w="2760" w:type="dxa"/>
            <w:tcBorders>
              <w:top w:val="single" w:sz="4" w:space="0" w:color="auto"/>
              <w:bottom w:val="single" w:sz="4" w:space="0" w:color="auto"/>
            </w:tcBorders>
            <w:vAlign w:val="center"/>
          </w:tcPr>
          <w:p w:rsidR="00013EC7" w:rsidRDefault="00575CDB">
            <w:pPr>
              <w:rPr>
                <w:rFonts w:ascii="仿宋" w:eastAsia="仿宋" w:hAnsi="仿宋"/>
                <w:sz w:val="24"/>
              </w:rPr>
            </w:pPr>
            <w:r>
              <w:rPr>
                <w:rFonts w:ascii="仿宋" w:eastAsia="仿宋" w:hAnsi="仿宋" w:hint="eastAsia"/>
                <w:sz w:val="24"/>
              </w:rPr>
              <w:t>（六）企业全部资产和负债的计税基础以及评估机构出具的资产评估报告</w:t>
            </w:r>
            <w:r>
              <w:rPr>
                <w:rFonts w:ascii="仿宋" w:eastAsia="仿宋" w:hAnsi="仿宋" w:cs="仿宋" w:hint="eastAsia"/>
                <w:sz w:val="24"/>
                <w:shd w:val="clear" w:color="FFFFFF" w:fill="D9D9D9"/>
              </w:rPr>
              <w:t>原件及</w:t>
            </w:r>
            <w:r>
              <w:rPr>
                <w:rFonts w:ascii="仿宋" w:eastAsia="仿宋" w:hAnsi="仿宋" w:hint="eastAsia"/>
                <w:sz w:val="24"/>
              </w:rPr>
              <w:t>复印件（加盖公章）。</w:t>
            </w:r>
          </w:p>
        </w:tc>
        <w:tc>
          <w:tcPr>
            <w:tcW w:w="1430" w:type="dxa"/>
            <w:vMerge/>
            <w:vAlign w:val="center"/>
          </w:tcPr>
          <w:p w:rsidR="00013EC7" w:rsidRDefault="00013EC7">
            <w:pPr>
              <w:jc w:val="left"/>
              <w:rPr>
                <w:rFonts w:ascii="仿宋" w:eastAsia="仿宋" w:hAnsi="仿宋"/>
                <w:sz w:val="24"/>
              </w:rPr>
            </w:pPr>
          </w:p>
        </w:tc>
        <w:tc>
          <w:tcPr>
            <w:tcW w:w="2551" w:type="dxa"/>
            <w:vAlign w:val="center"/>
          </w:tcPr>
          <w:p w:rsidR="00013EC7" w:rsidRDefault="00575CDB">
            <w:pPr>
              <w:rPr>
                <w:rFonts w:ascii="仿宋" w:eastAsia="仿宋" w:hAnsi="仿宋"/>
                <w:sz w:val="24"/>
              </w:rPr>
            </w:pPr>
            <w:r>
              <w:rPr>
                <w:rFonts w:ascii="仿宋" w:eastAsia="仿宋" w:hAnsi="仿宋" w:hint="eastAsia"/>
                <w:sz w:val="24"/>
              </w:rPr>
              <w:t>（六）企业全部资产和负债的计税基础以及评估机构出具的资产评估报告复印件1份</w:t>
            </w:r>
            <w:r>
              <w:rPr>
                <w:rFonts w:ascii="仿宋" w:eastAsia="仿宋" w:hAnsi="仿宋" w:cs="宋体" w:hint="eastAsia"/>
                <w:sz w:val="24"/>
              </w:rPr>
              <w:t>（注明与原件一致，并加盖公章）</w:t>
            </w:r>
            <w:r>
              <w:rPr>
                <w:rFonts w:ascii="仿宋" w:eastAsia="仿宋" w:hAnsi="仿宋" w:hint="eastAsia"/>
                <w:sz w:val="24"/>
              </w:rPr>
              <w:t>。</w:t>
            </w:r>
          </w:p>
        </w:tc>
        <w:tc>
          <w:tcPr>
            <w:tcW w:w="1316" w:type="dxa"/>
            <w:vMerge/>
            <w:vAlign w:val="center"/>
          </w:tcPr>
          <w:p w:rsidR="00013EC7" w:rsidRDefault="00013EC7">
            <w:pPr>
              <w:rPr>
                <w:rFonts w:ascii="仿宋" w:eastAsia="仿宋" w:hAnsi="仿宋"/>
                <w:sz w:val="24"/>
              </w:rPr>
            </w:pPr>
          </w:p>
        </w:tc>
        <w:tc>
          <w:tcPr>
            <w:tcW w:w="2848" w:type="dxa"/>
            <w:vMerge/>
            <w:vAlign w:val="center"/>
          </w:tcPr>
          <w:p w:rsidR="00013EC7" w:rsidRDefault="00013EC7">
            <w:pPr>
              <w:rPr>
                <w:rFonts w:ascii="仿宋" w:eastAsia="仿宋" w:hAnsi="仿宋"/>
                <w:b/>
                <w:sz w:val="24"/>
              </w:rPr>
            </w:pPr>
          </w:p>
        </w:tc>
        <w:tc>
          <w:tcPr>
            <w:tcW w:w="868" w:type="dxa"/>
            <w:vMerge/>
            <w:vAlign w:val="center"/>
          </w:tcPr>
          <w:p w:rsidR="00013EC7" w:rsidRDefault="00013EC7">
            <w:pPr>
              <w:jc w:val="center"/>
              <w:rPr>
                <w:rFonts w:eastAsia="方正书宋简体"/>
                <w:szCs w:val="21"/>
              </w:rPr>
            </w:pPr>
          </w:p>
        </w:tc>
        <w:tc>
          <w:tcPr>
            <w:tcW w:w="922" w:type="dxa"/>
            <w:vMerge/>
            <w:vAlign w:val="center"/>
          </w:tcPr>
          <w:p w:rsidR="00013EC7" w:rsidRDefault="00013EC7">
            <w:pPr>
              <w:jc w:val="center"/>
              <w:rPr>
                <w:rFonts w:eastAsia="方正书宋简体"/>
                <w:szCs w:val="21"/>
              </w:rPr>
            </w:pPr>
          </w:p>
        </w:tc>
        <w:tc>
          <w:tcPr>
            <w:tcW w:w="834" w:type="dxa"/>
            <w:vMerge/>
            <w:vAlign w:val="center"/>
          </w:tcPr>
          <w:p w:rsidR="00013EC7" w:rsidRDefault="00013EC7">
            <w:pPr>
              <w:jc w:val="center"/>
              <w:rPr>
                <w:rFonts w:eastAsia="方正书宋简体"/>
                <w:szCs w:val="21"/>
              </w:rPr>
            </w:pPr>
          </w:p>
        </w:tc>
        <w:tc>
          <w:tcPr>
            <w:tcW w:w="1104" w:type="dxa"/>
            <w:vMerge/>
            <w:vAlign w:val="center"/>
          </w:tcPr>
          <w:p w:rsidR="00013EC7" w:rsidRDefault="00013EC7">
            <w:pPr>
              <w:jc w:val="center"/>
              <w:rPr>
                <w:rFonts w:eastAsia="方正书宋简体"/>
                <w:szCs w:val="21"/>
              </w:rPr>
            </w:pPr>
          </w:p>
        </w:tc>
        <w:tc>
          <w:tcPr>
            <w:tcW w:w="1476" w:type="dxa"/>
            <w:vMerge/>
            <w:vAlign w:val="center"/>
          </w:tcPr>
          <w:p w:rsidR="00013EC7" w:rsidRDefault="00013EC7">
            <w:pPr>
              <w:rPr>
                <w:rFonts w:eastAsia="方正书宋简体"/>
                <w:szCs w:val="21"/>
              </w:rPr>
            </w:pPr>
          </w:p>
        </w:tc>
      </w:tr>
      <w:tr w:rsidR="00013EC7">
        <w:trPr>
          <w:trHeight w:val="1685"/>
          <w:jc w:val="center"/>
        </w:trPr>
        <w:tc>
          <w:tcPr>
            <w:tcW w:w="672" w:type="dxa"/>
            <w:vMerge/>
            <w:vAlign w:val="center"/>
          </w:tcPr>
          <w:p w:rsidR="00013EC7" w:rsidRDefault="00013EC7">
            <w:pPr>
              <w:jc w:val="center"/>
              <w:rPr>
                <w:rFonts w:eastAsia="方正书宋简体"/>
                <w:szCs w:val="21"/>
              </w:rPr>
            </w:pPr>
          </w:p>
        </w:tc>
        <w:tc>
          <w:tcPr>
            <w:tcW w:w="1035" w:type="dxa"/>
            <w:vMerge/>
            <w:vAlign w:val="center"/>
          </w:tcPr>
          <w:p w:rsidR="00013EC7" w:rsidRDefault="00013EC7">
            <w:pPr>
              <w:rPr>
                <w:rFonts w:eastAsia="方正书宋简体"/>
                <w:szCs w:val="21"/>
              </w:rPr>
            </w:pPr>
          </w:p>
        </w:tc>
        <w:tc>
          <w:tcPr>
            <w:tcW w:w="2622" w:type="dxa"/>
            <w:vMerge/>
            <w:vAlign w:val="center"/>
          </w:tcPr>
          <w:p w:rsidR="00013EC7" w:rsidRDefault="00013EC7">
            <w:pPr>
              <w:ind w:firstLine="420"/>
              <w:jc w:val="left"/>
              <w:rPr>
                <w:rFonts w:ascii="宋体" w:hAnsi="宋体" w:cs="宋体"/>
                <w:szCs w:val="21"/>
              </w:rPr>
            </w:pPr>
          </w:p>
        </w:tc>
        <w:tc>
          <w:tcPr>
            <w:tcW w:w="2760" w:type="dxa"/>
            <w:tcBorders>
              <w:top w:val="single" w:sz="4" w:space="0" w:color="auto"/>
              <w:bottom w:val="single" w:sz="4" w:space="0" w:color="auto"/>
            </w:tcBorders>
            <w:vAlign w:val="center"/>
          </w:tcPr>
          <w:p w:rsidR="00013EC7" w:rsidRDefault="00575CDB">
            <w:pPr>
              <w:rPr>
                <w:rFonts w:ascii="仿宋" w:eastAsia="仿宋" w:hAnsi="仿宋"/>
                <w:sz w:val="24"/>
              </w:rPr>
            </w:pPr>
            <w:r>
              <w:rPr>
                <w:rFonts w:ascii="仿宋" w:eastAsia="仿宋" w:hAnsi="仿宋" w:hint="eastAsia"/>
                <w:sz w:val="24"/>
              </w:rPr>
              <w:t>（七）企业债务处理或归属情况说明</w:t>
            </w:r>
            <w:r>
              <w:rPr>
                <w:rFonts w:ascii="仿宋" w:eastAsia="仿宋" w:hAnsi="仿宋" w:cs="仿宋" w:hint="eastAsia"/>
                <w:sz w:val="24"/>
                <w:shd w:val="clear" w:color="FFFFFF" w:fill="D9D9D9"/>
              </w:rPr>
              <w:t>原件及</w:t>
            </w:r>
            <w:r>
              <w:rPr>
                <w:rFonts w:ascii="仿宋" w:eastAsia="仿宋" w:hAnsi="仿宋" w:hint="eastAsia"/>
                <w:sz w:val="24"/>
              </w:rPr>
              <w:t>复印件（加盖公章）。</w:t>
            </w:r>
          </w:p>
        </w:tc>
        <w:tc>
          <w:tcPr>
            <w:tcW w:w="1430" w:type="dxa"/>
            <w:vMerge/>
            <w:vAlign w:val="center"/>
          </w:tcPr>
          <w:p w:rsidR="00013EC7" w:rsidRDefault="00013EC7">
            <w:pPr>
              <w:jc w:val="left"/>
              <w:rPr>
                <w:rFonts w:ascii="仿宋" w:eastAsia="仿宋" w:hAnsi="仿宋"/>
                <w:sz w:val="24"/>
              </w:rPr>
            </w:pPr>
          </w:p>
        </w:tc>
        <w:tc>
          <w:tcPr>
            <w:tcW w:w="2551" w:type="dxa"/>
            <w:vAlign w:val="center"/>
          </w:tcPr>
          <w:p w:rsidR="00013EC7" w:rsidRDefault="00575CDB">
            <w:pPr>
              <w:rPr>
                <w:rFonts w:ascii="仿宋" w:eastAsia="仿宋" w:hAnsi="仿宋"/>
                <w:sz w:val="24"/>
              </w:rPr>
            </w:pPr>
            <w:r>
              <w:rPr>
                <w:rFonts w:ascii="仿宋" w:eastAsia="仿宋" w:hAnsi="仿宋" w:hint="eastAsia"/>
                <w:sz w:val="24"/>
              </w:rPr>
              <w:t>（七）企业债务处理或归属情况说明复印件1份</w:t>
            </w:r>
            <w:r>
              <w:rPr>
                <w:rFonts w:ascii="仿宋" w:eastAsia="仿宋" w:hAnsi="仿宋" w:cs="宋体" w:hint="eastAsia"/>
                <w:sz w:val="24"/>
              </w:rPr>
              <w:t>（注明与原件一致，并加盖公章）</w:t>
            </w:r>
            <w:r>
              <w:rPr>
                <w:rFonts w:ascii="仿宋" w:eastAsia="仿宋" w:hAnsi="仿宋" w:hint="eastAsia"/>
                <w:sz w:val="24"/>
              </w:rPr>
              <w:t>。</w:t>
            </w:r>
          </w:p>
        </w:tc>
        <w:tc>
          <w:tcPr>
            <w:tcW w:w="1316" w:type="dxa"/>
            <w:vMerge/>
            <w:vAlign w:val="center"/>
          </w:tcPr>
          <w:p w:rsidR="00013EC7" w:rsidRDefault="00013EC7">
            <w:pPr>
              <w:rPr>
                <w:rFonts w:ascii="仿宋" w:eastAsia="仿宋" w:hAnsi="仿宋"/>
                <w:sz w:val="24"/>
              </w:rPr>
            </w:pPr>
          </w:p>
        </w:tc>
        <w:tc>
          <w:tcPr>
            <w:tcW w:w="2848" w:type="dxa"/>
            <w:vMerge/>
            <w:vAlign w:val="center"/>
          </w:tcPr>
          <w:p w:rsidR="00013EC7" w:rsidRDefault="00013EC7">
            <w:pPr>
              <w:rPr>
                <w:rFonts w:ascii="仿宋" w:eastAsia="仿宋" w:hAnsi="仿宋"/>
                <w:b/>
                <w:sz w:val="24"/>
              </w:rPr>
            </w:pPr>
          </w:p>
        </w:tc>
        <w:tc>
          <w:tcPr>
            <w:tcW w:w="868" w:type="dxa"/>
            <w:vMerge/>
            <w:vAlign w:val="center"/>
          </w:tcPr>
          <w:p w:rsidR="00013EC7" w:rsidRDefault="00013EC7">
            <w:pPr>
              <w:jc w:val="center"/>
              <w:rPr>
                <w:rFonts w:eastAsia="方正书宋简体"/>
                <w:szCs w:val="21"/>
              </w:rPr>
            </w:pPr>
          </w:p>
        </w:tc>
        <w:tc>
          <w:tcPr>
            <w:tcW w:w="922" w:type="dxa"/>
            <w:vMerge/>
            <w:vAlign w:val="center"/>
          </w:tcPr>
          <w:p w:rsidR="00013EC7" w:rsidRDefault="00013EC7">
            <w:pPr>
              <w:jc w:val="center"/>
              <w:rPr>
                <w:rFonts w:eastAsia="方正书宋简体"/>
                <w:szCs w:val="21"/>
              </w:rPr>
            </w:pPr>
          </w:p>
        </w:tc>
        <w:tc>
          <w:tcPr>
            <w:tcW w:w="834" w:type="dxa"/>
            <w:vMerge/>
            <w:vAlign w:val="center"/>
          </w:tcPr>
          <w:p w:rsidR="00013EC7" w:rsidRDefault="00013EC7">
            <w:pPr>
              <w:jc w:val="center"/>
              <w:rPr>
                <w:rFonts w:eastAsia="方正书宋简体"/>
                <w:szCs w:val="21"/>
              </w:rPr>
            </w:pPr>
          </w:p>
        </w:tc>
        <w:tc>
          <w:tcPr>
            <w:tcW w:w="1104" w:type="dxa"/>
            <w:vMerge/>
            <w:vAlign w:val="center"/>
          </w:tcPr>
          <w:p w:rsidR="00013EC7" w:rsidRDefault="00013EC7">
            <w:pPr>
              <w:jc w:val="center"/>
              <w:rPr>
                <w:rFonts w:eastAsia="方正书宋简体"/>
                <w:szCs w:val="21"/>
              </w:rPr>
            </w:pPr>
          </w:p>
        </w:tc>
        <w:tc>
          <w:tcPr>
            <w:tcW w:w="1476" w:type="dxa"/>
            <w:vMerge/>
            <w:vAlign w:val="center"/>
          </w:tcPr>
          <w:p w:rsidR="00013EC7" w:rsidRDefault="00013EC7">
            <w:pPr>
              <w:rPr>
                <w:rFonts w:eastAsia="方正书宋简体"/>
                <w:szCs w:val="21"/>
              </w:rPr>
            </w:pPr>
          </w:p>
        </w:tc>
      </w:tr>
      <w:tr w:rsidR="00013EC7">
        <w:trPr>
          <w:trHeight w:val="1685"/>
          <w:jc w:val="center"/>
        </w:trPr>
        <w:tc>
          <w:tcPr>
            <w:tcW w:w="672" w:type="dxa"/>
            <w:vMerge/>
            <w:vAlign w:val="center"/>
          </w:tcPr>
          <w:p w:rsidR="00013EC7" w:rsidRDefault="00013EC7">
            <w:pPr>
              <w:jc w:val="center"/>
              <w:rPr>
                <w:rFonts w:eastAsia="方正书宋简体"/>
                <w:szCs w:val="21"/>
              </w:rPr>
            </w:pPr>
          </w:p>
        </w:tc>
        <w:tc>
          <w:tcPr>
            <w:tcW w:w="1035" w:type="dxa"/>
            <w:vMerge/>
            <w:vAlign w:val="center"/>
          </w:tcPr>
          <w:p w:rsidR="00013EC7" w:rsidRDefault="00013EC7">
            <w:pPr>
              <w:rPr>
                <w:rFonts w:eastAsia="方正书宋简体"/>
                <w:szCs w:val="21"/>
              </w:rPr>
            </w:pPr>
          </w:p>
        </w:tc>
        <w:tc>
          <w:tcPr>
            <w:tcW w:w="2622" w:type="dxa"/>
            <w:vMerge/>
            <w:vAlign w:val="center"/>
          </w:tcPr>
          <w:p w:rsidR="00013EC7" w:rsidRDefault="00013EC7">
            <w:pPr>
              <w:ind w:firstLine="420"/>
              <w:jc w:val="left"/>
              <w:rPr>
                <w:rFonts w:ascii="宋体" w:hAnsi="宋体" w:cs="宋体"/>
                <w:szCs w:val="21"/>
              </w:rPr>
            </w:pPr>
          </w:p>
        </w:tc>
        <w:tc>
          <w:tcPr>
            <w:tcW w:w="2760" w:type="dxa"/>
            <w:tcBorders>
              <w:top w:val="single" w:sz="4" w:space="0" w:color="auto"/>
              <w:bottom w:val="single" w:sz="4" w:space="0" w:color="auto"/>
            </w:tcBorders>
            <w:vAlign w:val="center"/>
          </w:tcPr>
          <w:p w:rsidR="00013EC7" w:rsidRDefault="00575CDB">
            <w:pPr>
              <w:rPr>
                <w:rFonts w:ascii="仿宋" w:eastAsia="仿宋" w:hAnsi="仿宋"/>
                <w:sz w:val="24"/>
              </w:rPr>
            </w:pPr>
            <w:r>
              <w:rPr>
                <w:rFonts w:ascii="仿宋" w:eastAsia="仿宋" w:hAnsi="仿宋" w:hint="eastAsia"/>
                <w:sz w:val="24"/>
              </w:rPr>
              <w:t>（八）企业分立的工商部门等政府部门的文件</w:t>
            </w:r>
            <w:r>
              <w:rPr>
                <w:rFonts w:ascii="仿宋" w:eastAsia="仿宋" w:hAnsi="仿宋" w:cs="仿宋" w:hint="eastAsia"/>
                <w:sz w:val="24"/>
                <w:shd w:val="clear" w:color="FFFFFF" w:fill="D9D9D9"/>
              </w:rPr>
              <w:t>原件及</w:t>
            </w:r>
            <w:r>
              <w:rPr>
                <w:rFonts w:ascii="仿宋" w:eastAsia="仿宋" w:hAnsi="仿宋" w:hint="eastAsia"/>
                <w:sz w:val="24"/>
              </w:rPr>
              <w:t>复印件（加盖公章）。</w:t>
            </w:r>
          </w:p>
        </w:tc>
        <w:tc>
          <w:tcPr>
            <w:tcW w:w="1430" w:type="dxa"/>
            <w:vMerge w:val="restart"/>
            <w:vAlign w:val="center"/>
          </w:tcPr>
          <w:p w:rsidR="00013EC7" w:rsidRDefault="00575CDB">
            <w:pPr>
              <w:jc w:val="left"/>
              <w:rPr>
                <w:rFonts w:ascii="仿宋" w:eastAsia="仿宋" w:hAnsi="仿宋"/>
                <w:sz w:val="24"/>
              </w:rPr>
            </w:pPr>
            <w:r>
              <w:rPr>
                <w:rFonts w:ascii="仿宋" w:eastAsia="仿宋" w:hAnsi="仿宋" w:hint="eastAsia"/>
                <w:sz w:val="24"/>
              </w:rPr>
              <w:t>被分立企业提交</w:t>
            </w:r>
          </w:p>
        </w:tc>
        <w:tc>
          <w:tcPr>
            <w:tcW w:w="2551" w:type="dxa"/>
            <w:vAlign w:val="center"/>
          </w:tcPr>
          <w:p w:rsidR="00013EC7" w:rsidRDefault="00575CDB">
            <w:pPr>
              <w:rPr>
                <w:rFonts w:ascii="仿宋" w:eastAsia="仿宋" w:hAnsi="仿宋"/>
                <w:sz w:val="24"/>
              </w:rPr>
            </w:pPr>
            <w:r>
              <w:rPr>
                <w:rFonts w:ascii="仿宋" w:eastAsia="仿宋" w:hAnsi="仿宋" w:hint="eastAsia"/>
                <w:sz w:val="24"/>
              </w:rPr>
              <w:t>（八）企业分立的工商部门等政府部门的文件复印件1份</w:t>
            </w:r>
            <w:r>
              <w:rPr>
                <w:rFonts w:ascii="仿宋" w:eastAsia="仿宋" w:hAnsi="仿宋" w:cs="宋体" w:hint="eastAsia"/>
                <w:sz w:val="24"/>
              </w:rPr>
              <w:t>（注明与原件一致，并加盖公章）</w:t>
            </w:r>
            <w:r>
              <w:rPr>
                <w:rFonts w:ascii="仿宋" w:eastAsia="仿宋" w:hAnsi="仿宋" w:hint="eastAsia"/>
                <w:sz w:val="24"/>
              </w:rPr>
              <w:t>。</w:t>
            </w:r>
          </w:p>
        </w:tc>
        <w:tc>
          <w:tcPr>
            <w:tcW w:w="1316" w:type="dxa"/>
            <w:vMerge w:val="restart"/>
            <w:vAlign w:val="center"/>
          </w:tcPr>
          <w:p w:rsidR="00013EC7" w:rsidRDefault="00575CDB">
            <w:pPr>
              <w:rPr>
                <w:rFonts w:ascii="仿宋" w:eastAsia="仿宋" w:hAnsi="仿宋"/>
                <w:sz w:val="24"/>
              </w:rPr>
            </w:pPr>
            <w:r>
              <w:rPr>
                <w:rFonts w:ascii="仿宋" w:eastAsia="仿宋" w:hAnsi="仿宋" w:hint="eastAsia"/>
                <w:sz w:val="24"/>
              </w:rPr>
              <w:t>被分立企业提交</w:t>
            </w:r>
          </w:p>
        </w:tc>
        <w:tc>
          <w:tcPr>
            <w:tcW w:w="2848" w:type="dxa"/>
            <w:vMerge w:val="restart"/>
            <w:vAlign w:val="center"/>
          </w:tcPr>
          <w:p w:rsidR="00013EC7" w:rsidRDefault="00575CDB">
            <w:pPr>
              <w:rPr>
                <w:rFonts w:ascii="仿宋" w:eastAsia="仿宋" w:hAnsi="仿宋"/>
                <w:sz w:val="24"/>
              </w:rPr>
            </w:pPr>
            <w:r>
              <w:rPr>
                <w:rFonts w:ascii="仿宋" w:eastAsia="仿宋" w:hAnsi="仿宋"/>
                <w:b/>
                <w:sz w:val="24"/>
              </w:rPr>
              <w:t>现场办理：</w:t>
            </w:r>
            <w:r>
              <w:rPr>
                <w:rFonts w:ascii="仿宋" w:eastAsia="仿宋" w:hAnsi="仿宋" w:hint="eastAsia"/>
                <w:sz w:val="24"/>
              </w:rPr>
              <w:t>纳税人提交书面材料，符合受理条件的当场受理办结。</w:t>
            </w:r>
          </w:p>
          <w:p w:rsidR="00013EC7" w:rsidRDefault="00575CDB">
            <w:pPr>
              <w:spacing w:line="300" w:lineRule="exact"/>
              <w:rPr>
                <w:rFonts w:ascii="仿宋" w:eastAsia="仿宋" w:hAnsi="仿宋" w:cs="仿宋"/>
                <w:b/>
                <w:sz w:val="24"/>
              </w:rPr>
            </w:pPr>
            <w:r>
              <w:rPr>
                <w:rFonts w:ascii="仿宋" w:eastAsia="仿宋" w:hAnsi="仿宋" w:cs="仿宋" w:hint="eastAsia"/>
                <w:b/>
                <w:sz w:val="24"/>
              </w:rPr>
              <w:t>网上办理：</w:t>
            </w:r>
            <w:r>
              <w:rPr>
                <w:rFonts w:ascii="仿宋" w:eastAsia="仿宋" w:hAnsi="仿宋" w:cs="仿宋" w:hint="eastAsia"/>
                <w:sz w:val="24"/>
              </w:rPr>
              <w:t>登录浙江国税电子税务局（网址：</w:t>
            </w:r>
            <w:hyperlink r:id="rId328" w:tgtFrame="https://wx.qq.com/_blank" w:history="1">
              <w:r>
                <w:rPr>
                  <w:rFonts w:ascii="仿宋" w:eastAsia="仿宋" w:hAnsi="仿宋" w:cs="仿宋" w:hint="eastAsia"/>
                  <w:sz w:val="24"/>
                </w:rPr>
                <w:t>http://etax.zjtax.gov.cn/</w:t>
              </w:r>
            </w:hyperlink>
            <w:r>
              <w:rPr>
                <w:rFonts w:ascii="仿宋" w:eastAsia="仿宋" w:hAnsi="仿宋" w:cs="仿宋" w:hint="eastAsia"/>
                <w:sz w:val="24"/>
              </w:rPr>
              <w:t>）提交申请。</w:t>
            </w:r>
          </w:p>
          <w:p w:rsidR="00013EC7" w:rsidRDefault="00013EC7">
            <w:pPr>
              <w:rPr>
                <w:rFonts w:ascii="仿宋" w:eastAsia="仿宋" w:hAnsi="仿宋"/>
                <w:sz w:val="24"/>
              </w:rPr>
            </w:pPr>
          </w:p>
        </w:tc>
        <w:tc>
          <w:tcPr>
            <w:tcW w:w="868" w:type="dxa"/>
            <w:vMerge/>
            <w:vAlign w:val="center"/>
          </w:tcPr>
          <w:p w:rsidR="00013EC7" w:rsidRDefault="00013EC7">
            <w:pPr>
              <w:jc w:val="center"/>
              <w:rPr>
                <w:rFonts w:eastAsia="方正书宋简体"/>
                <w:szCs w:val="21"/>
              </w:rPr>
            </w:pPr>
          </w:p>
        </w:tc>
        <w:tc>
          <w:tcPr>
            <w:tcW w:w="922" w:type="dxa"/>
            <w:vMerge/>
            <w:vAlign w:val="center"/>
          </w:tcPr>
          <w:p w:rsidR="00013EC7" w:rsidRDefault="00013EC7">
            <w:pPr>
              <w:jc w:val="center"/>
              <w:rPr>
                <w:rFonts w:eastAsia="方正书宋简体"/>
                <w:szCs w:val="21"/>
              </w:rPr>
            </w:pPr>
          </w:p>
        </w:tc>
        <w:tc>
          <w:tcPr>
            <w:tcW w:w="834" w:type="dxa"/>
            <w:vMerge/>
            <w:vAlign w:val="center"/>
          </w:tcPr>
          <w:p w:rsidR="00013EC7" w:rsidRDefault="00013EC7">
            <w:pPr>
              <w:jc w:val="center"/>
              <w:rPr>
                <w:rFonts w:eastAsia="方正书宋简体"/>
                <w:szCs w:val="21"/>
              </w:rPr>
            </w:pPr>
          </w:p>
        </w:tc>
        <w:tc>
          <w:tcPr>
            <w:tcW w:w="1104" w:type="dxa"/>
            <w:vMerge/>
            <w:vAlign w:val="center"/>
          </w:tcPr>
          <w:p w:rsidR="00013EC7" w:rsidRDefault="00013EC7">
            <w:pPr>
              <w:jc w:val="center"/>
              <w:rPr>
                <w:rFonts w:eastAsia="方正书宋简体"/>
                <w:szCs w:val="21"/>
              </w:rPr>
            </w:pPr>
          </w:p>
        </w:tc>
        <w:tc>
          <w:tcPr>
            <w:tcW w:w="1476" w:type="dxa"/>
            <w:vMerge/>
            <w:vAlign w:val="center"/>
          </w:tcPr>
          <w:p w:rsidR="00013EC7" w:rsidRDefault="00013EC7">
            <w:pPr>
              <w:rPr>
                <w:rFonts w:eastAsia="方正书宋简体"/>
                <w:szCs w:val="21"/>
              </w:rPr>
            </w:pPr>
          </w:p>
        </w:tc>
      </w:tr>
      <w:tr w:rsidR="00013EC7">
        <w:trPr>
          <w:trHeight w:val="1685"/>
          <w:jc w:val="center"/>
        </w:trPr>
        <w:tc>
          <w:tcPr>
            <w:tcW w:w="672" w:type="dxa"/>
            <w:vMerge/>
            <w:vAlign w:val="center"/>
          </w:tcPr>
          <w:p w:rsidR="00013EC7" w:rsidRDefault="00013EC7">
            <w:pPr>
              <w:jc w:val="center"/>
              <w:rPr>
                <w:rFonts w:eastAsia="方正书宋简体"/>
                <w:szCs w:val="21"/>
              </w:rPr>
            </w:pPr>
          </w:p>
        </w:tc>
        <w:tc>
          <w:tcPr>
            <w:tcW w:w="1035" w:type="dxa"/>
            <w:vMerge/>
            <w:vAlign w:val="center"/>
          </w:tcPr>
          <w:p w:rsidR="00013EC7" w:rsidRDefault="00013EC7">
            <w:pPr>
              <w:rPr>
                <w:rFonts w:eastAsia="方正书宋简体"/>
                <w:szCs w:val="21"/>
              </w:rPr>
            </w:pPr>
          </w:p>
        </w:tc>
        <w:tc>
          <w:tcPr>
            <w:tcW w:w="2622" w:type="dxa"/>
            <w:vMerge/>
            <w:vAlign w:val="center"/>
          </w:tcPr>
          <w:p w:rsidR="00013EC7" w:rsidRDefault="00013EC7">
            <w:pPr>
              <w:ind w:firstLine="420"/>
              <w:jc w:val="left"/>
              <w:rPr>
                <w:rFonts w:ascii="宋体" w:hAnsi="宋体" w:cs="宋体"/>
                <w:szCs w:val="21"/>
              </w:rPr>
            </w:pPr>
          </w:p>
        </w:tc>
        <w:tc>
          <w:tcPr>
            <w:tcW w:w="2760" w:type="dxa"/>
            <w:tcBorders>
              <w:top w:val="single" w:sz="4" w:space="0" w:color="auto"/>
              <w:bottom w:val="single" w:sz="4" w:space="0" w:color="auto"/>
            </w:tcBorders>
            <w:vAlign w:val="center"/>
          </w:tcPr>
          <w:p w:rsidR="00013EC7" w:rsidRDefault="00575CDB">
            <w:pPr>
              <w:rPr>
                <w:rFonts w:ascii="仿宋" w:eastAsia="仿宋" w:hAnsi="仿宋"/>
                <w:sz w:val="24"/>
              </w:rPr>
            </w:pPr>
            <w:r>
              <w:rPr>
                <w:rFonts w:ascii="仿宋" w:eastAsia="仿宋" w:hAnsi="仿宋" w:hint="eastAsia"/>
                <w:sz w:val="24"/>
              </w:rPr>
              <w:t>（九）被分立企业全部资产的计税基础以及评估机构出具的资产评估报告</w:t>
            </w:r>
            <w:r>
              <w:rPr>
                <w:rFonts w:ascii="仿宋" w:eastAsia="仿宋" w:hAnsi="仿宋" w:cs="仿宋" w:hint="eastAsia"/>
                <w:sz w:val="24"/>
                <w:shd w:val="clear" w:color="FFFFFF" w:fill="D9D9D9"/>
              </w:rPr>
              <w:t>原件及</w:t>
            </w:r>
            <w:r>
              <w:rPr>
                <w:rFonts w:ascii="仿宋" w:eastAsia="仿宋" w:hAnsi="仿宋" w:hint="eastAsia"/>
                <w:sz w:val="24"/>
              </w:rPr>
              <w:t>复印件（加盖公章）。</w:t>
            </w:r>
          </w:p>
        </w:tc>
        <w:tc>
          <w:tcPr>
            <w:tcW w:w="1430" w:type="dxa"/>
            <w:vMerge/>
            <w:vAlign w:val="center"/>
          </w:tcPr>
          <w:p w:rsidR="00013EC7" w:rsidRDefault="00013EC7">
            <w:pPr>
              <w:rPr>
                <w:rFonts w:ascii="仿宋" w:eastAsia="仿宋" w:hAnsi="仿宋"/>
                <w:sz w:val="24"/>
              </w:rPr>
            </w:pPr>
          </w:p>
        </w:tc>
        <w:tc>
          <w:tcPr>
            <w:tcW w:w="2551" w:type="dxa"/>
            <w:vAlign w:val="center"/>
          </w:tcPr>
          <w:p w:rsidR="00013EC7" w:rsidRDefault="00575CDB">
            <w:pPr>
              <w:rPr>
                <w:rFonts w:ascii="仿宋" w:eastAsia="仿宋" w:hAnsi="仿宋"/>
                <w:sz w:val="24"/>
              </w:rPr>
            </w:pPr>
            <w:r>
              <w:rPr>
                <w:rFonts w:ascii="仿宋" w:eastAsia="仿宋" w:hAnsi="仿宋" w:hint="eastAsia"/>
                <w:sz w:val="24"/>
              </w:rPr>
              <w:t>（九）被分立企业全部资产的计税基础以及评估机构出具的资产评估报告复印件1份</w:t>
            </w:r>
            <w:r>
              <w:rPr>
                <w:rFonts w:ascii="仿宋" w:eastAsia="仿宋" w:hAnsi="仿宋" w:cs="宋体" w:hint="eastAsia"/>
                <w:sz w:val="24"/>
              </w:rPr>
              <w:t>（注明与原件一致，并加盖公章）</w:t>
            </w:r>
            <w:r>
              <w:rPr>
                <w:rFonts w:ascii="仿宋" w:eastAsia="仿宋" w:hAnsi="仿宋" w:hint="eastAsia"/>
                <w:sz w:val="24"/>
              </w:rPr>
              <w:t>。</w:t>
            </w:r>
          </w:p>
        </w:tc>
        <w:tc>
          <w:tcPr>
            <w:tcW w:w="1316" w:type="dxa"/>
            <w:vMerge/>
            <w:vAlign w:val="center"/>
          </w:tcPr>
          <w:p w:rsidR="00013EC7" w:rsidRDefault="00013EC7">
            <w:pPr>
              <w:jc w:val="center"/>
              <w:rPr>
                <w:rFonts w:eastAsia="方正书宋简体"/>
                <w:szCs w:val="21"/>
              </w:rPr>
            </w:pPr>
          </w:p>
        </w:tc>
        <w:tc>
          <w:tcPr>
            <w:tcW w:w="2848" w:type="dxa"/>
            <w:vMerge/>
            <w:vAlign w:val="center"/>
          </w:tcPr>
          <w:p w:rsidR="00013EC7" w:rsidRDefault="00013EC7">
            <w:pPr>
              <w:rPr>
                <w:rFonts w:eastAsia="方正书宋简体"/>
                <w:b/>
                <w:szCs w:val="21"/>
              </w:rPr>
            </w:pPr>
          </w:p>
        </w:tc>
        <w:tc>
          <w:tcPr>
            <w:tcW w:w="868" w:type="dxa"/>
            <w:vMerge/>
            <w:vAlign w:val="center"/>
          </w:tcPr>
          <w:p w:rsidR="00013EC7" w:rsidRDefault="00013EC7">
            <w:pPr>
              <w:jc w:val="center"/>
              <w:rPr>
                <w:rFonts w:eastAsia="方正书宋简体"/>
                <w:szCs w:val="21"/>
              </w:rPr>
            </w:pPr>
          </w:p>
        </w:tc>
        <w:tc>
          <w:tcPr>
            <w:tcW w:w="922" w:type="dxa"/>
            <w:vMerge/>
            <w:vAlign w:val="center"/>
          </w:tcPr>
          <w:p w:rsidR="00013EC7" w:rsidRDefault="00013EC7">
            <w:pPr>
              <w:jc w:val="center"/>
              <w:rPr>
                <w:rFonts w:eastAsia="方正书宋简体"/>
                <w:szCs w:val="21"/>
              </w:rPr>
            </w:pPr>
          </w:p>
        </w:tc>
        <w:tc>
          <w:tcPr>
            <w:tcW w:w="834" w:type="dxa"/>
            <w:vMerge/>
            <w:vAlign w:val="center"/>
          </w:tcPr>
          <w:p w:rsidR="00013EC7" w:rsidRDefault="00013EC7">
            <w:pPr>
              <w:jc w:val="center"/>
              <w:rPr>
                <w:rFonts w:eastAsia="方正书宋简体"/>
                <w:szCs w:val="21"/>
              </w:rPr>
            </w:pPr>
          </w:p>
        </w:tc>
        <w:tc>
          <w:tcPr>
            <w:tcW w:w="1104" w:type="dxa"/>
            <w:vMerge/>
            <w:vAlign w:val="center"/>
          </w:tcPr>
          <w:p w:rsidR="00013EC7" w:rsidRDefault="00013EC7">
            <w:pPr>
              <w:jc w:val="center"/>
              <w:rPr>
                <w:rFonts w:eastAsia="方正书宋简体"/>
                <w:szCs w:val="21"/>
              </w:rPr>
            </w:pPr>
          </w:p>
        </w:tc>
        <w:tc>
          <w:tcPr>
            <w:tcW w:w="1476" w:type="dxa"/>
            <w:vMerge/>
            <w:vAlign w:val="center"/>
          </w:tcPr>
          <w:p w:rsidR="00013EC7" w:rsidRDefault="00013EC7">
            <w:pPr>
              <w:rPr>
                <w:rFonts w:eastAsia="方正书宋简体"/>
                <w:szCs w:val="21"/>
              </w:rPr>
            </w:pPr>
          </w:p>
        </w:tc>
      </w:tr>
      <w:tr w:rsidR="00013EC7">
        <w:trPr>
          <w:trHeight w:val="1685"/>
          <w:jc w:val="center"/>
        </w:trPr>
        <w:tc>
          <w:tcPr>
            <w:tcW w:w="672" w:type="dxa"/>
            <w:vMerge/>
            <w:tcBorders>
              <w:bottom w:val="single" w:sz="4" w:space="0" w:color="auto"/>
            </w:tcBorders>
            <w:vAlign w:val="center"/>
          </w:tcPr>
          <w:p w:rsidR="00013EC7" w:rsidRDefault="00013EC7">
            <w:pPr>
              <w:jc w:val="center"/>
              <w:rPr>
                <w:rFonts w:eastAsia="方正书宋简体"/>
                <w:szCs w:val="21"/>
              </w:rPr>
            </w:pPr>
          </w:p>
        </w:tc>
        <w:tc>
          <w:tcPr>
            <w:tcW w:w="1035" w:type="dxa"/>
            <w:vMerge/>
            <w:tcBorders>
              <w:bottom w:val="single" w:sz="4" w:space="0" w:color="auto"/>
            </w:tcBorders>
            <w:vAlign w:val="center"/>
          </w:tcPr>
          <w:p w:rsidR="00013EC7" w:rsidRDefault="00013EC7">
            <w:pPr>
              <w:rPr>
                <w:rFonts w:eastAsia="方正书宋简体"/>
                <w:szCs w:val="21"/>
              </w:rPr>
            </w:pPr>
          </w:p>
        </w:tc>
        <w:tc>
          <w:tcPr>
            <w:tcW w:w="2622" w:type="dxa"/>
            <w:vMerge/>
            <w:tcBorders>
              <w:bottom w:val="single" w:sz="4" w:space="0" w:color="auto"/>
            </w:tcBorders>
            <w:vAlign w:val="center"/>
          </w:tcPr>
          <w:p w:rsidR="00013EC7" w:rsidRDefault="00013EC7">
            <w:pPr>
              <w:ind w:firstLine="420"/>
              <w:jc w:val="left"/>
              <w:rPr>
                <w:rFonts w:ascii="宋体" w:hAnsi="宋体" w:cs="宋体"/>
                <w:szCs w:val="21"/>
              </w:rPr>
            </w:pPr>
          </w:p>
        </w:tc>
        <w:tc>
          <w:tcPr>
            <w:tcW w:w="2760" w:type="dxa"/>
            <w:tcBorders>
              <w:top w:val="single" w:sz="4" w:space="0" w:color="auto"/>
              <w:bottom w:val="single" w:sz="4" w:space="0" w:color="auto"/>
            </w:tcBorders>
            <w:vAlign w:val="center"/>
          </w:tcPr>
          <w:p w:rsidR="00013EC7" w:rsidRDefault="00575CDB">
            <w:pPr>
              <w:rPr>
                <w:rFonts w:ascii="仿宋" w:eastAsia="仿宋" w:hAnsi="仿宋"/>
                <w:sz w:val="24"/>
              </w:rPr>
            </w:pPr>
            <w:r>
              <w:rPr>
                <w:rFonts w:ascii="仿宋" w:eastAsia="仿宋" w:hAnsi="仿宋" w:hint="eastAsia"/>
                <w:sz w:val="24"/>
              </w:rPr>
              <w:t>（十）企业债务处理或归属情况说明</w:t>
            </w:r>
            <w:r>
              <w:rPr>
                <w:rFonts w:ascii="仿宋" w:eastAsia="仿宋" w:hAnsi="仿宋" w:cs="仿宋" w:hint="eastAsia"/>
                <w:sz w:val="24"/>
                <w:shd w:val="clear" w:color="FFFFFF" w:fill="D9D9D9"/>
              </w:rPr>
              <w:t>原件及</w:t>
            </w:r>
            <w:r>
              <w:rPr>
                <w:rFonts w:ascii="仿宋" w:eastAsia="仿宋" w:hAnsi="仿宋" w:hint="eastAsia"/>
                <w:sz w:val="24"/>
              </w:rPr>
              <w:t>复印件（加盖公章）。</w:t>
            </w:r>
          </w:p>
        </w:tc>
        <w:tc>
          <w:tcPr>
            <w:tcW w:w="1430" w:type="dxa"/>
            <w:vMerge/>
            <w:tcBorders>
              <w:bottom w:val="single" w:sz="4" w:space="0" w:color="auto"/>
            </w:tcBorders>
            <w:vAlign w:val="center"/>
          </w:tcPr>
          <w:p w:rsidR="00013EC7" w:rsidRDefault="00013EC7">
            <w:pPr>
              <w:rPr>
                <w:rFonts w:ascii="仿宋" w:eastAsia="仿宋" w:hAnsi="仿宋"/>
                <w:sz w:val="24"/>
              </w:rPr>
            </w:pPr>
          </w:p>
        </w:tc>
        <w:tc>
          <w:tcPr>
            <w:tcW w:w="2551" w:type="dxa"/>
            <w:tcBorders>
              <w:bottom w:val="single" w:sz="4" w:space="0" w:color="auto"/>
            </w:tcBorders>
            <w:vAlign w:val="center"/>
          </w:tcPr>
          <w:p w:rsidR="00013EC7" w:rsidRDefault="00575CDB">
            <w:pPr>
              <w:rPr>
                <w:rFonts w:ascii="仿宋" w:eastAsia="仿宋" w:hAnsi="仿宋"/>
                <w:sz w:val="24"/>
              </w:rPr>
            </w:pPr>
            <w:r>
              <w:rPr>
                <w:rFonts w:ascii="仿宋" w:eastAsia="仿宋" w:hAnsi="仿宋" w:hint="eastAsia"/>
                <w:sz w:val="24"/>
              </w:rPr>
              <w:t>（十）企业债务处理或归属情况说明复印件1份</w:t>
            </w:r>
            <w:r>
              <w:rPr>
                <w:rFonts w:ascii="仿宋" w:eastAsia="仿宋" w:hAnsi="仿宋" w:cs="宋体" w:hint="eastAsia"/>
                <w:sz w:val="24"/>
              </w:rPr>
              <w:t>（注明与原件一致，并加盖公章）</w:t>
            </w:r>
            <w:r>
              <w:rPr>
                <w:rFonts w:ascii="仿宋" w:eastAsia="仿宋" w:hAnsi="仿宋" w:hint="eastAsia"/>
                <w:sz w:val="24"/>
              </w:rPr>
              <w:t>。</w:t>
            </w:r>
          </w:p>
        </w:tc>
        <w:tc>
          <w:tcPr>
            <w:tcW w:w="1316" w:type="dxa"/>
            <w:vMerge/>
            <w:vAlign w:val="center"/>
          </w:tcPr>
          <w:p w:rsidR="00013EC7" w:rsidRDefault="00013EC7">
            <w:pPr>
              <w:jc w:val="center"/>
              <w:rPr>
                <w:rFonts w:eastAsia="方正书宋简体"/>
                <w:szCs w:val="21"/>
              </w:rPr>
            </w:pPr>
          </w:p>
        </w:tc>
        <w:tc>
          <w:tcPr>
            <w:tcW w:w="2848" w:type="dxa"/>
            <w:vMerge/>
            <w:tcBorders>
              <w:bottom w:val="single" w:sz="4" w:space="0" w:color="auto"/>
            </w:tcBorders>
            <w:vAlign w:val="center"/>
          </w:tcPr>
          <w:p w:rsidR="00013EC7" w:rsidRDefault="00013EC7">
            <w:pPr>
              <w:rPr>
                <w:rFonts w:eastAsia="方正书宋简体"/>
                <w:b/>
                <w:szCs w:val="21"/>
              </w:rPr>
            </w:pPr>
          </w:p>
        </w:tc>
        <w:tc>
          <w:tcPr>
            <w:tcW w:w="868" w:type="dxa"/>
            <w:vMerge/>
            <w:tcBorders>
              <w:bottom w:val="single" w:sz="4" w:space="0" w:color="auto"/>
            </w:tcBorders>
            <w:vAlign w:val="center"/>
          </w:tcPr>
          <w:p w:rsidR="00013EC7" w:rsidRDefault="00013EC7">
            <w:pPr>
              <w:jc w:val="center"/>
              <w:rPr>
                <w:rFonts w:eastAsia="方正书宋简体"/>
                <w:szCs w:val="21"/>
              </w:rPr>
            </w:pPr>
          </w:p>
        </w:tc>
        <w:tc>
          <w:tcPr>
            <w:tcW w:w="922" w:type="dxa"/>
            <w:vMerge/>
            <w:tcBorders>
              <w:bottom w:val="single" w:sz="4" w:space="0" w:color="auto"/>
            </w:tcBorders>
            <w:vAlign w:val="center"/>
          </w:tcPr>
          <w:p w:rsidR="00013EC7" w:rsidRDefault="00013EC7">
            <w:pPr>
              <w:jc w:val="center"/>
              <w:rPr>
                <w:rFonts w:eastAsia="方正书宋简体"/>
                <w:szCs w:val="21"/>
              </w:rPr>
            </w:pPr>
          </w:p>
        </w:tc>
        <w:tc>
          <w:tcPr>
            <w:tcW w:w="834" w:type="dxa"/>
            <w:vMerge/>
            <w:tcBorders>
              <w:bottom w:val="single" w:sz="4" w:space="0" w:color="auto"/>
            </w:tcBorders>
            <w:vAlign w:val="center"/>
          </w:tcPr>
          <w:p w:rsidR="00013EC7" w:rsidRDefault="00013EC7">
            <w:pPr>
              <w:jc w:val="center"/>
              <w:rPr>
                <w:rFonts w:eastAsia="方正书宋简体"/>
                <w:szCs w:val="21"/>
              </w:rPr>
            </w:pPr>
          </w:p>
        </w:tc>
        <w:tc>
          <w:tcPr>
            <w:tcW w:w="1104" w:type="dxa"/>
            <w:vMerge/>
            <w:tcBorders>
              <w:bottom w:val="single" w:sz="4" w:space="0" w:color="auto"/>
            </w:tcBorders>
            <w:vAlign w:val="center"/>
          </w:tcPr>
          <w:p w:rsidR="00013EC7" w:rsidRDefault="00013EC7">
            <w:pPr>
              <w:jc w:val="center"/>
              <w:rPr>
                <w:rFonts w:eastAsia="方正书宋简体"/>
                <w:szCs w:val="21"/>
              </w:rPr>
            </w:pPr>
          </w:p>
        </w:tc>
        <w:tc>
          <w:tcPr>
            <w:tcW w:w="1476" w:type="dxa"/>
            <w:vMerge/>
            <w:tcBorders>
              <w:bottom w:val="single" w:sz="4" w:space="0" w:color="auto"/>
            </w:tcBorders>
            <w:vAlign w:val="center"/>
          </w:tcPr>
          <w:p w:rsidR="00013EC7" w:rsidRDefault="00013EC7">
            <w:pPr>
              <w:rPr>
                <w:rFonts w:eastAsia="方正书宋简体"/>
                <w:szCs w:val="21"/>
              </w:rPr>
            </w:pPr>
          </w:p>
        </w:tc>
      </w:tr>
    </w:tbl>
    <w:p w:rsidR="00013EC7" w:rsidRDefault="00013EC7"/>
    <w:p w:rsidR="00013EC7" w:rsidRDefault="005262E6">
      <w:pPr>
        <w:jc w:val="left"/>
      </w:pPr>
      <w:r>
        <w:rPr>
          <w:rFonts w:ascii="宋体" w:hAnsi="宋体" w:cs="宋体"/>
          <w:kern w:val="1"/>
          <w:szCs w:val="21"/>
        </w:rPr>
        <w:lastRenderedPageBreak/>
        <w:object w:dxaOrig="1440" w:dyaOrig="1440">
          <v:shape id="_x0000_s1228" type="#_x0000_t75" style="position:absolute;margin-left:579.05pt;margin-top:93.45pt;width:398.15pt;height:591.45pt;z-index:251597824;mso-wrap-distance-top:0;mso-wrap-distance-bottom:0;mso-position-vertical-relative:page;mso-width-relative:page;mso-height-relative:page">
            <v:imagedata r:id="rId329" o:title=""/>
            <o:lock v:ext="edit" aspectratio="f"/>
            <w10:wrap type="topAndBottom" anchory="page"/>
          </v:shape>
          <o:OLEObject Type="Embed" ProgID="Visio.Drawing.11" ShapeID="_x0000_s1228" DrawAspect="Content" ObjectID="_1577296264" r:id="rId330"/>
        </w:object>
      </w:r>
      <w:r>
        <w:object w:dxaOrig="1440" w:dyaOrig="1440">
          <v:shape id="_x0000_s1227" type="#_x0000_t75" style="position:absolute;margin-left:28.7pt;margin-top:100pt;width:481.9pt;height:637.75pt;z-index:251596800;mso-wrap-distance-top:0;mso-wrap-distance-bottom:0;mso-position-vertical-relative:page;mso-width-relative:page;mso-height-relative:page">
            <v:imagedata r:id="rId331" o:title=""/>
            <w10:wrap type="topAndBottom" anchory="page"/>
          </v:shape>
          <o:OLEObject Type="Embed" ProgID="Visio.Drawing.11" ShapeID="_x0000_s1227" DrawAspect="Content" ObjectID="_1577296265" r:id="rId332"/>
        </w:object>
      </w:r>
    </w:p>
    <w:p w:rsidR="00013EC7" w:rsidRDefault="00575CDB">
      <w:pPr>
        <w:pStyle w:val="1"/>
      </w:pPr>
      <w:bookmarkStart w:id="392" w:name="_Toc503467444"/>
      <w:bookmarkStart w:id="393" w:name="_Toc14465"/>
      <w:bookmarkStart w:id="394" w:name="_Toc11619"/>
      <w:bookmarkStart w:id="395" w:name="_Toc875"/>
      <w:r>
        <w:rPr>
          <w:rFonts w:hint="eastAsia"/>
        </w:rPr>
        <w:lastRenderedPageBreak/>
        <w:t>十九、委托代征申报</w:t>
      </w:r>
      <w:bookmarkEnd w:id="392"/>
      <w:bookmarkEnd w:id="393"/>
      <w:bookmarkEnd w:id="394"/>
      <w:bookmarkEnd w:id="395"/>
    </w:p>
    <w:p w:rsidR="00013EC7" w:rsidRDefault="00575CDB">
      <w:pPr>
        <w:pStyle w:val="2"/>
      </w:pPr>
      <w:bookmarkStart w:id="396" w:name="_Toc12577"/>
      <w:bookmarkStart w:id="397" w:name="_Toc20234"/>
      <w:bookmarkStart w:id="398" w:name="_Toc14427"/>
      <w:bookmarkStart w:id="399" w:name="_Toc503467445"/>
      <w:r>
        <w:rPr>
          <w:rFonts w:hint="eastAsia"/>
        </w:rPr>
        <w:t>19.1</w:t>
      </w:r>
      <w:r>
        <w:rPr>
          <w:rFonts w:hint="eastAsia"/>
        </w:rPr>
        <w:t>委托代征申报</w:t>
      </w:r>
      <w:bookmarkEnd w:id="396"/>
      <w:bookmarkEnd w:id="397"/>
      <w:bookmarkEnd w:id="398"/>
      <w:bookmarkEnd w:id="399"/>
    </w:p>
    <w:p w:rsidR="00013EC7" w:rsidRDefault="00575CDB">
      <w:pPr>
        <w:jc w:val="center"/>
        <w:rPr>
          <w:rFonts w:ascii="宋体" w:hAnsi="宋体" w:cs="宋体"/>
          <w:b/>
          <w:bCs/>
          <w:sz w:val="52"/>
          <w:szCs w:val="52"/>
        </w:rPr>
      </w:pPr>
      <w:r>
        <w:rPr>
          <w:rFonts w:ascii="宋体" w:hAnsi="宋体" w:cs="宋体" w:hint="eastAsia"/>
          <w:b/>
          <w:bCs/>
          <w:sz w:val="52"/>
          <w:szCs w:val="52"/>
        </w:rPr>
        <w:t>全省“最多跑一次”事项“八统一”梳理表</w:t>
      </w:r>
    </w:p>
    <w:tbl>
      <w:tblPr>
        <w:tblW w:w="19845"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2114"/>
        <w:gridCol w:w="2785"/>
        <w:gridCol w:w="1118"/>
        <w:gridCol w:w="2634"/>
        <w:gridCol w:w="1267"/>
        <w:gridCol w:w="2835"/>
        <w:gridCol w:w="1049"/>
        <w:gridCol w:w="935"/>
        <w:gridCol w:w="821"/>
        <w:gridCol w:w="1104"/>
        <w:gridCol w:w="1476"/>
      </w:tblGrid>
      <w:tr w:rsidR="00013EC7">
        <w:trPr>
          <w:trHeight w:val="340"/>
          <w:tblHeader/>
          <w:jc w:val="center"/>
        </w:trPr>
        <w:tc>
          <w:tcPr>
            <w:tcW w:w="672" w:type="dxa"/>
            <w:vMerge w:val="restart"/>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主项名称</w:t>
            </w:r>
          </w:p>
        </w:tc>
        <w:tc>
          <w:tcPr>
            <w:tcW w:w="1035" w:type="dxa"/>
            <w:vMerge w:val="restart"/>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子项名称</w:t>
            </w:r>
          </w:p>
        </w:tc>
        <w:tc>
          <w:tcPr>
            <w:tcW w:w="2114" w:type="dxa"/>
            <w:vMerge w:val="restart"/>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经办依据</w:t>
            </w:r>
          </w:p>
        </w:tc>
        <w:tc>
          <w:tcPr>
            <w:tcW w:w="3903" w:type="dxa"/>
            <w:gridSpan w:val="2"/>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原经办所需材料</w:t>
            </w:r>
          </w:p>
        </w:tc>
        <w:tc>
          <w:tcPr>
            <w:tcW w:w="6736" w:type="dxa"/>
            <w:gridSpan w:val="3"/>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精简后经办所需材料</w:t>
            </w:r>
          </w:p>
        </w:tc>
        <w:tc>
          <w:tcPr>
            <w:tcW w:w="1984" w:type="dxa"/>
            <w:gridSpan w:val="2"/>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办理时限</w:t>
            </w:r>
          </w:p>
        </w:tc>
        <w:tc>
          <w:tcPr>
            <w:tcW w:w="821" w:type="dxa"/>
            <w:vMerge w:val="restart"/>
            <w:vAlign w:val="center"/>
          </w:tcPr>
          <w:p w:rsidR="00013EC7" w:rsidRDefault="00575CDB">
            <w:pPr>
              <w:spacing w:line="280" w:lineRule="exact"/>
              <w:jc w:val="center"/>
              <w:rPr>
                <w:rFonts w:ascii="黑体" w:eastAsia="黑体" w:hAnsi="黑体" w:cs="黑体"/>
                <w:bCs/>
                <w:sz w:val="24"/>
              </w:rPr>
            </w:pPr>
            <w:r>
              <w:rPr>
                <w:rFonts w:ascii="黑体" w:eastAsia="黑体" w:hAnsi="黑体" w:cs="黑体" w:hint="eastAsia"/>
                <w:bCs/>
                <w:sz w:val="24"/>
              </w:rPr>
              <w:t>是否实现跑零次</w:t>
            </w:r>
          </w:p>
        </w:tc>
        <w:tc>
          <w:tcPr>
            <w:tcW w:w="1104" w:type="dxa"/>
            <w:vMerge w:val="restart"/>
            <w:vAlign w:val="center"/>
          </w:tcPr>
          <w:p w:rsidR="00013EC7" w:rsidRDefault="00575CDB">
            <w:pPr>
              <w:spacing w:line="280" w:lineRule="exact"/>
              <w:jc w:val="center"/>
              <w:rPr>
                <w:rFonts w:ascii="黑体" w:eastAsia="黑体" w:hAnsi="黑体" w:cs="黑体"/>
                <w:bCs/>
                <w:sz w:val="24"/>
              </w:rPr>
            </w:pPr>
            <w:r>
              <w:rPr>
                <w:rFonts w:ascii="黑体" w:eastAsia="黑体" w:hAnsi="黑体" w:cs="黑体" w:hint="eastAsia"/>
                <w:bCs/>
                <w:sz w:val="24"/>
              </w:rPr>
              <w:t>省厅对口</w:t>
            </w:r>
          </w:p>
          <w:p w:rsidR="00013EC7" w:rsidRDefault="00575CDB">
            <w:pPr>
              <w:spacing w:line="280" w:lineRule="exact"/>
              <w:jc w:val="center"/>
              <w:rPr>
                <w:rFonts w:ascii="黑体" w:eastAsia="黑体" w:hAnsi="黑体" w:cs="黑体"/>
                <w:bCs/>
                <w:sz w:val="24"/>
              </w:rPr>
            </w:pPr>
            <w:r>
              <w:rPr>
                <w:rFonts w:ascii="黑体" w:eastAsia="黑体" w:hAnsi="黑体" w:cs="黑体" w:hint="eastAsia"/>
                <w:bCs/>
                <w:sz w:val="24"/>
              </w:rPr>
              <w:t>指导处室</w:t>
            </w:r>
          </w:p>
          <w:p w:rsidR="00013EC7" w:rsidRDefault="00575CDB">
            <w:pPr>
              <w:spacing w:line="280" w:lineRule="exact"/>
              <w:jc w:val="center"/>
              <w:rPr>
                <w:rFonts w:ascii="黑体" w:eastAsia="黑体" w:hAnsi="黑体" w:cs="黑体"/>
                <w:bCs/>
                <w:sz w:val="24"/>
              </w:rPr>
            </w:pPr>
            <w:r>
              <w:rPr>
                <w:rFonts w:ascii="黑体" w:eastAsia="黑体" w:hAnsi="黑体" w:cs="黑体" w:hint="eastAsia"/>
                <w:bCs/>
                <w:sz w:val="24"/>
              </w:rPr>
              <w:t>（单位）</w:t>
            </w:r>
          </w:p>
        </w:tc>
        <w:tc>
          <w:tcPr>
            <w:tcW w:w="1476" w:type="dxa"/>
            <w:vMerge w:val="restart"/>
            <w:vAlign w:val="center"/>
          </w:tcPr>
          <w:p w:rsidR="00013EC7" w:rsidRDefault="00575CDB">
            <w:pPr>
              <w:spacing w:line="280" w:lineRule="exact"/>
              <w:jc w:val="center"/>
              <w:rPr>
                <w:rFonts w:ascii="黑体" w:eastAsia="黑体" w:hAnsi="黑体" w:cs="黑体"/>
                <w:bCs/>
                <w:sz w:val="24"/>
              </w:rPr>
            </w:pPr>
            <w:r>
              <w:rPr>
                <w:rFonts w:ascii="黑体" w:eastAsia="黑体" w:hAnsi="黑体" w:cs="黑体" w:hint="eastAsia"/>
                <w:bCs/>
                <w:sz w:val="24"/>
              </w:rPr>
              <w:t>进一步精简、</w:t>
            </w:r>
          </w:p>
          <w:p w:rsidR="00013EC7" w:rsidRDefault="00575CDB">
            <w:pPr>
              <w:spacing w:line="280" w:lineRule="exact"/>
              <w:jc w:val="center"/>
              <w:rPr>
                <w:rFonts w:ascii="黑体" w:eastAsia="黑体" w:hAnsi="黑体" w:cs="黑体"/>
                <w:bCs/>
                <w:sz w:val="24"/>
              </w:rPr>
            </w:pPr>
            <w:r>
              <w:rPr>
                <w:rFonts w:ascii="黑体" w:eastAsia="黑体" w:hAnsi="黑体" w:cs="黑体" w:hint="eastAsia"/>
                <w:bCs/>
                <w:sz w:val="24"/>
              </w:rPr>
              <w:t>规范建议</w:t>
            </w:r>
          </w:p>
        </w:tc>
      </w:tr>
      <w:tr w:rsidR="00013EC7">
        <w:trPr>
          <w:trHeight w:val="340"/>
          <w:tblHeader/>
          <w:jc w:val="center"/>
        </w:trPr>
        <w:tc>
          <w:tcPr>
            <w:tcW w:w="672" w:type="dxa"/>
            <w:vMerge/>
            <w:vAlign w:val="center"/>
          </w:tcPr>
          <w:p w:rsidR="00013EC7" w:rsidRDefault="00013EC7">
            <w:pPr>
              <w:spacing w:line="280" w:lineRule="exact"/>
              <w:jc w:val="center"/>
              <w:rPr>
                <w:rFonts w:ascii="黑体" w:eastAsia="黑体" w:hAnsi="黑体" w:cs="黑体"/>
                <w:sz w:val="24"/>
              </w:rPr>
            </w:pPr>
          </w:p>
        </w:tc>
        <w:tc>
          <w:tcPr>
            <w:tcW w:w="1035" w:type="dxa"/>
            <w:vMerge/>
            <w:vAlign w:val="center"/>
          </w:tcPr>
          <w:p w:rsidR="00013EC7" w:rsidRDefault="00013EC7">
            <w:pPr>
              <w:spacing w:line="280" w:lineRule="exact"/>
              <w:jc w:val="center"/>
              <w:rPr>
                <w:rFonts w:ascii="黑体" w:eastAsia="黑体" w:hAnsi="黑体" w:cs="黑体"/>
                <w:sz w:val="24"/>
              </w:rPr>
            </w:pPr>
          </w:p>
        </w:tc>
        <w:tc>
          <w:tcPr>
            <w:tcW w:w="2114" w:type="dxa"/>
            <w:vMerge/>
            <w:vAlign w:val="center"/>
          </w:tcPr>
          <w:p w:rsidR="00013EC7" w:rsidRDefault="00013EC7">
            <w:pPr>
              <w:spacing w:line="280" w:lineRule="exact"/>
              <w:jc w:val="center"/>
              <w:rPr>
                <w:rFonts w:ascii="黑体" w:eastAsia="黑体" w:hAnsi="黑体" w:cs="黑体"/>
                <w:sz w:val="24"/>
              </w:rPr>
            </w:pPr>
          </w:p>
        </w:tc>
        <w:tc>
          <w:tcPr>
            <w:tcW w:w="2785" w:type="dxa"/>
            <w:tcBorders>
              <w:bottom w:val="single" w:sz="4" w:space="0" w:color="auto"/>
            </w:tcBorders>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材料明细</w:t>
            </w:r>
          </w:p>
        </w:tc>
        <w:tc>
          <w:tcPr>
            <w:tcW w:w="1118"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材料来源</w:t>
            </w:r>
          </w:p>
        </w:tc>
        <w:tc>
          <w:tcPr>
            <w:tcW w:w="2634"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材料明细</w:t>
            </w:r>
          </w:p>
        </w:tc>
        <w:tc>
          <w:tcPr>
            <w:tcW w:w="1267"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材料来源</w:t>
            </w:r>
          </w:p>
        </w:tc>
        <w:tc>
          <w:tcPr>
            <w:tcW w:w="2835"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办理方式及材料</w:t>
            </w:r>
          </w:p>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信息获取方式说明</w:t>
            </w:r>
          </w:p>
        </w:tc>
        <w:tc>
          <w:tcPr>
            <w:tcW w:w="1049"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优化前</w:t>
            </w:r>
          </w:p>
        </w:tc>
        <w:tc>
          <w:tcPr>
            <w:tcW w:w="935"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优化后</w:t>
            </w:r>
          </w:p>
        </w:tc>
        <w:tc>
          <w:tcPr>
            <w:tcW w:w="821" w:type="dxa"/>
            <w:vMerge/>
            <w:vAlign w:val="center"/>
          </w:tcPr>
          <w:p w:rsidR="00013EC7" w:rsidRDefault="00013EC7">
            <w:pPr>
              <w:jc w:val="center"/>
              <w:rPr>
                <w:rFonts w:ascii="仿宋" w:eastAsia="仿宋" w:hAnsi="仿宋"/>
                <w:sz w:val="24"/>
              </w:rPr>
            </w:pPr>
          </w:p>
        </w:tc>
        <w:tc>
          <w:tcPr>
            <w:tcW w:w="1104" w:type="dxa"/>
            <w:vMerge/>
            <w:vAlign w:val="center"/>
          </w:tcPr>
          <w:p w:rsidR="00013EC7" w:rsidRDefault="00013EC7">
            <w:pPr>
              <w:jc w:val="center"/>
              <w:rPr>
                <w:rFonts w:ascii="仿宋" w:eastAsia="仿宋" w:hAnsi="仿宋"/>
                <w:sz w:val="24"/>
              </w:rPr>
            </w:pPr>
          </w:p>
        </w:tc>
        <w:tc>
          <w:tcPr>
            <w:tcW w:w="1476" w:type="dxa"/>
            <w:vMerge/>
            <w:vAlign w:val="center"/>
          </w:tcPr>
          <w:p w:rsidR="00013EC7" w:rsidRDefault="00013EC7">
            <w:pPr>
              <w:jc w:val="center"/>
              <w:rPr>
                <w:rFonts w:ascii="仿宋" w:eastAsia="仿宋" w:hAnsi="仿宋"/>
                <w:sz w:val="24"/>
              </w:rPr>
            </w:pPr>
          </w:p>
        </w:tc>
      </w:tr>
      <w:tr w:rsidR="00013EC7">
        <w:trPr>
          <w:trHeight w:val="1773"/>
          <w:jc w:val="center"/>
        </w:trPr>
        <w:tc>
          <w:tcPr>
            <w:tcW w:w="672" w:type="dxa"/>
            <w:vMerge w:val="restart"/>
            <w:shd w:val="clear" w:color="auto" w:fill="auto"/>
            <w:vAlign w:val="center"/>
          </w:tcPr>
          <w:p w:rsidR="00013EC7" w:rsidRDefault="00575CDB">
            <w:pPr>
              <w:spacing w:line="300" w:lineRule="exact"/>
              <w:rPr>
                <w:rFonts w:ascii="仿宋" w:eastAsia="仿宋" w:hAnsi="仿宋"/>
                <w:sz w:val="24"/>
              </w:rPr>
            </w:pPr>
            <w:r>
              <w:rPr>
                <w:rFonts w:ascii="仿宋" w:eastAsia="仿宋" w:hAnsi="仿宋" w:hint="eastAsia"/>
                <w:sz w:val="24"/>
              </w:rPr>
              <w:t>19委托代征申报</w:t>
            </w:r>
          </w:p>
        </w:tc>
        <w:tc>
          <w:tcPr>
            <w:tcW w:w="1035" w:type="dxa"/>
            <w:vMerge w:val="restart"/>
            <w:shd w:val="clear" w:color="auto" w:fill="auto"/>
            <w:vAlign w:val="center"/>
          </w:tcPr>
          <w:p w:rsidR="00013EC7" w:rsidRDefault="00575CDB">
            <w:pPr>
              <w:spacing w:line="310" w:lineRule="exact"/>
              <w:rPr>
                <w:rFonts w:ascii="仿宋" w:eastAsia="仿宋" w:hAnsi="仿宋"/>
                <w:sz w:val="24"/>
              </w:rPr>
            </w:pPr>
            <w:r>
              <w:rPr>
                <w:rFonts w:ascii="仿宋" w:eastAsia="仿宋" w:hAnsi="仿宋" w:hint="eastAsia"/>
                <w:color w:val="000000"/>
                <w:sz w:val="24"/>
              </w:rPr>
              <w:t>19.1委托代征申报</w:t>
            </w:r>
          </w:p>
        </w:tc>
        <w:tc>
          <w:tcPr>
            <w:tcW w:w="2114" w:type="dxa"/>
            <w:vMerge w:val="restart"/>
            <w:shd w:val="clear" w:color="auto" w:fill="auto"/>
            <w:vAlign w:val="center"/>
          </w:tcPr>
          <w:p w:rsidR="00013EC7" w:rsidRDefault="00575CDB">
            <w:pPr>
              <w:spacing w:line="310" w:lineRule="exact"/>
              <w:rPr>
                <w:rFonts w:ascii="仿宋" w:eastAsia="仿宋" w:hAnsi="仿宋"/>
                <w:sz w:val="24"/>
              </w:rPr>
            </w:pPr>
            <w:r>
              <w:rPr>
                <w:rFonts w:ascii="仿宋" w:eastAsia="仿宋" w:hAnsi="仿宋" w:hint="eastAsia"/>
                <w:sz w:val="24"/>
              </w:rPr>
              <w:t>（一）</w:t>
            </w:r>
            <w:r>
              <w:rPr>
                <w:rFonts w:ascii="仿宋" w:eastAsia="仿宋" w:hAnsi="仿宋"/>
                <w:sz w:val="24"/>
              </w:rPr>
              <w:t>《中华人民共和国税收征收管理法》</w:t>
            </w:r>
            <w:r>
              <w:rPr>
                <w:rFonts w:ascii="仿宋" w:eastAsia="仿宋" w:hAnsi="仿宋" w:hint="eastAsia"/>
                <w:sz w:val="24"/>
              </w:rPr>
              <w:t>（2001年中华人民共和国主席令第</w:t>
            </w:r>
            <w:r>
              <w:rPr>
                <w:rFonts w:ascii="仿宋" w:eastAsia="仿宋" w:hAnsi="仿宋"/>
                <w:sz w:val="24"/>
              </w:rPr>
              <w:t>49</w:t>
            </w:r>
            <w:r>
              <w:rPr>
                <w:rFonts w:ascii="仿宋" w:eastAsia="仿宋" w:hAnsi="仿宋" w:hint="eastAsia"/>
                <w:sz w:val="24"/>
              </w:rPr>
              <w:t>号）</w:t>
            </w:r>
            <w:r>
              <w:rPr>
                <w:rFonts w:ascii="仿宋" w:eastAsia="仿宋" w:hAnsi="仿宋"/>
                <w:sz w:val="24"/>
              </w:rPr>
              <w:t>第二十九条</w:t>
            </w:r>
            <w:r>
              <w:rPr>
                <w:rFonts w:ascii="仿宋" w:eastAsia="仿宋" w:hAnsi="仿宋" w:hint="eastAsia"/>
                <w:sz w:val="24"/>
              </w:rPr>
              <w:t>。</w:t>
            </w:r>
          </w:p>
          <w:p w:rsidR="00013EC7" w:rsidRDefault="00575CDB">
            <w:pPr>
              <w:spacing w:line="310" w:lineRule="exact"/>
              <w:rPr>
                <w:rFonts w:ascii="仿宋" w:eastAsia="仿宋" w:hAnsi="仿宋"/>
                <w:sz w:val="24"/>
              </w:rPr>
            </w:pPr>
            <w:r>
              <w:rPr>
                <w:rFonts w:ascii="仿宋" w:eastAsia="仿宋" w:hAnsi="仿宋" w:hint="eastAsia"/>
                <w:sz w:val="24"/>
              </w:rPr>
              <w:t>（二）</w:t>
            </w:r>
            <w:r>
              <w:rPr>
                <w:rFonts w:ascii="仿宋" w:eastAsia="仿宋" w:hAnsi="仿宋"/>
                <w:sz w:val="24"/>
              </w:rPr>
              <w:t>《中华人民共和国税收征收管理法实施细则》</w:t>
            </w:r>
            <w:r>
              <w:rPr>
                <w:rFonts w:ascii="仿宋" w:eastAsia="仿宋" w:hAnsi="仿宋" w:hint="eastAsia"/>
                <w:sz w:val="24"/>
              </w:rPr>
              <w:t>（200</w:t>
            </w:r>
            <w:r>
              <w:rPr>
                <w:rFonts w:ascii="仿宋" w:eastAsia="仿宋" w:hAnsi="仿宋"/>
                <w:sz w:val="24"/>
              </w:rPr>
              <w:t>2</w:t>
            </w:r>
            <w:r>
              <w:rPr>
                <w:rFonts w:ascii="仿宋" w:eastAsia="仿宋" w:hAnsi="仿宋" w:hint="eastAsia"/>
                <w:sz w:val="24"/>
              </w:rPr>
              <w:t>年中华人民共和</w:t>
            </w:r>
            <w:r>
              <w:rPr>
                <w:rFonts w:ascii="仿宋" w:eastAsia="仿宋" w:hAnsi="仿宋"/>
                <w:sz w:val="24"/>
              </w:rPr>
              <w:t>国国务院令</w:t>
            </w:r>
            <w:r>
              <w:rPr>
                <w:rFonts w:ascii="仿宋" w:eastAsia="仿宋" w:hAnsi="仿宋" w:hint="eastAsia"/>
                <w:sz w:val="24"/>
              </w:rPr>
              <w:t>第</w:t>
            </w:r>
            <w:r>
              <w:rPr>
                <w:rFonts w:ascii="仿宋" w:eastAsia="仿宋" w:hAnsi="仿宋"/>
                <w:sz w:val="24"/>
              </w:rPr>
              <w:t>362</w:t>
            </w:r>
            <w:r>
              <w:rPr>
                <w:rFonts w:ascii="仿宋" w:eastAsia="仿宋" w:hAnsi="仿宋" w:hint="eastAsia"/>
                <w:sz w:val="24"/>
              </w:rPr>
              <w:t>号）</w:t>
            </w:r>
            <w:bookmarkStart w:id="400" w:name="_（国家税务总局公告2013年第24号）《国家税务总局关于发布〈委托代征"/>
            <w:bookmarkStart w:id="401" w:name="_Toc420512346"/>
            <w:bookmarkStart w:id="402" w:name="_Toc419148995"/>
            <w:bookmarkEnd w:id="400"/>
            <w:bookmarkEnd w:id="401"/>
            <w:bookmarkEnd w:id="402"/>
            <w:r>
              <w:rPr>
                <w:rFonts w:ascii="仿宋" w:eastAsia="仿宋" w:hAnsi="仿宋"/>
                <w:sz w:val="24"/>
              </w:rPr>
              <w:t>第四十四条</w:t>
            </w:r>
            <w:r>
              <w:rPr>
                <w:rFonts w:ascii="仿宋" w:eastAsia="仿宋" w:hAnsi="仿宋" w:hint="eastAsia"/>
                <w:sz w:val="24"/>
              </w:rPr>
              <w:t>。</w:t>
            </w:r>
          </w:p>
          <w:p w:rsidR="00013EC7" w:rsidRDefault="00575CDB">
            <w:pPr>
              <w:spacing w:line="310" w:lineRule="exact"/>
              <w:rPr>
                <w:rFonts w:ascii="仿宋" w:eastAsia="仿宋" w:hAnsi="仿宋"/>
                <w:sz w:val="24"/>
              </w:rPr>
            </w:pPr>
            <w:r>
              <w:rPr>
                <w:rFonts w:ascii="仿宋" w:eastAsia="仿宋" w:hAnsi="仿宋" w:hint="eastAsia"/>
                <w:sz w:val="24"/>
              </w:rPr>
              <w:t>（三）</w:t>
            </w:r>
            <w:r>
              <w:rPr>
                <w:rFonts w:ascii="仿宋" w:eastAsia="仿宋" w:hAnsi="仿宋"/>
                <w:sz w:val="24"/>
              </w:rPr>
              <w:t>《国家税务总局关于发布〈委托代征管理办法〉的公告 》（国家税务总局公告2013年第24号）全文。</w:t>
            </w:r>
          </w:p>
          <w:p w:rsidR="00013EC7" w:rsidRDefault="00013EC7">
            <w:pPr>
              <w:widowControl/>
              <w:spacing w:line="500" w:lineRule="atLeast"/>
              <w:ind w:left="-360"/>
              <w:rPr>
                <w:rFonts w:ascii="仿宋" w:eastAsia="仿宋" w:hAnsi="仿宋"/>
                <w:sz w:val="24"/>
              </w:rPr>
            </w:pPr>
          </w:p>
          <w:p w:rsidR="00013EC7" w:rsidRDefault="00013EC7">
            <w:pPr>
              <w:spacing w:line="310" w:lineRule="exact"/>
              <w:rPr>
                <w:rFonts w:ascii="仿宋" w:eastAsia="仿宋" w:hAnsi="仿宋"/>
                <w:sz w:val="24"/>
              </w:rPr>
            </w:pPr>
          </w:p>
        </w:tc>
        <w:tc>
          <w:tcPr>
            <w:tcW w:w="2785" w:type="dxa"/>
            <w:tcBorders>
              <w:top w:val="single" w:sz="4" w:space="0" w:color="auto"/>
              <w:bottom w:val="single" w:sz="4" w:space="0" w:color="auto"/>
            </w:tcBorders>
            <w:shd w:val="clear" w:color="auto" w:fill="FFFFFF"/>
            <w:vAlign w:val="center"/>
          </w:tcPr>
          <w:p w:rsidR="00013EC7" w:rsidRDefault="00575CDB">
            <w:pPr>
              <w:spacing w:line="300" w:lineRule="exact"/>
              <w:rPr>
                <w:rFonts w:ascii="仿宋" w:eastAsia="仿宋" w:hAnsi="仿宋"/>
                <w:sz w:val="24"/>
              </w:rPr>
            </w:pPr>
            <w:r>
              <w:rPr>
                <w:rFonts w:ascii="仿宋" w:eastAsia="仿宋" w:hAnsi="仿宋"/>
                <w:sz w:val="24"/>
              </w:rPr>
              <w:t>（一）</w:t>
            </w:r>
            <w:r>
              <w:rPr>
                <w:rFonts w:ascii="仿宋" w:eastAsia="仿宋" w:hAnsi="仿宋" w:hint="eastAsia"/>
                <w:sz w:val="24"/>
              </w:rPr>
              <w:t>（A06124）</w:t>
            </w:r>
            <w:r>
              <w:rPr>
                <w:rFonts w:ascii="仿宋" w:eastAsia="仿宋" w:hAnsi="仿宋" w:hint="eastAsia"/>
                <w:sz w:val="24"/>
                <w:shd w:val="clear" w:color="auto" w:fill="FFFFFF"/>
              </w:rPr>
              <w:t>《委托代征税款报告表》2份。</w:t>
            </w:r>
          </w:p>
        </w:tc>
        <w:tc>
          <w:tcPr>
            <w:tcW w:w="1118" w:type="dxa"/>
            <w:vMerge w:val="restart"/>
            <w:shd w:val="clear" w:color="auto" w:fill="auto"/>
            <w:vAlign w:val="center"/>
          </w:tcPr>
          <w:p w:rsidR="00013EC7" w:rsidRDefault="00575CDB">
            <w:pPr>
              <w:spacing w:line="300" w:lineRule="exact"/>
              <w:rPr>
                <w:rFonts w:ascii="仿宋" w:eastAsia="仿宋" w:hAnsi="仿宋"/>
                <w:sz w:val="24"/>
              </w:rPr>
            </w:pPr>
            <w:r>
              <w:rPr>
                <w:rFonts w:ascii="仿宋" w:eastAsia="仿宋" w:hAnsi="仿宋" w:hint="eastAsia"/>
                <w:sz w:val="24"/>
              </w:rPr>
              <w:t>委托代征单位</w:t>
            </w:r>
            <w:r>
              <w:rPr>
                <w:rFonts w:ascii="仿宋" w:eastAsia="仿宋" w:hAnsi="仿宋"/>
                <w:sz w:val="24"/>
              </w:rPr>
              <w:t>提交</w:t>
            </w:r>
          </w:p>
        </w:tc>
        <w:tc>
          <w:tcPr>
            <w:tcW w:w="2634" w:type="dxa"/>
            <w:shd w:val="clear" w:color="auto" w:fill="FFFFFF"/>
            <w:vAlign w:val="center"/>
          </w:tcPr>
          <w:p w:rsidR="00013EC7" w:rsidRDefault="00575CDB">
            <w:pPr>
              <w:spacing w:line="300" w:lineRule="exact"/>
              <w:rPr>
                <w:rFonts w:ascii="仿宋" w:eastAsia="仿宋" w:hAnsi="仿宋"/>
                <w:sz w:val="24"/>
              </w:rPr>
            </w:pPr>
            <w:r>
              <w:rPr>
                <w:rFonts w:ascii="仿宋" w:eastAsia="仿宋" w:hAnsi="仿宋"/>
                <w:sz w:val="24"/>
              </w:rPr>
              <w:t>（一）</w:t>
            </w:r>
            <w:r>
              <w:rPr>
                <w:rFonts w:ascii="仿宋" w:eastAsia="仿宋" w:hAnsi="仿宋" w:hint="eastAsia"/>
                <w:sz w:val="24"/>
              </w:rPr>
              <w:t>（A06124）</w:t>
            </w:r>
            <w:r>
              <w:rPr>
                <w:rFonts w:ascii="仿宋" w:eastAsia="仿宋" w:hAnsi="仿宋" w:hint="eastAsia"/>
                <w:sz w:val="24"/>
                <w:shd w:val="clear" w:color="auto" w:fill="FFFFFF"/>
              </w:rPr>
              <w:t>《委托代征税款报告表》2份。</w:t>
            </w:r>
          </w:p>
        </w:tc>
        <w:tc>
          <w:tcPr>
            <w:tcW w:w="1267" w:type="dxa"/>
            <w:vMerge w:val="restart"/>
            <w:shd w:val="clear" w:color="auto" w:fill="FFFFFF"/>
            <w:vAlign w:val="center"/>
          </w:tcPr>
          <w:p w:rsidR="00013EC7" w:rsidRDefault="00575CDB">
            <w:pPr>
              <w:spacing w:line="300" w:lineRule="exact"/>
              <w:rPr>
                <w:rFonts w:ascii="仿宋" w:eastAsia="仿宋" w:hAnsi="仿宋"/>
                <w:b/>
                <w:bCs/>
                <w:i/>
                <w:iCs/>
                <w:sz w:val="24"/>
              </w:rPr>
            </w:pPr>
            <w:r>
              <w:rPr>
                <w:rFonts w:ascii="仿宋" w:eastAsia="仿宋" w:hAnsi="仿宋" w:hint="eastAsia"/>
                <w:sz w:val="24"/>
              </w:rPr>
              <w:t>委托代征单位</w:t>
            </w:r>
            <w:r>
              <w:rPr>
                <w:rFonts w:ascii="仿宋" w:eastAsia="仿宋" w:hAnsi="仿宋"/>
                <w:sz w:val="24"/>
              </w:rPr>
              <w:t>提交</w:t>
            </w:r>
          </w:p>
        </w:tc>
        <w:tc>
          <w:tcPr>
            <w:tcW w:w="2835" w:type="dxa"/>
            <w:vMerge w:val="restart"/>
            <w:shd w:val="clear" w:color="auto" w:fill="FFFFFF"/>
            <w:vAlign w:val="center"/>
          </w:tcPr>
          <w:p w:rsidR="00013EC7" w:rsidRDefault="00575CDB">
            <w:pPr>
              <w:spacing w:line="300" w:lineRule="exact"/>
              <w:rPr>
                <w:rFonts w:ascii="仿宋" w:eastAsia="仿宋" w:hAnsi="仿宋" w:cs="仿宋"/>
                <w:bCs/>
                <w:sz w:val="24"/>
              </w:rPr>
            </w:pPr>
            <w:r>
              <w:rPr>
                <w:rFonts w:ascii="仿宋" w:eastAsia="仿宋" w:hAnsi="仿宋" w:hint="eastAsia"/>
                <w:b/>
                <w:sz w:val="24"/>
              </w:rPr>
              <w:t>现场办理：</w:t>
            </w:r>
            <w:r>
              <w:rPr>
                <w:rFonts w:ascii="仿宋" w:eastAsia="仿宋" w:hAnsi="仿宋" w:cs="仿宋" w:hint="eastAsia"/>
                <w:bCs/>
                <w:sz w:val="24"/>
              </w:rPr>
              <w:t>纳税人提交书面材料。</w:t>
            </w:r>
          </w:p>
          <w:p w:rsidR="00013EC7" w:rsidRDefault="00575CDB">
            <w:pPr>
              <w:spacing w:line="300" w:lineRule="exact"/>
              <w:rPr>
                <w:rFonts w:ascii="仿宋" w:eastAsia="仿宋" w:hAnsi="仿宋"/>
                <w:sz w:val="24"/>
              </w:rPr>
            </w:pPr>
            <w:r>
              <w:rPr>
                <w:rFonts w:ascii="仿宋" w:eastAsia="仿宋" w:hAnsi="仿宋" w:hint="eastAsia"/>
                <w:b/>
                <w:sz w:val="24"/>
              </w:rPr>
              <w:t>网上办理：</w:t>
            </w:r>
            <w:r>
              <w:rPr>
                <w:rFonts w:ascii="仿宋" w:eastAsia="仿宋" w:hAnsi="仿宋" w:hint="eastAsia"/>
                <w:sz w:val="24"/>
              </w:rPr>
              <w:t>登录浙江国税电子税务局（网址：</w:t>
            </w:r>
            <w:hyperlink r:id="rId333" w:tgtFrame="https://wx.qq.com/_blank" w:history="1">
              <w:r>
                <w:rPr>
                  <w:rFonts w:ascii="仿宋" w:eastAsia="仿宋" w:hAnsi="仿宋" w:hint="eastAsia"/>
                  <w:sz w:val="24"/>
                </w:rPr>
                <w:t>http://etax.zjtax.gov.cn/</w:t>
              </w:r>
            </w:hyperlink>
            <w:r>
              <w:rPr>
                <w:rFonts w:ascii="仿宋" w:eastAsia="仿宋" w:hAnsi="仿宋" w:hint="eastAsia"/>
                <w:sz w:val="24"/>
              </w:rPr>
              <w:t>）提交申请。</w:t>
            </w:r>
          </w:p>
        </w:tc>
        <w:tc>
          <w:tcPr>
            <w:tcW w:w="1049" w:type="dxa"/>
            <w:vMerge w:val="restart"/>
            <w:vAlign w:val="center"/>
          </w:tcPr>
          <w:p w:rsidR="00013EC7" w:rsidRDefault="00575CDB">
            <w:pPr>
              <w:spacing w:line="300" w:lineRule="exact"/>
              <w:rPr>
                <w:rFonts w:ascii="仿宋" w:eastAsia="仿宋" w:hAnsi="仿宋"/>
                <w:sz w:val="24"/>
              </w:rPr>
            </w:pPr>
            <w:r>
              <w:rPr>
                <w:rFonts w:ascii="仿宋" w:eastAsia="仿宋" w:hAnsi="仿宋" w:hint="eastAsia"/>
                <w:sz w:val="24"/>
              </w:rPr>
              <w:t>即时办结</w:t>
            </w:r>
          </w:p>
        </w:tc>
        <w:tc>
          <w:tcPr>
            <w:tcW w:w="935" w:type="dxa"/>
            <w:vMerge w:val="restart"/>
            <w:vAlign w:val="center"/>
          </w:tcPr>
          <w:p w:rsidR="00013EC7" w:rsidRDefault="00575CDB">
            <w:pPr>
              <w:spacing w:line="300" w:lineRule="exact"/>
              <w:rPr>
                <w:rFonts w:ascii="仿宋" w:eastAsia="仿宋" w:hAnsi="仿宋"/>
                <w:sz w:val="24"/>
              </w:rPr>
            </w:pPr>
            <w:r>
              <w:rPr>
                <w:rFonts w:ascii="仿宋" w:eastAsia="仿宋" w:hAnsi="仿宋" w:hint="eastAsia"/>
                <w:sz w:val="24"/>
              </w:rPr>
              <w:t>即时办结</w:t>
            </w:r>
          </w:p>
        </w:tc>
        <w:tc>
          <w:tcPr>
            <w:tcW w:w="821" w:type="dxa"/>
            <w:vMerge w:val="restart"/>
            <w:vAlign w:val="center"/>
          </w:tcPr>
          <w:p w:rsidR="00013EC7" w:rsidRDefault="00575CDB">
            <w:pPr>
              <w:spacing w:line="280" w:lineRule="exact"/>
              <w:rPr>
                <w:rFonts w:ascii="仿宋" w:eastAsia="仿宋" w:hAnsi="仿宋"/>
                <w:sz w:val="24"/>
              </w:rPr>
            </w:pPr>
            <w:r>
              <w:rPr>
                <w:rFonts w:ascii="仿宋" w:eastAsia="仿宋" w:hAnsi="仿宋" w:hint="eastAsia"/>
                <w:sz w:val="24"/>
              </w:rPr>
              <w:t>否</w:t>
            </w:r>
          </w:p>
        </w:tc>
        <w:tc>
          <w:tcPr>
            <w:tcW w:w="1104" w:type="dxa"/>
            <w:vMerge w:val="restart"/>
            <w:vAlign w:val="center"/>
          </w:tcPr>
          <w:p w:rsidR="00013EC7" w:rsidRDefault="00575CDB">
            <w:pPr>
              <w:spacing w:line="300" w:lineRule="exact"/>
              <w:rPr>
                <w:rFonts w:ascii="仿宋" w:eastAsia="仿宋" w:hAnsi="仿宋"/>
                <w:sz w:val="24"/>
              </w:rPr>
            </w:pPr>
            <w:r>
              <w:rPr>
                <w:rFonts w:ascii="仿宋" w:eastAsia="仿宋" w:hAnsi="仿宋" w:hint="eastAsia"/>
                <w:sz w:val="24"/>
              </w:rPr>
              <w:t>征管和科技发展处、收入规划核算处</w:t>
            </w:r>
          </w:p>
        </w:tc>
        <w:tc>
          <w:tcPr>
            <w:tcW w:w="1476" w:type="dxa"/>
            <w:vMerge w:val="restart"/>
            <w:vAlign w:val="center"/>
          </w:tcPr>
          <w:p w:rsidR="00013EC7" w:rsidRDefault="00013EC7">
            <w:pPr>
              <w:spacing w:line="300" w:lineRule="exact"/>
              <w:rPr>
                <w:rFonts w:ascii="仿宋" w:eastAsia="仿宋" w:hAnsi="仿宋"/>
                <w:sz w:val="24"/>
              </w:rPr>
            </w:pPr>
          </w:p>
        </w:tc>
      </w:tr>
      <w:tr w:rsidR="00013EC7">
        <w:trPr>
          <w:trHeight w:val="1699"/>
          <w:jc w:val="center"/>
        </w:trPr>
        <w:tc>
          <w:tcPr>
            <w:tcW w:w="672" w:type="dxa"/>
            <w:vMerge/>
            <w:shd w:val="clear" w:color="auto" w:fill="auto"/>
            <w:textDirection w:val="tbRlV"/>
            <w:vAlign w:val="center"/>
          </w:tcPr>
          <w:p w:rsidR="00013EC7" w:rsidRDefault="00013EC7"/>
        </w:tc>
        <w:tc>
          <w:tcPr>
            <w:tcW w:w="1035" w:type="dxa"/>
            <w:vMerge/>
            <w:shd w:val="clear" w:color="auto" w:fill="auto"/>
            <w:vAlign w:val="center"/>
          </w:tcPr>
          <w:p w:rsidR="00013EC7" w:rsidRDefault="00013EC7"/>
        </w:tc>
        <w:tc>
          <w:tcPr>
            <w:tcW w:w="2114" w:type="dxa"/>
            <w:vMerge/>
            <w:shd w:val="clear" w:color="auto" w:fill="auto"/>
            <w:vAlign w:val="center"/>
          </w:tcPr>
          <w:p w:rsidR="00013EC7" w:rsidRDefault="00013EC7"/>
        </w:tc>
        <w:tc>
          <w:tcPr>
            <w:tcW w:w="2785" w:type="dxa"/>
            <w:tcBorders>
              <w:top w:val="single" w:sz="4" w:space="0" w:color="auto"/>
            </w:tcBorders>
            <w:shd w:val="clear" w:color="auto" w:fill="auto"/>
            <w:vAlign w:val="center"/>
          </w:tcPr>
          <w:p w:rsidR="00013EC7" w:rsidRDefault="00575CDB">
            <w:pPr>
              <w:spacing w:line="300" w:lineRule="exact"/>
              <w:rPr>
                <w:rFonts w:ascii="仿宋" w:eastAsia="仿宋" w:hAnsi="仿宋"/>
                <w:sz w:val="24"/>
              </w:rPr>
            </w:pPr>
            <w:r>
              <w:rPr>
                <w:rFonts w:ascii="仿宋" w:eastAsia="仿宋" w:hAnsi="仿宋"/>
                <w:sz w:val="24"/>
              </w:rPr>
              <w:t>（二）</w:t>
            </w:r>
            <w:r>
              <w:rPr>
                <w:rFonts w:ascii="仿宋" w:eastAsia="仿宋" w:hAnsi="仿宋" w:hint="eastAsia"/>
                <w:sz w:val="24"/>
              </w:rPr>
              <w:t>（A06125）《委托代征税款明细报告表》（签订了《委托代征协议》且选择报送明细的代征人代征税款时报送）。</w:t>
            </w:r>
          </w:p>
        </w:tc>
        <w:tc>
          <w:tcPr>
            <w:tcW w:w="1118" w:type="dxa"/>
            <w:vMerge/>
            <w:shd w:val="clear" w:color="auto" w:fill="auto"/>
            <w:vAlign w:val="center"/>
          </w:tcPr>
          <w:p w:rsidR="00013EC7" w:rsidRDefault="00013EC7">
            <w:pPr>
              <w:rPr>
                <w:rFonts w:ascii="仿宋" w:eastAsia="仿宋" w:hAnsi="仿宋"/>
                <w:sz w:val="24"/>
              </w:rPr>
            </w:pPr>
          </w:p>
        </w:tc>
        <w:tc>
          <w:tcPr>
            <w:tcW w:w="2634" w:type="dxa"/>
            <w:shd w:val="clear" w:color="auto" w:fill="auto"/>
            <w:vAlign w:val="center"/>
          </w:tcPr>
          <w:p w:rsidR="00013EC7" w:rsidRDefault="00575CDB">
            <w:pPr>
              <w:rPr>
                <w:rFonts w:ascii="仿宋" w:eastAsia="仿宋" w:hAnsi="仿宋"/>
                <w:sz w:val="24"/>
              </w:rPr>
            </w:pPr>
            <w:r>
              <w:rPr>
                <w:rFonts w:ascii="仿宋" w:eastAsia="仿宋" w:hAnsi="仿宋"/>
                <w:sz w:val="24"/>
              </w:rPr>
              <w:t>（二）</w:t>
            </w:r>
            <w:r>
              <w:rPr>
                <w:rFonts w:ascii="仿宋" w:eastAsia="仿宋" w:hAnsi="仿宋" w:hint="eastAsia"/>
                <w:sz w:val="24"/>
              </w:rPr>
              <w:t>（A06125）《委托代征税款明细报告表》（签订了《委托代征协议》且选择报送明细的代征人代征税款时报送）。</w:t>
            </w:r>
          </w:p>
        </w:tc>
        <w:tc>
          <w:tcPr>
            <w:tcW w:w="1267" w:type="dxa"/>
            <w:vMerge/>
            <w:shd w:val="clear" w:color="auto" w:fill="FFFFFF"/>
            <w:vAlign w:val="center"/>
          </w:tcPr>
          <w:p w:rsidR="00013EC7" w:rsidRDefault="00013EC7">
            <w:pPr>
              <w:spacing w:line="300" w:lineRule="exact"/>
              <w:rPr>
                <w:rFonts w:eastAsia="方正书宋简体"/>
                <w:szCs w:val="21"/>
              </w:rPr>
            </w:pPr>
          </w:p>
        </w:tc>
        <w:tc>
          <w:tcPr>
            <w:tcW w:w="2835" w:type="dxa"/>
            <w:vMerge/>
            <w:shd w:val="clear" w:color="auto" w:fill="FFFFFF"/>
            <w:vAlign w:val="center"/>
          </w:tcPr>
          <w:p w:rsidR="00013EC7" w:rsidRDefault="00013EC7">
            <w:pPr>
              <w:spacing w:line="300" w:lineRule="exact"/>
              <w:rPr>
                <w:rFonts w:eastAsia="方正书宋简体"/>
                <w:szCs w:val="21"/>
              </w:rPr>
            </w:pPr>
          </w:p>
        </w:tc>
        <w:tc>
          <w:tcPr>
            <w:tcW w:w="1049" w:type="dxa"/>
            <w:vMerge/>
            <w:vAlign w:val="center"/>
          </w:tcPr>
          <w:p w:rsidR="00013EC7" w:rsidRDefault="00013EC7"/>
        </w:tc>
        <w:tc>
          <w:tcPr>
            <w:tcW w:w="935" w:type="dxa"/>
            <w:vMerge/>
            <w:vAlign w:val="center"/>
          </w:tcPr>
          <w:p w:rsidR="00013EC7" w:rsidRDefault="00013EC7"/>
        </w:tc>
        <w:tc>
          <w:tcPr>
            <w:tcW w:w="821" w:type="dxa"/>
            <w:vMerge/>
            <w:vAlign w:val="center"/>
          </w:tcPr>
          <w:p w:rsidR="00013EC7" w:rsidRDefault="00013EC7"/>
        </w:tc>
        <w:tc>
          <w:tcPr>
            <w:tcW w:w="1104" w:type="dxa"/>
            <w:vMerge/>
            <w:vAlign w:val="center"/>
          </w:tcPr>
          <w:p w:rsidR="00013EC7" w:rsidRDefault="00013EC7"/>
        </w:tc>
        <w:tc>
          <w:tcPr>
            <w:tcW w:w="1476" w:type="dxa"/>
            <w:vMerge/>
            <w:vAlign w:val="center"/>
          </w:tcPr>
          <w:p w:rsidR="00013EC7" w:rsidRDefault="00013EC7"/>
        </w:tc>
      </w:tr>
      <w:tr w:rsidR="00013EC7">
        <w:trPr>
          <w:trHeight w:val="1427"/>
          <w:jc w:val="center"/>
        </w:trPr>
        <w:tc>
          <w:tcPr>
            <w:tcW w:w="672" w:type="dxa"/>
            <w:vMerge/>
            <w:textDirection w:val="tbRlV"/>
            <w:vAlign w:val="center"/>
          </w:tcPr>
          <w:p w:rsidR="00013EC7" w:rsidRDefault="00013EC7"/>
        </w:tc>
        <w:tc>
          <w:tcPr>
            <w:tcW w:w="1035" w:type="dxa"/>
            <w:vMerge/>
            <w:vAlign w:val="center"/>
          </w:tcPr>
          <w:p w:rsidR="00013EC7" w:rsidRDefault="00013EC7"/>
        </w:tc>
        <w:tc>
          <w:tcPr>
            <w:tcW w:w="2114" w:type="dxa"/>
            <w:vMerge/>
            <w:vAlign w:val="center"/>
          </w:tcPr>
          <w:p w:rsidR="00013EC7" w:rsidRDefault="00013EC7"/>
        </w:tc>
        <w:tc>
          <w:tcPr>
            <w:tcW w:w="2785" w:type="dxa"/>
            <w:vAlign w:val="center"/>
          </w:tcPr>
          <w:p w:rsidR="00013EC7" w:rsidRDefault="00575CDB">
            <w:pPr>
              <w:spacing w:line="300" w:lineRule="exact"/>
              <w:rPr>
                <w:rFonts w:ascii="仿宋" w:eastAsia="仿宋" w:hAnsi="仿宋"/>
                <w:sz w:val="24"/>
              </w:rPr>
            </w:pPr>
            <w:r>
              <w:rPr>
                <w:rFonts w:ascii="仿宋" w:eastAsia="仿宋" w:hAnsi="仿宋"/>
                <w:sz w:val="24"/>
              </w:rPr>
              <w:t>（三）</w:t>
            </w:r>
            <w:r>
              <w:rPr>
                <w:rFonts w:ascii="仿宋" w:eastAsia="仿宋" w:hAnsi="仿宋" w:hint="eastAsia"/>
                <w:sz w:val="24"/>
              </w:rPr>
              <w:t>（A06476）《中华人民共和国税收缴款书（税务收现专用）》。</w:t>
            </w:r>
          </w:p>
        </w:tc>
        <w:tc>
          <w:tcPr>
            <w:tcW w:w="1118" w:type="dxa"/>
            <w:vMerge/>
            <w:vAlign w:val="center"/>
          </w:tcPr>
          <w:p w:rsidR="00013EC7" w:rsidRDefault="00013EC7">
            <w:pPr>
              <w:rPr>
                <w:rFonts w:ascii="仿宋" w:eastAsia="仿宋" w:hAnsi="仿宋"/>
                <w:sz w:val="24"/>
              </w:rPr>
            </w:pPr>
          </w:p>
        </w:tc>
        <w:tc>
          <w:tcPr>
            <w:tcW w:w="2634" w:type="dxa"/>
            <w:vAlign w:val="center"/>
          </w:tcPr>
          <w:p w:rsidR="00013EC7" w:rsidRDefault="00575CDB">
            <w:pPr>
              <w:spacing w:line="300" w:lineRule="exact"/>
              <w:rPr>
                <w:rFonts w:ascii="仿宋" w:eastAsia="仿宋" w:hAnsi="仿宋"/>
                <w:sz w:val="24"/>
              </w:rPr>
            </w:pPr>
            <w:r>
              <w:rPr>
                <w:rFonts w:ascii="仿宋" w:eastAsia="仿宋" w:hAnsi="仿宋"/>
                <w:sz w:val="24"/>
              </w:rPr>
              <w:t>（三）</w:t>
            </w:r>
            <w:r>
              <w:rPr>
                <w:rFonts w:ascii="仿宋" w:eastAsia="仿宋" w:hAnsi="仿宋" w:hint="eastAsia"/>
                <w:sz w:val="24"/>
              </w:rPr>
              <w:t>（A06476）《中华人民共和国税收缴款书（税务收现专用）》。</w:t>
            </w:r>
          </w:p>
        </w:tc>
        <w:tc>
          <w:tcPr>
            <w:tcW w:w="1267" w:type="dxa"/>
            <w:vMerge/>
            <w:vAlign w:val="center"/>
          </w:tcPr>
          <w:p w:rsidR="00013EC7" w:rsidRDefault="00013EC7">
            <w:pPr>
              <w:spacing w:line="300" w:lineRule="exact"/>
              <w:rPr>
                <w:bCs/>
              </w:rPr>
            </w:pPr>
          </w:p>
        </w:tc>
        <w:tc>
          <w:tcPr>
            <w:tcW w:w="2835" w:type="dxa"/>
            <w:vMerge/>
            <w:vAlign w:val="center"/>
          </w:tcPr>
          <w:p w:rsidR="00013EC7" w:rsidRDefault="00013EC7">
            <w:pPr>
              <w:spacing w:line="300" w:lineRule="exact"/>
              <w:rPr>
                <w:rFonts w:eastAsia="方正书宋简体"/>
                <w:bCs/>
                <w:szCs w:val="21"/>
              </w:rPr>
            </w:pPr>
          </w:p>
        </w:tc>
        <w:tc>
          <w:tcPr>
            <w:tcW w:w="1049" w:type="dxa"/>
            <w:vMerge/>
            <w:vAlign w:val="center"/>
          </w:tcPr>
          <w:p w:rsidR="00013EC7" w:rsidRDefault="00013EC7"/>
        </w:tc>
        <w:tc>
          <w:tcPr>
            <w:tcW w:w="935" w:type="dxa"/>
            <w:vMerge/>
            <w:vAlign w:val="center"/>
          </w:tcPr>
          <w:p w:rsidR="00013EC7" w:rsidRDefault="00013EC7"/>
        </w:tc>
        <w:tc>
          <w:tcPr>
            <w:tcW w:w="821" w:type="dxa"/>
            <w:vMerge/>
            <w:vAlign w:val="center"/>
          </w:tcPr>
          <w:p w:rsidR="00013EC7" w:rsidRDefault="00013EC7"/>
        </w:tc>
        <w:tc>
          <w:tcPr>
            <w:tcW w:w="1104" w:type="dxa"/>
            <w:vMerge/>
            <w:vAlign w:val="center"/>
          </w:tcPr>
          <w:p w:rsidR="00013EC7" w:rsidRDefault="00013EC7"/>
        </w:tc>
        <w:tc>
          <w:tcPr>
            <w:tcW w:w="1476" w:type="dxa"/>
            <w:vMerge/>
            <w:vAlign w:val="center"/>
          </w:tcPr>
          <w:p w:rsidR="00013EC7" w:rsidRDefault="00013EC7"/>
        </w:tc>
      </w:tr>
      <w:tr w:rsidR="00013EC7">
        <w:trPr>
          <w:trHeight w:val="1621"/>
          <w:jc w:val="center"/>
        </w:trPr>
        <w:tc>
          <w:tcPr>
            <w:tcW w:w="672" w:type="dxa"/>
            <w:vMerge/>
            <w:vAlign w:val="center"/>
          </w:tcPr>
          <w:p w:rsidR="00013EC7" w:rsidRDefault="00013EC7"/>
        </w:tc>
        <w:tc>
          <w:tcPr>
            <w:tcW w:w="1035" w:type="dxa"/>
            <w:vMerge/>
            <w:vAlign w:val="center"/>
          </w:tcPr>
          <w:p w:rsidR="00013EC7" w:rsidRDefault="00013EC7"/>
        </w:tc>
        <w:tc>
          <w:tcPr>
            <w:tcW w:w="2114" w:type="dxa"/>
            <w:vMerge/>
            <w:vAlign w:val="center"/>
          </w:tcPr>
          <w:p w:rsidR="00013EC7" w:rsidRDefault="00013EC7"/>
        </w:tc>
        <w:tc>
          <w:tcPr>
            <w:tcW w:w="2785" w:type="dxa"/>
            <w:vAlign w:val="center"/>
          </w:tcPr>
          <w:p w:rsidR="00013EC7" w:rsidRDefault="00575CDB">
            <w:pPr>
              <w:spacing w:line="300" w:lineRule="exact"/>
              <w:rPr>
                <w:rFonts w:ascii="仿宋" w:eastAsia="仿宋" w:hAnsi="仿宋"/>
                <w:sz w:val="24"/>
              </w:rPr>
            </w:pPr>
            <w:r>
              <w:rPr>
                <w:rFonts w:ascii="仿宋" w:eastAsia="仿宋" w:hAnsi="仿宋"/>
                <w:sz w:val="24"/>
              </w:rPr>
              <w:t>（四）</w:t>
            </w:r>
            <w:r>
              <w:rPr>
                <w:rFonts w:ascii="仿宋" w:eastAsia="仿宋" w:hAnsi="仿宋" w:hint="eastAsia"/>
                <w:sz w:val="24"/>
              </w:rPr>
              <w:t>（A07101）</w:t>
            </w:r>
            <w:r>
              <w:rPr>
                <w:rFonts w:ascii="仿宋" w:eastAsia="仿宋" w:hAnsi="仿宋" w:cs="宋体"/>
                <w:sz w:val="24"/>
              </w:rPr>
              <w:t>《中华人民共和国税收缴款书（银行经收专用）》（委托代征人汇总缴库的）</w:t>
            </w:r>
            <w:r>
              <w:rPr>
                <w:rFonts w:ascii="仿宋" w:eastAsia="仿宋" w:hAnsi="仿宋" w:hint="eastAsia"/>
                <w:sz w:val="24"/>
              </w:rPr>
              <w:t>。</w:t>
            </w:r>
          </w:p>
        </w:tc>
        <w:tc>
          <w:tcPr>
            <w:tcW w:w="1118" w:type="dxa"/>
            <w:vMerge/>
            <w:vAlign w:val="center"/>
          </w:tcPr>
          <w:p w:rsidR="00013EC7" w:rsidRDefault="00013EC7">
            <w:pPr>
              <w:rPr>
                <w:rFonts w:ascii="仿宋" w:eastAsia="仿宋" w:hAnsi="仿宋"/>
                <w:sz w:val="24"/>
              </w:rPr>
            </w:pPr>
          </w:p>
        </w:tc>
        <w:tc>
          <w:tcPr>
            <w:tcW w:w="2634" w:type="dxa"/>
            <w:vAlign w:val="center"/>
          </w:tcPr>
          <w:p w:rsidR="00013EC7" w:rsidRDefault="00575CDB">
            <w:pPr>
              <w:spacing w:line="300" w:lineRule="exact"/>
              <w:rPr>
                <w:rFonts w:ascii="仿宋" w:eastAsia="仿宋" w:hAnsi="仿宋"/>
                <w:sz w:val="24"/>
              </w:rPr>
            </w:pPr>
            <w:r>
              <w:rPr>
                <w:rFonts w:ascii="仿宋" w:eastAsia="仿宋" w:hAnsi="仿宋"/>
                <w:sz w:val="24"/>
              </w:rPr>
              <w:t>（四）</w:t>
            </w:r>
            <w:r>
              <w:rPr>
                <w:rFonts w:ascii="仿宋" w:eastAsia="仿宋" w:hAnsi="仿宋" w:hint="eastAsia"/>
                <w:sz w:val="24"/>
              </w:rPr>
              <w:t>（A07101）</w:t>
            </w:r>
            <w:r>
              <w:rPr>
                <w:rFonts w:ascii="仿宋" w:eastAsia="仿宋" w:hAnsi="仿宋" w:cs="宋体"/>
                <w:sz w:val="24"/>
              </w:rPr>
              <w:t>《中华人民共和国税收缴款书（银行经收专用）》（委托代征人汇总缴库的）</w:t>
            </w:r>
            <w:r>
              <w:rPr>
                <w:rFonts w:ascii="仿宋" w:eastAsia="仿宋" w:hAnsi="仿宋" w:hint="eastAsia"/>
                <w:sz w:val="24"/>
              </w:rPr>
              <w:t>。</w:t>
            </w:r>
          </w:p>
        </w:tc>
        <w:tc>
          <w:tcPr>
            <w:tcW w:w="1267" w:type="dxa"/>
            <w:vMerge/>
            <w:vAlign w:val="center"/>
          </w:tcPr>
          <w:p w:rsidR="00013EC7" w:rsidRDefault="00013EC7">
            <w:pPr>
              <w:spacing w:line="300" w:lineRule="exact"/>
            </w:pPr>
          </w:p>
        </w:tc>
        <w:tc>
          <w:tcPr>
            <w:tcW w:w="2835" w:type="dxa"/>
            <w:vMerge/>
            <w:vAlign w:val="center"/>
          </w:tcPr>
          <w:p w:rsidR="00013EC7" w:rsidRDefault="00013EC7">
            <w:pPr>
              <w:spacing w:line="300" w:lineRule="exact"/>
              <w:rPr>
                <w:rFonts w:eastAsia="方正书宋简体"/>
                <w:szCs w:val="21"/>
              </w:rPr>
            </w:pPr>
          </w:p>
        </w:tc>
        <w:tc>
          <w:tcPr>
            <w:tcW w:w="1049" w:type="dxa"/>
            <w:vMerge/>
            <w:vAlign w:val="center"/>
          </w:tcPr>
          <w:p w:rsidR="00013EC7" w:rsidRDefault="00013EC7"/>
        </w:tc>
        <w:tc>
          <w:tcPr>
            <w:tcW w:w="935" w:type="dxa"/>
            <w:vMerge/>
            <w:vAlign w:val="center"/>
          </w:tcPr>
          <w:p w:rsidR="00013EC7" w:rsidRDefault="00013EC7"/>
        </w:tc>
        <w:tc>
          <w:tcPr>
            <w:tcW w:w="821" w:type="dxa"/>
            <w:vMerge/>
            <w:vAlign w:val="center"/>
          </w:tcPr>
          <w:p w:rsidR="00013EC7" w:rsidRDefault="00013EC7"/>
        </w:tc>
        <w:tc>
          <w:tcPr>
            <w:tcW w:w="1104" w:type="dxa"/>
            <w:vMerge/>
            <w:vAlign w:val="center"/>
          </w:tcPr>
          <w:p w:rsidR="00013EC7" w:rsidRDefault="00013EC7"/>
        </w:tc>
        <w:tc>
          <w:tcPr>
            <w:tcW w:w="1476" w:type="dxa"/>
            <w:vMerge/>
            <w:vAlign w:val="center"/>
          </w:tcPr>
          <w:p w:rsidR="00013EC7" w:rsidRDefault="00013EC7"/>
        </w:tc>
      </w:tr>
      <w:tr w:rsidR="00013EC7">
        <w:trPr>
          <w:trHeight w:val="1484"/>
          <w:jc w:val="center"/>
        </w:trPr>
        <w:tc>
          <w:tcPr>
            <w:tcW w:w="672" w:type="dxa"/>
            <w:vMerge/>
            <w:shd w:val="clear" w:color="auto" w:fill="auto"/>
            <w:vAlign w:val="center"/>
          </w:tcPr>
          <w:p w:rsidR="00013EC7" w:rsidRDefault="00013EC7"/>
        </w:tc>
        <w:tc>
          <w:tcPr>
            <w:tcW w:w="1035" w:type="dxa"/>
            <w:vMerge/>
            <w:shd w:val="clear" w:color="auto" w:fill="auto"/>
            <w:vAlign w:val="center"/>
          </w:tcPr>
          <w:p w:rsidR="00013EC7" w:rsidRDefault="00013EC7"/>
        </w:tc>
        <w:tc>
          <w:tcPr>
            <w:tcW w:w="2114" w:type="dxa"/>
            <w:vMerge/>
            <w:shd w:val="clear" w:color="auto" w:fill="auto"/>
            <w:vAlign w:val="center"/>
          </w:tcPr>
          <w:p w:rsidR="00013EC7" w:rsidRDefault="00013EC7"/>
        </w:tc>
        <w:tc>
          <w:tcPr>
            <w:tcW w:w="2785" w:type="dxa"/>
            <w:tcBorders>
              <w:bottom w:val="single" w:sz="4" w:space="0" w:color="auto"/>
            </w:tcBorders>
            <w:shd w:val="clear" w:color="auto" w:fill="FFFFFF"/>
            <w:vAlign w:val="center"/>
          </w:tcPr>
          <w:p w:rsidR="00013EC7" w:rsidRDefault="00575CDB">
            <w:pPr>
              <w:spacing w:line="300" w:lineRule="exact"/>
              <w:rPr>
                <w:rFonts w:ascii="仿宋" w:eastAsia="仿宋" w:hAnsi="仿宋"/>
                <w:sz w:val="24"/>
              </w:rPr>
            </w:pPr>
            <w:r>
              <w:rPr>
                <w:rFonts w:ascii="仿宋" w:eastAsia="仿宋" w:hAnsi="仿宋"/>
                <w:sz w:val="24"/>
              </w:rPr>
              <w:t>（五）</w:t>
            </w:r>
            <w:r>
              <w:rPr>
                <w:rFonts w:ascii="仿宋" w:eastAsia="仿宋" w:hAnsi="仿宋" w:hint="eastAsia"/>
                <w:sz w:val="24"/>
              </w:rPr>
              <w:t>（A09030）《代征代扣税款结报单》。</w:t>
            </w:r>
          </w:p>
        </w:tc>
        <w:tc>
          <w:tcPr>
            <w:tcW w:w="1118" w:type="dxa"/>
            <w:vMerge/>
            <w:vAlign w:val="center"/>
          </w:tcPr>
          <w:p w:rsidR="00013EC7" w:rsidRDefault="00013EC7">
            <w:pPr>
              <w:rPr>
                <w:rFonts w:ascii="仿宋" w:eastAsia="仿宋" w:hAnsi="仿宋"/>
                <w:sz w:val="24"/>
              </w:rPr>
            </w:pPr>
          </w:p>
        </w:tc>
        <w:tc>
          <w:tcPr>
            <w:tcW w:w="2634" w:type="dxa"/>
            <w:vAlign w:val="center"/>
          </w:tcPr>
          <w:p w:rsidR="00013EC7" w:rsidRDefault="00575CDB">
            <w:pPr>
              <w:rPr>
                <w:rFonts w:ascii="仿宋" w:eastAsia="仿宋" w:hAnsi="仿宋"/>
                <w:sz w:val="24"/>
              </w:rPr>
            </w:pPr>
            <w:r>
              <w:rPr>
                <w:rFonts w:ascii="仿宋" w:eastAsia="仿宋" w:hAnsi="仿宋"/>
                <w:sz w:val="24"/>
              </w:rPr>
              <w:t>（五）</w:t>
            </w:r>
            <w:r>
              <w:rPr>
                <w:rFonts w:ascii="仿宋" w:eastAsia="仿宋" w:hAnsi="仿宋" w:hint="eastAsia"/>
                <w:sz w:val="24"/>
              </w:rPr>
              <w:t>（A09030）《代征代扣税款结报单》</w:t>
            </w:r>
            <w:r>
              <w:rPr>
                <w:rFonts w:ascii="仿宋" w:eastAsia="仿宋" w:hAnsi="仿宋"/>
                <w:sz w:val="24"/>
              </w:rPr>
              <w:t>。</w:t>
            </w:r>
          </w:p>
        </w:tc>
        <w:tc>
          <w:tcPr>
            <w:tcW w:w="1267" w:type="dxa"/>
            <w:vMerge/>
            <w:vAlign w:val="center"/>
          </w:tcPr>
          <w:p w:rsidR="00013EC7" w:rsidRDefault="00013EC7">
            <w:pPr>
              <w:spacing w:line="300" w:lineRule="exact"/>
              <w:rPr>
                <w:rFonts w:eastAsia="方正书宋简体"/>
                <w:szCs w:val="21"/>
              </w:rPr>
            </w:pPr>
          </w:p>
        </w:tc>
        <w:tc>
          <w:tcPr>
            <w:tcW w:w="2835" w:type="dxa"/>
            <w:vMerge/>
            <w:vAlign w:val="center"/>
          </w:tcPr>
          <w:p w:rsidR="00013EC7" w:rsidRDefault="00013EC7">
            <w:pPr>
              <w:spacing w:line="300" w:lineRule="exact"/>
              <w:rPr>
                <w:rFonts w:eastAsia="方正书宋简体"/>
                <w:szCs w:val="21"/>
              </w:rPr>
            </w:pPr>
          </w:p>
        </w:tc>
        <w:tc>
          <w:tcPr>
            <w:tcW w:w="1049" w:type="dxa"/>
            <w:vMerge/>
            <w:vAlign w:val="center"/>
          </w:tcPr>
          <w:p w:rsidR="00013EC7" w:rsidRDefault="00013EC7"/>
        </w:tc>
        <w:tc>
          <w:tcPr>
            <w:tcW w:w="935" w:type="dxa"/>
            <w:vMerge/>
            <w:vAlign w:val="center"/>
          </w:tcPr>
          <w:p w:rsidR="00013EC7" w:rsidRDefault="00013EC7"/>
        </w:tc>
        <w:tc>
          <w:tcPr>
            <w:tcW w:w="821" w:type="dxa"/>
            <w:vMerge/>
            <w:vAlign w:val="center"/>
          </w:tcPr>
          <w:p w:rsidR="00013EC7" w:rsidRDefault="00013EC7"/>
        </w:tc>
        <w:tc>
          <w:tcPr>
            <w:tcW w:w="1104" w:type="dxa"/>
            <w:vMerge/>
            <w:vAlign w:val="center"/>
          </w:tcPr>
          <w:p w:rsidR="00013EC7" w:rsidRDefault="00013EC7"/>
        </w:tc>
        <w:tc>
          <w:tcPr>
            <w:tcW w:w="1476" w:type="dxa"/>
            <w:vMerge/>
            <w:vAlign w:val="center"/>
          </w:tcPr>
          <w:p w:rsidR="00013EC7" w:rsidRDefault="00013EC7"/>
        </w:tc>
      </w:tr>
    </w:tbl>
    <w:p w:rsidR="00013EC7" w:rsidRDefault="00013EC7">
      <w:pPr>
        <w:jc w:val="center"/>
      </w:pPr>
    </w:p>
    <w:p w:rsidR="00013EC7" w:rsidRDefault="00013EC7"/>
    <w:p w:rsidR="00013EC7" w:rsidRDefault="005262E6">
      <w:r>
        <w:rPr>
          <w:rFonts w:ascii="黑体" w:eastAsia="黑体" w:hAnsi="黑体"/>
        </w:rPr>
        <w:lastRenderedPageBreak/>
        <w:object w:dxaOrig="1440" w:dyaOrig="1440">
          <v:shape id="_x0000_s1384" type="#_x0000_t75" alt="5928676981508729125595" style="position:absolute;left:0;text-align:left;margin-left:574.8pt;margin-top:78.75pt;width:416.4pt;height:628.8pt;z-index:251707392;mso-wrap-distance-left:9pt;mso-wrap-distance-top:0;mso-wrap-distance-right:9pt;mso-wrap-distance-bottom:0;mso-position-vertical-relative:page;mso-width-relative:page;mso-height-relative:page">
            <v:imagedata r:id="rId334" o:title="5928676981508729125595"/>
            <w10:wrap type="square" anchory="page"/>
          </v:shape>
          <o:OLEObject Type="Embed" ProgID="Visio.Drawing.11" ShapeID="_x0000_s1384" DrawAspect="Content" ObjectID="_1577296266" r:id="rId335"/>
        </w:object>
      </w:r>
      <w:r>
        <w:object w:dxaOrig="1440" w:dyaOrig="1440">
          <v:shape id="_x0000_s1383" type="#_x0000_t75" alt="2111217721508729125585" style="position:absolute;left:0;text-align:left;margin-left:-10.3pt;margin-top:61.9pt;width:460.35pt;height:687.65pt;z-index:251706368;mso-wrap-distance-top:0;mso-wrap-distance-bottom:0;mso-position-vertical-relative:page;mso-width-relative:page;mso-height-relative:page">
            <v:imagedata r:id="rId336" o:title=""/>
            <w10:wrap type="topAndBottom" anchory="page"/>
          </v:shape>
          <o:OLEObject Type="Embed" ProgID="Visio.Drawing.11" ShapeID="_x0000_s1383" DrawAspect="Content" ObjectID="_1577296267" r:id="rId337"/>
        </w:object>
      </w:r>
    </w:p>
    <w:p w:rsidR="00013EC7" w:rsidRDefault="00013EC7">
      <w:pPr>
        <w:jc w:val="left"/>
        <w:rPr>
          <w:rFonts w:ascii="宋体" w:hAnsi="宋体" w:cs="宋体"/>
          <w:sz w:val="28"/>
          <w:szCs w:val="28"/>
        </w:rPr>
        <w:sectPr w:rsidR="00013EC7">
          <w:pgSz w:w="23814" w:h="16840" w:orient="landscape"/>
          <w:pgMar w:top="1701" w:right="1843" w:bottom="1985" w:left="1843" w:header="851" w:footer="1701" w:gutter="0"/>
          <w:pgNumType w:fmt="numberInDash"/>
          <w:cols w:space="720"/>
          <w:docGrid w:type="lines" w:linePitch="312"/>
        </w:sectPr>
      </w:pPr>
      <w:bookmarkStart w:id="403" w:name="_Toc498705752"/>
    </w:p>
    <w:p w:rsidR="00013EC7" w:rsidRDefault="00575CDB">
      <w:pPr>
        <w:pStyle w:val="1"/>
      </w:pPr>
      <w:bookmarkStart w:id="404" w:name="_Toc19957"/>
      <w:bookmarkStart w:id="405" w:name="_Toc503467446"/>
      <w:bookmarkStart w:id="406" w:name="_Toc31026"/>
      <w:bookmarkStart w:id="407" w:name="_Toc16645"/>
      <w:r>
        <w:rPr>
          <w:rFonts w:hint="eastAsia"/>
        </w:rPr>
        <w:lastRenderedPageBreak/>
        <w:t>二十、代扣代缴申报</w:t>
      </w:r>
      <w:bookmarkEnd w:id="404"/>
      <w:bookmarkEnd w:id="405"/>
      <w:bookmarkEnd w:id="406"/>
      <w:bookmarkEnd w:id="407"/>
    </w:p>
    <w:p w:rsidR="00013EC7" w:rsidRDefault="00575CDB">
      <w:pPr>
        <w:pStyle w:val="2"/>
      </w:pPr>
      <w:bookmarkStart w:id="408" w:name="_Toc28865"/>
      <w:bookmarkStart w:id="409" w:name="_Toc503467447"/>
      <w:bookmarkStart w:id="410" w:name="_Toc20859"/>
      <w:bookmarkStart w:id="411" w:name="_Toc5545"/>
      <w:r>
        <w:rPr>
          <w:rFonts w:hint="eastAsia"/>
        </w:rPr>
        <w:t>20.1</w:t>
      </w:r>
      <w:r>
        <w:rPr>
          <w:rFonts w:hint="eastAsia"/>
        </w:rPr>
        <w:t>扣缴义务人申报</w:t>
      </w:r>
      <w:bookmarkEnd w:id="403"/>
      <w:bookmarkEnd w:id="408"/>
      <w:bookmarkEnd w:id="409"/>
      <w:bookmarkEnd w:id="410"/>
      <w:bookmarkEnd w:id="411"/>
    </w:p>
    <w:p w:rsidR="00013EC7" w:rsidRDefault="00575CDB">
      <w:pPr>
        <w:jc w:val="center"/>
        <w:rPr>
          <w:rFonts w:ascii="宋体" w:hAnsi="宋体" w:cs="宋体"/>
          <w:b/>
          <w:bCs/>
          <w:sz w:val="52"/>
          <w:szCs w:val="52"/>
        </w:rPr>
      </w:pPr>
      <w:r>
        <w:rPr>
          <w:rFonts w:ascii="宋体" w:hAnsi="宋体" w:cs="宋体" w:hint="eastAsia"/>
          <w:b/>
          <w:bCs/>
          <w:sz w:val="52"/>
          <w:szCs w:val="52"/>
        </w:rPr>
        <w:t>全省“最多跑一次”事项“八统一”梳理表</w:t>
      </w:r>
    </w:p>
    <w:tbl>
      <w:tblPr>
        <w:tblW w:w="21120"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922"/>
        <w:gridCol w:w="708"/>
        <w:gridCol w:w="1870"/>
        <w:gridCol w:w="4414"/>
        <w:gridCol w:w="879"/>
        <w:gridCol w:w="4036"/>
        <w:gridCol w:w="1275"/>
        <w:gridCol w:w="1812"/>
        <w:gridCol w:w="868"/>
        <w:gridCol w:w="798"/>
        <w:gridCol w:w="958"/>
        <w:gridCol w:w="1104"/>
        <w:gridCol w:w="1476"/>
      </w:tblGrid>
      <w:tr w:rsidR="00013EC7">
        <w:trPr>
          <w:trHeight w:val="340"/>
          <w:tblHeader/>
          <w:jc w:val="center"/>
        </w:trPr>
        <w:tc>
          <w:tcPr>
            <w:tcW w:w="922" w:type="dxa"/>
            <w:vMerge w:val="restart"/>
            <w:vAlign w:val="center"/>
          </w:tcPr>
          <w:p w:rsidR="00013EC7" w:rsidRDefault="00575CDB">
            <w:pPr>
              <w:spacing w:line="280" w:lineRule="exact"/>
              <w:jc w:val="center"/>
              <w:rPr>
                <w:rFonts w:ascii="黑体" w:eastAsia="黑体" w:hAnsi="黑体" w:cs="黑体"/>
                <w:bCs/>
                <w:sz w:val="24"/>
              </w:rPr>
            </w:pPr>
            <w:r>
              <w:rPr>
                <w:rFonts w:ascii="黑体" w:eastAsia="黑体" w:hAnsi="黑体" w:cs="黑体" w:hint="eastAsia"/>
                <w:bCs/>
                <w:sz w:val="24"/>
              </w:rPr>
              <w:t>主项名称</w:t>
            </w:r>
          </w:p>
        </w:tc>
        <w:tc>
          <w:tcPr>
            <w:tcW w:w="708" w:type="dxa"/>
            <w:vMerge w:val="restart"/>
            <w:vAlign w:val="center"/>
          </w:tcPr>
          <w:p w:rsidR="00013EC7" w:rsidRDefault="00575CDB">
            <w:pPr>
              <w:spacing w:line="280" w:lineRule="exact"/>
              <w:jc w:val="center"/>
              <w:rPr>
                <w:rFonts w:ascii="黑体" w:eastAsia="黑体" w:hAnsi="黑体" w:cs="黑体"/>
                <w:bCs/>
                <w:sz w:val="24"/>
              </w:rPr>
            </w:pPr>
            <w:r>
              <w:rPr>
                <w:rFonts w:ascii="黑体" w:eastAsia="黑体" w:hAnsi="黑体" w:cs="黑体" w:hint="eastAsia"/>
                <w:bCs/>
                <w:sz w:val="24"/>
              </w:rPr>
              <w:t>子项名称</w:t>
            </w:r>
          </w:p>
        </w:tc>
        <w:tc>
          <w:tcPr>
            <w:tcW w:w="1870" w:type="dxa"/>
            <w:vMerge w:val="restart"/>
            <w:vAlign w:val="center"/>
          </w:tcPr>
          <w:p w:rsidR="00013EC7" w:rsidRDefault="00575CDB">
            <w:pPr>
              <w:spacing w:line="280" w:lineRule="exact"/>
              <w:jc w:val="center"/>
              <w:rPr>
                <w:rFonts w:ascii="黑体" w:eastAsia="黑体" w:hAnsi="黑体" w:cs="黑体"/>
                <w:bCs/>
                <w:sz w:val="24"/>
              </w:rPr>
            </w:pPr>
            <w:r>
              <w:rPr>
                <w:rFonts w:ascii="黑体" w:eastAsia="黑体" w:hAnsi="黑体" w:cs="黑体" w:hint="eastAsia"/>
                <w:bCs/>
                <w:sz w:val="24"/>
              </w:rPr>
              <w:t>经办依据</w:t>
            </w:r>
          </w:p>
        </w:tc>
        <w:tc>
          <w:tcPr>
            <w:tcW w:w="5293" w:type="dxa"/>
            <w:gridSpan w:val="2"/>
            <w:vAlign w:val="center"/>
          </w:tcPr>
          <w:p w:rsidR="00013EC7" w:rsidRDefault="00575CDB">
            <w:pPr>
              <w:spacing w:line="280" w:lineRule="exact"/>
              <w:jc w:val="center"/>
              <w:rPr>
                <w:rFonts w:ascii="黑体" w:eastAsia="黑体" w:hAnsi="黑体" w:cs="黑体"/>
                <w:bCs/>
                <w:sz w:val="24"/>
              </w:rPr>
            </w:pPr>
            <w:r>
              <w:rPr>
                <w:rFonts w:ascii="黑体" w:eastAsia="黑体" w:hAnsi="黑体" w:cs="黑体" w:hint="eastAsia"/>
                <w:bCs/>
                <w:sz w:val="24"/>
              </w:rPr>
              <w:t>原经办所需材料</w:t>
            </w:r>
          </w:p>
        </w:tc>
        <w:tc>
          <w:tcPr>
            <w:tcW w:w="7123" w:type="dxa"/>
            <w:gridSpan w:val="3"/>
            <w:vAlign w:val="center"/>
          </w:tcPr>
          <w:p w:rsidR="00013EC7" w:rsidRDefault="00575CDB">
            <w:pPr>
              <w:spacing w:line="280" w:lineRule="exact"/>
              <w:jc w:val="center"/>
              <w:rPr>
                <w:rFonts w:ascii="黑体" w:eastAsia="黑体" w:hAnsi="黑体" w:cs="黑体"/>
                <w:bCs/>
                <w:sz w:val="24"/>
              </w:rPr>
            </w:pPr>
            <w:r>
              <w:rPr>
                <w:rFonts w:ascii="黑体" w:eastAsia="黑体" w:hAnsi="黑体" w:cs="黑体" w:hint="eastAsia"/>
                <w:bCs/>
                <w:sz w:val="24"/>
              </w:rPr>
              <w:t>精简后经办所需材料</w:t>
            </w:r>
          </w:p>
        </w:tc>
        <w:tc>
          <w:tcPr>
            <w:tcW w:w="1666" w:type="dxa"/>
            <w:gridSpan w:val="2"/>
            <w:vAlign w:val="center"/>
          </w:tcPr>
          <w:p w:rsidR="00013EC7" w:rsidRDefault="00575CDB">
            <w:pPr>
              <w:spacing w:line="280" w:lineRule="exact"/>
              <w:jc w:val="center"/>
              <w:rPr>
                <w:rFonts w:ascii="黑体" w:eastAsia="黑体" w:hAnsi="黑体" w:cs="黑体"/>
                <w:bCs/>
                <w:sz w:val="24"/>
              </w:rPr>
            </w:pPr>
            <w:r>
              <w:rPr>
                <w:rFonts w:ascii="黑体" w:eastAsia="黑体" w:hAnsi="黑体" w:cs="黑体" w:hint="eastAsia"/>
                <w:bCs/>
                <w:sz w:val="24"/>
              </w:rPr>
              <w:t>办理时限</w:t>
            </w:r>
          </w:p>
        </w:tc>
        <w:tc>
          <w:tcPr>
            <w:tcW w:w="958" w:type="dxa"/>
            <w:vMerge w:val="restart"/>
            <w:vAlign w:val="center"/>
          </w:tcPr>
          <w:p w:rsidR="00013EC7" w:rsidRDefault="00575CDB">
            <w:pPr>
              <w:spacing w:line="280" w:lineRule="exact"/>
              <w:jc w:val="center"/>
              <w:rPr>
                <w:rFonts w:ascii="黑体" w:eastAsia="黑体" w:hAnsi="黑体" w:cs="黑体"/>
                <w:bCs/>
                <w:sz w:val="24"/>
              </w:rPr>
            </w:pPr>
            <w:r>
              <w:rPr>
                <w:rFonts w:ascii="黑体" w:eastAsia="黑体" w:hAnsi="黑体" w:cs="黑体" w:hint="eastAsia"/>
                <w:bCs/>
                <w:sz w:val="24"/>
              </w:rPr>
              <w:t>是否实现跑零次</w:t>
            </w:r>
          </w:p>
        </w:tc>
        <w:tc>
          <w:tcPr>
            <w:tcW w:w="1104" w:type="dxa"/>
            <w:vMerge w:val="restart"/>
            <w:vAlign w:val="center"/>
          </w:tcPr>
          <w:p w:rsidR="00013EC7" w:rsidRDefault="00575CDB">
            <w:pPr>
              <w:spacing w:line="280" w:lineRule="exact"/>
              <w:jc w:val="center"/>
              <w:rPr>
                <w:rFonts w:ascii="黑体" w:eastAsia="黑体" w:hAnsi="黑体" w:cs="黑体"/>
                <w:bCs/>
                <w:sz w:val="24"/>
              </w:rPr>
            </w:pPr>
            <w:r>
              <w:rPr>
                <w:rFonts w:ascii="黑体" w:eastAsia="黑体" w:hAnsi="黑体" w:cs="黑体" w:hint="eastAsia"/>
                <w:bCs/>
                <w:sz w:val="24"/>
              </w:rPr>
              <w:t>省厅对口</w:t>
            </w:r>
          </w:p>
          <w:p w:rsidR="00013EC7" w:rsidRDefault="00575CDB">
            <w:pPr>
              <w:spacing w:line="280" w:lineRule="exact"/>
              <w:jc w:val="center"/>
              <w:rPr>
                <w:rFonts w:ascii="黑体" w:eastAsia="黑体" w:hAnsi="黑体" w:cs="黑体"/>
                <w:bCs/>
                <w:sz w:val="24"/>
              </w:rPr>
            </w:pPr>
            <w:r>
              <w:rPr>
                <w:rFonts w:ascii="黑体" w:eastAsia="黑体" w:hAnsi="黑体" w:cs="黑体" w:hint="eastAsia"/>
                <w:bCs/>
                <w:sz w:val="24"/>
              </w:rPr>
              <w:t>指导处室</w:t>
            </w:r>
          </w:p>
          <w:p w:rsidR="00013EC7" w:rsidRDefault="00575CDB">
            <w:pPr>
              <w:spacing w:line="280" w:lineRule="exact"/>
              <w:jc w:val="center"/>
              <w:rPr>
                <w:rFonts w:ascii="黑体" w:eastAsia="黑体" w:hAnsi="黑体" w:cs="黑体"/>
                <w:bCs/>
                <w:sz w:val="24"/>
              </w:rPr>
            </w:pPr>
            <w:r>
              <w:rPr>
                <w:rFonts w:ascii="黑体" w:eastAsia="黑体" w:hAnsi="黑体" w:cs="黑体" w:hint="eastAsia"/>
                <w:bCs/>
                <w:sz w:val="24"/>
              </w:rPr>
              <w:t>（单位）</w:t>
            </w:r>
          </w:p>
        </w:tc>
        <w:tc>
          <w:tcPr>
            <w:tcW w:w="1476" w:type="dxa"/>
            <w:vMerge w:val="restart"/>
            <w:vAlign w:val="center"/>
          </w:tcPr>
          <w:p w:rsidR="00013EC7" w:rsidRDefault="00575CDB">
            <w:pPr>
              <w:spacing w:line="280" w:lineRule="exact"/>
              <w:jc w:val="center"/>
              <w:rPr>
                <w:rFonts w:ascii="黑体" w:eastAsia="黑体" w:hAnsi="黑体" w:cs="黑体"/>
                <w:bCs/>
                <w:sz w:val="24"/>
              </w:rPr>
            </w:pPr>
            <w:r>
              <w:rPr>
                <w:rFonts w:ascii="黑体" w:eastAsia="黑体" w:hAnsi="黑体" w:cs="黑体" w:hint="eastAsia"/>
                <w:bCs/>
                <w:sz w:val="24"/>
              </w:rPr>
              <w:t>进一步精简、</w:t>
            </w:r>
          </w:p>
          <w:p w:rsidR="00013EC7" w:rsidRDefault="00575CDB">
            <w:pPr>
              <w:spacing w:line="280" w:lineRule="exact"/>
              <w:jc w:val="center"/>
              <w:rPr>
                <w:rFonts w:ascii="黑体" w:eastAsia="黑体" w:hAnsi="黑体" w:cs="黑体"/>
                <w:bCs/>
                <w:sz w:val="24"/>
              </w:rPr>
            </w:pPr>
            <w:r>
              <w:rPr>
                <w:rFonts w:ascii="黑体" w:eastAsia="黑体" w:hAnsi="黑体" w:cs="黑体" w:hint="eastAsia"/>
                <w:bCs/>
                <w:sz w:val="24"/>
              </w:rPr>
              <w:t>规范建议</w:t>
            </w:r>
          </w:p>
        </w:tc>
      </w:tr>
      <w:tr w:rsidR="00013EC7">
        <w:trPr>
          <w:trHeight w:val="340"/>
          <w:tblHeader/>
          <w:jc w:val="center"/>
        </w:trPr>
        <w:tc>
          <w:tcPr>
            <w:tcW w:w="922" w:type="dxa"/>
            <w:vMerge/>
            <w:vAlign w:val="center"/>
          </w:tcPr>
          <w:p w:rsidR="00013EC7" w:rsidRDefault="00013EC7">
            <w:pPr>
              <w:jc w:val="center"/>
              <w:rPr>
                <w:rFonts w:ascii="仿宋" w:eastAsia="仿宋" w:hAnsi="仿宋"/>
                <w:b/>
                <w:sz w:val="24"/>
              </w:rPr>
            </w:pPr>
          </w:p>
        </w:tc>
        <w:tc>
          <w:tcPr>
            <w:tcW w:w="708" w:type="dxa"/>
            <w:vMerge/>
            <w:vAlign w:val="center"/>
          </w:tcPr>
          <w:p w:rsidR="00013EC7" w:rsidRDefault="00013EC7">
            <w:pPr>
              <w:jc w:val="center"/>
              <w:rPr>
                <w:rFonts w:ascii="仿宋" w:eastAsia="仿宋" w:hAnsi="仿宋"/>
                <w:b/>
                <w:sz w:val="24"/>
              </w:rPr>
            </w:pPr>
          </w:p>
        </w:tc>
        <w:tc>
          <w:tcPr>
            <w:tcW w:w="1870" w:type="dxa"/>
            <w:vMerge/>
            <w:vAlign w:val="center"/>
          </w:tcPr>
          <w:p w:rsidR="00013EC7" w:rsidRDefault="00013EC7">
            <w:pPr>
              <w:jc w:val="center"/>
              <w:rPr>
                <w:rFonts w:ascii="仿宋" w:eastAsia="仿宋" w:hAnsi="仿宋"/>
                <w:b/>
                <w:sz w:val="24"/>
              </w:rPr>
            </w:pPr>
          </w:p>
        </w:tc>
        <w:tc>
          <w:tcPr>
            <w:tcW w:w="4414" w:type="dxa"/>
            <w:tcBorders>
              <w:bottom w:val="single" w:sz="4" w:space="0" w:color="auto"/>
            </w:tcBorders>
            <w:vAlign w:val="center"/>
          </w:tcPr>
          <w:p w:rsidR="00013EC7" w:rsidRDefault="00575CDB">
            <w:pPr>
              <w:spacing w:line="280" w:lineRule="exact"/>
              <w:jc w:val="center"/>
              <w:rPr>
                <w:rFonts w:ascii="黑体" w:eastAsia="黑体" w:hAnsi="黑体" w:cs="黑体"/>
                <w:bCs/>
                <w:sz w:val="24"/>
              </w:rPr>
            </w:pPr>
            <w:r>
              <w:rPr>
                <w:rFonts w:ascii="黑体" w:eastAsia="黑体" w:hAnsi="黑体" w:cs="黑体" w:hint="eastAsia"/>
                <w:bCs/>
                <w:sz w:val="24"/>
              </w:rPr>
              <w:t>材料明细</w:t>
            </w:r>
          </w:p>
        </w:tc>
        <w:tc>
          <w:tcPr>
            <w:tcW w:w="879" w:type="dxa"/>
            <w:vAlign w:val="center"/>
          </w:tcPr>
          <w:p w:rsidR="00013EC7" w:rsidRDefault="00575CDB">
            <w:pPr>
              <w:spacing w:line="280" w:lineRule="exact"/>
              <w:jc w:val="center"/>
              <w:rPr>
                <w:rFonts w:ascii="黑体" w:eastAsia="黑体" w:hAnsi="黑体" w:cs="黑体"/>
                <w:bCs/>
                <w:sz w:val="24"/>
              </w:rPr>
            </w:pPr>
            <w:r>
              <w:rPr>
                <w:rFonts w:ascii="黑体" w:eastAsia="黑体" w:hAnsi="黑体" w:cs="黑体" w:hint="eastAsia"/>
                <w:bCs/>
                <w:sz w:val="24"/>
              </w:rPr>
              <w:t>材料来源</w:t>
            </w:r>
          </w:p>
        </w:tc>
        <w:tc>
          <w:tcPr>
            <w:tcW w:w="4036" w:type="dxa"/>
            <w:vAlign w:val="center"/>
          </w:tcPr>
          <w:p w:rsidR="00013EC7" w:rsidRDefault="00575CDB">
            <w:pPr>
              <w:spacing w:line="280" w:lineRule="exact"/>
              <w:jc w:val="center"/>
              <w:rPr>
                <w:rFonts w:ascii="黑体" w:eastAsia="黑体" w:hAnsi="黑体" w:cs="黑体"/>
                <w:bCs/>
                <w:sz w:val="24"/>
              </w:rPr>
            </w:pPr>
            <w:r>
              <w:rPr>
                <w:rFonts w:ascii="黑体" w:eastAsia="黑体" w:hAnsi="黑体" w:cs="黑体" w:hint="eastAsia"/>
                <w:bCs/>
                <w:sz w:val="24"/>
              </w:rPr>
              <w:t>材料明细</w:t>
            </w:r>
          </w:p>
        </w:tc>
        <w:tc>
          <w:tcPr>
            <w:tcW w:w="1275" w:type="dxa"/>
            <w:vAlign w:val="center"/>
          </w:tcPr>
          <w:p w:rsidR="00013EC7" w:rsidRDefault="00575CDB">
            <w:pPr>
              <w:spacing w:line="280" w:lineRule="exact"/>
              <w:jc w:val="center"/>
              <w:rPr>
                <w:rFonts w:ascii="黑体" w:eastAsia="黑体" w:hAnsi="黑体" w:cs="黑体"/>
                <w:bCs/>
                <w:sz w:val="24"/>
              </w:rPr>
            </w:pPr>
            <w:r>
              <w:rPr>
                <w:rFonts w:ascii="黑体" w:eastAsia="黑体" w:hAnsi="黑体" w:cs="黑体" w:hint="eastAsia"/>
                <w:bCs/>
                <w:sz w:val="24"/>
              </w:rPr>
              <w:t>材料来源</w:t>
            </w:r>
          </w:p>
        </w:tc>
        <w:tc>
          <w:tcPr>
            <w:tcW w:w="1812" w:type="dxa"/>
            <w:vAlign w:val="center"/>
          </w:tcPr>
          <w:p w:rsidR="00013EC7" w:rsidRDefault="00575CDB">
            <w:pPr>
              <w:spacing w:line="280" w:lineRule="exact"/>
              <w:jc w:val="center"/>
              <w:rPr>
                <w:rFonts w:ascii="黑体" w:eastAsia="黑体" w:hAnsi="黑体" w:cs="黑体"/>
                <w:bCs/>
                <w:sz w:val="24"/>
              </w:rPr>
            </w:pPr>
            <w:r>
              <w:rPr>
                <w:rFonts w:ascii="黑体" w:eastAsia="黑体" w:hAnsi="黑体" w:cs="黑体" w:hint="eastAsia"/>
                <w:bCs/>
                <w:sz w:val="24"/>
              </w:rPr>
              <w:t>办理方式及材料</w:t>
            </w:r>
          </w:p>
          <w:p w:rsidR="00013EC7" w:rsidRDefault="00575CDB">
            <w:pPr>
              <w:spacing w:line="280" w:lineRule="exact"/>
              <w:jc w:val="center"/>
              <w:rPr>
                <w:rFonts w:ascii="黑体" w:eastAsia="黑体" w:hAnsi="黑体" w:cs="黑体"/>
                <w:bCs/>
                <w:sz w:val="24"/>
              </w:rPr>
            </w:pPr>
            <w:r>
              <w:rPr>
                <w:rFonts w:ascii="黑体" w:eastAsia="黑体" w:hAnsi="黑体" w:cs="黑体" w:hint="eastAsia"/>
                <w:bCs/>
                <w:sz w:val="24"/>
              </w:rPr>
              <w:t>信息获取方式说明</w:t>
            </w:r>
          </w:p>
        </w:tc>
        <w:tc>
          <w:tcPr>
            <w:tcW w:w="868" w:type="dxa"/>
            <w:vAlign w:val="center"/>
          </w:tcPr>
          <w:p w:rsidR="00013EC7" w:rsidRDefault="00575CDB">
            <w:pPr>
              <w:spacing w:line="280" w:lineRule="exact"/>
              <w:jc w:val="center"/>
              <w:rPr>
                <w:rFonts w:ascii="黑体" w:eastAsia="黑体" w:hAnsi="黑体" w:cs="黑体"/>
                <w:bCs/>
                <w:sz w:val="24"/>
              </w:rPr>
            </w:pPr>
            <w:r>
              <w:rPr>
                <w:rFonts w:ascii="黑体" w:eastAsia="黑体" w:hAnsi="黑体" w:cs="黑体" w:hint="eastAsia"/>
                <w:bCs/>
                <w:sz w:val="24"/>
              </w:rPr>
              <w:t>优化前</w:t>
            </w:r>
          </w:p>
        </w:tc>
        <w:tc>
          <w:tcPr>
            <w:tcW w:w="798" w:type="dxa"/>
            <w:vAlign w:val="center"/>
          </w:tcPr>
          <w:p w:rsidR="00013EC7" w:rsidRDefault="00575CDB">
            <w:pPr>
              <w:spacing w:line="280" w:lineRule="exact"/>
              <w:jc w:val="center"/>
              <w:rPr>
                <w:rFonts w:ascii="黑体" w:eastAsia="黑体" w:hAnsi="黑体" w:cs="黑体"/>
                <w:bCs/>
                <w:sz w:val="24"/>
              </w:rPr>
            </w:pPr>
            <w:r>
              <w:rPr>
                <w:rFonts w:ascii="黑体" w:eastAsia="黑体" w:hAnsi="黑体" w:cs="黑体" w:hint="eastAsia"/>
                <w:bCs/>
                <w:sz w:val="24"/>
              </w:rPr>
              <w:t>优化后</w:t>
            </w:r>
          </w:p>
        </w:tc>
        <w:tc>
          <w:tcPr>
            <w:tcW w:w="958" w:type="dxa"/>
            <w:vMerge/>
            <w:vAlign w:val="center"/>
          </w:tcPr>
          <w:p w:rsidR="00013EC7" w:rsidRDefault="00013EC7">
            <w:pPr>
              <w:jc w:val="center"/>
              <w:rPr>
                <w:rFonts w:ascii="仿宋" w:eastAsia="仿宋" w:hAnsi="仿宋"/>
                <w:sz w:val="24"/>
              </w:rPr>
            </w:pPr>
          </w:p>
        </w:tc>
        <w:tc>
          <w:tcPr>
            <w:tcW w:w="1104" w:type="dxa"/>
            <w:vMerge/>
            <w:vAlign w:val="center"/>
          </w:tcPr>
          <w:p w:rsidR="00013EC7" w:rsidRDefault="00013EC7">
            <w:pPr>
              <w:jc w:val="center"/>
              <w:rPr>
                <w:rFonts w:ascii="仿宋" w:eastAsia="仿宋" w:hAnsi="仿宋"/>
                <w:sz w:val="24"/>
              </w:rPr>
            </w:pPr>
          </w:p>
        </w:tc>
        <w:tc>
          <w:tcPr>
            <w:tcW w:w="1476" w:type="dxa"/>
            <w:vMerge/>
            <w:vAlign w:val="center"/>
          </w:tcPr>
          <w:p w:rsidR="00013EC7" w:rsidRDefault="00013EC7">
            <w:pPr>
              <w:jc w:val="center"/>
              <w:rPr>
                <w:rFonts w:ascii="仿宋" w:eastAsia="仿宋" w:hAnsi="仿宋"/>
                <w:sz w:val="24"/>
              </w:rPr>
            </w:pPr>
          </w:p>
        </w:tc>
      </w:tr>
      <w:tr w:rsidR="00013EC7">
        <w:trPr>
          <w:trHeight w:val="1100"/>
          <w:jc w:val="center"/>
        </w:trPr>
        <w:tc>
          <w:tcPr>
            <w:tcW w:w="922" w:type="dxa"/>
            <w:vMerge w:val="restart"/>
            <w:shd w:val="clear" w:color="auto" w:fill="auto"/>
            <w:vAlign w:val="center"/>
          </w:tcPr>
          <w:p w:rsidR="00013EC7" w:rsidRDefault="00575CDB">
            <w:pPr>
              <w:spacing w:line="300" w:lineRule="exact"/>
              <w:rPr>
                <w:rFonts w:ascii="仿宋" w:eastAsia="仿宋" w:hAnsi="仿宋"/>
                <w:sz w:val="24"/>
              </w:rPr>
            </w:pPr>
            <w:r>
              <w:rPr>
                <w:rFonts w:ascii="仿宋" w:eastAsia="仿宋" w:hAnsi="仿宋" w:hint="eastAsia"/>
                <w:color w:val="000000"/>
                <w:sz w:val="24"/>
              </w:rPr>
              <w:t>20代扣代缴申报</w:t>
            </w:r>
          </w:p>
        </w:tc>
        <w:tc>
          <w:tcPr>
            <w:tcW w:w="708" w:type="dxa"/>
            <w:vMerge w:val="restart"/>
            <w:shd w:val="clear" w:color="auto" w:fill="auto"/>
            <w:vAlign w:val="center"/>
          </w:tcPr>
          <w:p w:rsidR="00013EC7" w:rsidRDefault="00575CDB">
            <w:pPr>
              <w:spacing w:line="310" w:lineRule="exact"/>
              <w:rPr>
                <w:rFonts w:ascii="仿宋" w:eastAsia="仿宋" w:hAnsi="仿宋"/>
                <w:sz w:val="24"/>
              </w:rPr>
            </w:pPr>
            <w:r>
              <w:rPr>
                <w:rFonts w:ascii="仿宋" w:eastAsia="仿宋" w:hAnsi="仿宋" w:hint="eastAsia"/>
                <w:color w:val="000000"/>
                <w:sz w:val="24"/>
              </w:rPr>
              <w:t>20.1扣缴义务人申报</w:t>
            </w:r>
          </w:p>
        </w:tc>
        <w:tc>
          <w:tcPr>
            <w:tcW w:w="1870" w:type="dxa"/>
            <w:vMerge w:val="restart"/>
            <w:shd w:val="clear" w:color="auto" w:fill="auto"/>
            <w:vAlign w:val="center"/>
          </w:tcPr>
          <w:p w:rsidR="00013EC7" w:rsidRDefault="00575CDB">
            <w:pPr>
              <w:spacing w:line="310" w:lineRule="exact"/>
              <w:rPr>
                <w:rFonts w:ascii="仿宋" w:eastAsia="仿宋" w:hAnsi="仿宋"/>
                <w:sz w:val="24"/>
              </w:rPr>
            </w:pPr>
            <w:r>
              <w:rPr>
                <w:rFonts w:ascii="仿宋" w:eastAsia="仿宋" w:hAnsi="仿宋" w:cs="宋体" w:hint="eastAsia"/>
                <w:sz w:val="24"/>
              </w:rPr>
              <w:t>（一）</w:t>
            </w:r>
            <w:r>
              <w:rPr>
                <w:rFonts w:ascii="仿宋" w:eastAsia="仿宋" w:hAnsi="仿宋" w:hint="eastAsia"/>
                <w:sz w:val="24"/>
              </w:rPr>
              <w:t>《中华人民共和国税收征收管理法》（2001年中华人民共和国主席令第49号）第四条第二款、第三款，第二十五条第一款、第二款，第二十六条。</w:t>
            </w:r>
          </w:p>
          <w:p w:rsidR="00013EC7" w:rsidRDefault="00575CDB">
            <w:pPr>
              <w:spacing w:line="310" w:lineRule="exact"/>
              <w:rPr>
                <w:rFonts w:ascii="仿宋" w:eastAsia="仿宋" w:hAnsi="仿宋"/>
                <w:sz w:val="24"/>
              </w:rPr>
            </w:pPr>
            <w:r>
              <w:rPr>
                <w:rFonts w:ascii="仿宋" w:eastAsia="仿宋" w:hAnsi="仿宋" w:hint="eastAsia"/>
                <w:sz w:val="24"/>
              </w:rPr>
              <w:t>（二）《中华人民共和国税收征收管理法实施细则》（2002年中华人民共和国国务院令第362号）第三十三条，第三十五条。</w:t>
            </w:r>
          </w:p>
        </w:tc>
        <w:tc>
          <w:tcPr>
            <w:tcW w:w="4414" w:type="dxa"/>
            <w:tcBorders>
              <w:top w:val="single" w:sz="4" w:space="0" w:color="auto"/>
            </w:tcBorders>
            <w:shd w:val="clear" w:color="auto" w:fill="FFFFFF"/>
            <w:vAlign w:val="center"/>
          </w:tcPr>
          <w:p w:rsidR="00013EC7" w:rsidRDefault="00575CDB" w:rsidP="00AC3FFE">
            <w:pPr>
              <w:widowControl/>
              <w:rPr>
                <w:rFonts w:ascii="仿宋" w:eastAsia="仿宋" w:hAnsi="仿宋" w:cs="宋体"/>
                <w:sz w:val="24"/>
              </w:rPr>
            </w:pPr>
            <w:r>
              <w:rPr>
                <w:rFonts w:ascii="仿宋" w:eastAsia="仿宋" w:hAnsi="仿宋" w:cs="宋体" w:hint="eastAsia"/>
                <w:sz w:val="24"/>
              </w:rPr>
              <w:t>（一）</w:t>
            </w:r>
            <w:r>
              <w:rPr>
                <w:rFonts w:ascii="仿宋" w:eastAsia="仿宋" w:hAnsi="仿宋" w:cs="宋体"/>
                <w:sz w:val="24"/>
              </w:rPr>
              <w:t>（A06132）《代扣代缴、代收代缴税款报告表》2份</w:t>
            </w:r>
            <w:r>
              <w:rPr>
                <w:rFonts w:ascii="仿宋" w:eastAsia="仿宋" w:hAnsi="仿宋" w:cs="宋体" w:hint="eastAsia"/>
                <w:sz w:val="24"/>
              </w:rPr>
              <w:t>。</w:t>
            </w:r>
          </w:p>
        </w:tc>
        <w:tc>
          <w:tcPr>
            <w:tcW w:w="879" w:type="dxa"/>
            <w:vMerge w:val="restart"/>
            <w:shd w:val="clear" w:color="auto" w:fill="auto"/>
            <w:vAlign w:val="center"/>
          </w:tcPr>
          <w:p w:rsidR="00013EC7" w:rsidRDefault="00575CDB" w:rsidP="00AC3FFE">
            <w:pPr>
              <w:rPr>
                <w:rFonts w:ascii="仿宋" w:eastAsia="仿宋" w:hAnsi="仿宋"/>
                <w:sz w:val="24"/>
              </w:rPr>
            </w:pPr>
            <w:r>
              <w:rPr>
                <w:rFonts w:ascii="仿宋" w:eastAsia="仿宋" w:hAnsi="仿宋" w:hint="eastAsia"/>
                <w:sz w:val="24"/>
              </w:rPr>
              <w:t>扣缴义务人</w:t>
            </w:r>
            <w:r>
              <w:rPr>
                <w:rFonts w:ascii="仿宋" w:eastAsia="仿宋" w:hAnsi="仿宋"/>
                <w:sz w:val="24"/>
              </w:rPr>
              <w:t>提交</w:t>
            </w:r>
          </w:p>
        </w:tc>
        <w:tc>
          <w:tcPr>
            <w:tcW w:w="4036" w:type="dxa"/>
            <w:shd w:val="clear" w:color="auto" w:fill="FFFFFF"/>
            <w:vAlign w:val="center"/>
          </w:tcPr>
          <w:p w:rsidR="00013EC7" w:rsidRDefault="00575CDB" w:rsidP="00AC3FFE">
            <w:pPr>
              <w:widowControl/>
              <w:rPr>
                <w:rFonts w:ascii="仿宋" w:eastAsia="仿宋" w:hAnsi="仿宋" w:cs="宋体"/>
                <w:sz w:val="24"/>
              </w:rPr>
            </w:pPr>
            <w:r>
              <w:rPr>
                <w:rFonts w:ascii="仿宋" w:eastAsia="仿宋" w:hAnsi="仿宋" w:cs="宋体" w:hint="eastAsia"/>
                <w:sz w:val="24"/>
              </w:rPr>
              <w:t>（一）</w:t>
            </w:r>
            <w:r>
              <w:rPr>
                <w:rFonts w:ascii="仿宋" w:eastAsia="仿宋" w:hAnsi="仿宋" w:cs="宋体"/>
                <w:sz w:val="24"/>
              </w:rPr>
              <w:t>（A06132）《代扣代缴、代收代缴税款报告表》2份</w:t>
            </w:r>
            <w:r>
              <w:rPr>
                <w:rFonts w:ascii="仿宋" w:eastAsia="仿宋" w:hAnsi="仿宋" w:cs="宋体" w:hint="eastAsia"/>
                <w:sz w:val="24"/>
              </w:rPr>
              <w:t>。</w:t>
            </w:r>
          </w:p>
        </w:tc>
        <w:tc>
          <w:tcPr>
            <w:tcW w:w="1275" w:type="dxa"/>
            <w:vMerge w:val="restart"/>
            <w:shd w:val="clear" w:color="auto" w:fill="FFFFFF"/>
            <w:vAlign w:val="center"/>
          </w:tcPr>
          <w:p w:rsidR="00013EC7" w:rsidRDefault="00575CDB">
            <w:pPr>
              <w:spacing w:line="300" w:lineRule="exact"/>
              <w:rPr>
                <w:rFonts w:ascii="仿宋" w:eastAsia="仿宋" w:hAnsi="仿宋"/>
                <w:b/>
                <w:bCs/>
                <w:i/>
                <w:iCs/>
                <w:sz w:val="24"/>
              </w:rPr>
            </w:pPr>
            <w:r>
              <w:rPr>
                <w:rFonts w:ascii="仿宋" w:eastAsia="仿宋" w:hAnsi="仿宋" w:hint="eastAsia"/>
                <w:sz w:val="24"/>
              </w:rPr>
              <w:t>扣缴义务人</w:t>
            </w:r>
            <w:r>
              <w:rPr>
                <w:rFonts w:ascii="仿宋" w:eastAsia="仿宋" w:hAnsi="仿宋"/>
                <w:sz w:val="24"/>
              </w:rPr>
              <w:t>提交</w:t>
            </w:r>
          </w:p>
        </w:tc>
        <w:tc>
          <w:tcPr>
            <w:tcW w:w="1812" w:type="dxa"/>
            <w:vMerge w:val="restart"/>
            <w:shd w:val="clear" w:color="auto" w:fill="FFFFFF"/>
            <w:vAlign w:val="center"/>
          </w:tcPr>
          <w:p w:rsidR="00013EC7" w:rsidRDefault="00575CDB">
            <w:pPr>
              <w:spacing w:line="300" w:lineRule="exact"/>
              <w:rPr>
                <w:rFonts w:ascii="仿宋" w:eastAsia="仿宋" w:hAnsi="仿宋"/>
                <w:sz w:val="24"/>
              </w:rPr>
            </w:pPr>
            <w:r>
              <w:rPr>
                <w:rFonts w:ascii="仿宋" w:eastAsia="仿宋" w:hAnsi="仿宋"/>
                <w:b/>
                <w:sz w:val="24"/>
              </w:rPr>
              <w:t>现场办理：</w:t>
            </w:r>
            <w:r>
              <w:rPr>
                <w:rFonts w:ascii="仿宋" w:eastAsia="仿宋" w:hAnsi="仿宋"/>
                <w:sz w:val="24"/>
              </w:rPr>
              <w:t>单位提交书面材料。</w:t>
            </w:r>
          </w:p>
          <w:p w:rsidR="00013EC7" w:rsidRDefault="00575CDB">
            <w:pPr>
              <w:spacing w:line="300" w:lineRule="exact"/>
              <w:rPr>
                <w:rFonts w:ascii="仿宋" w:eastAsia="仿宋" w:hAnsi="仿宋" w:cs="仿宋"/>
                <w:sz w:val="24"/>
              </w:rPr>
            </w:pPr>
            <w:r>
              <w:rPr>
                <w:rFonts w:ascii="仿宋" w:eastAsia="仿宋" w:hAnsi="仿宋" w:hint="eastAsia"/>
                <w:b/>
                <w:sz w:val="24"/>
              </w:rPr>
              <w:t>网上办理：</w:t>
            </w:r>
            <w:r>
              <w:rPr>
                <w:rFonts w:ascii="仿宋" w:eastAsia="仿宋" w:hAnsi="仿宋" w:cs="仿宋" w:hint="eastAsia"/>
                <w:sz w:val="24"/>
              </w:rPr>
              <w:t>登录浙江国税电子税务局（网址：</w:t>
            </w:r>
            <w:hyperlink r:id="rId338" w:tgtFrame="https://wx.qq.com/_blank" w:history="1">
              <w:r>
                <w:rPr>
                  <w:rFonts w:ascii="仿宋" w:eastAsia="仿宋" w:hAnsi="仿宋" w:cs="仿宋" w:hint="eastAsia"/>
                  <w:sz w:val="24"/>
                </w:rPr>
                <w:t>http://etax.zjtax.gov.cn/</w:t>
              </w:r>
            </w:hyperlink>
          </w:p>
          <w:p w:rsidR="00013EC7" w:rsidRDefault="00575CDB">
            <w:pPr>
              <w:spacing w:line="300" w:lineRule="exact"/>
              <w:rPr>
                <w:rFonts w:ascii="仿宋" w:eastAsia="仿宋" w:hAnsi="仿宋" w:cs="仿宋"/>
                <w:b/>
                <w:sz w:val="24"/>
              </w:rPr>
            </w:pPr>
            <w:r>
              <w:rPr>
                <w:rFonts w:ascii="仿宋" w:eastAsia="仿宋" w:hAnsi="仿宋" w:cs="仿宋" w:hint="eastAsia"/>
                <w:sz w:val="24"/>
              </w:rPr>
              <w:t>）提交申请。</w:t>
            </w:r>
          </w:p>
          <w:p w:rsidR="00013EC7" w:rsidRDefault="00013EC7">
            <w:pPr>
              <w:spacing w:line="300" w:lineRule="exact"/>
              <w:rPr>
                <w:rFonts w:ascii="仿宋" w:eastAsia="仿宋" w:hAnsi="仿宋"/>
                <w:sz w:val="24"/>
              </w:rPr>
            </w:pPr>
          </w:p>
        </w:tc>
        <w:tc>
          <w:tcPr>
            <w:tcW w:w="868" w:type="dxa"/>
            <w:vMerge w:val="restart"/>
            <w:vAlign w:val="center"/>
          </w:tcPr>
          <w:p w:rsidR="00013EC7" w:rsidRDefault="00575CDB">
            <w:pPr>
              <w:spacing w:line="300" w:lineRule="exact"/>
              <w:rPr>
                <w:rFonts w:ascii="仿宋" w:eastAsia="仿宋" w:hAnsi="仿宋"/>
                <w:sz w:val="24"/>
              </w:rPr>
            </w:pPr>
            <w:r>
              <w:rPr>
                <w:rFonts w:ascii="仿宋" w:eastAsia="仿宋" w:hAnsi="仿宋" w:hint="eastAsia"/>
                <w:sz w:val="24"/>
              </w:rPr>
              <w:t>即时办结</w:t>
            </w:r>
          </w:p>
        </w:tc>
        <w:tc>
          <w:tcPr>
            <w:tcW w:w="798" w:type="dxa"/>
            <w:vMerge w:val="restart"/>
            <w:vAlign w:val="center"/>
          </w:tcPr>
          <w:p w:rsidR="00013EC7" w:rsidRDefault="00575CDB">
            <w:pPr>
              <w:spacing w:line="300" w:lineRule="exact"/>
              <w:rPr>
                <w:rFonts w:ascii="仿宋" w:eastAsia="仿宋" w:hAnsi="仿宋"/>
                <w:sz w:val="24"/>
              </w:rPr>
            </w:pPr>
            <w:r>
              <w:rPr>
                <w:rFonts w:ascii="仿宋" w:eastAsia="仿宋" w:hAnsi="仿宋" w:hint="eastAsia"/>
                <w:sz w:val="24"/>
              </w:rPr>
              <w:t>即时办结</w:t>
            </w:r>
          </w:p>
        </w:tc>
        <w:tc>
          <w:tcPr>
            <w:tcW w:w="958" w:type="dxa"/>
            <w:vMerge w:val="restart"/>
            <w:vAlign w:val="center"/>
          </w:tcPr>
          <w:p w:rsidR="00013EC7" w:rsidRDefault="00575CDB">
            <w:pPr>
              <w:spacing w:line="300" w:lineRule="exact"/>
              <w:rPr>
                <w:rFonts w:ascii="仿宋" w:eastAsia="仿宋" w:hAnsi="仿宋"/>
                <w:sz w:val="24"/>
              </w:rPr>
            </w:pPr>
            <w:r>
              <w:rPr>
                <w:rFonts w:ascii="仿宋" w:eastAsia="仿宋" w:hAnsi="仿宋" w:hint="eastAsia"/>
                <w:sz w:val="24"/>
              </w:rPr>
              <w:t>是</w:t>
            </w:r>
          </w:p>
        </w:tc>
        <w:tc>
          <w:tcPr>
            <w:tcW w:w="1104" w:type="dxa"/>
            <w:vMerge w:val="restart"/>
            <w:vAlign w:val="center"/>
          </w:tcPr>
          <w:p w:rsidR="00013EC7" w:rsidRDefault="00575CDB">
            <w:pPr>
              <w:spacing w:line="300" w:lineRule="exact"/>
              <w:rPr>
                <w:rFonts w:ascii="仿宋" w:eastAsia="仿宋" w:hAnsi="仿宋"/>
                <w:sz w:val="24"/>
              </w:rPr>
            </w:pPr>
            <w:r>
              <w:rPr>
                <w:rFonts w:ascii="仿宋" w:eastAsia="仿宋" w:hAnsi="仿宋" w:hint="eastAsia"/>
                <w:sz w:val="24"/>
              </w:rPr>
              <w:t>征管科技处；</w:t>
            </w:r>
          </w:p>
          <w:p w:rsidR="00013EC7" w:rsidRDefault="00575CDB">
            <w:pPr>
              <w:spacing w:line="300" w:lineRule="exact"/>
              <w:rPr>
                <w:rFonts w:ascii="仿宋" w:eastAsia="仿宋" w:hAnsi="仿宋"/>
                <w:sz w:val="24"/>
              </w:rPr>
            </w:pPr>
            <w:r>
              <w:rPr>
                <w:rFonts w:ascii="仿宋" w:eastAsia="仿宋" w:hAnsi="仿宋" w:hint="eastAsia"/>
                <w:sz w:val="24"/>
              </w:rPr>
              <w:t>收入规划核算处</w:t>
            </w:r>
          </w:p>
        </w:tc>
        <w:tc>
          <w:tcPr>
            <w:tcW w:w="1476" w:type="dxa"/>
            <w:vMerge w:val="restart"/>
            <w:vAlign w:val="center"/>
          </w:tcPr>
          <w:p w:rsidR="00013EC7" w:rsidRDefault="00013EC7">
            <w:pPr>
              <w:spacing w:line="300" w:lineRule="exact"/>
              <w:rPr>
                <w:rFonts w:ascii="仿宋" w:eastAsia="仿宋" w:hAnsi="仿宋"/>
                <w:sz w:val="24"/>
              </w:rPr>
            </w:pPr>
          </w:p>
        </w:tc>
      </w:tr>
      <w:tr w:rsidR="00013EC7">
        <w:trPr>
          <w:trHeight w:val="1386"/>
          <w:jc w:val="center"/>
        </w:trPr>
        <w:tc>
          <w:tcPr>
            <w:tcW w:w="922" w:type="dxa"/>
            <w:vMerge/>
            <w:shd w:val="clear" w:color="auto" w:fill="auto"/>
            <w:vAlign w:val="center"/>
          </w:tcPr>
          <w:p w:rsidR="00013EC7" w:rsidRDefault="00013EC7">
            <w:pPr>
              <w:spacing w:line="300" w:lineRule="exact"/>
              <w:rPr>
                <w:rFonts w:ascii="仿宋" w:eastAsia="仿宋" w:hAnsi="仿宋"/>
                <w:color w:val="000000"/>
                <w:sz w:val="24"/>
              </w:rPr>
            </w:pPr>
          </w:p>
        </w:tc>
        <w:tc>
          <w:tcPr>
            <w:tcW w:w="708" w:type="dxa"/>
            <w:vMerge/>
            <w:shd w:val="clear" w:color="auto" w:fill="auto"/>
            <w:vAlign w:val="center"/>
          </w:tcPr>
          <w:p w:rsidR="00013EC7" w:rsidRDefault="00013EC7">
            <w:pPr>
              <w:spacing w:line="310" w:lineRule="exact"/>
              <w:rPr>
                <w:rFonts w:ascii="仿宋" w:eastAsia="仿宋" w:hAnsi="仿宋"/>
                <w:color w:val="000000"/>
                <w:sz w:val="24"/>
              </w:rPr>
            </w:pPr>
          </w:p>
        </w:tc>
        <w:tc>
          <w:tcPr>
            <w:tcW w:w="1870" w:type="dxa"/>
            <w:vMerge/>
            <w:shd w:val="clear" w:color="auto" w:fill="auto"/>
            <w:vAlign w:val="center"/>
          </w:tcPr>
          <w:p w:rsidR="00013EC7" w:rsidRDefault="00013EC7">
            <w:pPr>
              <w:spacing w:line="310" w:lineRule="exact"/>
              <w:rPr>
                <w:rFonts w:ascii="仿宋" w:eastAsia="仿宋" w:hAnsi="仿宋"/>
                <w:sz w:val="24"/>
              </w:rPr>
            </w:pPr>
          </w:p>
        </w:tc>
        <w:tc>
          <w:tcPr>
            <w:tcW w:w="4414" w:type="dxa"/>
            <w:shd w:val="clear" w:color="auto" w:fill="FFFFFF"/>
            <w:vAlign w:val="center"/>
          </w:tcPr>
          <w:p w:rsidR="00013EC7" w:rsidRDefault="00575CDB" w:rsidP="00AC3FFE">
            <w:pPr>
              <w:widowControl/>
              <w:rPr>
                <w:rFonts w:ascii="仿宋" w:eastAsia="仿宋" w:hAnsi="仿宋" w:cs="宋体"/>
                <w:sz w:val="24"/>
              </w:rPr>
            </w:pPr>
            <w:r>
              <w:rPr>
                <w:rFonts w:ascii="仿宋" w:eastAsia="仿宋" w:hAnsi="仿宋" w:cs="宋体" w:hint="eastAsia"/>
                <w:sz w:val="24"/>
              </w:rPr>
              <w:t>（二）</w:t>
            </w:r>
            <w:r>
              <w:rPr>
                <w:rFonts w:ascii="仿宋" w:eastAsia="仿宋" w:hAnsi="仿宋" w:cs="宋体"/>
                <w:sz w:val="24"/>
              </w:rPr>
              <w:t>需要进行税种明细申报的纳税人需报送（A06133）《代扣代缴、代收代缴税款明细报告表》</w:t>
            </w:r>
            <w:r>
              <w:rPr>
                <w:rFonts w:ascii="仿宋" w:eastAsia="仿宋" w:hAnsi="仿宋" w:cs="宋体" w:hint="eastAsia"/>
                <w:sz w:val="24"/>
              </w:rPr>
              <w:t>。</w:t>
            </w:r>
          </w:p>
        </w:tc>
        <w:tc>
          <w:tcPr>
            <w:tcW w:w="879" w:type="dxa"/>
            <w:vMerge/>
            <w:shd w:val="clear" w:color="auto" w:fill="auto"/>
            <w:vAlign w:val="center"/>
          </w:tcPr>
          <w:p w:rsidR="00013EC7" w:rsidRDefault="00013EC7" w:rsidP="00AC3FFE">
            <w:pPr>
              <w:rPr>
                <w:rFonts w:ascii="仿宋" w:eastAsia="仿宋" w:hAnsi="仿宋"/>
                <w:sz w:val="24"/>
              </w:rPr>
            </w:pPr>
          </w:p>
        </w:tc>
        <w:tc>
          <w:tcPr>
            <w:tcW w:w="4036" w:type="dxa"/>
            <w:shd w:val="clear" w:color="auto" w:fill="FFFFFF"/>
            <w:vAlign w:val="center"/>
          </w:tcPr>
          <w:p w:rsidR="00013EC7" w:rsidRDefault="00575CDB" w:rsidP="00AC3FFE">
            <w:pPr>
              <w:widowControl/>
              <w:rPr>
                <w:rFonts w:ascii="仿宋" w:eastAsia="仿宋" w:hAnsi="仿宋" w:cs="宋体"/>
                <w:sz w:val="24"/>
              </w:rPr>
            </w:pPr>
            <w:r>
              <w:rPr>
                <w:rFonts w:ascii="仿宋" w:eastAsia="仿宋" w:hAnsi="仿宋" w:cs="宋体" w:hint="eastAsia"/>
                <w:sz w:val="24"/>
              </w:rPr>
              <w:t>（二）</w:t>
            </w:r>
            <w:r>
              <w:rPr>
                <w:rFonts w:ascii="仿宋" w:eastAsia="仿宋" w:hAnsi="仿宋" w:cs="宋体"/>
                <w:sz w:val="24"/>
              </w:rPr>
              <w:t>需要进行税种明细申报的纳税人需报送（A06133）《代扣代缴、代收代缴税款明细报告表》</w:t>
            </w:r>
            <w:r>
              <w:rPr>
                <w:rFonts w:ascii="仿宋" w:eastAsia="仿宋" w:hAnsi="仿宋" w:cs="宋体" w:hint="eastAsia"/>
                <w:sz w:val="24"/>
              </w:rPr>
              <w:t>。</w:t>
            </w:r>
          </w:p>
        </w:tc>
        <w:tc>
          <w:tcPr>
            <w:tcW w:w="1275" w:type="dxa"/>
            <w:vMerge/>
            <w:shd w:val="clear" w:color="auto" w:fill="FFFFFF"/>
            <w:vAlign w:val="center"/>
          </w:tcPr>
          <w:p w:rsidR="00013EC7" w:rsidRDefault="00013EC7">
            <w:pPr>
              <w:spacing w:line="300" w:lineRule="exact"/>
              <w:rPr>
                <w:rFonts w:ascii="仿宋" w:eastAsia="仿宋" w:hAnsi="仿宋"/>
                <w:sz w:val="24"/>
              </w:rPr>
            </w:pPr>
          </w:p>
        </w:tc>
        <w:tc>
          <w:tcPr>
            <w:tcW w:w="1812" w:type="dxa"/>
            <w:vMerge/>
            <w:shd w:val="clear" w:color="auto" w:fill="FFFFFF"/>
            <w:vAlign w:val="center"/>
          </w:tcPr>
          <w:p w:rsidR="00013EC7" w:rsidRDefault="00013EC7">
            <w:pPr>
              <w:spacing w:line="300" w:lineRule="exact"/>
              <w:rPr>
                <w:rFonts w:ascii="仿宋" w:eastAsia="仿宋" w:hAnsi="仿宋"/>
                <w:sz w:val="24"/>
              </w:rPr>
            </w:pPr>
          </w:p>
        </w:tc>
        <w:tc>
          <w:tcPr>
            <w:tcW w:w="868" w:type="dxa"/>
            <w:vMerge/>
            <w:vAlign w:val="center"/>
          </w:tcPr>
          <w:p w:rsidR="00013EC7" w:rsidRDefault="00013EC7">
            <w:pPr>
              <w:spacing w:line="300" w:lineRule="exact"/>
              <w:rPr>
                <w:rFonts w:ascii="仿宋" w:eastAsia="仿宋" w:hAnsi="仿宋"/>
                <w:sz w:val="24"/>
              </w:rPr>
            </w:pPr>
          </w:p>
        </w:tc>
        <w:tc>
          <w:tcPr>
            <w:tcW w:w="798" w:type="dxa"/>
            <w:vMerge/>
            <w:vAlign w:val="center"/>
          </w:tcPr>
          <w:p w:rsidR="00013EC7" w:rsidRDefault="00013EC7">
            <w:pPr>
              <w:spacing w:line="300" w:lineRule="exact"/>
              <w:rPr>
                <w:rFonts w:ascii="仿宋" w:eastAsia="仿宋" w:hAnsi="仿宋"/>
                <w:sz w:val="24"/>
              </w:rPr>
            </w:pPr>
          </w:p>
        </w:tc>
        <w:tc>
          <w:tcPr>
            <w:tcW w:w="958" w:type="dxa"/>
            <w:vMerge/>
            <w:vAlign w:val="center"/>
          </w:tcPr>
          <w:p w:rsidR="00013EC7" w:rsidRDefault="00013EC7">
            <w:pPr>
              <w:spacing w:line="300" w:lineRule="exact"/>
              <w:rPr>
                <w:rFonts w:ascii="仿宋" w:eastAsia="仿宋" w:hAnsi="仿宋"/>
                <w:sz w:val="24"/>
              </w:rPr>
            </w:pPr>
          </w:p>
        </w:tc>
        <w:tc>
          <w:tcPr>
            <w:tcW w:w="1104" w:type="dxa"/>
            <w:vMerge/>
            <w:vAlign w:val="center"/>
          </w:tcPr>
          <w:p w:rsidR="00013EC7" w:rsidRDefault="00013EC7">
            <w:pPr>
              <w:spacing w:line="300" w:lineRule="exact"/>
              <w:rPr>
                <w:rFonts w:ascii="仿宋" w:eastAsia="仿宋" w:hAnsi="仿宋"/>
                <w:sz w:val="24"/>
              </w:rPr>
            </w:pPr>
          </w:p>
        </w:tc>
        <w:tc>
          <w:tcPr>
            <w:tcW w:w="1476" w:type="dxa"/>
            <w:vMerge/>
            <w:vAlign w:val="center"/>
          </w:tcPr>
          <w:p w:rsidR="00013EC7" w:rsidRDefault="00013EC7">
            <w:pPr>
              <w:spacing w:line="300" w:lineRule="exact"/>
              <w:rPr>
                <w:rFonts w:ascii="仿宋" w:eastAsia="仿宋" w:hAnsi="仿宋"/>
                <w:sz w:val="24"/>
              </w:rPr>
            </w:pPr>
          </w:p>
        </w:tc>
      </w:tr>
      <w:tr w:rsidR="00013EC7">
        <w:trPr>
          <w:trHeight w:val="1662"/>
          <w:jc w:val="center"/>
        </w:trPr>
        <w:tc>
          <w:tcPr>
            <w:tcW w:w="922" w:type="dxa"/>
            <w:vMerge/>
            <w:shd w:val="clear" w:color="auto" w:fill="auto"/>
            <w:vAlign w:val="center"/>
          </w:tcPr>
          <w:p w:rsidR="00013EC7" w:rsidRDefault="00013EC7">
            <w:pPr>
              <w:spacing w:line="300" w:lineRule="exact"/>
              <w:rPr>
                <w:rFonts w:ascii="仿宋" w:eastAsia="仿宋" w:hAnsi="仿宋"/>
                <w:color w:val="000000"/>
                <w:sz w:val="24"/>
              </w:rPr>
            </w:pPr>
          </w:p>
        </w:tc>
        <w:tc>
          <w:tcPr>
            <w:tcW w:w="708" w:type="dxa"/>
            <w:vMerge/>
            <w:shd w:val="clear" w:color="auto" w:fill="auto"/>
            <w:vAlign w:val="center"/>
          </w:tcPr>
          <w:p w:rsidR="00013EC7" w:rsidRDefault="00013EC7">
            <w:pPr>
              <w:spacing w:line="310" w:lineRule="exact"/>
              <w:rPr>
                <w:rFonts w:ascii="仿宋" w:eastAsia="仿宋" w:hAnsi="仿宋"/>
                <w:color w:val="000000"/>
                <w:sz w:val="24"/>
              </w:rPr>
            </w:pPr>
          </w:p>
        </w:tc>
        <w:tc>
          <w:tcPr>
            <w:tcW w:w="1870" w:type="dxa"/>
            <w:vMerge/>
            <w:shd w:val="clear" w:color="auto" w:fill="auto"/>
            <w:vAlign w:val="center"/>
          </w:tcPr>
          <w:p w:rsidR="00013EC7" w:rsidRDefault="00013EC7">
            <w:pPr>
              <w:spacing w:line="310" w:lineRule="exact"/>
              <w:rPr>
                <w:rFonts w:ascii="仿宋" w:eastAsia="仿宋" w:hAnsi="仿宋"/>
                <w:sz w:val="24"/>
              </w:rPr>
            </w:pPr>
          </w:p>
        </w:tc>
        <w:tc>
          <w:tcPr>
            <w:tcW w:w="4414" w:type="dxa"/>
            <w:shd w:val="clear" w:color="auto" w:fill="FFFFFF"/>
            <w:vAlign w:val="center"/>
          </w:tcPr>
          <w:p w:rsidR="00013EC7" w:rsidRDefault="00575CDB" w:rsidP="00AC3FFE">
            <w:pPr>
              <w:widowControl/>
              <w:rPr>
                <w:rFonts w:ascii="仿宋" w:eastAsia="仿宋" w:hAnsi="仿宋" w:cs="宋体"/>
                <w:sz w:val="24"/>
              </w:rPr>
            </w:pPr>
            <w:r>
              <w:rPr>
                <w:rFonts w:ascii="仿宋" w:eastAsia="仿宋" w:hAnsi="仿宋" w:cs="宋体" w:hint="eastAsia"/>
                <w:sz w:val="24"/>
              </w:rPr>
              <w:t>（三）</w:t>
            </w:r>
            <w:r>
              <w:rPr>
                <w:rFonts w:ascii="仿宋" w:eastAsia="仿宋" w:hAnsi="仿宋" w:cs="宋体"/>
                <w:sz w:val="24"/>
              </w:rPr>
              <w:t>文化事业建设费扣缴义务人报送 （A06353）《文化事业建设费代扣代缴报告表》2份</w:t>
            </w:r>
            <w:r>
              <w:rPr>
                <w:rFonts w:ascii="仿宋" w:eastAsia="仿宋" w:hAnsi="仿宋" w:cs="宋体" w:hint="eastAsia"/>
                <w:sz w:val="24"/>
              </w:rPr>
              <w:t>。</w:t>
            </w:r>
          </w:p>
        </w:tc>
        <w:tc>
          <w:tcPr>
            <w:tcW w:w="879" w:type="dxa"/>
            <w:vMerge/>
            <w:shd w:val="clear" w:color="auto" w:fill="auto"/>
            <w:vAlign w:val="center"/>
          </w:tcPr>
          <w:p w:rsidR="00013EC7" w:rsidRDefault="00013EC7" w:rsidP="00AC3FFE">
            <w:pPr>
              <w:rPr>
                <w:rFonts w:ascii="仿宋" w:eastAsia="仿宋" w:hAnsi="仿宋"/>
                <w:sz w:val="24"/>
              </w:rPr>
            </w:pPr>
          </w:p>
        </w:tc>
        <w:tc>
          <w:tcPr>
            <w:tcW w:w="4036" w:type="dxa"/>
            <w:shd w:val="clear" w:color="auto" w:fill="FFFFFF"/>
            <w:vAlign w:val="center"/>
          </w:tcPr>
          <w:p w:rsidR="00013EC7" w:rsidRDefault="00575CDB" w:rsidP="00AC3FFE">
            <w:pPr>
              <w:widowControl/>
              <w:rPr>
                <w:rFonts w:ascii="仿宋" w:eastAsia="仿宋" w:hAnsi="仿宋" w:cs="宋体"/>
                <w:sz w:val="24"/>
              </w:rPr>
            </w:pPr>
            <w:r>
              <w:rPr>
                <w:rFonts w:ascii="仿宋" w:eastAsia="仿宋" w:hAnsi="仿宋" w:cs="宋体" w:hint="eastAsia"/>
                <w:sz w:val="24"/>
              </w:rPr>
              <w:t>（三）</w:t>
            </w:r>
            <w:r>
              <w:rPr>
                <w:rFonts w:ascii="仿宋" w:eastAsia="仿宋" w:hAnsi="仿宋" w:cs="宋体"/>
                <w:sz w:val="24"/>
              </w:rPr>
              <w:t>文化事业建设费扣缴义务人报送 （A06353）《文化事业建设费代扣代缴报告表》2份</w:t>
            </w:r>
            <w:r>
              <w:rPr>
                <w:rFonts w:ascii="仿宋" w:eastAsia="仿宋" w:hAnsi="仿宋" w:cs="宋体" w:hint="eastAsia"/>
                <w:sz w:val="24"/>
              </w:rPr>
              <w:t>。</w:t>
            </w:r>
          </w:p>
        </w:tc>
        <w:tc>
          <w:tcPr>
            <w:tcW w:w="1275" w:type="dxa"/>
            <w:vMerge/>
            <w:shd w:val="clear" w:color="auto" w:fill="FFFFFF"/>
            <w:vAlign w:val="center"/>
          </w:tcPr>
          <w:p w:rsidR="00013EC7" w:rsidRDefault="00013EC7">
            <w:pPr>
              <w:spacing w:line="300" w:lineRule="exact"/>
              <w:rPr>
                <w:rFonts w:ascii="仿宋" w:eastAsia="仿宋" w:hAnsi="仿宋"/>
                <w:sz w:val="24"/>
              </w:rPr>
            </w:pPr>
          </w:p>
        </w:tc>
        <w:tc>
          <w:tcPr>
            <w:tcW w:w="1812" w:type="dxa"/>
            <w:vMerge/>
            <w:shd w:val="clear" w:color="auto" w:fill="FFFFFF"/>
            <w:vAlign w:val="center"/>
          </w:tcPr>
          <w:p w:rsidR="00013EC7" w:rsidRDefault="00013EC7">
            <w:pPr>
              <w:spacing w:line="300" w:lineRule="exact"/>
              <w:rPr>
                <w:rFonts w:ascii="仿宋" w:eastAsia="仿宋" w:hAnsi="仿宋"/>
                <w:sz w:val="24"/>
              </w:rPr>
            </w:pPr>
          </w:p>
        </w:tc>
        <w:tc>
          <w:tcPr>
            <w:tcW w:w="868" w:type="dxa"/>
            <w:vMerge/>
            <w:vAlign w:val="center"/>
          </w:tcPr>
          <w:p w:rsidR="00013EC7" w:rsidRDefault="00013EC7">
            <w:pPr>
              <w:spacing w:line="300" w:lineRule="exact"/>
              <w:rPr>
                <w:rFonts w:ascii="仿宋" w:eastAsia="仿宋" w:hAnsi="仿宋"/>
                <w:sz w:val="24"/>
              </w:rPr>
            </w:pPr>
          </w:p>
        </w:tc>
        <w:tc>
          <w:tcPr>
            <w:tcW w:w="798" w:type="dxa"/>
            <w:vMerge/>
            <w:vAlign w:val="center"/>
          </w:tcPr>
          <w:p w:rsidR="00013EC7" w:rsidRDefault="00013EC7">
            <w:pPr>
              <w:spacing w:line="300" w:lineRule="exact"/>
              <w:rPr>
                <w:rFonts w:ascii="仿宋" w:eastAsia="仿宋" w:hAnsi="仿宋"/>
                <w:sz w:val="24"/>
              </w:rPr>
            </w:pPr>
          </w:p>
        </w:tc>
        <w:tc>
          <w:tcPr>
            <w:tcW w:w="958" w:type="dxa"/>
            <w:vMerge/>
            <w:vAlign w:val="center"/>
          </w:tcPr>
          <w:p w:rsidR="00013EC7" w:rsidRDefault="00013EC7">
            <w:pPr>
              <w:spacing w:line="300" w:lineRule="exact"/>
              <w:rPr>
                <w:rFonts w:ascii="仿宋" w:eastAsia="仿宋" w:hAnsi="仿宋"/>
                <w:sz w:val="24"/>
              </w:rPr>
            </w:pPr>
          </w:p>
        </w:tc>
        <w:tc>
          <w:tcPr>
            <w:tcW w:w="1104" w:type="dxa"/>
            <w:vMerge/>
            <w:vAlign w:val="center"/>
          </w:tcPr>
          <w:p w:rsidR="00013EC7" w:rsidRDefault="00013EC7">
            <w:pPr>
              <w:spacing w:line="300" w:lineRule="exact"/>
              <w:rPr>
                <w:rFonts w:ascii="仿宋" w:eastAsia="仿宋" w:hAnsi="仿宋"/>
                <w:sz w:val="24"/>
              </w:rPr>
            </w:pPr>
          </w:p>
        </w:tc>
        <w:tc>
          <w:tcPr>
            <w:tcW w:w="1476" w:type="dxa"/>
            <w:vMerge/>
            <w:vAlign w:val="center"/>
          </w:tcPr>
          <w:p w:rsidR="00013EC7" w:rsidRDefault="00013EC7">
            <w:pPr>
              <w:spacing w:line="300" w:lineRule="exact"/>
              <w:rPr>
                <w:rFonts w:ascii="仿宋" w:eastAsia="仿宋" w:hAnsi="仿宋"/>
                <w:sz w:val="24"/>
              </w:rPr>
            </w:pPr>
          </w:p>
        </w:tc>
      </w:tr>
      <w:tr w:rsidR="00013EC7" w:rsidTr="00AC3FFE">
        <w:trPr>
          <w:trHeight w:val="1947"/>
          <w:jc w:val="center"/>
        </w:trPr>
        <w:tc>
          <w:tcPr>
            <w:tcW w:w="922" w:type="dxa"/>
            <w:vMerge/>
            <w:shd w:val="clear" w:color="auto" w:fill="auto"/>
            <w:vAlign w:val="center"/>
          </w:tcPr>
          <w:p w:rsidR="00013EC7" w:rsidRDefault="00013EC7">
            <w:pPr>
              <w:spacing w:line="300" w:lineRule="exact"/>
              <w:rPr>
                <w:rFonts w:ascii="仿宋" w:eastAsia="仿宋" w:hAnsi="仿宋"/>
                <w:color w:val="000000"/>
                <w:sz w:val="24"/>
              </w:rPr>
            </w:pPr>
          </w:p>
        </w:tc>
        <w:tc>
          <w:tcPr>
            <w:tcW w:w="708" w:type="dxa"/>
            <w:vMerge/>
            <w:shd w:val="clear" w:color="auto" w:fill="auto"/>
            <w:vAlign w:val="center"/>
          </w:tcPr>
          <w:p w:rsidR="00013EC7" w:rsidRDefault="00013EC7">
            <w:pPr>
              <w:spacing w:line="310" w:lineRule="exact"/>
              <w:rPr>
                <w:rFonts w:ascii="仿宋" w:eastAsia="仿宋" w:hAnsi="仿宋"/>
                <w:color w:val="000000"/>
                <w:sz w:val="24"/>
              </w:rPr>
            </w:pPr>
          </w:p>
        </w:tc>
        <w:tc>
          <w:tcPr>
            <w:tcW w:w="1870" w:type="dxa"/>
            <w:vMerge/>
            <w:shd w:val="clear" w:color="auto" w:fill="auto"/>
            <w:vAlign w:val="center"/>
          </w:tcPr>
          <w:p w:rsidR="00013EC7" w:rsidRDefault="00013EC7">
            <w:pPr>
              <w:spacing w:line="310" w:lineRule="exact"/>
              <w:rPr>
                <w:rFonts w:ascii="仿宋" w:eastAsia="仿宋" w:hAnsi="仿宋"/>
                <w:sz w:val="24"/>
              </w:rPr>
            </w:pPr>
          </w:p>
        </w:tc>
        <w:tc>
          <w:tcPr>
            <w:tcW w:w="4414" w:type="dxa"/>
            <w:shd w:val="clear" w:color="auto" w:fill="FFFFFF"/>
            <w:vAlign w:val="center"/>
          </w:tcPr>
          <w:p w:rsidR="00013EC7" w:rsidRDefault="00575CDB" w:rsidP="00AC3FFE">
            <w:pPr>
              <w:widowControl/>
              <w:rPr>
                <w:rFonts w:ascii="仿宋" w:eastAsia="仿宋" w:hAnsi="仿宋" w:cs="宋体"/>
                <w:sz w:val="24"/>
                <w:highlight w:val="lightGray"/>
              </w:rPr>
            </w:pPr>
            <w:r>
              <w:rPr>
                <w:rFonts w:ascii="仿宋" w:eastAsia="仿宋" w:hAnsi="仿宋" w:cs="宋体" w:hint="eastAsia"/>
                <w:sz w:val="24"/>
                <w:highlight w:val="lightGray"/>
              </w:rPr>
              <w:t>（四）</w:t>
            </w:r>
            <w:r>
              <w:rPr>
                <w:rFonts w:ascii="仿宋" w:eastAsia="仿宋" w:hAnsi="仿宋" w:cs="宋体"/>
                <w:sz w:val="24"/>
                <w:highlight w:val="lightGray"/>
              </w:rPr>
              <w:t>（A06479）《中华人民共和国税收缴款书（代扣代收专用）》第二联（扣缴义务人在扣缴税款时已向被扣缴义务人开具税票的需报送）</w:t>
            </w:r>
            <w:r>
              <w:rPr>
                <w:rFonts w:ascii="仿宋" w:eastAsia="仿宋" w:hAnsi="仿宋" w:cs="宋体" w:hint="eastAsia"/>
                <w:sz w:val="24"/>
                <w:highlight w:val="lightGray"/>
              </w:rPr>
              <w:t>。</w:t>
            </w:r>
          </w:p>
        </w:tc>
        <w:tc>
          <w:tcPr>
            <w:tcW w:w="879" w:type="dxa"/>
            <w:vMerge/>
            <w:shd w:val="clear" w:color="auto" w:fill="auto"/>
            <w:vAlign w:val="center"/>
          </w:tcPr>
          <w:p w:rsidR="00013EC7" w:rsidRDefault="00013EC7" w:rsidP="00AC3FFE">
            <w:pPr>
              <w:rPr>
                <w:rFonts w:ascii="仿宋" w:eastAsia="仿宋" w:hAnsi="仿宋"/>
                <w:sz w:val="24"/>
              </w:rPr>
            </w:pPr>
          </w:p>
        </w:tc>
        <w:tc>
          <w:tcPr>
            <w:tcW w:w="4036" w:type="dxa"/>
            <w:shd w:val="clear" w:color="auto" w:fill="FFFFFF"/>
            <w:vAlign w:val="center"/>
          </w:tcPr>
          <w:p w:rsidR="00013EC7" w:rsidRDefault="00013EC7" w:rsidP="00AC3FFE">
            <w:pPr>
              <w:widowControl/>
              <w:rPr>
                <w:rFonts w:ascii="仿宋" w:eastAsia="仿宋" w:hAnsi="仿宋" w:cs="宋体"/>
                <w:sz w:val="24"/>
              </w:rPr>
            </w:pPr>
          </w:p>
        </w:tc>
        <w:tc>
          <w:tcPr>
            <w:tcW w:w="1275" w:type="dxa"/>
            <w:shd w:val="clear" w:color="auto" w:fill="FFFFFF"/>
            <w:vAlign w:val="center"/>
          </w:tcPr>
          <w:p w:rsidR="00013EC7" w:rsidRDefault="00575CDB">
            <w:pPr>
              <w:spacing w:line="300" w:lineRule="exact"/>
              <w:rPr>
                <w:rFonts w:ascii="仿宋" w:eastAsia="仿宋" w:hAnsi="仿宋"/>
                <w:b/>
                <w:i/>
                <w:sz w:val="24"/>
              </w:rPr>
            </w:pPr>
            <w:r>
              <w:rPr>
                <w:rFonts w:ascii="仿宋" w:eastAsia="仿宋" w:hAnsi="仿宋"/>
                <w:b/>
                <w:i/>
                <w:sz w:val="24"/>
              </w:rPr>
              <w:t>取消</w:t>
            </w:r>
          </w:p>
        </w:tc>
        <w:tc>
          <w:tcPr>
            <w:tcW w:w="1812" w:type="dxa"/>
            <w:vMerge/>
            <w:shd w:val="clear" w:color="auto" w:fill="FFFFFF"/>
            <w:vAlign w:val="center"/>
          </w:tcPr>
          <w:p w:rsidR="00013EC7" w:rsidRDefault="00013EC7">
            <w:pPr>
              <w:spacing w:line="300" w:lineRule="exact"/>
              <w:rPr>
                <w:rFonts w:ascii="仿宋" w:eastAsia="仿宋" w:hAnsi="仿宋"/>
                <w:sz w:val="24"/>
              </w:rPr>
            </w:pPr>
          </w:p>
        </w:tc>
        <w:tc>
          <w:tcPr>
            <w:tcW w:w="868" w:type="dxa"/>
            <w:vMerge/>
            <w:vAlign w:val="center"/>
          </w:tcPr>
          <w:p w:rsidR="00013EC7" w:rsidRDefault="00013EC7">
            <w:pPr>
              <w:spacing w:line="300" w:lineRule="exact"/>
              <w:rPr>
                <w:rFonts w:ascii="仿宋" w:eastAsia="仿宋" w:hAnsi="仿宋"/>
                <w:sz w:val="24"/>
              </w:rPr>
            </w:pPr>
          </w:p>
        </w:tc>
        <w:tc>
          <w:tcPr>
            <w:tcW w:w="798" w:type="dxa"/>
            <w:vMerge/>
            <w:vAlign w:val="center"/>
          </w:tcPr>
          <w:p w:rsidR="00013EC7" w:rsidRDefault="00013EC7">
            <w:pPr>
              <w:spacing w:line="300" w:lineRule="exact"/>
              <w:rPr>
                <w:rFonts w:ascii="仿宋" w:eastAsia="仿宋" w:hAnsi="仿宋"/>
                <w:sz w:val="24"/>
              </w:rPr>
            </w:pPr>
          </w:p>
        </w:tc>
        <w:tc>
          <w:tcPr>
            <w:tcW w:w="958" w:type="dxa"/>
            <w:vMerge/>
            <w:vAlign w:val="center"/>
          </w:tcPr>
          <w:p w:rsidR="00013EC7" w:rsidRDefault="00013EC7">
            <w:pPr>
              <w:spacing w:line="300" w:lineRule="exact"/>
              <w:rPr>
                <w:rFonts w:ascii="仿宋" w:eastAsia="仿宋" w:hAnsi="仿宋"/>
                <w:sz w:val="24"/>
              </w:rPr>
            </w:pPr>
          </w:p>
        </w:tc>
        <w:tc>
          <w:tcPr>
            <w:tcW w:w="1104" w:type="dxa"/>
            <w:vMerge/>
            <w:vAlign w:val="center"/>
          </w:tcPr>
          <w:p w:rsidR="00013EC7" w:rsidRDefault="00013EC7">
            <w:pPr>
              <w:spacing w:line="300" w:lineRule="exact"/>
              <w:rPr>
                <w:rFonts w:ascii="仿宋" w:eastAsia="仿宋" w:hAnsi="仿宋"/>
                <w:sz w:val="24"/>
              </w:rPr>
            </w:pPr>
          </w:p>
        </w:tc>
        <w:tc>
          <w:tcPr>
            <w:tcW w:w="1476" w:type="dxa"/>
            <w:vMerge/>
            <w:vAlign w:val="center"/>
          </w:tcPr>
          <w:p w:rsidR="00013EC7" w:rsidRDefault="00013EC7">
            <w:pPr>
              <w:spacing w:line="300" w:lineRule="exact"/>
              <w:rPr>
                <w:rFonts w:ascii="仿宋" w:eastAsia="仿宋" w:hAnsi="仿宋"/>
                <w:sz w:val="24"/>
              </w:rPr>
            </w:pPr>
          </w:p>
        </w:tc>
      </w:tr>
      <w:tr w:rsidR="00013EC7">
        <w:trPr>
          <w:trHeight w:val="1785"/>
          <w:jc w:val="center"/>
        </w:trPr>
        <w:tc>
          <w:tcPr>
            <w:tcW w:w="922" w:type="dxa"/>
            <w:vMerge/>
            <w:shd w:val="clear" w:color="auto" w:fill="auto"/>
            <w:vAlign w:val="center"/>
          </w:tcPr>
          <w:p w:rsidR="00013EC7" w:rsidRDefault="00013EC7">
            <w:pPr>
              <w:spacing w:line="300" w:lineRule="exact"/>
              <w:rPr>
                <w:rFonts w:ascii="仿宋" w:eastAsia="仿宋" w:hAnsi="仿宋"/>
                <w:color w:val="000000"/>
                <w:sz w:val="24"/>
              </w:rPr>
            </w:pPr>
          </w:p>
        </w:tc>
        <w:tc>
          <w:tcPr>
            <w:tcW w:w="708" w:type="dxa"/>
            <w:vMerge/>
            <w:shd w:val="clear" w:color="auto" w:fill="auto"/>
            <w:vAlign w:val="center"/>
          </w:tcPr>
          <w:p w:rsidR="00013EC7" w:rsidRDefault="00013EC7">
            <w:pPr>
              <w:spacing w:line="310" w:lineRule="exact"/>
              <w:rPr>
                <w:rFonts w:ascii="仿宋" w:eastAsia="仿宋" w:hAnsi="仿宋"/>
                <w:color w:val="000000"/>
                <w:sz w:val="24"/>
              </w:rPr>
            </w:pPr>
          </w:p>
        </w:tc>
        <w:tc>
          <w:tcPr>
            <w:tcW w:w="1870" w:type="dxa"/>
            <w:vMerge/>
            <w:shd w:val="clear" w:color="auto" w:fill="auto"/>
            <w:vAlign w:val="center"/>
          </w:tcPr>
          <w:p w:rsidR="00013EC7" w:rsidRDefault="00013EC7">
            <w:pPr>
              <w:spacing w:line="310" w:lineRule="exact"/>
              <w:rPr>
                <w:rFonts w:ascii="仿宋" w:eastAsia="仿宋" w:hAnsi="仿宋"/>
                <w:sz w:val="24"/>
              </w:rPr>
            </w:pPr>
          </w:p>
        </w:tc>
        <w:tc>
          <w:tcPr>
            <w:tcW w:w="4414" w:type="dxa"/>
            <w:shd w:val="clear" w:color="auto" w:fill="FFFFFF"/>
            <w:vAlign w:val="center"/>
          </w:tcPr>
          <w:p w:rsidR="00013EC7" w:rsidRDefault="00575CDB" w:rsidP="00AC3FFE">
            <w:pPr>
              <w:widowControl/>
              <w:rPr>
                <w:rFonts w:ascii="仿宋" w:eastAsia="仿宋" w:hAnsi="仿宋" w:cs="宋体"/>
                <w:sz w:val="24"/>
                <w:highlight w:val="lightGray"/>
              </w:rPr>
            </w:pPr>
            <w:r>
              <w:rPr>
                <w:rFonts w:ascii="仿宋" w:eastAsia="仿宋" w:hAnsi="仿宋" w:cs="宋体" w:hint="eastAsia"/>
                <w:sz w:val="24"/>
                <w:highlight w:val="lightGray"/>
              </w:rPr>
              <w:t>（五）</w:t>
            </w:r>
            <w:r>
              <w:rPr>
                <w:rFonts w:ascii="仿宋" w:eastAsia="仿宋" w:hAnsi="仿宋" w:cs="宋体"/>
                <w:sz w:val="24"/>
                <w:highlight w:val="lightGray"/>
              </w:rPr>
              <w:t>（A07101）《中华人民共和国税收缴款书（银行经收专用）》第一联（扣缴义务人汇总缴库开具税票需报送）。</w:t>
            </w:r>
          </w:p>
        </w:tc>
        <w:tc>
          <w:tcPr>
            <w:tcW w:w="879" w:type="dxa"/>
            <w:vMerge/>
            <w:shd w:val="clear" w:color="auto" w:fill="auto"/>
            <w:vAlign w:val="center"/>
          </w:tcPr>
          <w:p w:rsidR="00013EC7" w:rsidRDefault="00013EC7" w:rsidP="00AC3FFE">
            <w:pPr>
              <w:rPr>
                <w:rFonts w:ascii="仿宋" w:eastAsia="仿宋" w:hAnsi="仿宋"/>
                <w:sz w:val="24"/>
              </w:rPr>
            </w:pPr>
          </w:p>
        </w:tc>
        <w:tc>
          <w:tcPr>
            <w:tcW w:w="4036" w:type="dxa"/>
            <w:shd w:val="clear" w:color="auto" w:fill="FFFFFF"/>
            <w:vAlign w:val="center"/>
          </w:tcPr>
          <w:p w:rsidR="00013EC7" w:rsidRDefault="00013EC7" w:rsidP="00AC3FFE">
            <w:pPr>
              <w:widowControl/>
              <w:rPr>
                <w:rFonts w:ascii="仿宋" w:eastAsia="仿宋" w:hAnsi="仿宋" w:cs="宋体"/>
                <w:sz w:val="24"/>
              </w:rPr>
            </w:pPr>
          </w:p>
        </w:tc>
        <w:tc>
          <w:tcPr>
            <w:tcW w:w="1275" w:type="dxa"/>
            <w:shd w:val="clear" w:color="auto" w:fill="FFFFFF"/>
            <w:vAlign w:val="center"/>
          </w:tcPr>
          <w:p w:rsidR="00013EC7" w:rsidRDefault="00575CDB">
            <w:pPr>
              <w:spacing w:line="300" w:lineRule="exact"/>
              <w:rPr>
                <w:rFonts w:ascii="仿宋" w:eastAsia="仿宋" w:hAnsi="仿宋"/>
                <w:b/>
                <w:i/>
                <w:sz w:val="24"/>
              </w:rPr>
            </w:pPr>
            <w:r>
              <w:rPr>
                <w:rFonts w:ascii="仿宋" w:eastAsia="仿宋" w:hAnsi="仿宋"/>
                <w:b/>
                <w:i/>
                <w:sz w:val="24"/>
              </w:rPr>
              <w:t>取消</w:t>
            </w:r>
          </w:p>
        </w:tc>
        <w:tc>
          <w:tcPr>
            <w:tcW w:w="1812" w:type="dxa"/>
            <w:vMerge/>
            <w:shd w:val="clear" w:color="auto" w:fill="FFFFFF"/>
            <w:vAlign w:val="center"/>
          </w:tcPr>
          <w:p w:rsidR="00013EC7" w:rsidRDefault="00013EC7">
            <w:pPr>
              <w:spacing w:line="300" w:lineRule="exact"/>
              <w:rPr>
                <w:rFonts w:ascii="仿宋" w:eastAsia="仿宋" w:hAnsi="仿宋"/>
                <w:sz w:val="24"/>
              </w:rPr>
            </w:pPr>
          </w:p>
        </w:tc>
        <w:tc>
          <w:tcPr>
            <w:tcW w:w="868" w:type="dxa"/>
            <w:vMerge/>
            <w:vAlign w:val="center"/>
          </w:tcPr>
          <w:p w:rsidR="00013EC7" w:rsidRDefault="00013EC7">
            <w:pPr>
              <w:spacing w:line="300" w:lineRule="exact"/>
              <w:rPr>
                <w:rFonts w:ascii="仿宋" w:eastAsia="仿宋" w:hAnsi="仿宋"/>
                <w:sz w:val="24"/>
              </w:rPr>
            </w:pPr>
          </w:p>
        </w:tc>
        <w:tc>
          <w:tcPr>
            <w:tcW w:w="798" w:type="dxa"/>
            <w:vMerge/>
            <w:vAlign w:val="center"/>
          </w:tcPr>
          <w:p w:rsidR="00013EC7" w:rsidRDefault="00013EC7">
            <w:pPr>
              <w:spacing w:line="300" w:lineRule="exact"/>
              <w:rPr>
                <w:rFonts w:ascii="仿宋" w:eastAsia="仿宋" w:hAnsi="仿宋"/>
                <w:sz w:val="24"/>
              </w:rPr>
            </w:pPr>
          </w:p>
        </w:tc>
        <w:tc>
          <w:tcPr>
            <w:tcW w:w="958" w:type="dxa"/>
            <w:vMerge/>
            <w:vAlign w:val="center"/>
          </w:tcPr>
          <w:p w:rsidR="00013EC7" w:rsidRDefault="00013EC7">
            <w:pPr>
              <w:spacing w:line="300" w:lineRule="exact"/>
              <w:rPr>
                <w:rFonts w:ascii="仿宋" w:eastAsia="仿宋" w:hAnsi="仿宋"/>
                <w:sz w:val="24"/>
              </w:rPr>
            </w:pPr>
          </w:p>
        </w:tc>
        <w:tc>
          <w:tcPr>
            <w:tcW w:w="1104" w:type="dxa"/>
            <w:vMerge/>
            <w:vAlign w:val="center"/>
          </w:tcPr>
          <w:p w:rsidR="00013EC7" w:rsidRDefault="00013EC7">
            <w:pPr>
              <w:spacing w:line="300" w:lineRule="exact"/>
              <w:rPr>
                <w:rFonts w:ascii="仿宋" w:eastAsia="仿宋" w:hAnsi="仿宋"/>
                <w:sz w:val="24"/>
              </w:rPr>
            </w:pPr>
          </w:p>
        </w:tc>
        <w:tc>
          <w:tcPr>
            <w:tcW w:w="1476" w:type="dxa"/>
            <w:vMerge/>
            <w:vAlign w:val="center"/>
          </w:tcPr>
          <w:p w:rsidR="00013EC7" w:rsidRDefault="00013EC7">
            <w:pPr>
              <w:spacing w:line="300" w:lineRule="exact"/>
              <w:rPr>
                <w:rFonts w:ascii="仿宋" w:eastAsia="仿宋" w:hAnsi="仿宋"/>
                <w:sz w:val="24"/>
              </w:rPr>
            </w:pPr>
          </w:p>
        </w:tc>
      </w:tr>
    </w:tbl>
    <w:p w:rsidR="00013EC7" w:rsidRDefault="00013EC7"/>
    <w:p w:rsidR="00013EC7" w:rsidRDefault="005262E6">
      <w:r>
        <w:lastRenderedPageBreak/>
        <w:object w:dxaOrig="1440" w:dyaOrig="1440">
          <v:shape id="对象 48" o:spid="_x0000_s1294" type="#_x0000_t75" alt="5928676981508729125595" style="position:absolute;left:0;text-align:left;margin-left:516.05pt;margin-top:-1.6pt;width:522.45pt;height:649.95pt;z-index:251629568;mso-wrap-distance-left:9pt;mso-wrap-distance-top:0;mso-wrap-distance-right:9pt;mso-wrap-distance-bottom:0;mso-width-relative:page;mso-height-relative:page">
            <v:imagedata r:id="rId339" o:title="5928676981508729125595"/>
            <w10:wrap type="square"/>
          </v:shape>
          <o:OLEObject Type="Embed" ProgID="Visio.Drawing.11" ShapeID="对象 48" DrawAspect="Content" ObjectID="_1577296268" r:id="rId340"/>
        </w:object>
      </w:r>
      <w:r w:rsidR="00575CDB">
        <w:object w:dxaOrig="22299" w:dyaOrig="11948">
          <v:shape id="_x0000_i1733" type="#_x0000_t75" alt="2111217721508729125585" style="width:1114.95pt;height:597.4pt" o:ole="">
            <v:imagedata r:id="rId341" o:title=""/>
          </v:shape>
          <o:OLEObject Type="Embed" ProgID="Visio.Drawing.11" ShapeID="_x0000_i1733" DrawAspect="Content" ObjectID="_1577296119" r:id="rId342"/>
        </w:object>
      </w:r>
    </w:p>
    <w:p w:rsidR="00013EC7" w:rsidRDefault="00013EC7"/>
    <w:p w:rsidR="00013EC7" w:rsidRDefault="00013EC7"/>
    <w:p w:rsidR="00013EC7" w:rsidRDefault="00575CDB">
      <w:pPr>
        <w:pStyle w:val="2"/>
      </w:pPr>
      <w:bookmarkStart w:id="412" w:name="_Toc27010"/>
      <w:bookmarkStart w:id="413" w:name="_Toc2101"/>
      <w:bookmarkStart w:id="414" w:name="_Toc5970"/>
      <w:bookmarkStart w:id="415" w:name="_Toc503467448"/>
      <w:r>
        <w:rPr>
          <w:rFonts w:hint="eastAsia"/>
        </w:rPr>
        <w:t>20.2</w:t>
      </w:r>
      <w:r>
        <w:rPr>
          <w:rFonts w:hint="eastAsia"/>
        </w:rPr>
        <w:t>扣缴非居民企业所得税、增值税申报</w:t>
      </w:r>
      <w:bookmarkEnd w:id="412"/>
      <w:bookmarkEnd w:id="413"/>
      <w:bookmarkEnd w:id="414"/>
      <w:bookmarkEnd w:id="415"/>
    </w:p>
    <w:p w:rsidR="00013EC7" w:rsidRDefault="00575CDB">
      <w:pPr>
        <w:jc w:val="center"/>
        <w:rPr>
          <w:rFonts w:ascii="宋体" w:hAnsi="宋体" w:cs="宋体"/>
          <w:b/>
          <w:bCs/>
          <w:sz w:val="52"/>
          <w:szCs w:val="52"/>
        </w:rPr>
      </w:pPr>
      <w:r>
        <w:rPr>
          <w:rFonts w:ascii="宋体" w:hAnsi="宋体" w:cs="宋体" w:hint="eastAsia"/>
          <w:b/>
          <w:bCs/>
          <w:sz w:val="52"/>
          <w:szCs w:val="52"/>
        </w:rPr>
        <w:t>全省“最多跑一次”事项“八统一”梳理表</w:t>
      </w:r>
    </w:p>
    <w:tbl>
      <w:tblPr>
        <w:tblW w:w="20242"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835"/>
        <w:gridCol w:w="919"/>
        <w:gridCol w:w="3278"/>
        <w:gridCol w:w="2928"/>
        <w:gridCol w:w="694"/>
        <w:gridCol w:w="2310"/>
        <w:gridCol w:w="943"/>
        <w:gridCol w:w="3247"/>
        <w:gridCol w:w="850"/>
        <w:gridCol w:w="781"/>
        <w:gridCol w:w="935"/>
        <w:gridCol w:w="1081"/>
        <w:gridCol w:w="1441"/>
      </w:tblGrid>
      <w:tr w:rsidR="00013EC7">
        <w:trPr>
          <w:trHeight w:val="340"/>
          <w:tblHeader/>
          <w:jc w:val="center"/>
        </w:trPr>
        <w:tc>
          <w:tcPr>
            <w:tcW w:w="835" w:type="dxa"/>
            <w:vMerge w:val="restart"/>
            <w:vAlign w:val="center"/>
          </w:tcPr>
          <w:p w:rsidR="00013EC7" w:rsidRDefault="00575CDB">
            <w:pPr>
              <w:spacing w:line="280" w:lineRule="exact"/>
              <w:jc w:val="center"/>
              <w:rPr>
                <w:rFonts w:ascii="黑体" w:eastAsia="黑体" w:hAnsi="黑体" w:cs="黑体"/>
                <w:bCs/>
                <w:sz w:val="24"/>
              </w:rPr>
            </w:pPr>
            <w:r>
              <w:rPr>
                <w:rFonts w:ascii="黑体" w:eastAsia="黑体" w:hAnsi="黑体" w:cs="黑体" w:hint="eastAsia"/>
                <w:bCs/>
                <w:sz w:val="24"/>
              </w:rPr>
              <w:t>主项名称</w:t>
            </w:r>
          </w:p>
        </w:tc>
        <w:tc>
          <w:tcPr>
            <w:tcW w:w="919" w:type="dxa"/>
            <w:vMerge w:val="restart"/>
            <w:vAlign w:val="center"/>
          </w:tcPr>
          <w:p w:rsidR="00013EC7" w:rsidRDefault="00575CDB">
            <w:pPr>
              <w:spacing w:line="280" w:lineRule="exact"/>
              <w:jc w:val="center"/>
              <w:rPr>
                <w:rFonts w:ascii="黑体" w:eastAsia="黑体" w:hAnsi="黑体" w:cs="黑体"/>
                <w:bCs/>
                <w:sz w:val="24"/>
              </w:rPr>
            </w:pPr>
            <w:r>
              <w:rPr>
                <w:rFonts w:ascii="黑体" w:eastAsia="黑体" w:hAnsi="黑体" w:cs="黑体" w:hint="eastAsia"/>
                <w:bCs/>
                <w:sz w:val="24"/>
              </w:rPr>
              <w:t>子项名称</w:t>
            </w:r>
          </w:p>
        </w:tc>
        <w:tc>
          <w:tcPr>
            <w:tcW w:w="3278" w:type="dxa"/>
            <w:vMerge w:val="restart"/>
            <w:vAlign w:val="center"/>
          </w:tcPr>
          <w:p w:rsidR="00013EC7" w:rsidRDefault="00575CDB">
            <w:pPr>
              <w:spacing w:line="280" w:lineRule="exact"/>
              <w:jc w:val="center"/>
              <w:rPr>
                <w:rFonts w:ascii="黑体" w:eastAsia="黑体" w:hAnsi="黑体" w:cs="黑体"/>
                <w:bCs/>
                <w:sz w:val="24"/>
              </w:rPr>
            </w:pPr>
            <w:r>
              <w:rPr>
                <w:rFonts w:ascii="黑体" w:eastAsia="黑体" w:hAnsi="黑体" w:cs="黑体" w:hint="eastAsia"/>
                <w:bCs/>
                <w:sz w:val="24"/>
              </w:rPr>
              <w:t>经办依据</w:t>
            </w:r>
          </w:p>
        </w:tc>
        <w:tc>
          <w:tcPr>
            <w:tcW w:w="3622" w:type="dxa"/>
            <w:gridSpan w:val="2"/>
            <w:vAlign w:val="center"/>
          </w:tcPr>
          <w:p w:rsidR="00013EC7" w:rsidRDefault="00575CDB">
            <w:pPr>
              <w:spacing w:line="280" w:lineRule="exact"/>
              <w:jc w:val="center"/>
              <w:rPr>
                <w:rFonts w:ascii="黑体" w:eastAsia="黑体" w:hAnsi="黑体" w:cs="黑体"/>
                <w:bCs/>
                <w:sz w:val="24"/>
              </w:rPr>
            </w:pPr>
            <w:r>
              <w:rPr>
                <w:rFonts w:ascii="黑体" w:eastAsia="黑体" w:hAnsi="黑体" w:cs="黑体" w:hint="eastAsia"/>
                <w:bCs/>
                <w:sz w:val="24"/>
              </w:rPr>
              <w:t>原经办所需材料</w:t>
            </w:r>
          </w:p>
        </w:tc>
        <w:tc>
          <w:tcPr>
            <w:tcW w:w="6500" w:type="dxa"/>
            <w:gridSpan w:val="3"/>
            <w:vAlign w:val="center"/>
          </w:tcPr>
          <w:p w:rsidR="00013EC7" w:rsidRDefault="00575CDB">
            <w:pPr>
              <w:spacing w:line="280" w:lineRule="exact"/>
              <w:jc w:val="center"/>
              <w:rPr>
                <w:rFonts w:ascii="黑体" w:eastAsia="黑体" w:hAnsi="黑体" w:cs="黑体"/>
                <w:bCs/>
                <w:sz w:val="24"/>
              </w:rPr>
            </w:pPr>
            <w:r>
              <w:rPr>
                <w:rFonts w:ascii="黑体" w:eastAsia="黑体" w:hAnsi="黑体" w:cs="黑体" w:hint="eastAsia"/>
                <w:bCs/>
                <w:sz w:val="24"/>
              </w:rPr>
              <w:t>精简后经办所需材料</w:t>
            </w:r>
          </w:p>
        </w:tc>
        <w:tc>
          <w:tcPr>
            <w:tcW w:w="1631" w:type="dxa"/>
            <w:gridSpan w:val="2"/>
            <w:vAlign w:val="center"/>
          </w:tcPr>
          <w:p w:rsidR="00013EC7" w:rsidRDefault="00575CDB">
            <w:pPr>
              <w:spacing w:line="280" w:lineRule="exact"/>
              <w:jc w:val="center"/>
              <w:rPr>
                <w:rFonts w:ascii="黑体" w:eastAsia="黑体" w:hAnsi="黑体" w:cs="黑体"/>
                <w:bCs/>
                <w:sz w:val="24"/>
              </w:rPr>
            </w:pPr>
            <w:r>
              <w:rPr>
                <w:rFonts w:ascii="黑体" w:eastAsia="黑体" w:hAnsi="黑体" w:cs="黑体" w:hint="eastAsia"/>
                <w:bCs/>
                <w:sz w:val="24"/>
              </w:rPr>
              <w:t>办理时限</w:t>
            </w:r>
          </w:p>
        </w:tc>
        <w:tc>
          <w:tcPr>
            <w:tcW w:w="935" w:type="dxa"/>
            <w:vMerge w:val="restart"/>
            <w:vAlign w:val="center"/>
          </w:tcPr>
          <w:p w:rsidR="00013EC7" w:rsidRDefault="00575CDB">
            <w:pPr>
              <w:spacing w:line="280" w:lineRule="exact"/>
              <w:jc w:val="center"/>
              <w:rPr>
                <w:rFonts w:ascii="黑体" w:eastAsia="黑体" w:hAnsi="黑体" w:cs="黑体"/>
                <w:bCs/>
                <w:sz w:val="24"/>
              </w:rPr>
            </w:pPr>
            <w:r>
              <w:rPr>
                <w:rFonts w:ascii="黑体" w:eastAsia="黑体" w:hAnsi="黑体" w:cs="黑体" w:hint="eastAsia"/>
                <w:bCs/>
                <w:sz w:val="24"/>
              </w:rPr>
              <w:t>是否实现跑零次</w:t>
            </w:r>
          </w:p>
        </w:tc>
        <w:tc>
          <w:tcPr>
            <w:tcW w:w="1081" w:type="dxa"/>
            <w:vMerge w:val="restart"/>
            <w:vAlign w:val="center"/>
          </w:tcPr>
          <w:p w:rsidR="00013EC7" w:rsidRDefault="00575CDB">
            <w:pPr>
              <w:spacing w:line="280" w:lineRule="exact"/>
              <w:jc w:val="center"/>
              <w:rPr>
                <w:rFonts w:ascii="黑体" w:eastAsia="黑体" w:hAnsi="黑体" w:cs="黑体"/>
                <w:bCs/>
                <w:sz w:val="24"/>
              </w:rPr>
            </w:pPr>
            <w:r>
              <w:rPr>
                <w:rFonts w:ascii="黑体" w:eastAsia="黑体" w:hAnsi="黑体" w:cs="黑体" w:hint="eastAsia"/>
                <w:bCs/>
                <w:sz w:val="24"/>
              </w:rPr>
              <w:t>省厅对口</w:t>
            </w:r>
          </w:p>
          <w:p w:rsidR="00013EC7" w:rsidRDefault="00575CDB">
            <w:pPr>
              <w:spacing w:line="280" w:lineRule="exact"/>
              <w:jc w:val="center"/>
              <w:rPr>
                <w:rFonts w:ascii="黑体" w:eastAsia="黑体" w:hAnsi="黑体" w:cs="黑体"/>
                <w:bCs/>
                <w:sz w:val="24"/>
              </w:rPr>
            </w:pPr>
            <w:r>
              <w:rPr>
                <w:rFonts w:ascii="黑体" w:eastAsia="黑体" w:hAnsi="黑体" w:cs="黑体" w:hint="eastAsia"/>
                <w:bCs/>
                <w:sz w:val="24"/>
              </w:rPr>
              <w:t>指导处室</w:t>
            </w:r>
          </w:p>
          <w:p w:rsidR="00013EC7" w:rsidRDefault="00575CDB">
            <w:pPr>
              <w:spacing w:line="280" w:lineRule="exact"/>
              <w:jc w:val="center"/>
              <w:rPr>
                <w:rFonts w:ascii="黑体" w:eastAsia="黑体" w:hAnsi="黑体" w:cs="黑体"/>
                <w:bCs/>
                <w:sz w:val="24"/>
              </w:rPr>
            </w:pPr>
            <w:r>
              <w:rPr>
                <w:rFonts w:ascii="黑体" w:eastAsia="黑体" w:hAnsi="黑体" w:cs="黑体" w:hint="eastAsia"/>
                <w:bCs/>
                <w:sz w:val="24"/>
              </w:rPr>
              <w:t>（单位）</w:t>
            </w:r>
          </w:p>
        </w:tc>
        <w:tc>
          <w:tcPr>
            <w:tcW w:w="1441" w:type="dxa"/>
            <w:vMerge w:val="restart"/>
            <w:vAlign w:val="center"/>
          </w:tcPr>
          <w:p w:rsidR="00013EC7" w:rsidRDefault="00575CDB">
            <w:pPr>
              <w:spacing w:line="280" w:lineRule="exact"/>
              <w:jc w:val="center"/>
              <w:rPr>
                <w:rFonts w:ascii="黑体" w:eastAsia="黑体" w:hAnsi="黑体" w:cs="黑体"/>
                <w:bCs/>
                <w:sz w:val="24"/>
              </w:rPr>
            </w:pPr>
            <w:r>
              <w:rPr>
                <w:rFonts w:ascii="黑体" w:eastAsia="黑体" w:hAnsi="黑体" w:cs="黑体" w:hint="eastAsia"/>
                <w:bCs/>
                <w:sz w:val="24"/>
              </w:rPr>
              <w:t>进一步精简、</w:t>
            </w:r>
          </w:p>
          <w:p w:rsidR="00013EC7" w:rsidRDefault="00575CDB">
            <w:pPr>
              <w:spacing w:line="280" w:lineRule="exact"/>
              <w:jc w:val="center"/>
              <w:rPr>
                <w:rFonts w:ascii="黑体" w:eastAsia="黑体" w:hAnsi="黑体" w:cs="黑体"/>
                <w:bCs/>
                <w:sz w:val="24"/>
              </w:rPr>
            </w:pPr>
            <w:r>
              <w:rPr>
                <w:rFonts w:ascii="黑体" w:eastAsia="黑体" w:hAnsi="黑体" w:cs="黑体" w:hint="eastAsia"/>
                <w:bCs/>
                <w:sz w:val="24"/>
              </w:rPr>
              <w:t>规范建议</w:t>
            </w:r>
          </w:p>
        </w:tc>
      </w:tr>
      <w:tr w:rsidR="00013EC7">
        <w:trPr>
          <w:trHeight w:val="340"/>
          <w:tblHeader/>
          <w:jc w:val="center"/>
        </w:trPr>
        <w:tc>
          <w:tcPr>
            <w:tcW w:w="835" w:type="dxa"/>
            <w:vMerge/>
            <w:vAlign w:val="center"/>
          </w:tcPr>
          <w:p w:rsidR="00013EC7" w:rsidRDefault="00013EC7">
            <w:pPr>
              <w:jc w:val="center"/>
              <w:rPr>
                <w:rFonts w:ascii="黑体" w:eastAsia="黑体" w:hAnsi="黑体" w:cs="黑体"/>
                <w:bCs/>
                <w:sz w:val="24"/>
              </w:rPr>
            </w:pPr>
          </w:p>
        </w:tc>
        <w:tc>
          <w:tcPr>
            <w:tcW w:w="919" w:type="dxa"/>
            <w:vMerge/>
            <w:vAlign w:val="center"/>
          </w:tcPr>
          <w:p w:rsidR="00013EC7" w:rsidRDefault="00013EC7">
            <w:pPr>
              <w:jc w:val="center"/>
              <w:rPr>
                <w:rFonts w:ascii="黑体" w:eastAsia="黑体" w:hAnsi="黑体" w:cs="黑体"/>
                <w:bCs/>
                <w:sz w:val="24"/>
              </w:rPr>
            </w:pPr>
          </w:p>
        </w:tc>
        <w:tc>
          <w:tcPr>
            <w:tcW w:w="3278" w:type="dxa"/>
            <w:vMerge/>
            <w:vAlign w:val="center"/>
          </w:tcPr>
          <w:p w:rsidR="00013EC7" w:rsidRDefault="00013EC7">
            <w:pPr>
              <w:jc w:val="center"/>
              <w:rPr>
                <w:rFonts w:ascii="黑体" w:eastAsia="黑体" w:hAnsi="黑体" w:cs="黑体"/>
                <w:bCs/>
                <w:sz w:val="24"/>
              </w:rPr>
            </w:pPr>
          </w:p>
        </w:tc>
        <w:tc>
          <w:tcPr>
            <w:tcW w:w="2928" w:type="dxa"/>
            <w:tcBorders>
              <w:bottom w:val="single" w:sz="4" w:space="0" w:color="auto"/>
            </w:tcBorders>
            <w:vAlign w:val="center"/>
          </w:tcPr>
          <w:p w:rsidR="00013EC7" w:rsidRDefault="00575CDB">
            <w:pPr>
              <w:spacing w:line="280" w:lineRule="exact"/>
              <w:jc w:val="center"/>
              <w:rPr>
                <w:rFonts w:ascii="黑体" w:eastAsia="黑体" w:hAnsi="黑体" w:cs="黑体"/>
                <w:bCs/>
                <w:sz w:val="24"/>
              </w:rPr>
            </w:pPr>
            <w:r>
              <w:rPr>
                <w:rFonts w:ascii="黑体" w:eastAsia="黑体" w:hAnsi="黑体" w:cs="黑体" w:hint="eastAsia"/>
                <w:bCs/>
                <w:sz w:val="24"/>
              </w:rPr>
              <w:t>材料明细</w:t>
            </w:r>
          </w:p>
        </w:tc>
        <w:tc>
          <w:tcPr>
            <w:tcW w:w="694" w:type="dxa"/>
            <w:vAlign w:val="center"/>
          </w:tcPr>
          <w:p w:rsidR="00013EC7" w:rsidRDefault="00575CDB">
            <w:pPr>
              <w:spacing w:line="280" w:lineRule="exact"/>
              <w:jc w:val="center"/>
              <w:rPr>
                <w:rFonts w:ascii="黑体" w:eastAsia="黑体" w:hAnsi="黑体" w:cs="黑体"/>
                <w:bCs/>
                <w:sz w:val="24"/>
              </w:rPr>
            </w:pPr>
            <w:r>
              <w:rPr>
                <w:rFonts w:ascii="黑体" w:eastAsia="黑体" w:hAnsi="黑体" w:cs="黑体" w:hint="eastAsia"/>
                <w:bCs/>
                <w:sz w:val="24"/>
              </w:rPr>
              <w:t>材料来源</w:t>
            </w:r>
          </w:p>
        </w:tc>
        <w:tc>
          <w:tcPr>
            <w:tcW w:w="2310" w:type="dxa"/>
            <w:vAlign w:val="center"/>
          </w:tcPr>
          <w:p w:rsidR="00013EC7" w:rsidRDefault="00575CDB">
            <w:pPr>
              <w:spacing w:line="280" w:lineRule="exact"/>
              <w:jc w:val="center"/>
              <w:rPr>
                <w:rFonts w:ascii="黑体" w:eastAsia="黑体" w:hAnsi="黑体" w:cs="黑体"/>
                <w:bCs/>
                <w:sz w:val="24"/>
              </w:rPr>
            </w:pPr>
            <w:r>
              <w:rPr>
                <w:rFonts w:ascii="黑体" w:eastAsia="黑体" w:hAnsi="黑体" w:cs="黑体" w:hint="eastAsia"/>
                <w:bCs/>
                <w:sz w:val="24"/>
              </w:rPr>
              <w:t>材料明细</w:t>
            </w:r>
          </w:p>
        </w:tc>
        <w:tc>
          <w:tcPr>
            <w:tcW w:w="943" w:type="dxa"/>
            <w:vAlign w:val="center"/>
          </w:tcPr>
          <w:p w:rsidR="00013EC7" w:rsidRDefault="00575CDB">
            <w:pPr>
              <w:spacing w:line="280" w:lineRule="exact"/>
              <w:jc w:val="center"/>
              <w:rPr>
                <w:rFonts w:ascii="黑体" w:eastAsia="黑体" w:hAnsi="黑体" w:cs="黑体"/>
                <w:bCs/>
                <w:sz w:val="24"/>
              </w:rPr>
            </w:pPr>
            <w:r>
              <w:rPr>
                <w:rFonts w:ascii="黑体" w:eastAsia="黑体" w:hAnsi="黑体" w:cs="黑体" w:hint="eastAsia"/>
                <w:bCs/>
                <w:sz w:val="24"/>
              </w:rPr>
              <w:t>材料来源</w:t>
            </w:r>
          </w:p>
        </w:tc>
        <w:tc>
          <w:tcPr>
            <w:tcW w:w="3247" w:type="dxa"/>
            <w:vAlign w:val="center"/>
          </w:tcPr>
          <w:p w:rsidR="00013EC7" w:rsidRDefault="00575CDB">
            <w:pPr>
              <w:spacing w:line="280" w:lineRule="exact"/>
              <w:jc w:val="center"/>
              <w:rPr>
                <w:rFonts w:ascii="黑体" w:eastAsia="黑体" w:hAnsi="黑体" w:cs="黑体"/>
                <w:bCs/>
                <w:sz w:val="24"/>
              </w:rPr>
            </w:pPr>
            <w:r>
              <w:rPr>
                <w:rFonts w:ascii="黑体" w:eastAsia="黑体" w:hAnsi="黑体" w:cs="黑体" w:hint="eastAsia"/>
                <w:bCs/>
                <w:sz w:val="24"/>
              </w:rPr>
              <w:t>办理方式及材料</w:t>
            </w:r>
          </w:p>
          <w:p w:rsidR="00013EC7" w:rsidRDefault="00575CDB">
            <w:pPr>
              <w:spacing w:line="280" w:lineRule="exact"/>
              <w:jc w:val="center"/>
              <w:rPr>
                <w:rFonts w:ascii="黑体" w:eastAsia="黑体" w:hAnsi="黑体" w:cs="黑体"/>
                <w:bCs/>
                <w:sz w:val="24"/>
              </w:rPr>
            </w:pPr>
            <w:r>
              <w:rPr>
                <w:rFonts w:ascii="黑体" w:eastAsia="黑体" w:hAnsi="黑体" w:cs="黑体" w:hint="eastAsia"/>
                <w:bCs/>
                <w:sz w:val="24"/>
              </w:rPr>
              <w:t>信息获取方式说明</w:t>
            </w:r>
          </w:p>
        </w:tc>
        <w:tc>
          <w:tcPr>
            <w:tcW w:w="850" w:type="dxa"/>
            <w:vAlign w:val="center"/>
          </w:tcPr>
          <w:p w:rsidR="00013EC7" w:rsidRDefault="00575CDB">
            <w:pPr>
              <w:spacing w:line="280" w:lineRule="exact"/>
              <w:jc w:val="center"/>
              <w:rPr>
                <w:rFonts w:ascii="黑体" w:eastAsia="黑体" w:hAnsi="黑体" w:cs="黑体"/>
                <w:bCs/>
                <w:sz w:val="24"/>
              </w:rPr>
            </w:pPr>
            <w:r>
              <w:rPr>
                <w:rFonts w:ascii="黑体" w:eastAsia="黑体" w:hAnsi="黑体" w:cs="黑体" w:hint="eastAsia"/>
                <w:bCs/>
                <w:sz w:val="24"/>
              </w:rPr>
              <w:t>优化前</w:t>
            </w:r>
          </w:p>
        </w:tc>
        <w:tc>
          <w:tcPr>
            <w:tcW w:w="781" w:type="dxa"/>
            <w:vAlign w:val="center"/>
          </w:tcPr>
          <w:p w:rsidR="00013EC7" w:rsidRDefault="00575CDB">
            <w:pPr>
              <w:spacing w:line="280" w:lineRule="exact"/>
              <w:jc w:val="center"/>
              <w:rPr>
                <w:rFonts w:ascii="黑体" w:eastAsia="黑体" w:hAnsi="黑体" w:cs="黑体"/>
                <w:bCs/>
                <w:sz w:val="24"/>
              </w:rPr>
            </w:pPr>
            <w:r>
              <w:rPr>
                <w:rFonts w:ascii="黑体" w:eastAsia="黑体" w:hAnsi="黑体" w:cs="黑体" w:hint="eastAsia"/>
                <w:bCs/>
                <w:sz w:val="24"/>
              </w:rPr>
              <w:t>优化后</w:t>
            </w:r>
          </w:p>
        </w:tc>
        <w:tc>
          <w:tcPr>
            <w:tcW w:w="935" w:type="dxa"/>
            <w:vMerge/>
            <w:vAlign w:val="center"/>
          </w:tcPr>
          <w:p w:rsidR="00013EC7" w:rsidRDefault="00013EC7">
            <w:pPr>
              <w:jc w:val="center"/>
              <w:rPr>
                <w:rFonts w:ascii="仿宋" w:eastAsia="仿宋" w:hAnsi="仿宋"/>
                <w:sz w:val="24"/>
              </w:rPr>
            </w:pPr>
          </w:p>
        </w:tc>
        <w:tc>
          <w:tcPr>
            <w:tcW w:w="1081" w:type="dxa"/>
            <w:vMerge/>
            <w:vAlign w:val="center"/>
          </w:tcPr>
          <w:p w:rsidR="00013EC7" w:rsidRDefault="00013EC7">
            <w:pPr>
              <w:jc w:val="center"/>
              <w:rPr>
                <w:rFonts w:ascii="仿宋" w:eastAsia="仿宋" w:hAnsi="仿宋"/>
                <w:sz w:val="24"/>
              </w:rPr>
            </w:pPr>
          </w:p>
        </w:tc>
        <w:tc>
          <w:tcPr>
            <w:tcW w:w="1441" w:type="dxa"/>
            <w:vMerge/>
            <w:vAlign w:val="center"/>
          </w:tcPr>
          <w:p w:rsidR="00013EC7" w:rsidRDefault="00013EC7">
            <w:pPr>
              <w:jc w:val="center"/>
              <w:rPr>
                <w:rFonts w:ascii="仿宋" w:eastAsia="仿宋" w:hAnsi="仿宋"/>
                <w:sz w:val="24"/>
              </w:rPr>
            </w:pPr>
          </w:p>
        </w:tc>
      </w:tr>
      <w:tr w:rsidR="00013EC7">
        <w:trPr>
          <w:trHeight w:val="1939"/>
          <w:jc w:val="center"/>
        </w:trPr>
        <w:tc>
          <w:tcPr>
            <w:tcW w:w="835" w:type="dxa"/>
            <w:vMerge w:val="restart"/>
            <w:shd w:val="clear" w:color="auto" w:fill="auto"/>
            <w:vAlign w:val="center"/>
          </w:tcPr>
          <w:p w:rsidR="00013EC7" w:rsidRDefault="00575CDB">
            <w:pPr>
              <w:rPr>
                <w:rFonts w:ascii="仿宋" w:eastAsia="仿宋" w:hAnsi="仿宋"/>
                <w:sz w:val="24"/>
              </w:rPr>
            </w:pPr>
            <w:r>
              <w:rPr>
                <w:rFonts w:ascii="仿宋" w:eastAsia="仿宋" w:hAnsi="仿宋" w:hint="eastAsia"/>
                <w:sz w:val="24"/>
              </w:rPr>
              <w:t>20代扣代缴申报</w:t>
            </w:r>
          </w:p>
        </w:tc>
        <w:tc>
          <w:tcPr>
            <w:tcW w:w="919" w:type="dxa"/>
            <w:vMerge w:val="restart"/>
            <w:shd w:val="clear" w:color="auto" w:fill="auto"/>
            <w:vAlign w:val="center"/>
          </w:tcPr>
          <w:p w:rsidR="00013EC7" w:rsidRDefault="00575CDB">
            <w:pPr>
              <w:rPr>
                <w:rFonts w:ascii="仿宋" w:eastAsia="仿宋" w:hAnsi="仿宋"/>
                <w:sz w:val="24"/>
              </w:rPr>
            </w:pPr>
            <w:r>
              <w:rPr>
                <w:rFonts w:ascii="仿宋" w:eastAsia="仿宋" w:hAnsi="仿宋" w:hint="eastAsia"/>
                <w:color w:val="000000"/>
                <w:sz w:val="24"/>
              </w:rPr>
              <w:t>20.2扣缴非居民企业所得税、增值税申报</w:t>
            </w:r>
          </w:p>
        </w:tc>
        <w:tc>
          <w:tcPr>
            <w:tcW w:w="3278" w:type="dxa"/>
            <w:vMerge w:val="restart"/>
            <w:shd w:val="clear" w:color="auto" w:fill="auto"/>
            <w:vAlign w:val="center"/>
          </w:tcPr>
          <w:p w:rsidR="00013EC7" w:rsidRDefault="00575CDB">
            <w:pPr>
              <w:rPr>
                <w:rFonts w:ascii="仿宋" w:eastAsia="仿宋" w:hAnsi="仿宋"/>
                <w:sz w:val="24"/>
              </w:rPr>
            </w:pPr>
            <w:r>
              <w:rPr>
                <w:rFonts w:ascii="仿宋" w:eastAsia="仿宋" w:hAnsi="仿宋" w:cs="宋体" w:hint="eastAsia"/>
                <w:sz w:val="24"/>
              </w:rPr>
              <w:t>（一）</w:t>
            </w:r>
            <w:r>
              <w:rPr>
                <w:rFonts w:ascii="仿宋" w:eastAsia="仿宋" w:hAnsi="仿宋" w:hint="eastAsia"/>
                <w:sz w:val="24"/>
              </w:rPr>
              <w:t>《中华人民共和国企业所得税法》（2017年中华人民共和国主席令第63号）第三十七条、第三十八条、第三十九条、第四十条。</w:t>
            </w:r>
          </w:p>
          <w:p w:rsidR="00013EC7" w:rsidRDefault="00575CDB">
            <w:pPr>
              <w:rPr>
                <w:rFonts w:ascii="仿宋" w:eastAsia="仿宋" w:hAnsi="仿宋"/>
                <w:sz w:val="24"/>
              </w:rPr>
            </w:pPr>
            <w:r>
              <w:rPr>
                <w:rFonts w:ascii="仿宋" w:eastAsia="仿宋" w:hAnsi="仿宋" w:cs="宋体" w:hint="eastAsia"/>
                <w:sz w:val="24"/>
              </w:rPr>
              <w:t>（二）</w:t>
            </w:r>
            <w:r>
              <w:rPr>
                <w:rFonts w:ascii="仿宋" w:eastAsia="仿宋" w:hAnsi="仿宋" w:hint="eastAsia"/>
                <w:sz w:val="24"/>
              </w:rPr>
              <w:t>《非居民承包工程作业和提供劳务税收管理暂行办法》（国家税务总局令第19号）全文。</w:t>
            </w:r>
          </w:p>
          <w:p w:rsidR="00013EC7" w:rsidRDefault="00575CDB">
            <w:pPr>
              <w:rPr>
                <w:rFonts w:ascii="仿宋" w:eastAsia="仿宋" w:hAnsi="仿宋"/>
                <w:sz w:val="24"/>
              </w:rPr>
            </w:pPr>
            <w:r>
              <w:rPr>
                <w:rFonts w:ascii="仿宋" w:eastAsia="仿宋" w:hAnsi="仿宋" w:cs="宋体" w:hint="eastAsia"/>
                <w:sz w:val="24"/>
              </w:rPr>
              <w:t>（三）</w:t>
            </w:r>
            <w:r>
              <w:rPr>
                <w:rFonts w:ascii="仿宋" w:eastAsia="仿宋" w:hAnsi="仿宋" w:hint="eastAsia"/>
                <w:sz w:val="24"/>
              </w:rPr>
              <w:t>《国家税务总局关于发布〈中华人民共和国非居民企业所得税年度纳税申报表〉等报表的公告》（国家税务总局公告2015年第30号）全文。</w:t>
            </w:r>
          </w:p>
          <w:p w:rsidR="00013EC7" w:rsidRDefault="00575CDB">
            <w:pPr>
              <w:rPr>
                <w:rFonts w:ascii="仿宋" w:eastAsia="仿宋" w:hAnsi="仿宋"/>
                <w:sz w:val="24"/>
              </w:rPr>
            </w:pPr>
            <w:r>
              <w:rPr>
                <w:rFonts w:ascii="仿宋" w:eastAsia="仿宋" w:hAnsi="仿宋" w:cs="宋体" w:hint="eastAsia"/>
                <w:sz w:val="24"/>
              </w:rPr>
              <w:t>（四）</w:t>
            </w:r>
            <w:r>
              <w:rPr>
                <w:rFonts w:ascii="仿宋" w:eastAsia="仿宋" w:hAnsi="仿宋" w:hint="eastAsia"/>
                <w:sz w:val="24"/>
              </w:rPr>
              <w:t>《国家税务总局关于发布〈非居民纳税人享受税收协定待遇管理办法〉的公告》（国家税务总局公告2015年第60号）全文。</w:t>
            </w:r>
          </w:p>
          <w:p w:rsidR="00013EC7" w:rsidRDefault="00575CDB">
            <w:pPr>
              <w:rPr>
                <w:rFonts w:ascii="仿宋" w:eastAsia="仿宋" w:hAnsi="仿宋"/>
                <w:sz w:val="24"/>
              </w:rPr>
            </w:pPr>
            <w:r>
              <w:rPr>
                <w:rFonts w:ascii="仿宋" w:eastAsia="仿宋" w:hAnsi="仿宋" w:cs="宋体" w:hint="eastAsia"/>
                <w:sz w:val="24"/>
              </w:rPr>
              <w:t>（五）</w:t>
            </w:r>
            <w:r>
              <w:rPr>
                <w:rFonts w:ascii="仿宋" w:eastAsia="仿宋" w:hAnsi="仿宋" w:hint="eastAsia"/>
                <w:sz w:val="24"/>
              </w:rPr>
              <w:t>《财政部 国家税务总局关于全面推开营业税改征增值税试点的通知》（财税〔2016〕36号）第六条、第二十条。</w:t>
            </w:r>
          </w:p>
          <w:p w:rsidR="00013EC7" w:rsidRDefault="00575CDB">
            <w:pPr>
              <w:rPr>
                <w:rFonts w:ascii="仿宋" w:eastAsia="仿宋" w:hAnsi="仿宋"/>
                <w:sz w:val="24"/>
              </w:rPr>
            </w:pPr>
            <w:r>
              <w:rPr>
                <w:rFonts w:ascii="仿宋" w:eastAsia="仿宋" w:hAnsi="仿宋" w:cs="宋体" w:hint="eastAsia"/>
                <w:sz w:val="24"/>
              </w:rPr>
              <w:t>（六）</w:t>
            </w:r>
            <w:r>
              <w:rPr>
                <w:rFonts w:ascii="仿宋" w:eastAsia="仿宋" w:hAnsi="仿宋" w:hint="eastAsia"/>
                <w:sz w:val="24"/>
              </w:rPr>
              <w:t>《国家税务总局关于非居民企业所得税源泉扣缴有关问题的公告》（国家税务总局公告2017年第37号）全文。</w:t>
            </w:r>
          </w:p>
        </w:tc>
        <w:tc>
          <w:tcPr>
            <w:tcW w:w="2928" w:type="dxa"/>
            <w:shd w:val="clear" w:color="auto" w:fill="auto"/>
            <w:vAlign w:val="center"/>
          </w:tcPr>
          <w:p w:rsidR="00013EC7" w:rsidRDefault="00575CDB">
            <w:pPr>
              <w:spacing w:line="300" w:lineRule="exact"/>
              <w:rPr>
                <w:rFonts w:ascii="仿宋" w:eastAsia="仿宋" w:hAnsi="仿宋" w:cs="宋体"/>
                <w:sz w:val="24"/>
              </w:rPr>
            </w:pPr>
            <w:r>
              <w:rPr>
                <w:rFonts w:ascii="仿宋" w:eastAsia="仿宋" w:hAnsi="仿宋" w:cs="宋体" w:hint="eastAsia"/>
                <w:sz w:val="24"/>
              </w:rPr>
              <w:t>（一）（A06127）《中华人民共和国扣缴企业所得税报告表》2份。</w:t>
            </w:r>
          </w:p>
        </w:tc>
        <w:tc>
          <w:tcPr>
            <w:tcW w:w="694" w:type="dxa"/>
            <w:vMerge w:val="restart"/>
            <w:shd w:val="clear" w:color="auto" w:fill="auto"/>
            <w:vAlign w:val="center"/>
          </w:tcPr>
          <w:p w:rsidR="00013EC7" w:rsidRDefault="00575CDB">
            <w:pPr>
              <w:rPr>
                <w:rFonts w:ascii="仿宋" w:eastAsia="仿宋" w:hAnsi="仿宋"/>
                <w:sz w:val="24"/>
              </w:rPr>
            </w:pPr>
            <w:r>
              <w:rPr>
                <w:rFonts w:ascii="仿宋" w:eastAsia="仿宋" w:hAnsi="仿宋" w:hint="eastAsia"/>
                <w:sz w:val="24"/>
              </w:rPr>
              <w:t>扣缴义务人提交</w:t>
            </w:r>
          </w:p>
        </w:tc>
        <w:tc>
          <w:tcPr>
            <w:tcW w:w="2310" w:type="dxa"/>
            <w:shd w:val="clear" w:color="auto" w:fill="auto"/>
            <w:vAlign w:val="center"/>
          </w:tcPr>
          <w:p w:rsidR="00013EC7" w:rsidRDefault="00575CDB">
            <w:pPr>
              <w:spacing w:line="300" w:lineRule="exact"/>
              <w:rPr>
                <w:rFonts w:ascii="仿宋" w:eastAsia="仿宋" w:hAnsi="仿宋"/>
                <w:sz w:val="24"/>
              </w:rPr>
            </w:pPr>
            <w:r>
              <w:rPr>
                <w:rFonts w:ascii="仿宋" w:eastAsia="仿宋" w:hAnsi="仿宋" w:cs="宋体" w:hint="eastAsia"/>
                <w:sz w:val="24"/>
              </w:rPr>
              <w:t>（一）</w:t>
            </w:r>
            <w:r>
              <w:rPr>
                <w:rFonts w:ascii="仿宋" w:eastAsia="仿宋" w:hAnsi="仿宋" w:cs="宋体"/>
                <w:sz w:val="24"/>
              </w:rPr>
              <w:t>（A06127）《中华人民共和国扣缴企业所得税报告表》2份</w:t>
            </w:r>
            <w:r>
              <w:rPr>
                <w:rFonts w:ascii="仿宋" w:eastAsia="仿宋" w:hAnsi="仿宋" w:cs="宋体" w:hint="eastAsia"/>
                <w:sz w:val="24"/>
              </w:rPr>
              <w:t>。</w:t>
            </w:r>
          </w:p>
        </w:tc>
        <w:tc>
          <w:tcPr>
            <w:tcW w:w="943" w:type="dxa"/>
            <w:shd w:val="clear" w:color="auto" w:fill="FFFFFF"/>
            <w:vAlign w:val="center"/>
          </w:tcPr>
          <w:p w:rsidR="00013EC7" w:rsidRDefault="00575CDB">
            <w:pPr>
              <w:rPr>
                <w:rFonts w:ascii="仿宋" w:eastAsia="仿宋" w:hAnsi="仿宋"/>
                <w:sz w:val="24"/>
              </w:rPr>
            </w:pPr>
            <w:r>
              <w:rPr>
                <w:rFonts w:ascii="仿宋" w:eastAsia="仿宋" w:hAnsi="仿宋" w:hint="eastAsia"/>
                <w:sz w:val="24"/>
              </w:rPr>
              <w:t>企业所得税扣缴义务人提交</w:t>
            </w:r>
          </w:p>
        </w:tc>
        <w:tc>
          <w:tcPr>
            <w:tcW w:w="3247" w:type="dxa"/>
            <w:vMerge w:val="restart"/>
            <w:shd w:val="clear" w:color="auto" w:fill="FFFFFF"/>
            <w:vAlign w:val="center"/>
          </w:tcPr>
          <w:p w:rsidR="00013EC7" w:rsidRDefault="00575CDB">
            <w:pPr>
              <w:spacing w:line="300" w:lineRule="exact"/>
              <w:rPr>
                <w:rFonts w:ascii="仿宋" w:eastAsia="仿宋" w:hAnsi="仿宋"/>
                <w:sz w:val="24"/>
              </w:rPr>
            </w:pPr>
            <w:r>
              <w:rPr>
                <w:rFonts w:ascii="仿宋" w:eastAsia="仿宋" w:hAnsi="仿宋" w:hint="eastAsia"/>
                <w:b/>
                <w:sz w:val="24"/>
              </w:rPr>
              <w:t>现场办理：</w:t>
            </w:r>
            <w:r>
              <w:rPr>
                <w:rFonts w:ascii="仿宋" w:eastAsia="仿宋" w:hAnsi="仿宋" w:hint="eastAsia"/>
                <w:sz w:val="24"/>
              </w:rPr>
              <w:t>扣缴义务人提交书面材料；</w:t>
            </w:r>
          </w:p>
          <w:p w:rsidR="00013EC7" w:rsidRDefault="00575CDB">
            <w:pPr>
              <w:spacing w:line="300" w:lineRule="exact"/>
              <w:rPr>
                <w:rFonts w:ascii="仿宋" w:eastAsia="仿宋" w:hAnsi="仿宋" w:cs="仿宋"/>
                <w:sz w:val="24"/>
              </w:rPr>
            </w:pPr>
            <w:r>
              <w:rPr>
                <w:rFonts w:ascii="仿宋" w:eastAsia="仿宋" w:hAnsi="仿宋" w:hint="eastAsia"/>
                <w:b/>
                <w:sz w:val="24"/>
              </w:rPr>
              <w:t>网上办理：</w:t>
            </w:r>
            <w:r>
              <w:rPr>
                <w:rFonts w:ascii="仿宋" w:eastAsia="仿宋" w:hAnsi="仿宋" w:cs="仿宋" w:hint="eastAsia"/>
                <w:sz w:val="24"/>
              </w:rPr>
              <w:t>登录浙江国税电子税务局（网址：</w:t>
            </w:r>
            <w:hyperlink r:id="rId343" w:tgtFrame="https://wx.qq.com/_blank" w:history="1">
              <w:r>
                <w:rPr>
                  <w:rFonts w:ascii="仿宋" w:eastAsia="仿宋" w:hAnsi="仿宋" w:cs="仿宋" w:hint="eastAsia"/>
                  <w:sz w:val="24"/>
                </w:rPr>
                <w:t>http://etax.zjtax.gov.cn/</w:t>
              </w:r>
            </w:hyperlink>
          </w:p>
          <w:p w:rsidR="00013EC7" w:rsidRDefault="00575CDB">
            <w:pPr>
              <w:spacing w:line="300" w:lineRule="exact"/>
              <w:rPr>
                <w:rFonts w:ascii="仿宋" w:eastAsia="仿宋" w:hAnsi="仿宋" w:cs="仿宋"/>
                <w:b/>
                <w:sz w:val="24"/>
              </w:rPr>
            </w:pPr>
            <w:r>
              <w:rPr>
                <w:rFonts w:ascii="仿宋" w:eastAsia="仿宋" w:hAnsi="仿宋" w:cs="仿宋" w:hint="eastAsia"/>
                <w:sz w:val="24"/>
              </w:rPr>
              <w:t>）提交申请。</w:t>
            </w:r>
          </w:p>
          <w:p w:rsidR="00013EC7" w:rsidRDefault="00013EC7">
            <w:pPr>
              <w:spacing w:line="300" w:lineRule="exact"/>
              <w:rPr>
                <w:rFonts w:ascii="仿宋" w:eastAsia="仿宋" w:hAnsi="仿宋"/>
                <w:sz w:val="24"/>
              </w:rPr>
            </w:pPr>
          </w:p>
        </w:tc>
        <w:tc>
          <w:tcPr>
            <w:tcW w:w="850" w:type="dxa"/>
            <w:vMerge w:val="restart"/>
            <w:shd w:val="clear" w:color="auto" w:fill="auto"/>
            <w:vAlign w:val="center"/>
          </w:tcPr>
          <w:p w:rsidR="00013EC7" w:rsidRDefault="00575CDB">
            <w:pPr>
              <w:rPr>
                <w:rFonts w:ascii="仿宋" w:eastAsia="仿宋" w:hAnsi="仿宋"/>
                <w:sz w:val="24"/>
              </w:rPr>
            </w:pPr>
            <w:r>
              <w:rPr>
                <w:rFonts w:ascii="仿宋" w:eastAsia="仿宋" w:hAnsi="仿宋" w:hint="eastAsia"/>
                <w:sz w:val="24"/>
              </w:rPr>
              <w:t>即时办结</w:t>
            </w:r>
          </w:p>
        </w:tc>
        <w:tc>
          <w:tcPr>
            <w:tcW w:w="781" w:type="dxa"/>
            <w:vMerge w:val="restart"/>
            <w:shd w:val="clear" w:color="auto" w:fill="auto"/>
            <w:vAlign w:val="center"/>
          </w:tcPr>
          <w:p w:rsidR="00013EC7" w:rsidRDefault="00575CDB">
            <w:pPr>
              <w:rPr>
                <w:rFonts w:ascii="仿宋" w:eastAsia="仿宋" w:hAnsi="仿宋"/>
                <w:sz w:val="24"/>
              </w:rPr>
            </w:pPr>
            <w:r>
              <w:rPr>
                <w:rFonts w:ascii="仿宋" w:eastAsia="仿宋" w:hAnsi="仿宋" w:hint="eastAsia"/>
                <w:sz w:val="24"/>
              </w:rPr>
              <w:t>即时办结</w:t>
            </w:r>
          </w:p>
        </w:tc>
        <w:tc>
          <w:tcPr>
            <w:tcW w:w="935" w:type="dxa"/>
            <w:vMerge w:val="restart"/>
            <w:shd w:val="clear" w:color="auto" w:fill="FFFFFF"/>
            <w:vAlign w:val="center"/>
          </w:tcPr>
          <w:p w:rsidR="00013EC7" w:rsidRDefault="00575CDB">
            <w:pPr>
              <w:rPr>
                <w:rFonts w:ascii="仿宋" w:eastAsia="仿宋" w:hAnsi="仿宋"/>
                <w:sz w:val="24"/>
              </w:rPr>
            </w:pPr>
            <w:r>
              <w:rPr>
                <w:rFonts w:ascii="仿宋" w:eastAsia="仿宋" w:hAnsi="仿宋" w:hint="eastAsia"/>
                <w:sz w:val="24"/>
              </w:rPr>
              <w:t>是</w:t>
            </w:r>
          </w:p>
        </w:tc>
        <w:tc>
          <w:tcPr>
            <w:tcW w:w="1081" w:type="dxa"/>
            <w:vMerge w:val="restart"/>
            <w:vAlign w:val="center"/>
          </w:tcPr>
          <w:p w:rsidR="00013EC7" w:rsidRDefault="00575CDB">
            <w:pPr>
              <w:spacing w:line="300" w:lineRule="exact"/>
              <w:rPr>
                <w:rFonts w:ascii="仿宋" w:eastAsia="仿宋" w:hAnsi="仿宋"/>
                <w:sz w:val="24"/>
              </w:rPr>
            </w:pPr>
            <w:r>
              <w:rPr>
                <w:rFonts w:ascii="仿宋" w:eastAsia="仿宋" w:hAnsi="仿宋" w:hint="eastAsia"/>
                <w:sz w:val="24"/>
              </w:rPr>
              <w:t>征管科技处、收入规划核算处、国际税务处</w:t>
            </w:r>
          </w:p>
        </w:tc>
        <w:tc>
          <w:tcPr>
            <w:tcW w:w="1441" w:type="dxa"/>
            <w:vMerge w:val="restart"/>
            <w:vAlign w:val="center"/>
          </w:tcPr>
          <w:p w:rsidR="00013EC7" w:rsidRDefault="00013EC7">
            <w:pPr>
              <w:rPr>
                <w:rFonts w:ascii="仿宋" w:eastAsia="仿宋" w:hAnsi="仿宋"/>
                <w:sz w:val="24"/>
              </w:rPr>
            </w:pPr>
          </w:p>
        </w:tc>
      </w:tr>
      <w:tr w:rsidR="00013EC7">
        <w:trPr>
          <w:trHeight w:val="1946"/>
          <w:jc w:val="center"/>
        </w:trPr>
        <w:tc>
          <w:tcPr>
            <w:tcW w:w="835" w:type="dxa"/>
            <w:vMerge/>
            <w:shd w:val="clear" w:color="auto" w:fill="auto"/>
            <w:vAlign w:val="center"/>
          </w:tcPr>
          <w:p w:rsidR="00013EC7" w:rsidRDefault="00013EC7">
            <w:pPr>
              <w:rPr>
                <w:rFonts w:ascii="仿宋" w:eastAsia="仿宋" w:hAnsi="仿宋"/>
                <w:sz w:val="24"/>
              </w:rPr>
            </w:pPr>
          </w:p>
        </w:tc>
        <w:tc>
          <w:tcPr>
            <w:tcW w:w="919" w:type="dxa"/>
            <w:vMerge/>
            <w:shd w:val="clear" w:color="auto" w:fill="auto"/>
            <w:vAlign w:val="center"/>
          </w:tcPr>
          <w:p w:rsidR="00013EC7" w:rsidRDefault="00013EC7">
            <w:pPr>
              <w:rPr>
                <w:rFonts w:ascii="仿宋" w:eastAsia="仿宋" w:hAnsi="仿宋"/>
                <w:color w:val="000000"/>
                <w:sz w:val="24"/>
              </w:rPr>
            </w:pPr>
          </w:p>
        </w:tc>
        <w:tc>
          <w:tcPr>
            <w:tcW w:w="3278" w:type="dxa"/>
            <w:vMerge/>
            <w:shd w:val="clear" w:color="auto" w:fill="auto"/>
            <w:vAlign w:val="center"/>
          </w:tcPr>
          <w:p w:rsidR="00013EC7" w:rsidRDefault="00013EC7">
            <w:pPr>
              <w:rPr>
                <w:rFonts w:ascii="仿宋" w:eastAsia="仿宋" w:hAnsi="仿宋"/>
                <w:sz w:val="24"/>
              </w:rPr>
            </w:pPr>
          </w:p>
        </w:tc>
        <w:tc>
          <w:tcPr>
            <w:tcW w:w="2928" w:type="dxa"/>
            <w:shd w:val="clear" w:color="auto" w:fill="auto"/>
            <w:vAlign w:val="center"/>
          </w:tcPr>
          <w:p w:rsidR="00013EC7" w:rsidRDefault="00575CDB">
            <w:pPr>
              <w:spacing w:line="300" w:lineRule="exact"/>
              <w:rPr>
                <w:rFonts w:ascii="仿宋" w:eastAsia="仿宋" w:hAnsi="仿宋" w:cs="宋体"/>
                <w:sz w:val="24"/>
              </w:rPr>
            </w:pPr>
            <w:r>
              <w:rPr>
                <w:rFonts w:ascii="仿宋" w:eastAsia="仿宋" w:hAnsi="仿宋" w:cs="宋体" w:hint="eastAsia"/>
                <w:sz w:val="24"/>
              </w:rPr>
              <w:t>（二）扣缴非居民企业增值税报送（A06132）《代扣代缴、代收代缴税款报告表》2份。</w:t>
            </w:r>
          </w:p>
        </w:tc>
        <w:tc>
          <w:tcPr>
            <w:tcW w:w="694" w:type="dxa"/>
            <w:vMerge/>
            <w:shd w:val="clear" w:color="auto" w:fill="auto"/>
            <w:vAlign w:val="center"/>
          </w:tcPr>
          <w:p w:rsidR="00013EC7" w:rsidRDefault="00013EC7">
            <w:pPr>
              <w:rPr>
                <w:rFonts w:ascii="仿宋" w:eastAsia="仿宋" w:hAnsi="仿宋"/>
                <w:sz w:val="24"/>
              </w:rPr>
            </w:pPr>
          </w:p>
        </w:tc>
        <w:tc>
          <w:tcPr>
            <w:tcW w:w="2310" w:type="dxa"/>
            <w:shd w:val="clear" w:color="auto" w:fill="auto"/>
            <w:vAlign w:val="center"/>
          </w:tcPr>
          <w:p w:rsidR="00013EC7" w:rsidRDefault="00575CDB">
            <w:pPr>
              <w:spacing w:line="300" w:lineRule="exact"/>
              <w:rPr>
                <w:rFonts w:ascii="仿宋" w:eastAsia="仿宋" w:hAnsi="仿宋"/>
                <w:sz w:val="24"/>
              </w:rPr>
            </w:pPr>
            <w:r>
              <w:rPr>
                <w:rFonts w:ascii="仿宋" w:eastAsia="仿宋" w:hAnsi="仿宋" w:cs="宋体" w:hint="eastAsia"/>
                <w:sz w:val="24"/>
              </w:rPr>
              <w:t>（二）</w:t>
            </w:r>
            <w:r>
              <w:rPr>
                <w:rFonts w:ascii="仿宋" w:eastAsia="仿宋" w:hAnsi="仿宋" w:cs="宋体"/>
                <w:sz w:val="24"/>
              </w:rPr>
              <w:t>（A06132）《代扣代缴、代收代缴税款报告表》2份</w:t>
            </w:r>
            <w:r>
              <w:rPr>
                <w:rFonts w:ascii="仿宋" w:eastAsia="仿宋" w:hAnsi="仿宋" w:cs="宋体" w:hint="eastAsia"/>
                <w:sz w:val="24"/>
              </w:rPr>
              <w:t>。</w:t>
            </w:r>
          </w:p>
        </w:tc>
        <w:tc>
          <w:tcPr>
            <w:tcW w:w="943" w:type="dxa"/>
            <w:shd w:val="clear" w:color="auto" w:fill="FFFFFF"/>
            <w:vAlign w:val="center"/>
          </w:tcPr>
          <w:p w:rsidR="00013EC7" w:rsidRDefault="00575CDB">
            <w:pPr>
              <w:rPr>
                <w:rFonts w:ascii="仿宋" w:eastAsia="仿宋" w:hAnsi="仿宋"/>
                <w:sz w:val="24"/>
              </w:rPr>
            </w:pPr>
            <w:r>
              <w:rPr>
                <w:rFonts w:ascii="仿宋" w:eastAsia="仿宋" w:hAnsi="仿宋" w:cs="宋体"/>
                <w:sz w:val="24"/>
              </w:rPr>
              <w:t>增值税</w:t>
            </w:r>
            <w:r>
              <w:rPr>
                <w:rFonts w:ascii="仿宋" w:eastAsia="仿宋" w:hAnsi="仿宋" w:hint="eastAsia"/>
                <w:sz w:val="24"/>
              </w:rPr>
              <w:t>扣缴义务人提交</w:t>
            </w:r>
          </w:p>
        </w:tc>
        <w:tc>
          <w:tcPr>
            <w:tcW w:w="3247" w:type="dxa"/>
            <w:vMerge/>
            <w:shd w:val="clear" w:color="auto" w:fill="FFFFFF"/>
            <w:vAlign w:val="center"/>
          </w:tcPr>
          <w:p w:rsidR="00013EC7" w:rsidRDefault="00013EC7">
            <w:pPr>
              <w:spacing w:line="300" w:lineRule="exact"/>
              <w:rPr>
                <w:rFonts w:ascii="仿宋" w:eastAsia="仿宋" w:hAnsi="仿宋"/>
                <w:b/>
                <w:sz w:val="24"/>
              </w:rPr>
            </w:pPr>
          </w:p>
        </w:tc>
        <w:tc>
          <w:tcPr>
            <w:tcW w:w="850" w:type="dxa"/>
            <w:vMerge/>
            <w:shd w:val="clear" w:color="auto" w:fill="auto"/>
            <w:vAlign w:val="center"/>
          </w:tcPr>
          <w:p w:rsidR="00013EC7" w:rsidRDefault="00013EC7">
            <w:pPr>
              <w:rPr>
                <w:rFonts w:ascii="仿宋" w:eastAsia="仿宋" w:hAnsi="仿宋"/>
                <w:sz w:val="24"/>
              </w:rPr>
            </w:pPr>
          </w:p>
        </w:tc>
        <w:tc>
          <w:tcPr>
            <w:tcW w:w="781" w:type="dxa"/>
            <w:vMerge/>
            <w:shd w:val="clear" w:color="auto" w:fill="auto"/>
            <w:vAlign w:val="center"/>
          </w:tcPr>
          <w:p w:rsidR="00013EC7" w:rsidRDefault="00013EC7">
            <w:pPr>
              <w:rPr>
                <w:rFonts w:ascii="仿宋" w:eastAsia="仿宋" w:hAnsi="仿宋"/>
                <w:sz w:val="24"/>
              </w:rPr>
            </w:pPr>
          </w:p>
        </w:tc>
        <w:tc>
          <w:tcPr>
            <w:tcW w:w="935" w:type="dxa"/>
            <w:vMerge/>
            <w:shd w:val="clear" w:color="auto" w:fill="FFFFFF"/>
            <w:vAlign w:val="center"/>
          </w:tcPr>
          <w:p w:rsidR="00013EC7" w:rsidRDefault="00013EC7">
            <w:pPr>
              <w:rPr>
                <w:rFonts w:ascii="仿宋" w:eastAsia="仿宋" w:hAnsi="仿宋"/>
                <w:sz w:val="24"/>
              </w:rPr>
            </w:pPr>
          </w:p>
        </w:tc>
        <w:tc>
          <w:tcPr>
            <w:tcW w:w="1081" w:type="dxa"/>
            <w:vMerge/>
            <w:vAlign w:val="center"/>
          </w:tcPr>
          <w:p w:rsidR="00013EC7" w:rsidRDefault="00013EC7">
            <w:pPr>
              <w:rPr>
                <w:rFonts w:ascii="仿宋" w:eastAsia="仿宋" w:hAnsi="仿宋"/>
                <w:sz w:val="24"/>
              </w:rPr>
            </w:pPr>
          </w:p>
        </w:tc>
        <w:tc>
          <w:tcPr>
            <w:tcW w:w="1441" w:type="dxa"/>
            <w:vMerge/>
            <w:vAlign w:val="center"/>
          </w:tcPr>
          <w:p w:rsidR="00013EC7" w:rsidRDefault="00013EC7">
            <w:pPr>
              <w:rPr>
                <w:rFonts w:ascii="仿宋" w:eastAsia="仿宋" w:hAnsi="仿宋"/>
                <w:sz w:val="24"/>
              </w:rPr>
            </w:pPr>
          </w:p>
        </w:tc>
      </w:tr>
      <w:tr w:rsidR="00013EC7">
        <w:trPr>
          <w:trHeight w:val="1668"/>
          <w:jc w:val="center"/>
        </w:trPr>
        <w:tc>
          <w:tcPr>
            <w:tcW w:w="835" w:type="dxa"/>
            <w:vMerge/>
            <w:shd w:val="clear" w:color="auto" w:fill="auto"/>
            <w:vAlign w:val="center"/>
          </w:tcPr>
          <w:p w:rsidR="00013EC7" w:rsidRDefault="00013EC7">
            <w:pPr>
              <w:rPr>
                <w:rFonts w:ascii="仿宋" w:eastAsia="仿宋" w:hAnsi="仿宋"/>
                <w:sz w:val="24"/>
              </w:rPr>
            </w:pPr>
          </w:p>
        </w:tc>
        <w:tc>
          <w:tcPr>
            <w:tcW w:w="919" w:type="dxa"/>
            <w:vMerge/>
            <w:shd w:val="clear" w:color="auto" w:fill="auto"/>
            <w:vAlign w:val="center"/>
          </w:tcPr>
          <w:p w:rsidR="00013EC7" w:rsidRDefault="00013EC7">
            <w:pPr>
              <w:rPr>
                <w:rFonts w:ascii="仿宋" w:eastAsia="仿宋" w:hAnsi="仿宋"/>
                <w:color w:val="000000"/>
                <w:sz w:val="24"/>
              </w:rPr>
            </w:pPr>
          </w:p>
        </w:tc>
        <w:tc>
          <w:tcPr>
            <w:tcW w:w="3278" w:type="dxa"/>
            <w:vMerge/>
            <w:shd w:val="clear" w:color="auto" w:fill="auto"/>
            <w:vAlign w:val="center"/>
          </w:tcPr>
          <w:p w:rsidR="00013EC7" w:rsidRDefault="00013EC7">
            <w:pPr>
              <w:rPr>
                <w:rFonts w:ascii="仿宋" w:eastAsia="仿宋" w:hAnsi="仿宋"/>
                <w:sz w:val="24"/>
              </w:rPr>
            </w:pPr>
          </w:p>
        </w:tc>
        <w:tc>
          <w:tcPr>
            <w:tcW w:w="2928" w:type="dxa"/>
            <w:shd w:val="clear" w:color="auto" w:fill="auto"/>
            <w:vAlign w:val="center"/>
          </w:tcPr>
          <w:p w:rsidR="00013EC7" w:rsidRDefault="00575CDB">
            <w:pPr>
              <w:spacing w:line="300" w:lineRule="exact"/>
              <w:rPr>
                <w:rFonts w:ascii="仿宋" w:eastAsia="仿宋" w:hAnsi="仿宋" w:cs="宋体"/>
                <w:sz w:val="24"/>
              </w:rPr>
            </w:pPr>
            <w:r>
              <w:rPr>
                <w:rFonts w:ascii="仿宋" w:eastAsia="仿宋" w:hAnsi="仿宋" w:cs="宋体" w:hint="eastAsia"/>
                <w:sz w:val="24"/>
              </w:rPr>
              <w:t>（三）工程（劳务）决算（结算）报告等说明材料。</w:t>
            </w:r>
          </w:p>
        </w:tc>
        <w:tc>
          <w:tcPr>
            <w:tcW w:w="694" w:type="dxa"/>
            <w:vMerge/>
            <w:shd w:val="clear" w:color="auto" w:fill="auto"/>
            <w:vAlign w:val="center"/>
          </w:tcPr>
          <w:p w:rsidR="00013EC7" w:rsidRDefault="00013EC7">
            <w:pPr>
              <w:rPr>
                <w:rFonts w:ascii="仿宋" w:eastAsia="仿宋" w:hAnsi="仿宋"/>
                <w:sz w:val="24"/>
              </w:rPr>
            </w:pPr>
          </w:p>
        </w:tc>
        <w:tc>
          <w:tcPr>
            <w:tcW w:w="2310" w:type="dxa"/>
            <w:shd w:val="clear" w:color="auto" w:fill="auto"/>
            <w:vAlign w:val="center"/>
          </w:tcPr>
          <w:p w:rsidR="00013EC7" w:rsidRDefault="00575CDB">
            <w:pPr>
              <w:spacing w:line="300" w:lineRule="exact"/>
              <w:rPr>
                <w:rFonts w:ascii="仿宋" w:eastAsia="仿宋" w:hAnsi="仿宋"/>
                <w:sz w:val="24"/>
              </w:rPr>
            </w:pPr>
            <w:r>
              <w:rPr>
                <w:rFonts w:ascii="仿宋" w:eastAsia="仿宋" w:hAnsi="仿宋" w:cs="宋体" w:hint="eastAsia"/>
                <w:sz w:val="24"/>
              </w:rPr>
              <w:t>（三）</w:t>
            </w:r>
            <w:r>
              <w:rPr>
                <w:rFonts w:ascii="仿宋" w:eastAsia="仿宋" w:hAnsi="仿宋" w:cs="宋体"/>
                <w:sz w:val="24"/>
              </w:rPr>
              <w:t>工程（劳务）决算（结算）报告等说明材料</w:t>
            </w:r>
            <w:r>
              <w:rPr>
                <w:rFonts w:ascii="仿宋" w:eastAsia="仿宋" w:hAnsi="仿宋" w:cs="宋体" w:hint="eastAsia"/>
                <w:sz w:val="24"/>
              </w:rPr>
              <w:t>。</w:t>
            </w:r>
          </w:p>
        </w:tc>
        <w:tc>
          <w:tcPr>
            <w:tcW w:w="943" w:type="dxa"/>
            <w:vMerge w:val="restart"/>
            <w:shd w:val="clear" w:color="auto" w:fill="FFFFFF"/>
            <w:vAlign w:val="center"/>
          </w:tcPr>
          <w:p w:rsidR="00013EC7" w:rsidRDefault="00575CDB">
            <w:pPr>
              <w:rPr>
                <w:rFonts w:ascii="仿宋" w:eastAsia="仿宋" w:hAnsi="仿宋"/>
                <w:sz w:val="24"/>
              </w:rPr>
            </w:pPr>
            <w:r>
              <w:rPr>
                <w:rFonts w:ascii="仿宋" w:eastAsia="仿宋" w:hAnsi="仿宋" w:hint="eastAsia"/>
                <w:sz w:val="24"/>
              </w:rPr>
              <w:t>指定扣缴义务人提交</w:t>
            </w:r>
          </w:p>
        </w:tc>
        <w:tc>
          <w:tcPr>
            <w:tcW w:w="3247" w:type="dxa"/>
            <w:vMerge/>
            <w:shd w:val="clear" w:color="auto" w:fill="FFFFFF"/>
            <w:vAlign w:val="center"/>
          </w:tcPr>
          <w:p w:rsidR="00013EC7" w:rsidRDefault="00013EC7">
            <w:pPr>
              <w:spacing w:line="300" w:lineRule="exact"/>
              <w:rPr>
                <w:rFonts w:ascii="仿宋" w:eastAsia="仿宋" w:hAnsi="仿宋"/>
                <w:b/>
                <w:sz w:val="24"/>
              </w:rPr>
            </w:pPr>
          </w:p>
        </w:tc>
        <w:tc>
          <w:tcPr>
            <w:tcW w:w="850" w:type="dxa"/>
            <w:vMerge/>
            <w:shd w:val="clear" w:color="auto" w:fill="auto"/>
            <w:vAlign w:val="center"/>
          </w:tcPr>
          <w:p w:rsidR="00013EC7" w:rsidRDefault="00013EC7">
            <w:pPr>
              <w:rPr>
                <w:rFonts w:ascii="仿宋" w:eastAsia="仿宋" w:hAnsi="仿宋"/>
                <w:sz w:val="24"/>
              </w:rPr>
            </w:pPr>
          </w:p>
        </w:tc>
        <w:tc>
          <w:tcPr>
            <w:tcW w:w="781" w:type="dxa"/>
            <w:vMerge/>
            <w:shd w:val="clear" w:color="auto" w:fill="auto"/>
            <w:vAlign w:val="center"/>
          </w:tcPr>
          <w:p w:rsidR="00013EC7" w:rsidRDefault="00013EC7">
            <w:pPr>
              <w:rPr>
                <w:rFonts w:ascii="仿宋" w:eastAsia="仿宋" w:hAnsi="仿宋"/>
                <w:sz w:val="24"/>
              </w:rPr>
            </w:pPr>
          </w:p>
        </w:tc>
        <w:tc>
          <w:tcPr>
            <w:tcW w:w="935" w:type="dxa"/>
            <w:vMerge/>
            <w:shd w:val="clear" w:color="auto" w:fill="FFFFFF"/>
            <w:vAlign w:val="center"/>
          </w:tcPr>
          <w:p w:rsidR="00013EC7" w:rsidRDefault="00013EC7">
            <w:pPr>
              <w:rPr>
                <w:rFonts w:ascii="仿宋" w:eastAsia="仿宋" w:hAnsi="仿宋"/>
                <w:sz w:val="24"/>
              </w:rPr>
            </w:pPr>
          </w:p>
        </w:tc>
        <w:tc>
          <w:tcPr>
            <w:tcW w:w="1081" w:type="dxa"/>
            <w:vMerge/>
            <w:vAlign w:val="center"/>
          </w:tcPr>
          <w:p w:rsidR="00013EC7" w:rsidRDefault="00013EC7">
            <w:pPr>
              <w:rPr>
                <w:rFonts w:ascii="仿宋" w:eastAsia="仿宋" w:hAnsi="仿宋"/>
                <w:sz w:val="24"/>
              </w:rPr>
            </w:pPr>
          </w:p>
        </w:tc>
        <w:tc>
          <w:tcPr>
            <w:tcW w:w="1441" w:type="dxa"/>
            <w:vMerge/>
            <w:vAlign w:val="center"/>
          </w:tcPr>
          <w:p w:rsidR="00013EC7" w:rsidRDefault="00013EC7">
            <w:pPr>
              <w:rPr>
                <w:rFonts w:ascii="仿宋" w:eastAsia="仿宋" w:hAnsi="仿宋"/>
                <w:sz w:val="24"/>
              </w:rPr>
            </w:pPr>
          </w:p>
        </w:tc>
      </w:tr>
      <w:tr w:rsidR="00013EC7">
        <w:trPr>
          <w:trHeight w:val="2206"/>
          <w:jc w:val="center"/>
        </w:trPr>
        <w:tc>
          <w:tcPr>
            <w:tcW w:w="835" w:type="dxa"/>
            <w:vMerge/>
            <w:shd w:val="clear" w:color="auto" w:fill="auto"/>
            <w:vAlign w:val="center"/>
          </w:tcPr>
          <w:p w:rsidR="00013EC7" w:rsidRDefault="00013EC7">
            <w:pPr>
              <w:rPr>
                <w:rFonts w:ascii="仿宋" w:eastAsia="仿宋" w:hAnsi="仿宋"/>
                <w:sz w:val="24"/>
              </w:rPr>
            </w:pPr>
          </w:p>
        </w:tc>
        <w:tc>
          <w:tcPr>
            <w:tcW w:w="919" w:type="dxa"/>
            <w:vMerge/>
            <w:shd w:val="clear" w:color="auto" w:fill="auto"/>
            <w:vAlign w:val="center"/>
          </w:tcPr>
          <w:p w:rsidR="00013EC7" w:rsidRDefault="00013EC7">
            <w:pPr>
              <w:rPr>
                <w:rFonts w:ascii="仿宋" w:eastAsia="仿宋" w:hAnsi="仿宋"/>
                <w:color w:val="000000"/>
                <w:sz w:val="24"/>
              </w:rPr>
            </w:pPr>
          </w:p>
        </w:tc>
        <w:tc>
          <w:tcPr>
            <w:tcW w:w="3278" w:type="dxa"/>
            <w:vMerge/>
            <w:shd w:val="clear" w:color="auto" w:fill="auto"/>
            <w:vAlign w:val="center"/>
          </w:tcPr>
          <w:p w:rsidR="00013EC7" w:rsidRDefault="00013EC7">
            <w:pPr>
              <w:rPr>
                <w:rFonts w:ascii="仿宋" w:eastAsia="仿宋" w:hAnsi="仿宋"/>
                <w:sz w:val="24"/>
              </w:rPr>
            </w:pPr>
          </w:p>
        </w:tc>
        <w:tc>
          <w:tcPr>
            <w:tcW w:w="2928" w:type="dxa"/>
            <w:shd w:val="clear" w:color="auto" w:fill="auto"/>
            <w:vAlign w:val="center"/>
          </w:tcPr>
          <w:p w:rsidR="00013EC7" w:rsidRDefault="00575CDB">
            <w:pPr>
              <w:spacing w:line="300" w:lineRule="exact"/>
              <w:rPr>
                <w:rFonts w:ascii="仿宋" w:eastAsia="仿宋" w:hAnsi="仿宋" w:cs="宋体"/>
                <w:sz w:val="24"/>
              </w:rPr>
            </w:pPr>
            <w:r>
              <w:rPr>
                <w:rFonts w:ascii="仿宋" w:eastAsia="仿宋" w:hAnsi="仿宋" w:cs="宋体" w:hint="eastAsia"/>
                <w:sz w:val="24"/>
              </w:rPr>
              <w:t>（四）参与工程或劳务作业或提供加工、修理修配的外籍人员的姓名、国际、出入境时间、在华工作时间、地点、内容、报酬标准、支付方式、相关费用等情况。</w:t>
            </w:r>
          </w:p>
        </w:tc>
        <w:tc>
          <w:tcPr>
            <w:tcW w:w="694" w:type="dxa"/>
            <w:vMerge/>
            <w:shd w:val="clear" w:color="auto" w:fill="auto"/>
            <w:vAlign w:val="center"/>
          </w:tcPr>
          <w:p w:rsidR="00013EC7" w:rsidRDefault="00013EC7">
            <w:pPr>
              <w:rPr>
                <w:rFonts w:ascii="仿宋" w:eastAsia="仿宋" w:hAnsi="仿宋"/>
                <w:sz w:val="24"/>
              </w:rPr>
            </w:pPr>
          </w:p>
        </w:tc>
        <w:tc>
          <w:tcPr>
            <w:tcW w:w="2310" w:type="dxa"/>
            <w:shd w:val="clear" w:color="auto" w:fill="auto"/>
            <w:vAlign w:val="center"/>
          </w:tcPr>
          <w:p w:rsidR="00013EC7" w:rsidRDefault="00575CDB">
            <w:pPr>
              <w:spacing w:line="300" w:lineRule="exact"/>
              <w:rPr>
                <w:rFonts w:ascii="仿宋" w:eastAsia="仿宋" w:hAnsi="仿宋"/>
                <w:sz w:val="24"/>
              </w:rPr>
            </w:pPr>
            <w:r>
              <w:rPr>
                <w:rFonts w:ascii="仿宋" w:eastAsia="仿宋" w:hAnsi="仿宋" w:cs="宋体" w:hint="eastAsia"/>
                <w:sz w:val="24"/>
              </w:rPr>
              <w:t>（四）</w:t>
            </w:r>
            <w:r>
              <w:rPr>
                <w:rFonts w:ascii="仿宋" w:eastAsia="仿宋" w:hAnsi="仿宋" w:cs="宋体"/>
                <w:sz w:val="24"/>
              </w:rPr>
              <w:t>参与工程或劳务作业或提供加工、修理修配的外籍人员的姓名、国际、出入境时间、在华工作时间、地点、内容、报酬标准、支付方式、相关费用等情况。</w:t>
            </w:r>
          </w:p>
        </w:tc>
        <w:tc>
          <w:tcPr>
            <w:tcW w:w="943" w:type="dxa"/>
            <w:vMerge/>
            <w:shd w:val="clear" w:color="auto" w:fill="FFFFFF"/>
            <w:vAlign w:val="center"/>
          </w:tcPr>
          <w:p w:rsidR="00013EC7" w:rsidRDefault="00013EC7">
            <w:pPr>
              <w:rPr>
                <w:rFonts w:ascii="仿宋" w:eastAsia="仿宋" w:hAnsi="仿宋"/>
                <w:sz w:val="24"/>
              </w:rPr>
            </w:pPr>
          </w:p>
        </w:tc>
        <w:tc>
          <w:tcPr>
            <w:tcW w:w="3247" w:type="dxa"/>
            <w:vMerge/>
            <w:shd w:val="clear" w:color="auto" w:fill="FFFFFF"/>
            <w:vAlign w:val="center"/>
          </w:tcPr>
          <w:p w:rsidR="00013EC7" w:rsidRDefault="00013EC7">
            <w:pPr>
              <w:spacing w:line="300" w:lineRule="exact"/>
              <w:rPr>
                <w:rFonts w:ascii="仿宋" w:eastAsia="仿宋" w:hAnsi="仿宋"/>
                <w:b/>
                <w:sz w:val="24"/>
              </w:rPr>
            </w:pPr>
          </w:p>
        </w:tc>
        <w:tc>
          <w:tcPr>
            <w:tcW w:w="850" w:type="dxa"/>
            <w:vMerge/>
            <w:shd w:val="clear" w:color="auto" w:fill="auto"/>
            <w:vAlign w:val="center"/>
          </w:tcPr>
          <w:p w:rsidR="00013EC7" w:rsidRDefault="00013EC7">
            <w:pPr>
              <w:rPr>
                <w:rFonts w:ascii="仿宋" w:eastAsia="仿宋" w:hAnsi="仿宋"/>
                <w:sz w:val="24"/>
              </w:rPr>
            </w:pPr>
          </w:p>
        </w:tc>
        <w:tc>
          <w:tcPr>
            <w:tcW w:w="781" w:type="dxa"/>
            <w:vMerge/>
            <w:shd w:val="clear" w:color="auto" w:fill="auto"/>
            <w:vAlign w:val="center"/>
          </w:tcPr>
          <w:p w:rsidR="00013EC7" w:rsidRDefault="00013EC7">
            <w:pPr>
              <w:rPr>
                <w:rFonts w:ascii="仿宋" w:eastAsia="仿宋" w:hAnsi="仿宋"/>
                <w:sz w:val="24"/>
              </w:rPr>
            </w:pPr>
          </w:p>
        </w:tc>
        <w:tc>
          <w:tcPr>
            <w:tcW w:w="935" w:type="dxa"/>
            <w:vMerge/>
            <w:shd w:val="clear" w:color="auto" w:fill="FFFFFF"/>
            <w:vAlign w:val="center"/>
          </w:tcPr>
          <w:p w:rsidR="00013EC7" w:rsidRDefault="00013EC7">
            <w:pPr>
              <w:rPr>
                <w:rFonts w:ascii="仿宋" w:eastAsia="仿宋" w:hAnsi="仿宋"/>
                <w:sz w:val="24"/>
              </w:rPr>
            </w:pPr>
          </w:p>
        </w:tc>
        <w:tc>
          <w:tcPr>
            <w:tcW w:w="1081" w:type="dxa"/>
            <w:vMerge/>
            <w:vAlign w:val="center"/>
          </w:tcPr>
          <w:p w:rsidR="00013EC7" w:rsidRDefault="00013EC7">
            <w:pPr>
              <w:rPr>
                <w:rFonts w:ascii="仿宋" w:eastAsia="仿宋" w:hAnsi="仿宋"/>
                <w:sz w:val="24"/>
              </w:rPr>
            </w:pPr>
          </w:p>
        </w:tc>
        <w:tc>
          <w:tcPr>
            <w:tcW w:w="1441" w:type="dxa"/>
            <w:vMerge/>
            <w:vAlign w:val="center"/>
          </w:tcPr>
          <w:p w:rsidR="00013EC7" w:rsidRDefault="00013EC7">
            <w:pPr>
              <w:rPr>
                <w:rFonts w:ascii="仿宋" w:eastAsia="仿宋" w:hAnsi="仿宋"/>
                <w:sz w:val="24"/>
              </w:rPr>
            </w:pPr>
          </w:p>
        </w:tc>
      </w:tr>
    </w:tbl>
    <w:p w:rsidR="00013EC7" w:rsidRDefault="00013EC7">
      <w:pPr>
        <w:rPr>
          <w:rFonts w:ascii="仿宋" w:eastAsia="仿宋" w:hAnsi="仿宋"/>
          <w:sz w:val="24"/>
        </w:rPr>
      </w:pPr>
    </w:p>
    <w:p w:rsidR="00013EC7" w:rsidRDefault="00013EC7">
      <w:pPr>
        <w:rPr>
          <w:rFonts w:ascii="仿宋" w:eastAsia="仿宋" w:hAnsi="仿宋"/>
          <w:sz w:val="24"/>
        </w:rPr>
      </w:pPr>
    </w:p>
    <w:p w:rsidR="00013EC7" w:rsidRDefault="005262E6">
      <w:r>
        <w:rPr>
          <w:rFonts w:ascii="宋体" w:hAnsi="宋体" w:cs="宋体"/>
          <w:kern w:val="0"/>
          <w:sz w:val="24"/>
        </w:rPr>
        <w:lastRenderedPageBreak/>
        <w:object w:dxaOrig="1440" w:dyaOrig="1440">
          <v:shape id="_x0000_s1417" type="#_x0000_t75" alt="5928676981508729125595" style="position:absolute;left:0;text-align:left;margin-left:501.45pt;margin-top:-14.25pt;width:523.5pt;height:651.05pt;z-index:251744256;mso-wrap-distance-left:9pt;mso-wrap-distance-top:0;mso-wrap-distance-right:9pt;mso-wrap-distance-bottom:0;mso-width-relative:page;mso-height-relative:page">
            <v:imagedata r:id="rId344" o:title=""/>
            <w10:wrap type="square"/>
          </v:shape>
          <o:OLEObject Type="Embed" ProgID="Visio.Drawing.11" ShapeID="_x0000_s1417" DrawAspect="Content" ObjectID="_1577296269" r:id="rId345"/>
        </w:object>
      </w:r>
      <w:r w:rsidR="00575CDB">
        <w:rPr>
          <w:rFonts w:ascii="Calibri" w:hAnsi="Calibri"/>
          <w:szCs w:val="22"/>
        </w:rPr>
        <w:object w:dxaOrig="8227" w:dyaOrig="9652">
          <v:shape id="_x0000_i1734" type="#_x0000_t75" style="width:411.35pt;height:482.6pt" o:ole="">
            <v:imagedata r:id="rId346" o:title=""/>
          </v:shape>
          <o:OLEObject Type="Embed" ProgID="Visio.Drawing.11" ShapeID="_x0000_i1734" DrawAspect="Content" ObjectID="_1577296120" r:id="rId347"/>
        </w:object>
      </w:r>
    </w:p>
    <w:p w:rsidR="00013EC7" w:rsidRDefault="00013EC7">
      <w:pPr>
        <w:jc w:val="left"/>
        <w:rPr>
          <w:rFonts w:ascii="宋体" w:hAnsi="宋体" w:cs="宋体"/>
          <w:bCs/>
          <w:sz w:val="28"/>
          <w:szCs w:val="28"/>
        </w:rPr>
      </w:pPr>
    </w:p>
    <w:p w:rsidR="00013EC7" w:rsidRDefault="00013EC7">
      <w:pPr>
        <w:jc w:val="left"/>
        <w:rPr>
          <w:rFonts w:ascii="宋体" w:hAnsi="宋体" w:cs="宋体"/>
          <w:bCs/>
          <w:sz w:val="28"/>
          <w:szCs w:val="28"/>
        </w:rPr>
      </w:pPr>
    </w:p>
    <w:p w:rsidR="00013EC7" w:rsidRDefault="00013EC7">
      <w:pPr>
        <w:jc w:val="left"/>
        <w:rPr>
          <w:rFonts w:ascii="宋体" w:hAnsi="宋体" w:cs="宋体"/>
          <w:bCs/>
          <w:sz w:val="28"/>
          <w:szCs w:val="28"/>
        </w:rPr>
      </w:pPr>
    </w:p>
    <w:p w:rsidR="00013EC7" w:rsidRDefault="00013EC7">
      <w:pPr>
        <w:jc w:val="left"/>
        <w:rPr>
          <w:rFonts w:ascii="宋体" w:hAnsi="宋体" w:cs="宋体"/>
          <w:bCs/>
          <w:sz w:val="28"/>
          <w:szCs w:val="28"/>
        </w:rPr>
      </w:pPr>
    </w:p>
    <w:p w:rsidR="00013EC7" w:rsidRDefault="00013EC7">
      <w:pPr>
        <w:jc w:val="left"/>
        <w:rPr>
          <w:rFonts w:ascii="宋体" w:hAnsi="宋体" w:cs="宋体"/>
          <w:bCs/>
          <w:sz w:val="28"/>
          <w:szCs w:val="28"/>
        </w:rPr>
      </w:pPr>
    </w:p>
    <w:p w:rsidR="00013EC7" w:rsidRDefault="00575CDB">
      <w:pPr>
        <w:pStyle w:val="2"/>
      </w:pPr>
      <w:bookmarkStart w:id="416" w:name="_Toc16186"/>
      <w:bookmarkStart w:id="417" w:name="_Toc503467449"/>
      <w:bookmarkStart w:id="418" w:name="_Toc24497"/>
      <w:bookmarkStart w:id="419" w:name="_Toc8404"/>
      <w:r>
        <w:rPr>
          <w:rFonts w:hint="eastAsia"/>
        </w:rPr>
        <w:lastRenderedPageBreak/>
        <w:t>20.3</w:t>
      </w:r>
      <w:r>
        <w:rPr>
          <w:rFonts w:hint="eastAsia"/>
        </w:rPr>
        <w:t>扣缴个人所得税申报（储蓄存款利息所得扣缴）</w:t>
      </w:r>
      <w:bookmarkEnd w:id="416"/>
      <w:bookmarkEnd w:id="417"/>
      <w:bookmarkEnd w:id="418"/>
      <w:bookmarkEnd w:id="419"/>
    </w:p>
    <w:p w:rsidR="00013EC7" w:rsidRDefault="00575CDB">
      <w:pPr>
        <w:jc w:val="center"/>
        <w:rPr>
          <w:rFonts w:ascii="宋体" w:hAnsi="宋体" w:cs="宋体"/>
          <w:b/>
          <w:bCs/>
          <w:sz w:val="52"/>
          <w:szCs w:val="52"/>
        </w:rPr>
      </w:pPr>
      <w:r>
        <w:rPr>
          <w:rFonts w:ascii="宋体" w:hAnsi="宋体" w:cs="宋体" w:hint="eastAsia"/>
          <w:b/>
          <w:bCs/>
          <w:sz w:val="52"/>
          <w:szCs w:val="52"/>
        </w:rPr>
        <w:t>全省“最多跑一次”事项“八统一”梳理表</w:t>
      </w:r>
    </w:p>
    <w:tbl>
      <w:tblPr>
        <w:tblW w:w="19845"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2114"/>
        <w:gridCol w:w="2785"/>
        <w:gridCol w:w="1118"/>
        <w:gridCol w:w="2634"/>
        <w:gridCol w:w="965"/>
        <w:gridCol w:w="3318"/>
        <w:gridCol w:w="868"/>
        <w:gridCol w:w="957"/>
        <w:gridCol w:w="799"/>
        <w:gridCol w:w="1104"/>
        <w:gridCol w:w="1476"/>
      </w:tblGrid>
      <w:tr w:rsidR="00013EC7">
        <w:trPr>
          <w:trHeight w:val="340"/>
          <w:tblHeader/>
          <w:jc w:val="center"/>
        </w:trPr>
        <w:tc>
          <w:tcPr>
            <w:tcW w:w="672" w:type="dxa"/>
            <w:vMerge w:val="restart"/>
            <w:vAlign w:val="center"/>
          </w:tcPr>
          <w:p w:rsidR="00013EC7" w:rsidRDefault="00575CDB">
            <w:pPr>
              <w:spacing w:line="280" w:lineRule="exact"/>
              <w:jc w:val="center"/>
              <w:rPr>
                <w:rFonts w:ascii="黑体" w:eastAsia="黑体" w:hAnsi="黑体" w:cs="黑体"/>
                <w:bCs/>
                <w:sz w:val="24"/>
              </w:rPr>
            </w:pPr>
            <w:r>
              <w:rPr>
                <w:rFonts w:ascii="黑体" w:eastAsia="黑体" w:hAnsi="黑体" w:cs="黑体" w:hint="eastAsia"/>
                <w:bCs/>
                <w:sz w:val="24"/>
              </w:rPr>
              <w:t>主项名称</w:t>
            </w:r>
          </w:p>
        </w:tc>
        <w:tc>
          <w:tcPr>
            <w:tcW w:w="1035" w:type="dxa"/>
            <w:vMerge w:val="restart"/>
            <w:vAlign w:val="center"/>
          </w:tcPr>
          <w:p w:rsidR="00013EC7" w:rsidRDefault="00575CDB">
            <w:pPr>
              <w:spacing w:line="280" w:lineRule="exact"/>
              <w:jc w:val="center"/>
              <w:rPr>
                <w:rFonts w:ascii="黑体" w:eastAsia="黑体" w:hAnsi="黑体" w:cs="黑体"/>
                <w:bCs/>
                <w:sz w:val="24"/>
              </w:rPr>
            </w:pPr>
            <w:r>
              <w:rPr>
                <w:rFonts w:ascii="黑体" w:eastAsia="黑体" w:hAnsi="黑体" w:cs="黑体" w:hint="eastAsia"/>
                <w:bCs/>
                <w:sz w:val="24"/>
              </w:rPr>
              <w:t>子项名称</w:t>
            </w:r>
          </w:p>
        </w:tc>
        <w:tc>
          <w:tcPr>
            <w:tcW w:w="2114" w:type="dxa"/>
            <w:vMerge w:val="restart"/>
            <w:vAlign w:val="center"/>
          </w:tcPr>
          <w:p w:rsidR="00013EC7" w:rsidRDefault="00575CDB">
            <w:pPr>
              <w:spacing w:line="280" w:lineRule="exact"/>
              <w:jc w:val="center"/>
              <w:rPr>
                <w:rFonts w:ascii="黑体" w:eastAsia="黑体" w:hAnsi="黑体" w:cs="黑体"/>
                <w:bCs/>
                <w:sz w:val="24"/>
              </w:rPr>
            </w:pPr>
            <w:r>
              <w:rPr>
                <w:rFonts w:ascii="黑体" w:eastAsia="黑体" w:hAnsi="黑体" w:cs="黑体" w:hint="eastAsia"/>
                <w:bCs/>
                <w:sz w:val="24"/>
              </w:rPr>
              <w:t>经办依据</w:t>
            </w:r>
          </w:p>
        </w:tc>
        <w:tc>
          <w:tcPr>
            <w:tcW w:w="3903" w:type="dxa"/>
            <w:gridSpan w:val="2"/>
            <w:vAlign w:val="center"/>
          </w:tcPr>
          <w:p w:rsidR="00013EC7" w:rsidRDefault="00575CDB">
            <w:pPr>
              <w:spacing w:line="280" w:lineRule="exact"/>
              <w:jc w:val="center"/>
              <w:rPr>
                <w:rFonts w:ascii="黑体" w:eastAsia="黑体" w:hAnsi="黑体" w:cs="黑体"/>
                <w:bCs/>
                <w:sz w:val="24"/>
              </w:rPr>
            </w:pPr>
            <w:r>
              <w:rPr>
                <w:rFonts w:ascii="黑体" w:eastAsia="黑体" w:hAnsi="黑体" w:cs="黑体" w:hint="eastAsia"/>
                <w:bCs/>
                <w:sz w:val="24"/>
              </w:rPr>
              <w:t>原经办所需材料</w:t>
            </w:r>
          </w:p>
        </w:tc>
        <w:tc>
          <w:tcPr>
            <w:tcW w:w="6917" w:type="dxa"/>
            <w:gridSpan w:val="3"/>
            <w:vAlign w:val="center"/>
          </w:tcPr>
          <w:p w:rsidR="00013EC7" w:rsidRDefault="00575CDB">
            <w:pPr>
              <w:spacing w:line="280" w:lineRule="exact"/>
              <w:jc w:val="center"/>
              <w:rPr>
                <w:rFonts w:ascii="黑体" w:eastAsia="黑体" w:hAnsi="黑体" w:cs="黑体"/>
                <w:bCs/>
                <w:sz w:val="24"/>
              </w:rPr>
            </w:pPr>
            <w:r>
              <w:rPr>
                <w:rFonts w:ascii="黑体" w:eastAsia="黑体" w:hAnsi="黑体" w:cs="黑体" w:hint="eastAsia"/>
                <w:bCs/>
                <w:sz w:val="24"/>
              </w:rPr>
              <w:t>精简后经办所需材料</w:t>
            </w:r>
          </w:p>
        </w:tc>
        <w:tc>
          <w:tcPr>
            <w:tcW w:w="1825" w:type="dxa"/>
            <w:gridSpan w:val="2"/>
            <w:vAlign w:val="center"/>
          </w:tcPr>
          <w:p w:rsidR="00013EC7" w:rsidRDefault="00575CDB">
            <w:pPr>
              <w:spacing w:line="280" w:lineRule="exact"/>
              <w:jc w:val="center"/>
              <w:rPr>
                <w:rFonts w:ascii="黑体" w:eastAsia="黑体" w:hAnsi="黑体" w:cs="黑体"/>
                <w:bCs/>
                <w:sz w:val="24"/>
              </w:rPr>
            </w:pPr>
            <w:r>
              <w:rPr>
                <w:rFonts w:ascii="黑体" w:eastAsia="黑体" w:hAnsi="黑体" w:cs="黑体" w:hint="eastAsia"/>
                <w:bCs/>
                <w:sz w:val="24"/>
              </w:rPr>
              <w:t>办理时限</w:t>
            </w:r>
          </w:p>
        </w:tc>
        <w:tc>
          <w:tcPr>
            <w:tcW w:w="799" w:type="dxa"/>
            <w:vMerge w:val="restart"/>
            <w:vAlign w:val="center"/>
          </w:tcPr>
          <w:p w:rsidR="00013EC7" w:rsidRDefault="00575CDB">
            <w:pPr>
              <w:spacing w:line="280" w:lineRule="exact"/>
              <w:jc w:val="center"/>
              <w:rPr>
                <w:rFonts w:ascii="黑体" w:eastAsia="黑体" w:hAnsi="黑体" w:cs="黑体"/>
                <w:bCs/>
                <w:sz w:val="24"/>
              </w:rPr>
            </w:pPr>
            <w:r>
              <w:rPr>
                <w:rFonts w:ascii="黑体" w:eastAsia="黑体" w:hAnsi="黑体" w:cs="黑体" w:hint="eastAsia"/>
                <w:bCs/>
                <w:sz w:val="24"/>
              </w:rPr>
              <w:t>是否实现跑零次</w:t>
            </w:r>
          </w:p>
        </w:tc>
        <w:tc>
          <w:tcPr>
            <w:tcW w:w="1104" w:type="dxa"/>
            <w:vMerge w:val="restart"/>
            <w:vAlign w:val="center"/>
          </w:tcPr>
          <w:p w:rsidR="00013EC7" w:rsidRDefault="00575CDB">
            <w:pPr>
              <w:spacing w:line="280" w:lineRule="exact"/>
              <w:jc w:val="center"/>
              <w:rPr>
                <w:rFonts w:ascii="黑体" w:eastAsia="黑体" w:hAnsi="黑体" w:cs="黑体"/>
                <w:bCs/>
                <w:sz w:val="24"/>
              </w:rPr>
            </w:pPr>
            <w:r>
              <w:rPr>
                <w:rFonts w:ascii="黑体" w:eastAsia="黑体" w:hAnsi="黑体" w:cs="黑体" w:hint="eastAsia"/>
                <w:bCs/>
                <w:sz w:val="24"/>
              </w:rPr>
              <w:t>省厅对口</w:t>
            </w:r>
          </w:p>
          <w:p w:rsidR="00013EC7" w:rsidRDefault="00575CDB">
            <w:pPr>
              <w:spacing w:line="280" w:lineRule="exact"/>
              <w:jc w:val="center"/>
              <w:rPr>
                <w:rFonts w:ascii="黑体" w:eastAsia="黑体" w:hAnsi="黑体" w:cs="黑体"/>
                <w:bCs/>
                <w:sz w:val="24"/>
              </w:rPr>
            </w:pPr>
            <w:r>
              <w:rPr>
                <w:rFonts w:ascii="黑体" w:eastAsia="黑体" w:hAnsi="黑体" w:cs="黑体" w:hint="eastAsia"/>
                <w:bCs/>
                <w:sz w:val="24"/>
              </w:rPr>
              <w:t>指导处室</w:t>
            </w:r>
          </w:p>
          <w:p w:rsidR="00013EC7" w:rsidRDefault="00575CDB">
            <w:pPr>
              <w:spacing w:line="280" w:lineRule="exact"/>
              <w:jc w:val="center"/>
              <w:rPr>
                <w:rFonts w:ascii="黑体" w:eastAsia="黑体" w:hAnsi="黑体" w:cs="黑体"/>
                <w:bCs/>
                <w:sz w:val="24"/>
              </w:rPr>
            </w:pPr>
            <w:r>
              <w:rPr>
                <w:rFonts w:ascii="黑体" w:eastAsia="黑体" w:hAnsi="黑体" w:cs="黑体" w:hint="eastAsia"/>
                <w:bCs/>
                <w:sz w:val="24"/>
              </w:rPr>
              <w:t>（单位）</w:t>
            </w:r>
          </w:p>
        </w:tc>
        <w:tc>
          <w:tcPr>
            <w:tcW w:w="1476" w:type="dxa"/>
            <w:vMerge w:val="restart"/>
            <w:vAlign w:val="center"/>
          </w:tcPr>
          <w:p w:rsidR="00013EC7" w:rsidRDefault="00575CDB">
            <w:pPr>
              <w:spacing w:line="280" w:lineRule="exact"/>
              <w:jc w:val="center"/>
              <w:rPr>
                <w:rFonts w:ascii="黑体" w:eastAsia="黑体" w:hAnsi="黑体" w:cs="黑体"/>
                <w:bCs/>
                <w:sz w:val="24"/>
              </w:rPr>
            </w:pPr>
            <w:r>
              <w:rPr>
                <w:rFonts w:ascii="黑体" w:eastAsia="黑体" w:hAnsi="黑体" w:cs="黑体" w:hint="eastAsia"/>
                <w:bCs/>
                <w:sz w:val="24"/>
              </w:rPr>
              <w:t>进一步精简、</w:t>
            </w:r>
          </w:p>
          <w:p w:rsidR="00013EC7" w:rsidRDefault="00575CDB">
            <w:pPr>
              <w:spacing w:line="280" w:lineRule="exact"/>
              <w:jc w:val="center"/>
              <w:rPr>
                <w:rFonts w:ascii="黑体" w:eastAsia="黑体" w:hAnsi="黑体" w:cs="黑体"/>
                <w:bCs/>
                <w:sz w:val="24"/>
              </w:rPr>
            </w:pPr>
            <w:r>
              <w:rPr>
                <w:rFonts w:ascii="黑体" w:eastAsia="黑体" w:hAnsi="黑体" w:cs="黑体" w:hint="eastAsia"/>
                <w:bCs/>
                <w:sz w:val="24"/>
              </w:rPr>
              <w:t>规范建议</w:t>
            </w:r>
          </w:p>
        </w:tc>
      </w:tr>
      <w:tr w:rsidR="00013EC7">
        <w:trPr>
          <w:trHeight w:val="340"/>
          <w:tblHeader/>
          <w:jc w:val="center"/>
        </w:trPr>
        <w:tc>
          <w:tcPr>
            <w:tcW w:w="672" w:type="dxa"/>
            <w:vMerge/>
            <w:vAlign w:val="center"/>
          </w:tcPr>
          <w:p w:rsidR="00013EC7" w:rsidRDefault="00013EC7">
            <w:pPr>
              <w:jc w:val="center"/>
              <w:rPr>
                <w:rFonts w:ascii="黑体" w:eastAsia="黑体" w:hAnsi="黑体" w:cs="黑体"/>
                <w:bCs/>
                <w:sz w:val="24"/>
              </w:rPr>
            </w:pPr>
          </w:p>
        </w:tc>
        <w:tc>
          <w:tcPr>
            <w:tcW w:w="1035" w:type="dxa"/>
            <w:vMerge/>
            <w:vAlign w:val="center"/>
          </w:tcPr>
          <w:p w:rsidR="00013EC7" w:rsidRDefault="00013EC7">
            <w:pPr>
              <w:jc w:val="center"/>
              <w:rPr>
                <w:rFonts w:ascii="黑体" w:eastAsia="黑体" w:hAnsi="黑体" w:cs="黑体"/>
                <w:bCs/>
                <w:sz w:val="24"/>
              </w:rPr>
            </w:pPr>
          </w:p>
        </w:tc>
        <w:tc>
          <w:tcPr>
            <w:tcW w:w="2114" w:type="dxa"/>
            <w:vMerge/>
            <w:vAlign w:val="center"/>
          </w:tcPr>
          <w:p w:rsidR="00013EC7" w:rsidRDefault="00013EC7">
            <w:pPr>
              <w:jc w:val="center"/>
              <w:rPr>
                <w:rFonts w:ascii="黑体" w:eastAsia="黑体" w:hAnsi="黑体" w:cs="黑体"/>
                <w:bCs/>
                <w:sz w:val="24"/>
              </w:rPr>
            </w:pPr>
          </w:p>
        </w:tc>
        <w:tc>
          <w:tcPr>
            <w:tcW w:w="2785" w:type="dxa"/>
            <w:tcBorders>
              <w:bottom w:val="single" w:sz="4" w:space="0" w:color="auto"/>
            </w:tcBorders>
            <w:vAlign w:val="center"/>
          </w:tcPr>
          <w:p w:rsidR="00013EC7" w:rsidRDefault="00575CDB">
            <w:pPr>
              <w:spacing w:line="280" w:lineRule="exact"/>
              <w:jc w:val="center"/>
              <w:rPr>
                <w:rFonts w:ascii="黑体" w:eastAsia="黑体" w:hAnsi="黑体" w:cs="黑体"/>
                <w:bCs/>
                <w:sz w:val="24"/>
              </w:rPr>
            </w:pPr>
            <w:r>
              <w:rPr>
                <w:rFonts w:ascii="黑体" w:eastAsia="黑体" w:hAnsi="黑体" w:cs="黑体" w:hint="eastAsia"/>
                <w:bCs/>
                <w:sz w:val="24"/>
              </w:rPr>
              <w:t>材料明细</w:t>
            </w:r>
          </w:p>
        </w:tc>
        <w:tc>
          <w:tcPr>
            <w:tcW w:w="1118" w:type="dxa"/>
            <w:vAlign w:val="center"/>
          </w:tcPr>
          <w:p w:rsidR="00013EC7" w:rsidRDefault="00575CDB">
            <w:pPr>
              <w:spacing w:line="280" w:lineRule="exact"/>
              <w:jc w:val="center"/>
              <w:rPr>
                <w:rFonts w:ascii="黑体" w:eastAsia="黑体" w:hAnsi="黑体" w:cs="黑体"/>
                <w:bCs/>
                <w:sz w:val="24"/>
              </w:rPr>
            </w:pPr>
            <w:r>
              <w:rPr>
                <w:rFonts w:ascii="黑体" w:eastAsia="黑体" w:hAnsi="黑体" w:cs="黑体" w:hint="eastAsia"/>
                <w:bCs/>
                <w:sz w:val="24"/>
              </w:rPr>
              <w:t>材料来源</w:t>
            </w:r>
          </w:p>
        </w:tc>
        <w:tc>
          <w:tcPr>
            <w:tcW w:w="2634" w:type="dxa"/>
            <w:vAlign w:val="center"/>
          </w:tcPr>
          <w:p w:rsidR="00013EC7" w:rsidRDefault="00575CDB">
            <w:pPr>
              <w:spacing w:line="280" w:lineRule="exact"/>
              <w:jc w:val="center"/>
              <w:rPr>
                <w:rFonts w:ascii="黑体" w:eastAsia="黑体" w:hAnsi="黑体" w:cs="黑体"/>
                <w:bCs/>
                <w:sz w:val="24"/>
              </w:rPr>
            </w:pPr>
            <w:r>
              <w:rPr>
                <w:rFonts w:ascii="黑体" w:eastAsia="黑体" w:hAnsi="黑体" w:cs="黑体" w:hint="eastAsia"/>
                <w:bCs/>
                <w:sz w:val="24"/>
              </w:rPr>
              <w:t>材料明细</w:t>
            </w:r>
          </w:p>
        </w:tc>
        <w:tc>
          <w:tcPr>
            <w:tcW w:w="965" w:type="dxa"/>
            <w:vAlign w:val="center"/>
          </w:tcPr>
          <w:p w:rsidR="00013EC7" w:rsidRDefault="00575CDB">
            <w:pPr>
              <w:spacing w:line="280" w:lineRule="exact"/>
              <w:jc w:val="center"/>
              <w:rPr>
                <w:rFonts w:ascii="黑体" w:eastAsia="黑体" w:hAnsi="黑体" w:cs="黑体"/>
                <w:bCs/>
                <w:sz w:val="24"/>
              </w:rPr>
            </w:pPr>
            <w:r>
              <w:rPr>
                <w:rFonts w:ascii="黑体" w:eastAsia="黑体" w:hAnsi="黑体" w:cs="黑体" w:hint="eastAsia"/>
                <w:bCs/>
                <w:sz w:val="24"/>
              </w:rPr>
              <w:t>材料来源</w:t>
            </w:r>
          </w:p>
        </w:tc>
        <w:tc>
          <w:tcPr>
            <w:tcW w:w="3318" w:type="dxa"/>
            <w:vAlign w:val="center"/>
          </w:tcPr>
          <w:p w:rsidR="00013EC7" w:rsidRDefault="00575CDB">
            <w:pPr>
              <w:spacing w:line="280" w:lineRule="exact"/>
              <w:jc w:val="center"/>
              <w:rPr>
                <w:rFonts w:ascii="黑体" w:eastAsia="黑体" w:hAnsi="黑体" w:cs="黑体"/>
                <w:bCs/>
                <w:sz w:val="24"/>
              </w:rPr>
            </w:pPr>
            <w:r>
              <w:rPr>
                <w:rFonts w:ascii="黑体" w:eastAsia="黑体" w:hAnsi="黑体" w:cs="黑体" w:hint="eastAsia"/>
                <w:bCs/>
                <w:sz w:val="24"/>
              </w:rPr>
              <w:t>办理方式及材料</w:t>
            </w:r>
          </w:p>
          <w:p w:rsidR="00013EC7" w:rsidRDefault="00575CDB">
            <w:pPr>
              <w:spacing w:line="280" w:lineRule="exact"/>
              <w:jc w:val="center"/>
              <w:rPr>
                <w:rFonts w:ascii="黑体" w:eastAsia="黑体" w:hAnsi="黑体" w:cs="黑体"/>
                <w:bCs/>
                <w:sz w:val="24"/>
              </w:rPr>
            </w:pPr>
            <w:r>
              <w:rPr>
                <w:rFonts w:ascii="黑体" w:eastAsia="黑体" w:hAnsi="黑体" w:cs="黑体" w:hint="eastAsia"/>
                <w:bCs/>
                <w:sz w:val="24"/>
              </w:rPr>
              <w:t>信息获取方式说明</w:t>
            </w:r>
          </w:p>
        </w:tc>
        <w:tc>
          <w:tcPr>
            <w:tcW w:w="868" w:type="dxa"/>
            <w:vAlign w:val="center"/>
          </w:tcPr>
          <w:p w:rsidR="00013EC7" w:rsidRDefault="00575CDB">
            <w:pPr>
              <w:spacing w:line="280" w:lineRule="exact"/>
              <w:jc w:val="center"/>
              <w:rPr>
                <w:rFonts w:ascii="黑体" w:eastAsia="黑体" w:hAnsi="黑体" w:cs="黑体"/>
                <w:bCs/>
                <w:sz w:val="24"/>
              </w:rPr>
            </w:pPr>
            <w:r>
              <w:rPr>
                <w:rFonts w:ascii="黑体" w:eastAsia="黑体" w:hAnsi="黑体" w:cs="黑体" w:hint="eastAsia"/>
                <w:bCs/>
                <w:sz w:val="24"/>
              </w:rPr>
              <w:t>优化前</w:t>
            </w:r>
          </w:p>
        </w:tc>
        <w:tc>
          <w:tcPr>
            <w:tcW w:w="957" w:type="dxa"/>
            <w:vAlign w:val="center"/>
          </w:tcPr>
          <w:p w:rsidR="00013EC7" w:rsidRDefault="00575CDB">
            <w:pPr>
              <w:spacing w:line="280" w:lineRule="exact"/>
              <w:jc w:val="center"/>
              <w:rPr>
                <w:rFonts w:ascii="黑体" w:eastAsia="黑体" w:hAnsi="黑体" w:cs="黑体"/>
                <w:bCs/>
                <w:sz w:val="24"/>
              </w:rPr>
            </w:pPr>
            <w:r>
              <w:rPr>
                <w:rFonts w:ascii="黑体" w:eastAsia="黑体" w:hAnsi="黑体" w:cs="黑体" w:hint="eastAsia"/>
                <w:bCs/>
                <w:sz w:val="24"/>
              </w:rPr>
              <w:t>优化后</w:t>
            </w:r>
          </w:p>
        </w:tc>
        <w:tc>
          <w:tcPr>
            <w:tcW w:w="799" w:type="dxa"/>
            <w:vMerge/>
            <w:vAlign w:val="center"/>
          </w:tcPr>
          <w:p w:rsidR="00013EC7" w:rsidRDefault="00013EC7">
            <w:pPr>
              <w:jc w:val="center"/>
              <w:rPr>
                <w:rFonts w:ascii="仿宋" w:eastAsia="仿宋" w:hAnsi="仿宋"/>
                <w:b/>
                <w:sz w:val="24"/>
              </w:rPr>
            </w:pPr>
          </w:p>
        </w:tc>
        <w:tc>
          <w:tcPr>
            <w:tcW w:w="1104" w:type="dxa"/>
            <w:vMerge/>
            <w:vAlign w:val="center"/>
          </w:tcPr>
          <w:p w:rsidR="00013EC7" w:rsidRDefault="00013EC7">
            <w:pPr>
              <w:jc w:val="center"/>
              <w:rPr>
                <w:rFonts w:ascii="仿宋" w:eastAsia="仿宋" w:hAnsi="仿宋"/>
                <w:b/>
                <w:sz w:val="24"/>
              </w:rPr>
            </w:pPr>
          </w:p>
        </w:tc>
        <w:tc>
          <w:tcPr>
            <w:tcW w:w="1476" w:type="dxa"/>
            <w:vMerge/>
            <w:vAlign w:val="center"/>
          </w:tcPr>
          <w:p w:rsidR="00013EC7" w:rsidRDefault="00013EC7">
            <w:pPr>
              <w:jc w:val="center"/>
              <w:rPr>
                <w:rFonts w:ascii="仿宋" w:eastAsia="仿宋" w:hAnsi="仿宋"/>
                <w:b/>
                <w:sz w:val="24"/>
              </w:rPr>
            </w:pPr>
          </w:p>
        </w:tc>
      </w:tr>
      <w:tr w:rsidR="00013EC7">
        <w:trPr>
          <w:trHeight w:val="2462"/>
          <w:jc w:val="center"/>
        </w:trPr>
        <w:tc>
          <w:tcPr>
            <w:tcW w:w="672" w:type="dxa"/>
            <w:vMerge w:val="restart"/>
            <w:shd w:val="clear" w:color="auto" w:fill="auto"/>
            <w:vAlign w:val="center"/>
          </w:tcPr>
          <w:p w:rsidR="00013EC7" w:rsidRDefault="00575CDB">
            <w:pPr>
              <w:rPr>
                <w:rFonts w:ascii="仿宋" w:eastAsia="仿宋" w:hAnsi="仿宋"/>
                <w:sz w:val="24"/>
              </w:rPr>
            </w:pPr>
            <w:r>
              <w:rPr>
                <w:rFonts w:ascii="仿宋" w:eastAsia="仿宋" w:hAnsi="仿宋" w:hint="eastAsia"/>
                <w:sz w:val="24"/>
              </w:rPr>
              <w:t>20代扣代缴申报</w:t>
            </w:r>
          </w:p>
        </w:tc>
        <w:tc>
          <w:tcPr>
            <w:tcW w:w="1035" w:type="dxa"/>
            <w:vMerge w:val="restart"/>
            <w:shd w:val="clear" w:color="auto" w:fill="auto"/>
            <w:vAlign w:val="center"/>
          </w:tcPr>
          <w:p w:rsidR="00013EC7" w:rsidRDefault="00575CDB">
            <w:pPr>
              <w:rPr>
                <w:rFonts w:ascii="仿宋" w:eastAsia="仿宋" w:hAnsi="仿宋"/>
                <w:sz w:val="24"/>
              </w:rPr>
            </w:pPr>
            <w:r>
              <w:rPr>
                <w:rFonts w:ascii="仿宋" w:eastAsia="仿宋" w:hAnsi="仿宋" w:hint="eastAsia"/>
                <w:color w:val="000000"/>
                <w:sz w:val="24"/>
              </w:rPr>
              <w:t>20.3扣缴个人所得税申报（储蓄存款利息所得扣缴）</w:t>
            </w:r>
          </w:p>
        </w:tc>
        <w:tc>
          <w:tcPr>
            <w:tcW w:w="2114" w:type="dxa"/>
            <w:vMerge w:val="restart"/>
            <w:shd w:val="clear" w:color="auto" w:fill="auto"/>
            <w:vAlign w:val="center"/>
          </w:tcPr>
          <w:p w:rsidR="00013EC7" w:rsidRDefault="00575CDB">
            <w:pPr>
              <w:rPr>
                <w:rFonts w:ascii="仿宋" w:eastAsia="仿宋" w:hAnsi="仿宋"/>
                <w:sz w:val="24"/>
              </w:rPr>
            </w:pPr>
            <w:r>
              <w:rPr>
                <w:rFonts w:ascii="仿宋" w:eastAsia="仿宋" w:hAnsi="仿宋" w:cs="宋体" w:hint="eastAsia"/>
                <w:sz w:val="24"/>
              </w:rPr>
              <w:t>（一）</w:t>
            </w:r>
            <w:r>
              <w:rPr>
                <w:rFonts w:ascii="仿宋" w:eastAsia="仿宋" w:hAnsi="仿宋" w:hint="eastAsia"/>
                <w:sz w:val="24"/>
              </w:rPr>
              <w:t xml:space="preserve">《中华人民共和国税收征收管理法》（2001年中华人民共和国主席令第49号）第四条，第六条第二款，第二十五条第二款。 </w:t>
            </w:r>
          </w:p>
          <w:p w:rsidR="00013EC7" w:rsidRDefault="00575CDB">
            <w:pPr>
              <w:rPr>
                <w:rFonts w:ascii="仿宋" w:eastAsia="仿宋" w:hAnsi="仿宋"/>
                <w:sz w:val="24"/>
              </w:rPr>
            </w:pPr>
            <w:r>
              <w:rPr>
                <w:rFonts w:ascii="仿宋" w:eastAsia="仿宋" w:hAnsi="仿宋" w:cs="宋体" w:hint="eastAsia"/>
                <w:sz w:val="24"/>
              </w:rPr>
              <w:t>（二）</w:t>
            </w:r>
            <w:r>
              <w:rPr>
                <w:rFonts w:ascii="仿宋" w:eastAsia="仿宋" w:hAnsi="仿宋" w:hint="eastAsia"/>
                <w:sz w:val="24"/>
              </w:rPr>
              <w:t>《中华人民共和国税收征收管理法实施细则》（2002年中华人民共和国国务院令第362号）第三十三条，第三十五条。</w:t>
            </w:r>
          </w:p>
          <w:p w:rsidR="00013EC7" w:rsidRDefault="00575CDB">
            <w:pPr>
              <w:rPr>
                <w:rFonts w:ascii="仿宋" w:eastAsia="仿宋" w:hAnsi="仿宋"/>
                <w:sz w:val="24"/>
              </w:rPr>
            </w:pPr>
            <w:r>
              <w:rPr>
                <w:rFonts w:ascii="仿宋" w:eastAsia="仿宋" w:hAnsi="仿宋" w:cs="宋体" w:hint="eastAsia"/>
                <w:sz w:val="24"/>
              </w:rPr>
              <w:t>（三）</w:t>
            </w:r>
            <w:r>
              <w:rPr>
                <w:rFonts w:ascii="仿宋" w:eastAsia="仿宋" w:hAnsi="仿宋" w:hint="eastAsia"/>
                <w:sz w:val="24"/>
              </w:rPr>
              <w:t>《国务院关于修改〈对储蓄存款利息所得征收个人所得税的实施办法〉的决定》（中华人民共和国国务院令〔2007〕第502号）全文。</w:t>
            </w:r>
          </w:p>
          <w:p w:rsidR="00013EC7" w:rsidRDefault="00575CDB">
            <w:pPr>
              <w:rPr>
                <w:rFonts w:ascii="仿宋" w:eastAsia="仿宋" w:hAnsi="仿宋"/>
                <w:sz w:val="24"/>
              </w:rPr>
            </w:pPr>
            <w:r>
              <w:rPr>
                <w:rFonts w:ascii="仿宋" w:eastAsia="仿宋" w:hAnsi="仿宋" w:cs="宋体" w:hint="eastAsia"/>
                <w:sz w:val="24"/>
              </w:rPr>
              <w:t>（四）</w:t>
            </w:r>
            <w:r>
              <w:rPr>
                <w:rFonts w:ascii="仿宋" w:eastAsia="仿宋" w:hAnsi="仿宋" w:hint="eastAsia"/>
                <w:sz w:val="24"/>
              </w:rPr>
              <w:t>《关于储蓄存款利息所得有关个人所得税政策的通知》（财税〔2008〕132号）全文。</w:t>
            </w:r>
          </w:p>
        </w:tc>
        <w:tc>
          <w:tcPr>
            <w:tcW w:w="2785" w:type="dxa"/>
            <w:shd w:val="clear" w:color="auto" w:fill="FFFFFF"/>
            <w:vAlign w:val="center"/>
          </w:tcPr>
          <w:p w:rsidR="00013EC7" w:rsidRDefault="00575CDB">
            <w:pPr>
              <w:rPr>
                <w:rFonts w:ascii="仿宋" w:eastAsia="仿宋" w:hAnsi="仿宋"/>
                <w:color w:val="000000"/>
                <w:sz w:val="24"/>
              </w:rPr>
            </w:pPr>
            <w:r>
              <w:rPr>
                <w:rFonts w:ascii="仿宋" w:eastAsia="仿宋" w:hAnsi="仿宋" w:cs="宋体" w:hint="eastAsia"/>
                <w:sz w:val="24"/>
              </w:rPr>
              <w:t>（一）</w:t>
            </w:r>
            <w:r>
              <w:rPr>
                <w:rFonts w:ascii="仿宋" w:eastAsia="仿宋" w:hAnsi="仿宋" w:hint="eastAsia"/>
                <w:color w:val="000000"/>
                <w:sz w:val="24"/>
              </w:rPr>
              <w:t>储蓄机构办理储蓄存款利息所得扣缴个人所得税申报的，应报送(A06257)《储蓄存款利息所得扣缴个人所得税报告表》3份。</w:t>
            </w:r>
          </w:p>
        </w:tc>
        <w:tc>
          <w:tcPr>
            <w:tcW w:w="1118" w:type="dxa"/>
            <w:vMerge w:val="restart"/>
            <w:shd w:val="clear" w:color="auto" w:fill="auto"/>
            <w:vAlign w:val="center"/>
          </w:tcPr>
          <w:p w:rsidR="00013EC7" w:rsidRDefault="00575CDB">
            <w:pPr>
              <w:rPr>
                <w:rFonts w:ascii="仿宋" w:eastAsia="仿宋" w:hAnsi="仿宋"/>
                <w:sz w:val="24"/>
              </w:rPr>
            </w:pPr>
            <w:r>
              <w:rPr>
                <w:rFonts w:ascii="仿宋" w:eastAsia="仿宋" w:hAnsi="仿宋" w:hint="eastAsia"/>
                <w:sz w:val="24"/>
              </w:rPr>
              <w:t>扣缴义务人提交</w:t>
            </w:r>
          </w:p>
        </w:tc>
        <w:tc>
          <w:tcPr>
            <w:tcW w:w="2634" w:type="dxa"/>
            <w:shd w:val="clear" w:color="auto" w:fill="auto"/>
            <w:vAlign w:val="center"/>
          </w:tcPr>
          <w:p w:rsidR="00013EC7" w:rsidRDefault="00575CDB">
            <w:pPr>
              <w:rPr>
                <w:rFonts w:ascii="仿宋" w:eastAsia="仿宋" w:hAnsi="仿宋"/>
                <w:sz w:val="24"/>
              </w:rPr>
            </w:pPr>
            <w:r>
              <w:rPr>
                <w:rFonts w:ascii="仿宋" w:eastAsia="仿宋" w:hAnsi="仿宋" w:cs="宋体" w:hint="eastAsia"/>
                <w:sz w:val="24"/>
              </w:rPr>
              <w:t>（一）</w:t>
            </w:r>
            <w:r>
              <w:rPr>
                <w:rFonts w:ascii="仿宋" w:eastAsia="仿宋" w:hAnsi="仿宋" w:hint="eastAsia"/>
                <w:color w:val="000000"/>
                <w:sz w:val="24"/>
              </w:rPr>
              <w:t>储蓄机构办理储蓄存款利息所得扣缴个人所得税申报的，应报送（</w:t>
            </w:r>
            <w:r>
              <w:rPr>
                <w:rFonts w:ascii="仿宋" w:eastAsia="仿宋" w:hAnsi="仿宋" w:hint="eastAsia"/>
                <w:sz w:val="24"/>
              </w:rPr>
              <w:t>A06257</w:t>
            </w:r>
            <w:r>
              <w:rPr>
                <w:rFonts w:ascii="仿宋" w:eastAsia="仿宋" w:hAnsi="仿宋" w:hint="eastAsia"/>
                <w:color w:val="000000"/>
                <w:sz w:val="24"/>
              </w:rPr>
              <w:t>）《储蓄存款利息所得扣缴个人所得税报告表》3份。</w:t>
            </w:r>
          </w:p>
        </w:tc>
        <w:tc>
          <w:tcPr>
            <w:tcW w:w="965" w:type="dxa"/>
            <w:vMerge w:val="restart"/>
            <w:shd w:val="clear" w:color="auto" w:fill="FFFFFF"/>
            <w:vAlign w:val="center"/>
          </w:tcPr>
          <w:p w:rsidR="00013EC7" w:rsidRDefault="00575CDB">
            <w:pPr>
              <w:spacing w:line="300" w:lineRule="exact"/>
              <w:rPr>
                <w:rFonts w:ascii="仿宋" w:eastAsia="仿宋" w:hAnsi="仿宋"/>
                <w:sz w:val="24"/>
              </w:rPr>
            </w:pPr>
            <w:r>
              <w:rPr>
                <w:rFonts w:ascii="仿宋" w:eastAsia="仿宋" w:hAnsi="仿宋" w:hint="eastAsia"/>
                <w:sz w:val="24"/>
              </w:rPr>
              <w:t>扣缴义务人</w:t>
            </w:r>
            <w:r>
              <w:rPr>
                <w:rFonts w:ascii="仿宋" w:eastAsia="仿宋" w:hAnsi="仿宋"/>
                <w:sz w:val="24"/>
              </w:rPr>
              <w:t>提交</w:t>
            </w:r>
          </w:p>
        </w:tc>
        <w:tc>
          <w:tcPr>
            <w:tcW w:w="3318" w:type="dxa"/>
            <w:vMerge w:val="restart"/>
            <w:shd w:val="clear" w:color="auto" w:fill="FFFFFF"/>
            <w:vAlign w:val="center"/>
          </w:tcPr>
          <w:p w:rsidR="00013EC7" w:rsidRDefault="00575CDB">
            <w:pPr>
              <w:spacing w:line="300" w:lineRule="exact"/>
              <w:rPr>
                <w:rFonts w:ascii="仿宋" w:eastAsia="仿宋" w:hAnsi="仿宋"/>
                <w:sz w:val="24"/>
              </w:rPr>
            </w:pPr>
            <w:r>
              <w:rPr>
                <w:rFonts w:ascii="仿宋" w:eastAsia="仿宋" w:hAnsi="仿宋"/>
                <w:b/>
                <w:sz w:val="24"/>
              </w:rPr>
              <w:t>现场办理：</w:t>
            </w:r>
            <w:r>
              <w:rPr>
                <w:rFonts w:ascii="仿宋" w:eastAsia="仿宋" w:hAnsi="仿宋" w:hint="eastAsia"/>
                <w:sz w:val="24"/>
              </w:rPr>
              <w:t>扣缴义务人</w:t>
            </w:r>
            <w:r>
              <w:rPr>
                <w:rFonts w:ascii="仿宋" w:eastAsia="仿宋" w:hAnsi="仿宋"/>
                <w:sz w:val="24"/>
              </w:rPr>
              <w:t>提交书面材料。</w:t>
            </w:r>
          </w:p>
          <w:p w:rsidR="00013EC7" w:rsidRDefault="00575CDB">
            <w:pPr>
              <w:spacing w:line="300" w:lineRule="exact"/>
              <w:rPr>
                <w:rFonts w:ascii="仿宋" w:eastAsia="仿宋" w:hAnsi="仿宋" w:cs="仿宋"/>
                <w:sz w:val="24"/>
              </w:rPr>
            </w:pPr>
            <w:r>
              <w:rPr>
                <w:rFonts w:ascii="仿宋" w:eastAsia="仿宋" w:hAnsi="仿宋" w:hint="eastAsia"/>
                <w:b/>
                <w:sz w:val="24"/>
              </w:rPr>
              <w:t>网上办理：</w:t>
            </w:r>
            <w:r>
              <w:rPr>
                <w:rFonts w:ascii="仿宋" w:eastAsia="仿宋" w:hAnsi="仿宋" w:cs="仿宋" w:hint="eastAsia"/>
                <w:sz w:val="24"/>
              </w:rPr>
              <w:t>登录浙江国税电子税务局（网址：</w:t>
            </w:r>
            <w:hyperlink r:id="rId348" w:tgtFrame="https://wx.qq.com/_blank" w:history="1">
              <w:r>
                <w:rPr>
                  <w:rFonts w:ascii="仿宋" w:eastAsia="仿宋" w:hAnsi="仿宋" w:cs="仿宋" w:hint="eastAsia"/>
                  <w:sz w:val="24"/>
                </w:rPr>
                <w:t>http://etax.zjtax.gov.cn/</w:t>
              </w:r>
            </w:hyperlink>
          </w:p>
          <w:p w:rsidR="00013EC7" w:rsidRDefault="00575CDB">
            <w:pPr>
              <w:spacing w:line="300" w:lineRule="exact"/>
              <w:rPr>
                <w:rFonts w:ascii="仿宋" w:eastAsia="仿宋" w:hAnsi="仿宋" w:cs="仿宋"/>
                <w:b/>
                <w:sz w:val="24"/>
              </w:rPr>
            </w:pPr>
            <w:r>
              <w:rPr>
                <w:rFonts w:ascii="仿宋" w:eastAsia="仿宋" w:hAnsi="仿宋" w:cs="仿宋" w:hint="eastAsia"/>
                <w:sz w:val="24"/>
              </w:rPr>
              <w:t>）提交申请。</w:t>
            </w:r>
          </w:p>
        </w:tc>
        <w:tc>
          <w:tcPr>
            <w:tcW w:w="868" w:type="dxa"/>
            <w:vMerge w:val="restart"/>
            <w:vAlign w:val="center"/>
          </w:tcPr>
          <w:p w:rsidR="00013EC7" w:rsidRDefault="00575CDB">
            <w:pPr>
              <w:rPr>
                <w:rFonts w:ascii="仿宋" w:eastAsia="仿宋" w:hAnsi="仿宋"/>
                <w:sz w:val="24"/>
              </w:rPr>
            </w:pPr>
            <w:r>
              <w:rPr>
                <w:rFonts w:ascii="仿宋" w:eastAsia="仿宋" w:hAnsi="仿宋" w:hint="eastAsia"/>
                <w:sz w:val="24"/>
              </w:rPr>
              <w:t>即时办结</w:t>
            </w:r>
          </w:p>
        </w:tc>
        <w:tc>
          <w:tcPr>
            <w:tcW w:w="957" w:type="dxa"/>
            <w:vMerge w:val="restart"/>
            <w:vAlign w:val="center"/>
          </w:tcPr>
          <w:p w:rsidR="00013EC7" w:rsidRDefault="00575CDB">
            <w:pPr>
              <w:rPr>
                <w:rFonts w:ascii="仿宋" w:eastAsia="仿宋" w:hAnsi="仿宋"/>
                <w:sz w:val="24"/>
              </w:rPr>
            </w:pPr>
            <w:r>
              <w:rPr>
                <w:rFonts w:ascii="仿宋" w:eastAsia="仿宋" w:hAnsi="仿宋" w:hint="eastAsia"/>
                <w:sz w:val="24"/>
              </w:rPr>
              <w:t>即时办结</w:t>
            </w:r>
          </w:p>
        </w:tc>
        <w:tc>
          <w:tcPr>
            <w:tcW w:w="799" w:type="dxa"/>
            <w:vMerge w:val="restart"/>
            <w:vAlign w:val="center"/>
          </w:tcPr>
          <w:p w:rsidR="00013EC7" w:rsidRDefault="00575CDB">
            <w:pPr>
              <w:rPr>
                <w:rFonts w:ascii="仿宋" w:eastAsia="仿宋" w:hAnsi="仿宋"/>
                <w:sz w:val="24"/>
              </w:rPr>
            </w:pPr>
            <w:r>
              <w:rPr>
                <w:rFonts w:ascii="仿宋" w:eastAsia="仿宋" w:hAnsi="仿宋" w:hint="eastAsia"/>
                <w:sz w:val="24"/>
              </w:rPr>
              <w:t>否</w:t>
            </w:r>
          </w:p>
        </w:tc>
        <w:tc>
          <w:tcPr>
            <w:tcW w:w="1104" w:type="dxa"/>
            <w:vMerge w:val="restart"/>
            <w:vAlign w:val="center"/>
          </w:tcPr>
          <w:p w:rsidR="00013EC7" w:rsidRDefault="00575CDB">
            <w:pPr>
              <w:spacing w:line="300" w:lineRule="exact"/>
              <w:rPr>
                <w:rFonts w:ascii="仿宋" w:eastAsia="仿宋" w:hAnsi="仿宋"/>
                <w:sz w:val="24"/>
              </w:rPr>
            </w:pPr>
            <w:r>
              <w:rPr>
                <w:rFonts w:ascii="仿宋" w:eastAsia="仿宋" w:hAnsi="仿宋" w:hint="eastAsia"/>
                <w:sz w:val="24"/>
              </w:rPr>
              <w:t>征管科技处、收入规划核算处</w:t>
            </w:r>
          </w:p>
        </w:tc>
        <w:tc>
          <w:tcPr>
            <w:tcW w:w="1476" w:type="dxa"/>
            <w:vMerge w:val="restart"/>
            <w:vAlign w:val="center"/>
          </w:tcPr>
          <w:p w:rsidR="00013EC7" w:rsidRDefault="00013EC7">
            <w:pPr>
              <w:rPr>
                <w:rFonts w:ascii="仿宋" w:eastAsia="仿宋" w:hAnsi="仿宋"/>
                <w:sz w:val="24"/>
              </w:rPr>
            </w:pPr>
          </w:p>
        </w:tc>
      </w:tr>
      <w:tr w:rsidR="00013EC7">
        <w:trPr>
          <w:trHeight w:val="3334"/>
          <w:jc w:val="center"/>
        </w:trPr>
        <w:tc>
          <w:tcPr>
            <w:tcW w:w="672" w:type="dxa"/>
            <w:vMerge/>
            <w:shd w:val="clear" w:color="auto" w:fill="auto"/>
            <w:vAlign w:val="center"/>
          </w:tcPr>
          <w:p w:rsidR="00013EC7" w:rsidRDefault="00013EC7">
            <w:pPr>
              <w:rPr>
                <w:rFonts w:ascii="仿宋" w:eastAsia="仿宋" w:hAnsi="仿宋"/>
                <w:sz w:val="24"/>
              </w:rPr>
            </w:pPr>
          </w:p>
        </w:tc>
        <w:tc>
          <w:tcPr>
            <w:tcW w:w="1035" w:type="dxa"/>
            <w:vMerge/>
            <w:shd w:val="clear" w:color="auto" w:fill="auto"/>
            <w:vAlign w:val="center"/>
          </w:tcPr>
          <w:p w:rsidR="00013EC7" w:rsidRDefault="00013EC7">
            <w:pPr>
              <w:rPr>
                <w:rFonts w:ascii="仿宋" w:eastAsia="仿宋" w:hAnsi="仿宋"/>
                <w:color w:val="000000"/>
                <w:sz w:val="24"/>
              </w:rPr>
            </w:pPr>
          </w:p>
        </w:tc>
        <w:tc>
          <w:tcPr>
            <w:tcW w:w="2114" w:type="dxa"/>
            <w:vMerge/>
            <w:shd w:val="clear" w:color="auto" w:fill="auto"/>
            <w:vAlign w:val="center"/>
          </w:tcPr>
          <w:p w:rsidR="00013EC7" w:rsidRDefault="00013EC7">
            <w:pPr>
              <w:rPr>
                <w:rFonts w:ascii="仿宋" w:eastAsia="仿宋" w:hAnsi="仿宋"/>
                <w:color w:val="000000"/>
                <w:sz w:val="24"/>
              </w:rPr>
            </w:pPr>
          </w:p>
        </w:tc>
        <w:tc>
          <w:tcPr>
            <w:tcW w:w="2785" w:type="dxa"/>
            <w:shd w:val="clear" w:color="auto" w:fill="FFFFFF"/>
            <w:vAlign w:val="center"/>
          </w:tcPr>
          <w:p w:rsidR="00013EC7" w:rsidRDefault="00575CDB">
            <w:pPr>
              <w:spacing w:line="300" w:lineRule="exact"/>
              <w:rPr>
                <w:rFonts w:ascii="仿宋" w:eastAsia="仿宋" w:hAnsi="仿宋"/>
                <w:sz w:val="24"/>
                <w:highlight w:val="lightGray"/>
              </w:rPr>
            </w:pPr>
            <w:r>
              <w:rPr>
                <w:rFonts w:ascii="仿宋" w:eastAsia="仿宋" w:hAnsi="仿宋" w:cs="宋体" w:hint="eastAsia"/>
                <w:sz w:val="24"/>
              </w:rPr>
              <w:t>（二）</w:t>
            </w:r>
            <w:r>
              <w:rPr>
                <w:rFonts w:ascii="仿宋" w:eastAsia="仿宋" w:hAnsi="仿宋" w:hint="eastAsia"/>
                <w:color w:val="000000"/>
                <w:sz w:val="24"/>
              </w:rPr>
              <w:t>扣缴义务人在扣缴税款时已向被扣缴义务人开具税票的，需报送（A06479）《中华人民共和国税收缴款书（代扣代收专用）》第二联。</w:t>
            </w:r>
          </w:p>
        </w:tc>
        <w:tc>
          <w:tcPr>
            <w:tcW w:w="1118" w:type="dxa"/>
            <w:vMerge/>
            <w:shd w:val="clear" w:color="auto" w:fill="auto"/>
            <w:vAlign w:val="center"/>
          </w:tcPr>
          <w:p w:rsidR="00013EC7" w:rsidRDefault="00013EC7">
            <w:pPr>
              <w:rPr>
                <w:rFonts w:ascii="仿宋" w:eastAsia="仿宋" w:hAnsi="仿宋"/>
                <w:sz w:val="24"/>
              </w:rPr>
            </w:pPr>
          </w:p>
        </w:tc>
        <w:tc>
          <w:tcPr>
            <w:tcW w:w="2634" w:type="dxa"/>
            <w:shd w:val="clear" w:color="auto" w:fill="auto"/>
            <w:vAlign w:val="center"/>
          </w:tcPr>
          <w:p w:rsidR="00013EC7" w:rsidRDefault="00575CDB">
            <w:pPr>
              <w:rPr>
                <w:rFonts w:ascii="仿宋" w:eastAsia="仿宋" w:hAnsi="仿宋"/>
                <w:sz w:val="24"/>
              </w:rPr>
            </w:pPr>
            <w:r>
              <w:rPr>
                <w:rFonts w:ascii="仿宋" w:eastAsia="仿宋" w:hAnsi="仿宋" w:hint="eastAsia"/>
                <w:sz w:val="24"/>
              </w:rPr>
              <w:t>（二）扣缴义务人在扣缴税款时已向被扣缴义务人开具税票的，需报送（A06479）《中华人民共和国税收缴款书（代扣代收专用）》第二联。</w:t>
            </w:r>
          </w:p>
        </w:tc>
        <w:tc>
          <w:tcPr>
            <w:tcW w:w="965" w:type="dxa"/>
            <w:vMerge/>
            <w:shd w:val="clear" w:color="auto" w:fill="FFFFFF"/>
            <w:vAlign w:val="center"/>
          </w:tcPr>
          <w:p w:rsidR="00013EC7" w:rsidRDefault="00013EC7">
            <w:pPr>
              <w:spacing w:line="300" w:lineRule="exact"/>
              <w:rPr>
                <w:rFonts w:ascii="仿宋" w:eastAsia="仿宋" w:hAnsi="仿宋"/>
                <w:b/>
                <w:sz w:val="24"/>
              </w:rPr>
            </w:pPr>
          </w:p>
        </w:tc>
        <w:tc>
          <w:tcPr>
            <w:tcW w:w="3318" w:type="dxa"/>
            <w:vMerge/>
            <w:vAlign w:val="center"/>
          </w:tcPr>
          <w:p w:rsidR="00013EC7" w:rsidRDefault="00013EC7">
            <w:pPr>
              <w:spacing w:line="300" w:lineRule="exact"/>
              <w:rPr>
                <w:rFonts w:ascii="仿宋" w:eastAsia="仿宋" w:hAnsi="仿宋"/>
                <w:b/>
                <w:sz w:val="24"/>
              </w:rPr>
            </w:pPr>
          </w:p>
        </w:tc>
        <w:tc>
          <w:tcPr>
            <w:tcW w:w="868" w:type="dxa"/>
            <w:vMerge/>
            <w:vAlign w:val="center"/>
          </w:tcPr>
          <w:p w:rsidR="00013EC7" w:rsidRDefault="00013EC7">
            <w:pPr>
              <w:rPr>
                <w:rFonts w:ascii="仿宋" w:eastAsia="仿宋" w:hAnsi="仿宋"/>
                <w:sz w:val="24"/>
              </w:rPr>
            </w:pPr>
          </w:p>
        </w:tc>
        <w:tc>
          <w:tcPr>
            <w:tcW w:w="957" w:type="dxa"/>
            <w:vMerge/>
            <w:vAlign w:val="center"/>
          </w:tcPr>
          <w:p w:rsidR="00013EC7" w:rsidRDefault="00013EC7">
            <w:pPr>
              <w:rPr>
                <w:rFonts w:ascii="仿宋" w:eastAsia="仿宋" w:hAnsi="仿宋"/>
                <w:sz w:val="24"/>
              </w:rPr>
            </w:pPr>
          </w:p>
        </w:tc>
        <w:tc>
          <w:tcPr>
            <w:tcW w:w="799" w:type="dxa"/>
            <w:vMerge/>
            <w:vAlign w:val="center"/>
          </w:tcPr>
          <w:p w:rsidR="00013EC7" w:rsidRDefault="00013EC7">
            <w:pPr>
              <w:rPr>
                <w:rFonts w:ascii="仿宋" w:eastAsia="仿宋" w:hAnsi="仿宋"/>
                <w:sz w:val="24"/>
              </w:rPr>
            </w:pPr>
          </w:p>
        </w:tc>
        <w:tc>
          <w:tcPr>
            <w:tcW w:w="1104" w:type="dxa"/>
            <w:vMerge/>
            <w:vAlign w:val="center"/>
          </w:tcPr>
          <w:p w:rsidR="00013EC7" w:rsidRDefault="00013EC7">
            <w:pPr>
              <w:rPr>
                <w:rFonts w:ascii="仿宋" w:eastAsia="仿宋" w:hAnsi="仿宋"/>
                <w:sz w:val="24"/>
              </w:rPr>
            </w:pPr>
          </w:p>
        </w:tc>
        <w:tc>
          <w:tcPr>
            <w:tcW w:w="1476" w:type="dxa"/>
            <w:vMerge/>
            <w:vAlign w:val="center"/>
          </w:tcPr>
          <w:p w:rsidR="00013EC7" w:rsidRDefault="00013EC7">
            <w:pPr>
              <w:rPr>
                <w:rFonts w:ascii="仿宋" w:eastAsia="仿宋" w:hAnsi="仿宋"/>
                <w:sz w:val="24"/>
              </w:rPr>
            </w:pPr>
          </w:p>
        </w:tc>
      </w:tr>
      <w:tr w:rsidR="00013EC7">
        <w:trPr>
          <w:trHeight w:val="2829"/>
          <w:jc w:val="center"/>
        </w:trPr>
        <w:tc>
          <w:tcPr>
            <w:tcW w:w="672" w:type="dxa"/>
            <w:vMerge/>
            <w:shd w:val="clear" w:color="auto" w:fill="auto"/>
            <w:vAlign w:val="center"/>
          </w:tcPr>
          <w:p w:rsidR="00013EC7" w:rsidRDefault="00013EC7">
            <w:pPr>
              <w:rPr>
                <w:rFonts w:ascii="仿宋" w:eastAsia="仿宋" w:hAnsi="仿宋"/>
                <w:sz w:val="24"/>
              </w:rPr>
            </w:pPr>
          </w:p>
        </w:tc>
        <w:tc>
          <w:tcPr>
            <w:tcW w:w="1035" w:type="dxa"/>
            <w:vMerge/>
            <w:shd w:val="clear" w:color="auto" w:fill="auto"/>
            <w:vAlign w:val="center"/>
          </w:tcPr>
          <w:p w:rsidR="00013EC7" w:rsidRDefault="00013EC7">
            <w:pPr>
              <w:rPr>
                <w:rFonts w:ascii="仿宋" w:eastAsia="仿宋" w:hAnsi="仿宋"/>
                <w:color w:val="000000"/>
                <w:sz w:val="24"/>
              </w:rPr>
            </w:pPr>
          </w:p>
        </w:tc>
        <w:tc>
          <w:tcPr>
            <w:tcW w:w="2114" w:type="dxa"/>
            <w:vMerge/>
            <w:shd w:val="clear" w:color="auto" w:fill="auto"/>
            <w:vAlign w:val="center"/>
          </w:tcPr>
          <w:p w:rsidR="00013EC7" w:rsidRDefault="00013EC7">
            <w:pPr>
              <w:rPr>
                <w:rFonts w:ascii="仿宋" w:eastAsia="仿宋" w:hAnsi="仿宋"/>
                <w:color w:val="000000"/>
                <w:sz w:val="24"/>
              </w:rPr>
            </w:pPr>
          </w:p>
        </w:tc>
        <w:tc>
          <w:tcPr>
            <w:tcW w:w="2785" w:type="dxa"/>
            <w:tcBorders>
              <w:bottom w:val="single" w:sz="4" w:space="0" w:color="auto"/>
            </w:tcBorders>
            <w:shd w:val="clear" w:color="auto" w:fill="FFFFFF"/>
            <w:vAlign w:val="center"/>
          </w:tcPr>
          <w:p w:rsidR="00013EC7" w:rsidRDefault="00575CDB">
            <w:pPr>
              <w:spacing w:line="300" w:lineRule="exact"/>
              <w:rPr>
                <w:rFonts w:ascii="仿宋" w:eastAsia="仿宋" w:hAnsi="仿宋"/>
                <w:sz w:val="24"/>
                <w:highlight w:val="lightGray"/>
              </w:rPr>
            </w:pPr>
            <w:r>
              <w:rPr>
                <w:rFonts w:ascii="仿宋" w:eastAsia="仿宋" w:hAnsi="仿宋" w:cs="宋体" w:hint="eastAsia"/>
                <w:sz w:val="24"/>
              </w:rPr>
              <w:t>（三）</w:t>
            </w:r>
            <w:r>
              <w:rPr>
                <w:rFonts w:ascii="仿宋" w:eastAsia="仿宋" w:hAnsi="仿宋" w:hint="eastAsia"/>
                <w:color w:val="000000"/>
                <w:sz w:val="24"/>
              </w:rPr>
              <w:t>扣缴义务人汇总缴库开具税票的，需报送（A07101）《中华人民共和国税收缴款书（银行经收专用）》第一联。</w:t>
            </w:r>
          </w:p>
        </w:tc>
        <w:tc>
          <w:tcPr>
            <w:tcW w:w="1118" w:type="dxa"/>
            <w:vMerge/>
            <w:shd w:val="clear" w:color="auto" w:fill="auto"/>
            <w:vAlign w:val="center"/>
          </w:tcPr>
          <w:p w:rsidR="00013EC7" w:rsidRDefault="00013EC7">
            <w:pPr>
              <w:rPr>
                <w:rFonts w:ascii="仿宋" w:eastAsia="仿宋" w:hAnsi="仿宋"/>
                <w:sz w:val="24"/>
              </w:rPr>
            </w:pPr>
          </w:p>
        </w:tc>
        <w:tc>
          <w:tcPr>
            <w:tcW w:w="2634" w:type="dxa"/>
            <w:shd w:val="clear" w:color="auto" w:fill="auto"/>
            <w:vAlign w:val="center"/>
          </w:tcPr>
          <w:p w:rsidR="00013EC7" w:rsidRDefault="00575CDB">
            <w:pPr>
              <w:rPr>
                <w:rFonts w:ascii="仿宋" w:eastAsia="仿宋" w:hAnsi="仿宋"/>
                <w:sz w:val="24"/>
              </w:rPr>
            </w:pPr>
            <w:r>
              <w:rPr>
                <w:rFonts w:ascii="仿宋" w:eastAsia="仿宋" w:hAnsi="仿宋" w:hint="eastAsia"/>
                <w:sz w:val="24"/>
              </w:rPr>
              <w:t>（三）扣缴义务人汇总缴库开具税票的，需报送（A07101）《中华人民共和国税收缴款书（银行经收专用）》第一联。</w:t>
            </w:r>
          </w:p>
        </w:tc>
        <w:tc>
          <w:tcPr>
            <w:tcW w:w="965" w:type="dxa"/>
            <w:vMerge/>
            <w:shd w:val="clear" w:color="auto" w:fill="FFFFFF"/>
            <w:vAlign w:val="center"/>
          </w:tcPr>
          <w:p w:rsidR="00013EC7" w:rsidRDefault="00013EC7">
            <w:pPr>
              <w:spacing w:line="300" w:lineRule="exact"/>
              <w:rPr>
                <w:rFonts w:ascii="仿宋" w:eastAsia="仿宋" w:hAnsi="仿宋"/>
                <w:b/>
                <w:sz w:val="24"/>
              </w:rPr>
            </w:pPr>
          </w:p>
        </w:tc>
        <w:tc>
          <w:tcPr>
            <w:tcW w:w="3318" w:type="dxa"/>
            <w:vMerge/>
            <w:shd w:val="clear" w:color="auto" w:fill="FFFFFF"/>
            <w:vAlign w:val="center"/>
          </w:tcPr>
          <w:p w:rsidR="00013EC7" w:rsidRDefault="00013EC7">
            <w:pPr>
              <w:spacing w:line="300" w:lineRule="exact"/>
              <w:rPr>
                <w:rFonts w:ascii="仿宋" w:eastAsia="仿宋" w:hAnsi="仿宋"/>
                <w:b/>
                <w:sz w:val="24"/>
              </w:rPr>
            </w:pPr>
          </w:p>
        </w:tc>
        <w:tc>
          <w:tcPr>
            <w:tcW w:w="868" w:type="dxa"/>
            <w:vMerge/>
            <w:vAlign w:val="center"/>
          </w:tcPr>
          <w:p w:rsidR="00013EC7" w:rsidRDefault="00013EC7">
            <w:pPr>
              <w:rPr>
                <w:rFonts w:ascii="仿宋" w:eastAsia="仿宋" w:hAnsi="仿宋"/>
                <w:sz w:val="24"/>
              </w:rPr>
            </w:pPr>
          </w:p>
        </w:tc>
        <w:tc>
          <w:tcPr>
            <w:tcW w:w="957" w:type="dxa"/>
            <w:vMerge/>
            <w:vAlign w:val="center"/>
          </w:tcPr>
          <w:p w:rsidR="00013EC7" w:rsidRDefault="00013EC7">
            <w:pPr>
              <w:rPr>
                <w:rFonts w:ascii="仿宋" w:eastAsia="仿宋" w:hAnsi="仿宋"/>
                <w:sz w:val="24"/>
              </w:rPr>
            </w:pPr>
          </w:p>
        </w:tc>
        <w:tc>
          <w:tcPr>
            <w:tcW w:w="799" w:type="dxa"/>
            <w:vMerge/>
            <w:vAlign w:val="center"/>
          </w:tcPr>
          <w:p w:rsidR="00013EC7" w:rsidRDefault="00013EC7">
            <w:pPr>
              <w:rPr>
                <w:rFonts w:ascii="仿宋" w:eastAsia="仿宋" w:hAnsi="仿宋"/>
                <w:sz w:val="24"/>
              </w:rPr>
            </w:pPr>
          </w:p>
        </w:tc>
        <w:tc>
          <w:tcPr>
            <w:tcW w:w="1104" w:type="dxa"/>
            <w:vMerge/>
            <w:vAlign w:val="center"/>
          </w:tcPr>
          <w:p w:rsidR="00013EC7" w:rsidRDefault="00013EC7">
            <w:pPr>
              <w:rPr>
                <w:rFonts w:ascii="仿宋" w:eastAsia="仿宋" w:hAnsi="仿宋"/>
                <w:sz w:val="24"/>
              </w:rPr>
            </w:pPr>
          </w:p>
        </w:tc>
        <w:tc>
          <w:tcPr>
            <w:tcW w:w="1476" w:type="dxa"/>
            <w:vMerge/>
            <w:vAlign w:val="center"/>
          </w:tcPr>
          <w:p w:rsidR="00013EC7" w:rsidRDefault="00013EC7">
            <w:pPr>
              <w:rPr>
                <w:rFonts w:ascii="仿宋" w:eastAsia="仿宋" w:hAnsi="仿宋"/>
                <w:sz w:val="24"/>
              </w:rPr>
            </w:pPr>
          </w:p>
        </w:tc>
      </w:tr>
    </w:tbl>
    <w:p w:rsidR="00013EC7" w:rsidRDefault="00013EC7">
      <w:pPr>
        <w:rPr>
          <w:rFonts w:ascii="仿宋" w:eastAsia="仿宋" w:hAnsi="仿宋"/>
          <w:sz w:val="24"/>
        </w:rPr>
      </w:pPr>
    </w:p>
    <w:p w:rsidR="00013EC7" w:rsidRDefault="00013EC7">
      <w:pPr>
        <w:rPr>
          <w:rFonts w:ascii="仿宋" w:eastAsia="仿宋" w:hAnsi="仿宋"/>
          <w:sz w:val="24"/>
        </w:rPr>
      </w:pPr>
    </w:p>
    <w:p w:rsidR="00013EC7" w:rsidRDefault="00013EC7">
      <w:pPr>
        <w:rPr>
          <w:rFonts w:eastAsia="方正书宋简体"/>
          <w:szCs w:val="21"/>
        </w:rPr>
      </w:pPr>
    </w:p>
    <w:p w:rsidR="00013EC7" w:rsidRDefault="00013EC7">
      <w:pPr>
        <w:rPr>
          <w:rFonts w:eastAsia="方正书宋简体"/>
          <w:szCs w:val="21"/>
        </w:rPr>
      </w:pPr>
    </w:p>
    <w:p w:rsidR="00013EC7" w:rsidRDefault="005262E6">
      <w:r>
        <w:lastRenderedPageBreak/>
        <w:object w:dxaOrig="1440" w:dyaOrig="1440">
          <v:shape id="对象 40" o:spid="_x0000_s1296" type="#_x0000_t75" alt="5928676981508729125595" style="position:absolute;left:0;text-align:left;margin-left:536.2pt;margin-top:-30.9pt;width:495.8pt;height:738.35pt;z-index:251630592;mso-wrap-distance-left:9pt;mso-wrap-distance-top:0;mso-wrap-distance-right:9pt;mso-wrap-distance-bottom:0;mso-width-relative:page;mso-height-relative:page">
            <v:imagedata r:id="rId349" o:title=""/>
            <w10:wrap type="square"/>
          </v:shape>
          <o:OLEObject Type="Embed" ProgID="Visio.Drawing.11" ShapeID="对象 40" DrawAspect="Content" ObjectID="_1577296270" r:id="rId350"/>
        </w:object>
      </w:r>
      <w:r w:rsidR="00575CDB">
        <w:object w:dxaOrig="9239" w:dyaOrig="9638">
          <v:shape id="_x0000_i1735" type="#_x0000_t75" style="width:461.95pt;height:481.9pt" o:ole="">
            <v:imagedata r:id="rId351" o:title=""/>
          </v:shape>
          <o:OLEObject Type="Embed" ProgID="Visio.Drawing.11" ShapeID="_x0000_i1735" DrawAspect="Content" ObjectID="_1577296121" r:id="rId352"/>
        </w:object>
      </w:r>
    </w:p>
    <w:p w:rsidR="00013EC7" w:rsidRDefault="00013EC7"/>
    <w:p w:rsidR="00013EC7" w:rsidRDefault="00013EC7"/>
    <w:p w:rsidR="00013EC7" w:rsidRDefault="00013EC7"/>
    <w:p w:rsidR="00013EC7" w:rsidRDefault="00013EC7"/>
    <w:p w:rsidR="00013EC7" w:rsidRDefault="00013EC7"/>
    <w:p w:rsidR="00013EC7" w:rsidRDefault="00013EC7"/>
    <w:p w:rsidR="00013EC7" w:rsidRDefault="00013EC7"/>
    <w:p w:rsidR="00013EC7" w:rsidRDefault="00013EC7"/>
    <w:p w:rsidR="00013EC7" w:rsidRDefault="00013EC7"/>
    <w:p w:rsidR="00013EC7" w:rsidRDefault="00013EC7">
      <w:pPr>
        <w:tabs>
          <w:tab w:val="left" w:pos="11971"/>
        </w:tabs>
        <w:jc w:val="left"/>
      </w:pPr>
    </w:p>
    <w:p w:rsidR="00013EC7" w:rsidRDefault="00575CDB">
      <w:pPr>
        <w:pStyle w:val="1"/>
      </w:pPr>
      <w:bookmarkStart w:id="420" w:name="_Toc27450"/>
      <w:bookmarkStart w:id="421" w:name="_Toc503467450"/>
      <w:bookmarkStart w:id="422" w:name="_Toc28972"/>
      <w:bookmarkStart w:id="423" w:name="_Toc8100"/>
      <w:r>
        <w:rPr>
          <w:rFonts w:hint="eastAsia"/>
        </w:rPr>
        <w:t>二十一、涉税情况报告</w:t>
      </w:r>
      <w:bookmarkEnd w:id="420"/>
      <w:bookmarkEnd w:id="421"/>
      <w:bookmarkEnd w:id="422"/>
      <w:bookmarkEnd w:id="423"/>
    </w:p>
    <w:p w:rsidR="00013EC7" w:rsidRDefault="00575CDB">
      <w:pPr>
        <w:pStyle w:val="2"/>
      </w:pPr>
      <w:bookmarkStart w:id="424" w:name="_Toc503467451"/>
      <w:bookmarkStart w:id="425" w:name="_Toc22655"/>
      <w:bookmarkStart w:id="426" w:name="_Toc32703"/>
      <w:bookmarkStart w:id="427" w:name="_Toc20790"/>
      <w:r>
        <w:rPr>
          <w:rFonts w:hint="eastAsia"/>
        </w:rPr>
        <w:t>21.1</w:t>
      </w:r>
      <w:r>
        <w:rPr>
          <w:rFonts w:hint="eastAsia"/>
        </w:rPr>
        <w:t>财务会计报告报送</w:t>
      </w:r>
      <w:bookmarkEnd w:id="424"/>
      <w:bookmarkEnd w:id="425"/>
      <w:bookmarkEnd w:id="426"/>
      <w:bookmarkEnd w:id="427"/>
    </w:p>
    <w:p w:rsidR="00013EC7" w:rsidRDefault="00575CDB">
      <w:pPr>
        <w:jc w:val="center"/>
        <w:rPr>
          <w:rFonts w:ascii="宋体" w:hAnsi="宋体" w:cs="宋体"/>
          <w:b/>
          <w:bCs/>
          <w:sz w:val="52"/>
          <w:szCs w:val="52"/>
        </w:rPr>
      </w:pPr>
      <w:r>
        <w:rPr>
          <w:rFonts w:ascii="宋体" w:hAnsi="宋体" w:cs="宋体" w:hint="eastAsia"/>
          <w:b/>
          <w:bCs/>
          <w:sz w:val="52"/>
          <w:szCs w:val="52"/>
        </w:rPr>
        <w:t>全省“最多跑一次”事项“八统一”梳理表</w:t>
      </w:r>
    </w:p>
    <w:tbl>
      <w:tblPr>
        <w:tblW w:w="20438"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2622"/>
        <w:gridCol w:w="2760"/>
        <w:gridCol w:w="901"/>
        <w:gridCol w:w="2837"/>
        <w:gridCol w:w="952"/>
        <w:gridCol w:w="3455"/>
        <w:gridCol w:w="868"/>
        <w:gridCol w:w="922"/>
        <w:gridCol w:w="834"/>
        <w:gridCol w:w="1104"/>
        <w:gridCol w:w="1476"/>
      </w:tblGrid>
      <w:tr w:rsidR="00013EC7">
        <w:trPr>
          <w:trHeight w:val="340"/>
          <w:tblHeader/>
          <w:jc w:val="center"/>
        </w:trPr>
        <w:tc>
          <w:tcPr>
            <w:tcW w:w="672"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主项名称</w:t>
            </w:r>
          </w:p>
        </w:tc>
        <w:tc>
          <w:tcPr>
            <w:tcW w:w="1035"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子项名称</w:t>
            </w:r>
          </w:p>
        </w:tc>
        <w:tc>
          <w:tcPr>
            <w:tcW w:w="2622"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经办依据</w:t>
            </w:r>
          </w:p>
        </w:tc>
        <w:tc>
          <w:tcPr>
            <w:tcW w:w="3661"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原经办所需材料</w:t>
            </w:r>
          </w:p>
        </w:tc>
        <w:tc>
          <w:tcPr>
            <w:tcW w:w="7244" w:type="dxa"/>
            <w:gridSpan w:val="3"/>
            <w:vAlign w:val="center"/>
          </w:tcPr>
          <w:p w:rsidR="00013EC7" w:rsidRDefault="00575CDB">
            <w:pPr>
              <w:spacing w:line="280" w:lineRule="exact"/>
              <w:jc w:val="center"/>
              <w:rPr>
                <w:rFonts w:ascii="黑体" w:eastAsia="黑体"/>
                <w:sz w:val="24"/>
              </w:rPr>
            </w:pPr>
            <w:r>
              <w:rPr>
                <w:rFonts w:ascii="黑体" w:eastAsia="黑体" w:hint="eastAsia"/>
                <w:sz w:val="24"/>
              </w:rPr>
              <w:t>精简后经办所需材料</w:t>
            </w:r>
          </w:p>
        </w:tc>
        <w:tc>
          <w:tcPr>
            <w:tcW w:w="1790"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办理时限</w:t>
            </w:r>
          </w:p>
        </w:tc>
        <w:tc>
          <w:tcPr>
            <w:tcW w:w="834"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是否实现跑零次</w:t>
            </w:r>
          </w:p>
        </w:tc>
        <w:tc>
          <w:tcPr>
            <w:tcW w:w="1104"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省厅对口</w:t>
            </w:r>
          </w:p>
          <w:p w:rsidR="00013EC7" w:rsidRDefault="00575CDB">
            <w:pPr>
              <w:spacing w:line="280" w:lineRule="exact"/>
              <w:jc w:val="center"/>
              <w:rPr>
                <w:rFonts w:ascii="黑体" w:eastAsia="黑体"/>
                <w:sz w:val="24"/>
              </w:rPr>
            </w:pPr>
            <w:r>
              <w:rPr>
                <w:rFonts w:ascii="黑体" w:eastAsia="黑体" w:hint="eastAsia"/>
                <w:sz w:val="24"/>
              </w:rPr>
              <w:t>指导处室</w:t>
            </w:r>
          </w:p>
          <w:p w:rsidR="00013EC7" w:rsidRDefault="00575CDB">
            <w:pPr>
              <w:spacing w:line="280" w:lineRule="exact"/>
              <w:jc w:val="center"/>
              <w:rPr>
                <w:rFonts w:ascii="黑体" w:eastAsia="黑体"/>
                <w:sz w:val="24"/>
              </w:rPr>
            </w:pPr>
            <w:r>
              <w:rPr>
                <w:rFonts w:ascii="黑体" w:eastAsia="黑体" w:hint="eastAsia"/>
                <w:sz w:val="24"/>
              </w:rPr>
              <w:t>（单位）</w:t>
            </w:r>
          </w:p>
        </w:tc>
        <w:tc>
          <w:tcPr>
            <w:tcW w:w="1476"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进一步精简、</w:t>
            </w:r>
          </w:p>
          <w:p w:rsidR="00013EC7" w:rsidRDefault="00575CDB">
            <w:pPr>
              <w:spacing w:line="280" w:lineRule="exact"/>
              <w:jc w:val="center"/>
              <w:rPr>
                <w:rFonts w:ascii="黑体" w:eastAsia="黑体"/>
                <w:sz w:val="24"/>
              </w:rPr>
            </w:pPr>
            <w:r>
              <w:rPr>
                <w:rFonts w:ascii="黑体" w:eastAsia="黑体" w:hint="eastAsia"/>
                <w:sz w:val="24"/>
              </w:rPr>
              <w:t>规范建议</w:t>
            </w:r>
          </w:p>
        </w:tc>
      </w:tr>
      <w:tr w:rsidR="00013EC7">
        <w:trPr>
          <w:trHeight w:val="340"/>
          <w:tblHeader/>
          <w:jc w:val="center"/>
        </w:trPr>
        <w:tc>
          <w:tcPr>
            <w:tcW w:w="672" w:type="dxa"/>
            <w:vMerge/>
            <w:vAlign w:val="center"/>
          </w:tcPr>
          <w:p w:rsidR="00013EC7" w:rsidRDefault="00013EC7"/>
        </w:tc>
        <w:tc>
          <w:tcPr>
            <w:tcW w:w="1035" w:type="dxa"/>
            <w:vMerge/>
          </w:tcPr>
          <w:p w:rsidR="00013EC7" w:rsidRDefault="00013EC7"/>
        </w:tc>
        <w:tc>
          <w:tcPr>
            <w:tcW w:w="2622" w:type="dxa"/>
            <w:vMerge/>
          </w:tcPr>
          <w:p w:rsidR="00013EC7" w:rsidRDefault="00013EC7"/>
        </w:tc>
        <w:tc>
          <w:tcPr>
            <w:tcW w:w="2760" w:type="dxa"/>
            <w:tcBorders>
              <w:bottom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901"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2837" w:type="dxa"/>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952"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3455" w:type="dxa"/>
            <w:vAlign w:val="center"/>
          </w:tcPr>
          <w:p w:rsidR="00013EC7" w:rsidRDefault="00575CDB">
            <w:pPr>
              <w:spacing w:line="280" w:lineRule="exact"/>
              <w:jc w:val="center"/>
              <w:rPr>
                <w:rFonts w:ascii="黑体" w:eastAsia="黑体"/>
                <w:sz w:val="24"/>
              </w:rPr>
            </w:pPr>
            <w:r>
              <w:rPr>
                <w:rFonts w:ascii="黑体" w:eastAsia="黑体" w:hint="eastAsia"/>
                <w:sz w:val="24"/>
              </w:rPr>
              <w:t>办理方式及材料</w:t>
            </w:r>
          </w:p>
          <w:p w:rsidR="00013EC7" w:rsidRDefault="00575CDB">
            <w:pPr>
              <w:spacing w:line="280" w:lineRule="exact"/>
              <w:jc w:val="center"/>
              <w:rPr>
                <w:rFonts w:ascii="黑体" w:eastAsia="黑体"/>
                <w:sz w:val="24"/>
              </w:rPr>
            </w:pPr>
            <w:r>
              <w:rPr>
                <w:rFonts w:ascii="黑体" w:eastAsia="黑体" w:hint="eastAsia"/>
                <w:sz w:val="24"/>
              </w:rPr>
              <w:t>信息获取方式说明</w:t>
            </w:r>
          </w:p>
        </w:tc>
        <w:tc>
          <w:tcPr>
            <w:tcW w:w="868" w:type="dxa"/>
            <w:vAlign w:val="center"/>
          </w:tcPr>
          <w:p w:rsidR="00013EC7" w:rsidRDefault="00575CDB">
            <w:pPr>
              <w:spacing w:line="280" w:lineRule="exact"/>
              <w:jc w:val="center"/>
              <w:rPr>
                <w:rFonts w:ascii="黑体" w:eastAsia="黑体"/>
                <w:sz w:val="24"/>
              </w:rPr>
            </w:pPr>
            <w:r>
              <w:rPr>
                <w:rFonts w:ascii="黑体" w:eastAsia="黑体" w:hint="eastAsia"/>
                <w:sz w:val="24"/>
              </w:rPr>
              <w:t>优化前</w:t>
            </w:r>
          </w:p>
        </w:tc>
        <w:tc>
          <w:tcPr>
            <w:tcW w:w="922" w:type="dxa"/>
            <w:vAlign w:val="center"/>
          </w:tcPr>
          <w:p w:rsidR="00013EC7" w:rsidRDefault="00575CDB">
            <w:pPr>
              <w:spacing w:line="280" w:lineRule="exact"/>
              <w:jc w:val="center"/>
              <w:rPr>
                <w:rFonts w:ascii="黑体" w:eastAsia="黑体"/>
                <w:sz w:val="24"/>
              </w:rPr>
            </w:pPr>
            <w:r>
              <w:rPr>
                <w:rFonts w:ascii="黑体" w:eastAsia="黑体" w:hint="eastAsia"/>
                <w:sz w:val="24"/>
              </w:rPr>
              <w:t>优化后</w:t>
            </w:r>
          </w:p>
        </w:tc>
        <w:tc>
          <w:tcPr>
            <w:tcW w:w="834" w:type="dxa"/>
            <w:vMerge/>
            <w:vAlign w:val="center"/>
          </w:tcPr>
          <w:p w:rsidR="00013EC7" w:rsidRDefault="00013EC7"/>
        </w:tc>
        <w:tc>
          <w:tcPr>
            <w:tcW w:w="1104" w:type="dxa"/>
            <w:vMerge/>
            <w:vAlign w:val="center"/>
          </w:tcPr>
          <w:p w:rsidR="00013EC7" w:rsidRDefault="00013EC7"/>
        </w:tc>
        <w:tc>
          <w:tcPr>
            <w:tcW w:w="1476" w:type="dxa"/>
            <w:vMerge/>
            <w:vAlign w:val="center"/>
          </w:tcPr>
          <w:p w:rsidR="00013EC7" w:rsidRDefault="00013EC7"/>
        </w:tc>
      </w:tr>
      <w:tr w:rsidR="00013EC7">
        <w:trPr>
          <w:trHeight w:val="831"/>
          <w:jc w:val="center"/>
        </w:trPr>
        <w:tc>
          <w:tcPr>
            <w:tcW w:w="672" w:type="dxa"/>
            <w:vMerge w:val="restart"/>
            <w:vAlign w:val="center"/>
          </w:tcPr>
          <w:p w:rsidR="00013EC7" w:rsidRDefault="00575CDB">
            <w:pPr>
              <w:spacing w:line="300" w:lineRule="exact"/>
              <w:rPr>
                <w:rFonts w:ascii="仿宋" w:eastAsia="仿宋" w:hAnsi="仿宋"/>
                <w:sz w:val="24"/>
              </w:rPr>
            </w:pPr>
            <w:r>
              <w:rPr>
                <w:rFonts w:ascii="仿宋" w:eastAsia="仿宋" w:hAnsi="仿宋" w:hint="eastAsia"/>
                <w:sz w:val="24"/>
              </w:rPr>
              <w:t>21涉税情况报告</w:t>
            </w:r>
          </w:p>
        </w:tc>
        <w:tc>
          <w:tcPr>
            <w:tcW w:w="1035" w:type="dxa"/>
            <w:vMerge w:val="restart"/>
            <w:vAlign w:val="center"/>
          </w:tcPr>
          <w:p w:rsidR="00013EC7" w:rsidRDefault="00575CDB">
            <w:pPr>
              <w:spacing w:line="300" w:lineRule="exact"/>
              <w:rPr>
                <w:rFonts w:ascii="仿宋" w:eastAsia="仿宋" w:hAnsi="仿宋"/>
                <w:sz w:val="24"/>
              </w:rPr>
            </w:pPr>
            <w:r>
              <w:rPr>
                <w:rFonts w:ascii="仿宋" w:eastAsia="仿宋" w:hAnsi="仿宋" w:hint="eastAsia"/>
                <w:sz w:val="24"/>
              </w:rPr>
              <w:t>21.1财务会计报告报送</w:t>
            </w:r>
          </w:p>
        </w:tc>
        <w:tc>
          <w:tcPr>
            <w:tcW w:w="2622" w:type="dxa"/>
            <w:vMerge w:val="restart"/>
            <w:vAlign w:val="center"/>
          </w:tcPr>
          <w:p w:rsidR="00013EC7" w:rsidRDefault="00575CDB">
            <w:pPr>
              <w:widowControl/>
              <w:rPr>
                <w:rFonts w:ascii="仿宋" w:eastAsia="仿宋" w:hAnsi="仿宋" w:cs="宋体"/>
                <w:sz w:val="24"/>
              </w:rPr>
            </w:pPr>
            <w:r>
              <w:rPr>
                <w:rFonts w:ascii="仿宋" w:eastAsia="仿宋" w:hAnsi="仿宋" w:cs="宋体" w:hint="eastAsia"/>
                <w:sz w:val="24"/>
              </w:rPr>
              <w:t>（一）《纳税人财务会计报表报送管理办法》（国税发〔2005〕20号）全文。</w:t>
            </w:r>
          </w:p>
          <w:p w:rsidR="00013EC7" w:rsidRDefault="00575CDB">
            <w:pPr>
              <w:widowControl/>
              <w:rPr>
                <w:rFonts w:ascii="仿宋" w:eastAsia="仿宋" w:hAnsi="仿宋" w:cs="宋体"/>
                <w:sz w:val="24"/>
              </w:rPr>
            </w:pPr>
            <w:r>
              <w:rPr>
                <w:rFonts w:ascii="仿宋" w:eastAsia="仿宋" w:hAnsi="仿宋" w:cs="宋体" w:hint="eastAsia"/>
                <w:sz w:val="24"/>
              </w:rPr>
              <w:t>（二）《国家税务总局关于落实“两个减负”优化纳税服务工作的意见》（国税发〔2007〕106号）第二条第二款。</w:t>
            </w:r>
          </w:p>
          <w:p w:rsidR="00013EC7" w:rsidRDefault="00575CDB">
            <w:pPr>
              <w:widowControl/>
              <w:rPr>
                <w:rFonts w:ascii="仿宋" w:eastAsia="仿宋" w:hAnsi="仿宋" w:cs="宋体"/>
                <w:sz w:val="24"/>
              </w:rPr>
            </w:pPr>
            <w:r>
              <w:rPr>
                <w:rFonts w:ascii="仿宋" w:eastAsia="仿宋" w:hAnsi="仿宋" w:cs="宋体" w:hint="eastAsia"/>
                <w:sz w:val="24"/>
              </w:rPr>
              <w:t>（三） 《关于跨省经营企业涉税事项全国通办的通知》（国税发〔2017〕102号）全文。</w:t>
            </w:r>
          </w:p>
        </w:tc>
        <w:tc>
          <w:tcPr>
            <w:tcW w:w="2760" w:type="dxa"/>
            <w:tcBorders>
              <w:top w:val="single" w:sz="4" w:space="0" w:color="auto"/>
              <w:bottom w:val="single" w:sz="4" w:space="0" w:color="auto"/>
            </w:tcBorders>
            <w:vAlign w:val="center"/>
          </w:tcPr>
          <w:p w:rsidR="00013EC7" w:rsidRDefault="00575CDB">
            <w:pPr>
              <w:widowControl/>
              <w:rPr>
                <w:rFonts w:ascii="仿宋" w:eastAsia="仿宋" w:hAnsi="仿宋" w:cs="宋体"/>
                <w:sz w:val="24"/>
              </w:rPr>
            </w:pPr>
            <w:r>
              <w:rPr>
                <w:rFonts w:ascii="仿宋" w:eastAsia="仿宋" w:hAnsi="仿宋" w:cs="宋体" w:hint="eastAsia"/>
                <w:sz w:val="24"/>
              </w:rPr>
              <w:t>（一）</w:t>
            </w:r>
            <w:r>
              <w:rPr>
                <w:rFonts w:ascii="仿宋" w:eastAsia="仿宋" w:hAnsi="仿宋" w:cs="宋体"/>
                <w:sz w:val="24"/>
              </w:rPr>
              <w:t>《资产负债表》</w:t>
            </w:r>
            <w:r>
              <w:rPr>
                <w:rFonts w:ascii="仿宋" w:eastAsia="仿宋" w:hAnsi="仿宋" w:cs="宋体" w:hint="eastAsia"/>
                <w:sz w:val="24"/>
              </w:rPr>
              <w:t>。</w:t>
            </w:r>
          </w:p>
        </w:tc>
        <w:tc>
          <w:tcPr>
            <w:tcW w:w="901" w:type="dxa"/>
            <w:vMerge w:val="restart"/>
            <w:vAlign w:val="center"/>
          </w:tcPr>
          <w:p w:rsidR="00013EC7" w:rsidRDefault="00575CDB">
            <w:pPr>
              <w:rPr>
                <w:rFonts w:ascii="仿宋" w:eastAsia="仿宋" w:hAnsi="仿宋"/>
                <w:sz w:val="24"/>
              </w:rPr>
            </w:pPr>
            <w:r>
              <w:rPr>
                <w:rFonts w:ascii="仿宋" w:eastAsia="仿宋" w:hAnsi="仿宋" w:hint="eastAsia"/>
                <w:sz w:val="24"/>
              </w:rPr>
              <w:t>纳税人提交</w:t>
            </w:r>
          </w:p>
        </w:tc>
        <w:tc>
          <w:tcPr>
            <w:tcW w:w="2837" w:type="dxa"/>
            <w:vAlign w:val="center"/>
          </w:tcPr>
          <w:p w:rsidR="00013EC7" w:rsidRDefault="00575CDB">
            <w:pPr>
              <w:widowControl/>
              <w:rPr>
                <w:rFonts w:ascii="仿宋" w:eastAsia="仿宋" w:hAnsi="仿宋" w:cs="宋体"/>
                <w:sz w:val="24"/>
              </w:rPr>
            </w:pPr>
            <w:r>
              <w:rPr>
                <w:rFonts w:ascii="仿宋" w:eastAsia="仿宋" w:hAnsi="仿宋" w:cs="宋体" w:hint="eastAsia"/>
                <w:sz w:val="24"/>
              </w:rPr>
              <w:t>（一）</w:t>
            </w:r>
            <w:r>
              <w:rPr>
                <w:rFonts w:ascii="仿宋" w:eastAsia="仿宋" w:hAnsi="仿宋" w:cs="宋体"/>
                <w:sz w:val="24"/>
              </w:rPr>
              <w:t>《资产负债表》</w:t>
            </w:r>
            <w:r>
              <w:rPr>
                <w:rFonts w:ascii="仿宋" w:eastAsia="仿宋" w:hAnsi="仿宋" w:cs="仿宋" w:hint="eastAsia"/>
                <w:sz w:val="24"/>
              </w:rPr>
              <w:t>1份。</w:t>
            </w:r>
          </w:p>
        </w:tc>
        <w:tc>
          <w:tcPr>
            <w:tcW w:w="952" w:type="dxa"/>
            <w:vMerge w:val="restart"/>
            <w:vAlign w:val="center"/>
          </w:tcPr>
          <w:p w:rsidR="00013EC7" w:rsidRDefault="00575CDB">
            <w:pPr>
              <w:spacing w:line="300" w:lineRule="exact"/>
              <w:rPr>
                <w:rFonts w:ascii="仿宋" w:eastAsia="仿宋" w:hAnsi="仿宋"/>
                <w:b/>
                <w:bCs/>
                <w:i/>
                <w:iCs/>
                <w:sz w:val="24"/>
              </w:rPr>
            </w:pPr>
            <w:r>
              <w:rPr>
                <w:rFonts w:ascii="仿宋" w:eastAsia="仿宋" w:hAnsi="仿宋" w:hint="eastAsia"/>
                <w:sz w:val="24"/>
              </w:rPr>
              <w:t>纳税人提交</w:t>
            </w:r>
          </w:p>
        </w:tc>
        <w:tc>
          <w:tcPr>
            <w:tcW w:w="3455" w:type="dxa"/>
            <w:vMerge w:val="restart"/>
            <w:vAlign w:val="center"/>
          </w:tcPr>
          <w:p w:rsidR="00013EC7" w:rsidRDefault="00575CDB">
            <w:pPr>
              <w:rPr>
                <w:rFonts w:ascii="仿宋" w:eastAsia="仿宋" w:hAnsi="仿宋"/>
                <w:sz w:val="24"/>
              </w:rPr>
            </w:pPr>
            <w:r>
              <w:rPr>
                <w:rFonts w:ascii="仿宋" w:eastAsia="仿宋" w:hAnsi="仿宋"/>
                <w:b/>
                <w:sz w:val="24"/>
              </w:rPr>
              <w:t>现场办理：</w:t>
            </w:r>
            <w:r>
              <w:rPr>
                <w:rFonts w:ascii="仿宋" w:eastAsia="仿宋" w:hAnsi="仿宋" w:hint="eastAsia"/>
                <w:bCs/>
                <w:sz w:val="24"/>
              </w:rPr>
              <w:t>纳税人</w:t>
            </w:r>
            <w:r>
              <w:rPr>
                <w:rFonts w:ascii="仿宋" w:eastAsia="仿宋" w:hAnsi="仿宋" w:hint="eastAsia"/>
                <w:sz w:val="24"/>
              </w:rPr>
              <w:t>提交书面材料，符合受理条件的当场受理办结。</w:t>
            </w:r>
          </w:p>
          <w:p w:rsidR="00013EC7" w:rsidRDefault="00575CDB">
            <w:pPr>
              <w:spacing w:line="300" w:lineRule="exact"/>
              <w:rPr>
                <w:rFonts w:ascii="仿宋" w:eastAsia="仿宋" w:hAnsi="仿宋"/>
                <w:sz w:val="24"/>
              </w:rPr>
            </w:pPr>
            <w:r>
              <w:rPr>
                <w:rFonts w:ascii="仿宋" w:eastAsia="仿宋" w:hAnsi="仿宋" w:hint="eastAsia"/>
                <w:b/>
                <w:sz w:val="24"/>
              </w:rPr>
              <w:t>网上办理：</w:t>
            </w:r>
            <w:r>
              <w:rPr>
                <w:rFonts w:ascii="仿宋" w:eastAsia="仿宋" w:hAnsi="仿宋" w:hint="eastAsia"/>
                <w:sz w:val="24"/>
              </w:rPr>
              <w:t>登录浙江国税电子税务局（网址：</w:t>
            </w:r>
            <w:hyperlink r:id="rId353" w:tgtFrame="https://wx.qq.com/_blank" w:history="1">
              <w:r>
                <w:rPr>
                  <w:rFonts w:ascii="仿宋" w:eastAsia="仿宋" w:hAnsi="仿宋" w:hint="eastAsia"/>
                  <w:sz w:val="24"/>
                </w:rPr>
                <w:t>http://etax.zjtax.gov.cn/</w:t>
              </w:r>
            </w:hyperlink>
          </w:p>
          <w:p w:rsidR="00013EC7" w:rsidRDefault="00575CDB">
            <w:pPr>
              <w:spacing w:line="300" w:lineRule="exact"/>
              <w:rPr>
                <w:rFonts w:ascii="仿宋" w:eastAsia="仿宋" w:hAnsi="仿宋"/>
                <w:sz w:val="24"/>
              </w:rPr>
            </w:pPr>
            <w:r>
              <w:rPr>
                <w:rFonts w:ascii="仿宋" w:eastAsia="仿宋" w:hAnsi="仿宋" w:hint="eastAsia"/>
                <w:sz w:val="24"/>
              </w:rPr>
              <w:t>）</w:t>
            </w:r>
            <w:r>
              <w:rPr>
                <w:rFonts w:ascii="仿宋" w:eastAsia="仿宋" w:hAnsi="仿宋" w:cs="仿宋" w:hint="eastAsia"/>
                <w:sz w:val="24"/>
              </w:rPr>
              <w:t>提交申请</w:t>
            </w:r>
            <w:r>
              <w:rPr>
                <w:rFonts w:ascii="仿宋" w:eastAsia="仿宋" w:hAnsi="仿宋" w:hint="eastAsia"/>
                <w:sz w:val="24"/>
              </w:rPr>
              <w:t>。</w:t>
            </w:r>
          </w:p>
        </w:tc>
        <w:tc>
          <w:tcPr>
            <w:tcW w:w="868" w:type="dxa"/>
            <w:vMerge w:val="restart"/>
            <w:vAlign w:val="center"/>
          </w:tcPr>
          <w:p w:rsidR="00013EC7" w:rsidRDefault="00575CDB">
            <w:pPr>
              <w:rPr>
                <w:rFonts w:ascii="仿宋" w:eastAsia="仿宋" w:hAnsi="仿宋"/>
                <w:sz w:val="24"/>
              </w:rPr>
            </w:pPr>
            <w:r>
              <w:rPr>
                <w:rFonts w:ascii="仿宋" w:eastAsia="仿宋" w:hAnsi="仿宋" w:hint="eastAsia"/>
                <w:sz w:val="24"/>
              </w:rPr>
              <w:t>即时办结</w:t>
            </w:r>
          </w:p>
        </w:tc>
        <w:tc>
          <w:tcPr>
            <w:tcW w:w="922" w:type="dxa"/>
            <w:vMerge w:val="restart"/>
            <w:vAlign w:val="center"/>
          </w:tcPr>
          <w:p w:rsidR="00013EC7" w:rsidRDefault="00575CDB">
            <w:pPr>
              <w:rPr>
                <w:rFonts w:ascii="仿宋" w:eastAsia="仿宋" w:hAnsi="仿宋"/>
                <w:sz w:val="24"/>
              </w:rPr>
            </w:pPr>
            <w:r>
              <w:rPr>
                <w:rFonts w:ascii="仿宋" w:eastAsia="仿宋" w:hAnsi="仿宋" w:hint="eastAsia"/>
                <w:sz w:val="24"/>
              </w:rPr>
              <w:t>即时办结</w:t>
            </w:r>
          </w:p>
        </w:tc>
        <w:tc>
          <w:tcPr>
            <w:tcW w:w="834" w:type="dxa"/>
            <w:vMerge w:val="restart"/>
            <w:vAlign w:val="center"/>
          </w:tcPr>
          <w:p w:rsidR="00013EC7" w:rsidRDefault="00575CDB">
            <w:pPr>
              <w:rPr>
                <w:rFonts w:ascii="仿宋" w:eastAsia="仿宋" w:hAnsi="仿宋"/>
                <w:sz w:val="24"/>
              </w:rPr>
            </w:pPr>
            <w:r>
              <w:rPr>
                <w:rFonts w:ascii="仿宋" w:eastAsia="仿宋" w:hAnsi="仿宋" w:hint="eastAsia"/>
                <w:sz w:val="24"/>
              </w:rPr>
              <w:t>是</w:t>
            </w:r>
          </w:p>
        </w:tc>
        <w:tc>
          <w:tcPr>
            <w:tcW w:w="1104" w:type="dxa"/>
            <w:vMerge w:val="restart"/>
            <w:vAlign w:val="center"/>
          </w:tcPr>
          <w:p w:rsidR="00013EC7" w:rsidRDefault="00575CDB">
            <w:pPr>
              <w:rPr>
                <w:rFonts w:ascii="仿宋" w:eastAsia="仿宋" w:hAnsi="仿宋"/>
                <w:sz w:val="24"/>
              </w:rPr>
            </w:pPr>
            <w:r>
              <w:rPr>
                <w:rFonts w:ascii="仿宋" w:eastAsia="仿宋" w:hAnsi="仿宋" w:hint="eastAsia"/>
                <w:sz w:val="24"/>
              </w:rPr>
              <w:t>征管科技处</w:t>
            </w:r>
          </w:p>
        </w:tc>
        <w:tc>
          <w:tcPr>
            <w:tcW w:w="1476" w:type="dxa"/>
            <w:vMerge w:val="restart"/>
            <w:vAlign w:val="center"/>
          </w:tcPr>
          <w:p w:rsidR="00013EC7" w:rsidRDefault="00013EC7">
            <w:pPr>
              <w:spacing w:line="300" w:lineRule="exact"/>
              <w:rPr>
                <w:rFonts w:eastAsia="方正书宋简体"/>
                <w:szCs w:val="21"/>
              </w:rPr>
            </w:pPr>
          </w:p>
        </w:tc>
      </w:tr>
      <w:tr w:rsidR="00013EC7">
        <w:trPr>
          <w:trHeight w:val="1011"/>
          <w:jc w:val="center"/>
        </w:trPr>
        <w:tc>
          <w:tcPr>
            <w:tcW w:w="672" w:type="dxa"/>
            <w:vMerge/>
            <w:vAlign w:val="center"/>
          </w:tcPr>
          <w:p w:rsidR="00013EC7" w:rsidRDefault="00013EC7">
            <w:pPr>
              <w:spacing w:line="300" w:lineRule="exact"/>
              <w:rPr>
                <w:rFonts w:ascii="仿宋" w:eastAsia="仿宋" w:hAnsi="仿宋"/>
                <w:sz w:val="24"/>
              </w:rPr>
            </w:pPr>
          </w:p>
        </w:tc>
        <w:tc>
          <w:tcPr>
            <w:tcW w:w="1035" w:type="dxa"/>
            <w:vMerge/>
            <w:vAlign w:val="center"/>
          </w:tcPr>
          <w:p w:rsidR="00013EC7" w:rsidRDefault="00013EC7">
            <w:pPr>
              <w:spacing w:line="300" w:lineRule="exact"/>
              <w:rPr>
                <w:rFonts w:ascii="仿宋" w:eastAsia="仿宋" w:hAnsi="仿宋"/>
                <w:sz w:val="24"/>
              </w:rPr>
            </w:pPr>
          </w:p>
        </w:tc>
        <w:tc>
          <w:tcPr>
            <w:tcW w:w="2622" w:type="dxa"/>
            <w:vMerge/>
            <w:vAlign w:val="center"/>
          </w:tcPr>
          <w:p w:rsidR="00013EC7" w:rsidRDefault="00013EC7">
            <w:pPr>
              <w:widowControl/>
              <w:rPr>
                <w:rFonts w:ascii="仿宋" w:eastAsia="仿宋" w:hAnsi="仿宋" w:cs="宋体"/>
                <w:sz w:val="24"/>
              </w:rPr>
            </w:pPr>
          </w:p>
        </w:tc>
        <w:tc>
          <w:tcPr>
            <w:tcW w:w="2760" w:type="dxa"/>
            <w:tcBorders>
              <w:top w:val="single" w:sz="4" w:space="0" w:color="auto"/>
              <w:bottom w:val="single" w:sz="4" w:space="0" w:color="auto"/>
            </w:tcBorders>
            <w:vAlign w:val="center"/>
          </w:tcPr>
          <w:p w:rsidR="00013EC7" w:rsidRDefault="00575CDB">
            <w:pPr>
              <w:widowControl/>
              <w:rPr>
                <w:rFonts w:ascii="仿宋" w:eastAsia="仿宋" w:hAnsi="仿宋" w:cs="宋体"/>
                <w:sz w:val="24"/>
              </w:rPr>
            </w:pPr>
            <w:r>
              <w:rPr>
                <w:rFonts w:ascii="仿宋" w:eastAsia="仿宋" w:hAnsi="仿宋" w:cs="宋体" w:hint="eastAsia"/>
                <w:sz w:val="24"/>
              </w:rPr>
              <w:t>（二）</w:t>
            </w:r>
            <w:r>
              <w:rPr>
                <w:rFonts w:ascii="仿宋" w:eastAsia="仿宋" w:hAnsi="仿宋" w:cs="宋体"/>
                <w:sz w:val="24"/>
              </w:rPr>
              <w:t>《利润表》</w:t>
            </w:r>
            <w:r>
              <w:rPr>
                <w:rFonts w:ascii="仿宋" w:eastAsia="仿宋" w:hAnsi="仿宋" w:cs="宋体" w:hint="eastAsia"/>
                <w:sz w:val="24"/>
              </w:rPr>
              <w:t>。</w:t>
            </w:r>
          </w:p>
        </w:tc>
        <w:tc>
          <w:tcPr>
            <w:tcW w:w="901" w:type="dxa"/>
            <w:vMerge/>
            <w:vAlign w:val="center"/>
          </w:tcPr>
          <w:p w:rsidR="00013EC7" w:rsidRDefault="00013EC7">
            <w:pPr>
              <w:rPr>
                <w:rFonts w:ascii="仿宋" w:eastAsia="仿宋" w:hAnsi="仿宋"/>
                <w:sz w:val="24"/>
              </w:rPr>
            </w:pPr>
          </w:p>
        </w:tc>
        <w:tc>
          <w:tcPr>
            <w:tcW w:w="2837" w:type="dxa"/>
            <w:vAlign w:val="center"/>
          </w:tcPr>
          <w:p w:rsidR="00013EC7" w:rsidRDefault="00575CDB">
            <w:pPr>
              <w:widowControl/>
              <w:rPr>
                <w:rFonts w:ascii="仿宋" w:eastAsia="仿宋" w:hAnsi="仿宋" w:cs="宋体"/>
                <w:sz w:val="24"/>
              </w:rPr>
            </w:pPr>
            <w:r>
              <w:rPr>
                <w:rFonts w:ascii="仿宋" w:eastAsia="仿宋" w:hAnsi="仿宋" w:cs="宋体" w:hint="eastAsia"/>
                <w:sz w:val="24"/>
              </w:rPr>
              <w:t>（二）</w:t>
            </w:r>
            <w:r>
              <w:rPr>
                <w:rFonts w:ascii="仿宋" w:eastAsia="仿宋" w:hAnsi="仿宋" w:cs="宋体"/>
                <w:sz w:val="24"/>
              </w:rPr>
              <w:t>《利润表》</w:t>
            </w:r>
            <w:r>
              <w:rPr>
                <w:rFonts w:ascii="仿宋" w:eastAsia="仿宋" w:hAnsi="仿宋" w:cs="仿宋" w:hint="eastAsia"/>
                <w:sz w:val="24"/>
              </w:rPr>
              <w:t>1份</w:t>
            </w:r>
            <w:r>
              <w:rPr>
                <w:rFonts w:ascii="仿宋" w:eastAsia="仿宋" w:hAnsi="仿宋" w:cs="宋体"/>
                <w:sz w:val="24"/>
              </w:rPr>
              <w:t>。</w:t>
            </w:r>
          </w:p>
        </w:tc>
        <w:tc>
          <w:tcPr>
            <w:tcW w:w="952" w:type="dxa"/>
            <w:vMerge/>
            <w:vAlign w:val="center"/>
          </w:tcPr>
          <w:p w:rsidR="00013EC7" w:rsidRDefault="00013EC7">
            <w:pPr>
              <w:spacing w:line="300" w:lineRule="exact"/>
              <w:rPr>
                <w:rFonts w:ascii="仿宋" w:eastAsia="仿宋" w:hAnsi="仿宋"/>
                <w:sz w:val="24"/>
              </w:rPr>
            </w:pPr>
          </w:p>
        </w:tc>
        <w:tc>
          <w:tcPr>
            <w:tcW w:w="3455" w:type="dxa"/>
            <w:vMerge/>
            <w:vAlign w:val="center"/>
          </w:tcPr>
          <w:p w:rsidR="00013EC7" w:rsidRDefault="00013EC7">
            <w:pPr>
              <w:rPr>
                <w:rFonts w:ascii="仿宋" w:eastAsia="仿宋" w:hAnsi="仿宋"/>
                <w:b/>
                <w:sz w:val="24"/>
              </w:rPr>
            </w:pPr>
          </w:p>
        </w:tc>
        <w:tc>
          <w:tcPr>
            <w:tcW w:w="868" w:type="dxa"/>
            <w:vMerge/>
            <w:vAlign w:val="center"/>
          </w:tcPr>
          <w:p w:rsidR="00013EC7" w:rsidRDefault="00013EC7">
            <w:pPr>
              <w:rPr>
                <w:rFonts w:ascii="仿宋" w:eastAsia="仿宋" w:hAnsi="仿宋"/>
                <w:sz w:val="24"/>
              </w:rPr>
            </w:pPr>
          </w:p>
        </w:tc>
        <w:tc>
          <w:tcPr>
            <w:tcW w:w="922" w:type="dxa"/>
            <w:vMerge/>
            <w:vAlign w:val="center"/>
          </w:tcPr>
          <w:p w:rsidR="00013EC7" w:rsidRDefault="00013EC7">
            <w:pPr>
              <w:rPr>
                <w:rFonts w:ascii="仿宋" w:eastAsia="仿宋" w:hAnsi="仿宋"/>
                <w:sz w:val="24"/>
              </w:rPr>
            </w:pPr>
          </w:p>
        </w:tc>
        <w:tc>
          <w:tcPr>
            <w:tcW w:w="834" w:type="dxa"/>
            <w:vMerge/>
            <w:vAlign w:val="center"/>
          </w:tcPr>
          <w:p w:rsidR="00013EC7" w:rsidRDefault="00013EC7">
            <w:pPr>
              <w:rPr>
                <w:rFonts w:ascii="仿宋" w:eastAsia="仿宋" w:hAnsi="仿宋"/>
                <w:sz w:val="24"/>
              </w:rPr>
            </w:pPr>
          </w:p>
        </w:tc>
        <w:tc>
          <w:tcPr>
            <w:tcW w:w="1104" w:type="dxa"/>
            <w:vMerge/>
            <w:vAlign w:val="center"/>
          </w:tcPr>
          <w:p w:rsidR="00013EC7" w:rsidRDefault="00013EC7">
            <w:pPr>
              <w:rPr>
                <w:rFonts w:ascii="仿宋" w:eastAsia="仿宋" w:hAnsi="仿宋"/>
                <w:sz w:val="24"/>
              </w:rPr>
            </w:pPr>
          </w:p>
        </w:tc>
        <w:tc>
          <w:tcPr>
            <w:tcW w:w="1476" w:type="dxa"/>
            <w:vMerge/>
            <w:vAlign w:val="center"/>
          </w:tcPr>
          <w:p w:rsidR="00013EC7" w:rsidRDefault="00013EC7">
            <w:pPr>
              <w:spacing w:line="300" w:lineRule="exact"/>
              <w:rPr>
                <w:rFonts w:eastAsia="方正书宋简体"/>
                <w:szCs w:val="21"/>
              </w:rPr>
            </w:pPr>
          </w:p>
        </w:tc>
      </w:tr>
      <w:tr w:rsidR="00013EC7">
        <w:trPr>
          <w:trHeight w:val="1568"/>
          <w:jc w:val="center"/>
        </w:trPr>
        <w:tc>
          <w:tcPr>
            <w:tcW w:w="672" w:type="dxa"/>
            <w:vMerge/>
            <w:vAlign w:val="center"/>
          </w:tcPr>
          <w:p w:rsidR="00013EC7" w:rsidRDefault="00013EC7">
            <w:pPr>
              <w:spacing w:line="300" w:lineRule="exact"/>
              <w:rPr>
                <w:rFonts w:ascii="仿宋" w:eastAsia="仿宋" w:hAnsi="仿宋"/>
                <w:sz w:val="24"/>
              </w:rPr>
            </w:pPr>
          </w:p>
        </w:tc>
        <w:tc>
          <w:tcPr>
            <w:tcW w:w="1035" w:type="dxa"/>
            <w:vMerge/>
            <w:vAlign w:val="center"/>
          </w:tcPr>
          <w:p w:rsidR="00013EC7" w:rsidRDefault="00013EC7">
            <w:pPr>
              <w:spacing w:line="310" w:lineRule="exact"/>
              <w:rPr>
                <w:rFonts w:ascii="仿宋" w:eastAsia="仿宋" w:hAnsi="仿宋"/>
                <w:sz w:val="24"/>
              </w:rPr>
            </w:pPr>
          </w:p>
        </w:tc>
        <w:tc>
          <w:tcPr>
            <w:tcW w:w="2622" w:type="dxa"/>
            <w:vMerge/>
            <w:vAlign w:val="center"/>
          </w:tcPr>
          <w:p w:rsidR="00013EC7" w:rsidRDefault="00013EC7">
            <w:pPr>
              <w:rPr>
                <w:rFonts w:ascii="仿宋" w:eastAsia="仿宋" w:hAnsi="仿宋" w:cs="宋体"/>
                <w:kern w:val="1"/>
                <w:sz w:val="24"/>
              </w:rPr>
            </w:pPr>
          </w:p>
        </w:tc>
        <w:tc>
          <w:tcPr>
            <w:tcW w:w="2760" w:type="dxa"/>
            <w:tcBorders>
              <w:top w:val="single" w:sz="4" w:space="0" w:color="auto"/>
              <w:bottom w:val="single" w:sz="4" w:space="0" w:color="auto"/>
            </w:tcBorders>
            <w:vAlign w:val="center"/>
          </w:tcPr>
          <w:p w:rsidR="00013EC7" w:rsidRDefault="00575CDB">
            <w:pPr>
              <w:widowControl/>
              <w:rPr>
                <w:rFonts w:ascii="仿宋" w:eastAsia="仿宋" w:hAnsi="仿宋" w:cs="宋体"/>
                <w:sz w:val="24"/>
              </w:rPr>
            </w:pPr>
            <w:r>
              <w:rPr>
                <w:rFonts w:ascii="仿宋" w:eastAsia="仿宋" w:hAnsi="仿宋" w:cs="宋体" w:hint="eastAsia"/>
                <w:sz w:val="24"/>
              </w:rPr>
              <w:t>（三）</w:t>
            </w:r>
            <w:r>
              <w:rPr>
                <w:rFonts w:ascii="仿宋" w:eastAsia="仿宋" w:hAnsi="仿宋" w:cs="宋体"/>
                <w:sz w:val="24"/>
              </w:rPr>
              <w:t>《现金流量表》</w:t>
            </w:r>
            <w:r>
              <w:rPr>
                <w:rFonts w:ascii="仿宋" w:eastAsia="仿宋" w:hAnsi="仿宋" w:cs="宋体" w:hint="eastAsia"/>
                <w:sz w:val="24"/>
              </w:rPr>
              <w:t>。</w:t>
            </w:r>
          </w:p>
        </w:tc>
        <w:tc>
          <w:tcPr>
            <w:tcW w:w="901" w:type="dxa"/>
            <w:vMerge w:val="restart"/>
            <w:vAlign w:val="center"/>
          </w:tcPr>
          <w:p w:rsidR="00013EC7" w:rsidRDefault="00575CDB">
            <w:pPr>
              <w:rPr>
                <w:rFonts w:ascii="仿宋" w:eastAsia="仿宋" w:hAnsi="仿宋"/>
                <w:sz w:val="24"/>
              </w:rPr>
            </w:pPr>
            <w:r>
              <w:rPr>
                <w:rFonts w:ascii="仿宋" w:eastAsia="仿宋" w:hAnsi="仿宋" w:cs="宋体"/>
                <w:sz w:val="24"/>
              </w:rPr>
              <w:t>视企业所执行的会计制度不同</w:t>
            </w:r>
            <w:r>
              <w:rPr>
                <w:rFonts w:ascii="仿宋" w:eastAsia="仿宋" w:hAnsi="仿宋" w:cs="宋体" w:hint="eastAsia"/>
                <w:sz w:val="24"/>
              </w:rPr>
              <w:t>，</w:t>
            </w:r>
            <w:r>
              <w:rPr>
                <w:rFonts w:ascii="仿宋" w:eastAsia="仿宋" w:hAnsi="仿宋" w:cs="宋体"/>
                <w:sz w:val="24"/>
              </w:rPr>
              <w:t>于年度申报时选择报送</w:t>
            </w:r>
            <w:r>
              <w:rPr>
                <w:rFonts w:ascii="仿宋" w:eastAsia="仿宋" w:hAnsi="仿宋" w:cs="宋体" w:hint="eastAsia"/>
                <w:sz w:val="24"/>
              </w:rPr>
              <w:t>的纳税人提交</w:t>
            </w:r>
          </w:p>
        </w:tc>
        <w:tc>
          <w:tcPr>
            <w:tcW w:w="2837" w:type="dxa"/>
            <w:vAlign w:val="center"/>
          </w:tcPr>
          <w:p w:rsidR="00013EC7" w:rsidRDefault="00575CDB">
            <w:pPr>
              <w:widowControl/>
              <w:rPr>
                <w:rFonts w:ascii="仿宋" w:eastAsia="仿宋" w:hAnsi="仿宋" w:cs="宋体"/>
                <w:sz w:val="24"/>
              </w:rPr>
            </w:pPr>
            <w:r>
              <w:rPr>
                <w:rFonts w:ascii="仿宋" w:eastAsia="仿宋" w:hAnsi="仿宋" w:cs="宋体" w:hint="eastAsia"/>
                <w:sz w:val="24"/>
              </w:rPr>
              <w:t>（三）</w:t>
            </w:r>
            <w:r>
              <w:rPr>
                <w:rFonts w:ascii="仿宋" w:eastAsia="仿宋" w:hAnsi="仿宋" w:cs="宋体"/>
                <w:sz w:val="24"/>
              </w:rPr>
              <w:t>《现金流量表》</w:t>
            </w:r>
            <w:r>
              <w:rPr>
                <w:rFonts w:ascii="仿宋" w:eastAsia="仿宋" w:hAnsi="仿宋" w:cs="仿宋"/>
                <w:sz w:val="24"/>
              </w:rPr>
              <w:t>1</w:t>
            </w:r>
            <w:r>
              <w:rPr>
                <w:rFonts w:ascii="仿宋" w:eastAsia="仿宋" w:hAnsi="仿宋" w:cs="仿宋" w:hint="eastAsia"/>
                <w:sz w:val="24"/>
              </w:rPr>
              <w:t>份</w:t>
            </w:r>
            <w:r>
              <w:rPr>
                <w:rFonts w:ascii="仿宋" w:eastAsia="仿宋" w:hAnsi="仿宋" w:cs="宋体"/>
                <w:sz w:val="24"/>
              </w:rPr>
              <w:t>。</w:t>
            </w:r>
          </w:p>
        </w:tc>
        <w:tc>
          <w:tcPr>
            <w:tcW w:w="952" w:type="dxa"/>
            <w:vMerge w:val="restart"/>
            <w:vAlign w:val="center"/>
          </w:tcPr>
          <w:p w:rsidR="00013EC7" w:rsidRDefault="00575CDB">
            <w:pPr>
              <w:rPr>
                <w:rFonts w:ascii="仿宋" w:eastAsia="仿宋" w:hAnsi="仿宋"/>
                <w:sz w:val="24"/>
              </w:rPr>
            </w:pPr>
            <w:r>
              <w:rPr>
                <w:rFonts w:ascii="仿宋" w:eastAsia="仿宋" w:hAnsi="仿宋" w:cs="宋体"/>
                <w:sz w:val="24"/>
              </w:rPr>
              <w:t>视企业所执行的会计制度不同</w:t>
            </w:r>
            <w:r>
              <w:rPr>
                <w:rFonts w:ascii="仿宋" w:eastAsia="仿宋" w:hAnsi="仿宋" w:cs="宋体" w:hint="eastAsia"/>
                <w:sz w:val="24"/>
              </w:rPr>
              <w:t>，</w:t>
            </w:r>
            <w:r>
              <w:rPr>
                <w:rFonts w:ascii="仿宋" w:eastAsia="仿宋" w:hAnsi="仿宋" w:cs="宋体"/>
                <w:sz w:val="24"/>
              </w:rPr>
              <w:t>于年度申报时选择报送</w:t>
            </w:r>
            <w:r>
              <w:rPr>
                <w:rFonts w:ascii="仿宋" w:eastAsia="仿宋" w:hAnsi="仿宋" w:cs="宋体" w:hint="eastAsia"/>
                <w:sz w:val="24"/>
              </w:rPr>
              <w:t>的纳税人提交</w:t>
            </w:r>
          </w:p>
        </w:tc>
        <w:tc>
          <w:tcPr>
            <w:tcW w:w="3455" w:type="dxa"/>
            <w:vMerge/>
            <w:vAlign w:val="center"/>
          </w:tcPr>
          <w:p w:rsidR="00013EC7" w:rsidRDefault="00013EC7">
            <w:pPr>
              <w:spacing w:line="300" w:lineRule="exact"/>
              <w:rPr>
                <w:rFonts w:ascii="仿宋" w:eastAsia="仿宋" w:hAnsi="仿宋"/>
                <w:b/>
                <w:sz w:val="24"/>
              </w:rPr>
            </w:pPr>
          </w:p>
        </w:tc>
        <w:tc>
          <w:tcPr>
            <w:tcW w:w="868" w:type="dxa"/>
            <w:vMerge/>
            <w:vAlign w:val="center"/>
          </w:tcPr>
          <w:p w:rsidR="00013EC7" w:rsidRDefault="00013EC7">
            <w:pPr>
              <w:spacing w:line="300" w:lineRule="exact"/>
              <w:jc w:val="center"/>
              <w:rPr>
                <w:rFonts w:eastAsia="方正书宋简体"/>
                <w:szCs w:val="21"/>
              </w:rPr>
            </w:pPr>
          </w:p>
        </w:tc>
        <w:tc>
          <w:tcPr>
            <w:tcW w:w="922" w:type="dxa"/>
            <w:vMerge/>
            <w:vAlign w:val="center"/>
          </w:tcPr>
          <w:p w:rsidR="00013EC7" w:rsidRDefault="00013EC7">
            <w:pPr>
              <w:spacing w:line="300" w:lineRule="exact"/>
              <w:jc w:val="center"/>
              <w:rPr>
                <w:rFonts w:eastAsia="方正书宋简体"/>
                <w:szCs w:val="21"/>
              </w:rPr>
            </w:pPr>
          </w:p>
        </w:tc>
        <w:tc>
          <w:tcPr>
            <w:tcW w:w="834" w:type="dxa"/>
            <w:vMerge/>
            <w:vAlign w:val="center"/>
          </w:tcPr>
          <w:p w:rsidR="00013EC7" w:rsidRDefault="00013EC7">
            <w:pPr>
              <w:spacing w:line="300" w:lineRule="exact"/>
              <w:jc w:val="center"/>
              <w:rPr>
                <w:rFonts w:eastAsia="方正书宋简体"/>
                <w:szCs w:val="21"/>
              </w:rPr>
            </w:pPr>
          </w:p>
        </w:tc>
        <w:tc>
          <w:tcPr>
            <w:tcW w:w="1104" w:type="dxa"/>
            <w:vMerge/>
            <w:vAlign w:val="center"/>
          </w:tcPr>
          <w:p w:rsidR="00013EC7" w:rsidRDefault="00013EC7">
            <w:pPr>
              <w:spacing w:line="300" w:lineRule="exact"/>
              <w:jc w:val="center"/>
              <w:rPr>
                <w:rFonts w:eastAsia="方正书宋简体"/>
                <w:szCs w:val="21"/>
              </w:rPr>
            </w:pPr>
          </w:p>
        </w:tc>
        <w:tc>
          <w:tcPr>
            <w:tcW w:w="1476" w:type="dxa"/>
            <w:vMerge/>
            <w:vAlign w:val="center"/>
          </w:tcPr>
          <w:p w:rsidR="00013EC7" w:rsidRDefault="00013EC7">
            <w:pPr>
              <w:spacing w:line="300" w:lineRule="exact"/>
              <w:rPr>
                <w:rFonts w:eastAsia="方正书宋简体"/>
                <w:szCs w:val="21"/>
              </w:rPr>
            </w:pPr>
          </w:p>
        </w:tc>
      </w:tr>
      <w:tr w:rsidR="00013EC7">
        <w:trPr>
          <w:trHeight w:val="1567"/>
          <w:jc w:val="center"/>
        </w:trPr>
        <w:tc>
          <w:tcPr>
            <w:tcW w:w="672" w:type="dxa"/>
            <w:vMerge/>
            <w:vAlign w:val="center"/>
          </w:tcPr>
          <w:p w:rsidR="00013EC7" w:rsidRDefault="00013EC7">
            <w:pPr>
              <w:spacing w:line="300" w:lineRule="exact"/>
              <w:rPr>
                <w:rFonts w:ascii="仿宋" w:eastAsia="仿宋" w:hAnsi="仿宋"/>
                <w:sz w:val="24"/>
              </w:rPr>
            </w:pPr>
          </w:p>
        </w:tc>
        <w:tc>
          <w:tcPr>
            <w:tcW w:w="1035" w:type="dxa"/>
            <w:vMerge/>
            <w:vAlign w:val="center"/>
          </w:tcPr>
          <w:p w:rsidR="00013EC7" w:rsidRDefault="00013EC7">
            <w:pPr>
              <w:spacing w:line="310" w:lineRule="exact"/>
              <w:rPr>
                <w:rFonts w:ascii="仿宋" w:eastAsia="仿宋" w:hAnsi="仿宋"/>
                <w:sz w:val="24"/>
              </w:rPr>
            </w:pPr>
          </w:p>
        </w:tc>
        <w:tc>
          <w:tcPr>
            <w:tcW w:w="2622" w:type="dxa"/>
            <w:vMerge/>
            <w:vAlign w:val="center"/>
          </w:tcPr>
          <w:p w:rsidR="00013EC7" w:rsidRDefault="00013EC7">
            <w:pPr>
              <w:rPr>
                <w:rFonts w:ascii="仿宋" w:eastAsia="仿宋" w:hAnsi="仿宋" w:cs="宋体"/>
                <w:kern w:val="1"/>
                <w:sz w:val="24"/>
              </w:rPr>
            </w:pPr>
          </w:p>
        </w:tc>
        <w:tc>
          <w:tcPr>
            <w:tcW w:w="2760" w:type="dxa"/>
            <w:tcBorders>
              <w:top w:val="single" w:sz="4" w:space="0" w:color="auto"/>
              <w:bottom w:val="single" w:sz="4" w:space="0" w:color="auto"/>
            </w:tcBorders>
            <w:vAlign w:val="center"/>
          </w:tcPr>
          <w:p w:rsidR="00013EC7" w:rsidRDefault="00575CDB">
            <w:pPr>
              <w:widowControl/>
              <w:rPr>
                <w:rFonts w:ascii="仿宋" w:eastAsia="仿宋" w:hAnsi="仿宋" w:cs="宋体"/>
                <w:sz w:val="24"/>
              </w:rPr>
            </w:pPr>
            <w:r>
              <w:rPr>
                <w:rFonts w:ascii="仿宋" w:eastAsia="仿宋" w:hAnsi="仿宋" w:cs="宋体" w:hint="eastAsia"/>
                <w:sz w:val="24"/>
              </w:rPr>
              <w:t>（四）</w:t>
            </w:r>
            <w:r>
              <w:rPr>
                <w:rFonts w:ascii="仿宋" w:eastAsia="仿宋" w:hAnsi="仿宋" w:cs="宋体"/>
                <w:sz w:val="24"/>
              </w:rPr>
              <w:t>《所有者权益变动表》</w:t>
            </w:r>
            <w:r>
              <w:rPr>
                <w:rFonts w:ascii="仿宋" w:eastAsia="仿宋" w:hAnsi="仿宋" w:cs="宋体" w:hint="eastAsia"/>
                <w:sz w:val="24"/>
              </w:rPr>
              <w:t>。</w:t>
            </w:r>
          </w:p>
        </w:tc>
        <w:tc>
          <w:tcPr>
            <w:tcW w:w="901" w:type="dxa"/>
            <w:vMerge/>
            <w:vAlign w:val="center"/>
          </w:tcPr>
          <w:p w:rsidR="00013EC7" w:rsidRDefault="00013EC7">
            <w:pPr>
              <w:rPr>
                <w:rFonts w:ascii="仿宋" w:eastAsia="仿宋" w:hAnsi="仿宋" w:cs="宋体"/>
                <w:sz w:val="24"/>
              </w:rPr>
            </w:pPr>
          </w:p>
        </w:tc>
        <w:tc>
          <w:tcPr>
            <w:tcW w:w="2837" w:type="dxa"/>
            <w:vAlign w:val="center"/>
          </w:tcPr>
          <w:p w:rsidR="00013EC7" w:rsidRDefault="00575CDB">
            <w:pPr>
              <w:widowControl/>
              <w:rPr>
                <w:rFonts w:ascii="仿宋" w:eastAsia="仿宋" w:hAnsi="仿宋" w:cs="宋体"/>
                <w:sz w:val="24"/>
              </w:rPr>
            </w:pPr>
            <w:r>
              <w:rPr>
                <w:rFonts w:ascii="仿宋" w:eastAsia="仿宋" w:hAnsi="仿宋" w:cs="宋体" w:hint="eastAsia"/>
                <w:sz w:val="24"/>
              </w:rPr>
              <w:t>（四）</w:t>
            </w:r>
            <w:r>
              <w:rPr>
                <w:rFonts w:ascii="仿宋" w:eastAsia="仿宋" w:hAnsi="仿宋" w:cs="宋体"/>
                <w:sz w:val="24"/>
              </w:rPr>
              <w:t>《所有者权益变动表》</w:t>
            </w:r>
            <w:r>
              <w:rPr>
                <w:rFonts w:ascii="仿宋" w:eastAsia="仿宋" w:hAnsi="仿宋" w:cs="仿宋" w:hint="eastAsia"/>
                <w:sz w:val="24"/>
              </w:rPr>
              <w:t>1份</w:t>
            </w:r>
            <w:r>
              <w:rPr>
                <w:rFonts w:ascii="仿宋" w:eastAsia="仿宋" w:hAnsi="仿宋" w:cs="宋体"/>
                <w:sz w:val="24"/>
              </w:rPr>
              <w:t>。</w:t>
            </w:r>
          </w:p>
        </w:tc>
        <w:tc>
          <w:tcPr>
            <w:tcW w:w="952" w:type="dxa"/>
            <w:vMerge/>
            <w:vAlign w:val="center"/>
          </w:tcPr>
          <w:p w:rsidR="00013EC7" w:rsidRDefault="00013EC7">
            <w:pPr>
              <w:rPr>
                <w:rFonts w:ascii="仿宋" w:eastAsia="仿宋" w:hAnsi="仿宋" w:cs="宋体"/>
                <w:sz w:val="24"/>
              </w:rPr>
            </w:pPr>
          </w:p>
        </w:tc>
        <w:tc>
          <w:tcPr>
            <w:tcW w:w="3455" w:type="dxa"/>
            <w:vMerge/>
            <w:vAlign w:val="center"/>
          </w:tcPr>
          <w:p w:rsidR="00013EC7" w:rsidRDefault="00013EC7">
            <w:pPr>
              <w:spacing w:line="300" w:lineRule="exact"/>
              <w:rPr>
                <w:rFonts w:ascii="仿宋" w:eastAsia="仿宋" w:hAnsi="仿宋"/>
                <w:b/>
                <w:sz w:val="24"/>
              </w:rPr>
            </w:pPr>
          </w:p>
        </w:tc>
        <w:tc>
          <w:tcPr>
            <w:tcW w:w="868" w:type="dxa"/>
            <w:vMerge/>
            <w:vAlign w:val="center"/>
          </w:tcPr>
          <w:p w:rsidR="00013EC7" w:rsidRDefault="00013EC7">
            <w:pPr>
              <w:spacing w:line="300" w:lineRule="exact"/>
              <w:jc w:val="center"/>
              <w:rPr>
                <w:rFonts w:eastAsia="方正书宋简体"/>
                <w:szCs w:val="21"/>
              </w:rPr>
            </w:pPr>
          </w:p>
        </w:tc>
        <w:tc>
          <w:tcPr>
            <w:tcW w:w="922" w:type="dxa"/>
            <w:vMerge/>
            <w:vAlign w:val="center"/>
          </w:tcPr>
          <w:p w:rsidR="00013EC7" w:rsidRDefault="00013EC7">
            <w:pPr>
              <w:spacing w:line="300" w:lineRule="exact"/>
              <w:jc w:val="center"/>
              <w:rPr>
                <w:rFonts w:eastAsia="方正书宋简体"/>
                <w:szCs w:val="21"/>
              </w:rPr>
            </w:pPr>
          </w:p>
        </w:tc>
        <w:tc>
          <w:tcPr>
            <w:tcW w:w="834" w:type="dxa"/>
            <w:vMerge/>
            <w:vAlign w:val="center"/>
          </w:tcPr>
          <w:p w:rsidR="00013EC7" w:rsidRDefault="00013EC7">
            <w:pPr>
              <w:spacing w:line="300" w:lineRule="exact"/>
              <w:jc w:val="center"/>
              <w:rPr>
                <w:rFonts w:eastAsia="方正书宋简体"/>
                <w:szCs w:val="21"/>
              </w:rPr>
            </w:pPr>
          </w:p>
        </w:tc>
        <w:tc>
          <w:tcPr>
            <w:tcW w:w="1104" w:type="dxa"/>
            <w:vMerge/>
            <w:vAlign w:val="center"/>
          </w:tcPr>
          <w:p w:rsidR="00013EC7" w:rsidRDefault="00013EC7">
            <w:pPr>
              <w:spacing w:line="300" w:lineRule="exact"/>
              <w:jc w:val="center"/>
              <w:rPr>
                <w:rFonts w:eastAsia="方正书宋简体"/>
                <w:szCs w:val="21"/>
              </w:rPr>
            </w:pPr>
          </w:p>
        </w:tc>
        <w:tc>
          <w:tcPr>
            <w:tcW w:w="1476" w:type="dxa"/>
            <w:vMerge/>
            <w:vAlign w:val="center"/>
          </w:tcPr>
          <w:p w:rsidR="00013EC7" w:rsidRDefault="00013EC7">
            <w:pPr>
              <w:spacing w:line="300" w:lineRule="exact"/>
              <w:rPr>
                <w:rFonts w:eastAsia="方正书宋简体"/>
                <w:szCs w:val="21"/>
              </w:rPr>
            </w:pPr>
          </w:p>
        </w:tc>
      </w:tr>
      <w:tr w:rsidR="00013EC7">
        <w:trPr>
          <w:trHeight w:val="3131"/>
          <w:jc w:val="center"/>
        </w:trPr>
        <w:tc>
          <w:tcPr>
            <w:tcW w:w="672" w:type="dxa"/>
            <w:vMerge/>
            <w:tcBorders>
              <w:bottom w:val="single" w:sz="4" w:space="0" w:color="auto"/>
            </w:tcBorders>
            <w:vAlign w:val="center"/>
          </w:tcPr>
          <w:p w:rsidR="00013EC7" w:rsidRDefault="00013EC7">
            <w:pPr>
              <w:spacing w:line="300" w:lineRule="exact"/>
              <w:jc w:val="center"/>
              <w:rPr>
                <w:rFonts w:eastAsia="方正书宋简体"/>
                <w:szCs w:val="21"/>
              </w:rPr>
            </w:pPr>
          </w:p>
        </w:tc>
        <w:tc>
          <w:tcPr>
            <w:tcW w:w="1035" w:type="dxa"/>
            <w:vMerge/>
            <w:tcBorders>
              <w:bottom w:val="single" w:sz="4" w:space="0" w:color="auto"/>
            </w:tcBorders>
            <w:vAlign w:val="center"/>
          </w:tcPr>
          <w:p w:rsidR="00013EC7" w:rsidRDefault="00013EC7">
            <w:pPr>
              <w:spacing w:line="310" w:lineRule="exact"/>
              <w:rPr>
                <w:rFonts w:eastAsia="方正书宋简体"/>
                <w:szCs w:val="21"/>
              </w:rPr>
            </w:pPr>
          </w:p>
        </w:tc>
        <w:tc>
          <w:tcPr>
            <w:tcW w:w="2622" w:type="dxa"/>
            <w:vMerge/>
            <w:tcBorders>
              <w:bottom w:val="single" w:sz="4" w:space="0" w:color="auto"/>
            </w:tcBorders>
            <w:vAlign w:val="center"/>
          </w:tcPr>
          <w:p w:rsidR="00013EC7" w:rsidRDefault="00013EC7">
            <w:pPr>
              <w:rPr>
                <w:rFonts w:ascii="宋体" w:hAnsi="宋体" w:cs="宋体"/>
                <w:kern w:val="1"/>
                <w:szCs w:val="21"/>
              </w:rPr>
            </w:pPr>
          </w:p>
        </w:tc>
        <w:tc>
          <w:tcPr>
            <w:tcW w:w="2760" w:type="dxa"/>
            <w:tcBorders>
              <w:top w:val="single" w:sz="4" w:space="0" w:color="auto"/>
              <w:bottom w:val="single" w:sz="4" w:space="0" w:color="auto"/>
            </w:tcBorders>
            <w:vAlign w:val="center"/>
          </w:tcPr>
          <w:p w:rsidR="00013EC7" w:rsidRDefault="00575CDB">
            <w:pPr>
              <w:rPr>
                <w:rFonts w:ascii="仿宋" w:eastAsia="仿宋" w:hAnsi="仿宋"/>
                <w:sz w:val="24"/>
              </w:rPr>
            </w:pPr>
            <w:r>
              <w:rPr>
                <w:rFonts w:ascii="仿宋" w:eastAsia="仿宋" w:hAnsi="仿宋" w:hint="eastAsia"/>
                <w:sz w:val="24"/>
              </w:rPr>
              <w:t>（五）</w:t>
            </w:r>
            <w:r>
              <w:rPr>
                <w:rFonts w:ascii="仿宋" w:eastAsia="仿宋" w:hAnsi="仿宋"/>
                <w:sz w:val="24"/>
              </w:rPr>
              <w:t>报表附注及应当在财务会计报告中披露的相关信息和资料各</w:t>
            </w:r>
            <w:r>
              <w:rPr>
                <w:rFonts w:ascii="仿宋" w:eastAsia="仿宋" w:hAnsi="仿宋" w:cs="仿宋"/>
                <w:sz w:val="24"/>
                <w:shd w:val="clear" w:color="FFFFFF" w:fill="D9D9D9"/>
              </w:rPr>
              <w:t>2份</w:t>
            </w:r>
            <w:r>
              <w:rPr>
                <w:rFonts w:ascii="仿宋" w:eastAsia="仿宋" w:hAnsi="仿宋" w:cs="仿宋" w:hint="eastAsia"/>
                <w:sz w:val="24"/>
              </w:rPr>
              <w:t>。</w:t>
            </w:r>
          </w:p>
        </w:tc>
        <w:tc>
          <w:tcPr>
            <w:tcW w:w="901" w:type="dxa"/>
            <w:tcBorders>
              <w:bottom w:val="single" w:sz="4" w:space="0" w:color="auto"/>
            </w:tcBorders>
            <w:vAlign w:val="center"/>
          </w:tcPr>
          <w:p w:rsidR="00013EC7" w:rsidRDefault="00575CDB">
            <w:pPr>
              <w:rPr>
                <w:rFonts w:ascii="仿宋" w:eastAsia="仿宋" w:hAnsi="仿宋"/>
                <w:sz w:val="24"/>
              </w:rPr>
            </w:pPr>
            <w:r>
              <w:rPr>
                <w:rFonts w:ascii="仿宋" w:eastAsia="仿宋" w:hAnsi="仿宋" w:cs="宋体"/>
                <w:sz w:val="24"/>
              </w:rPr>
              <w:t>视企业所执行的会计制度不同</w:t>
            </w:r>
            <w:r>
              <w:rPr>
                <w:rFonts w:ascii="仿宋" w:eastAsia="仿宋" w:hAnsi="仿宋" w:cs="宋体" w:hint="eastAsia"/>
                <w:sz w:val="24"/>
              </w:rPr>
              <w:t>，依要求</w:t>
            </w:r>
            <w:r>
              <w:rPr>
                <w:rFonts w:ascii="仿宋" w:eastAsia="仿宋" w:hAnsi="仿宋" w:cs="宋体"/>
                <w:sz w:val="24"/>
              </w:rPr>
              <w:t>报送</w:t>
            </w:r>
            <w:r>
              <w:rPr>
                <w:rFonts w:ascii="仿宋" w:eastAsia="仿宋" w:hAnsi="仿宋" w:cs="宋体" w:hint="eastAsia"/>
                <w:sz w:val="24"/>
              </w:rPr>
              <w:t>的纳税人提交</w:t>
            </w:r>
          </w:p>
        </w:tc>
        <w:tc>
          <w:tcPr>
            <w:tcW w:w="2837" w:type="dxa"/>
            <w:tcBorders>
              <w:bottom w:val="single" w:sz="4" w:space="0" w:color="auto"/>
            </w:tcBorders>
            <w:vAlign w:val="center"/>
          </w:tcPr>
          <w:p w:rsidR="00013EC7" w:rsidRDefault="00575CDB">
            <w:pPr>
              <w:rPr>
                <w:rFonts w:ascii="仿宋" w:eastAsia="仿宋" w:hAnsi="仿宋"/>
                <w:sz w:val="24"/>
              </w:rPr>
            </w:pPr>
            <w:r>
              <w:rPr>
                <w:rFonts w:ascii="仿宋" w:eastAsia="仿宋" w:hAnsi="仿宋" w:hint="eastAsia"/>
                <w:sz w:val="24"/>
              </w:rPr>
              <w:t>（五）</w:t>
            </w:r>
            <w:r>
              <w:rPr>
                <w:rFonts w:ascii="仿宋" w:eastAsia="仿宋" w:hAnsi="仿宋"/>
                <w:sz w:val="24"/>
              </w:rPr>
              <w:t>报表附注及应当在财务会计报告中披露的相关信息和资料各</w:t>
            </w:r>
            <w:r>
              <w:rPr>
                <w:rFonts w:ascii="仿宋" w:eastAsia="仿宋" w:hAnsi="仿宋" w:hint="eastAsia"/>
                <w:sz w:val="24"/>
              </w:rPr>
              <w:t>1</w:t>
            </w:r>
            <w:r>
              <w:rPr>
                <w:rFonts w:ascii="仿宋" w:eastAsia="仿宋" w:hAnsi="仿宋"/>
                <w:sz w:val="24"/>
              </w:rPr>
              <w:t>份</w:t>
            </w:r>
            <w:r>
              <w:rPr>
                <w:rFonts w:ascii="仿宋" w:eastAsia="仿宋" w:hAnsi="仿宋" w:hint="eastAsia"/>
                <w:sz w:val="24"/>
              </w:rPr>
              <w:t>。</w:t>
            </w:r>
          </w:p>
        </w:tc>
        <w:tc>
          <w:tcPr>
            <w:tcW w:w="952" w:type="dxa"/>
            <w:vAlign w:val="center"/>
          </w:tcPr>
          <w:p w:rsidR="00013EC7" w:rsidRDefault="00575CDB">
            <w:pPr>
              <w:spacing w:line="300" w:lineRule="exact"/>
              <w:jc w:val="center"/>
              <w:rPr>
                <w:rFonts w:ascii="仿宋" w:eastAsia="仿宋" w:hAnsi="仿宋"/>
                <w:sz w:val="24"/>
              </w:rPr>
            </w:pPr>
            <w:r>
              <w:rPr>
                <w:rFonts w:ascii="仿宋" w:eastAsia="仿宋" w:hAnsi="仿宋" w:cs="宋体"/>
                <w:sz w:val="24"/>
              </w:rPr>
              <w:t>视企业所执行的会计制度不同</w:t>
            </w:r>
            <w:r>
              <w:rPr>
                <w:rFonts w:ascii="仿宋" w:eastAsia="仿宋" w:hAnsi="仿宋" w:cs="宋体" w:hint="eastAsia"/>
                <w:sz w:val="24"/>
              </w:rPr>
              <w:t>，依要求</w:t>
            </w:r>
            <w:r>
              <w:rPr>
                <w:rFonts w:ascii="仿宋" w:eastAsia="仿宋" w:hAnsi="仿宋" w:cs="宋体"/>
                <w:sz w:val="24"/>
              </w:rPr>
              <w:t>报送</w:t>
            </w:r>
            <w:r>
              <w:rPr>
                <w:rFonts w:ascii="仿宋" w:eastAsia="仿宋" w:hAnsi="仿宋" w:cs="宋体" w:hint="eastAsia"/>
                <w:sz w:val="24"/>
              </w:rPr>
              <w:t>的纳税人提交</w:t>
            </w:r>
          </w:p>
        </w:tc>
        <w:tc>
          <w:tcPr>
            <w:tcW w:w="3455" w:type="dxa"/>
            <w:vMerge/>
            <w:tcBorders>
              <w:bottom w:val="single" w:sz="4" w:space="0" w:color="auto"/>
            </w:tcBorders>
            <w:vAlign w:val="center"/>
          </w:tcPr>
          <w:p w:rsidR="00013EC7" w:rsidRDefault="00013EC7">
            <w:pPr>
              <w:spacing w:line="300" w:lineRule="exact"/>
              <w:rPr>
                <w:rFonts w:ascii="仿宋" w:eastAsia="仿宋" w:hAnsi="仿宋"/>
                <w:sz w:val="24"/>
              </w:rPr>
            </w:pPr>
          </w:p>
        </w:tc>
        <w:tc>
          <w:tcPr>
            <w:tcW w:w="868" w:type="dxa"/>
            <w:vMerge/>
            <w:tcBorders>
              <w:bottom w:val="single" w:sz="4" w:space="0" w:color="auto"/>
            </w:tcBorders>
            <w:vAlign w:val="center"/>
          </w:tcPr>
          <w:p w:rsidR="00013EC7" w:rsidRDefault="00013EC7">
            <w:pPr>
              <w:spacing w:line="300" w:lineRule="exact"/>
              <w:jc w:val="center"/>
              <w:rPr>
                <w:rFonts w:eastAsia="方正书宋简体"/>
                <w:szCs w:val="21"/>
              </w:rPr>
            </w:pPr>
          </w:p>
        </w:tc>
        <w:tc>
          <w:tcPr>
            <w:tcW w:w="922" w:type="dxa"/>
            <w:vMerge/>
            <w:tcBorders>
              <w:bottom w:val="single" w:sz="4" w:space="0" w:color="auto"/>
            </w:tcBorders>
            <w:vAlign w:val="center"/>
          </w:tcPr>
          <w:p w:rsidR="00013EC7" w:rsidRDefault="00013EC7">
            <w:pPr>
              <w:spacing w:line="300" w:lineRule="exact"/>
              <w:jc w:val="center"/>
              <w:rPr>
                <w:rFonts w:eastAsia="方正书宋简体"/>
                <w:szCs w:val="21"/>
              </w:rPr>
            </w:pPr>
          </w:p>
        </w:tc>
        <w:tc>
          <w:tcPr>
            <w:tcW w:w="834" w:type="dxa"/>
            <w:vMerge/>
            <w:tcBorders>
              <w:bottom w:val="single" w:sz="4" w:space="0" w:color="auto"/>
            </w:tcBorders>
            <w:vAlign w:val="center"/>
          </w:tcPr>
          <w:p w:rsidR="00013EC7" w:rsidRDefault="00013EC7">
            <w:pPr>
              <w:spacing w:line="300" w:lineRule="exact"/>
              <w:jc w:val="center"/>
              <w:rPr>
                <w:rFonts w:eastAsia="方正书宋简体"/>
                <w:szCs w:val="21"/>
              </w:rPr>
            </w:pPr>
          </w:p>
        </w:tc>
        <w:tc>
          <w:tcPr>
            <w:tcW w:w="1104" w:type="dxa"/>
            <w:vMerge/>
            <w:tcBorders>
              <w:bottom w:val="single" w:sz="4" w:space="0" w:color="auto"/>
            </w:tcBorders>
            <w:vAlign w:val="center"/>
          </w:tcPr>
          <w:p w:rsidR="00013EC7" w:rsidRDefault="00013EC7">
            <w:pPr>
              <w:spacing w:line="300" w:lineRule="exact"/>
              <w:jc w:val="center"/>
              <w:rPr>
                <w:rFonts w:eastAsia="方正书宋简体"/>
                <w:szCs w:val="21"/>
              </w:rPr>
            </w:pPr>
          </w:p>
        </w:tc>
        <w:tc>
          <w:tcPr>
            <w:tcW w:w="1476" w:type="dxa"/>
            <w:vMerge/>
            <w:tcBorders>
              <w:bottom w:val="single" w:sz="4" w:space="0" w:color="auto"/>
            </w:tcBorders>
            <w:vAlign w:val="center"/>
          </w:tcPr>
          <w:p w:rsidR="00013EC7" w:rsidRDefault="00013EC7">
            <w:pPr>
              <w:spacing w:line="300" w:lineRule="exact"/>
              <w:rPr>
                <w:rFonts w:eastAsia="方正书宋简体"/>
                <w:szCs w:val="21"/>
              </w:rPr>
            </w:pPr>
          </w:p>
        </w:tc>
      </w:tr>
    </w:tbl>
    <w:p w:rsidR="00013EC7" w:rsidRDefault="005262E6">
      <w:r>
        <w:lastRenderedPageBreak/>
        <w:object w:dxaOrig="1440" w:dyaOrig="1440">
          <v:shape id="_x0000_s1237" type="#_x0000_t75" style="position:absolute;left:0;text-align:left;margin-left:554.45pt;margin-top:97.15pt;width:481.9pt;height:617.7pt;z-index:251600896;mso-wrap-distance-left:9pt;mso-wrap-distance-top:0;mso-wrap-distance-right:9pt;mso-wrap-distance-bottom:0;mso-position-horizontal-relative:text;mso-position-vertical-relative:page;mso-width-relative:page;mso-height-relative:page">
            <v:imagedata r:id="rId354" o:title=""/>
            <w10:wrap type="square" anchory="page"/>
          </v:shape>
          <o:OLEObject Type="Embed" ProgID="Visio.Drawing.11" ShapeID="_x0000_s1237" DrawAspect="Content" ObjectID="_1577296271" r:id="rId355"/>
        </w:object>
      </w:r>
      <w:r>
        <w:object w:dxaOrig="1440" w:dyaOrig="1440">
          <v:shape id="_x0000_s1385" type="#_x0000_t75" style="position:absolute;left:0;text-align:left;margin-left:-22.5pt;margin-top:58.25pt;width:471.25pt;height:667.5pt;z-index:251708416;mso-wrap-distance-top:0;mso-wrap-distance-bottom:0;mso-position-horizontal-relative:text;mso-position-vertical-relative:page;mso-width-relative:page;mso-height-relative:page">
            <v:imagedata r:id="rId356" o:title=""/>
            <w10:wrap type="topAndBottom" anchory="page"/>
          </v:shape>
          <o:OLEObject Type="Embed" ProgID="Visio.Drawing.11" ShapeID="_x0000_s1385" DrawAspect="Content" ObjectID="_1577296272" r:id="rId357"/>
        </w:object>
      </w:r>
    </w:p>
    <w:p w:rsidR="00013EC7" w:rsidRDefault="00013EC7">
      <w:pPr>
        <w:jc w:val="left"/>
        <w:rPr>
          <w:rFonts w:ascii="宋体" w:hAnsi="宋体" w:cs="宋体"/>
          <w:bCs/>
          <w:color w:val="FF0000"/>
          <w:sz w:val="28"/>
          <w:szCs w:val="28"/>
        </w:rPr>
        <w:sectPr w:rsidR="00013EC7">
          <w:pgSz w:w="23814" w:h="16840" w:orient="landscape"/>
          <w:pgMar w:top="1701" w:right="1843" w:bottom="1985" w:left="1843" w:header="851" w:footer="1701" w:gutter="0"/>
          <w:pgNumType w:fmt="numberInDash"/>
          <w:cols w:space="720"/>
          <w:docGrid w:type="lines" w:linePitch="312"/>
        </w:sectPr>
      </w:pPr>
    </w:p>
    <w:p w:rsidR="00013EC7" w:rsidRDefault="00575CDB">
      <w:pPr>
        <w:pStyle w:val="2"/>
      </w:pPr>
      <w:bookmarkStart w:id="428" w:name="_Toc503467452"/>
      <w:bookmarkStart w:id="429" w:name="_Toc7535"/>
      <w:bookmarkStart w:id="430" w:name="_Toc17057"/>
      <w:bookmarkStart w:id="431" w:name="_Toc20368"/>
      <w:r>
        <w:rPr>
          <w:rFonts w:hint="eastAsia"/>
        </w:rPr>
        <w:lastRenderedPageBreak/>
        <w:t>21.2</w:t>
      </w:r>
      <w:r>
        <w:rPr>
          <w:rFonts w:hint="eastAsia"/>
        </w:rPr>
        <w:t>欠税人处置不动产或大额资产报告</w:t>
      </w:r>
      <w:bookmarkEnd w:id="428"/>
      <w:bookmarkEnd w:id="429"/>
      <w:bookmarkEnd w:id="430"/>
      <w:bookmarkEnd w:id="431"/>
    </w:p>
    <w:p w:rsidR="00013EC7" w:rsidRDefault="00575CDB">
      <w:pPr>
        <w:jc w:val="center"/>
        <w:rPr>
          <w:rFonts w:ascii="宋体" w:hAnsi="宋体" w:cs="宋体"/>
          <w:b/>
          <w:bCs/>
          <w:sz w:val="52"/>
          <w:szCs w:val="52"/>
        </w:rPr>
      </w:pPr>
      <w:r>
        <w:rPr>
          <w:rFonts w:ascii="宋体" w:hAnsi="宋体" w:cs="宋体" w:hint="eastAsia"/>
          <w:b/>
          <w:bCs/>
          <w:sz w:val="52"/>
          <w:szCs w:val="52"/>
        </w:rPr>
        <w:t>全省“最多跑一次”事项“八统一”梳理表</w:t>
      </w:r>
    </w:p>
    <w:tbl>
      <w:tblPr>
        <w:tblW w:w="20438"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2622"/>
        <w:gridCol w:w="2760"/>
        <w:gridCol w:w="901"/>
        <w:gridCol w:w="2837"/>
        <w:gridCol w:w="1559"/>
        <w:gridCol w:w="2848"/>
        <w:gridCol w:w="868"/>
        <w:gridCol w:w="922"/>
        <w:gridCol w:w="834"/>
        <w:gridCol w:w="1104"/>
        <w:gridCol w:w="1476"/>
      </w:tblGrid>
      <w:tr w:rsidR="00013EC7">
        <w:trPr>
          <w:trHeight w:val="340"/>
          <w:tblHeader/>
          <w:jc w:val="center"/>
        </w:trPr>
        <w:tc>
          <w:tcPr>
            <w:tcW w:w="672" w:type="dxa"/>
            <w:vMerge w:val="restart"/>
            <w:tcBorders>
              <w:top w:val="single" w:sz="8" w:space="0" w:color="auto"/>
              <w:left w:val="single" w:sz="8" w:space="0" w:color="auto"/>
              <w:bottom w:val="single" w:sz="4" w:space="0" w:color="auto"/>
              <w:right w:val="single" w:sz="4" w:space="0" w:color="auto"/>
            </w:tcBorders>
            <w:vAlign w:val="center"/>
          </w:tcPr>
          <w:p w:rsidR="00013EC7" w:rsidRDefault="00575CDB">
            <w:pPr>
              <w:spacing w:line="280" w:lineRule="exact"/>
              <w:jc w:val="center"/>
              <w:rPr>
                <w:rFonts w:ascii="黑体" w:eastAsia="黑体"/>
                <w:szCs w:val="21"/>
              </w:rPr>
            </w:pPr>
            <w:r>
              <w:rPr>
                <w:rFonts w:ascii="黑体" w:eastAsia="黑体" w:hint="eastAsia"/>
                <w:szCs w:val="21"/>
              </w:rPr>
              <w:t>主项名称</w:t>
            </w:r>
          </w:p>
        </w:tc>
        <w:tc>
          <w:tcPr>
            <w:tcW w:w="1035" w:type="dxa"/>
            <w:vMerge w:val="restart"/>
            <w:tcBorders>
              <w:top w:val="single" w:sz="8"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Cs w:val="21"/>
              </w:rPr>
            </w:pPr>
            <w:r>
              <w:rPr>
                <w:rFonts w:ascii="黑体" w:eastAsia="黑体" w:hint="eastAsia"/>
                <w:szCs w:val="21"/>
              </w:rPr>
              <w:t>子项名称</w:t>
            </w:r>
          </w:p>
        </w:tc>
        <w:tc>
          <w:tcPr>
            <w:tcW w:w="2622" w:type="dxa"/>
            <w:vMerge w:val="restart"/>
            <w:tcBorders>
              <w:top w:val="single" w:sz="8"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Cs w:val="21"/>
              </w:rPr>
            </w:pPr>
            <w:r>
              <w:rPr>
                <w:rFonts w:ascii="黑体" w:eastAsia="黑体" w:hint="eastAsia"/>
                <w:szCs w:val="21"/>
              </w:rPr>
              <w:t>经办依据</w:t>
            </w:r>
          </w:p>
        </w:tc>
        <w:tc>
          <w:tcPr>
            <w:tcW w:w="3661" w:type="dxa"/>
            <w:gridSpan w:val="2"/>
            <w:tcBorders>
              <w:top w:val="single" w:sz="8"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Cs w:val="21"/>
              </w:rPr>
            </w:pPr>
            <w:r>
              <w:rPr>
                <w:rFonts w:ascii="黑体" w:eastAsia="黑体" w:hint="eastAsia"/>
                <w:szCs w:val="21"/>
              </w:rPr>
              <w:t>原经办所需材料</w:t>
            </w:r>
          </w:p>
        </w:tc>
        <w:tc>
          <w:tcPr>
            <w:tcW w:w="7244" w:type="dxa"/>
            <w:gridSpan w:val="3"/>
            <w:tcBorders>
              <w:top w:val="single" w:sz="8"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Cs w:val="21"/>
              </w:rPr>
            </w:pPr>
            <w:r>
              <w:rPr>
                <w:rFonts w:ascii="黑体" w:eastAsia="黑体" w:hint="eastAsia"/>
                <w:szCs w:val="21"/>
              </w:rPr>
              <w:t>精简后经办所需材料</w:t>
            </w:r>
          </w:p>
        </w:tc>
        <w:tc>
          <w:tcPr>
            <w:tcW w:w="1790" w:type="dxa"/>
            <w:gridSpan w:val="2"/>
            <w:tcBorders>
              <w:top w:val="single" w:sz="8"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Cs w:val="21"/>
              </w:rPr>
            </w:pPr>
            <w:r>
              <w:rPr>
                <w:rFonts w:ascii="黑体" w:eastAsia="黑体" w:hint="eastAsia"/>
                <w:szCs w:val="21"/>
              </w:rPr>
              <w:t>办理时限</w:t>
            </w:r>
          </w:p>
        </w:tc>
        <w:tc>
          <w:tcPr>
            <w:tcW w:w="834" w:type="dxa"/>
            <w:vMerge w:val="restart"/>
            <w:tcBorders>
              <w:top w:val="single" w:sz="8"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Cs w:val="21"/>
              </w:rPr>
            </w:pPr>
            <w:r>
              <w:rPr>
                <w:rFonts w:ascii="黑体" w:eastAsia="黑体" w:hint="eastAsia"/>
                <w:szCs w:val="21"/>
              </w:rPr>
              <w:t>是否实现跑零次</w:t>
            </w:r>
          </w:p>
        </w:tc>
        <w:tc>
          <w:tcPr>
            <w:tcW w:w="1104" w:type="dxa"/>
            <w:vMerge w:val="restart"/>
            <w:tcBorders>
              <w:top w:val="single" w:sz="8"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Cs w:val="21"/>
              </w:rPr>
            </w:pPr>
            <w:r>
              <w:rPr>
                <w:rFonts w:ascii="黑体" w:eastAsia="黑体" w:hint="eastAsia"/>
                <w:szCs w:val="21"/>
              </w:rPr>
              <w:t>省厅对口</w:t>
            </w:r>
          </w:p>
          <w:p w:rsidR="00013EC7" w:rsidRDefault="00575CDB">
            <w:pPr>
              <w:spacing w:line="280" w:lineRule="exact"/>
              <w:jc w:val="center"/>
              <w:rPr>
                <w:rFonts w:ascii="黑体" w:eastAsia="黑体"/>
                <w:szCs w:val="21"/>
              </w:rPr>
            </w:pPr>
            <w:r>
              <w:rPr>
                <w:rFonts w:ascii="黑体" w:eastAsia="黑体" w:hint="eastAsia"/>
                <w:szCs w:val="21"/>
              </w:rPr>
              <w:t>指导处室</w:t>
            </w:r>
          </w:p>
          <w:p w:rsidR="00013EC7" w:rsidRDefault="00575CDB">
            <w:pPr>
              <w:spacing w:line="280" w:lineRule="exact"/>
              <w:jc w:val="center"/>
              <w:rPr>
                <w:rFonts w:ascii="黑体" w:eastAsia="黑体"/>
                <w:szCs w:val="21"/>
              </w:rPr>
            </w:pPr>
            <w:r>
              <w:rPr>
                <w:rFonts w:ascii="黑体" w:eastAsia="黑体" w:hint="eastAsia"/>
                <w:szCs w:val="21"/>
              </w:rPr>
              <w:t>（单位）</w:t>
            </w:r>
          </w:p>
        </w:tc>
        <w:tc>
          <w:tcPr>
            <w:tcW w:w="1476" w:type="dxa"/>
            <w:vMerge w:val="restart"/>
            <w:tcBorders>
              <w:top w:val="single" w:sz="8" w:space="0" w:color="auto"/>
              <w:left w:val="single" w:sz="4" w:space="0" w:color="auto"/>
              <w:bottom w:val="single" w:sz="4" w:space="0" w:color="auto"/>
              <w:right w:val="single" w:sz="8" w:space="0" w:color="auto"/>
            </w:tcBorders>
            <w:vAlign w:val="center"/>
          </w:tcPr>
          <w:p w:rsidR="00013EC7" w:rsidRDefault="00575CDB">
            <w:pPr>
              <w:spacing w:line="280" w:lineRule="exact"/>
              <w:jc w:val="center"/>
              <w:rPr>
                <w:rFonts w:ascii="黑体" w:eastAsia="黑体"/>
                <w:szCs w:val="21"/>
              </w:rPr>
            </w:pPr>
            <w:r>
              <w:rPr>
                <w:rFonts w:ascii="黑体" w:eastAsia="黑体" w:hint="eastAsia"/>
                <w:szCs w:val="21"/>
              </w:rPr>
              <w:t>进一步精简、</w:t>
            </w:r>
          </w:p>
          <w:p w:rsidR="00013EC7" w:rsidRDefault="00575CDB">
            <w:pPr>
              <w:spacing w:line="280" w:lineRule="exact"/>
              <w:jc w:val="center"/>
              <w:rPr>
                <w:rFonts w:ascii="黑体" w:eastAsia="黑体"/>
                <w:szCs w:val="21"/>
              </w:rPr>
            </w:pPr>
            <w:r>
              <w:rPr>
                <w:rFonts w:ascii="黑体" w:eastAsia="黑体" w:hint="eastAsia"/>
                <w:szCs w:val="21"/>
              </w:rPr>
              <w:t>规范建议</w:t>
            </w:r>
          </w:p>
        </w:tc>
      </w:tr>
      <w:tr w:rsidR="00013EC7">
        <w:trPr>
          <w:trHeight w:val="340"/>
          <w:tblHeader/>
          <w:jc w:val="center"/>
        </w:trPr>
        <w:tc>
          <w:tcPr>
            <w:tcW w:w="672" w:type="dxa"/>
            <w:vMerge/>
            <w:tcBorders>
              <w:top w:val="single" w:sz="8" w:space="0" w:color="auto"/>
              <w:left w:val="single" w:sz="8" w:space="0" w:color="auto"/>
              <w:bottom w:val="single" w:sz="4" w:space="0" w:color="auto"/>
              <w:right w:val="single" w:sz="4" w:space="0" w:color="auto"/>
            </w:tcBorders>
            <w:vAlign w:val="center"/>
          </w:tcPr>
          <w:p w:rsidR="00013EC7" w:rsidRDefault="00013EC7">
            <w:pPr>
              <w:widowControl/>
              <w:jc w:val="left"/>
              <w:rPr>
                <w:rFonts w:ascii="黑体" w:eastAsia="黑体"/>
                <w:szCs w:val="21"/>
              </w:rPr>
            </w:pPr>
          </w:p>
        </w:tc>
        <w:tc>
          <w:tcPr>
            <w:tcW w:w="1035" w:type="dxa"/>
            <w:vMerge/>
            <w:tcBorders>
              <w:top w:val="single" w:sz="8" w:space="0" w:color="auto"/>
              <w:left w:val="single" w:sz="4" w:space="0" w:color="auto"/>
              <w:bottom w:val="single" w:sz="4" w:space="0" w:color="auto"/>
              <w:right w:val="single" w:sz="4" w:space="0" w:color="auto"/>
            </w:tcBorders>
            <w:vAlign w:val="center"/>
          </w:tcPr>
          <w:p w:rsidR="00013EC7" w:rsidRDefault="00013EC7">
            <w:pPr>
              <w:widowControl/>
              <w:jc w:val="left"/>
              <w:rPr>
                <w:rFonts w:ascii="黑体" w:eastAsia="黑体"/>
                <w:szCs w:val="21"/>
              </w:rPr>
            </w:pPr>
          </w:p>
        </w:tc>
        <w:tc>
          <w:tcPr>
            <w:tcW w:w="2622" w:type="dxa"/>
            <w:vMerge/>
            <w:tcBorders>
              <w:top w:val="single" w:sz="8" w:space="0" w:color="auto"/>
              <w:left w:val="single" w:sz="4" w:space="0" w:color="auto"/>
              <w:bottom w:val="single" w:sz="4" w:space="0" w:color="auto"/>
              <w:right w:val="single" w:sz="4" w:space="0" w:color="auto"/>
            </w:tcBorders>
            <w:vAlign w:val="center"/>
          </w:tcPr>
          <w:p w:rsidR="00013EC7" w:rsidRDefault="00013EC7">
            <w:pPr>
              <w:widowControl/>
              <w:jc w:val="left"/>
              <w:rPr>
                <w:rFonts w:ascii="黑体" w:eastAsia="黑体"/>
                <w:szCs w:val="21"/>
              </w:rPr>
            </w:pPr>
          </w:p>
        </w:tc>
        <w:tc>
          <w:tcPr>
            <w:tcW w:w="2760"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Cs w:val="21"/>
              </w:rPr>
            </w:pPr>
            <w:r>
              <w:rPr>
                <w:rFonts w:ascii="黑体" w:eastAsia="黑体" w:hint="eastAsia"/>
                <w:szCs w:val="21"/>
              </w:rPr>
              <w:t>材料明细</w:t>
            </w:r>
          </w:p>
        </w:tc>
        <w:tc>
          <w:tcPr>
            <w:tcW w:w="901"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Cs w:val="21"/>
              </w:rPr>
            </w:pPr>
            <w:r>
              <w:rPr>
                <w:rFonts w:ascii="黑体" w:eastAsia="黑体" w:hint="eastAsia"/>
                <w:szCs w:val="21"/>
              </w:rPr>
              <w:t>材料来源</w:t>
            </w:r>
          </w:p>
        </w:tc>
        <w:tc>
          <w:tcPr>
            <w:tcW w:w="2837"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Cs w:val="21"/>
              </w:rPr>
            </w:pPr>
            <w:r>
              <w:rPr>
                <w:rFonts w:ascii="黑体" w:eastAsia="黑体" w:hint="eastAsia"/>
                <w:szCs w:val="21"/>
              </w:rPr>
              <w:t>材料明细</w:t>
            </w:r>
          </w:p>
        </w:tc>
        <w:tc>
          <w:tcPr>
            <w:tcW w:w="1559"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Cs w:val="21"/>
              </w:rPr>
            </w:pPr>
            <w:r>
              <w:rPr>
                <w:rFonts w:ascii="黑体" w:eastAsia="黑体" w:hint="eastAsia"/>
                <w:szCs w:val="21"/>
              </w:rPr>
              <w:t>材料来源</w:t>
            </w:r>
          </w:p>
        </w:tc>
        <w:tc>
          <w:tcPr>
            <w:tcW w:w="2848"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Cs w:val="21"/>
              </w:rPr>
            </w:pPr>
            <w:r>
              <w:rPr>
                <w:rFonts w:ascii="黑体" w:eastAsia="黑体" w:hint="eastAsia"/>
                <w:szCs w:val="21"/>
              </w:rPr>
              <w:t>办理方式及材料</w:t>
            </w:r>
          </w:p>
          <w:p w:rsidR="00013EC7" w:rsidRDefault="00575CDB">
            <w:pPr>
              <w:spacing w:line="280" w:lineRule="exact"/>
              <w:jc w:val="center"/>
              <w:rPr>
                <w:rFonts w:ascii="黑体" w:eastAsia="黑体"/>
                <w:szCs w:val="21"/>
              </w:rPr>
            </w:pPr>
            <w:r>
              <w:rPr>
                <w:rFonts w:ascii="黑体" w:eastAsia="黑体" w:hint="eastAsia"/>
                <w:szCs w:val="21"/>
              </w:rPr>
              <w:t>信息获取方式说明</w:t>
            </w:r>
          </w:p>
        </w:tc>
        <w:tc>
          <w:tcPr>
            <w:tcW w:w="868"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Cs w:val="21"/>
              </w:rPr>
            </w:pPr>
            <w:r>
              <w:rPr>
                <w:rFonts w:ascii="黑体" w:eastAsia="黑体" w:hint="eastAsia"/>
                <w:szCs w:val="21"/>
              </w:rPr>
              <w:t>优化前</w:t>
            </w:r>
          </w:p>
        </w:tc>
        <w:tc>
          <w:tcPr>
            <w:tcW w:w="922"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Cs w:val="21"/>
              </w:rPr>
            </w:pPr>
            <w:r>
              <w:rPr>
                <w:rFonts w:ascii="黑体" w:eastAsia="黑体" w:hint="eastAsia"/>
                <w:szCs w:val="21"/>
              </w:rPr>
              <w:t>优化后</w:t>
            </w:r>
          </w:p>
        </w:tc>
        <w:tc>
          <w:tcPr>
            <w:tcW w:w="834" w:type="dxa"/>
            <w:vMerge/>
            <w:tcBorders>
              <w:top w:val="single" w:sz="8" w:space="0" w:color="auto"/>
              <w:left w:val="single" w:sz="4" w:space="0" w:color="auto"/>
              <w:bottom w:val="single" w:sz="4" w:space="0" w:color="auto"/>
              <w:right w:val="single" w:sz="4" w:space="0" w:color="auto"/>
            </w:tcBorders>
            <w:vAlign w:val="center"/>
          </w:tcPr>
          <w:p w:rsidR="00013EC7" w:rsidRDefault="00013EC7">
            <w:pPr>
              <w:widowControl/>
              <w:jc w:val="left"/>
              <w:rPr>
                <w:rFonts w:ascii="黑体" w:eastAsia="黑体"/>
                <w:szCs w:val="21"/>
              </w:rPr>
            </w:pPr>
          </w:p>
        </w:tc>
        <w:tc>
          <w:tcPr>
            <w:tcW w:w="1104" w:type="dxa"/>
            <w:vMerge/>
            <w:tcBorders>
              <w:top w:val="single" w:sz="8" w:space="0" w:color="auto"/>
              <w:left w:val="single" w:sz="4" w:space="0" w:color="auto"/>
              <w:bottom w:val="single" w:sz="4" w:space="0" w:color="auto"/>
              <w:right w:val="single" w:sz="4" w:space="0" w:color="auto"/>
            </w:tcBorders>
            <w:vAlign w:val="center"/>
          </w:tcPr>
          <w:p w:rsidR="00013EC7" w:rsidRDefault="00013EC7">
            <w:pPr>
              <w:widowControl/>
              <w:jc w:val="left"/>
              <w:rPr>
                <w:rFonts w:ascii="黑体" w:eastAsia="黑体"/>
                <w:szCs w:val="21"/>
              </w:rPr>
            </w:pPr>
          </w:p>
        </w:tc>
        <w:tc>
          <w:tcPr>
            <w:tcW w:w="1476" w:type="dxa"/>
            <w:vMerge/>
            <w:tcBorders>
              <w:top w:val="single" w:sz="8" w:space="0" w:color="auto"/>
              <w:left w:val="single" w:sz="4" w:space="0" w:color="auto"/>
              <w:bottom w:val="single" w:sz="4" w:space="0" w:color="auto"/>
              <w:right w:val="single" w:sz="8" w:space="0" w:color="auto"/>
            </w:tcBorders>
            <w:vAlign w:val="center"/>
          </w:tcPr>
          <w:p w:rsidR="00013EC7" w:rsidRDefault="00013EC7">
            <w:pPr>
              <w:widowControl/>
              <w:jc w:val="left"/>
              <w:rPr>
                <w:rFonts w:ascii="黑体" w:eastAsia="黑体"/>
                <w:szCs w:val="21"/>
              </w:rPr>
            </w:pPr>
          </w:p>
        </w:tc>
      </w:tr>
      <w:tr w:rsidR="00013EC7">
        <w:trPr>
          <w:trHeight w:val="6097"/>
          <w:jc w:val="center"/>
        </w:trPr>
        <w:tc>
          <w:tcPr>
            <w:tcW w:w="672" w:type="dxa"/>
            <w:tcBorders>
              <w:top w:val="single" w:sz="4" w:space="0" w:color="auto"/>
              <w:left w:val="single" w:sz="8" w:space="0" w:color="auto"/>
              <w:bottom w:val="single" w:sz="4" w:space="0" w:color="auto"/>
              <w:right w:val="single" w:sz="4" w:space="0" w:color="auto"/>
            </w:tcBorders>
            <w:vAlign w:val="center"/>
          </w:tcPr>
          <w:p w:rsidR="00013EC7" w:rsidRDefault="00575CDB">
            <w:pPr>
              <w:spacing w:line="310" w:lineRule="exact"/>
              <w:rPr>
                <w:rFonts w:ascii="仿宋" w:eastAsia="仿宋" w:hAnsi="仿宋" w:cs="仿宋"/>
                <w:sz w:val="24"/>
              </w:rPr>
            </w:pPr>
            <w:r>
              <w:rPr>
                <w:rFonts w:ascii="仿宋" w:eastAsia="仿宋" w:hAnsi="仿宋" w:cs="仿宋" w:hint="eastAsia"/>
                <w:sz w:val="24"/>
              </w:rPr>
              <w:t>21涉税情况报告</w:t>
            </w:r>
          </w:p>
        </w:tc>
        <w:tc>
          <w:tcPr>
            <w:tcW w:w="1035"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310" w:lineRule="exact"/>
              <w:rPr>
                <w:rFonts w:ascii="仿宋" w:eastAsia="仿宋" w:hAnsi="仿宋" w:cs="仿宋"/>
                <w:sz w:val="24"/>
              </w:rPr>
            </w:pPr>
            <w:r>
              <w:rPr>
                <w:rFonts w:ascii="仿宋" w:eastAsia="仿宋" w:hAnsi="仿宋" w:cs="仿宋" w:hint="eastAsia"/>
                <w:sz w:val="24"/>
              </w:rPr>
              <w:t>21.2欠税人处置不动产或大额资产报告</w:t>
            </w:r>
          </w:p>
        </w:tc>
        <w:tc>
          <w:tcPr>
            <w:tcW w:w="2622" w:type="dxa"/>
            <w:tcBorders>
              <w:top w:val="single" w:sz="4" w:space="0" w:color="auto"/>
              <w:left w:val="single" w:sz="4" w:space="0" w:color="auto"/>
              <w:bottom w:val="single" w:sz="4" w:space="0" w:color="auto"/>
              <w:right w:val="single" w:sz="4" w:space="0" w:color="auto"/>
            </w:tcBorders>
            <w:vAlign w:val="center"/>
          </w:tcPr>
          <w:p w:rsidR="00013EC7" w:rsidRDefault="00575CDB">
            <w:pPr>
              <w:widowControl/>
              <w:spacing w:line="310" w:lineRule="exact"/>
              <w:rPr>
                <w:rFonts w:ascii="仿宋" w:eastAsia="仿宋" w:hAnsi="仿宋" w:cs="仿宋"/>
                <w:sz w:val="24"/>
              </w:rPr>
            </w:pPr>
            <w:r>
              <w:rPr>
                <w:rFonts w:ascii="仿宋" w:eastAsia="仿宋" w:hAnsi="仿宋" w:cs="仿宋" w:hint="eastAsia"/>
                <w:sz w:val="24"/>
              </w:rPr>
              <w:t xml:space="preserve">（一）《中华人民共和国税收征收管理法》（2001年中华人民共和国主席令第49号）第四十九条。 </w:t>
            </w:r>
          </w:p>
          <w:p w:rsidR="00013EC7" w:rsidRDefault="00575CDB">
            <w:pPr>
              <w:widowControl/>
              <w:spacing w:line="310" w:lineRule="exact"/>
              <w:rPr>
                <w:rFonts w:ascii="仿宋" w:eastAsia="仿宋" w:hAnsi="仿宋" w:cs="仿宋"/>
                <w:sz w:val="24"/>
              </w:rPr>
            </w:pPr>
            <w:r>
              <w:rPr>
                <w:rFonts w:ascii="仿宋" w:eastAsia="仿宋" w:hAnsi="仿宋" w:cs="仿宋" w:hint="eastAsia"/>
                <w:sz w:val="24"/>
              </w:rPr>
              <w:t>（二）中华人民共和国税收征收管理法实施细则》（2002年中华人民共和国国务院令第362号）第七十七条。</w:t>
            </w:r>
          </w:p>
          <w:p w:rsidR="00013EC7" w:rsidRDefault="00575CDB">
            <w:pPr>
              <w:widowControl/>
              <w:spacing w:line="310" w:lineRule="exact"/>
              <w:rPr>
                <w:rFonts w:ascii="仿宋" w:eastAsia="仿宋" w:hAnsi="仿宋" w:cs="仿宋"/>
                <w:sz w:val="24"/>
              </w:rPr>
            </w:pPr>
            <w:r>
              <w:rPr>
                <w:rFonts w:ascii="仿宋" w:eastAsia="仿宋" w:hAnsi="仿宋" w:cs="仿宋" w:hint="eastAsia"/>
                <w:sz w:val="24"/>
              </w:rPr>
              <w:t>（三） 《关于跨省经营企业涉税事项全国通办的通知》（国税发〔2017〕102号）第二条、第三条。</w:t>
            </w:r>
          </w:p>
        </w:tc>
        <w:tc>
          <w:tcPr>
            <w:tcW w:w="2760" w:type="dxa"/>
            <w:tcBorders>
              <w:top w:val="single" w:sz="4" w:space="0" w:color="auto"/>
              <w:left w:val="single" w:sz="4" w:space="0" w:color="auto"/>
              <w:bottom w:val="single" w:sz="4" w:space="0" w:color="auto"/>
              <w:right w:val="single" w:sz="4" w:space="0" w:color="auto"/>
            </w:tcBorders>
            <w:vAlign w:val="center"/>
          </w:tcPr>
          <w:p w:rsidR="00013EC7" w:rsidRDefault="00575CDB">
            <w:pPr>
              <w:widowControl/>
              <w:spacing w:line="360" w:lineRule="auto"/>
              <w:rPr>
                <w:rFonts w:ascii="仿宋" w:eastAsia="仿宋" w:hAnsi="仿宋" w:cs="宋体"/>
                <w:sz w:val="24"/>
              </w:rPr>
            </w:pPr>
            <w:r>
              <w:rPr>
                <w:rFonts w:ascii="仿宋" w:eastAsia="仿宋" w:hAnsi="仿宋" w:cs="宋体" w:hint="eastAsia"/>
                <w:sz w:val="24"/>
              </w:rPr>
              <w:t>（一）</w:t>
            </w:r>
            <w:hyperlink r:id="rId358" w:history="1">
              <w:r>
                <w:rPr>
                  <w:rFonts w:ascii="仿宋" w:eastAsia="仿宋" w:hAnsi="仿宋" w:hint="eastAsia"/>
                  <w:sz w:val="24"/>
                </w:rPr>
                <w:t>（A06243）《欠税人处置不动产或大额资产报告表》</w:t>
              </w:r>
            </w:hyperlink>
            <w:r>
              <w:rPr>
                <w:rFonts w:ascii="仿宋" w:eastAsia="仿宋" w:hAnsi="仿宋" w:cs="仿宋" w:hint="eastAsia"/>
                <w:sz w:val="24"/>
                <w:shd w:val="clear" w:color="auto" w:fill="D9D9D9"/>
              </w:rPr>
              <w:t>2份</w:t>
            </w:r>
            <w:r>
              <w:rPr>
                <w:rFonts w:ascii="仿宋" w:eastAsia="仿宋" w:hAnsi="仿宋" w:cs="宋体" w:hint="eastAsia"/>
                <w:sz w:val="24"/>
              </w:rPr>
              <w:t>。</w:t>
            </w:r>
          </w:p>
        </w:tc>
        <w:tc>
          <w:tcPr>
            <w:tcW w:w="901" w:type="dxa"/>
            <w:tcBorders>
              <w:top w:val="single" w:sz="4" w:space="0" w:color="auto"/>
              <w:left w:val="single" w:sz="4" w:space="0" w:color="auto"/>
              <w:bottom w:val="single" w:sz="4" w:space="0" w:color="auto"/>
              <w:right w:val="single" w:sz="4" w:space="0" w:color="auto"/>
            </w:tcBorders>
            <w:vAlign w:val="center"/>
          </w:tcPr>
          <w:p w:rsidR="00013EC7" w:rsidRDefault="00575CDB">
            <w:pPr>
              <w:widowControl/>
              <w:spacing w:line="360" w:lineRule="auto"/>
              <w:rPr>
                <w:rFonts w:ascii="仿宋" w:eastAsia="仿宋" w:hAnsi="仿宋" w:cs="宋体"/>
                <w:sz w:val="24"/>
              </w:rPr>
            </w:pPr>
            <w:r>
              <w:rPr>
                <w:rFonts w:ascii="仿宋" w:eastAsia="仿宋" w:hAnsi="仿宋" w:cs="宋体" w:hint="eastAsia"/>
                <w:sz w:val="24"/>
              </w:rPr>
              <w:t>纳税人提交</w:t>
            </w:r>
          </w:p>
        </w:tc>
        <w:tc>
          <w:tcPr>
            <w:tcW w:w="2837" w:type="dxa"/>
            <w:tcBorders>
              <w:top w:val="single" w:sz="4" w:space="0" w:color="auto"/>
              <w:left w:val="single" w:sz="4" w:space="0" w:color="auto"/>
              <w:bottom w:val="single" w:sz="4" w:space="0" w:color="auto"/>
              <w:right w:val="single" w:sz="4" w:space="0" w:color="auto"/>
            </w:tcBorders>
            <w:vAlign w:val="center"/>
          </w:tcPr>
          <w:p w:rsidR="00013EC7" w:rsidRDefault="00575CDB">
            <w:pPr>
              <w:widowControl/>
              <w:spacing w:line="360" w:lineRule="auto"/>
              <w:rPr>
                <w:rFonts w:ascii="仿宋" w:eastAsia="仿宋" w:hAnsi="仿宋" w:cs="宋体"/>
                <w:sz w:val="24"/>
              </w:rPr>
            </w:pPr>
            <w:r>
              <w:rPr>
                <w:rFonts w:ascii="仿宋" w:eastAsia="仿宋" w:hAnsi="仿宋" w:cs="宋体" w:hint="eastAsia"/>
                <w:sz w:val="24"/>
              </w:rPr>
              <w:t>（一）</w:t>
            </w:r>
            <w:hyperlink r:id="rId359" w:history="1">
              <w:r>
                <w:rPr>
                  <w:rFonts w:ascii="仿宋" w:eastAsia="仿宋" w:hAnsi="仿宋" w:hint="eastAsia"/>
                  <w:sz w:val="24"/>
                </w:rPr>
                <w:t>（A06243）《欠税人处置不动产或大额资产报告表》</w:t>
              </w:r>
            </w:hyperlink>
            <w:r>
              <w:rPr>
                <w:rFonts w:ascii="仿宋" w:eastAsia="仿宋" w:hAnsi="仿宋" w:hint="eastAsia"/>
                <w:sz w:val="24"/>
              </w:rPr>
              <w:t>1份</w:t>
            </w:r>
            <w:r>
              <w:rPr>
                <w:rFonts w:ascii="仿宋" w:eastAsia="仿宋" w:hAnsi="仿宋" w:cs="宋体" w:hint="eastAsia"/>
                <w:sz w:val="24"/>
              </w:rPr>
              <w:t>。</w:t>
            </w:r>
          </w:p>
        </w:tc>
        <w:tc>
          <w:tcPr>
            <w:tcW w:w="1559" w:type="dxa"/>
            <w:tcBorders>
              <w:top w:val="single" w:sz="4" w:space="0" w:color="auto"/>
              <w:left w:val="single" w:sz="4" w:space="0" w:color="auto"/>
              <w:bottom w:val="single" w:sz="8" w:space="0" w:color="auto"/>
              <w:right w:val="single" w:sz="4" w:space="0" w:color="auto"/>
            </w:tcBorders>
            <w:vAlign w:val="center"/>
          </w:tcPr>
          <w:p w:rsidR="00013EC7" w:rsidRDefault="00575CDB">
            <w:pPr>
              <w:widowControl/>
              <w:spacing w:line="360" w:lineRule="auto"/>
              <w:rPr>
                <w:rFonts w:ascii="仿宋" w:eastAsia="仿宋" w:hAnsi="仿宋" w:cs="宋体"/>
                <w:sz w:val="24"/>
              </w:rPr>
            </w:pPr>
            <w:r>
              <w:rPr>
                <w:rFonts w:ascii="仿宋" w:eastAsia="仿宋" w:hAnsi="仿宋" w:cs="宋体" w:hint="eastAsia"/>
                <w:sz w:val="24"/>
              </w:rPr>
              <w:t>纳税人提交</w:t>
            </w:r>
          </w:p>
        </w:tc>
        <w:tc>
          <w:tcPr>
            <w:tcW w:w="2848" w:type="dxa"/>
            <w:tcBorders>
              <w:top w:val="single" w:sz="4" w:space="0" w:color="auto"/>
              <w:left w:val="single" w:sz="4" w:space="0" w:color="auto"/>
              <w:bottom w:val="single" w:sz="4" w:space="0" w:color="auto"/>
              <w:right w:val="single" w:sz="4" w:space="0" w:color="auto"/>
            </w:tcBorders>
            <w:vAlign w:val="center"/>
          </w:tcPr>
          <w:p w:rsidR="00013EC7" w:rsidRDefault="00575CDB">
            <w:pPr>
              <w:rPr>
                <w:rFonts w:ascii="仿宋" w:eastAsia="仿宋" w:hAnsi="仿宋"/>
                <w:sz w:val="24"/>
              </w:rPr>
            </w:pPr>
            <w:r>
              <w:rPr>
                <w:rFonts w:ascii="仿宋" w:eastAsia="仿宋" w:hAnsi="仿宋" w:hint="eastAsia"/>
                <w:b/>
                <w:sz w:val="24"/>
              </w:rPr>
              <w:t>现场办理：</w:t>
            </w:r>
            <w:r>
              <w:rPr>
                <w:rFonts w:ascii="仿宋" w:eastAsia="仿宋" w:hAnsi="仿宋" w:hint="eastAsia"/>
                <w:bCs/>
                <w:sz w:val="24"/>
              </w:rPr>
              <w:t>纳税人</w:t>
            </w:r>
            <w:r>
              <w:rPr>
                <w:rFonts w:ascii="仿宋" w:eastAsia="仿宋" w:hAnsi="仿宋" w:hint="eastAsia"/>
                <w:sz w:val="24"/>
              </w:rPr>
              <w:t>提交书面材料，符合受理条件的当场受理办结。</w:t>
            </w:r>
          </w:p>
          <w:p w:rsidR="00013EC7" w:rsidRDefault="00575CDB">
            <w:pPr>
              <w:spacing w:line="300" w:lineRule="exact"/>
              <w:rPr>
                <w:rFonts w:ascii="仿宋" w:eastAsia="仿宋" w:hAnsi="仿宋"/>
                <w:sz w:val="24"/>
              </w:rPr>
            </w:pPr>
            <w:r>
              <w:rPr>
                <w:rFonts w:ascii="仿宋" w:eastAsia="仿宋" w:hAnsi="仿宋" w:hint="eastAsia"/>
                <w:b/>
                <w:sz w:val="24"/>
              </w:rPr>
              <w:t>网上办理：</w:t>
            </w:r>
            <w:r>
              <w:rPr>
                <w:rFonts w:ascii="仿宋" w:eastAsia="仿宋" w:hAnsi="仿宋" w:hint="eastAsia"/>
                <w:sz w:val="24"/>
              </w:rPr>
              <w:t>登录浙江国税电子税务局（网址：</w:t>
            </w:r>
            <w:hyperlink r:id="rId360" w:tgtFrame="https://wx.qq.com/_blank" w:history="1">
              <w:r>
                <w:rPr>
                  <w:rFonts w:ascii="仿宋" w:eastAsia="仿宋" w:hAnsi="仿宋" w:hint="eastAsia"/>
                  <w:sz w:val="24"/>
                </w:rPr>
                <w:t>http://etax.zjtax.gov.cn/</w:t>
              </w:r>
            </w:hyperlink>
            <w:r>
              <w:rPr>
                <w:rFonts w:ascii="仿宋" w:eastAsia="仿宋" w:hAnsi="仿宋" w:hint="eastAsia"/>
                <w:sz w:val="24"/>
              </w:rPr>
              <w:t>）提交申请。</w:t>
            </w:r>
          </w:p>
        </w:tc>
        <w:tc>
          <w:tcPr>
            <w:tcW w:w="868"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300" w:lineRule="exact"/>
              <w:rPr>
                <w:rFonts w:ascii="仿宋" w:eastAsia="仿宋" w:hAnsi="仿宋"/>
                <w:sz w:val="24"/>
              </w:rPr>
            </w:pPr>
            <w:r>
              <w:rPr>
                <w:rFonts w:ascii="仿宋" w:eastAsia="仿宋" w:hAnsi="仿宋" w:hint="eastAsia"/>
                <w:sz w:val="24"/>
              </w:rPr>
              <w:t>即时办结</w:t>
            </w:r>
          </w:p>
        </w:tc>
        <w:tc>
          <w:tcPr>
            <w:tcW w:w="922"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300" w:lineRule="exact"/>
              <w:rPr>
                <w:rFonts w:ascii="仿宋" w:eastAsia="仿宋" w:hAnsi="仿宋"/>
                <w:sz w:val="24"/>
              </w:rPr>
            </w:pPr>
            <w:r>
              <w:rPr>
                <w:rFonts w:ascii="仿宋" w:eastAsia="仿宋" w:hAnsi="仿宋" w:hint="eastAsia"/>
                <w:sz w:val="24"/>
              </w:rPr>
              <w:t>即时办结</w:t>
            </w:r>
          </w:p>
        </w:tc>
        <w:tc>
          <w:tcPr>
            <w:tcW w:w="834"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300" w:lineRule="exact"/>
              <w:rPr>
                <w:rFonts w:ascii="仿宋" w:eastAsia="仿宋" w:hAnsi="仿宋"/>
                <w:sz w:val="24"/>
              </w:rPr>
            </w:pPr>
            <w:r>
              <w:rPr>
                <w:rFonts w:ascii="仿宋" w:eastAsia="仿宋" w:hAnsi="仿宋" w:hint="eastAsia"/>
                <w:sz w:val="24"/>
              </w:rPr>
              <w:t>是</w:t>
            </w:r>
          </w:p>
        </w:tc>
        <w:tc>
          <w:tcPr>
            <w:tcW w:w="1104"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300" w:lineRule="exact"/>
              <w:rPr>
                <w:rFonts w:ascii="仿宋" w:eastAsia="仿宋" w:hAnsi="仿宋"/>
                <w:sz w:val="24"/>
              </w:rPr>
            </w:pPr>
            <w:r>
              <w:rPr>
                <w:rFonts w:ascii="仿宋" w:eastAsia="仿宋" w:hAnsi="仿宋" w:hint="eastAsia"/>
                <w:sz w:val="24"/>
              </w:rPr>
              <w:t>征管科技处</w:t>
            </w:r>
          </w:p>
        </w:tc>
        <w:tc>
          <w:tcPr>
            <w:tcW w:w="1476" w:type="dxa"/>
            <w:tcBorders>
              <w:top w:val="single" w:sz="4" w:space="0" w:color="auto"/>
              <w:left w:val="single" w:sz="4" w:space="0" w:color="auto"/>
              <w:bottom w:val="single" w:sz="4" w:space="0" w:color="auto"/>
              <w:right w:val="single" w:sz="8" w:space="0" w:color="auto"/>
            </w:tcBorders>
            <w:vAlign w:val="center"/>
          </w:tcPr>
          <w:p w:rsidR="00013EC7" w:rsidRDefault="00575CDB">
            <w:pPr>
              <w:spacing w:line="300" w:lineRule="exact"/>
              <w:rPr>
                <w:rFonts w:eastAsia="方正书宋简体"/>
                <w:szCs w:val="21"/>
              </w:rPr>
            </w:pPr>
            <w:r>
              <w:rPr>
                <w:rFonts w:ascii="仿宋" w:eastAsia="仿宋" w:hAnsi="仿宋" w:hint="eastAsia"/>
                <w:sz w:val="24"/>
              </w:rPr>
              <w:t>建议资料留存备查。</w:t>
            </w:r>
          </w:p>
        </w:tc>
      </w:tr>
    </w:tbl>
    <w:p w:rsidR="00013EC7" w:rsidRDefault="00013EC7"/>
    <w:p w:rsidR="00013EC7" w:rsidRDefault="005262E6">
      <w:r>
        <w:lastRenderedPageBreak/>
        <w:object w:dxaOrig="1440" w:dyaOrig="1440">
          <v:shape id="_x0000_s1387" type="#_x0000_t75" style="position:absolute;left:0;text-align:left;margin-left:585pt;margin-top:94.55pt;width:426.6pt;height:465.95pt;z-index:251710464;mso-wrap-distance-top:0;mso-wrap-distance-bottom:0;mso-position-vertical-relative:page;mso-width-relative:page;mso-height-relative:page">
            <v:imagedata r:id="rId361" o:title=""/>
            <w10:wrap type="topAndBottom" anchory="page"/>
          </v:shape>
          <o:OLEObject Type="Embed" ProgID="Visio.Drawing.11" ShapeID="_x0000_s1387" DrawAspect="Content" ObjectID="_1577296273" r:id="rId362"/>
        </w:object>
      </w:r>
      <w:r>
        <w:object w:dxaOrig="1440" w:dyaOrig="1440">
          <v:shape id="_x0000_s1386" type="#_x0000_t75" style="position:absolute;left:0;text-align:left;margin-left:0;margin-top:90.7pt;width:448.45pt;height:481.95pt;z-index:251709440;mso-wrap-distance-top:0;mso-wrap-distance-bottom:0;mso-position-vertical-relative:page;mso-width-relative:page;mso-height-relative:page">
            <v:imagedata r:id="rId363" o:title=""/>
            <w10:wrap type="topAndBottom" anchory="page"/>
          </v:shape>
          <o:OLEObject Type="Embed" ProgID="Visio.Drawing.11" ShapeID="_x0000_s1386" DrawAspect="Content" ObjectID="_1577296274" r:id="rId364"/>
        </w:object>
      </w:r>
    </w:p>
    <w:p w:rsidR="00013EC7" w:rsidRDefault="00013EC7"/>
    <w:p w:rsidR="00013EC7" w:rsidRDefault="00013EC7"/>
    <w:p w:rsidR="00013EC7" w:rsidRDefault="00013EC7"/>
    <w:p w:rsidR="00013EC7" w:rsidRDefault="00013EC7"/>
    <w:p w:rsidR="00013EC7" w:rsidRDefault="00013EC7"/>
    <w:p w:rsidR="00013EC7" w:rsidRDefault="00013EC7"/>
    <w:p w:rsidR="00013EC7" w:rsidRDefault="00013EC7"/>
    <w:p w:rsidR="00013EC7" w:rsidRDefault="00013EC7"/>
    <w:p w:rsidR="00013EC7" w:rsidRDefault="00013EC7"/>
    <w:p w:rsidR="00013EC7" w:rsidRDefault="00013EC7">
      <w:pPr>
        <w:jc w:val="left"/>
        <w:rPr>
          <w:rFonts w:ascii="宋体" w:hAnsi="宋体" w:cs="宋体"/>
          <w:bCs/>
          <w:sz w:val="28"/>
          <w:szCs w:val="28"/>
        </w:rPr>
        <w:sectPr w:rsidR="00013EC7">
          <w:pgSz w:w="23814" w:h="16840" w:orient="landscape"/>
          <w:pgMar w:top="1701" w:right="1843" w:bottom="1985" w:left="1843" w:header="851" w:footer="1701" w:gutter="0"/>
          <w:pgNumType w:fmt="numberInDash"/>
          <w:cols w:space="720"/>
          <w:docGrid w:type="lines" w:linePitch="312"/>
        </w:sectPr>
      </w:pPr>
    </w:p>
    <w:p w:rsidR="00013EC7" w:rsidRDefault="00575CDB">
      <w:pPr>
        <w:pStyle w:val="2"/>
      </w:pPr>
      <w:bookmarkStart w:id="432" w:name="_Toc13738"/>
      <w:bookmarkStart w:id="433" w:name="_Toc503467453"/>
      <w:bookmarkStart w:id="434" w:name="_Toc9692"/>
      <w:bookmarkStart w:id="435" w:name="_Toc13930"/>
      <w:r>
        <w:rPr>
          <w:rFonts w:hint="eastAsia"/>
        </w:rPr>
        <w:lastRenderedPageBreak/>
        <w:t>21.3</w:t>
      </w:r>
      <w:r>
        <w:rPr>
          <w:rFonts w:hint="eastAsia"/>
        </w:rPr>
        <w:t>纳税人合并分立情况报告</w:t>
      </w:r>
      <w:bookmarkEnd w:id="432"/>
      <w:bookmarkEnd w:id="433"/>
      <w:bookmarkEnd w:id="434"/>
      <w:bookmarkEnd w:id="435"/>
    </w:p>
    <w:p w:rsidR="00013EC7" w:rsidRDefault="00575CDB">
      <w:pPr>
        <w:jc w:val="center"/>
        <w:rPr>
          <w:rFonts w:ascii="宋体" w:hAnsi="宋体" w:cs="宋体"/>
          <w:b/>
          <w:bCs/>
          <w:sz w:val="52"/>
          <w:szCs w:val="52"/>
        </w:rPr>
      </w:pPr>
      <w:r>
        <w:rPr>
          <w:rFonts w:ascii="宋体" w:hAnsi="宋体" w:cs="宋体" w:hint="eastAsia"/>
          <w:b/>
          <w:bCs/>
          <w:sz w:val="52"/>
          <w:szCs w:val="52"/>
        </w:rPr>
        <w:t>全省“最多跑一次”事项“八统一”梳理表</w:t>
      </w:r>
    </w:p>
    <w:tbl>
      <w:tblPr>
        <w:tblW w:w="20438"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2622"/>
        <w:gridCol w:w="2760"/>
        <w:gridCol w:w="1146"/>
        <w:gridCol w:w="2835"/>
        <w:gridCol w:w="1276"/>
        <w:gridCol w:w="2888"/>
        <w:gridCol w:w="868"/>
        <w:gridCol w:w="798"/>
        <w:gridCol w:w="958"/>
        <w:gridCol w:w="1104"/>
        <w:gridCol w:w="1476"/>
      </w:tblGrid>
      <w:tr w:rsidR="00013EC7">
        <w:trPr>
          <w:trHeight w:val="340"/>
          <w:tblHeader/>
          <w:jc w:val="center"/>
        </w:trPr>
        <w:tc>
          <w:tcPr>
            <w:tcW w:w="672" w:type="dxa"/>
            <w:vMerge w:val="restart"/>
            <w:tcBorders>
              <w:top w:val="single" w:sz="8" w:space="0" w:color="auto"/>
              <w:left w:val="single" w:sz="8"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主项名称</w:t>
            </w:r>
          </w:p>
        </w:tc>
        <w:tc>
          <w:tcPr>
            <w:tcW w:w="1035" w:type="dxa"/>
            <w:vMerge w:val="restart"/>
            <w:tcBorders>
              <w:top w:val="single" w:sz="8"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子项名称</w:t>
            </w:r>
          </w:p>
        </w:tc>
        <w:tc>
          <w:tcPr>
            <w:tcW w:w="2622" w:type="dxa"/>
            <w:vMerge w:val="restart"/>
            <w:tcBorders>
              <w:top w:val="single" w:sz="8"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经办依据</w:t>
            </w:r>
          </w:p>
        </w:tc>
        <w:tc>
          <w:tcPr>
            <w:tcW w:w="3906" w:type="dxa"/>
            <w:gridSpan w:val="2"/>
            <w:tcBorders>
              <w:top w:val="single" w:sz="8"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原经办所需材料</w:t>
            </w:r>
          </w:p>
        </w:tc>
        <w:tc>
          <w:tcPr>
            <w:tcW w:w="6999" w:type="dxa"/>
            <w:gridSpan w:val="3"/>
            <w:tcBorders>
              <w:top w:val="single" w:sz="8"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精简后经办所需材料</w:t>
            </w:r>
          </w:p>
        </w:tc>
        <w:tc>
          <w:tcPr>
            <w:tcW w:w="1666" w:type="dxa"/>
            <w:gridSpan w:val="2"/>
            <w:tcBorders>
              <w:top w:val="single" w:sz="8"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办理时限</w:t>
            </w:r>
          </w:p>
        </w:tc>
        <w:tc>
          <w:tcPr>
            <w:tcW w:w="958" w:type="dxa"/>
            <w:vMerge w:val="restart"/>
            <w:tcBorders>
              <w:top w:val="single" w:sz="8"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是否实现跑零次</w:t>
            </w:r>
          </w:p>
        </w:tc>
        <w:tc>
          <w:tcPr>
            <w:tcW w:w="1104" w:type="dxa"/>
            <w:vMerge w:val="restart"/>
            <w:tcBorders>
              <w:top w:val="single" w:sz="8"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省厅对口</w:t>
            </w:r>
          </w:p>
          <w:p w:rsidR="00013EC7" w:rsidRDefault="00575CDB">
            <w:pPr>
              <w:spacing w:line="280" w:lineRule="exact"/>
              <w:jc w:val="center"/>
              <w:rPr>
                <w:rFonts w:ascii="黑体" w:eastAsia="黑体"/>
                <w:sz w:val="24"/>
              </w:rPr>
            </w:pPr>
            <w:r>
              <w:rPr>
                <w:rFonts w:ascii="黑体" w:eastAsia="黑体" w:hint="eastAsia"/>
                <w:sz w:val="24"/>
              </w:rPr>
              <w:t>指导处室</w:t>
            </w:r>
          </w:p>
          <w:p w:rsidR="00013EC7" w:rsidRDefault="00575CDB">
            <w:pPr>
              <w:spacing w:line="280" w:lineRule="exact"/>
              <w:jc w:val="center"/>
              <w:rPr>
                <w:rFonts w:ascii="黑体" w:eastAsia="黑体"/>
                <w:sz w:val="24"/>
              </w:rPr>
            </w:pPr>
            <w:r>
              <w:rPr>
                <w:rFonts w:ascii="黑体" w:eastAsia="黑体" w:hint="eastAsia"/>
                <w:sz w:val="24"/>
              </w:rPr>
              <w:t>（单位）</w:t>
            </w:r>
          </w:p>
        </w:tc>
        <w:tc>
          <w:tcPr>
            <w:tcW w:w="1476" w:type="dxa"/>
            <w:vMerge w:val="restart"/>
            <w:tcBorders>
              <w:top w:val="single" w:sz="8" w:space="0" w:color="auto"/>
              <w:left w:val="single" w:sz="4" w:space="0" w:color="auto"/>
              <w:bottom w:val="single" w:sz="4" w:space="0" w:color="auto"/>
              <w:right w:val="single" w:sz="8"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进一步精简、</w:t>
            </w:r>
          </w:p>
          <w:p w:rsidR="00013EC7" w:rsidRDefault="00575CDB">
            <w:pPr>
              <w:spacing w:line="280" w:lineRule="exact"/>
              <w:jc w:val="center"/>
              <w:rPr>
                <w:rFonts w:ascii="黑体" w:eastAsia="黑体"/>
                <w:sz w:val="24"/>
              </w:rPr>
            </w:pPr>
            <w:r>
              <w:rPr>
                <w:rFonts w:ascii="黑体" w:eastAsia="黑体" w:hint="eastAsia"/>
                <w:sz w:val="24"/>
              </w:rPr>
              <w:t>规范建议</w:t>
            </w:r>
          </w:p>
        </w:tc>
      </w:tr>
      <w:tr w:rsidR="00013EC7">
        <w:trPr>
          <w:trHeight w:val="340"/>
          <w:tblHeader/>
          <w:jc w:val="center"/>
        </w:trPr>
        <w:tc>
          <w:tcPr>
            <w:tcW w:w="672" w:type="dxa"/>
            <w:vMerge/>
            <w:tcBorders>
              <w:top w:val="single" w:sz="8" w:space="0" w:color="auto"/>
              <w:left w:val="single" w:sz="8" w:space="0" w:color="auto"/>
              <w:bottom w:val="single" w:sz="4" w:space="0" w:color="auto"/>
              <w:right w:val="single" w:sz="4" w:space="0" w:color="auto"/>
            </w:tcBorders>
            <w:vAlign w:val="center"/>
          </w:tcPr>
          <w:p w:rsidR="00013EC7" w:rsidRDefault="00013EC7">
            <w:pPr>
              <w:widowControl/>
              <w:jc w:val="left"/>
              <w:rPr>
                <w:rFonts w:ascii="黑体" w:eastAsia="黑体"/>
                <w:sz w:val="24"/>
              </w:rPr>
            </w:pPr>
          </w:p>
        </w:tc>
        <w:tc>
          <w:tcPr>
            <w:tcW w:w="1035" w:type="dxa"/>
            <w:vMerge/>
            <w:tcBorders>
              <w:top w:val="single" w:sz="8" w:space="0" w:color="auto"/>
              <w:left w:val="single" w:sz="4" w:space="0" w:color="auto"/>
              <w:bottom w:val="single" w:sz="4" w:space="0" w:color="auto"/>
              <w:right w:val="single" w:sz="4" w:space="0" w:color="auto"/>
            </w:tcBorders>
            <w:vAlign w:val="center"/>
          </w:tcPr>
          <w:p w:rsidR="00013EC7" w:rsidRDefault="00013EC7">
            <w:pPr>
              <w:widowControl/>
              <w:jc w:val="left"/>
              <w:rPr>
                <w:rFonts w:ascii="黑体" w:eastAsia="黑体"/>
                <w:sz w:val="24"/>
              </w:rPr>
            </w:pPr>
          </w:p>
        </w:tc>
        <w:tc>
          <w:tcPr>
            <w:tcW w:w="2622" w:type="dxa"/>
            <w:vMerge/>
            <w:tcBorders>
              <w:top w:val="single" w:sz="8" w:space="0" w:color="auto"/>
              <w:left w:val="single" w:sz="4" w:space="0" w:color="auto"/>
              <w:bottom w:val="single" w:sz="4" w:space="0" w:color="auto"/>
              <w:right w:val="single" w:sz="4" w:space="0" w:color="auto"/>
            </w:tcBorders>
            <w:vAlign w:val="center"/>
          </w:tcPr>
          <w:p w:rsidR="00013EC7" w:rsidRDefault="00013EC7">
            <w:pPr>
              <w:widowControl/>
              <w:jc w:val="left"/>
              <w:rPr>
                <w:rFonts w:ascii="黑体" w:eastAsia="黑体"/>
                <w:sz w:val="24"/>
              </w:rPr>
            </w:pPr>
          </w:p>
        </w:tc>
        <w:tc>
          <w:tcPr>
            <w:tcW w:w="2760"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146"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2835"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276"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2888"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办理方式及材料</w:t>
            </w:r>
          </w:p>
          <w:p w:rsidR="00013EC7" w:rsidRDefault="00575CDB">
            <w:pPr>
              <w:spacing w:line="280" w:lineRule="exact"/>
              <w:jc w:val="center"/>
              <w:rPr>
                <w:rFonts w:ascii="黑体" w:eastAsia="黑体"/>
                <w:sz w:val="24"/>
              </w:rPr>
            </w:pPr>
            <w:r>
              <w:rPr>
                <w:rFonts w:ascii="黑体" w:eastAsia="黑体" w:hint="eastAsia"/>
                <w:sz w:val="24"/>
              </w:rPr>
              <w:t>信息获取方式说明</w:t>
            </w:r>
          </w:p>
        </w:tc>
        <w:tc>
          <w:tcPr>
            <w:tcW w:w="868"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优化前</w:t>
            </w:r>
          </w:p>
        </w:tc>
        <w:tc>
          <w:tcPr>
            <w:tcW w:w="798"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优化后</w:t>
            </w:r>
          </w:p>
        </w:tc>
        <w:tc>
          <w:tcPr>
            <w:tcW w:w="958" w:type="dxa"/>
            <w:vMerge/>
            <w:tcBorders>
              <w:top w:val="single" w:sz="8" w:space="0" w:color="auto"/>
              <w:left w:val="single" w:sz="4" w:space="0" w:color="auto"/>
              <w:bottom w:val="single" w:sz="4" w:space="0" w:color="auto"/>
              <w:right w:val="single" w:sz="4" w:space="0" w:color="auto"/>
            </w:tcBorders>
            <w:vAlign w:val="center"/>
          </w:tcPr>
          <w:p w:rsidR="00013EC7" w:rsidRDefault="00013EC7">
            <w:pPr>
              <w:widowControl/>
              <w:jc w:val="left"/>
              <w:rPr>
                <w:rFonts w:ascii="黑体" w:eastAsia="黑体"/>
                <w:sz w:val="24"/>
              </w:rPr>
            </w:pPr>
          </w:p>
        </w:tc>
        <w:tc>
          <w:tcPr>
            <w:tcW w:w="1104" w:type="dxa"/>
            <w:vMerge/>
            <w:tcBorders>
              <w:top w:val="single" w:sz="8" w:space="0" w:color="auto"/>
              <w:left w:val="single" w:sz="4" w:space="0" w:color="auto"/>
              <w:bottom w:val="single" w:sz="4" w:space="0" w:color="auto"/>
              <w:right w:val="single" w:sz="4" w:space="0" w:color="auto"/>
            </w:tcBorders>
            <w:vAlign w:val="center"/>
          </w:tcPr>
          <w:p w:rsidR="00013EC7" w:rsidRDefault="00013EC7">
            <w:pPr>
              <w:widowControl/>
              <w:jc w:val="left"/>
              <w:rPr>
                <w:rFonts w:ascii="黑体" w:eastAsia="黑体"/>
                <w:sz w:val="24"/>
              </w:rPr>
            </w:pPr>
          </w:p>
        </w:tc>
        <w:tc>
          <w:tcPr>
            <w:tcW w:w="1476" w:type="dxa"/>
            <w:vMerge/>
            <w:tcBorders>
              <w:top w:val="single" w:sz="8" w:space="0" w:color="auto"/>
              <w:left w:val="single" w:sz="4" w:space="0" w:color="auto"/>
              <w:bottom w:val="single" w:sz="4" w:space="0" w:color="auto"/>
              <w:right w:val="single" w:sz="8" w:space="0" w:color="auto"/>
            </w:tcBorders>
            <w:vAlign w:val="center"/>
          </w:tcPr>
          <w:p w:rsidR="00013EC7" w:rsidRDefault="00013EC7">
            <w:pPr>
              <w:widowControl/>
              <w:jc w:val="left"/>
              <w:rPr>
                <w:rFonts w:ascii="黑体" w:eastAsia="黑体"/>
                <w:sz w:val="24"/>
              </w:rPr>
            </w:pPr>
          </w:p>
        </w:tc>
      </w:tr>
      <w:tr w:rsidR="00013EC7">
        <w:trPr>
          <w:trHeight w:val="3399"/>
          <w:jc w:val="center"/>
        </w:trPr>
        <w:tc>
          <w:tcPr>
            <w:tcW w:w="672" w:type="dxa"/>
            <w:vMerge w:val="restart"/>
            <w:tcBorders>
              <w:top w:val="single" w:sz="4" w:space="0" w:color="auto"/>
              <w:left w:val="single" w:sz="8" w:space="0" w:color="auto"/>
              <w:bottom w:val="single" w:sz="4" w:space="0" w:color="auto"/>
              <w:right w:val="single" w:sz="4" w:space="0" w:color="auto"/>
            </w:tcBorders>
            <w:vAlign w:val="center"/>
          </w:tcPr>
          <w:p w:rsidR="00013EC7" w:rsidRDefault="00575CDB">
            <w:pPr>
              <w:spacing w:line="300" w:lineRule="exact"/>
              <w:jc w:val="center"/>
              <w:rPr>
                <w:rFonts w:ascii="仿宋" w:eastAsia="仿宋" w:hAnsi="仿宋"/>
                <w:sz w:val="24"/>
              </w:rPr>
            </w:pPr>
            <w:r>
              <w:rPr>
                <w:rFonts w:ascii="仿宋" w:eastAsia="仿宋" w:hAnsi="仿宋" w:hint="eastAsia"/>
                <w:sz w:val="24"/>
              </w:rPr>
              <w:t>21涉税情况报告</w:t>
            </w:r>
          </w:p>
        </w:tc>
        <w:tc>
          <w:tcPr>
            <w:tcW w:w="1035" w:type="dxa"/>
            <w:vMerge w:val="restart"/>
            <w:tcBorders>
              <w:top w:val="single" w:sz="4" w:space="0" w:color="auto"/>
              <w:left w:val="single" w:sz="4" w:space="0" w:color="auto"/>
              <w:bottom w:val="single" w:sz="4" w:space="0" w:color="auto"/>
              <w:right w:val="single" w:sz="4" w:space="0" w:color="auto"/>
            </w:tcBorders>
            <w:vAlign w:val="center"/>
          </w:tcPr>
          <w:p w:rsidR="00013EC7" w:rsidRDefault="00575CDB">
            <w:pPr>
              <w:spacing w:line="310" w:lineRule="exact"/>
              <w:rPr>
                <w:rFonts w:ascii="仿宋" w:eastAsia="仿宋" w:hAnsi="仿宋"/>
                <w:sz w:val="24"/>
              </w:rPr>
            </w:pPr>
            <w:r>
              <w:rPr>
                <w:rFonts w:ascii="仿宋" w:eastAsia="仿宋" w:hAnsi="仿宋" w:hint="eastAsia"/>
                <w:sz w:val="24"/>
              </w:rPr>
              <w:t>21.3纳税人合并分立情况报告</w:t>
            </w:r>
          </w:p>
        </w:tc>
        <w:tc>
          <w:tcPr>
            <w:tcW w:w="2622" w:type="dxa"/>
            <w:vMerge w:val="restart"/>
            <w:tcBorders>
              <w:top w:val="single" w:sz="4" w:space="0" w:color="auto"/>
              <w:left w:val="single" w:sz="4" w:space="0" w:color="auto"/>
              <w:bottom w:val="single" w:sz="4" w:space="0" w:color="auto"/>
              <w:right w:val="single" w:sz="4" w:space="0" w:color="auto"/>
            </w:tcBorders>
            <w:vAlign w:val="center"/>
          </w:tcPr>
          <w:p w:rsidR="00013EC7" w:rsidRDefault="00575CDB">
            <w:pPr>
              <w:widowControl/>
              <w:jc w:val="left"/>
              <w:rPr>
                <w:rFonts w:ascii="仿宋" w:eastAsia="仿宋" w:hAnsi="仿宋" w:cs="宋体"/>
                <w:sz w:val="24"/>
              </w:rPr>
            </w:pPr>
            <w:r>
              <w:rPr>
                <w:rFonts w:ascii="仿宋" w:eastAsia="仿宋" w:hAnsi="仿宋" w:cs="宋体" w:hint="eastAsia"/>
                <w:sz w:val="24"/>
              </w:rPr>
              <w:t>（一）《中华人民共和国税收征收管理法》（2001年中华人民共和国主席令第49号）第四十八条。</w:t>
            </w:r>
          </w:p>
          <w:p w:rsidR="00013EC7" w:rsidRDefault="00575CDB">
            <w:pPr>
              <w:widowControl/>
              <w:jc w:val="left"/>
              <w:rPr>
                <w:rFonts w:ascii="仿宋" w:eastAsia="仿宋" w:hAnsi="仿宋" w:cs="宋体"/>
                <w:sz w:val="24"/>
              </w:rPr>
            </w:pPr>
            <w:r>
              <w:rPr>
                <w:rFonts w:ascii="仿宋" w:eastAsia="仿宋" w:hAnsi="仿宋" w:cs="宋体" w:hint="eastAsia"/>
                <w:sz w:val="24"/>
              </w:rPr>
              <w:t>（二）《关于跨省经营企业涉税事项全国通办的通知》（国税发〔2017〕102号）第二条第二款。</w:t>
            </w:r>
          </w:p>
        </w:tc>
        <w:tc>
          <w:tcPr>
            <w:tcW w:w="2760" w:type="dxa"/>
            <w:tcBorders>
              <w:top w:val="single" w:sz="4" w:space="0" w:color="auto"/>
              <w:left w:val="single" w:sz="4" w:space="0" w:color="auto"/>
              <w:bottom w:val="single" w:sz="4" w:space="0" w:color="auto"/>
              <w:right w:val="single" w:sz="4" w:space="0" w:color="auto"/>
            </w:tcBorders>
            <w:vAlign w:val="center"/>
          </w:tcPr>
          <w:p w:rsidR="00013EC7" w:rsidRDefault="00575CDB">
            <w:pPr>
              <w:widowControl/>
              <w:jc w:val="left"/>
              <w:rPr>
                <w:rFonts w:ascii="仿宋" w:eastAsia="仿宋" w:hAnsi="仿宋"/>
                <w:sz w:val="24"/>
              </w:rPr>
            </w:pPr>
            <w:r>
              <w:rPr>
                <w:rFonts w:ascii="仿宋" w:eastAsia="仿宋" w:hAnsi="仿宋" w:hint="eastAsia"/>
                <w:sz w:val="24"/>
              </w:rPr>
              <w:t>（一）</w:t>
            </w:r>
            <w:hyperlink r:id="rId365" w:history="1">
              <w:r>
                <w:rPr>
                  <w:rFonts w:ascii="仿宋" w:eastAsia="仿宋" w:hAnsi="仿宋" w:hint="eastAsia"/>
                  <w:sz w:val="24"/>
                </w:rPr>
                <w:t>（A01031）《纳税人合并（分立）情况报告书》</w:t>
              </w:r>
            </w:hyperlink>
            <w:r>
              <w:rPr>
                <w:rFonts w:ascii="仿宋" w:eastAsia="仿宋" w:hAnsi="仿宋" w:hint="eastAsia"/>
                <w:sz w:val="24"/>
              </w:rPr>
              <w:t xml:space="preserve"> （具体份数根据纳税人合并或分立的数量确定）。</w:t>
            </w:r>
          </w:p>
        </w:tc>
        <w:tc>
          <w:tcPr>
            <w:tcW w:w="1146" w:type="dxa"/>
            <w:tcBorders>
              <w:top w:val="single" w:sz="4" w:space="0" w:color="auto"/>
              <w:left w:val="single" w:sz="4" w:space="0" w:color="auto"/>
              <w:bottom w:val="single" w:sz="4" w:space="0" w:color="auto"/>
              <w:right w:val="single" w:sz="4" w:space="0" w:color="auto"/>
            </w:tcBorders>
            <w:vAlign w:val="center"/>
          </w:tcPr>
          <w:p w:rsidR="00013EC7" w:rsidRDefault="00575CDB">
            <w:pPr>
              <w:jc w:val="center"/>
              <w:rPr>
                <w:rFonts w:ascii="仿宋" w:eastAsia="仿宋" w:hAnsi="仿宋"/>
                <w:sz w:val="24"/>
              </w:rPr>
            </w:pPr>
            <w:r>
              <w:rPr>
                <w:rFonts w:ascii="仿宋" w:eastAsia="仿宋" w:hAnsi="仿宋" w:hint="eastAsia"/>
                <w:sz w:val="24"/>
              </w:rPr>
              <w:t>纳税人提交</w:t>
            </w:r>
          </w:p>
        </w:tc>
        <w:tc>
          <w:tcPr>
            <w:tcW w:w="2835" w:type="dxa"/>
            <w:tcBorders>
              <w:top w:val="single" w:sz="4" w:space="0" w:color="auto"/>
              <w:left w:val="single" w:sz="4" w:space="0" w:color="auto"/>
              <w:bottom w:val="single" w:sz="4" w:space="0" w:color="auto"/>
              <w:right w:val="single" w:sz="4" w:space="0" w:color="auto"/>
            </w:tcBorders>
            <w:vAlign w:val="center"/>
          </w:tcPr>
          <w:p w:rsidR="00013EC7" w:rsidRDefault="00575CDB">
            <w:pPr>
              <w:widowControl/>
              <w:jc w:val="left"/>
              <w:rPr>
                <w:rFonts w:ascii="仿宋" w:eastAsia="仿宋" w:hAnsi="仿宋" w:cs="宋体"/>
                <w:sz w:val="24"/>
              </w:rPr>
            </w:pPr>
            <w:r>
              <w:rPr>
                <w:rFonts w:ascii="仿宋" w:eastAsia="仿宋" w:hAnsi="仿宋" w:hint="eastAsia"/>
                <w:sz w:val="24"/>
              </w:rPr>
              <w:t>（一）</w:t>
            </w:r>
            <w:hyperlink r:id="rId366" w:history="1">
              <w:r>
                <w:rPr>
                  <w:rFonts w:ascii="仿宋" w:eastAsia="仿宋" w:hAnsi="仿宋" w:hint="eastAsia"/>
                  <w:sz w:val="24"/>
                </w:rPr>
                <w:t>（A01031）《纳税人合并（分立）情况报告书》</w:t>
              </w:r>
            </w:hyperlink>
            <w:r>
              <w:rPr>
                <w:rFonts w:ascii="仿宋" w:eastAsia="仿宋" w:hAnsi="仿宋" w:hint="eastAsia"/>
                <w:sz w:val="24"/>
              </w:rPr>
              <w:t xml:space="preserve"> （具体份数根据纳税人合并或分立的数量确定）。</w:t>
            </w:r>
          </w:p>
        </w:tc>
        <w:tc>
          <w:tcPr>
            <w:tcW w:w="1276" w:type="dxa"/>
            <w:tcBorders>
              <w:top w:val="single" w:sz="4" w:space="0" w:color="auto"/>
              <w:left w:val="single" w:sz="4" w:space="0" w:color="auto"/>
              <w:bottom w:val="single" w:sz="4" w:space="0" w:color="auto"/>
              <w:right w:val="single" w:sz="4" w:space="0" w:color="auto"/>
            </w:tcBorders>
            <w:vAlign w:val="center"/>
          </w:tcPr>
          <w:p w:rsidR="00013EC7" w:rsidRDefault="00575CDB">
            <w:pPr>
              <w:jc w:val="center"/>
              <w:rPr>
                <w:rFonts w:ascii="仿宋" w:eastAsia="仿宋" w:hAnsi="仿宋"/>
                <w:sz w:val="24"/>
              </w:rPr>
            </w:pPr>
            <w:r>
              <w:rPr>
                <w:rFonts w:ascii="仿宋" w:eastAsia="仿宋" w:hAnsi="仿宋" w:hint="eastAsia"/>
                <w:sz w:val="24"/>
              </w:rPr>
              <w:t>纳税人提交</w:t>
            </w:r>
          </w:p>
        </w:tc>
        <w:tc>
          <w:tcPr>
            <w:tcW w:w="2888" w:type="dxa"/>
            <w:vMerge w:val="restart"/>
            <w:tcBorders>
              <w:top w:val="single" w:sz="4" w:space="0" w:color="auto"/>
              <w:left w:val="single" w:sz="4" w:space="0" w:color="auto"/>
              <w:bottom w:val="single" w:sz="4" w:space="0" w:color="auto"/>
              <w:right w:val="single" w:sz="4" w:space="0" w:color="auto"/>
            </w:tcBorders>
            <w:vAlign w:val="center"/>
          </w:tcPr>
          <w:p w:rsidR="00013EC7" w:rsidRDefault="00575CDB">
            <w:pPr>
              <w:rPr>
                <w:rFonts w:ascii="仿宋" w:eastAsia="仿宋" w:hAnsi="仿宋"/>
                <w:sz w:val="24"/>
              </w:rPr>
            </w:pPr>
            <w:r>
              <w:rPr>
                <w:rFonts w:ascii="仿宋" w:eastAsia="仿宋" w:hAnsi="仿宋" w:hint="eastAsia"/>
                <w:b/>
                <w:sz w:val="24"/>
              </w:rPr>
              <w:t>现场办理：</w:t>
            </w:r>
            <w:r>
              <w:rPr>
                <w:rFonts w:ascii="仿宋" w:eastAsia="仿宋" w:hAnsi="仿宋" w:hint="eastAsia"/>
                <w:bCs/>
                <w:sz w:val="24"/>
              </w:rPr>
              <w:t>纳税人</w:t>
            </w:r>
            <w:r>
              <w:rPr>
                <w:rFonts w:ascii="仿宋" w:eastAsia="仿宋" w:hAnsi="仿宋" w:hint="eastAsia"/>
                <w:sz w:val="24"/>
              </w:rPr>
              <w:t>提交书面材料，符合受理条件的当场受理办结。</w:t>
            </w:r>
          </w:p>
          <w:p w:rsidR="00013EC7" w:rsidRDefault="00575CDB">
            <w:pPr>
              <w:spacing w:line="300" w:lineRule="exact"/>
              <w:rPr>
                <w:rFonts w:ascii="仿宋" w:eastAsia="仿宋" w:hAnsi="仿宋"/>
                <w:sz w:val="24"/>
              </w:rPr>
            </w:pPr>
            <w:r>
              <w:rPr>
                <w:rFonts w:ascii="仿宋" w:eastAsia="仿宋" w:hAnsi="仿宋" w:hint="eastAsia"/>
                <w:b/>
                <w:sz w:val="24"/>
              </w:rPr>
              <w:t>网上办理：</w:t>
            </w:r>
            <w:r>
              <w:rPr>
                <w:rFonts w:ascii="仿宋" w:eastAsia="仿宋" w:hAnsi="仿宋" w:hint="eastAsia"/>
                <w:sz w:val="24"/>
              </w:rPr>
              <w:t>登录浙江国税电子税务局（网址：</w:t>
            </w:r>
            <w:hyperlink r:id="rId367" w:tgtFrame="https://wx.qq.com/_blank" w:history="1">
              <w:r>
                <w:rPr>
                  <w:rFonts w:ascii="仿宋" w:eastAsia="仿宋" w:hAnsi="仿宋" w:hint="eastAsia"/>
                  <w:sz w:val="24"/>
                </w:rPr>
                <w:t>http://etax.zjtax.gov.cn/</w:t>
              </w:r>
            </w:hyperlink>
            <w:r>
              <w:rPr>
                <w:rFonts w:ascii="仿宋" w:eastAsia="仿宋" w:hAnsi="仿宋" w:hint="eastAsia"/>
                <w:sz w:val="24"/>
              </w:rPr>
              <w:t>）提交申请。</w:t>
            </w:r>
          </w:p>
        </w:tc>
        <w:tc>
          <w:tcPr>
            <w:tcW w:w="868" w:type="dxa"/>
            <w:vMerge w:val="restart"/>
            <w:tcBorders>
              <w:top w:val="single" w:sz="4" w:space="0" w:color="auto"/>
              <w:left w:val="single" w:sz="4" w:space="0" w:color="auto"/>
              <w:bottom w:val="single" w:sz="4" w:space="0" w:color="auto"/>
              <w:right w:val="single" w:sz="4" w:space="0" w:color="auto"/>
            </w:tcBorders>
            <w:vAlign w:val="center"/>
          </w:tcPr>
          <w:p w:rsidR="00013EC7" w:rsidRDefault="00575CDB">
            <w:pPr>
              <w:spacing w:line="300" w:lineRule="exact"/>
              <w:jc w:val="left"/>
              <w:rPr>
                <w:rFonts w:ascii="仿宋" w:eastAsia="仿宋" w:hAnsi="仿宋"/>
                <w:sz w:val="24"/>
              </w:rPr>
            </w:pPr>
            <w:r>
              <w:rPr>
                <w:rFonts w:ascii="仿宋" w:eastAsia="仿宋" w:hAnsi="仿宋" w:hint="eastAsia"/>
                <w:sz w:val="24"/>
              </w:rPr>
              <w:t>即时办结</w:t>
            </w:r>
          </w:p>
        </w:tc>
        <w:tc>
          <w:tcPr>
            <w:tcW w:w="798" w:type="dxa"/>
            <w:vMerge w:val="restart"/>
            <w:tcBorders>
              <w:top w:val="single" w:sz="4" w:space="0" w:color="auto"/>
              <w:left w:val="single" w:sz="4" w:space="0" w:color="auto"/>
              <w:bottom w:val="single" w:sz="4" w:space="0" w:color="auto"/>
              <w:right w:val="single" w:sz="4" w:space="0" w:color="auto"/>
            </w:tcBorders>
            <w:vAlign w:val="center"/>
          </w:tcPr>
          <w:p w:rsidR="00013EC7" w:rsidRDefault="00575CDB">
            <w:pPr>
              <w:spacing w:line="300" w:lineRule="exact"/>
              <w:jc w:val="left"/>
              <w:rPr>
                <w:rFonts w:ascii="仿宋" w:eastAsia="仿宋" w:hAnsi="仿宋"/>
                <w:sz w:val="24"/>
              </w:rPr>
            </w:pPr>
            <w:r>
              <w:rPr>
                <w:rFonts w:ascii="仿宋" w:eastAsia="仿宋" w:hAnsi="仿宋" w:hint="eastAsia"/>
                <w:sz w:val="24"/>
              </w:rPr>
              <w:t>即时办结</w:t>
            </w:r>
          </w:p>
        </w:tc>
        <w:tc>
          <w:tcPr>
            <w:tcW w:w="958" w:type="dxa"/>
            <w:vMerge w:val="restart"/>
            <w:tcBorders>
              <w:top w:val="single" w:sz="4" w:space="0" w:color="auto"/>
              <w:left w:val="single" w:sz="4" w:space="0" w:color="auto"/>
              <w:bottom w:val="single" w:sz="4" w:space="0" w:color="auto"/>
              <w:right w:val="single" w:sz="4" w:space="0" w:color="auto"/>
            </w:tcBorders>
            <w:vAlign w:val="center"/>
          </w:tcPr>
          <w:p w:rsidR="00013EC7" w:rsidRDefault="00575CDB">
            <w:pPr>
              <w:spacing w:line="300" w:lineRule="exact"/>
              <w:jc w:val="left"/>
              <w:rPr>
                <w:rFonts w:ascii="仿宋" w:eastAsia="仿宋" w:hAnsi="仿宋"/>
                <w:sz w:val="24"/>
              </w:rPr>
            </w:pPr>
            <w:r>
              <w:rPr>
                <w:rFonts w:ascii="仿宋" w:eastAsia="仿宋" w:hAnsi="仿宋" w:hint="eastAsia"/>
                <w:sz w:val="24"/>
              </w:rPr>
              <w:t>是</w:t>
            </w:r>
          </w:p>
        </w:tc>
        <w:tc>
          <w:tcPr>
            <w:tcW w:w="1104" w:type="dxa"/>
            <w:vMerge w:val="restart"/>
            <w:tcBorders>
              <w:top w:val="single" w:sz="4" w:space="0" w:color="auto"/>
              <w:left w:val="single" w:sz="4" w:space="0" w:color="auto"/>
              <w:bottom w:val="single" w:sz="4" w:space="0" w:color="auto"/>
              <w:right w:val="single" w:sz="4" w:space="0" w:color="auto"/>
            </w:tcBorders>
            <w:vAlign w:val="center"/>
          </w:tcPr>
          <w:p w:rsidR="00013EC7" w:rsidRDefault="00575CDB">
            <w:pPr>
              <w:spacing w:line="300" w:lineRule="exact"/>
              <w:jc w:val="left"/>
              <w:rPr>
                <w:rFonts w:ascii="仿宋" w:eastAsia="仿宋" w:hAnsi="仿宋"/>
                <w:sz w:val="24"/>
              </w:rPr>
            </w:pPr>
            <w:r>
              <w:rPr>
                <w:rFonts w:ascii="仿宋" w:eastAsia="仿宋" w:hAnsi="仿宋" w:hint="eastAsia"/>
                <w:sz w:val="24"/>
              </w:rPr>
              <w:t>征管科技处</w:t>
            </w:r>
          </w:p>
        </w:tc>
        <w:tc>
          <w:tcPr>
            <w:tcW w:w="1476" w:type="dxa"/>
            <w:vMerge w:val="restart"/>
            <w:tcBorders>
              <w:top w:val="single" w:sz="4" w:space="0" w:color="auto"/>
              <w:left w:val="single" w:sz="4" w:space="0" w:color="auto"/>
              <w:bottom w:val="single" w:sz="4" w:space="0" w:color="auto"/>
              <w:right w:val="single" w:sz="8" w:space="0" w:color="auto"/>
            </w:tcBorders>
            <w:vAlign w:val="center"/>
          </w:tcPr>
          <w:p w:rsidR="00013EC7" w:rsidRDefault="00013EC7">
            <w:pPr>
              <w:spacing w:line="300" w:lineRule="exact"/>
              <w:jc w:val="left"/>
              <w:rPr>
                <w:rFonts w:ascii="仿宋" w:eastAsia="仿宋" w:hAnsi="仿宋"/>
                <w:sz w:val="24"/>
              </w:rPr>
            </w:pPr>
          </w:p>
        </w:tc>
      </w:tr>
      <w:tr w:rsidR="00013EC7">
        <w:trPr>
          <w:trHeight w:val="3399"/>
          <w:jc w:val="center"/>
        </w:trPr>
        <w:tc>
          <w:tcPr>
            <w:tcW w:w="672" w:type="dxa"/>
            <w:vMerge/>
            <w:tcBorders>
              <w:top w:val="single" w:sz="4" w:space="0" w:color="auto"/>
              <w:left w:val="single" w:sz="8" w:space="0" w:color="auto"/>
              <w:bottom w:val="single" w:sz="4" w:space="0" w:color="auto"/>
              <w:right w:val="single" w:sz="4" w:space="0" w:color="auto"/>
            </w:tcBorders>
            <w:vAlign w:val="center"/>
          </w:tcPr>
          <w:p w:rsidR="00013EC7" w:rsidRDefault="00013EC7">
            <w:pPr>
              <w:widowControl/>
              <w:jc w:val="left"/>
              <w:rPr>
                <w:rFonts w:ascii="仿宋" w:eastAsia="仿宋" w:hAnsi="仿宋"/>
                <w:sz w:val="24"/>
              </w:rPr>
            </w:pPr>
          </w:p>
        </w:tc>
        <w:tc>
          <w:tcPr>
            <w:tcW w:w="1035" w:type="dxa"/>
            <w:vMerge/>
            <w:tcBorders>
              <w:top w:val="single" w:sz="4" w:space="0" w:color="auto"/>
              <w:left w:val="single" w:sz="4" w:space="0" w:color="auto"/>
              <w:bottom w:val="single" w:sz="4" w:space="0" w:color="auto"/>
              <w:right w:val="single" w:sz="4" w:space="0" w:color="auto"/>
            </w:tcBorders>
            <w:vAlign w:val="center"/>
          </w:tcPr>
          <w:p w:rsidR="00013EC7" w:rsidRDefault="00013EC7">
            <w:pPr>
              <w:widowControl/>
              <w:jc w:val="left"/>
              <w:rPr>
                <w:rFonts w:ascii="仿宋" w:eastAsia="仿宋" w:hAnsi="仿宋"/>
                <w:sz w:val="24"/>
              </w:rPr>
            </w:pPr>
          </w:p>
        </w:tc>
        <w:tc>
          <w:tcPr>
            <w:tcW w:w="2622" w:type="dxa"/>
            <w:vMerge/>
            <w:tcBorders>
              <w:top w:val="single" w:sz="4" w:space="0" w:color="auto"/>
              <w:left w:val="single" w:sz="4" w:space="0" w:color="auto"/>
              <w:bottom w:val="single" w:sz="4" w:space="0" w:color="auto"/>
              <w:right w:val="single" w:sz="4" w:space="0" w:color="auto"/>
            </w:tcBorders>
            <w:vAlign w:val="center"/>
          </w:tcPr>
          <w:p w:rsidR="00013EC7" w:rsidRDefault="00013EC7">
            <w:pPr>
              <w:widowControl/>
              <w:jc w:val="left"/>
              <w:rPr>
                <w:rFonts w:ascii="仿宋" w:eastAsia="仿宋" w:hAnsi="仿宋" w:cs="宋体"/>
                <w:sz w:val="24"/>
              </w:rPr>
            </w:pPr>
          </w:p>
        </w:tc>
        <w:tc>
          <w:tcPr>
            <w:tcW w:w="2760" w:type="dxa"/>
            <w:tcBorders>
              <w:top w:val="single" w:sz="4" w:space="0" w:color="auto"/>
              <w:left w:val="single" w:sz="4" w:space="0" w:color="auto"/>
              <w:bottom w:val="single" w:sz="4" w:space="0" w:color="auto"/>
              <w:right w:val="single" w:sz="4" w:space="0" w:color="auto"/>
            </w:tcBorders>
            <w:vAlign w:val="center"/>
          </w:tcPr>
          <w:p w:rsidR="00013EC7" w:rsidRDefault="00575CDB">
            <w:pPr>
              <w:widowControl/>
              <w:rPr>
                <w:rFonts w:ascii="仿宋" w:eastAsia="仿宋" w:hAnsi="仿宋" w:cs="宋体"/>
                <w:sz w:val="24"/>
              </w:rPr>
            </w:pPr>
            <w:r>
              <w:rPr>
                <w:rFonts w:ascii="仿宋" w:eastAsia="仿宋" w:hAnsi="仿宋" w:cs="宋体" w:hint="eastAsia"/>
                <w:sz w:val="24"/>
              </w:rPr>
              <w:t>（二）合并、分立的批准文件或企业决议。</w:t>
            </w:r>
          </w:p>
        </w:tc>
        <w:tc>
          <w:tcPr>
            <w:tcW w:w="1146" w:type="dxa"/>
            <w:tcBorders>
              <w:top w:val="single" w:sz="4" w:space="0" w:color="auto"/>
              <w:left w:val="single" w:sz="4" w:space="0" w:color="auto"/>
              <w:bottom w:val="single" w:sz="4" w:space="0" w:color="auto"/>
              <w:right w:val="single" w:sz="4" w:space="0" w:color="auto"/>
            </w:tcBorders>
            <w:vAlign w:val="center"/>
          </w:tcPr>
          <w:p w:rsidR="00013EC7" w:rsidRDefault="00575CDB">
            <w:pPr>
              <w:jc w:val="center"/>
              <w:rPr>
                <w:rFonts w:ascii="仿宋" w:eastAsia="仿宋" w:hAnsi="仿宋"/>
                <w:sz w:val="24"/>
              </w:rPr>
            </w:pPr>
            <w:r>
              <w:rPr>
                <w:rFonts w:ascii="仿宋" w:eastAsia="仿宋" w:hAnsi="仿宋" w:hint="eastAsia"/>
                <w:sz w:val="24"/>
              </w:rPr>
              <w:t>纳税人留存备查</w:t>
            </w:r>
          </w:p>
        </w:tc>
        <w:tc>
          <w:tcPr>
            <w:tcW w:w="2835" w:type="dxa"/>
            <w:tcBorders>
              <w:top w:val="single" w:sz="4" w:space="0" w:color="auto"/>
              <w:left w:val="single" w:sz="4" w:space="0" w:color="auto"/>
              <w:bottom w:val="single" w:sz="4" w:space="0" w:color="auto"/>
              <w:right w:val="single" w:sz="4" w:space="0" w:color="auto"/>
            </w:tcBorders>
            <w:vAlign w:val="center"/>
          </w:tcPr>
          <w:p w:rsidR="00013EC7" w:rsidRDefault="00575CDB">
            <w:pPr>
              <w:widowControl/>
              <w:rPr>
                <w:rFonts w:ascii="仿宋" w:eastAsia="仿宋" w:hAnsi="仿宋" w:cs="宋体"/>
                <w:sz w:val="24"/>
              </w:rPr>
            </w:pPr>
            <w:r>
              <w:rPr>
                <w:rFonts w:ascii="仿宋" w:eastAsia="仿宋" w:hAnsi="仿宋" w:cs="宋体" w:hint="eastAsia"/>
                <w:sz w:val="24"/>
              </w:rPr>
              <w:t>（二）合并、分立的批准文件或企业决议。</w:t>
            </w:r>
          </w:p>
        </w:tc>
        <w:tc>
          <w:tcPr>
            <w:tcW w:w="1276" w:type="dxa"/>
            <w:tcBorders>
              <w:top w:val="single" w:sz="4" w:space="0" w:color="auto"/>
              <w:left w:val="single" w:sz="4" w:space="0" w:color="auto"/>
              <w:bottom w:val="single" w:sz="8" w:space="0" w:color="auto"/>
              <w:right w:val="single" w:sz="4" w:space="0" w:color="auto"/>
            </w:tcBorders>
            <w:vAlign w:val="center"/>
          </w:tcPr>
          <w:p w:rsidR="00013EC7" w:rsidRDefault="00575CDB">
            <w:pPr>
              <w:jc w:val="center"/>
              <w:rPr>
                <w:rFonts w:ascii="仿宋" w:eastAsia="仿宋" w:hAnsi="仿宋"/>
                <w:sz w:val="24"/>
              </w:rPr>
            </w:pPr>
            <w:r>
              <w:rPr>
                <w:rFonts w:ascii="仿宋" w:eastAsia="仿宋" w:hAnsi="仿宋" w:hint="eastAsia"/>
                <w:sz w:val="24"/>
              </w:rPr>
              <w:t>纳税人留存备查</w:t>
            </w:r>
          </w:p>
        </w:tc>
        <w:tc>
          <w:tcPr>
            <w:tcW w:w="2888" w:type="dxa"/>
            <w:vMerge/>
            <w:tcBorders>
              <w:top w:val="single" w:sz="4" w:space="0" w:color="auto"/>
              <w:left w:val="single" w:sz="4" w:space="0" w:color="auto"/>
              <w:bottom w:val="single" w:sz="4" w:space="0" w:color="auto"/>
              <w:right w:val="single" w:sz="4" w:space="0" w:color="auto"/>
            </w:tcBorders>
            <w:vAlign w:val="center"/>
          </w:tcPr>
          <w:p w:rsidR="00013EC7" w:rsidRDefault="00013EC7">
            <w:pPr>
              <w:widowControl/>
              <w:jc w:val="left"/>
              <w:rPr>
                <w:rFonts w:ascii="仿宋" w:eastAsia="仿宋" w:hAnsi="仿宋"/>
                <w:sz w:val="24"/>
              </w:rPr>
            </w:pPr>
          </w:p>
        </w:tc>
        <w:tc>
          <w:tcPr>
            <w:tcW w:w="868" w:type="dxa"/>
            <w:vMerge/>
            <w:tcBorders>
              <w:top w:val="single" w:sz="4" w:space="0" w:color="auto"/>
              <w:left w:val="single" w:sz="4" w:space="0" w:color="auto"/>
              <w:bottom w:val="single" w:sz="4" w:space="0" w:color="auto"/>
              <w:right w:val="single" w:sz="4" w:space="0" w:color="auto"/>
            </w:tcBorders>
            <w:vAlign w:val="center"/>
          </w:tcPr>
          <w:p w:rsidR="00013EC7" w:rsidRDefault="00013EC7">
            <w:pPr>
              <w:widowControl/>
              <w:jc w:val="left"/>
              <w:rPr>
                <w:rFonts w:ascii="仿宋" w:eastAsia="仿宋" w:hAnsi="仿宋"/>
                <w:sz w:val="24"/>
              </w:rPr>
            </w:pPr>
          </w:p>
        </w:tc>
        <w:tc>
          <w:tcPr>
            <w:tcW w:w="798" w:type="dxa"/>
            <w:vMerge/>
            <w:tcBorders>
              <w:top w:val="single" w:sz="4" w:space="0" w:color="auto"/>
              <w:left w:val="single" w:sz="4" w:space="0" w:color="auto"/>
              <w:bottom w:val="single" w:sz="4" w:space="0" w:color="auto"/>
              <w:right w:val="single" w:sz="4" w:space="0" w:color="auto"/>
            </w:tcBorders>
            <w:vAlign w:val="center"/>
          </w:tcPr>
          <w:p w:rsidR="00013EC7" w:rsidRDefault="00013EC7">
            <w:pPr>
              <w:widowControl/>
              <w:jc w:val="left"/>
              <w:rPr>
                <w:rFonts w:ascii="仿宋" w:eastAsia="仿宋" w:hAnsi="仿宋"/>
                <w:sz w:val="24"/>
              </w:rPr>
            </w:pPr>
          </w:p>
        </w:tc>
        <w:tc>
          <w:tcPr>
            <w:tcW w:w="958" w:type="dxa"/>
            <w:vMerge/>
            <w:tcBorders>
              <w:top w:val="single" w:sz="4" w:space="0" w:color="auto"/>
              <w:left w:val="single" w:sz="4" w:space="0" w:color="auto"/>
              <w:bottom w:val="single" w:sz="4" w:space="0" w:color="auto"/>
              <w:right w:val="single" w:sz="4" w:space="0" w:color="auto"/>
            </w:tcBorders>
            <w:vAlign w:val="center"/>
          </w:tcPr>
          <w:p w:rsidR="00013EC7" w:rsidRDefault="00013EC7">
            <w:pPr>
              <w:widowControl/>
              <w:jc w:val="left"/>
              <w:rPr>
                <w:rFonts w:ascii="仿宋" w:eastAsia="仿宋" w:hAnsi="仿宋"/>
                <w:sz w:val="24"/>
              </w:rPr>
            </w:pPr>
          </w:p>
        </w:tc>
        <w:tc>
          <w:tcPr>
            <w:tcW w:w="1104" w:type="dxa"/>
            <w:vMerge/>
            <w:tcBorders>
              <w:top w:val="single" w:sz="4" w:space="0" w:color="auto"/>
              <w:left w:val="single" w:sz="4" w:space="0" w:color="auto"/>
              <w:bottom w:val="single" w:sz="4" w:space="0" w:color="auto"/>
              <w:right w:val="single" w:sz="4" w:space="0" w:color="auto"/>
            </w:tcBorders>
            <w:vAlign w:val="center"/>
          </w:tcPr>
          <w:p w:rsidR="00013EC7" w:rsidRDefault="00013EC7">
            <w:pPr>
              <w:widowControl/>
              <w:jc w:val="left"/>
              <w:rPr>
                <w:rFonts w:ascii="仿宋" w:eastAsia="仿宋" w:hAnsi="仿宋"/>
                <w:sz w:val="24"/>
              </w:rPr>
            </w:pPr>
          </w:p>
        </w:tc>
        <w:tc>
          <w:tcPr>
            <w:tcW w:w="1476" w:type="dxa"/>
            <w:vMerge/>
            <w:tcBorders>
              <w:top w:val="single" w:sz="4" w:space="0" w:color="auto"/>
              <w:left w:val="single" w:sz="4" w:space="0" w:color="auto"/>
              <w:bottom w:val="single" w:sz="4" w:space="0" w:color="auto"/>
              <w:right w:val="single" w:sz="8" w:space="0" w:color="auto"/>
            </w:tcBorders>
            <w:vAlign w:val="center"/>
          </w:tcPr>
          <w:p w:rsidR="00013EC7" w:rsidRDefault="00013EC7">
            <w:pPr>
              <w:widowControl/>
              <w:jc w:val="left"/>
              <w:rPr>
                <w:rFonts w:ascii="仿宋" w:eastAsia="仿宋" w:hAnsi="仿宋"/>
                <w:sz w:val="24"/>
              </w:rPr>
            </w:pPr>
          </w:p>
        </w:tc>
      </w:tr>
    </w:tbl>
    <w:p w:rsidR="00013EC7" w:rsidRDefault="005262E6">
      <w:r>
        <w:rPr>
          <w:kern w:val="0"/>
        </w:rPr>
        <w:lastRenderedPageBreak/>
        <w:object w:dxaOrig="1440" w:dyaOrig="1440">
          <v:shape id="_x0000_s1389" type="#_x0000_t75" style="position:absolute;left:0;text-align:left;margin-left:559.75pt;margin-top:94.55pt;width:425pt;height:550pt;z-index:251712512;mso-wrap-distance-top:0;mso-wrap-distance-bottom:0;mso-position-horizontal-relative:text;mso-position-vertical-relative:page;mso-width-relative:page;mso-height-relative:page">
            <v:imagedata r:id="rId368" o:title=""/>
            <w10:wrap type="topAndBottom" anchory="page"/>
          </v:shape>
          <o:OLEObject Type="Embed" ProgID="Visio.Drawing.11" ShapeID="_x0000_s1389" DrawAspect="Content" ObjectID="_1577296275" r:id="rId369"/>
        </w:object>
      </w:r>
      <w:r>
        <w:rPr>
          <w:kern w:val="0"/>
        </w:rPr>
        <w:object w:dxaOrig="1440" w:dyaOrig="1440">
          <v:shape id="_x0000_s1388" type="#_x0000_t75" style="position:absolute;left:0;text-align:left;margin-left:0;margin-top:93.85pt;width:425pt;height:547pt;z-index:251711488;mso-wrap-distance-top:0;mso-wrap-distance-bottom:0;mso-position-horizontal-relative:text;mso-position-vertical-relative:page;mso-width-relative:page;mso-height-relative:page">
            <v:imagedata r:id="rId370" o:title=""/>
            <w10:wrap type="topAndBottom" anchory="page"/>
          </v:shape>
          <o:OLEObject Type="Embed" ProgID="Visio.Drawing.11" ShapeID="_x0000_s1388" DrawAspect="Content" ObjectID="_1577296276" r:id="rId371"/>
        </w:object>
      </w:r>
    </w:p>
    <w:p w:rsidR="00013EC7" w:rsidRDefault="00013EC7"/>
    <w:p w:rsidR="00013EC7" w:rsidRDefault="00013EC7"/>
    <w:p w:rsidR="00013EC7" w:rsidRDefault="00013EC7"/>
    <w:p w:rsidR="00013EC7" w:rsidRDefault="00013EC7"/>
    <w:p w:rsidR="00013EC7" w:rsidRDefault="00013EC7"/>
    <w:p w:rsidR="00013EC7" w:rsidRDefault="00013EC7">
      <w:pPr>
        <w:jc w:val="left"/>
        <w:rPr>
          <w:rFonts w:ascii="宋体" w:hAnsi="宋体" w:cs="宋体"/>
          <w:bCs/>
          <w:sz w:val="28"/>
          <w:szCs w:val="28"/>
        </w:rPr>
        <w:sectPr w:rsidR="00013EC7">
          <w:pgSz w:w="23814" w:h="16840" w:orient="landscape"/>
          <w:pgMar w:top="1701" w:right="1843" w:bottom="1985" w:left="1843" w:header="851" w:footer="1701" w:gutter="0"/>
          <w:pgNumType w:fmt="numberInDash"/>
          <w:cols w:space="720"/>
          <w:docGrid w:type="lines" w:linePitch="312"/>
        </w:sectPr>
      </w:pPr>
    </w:p>
    <w:p w:rsidR="00013EC7" w:rsidRDefault="00575CDB">
      <w:pPr>
        <w:pStyle w:val="2"/>
      </w:pPr>
      <w:bookmarkStart w:id="436" w:name="_Toc18856"/>
      <w:bookmarkStart w:id="437" w:name="_Toc20855"/>
      <w:bookmarkStart w:id="438" w:name="_Toc503467454"/>
      <w:bookmarkStart w:id="439" w:name="_Toc20785"/>
      <w:r>
        <w:rPr>
          <w:rFonts w:hint="eastAsia"/>
        </w:rPr>
        <w:lastRenderedPageBreak/>
        <w:t>21.4</w:t>
      </w:r>
      <w:r>
        <w:rPr>
          <w:rFonts w:hint="eastAsia"/>
        </w:rPr>
        <w:t>发包、出租情况报告</w:t>
      </w:r>
      <w:bookmarkEnd w:id="436"/>
      <w:bookmarkEnd w:id="437"/>
      <w:bookmarkEnd w:id="438"/>
      <w:bookmarkEnd w:id="439"/>
    </w:p>
    <w:p w:rsidR="00013EC7" w:rsidRDefault="00575CDB">
      <w:pPr>
        <w:jc w:val="center"/>
        <w:rPr>
          <w:rFonts w:ascii="宋体" w:hAnsi="宋体" w:cs="宋体"/>
          <w:b/>
          <w:bCs/>
          <w:sz w:val="52"/>
          <w:szCs w:val="52"/>
        </w:rPr>
      </w:pPr>
      <w:r>
        <w:rPr>
          <w:rFonts w:ascii="宋体" w:hAnsi="宋体" w:cs="宋体" w:hint="eastAsia"/>
          <w:b/>
          <w:bCs/>
          <w:sz w:val="52"/>
          <w:szCs w:val="52"/>
        </w:rPr>
        <w:t>全省“最多跑一次”事项“八统一”梳理表</w:t>
      </w:r>
    </w:p>
    <w:tbl>
      <w:tblPr>
        <w:tblW w:w="20438"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2622"/>
        <w:gridCol w:w="2760"/>
        <w:gridCol w:w="901"/>
        <w:gridCol w:w="2837"/>
        <w:gridCol w:w="952"/>
        <w:gridCol w:w="3455"/>
        <w:gridCol w:w="868"/>
        <w:gridCol w:w="922"/>
        <w:gridCol w:w="834"/>
        <w:gridCol w:w="1104"/>
        <w:gridCol w:w="1476"/>
      </w:tblGrid>
      <w:tr w:rsidR="00013EC7">
        <w:trPr>
          <w:trHeight w:val="340"/>
          <w:tblHeader/>
          <w:jc w:val="center"/>
        </w:trPr>
        <w:tc>
          <w:tcPr>
            <w:tcW w:w="672" w:type="dxa"/>
            <w:vMerge w:val="restart"/>
            <w:tcBorders>
              <w:top w:val="single" w:sz="8" w:space="0" w:color="auto"/>
              <w:left w:val="single" w:sz="8"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主项名称</w:t>
            </w:r>
          </w:p>
        </w:tc>
        <w:tc>
          <w:tcPr>
            <w:tcW w:w="1035" w:type="dxa"/>
            <w:vMerge w:val="restart"/>
            <w:tcBorders>
              <w:top w:val="single" w:sz="8"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子项名称</w:t>
            </w:r>
          </w:p>
        </w:tc>
        <w:tc>
          <w:tcPr>
            <w:tcW w:w="2622" w:type="dxa"/>
            <w:vMerge w:val="restart"/>
            <w:tcBorders>
              <w:top w:val="single" w:sz="8"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经办依据</w:t>
            </w:r>
          </w:p>
        </w:tc>
        <w:tc>
          <w:tcPr>
            <w:tcW w:w="3661" w:type="dxa"/>
            <w:gridSpan w:val="2"/>
            <w:tcBorders>
              <w:top w:val="single" w:sz="8"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原经办所需材料</w:t>
            </w:r>
          </w:p>
        </w:tc>
        <w:tc>
          <w:tcPr>
            <w:tcW w:w="7244" w:type="dxa"/>
            <w:gridSpan w:val="3"/>
            <w:tcBorders>
              <w:top w:val="single" w:sz="8"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精简后经办所需材料</w:t>
            </w:r>
          </w:p>
        </w:tc>
        <w:tc>
          <w:tcPr>
            <w:tcW w:w="1790" w:type="dxa"/>
            <w:gridSpan w:val="2"/>
            <w:tcBorders>
              <w:top w:val="single" w:sz="8"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办理时限</w:t>
            </w:r>
          </w:p>
        </w:tc>
        <w:tc>
          <w:tcPr>
            <w:tcW w:w="834" w:type="dxa"/>
            <w:vMerge w:val="restart"/>
            <w:tcBorders>
              <w:top w:val="single" w:sz="8"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是否实现跑零次</w:t>
            </w:r>
          </w:p>
        </w:tc>
        <w:tc>
          <w:tcPr>
            <w:tcW w:w="1104" w:type="dxa"/>
            <w:vMerge w:val="restart"/>
            <w:tcBorders>
              <w:top w:val="single" w:sz="8"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省厅对口</w:t>
            </w:r>
          </w:p>
          <w:p w:rsidR="00013EC7" w:rsidRDefault="00575CDB">
            <w:pPr>
              <w:spacing w:line="280" w:lineRule="exact"/>
              <w:jc w:val="center"/>
              <w:rPr>
                <w:rFonts w:ascii="黑体" w:eastAsia="黑体"/>
                <w:sz w:val="24"/>
              </w:rPr>
            </w:pPr>
            <w:r>
              <w:rPr>
                <w:rFonts w:ascii="黑体" w:eastAsia="黑体" w:hint="eastAsia"/>
                <w:sz w:val="24"/>
              </w:rPr>
              <w:t>指导处室</w:t>
            </w:r>
          </w:p>
          <w:p w:rsidR="00013EC7" w:rsidRDefault="00575CDB">
            <w:pPr>
              <w:spacing w:line="280" w:lineRule="exact"/>
              <w:jc w:val="center"/>
              <w:rPr>
                <w:rFonts w:ascii="黑体" w:eastAsia="黑体"/>
                <w:sz w:val="24"/>
              </w:rPr>
            </w:pPr>
            <w:r>
              <w:rPr>
                <w:rFonts w:ascii="黑体" w:eastAsia="黑体" w:hint="eastAsia"/>
                <w:sz w:val="24"/>
              </w:rPr>
              <w:t>（单位）</w:t>
            </w:r>
          </w:p>
        </w:tc>
        <w:tc>
          <w:tcPr>
            <w:tcW w:w="1476" w:type="dxa"/>
            <w:vMerge w:val="restart"/>
            <w:tcBorders>
              <w:top w:val="single" w:sz="8" w:space="0" w:color="auto"/>
              <w:left w:val="single" w:sz="4" w:space="0" w:color="auto"/>
              <w:bottom w:val="single" w:sz="4" w:space="0" w:color="auto"/>
              <w:right w:val="single" w:sz="8"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进一步精简、</w:t>
            </w:r>
          </w:p>
          <w:p w:rsidR="00013EC7" w:rsidRDefault="00575CDB">
            <w:pPr>
              <w:spacing w:line="280" w:lineRule="exact"/>
              <w:jc w:val="center"/>
              <w:rPr>
                <w:rFonts w:ascii="黑体" w:eastAsia="黑体"/>
                <w:sz w:val="24"/>
              </w:rPr>
            </w:pPr>
            <w:r>
              <w:rPr>
                <w:rFonts w:ascii="黑体" w:eastAsia="黑体" w:hint="eastAsia"/>
                <w:sz w:val="24"/>
              </w:rPr>
              <w:t>规范建议</w:t>
            </w:r>
          </w:p>
        </w:tc>
      </w:tr>
      <w:tr w:rsidR="00013EC7">
        <w:trPr>
          <w:trHeight w:val="340"/>
          <w:tblHeader/>
          <w:jc w:val="center"/>
        </w:trPr>
        <w:tc>
          <w:tcPr>
            <w:tcW w:w="672" w:type="dxa"/>
            <w:vMerge/>
            <w:tcBorders>
              <w:top w:val="single" w:sz="8" w:space="0" w:color="auto"/>
              <w:left w:val="single" w:sz="8" w:space="0" w:color="auto"/>
              <w:bottom w:val="single" w:sz="4" w:space="0" w:color="auto"/>
              <w:right w:val="single" w:sz="4" w:space="0" w:color="auto"/>
            </w:tcBorders>
            <w:vAlign w:val="center"/>
          </w:tcPr>
          <w:p w:rsidR="00013EC7" w:rsidRDefault="00013EC7">
            <w:pPr>
              <w:widowControl/>
              <w:jc w:val="left"/>
              <w:rPr>
                <w:rFonts w:ascii="黑体" w:eastAsia="黑体"/>
                <w:sz w:val="24"/>
              </w:rPr>
            </w:pPr>
          </w:p>
        </w:tc>
        <w:tc>
          <w:tcPr>
            <w:tcW w:w="1035" w:type="dxa"/>
            <w:vMerge/>
            <w:tcBorders>
              <w:top w:val="single" w:sz="8" w:space="0" w:color="auto"/>
              <w:left w:val="single" w:sz="4" w:space="0" w:color="auto"/>
              <w:bottom w:val="single" w:sz="4" w:space="0" w:color="auto"/>
              <w:right w:val="single" w:sz="4" w:space="0" w:color="auto"/>
            </w:tcBorders>
            <w:vAlign w:val="center"/>
          </w:tcPr>
          <w:p w:rsidR="00013EC7" w:rsidRDefault="00013EC7">
            <w:pPr>
              <w:widowControl/>
              <w:jc w:val="left"/>
              <w:rPr>
                <w:rFonts w:ascii="黑体" w:eastAsia="黑体"/>
                <w:sz w:val="24"/>
              </w:rPr>
            </w:pPr>
          </w:p>
        </w:tc>
        <w:tc>
          <w:tcPr>
            <w:tcW w:w="2622" w:type="dxa"/>
            <w:vMerge/>
            <w:tcBorders>
              <w:top w:val="single" w:sz="8" w:space="0" w:color="auto"/>
              <w:left w:val="single" w:sz="4" w:space="0" w:color="auto"/>
              <w:bottom w:val="single" w:sz="4" w:space="0" w:color="auto"/>
              <w:right w:val="single" w:sz="4" w:space="0" w:color="auto"/>
            </w:tcBorders>
            <w:vAlign w:val="center"/>
          </w:tcPr>
          <w:p w:rsidR="00013EC7" w:rsidRDefault="00013EC7">
            <w:pPr>
              <w:widowControl/>
              <w:jc w:val="left"/>
              <w:rPr>
                <w:rFonts w:ascii="黑体" w:eastAsia="黑体"/>
                <w:sz w:val="24"/>
              </w:rPr>
            </w:pPr>
          </w:p>
        </w:tc>
        <w:tc>
          <w:tcPr>
            <w:tcW w:w="2760"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901"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2837"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952"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3455"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办理方式及材料</w:t>
            </w:r>
          </w:p>
          <w:p w:rsidR="00013EC7" w:rsidRDefault="00575CDB">
            <w:pPr>
              <w:spacing w:line="280" w:lineRule="exact"/>
              <w:jc w:val="center"/>
              <w:rPr>
                <w:rFonts w:ascii="黑体" w:eastAsia="黑体"/>
                <w:sz w:val="24"/>
              </w:rPr>
            </w:pPr>
            <w:r>
              <w:rPr>
                <w:rFonts w:ascii="黑体" w:eastAsia="黑体" w:hint="eastAsia"/>
                <w:sz w:val="24"/>
              </w:rPr>
              <w:t>信息获取方式说明</w:t>
            </w:r>
          </w:p>
        </w:tc>
        <w:tc>
          <w:tcPr>
            <w:tcW w:w="868"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优化前</w:t>
            </w:r>
          </w:p>
        </w:tc>
        <w:tc>
          <w:tcPr>
            <w:tcW w:w="922"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优化后</w:t>
            </w:r>
          </w:p>
        </w:tc>
        <w:tc>
          <w:tcPr>
            <w:tcW w:w="834" w:type="dxa"/>
            <w:vMerge/>
            <w:tcBorders>
              <w:top w:val="single" w:sz="8" w:space="0" w:color="auto"/>
              <w:left w:val="single" w:sz="4" w:space="0" w:color="auto"/>
              <w:bottom w:val="single" w:sz="4" w:space="0" w:color="auto"/>
              <w:right w:val="single" w:sz="4" w:space="0" w:color="auto"/>
            </w:tcBorders>
            <w:vAlign w:val="center"/>
          </w:tcPr>
          <w:p w:rsidR="00013EC7" w:rsidRDefault="00013EC7">
            <w:pPr>
              <w:widowControl/>
              <w:jc w:val="left"/>
              <w:rPr>
                <w:rFonts w:ascii="黑体" w:eastAsia="黑体"/>
                <w:sz w:val="24"/>
              </w:rPr>
            </w:pPr>
          </w:p>
        </w:tc>
        <w:tc>
          <w:tcPr>
            <w:tcW w:w="1104" w:type="dxa"/>
            <w:vMerge/>
            <w:tcBorders>
              <w:top w:val="single" w:sz="8" w:space="0" w:color="auto"/>
              <w:left w:val="single" w:sz="4" w:space="0" w:color="auto"/>
              <w:bottom w:val="single" w:sz="4" w:space="0" w:color="auto"/>
              <w:right w:val="single" w:sz="4" w:space="0" w:color="auto"/>
            </w:tcBorders>
            <w:vAlign w:val="center"/>
          </w:tcPr>
          <w:p w:rsidR="00013EC7" w:rsidRDefault="00013EC7">
            <w:pPr>
              <w:widowControl/>
              <w:jc w:val="left"/>
              <w:rPr>
                <w:rFonts w:ascii="黑体" w:eastAsia="黑体"/>
                <w:sz w:val="24"/>
              </w:rPr>
            </w:pPr>
          </w:p>
        </w:tc>
        <w:tc>
          <w:tcPr>
            <w:tcW w:w="1476" w:type="dxa"/>
            <w:vMerge/>
            <w:tcBorders>
              <w:top w:val="single" w:sz="8" w:space="0" w:color="auto"/>
              <w:left w:val="single" w:sz="4" w:space="0" w:color="auto"/>
              <w:bottom w:val="single" w:sz="4" w:space="0" w:color="auto"/>
              <w:right w:val="single" w:sz="8" w:space="0" w:color="auto"/>
            </w:tcBorders>
            <w:vAlign w:val="center"/>
          </w:tcPr>
          <w:p w:rsidR="00013EC7" w:rsidRDefault="00013EC7">
            <w:pPr>
              <w:widowControl/>
              <w:jc w:val="left"/>
              <w:rPr>
                <w:rFonts w:ascii="黑体" w:eastAsia="黑体"/>
                <w:sz w:val="24"/>
              </w:rPr>
            </w:pPr>
          </w:p>
        </w:tc>
      </w:tr>
      <w:tr w:rsidR="00013EC7">
        <w:trPr>
          <w:trHeight w:val="6097"/>
          <w:jc w:val="center"/>
        </w:trPr>
        <w:tc>
          <w:tcPr>
            <w:tcW w:w="672" w:type="dxa"/>
            <w:tcBorders>
              <w:top w:val="single" w:sz="4" w:space="0" w:color="auto"/>
              <w:left w:val="single" w:sz="8" w:space="0" w:color="auto"/>
              <w:bottom w:val="single" w:sz="4" w:space="0" w:color="auto"/>
              <w:right w:val="single" w:sz="4" w:space="0" w:color="auto"/>
            </w:tcBorders>
            <w:vAlign w:val="center"/>
          </w:tcPr>
          <w:p w:rsidR="00013EC7" w:rsidRDefault="00575CDB">
            <w:pPr>
              <w:spacing w:line="300" w:lineRule="exact"/>
              <w:rPr>
                <w:rFonts w:ascii="仿宋" w:eastAsia="仿宋" w:hAnsi="仿宋"/>
                <w:sz w:val="24"/>
              </w:rPr>
            </w:pPr>
            <w:r>
              <w:rPr>
                <w:rFonts w:ascii="仿宋" w:eastAsia="仿宋" w:hAnsi="仿宋" w:hint="eastAsia"/>
                <w:sz w:val="24"/>
              </w:rPr>
              <w:t>21涉税情况报告</w:t>
            </w:r>
          </w:p>
        </w:tc>
        <w:tc>
          <w:tcPr>
            <w:tcW w:w="1035"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310" w:lineRule="exact"/>
              <w:rPr>
                <w:rFonts w:ascii="仿宋" w:eastAsia="仿宋" w:hAnsi="仿宋"/>
                <w:sz w:val="24"/>
              </w:rPr>
            </w:pPr>
            <w:r>
              <w:rPr>
                <w:rFonts w:ascii="仿宋" w:eastAsia="仿宋" w:hAnsi="仿宋" w:hint="eastAsia"/>
                <w:sz w:val="24"/>
              </w:rPr>
              <w:t>21.4发包、出租情况报告</w:t>
            </w:r>
          </w:p>
        </w:tc>
        <w:tc>
          <w:tcPr>
            <w:tcW w:w="2622" w:type="dxa"/>
            <w:tcBorders>
              <w:top w:val="single" w:sz="4" w:space="0" w:color="auto"/>
              <w:left w:val="single" w:sz="4" w:space="0" w:color="auto"/>
              <w:bottom w:val="single" w:sz="4" w:space="0" w:color="auto"/>
              <w:right w:val="single" w:sz="4" w:space="0" w:color="auto"/>
            </w:tcBorders>
            <w:vAlign w:val="center"/>
          </w:tcPr>
          <w:p w:rsidR="00013EC7" w:rsidRDefault="00575CDB">
            <w:pPr>
              <w:widowControl/>
              <w:rPr>
                <w:rFonts w:ascii="仿宋" w:eastAsia="仿宋" w:hAnsi="仿宋" w:cs="宋体"/>
                <w:sz w:val="24"/>
              </w:rPr>
            </w:pPr>
            <w:r>
              <w:rPr>
                <w:rFonts w:ascii="仿宋" w:eastAsia="仿宋" w:hAnsi="仿宋" w:cs="宋体" w:hint="eastAsia"/>
                <w:sz w:val="24"/>
              </w:rPr>
              <w:t xml:space="preserve">（一）《中华人民共和国税收征收管理法实施细则》（2002年中华人民共和国国务院令第362号）第四十九条。 </w:t>
            </w:r>
          </w:p>
          <w:p w:rsidR="00013EC7" w:rsidRDefault="00575CDB">
            <w:pPr>
              <w:widowControl/>
              <w:rPr>
                <w:rFonts w:ascii="仿宋" w:eastAsia="仿宋" w:hAnsi="仿宋" w:cs="宋体"/>
                <w:sz w:val="24"/>
              </w:rPr>
            </w:pPr>
            <w:r>
              <w:rPr>
                <w:rFonts w:ascii="仿宋" w:eastAsia="仿宋" w:hAnsi="仿宋" w:cs="宋体" w:hint="eastAsia"/>
                <w:sz w:val="24"/>
              </w:rPr>
              <w:t>（二）《关于跨省经营企业涉税事项全国通办的通知》（国税发〔2017〕102号）第二条第二款。</w:t>
            </w:r>
          </w:p>
        </w:tc>
        <w:tc>
          <w:tcPr>
            <w:tcW w:w="2760" w:type="dxa"/>
            <w:tcBorders>
              <w:top w:val="single" w:sz="4" w:space="0" w:color="auto"/>
              <w:left w:val="single" w:sz="4" w:space="0" w:color="auto"/>
              <w:bottom w:val="single" w:sz="4" w:space="0" w:color="auto"/>
              <w:right w:val="single" w:sz="4" w:space="0" w:color="auto"/>
            </w:tcBorders>
            <w:vAlign w:val="center"/>
          </w:tcPr>
          <w:p w:rsidR="00013EC7" w:rsidRDefault="00575CDB">
            <w:pPr>
              <w:widowControl/>
              <w:rPr>
                <w:rFonts w:ascii="仿宋" w:eastAsia="仿宋" w:hAnsi="仿宋" w:cs="宋体"/>
                <w:sz w:val="24"/>
              </w:rPr>
            </w:pPr>
            <w:r>
              <w:rPr>
                <w:rFonts w:ascii="仿宋" w:eastAsia="仿宋" w:hAnsi="仿宋" w:cs="宋体" w:hint="eastAsia"/>
                <w:sz w:val="24"/>
              </w:rPr>
              <w:t>（一）承包（承租）协议合同复印件。</w:t>
            </w:r>
          </w:p>
        </w:tc>
        <w:tc>
          <w:tcPr>
            <w:tcW w:w="901" w:type="dxa"/>
            <w:tcBorders>
              <w:top w:val="single" w:sz="4" w:space="0" w:color="auto"/>
              <w:left w:val="single" w:sz="4" w:space="0" w:color="auto"/>
              <w:bottom w:val="single" w:sz="4" w:space="0" w:color="auto"/>
              <w:right w:val="single" w:sz="4" w:space="0" w:color="auto"/>
            </w:tcBorders>
            <w:vAlign w:val="center"/>
          </w:tcPr>
          <w:p w:rsidR="00013EC7" w:rsidRDefault="00575CDB">
            <w:pPr>
              <w:rPr>
                <w:rFonts w:ascii="仿宋" w:eastAsia="仿宋" w:hAnsi="仿宋"/>
                <w:sz w:val="24"/>
              </w:rPr>
            </w:pPr>
            <w:r>
              <w:rPr>
                <w:rFonts w:ascii="仿宋" w:eastAsia="仿宋" w:hAnsi="仿宋" w:hint="eastAsia"/>
                <w:sz w:val="24"/>
              </w:rPr>
              <w:t>纳税人提交</w:t>
            </w:r>
          </w:p>
        </w:tc>
        <w:tc>
          <w:tcPr>
            <w:tcW w:w="2837" w:type="dxa"/>
            <w:tcBorders>
              <w:top w:val="single" w:sz="4" w:space="0" w:color="auto"/>
              <w:left w:val="single" w:sz="4" w:space="0" w:color="auto"/>
              <w:bottom w:val="single" w:sz="4" w:space="0" w:color="auto"/>
              <w:right w:val="single" w:sz="4" w:space="0" w:color="auto"/>
            </w:tcBorders>
            <w:vAlign w:val="center"/>
          </w:tcPr>
          <w:p w:rsidR="00013EC7" w:rsidRDefault="00575CDB">
            <w:pPr>
              <w:widowControl/>
              <w:rPr>
                <w:rFonts w:ascii="仿宋" w:eastAsia="仿宋" w:hAnsi="仿宋" w:cs="宋体"/>
                <w:sz w:val="24"/>
              </w:rPr>
            </w:pPr>
            <w:r>
              <w:rPr>
                <w:rFonts w:ascii="仿宋" w:eastAsia="仿宋" w:hAnsi="仿宋" w:cs="宋体" w:hint="eastAsia"/>
                <w:sz w:val="24"/>
              </w:rPr>
              <w:t>(一)承包（承租）协议合同复印件（注明与原件一致，并加盖公章）。</w:t>
            </w:r>
          </w:p>
        </w:tc>
        <w:tc>
          <w:tcPr>
            <w:tcW w:w="952" w:type="dxa"/>
            <w:tcBorders>
              <w:top w:val="single" w:sz="4" w:space="0" w:color="auto"/>
              <w:left w:val="single" w:sz="4" w:space="0" w:color="auto"/>
              <w:bottom w:val="single" w:sz="8" w:space="0" w:color="auto"/>
              <w:right w:val="single" w:sz="4" w:space="0" w:color="auto"/>
            </w:tcBorders>
            <w:vAlign w:val="center"/>
          </w:tcPr>
          <w:p w:rsidR="00013EC7" w:rsidRDefault="00575CDB">
            <w:pPr>
              <w:spacing w:line="300" w:lineRule="exact"/>
              <w:rPr>
                <w:rFonts w:ascii="仿宋" w:eastAsia="仿宋" w:hAnsi="仿宋"/>
                <w:b/>
                <w:bCs/>
                <w:i/>
                <w:iCs/>
                <w:sz w:val="24"/>
              </w:rPr>
            </w:pPr>
            <w:r>
              <w:rPr>
                <w:rFonts w:ascii="仿宋" w:eastAsia="仿宋" w:hAnsi="仿宋" w:hint="eastAsia"/>
                <w:sz w:val="24"/>
              </w:rPr>
              <w:t>纳税人提交</w:t>
            </w:r>
          </w:p>
        </w:tc>
        <w:tc>
          <w:tcPr>
            <w:tcW w:w="3455" w:type="dxa"/>
            <w:tcBorders>
              <w:top w:val="single" w:sz="4" w:space="0" w:color="auto"/>
              <w:left w:val="single" w:sz="4" w:space="0" w:color="auto"/>
              <w:bottom w:val="single" w:sz="4" w:space="0" w:color="auto"/>
              <w:right w:val="single" w:sz="4" w:space="0" w:color="auto"/>
            </w:tcBorders>
            <w:vAlign w:val="center"/>
          </w:tcPr>
          <w:p w:rsidR="00013EC7" w:rsidRDefault="00575CDB">
            <w:pPr>
              <w:rPr>
                <w:rFonts w:ascii="仿宋" w:eastAsia="仿宋" w:hAnsi="仿宋"/>
                <w:sz w:val="24"/>
              </w:rPr>
            </w:pPr>
            <w:r>
              <w:rPr>
                <w:rFonts w:ascii="仿宋" w:eastAsia="仿宋" w:hAnsi="仿宋" w:hint="eastAsia"/>
                <w:b/>
                <w:sz w:val="24"/>
              </w:rPr>
              <w:t>现场办理：</w:t>
            </w:r>
            <w:r>
              <w:rPr>
                <w:rFonts w:ascii="仿宋" w:eastAsia="仿宋" w:hAnsi="仿宋" w:hint="eastAsia"/>
                <w:bCs/>
                <w:sz w:val="24"/>
              </w:rPr>
              <w:t>纳税人</w:t>
            </w:r>
            <w:r>
              <w:rPr>
                <w:rFonts w:ascii="仿宋" w:eastAsia="仿宋" w:hAnsi="仿宋" w:hint="eastAsia"/>
                <w:sz w:val="24"/>
              </w:rPr>
              <w:t>提交书面材料，符合受理条件的当场受理办结。</w:t>
            </w:r>
          </w:p>
          <w:p w:rsidR="00013EC7" w:rsidRDefault="00575CDB">
            <w:pPr>
              <w:spacing w:line="300" w:lineRule="exact"/>
              <w:rPr>
                <w:rFonts w:ascii="仿宋" w:eastAsia="仿宋" w:hAnsi="仿宋"/>
                <w:sz w:val="24"/>
              </w:rPr>
            </w:pPr>
            <w:r>
              <w:rPr>
                <w:rFonts w:ascii="仿宋" w:eastAsia="仿宋" w:hAnsi="仿宋" w:hint="eastAsia"/>
                <w:b/>
                <w:sz w:val="24"/>
              </w:rPr>
              <w:t>网上办理：</w:t>
            </w:r>
            <w:r>
              <w:rPr>
                <w:rFonts w:ascii="仿宋" w:eastAsia="仿宋" w:hAnsi="仿宋" w:hint="eastAsia"/>
                <w:bCs/>
                <w:sz w:val="24"/>
              </w:rPr>
              <w:t>登录浙江国税电子税务局（网址：</w:t>
            </w:r>
            <w:hyperlink r:id="rId372" w:tgtFrame="https://wx.qq.com/_blank" w:history="1">
              <w:r>
                <w:rPr>
                  <w:rFonts w:ascii="仿宋" w:eastAsia="仿宋" w:hAnsi="仿宋" w:hint="eastAsia"/>
                  <w:bCs/>
                  <w:sz w:val="24"/>
                </w:rPr>
                <w:t>http://etax.zjtax.gov.cn/</w:t>
              </w:r>
            </w:hyperlink>
            <w:r>
              <w:rPr>
                <w:rFonts w:ascii="仿宋" w:eastAsia="仿宋" w:hAnsi="仿宋" w:hint="eastAsia"/>
                <w:bCs/>
                <w:sz w:val="24"/>
              </w:rPr>
              <w:t>）提交申请。</w:t>
            </w:r>
          </w:p>
        </w:tc>
        <w:tc>
          <w:tcPr>
            <w:tcW w:w="868"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300" w:lineRule="exact"/>
              <w:rPr>
                <w:rFonts w:ascii="仿宋" w:eastAsia="仿宋" w:hAnsi="仿宋"/>
                <w:sz w:val="24"/>
              </w:rPr>
            </w:pPr>
            <w:r>
              <w:rPr>
                <w:rFonts w:ascii="仿宋" w:eastAsia="仿宋" w:hAnsi="仿宋" w:hint="eastAsia"/>
                <w:sz w:val="24"/>
              </w:rPr>
              <w:t>即时办结</w:t>
            </w:r>
          </w:p>
        </w:tc>
        <w:tc>
          <w:tcPr>
            <w:tcW w:w="922"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300" w:lineRule="exact"/>
              <w:rPr>
                <w:rFonts w:ascii="仿宋" w:eastAsia="仿宋" w:hAnsi="仿宋"/>
                <w:sz w:val="24"/>
              </w:rPr>
            </w:pPr>
            <w:r>
              <w:rPr>
                <w:rFonts w:ascii="仿宋" w:eastAsia="仿宋" w:hAnsi="仿宋" w:hint="eastAsia"/>
                <w:sz w:val="24"/>
              </w:rPr>
              <w:t>即时办结</w:t>
            </w:r>
          </w:p>
        </w:tc>
        <w:tc>
          <w:tcPr>
            <w:tcW w:w="834"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300" w:lineRule="exact"/>
              <w:rPr>
                <w:rFonts w:ascii="仿宋" w:eastAsia="仿宋" w:hAnsi="仿宋"/>
                <w:sz w:val="24"/>
              </w:rPr>
            </w:pPr>
            <w:r>
              <w:rPr>
                <w:rFonts w:ascii="仿宋" w:eastAsia="仿宋" w:hAnsi="仿宋" w:hint="eastAsia"/>
                <w:sz w:val="24"/>
              </w:rPr>
              <w:t>是</w:t>
            </w:r>
          </w:p>
        </w:tc>
        <w:tc>
          <w:tcPr>
            <w:tcW w:w="1104"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300" w:lineRule="exact"/>
              <w:rPr>
                <w:rFonts w:ascii="仿宋" w:eastAsia="仿宋" w:hAnsi="仿宋"/>
                <w:sz w:val="24"/>
              </w:rPr>
            </w:pPr>
            <w:r>
              <w:rPr>
                <w:rFonts w:ascii="仿宋" w:eastAsia="仿宋" w:hAnsi="仿宋" w:hint="eastAsia"/>
                <w:sz w:val="24"/>
              </w:rPr>
              <w:t>征管科技处</w:t>
            </w:r>
          </w:p>
        </w:tc>
        <w:tc>
          <w:tcPr>
            <w:tcW w:w="1476" w:type="dxa"/>
            <w:tcBorders>
              <w:top w:val="single" w:sz="4" w:space="0" w:color="auto"/>
              <w:left w:val="single" w:sz="4" w:space="0" w:color="auto"/>
              <w:bottom w:val="single" w:sz="4" w:space="0" w:color="auto"/>
              <w:right w:val="single" w:sz="8" w:space="0" w:color="auto"/>
            </w:tcBorders>
            <w:vAlign w:val="center"/>
          </w:tcPr>
          <w:p w:rsidR="00013EC7" w:rsidRDefault="00013EC7">
            <w:pPr>
              <w:spacing w:line="300" w:lineRule="exact"/>
              <w:rPr>
                <w:rFonts w:eastAsia="方正书宋简体"/>
                <w:sz w:val="24"/>
              </w:rPr>
            </w:pPr>
          </w:p>
        </w:tc>
      </w:tr>
    </w:tbl>
    <w:p w:rsidR="00013EC7" w:rsidRDefault="00013EC7">
      <w:pPr>
        <w:rPr>
          <w:sz w:val="24"/>
        </w:rPr>
      </w:pPr>
    </w:p>
    <w:p w:rsidR="00013EC7" w:rsidRDefault="00013EC7">
      <w:pPr>
        <w:jc w:val="center"/>
        <w:rPr>
          <w:sz w:val="24"/>
        </w:rPr>
      </w:pPr>
    </w:p>
    <w:p w:rsidR="00013EC7" w:rsidRDefault="00013EC7"/>
    <w:p w:rsidR="00013EC7" w:rsidRDefault="005262E6">
      <w:r>
        <w:lastRenderedPageBreak/>
        <w:object w:dxaOrig="1440" w:dyaOrig="1440">
          <v:shape id="_x0000_s1390" type="#_x0000_t75" style="position:absolute;left:0;text-align:left;margin-left:6.55pt;margin-top:101.35pt;width:364.4pt;height:524.8pt;z-index:251713536;mso-wrap-distance-top:0;mso-wrap-distance-bottom:0;mso-position-vertical-relative:page;mso-width-relative:page;mso-height-relative:page">
            <v:imagedata r:id="rId373" o:title=""/>
            <w10:wrap type="topAndBottom" anchory="page"/>
          </v:shape>
          <o:OLEObject Type="Embed" ProgID="Visio.Drawing.11" ShapeID="_x0000_s1390" DrawAspect="Content" ObjectID="_1577296277" r:id="rId374"/>
        </w:object>
      </w:r>
    </w:p>
    <w:p w:rsidR="00013EC7" w:rsidRDefault="005262E6">
      <w:pPr>
        <w:jc w:val="left"/>
        <w:rPr>
          <w:rFonts w:ascii="宋体" w:hAnsi="宋体" w:cs="宋体"/>
          <w:bCs/>
          <w:sz w:val="28"/>
          <w:szCs w:val="28"/>
        </w:rPr>
        <w:sectPr w:rsidR="00013EC7">
          <w:pgSz w:w="23814" w:h="16840" w:orient="landscape"/>
          <w:pgMar w:top="1701" w:right="1843" w:bottom="1985" w:left="1843" w:header="851" w:footer="1701" w:gutter="0"/>
          <w:pgNumType w:fmt="numberInDash"/>
          <w:cols w:space="720"/>
          <w:docGrid w:type="lines" w:linePitch="312"/>
        </w:sectPr>
      </w:pPr>
      <w:r>
        <w:object w:dxaOrig="1440" w:dyaOrig="1440">
          <v:shape id="_x0000_s1391" type="#_x0000_t75" style="position:absolute;margin-left:612.1pt;margin-top:105.05pt;width:337.5pt;height:555pt;z-index:251714560;mso-wrap-distance-top:0;mso-wrap-distance-bottom:0;mso-position-vertical-relative:page;mso-width-relative:page;mso-height-relative:page">
            <v:imagedata r:id="rId375" o:title=""/>
            <w10:wrap type="topAndBottom" anchory="page"/>
          </v:shape>
          <o:OLEObject Type="Embed" ProgID="Visio.Drawing.11" ShapeID="_x0000_s1391" DrawAspect="Content" ObjectID="_1577296278" r:id="rId376"/>
        </w:object>
      </w:r>
    </w:p>
    <w:p w:rsidR="00013EC7" w:rsidRDefault="00575CDB">
      <w:pPr>
        <w:pStyle w:val="1"/>
      </w:pPr>
      <w:bookmarkStart w:id="440" w:name="_Toc1012"/>
      <w:bookmarkStart w:id="441" w:name="_Toc571"/>
      <w:bookmarkStart w:id="442" w:name="_Toc503467455"/>
      <w:bookmarkStart w:id="443" w:name="_Toc29605"/>
      <w:r>
        <w:rPr>
          <w:rFonts w:hint="eastAsia"/>
        </w:rPr>
        <w:lastRenderedPageBreak/>
        <w:t>二十二、授权（委托）划缴协议</w:t>
      </w:r>
      <w:bookmarkEnd w:id="440"/>
      <w:bookmarkEnd w:id="441"/>
      <w:bookmarkEnd w:id="442"/>
      <w:bookmarkEnd w:id="443"/>
    </w:p>
    <w:p w:rsidR="00013EC7" w:rsidRDefault="00575CDB">
      <w:pPr>
        <w:pStyle w:val="2"/>
      </w:pPr>
      <w:bookmarkStart w:id="444" w:name="_Toc503467456"/>
      <w:bookmarkStart w:id="445" w:name="_Toc27909"/>
      <w:bookmarkStart w:id="446" w:name="_Toc25735"/>
      <w:bookmarkStart w:id="447" w:name="_Toc2084"/>
      <w:r>
        <w:rPr>
          <w:rFonts w:hint="eastAsia"/>
        </w:rPr>
        <w:t>22.1</w:t>
      </w:r>
      <w:r>
        <w:rPr>
          <w:rFonts w:hint="eastAsia"/>
        </w:rPr>
        <w:t>授权（委托）划缴协议</w:t>
      </w:r>
      <w:bookmarkEnd w:id="444"/>
      <w:bookmarkEnd w:id="445"/>
      <w:bookmarkEnd w:id="446"/>
      <w:bookmarkEnd w:id="447"/>
    </w:p>
    <w:p w:rsidR="00013EC7" w:rsidRDefault="00575CDB">
      <w:pPr>
        <w:jc w:val="center"/>
      </w:pPr>
      <w:r>
        <w:rPr>
          <w:rFonts w:ascii="宋体" w:hAnsi="宋体" w:cs="宋体" w:hint="eastAsia"/>
          <w:b/>
          <w:bCs/>
          <w:sz w:val="52"/>
          <w:szCs w:val="52"/>
        </w:rPr>
        <w:t>全省“最多跑一次”事项“八统一”梳理表</w:t>
      </w:r>
    </w:p>
    <w:p w:rsidR="00013EC7" w:rsidRDefault="00013EC7"/>
    <w:tbl>
      <w:tblPr>
        <w:tblW w:w="201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left w:w="15" w:type="dxa"/>
          <w:bottom w:w="15" w:type="dxa"/>
          <w:right w:w="15" w:type="dxa"/>
        </w:tblCellMar>
        <w:tblLook w:val="04A0" w:firstRow="1" w:lastRow="0" w:firstColumn="1" w:lastColumn="0" w:noHBand="0" w:noVBand="1"/>
      </w:tblPr>
      <w:tblGrid>
        <w:gridCol w:w="1249"/>
        <w:gridCol w:w="1550"/>
        <w:gridCol w:w="1714"/>
        <w:gridCol w:w="2448"/>
        <w:gridCol w:w="1985"/>
        <w:gridCol w:w="1842"/>
        <w:gridCol w:w="1985"/>
        <w:gridCol w:w="3108"/>
        <w:gridCol w:w="693"/>
        <w:gridCol w:w="693"/>
        <w:gridCol w:w="1028"/>
        <w:gridCol w:w="1029"/>
        <w:gridCol w:w="827"/>
      </w:tblGrid>
      <w:tr w:rsidR="00013EC7" w:rsidTr="00A45BD8">
        <w:trPr>
          <w:trHeight w:val="780"/>
          <w:tblHeader/>
        </w:trPr>
        <w:tc>
          <w:tcPr>
            <w:tcW w:w="1249" w:type="dxa"/>
            <w:vMerge w:val="restart"/>
            <w:vAlign w:val="center"/>
          </w:tcPr>
          <w:p w:rsidR="00013EC7" w:rsidRDefault="00575CDB">
            <w:pPr>
              <w:widowControl/>
              <w:jc w:val="center"/>
              <w:textAlignment w:val="center"/>
              <w:rPr>
                <w:rFonts w:ascii="黑体" w:eastAsia="黑体" w:hAnsi="黑体" w:cs="黑体"/>
                <w:bCs/>
                <w:color w:val="000000"/>
                <w:sz w:val="24"/>
              </w:rPr>
            </w:pPr>
            <w:r>
              <w:rPr>
                <w:rFonts w:ascii="黑体" w:eastAsia="黑体" w:hAnsi="黑体" w:cs="黑体" w:hint="eastAsia"/>
                <w:bCs/>
                <w:color w:val="000000"/>
                <w:kern w:val="0"/>
                <w:sz w:val="24"/>
              </w:rPr>
              <w:t>主项名称</w:t>
            </w:r>
          </w:p>
        </w:tc>
        <w:tc>
          <w:tcPr>
            <w:tcW w:w="1550" w:type="dxa"/>
            <w:vMerge w:val="restart"/>
            <w:vAlign w:val="center"/>
          </w:tcPr>
          <w:p w:rsidR="00013EC7" w:rsidRDefault="00575CDB">
            <w:pPr>
              <w:widowControl/>
              <w:jc w:val="center"/>
              <w:textAlignment w:val="center"/>
              <w:rPr>
                <w:rFonts w:ascii="黑体" w:eastAsia="黑体" w:hAnsi="黑体" w:cs="黑体"/>
                <w:bCs/>
                <w:color w:val="000000"/>
                <w:sz w:val="24"/>
              </w:rPr>
            </w:pPr>
            <w:r>
              <w:rPr>
                <w:rFonts w:ascii="黑体" w:eastAsia="黑体" w:hAnsi="黑体" w:cs="黑体" w:hint="eastAsia"/>
                <w:bCs/>
                <w:color w:val="000000"/>
                <w:kern w:val="0"/>
                <w:sz w:val="24"/>
              </w:rPr>
              <w:t>子项名称</w:t>
            </w:r>
          </w:p>
        </w:tc>
        <w:tc>
          <w:tcPr>
            <w:tcW w:w="1714" w:type="dxa"/>
            <w:vMerge w:val="restart"/>
            <w:vAlign w:val="center"/>
          </w:tcPr>
          <w:p w:rsidR="00013EC7" w:rsidRDefault="00575CDB">
            <w:pPr>
              <w:widowControl/>
              <w:jc w:val="center"/>
              <w:textAlignment w:val="center"/>
              <w:rPr>
                <w:rFonts w:ascii="黑体" w:eastAsia="黑体" w:hAnsi="黑体" w:cs="黑体"/>
                <w:bCs/>
                <w:color w:val="000000"/>
                <w:sz w:val="24"/>
              </w:rPr>
            </w:pPr>
            <w:r>
              <w:rPr>
                <w:rFonts w:ascii="黑体" w:eastAsia="黑体" w:hAnsi="黑体" w:cs="黑体" w:hint="eastAsia"/>
                <w:bCs/>
                <w:color w:val="000000"/>
                <w:kern w:val="0"/>
                <w:sz w:val="24"/>
              </w:rPr>
              <w:t>经办依据</w:t>
            </w:r>
          </w:p>
        </w:tc>
        <w:tc>
          <w:tcPr>
            <w:tcW w:w="4433" w:type="dxa"/>
            <w:gridSpan w:val="2"/>
            <w:vAlign w:val="center"/>
          </w:tcPr>
          <w:p w:rsidR="00013EC7" w:rsidRDefault="00575CDB">
            <w:pPr>
              <w:widowControl/>
              <w:jc w:val="center"/>
              <w:textAlignment w:val="center"/>
              <w:rPr>
                <w:rFonts w:ascii="黑体" w:eastAsia="黑体" w:hAnsi="黑体" w:cs="黑体"/>
                <w:bCs/>
                <w:color w:val="000000"/>
                <w:sz w:val="24"/>
              </w:rPr>
            </w:pPr>
            <w:r>
              <w:rPr>
                <w:rFonts w:ascii="黑体" w:eastAsia="黑体" w:hAnsi="黑体" w:cs="黑体" w:hint="eastAsia"/>
                <w:bCs/>
                <w:color w:val="000000"/>
                <w:kern w:val="0"/>
                <w:sz w:val="24"/>
              </w:rPr>
              <w:t>原经办所需材料</w:t>
            </w:r>
          </w:p>
        </w:tc>
        <w:tc>
          <w:tcPr>
            <w:tcW w:w="6935" w:type="dxa"/>
            <w:gridSpan w:val="3"/>
            <w:vAlign w:val="center"/>
          </w:tcPr>
          <w:p w:rsidR="00013EC7" w:rsidRDefault="00575CDB">
            <w:pPr>
              <w:widowControl/>
              <w:jc w:val="center"/>
              <w:textAlignment w:val="center"/>
              <w:rPr>
                <w:rFonts w:ascii="黑体" w:eastAsia="黑体" w:hAnsi="黑体" w:cs="黑体"/>
                <w:bCs/>
                <w:color w:val="000000"/>
                <w:sz w:val="24"/>
              </w:rPr>
            </w:pPr>
            <w:r>
              <w:rPr>
                <w:rFonts w:ascii="黑体" w:eastAsia="黑体" w:hAnsi="黑体" w:cs="黑体" w:hint="eastAsia"/>
                <w:bCs/>
                <w:color w:val="000000"/>
                <w:kern w:val="0"/>
                <w:sz w:val="24"/>
              </w:rPr>
              <w:t>精简后经办所需材料</w:t>
            </w:r>
          </w:p>
        </w:tc>
        <w:tc>
          <w:tcPr>
            <w:tcW w:w="1386" w:type="dxa"/>
            <w:gridSpan w:val="2"/>
            <w:vMerge w:val="restart"/>
            <w:vAlign w:val="center"/>
          </w:tcPr>
          <w:p w:rsidR="00013EC7" w:rsidRDefault="00575CDB">
            <w:pPr>
              <w:widowControl/>
              <w:jc w:val="center"/>
              <w:textAlignment w:val="center"/>
              <w:rPr>
                <w:rFonts w:ascii="黑体" w:eastAsia="黑体" w:hAnsi="黑体" w:cs="黑体"/>
                <w:bCs/>
                <w:color w:val="000000"/>
                <w:sz w:val="24"/>
              </w:rPr>
            </w:pPr>
            <w:r>
              <w:rPr>
                <w:rFonts w:ascii="黑体" w:eastAsia="黑体" w:hAnsi="黑体" w:cs="黑体" w:hint="eastAsia"/>
                <w:bCs/>
                <w:color w:val="000000"/>
                <w:kern w:val="0"/>
                <w:sz w:val="24"/>
              </w:rPr>
              <w:t>办理时限</w:t>
            </w:r>
          </w:p>
        </w:tc>
        <w:tc>
          <w:tcPr>
            <w:tcW w:w="1028" w:type="dxa"/>
            <w:vMerge w:val="restart"/>
            <w:vAlign w:val="center"/>
          </w:tcPr>
          <w:p w:rsidR="00013EC7" w:rsidRDefault="00575CDB">
            <w:pPr>
              <w:widowControl/>
              <w:jc w:val="center"/>
              <w:textAlignment w:val="center"/>
              <w:rPr>
                <w:rFonts w:ascii="黑体" w:eastAsia="黑体" w:hAnsi="黑体" w:cs="黑体"/>
                <w:bCs/>
                <w:color w:val="000000"/>
                <w:sz w:val="24"/>
              </w:rPr>
            </w:pPr>
            <w:r>
              <w:rPr>
                <w:rFonts w:ascii="黑体" w:eastAsia="黑体" w:hAnsi="黑体" w:cs="黑体" w:hint="eastAsia"/>
                <w:bCs/>
                <w:color w:val="000000"/>
                <w:kern w:val="0"/>
                <w:sz w:val="24"/>
              </w:rPr>
              <w:t>是否实现跑零次</w:t>
            </w:r>
          </w:p>
        </w:tc>
        <w:tc>
          <w:tcPr>
            <w:tcW w:w="1029" w:type="dxa"/>
            <w:vMerge w:val="restart"/>
            <w:vAlign w:val="center"/>
          </w:tcPr>
          <w:p w:rsidR="00013EC7" w:rsidRDefault="00575CDB">
            <w:pPr>
              <w:widowControl/>
              <w:jc w:val="center"/>
              <w:textAlignment w:val="center"/>
              <w:rPr>
                <w:rFonts w:ascii="黑体" w:eastAsia="黑体" w:hAnsi="黑体" w:cs="黑体"/>
                <w:bCs/>
                <w:color w:val="000000"/>
                <w:sz w:val="24"/>
              </w:rPr>
            </w:pPr>
            <w:r>
              <w:rPr>
                <w:rFonts w:ascii="黑体" w:eastAsia="黑体" w:hAnsi="黑体" w:cs="黑体" w:hint="eastAsia"/>
                <w:bCs/>
                <w:color w:val="000000"/>
                <w:kern w:val="0"/>
                <w:sz w:val="24"/>
              </w:rPr>
              <w:t>责任处室（单位）</w:t>
            </w:r>
          </w:p>
        </w:tc>
        <w:tc>
          <w:tcPr>
            <w:tcW w:w="827" w:type="dxa"/>
            <w:vMerge w:val="restart"/>
            <w:vAlign w:val="center"/>
          </w:tcPr>
          <w:p w:rsidR="00013EC7" w:rsidRDefault="00575CDB">
            <w:pPr>
              <w:widowControl/>
              <w:jc w:val="center"/>
              <w:textAlignment w:val="center"/>
              <w:rPr>
                <w:rFonts w:ascii="黑体" w:eastAsia="黑体" w:hAnsi="黑体" w:cs="黑体"/>
                <w:bCs/>
                <w:color w:val="000000"/>
                <w:sz w:val="24"/>
              </w:rPr>
            </w:pPr>
            <w:r>
              <w:rPr>
                <w:rFonts w:ascii="黑体" w:eastAsia="黑体" w:hAnsi="黑体" w:cs="黑体" w:hint="eastAsia"/>
                <w:bCs/>
                <w:color w:val="000000"/>
                <w:kern w:val="0"/>
                <w:sz w:val="24"/>
              </w:rPr>
              <w:t>进一步精简、规范建议</w:t>
            </w:r>
          </w:p>
        </w:tc>
      </w:tr>
      <w:tr w:rsidR="00013EC7" w:rsidTr="00A45BD8">
        <w:trPr>
          <w:trHeight w:val="435"/>
          <w:tblHeader/>
        </w:trPr>
        <w:tc>
          <w:tcPr>
            <w:tcW w:w="1249" w:type="dxa"/>
            <w:vMerge/>
            <w:vAlign w:val="center"/>
          </w:tcPr>
          <w:p w:rsidR="00013EC7" w:rsidRDefault="00013EC7">
            <w:pPr>
              <w:jc w:val="center"/>
              <w:rPr>
                <w:rFonts w:ascii="仿宋" w:eastAsia="仿宋" w:hAnsi="仿宋" w:cs="黑体"/>
                <w:b/>
                <w:color w:val="000000"/>
                <w:sz w:val="24"/>
              </w:rPr>
            </w:pPr>
          </w:p>
        </w:tc>
        <w:tc>
          <w:tcPr>
            <w:tcW w:w="1550" w:type="dxa"/>
            <w:vMerge/>
            <w:vAlign w:val="center"/>
          </w:tcPr>
          <w:p w:rsidR="00013EC7" w:rsidRDefault="00013EC7">
            <w:pPr>
              <w:jc w:val="center"/>
              <w:rPr>
                <w:rFonts w:ascii="仿宋" w:eastAsia="仿宋" w:hAnsi="仿宋" w:cs="黑体"/>
                <w:b/>
                <w:color w:val="000000"/>
                <w:sz w:val="24"/>
              </w:rPr>
            </w:pPr>
          </w:p>
        </w:tc>
        <w:tc>
          <w:tcPr>
            <w:tcW w:w="1714" w:type="dxa"/>
            <w:vMerge/>
            <w:vAlign w:val="center"/>
          </w:tcPr>
          <w:p w:rsidR="00013EC7" w:rsidRDefault="00013EC7">
            <w:pPr>
              <w:jc w:val="center"/>
              <w:rPr>
                <w:rFonts w:ascii="仿宋" w:eastAsia="仿宋" w:hAnsi="仿宋" w:cs="黑体"/>
                <w:b/>
                <w:color w:val="000000"/>
                <w:sz w:val="24"/>
              </w:rPr>
            </w:pPr>
          </w:p>
        </w:tc>
        <w:tc>
          <w:tcPr>
            <w:tcW w:w="2448" w:type="dxa"/>
            <w:vMerge w:val="restart"/>
            <w:vAlign w:val="center"/>
          </w:tcPr>
          <w:p w:rsidR="00013EC7" w:rsidRDefault="00575CDB">
            <w:pPr>
              <w:widowControl/>
              <w:jc w:val="center"/>
              <w:textAlignment w:val="center"/>
              <w:rPr>
                <w:rFonts w:ascii="黑体" w:eastAsia="黑体" w:hAnsi="黑体" w:cs="黑体"/>
                <w:bCs/>
                <w:color w:val="000000"/>
                <w:sz w:val="24"/>
              </w:rPr>
            </w:pPr>
            <w:r>
              <w:rPr>
                <w:rFonts w:ascii="黑体" w:eastAsia="黑体" w:hAnsi="黑体" w:cs="黑体" w:hint="eastAsia"/>
                <w:bCs/>
                <w:color w:val="000000"/>
                <w:kern w:val="0"/>
                <w:sz w:val="24"/>
              </w:rPr>
              <w:t>材料明细</w:t>
            </w:r>
          </w:p>
        </w:tc>
        <w:tc>
          <w:tcPr>
            <w:tcW w:w="1985" w:type="dxa"/>
            <w:vMerge w:val="restart"/>
            <w:vAlign w:val="center"/>
          </w:tcPr>
          <w:p w:rsidR="00013EC7" w:rsidRDefault="00575CDB">
            <w:pPr>
              <w:widowControl/>
              <w:jc w:val="center"/>
              <w:textAlignment w:val="center"/>
              <w:rPr>
                <w:rFonts w:ascii="黑体" w:eastAsia="黑体" w:hAnsi="黑体" w:cs="黑体"/>
                <w:bCs/>
                <w:color w:val="000000"/>
                <w:sz w:val="24"/>
              </w:rPr>
            </w:pPr>
            <w:r>
              <w:rPr>
                <w:rFonts w:ascii="黑体" w:eastAsia="黑体" w:hAnsi="黑体" w:cs="黑体" w:hint="eastAsia"/>
                <w:bCs/>
                <w:color w:val="000000"/>
                <w:kern w:val="0"/>
                <w:sz w:val="24"/>
              </w:rPr>
              <w:t>材料来源</w:t>
            </w:r>
          </w:p>
        </w:tc>
        <w:tc>
          <w:tcPr>
            <w:tcW w:w="1842" w:type="dxa"/>
            <w:vMerge w:val="restart"/>
            <w:vAlign w:val="center"/>
          </w:tcPr>
          <w:p w:rsidR="00013EC7" w:rsidRDefault="00575CDB">
            <w:pPr>
              <w:widowControl/>
              <w:jc w:val="center"/>
              <w:textAlignment w:val="center"/>
              <w:rPr>
                <w:rFonts w:ascii="黑体" w:eastAsia="黑体" w:hAnsi="黑体" w:cs="黑体"/>
                <w:bCs/>
                <w:color w:val="000000"/>
                <w:sz w:val="24"/>
              </w:rPr>
            </w:pPr>
            <w:r>
              <w:rPr>
                <w:rFonts w:ascii="黑体" w:eastAsia="黑体" w:hAnsi="黑体" w:cs="黑体" w:hint="eastAsia"/>
                <w:bCs/>
                <w:color w:val="000000"/>
                <w:kern w:val="0"/>
                <w:sz w:val="24"/>
              </w:rPr>
              <w:t>材料明细</w:t>
            </w:r>
          </w:p>
        </w:tc>
        <w:tc>
          <w:tcPr>
            <w:tcW w:w="1985" w:type="dxa"/>
            <w:vMerge w:val="restart"/>
            <w:vAlign w:val="center"/>
          </w:tcPr>
          <w:p w:rsidR="00013EC7" w:rsidRDefault="00575CDB">
            <w:pPr>
              <w:widowControl/>
              <w:jc w:val="center"/>
              <w:textAlignment w:val="center"/>
              <w:rPr>
                <w:rFonts w:ascii="黑体" w:eastAsia="黑体" w:hAnsi="黑体" w:cs="黑体"/>
                <w:bCs/>
                <w:color w:val="000000"/>
                <w:sz w:val="24"/>
              </w:rPr>
            </w:pPr>
            <w:r>
              <w:rPr>
                <w:rFonts w:ascii="黑体" w:eastAsia="黑体" w:hAnsi="黑体" w:cs="黑体" w:hint="eastAsia"/>
                <w:bCs/>
                <w:color w:val="000000"/>
                <w:kern w:val="0"/>
                <w:sz w:val="24"/>
              </w:rPr>
              <w:t>材料来源</w:t>
            </w:r>
          </w:p>
        </w:tc>
        <w:tc>
          <w:tcPr>
            <w:tcW w:w="3108" w:type="dxa"/>
            <w:vMerge w:val="restart"/>
            <w:vAlign w:val="center"/>
          </w:tcPr>
          <w:p w:rsidR="00013EC7" w:rsidRDefault="00575CDB">
            <w:pPr>
              <w:widowControl/>
              <w:jc w:val="center"/>
              <w:textAlignment w:val="center"/>
              <w:rPr>
                <w:rFonts w:ascii="黑体" w:eastAsia="黑体" w:hAnsi="黑体" w:cs="黑体"/>
                <w:bCs/>
                <w:color w:val="000000"/>
                <w:kern w:val="0"/>
                <w:sz w:val="24"/>
              </w:rPr>
            </w:pPr>
            <w:r>
              <w:rPr>
                <w:rFonts w:ascii="黑体" w:eastAsia="黑体" w:hAnsi="黑体" w:cs="黑体" w:hint="eastAsia"/>
                <w:bCs/>
                <w:color w:val="000000"/>
                <w:kern w:val="0"/>
                <w:sz w:val="24"/>
              </w:rPr>
              <w:t>办理方式及材料</w:t>
            </w:r>
          </w:p>
          <w:p w:rsidR="00013EC7" w:rsidRDefault="00575CDB">
            <w:pPr>
              <w:widowControl/>
              <w:jc w:val="center"/>
              <w:textAlignment w:val="center"/>
              <w:rPr>
                <w:rFonts w:ascii="黑体" w:eastAsia="黑体" w:hAnsi="黑体" w:cs="黑体"/>
                <w:bCs/>
                <w:color w:val="000000"/>
                <w:sz w:val="24"/>
              </w:rPr>
            </w:pPr>
            <w:r>
              <w:rPr>
                <w:rFonts w:ascii="黑体" w:eastAsia="黑体" w:hAnsi="黑体" w:cs="黑体" w:hint="eastAsia"/>
                <w:bCs/>
                <w:color w:val="000000"/>
                <w:kern w:val="0"/>
                <w:sz w:val="24"/>
              </w:rPr>
              <w:t>信息获取方式说明</w:t>
            </w:r>
          </w:p>
        </w:tc>
        <w:tc>
          <w:tcPr>
            <w:tcW w:w="1386" w:type="dxa"/>
            <w:gridSpan w:val="2"/>
            <w:vMerge/>
            <w:vAlign w:val="center"/>
          </w:tcPr>
          <w:p w:rsidR="00013EC7" w:rsidRDefault="00013EC7">
            <w:pPr>
              <w:jc w:val="center"/>
              <w:rPr>
                <w:rFonts w:ascii="仿宋" w:eastAsia="仿宋" w:hAnsi="仿宋" w:cs="黑体"/>
                <w:b/>
                <w:color w:val="000000"/>
                <w:sz w:val="24"/>
              </w:rPr>
            </w:pPr>
          </w:p>
        </w:tc>
        <w:tc>
          <w:tcPr>
            <w:tcW w:w="1028" w:type="dxa"/>
            <w:vMerge/>
            <w:vAlign w:val="center"/>
          </w:tcPr>
          <w:p w:rsidR="00013EC7" w:rsidRDefault="00013EC7">
            <w:pPr>
              <w:jc w:val="center"/>
              <w:rPr>
                <w:rFonts w:ascii="仿宋" w:eastAsia="仿宋" w:hAnsi="仿宋" w:cs="黑体"/>
                <w:color w:val="000000"/>
                <w:sz w:val="24"/>
              </w:rPr>
            </w:pPr>
          </w:p>
        </w:tc>
        <w:tc>
          <w:tcPr>
            <w:tcW w:w="1029" w:type="dxa"/>
            <w:vMerge/>
            <w:vAlign w:val="center"/>
          </w:tcPr>
          <w:p w:rsidR="00013EC7" w:rsidRDefault="00013EC7">
            <w:pPr>
              <w:jc w:val="center"/>
              <w:rPr>
                <w:rFonts w:ascii="仿宋" w:eastAsia="仿宋" w:hAnsi="仿宋" w:cs="黑体"/>
                <w:color w:val="000000"/>
                <w:sz w:val="24"/>
              </w:rPr>
            </w:pPr>
          </w:p>
        </w:tc>
        <w:tc>
          <w:tcPr>
            <w:tcW w:w="827" w:type="dxa"/>
            <w:vMerge/>
            <w:vAlign w:val="center"/>
          </w:tcPr>
          <w:p w:rsidR="00013EC7" w:rsidRDefault="00013EC7">
            <w:pPr>
              <w:jc w:val="center"/>
              <w:rPr>
                <w:rFonts w:ascii="仿宋" w:eastAsia="仿宋" w:hAnsi="仿宋" w:cs="黑体"/>
                <w:color w:val="000000"/>
                <w:sz w:val="24"/>
              </w:rPr>
            </w:pPr>
          </w:p>
        </w:tc>
      </w:tr>
      <w:tr w:rsidR="00013EC7" w:rsidTr="00A45BD8">
        <w:trPr>
          <w:trHeight w:val="413"/>
          <w:tblHeader/>
        </w:trPr>
        <w:tc>
          <w:tcPr>
            <w:tcW w:w="1249" w:type="dxa"/>
            <w:vMerge/>
            <w:vAlign w:val="center"/>
          </w:tcPr>
          <w:p w:rsidR="00013EC7" w:rsidRDefault="00013EC7">
            <w:pPr>
              <w:jc w:val="center"/>
              <w:rPr>
                <w:rFonts w:ascii="仿宋" w:eastAsia="仿宋" w:hAnsi="仿宋" w:cs="黑体"/>
                <w:b/>
                <w:color w:val="000000"/>
                <w:sz w:val="24"/>
              </w:rPr>
            </w:pPr>
          </w:p>
        </w:tc>
        <w:tc>
          <w:tcPr>
            <w:tcW w:w="1550" w:type="dxa"/>
            <w:vMerge/>
            <w:vAlign w:val="center"/>
          </w:tcPr>
          <w:p w:rsidR="00013EC7" w:rsidRDefault="00013EC7">
            <w:pPr>
              <w:jc w:val="center"/>
              <w:rPr>
                <w:rFonts w:ascii="仿宋" w:eastAsia="仿宋" w:hAnsi="仿宋" w:cs="黑体"/>
                <w:b/>
                <w:color w:val="000000"/>
                <w:sz w:val="24"/>
              </w:rPr>
            </w:pPr>
          </w:p>
        </w:tc>
        <w:tc>
          <w:tcPr>
            <w:tcW w:w="1714" w:type="dxa"/>
            <w:vMerge/>
            <w:vAlign w:val="center"/>
          </w:tcPr>
          <w:p w:rsidR="00013EC7" w:rsidRDefault="00013EC7">
            <w:pPr>
              <w:jc w:val="center"/>
              <w:rPr>
                <w:rFonts w:ascii="仿宋" w:eastAsia="仿宋" w:hAnsi="仿宋" w:cs="黑体"/>
                <w:b/>
                <w:color w:val="000000"/>
                <w:sz w:val="24"/>
              </w:rPr>
            </w:pPr>
          </w:p>
        </w:tc>
        <w:tc>
          <w:tcPr>
            <w:tcW w:w="2448" w:type="dxa"/>
            <w:vMerge/>
            <w:vAlign w:val="center"/>
          </w:tcPr>
          <w:p w:rsidR="00013EC7" w:rsidRDefault="00013EC7">
            <w:pPr>
              <w:jc w:val="center"/>
              <w:rPr>
                <w:rFonts w:ascii="黑体" w:eastAsia="黑体" w:hAnsi="黑体" w:cs="黑体"/>
                <w:bCs/>
                <w:color w:val="000000"/>
                <w:sz w:val="24"/>
              </w:rPr>
            </w:pPr>
          </w:p>
        </w:tc>
        <w:tc>
          <w:tcPr>
            <w:tcW w:w="1985" w:type="dxa"/>
            <w:vMerge/>
            <w:vAlign w:val="center"/>
          </w:tcPr>
          <w:p w:rsidR="00013EC7" w:rsidRDefault="00013EC7">
            <w:pPr>
              <w:jc w:val="center"/>
              <w:rPr>
                <w:rFonts w:ascii="黑体" w:eastAsia="黑体" w:hAnsi="黑体" w:cs="黑体"/>
                <w:bCs/>
                <w:color w:val="000000"/>
                <w:sz w:val="24"/>
              </w:rPr>
            </w:pPr>
          </w:p>
        </w:tc>
        <w:tc>
          <w:tcPr>
            <w:tcW w:w="1842" w:type="dxa"/>
            <w:vMerge/>
            <w:vAlign w:val="center"/>
          </w:tcPr>
          <w:p w:rsidR="00013EC7" w:rsidRDefault="00013EC7">
            <w:pPr>
              <w:jc w:val="center"/>
              <w:rPr>
                <w:rFonts w:ascii="黑体" w:eastAsia="黑体" w:hAnsi="黑体" w:cs="黑体"/>
                <w:bCs/>
                <w:color w:val="000000"/>
                <w:sz w:val="24"/>
              </w:rPr>
            </w:pPr>
          </w:p>
        </w:tc>
        <w:tc>
          <w:tcPr>
            <w:tcW w:w="1985" w:type="dxa"/>
            <w:vMerge/>
            <w:vAlign w:val="center"/>
          </w:tcPr>
          <w:p w:rsidR="00013EC7" w:rsidRDefault="00013EC7">
            <w:pPr>
              <w:jc w:val="center"/>
              <w:rPr>
                <w:rFonts w:ascii="黑体" w:eastAsia="黑体" w:hAnsi="黑体" w:cs="黑体"/>
                <w:bCs/>
                <w:color w:val="000000"/>
                <w:sz w:val="24"/>
              </w:rPr>
            </w:pPr>
          </w:p>
        </w:tc>
        <w:tc>
          <w:tcPr>
            <w:tcW w:w="3108" w:type="dxa"/>
            <w:vMerge/>
            <w:vAlign w:val="center"/>
          </w:tcPr>
          <w:p w:rsidR="00013EC7" w:rsidRDefault="00013EC7">
            <w:pPr>
              <w:widowControl/>
              <w:jc w:val="center"/>
              <w:textAlignment w:val="center"/>
              <w:rPr>
                <w:rFonts w:ascii="黑体" w:eastAsia="黑体" w:hAnsi="黑体" w:cs="黑体"/>
                <w:bCs/>
                <w:color w:val="000000"/>
                <w:sz w:val="24"/>
              </w:rPr>
            </w:pPr>
          </w:p>
        </w:tc>
        <w:tc>
          <w:tcPr>
            <w:tcW w:w="693" w:type="dxa"/>
            <w:vAlign w:val="center"/>
          </w:tcPr>
          <w:p w:rsidR="00013EC7" w:rsidRDefault="00575CDB">
            <w:pPr>
              <w:widowControl/>
              <w:jc w:val="center"/>
              <w:textAlignment w:val="center"/>
              <w:rPr>
                <w:rFonts w:ascii="黑体" w:eastAsia="黑体" w:hAnsi="黑体" w:cs="黑体"/>
                <w:bCs/>
                <w:color w:val="000000"/>
                <w:sz w:val="24"/>
              </w:rPr>
            </w:pPr>
            <w:r>
              <w:rPr>
                <w:rFonts w:ascii="黑体" w:eastAsia="黑体" w:hAnsi="黑体" w:cs="黑体" w:hint="eastAsia"/>
                <w:bCs/>
                <w:color w:val="000000"/>
                <w:kern w:val="0"/>
                <w:sz w:val="24"/>
              </w:rPr>
              <w:t>优化前</w:t>
            </w:r>
          </w:p>
        </w:tc>
        <w:tc>
          <w:tcPr>
            <w:tcW w:w="693" w:type="dxa"/>
            <w:vAlign w:val="center"/>
          </w:tcPr>
          <w:p w:rsidR="00013EC7" w:rsidRDefault="00575CDB">
            <w:pPr>
              <w:widowControl/>
              <w:jc w:val="center"/>
              <w:textAlignment w:val="center"/>
              <w:rPr>
                <w:rFonts w:ascii="黑体" w:eastAsia="黑体" w:hAnsi="黑体" w:cs="黑体"/>
                <w:bCs/>
                <w:color w:val="000000"/>
                <w:sz w:val="24"/>
              </w:rPr>
            </w:pPr>
            <w:r>
              <w:rPr>
                <w:rFonts w:ascii="黑体" w:eastAsia="黑体" w:hAnsi="黑体" w:cs="黑体" w:hint="eastAsia"/>
                <w:bCs/>
                <w:color w:val="000000"/>
                <w:kern w:val="0"/>
                <w:sz w:val="24"/>
              </w:rPr>
              <w:t>优化后</w:t>
            </w:r>
          </w:p>
        </w:tc>
        <w:tc>
          <w:tcPr>
            <w:tcW w:w="1028" w:type="dxa"/>
            <w:vMerge/>
            <w:vAlign w:val="center"/>
          </w:tcPr>
          <w:p w:rsidR="00013EC7" w:rsidRDefault="00013EC7">
            <w:pPr>
              <w:jc w:val="center"/>
              <w:rPr>
                <w:rFonts w:ascii="仿宋" w:eastAsia="仿宋" w:hAnsi="仿宋" w:cs="黑体"/>
                <w:color w:val="000000"/>
                <w:sz w:val="24"/>
              </w:rPr>
            </w:pPr>
          </w:p>
        </w:tc>
        <w:tc>
          <w:tcPr>
            <w:tcW w:w="1029" w:type="dxa"/>
            <w:vMerge/>
            <w:vAlign w:val="center"/>
          </w:tcPr>
          <w:p w:rsidR="00013EC7" w:rsidRDefault="00013EC7">
            <w:pPr>
              <w:jc w:val="center"/>
              <w:rPr>
                <w:rFonts w:ascii="仿宋" w:eastAsia="仿宋" w:hAnsi="仿宋" w:cs="黑体"/>
                <w:color w:val="000000"/>
                <w:sz w:val="24"/>
              </w:rPr>
            </w:pPr>
          </w:p>
        </w:tc>
        <w:tc>
          <w:tcPr>
            <w:tcW w:w="827" w:type="dxa"/>
            <w:vMerge/>
            <w:vAlign w:val="center"/>
          </w:tcPr>
          <w:p w:rsidR="00013EC7" w:rsidRDefault="00013EC7">
            <w:pPr>
              <w:jc w:val="center"/>
              <w:rPr>
                <w:rFonts w:ascii="仿宋" w:eastAsia="仿宋" w:hAnsi="仿宋" w:cs="黑体"/>
                <w:color w:val="000000"/>
                <w:sz w:val="24"/>
              </w:rPr>
            </w:pPr>
          </w:p>
        </w:tc>
      </w:tr>
      <w:tr w:rsidR="00013EC7" w:rsidTr="00A45BD8">
        <w:trPr>
          <w:trHeight w:val="6319"/>
        </w:trPr>
        <w:tc>
          <w:tcPr>
            <w:tcW w:w="1249" w:type="dxa"/>
            <w:shd w:val="clear" w:color="auto" w:fill="auto"/>
            <w:vAlign w:val="center"/>
          </w:tcPr>
          <w:p w:rsidR="00013EC7" w:rsidRDefault="00575CDB">
            <w:pPr>
              <w:widowControl/>
              <w:jc w:val="left"/>
              <w:textAlignment w:val="center"/>
              <w:rPr>
                <w:rFonts w:ascii="仿宋" w:eastAsia="仿宋" w:hAnsi="仿宋" w:cs="方正书宋简体"/>
                <w:color w:val="000000"/>
                <w:sz w:val="24"/>
              </w:rPr>
            </w:pPr>
            <w:r>
              <w:rPr>
                <w:rFonts w:ascii="仿宋" w:eastAsia="仿宋" w:hAnsi="仿宋" w:cs="方正书宋简体" w:hint="eastAsia"/>
                <w:color w:val="000000"/>
                <w:kern w:val="0"/>
                <w:sz w:val="24"/>
              </w:rPr>
              <w:t>22</w:t>
            </w:r>
            <w:r>
              <w:rPr>
                <w:rFonts w:ascii="仿宋" w:eastAsia="仿宋" w:hAnsi="仿宋" w:cs="方正书宋简体"/>
                <w:color w:val="000000"/>
                <w:kern w:val="0"/>
                <w:sz w:val="24"/>
              </w:rPr>
              <w:t>授权（委托）划缴协议</w:t>
            </w:r>
          </w:p>
        </w:tc>
        <w:tc>
          <w:tcPr>
            <w:tcW w:w="1550" w:type="dxa"/>
            <w:shd w:val="clear" w:color="auto" w:fill="auto"/>
            <w:vAlign w:val="center"/>
          </w:tcPr>
          <w:p w:rsidR="00013EC7" w:rsidRDefault="00575CDB">
            <w:pPr>
              <w:widowControl/>
              <w:jc w:val="left"/>
              <w:textAlignment w:val="center"/>
              <w:rPr>
                <w:rFonts w:ascii="仿宋" w:eastAsia="仿宋" w:hAnsi="仿宋" w:cs="方正书宋简体"/>
                <w:color w:val="000000"/>
                <w:sz w:val="24"/>
              </w:rPr>
            </w:pPr>
            <w:r>
              <w:rPr>
                <w:rFonts w:ascii="仿宋" w:eastAsia="仿宋" w:hAnsi="仿宋" w:cs="方正书宋简体" w:hint="eastAsia"/>
                <w:color w:val="000000"/>
                <w:kern w:val="0"/>
                <w:sz w:val="24"/>
              </w:rPr>
              <w:t>22.1</w:t>
            </w:r>
            <w:r>
              <w:rPr>
                <w:rFonts w:ascii="仿宋" w:eastAsia="仿宋" w:hAnsi="仿宋" w:cs="方正书宋简体"/>
                <w:color w:val="000000"/>
                <w:kern w:val="0"/>
                <w:sz w:val="24"/>
              </w:rPr>
              <w:t>授权（委托）划缴协议</w:t>
            </w:r>
          </w:p>
        </w:tc>
        <w:tc>
          <w:tcPr>
            <w:tcW w:w="1714" w:type="dxa"/>
            <w:shd w:val="clear" w:color="auto" w:fill="auto"/>
            <w:vAlign w:val="center"/>
          </w:tcPr>
          <w:p w:rsidR="00013EC7" w:rsidRDefault="00575CDB">
            <w:pPr>
              <w:widowControl/>
              <w:jc w:val="center"/>
              <w:textAlignment w:val="center"/>
              <w:rPr>
                <w:rFonts w:ascii="仿宋" w:eastAsia="仿宋" w:hAnsi="仿宋" w:cs="宋体"/>
                <w:color w:val="000000"/>
                <w:sz w:val="24"/>
              </w:rPr>
            </w:pPr>
            <w:r>
              <w:rPr>
                <w:rFonts w:ascii="仿宋" w:eastAsia="仿宋" w:hAnsi="仿宋" w:cs="宋体" w:hint="eastAsia"/>
                <w:color w:val="000000"/>
                <w:kern w:val="0"/>
                <w:sz w:val="24"/>
              </w:rPr>
              <w:t>（一）《中华人民共和国税收征收管理法实施细则》（2002年中华人民共和国国务院令第362号）第40条。</w:t>
            </w:r>
          </w:p>
        </w:tc>
        <w:tc>
          <w:tcPr>
            <w:tcW w:w="2448" w:type="dxa"/>
            <w:shd w:val="clear" w:color="auto" w:fill="FFFFFF"/>
            <w:vAlign w:val="center"/>
          </w:tcPr>
          <w:p w:rsidR="00013EC7" w:rsidRDefault="00575CDB">
            <w:pPr>
              <w:widowControl/>
              <w:jc w:val="left"/>
              <w:textAlignment w:val="center"/>
              <w:rPr>
                <w:rFonts w:ascii="仿宋" w:eastAsia="仿宋" w:hAnsi="仿宋" w:cs="宋体"/>
                <w:color w:val="000000"/>
                <w:sz w:val="24"/>
              </w:rPr>
            </w:pPr>
            <w:r>
              <w:rPr>
                <w:rFonts w:ascii="仿宋" w:eastAsia="仿宋" w:hAnsi="仿宋" w:cs="宋体" w:hint="eastAsia"/>
                <w:color w:val="000000"/>
                <w:kern w:val="0"/>
                <w:sz w:val="24"/>
              </w:rPr>
              <w:t>（一）《委托银行代缴税款四方协议》或《委托划转税款协议书》。</w:t>
            </w:r>
          </w:p>
        </w:tc>
        <w:tc>
          <w:tcPr>
            <w:tcW w:w="1985" w:type="dxa"/>
            <w:shd w:val="clear" w:color="auto" w:fill="FFFFFF"/>
            <w:vAlign w:val="center"/>
          </w:tcPr>
          <w:p w:rsidR="00013EC7" w:rsidRDefault="00575CDB">
            <w:pPr>
              <w:widowControl/>
              <w:jc w:val="left"/>
              <w:textAlignment w:val="center"/>
              <w:rPr>
                <w:rFonts w:ascii="仿宋" w:eastAsia="仿宋" w:hAnsi="仿宋" w:cs="方正书宋简体"/>
                <w:color w:val="000000"/>
                <w:sz w:val="24"/>
              </w:rPr>
            </w:pPr>
            <w:r>
              <w:rPr>
                <w:rFonts w:ascii="仿宋" w:eastAsia="仿宋" w:hAnsi="仿宋" w:cs="方正书宋简体" w:hint="eastAsia"/>
                <w:color w:val="000000"/>
                <w:kern w:val="0"/>
                <w:sz w:val="24"/>
              </w:rPr>
              <w:t>纳税人</w:t>
            </w:r>
            <w:r>
              <w:rPr>
                <w:rFonts w:ascii="仿宋" w:eastAsia="仿宋" w:hAnsi="仿宋" w:cs="方正书宋简体"/>
                <w:color w:val="000000"/>
                <w:kern w:val="0"/>
                <w:sz w:val="24"/>
              </w:rPr>
              <w:t>提交</w:t>
            </w:r>
          </w:p>
        </w:tc>
        <w:tc>
          <w:tcPr>
            <w:tcW w:w="1842" w:type="dxa"/>
            <w:shd w:val="clear" w:color="auto" w:fill="FFFFFF"/>
            <w:vAlign w:val="center"/>
          </w:tcPr>
          <w:p w:rsidR="00013EC7" w:rsidRDefault="00575CDB">
            <w:pPr>
              <w:widowControl/>
              <w:jc w:val="left"/>
              <w:textAlignment w:val="center"/>
              <w:rPr>
                <w:rFonts w:ascii="仿宋" w:eastAsia="仿宋" w:hAnsi="仿宋" w:cs="宋体"/>
                <w:color w:val="000000"/>
                <w:sz w:val="24"/>
              </w:rPr>
            </w:pPr>
            <w:r>
              <w:rPr>
                <w:rFonts w:ascii="仿宋" w:eastAsia="仿宋" w:hAnsi="仿宋" w:cs="宋体" w:hint="eastAsia"/>
                <w:color w:val="000000"/>
                <w:kern w:val="0"/>
                <w:sz w:val="24"/>
              </w:rPr>
              <w:t>（一）《委托银行代缴税款四方协议》或《委托划转税款协议书》1份。</w:t>
            </w:r>
          </w:p>
        </w:tc>
        <w:tc>
          <w:tcPr>
            <w:tcW w:w="1985" w:type="dxa"/>
            <w:vAlign w:val="center"/>
          </w:tcPr>
          <w:p w:rsidR="00013EC7" w:rsidRDefault="00575CDB">
            <w:pPr>
              <w:widowControl/>
              <w:jc w:val="left"/>
              <w:textAlignment w:val="center"/>
              <w:rPr>
                <w:rFonts w:ascii="仿宋" w:eastAsia="仿宋" w:hAnsi="仿宋" w:cs="方正书宋简体"/>
                <w:color w:val="000000"/>
                <w:sz w:val="24"/>
              </w:rPr>
            </w:pPr>
            <w:r>
              <w:rPr>
                <w:rFonts w:ascii="仿宋" w:eastAsia="仿宋" w:hAnsi="仿宋" w:cs="方正书宋简体" w:hint="eastAsia"/>
                <w:color w:val="000000"/>
                <w:kern w:val="0"/>
                <w:sz w:val="24"/>
              </w:rPr>
              <w:t>纳税人</w:t>
            </w:r>
            <w:r>
              <w:rPr>
                <w:rFonts w:ascii="仿宋" w:eastAsia="仿宋" w:hAnsi="仿宋" w:cs="方正书宋简体"/>
                <w:color w:val="000000"/>
                <w:kern w:val="0"/>
                <w:sz w:val="24"/>
              </w:rPr>
              <w:t>提交</w:t>
            </w:r>
          </w:p>
        </w:tc>
        <w:tc>
          <w:tcPr>
            <w:tcW w:w="3108" w:type="dxa"/>
            <w:vAlign w:val="center"/>
          </w:tcPr>
          <w:p w:rsidR="00013EC7" w:rsidRDefault="00575CDB">
            <w:pPr>
              <w:widowControl/>
              <w:jc w:val="left"/>
              <w:textAlignment w:val="center"/>
              <w:rPr>
                <w:rStyle w:val="font31"/>
                <w:rFonts w:ascii="仿宋" w:eastAsia="仿宋" w:hAnsi="仿宋" w:hint="default"/>
                <w:sz w:val="24"/>
              </w:rPr>
            </w:pPr>
            <w:r>
              <w:rPr>
                <w:rFonts w:ascii="仿宋" w:eastAsia="仿宋" w:hAnsi="仿宋" w:cs="仿宋" w:hint="eastAsia"/>
                <w:b/>
                <w:sz w:val="24"/>
              </w:rPr>
              <w:t>现场办理：</w:t>
            </w:r>
            <w:r>
              <w:rPr>
                <w:rFonts w:ascii="仿宋" w:eastAsia="仿宋" w:hAnsi="仿宋" w:cs="仿宋" w:hint="eastAsia"/>
                <w:sz w:val="24"/>
              </w:rPr>
              <w:t>纳税人提交书面材料。</w:t>
            </w:r>
          </w:p>
          <w:p w:rsidR="00013EC7" w:rsidRDefault="00575CDB">
            <w:pPr>
              <w:spacing w:line="300" w:lineRule="exact"/>
              <w:rPr>
                <w:rFonts w:ascii="仿宋" w:eastAsia="仿宋" w:hAnsi="仿宋" w:cs="仿宋"/>
                <w:sz w:val="24"/>
              </w:rPr>
            </w:pPr>
            <w:r>
              <w:rPr>
                <w:rFonts w:ascii="仿宋" w:eastAsia="仿宋" w:hAnsi="仿宋" w:cs="仿宋" w:hint="eastAsia"/>
                <w:b/>
                <w:sz w:val="24"/>
              </w:rPr>
              <w:t>网上办理：</w:t>
            </w:r>
            <w:r>
              <w:rPr>
                <w:rFonts w:ascii="仿宋" w:eastAsia="仿宋" w:hAnsi="仿宋" w:cs="仿宋" w:hint="eastAsia"/>
                <w:sz w:val="24"/>
              </w:rPr>
              <w:t>登录浙江国税电子税务局（网址：</w:t>
            </w:r>
            <w:hyperlink r:id="rId377" w:tgtFrame="https://wx.qq.com/_blank" w:history="1">
              <w:r>
                <w:rPr>
                  <w:rFonts w:ascii="仿宋" w:eastAsia="仿宋" w:hAnsi="仿宋" w:cs="仿宋" w:hint="eastAsia"/>
                  <w:sz w:val="24"/>
                </w:rPr>
                <w:t>http://etax.zjtax.gov.cn/</w:t>
              </w:r>
            </w:hyperlink>
            <w:r>
              <w:rPr>
                <w:rFonts w:ascii="仿宋" w:eastAsia="仿宋" w:hAnsi="仿宋" w:cs="仿宋" w:hint="eastAsia"/>
                <w:sz w:val="24"/>
              </w:rPr>
              <w:t>）提交申请。</w:t>
            </w:r>
          </w:p>
          <w:p w:rsidR="00013EC7" w:rsidRDefault="00575CDB">
            <w:pPr>
              <w:widowControl/>
              <w:jc w:val="left"/>
              <w:textAlignment w:val="center"/>
              <w:rPr>
                <w:rFonts w:ascii="仿宋" w:eastAsia="仿宋" w:hAnsi="仿宋" w:cs="宋体"/>
                <w:b/>
                <w:color w:val="000000"/>
                <w:sz w:val="24"/>
              </w:rPr>
            </w:pPr>
            <w:r>
              <w:rPr>
                <w:rStyle w:val="font31"/>
                <w:rFonts w:ascii="仿宋" w:eastAsia="仿宋" w:hAnsi="仿宋" w:hint="default"/>
                <w:sz w:val="24"/>
              </w:rPr>
              <w:t>注：</w:t>
            </w:r>
            <w:r>
              <w:rPr>
                <w:rFonts w:ascii="仿宋" w:eastAsia="仿宋" w:hAnsi="仿宋" w:cs="宋体" w:hint="eastAsia"/>
                <w:b/>
                <w:color w:val="000000"/>
                <w:sz w:val="24"/>
              </w:rPr>
              <w:t>浙江省国家税务局陆续与各大银行</w:t>
            </w:r>
            <w:r>
              <w:rPr>
                <w:rFonts w:ascii="仿宋" w:eastAsia="仿宋" w:hAnsi="仿宋" w:cs="宋体"/>
                <w:b/>
                <w:color w:val="000000"/>
                <w:sz w:val="24"/>
              </w:rPr>
              <w:t>开通网上电子三方协议验证功能，</w:t>
            </w:r>
            <w:r>
              <w:rPr>
                <w:rFonts w:ascii="仿宋" w:eastAsia="仿宋" w:hAnsi="仿宋" w:cs="宋体" w:hint="eastAsia"/>
                <w:b/>
                <w:color w:val="000000"/>
                <w:sz w:val="24"/>
              </w:rPr>
              <w:t>纳税人</w:t>
            </w:r>
            <w:r>
              <w:rPr>
                <w:rFonts w:ascii="仿宋" w:eastAsia="仿宋" w:hAnsi="仿宋" w:cs="宋体"/>
                <w:b/>
                <w:color w:val="000000"/>
                <w:sz w:val="24"/>
              </w:rPr>
              <w:t>可根据提示在网上自助进行银税验证，无须再去开户行营业部进行柜台验证，</w:t>
            </w:r>
            <w:r>
              <w:rPr>
                <w:rFonts w:ascii="仿宋" w:eastAsia="仿宋" w:hAnsi="仿宋" w:cs="宋体" w:hint="eastAsia"/>
                <w:b/>
                <w:color w:val="000000"/>
                <w:sz w:val="24"/>
              </w:rPr>
              <w:t>具体银行目录持续更新，详见浙江省国家税务局电子税务局</w:t>
            </w:r>
            <w:r>
              <w:rPr>
                <w:rFonts w:ascii="仿宋" w:eastAsia="仿宋" w:hAnsi="仿宋" w:cs="宋体"/>
                <w:b/>
                <w:color w:val="000000"/>
                <w:sz w:val="24"/>
              </w:rPr>
              <w:t>。</w:t>
            </w:r>
          </w:p>
          <w:p w:rsidR="00013EC7" w:rsidRDefault="00013EC7">
            <w:pPr>
              <w:widowControl/>
              <w:jc w:val="left"/>
              <w:textAlignment w:val="center"/>
              <w:rPr>
                <w:rFonts w:ascii="仿宋" w:eastAsia="仿宋" w:hAnsi="仿宋" w:cs="方正书宋简体"/>
                <w:color w:val="000000"/>
                <w:sz w:val="24"/>
              </w:rPr>
            </w:pPr>
          </w:p>
        </w:tc>
        <w:tc>
          <w:tcPr>
            <w:tcW w:w="693" w:type="dxa"/>
            <w:vAlign w:val="center"/>
          </w:tcPr>
          <w:p w:rsidR="00013EC7" w:rsidRDefault="00575CDB">
            <w:pPr>
              <w:widowControl/>
              <w:jc w:val="left"/>
              <w:textAlignment w:val="center"/>
              <w:rPr>
                <w:rFonts w:ascii="仿宋" w:eastAsia="仿宋" w:hAnsi="仿宋" w:cs="方正书宋简体"/>
                <w:color w:val="000000"/>
                <w:sz w:val="24"/>
              </w:rPr>
            </w:pPr>
            <w:r>
              <w:rPr>
                <w:rFonts w:ascii="仿宋" w:eastAsia="仿宋" w:hAnsi="仿宋" w:cs="方正书宋简体"/>
                <w:color w:val="000000"/>
                <w:kern w:val="0"/>
                <w:sz w:val="24"/>
              </w:rPr>
              <w:t>即时办结</w:t>
            </w:r>
          </w:p>
        </w:tc>
        <w:tc>
          <w:tcPr>
            <w:tcW w:w="693" w:type="dxa"/>
            <w:vAlign w:val="center"/>
          </w:tcPr>
          <w:p w:rsidR="00013EC7" w:rsidRDefault="00575CDB">
            <w:pPr>
              <w:widowControl/>
              <w:jc w:val="left"/>
              <w:textAlignment w:val="center"/>
              <w:rPr>
                <w:rFonts w:ascii="仿宋" w:eastAsia="仿宋" w:hAnsi="仿宋" w:cs="方正书宋简体"/>
                <w:color w:val="000000"/>
                <w:sz w:val="24"/>
              </w:rPr>
            </w:pPr>
            <w:r>
              <w:rPr>
                <w:rFonts w:ascii="仿宋" w:eastAsia="仿宋" w:hAnsi="仿宋" w:cs="方正书宋简体"/>
                <w:color w:val="000000"/>
                <w:kern w:val="0"/>
                <w:sz w:val="24"/>
              </w:rPr>
              <w:t>即时办结</w:t>
            </w:r>
          </w:p>
        </w:tc>
        <w:tc>
          <w:tcPr>
            <w:tcW w:w="1028" w:type="dxa"/>
            <w:vAlign w:val="center"/>
          </w:tcPr>
          <w:p w:rsidR="00013EC7" w:rsidRDefault="00575CDB">
            <w:pPr>
              <w:widowControl/>
              <w:jc w:val="left"/>
              <w:textAlignment w:val="center"/>
              <w:rPr>
                <w:rFonts w:ascii="仿宋" w:eastAsia="仿宋" w:hAnsi="仿宋" w:cs="方正书宋简体"/>
                <w:color w:val="000000"/>
                <w:sz w:val="24"/>
              </w:rPr>
            </w:pPr>
            <w:r>
              <w:rPr>
                <w:rFonts w:ascii="仿宋" w:eastAsia="仿宋" w:hAnsi="仿宋" w:cs="方正书宋简体"/>
                <w:color w:val="000000"/>
                <w:kern w:val="0"/>
                <w:sz w:val="24"/>
              </w:rPr>
              <w:t>是</w:t>
            </w:r>
          </w:p>
        </w:tc>
        <w:tc>
          <w:tcPr>
            <w:tcW w:w="1029" w:type="dxa"/>
            <w:vAlign w:val="center"/>
          </w:tcPr>
          <w:p w:rsidR="00013EC7" w:rsidRDefault="00575CDB">
            <w:pPr>
              <w:widowControl/>
              <w:jc w:val="left"/>
              <w:textAlignment w:val="center"/>
              <w:rPr>
                <w:rFonts w:ascii="仿宋" w:eastAsia="仿宋" w:hAnsi="仿宋" w:cs="宋体"/>
                <w:color w:val="000000"/>
                <w:sz w:val="24"/>
              </w:rPr>
            </w:pPr>
            <w:r>
              <w:rPr>
                <w:rFonts w:ascii="仿宋" w:eastAsia="仿宋" w:hAnsi="仿宋" w:cs="宋体" w:hint="eastAsia"/>
                <w:color w:val="000000"/>
                <w:kern w:val="0"/>
                <w:sz w:val="24"/>
              </w:rPr>
              <w:t>收入规划核算处</w:t>
            </w:r>
          </w:p>
        </w:tc>
        <w:tc>
          <w:tcPr>
            <w:tcW w:w="827" w:type="dxa"/>
            <w:vAlign w:val="center"/>
          </w:tcPr>
          <w:p w:rsidR="00013EC7" w:rsidRDefault="00013EC7">
            <w:pPr>
              <w:widowControl/>
              <w:jc w:val="left"/>
              <w:textAlignment w:val="center"/>
              <w:rPr>
                <w:rFonts w:ascii="仿宋" w:eastAsia="仿宋" w:hAnsi="仿宋" w:cs="方正书宋简体"/>
                <w:color w:val="000000"/>
                <w:sz w:val="24"/>
              </w:rPr>
            </w:pPr>
          </w:p>
        </w:tc>
      </w:tr>
    </w:tbl>
    <w:p w:rsidR="00013EC7" w:rsidRDefault="00013EC7"/>
    <w:p w:rsidR="00013EC7" w:rsidRDefault="00013EC7"/>
    <w:p w:rsidR="00013EC7" w:rsidRDefault="00575CDB">
      <w:r>
        <w:rPr>
          <w:rFonts w:ascii="Calibri" w:hAnsi="Calibri"/>
          <w:noProof/>
          <w:szCs w:val="22"/>
        </w:rPr>
        <w:lastRenderedPageBreak/>
        <w:drawing>
          <wp:anchor distT="0" distB="0" distL="114300" distR="114300" simplePos="0" relativeHeight="251564032" behindDoc="0" locked="0" layoutInCell="1" allowOverlap="1">
            <wp:simplePos x="0" y="0"/>
            <wp:positionH relativeFrom="column">
              <wp:posOffset>7397115</wp:posOffset>
            </wp:positionH>
            <wp:positionV relativeFrom="page">
              <wp:posOffset>1322705</wp:posOffset>
            </wp:positionV>
            <wp:extent cx="5096510" cy="6823710"/>
            <wp:effectExtent l="0" t="0" r="0" b="0"/>
            <wp:wrapTopAndBottom/>
            <wp:docPr id="369" name="图片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 name="图片 369"/>
                    <pic:cNvPicPr>
                      <a:picLocks noChangeAspect="1" noChangeArrowheads="1"/>
                    </pic:cNvPicPr>
                  </pic:nvPicPr>
                  <pic:blipFill>
                    <a:blip r:embed="rId378">
                      <a:extLst>
                        <a:ext uri="{28A0092B-C50C-407E-A947-70E740481C1C}">
                          <a14:useLocalDpi xmlns:a14="http://schemas.microsoft.com/office/drawing/2010/main" val="0"/>
                        </a:ext>
                      </a:extLst>
                    </a:blip>
                    <a:srcRect/>
                    <a:stretch>
                      <a:fillRect/>
                    </a:stretch>
                  </pic:blipFill>
                  <pic:spPr>
                    <a:xfrm>
                      <a:off x="0" y="0"/>
                      <a:ext cx="5096510" cy="6823710"/>
                    </a:xfrm>
                    <a:prstGeom prst="rect">
                      <a:avLst/>
                    </a:prstGeom>
                    <a:noFill/>
                    <a:ln>
                      <a:noFill/>
                    </a:ln>
                  </pic:spPr>
                </pic:pic>
              </a:graphicData>
            </a:graphic>
          </wp:anchor>
        </w:drawing>
      </w:r>
      <w:r w:rsidR="005262E6">
        <w:rPr>
          <w:rFonts w:ascii="Calibri" w:hAnsi="Calibri"/>
          <w:szCs w:val="22"/>
        </w:rPr>
        <w:object w:dxaOrig="1440" w:dyaOrig="1440">
          <v:shape id="_x0000_s1392" type="#_x0000_t75" style="position:absolute;left:0;text-align:left;margin-left:-22.15pt;margin-top:94.3pt;width:479.8pt;height:534.45pt;z-index:251715584;mso-wrap-distance-top:0;mso-wrap-distance-bottom:0;mso-position-horizontal-relative:text;mso-position-vertical-relative:page;mso-width-relative:page;mso-height-relative:page">
            <v:imagedata r:id="rId379" o:title=""/>
            <w10:wrap type="topAndBottom" anchory="page"/>
          </v:shape>
          <o:OLEObject Type="Embed" ProgID="Visio.Drawing.11" ShapeID="_x0000_s1392" DrawAspect="Content" ObjectID="_1577296279" r:id="rId380"/>
        </w:object>
      </w:r>
    </w:p>
    <w:p w:rsidR="00013EC7" w:rsidRDefault="00013EC7"/>
    <w:p w:rsidR="00013EC7" w:rsidRDefault="00013EC7"/>
    <w:p w:rsidR="00013EC7" w:rsidRDefault="00013EC7"/>
    <w:p w:rsidR="00013EC7" w:rsidRDefault="00013EC7"/>
    <w:p w:rsidR="00013EC7" w:rsidRDefault="00013EC7"/>
    <w:p w:rsidR="00013EC7" w:rsidRDefault="00013EC7">
      <w:pPr>
        <w:jc w:val="left"/>
        <w:rPr>
          <w:rFonts w:ascii="宋体" w:hAnsi="宋体" w:cs="宋体"/>
          <w:bCs/>
          <w:sz w:val="28"/>
          <w:szCs w:val="28"/>
        </w:rPr>
        <w:sectPr w:rsidR="00013EC7">
          <w:pgSz w:w="23814" w:h="16840" w:orient="landscape"/>
          <w:pgMar w:top="1701" w:right="1843" w:bottom="1985" w:left="1843" w:header="851" w:footer="1701" w:gutter="0"/>
          <w:pgNumType w:fmt="numberInDash"/>
          <w:cols w:space="720"/>
          <w:docGrid w:type="lines" w:linePitch="312"/>
        </w:sectPr>
      </w:pPr>
    </w:p>
    <w:p w:rsidR="00013EC7" w:rsidRDefault="00575CDB">
      <w:pPr>
        <w:pStyle w:val="1"/>
      </w:pPr>
      <w:bookmarkStart w:id="448" w:name="_Toc7305"/>
      <w:bookmarkStart w:id="449" w:name="_Toc3817"/>
      <w:bookmarkStart w:id="450" w:name="_Toc6792"/>
      <w:bookmarkStart w:id="451" w:name="_Toc503467457"/>
      <w:r>
        <w:rPr>
          <w:rFonts w:hint="eastAsia"/>
        </w:rPr>
        <w:lastRenderedPageBreak/>
        <w:t>二十三、退（抵）税办理</w:t>
      </w:r>
      <w:bookmarkEnd w:id="448"/>
      <w:bookmarkEnd w:id="449"/>
      <w:bookmarkEnd w:id="450"/>
      <w:bookmarkEnd w:id="451"/>
    </w:p>
    <w:p w:rsidR="00013EC7" w:rsidRDefault="00575CDB">
      <w:pPr>
        <w:pStyle w:val="2"/>
      </w:pPr>
      <w:bookmarkStart w:id="452" w:name="_Toc3847"/>
      <w:bookmarkStart w:id="453" w:name="_Toc13797"/>
      <w:bookmarkStart w:id="454" w:name="_Toc26983"/>
      <w:bookmarkStart w:id="455" w:name="_Toc503467458"/>
      <w:r>
        <w:rPr>
          <w:rFonts w:hint="eastAsia"/>
        </w:rPr>
        <w:t>23.1</w:t>
      </w:r>
      <w:r>
        <w:rPr>
          <w:rFonts w:hint="eastAsia"/>
        </w:rPr>
        <w:t>误收多缴退抵税办理</w:t>
      </w:r>
      <w:bookmarkEnd w:id="452"/>
      <w:bookmarkEnd w:id="453"/>
      <w:bookmarkEnd w:id="454"/>
      <w:bookmarkEnd w:id="455"/>
    </w:p>
    <w:p w:rsidR="00013EC7" w:rsidRDefault="00575CDB">
      <w:pPr>
        <w:jc w:val="center"/>
        <w:rPr>
          <w:rFonts w:ascii="宋体" w:hAnsi="宋体" w:cs="宋体"/>
          <w:b/>
          <w:bCs/>
          <w:sz w:val="52"/>
          <w:szCs w:val="52"/>
        </w:rPr>
      </w:pPr>
      <w:r>
        <w:rPr>
          <w:rFonts w:ascii="宋体" w:hAnsi="宋体" w:cs="宋体" w:hint="eastAsia"/>
          <w:b/>
          <w:bCs/>
          <w:sz w:val="52"/>
          <w:szCs w:val="52"/>
        </w:rPr>
        <w:t>全省“最多跑一次”事项“八统一”梳理表</w:t>
      </w:r>
    </w:p>
    <w:tbl>
      <w:tblPr>
        <w:tblW w:w="20592"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746"/>
        <w:gridCol w:w="1151"/>
        <w:gridCol w:w="3727"/>
        <w:gridCol w:w="2256"/>
        <w:gridCol w:w="1432"/>
        <w:gridCol w:w="2566"/>
        <w:gridCol w:w="1418"/>
        <w:gridCol w:w="1590"/>
        <w:gridCol w:w="946"/>
        <w:gridCol w:w="946"/>
        <w:gridCol w:w="946"/>
        <w:gridCol w:w="1227"/>
        <w:gridCol w:w="1641"/>
      </w:tblGrid>
      <w:tr w:rsidR="00013EC7">
        <w:trPr>
          <w:trHeight w:val="340"/>
          <w:tblHeader/>
          <w:jc w:val="center"/>
        </w:trPr>
        <w:tc>
          <w:tcPr>
            <w:tcW w:w="746" w:type="dxa"/>
            <w:vMerge w:val="restart"/>
            <w:tcBorders>
              <w:top w:val="single" w:sz="8" w:space="0" w:color="auto"/>
              <w:left w:val="single" w:sz="8"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主项名称</w:t>
            </w:r>
          </w:p>
        </w:tc>
        <w:tc>
          <w:tcPr>
            <w:tcW w:w="1151" w:type="dxa"/>
            <w:vMerge w:val="restart"/>
            <w:tcBorders>
              <w:top w:val="single" w:sz="8"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子项名称</w:t>
            </w:r>
          </w:p>
        </w:tc>
        <w:tc>
          <w:tcPr>
            <w:tcW w:w="3727" w:type="dxa"/>
            <w:vMerge w:val="restart"/>
            <w:tcBorders>
              <w:top w:val="single" w:sz="8"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经办依据</w:t>
            </w:r>
          </w:p>
        </w:tc>
        <w:tc>
          <w:tcPr>
            <w:tcW w:w="3688" w:type="dxa"/>
            <w:gridSpan w:val="2"/>
            <w:tcBorders>
              <w:top w:val="single" w:sz="8"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原经办所需材料</w:t>
            </w:r>
          </w:p>
        </w:tc>
        <w:tc>
          <w:tcPr>
            <w:tcW w:w="5574" w:type="dxa"/>
            <w:gridSpan w:val="3"/>
            <w:tcBorders>
              <w:top w:val="single" w:sz="8"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精简后经办所需材料</w:t>
            </w:r>
          </w:p>
        </w:tc>
        <w:tc>
          <w:tcPr>
            <w:tcW w:w="1892" w:type="dxa"/>
            <w:gridSpan w:val="2"/>
            <w:tcBorders>
              <w:top w:val="single" w:sz="8"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办理时限</w:t>
            </w:r>
          </w:p>
        </w:tc>
        <w:tc>
          <w:tcPr>
            <w:tcW w:w="946" w:type="dxa"/>
            <w:vMerge w:val="restart"/>
            <w:tcBorders>
              <w:top w:val="single" w:sz="8"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是否实现跑零次</w:t>
            </w:r>
          </w:p>
        </w:tc>
        <w:tc>
          <w:tcPr>
            <w:tcW w:w="1227" w:type="dxa"/>
            <w:vMerge w:val="restart"/>
            <w:tcBorders>
              <w:top w:val="single" w:sz="8"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省厅对口</w:t>
            </w:r>
          </w:p>
          <w:p w:rsidR="00013EC7" w:rsidRDefault="00575CDB">
            <w:pPr>
              <w:spacing w:line="280" w:lineRule="exact"/>
              <w:jc w:val="center"/>
              <w:rPr>
                <w:rFonts w:ascii="黑体" w:eastAsia="黑体"/>
                <w:sz w:val="24"/>
              </w:rPr>
            </w:pPr>
            <w:r>
              <w:rPr>
                <w:rFonts w:ascii="黑体" w:eastAsia="黑体" w:hint="eastAsia"/>
                <w:sz w:val="24"/>
              </w:rPr>
              <w:t>指导处室</w:t>
            </w:r>
          </w:p>
          <w:p w:rsidR="00013EC7" w:rsidRDefault="00575CDB">
            <w:pPr>
              <w:spacing w:line="280" w:lineRule="exact"/>
              <w:jc w:val="center"/>
              <w:rPr>
                <w:rFonts w:ascii="黑体" w:eastAsia="黑体"/>
                <w:sz w:val="24"/>
              </w:rPr>
            </w:pPr>
            <w:r>
              <w:rPr>
                <w:rFonts w:ascii="黑体" w:eastAsia="黑体" w:hint="eastAsia"/>
                <w:sz w:val="24"/>
              </w:rPr>
              <w:t>（单位）</w:t>
            </w:r>
          </w:p>
        </w:tc>
        <w:tc>
          <w:tcPr>
            <w:tcW w:w="1641" w:type="dxa"/>
            <w:vMerge w:val="restart"/>
            <w:tcBorders>
              <w:top w:val="single" w:sz="8" w:space="0" w:color="auto"/>
              <w:left w:val="single" w:sz="4" w:space="0" w:color="auto"/>
              <w:bottom w:val="single" w:sz="4" w:space="0" w:color="auto"/>
              <w:right w:val="single" w:sz="8"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进一步精简、</w:t>
            </w:r>
          </w:p>
          <w:p w:rsidR="00013EC7" w:rsidRDefault="00575CDB">
            <w:pPr>
              <w:spacing w:line="280" w:lineRule="exact"/>
              <w:jc w:val="center"/>
              <w:rPr>
                <w:rFonts w:ascii="黑体" w:eastAsia="黑体"/>
                <w:sz w:val="24"/>
              </w:rPr>
            </w:pPr>
            <w:r>
              <w:rPr>
                <w:rFonts w:ascii="黑体" w:eastAsia="黑体" w:hint="eastAsia"/>
                <w:sz w:val="24"/>
              </w:rPr>
              <w:t>规范建议</w:t>
            </w:r>
          </w:p>
        </w:tc>
      </w:tr>
      <w:tr w:rsidR="00013EC7">
        <w:trPr>
          <w:trHeight w:val="340"/>
          <w:tblHeader/>
          <w:jc w:val="center"/>
        </w:trPr>
        <w:tc>
          <w:tcPr>
            <w:tcW w:w="746" w:type="dxa"/>
            <w:vMerge/>
            <w:tcBorders>
              <w:top w:val="single" w:sz="8" w:space="0" w:color="auto"/>
              <w:left w:val="single" w:sz="8" w:space="0" w:color="auto"/>
              <w:bottom w:val="single" w:sz="4" w:space="0" w:color="auto"/>
              <w:right w:val="single" w:sz="4" w:space="0" w:color="auto"/>
            </w:tcBorders>
            <w:vAlign w:val="center"/>
          </w:tcPr>
          <w:p w:rsidR="00013EC7" w:rsidRDefault="00013EC7">
            <w:pPr>
              <w:widowControl/>
              <w:jc w:val="left"/>
              <w:rPr>
                <w:rFonts w:ascii="黑体" w:eastAsia="黑体"/>
                <w:sz w:val="24"/>
              </w:rPr>
            </w:pPr>
          </w:p>
        </w:tc>
        <w:tc>
          <w:tcPr>
            <w:tcW w:w="1151" w:type="dxa"/>
            <w:vMerge/>
            <w:tcBorders>
              <w:top w:val="single" w:sz="8" w:space="0" w:color="auto"/>
              <w:left w:val="single" w:sz="4" w:space="0" w:color="auto"/>
              <w:bottom w:val="single" w:sz="4" w:space="0" w:color="auto"/>
              <w:right w:val="single" w:sz="4" w:space="0" w:color="auto"/>
            </w:tcBorders>
            <w:vAlign w:val="center"/>
          </w:tcPr>
          <w:p w:rsidR="00013EC7" w:rsidRDefault="00013EC7">
            <w:pPr>
              <w:widowControl/>
              <w:jc w:val="left"/>
              <w:rPr>
                <w:rFonts w:ascii="黑体" w:eastAsia="黑体"/>
                <w:sz w:val="24"/>
              </w:rPr>
            </w:pPr>
          </w:p>
        </w:tc>
        <w:tc>
          <w:tcPr>
            <w:tcW w:w="3727" w:type="dxa"/>
            <w:vMerge/>
            <w:tcBorders>
              <w:top w:val="single" w:sz="8" w:space="0" w:color="auto"/>
              <w:left w:val="single" w:sz="4" w:space="0" w:color="auto"/>
              <w:bottom w:val="single" w:sz="4" w:space="0" w:color="auto"/>
              <w:right w:val="single" w:sz="4" w:space="0" w:color="auto"/>
            </w:tcBorders>
            <w:vAlign w:val="center"/>
          </w:tcPr>
          <w:p w:rsidR="00013EC7" w:rsidRDefault="00013EC7">
            <w:pPr>
              <w:widowControl/>
              <w:jc w:val="left"/>
              <w:rPr>
                <w:rFonts w:ascii="黑体" w:eastAsia="黑体"/>
                <w:sz w:val="24"/>
              </w:rPr>
            </w:pPr>
          </w:p>
        </w:tc>
        <w:tc>
          <w:tcPr>
            <w:tcW w:w="2256"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432"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2566"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418"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1590"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办理方式及材料</w:t>
            </w:r>
          </w:p>
          <w:p w:rsidR="00013EC7" w:rsidRDefault="00575CDB">
            <w:pPr>
              <w:spacing w:line="280" w:lineRule="exact"/>
              <w:jc w:val="center"/>
              <w:rPr>
                <w:rFonts w:ascii="黑体" w:eastAsia="黑体"/>
                <w:sz w:val="24"/>
              </w:rPr>
            </w:pPr>
            <w:r>
              <w:rPr>
                <w:rFonts w:ascii="黑体" w:eastAsia="黑体" w:hint="eastAsia"/>
                <w:sz w:val="24"/>
              </w:rPr>
              <w:t>信息获取方式说明</w:t>
            </w:r>
          </w:p>
        </w:tc>
        <w:tc>
          <w:tcPr>
            <w:tcW w:w="946"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优化前</w:t>
            </w:r>
          </w:p>
        </w:tc>
        <w:tc>
          <w:tcPr>
            <w:tcW w:w="946"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优化后</w:t>
            </w:r>
          </w:p>
        </w:tc>
        <w:tc>
          <w:tcPr>
            <w:tcW w:w="946" w:type="dxa"/>
            <w:vMerge/>
            <w:tcBorders>
              <w:top w:val="single" w:sz="8" w:space="0" w:color="auto"/>
              <w:left w:val="single" w:sz="4" w:space="0" w:color="auto"/>
              <w:bottom w:val="single" w:sz="4" w:space="0" w:color="auto"/>
              <w:right w:val="single" w:sz="4" w:space="0" w:color="auto"/>
            </w:tcBorders>
            <w:vAlign w:val="center"/>
          </w:tcPr>
          <w:p w:rsidR="00013EC7" w:rsidRDefault="00013EC7">
            <w:pPr>
              <w:widowControl/>
              <w:jc w:val="left"/>
              <w:rPr>
                <w:rFonts w:ascii="黑体" w:eastAsia="黑体"/>
                <w:sz w:val="24"/>
              </w:rPr>
            </w:pPr>
          </w:p>
        </w:tc>
        <w:tc>
          <w:tcPr>
            <w:tcW w:w="1227" w:type="dxa"/>
            <w:vMerge/>
            <w:tcBorders>
              <w:top w:val="single" w:sz="8" w:space="0" w:color="auto"/>
              <w:left w:val="single" w:sz="4" w:space="0" w:color="auto"/>
              <w:bottom w:val="single" w:sz="4" w:space="0" w:color="auto"/>
              <w:right w:val="single" w:sz="4" w:space="0" w:color="auto"/>
            </w:tcBorders>
            <w:vAlign w:val="center"/>
          </w:tcPr>
          <w:p w:rsidR="00013EC7" w:rsidRDefault="00013EC7">
            <w:pPr>
              <w:widowControl/>
              <w:jc w:val="left"/>
              <w:rPr>
                <w:rFonts w:ascii="黑体" w:eastAsia="黑体"/>
                <w:sz w:val="24"/>
              </w:rPr>
            </w:pPr>
          </w:p>
        </w:tc>
        <w:tc>
          <w:tcPr>
            <w:tcW w:w="1641" w:type="dxa"/>
            <w:vMerge/>
            <w:tcBorders>
              <w:top w:val="single" w:sz="8" w:space="0" w:color="auto"/>
              <w:left w:val="single" w:sz="4" w:space="0" w:color="auto"/>
              <w:bottom w:val="single" w:sz="4" w:space="0" w:color="auto"/>
              <w:right w:val="single" w:sz="8" w:space="0" w:color="auto"/>
            </w:tcBorders>
            <w:vAlign w:val="center"/>
          </w:tcPr>
          <w:p w:rsidR="00013EC7" w:rsidRDefault="00013EC7">
            <w:pPr>
              <w:widowControl/>
              <w:jc w:val="left"/>
              <w:rPr>
                <w:rFonts w:ascii="黑体" w:eastAsia="黑体"/>
                <w:sz w:val="24"/>
              </w:rPr>
            </w:pPr>
          </w:p>
        </w:tc>
      </w:tr>
      <w:tr w:rsidR="00013EC7">
        <w:trPr>
          <w:trHeight w:val="2259"/>
          <w:jc w:val="center"/>
        </w:trPr>
        <w:tc>
          <w:tcPr>
            <w:tcW w:w="746" w:type="dxa"/>
            <w:vMerge w:val="restart"/>
            <w:tcBorders>
              <w:top w:val="single" w:sz="4" w:space="0" w:color="auto"/>
              <w:left w:val="single" w:sz="8" w:space="0" w:color="auto"/>
              <w:bottom w:val="single" w:sz="8" w:space="0" w:color="auto"/>
              <w:right w:val="single" w:sz="4" w:space="0" w:color="auto"/>
            </w:tcBorders>
            <w:vAlign w:val="center"/>
          </w:tcPr>
          <w:p w:rsidR="00013EC7" w:rsidRDefault="00575CDB">
            <w:pPr>
              <w:spacing w:line="300" w:lineRule="exact"/>
              <w:rPr>
                <w:rFonts w:eastAsia="方正书宋简体"/>
                <w:szCs w:val="21"/>
              </w:rPr>
            </w:pPr>
            <w:r>
              <w:rPr>
                <w:rFonts w:ascii="仿宋" w:eastAsia="仿宋" w:hAnsi="仿宋" w:cs="仿宋" w:hint="eastAsia"/>
                <w:sz w:val="24"/>
              </w:rPr>
              <w:t>23.退（抵）税办理</w:t>
            </w:r>
          </w:p>
        </w:tc>
        <w:tc>
          <w:tcPr>
            <w:tcW w:w="1151" w:type="dxa"/>
            <w:vMerge w:val="restart"/>
            <w:tcBorders>
              <w:top w:val="single" w:sz="4" w:space="0" w:color="auto"/>
              <w:left w:val="single" w:sz="4" w:space="0" w:color="auto"/>
              <w:bottom w:val="single" w:sz="8" w:space="0" w:color="auto"/>
              <w:right w:val="single" w:sz="4" w:space="0" w:color="auto"/>
            </w:tcBorders>
            <w:vAlign w:val="center"/>
          </w:tcPr>
          <w:p w:rsidR="00013EC7" w:rsidRDefault="00575CDB">
            <w:pPr>
              <w:spacing w:line="310" w:lineRule="exact"/>
              <w:rPr>
                <w:rFonts w:ascii="仿宋" w:eastAsia="仿宋" w:hAnsi="仿宋" w:cs="仿宋"/>
                <w:sz w:val="24"/>
              </w:rPr>
            </w:pPr>
            <w:r>
              <w:rPr>
                <w:rFonts w:ascii="仿宋" w:eastAsia="仿宋" w:hAnsi="仿宋" w:cs="仿宋" w:hint="eastAsia"/>
                <w:sz w:val="24"/>
              </w:rPr>
              <w:t>23.1误收多缴退抵税办理</w:t>
            </w:r>
          </w:p>
        </w:tc>
        <w:tc>
          <w:tcPr>
            <w:tcW w:w="3727" w:type="dxa"/>
            <w:vMerge w:val="restart"/>
            <w:tcBorders>
              <w:top w:val="single" w:sz="4" w:space="0" w:color="auto"/>
              <w:left w:val="single" w:sz="4" w:space="0" w:color="auto"/>
              <w:bottom w:val="single" w:sz="8" w:space="0" w:color="auto"/>
              <w:right w:val="single" w:sz="4" w:space="0" w:color="auto"/>
            </w:tcBorders>
            <w:vAlign w:val="center"/>
          </w:tcPr>
          <w:p w:rsidR="00013EC7" w:rsidRDefault="00575CDB">
            <w:pPr>
              <w:rPr>
                <w:rFonts w:ascii="仿宋" w:eastAsia="仿宋" w:hAnsi="仿宋" w:cs="仿宋"/>
                <w:sz w:val="24"/>
              </w:rPr>
            </w:pPr>
            <w:r>
              <w:rPr>
                <w:rFonts w:ascii="仿宋" w:eastAsia="仿宋" w:hAnsi="仿宋" w:cs="仿宋" w:hint="eastAsia"/>
                <w:sz w:val="24"/>
              </w:rPr>
              <w:t xml:space="preserve">(一)《中华人民共和国税收征收管理法》（2001年中华人民共和国主席令第49号）第五十一条。 </w:t>
            </w:r>
          </w:p>
          <w:p w:rsidR="00013EC7" w:rsidRDefault="00575CDB">
            <w:pPr>
              <w:rPr>
                <w:rFonts w:ascii="仿宋" w:eastAsia="仿宋" w:hAnsi="仿宋" w:cs="仿宋"/>
                <w:sz w:val="24"/>
              </w:rPr>
            </w:pPr>
            <w:r>
              <w:rPr>
                <w:rFonts w:ascii="仿宋" w:eastAsia="仿宋" w:hAnsi="仿宋" w:cs="仿宋" w:hint="eastAsia"/>
                <w:sz w:val="24"/>
              </w:rPr>
              <w:t>（二）《中华人民共和国税收征收管理法实施细则》（2002年中华人民共和国国务院令第362号）第七十八条、第七十九条。</w:t>
            </w:r>
          </w:p>
          <w:p w:rsidR="00013EC7" w:rsidRDefault="00575CDB">
            <w:pPr>
              <w:rPr>
                <w:rFonts w:ascii="仿宋" w:eastAsia="仿宋" w:hAnsi="仿宋" w:cs="仿宋"/>
                <w:sz w:val="24"/>
              </w:rPr>
            </w:pPr>
            <w:r>
              <w:rPr>
                <w:rFonts w:ascii="仿宋" w:eastAsia="仿宋" w:hAnsi="仿宋" w:cs="仿宋" w:hint="eastAsia"/>
                <w:sz w:val="24"/>
              </w:rPr>
              <w:t>（三）《税款缴库退库工作规程》（2014年国家税务总局令第31号）第三章。</w:t>
            </w:r>
          </w:p>
          <w:p w:rsidR="00013EC7" w:rsidRDefault="00575CDB">
            <w:pPr>
              <w:rPr>
                <w:rFonts w:ascii="仿宋" w:eastAsia="仿宋" w:hAnsi="仿宋" w:cs="仿宋"/>
                <w:sz w:val="24"/>
              </w:rPr>
            </w:pPr>
            <w:r>
              <w:rPr>
                <w:rFonts w:ascii="仿宋" w:eastAsia="仿宋" w:hAnsi="仿宋" w:cs="仿宋" w:hint="eastAsia"/>
                <w:sz w:val="24"/>
              </w:rPr>
              <w:t>（四）《国家税务总局关于应退税款抵扣欠缴税款有关问题的通知》（国税发〔2002〕150号）第一条、第二条、第三条、第四条。</w:t>
            </w:r>
          </w:p>
          <w:p w:rsidR="00013EC7" w:rsidRDefault="00575CDB">
            <w:pPr>
              <w:rPr>
                <w:rFonts w:ascii="仿宋" w:eastAsia="仿宋" w:hAnsi="仿宋" w:cs="仿宋"/>
                <w:sz w:val="24"/>
              </w:rPr>
            </w:pPr>
            <w:r>
              <w:rPr>
                <w:rFonts w:ascii="仿宋" w:eastAsia="仿宋" w:hAnsi="仿宋" w:cs="仿宋" w:hint="eastAsia"/>
                <w:sz w:val="24"/>
              </w:rPr>
              <w:t>（五）《国家税务总局关于严格执行税款退库办理制度的通知》（国税函〔2011〕19号）第三条。</w:t>
            </w:r>
          </w:p>
        </w:tc>
        <w:tc>
          <w:tcPr>
            <w:tcW w:w="2256" w:type="dxa"/>
            <w:tcBorders>
              <w:top w:val="single" w:sz="4" w:space="0" w:color="auto"/>
              <w:left w:val="single" w:sz="4" w:space="0" w:color="auto"/>
              <w:bottom w:val="single" w:sz="4" w:space="0" w:color="auto"/>
              <w:right w:val="single" w:sz="4" w:space="0" w:color="auto"/>
            </w:tcBorders>
            <w:vAlign w:val="center"/>
          </w:tcPr>
          <w:p w:rsidR="00013EC7" w:rsidRDefault="00575CDB">
            <w:pPr>
              <w:rPr>
                <w:rFonts w:ascii="宋体" w:hAnsi="宋体" w:cs="宋体"/>
                <w:szCs w:val="21"/>
              </w:rPr>
            </w:pPr>
            <w:r>
              <w:rPr>
                <w:rFonts w:ascii="仿宋" w:eastAsia="仿宋" w:hAnsi="仿宋" w:cs="仿宋" w:hint="eastAsia"/>
                <w:sz w:val="24"/>
              </w:rPr>
              <w:t>（一）（A07112）《退（抵）税申请表</w:t>
            </w:r>
            <w:r w:rsidR="00322F4E">
              <w:rPr>
                <w:rFonts w:ascii="仿宋" w:eastAsia="仿宋" w:hAnsi="仿宋" w:cs="仿宋" w:hint="eastAsia"/>
                <w:sz w:val="24"/>
              </w:rPr>
              <w:t>（</w:t>
            </w:r>
            <w:r w:rsidR="00322F4E">
              <w:rPr>
                <w:rFonts w:ascii="仿宋" w:eastAsia="仿宋" w:hAnsi="仿宋" w:cs="仿宋"/>
                <w:sz w:val="24"/>
              </w:rPr>
              <w:t>A</w:t>
            </w:r>
            <w:r w:rsidR="00322F4E">
              <w:rPr>
                <w:rFonts w:ascii="仿宋" w:eastAsia="仿宋" w:hAnsi="仿宋" w:cs="仿宋" w:hint="eastAsia"/>
                <w:sz w:val="24"/>
              </w:rPr>
              <w:t>）</w:t>
            </w:r>
            <w:r>
              <w:rPr>
                <w:rFonts w:ascii="仿宋" w:eastAsia="仿宋" w:hAnsi="仿宋" w:cs="仿宋" w:hint="eastAsia"/>
                <w:sz w:val="24"/>
              </w:rPr>
              <w:t>》</w:t>
            </w:r>
            <w:r>
              <w:rPr>
                <w:rFonts w:ascii="仿宋" w:eastAsia="仿宋" w:hAnsi="仿宋" w:cs="仿宋" w:hint="eastAsia"/>
                <w:sz w:val="24"/>
                <w:highlight w:val="lightGray"/>
              </w:rPr>
              <w:t>3份</w:t>
            </w:r>
            <w:r>
              <w:rPr>
                <w:rFonts w:ascii="仿宋" w:eastAsia="仿宋" w:hAnsi="仿宋" w:cs="仿宋" w:hint="eastAsia"/>
                <w:sz w:val="24"/>
              </w:rPr>
              <w:t>。</w:t>
            </w:r>
          </w:p>
        </w:tc>
        <w:tc>
          <w:tcPr>
            <w:tcW w:w="1432" w:type="dxa"/>
            <w:vMerge w:val="restart"/>
            <w:tcBorders>
              <w:top w:val="single" w:sz="4" w:space="0" w:color="auto"/>
              <w:left w:val="single" w:sz="4" w:space="0" w:color="auto"/>
              <w:bottom w:val="single" w:sz="8" w:space="0" w:color="auto"/>
              <w:right w:val="single" w:sz="4" w:space="0" w:color="auto"/>
            </w:tcBorders>
            <w:vAlign w:val="center"/>
          </w:tcPr>
          <w:p w:rsidR="00013EC7" w:rsidRDefault="00575CDB">
            <w:pPr>
              <w:spacing w:line="300" w:lineRule="exact"/>
              <w:rPr>
                <w:rFonts w:eastAsia="方正书宋简体"/>
                <w:szCs w:val="21"/>
              </w:rPr>
            </w:pPr>
            <w:r>
              <w:rPr>
                <w:rFonts w:ascii="仿宋" w:eastAsia="仿宋" w:hAnsi="仿宋" w:cs="仿宋" w:hint="eastAsia"/>
                <w:sz w:val="24"/>
              </w:rPr>
              <w:t>纳税人提交</w:t>
            </w:r>
          </w:p>
        </w:tc>
        <w:tc>
          <w:tcPr>
            <w:tcW w:w="2566" w:type="dxa"/>
            <w:tcBorders>
              <w:top w:val="single" w:sz="4" w:space="0" w:color="auto"/>
              <w:left w:val="single" w:sz="4" w:space="0" w:color="auto"/>
              <w:bottom w:val="single" w:sz="4" w:space="0" w:color="auto"/>
              <w:right w:val="single" w:sz="4" w:space="0" w:color="auto"/>
            </w:tcBorders>
            <w:vAlign w:val="center"/>
          </w:tcPr>
          <w:p w:rsidR="00013EC7" w:rsidRDefault="00575CDB">
            <w:pPr>
              <w:rPr>
                <w:rFonts w:ascii="宋体" w:hAnsi="宋体" w:cs="宋体"/>
                <w:szCs w:val="21"/>
              </w:rPr>
            </w:pPr>
            <w:r>
              <w:rPr>
                <w:rFonts w:ascii="仿宋" w:eastAsia="仿宋" w:hAnsi="仿宋" w:cs="仿宋" w:hint="eastAsia"/>
                <w:sz w:val="24"/>
              </w:rPr>
              <w:t>（一）（A07112）《退（抵）税申请表</w:t>
            </w:r>
            <w:r w:rsidR="00322F4E">
              <w:rPr>
                <w:rFonts w:ascii="仿宋" w:eastAsia="仿宋" w:hAnsi="仿宋" w:cs="仿宋" w:hint="eastAsia"/>
                <w:sz w:val="24"/>
              </w:rPr>
              <w:t>（</w:t>
            </w:r>
            <w:r w:rsidR="00322F4E">
              <w:rPr>
                <w:rFonts w:ascii="仿宋" w:eastAsia="仿宋" w:hAnsi="仿宋" w:cs="仿宋"/>
                <w:sz w:val="24"/>
              </w:rPr>
              <w:t>A</w:t>
            </w:r>
            <w:r w:rsidR="00322F4E">
              <w:rPr>
                <w:rFonts w:ascii="仿宋" w:eastAsia="仿宋" w:hAnsi="仿宋" w:cs="仿宋" w:hint="eastAsia"/>
                <w:sz w:val="24"/>
              </w:rPr>
              <w:t>）</w:t>
            </w:r>
            <w:r>
              <w:rPr>
                <w:rFonts w:ascii="仿宋" w:eastAsia="仿宋" w:hAnsi="仿宋" w:cs="仿宋" w:hint="eastAsia"/>
                <w:sz w:val="24"/>
              </w:rPr>
              <w:t>》2份。</w:t>
            </w:r>
          </w:p>
        </w:tc>
        <w:tc>
          <w:tcPr>
            <w:tcW w:w="1418" w:type="dxa"/>
            <w:vMerge w:val="restart"/>
            <w:tcBorders>
              <w:top w:val="single" w:sz="4" w:space="0" w:color="auto"/>
              <w:left w:val="single" w:sz="4" w:space="0" w:color="auto"/>
              <w:bottom w:val="single" w:sz="4" w:space="0" w:color="auto"/>
              <w:right w:val="single" w:sz="4" w:space="0" w:color="auto"/>
            </w:tcBorders>
            <w:vAlign w:val="center"/>
          </w:tcPr>
          <w:p w:rsidR="00013EC7" w:rsidRDefault="00575CDB">
            <w:pPr>
              <w:spacing w:line="300" w:lineRule="exact"/>
              <w:rPr>
                <w:rFonts w:eastAsia="方正书宋简体"/>
                <w:b/>
                <w:bCs/>
                <w:i/>
                <w:iCs/>
                <w:szCs w:val="21"/>
              </w:rPr>
            </w:pPr>
            <w:r>
              <w:rPr>
                <w:rFonts w:ascii="仿宋" w:eastAsia="仿宋" w:hAnsi="仿宋" w:cs="仿宋" w:hint="eastAsia"/>
                <w:sz w:val="24"/>
              </w:rPr>
              <w:t>纳税人提交</w:t>
            </w:r>
          </w:p>
        </w:tc>
        <w:tc>
          <w:tcPr>
            <w:tcW w:w="1590" w:type="dxa"/>
            <w:vMerge w:val="restart"/>
            <w:tcBorders>
              <w:top w:val="single" w:sz="4" w:space="0" w:color="auto"/>
              <w:left w:val="single" w:sz="4" w:space="0" w:color="auto"/>
              <w:bottom w:val="single" w:sz="4" w:space="0" w:color="auto"/>
              <w:right w:val="single" w:sz="4" w:space="0" w:color="auto"/>
            </w:tcBorders>
            <w:vAlign w:val="center"/>
          </w:tcPr>
          <w:p w:rsidR="00013EC7" w:rsidRDefault="00575CDB">
            <w:pPr>
              <w:spacing w:line="300" w:lineRule="exac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纳税人提交书面材料。</w:t>
            </w:r>
          </w:p>
          <w:p w:rsidR="00013EC7" w:rsidRDefault="00575CDB">
            <w:pPr>
              <w:spacing w:line="300" w:lineRule="exact"/>
              <w:rPr>
                <w:rFonts w:ascii="仿宋" w:eastAsia="仿宋" w:hAnsi="仿宋" w:cs="仿宋"/>
                <w:b/>
                <w:sz w:val="24"/>
              </w:rPr>
            </w:pPr>
            <w:r>
              <w:rPr>
                <w:rFonts w:ascii="仿宋" w:eastAsia="仿宋" w:hAnsi="仿宋" w:cs="仿宋" w:hint="eastAsia"/>
                <w:b/>
                <w:sz w:val="24"/>
              </w:rPr>
              <w:t>网上办理：</w:t>
            </w:r>
            <w:r>
              <w:rPr>
                <w:rFonts w:ascii="仿宋" w:eastAsia="仿宋" w:hAnsi="仿宋" w:cs="仿宋" w:hint="eastAsia"/>
                <w:sz w:val="24"/>
              </w:rPr>
              <w:t>登录浙江国税电子税务局（网址：</w:t>
            </w:r>
            <w:hyperlink r:id="rId381" w:tgtFrame="https://wx.qq.com/_blank" w:history="1">
              <w:r>
                <w:rPr>
                  <w:rFonts w:ascii="仿宋" w:eastAsia="仿宋" w:hAnsi="仿宋" w:cs="仿宋" w:hint="eastAsia"/>
                  <w:sz w:val="24"/>
                </w:rPr>
                <w:t>http://etax.zjtax.gov.cn/</w:t>
              </w:r>
            </w:hyperlink>
            <w:r>
              <w:rPr>
                <w:rFonts w:ascii="仿宋" w:eastAsia="仿宋" w:hAnsi="仿宋" w:cs="仿宋" w:hint="eastAsia"/>
                <w:sz w:val="24"/>
              </w:rPr>
              <w:t>）提交申请。</w:t>
            </w:r>
            <w:r>
              <w:rPr>
                <w:rFonts w:ascii="仿宋" w:eastAsia="仿宋" w:hAnsi="仿宋" w:hint="eastAsia"/>
                <w:b/>
                <w:sz w:val="24"/>
              </w:rPr>
              <w:t>APP办理：</w:t>
            </w:r>
            <w:r>
              <w:rPr>
                <w:rFonts w:ascii="仿宋" w:eastAsia="仿宋" w:hAnsi="仿宋" w:hint="eastAsia"/>
                <w:sz w:val="24"/>
              </w:rPr>
              <w:t>登录浙江国税APP提交申请。</w:t>
            </w:r>
          </w:p>
        </w:tc>
        <w:tc>
          <w:tcPr>
            <w:tcW w:w="946" w:type="dxa"/>
            <w:vMerge w:val="restart"/>
            <w:tcBorders>
              <w:top w:val="single" w:sz="4" w:space="0" w:color="auto"/>
              <w:left w:val="single" w:sz="4" w:space="0" w:color="auto"/>
              <w:bottom w:val="single" w:sz="8" w:space="0" w:color="auto"/>
              <w:right w:val="single" w:sz="4" w:space="0" w:color="auto"/>
            </w:tcBorders>
            <w:vAlign w:val="center"/>
          </w:tcPr>
          <w:p w:rsidR="00013EC7" w:rsidRDefault="00575CDB">
            <w:pPr>
              <w:spacing w:line="300" w:lineRule="exact"/>
              <w:rPr>
                <w:rFonts w:eastAsia="方正书宋简体"/>
                <w:szCs w:val="21"/>
              </w:rPr>
            </w:pPr>
            <w:r>
              <w:rPr>
                <w:rFonts w:ascii="仿宋" w:eastAsia="仿宋" w:hAnsi="仿宋" w:cs="仿宋" w:hint="eastAsia"/>
                <w:sz w:val="24"/>
              </w:rPr>
              <w:t>税务机关发现纳税人多缴税款的，应当立即核实应退税额、账户等相关情况，通知纳税人或扣缴义务人提交退税申请，自接到纳税人或扣缴义务人退税申请之日起 10日内办理退</w:t>
            </w:r>
            <w:r>
              <w:rPr>
                <w:rFonts w:ascii="仿宋" w:eastAsia="仿宋" w:hAnsi="仿宋" w:cs="仿宋" w:hint="eastAsia"/>
                <w:sz w:val="24"/>
              </w:rPr>
              <w:lastRenderedPageBreak/>
              <w:t>库手续。</w:t>
            </w:r>
            <w:r>
              <w:rPr>
                <w:rFonts w:ascii="仿宋" w:eastAsia="仿宋" w:hAnsi="仿宋" w:cs="仿宋" w:hint="eastAsia"/>
                <w:sz w:val="24"/>
                <w:highlight w:val="lightGray"/>
              </w:rPr>
              <w:t>其他多缴税款要求退还的</w:t>
            </w:r>
            <w:r>
              <w:rPr>
                <w:rFonts w:ascii="仿宋" w:eastAsia="仿宋" w:hAnsi="仿宋" w:cs="仿宋" w:hint="eastAsia"/>
                <w:sz w:val="24"/>
              </w:rPr>
              <w:t>，税务机关自接到纳税人或扣缴义务人退税申请之日起30日内查实并办理退库手续。</w:t>
            </w:r>
          </w:p>
        </w:tc>
        <w:tc>
          <w:tcPr>
            <w:tcW w:w="946" w:type="dxa"/>
            <w:vMerge w:val="restart"/>
            <w:tcBorders>
              <w:top w:val="single" w:sz="4" w:space="0" w:color="auto"/>
              <w:left w:val="single" w:sz="4" w:space="0" w:color="auto"/>
              <w:bottom w:val="single" w:sz="8" w:space="0" w:color="auto"/>
              <w:right w:val="single" w:sz="4" w:space="0" w:color="auto"/>
            </w:tcBorders>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lastRenderedPageBreak/>
              <w:t>税务机关发现纳税人多缴税款的，应当立即核实应退税额、账户等相关情况，通知纳税人或扣缴义务人提交退税申请，自接到纳税人或扣缴义务人退税申请之日起 10日内办理退</w:t>
            </w:r>
            <w:r>
              <w:rPr>
                <w:rFonts w:ascii="仿宋" w:eastAsia="仿宋" w:hAnsi="仿宋" w:cs="仿宋" w:hint="eastAsia"/>
                <w:sz w:val="24"/>
              </w:rPr>
              <w:lastRenderedPageBreak/>
              <w:t>库手续。纳税人或扣缴义务人发现多缴税款要求退还的，税务机关自接到纳税人或扣缴义务人退税申请之日起30日内查实并办理退库手续。</w:t>
            </w:r>
          </w:p>
          <w:p w:rsidR="00013EC7" w:rsidRDefault="00013EC7">
            <w:pPr>
              <w:spacing w:line="300" w:lineRule="exact"/>
              <w:rPr>
                <w:rFonts w:eastAsia="方正书宋简体"/>
                <w:szCs w:val="21"/>
              </w:rPr>
            </w:pPr>
          </w:p>
        </w:tc>
        <w:tc>
          <w:tcPr>
            <w:tcW w:w="946" w:type="dxa"/>
            <w:vMerge w:val="restart"/>
            <w:tcBorders>
              <w:top w:val="single" w:sz="4" w:space="0" w:color="auto"/>
              <w:left w:val="single" w:sz="4" w:space="0" w:color="auto"/>
              <w:bottom w:val="single" w:sz="8" w:space="0" w:color="auto"/>
              <w:right w:val="single" w:sz="4" w:space="0" w:color="auto"/>
            </w:tcBorders>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lastRenderedPageBreak/>
              <w:t>是</w:t>
            </w:r>
          </w:p>
        </w:tc>
        <w:tc>
          <w:tcPr>
            <w:tcW w:w="1227" w:type="dxa"/>
            <w:vMerge w:val="restart"/>
            <w:tcBorders>
              <w:top w:val="single" w:sz="4" w:space="0" w:color="auto"/>
              <w:left w:val="single" w:sz="4" w:space="0" w:color="auto"/>
              <w:bottom w:val="single" w:sz="8" w:space="0" w:color="auto"/>
              <w:right w:val="single" w:sz="4" w:space="0" w:color="auto"/>
            </w:tcBorders>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收入规划核算处、</w:t>
            </w:r>
          </w:p>
          <w:p w:rsidR="00013EC7" w:rsidRDefault="00575CDB">
            <w:pPr>
              <w:spacing w:line="300" w:lineRule="exact"/>
              <w:rPr>
                <w:rFonts w:ascii="仿宋" w:eastAsia="仿宋" w:hAnsi="仿宋" w:cs="仿宋"/>
                <w:sz w:val="24"/>
              </w:rPr>
            </w:pPr>
            <w:r>
              <w:rPr>
                <w:rFonts w:ascii="仿宋" w:eastAsia="仿宋" w:hAnsi="仿宋" w:cs="仿宋" w:hint="eastAsia"/>
                <w:sz w:val="24"/>
              </w:rPr>
              <w:t>货物劳务税处、</w:t>
            </w:r>
          </w:p>
          <w:p w:rsidR="00013EC7" w:rsidRDefault="00575CDB">
            <w:pPr>
              <w:spacing w:line="300" w:lineRule="exact"/>
              <w:rPr>
                <w:rFonts w:ascii="仿宋" w:eastAsia="仿宋" w:hAnsi="仿宋" w:cs="仿宋"/>
                <w:sz w:val="24"/>
              </w:rPr>
            </w:pPr>
            <w:r>
              <w:rPr>
                <w:rFonts w:ascii="仿宋" w:eastAsia="仿宋" w:hAnsi="仿宋" w:cs="仿宋" w:hint="eastAsia"/>
                <w:sz w:val="24"/>
              </w:rPr>
              <w:t>所得税处</w:t>
            </w:r>
          </w:p>
        </w:tc>
        <w:tc>
          <w:tcPr>
            <w:tcW w:w="1641" w:type="dxa"/>
            <w:vMerge w:val="restart"/>
            <w:tcBorders>
              <w:top w:val="single" w:sz="4" w:space="0" w:color="auto"/>
              <w:left w:val="single" w:sz="4" w:space="0" w:color="auto"/>
              <w:bottom w:val="single" w:sz="8" w:space="0" w:color="auto"/>
              <w:right w:val="single" w:sz="8" w:space="0" w:color="auto"/>
            </w:tcBorders>
            <w:vAlign w:val="center"/>
          </w:tcPr>
          <w:p w:rsidR="00013EC7" w:rsidRDefault="00013EC7">
            <w:pPr>
              <w:spacing w:line="300" w:lineRule="exact"/>
              <w:rPr>
                <w:rFonts w:eastAsia="方正书宋简体"/>
                <w:szCs w:val="21"/>
              </w:rPr>
            </w:pPr>
          </w:p>
        </w:tc>
      </w:tr>
      <w:tr w:rsidR="00013EC7">
        <w:trPr>
          <w:trHeight w:val="2396"/>
          <w:jc w:val="center"/>
        </w:trPr>
        <w:tc>
          <w:tcPr>
            <w:tcW w:w="746" w:type="dxa"/>
            <w:vMerge/>
            <w:tcBorders>
              <w:top w:val="single" w:sz="4" w:space="0" w:color="auto"/>
              <w:left w:val="single" w:sz="8" w:space="0" w:color="auto"/>
              <w:bottom w:val="single" w:sz="8" w:space="0" w:color="auto"/>
              <w:right w:val="single" w:sz="4" w:space="0" w:color="auto"/>
            </w:tcBorders>
            <w:vAlign w:val="center"/>
          </w:tcPr>
          <w:p w:rsidR="00013EC7" w:rsidRDefault="00013EC7">
            <w:pPr>
              <w:widowControl/>
              <w:jc w:val="left"/>
              <w:rPr>
                <w:rFonts w:eastAsia="方正书宋简体"/>
                <w:szCs w:val="21"/>
              </w:rPr>
            </w:pPr>
          </w:p>
        </w:tc>
        <w:tc>
          <w:tcPr>
            <w:tcW w:w="1151"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cs="仿宋"/>
                <w:sz w:val="24"/>
              </w:rPr>
            </w:pPr>
          </w:p>
        </w:tc>
        <w:tc>
          <w:tcPr>
            <w:tcW w:w="3727"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cs="仿宋"/>
                <w:sz w:val="24"/>
              </w:rPr>
            </w:pPr>
          </w:p>
        </w:tc>
        <w:tc>
          <w:tcPr>
            <w:tcW w:w="2256" w:type="dxa"/>
            <w:tcBorders>
              <w:top w:val="single" w:sz="4" w:space="0" w:color="auto"/>
              <w:left w:val="single" w:sz="4" w:space="0" w:color="auto"/>
              <w:bottom w:val="single" w:sz="4" w:space="0" w:color="auto"/>
              <w:right w:val="single" w:sz="4" w:space="0" w:color="auto"/>
            </w:tcBorders>
            <w:vAlign w:val="center"/>
          </w:tcPr>
          <w:p w:rsidR="00013EC7" w:rsidRDefault="00575CDB">
            <w:pPr>
              <w:rPr>
                <w:rFonts w:ascii="宋体" w:hAnsi="宋体" w:cs="宋体"/>
                <w:szCs w:val="21"/>
              </w:rPr>
            </w:pPr>
            <w:r>
              <w:rPr>
                <w:rFonts w:ascii="仿宋" w:eastAsia="仿宋" w:hAnsi="仿宋" w:cs="仿宋" w:hint="eastAsia"/>
                <w:sz w:val="24"/>
                <w:highlight w:val="lightGray"/>
              </w:rPr>
              <w:t>（二）多缴税费证明资料。</w:t>
            </w:r>
          </w:p>
        </w:tc>
        <w:tc>
          <w:tcPr>
            <w:tcW w:w="1432"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eastAsia="方正书宋简体"/>
                <w:szCs w:val="21"/>
              </w:rPr>
            </w:pPr>
          </w:p>
        </w:tc>
        <w:tc>
          <w:tcPr>
            <w:tcW w:w="2566" w:type="dxa"/>
            <w:tcBorders>
              <w:top w:val="single" w:sz="4" w:space="0" w:color="auto"/>
              <w:left w:val="single" w:sz="4" w:space="0" w:color="auto"/>
              <w:bottom w:val="single" w:sz="4" w:space="0" w:color="auto"/>
              <w:right w:val="single" w:sz="4" w:space="0" w:color="auto"/>
            </w:tcBorders>
            <w:vAlign w:val="center"/>
          </w:tcPr>
          <w:p w:rsidR="00013EC7" w:rsidRDefault="00575CDB">
            <w:pPr>
              <w:rPr>
                <w:rFonts w:ascii="宋体" w:hAnsi="宋体" w:cs="宋体"/>
                <w:szCs w:val="21"/>
              </w:rPr>
            </w:pPr>
            <w:r>
              <w:rPr>
                <w:rFonts w:ascii="仿宋" w:eastAsia="仿宋" w:hAnsi="仿宋" w:cs="仿宋" w:hint="eastAsia"/>
                <w:sz w:val="24"/>
              </w:rPr>
              <w:t>（二）多缴税费证明资料（根据实际情况提供，包括：减免税审批文书、纳税申报表、税务稽查结论、税务处理决定书、纳税评估文书、税务行政复议决定书、生效的法院判决书、增值税红字发票、税务机关认可的其他记载应退税款内容的资料）。</w:t>
            </w:r>
          </w:p>
        </w:tc>
        <w:tc>
          <w:tcPr>
            <w:tcW w:w="1418" w:type="dxa"/>
            <w:vMerge/>
            <w:tcBorders>
              <w:top w:val="single" w:sz="4" w:space="0" w:color="auto"/>
              <w:left w:val="single" w:sz="4" w:space="0" w:color="auto"/>
              <w:bottom w:val="single" w:sz="4" w:space="0" w:color="auto"/>
              <w:right w:val="single" w:sz="4" w:space="0" w:color="auto"/>
            </w:tcBorders>
            <w:vAlign w:val="center"/>
          </w:tcPr>
          <w:p w:rsidR="00013EC7" w:rsidRDefault="00013EC7">
            <w:pPr>
              <w:widowControl/>
              <w:jc w:val="left"/>
              <w:rPr>
                <w:rFonts w:eastAsia="方正书宋简体"/>
                <w:b/>
                <w:bCs/>
                <w:i/>
                <w:iCs/>
                <w:szCs w:val="21"/>
              </w:rPr>
            </w:pPr>
          </w:p>
        </w:tc>
        <w:tc>
          <w:tcPr>
            <w:tcW w:w="1590" w:type="dxa"/>
            <w:vMerge/>
            <w:tcBorders>
              <w:top w:val="single" w:sz="4" w:space="0" w:color="auto"/>
              <w:left w:val="single" w:sz="4" w:space="0" w:color="auto"/>
              <w:bottom w:val="single" w:sz="4" w:space="0" w:color="auto"/>
              <w:right w:val="single" w:sz="4" w:space="0" w:color="auto"/>
            </w:tcBorders>
            <w:vAlign w:val="center"/>
          </w:tcPr>
          <w:p w:rsidR="00013EC7" w:rsidRDefault="00013EC7">
            <w:pPr>
              <w:widowControl/>
              <w:jc w:val="left"/>
              <w:rPr>
                <w:rFonts w:ascii="仿宋" w:eastAsia="仿宋" w:hAnsi="仿宋" w:cs="仿宋"/>
                <w:b/>
                <w:sz w:val="24"/>
              </w:rPr>
            </w:pPr>
          </w:p>
        </w:tc>
        <w:tc>
          <w:tcPr>
            <w:tcW w:w="946"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eastAsia="方正书宋简体"/>
                <w:szCs w:val="21"/>
              </w:rPr>
            </w:pPr>
          </w:p>
        </w:tc>
        <w:tc>
          <w:tcPr>
            <w:tcW w:w="946"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eastAsia="方正书宋简体"/>
                <w:szCs w:val="21"/>
              </w:rPr>
            </w:pPr>
          </w:p>
        </w:tc>
        <w:tc>
          <w:tcPr>
            <w:tcW w:w="946"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cs="仿宋"/>
                <w:sz w:val="24"/>
              </w:rPr>
            </w:pPr>
          </w:p>
        </w:tc>
        <w:tc>
          <w:tcPr>
            <w:tcW w:w="1227"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cs="仿宋"/>
                <w:sz w:val="24"/>
              </w:rPr>
            </w:pPr>
          </w:p>
        </w:tc>
        <w:tc>
          <w:tcPr>
            <w:tcW w:w="1641" w:type="dxa"/>
            <w:vMerge/>
            <w:tcBorders>
              <w:top w:val="single" w:sz="4" w:space="0" w:color="auto"/>
              <w:left w:val="single" w:sz="4" w:space="0" w:color="auto"/>
              <w:bottom w:val="single" w:sz="8" w:space="0" w:color="auto"/>
              <w:right w:val="single" w:sz="8" w:space="0" w:color="auto"/>
            </w:tcBorders>
            <w:vAlign w:val="center"/>
          </w:tcPr>
          <w:p w:rsidR="00013EC7" w:rsidRDefault="00013EC7">
            <w:pPr>
              <w:widowControl/>
              <w:jc w:val="left"/>
              <w:rPr>
                <w:rFonts w:eastAsia="方正书宋简体"/>
                <w:szCs w:val="21"/>
              </w:rPr>
            </w:pPr>
          </w:p>
        </w:tc>
      </w:tr>
      <w:tr w:rsidR="00013EC7">
        <w:trPr>
          <w:trHeight w:val="2257"/>
          <w:jc w:val="center"/>
        </w:trPr>
        <w:tc>
          <w:tcPr>
            <w:tcW w:w="746" w:type="dxa"/>
            <w:vMerge/>
            <w:tcBorders>
              <w:top w:val="single" w:sz="4" w:space="0" w:color="auto"/>
              <w:left w:val="single" w:sz="8" w:space="0" w:color="auto"/>
              <w:bottom w:val="single" w:sz="8" w:space="0" w:color="auto"/>
              <w:right w:val="single" w:sz="4" w:space="0" w:color="auto"/>
            </w:tcBorders>
            <w:vAlign w:val="center"/>
          </w:tcPr>
          <w:p w:rsidR="00013EC7" w:rsidRDefault="00013EC7">
            <w:pPr>
              <w:widowControl/>
              <w:jc w:val="left"/>
              <w:rPr>
                <w:rFonts w:eastAsia="方正书宋简体"/>
                <w:szCs w:val="21"/>
              </w:rPr>
            </w:pPr>
          </w:p>
        </w:tc>
        <w:tc>
          <w:tcPr>
            <w:tcW w:w="1151"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cs="仿宋"/>
                <w:sz w:val="24"/>
              </w:rPr>
            </w:pPr>
          </w:p>
        </w:tc>
        <w:tc>
          <w:tcPr>
            <w:tcW w:w="3727"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cs="仿宋"/>
                <w:sz w:val="24"/>
              </w:rPr>
            </w:pPr>
          </w:p>
        </w:tc>
        <w:tc>
          <w:tcPr>
            <w:tcW w:w="2256" w:type="dxa"/>
            <w:tcBorders>
              <w:top w:val="single" w:sz="4" w:space="0" w:color="auto"/>
              <w:left w:val="single" w:sz="4" w:space="0" w:color="auto"/>
              <w:bottom w:val="single" w:sz="4" w:space="0" w:color="auto"/>
              <w:right w:val="single" w:sz="4" w:space="0" w:color="auto"/>
            </w:tcBorders>
            <w:vAlign w:val="center"/>
          </w:tcPr>
          <w:p w:rsidR="00013EC7" w:rsidRDefault="00575CDB">
            <w:pPr>
              <w:rPr>
                <w:rFonts w:ascii="宋体" w:hAnsi="宋体" w:cs="宋体"/>
                <w:szCs w:val="21"/>
              </w:rPr>
            </w:pPr>
            <w:r>
              <w:rPr>
                <w:rFonts w:ascii="仿宋" w:eastAsia="仿宋" w:hAnsi="仿宋" w:cs="仿宋" w:hint="eastAsia"/>
                <w:sz w:val="24"/>
                <w:highlight w:val="lightGray"/>
              </w:rPr>
              <w:t>（三）纳税人、扣缴义务人原完税（缴款）凭证复印件。</w:t>
            </w:r>
          </w:p>
        </w:tc>
        <w:tc>
          <w:tcPr>
            <w:tcW w:w="1432"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eastAsia="方正书宋简体"/>
                <w:szCs w:val="21"/>
              </w:rPr>
            </w:pPr>
          </w:p>
        </w:tc>
        <w:tc>
          <w:tcPr>
            <w:tcW w:w="2566" w:type="dxa"/>
            <w:tcBorders>
              <w:top w:val="single" w:sz="4" w:space="0" w:color="auto"/>
              <w:left w:val="single" w:sz="4" w:space="0" w:color="auto"/>
              <w:bottom w:val="single" w:sz="4" w:space="0" w:color="auto"/>
              <w:right w:val="single" w:sz="4" w:space="0" w:color="auto"/>
            </w:tcBorders>
            <w:vAlign w:val="center"/>
          </w:tcPr>
          <w:p w:rsidR="00013EC7" w:rsidRDefault="00575CDB">
            <w:pPr>
              <w:rPr>
                <w:rFonts w:ascii="宋体" w:hAnsi="宋体" w:cs="宋体"/>
                <w:b/>
                <w:szCs w:val="21"/>
              </w:rPr>
            </w:pPr>
            <w:r>
              <w:rPr>
                <w:rFonts w:ascii="仿宋" w:eastAsia="仿宋" w:hAnsi="仿宋" w:cs="仿宋" w:hint="eastAsia"/>
                <w:sz w:val="24"/>
              </w:rPr>
              <w:t>（三）纳税人、扣缴义务人原完税（缴款）凭证（纳税人无需提交，内部系统自动获取，但纳税人需备注原完税凭证号码）。</w:t>
            </w:r>
          </w:p>
        </w:tc>
        <w:tc>
          <w:tcPr>
            <w:tcW w:w="1418"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300" w:lineRule="exact"/>
              <w:rPr>
                <w:rFonts w:ascii="仿宋" w:eastAsia="仿宋" w:hAnsi="仿宋" w:cs="仿宋"/>
                <w:b/>
                <w:bCs/>
                <w:i/>
                <w:iCs/>
                <w:sz w:val="24"/>
              </w:rPr>
            </w:pPr>
            <w:r>
              <w:rPr>
                <w:rFonts w:ascii="仿宋" w:eastAsia="仿宋" w:hAnsi="仿宋" w:cs="仿宋" w:hint="eastAsia"/>
                <w:b/>
                <w:bCs/>
                <w:i/>
                <w:iCs/>
                <w:sz w:val="24"/>
              </w:rPr>
              <w:t>经办机构</w:t>
            </w:r>
          </w:p>
          <w:p w:rsidR="00013EC7" w:rsidRDefault="00575CDB">
            <w:pPr>
              <w:spacing w:line="300" w:lineRule="exact"/>
              <w:rPr>
                <w:rFonts w:eastAsia="方正书宋简体"/>
                <w:szCs w:val="21"/>
              </w:rPr>
            </w:pPr>
            <w:r>
              <w:rPr>
                <w:rFonts w:ascii="仿宋" w:eastAsia="仿宋" w:hAnsi="仿宋" w:cs="仿宋" w:hint="eastAsia"/>
                <w:b/>
                <w:bCs/>
                <w:i/>
                <w:iCs/>
                <w:sz w:val="24"/>
              </w:rPr>
              <w:t>自行获取</w:t>
            </w:r>
          </w:p>
        </w:tc>
        <w:tc>
          <w:tcPr>
            <w:tcW w:w="1590"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300" w:lineRule="exact"/>
              <w:rPr>
                <w:rFonts w:ascii="仿宋" w:eastAsia="仿宋" w:hAnsi="仿宋" w:cs="仿宋"/>
                <w:b/>
                <w:sz w:val="24"/>
              </w:rPr>
            </w:pPr>
            <w:r>
              <w:rPr>
                <w:rFonts w:ascii="仿宋" w:eastAsia="仿宋" w:hAnsi="仿宋" w:cs="仿宋" w:hint="eastAsia"/>
                <w:b/>
                <w:sz w:val="24"/>
              </w:rPr>
              <w:t>内部共享：</w:t>
            </w:r>
            <w:r>
              <w:rPr>
                <w:rFonts w:ascii="仿宋" w:eastAsia="仿宋" w:hAnsi="仿宋" w:cs="仿宋" w:hint="eastAsia"/>
                <w:sz w:val="24"/>
              </w:rPr>
              <w:t>内部共享获取相关信息。</w:t>
            </w:r>
          </w:p>
        </w:tc>
        <w:tc>
          <w:tcPr>
            <w:tcW w:w="946"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eastAsia="方正书宋简体"/>
                <w:szCs w:val="21"/>
              </w:rPr>
            </w:pPr>
          </w:p>
        </w:tc>
        <w:tc>
          <w:tcPr>
            <w:tcW w:w="946"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eastAsia="方正书宋简体"/>
                <w:szCs w:val="21"/>
              </w:rPr>
            </w:pPr>
          </w:p>
        </w:tc>
        <w:tc>
          <w:tcPr>
            <w:tcW w:w="946"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cs="仿宋"/>
                <w:sz w:val="24"/>
              </w:rPr>
            </w:pPr>
          </w:p>
        </w:tc>
        <w:tc>
          <w:tcPr>
            <w:tcW w:w="1227"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cs="仿宋"/>
                <w:sz w:val="24"/>
              </w:rPr>
            </w:pPr>
          </w:p>
        </w:tc>
        <w:tc>
          <w:tcPr>
            <w:tcW w:w="1641" w:type="dxa"/>
            <w:vMerge/>
            <w:tcBorders>
              <w:top w:val="single" w:sz="4" w:space="0" w:color="auto"/>
              <w:left w:val="single" w:sz="4" w:space="0" w:color="auto"/>
              <w:bottom w:val="single" w:sz="8" w:space="0" w:color="auto"/>
              <w:right w:val="single" w:sz="8" w:space="0" w:color="auto"/>
            </w:tcBorders>
            <w:vAlign w:val="center"/>
          </w:tcPr>
          <w:p w:rsidR="00013EC7" w:rsidRDefault="00013EC7">
            <w:pPr>
              <w:widowControl/>
              <w:jc w:val="left"/>
              <w:rPr>
                <w:rFonts w:eastAsia="方正书宋简体"/>
                <w:szCs w:val="21"/>
              </w:rPr>
            </w:pPr>
          </w:p>
        </w:tc>
      </w:tr>
      <w:tr w:rsidR="00013EC7">
        <w:trPr>
          <w:trHeight w:val="7810"/>
          <w:jc w:val="center"/>
        </w:trPr>
        <w:tc>
          <w:tcPr>
            <w:tcW w:w="746" w:type="dxa"/>
            <w:vMerge/>
            <w:tcBorders>
              <w:top w:val="single" w:sz="4" w:space="0" w:color="auto"/>
              <w:left w:val="single" w:sz="8" w:space="0" w:color="auto"/>
              <w:bottom w:val="single" w:sz="8" w:space="0" w:color="auto"/>
              <w:right w:val="single" w:sz="4" w:space="0" w:color="auto"/>
            </w:tcBorders>
            <w:vAlign w:val="center"/>
          </w:tcPr>
          <w:p w:rsidR="00013EC7" w:rsidRDefault="00013EC7">
            <w:pPr>
              <w:widowControl/>
              <w:jc w:val="left"/>
              <w:rPr>
                <w:rFonts w:eastAsia="方正书宋简体"/>
                <w:szCs w:val="21"/>
              </w:rPr>
            </w:pPr>
          </w:p>
        </w:tc>
        <w:tc>
          <w:tcPr>
            <w:tcW w:w="1151"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cs="仿宋"/>
                <w:sz w:val="24"/>
              </w:rPr>
            </w:pPr>
          </w:p>
        </w:tc>
        <w:tc>
          <w:tcPr>
            <w:tcW w:w="3727"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cs="仿宋"/>
                <w:sz w:val="24"/>
              </w:rPr>
            </w:pPr>
          </w:p>
        </w:tc>
        <w:tc>
          <w:tcPr>
            <w:tcW w:w="2256" w:type="dxa"/>
            <w:tcBorders>
              <w:top w:val="single" w:sz="4" w:space="0" w:color="auto"/>
              <w:left w:val="single" w:sz="4" w:space="0" w:color="auto"/>
              <w:bottom w:val="single" w:sz="8" w:space="0" w:color="auto"/>
              <w:right w:val="single" w:sz="4" w:space="0" w:color="auto"/>
            </w:tcBorders>
            <w:vAlign w:val="center"/>
          </w:tcPr>
          <w:p w:rsidR="00013EC7" w:rsidRDefault="00575CDB">
            <w:pPr>
              <w:rPr>
                <w:rFonts w:ascii="宋体" w:hAnsi="宋体" w:cs="宋体"/>
                <w:szCs w:val="21"/>
              </w:rPr>
            </w:pPr>
            <w:r>
              <w:rPr>
                <w:rFonts w:ascii="仿宋" w:eastAsia="仿宋" w:hAnsi="仿宋" w:cs="仿宋" w:hint="eastAsia"/>
                <w:sz w:val="24"/>
              </w:rPr>
              <w:t>（四）由于特殊情况不能退至纳税人、扣缴义务人原缴款账户的，纳税人、扣缴义务人在申请退税时应书面说明理由，</w:t>
            </w:r>
            <w:r>
              <w:rPr>
                <w:rFonts w:ascii="仿宋" w:eastAsia="仿宋" w:hAnsi="仿宋" w:cs="仿宋" w:hint="eastAsia"/>
                <w:sz w:val="24"/>
                <w:highlight w:val="lightGray"/>
              </w:rPr>
              <w:t>提交盖有相应银行业务章的企业账户冻结或注销证明</w:t>
            </w:r>
            <w:r>
              <w:rPr>
                <w:rFonts w:ascii="仿宋" w:eastAsia="仿宋" w:hAnsi="仿宋" w:cs="仿宋" w:hint="eastAsia"/>
                <w:sz w:val="24"/>
              </w:rPr>
              <w:t>。企业变更名称的税务登记证副本及银行证明。未开立基本户的银行证明。个人与企业的关系证明（退至个人账户），如税务登记证副本、个人身份证等，并指定接受退税的其他账户及接受退税单位（人）名称。</w:t>
            </w:r>
          </w:p>
        </w:tc>
        <w:tc>
          <w:tcPr>
            <w:tcW w:w="1432"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eastAsia="方正书宋简体"/>
                <w:szCs w:val="21"/>
              </w:rPr>
            </w:pPr>
          </w:p>
        </w:tc>
        <w:tc>
          <w:tcPr>
            <w:tcW w:w="2566" w:type="dxa"/>
            <w:tcBorders>
              <w:top w:val="single" w:sz="4" w:space="0" w:color="auto"/>
              <w:left w:val="single" w:sz="4" w:space="0" w:color="auto"/>
              <w:bottom w:val="single" w:sz="8" w:space="0" w:color="auto"/>
              <w:right w:val="single" w:sz="4" w:space="0" w:color="auto"/>
            </w:tcBorders>
            <w:vAlign w:val="center"/>
          </w:tcPr>
          <w:p w:rsidR="00013EC7" w:rsidRDefault="00575CDB">
            <w:pPr>
              <w:rPr>
                <w:rFonts w:eastAsia="方正书宋简体"/>
                <w:szCs w:val="21"/>
              </w:rPr>
            </w:pPr>
            <w:r>
              <w:rPr>
                <w:rFonts w:ascii="仿宋" w:eastAsia="仿宋" w:hAnsi="仿宋" w:cs="仿宋" w:hint="eastAsia"/>
                <w:sz w:val="24"/>
              </w:rPr>
              <w:t>（四）由于特殊情况不能退至纳税人、扣缴义务人原缴款账户的，纳税人、扣缴义务人在申请退税时应书面说明理由，提交证明资料（具体证明资料根据实际情况，如企业变更名称的营业执照及银行证明。未开立银行账户的银行证明。个人与企业的关系证明等），并指定接受退税的其他账户及接受退税单位（人）名称。</w:t>
            </w:r>
          </w:p>
        </w:tc>
        <w:tc>
          <w:tcPr>
            <w:tcW w:w="1418" w:type="dxa"/>
            <w:tcBorders>
              <w:top w:val="single" w:sz="4" w:space="0" w:color="auto"/>
              <w:left w:val="single" w:sz="4" w:space="0" w:color="auto"/>
              <w:bottom w:val="single" w:sz="8" w:space="0" w:color="auto"/>
              <w:right w:val="single" w:sz="4" w:space="0" w:color="auto"/>
            </w:tcBorders>
            <w:vAlign w:val="center"/>
          </w:tcPr>
          <w:p w:rsidR="00013EC7" w:rsidRDefault="00575CDB">
            <w:pPr>
              <w:spacing w:line="300" w:lineRule="exact"/>
              <w:rPr>
                <w:rFonts w:eastAsia="方正书宋简体"/>
                <w:b/>
                <w:bCs/>
                <w:i/>
                <w:iCs/>
                <w:szCs w:val="21"/>
              </w:rPr>
            </w:pPr>
            <w:r>
              <w:rPr>
                <w:rFonts w:ascii="仿宋" w:eastAsia="仿宋" w:hAnsi="仿宋" w:cs="仿宋" w:hint="eastAsia"/>
                <w:sz w:val="24"/>
              </w:rPr>
              <w:t>纳税人提交</w:t>
            </w:r>
          </w:p>
        </w:tc>
        <w:tc>
          <w:tcPr>
            <w:tcW w:w="1590" w:type="dxa"/>
            <w:tcBorders>
              <w:top w:val="single" w:sz="4" w:space="0" w:color="auto"/>
              <w:left w:val="single" w:sz="4" w:space="0" w:color="auto"/>
              <w:bottom w:val="single" w:sz="8" w:space="0" w:color="auto"/>
              <w:right w:val="single" w:sz="4" w:space="0" w:color="auto"/>
            </w:tcBorders>
            <w:vAlign w:val="center"/>
          </w:tcPr>
          <w:p w:rsidR="00013EC7" w:rsidRDefault="00575CDB">
            <w:pPr>
              <w:spacing w:line="300" w:lineRule="exac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纳税人提交书面材料。</w:t>
            </w:r>
          </w:p>
          <w:p w:rsidR="00013EC7" w:rsidRDefault="00575CDB">
            <w:pPr>
              <w:spacing w:line="300" w:lineRule="exact"/>
              <w:rPr>
                <w:rFonts w:ascii="仿宋" w:eastAsia="仿宋" w:hAnsi="仿宋" w:cs="仿宋"/>
                <w:b/>
                <w:sz w:val="24"/>
              </w:rPr>
            </w:pPr>
            <w:r>
              <w:rPr>
                <w:rFonts w:ascii="仿宋" w:eastAsia="仿宋" w:hAnsi="仿宋" w:cs="仿宋" w:hint="eastAsia"/>
                <w:b/>
                <w:sz w:val="24"/>
              </w:rPr>
              <w:t>网上办理：</w:t>
            </w:r>
            <w:r>
              <w:rPr>
                <w:rFonts w:ascii="仿宋" w:eastAsia="仿宋" w:hAnsi="仿宋" w:cs="仿宋" w:hint="eastAsia"/>
                <w:sz w:val="24"/>
              </w:rPr>
              <w:t>登录浙江国税电子税务局（网址：</w:t>
            </w:r>
            <w:hyperlink r:id="rId382" w:tgtFrame="https://wx.qq.com/_blank" w:history="1">
              <w:r>
                <w:rPr>
                  <w:rFonts w:ascii="仿宋" w:eastAsia="仿宋" w:hAnsi="仿宋" w:cs="仿宋" w:hint="eastAsia"/>
                  <w:sz w:val="24"/>
                </w:rPr>
                <w:t>http://etax.zjtax.gov.cn/</w:t>
              </w:r>
            </w:hyperlink>
            <w:r>
              <w:rPr>
                <w:rFonts w:ascii="仿宋" w:eastAsia="仿宋" w:hAnsi="仿宋" w:cs="仿宋" w:hint="eastAsia"/>
                <w:sz w:val="24"/>
              </w:rPr>
              <w:t>）提交申请。</w:t>
            </w:r>
            <w:r>
              <w:rPr>
                <w:rFonts w:ascii="仿宋" w:eastAsia="仿宋" w:hAnsi="仿宋" w:hint="eastAsia"/>
                <w:b/>
                <w:sz w:val="24"/>
              </w:rPr>
              <w:t>APP办理：</w:t>
            </w:r>
            <w:r>
              <w:rPr>
                <w:rFonts w:ascii="仿宋" w:eastAsia="仿宋" w:hAnsi="仿宋" w:hint="eastAsia"/>
                <w:sz w:val="24"/>
              </w:rPr>
              <w:t>登录浙江国税APP提交申请。</w:t>
            </w:r>
          </w:p>
        </w:tc>
        <w:tc>
          <w:tcPr>
            <w:tcW w:w="946"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eastAsia="方正书宋简体"/>
                <w:szCs w:val="21"/>
              </w:rPr>
            </w:pPr>
          </w:p>
        </w:tc>
        <w:tc>
          <w:tcPr>
            <w:tcW w:w="946"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eastAsia="方正书宋简体"/>
                <w:szCs w:val="21"/>
              </w:rPr>
            </w:pPr>
          </w:p>
        </w:tc>
        <w:tc>
          <w:tcPr>
            <w:tcW w:w="946"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cs="仿宋"/>
                <w:sz w:val="24"/>
              </w:rPr>
            </w:pPr>
          </w:p>
        </w:tc>
        <w:tc>
          <w:tcPr>
            <w:tcW w:w="1227"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cs="仿宋"/>
                <w:sz w:val="24"/>
              </w:rPr>
            </w:pPr>
          </w:p>
        </w:tc>
        <w:tc>
          <w:tcPr>
            <w:tcW w:w="1641" w:type="dxa"/>
            <w:vMerge/>
            <w:tcBorders>
              <w:top w:val="single" w:sz="4" w:space="0" w:color="auto"/>
              <w:left w:val="single" w:sz="4" w:space="0" w:color="auto"/>
              <w:bottom w:val="single" w:sz="8" w:space="0" w:color="auto"/>
              <w:right w:val="single" w:sz="8" w:space="0" w:color="auto"/>
            </w:tcBorders>
            <w:vAlign w:val="center"/>
          </w:tcPr>
          <w:p w:rsidR="00013EC7" w:rsidRDefault="00013EC7">
            <w:pPr>
              <w:widowControl/>
              <w:jc w:val="left"/>
              <w:rPr>
                <w:rFonts w:eastAsia="方正书宋简体"/>
                <w:szCs w:val="21"/>
              </w:rPr>
            </w:pPr>
          </w:p>
        </w:tc>
      </w:tr>
    </w:tbl>
    <w:p w:rsidR="00013EC7" w:rsidRDefault="005262E6">
      <w:r>
        <w:lastRenderedPageBreak/>
        <w:object w:dxaOrig="1440" w:dyaOrig="1440">
          <v:shape id="_x0000_s1395" type="#_x0000_t75" style="position:absolute;left:0;text-align:left;margin-left:524.65pt;margin-top:94.2pt;width:508pt;height:586.5pt;z-index:251722752;mso-wrap-distance-top:0;mso-wrap-distance-bottom:0;mso-position-horizontal-relative:text;mso-position-vertical-relative:page;mso-width-relative:page;mso-height-relative:page">
            <v:imagedata r:id="rId383" o:title=""/>
            <w10:wrap type="topAndBottom" anchory="page"/>
          </v:shape>
          <o:OLEObject Type="Embed" ProgID="Visio.Drawing.11" ShapeID="_x0000_s1395" DrawAspect="Content" ObjectID="_1577296280" r:id="rId384"/>
        </w:object>
      </w:r>
      <w:r>
        <w:object w:dxaOrig="1440" w:dyaOrig="1440">
          <v:shape id="_x0000_s1394" type="#_x0000_t75" style="position:absolute;left:0;text-align:left;margin-left:40.35pt;margin-top:100pt;width:404.5pt;height:577.5pt;z-index:251721728;mso-wrap-distance-top:0;mso-wrap-distance-bottom:0;mso-position-horizontal-relative:text;mso-position-vertical-relative:page;mso-width-relative:page;mso-height-relative:page">
            <v:imagedata r:id="rId385" o:title=""/>
            <w10:wrap type="topAndBottom" anchory="page"/>
          </v:shape>
          <o:OLEObject Type="Embed" ProgID="Visio.Drawing.11" ShapeID="_x0000_s1394" DrawAspect="Content" ObjectID="_1577296281" r:id="rId386"/>
        </w:object>
      </w:r>
    </w:p>
    <w:p w:rsidR="00013EC7" w:rsidRDefault="00013EC7"/>
    <w:p w:rsidR="00013EC7" w:rsidRDefault="00013EC7"/>
    <w:p w:rsidR="00013EC7" w:rsidRDefault="00013EC7">
      <w:pPr>
        <w:jc w:val="left"/>
        <w:rPr>
          <w:rFonts w:ascii="宋体" w:hAnsi="宋体" w:cs="宋体"/>
          <w:sz w:val="28"/>
          <w:szCs w:val="28"/>
        </w:rPr>
        <w:sectPr w:rsidR="00013EC7">
          <w:pgSz w:w="23814" w:h="16840" w:orient="landscape"/>
          <w:pgMar w:top="1701" w:right="1843" w:bottom="1985" w:left="1843" w:header="851" w:footer="1701" w:gutter="0"/>
          <w:pgNumType w:fmt="numberInDash"/>
          <w:cols w:space="720"/>
          <w:docGrid w:type="lines" w:linePitch="312"/>
        </w:sectPr>
      </w:pPr>
    </w:p>
    <w:p w:rsidR="00013EC7" w:rsidRDefault="00575CDB">
      <w:pPr>
        <w:pStyle w:val="2"/>
      </w:pPr>
      <w:bookmarkStart w:id="456" w:name="_Toc503467459"/>
      <w:bookmarkStart w:id="457" w:name="_Toc623"/>
      <w:bookmarkStart w:id="458" w:name="_Toc28457"/>
      <w:bookmarkStart w:id="459" w:name="_Toc18839"/>
      <w:r>
        <w:rPr>
          <w:rFonts w:hint="eastAsia"/>
        </w:rPr>
        <w:lastRenderedPageBreak/>
        <w:t>23.2</w:t>
      </w:r>
      <w:r>
        <w:rPr>
          <w:rFonts w:hint="eastAsia"/>
        </w:rPr>
        <w:t>汇算清缴结算多缴退抵税办理</w:t>
      </w:r>
      <w:bookmarkEnd w:id="456"/>
      <w:bookmarkEnd w:id="457"/>
      <w:bookmarkEnd w:id="458"/>
      <w:bookmarkEnd w:id="459"/>
    </w:p>
    <w:p w:rsidR="00013EC7" w:rsidRDefault="00575CDB">
      <w:pPr>
        <w:jc w:val="center"/>
        <w:rPr>
          <w:rFonts w:ascii="宋体" w:hAnsi="宋体" w:cs="宋体"/>
          <w:b/>
          <w:bCs/>
          <w:sz w:val="52"/>
          <w:szCs w:val="52"/>
        </w:rPr>
      </w:pPr>
      <w:r>
        <w:rPr>
          <w:rFonts w:ascii="宋体" w:hAnsi="宋体" w:cs="宋体" w:hint="eastAsia"/>
          <w:b/>
          <w:bCs/>
          <w:sz w:val="52"/>
          <w:szCs w:val="52"/>
        </w:rPr>
        <w:t>全省“最多跑一次”事项“八统一”梳理表</w:t>
      </w:r>
    </w:p>
    <w:tbl>
      <w:tblPr>
        <w:tblW w:w="20592"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746"/>
        <w:gridCol w:w="1151"/>
        <w:gridCol w:w="3727"/>
        <w:gridCol w:w="2256"/>
        <w:gridCol w:w="1432"/>
        <w:gridCol w:w="2708"/>
        <w:gridCol w:w="1276"/>
        <w:gridCol w:w="1590"/>
        <w:gridCol w:w="946"/>
        <w:gridCol w:w="946"/>
        <w:gridCol w:w="946"/>
        <w:gridCol w:w="1227"/>
        <w:gridCol w:w="1641"/>
      </w:tblGrid>
      <w:tr w:rsidR="00013EC7" w:rsidTr="00322F4E">
        <w:trPr>
          <w:trHeight w:val="340"/>
          <w:tblHeader/>
          <w:jc w:val="center"/>
        </w:trPr>
        <w:tc>
          <w:tcPr>
            <w:tcW w:w="746" w:type="dxa"/>
            <w:vMerge w:val="restart"/>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主项名称</w:t>
            </w:r>
          </w:p>
        </w:tc>
        <w:tc>
          <w:tcPr>
            <w:tcW w:w="1151" w:type="dxa"/>
            <w:vMerge w:val="restart"/>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子项名称</w:t>
            </w:r>
          </w:p>
        </w:tc>
        <w:tc>
          <w:tcPr>
            <w:tcW w:w="3727" w:type="dxa"/>
            <w:vMerge w:val="restart"/>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经办依据</w:t>
            </w:r>
          </w:p>
        </w:tc>
        <w:tc>
          <w:tcPr>
            <w:tcW w:w="3688" w:type="dxa"/>
            <w:gridSpan w:val="2"/>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原经办所需材料</w:t>
            </w:r>
          </w:p>
        </w:tc>
        <w:tc>
          <w:tcPr>
            <w:tcW w:w="5574" w:type="dxa"/>
            <w:gridSpan w:val="3"/>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精简后经办所需材料</w:t>
            </w:r>
          </w:p>
        </w:tc>
        <w:tc>
          <w:tcPr>
            <w:tcW w:w="1892" w:type="dxa"/>
            <w:gridSpan w:val="2"/>
            <w:tcBorders>
              <w:top w:val="single" w:sz="8"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办理时限</w:t>
            </w:r>
          </w:p>
        </w:tc>
        <w:tc>
          <w:tcPr>
            <w:tcW w:w="946" w:type="dxa"/>
            <w:vMerge w:val="restart"/>
            <w:tcBorders>
              <w:top w:val="single" w:sz="8"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是否实现跑零次</w:t>
            </w:r>
          </w:p>
        </w:tc>
        <w:tc>
          <w:tcPr>
            <w:tcW w:w="1227" w:type="dxa"/>
            <w:vMerge w:val="restart"/>
            <w:tcBorders>
              <w:top w:val="single" w:sz="8"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省厅对口</w:t>
            </w:r>
          </w:p>
          <w:p w:rsidR="00013EC7" w:rsidRDefault="00575CDB">
            <w:pPr>
              <w:spacing w:line="280" w:lineRule="exact"/>
              <w:jc w:val="center"/>
              <w:rPr>
                <w:rFonts w:ascii="黑体" w:eastAsia="黑体"/>
                <w:sz w:val="24"/>
              </w:rPr>
            </w:pPr>
            <w:r>
              <w:rPr>
                <w:rFonts w:ascii="黑体" w:eastAsia="黑体" w:hint="eastAsia"/>
                <w:sz w:val="24"/>
              </w:rPr>
              <w:t>指导处室</w:t>
            </w:r>
          </w:p>
          <w:p w:rsidR="00013EC7" w:rsidRDefault="00575CDB">
            <w:pPr>
              <w:spacing w:line="280" w:lineRule="exact"/>
              <w:jc w:val="center"/>
              <w:rPr>
                <w:rFonts w:ascii="黑体" w:eastAsia="黑体"/>
                <w:sz w:val="24"/>
              </w:rPr>
            </w:pPr>
            <w:r>
              <w:rPr>
                <w:rFonts w:ascii="黑体" w:eastAsia="黑体" w:hint="eastAsia"/>
                <w:sz w:val="24"/>
              </w:rPr>
              <w:t>（单位）</w:t>
            </w:r>
          </w:p>
        </w:tc>
        <w:tc>
          <w:tcPr>
            <w:tcW w:w="1641" w:type="dxa"/>
            <w:vMerge w:val="restart"/>
            <w:tcBorders>
              <w:top w:val="single" w:sz="8" w:space="0" w:color="auto"/>
              <w:left w:val="single" w:sz="4" w:space="0" w:color="auto"/>
              <w:bottom w:val="single" w:sz="4" w:space="0" w:color="auto"/>
              <w:right w:val="single" w:sz="8"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进一步精简、</w:t>
            </w:r>
          </w:p>
          <w:p w:rsidR="00013EC7" w:rsidRDefault="00575CDB">
            <w:pPr>
              <w:spacing w:line="280" w:lineRule="exact"/>
              <w:jc w:val="center"/>
              <w:rPr>
                <w:rFonts w:ascii="黑体" w:eastAsia="黑体"/>
                <w:sz w:val="24"/>
              </w:rPr>
            </w:pPr>
            <w:r>
              <w:rPr>
                <w:rFonts w:ascii="黑体" w:eastAsia="黑体" w:hint="eastAsia"/>
                <w:sz w:val="24"/>
              </w:rPr>
              <w:t>规范建议</w:t>
            </w:r>
          </w:p>
        </w:tc>
      </w:tr>
      <w:tr w:rsidR="00013EC7" w:rsidTr="00322F4E">
        <w:trPr>
          <w:trHeight w:val="340"/>
          <w:tblHeader/>
          <w:jc w:val="center"/>
        </w:trPr>
        <w:tc>
          <w:tcPr>
            <w:tcW w:w="746" w:type="dxa"/>
            <w:vMerge/>
            <w:tcBorders>
              <w:top w:val="single" w:sz="4" w:space="0" w:color="auto"/>
              <w:left w:val="single" w:sz="4" w:space="0" w:color="auto"/>
              <w:bottom w:val="single" w:sz="4" w:space="0" w:color="auto"/>
              <w:right w:val="single" w:sz="4" w:space="0" w:color="auto"/>
            </w:tcBorders>
            <w:vAlign w:val="center"/>
          </w:tcPr>
          <w:p w:rsidR="00013EC7" w:rsidRDefault="00013EC7">
            <w:pPr>
              <w:widowControl/>
              <w:jc w:val="left"/>
              <w:rPr>
                <w:rFonts w:ascii="黑体" w:eastAsia="黑体"/>
                <w:sz w:val="24"/>
              </w:rPr>
            </w:pPr>
          </w:p>
        </w:tc>
        <w:tc>
          <w:tcPr>
            <w:tcW w:w="1151" w:type="dxa"/>
            <w:vMerge/>
            <w:tcBorders>
              <w:top w:val="single" w:sz="4" w:space="0" w:color="auto"/>
              <w:left w:val="single" w:sz="4" w:space="0" w:color="auto"/>
              <w:bottom w:val="single" w:sz="4" w:space="0" w:color="auto"/>
              <w:right w:val="single" w:sz="4" w:space="0" w:color="auto"/>
            </w:tcBorders>
            <w:vAlign w:val="center"/>
          </w:tcPr>
          <w:p w:rsidR="00013EC7" w:rsidRDefault="00013EC7">
            <w:pPr>
              <w:widowControl/>
              <w:jc w:val="left"/>
              <w:rPr>
                <w:rFonts w:ascii="黑体" w:eastAsia="黑体"/>
                <w:sz w:val="24"/>
              </w:rPr>
            </w:pPr>
          </w:p>
        </w:tc>
        <w:tc>
          <w:tcPr>
            <w:tcW w:w="3727" w:type="dxa"/>
            <w:vMerge/>
            <w:tcBorders>
              <w:top w:val="single" w:sz="4" w:space="0" w:color="auto"/>
              <w:left w:val="single" w:sz="4" w:space="0" w:color="auto"/>
              <w:bottom w:val="single" w:sz="4" w:space="0" w:color="auto"/>
              <w:right w:val="single" w:sz="4" w:space="0" w:color="auto"/>
            </w:tcBorders>
            <w:vAlign w:val="center"/>
          </w:tcPr>
          <w:p w:rsidR="00013EC7" w:rsidRDefault="00013EC7">
            <w:pPr>
              <w:widowControl/>
              <w:jc w:val="left"/>
              <w:rPr>
                <w:rFonts w:ascii="黑体" w:eastAsia="黑体"/>
                <w:sz w:val="24"/>
              </w:rPr>
            </w:pPr>
          </w:p>
        </w:tc>
        <w:tc>
          <w:tcPr>
            <w:tcW w:w="2256"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432"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2708"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276"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1590"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办理方式及材料</w:t>
            </w:r>
          </w:p>
          <w:p w:rsidR="00013EC7" w:rsidRDefault="00575CDB">
            <w:pPr>
              <w:spacing w:line="280" w:lineRule="exact"/>
              <w:jc w:val="center"/>
              <w:rPr>
                <w:rFonts w:ascii="黑体" w:eastAsia="黑体"/>
                <w:sz w:val="24"/>
              </w:rPr>
            </w:pPr>
            <w:r>
              <w:rPr>
                <w:rFonts w:ascii="黑体" w:eastAsia="黑体" w:hint="eastAsia"/>
                <w:sz w:val="24"/>
              </w:rPr>
              <w:t>信息获取方式说明</w:t>
            </w:r>
          </w:p>
        </w:tc>
        <w:tc>
          <w:tcPr>
            <w:tcW w:w="946"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优化前</w:t>
            </w:r>
          </w:p>
        </w:tc>
        <w:tc>
          <w:tcPr>
            <w:tcW w:w="946"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优化后</w:t>
            </w:r>
          </w:p>
        </w:tc>
        <w:tc>
          <w:tcPr>
            <w:tcW w:w="946" w:type="dxa"/>
            <w:vMerge/>
            <w:tcBorders>
              <w:top w:val="single" w:sz="8" w:space="0" w:color="auto"/>
              <w:left w:val="single" w:sz="4" w:space="0" w:color="auto"/>
              <w:bottom w:val="single" w:sz="4" w:space="0" w:color="auto"/>
              <w:right w:val="single" w:sz="4" w:space="0" w:color="auto"/>
            </w:tcBorders>
            <w:vAlign w:val="center"/>
          </w:tcPr>
          <w:p w:rsidR="00013EC7" w:rsidRDefault="00013EC7">
            <w:pPr>
              <w:widowControl/>
              <w:jc w:val="left"/>
              <w:rPr>
                <w:rFonts w:ascii="黑体" w:eastAsia="黑体"/>
                <w:sz w:val="24"/>
              </w:rPr>
            </w:pPr>
          </w:p>
        </w:tc>
        <w:tc>
          <w:tcPr>
            <w:tcW w:w="1227" w:type="dxa"/>
            <w:vMerge/>
            <w:tcBorders>
              <w:top w:val="single" w:sz="8" w:space="0" w:color="auto"/>
              <w:left w:val="single" w:sz="4" w:space="0" w:color="auto"/>
              <w:bottom w:val="single" w:sz="4" w:space="0" w:color="auto"/>
              <w:right w:val="single" w:sz="4" w:space="0" w:color="auto"/>
            </w:tcBorders>
            <w:vAlign w:val="center"/>
          </w:tcPr>
          <w:p w:rsidR="00013EC7" w:rsidRDefault="00013EC7">
            <w:pPr>
              <w:widowControl/>
              <w:jc w:val="left"/>
              <w:rPr>
                <w:rFonts w:ascii="黑体" w:eastAsia="黑体"/>
                <w:sz w:val="24"/>
              </w:rPr>
            </w:pPr>
          </w:p>
        </w:tc>
        <w:tc>
          <w:tcPr>
            <w:tcW w:w="1641" w:type="dxa"/>
            <w:vMerge/>
            <w:tcBorders>
              <w:top w:val="single" w:sz="8" w:space="0" w:color="auto"/>
              <w:left w:val="single" w:sz="4" w:space="0" w:color="auto"/>
              <w:bottom w:val="single" w:sz="4" w:space="0" w:color="auto"/>
              <w:right w:val="single" w:sz="8" w:space="0" w:color="auto"/>
            </w:tcBorders>
            <w:vAlign w:val="center"/>
          </w:tcPr>
          <w:p w:rsidR="00013EC7" w:rsidRDefault="00013EC7">
            <w:pPr>
              <w:widowControl/>
              <w:jc w:val="left"/>
              <w:rPr>
                <w:rFonts w:ascii="黑体" w:eastAsia="黑体"/>
                <w:sz w:val="24"/>
              </w:rPr>
            </w:pPr>
          </w:p>
        </w:tc>
      </w:tr>
      <w:tr w:rsidR="00013EC7" w:rsidTr="00322F4E">
        <w:trPr>
          <w:trHeight w:val="2259"/>
          <w:jc w:val="center"/>
        </w:trPr>
        <w:tc>
          <w:tcPr>
            <w:tcW w:w="746" w:type="dxa"/>
            <w:vMerge w:val="restart"/>
            <w:tcBorders>
              <w:top w:val="single" w:sz="4" w:space="0" w:color="auto"/>
              <w:left w:val="single" w:sz="4" w:space="0" w:color="auto"/>
              <w:bottom w:val="single" w:sz="4" w:space="0" w:color="auto"/>
              <w:right w:val="single" w:sz="4" w:space="0" w:color="auto"/>
            </w:tcBorders>
            <w:vAlign w:val="center"/>
          </w:tcPr>
          <w:p w:rsidR="00013EC7" w:rsidRDefault="00575CDB">
            <w:pPr>
              <w:spacing w:line="300" w:lineRule="exact"/>
              <w:rPr>
                <w:rFonts w:eastAsia="方正书宋简体"/>
                <w:szCs w:val="21"/>
              </w:rPr>
            </w:pPr>
            <w:r>
              <w:rPr>
                <w:rFonts w:ascii="仿宋" w:eastAsia="仿宋" w:hAnsi="仿宋" w:cs="仿宋" w:hint="eastAsia"/>
                <w:sz w:val="24"/>
              </w:rPr>
              <w:t>23.退（抵）税办理</w:t>
            </w:r>
          </w:p>
        </w:tc>
        <w:tc>
          <w:tcPr>
            <w:tcW w:w="1151" w:type="dxa"/>
            <w:vMerge w:val="restart"/>
            <w:tcBorders>
              <w:top w:val="single" w:sz="4" w:space="0" w:color="auto"/>
              <w:left w:val="single" w:sz="4" w:space="0" w:color="auto"/>
              <w:bottom w:val="single" w:sz="4" w:space="0" w:color="auto"/>
              <w:right w:val="single" w:sz="4" w:space="0" w:color="auto"/>
            </w:tcBorders>
            <w:vAlign w:val="center"/>
          </w:tcPr>
          <w:p w:rsidR="00013EC7" w:rsidRDefault="00575CDB">
            <w:pPr>
              <w:spacing w:line="310" w:lineRule="exact"/>
              <w:rPr>
                <w:rFonts w:ascii="仿宋" w:eastAsia="仿宋" w:hAnsi="仿宋" w:cs="仿宋"/>
                <w:sz w:val="24"/>
              </w:rPr>
            </w:pPr>
            <w:r>
              <w:rPr>
                <w:rFonts w:ascii="仿宋" w:eastAsia="仿宋" w:hAnsi="仿宋" w:cs="仿宋" w:hint="eastAsia"/>
                <w:sz w:val="24"/>
              </w:rPr>
              <w:t>23.2汇算清缴结算多缴退抵税办理</w:t>
            </w:r>
          </w:p>
        </w:tc>
        <w:tc>
          <w:tcPr>
            <w:tcW w:w="3727" w:type="dxa"/>
            <w:vMerge w:val="restart"/>
            <w:tcBorders>
              <w:top w:val="single" w:sz="4" w:space="0" w:color="auto"/>
              <w:left w:val="single" w:sz="4" w:space="0" w:color="auto"/>
              <w:bottom w:val="single" w:sz="4" w:space="0" w:color="auto"/>
              <w:right w:val="single" w:sz="4" w:space="0" w:color="auto"/>
            </w:tcBorders>
            <w:vAlign w:val="center"/>
          </w:tcPr>
          <w:p w:rsidR="00013EC7" w:rsidRDefault="00575CDB">
            <w:pPr>
              <w:rPr>
                <w:rFonts w:ascii="仿宋" w:eastAsia="仿宋" w:hAnsi="仿宋" w:cs="仿宋"/>
                <w:sz w:val="24"/>
              </w:rPr>
            </w:pPr>
            <w:r>
              <w:rPr>
                <w:rFonts w:ascii="仿宋" w:eastAsia="仿宋" w:hAnsi="仿宋" w:cs="仿宋" w:hint="eastAsia"/>
                <w:sz w:val="24"/>
              </w:rPr>
              <w:t xml:space="preserve">(一)《中华人民共和国税收征收管理法》（2001年中华人民共和国主席令第49号）第五十一条。 </w:t>
            </w:r>
          </w:p>
          <w:p w:rsidR="00013EC7" w:rsidRDefault="00575CDB">
            <w:pPr>
              <w:rPr>
                <w:rFonts w:ascii="仿宋" w:eastAsia="仿宋" w:hAnsi="仿宋" w:cs="仿宋"/>
                <w:sz w:val="24"/>
              </w:rPr>
            </w:pPr>
            <w:r>
              <w:rPr>
                <w:rFonts w:ascii="仿宋" w:eastAsia="仿宋" w:hAnsi="仿宋" w:cs="仿宋" w:hint="eastAsia"/>
                <w:sz w:val="24"/>
              </w:rPr>
              <w:t>（二）《中华人民共和国税收征收管理法实施细则》（2002年中华人民共和国国务院令第362号）第七十八条、第七十九条。</w:t>
            </w:r>
          </w:p>
          <w:p w:rsidR="00013EC7" w:rsidRDefault="00575CDB">
            <w:pPr>
              <w:rPr>
                <w:rFonts w:ascii="仿宋" w:eastAsia="仿宋" w:hAnsi="仿宋" w:cs="仿宋"/>
                <w:sz w:val="24"/>
              </w:rPr>
            </w:pPr>
            <w:r>
              <w:rPr>
                <w:rFonts w:ascii="仿宋" w:eastAsia="仿宋" w:hAnsi="仿宋" w:cs="仿宋" w:hint="eastAsia"/>
                <w:sz w:val="24"/>
              </w:rPr>
              <w:t>（三）《税款缴库退库工作规程》（2014年国家税务总局令第31号）第三章。</w:t>
            </w:r>
          </w:p>
          <w:p w:rsidR="00013EC7" w:rsidRDefault="00575CDB">
            <w:pPr>
              <w:rPr>
                <w:rFonts w:ascii="仿宋" w:eastAsia="仿宋" w:hAnsi="仿宋" w:cs="仿宋"/>
                <w:sz w:val="24"/>
              </w:rPr>
            </w:pPr>
            <w:r>
              <w:rPr>
                <w:rFonts w:ascii="仿宋" w:eastAsia="仿宋" w:hAnsi="仿宋" w:cs="仿宋" w:hint="eastAsia"/>
                <w:sz w:val="24"/>
              </w:rPr>
              <w:t>（四）《国家税务总局关于应退税款抵扣欠缴税款有关问题的通知》（国税发〔2002〕150号）第一条、第二条、第三条、第四条。</w:t>
            </w:r>
          </w:p>
          <w:p w:rsidR="00013EC7" w:rsidRDefault="00575CDB">
            <w:pPr>
              <w:rPr>
                <w:rFonts w:ascii="仿宋" w:eastAsia="仿宋" w:hAnsi="仿宋" w:cs="仿宋"/>
                <w:sz w:val="24"/>
              </w:rPr>
            </w:pPr>
            <w:r>
              <w:rPr>
                <w:rFonts w:ascii="仿宋" w:eastAsia="仿宋" w:hAnsi="仿宋" w:cs="仿宋" w:hint="eastAsia"/>
                <w:sz w:val="24"/>
              </w:rPr>
              <w:t>（五）《国家税务总局关于严格执行税款退库办理制度的通知》（国税函〔2011〕19号）第三条。</w:t>
            </w:r>
          </w:p>
          <w:p w:rsidR="00013EC7" w:rsidRDefault="00575CDB">
            <w:pPr>
              <w:rPr>
                <w:rFonts w:ascii="仿宋" w:eastAsia="仿宋" w:hAnsi="仿宋" w:cs="仿宋"/>
                <w:sz w:val="24"/>
              </w:rPr>
            </w:pPr>
            <w:r>
              <w:rPr>
                <w:rFonts w:ascii="仿宋" w:eastAsia="仿宋" w:hAnsi="仿宋" w:cs="仿宋" w:hint="eastAsia"/>
                <w:sz w:val="24"/>
              </w:rPr>
              <w:t>（六）《财政部 国家税务总局关于继续执行小微企业增值税和营业税政策的通知》（财税〔2015〕96号）全文。</w:t>
            </w:r>
          </w:p>
          <w:p w:rsidR="00013EC7" w:rsidRDefault="00575CDB">
            <w:pPr>
              <w:rPr>
                <w:rFonts w:ascii="仿宋" w:eastAsia="仿宋" w:hAnsi="仿宋" w:cs="仿宋"/>
                <w:sz w:val="24"/>
              </w:rPr>
            </w:pPr>
            <w:r>
              <w:rPr>
                <w:rFonts w:ascii="仿宋" w:eastAsia="仿宋" w:hAnsi="仿宋" w:cs="仿宋" w:hint="eastAsia"/>
                <w:sz w:val="24"/>
              </w:rPr>
              <w:t>（七）《财政部 税务总局关于延续小微企业增值税政策的通知》（财税〔2017〕76号）全文。</w:t>
            </w:r>
          </w:p>
          <w:p w:rsidR="00013EC7" w:rsidRDefault="00575CDB">
            <w:pPr>
              <w:rPr>
                <w:rFonts w:ascii="仿宋" w:eastAsia="仿宋" w:hAnsi="仿宋" w:cs="仿宋"/>
                <w:sz w:val="24"/>
              </w:rPr>
            </w:pPr>
            <w:r>
              <w:rPr>
                <w:rFonts w:ascii="仿宋" w:eastAsia="仿宋" w:hAnsi="仿宋" w:cs="仿宋" w:hint="eastAsia"/>
                <w:sz w:val="24"/>
              </w:rPr>
              <w:t>（八）《国家税务总局关于印发&lt;企</w:t>
            </w:r>
            <w:r>
              <w:rPr>
                <w:rFonts w:ascii="仿宋" w:eastAsia="仿宋" w:hAnsi="仿宋" w:cs="仿宋" w:hint="eastAsia"/>
                <w:sz w:val="24"/>
              </w:rPr>
              <w:lastRenderedPageBreak/>
              <w:t>业所得税汇算清缴管理办法&gt;的通知》（国税发〔2009〕79号）第十一条。</w:t>
            </w:r>
          </w:p>
          <w:p w:rsidR="00013EC7" w:rsidRDefault="00575CDB">
            <w:pPr>
              <w:rPr>
                <w:rFonts w:ascii="仿宋" w:eastAsia="仿宋" w:hAnsi="仿宋" w:cs="仿宋"/>
                <w:sz w:val="24"/>
              </w:rPr>
            </w:pPr>
            <w:r>
              <w:rPr>
                <w:rFonts w:ascii="仿宋" w:eastAsia="仿宋" w:hAnsi="仿宋" w:cs="仿宋" w:hint="eastAsia"/>
                <w:sz w:val="24"/>
              </w:rPr>
              <w:t>（九）《国家税务总局关于印发〈增值税一般纳税人纳税辅导期管理办法〉的通知》（国税发〔2010〕40号）第十条。</w:t>
            </w:r>
          </w:p>
        </w:tc>
        <w:tc>
          <w:tcPr>
            <w:tcW w:w="2256" w:type="dxa"/>
            <w:tcBorders>
              <w:top w:val="single" w:sz="4" w:space="0" w:color="auto"/>
              <w:left w:val="single" w:sz="4" w:space="0" w:color="auto"/>
              <w:bottom w:val="single" w:sz="4" w:space="0" w:color="auto"/>
              <w:right w:val="single" w:sz="4" w:space="0" w:color="auto"/>
            </w:tcBorders>
            <w:vAlign w:val="center"/>
          </w:tcPr>
          <w:p w:rsidR="00013EC7" w:rsidRDefault="00575CDB">
            <w:pPr>
              <w:rPr>
                <w:rFonts w:ascii="宋体" w:hAnsi="宋体" w:cs="宋体"/>
                <w:szCs w:val="21"/>
              </w:rPr>
            </w:pPr>
            <w:r>
              <w:rPr>
                <w:rFonts w:ascii="仿宋" w:eastAsia="仿宋" w:hAnsi="仿宋" w:cs="仿宋" w:hint="eastAsia"/>
                <w:sz w:val="24"/>
              </w:rPr>
              <w:lastRenderedPageBreak/>
              <w:t>（一）（A07112）《退（抵）税申请表</w:t>
            </w:r>
            <w:r w:rsidR="00322F4E">
              <w:rPr>
                <w:rFonts w:ascii="仿宋" w:eastAsia="仿宋" w:hAnsi="仿宋" w:cs="仿宋" w:hint="eastAsia"/>
                <w:sz w:val="24"/>
              </w:rPr>
              <w:t>（</w:t>
            </w:r>
            <w:r w:rsidR="00322F4E">
              <w:rPr>
                <w:rFonts w:ascii="仿宋" w:eastAsia="仿宋" w:hAnsi="仿宋" w:cs="仿宋"/>
                <w:sz w:val="24"/>
              </w:rPr>
              <w:t>A</w:t>
            </w:r>
            <w:r w:rsidR="00322F4E">
              <w:rPr>
                <w:rFonts w:ascii="仿宋" w:eastAsia="仿宋" w:hAnsi="仿宋" w:cs="仿宋" w:hint="eastAsia"/>
                <w:sz w:val="24"/>
              </w:rPr>
              <w:t>）</w:t>
            </w:r>
            <w:r>
              <w:rPr>
                <w:rFonts w:ascii="仿宋" w:eastAsia="仿宋" w:hAnsi="仿宋" w:cs="仿宋" w:hint="eastAsia"/>
                <w:sz w:val="24"/>
              </w:rPr>
              <w:t>》</w:t>
            </w:r>
            <w:r>
              <w:rPr>
                <w:rFonts w:ascii="仿宋" w:eastAsia="仿宋" w:hAnsi="仿宋" w:cs="仿宋" w:hint="eastAsia"/>
                <w:sz w:val="24"/>
                <w:highlight w:val="lightGray"/>
              </w:rPr>
              <w:t>3份</w:t>
            </w:r>
            <w:r>
              <w:rPr>
                <w:rFonts w:ascii="仿宋" w:eastAsia="仿宋" w:hAnsi="仿宋" w:cs="仿宋" w:hint="eastAsia"/>
                <w:sz w:val="24"/>
              </w:rPr>
              <w:t>。</w:t>
            </w:r>
          </w:p>
        </w:tc>
        <w:tc>
          <w:tcPr>
            <w:tcW w:w="1432" w:type="dxa"/>
            <w:vMerge w:val="restart"/>
            <w:tcBorders>
              <w:top w:val="single" w:sz="4" w:space="0" w:color="auto"/>
              <w:left w:val="single" w:sz="4" w:space="0" w:color="auto"/>
              <w:bottom w:val="single" w:sz="4" w:space="0" w:color="auto"/>
              <w:right w:val="single" w:sz="4" w:space="0" w:color="auto"/>
            </w:tcBorders>
            <w:vAlign w:val="center"/>
          </w:tcPr>
          <w:p w:rsidR="00013EC7" w:rsidRDefault="00575CDB">
            <w:pPr>
              <w:spacing w:line="300" w:lineRule="exact"/>
              <w:rPr>
                <w:rFonts w:eastAsia="方正书宋简体"/>
                <w:szCs w:val="21"/>
              </w:rPr>
            </w:pPr>
            <w:r>
              <w:rPr>
                <w:rFonts w:ascii="仿宋" w:eastAsia="仿宋" w:hAnsi="仿宋" w:cs="仿宋" w:hint="eastAsia"/>
                <w:sz w:val="24"/>
              </w:rPr>
              <w:t>纳税人提交</w:t>
            </w:r>
          </w:p>
        </w:tc>
        <w:tc>
          <w:tcPr>
            <w:tcW w:w="2708" w:type="dxa"/>
            <w:tcBorders>
              <w:top w:val="single" w:sz="4" w:space="0" w:color="auto"/>
              <w:left w:val="single" w:sz="4" w:space="0" w:color="auto"/>
              <w:bottom w:val="single" w:sz="4" w:space="0" w:color="auto"/>
              <w:right w:val="single" w:sz="4" w:space="0" w:color="auto"/>
            </w:tcBorders>
            <w:vAlign w:val="center"/>
          </w:tcPr>
          <w:p w:rsidR="00013EC7" w:rsidRDefault="00575CDB">
            <w:pPr>
              <w:rPr>
                <w:rFonts w:ascii="宋体" w:hAnsi="宋体" w:cs="宋体"/>
                <w:szCs w:val="21"/>
              </w:rPr>
            </w:pPr>
            <w:r>
              <w:rPr>
                <w:rFonts w:ascii="仿宋" w:eastAsia="仿宋" w:hAnsi="仿宋" w:cs="仿宋" w:hint="eastAsia"/>
                <w:sz w:val="24"/>
              </w:rPr>
              <w:t>（一）（A07112）《退（抵）税申请表</w:t>
            </w:r>
            <w:r w:rsidR="00322F4E">
              <w:rPr>
                <w:rFonts w:ascii="仿宋" w:eastAsia="仿宋" w:hAnsi="仿宋" w:cs="仿宋" w:hint="eastAsia"/>
                <w:sz w:val="24"/>
              </w:rPr>
              <w:t>（</w:t>
            </w:r>
            <w:r w:rsidR="00322F4E">
              <w:rPr>
                <w:rFonts w:ascii="仿宋" w:eastAsia="仿宋" w:hAnsi="仿宋" w:cs="仿宋"/>
                <w:sz w:val="24"/>
              </w:rPr>
              <w:t>A</w:t>
            </w:r>
            <w:r w:rsidR="00322F4E">
              <w:rPr>
                <w:rFonts w:ascii="仿宋" w:eastAsia="仿宋" w:hAnsi="仿宋" w:cs="仿宋" w:hint="eastAsia"/>
                <w:sz w:val="24"/>
              </w:rPr>
              <w:t>）</w:t>
            </w:r>
            <w:r>
              <w:rPr>
                <w:rFonts w:ascii="仿宋" w:eastAsia="仿宋" w:hAnsi="仿宋" w:cs="仿宋" w:hint="eastAsia"/>
                <w:sz w:val="24"/>
              </w:rPr>
              <w:t>》2份。</w:t>
            </w:r>
          </w:p>
        </w:tc>
        <w:tc>
          <w:tcPr>
            <w:tcW w:w="1276" w:type="dxa"/>
            <w:vMerge w:val="restart"/>
            <w:tcBorders>
              <w:top w:val="single" w:sz="4" w:space="0" w:color="auto"/>
              <w:left w:val="single" w:sz="4" w:space="0" w:color="auto"/>
              <w:bottom w:val="single" w:sz="4" w:space="0" w:color="auto"/>
              <w:right w:val="single" w:sz="4" w:space="0" w:color="auto"/>
            </w:tcBorders>
            <w:vAlign w:val="center"/>
          </w:tcPr>
          <w:p w:rsidR="00013EC7" w:rsidRDefault="00575CDB">
            <w:pPr>
              <w:spacing w:line="300" w:lineRule="exact"/>
              <w:rPr>
                <w:rFonts w:eastAsia="方正书宋简体"/>
                <w:b/>
                <w:bCs/>
                <w:i/>
                <w:iCs/>
                <w:szCs w:val="21"/>
              </w:rPr>
            </w:pPr>
            <w:r>
              <w:rPr>
                <w:rFonts w:ascii="仿宋" w:eastAsia="仿宋" w:hAnsi="仿宋" w:cs="仿宋" w:hint="eastAsia"/>
                <w:sz w:val="24"/>
              </w:rPr>
              <w:t>纳税人提交</w:t>
            </w:r>
          </w:p>
        </w:tc>
        <w:tc>
          <w:tcPr>
            <w:tcW w:w="1590" w:type="dxa"/>
            <w:vMerge w:val="restart"/>
            <w:tcBorders>
              <w:top w:val="single" w:sz="4" w:space="0" w:color="auto"/>
              <w:left w:val="single" w:sz="4" w:space="0" w:color="auto"/>
              <w:bottom w:val="single" w:sz="4" w:space="0" w:color="auto"/>
              <w:right w:val="single" w:sz="4" w:space="0" w:color="auto"/>
            </w:tcBorders>
            <w:vAlign w:val="center"/>
          </w:tcPr>
          <w:p w:rsidR="00013EC7" w:rsidRDefault="00575CDB">
            <w:pPr>
              <w:spacing w:line="300" w:lineRule="exac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纳税人提交书面材料。</w:t>
            </w:r>
          </w:p>
          <w:p w:rsidR="00013EC7" w:rsidRDefault="00575CDB">
            <w:pPr>
              <w:spacing w:line="300" w:lineRule="exact"/>
              <w:rPr>
                <w:rFonts w:ascii="仿宋" w:eastAsia="仿宋" w:hAnsi="仿宋" w:cs="仿宋"/>
                <w:b/>
                <w:sz w:val="24"/>
              </w:rPr>
            </w:pPr>
            <w:r>
              <w:rPr>
                <w:rFonts w:ascii="仿宋" w:eastAsia="仿宋" w:hAnsi="仿宋" w:cs="仿宋" w:hint="eastAsia"/>
                <w:b/>
                <w:sz w:val="24"/>
              </w:rPr>
              <w:t>网上办理：</w:t>
            </w:r>
            <w:r>
              <w:rPr>
                <w:rFonts w:ascii="仿宋" w:eastAsia="仿宋" w:hAnsi="仿宋" w:cs="仿宋" w:hint="eastAsia"/>
                <w:sz w:val="24"/>
              </w:rPr>
              <w:t>登录浙江国税电子税务局（网址：</w:t>
            </w:r>
            <w:hyperlink r:id="rId387" w:tgtFrame="https://wx.qq.com/_blank" w:history="1">
              <w:r>
                <w:rPr>
                  <w:rFonts w:ascii="仿宋" w:eastAsia="仿宋" w:hAnsi="仿宋" w:cs="仿宋" w:hint="eastAsia"/>
                  <w:sz w:val="24"/>
                </w:rPr>
                <w:t>http://etax.zjtax.gov.cn/</w:t>
              </w:r>
            </w:hyperlink>
            <w:r>
              <w:rPr>
                <w:rFonts w:ascii="仿宋" w:eastAsia="仿宋" w:hAnsi="仿宋" w:cs="仿宋" w:hint="eastAsia"/>
                <w:sz w:val="24"/>
              </w:rPr>
              <w:t>）提交申请。</w:t>
            </w:r>
            <w:r>
              <w:rPr>
                <w:rFonts w:ascii="仿宋" w:eastAsia="仿宋" w:hAnsi="仿宋" w:hint="eastAsia"/>
                <w:b/>
                <w:sz w:val="24"/>
              </w:rPr>
              <w:t>APP办理：</w:t>
            </w:r>
            <w:r>
              <w:rPr>
                <w:rFonts w:ascii="仿宋" w:eastAsia="仿宋" w:hAnsi="仿宋" w:hint="eastAsia"/>
                <w:sz w:val="24"/>
              </w:rPr>
              <w:t>登录浙江国税APP提交申请。</w:t>
            </w:r>
          </w:p>
        </w:tc>
        <w:tc>
          <w:tcPr>
            <w:tcW w:w="946" w:type="dxa"/>
            <w:vMerge w:val="restart"/>
            <w:tcBorders>
              <w:top w:val="single" w:sz="4" w:space="0" w:color="auto"/>
              <w:left w:val="single" w:sz="4" w:space="0" w:color="auto"/>
              <w:bottom w:val="single" w:sz="8" w:space="0" w:color="auto"/>
              <w:right w:val="single" w:sz="4" w:space="0" w:color="auto"/>
            </w:tcBorders>
            <w:vAlign w:val="center"/>
          </w:tcPr>
          <w:p w:rsidR="00013EC7" w:rsidRDefault="00575CDB">
            <w:pPr>
              <w:spacing w:line="300" w:lineRule="exact"/>
              <w:rPr>
                <w:rFonts w:eastAsia="方正书宋简体"/>
                <w:szCs w:val="21"/>
              </w:rPr>
            </w:pPr>
            <w:r>
              <w:rPr>
                <w:rFonts w:ascii="仿宋" w:eastAsia="仿宋" w:hAnsi="仿宋" w:cs="仿宋" w:hint="eastAsia"/>
                <w:sz w:val="24"/>
              </w:rPr>
              <w:t>税务机关发现纳税人多缴税款的，应当立即核实应退税额、账户等相关情况，通知纳税人或扣缴义务人提交退税申请，自接到纳税人或扣缴义务人退税申请之日起 10日内办理退</w:t>
            </w:r>
            <w:r>
              <w:rPr>
                <w:rFonts w:ascii="仿宋" w:eastAsia="仿宋" w:hAnsi="仿宋" w:cs="仿宋" w:hint="eastAsia"/>
                <w:sz w:val="24"/>
              </w:rPr>
              <w:lastRenderedPageBreak/>
              <w:t>库手续。</w:t>
            </w:r>
            <w:r>
              <w:rPr>
                <w:rFonts w:ascii="仿宋" w:eastAsia="仿宋" w:hAnsi="仿宋" w:cs="仿宋" w:hint="eastAsia"/>
                <w:sz w:val="24"/>
                <w:highlight w:val="lightGray"/>
              </w:rPr>
              <w:t>其他多缴税款要求退还的</w:t>
            </w:r>
            <w:r>
              <w:rPr>
                <w:rFonts w:ascii="仿宋" w:eastAsia="仿宋" w:hAnsi="仿宋" w:cs="仿宋" w:hint="eastAsia"/>
                <w:sz w:val="24"/>
              </w:rPr>
              <w:t>，税务机关自接到纳税人或扣缴义务人退税申请之日起30日内查实并办理退库手续。</w:t>
            </w:r>
          </w:p>
        </w:tc>
        <w:tc>
          <w:tcPr>
            <w:tcW w:w="946" w:type="dxa"/>
            <w:vMerge w:val="restart"/>
            <w:tcBorders>
              <w:top w:val="single" w:sz="4" w:space="0" w:color="auto"/>
              <w:left w:val="single" w:sz="4" w:space="0" w:color="auto"/>
              <w:bottom w:val="single" w:sz="8" w:space="0" w:color="auto"/>
              <w:right w:val="single" w:sz="4" w:space="0" w:color="auto"/>
            </w:tcBorders>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lastRenderedPageBreak/>
              <w:t>税务机关发现纳税人多缴税款的，应当立即核实应退税额、账户等相关情况，通知纳税人或扣缴义务人提交退税申请，自接到纳税人或扣缴义务人退税申请之日起 10日内办理退</w:t>
            </w:r>
            <w:r>
              <w:rPr>
                <w:rFonts w:ascii="仿宋" w:eastAsia="仿宋" w:hAnsi="仿宋" w:cs="仿宋" w:hint="eastAsia"/>
                <w:sz w:val="24"/>
              </w:rPr>
              <w:lastRenderedPageBreak/>
              <w:t>库手续。纳税人或扣缴义务人发现多缴税款要求退还的，税务机关自接到纳税人或扣缴义务人退税申请之日起30日内查实并办理退库手续。</w:t>
            </w:r>
          </w:p>
          <w:p w:rsidR="00013EC7" w:rsidRDefault="00013EC7">
            <w:pPr>
              <w:spacing w:line="300" w:lineRule="exact"/>
              <w:rPr>
                <w:rFonts w:eastAsia="方正书宋简体"/>
                <w:szCs w:val="21"/>
              </w:rPr>
            </w:pPr>
          </w:p>
        </w:tc>
        <w:tc>
          <w:tcPr>
            <w:tcW w:w="946" w:type="dxa"/>
            <w:vMerge w:val="restart"/>
            <w:tcBorders>
              <w:top w:val="single" w:sz="4" w:space="0" w:color="auto"/>
              <w:left w:val="single" w:sz="4" w:space="0" w:color="auto"/>
              <w:bottom w:val="single" w:sz="8" w:space="0" w:color="auto"/>
              <w:right w:val="single" w:sz="4" w:space="0" w:color="auto"/>
            </w:tcBorders>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lastRenderedPageBreak/>
              <w:t>是</w:t>
            </w:r>
          </w:p>
        </w:tc>
        <w:tc>
          <w:tcPr>
            <w:tcW w:w="1227" w:type="dxa"/>
            <w:vMerge w:val="restart"/>
            <w:tcBorders>
              <w:top w:val="single" w:sz="4" w:space="0" w:color="auto"/>
              <w:left w:val="single" w:sz="4" w:space="0" w:color="auto"/>
              <w:bottom w:val="single" w:sz="8" w:space="0" w:color="auto"/>
              <w:right w:val="single" w:sz="4" w:space="0" w:color="auto"/>
            </w:tcBorders>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所得税处、收入规划核算处</w:t>
            </w:r>
          </w:p>
        </w:tc>
        <w:tc>
          <w:tcPr>
            <w:tcW w:w="1641" w:type="dxa"/>
            <w:vMerge w:val="restart"/>
            <w:tcBorders>
              <w:top w:val="single" w:sz="4" w:space="0" w:color="auto"/>
              <w:left w:val="single" w:sz="4" w:space="0" w:color="auto"/>
              <w:bottom w:val="single" w:sz="8" w:space="0" w:color="auto"/>
              <w:right w:val="single" w:sz="8" w:space="0" w:color="auto"/>
            </w:tcBorders>
            <w:vAlign w:val="center"/>
          </w:tcPr>
          <w:p w:rsidR="00013EC7" w:rsidRDefault="00013EC7">
            <w:pPr>
              <w:spacing w:line="300" w:lineRule="exact"/>
              <w:rPr>
                <w:rFonts w:eastAsia="方正书宋简体"/>
                <w:szCs w:val="21"/>
              </w:rPr>
            </w:pPr>
          </w:p>
        </w:tc>
      </w:tr>
      <w:tr w:rsidR="00013EC7" w:rsidTr="00322F4E">
        <w:trPr>
          <w:trHeight w:val="2396"/>
          <w:jc w:val="center"/>
        </w:trPr>
        <w:tc>
          <w:tcPr>
            <w:tcW w:w="746" w:type="dxa"/>
            <w:vMerge/>
            <w:tcBorders>
              <w:top w:val="single" w:sz="4" w:space="0" w:color="auto"/>
              <w:left w:val="single" w:sz="4" w:space="0" w:color="auto"/>
              <w:bottom w:val="single" w:sz="4" w:space="0" w:color="auto"/>
              <w:right w:val="single" w:sz="4" w:space="0" w:color="auto"/>
            </w:tcBorders>
            <w:vAlign w:val="center"/>
          </w:tcPr>
          <w:p w:rsidR="00013EC7" w:rsidRDefault="00013EC7">
            <w:pPr>
              <w:widowControl/>
              <w:jc w:val="left"/>
              <w:rPr>
                <w:rFonts w:eastAsia="方正书宋简体"/>
                <w:szCs w:val="21"/>
              </w:rPr>
            </w:pPr>
          </w:p>
        </w:tc>
        <w:tc>
          <w:tcPr>
            <w:tcW w:w="1151" w:type="dxa"/>
            <w:vMerge/>
            <w:tcBorders>
              <w:top w:val="single" w:sz="4" w:space="0" w:color="auto"/>
              <w:left w:val="single" w:sz="4" w:space="0" w:color="auto"/>
              <w:bottom w:val="single" w:sz="4" w:space="0" w:color="auto"/>
              <w:right w:val="single" w:sz="4" w:space="0" w:color="auto"/>
            </w:tcBorders>
            <w:vAlign w:val="center"/>
          </w:tcPr>
          <w:p w:rsidR="00013EC7" w:rsidRDefault="00013EC7">
            <w:pPr>
              <w:widowControl/>
              <w:jc w:val="left"/>
              <w:rPr>
                <w:rFonts w:ascii="仿宋" w:eastAsia="仿宋" w:hAnsi="仿宋" w:cs="仿宋"/>
                <w:sz w:val="24"/>
              </w:rPr>
            </w:pPr>
          </w:p>
        </w:tc>
        <w:tc>
          <w:tcPr>
            <w:tcW w:w="3727" w:type="dxa"/>
            <w:vMerge/>
            <w:tcBorders>
              <w:top w:val="single" w:sz="4" w:space="0" w:color="auto"/>
              <w:left w:val="single" w:sz="4" w:space="0" w:color="auto"/>
              <w:bottom w:val="single" w:sz="4" w:space="0" w:color="auto"/>
              <w:right w:val="single" w:sz="4" w:space="0" w:color="auto"/>
            </w:tcBorders>
            <w:vAlign w:val="center"/>
          </w:tcPr>
          <w:p w:rsidR="00013EC7" w:rsidRDefault="00013EC7">
            <w:pPr>
              <w:widowControl/>
              <w:jc w:val="left"/>
              <w:rPr>
                <w:rFonts w:ascii="仿宋" w:eastAsia="仿宋" w:hAnsi="仿宋" w:cs="仿宋"/>
                <w:sz w:val="24"/>
              </w:rPr>
            </w:pPr>
          </w:p>
        </w:tc>
        <w:tc>
          <w:tcPr>
            <w:tcW w:w="2256" w:type="dxa"/>
            <w:tcBorders>
              <w:top w:val="single" w:sz="4" w:space="0" w:color="auto"/>
              <w:left w:val="single" w:sz="4" w:space="0" w:color="auto"/>
              <w:bottom w:val="single" w:sz="4" w:space="0" w:color="auto"/>
              <w:right w:val="single" w:sz="4" w:space="0" w:color="auto"/>
            </w:tcBorders>
            <w:vAlign w:val="center"/>
          </w:tcPr>
          <w:p w:rsidR="00013EC7" w:rsidRDefault="00575CDB">
            <w:pPr>
              <w:rPr>
                <w:rFonts w:ascii="宋体" w:hAnsi="宋体" w:cs="宋体"/>
                <w:szCs w:val="21"/>
              </w:rPr>
            </w:pPr>
            <w:r>
              <w:rPr>
                <w:rFonts w:ascii="仿宋" w:eastAsia="仿宋" w:hAnsi="仿宋" w:cs="仿宋" w:hint="eastAsia"/>
                <w:sz w:val="24"/>
                <w:highlight w:val="lightGray"/>
              </w:rPr>
              <w:t>（二）多缴税费证明资料。</w:t>
            </w:r>
          </w:p>
        </w:tc>
        <w:tc>
          <w:tcPr>
            <w:tcW w:w="1432" w:type="dxa"/>
            <w:vMerge/>
            <w:tcBorders>
              <w:top w:val="single" w:sz="4" w:space="0" w:color="auto"/>
              <w:left w:val="single" w:sz="4" w:space="0" w:color="auto"/>
              <w:bottom w:val="single" w:sz="4" w:space="0" w:color="auto"/>
              <w:right w:val="single" w:sz="4" w:space="0" w:color="auto"/>
            </w:tcBorders>
            <w:vAlign w:val="center"/>
          </w:tcPr>
          <w:p w:rsidR="00013EC7" w:rsidRDefault="00013EC7">
            <w:pPr>
              <w:widowControl/>
              <w:jc w:val="left"/>
              <w:rPr>
                <w:rFonts w:eastAsia="方正书宋简体"/>
                <w:szCs w:val="21"/>
              </w:rPr>
            </w:pPr>
          </w:p>
        </w:tc>
        <w:tc>
          <w:tcPr>
            <w:tcW w:w="2708" w:type="dxa"/>
            <w:tcBorders>
              <w:top w:val="single" w:sz="4" w:space="0" w:color="auto"/>
              <w:left w:val="single" w:sz="4" w:space="0" w:color="auto"/>
              <w:bottom w:val="single" w:sz="4" w:space="0" w:color="auto"/>
              <w:right w:val="single" w:sz="4" w:space="0" w:color="auto"/>
            </w:tcBorders>
            <w:vAlign w:val="center"/>
          </w:tcPr>
          <w:p w:rsidR="00013EC7" w:rsidRDefault="00575CDB">
            <w:pPr>
              <w:rPr>
                <w:rFonts w:ascii="宋体" w:hAnsi="宋体" w:cs="宋体"/>
                <w:szCs w:val="21"/>
              </w:rPr>
            </w:pPr>
            <w:r>
              <w:rPr>
                <w:rFonts w:ascii="仿宋" w:eastAsia="仿宋" w:hAnsi="仿宋" w:cs="仿宋" w:hint="eastAsia"/>
                <w:sz w:val="24"/>
              </w:rPr>
              <w:t>（二）多缴税费证明资料（根据实际情况提供，包括：减免税审批文书、纳税申报表、税务稽查结论、税务处理决定书、纳税评估文书、税务行政复议决定书、生效的法院判决书、增值税红字发票、税务机关认可的其他记载应退税款内容的资料）。</w:t>
            </w:r>
          </w:p>
        </w:tc>
        <w:tc>
          <w:tcPr>
            <w:tcW w:w="1276" w:type="dxa"/>
            <w:vMerge/>
            <w:tcBorders>
              <w:top w:val="single" w:sz="4" w:space="0" w:color="auto"/>
              <w:left w:val="single" w:sz="4" w:space="0" w:color="auto"/>
              <w:bottom w:val="single" w:sz="4" w:space="0" w:color="auto"/>
              <w:right w:val="single" w:sz="4" w:space="0" w:color="auto"/>
            </w:tcBorders>
            <w:vAlign w:val="center"/>
          </w:tcPr>
          <w:p w:rsidR="00013EC7" w:rsidRDefault="00013EC7">
            <w:pPr>
              <w:widowControl/>
              <w:jc w:val="left"/>
              <w:rPr>
                <w:rFonts w:eastAsia="方正书宋简体"/>
                <w:b/>
                <w:bCs/>
                <w:i/>
                <w:iCs/>
                <w:szCs w:val="21"/>
              </w:rPr>
            </w:pPr>
          </w:p>
        </w:tc>
        <w:tc>
          <w:tcPr>
            <w:tcW w:w="1590" w:type="dxa"/>
            <w:vMerge/>
            <w:tcBorders>
              <w:top w:val="single" w:sz="4" w:space="0" w:color="auto"/>
              <w:left w:val="single" w:sz="4" w:space="0" w:color="auto"/>
              <w:bottom w:val="single" w:sz="4" w:space="0" w:color="auto"/>
              <w:right w:val="single" w:sz="4" w:space="0" w:color="auto"/>
            </w:tcBorders>
            <w:vAlign w:val="center"/>
          </w:tcPr>
          <w:p w:rsidR="00013EC7" w:rsidRDefault="00013EC7">
            <w:pPr>
              <w:widowControl/>
              <w:jc w:val="left"/>
              <w:rPr>
                <w:rFonts w:ascii="仿宋" w:eastAsia="仿宋" w:hAnsi="仿宋" w:cs="仿宋"/>
                <w:b/>
                <w:sz w:val="24"/>
              </w:rPr>
            </w:pPr>
          </w:p>
        </w:tc>
        <w:tc>
          <w:tcPr>
            <w:tcW w:w="946"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eastAsia="方正书宋简体"/>
                <w:szCs w:val="21"/>
              </w:rPr>
            </w:pPr>
          </w:p>
        </w:tc>
        <w:tc>
          <w:tcPr>
            <w:tcW w:w="946"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eastAsia="方正书宋简体"/>
                <w:szCs w:val="21"/>
              </w:rPr>
            </w:pPr>
          </w:p>
        </w:tc>
        <w:tc>
          <w:tcPr>
            <w:tcW w:w="946"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cs="仿宋"/>
                <w:sz w:val="24"/>
              </w:rPr>
            </w:pPr>
          </w:p>
        </w:tc>
        <w:tc>
          <w:tcPr>
            <w:tcW w:w="1227"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cs="仿宋"/>
                <w:sz w:val="24"/>
              </w:rPr>
            </w:pPr>
          </w:p>
        </w:tc>
        <w:tc>
          <w:tcPr>
            <w:tcW w:w="1641" w:type="dxa"/>
            <w:vMerge/>
            <w:tcBorders>
              <w:top w:val="single" w:sz="4" w:space="0" w:color="auto"/>
              <w:left w:val="single" w:sz="4" w:space="0" w:color="auto"/>
              <w:bottom w:val="single" w:sz="8" w:space="0" w:color="auto"/>
              <w:right w:val="single" w:sz="8" w:space="0" w:color="auto"/>
            </w:tcBorders>
            <w:vAlign w:val="center"/>
          </w:tcPr>
          <w:p w:rsidR="00013EC7" w:rsidRDefault="00013EC7">
            <w:pPr>
              <w:widowControl/>
              <w:jc w:val="left"/>
              <w:rPr>
                <w:rFonts w:eastAsia="方正书宋简体"/>
                <w:szCs w:val="21"/>
              </w:rPr>
            </w:pPr>
          </w:p>
        </w:tc>
      </w:tr>
      <w:tr w:rsidR="00013EC7" w:rsidTr="00322F4E">
        <w:trPr>
          <w:trHeight w:val="2257"/>
          <w:jc w:val="center"/>
        </w:trPr>
        <w:tc>
          <w:tcPr>
            <w:tcW w:w="746" w:type="dxa"/>
            <w:vMerge/>
            <w:tcBorders>
              <w:top w:val="single" w:sz="4" w:space="0" w:color="auto"/>
              <w:left w:val="single" w:sz="4" w:space="0" w:color="auto"/>
              <w:bottom w:val="single" w:sz="4" w:space="0" w:color="auto"/>
              <w:right w:val="single" w:sz="4" w:space="0" w:color="auto"/>
            </w:tcBorders>
            <w:vAlign w:val="center"/>
          </w:tcPr>
          <w:p w:rsidR="00013EC7" w:rsidRDefault="00013EC7">
            <w:pPr>
              <w:widowControl/>
              <w:jc w:val="left"/>
              <w:rPr>
                <w:rFonts w:eastAsia="方正书宋简体"/>
                <w:szCs w:val="21"/>
              </w:rPr>
            </w:pPr>
          </w:p>
        </w:tc>
        <w:tc>
          <w:tcPr>
            <w:tcW w:w="1151" w:type="dxa"/>
            <w:vMerge/>
            <w:tcBorders>
              <w:top w:val="single" w:sz="4" w:space="0" w:color="auto"/>
              <w:left w:val="single" w:sz="4" w:space="0" w:color="auto"/>
              <w:bottom w:val="single" w:sz="4" w:space="0" w:color="auto"/>
              <w:right w:val="single" w:sz="4" w:space="0" w:color="auto"/>
            </w:tcBorders>
            <w:vAlign w:val="center"/>
          </w:tcPr>
          <w:p w:rsidR="00013EC7" w:rsidRDefault="00013EC7">
            <w:pPr>
              <w:widowControl/>
              <w:jc w:val="left"/>
              <w:rPr>
                <w:rFonts w:ascii="仿宋" w:eastAsia="仿宋" w:hAnsi="仿宋" w:cs="仿宋"/>
                <w:sz w:val="24"/>
              </w:rPr>
            </w:pPr>
          </w:p>
        </w:tc>
        <w:tc>
          <w:tcPr>
            <w:tcW w:w="3727" w:type="dxa"/>
            <w:vMerge/>
            <w:tcBorders>
              <w:top w:val="single" w:sz="4" w:space="0" w:color="auto"/>
              <w:left w:val="single" w:sz="4" w:space="0" w:color="auto"/>
              <w:bottom w:val="single" w:sz="4" w:space="0" w:color="auto"/>
              <w:right w:val="single" w:sz="4" w:space="0" w:color="auto"/>
            </w:tcBorders>
            <w:vAlign w:val="center"/>
          </w:tcPr>
          <w:p w:rsidR="00013EC7" w:rsidRDefault="00013EC7">
            <w:pPr>
              <w:widowControl/>
              <w:jc w:val="left"/>
              <w:rPr>
                <w:rFonts w:ascii="仿宋" w:eastAsia="仿宋" w:hAnsi="仿宋" w:cs="仿宋"/>
                <w:sz w:val="24"/>
              </w:rPr>
            </w:pPr>
          </w:p>
        </w:tc>
        <w:tc>
          <w:tcPr>
            <w:tcW w:w="2256" w:type="dxa"/>
            <w:tcBorders>
              <w:top w:val="single" w:sz="4" w:space="0" w:color="auto"/>
              <w:left w:val="single" w:sz="4" w:space="0" w:color="auto"/>
              <w:bottom w:val="single" w:sz="4" w:space="0" w:color="auto"/>
              <w:right w:val="single" w:sz="4" w:space="0" w:color="auto"/>
            </w:tcBorders>
            <w:vAlign w:val="center"/>
          </w:tcPr>
          <w:p w:rsidR="00013EC7" w:rsidRDefault="00575CDB">
            <w:pPr>
              <w:rPr>
                <w:rFonts w:ascii="宋体" w:hAnsi="宋体" w:cs="宋体"/>
                <w:szCs w:val="21"/>
              </w:rPr>
            </w:pPr>
            <w:r>
              <w:rPr>
                <w:rFonts w:ascii="仿宋" w:eastAsia="仿宋" w:hAnsi="仿宋" w:cs="仿宋" w:hint="eastAsia"/>
                <w:sz w:val="24"/>
                <w:highlight w:val="lightGray"/>
              </w:rPr>
              <w:t>（三）纳税人、扣缴义务人原完税（缴款）凭证复印件。</w:t>
            </w:r>
          </w:p>
        </w:tc>
        <w:tc>
          <w:tcPr>
            <w:tcW w:w="1432" w:type="dxa"/>
            <w:vMerge/>
            <w:tcBorders>
              <w:top w:val="single" w:sz="4" w:space="0" w:color="auto"/>
              <w:left w:val="single" w:sz="4" w:space="0" w:color="auto"/>
              <w:bottom w:val="single" w:sz="4" w:space="0" w:color="auto"/>
              <w:right w:val="single" w:sz="4" w:space="0" w:color="auto"/>
            </w:tcBorders>
            <w:vAlign w:val="center"/>
          </w:tcPr>
          <w:p w:rsidR="00013EC7" w:rsidRDefault="00013EC7">
            <w:pPr>
              <w:widowControl/>
              <w:jc w:val="left"/>
              <w:rPr>
                <w:rFonts w:eastAsia="方正书宋简体"/>
                <w:szCs w:val="21"/>
              </w:rPr>
            </w:pPr>
          </w:p>
        </w:tc>
        <w:tc>
          <w:tcPr>
            <w:tcW w:w="2708" w:type="dxa"/>
            <w:tcBorders>
              <w:top w:val="single" w:sz="4" w:space="0" w:color="auto"/>
              <w:left w:val="single" w:sz="4" w:space="0" w:color="auto"/>
              <w:bottom w:val="single" w:sz="4" w:space="0" w:color="auto"/>
              <w:right w:val="single" w:sz="4" w:space="0" w:color="auto"/>
            </w:tcBorders>
            <w:vAlign w:val="center"/>
          </w:tcPr>
          <w:p w:rsidR="00013EC7" w:rsidRDefault="00575CDB">
            <w:pPr>
              <w:rPr>
                <w:rFonts w:ascii="宋体" w:hAnsi="宋体" w:cs="宋体"/>
                <w:b/>
                <w:szCs w:val="21"/>
              </w:rPr>
            </w:pPr>
            <w:r>
              <w:rPr>
                <w:rFonts w:ascii="仿宋" w:eastAsia="仿宋" w:hAnsi="仿宋" w:cs="仿宋" w:hint="eastAsia"/>
                <w:sz w:val="24"/>
              </w:rPr>
              <w:t>（三）纳税人、扣缴义务人原完税（缴款）凭证（纳税人无需提交，内部系统自动获取，但纳税人需备注原完税凭证号码）。</w:t>
            </w:r>
          </w:p>
        </w:tc>
        <w:tc>
          <w:tcPr>
            <w:tcW w:w="1276"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300" w:lineRule="exact"/>
              <w:rPr>
                <w:rFonts w:ascii="仿宋" w:eastAsia="仿宋" w:hAnsi="仿宋" w:cs="仿宋"/>
                <w:b/>
                <w:bCs/>
                <w:i/>
                <w:iCs/>
                <w:sz w:val="24"/>
              </w:rPr>
            </w:pPr>
            <w:r>
              <w:rPr>
                <w:rFonts w:ascii="仿宋" w:eastAsia="仿宋" w:hAnsi="仿宋" w:cs="仿宋" w:hint="eastAsia"/>
                <w:b/>
                <w:bCs/>
                <w:i/>
                <w:iCs/>
                <w:sz w:val="24"/>
              </w:rPr>
              <w:t>经办机构</w:t>
            </w:r>
          </w:p>
          <w:p w:rsidR="00013EC7" w:rsidRDefault="00575CDB">
            <w:pPr>
              <w:spacing w:line="300" w:lineRule="exact"/>
              <w:rPr>
                <w:rFonts w:eastAsia="方正书宋简体"/>
                <w:szCs w:val="21"/>
              </w:rPr>
            </w:pPr>
            <w:r>
              <w:rPr>
                <w:rFonts w:ascii="仿宋" w:eastAsia="仿宋" w:hAnsi="仿宋" w:cs="仿宋" w:hint="eastAsia"/>
                <w:b/>
                <w:bCs/>
                <w:i/>
                <w:iCs/>
                <w:sz w:val="24"/>
              </w:rPr>
              <w:t>自行获取</w:t>
            </w:r>
          </w:p>
        </w:tc>
        <w:tc>
          <w:tcPr>
            <w:tcW w:w="1590"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300" w:lineRule="exact"/>
              <w:rPr>
                <w:rFonts w:ascii="仿宋" w:eastAsia="仿宋" w:hAnsi="仿宋" w:cs="仿宋"/>
                <w:b/>
                <w:sz w:val="24"/>
              </w:rPr>
            </w:pPr>
            <w:r>
              <w:rPr>
                <w:rFonts w:ascii="仿宋" w:eastAsia="仿宋" w:hAnsi="仿宋" w:cs="仿宋" w:hint="eastAsia"/>
                <w:b/>
                <w:sz w:val="24"/>
              </w:rPr>
              <w:t>内部共享：</w:t>
            </w:r>
            <w:r>
              <w:rPr>
                <w:rFonts w:ascii="仿宋" w:eastAsia="仿宋" w:hAnsi="仿宋" w:cs="仿宋" w:hint="eastAsia"/>
                <w:sz w:val="24"/>
              </w:rPr>
              <w:t>内部共享获取相关信息。</w:t>
            </w:r>
          </w:p>
        </w:tc>
        <w:tc>
          <w:tcPr>
            <w:tcW w:w="946"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eastAsia="方正书宋简体"/>
                <w:szCs w:val="21"/>
              </w:rPr>
            </w:pPr>
          </w:p>
        </w:tc>
        <w:tc>
          <w:tcPr>
            <w:tcW w:w="946"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eastAsia="方正书宋简体"/>
                <w:szCs w:val="21"/>
              </w:rPr>
            </w:pPr>
          </w:p>
        </w:tc>
        <w:tc>
          <w:tcPr>
            <w:tcW w:w="946"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cs="仿宋"/>
                <w:sz w:val="24"/>
              </w:rPr>
            </w:pPr>
          </w:p>
        </w:tc>
        <w:tc>
          <w:tcPr>
            <w:tcW w:w="1227"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cs="仿宋"/>
                <w:sz w:val="24"/>
              </w:rPr>
            </w:pPr>
          </w:p>
        </w:tc>
        <w:tc>
          <w:tcPr>
            <w:tcW w:w="1641" w:type="dxa"/>
            <w:vMerge/>
            <w:tcBorders>
              <w:top w:val="single" w:sz="4" w:space="0" w:color="auto"/>
              <w:left w:val="single" w:sz="4" w:space="0" w:color="auto"/>
              <w:bottom w:val="single" w:sz="8" w:space="0" w:color="auto"/>
              <w:right w:val="single" w:sz="8" w:space="0" w:color="auto"/>
            </w:tcBorders>
            <w:vAlign w:val="center"/>
          </w:tcPr>
          <w:p w:rsidR="00013EC7" w:rsidRDefault="00013EC7">
            <w:pPr>
              <w:widowControl/>
              <w:jc w:val="left"/>
              <w:rPr>
                <w:rFonts w:eastAsia="方正书宋简体"/>
                <w:szCs w:val="21"/>
              </w:rPr>
            </w:pPr>
          </w:p>
        </w:tc>
      </w:tr>
      <w:tr w:rsidR="00013EC7" w:rsidTr="00322F4E">
        <w:trPr>
          <w:trHeight w:val="7810"/>
          <w:jc w:val="center"/>
        </w:trPr>
        <w:tc>
          <w:tcPr>
            <w:tcW w:w="746" w:type="dxa"/>
            <w:vMerge/>
            <w:tcBorders>
              <w:top w:val="single" w:sz="4" w:space="0" w:color="auto"/>
              <w:left w:val="single" w:sz="8" w:space="0" w:color="auto"/>
              <w:bottom w:val="single" w:sz="8" w:space="0" w:color="auto"/>
              <w:right w:val="single" w:sz="4" w:space="0" w:color="auto"/>
            </w:tcBorders>
            <w:vAlign w:val="center"/>
          </w:tcPr>
          <w:p w:rsidR="00013EC7" w:rsidRDefault="00013EC7">
            <w:pPr>
              <w:widowControl/>
              <w:jc w:val="left"/>
              <w:rPr>
                <w:rFonts w:eastAsia="方正书宋简体"/>
                <w:szCs w:val="21"/>
              </w:rPr>
            </w:pPr>
          </w:p>
        </w:tc>
        <w:tc>
          <w:tcPr>
            <w:tcW w:w="1151"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cs="仿宋"/>
                <w:sz w:val="24"/>
              </w:rPr>
            </w:pPr>
          </w:p>
        </w:tc>
        <w:tc>
          <w:tcPr>
            <w:tcW w:w="3727"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cs="仿宋"/>
                <w:sz w:val="24"/>
              </w:rPr>
            </w:pPr>
          </w:p>
        </w:tc>
        <w:tc>
          <w:tcPr>
            <w:tcW w:w="2256" w:type="dxa"/>
            <w:tcBorders>
              <w:top w:val="single" w:sz="4" w:space="0" w:color="auto"/>
              <w:left w:val="single" w:sz="4" w:space="0" w:color="auto"/>
              <w:bottom w:val="single" w:sz="8" w:space="0" w:color="auto"/>
              <w:right w:val="single" w:sz="4" w:space="0" w:color="auto"/>
            </w:tcBorders>
            <w:vAlign w:val="center"/>
          </w:tcPr>
          <w:p w:rsidR="00013EC7" w:rsidRDefault="00575CDB">
            <w:pPr>
              <w:rPr>
                <w:rFonts w:ascii="宋体" w:hAnsi="宋体" w:cs="宋体"/>
                <w:szCs w:val="21"/>
              </w:rPr>
            </w:pPr>
            <w:r>
              <w:rPr>
                <w:rFonts w:ascii="仿宋" w:eastAsia="仿宋" w:hAnsi="仿宋" w:cs="仿宋" w:hint="eastAsia"/>
                <w:sz w:val="24"/>
              </w:rPr>
              <w:t>（四）由于特殊情况不能退至纳税人、扣缴义务人原缴款账户的，纳税人、扣缴义务人在申请退税时应书面说明理由，</w:t>
            </w:r>
            <w:r>
              <w:rPr>
                <w:rFonts w:ascii="仿宋" w:eastAsia="仿宋" w:hAnsi="仿宋" w:cs="仿宋" w:hint="eastAsia"/>
                <w:sz w:val="24"/>
                <w:highlight w:val="lightGray"/>
              </w:rPr>
              <w:t>提交盖有相应银行业务章的企业账户冻结或注销证明</w:t>
            </w:r>
            <w:r>
              <w:rPr>
                <w:rFonts w:ascii="仿宋" w:eastAsia="仿宋" w:hAnsi="仿宋" w:cs="仿宋" w:hint="eastAsia"/>
                <w:sz w:val="24"/>
              </w:rPr>
              <w:t>。企业变更名称的税务登记证副本及银行证明。未开立基本户的银行证明。个人与企业的关系证明（退至个人账户），如税务登记证副本、个人身份证等，并指定接受退税的其他账户及接受退税单位（人）名称。</w:t>
            </w:r>
          </w:p>
        </w:tc>
        <w:tc>
          <w:tcPr>
            <w:tcW w:w="1432"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eastAsia="方正书宋简体"/>
                <w:szCs w:val="21"/>
              </w:rPr>
            </w:pPr>
          </w:p>
        </w:tc>
        <w:tc>
          <w:tcPr>
            <w:tcW w:w="2708" w:type="dxa"/>
            <w:tcBorders>
              <w:top w:val="single" w:sz="4" w:space="0" w:color="auto"/>
              <w:left w:val="single" w:sz="4" w:space="0" w:color="auto"/>
              <w:bottom w:val="single" w:sz="8" w:space="0" w:color="auto"/>
              <w:right w:val="single" w:sz="4" w:space="0" w:color="auto"/>
            </w:tcBorders>
            <w:vAlign w:val="center"/>
          </w:tcPr>
          <w:p w:rsidR="00013EC7" w:rsidRDefault="00575CDB">
            <w:pPr>
              <w:rPr>
                <w:rFonts w:eastAsia="方正书宋简体"/>
                <w:szCs w:val="21"/>
              </w:rPr>
            </w:pPr>
            <w:r>
              <w:rPr>
                <w:rFonts w:ascii="仿宋" w:eastAsia="仿宋" w:hAnsi="仿宋" w:cs="仿宋" w:hint="eastAsia"/>
                <w:sz w:val="24"/>
              </w:rPr>
              <w:t>（四）由于特殊情况不能退至纳税人、扣缴义务人原缴款账户的，纳税人、扣缴义务人在申请退税时应书面说明理由，提交证明资料（具体证明资料根据实际情况，如企业变更名称的营业执照及银行证明。未开立银行账户的银行证明。个人与企业的关系证明等），并指定接受退税的其他账户及接受退税单位（人）名称。</w:t>
            </w:r>
          </w:p>
        </w:tc>
        <w:tc>
          <w:tcPr>
            <w:tcW w:w="1276" w:type="dxa"/>
            <w:tcBorders>
              <w:top w:val="single" w:sz="4" w:space="0" w:color="auto"/>
              <w:left w:val="single" w:sz="4" w:space="0" w:color="auto"/>
              <w:bottom w:val="single" w:sz="8" w:space="0" w:color="auto"/>
              <w:right w:val="single" w:sz="4" w:space="0" w:color="auto"/>
            </w:tcBorders>
            <w:vAlign w:val="center"/>
          </w:tcPr>
          <w:p w:rsidR="00013EC7" w:rsidRDefault="00575CDB">
            <w:pPr>
              <w:spacing w:line="300" w:lineRule="exact"/>
              <w:rPr>
                <w:rFonts w:eastAsia="方正书宋简体"/>
                <w:b/>
                <w:bCs/>
                <w:i/>
                <w:iCs/>
                <w:szCs w:val="21"/>
              </w:rPr>
            </w:pPr>
            <w:r>
              <w:rPr>
                <w:rFonts w:ascii="仿宋" w:eastAsia="仿宋" w:hAnsi="仿宋" w:cs="仿宋" w:hint="eastAsia"/>
                <w:sz w:val="24"/>
              </w:rPr>
              <w:t>纳税人提交</w:t>
            </w:r>
          </w:p>
        </w:tc>
        <w:tc>
          <w:tcPr>
            <w:tcW w:w="1590" w:type="dxa"/>
            <w:tcBorders>
              <w:top w:val="single" w:sz="4" w:space="0" w:color="auto"/>
              <w:left w:val="single" w:sz="4" w:space="0" w:color="auto"/>
              <w:bottom w:val="single" w:sz="8" w:space="0" w:color="auto"/>
              <w:right w:val="single" w:sz="4" w:space="0" w:color="auto"/>
            </w:tcBorders>
            <w:vAlign w:val="center"/>
          </w:tcPr>
          <w:p w:rsidR="00013EC7" w:rsidRDefault="00575CDB">
            <w:pPr>
              <w:spacing w:line="300" w:lineRule="exac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纳税人提交书面材料。</w:t>
            </w:r>
          </w:p>
          <w:p w:rsidR="00013EC7" w:rsidRDefault="00575CDB">
            <w:pPr>
              <w:spacing w:line="300" w:lineRule="exact"/>
              <w:rPr>
                <w:rFonts w:ascii="仿宋" w:eastAsia="仿宋" w:hAnsi="仿宋" w:cs="仿宋"/>
                <w:b/>
                <w:sz w:val="24"/>
              </w:rPr>
            </w:pPr>
            <w:r>
              <w:rPr>
                <w:rFonts w:ascii="仿宋" w:eastAsia="仿宋" w:hAnsi="仿宋" w:cs="仿宋" w:hint="eastAsia"/>
                <w:b/>
                <w:sz w:val="24"/>
              </w:rPr>
              <w:t>网上办理：</w:t>
            </w:r>
            <w:r>
              <w:rPr>
                <w:rFonts w:ascii="仿宋" w:eastAsia="仿宋" w:hAnsi="仿宋" w:cs="仿宋" w:hint="eastAsia"/>
                <w:sz w:val="24"/>
              </w:rPr>
              <w:t>登录浙江国税电子税务局（网址：</w:t>
            </w:r>
            <w:hyperlink r:id="rId388" w:tgtFrame="https://wx.qq.com/_blank" w:history="1">
              <w:r>
                <w:rPr>
                  <w:rFonts w:ascii="仿宋" w:eastAsia="仿宋" w:hAnsi="仿宋" w:cs="仿宋" w:hint="eastAsia"/>
                  <w:sz w:val="24"/>
                </w:rPr>
                <w:t>http://etax.zjtax.gov.cn/</w:t>
              </w:r>
            </w:hyperlink>
            <w:r>
              <w:rPr>
                <w:rFonts w:ascii="仿宋" w:eastAsia="仿宋" w:hAnsi="仿宋" w:cs="仿宋" w:hint="eastAsia"/>
                <w:sz w:val="24"/>
              </w:rPr>
              <w:t>）提交申请。</w:t>
            </w:r>
            <w:r>
              <w:rPr>
                <w:rFonts w:ascii="仿宋" w:eastAsia="仿宋" w:hAnsi="仿宋" w:hint="eastAsia"/>
                <w:b/>
                <w:sz w:val="24"/>
              </w:rPr>
              <w:t>APP办理：</w:t>
            </w:r>
            <w:r>
              <w:rPr>
                <w:rFonts w:ascii="仿宋" w:eastAsia="仿宋" w:hAnsi="仿宋" w:hint="eastAsia"/>
                <w:sz w:val="24"/>
              </w:rPr>
              <w:t>登录浙江国税APP提交申请。</w:t>
            </w:r>
          </w:p>
        </w:tc>
        <w:tc>
          <w:tcPr>
            <w:tcW w:w="946"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eastAsia="方正书宋简体"/>
                <w:szCs w:val="21"/>
              </w:rPr>
            </w:pPr>
          </w:p>
        </w:tc>
        <w:tc>
          <w:tcPr>
            <w:tcW w:w="946"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eastAsia="方正书宋简体"/>
                <w:szCs w:val="21"/>
              </w:rPr>
            </w:pPr>
          </w:p>
        </w:tc>
        <w:tc>
          <w:tcPr>
            <w:tcW w:w="946"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cs="仿宋"/>
                <w:sz w:val="24"/>
              </w:rPr>
            </w:pPr>
          </w:p>
        </w:tc>
        <w:tc>
          <w:tcPr>
            <w:tcW w:w="1227"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cs="仿宋"/>
                <w:sz w:val="24"/>
              </w:rPr>
            </w:pPr>
          </w:p>
        </w:tc>
        <w:tc>
          <w:tcPr>
            <w:tcW w:w="1641" w:type="dxa"/>
            <w:vMerge/>
            <w:tcBorders>
              <w:top w:val="single" w:sz="4" w:space="0" w:color="auto"/>
              <w:left w:val="single" w:sz="4" w:space="0" w:color="auto"/>
              <w:bottom w:val="single" w:sz="8" w:space="0" w:color="auto"/>
              <w:right w:val="single" w:sz="8" w:space="0" w:color="auto"/>
            </w:tcBorders>
            <w:vAlign w:val="center"/>
          </w:tcPr>
          <w:p w:rsidR="00013EC7" w:rsidRDefault="00013EC7">
            <w:pPr>
              <w:widowControl/>
              <w:jc w:val="left"/>
              <w:rPr>
                <w:rFonts w:eastAsia="方正书宋简体"/>
                <w:szCs w:val="21"/>
              </w:rPr>
            </w:pPr>
          </w:p>
        </w:tc>
      </w:tr>
    </w:tbl>
    <w:p w:rsidR="00013EC7" w:rsidRDefault="005262E6">
      <w:r>
        <w:rPr>
          <w:kern w:val="0"/>
        </w:rPr>
        <w:lastRenderedPageBreak/>
        <w:object w:dxaOrig="1440" w:dyaOrig="1440">
          <v:shape id="_x0000_s1396" type="#_x0000_t75" style="position:absolute;left:0;text-align:left;margin-left:10.5pt;margin-top:101.2pt;width:398.5pt;height:570pt;z-index:251724800;mso-wrap-distance-top:0;mso-wrap-distance-bottom:0;mso-position-horizontal-relative:text;mso-position-vertical-relative:page;mso-width-relative:page;mso-height-relative:page">
            <v:imagedata r:id="rId389" o:title=""/>
            <w10:wrap type="topAndBottom" anchory="page"/>
          </v:shape>
          <o:OLEObject Type="Embed" ProgID="Visio.Drawing.11" ShapeID="_x0000_s1396" DrawAspect="Content" ObjectID="_1577296282" r:id="rId390"/>
        </w:object>
      </w:r>
    </w:p>
    <w:p w:rsidR="00013EC7" w:rsidRDefault="005262E6">
      <w:r>
        <w:rPr>
          <w:kern w:val="0"/>
        </w:rPr>
        <w:object w:dxaOrig="1440" w:dyaOrig="1440">
          <v:shape id="_x0000_s1397" type="#_x0000_t75" style="position:absolute;left:0;text-align:left;margin-left:507pt;margin-top:101.25pt;width:508pt;height:579.5pt;z-index:251725824;mso-wrap-distance-top:0;mso-wrap-distance-bottom:0;mso-position-vertical-relative:page;mso-width-relative:page;mso-height-relative:page">
            <v:imagedata r:id="rId391" o:title=""/>
            <w10:wrap type="topAndBottom" anchory="page"/>
          </v:shape>
          <o:OLEObject Type="Embed" ProgID="Visio.Drawing.11" ShapeID="_x0000_s1397" DrawAspect="Content" ObjectID="_1577296283" r:id="rId392"/>
        </w:object>
      </w:r>
    </w:p>
    <w:p w:rsidR="00013EC7" w:rsidRDefault="00013EC7"/>
    <w:p w:rsidR="00013EC7" w:rsidRDefault="00013EC7"/>
    <w:p w:rsidR="00013EC7" w:rsidRDefault="00013EC7">
      <w:pPr>
        <w:jc w:val="left"/>
        <w:rPr>
          <w:rFonts w:ascii="宋体" w:hAnsi="宋体" w:cs="宋体"/>
          <w:bCs/>
          <w:sz w:val="28"/>
          <w:szCs w:val="28"/>
        </w:rPr>
        <w:sectPr w:rsidR="00013EC7">
          <w:pgSz w:w="23814" w:h="16840" w:orient="landscape"/>
          <w:pgMar w:top="1701" w:right="1843" w:bottom="1985" w:left="1843" w:header="851" w:footer="1701" w:gutter="0"/>
          <w:pgNumType w:fmt="numberInDash"/>
          <w:cols w:space="720"/>
          <w:docGrid w:type="lines" w:linePitch="312"/>
        </w:sectPr>
      </w:pPr>
    </w:p>
    <w:p w:rsidR="00013EC7" w:rsidRDefault="00575CDB">
      <w:pPr>
        <w:pStyle w:val="2"/>
      </w:pPr>
      <w:bookmarkStart w:id="460" w:name="_Toc31775"/>
      <w:bookmarkStart w:id="461" w:name="_Toc14393"/>
      <w:bookmarkStart w:id="462" w:name="_Toc503467460"/>
      <w:bookmarkStart w:id="463" w:name="_Toc26060"/>
      <w:r>
        <w:rPr>
          <w:rFonts w:hint="eastAsia"/>
        </w:rPr>
        <w:lastRenderedPageBreak/>
        <w:t>23.3</w:t>
      </w:r>
      <w:r>
        <w:rPr>
          <w:rFonts w:hint="eastAsia"/>
        </w:rPr>
        <w:t>增值税留抵税额退税优惠办理</w:t>
      </w:r>
      <w:bookmarkEnd w:id="460"/>
      <w:bookmarkEnd w:id="461"/>
      <w:bookmarkEnd w:id="462"/>
      <w:bookmarkEnd w:id="463"/>
    </w:p>
    <w:p w:rsidR="00013EC7" w:rsidRDefault="00575CDB">
      <w:pPr>
        <w:jc w:val="center"/>
        <w:rPr>
          <w:rFonts w:ascii="宋体" w:cs="宋体"/>
          <w:b/>
          <w:bCs/>
          <w:sz w:val="52"/>
          <w:szCs w:val="52"/>
        </w:rPr>
      </w:pPr>
      <w:r>
        <w:rPr>
          <w:rFonts w:ascii="宋体" w:hAnsi="宋体" w:cs="宋体" w:hint="eastAsia"/>
          <w:b/>
          <w:bCs/>
          <w:sz w:val="52"/>
          <w:szCs w:val="52"/>
        </w:rPr>
        <w:t>全省“最多跑一次”事项“八统一”梳理表</w:t>
      </w:r>
    </w:p>
    <w:tbl>
      <w:tblPr>
        <w:tblpPr w:leftFromText="180" w:rightFromText="180" w:vertAnchor="text" w:horzAnchor="page" w:tblpX="1625" w:tblpY="261"/>
        <w:tblOverlap w:val="never"/>
        <w:tblW w:w="20704"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1250"/>
        <w:gridCol w:w="1316"/>
        <w:gridCol w:w="2932"/>
        <w:gridCol w:w="2919"/>
        <w:gridCol w:w="1350"/>
        <w:gridCol w:w="2387"/>
        <w:gridCol w:w="1282"/>
        <w:gridCol w:w="2064"/>
        <w:gridCol w:w="868"/>
        <w:gridCol w:w="886"/>
        <w:gridCol w:w="870"/>
        <w:gridCol w:w="1104"/>
        <w:gridCol w:w="1476"/>
      </w:tblGrid>
      <w:tr w:rsidR="00013EC7">
        <w:trPr>
          <w:trHeight w:val="340"/>
          <w:tblHeader/>
        </w:trPr>
        <w:tc>
          <w:tcPr>
            <w:tcW w:w="1250" w:type="dxa"/>
            <w:vMerge w:val="restart"/>
            <w:tcBorders>
              <w:top w:val="single" w:sz="8" w:space="0" w:color="auto"/>
              <w:left w:val="single" w:sz="8"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主项名称</w:t>
            </w:r>
          </w:p>
        </w:tc>
        <w:tc>
          <w:tcPr>
            <w:tcW w:w="1316" w:type="dxa"/>
            <w:vMerge w:val="restart"/>
            <w:tcBorders>
              <w:top w:val="single" w:sz="8"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子项名称</w:t>
            </w:r>
          </w:p>
        </w:tc>
        <w:tc>
          <w:tcPr>
            <w:tcW w:w="2932" w:type="dxa"/>
            <w:vMerge w:val="restart"/>
            <w:tcBorders>
              <w:top w:val="single" w:sz="8"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经办依据</w:t>
            </w:r>
          </w:p>
        </w:tc>
        <w:tc>
          <w:tcPr>
            <w:tcW w:w="4269" w:type="dxa"/>
            <w:gridSpan w:val="2"/>
            <w:tcBorders>
              <w:top w:val="single" w:sz="8"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原经办所需材料</w:t>
            </w:r>
          </w:p>
        </w:tc>
        <w:tc>
          <w:tcPr>
            <w:tcW w:w="5733" w:type="dxa"/>
            <w:gridSpan w:val="3"/>
            <w:tcBorders>
              <w:top w:val="single" w:sz="8"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梳理后经办所需材料</w:t>
            </w:r>
          </w:p>
        </w:tc>
        <w:tc>
          <w:tcPr>
            <w:tcW w:w="1754" w:type="dxa"/>
            <w:gridSpan w:val="2"/>
            <w:tcBorders>
              <w:top w:val="single" w:sz="8"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办理时限</w:t>
            </w:r>
          </w:p>
        </w:tc>
        <w:tc>
          <w:tcPr>
            <w:tcW w:w="870" w:type="dxa"/>
            <w:vMerge w:val="restart"/>
            <w:tcBorders>
              <w:top w:val="single" w:sz="8"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是否实现跑零次</w:t>
            </w:r>
          </w:p>
        </w:tc>
        <w:tc>
          <w:tcPr>
            <w:tcW w:w="1104" w:type="dxa"/>
            <w:vMerge w:val="restart"/>
            <w:tcBorders>
              <w:top w:val="single" w:sz="8"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省厅对口</w:t>
            </w:r>
          </w:p>
          <w:p w:rsidR="00013EC7" w:rsidRDefault="00575CDB">
            <w:pPr>
              <w:spacing w:line="280" w:lineRule="exact"/>
              <w:jc w:val="center"/>
              <w:rPr>
                <w:rFonts w:ascii="黑体" w:eastAsia="黑体"/>
                <w:sz w:val="24"/>
              </w:rPr>
            </w:pPr>
            <w:r>
              <w:rPr>
                <w:rFonts w:ascii="黑体" w:eastAsia="黑体" w:hint="eastAsia"/>
                <w:sz w:val="24"/>
              </w:rPr>
              <w:t>指导处室</w:t>
            </w:r>
          </w:p>
          <w:p w:rsidR="00013EC7" w:rsidRDefault="00575CDB">
            <w:pPr>
              <w:spacing w:line="280" w:lineRule="exact"/>
              <w:jc w:val="center"/>
              <w:rPr>
                <w:rFonts w:ascii="黑体" w:eastAsia="黑体" w:hAnsi="Calibri"/>
                <w:sz w:val="24"/>
              </w:rPr>
            </w:pPr>
            <w:r>
              <w:rPr>
                <w:rFonts w:ascii="黑体" w:eastAsia="黑体" w:hint="eastAsia"/>
                <w:sz w:val="24"/>
              </w:rPr>
              <w:t>（单位）</w:t>
            </w:r>
          </w:p>
        </w:tc>
        <w:tc>
          <w:tcPr>
            <w:tcW w:w="1476" w:type="dxa"/>
            <w:vMerge w:val="restart"/>
            <w:tcBorders>
              <w:top w:val="single" w:sz="8" w:space="0" w:color="auto"/>
              <w:left w:val="single" w:sz="4" w:space="0" w:color="auto"/>
              <w:bottom w:val="single" w:sz="4" w:space="0" w:color="auto"/>
              <w:right w:val="single" w:sz="8"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进一步精简、</w:t>
            </w:r>
          </w:p>
          <w:p w:rsidR="00013EC7" w:rsidRDefault="00575CDB">
            <w:pPr>
              <w:spacing w:line="280" w:lineRule="exact"/>
              <w:jc w:val="center"/>
              <w:rPr>
                <w:rFonts w:ascii="黑体" w:eastAsia="黑体" w:hAnsi="Calibri"/>
                <w:sz w:val="24"/>
              </w:rPr>
            </w:pPr>
            <w:r>
              <w:rPr>
                <w:rFonts w:ascii="黑体" w:eastAsia="黑体" w:hint="eastAsia"/>
                <w:sz w:val="24"/>
              </w:rPr>
              <w:t>规范建议</w:t>
            </w:r>
          </w:p>
        </w:tc>
      </w:tr>
      <w:tr w:rsidR="00013EC7">
        <w:trPr>
          <w:trHeight w:val="340"/>
          <w:tblHeader/>
        </w:trPr>
        <w:tc>
          <w:tcPr>
            <w:tcW w:w="1250" w:type="dxa"/>
            <w:vMerge/>
            <w:tcBorders>
              <w:top w:val="single" w:sz="8" w:space="0" w:color="auto"/>
              <w:left w:val="single" w:sz="8" w:space="0" w:color="auto"/>
              <w:bottom w:val="single" w:sz="4" w:space="0" w:color="auto"/>
              <w:right w:val="single" w:sz="4" w:space="0" w:color="auto"/>
            </w:tcBorders>
            <w:vAlign w:val="center"/>
          </w:tcPr>
          <w:p w:rsidR="00013EC7" w:rsidRDefault="00013EC7">
            <w:pPr>
              <w:widowControl/>
              <w:jc w:val="left"/>
              <w:rPr>
                <w:rFonts w:ascii="黑体" w:eastAsia="黑体" w:hAnsi="Calibri"/>
                <w:sz w:val="24"/>
              </w:rPr>
            </w:pPr>
          </w:p>
        </w:tc>
        <w:tc>
          <w:tcPr>
            <w:tcW w:w="1316" w:type="dxa"/>
            <w:vMerge/>
            <w:tcBorders>
              <w:top w:val="single" w:sz="8" w:space="0" w:color="auto"/>
              <w:left w:val="single" w:sz="4" w:space="0" w:color="auto"/>
              <w:bottom w:val="single" w:sz="4" w:space="0" w:color="auto"/>
              <w:right w:val="single" w:sz="4" w:space="0" w:color="auto"/>
            </w:tcBorders>
            <w:vAlign w:val="center"/>
          </w:tcPr>
          <w:p w:rsidR="00013EC7" w:rsidRDefault="00013EC7">
            <w:pPr>
              <w:widowControl/>
              <w:jc w:val="left"/>
              <w:rPr>
                <w:rFonts w:ascii="黑体" w:eastAsia="黑体" w:hAnsi="Calibri"/>
                <w:sz w:val="24"/>
              </w:rPr>
            </w:pPr>
          </w:p>
        </w:tc>
        <w:tc>
          <w:tcPr>
            <w:tcW w:w="2932" w:type="dxa"/>
            <w:vMerge/>
            <w:tcBorders>
              <w:top w:val="single" w:sz="8" w:space="0" w:color="auto"/>
              <w:left w:val="single" w:sz="4" w:space="0" w:color="auto"/>
              <w:bottom w:val="single" w:sz="4" w:space="0" w:color="auto"/>
              <w:right w:val="single" w:sz="4" w:space="0" w:color="auto"/>
            </w:tcBorders>
            <w:vAlign w:val="center"/>
          </w:tcPr>
          <w:p w:rsidR="00013EC7" w:rsidRDefault="00013EC7">
            <w:pPr>
              <w:widowControl/>
              <w:jc w:val="left"/>
              <w:rPr>
                <w:rFonts w:ascii="黑体" w:eastAsia="黑体" w:hAnsi="Calibri"/>
                <w:sz w:val="24"/>
              </w:rPr>
            </w:pPr>
          </w:p>
        </w:tc>
        <w:tc>
          <w:tcPr>
            <w:tcW w:w="2919"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材料明细</w:t>
            </w:r>
          </w:p>
        </w:tc>
        <w:tc>
          <w:tcPr>
            <w:tcW w:w="1350"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材料来源</w:t>
            </w:r>
          </w:p>
        </w:tc>
        <w:tc>
          <w:tcPr>
            <w:tcW w:w="2387"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材料明细</w:t>
            </w:r>
          </w:p>
        </w:tc>
        <w:tc>
          <w:tcPr>
            <w:tcW w:w="1282"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材料来源</w:t>
            </w:r>
          </w:p>
        </w:tc>
        <w:tc>
          <w:tcPr>
            <w:tcW w:w="2064"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办理方式及材料</w:t>
            </w:r>
          </w:p>
          <w:p w:rsidR="00013EC7" w:rsidRDefault="00575CDB">
            <w:pPr>
              <w:spacing w:line="280" w:lineRule="exact"/>
              <w:jc w:val="center"/>
              <w:rPr>
                <w:rFonts w:ascii="黑体" w:eastAsia="黑体" w:hAnsi="Calibri"/>
                <w:sz w:val="24"/>
              </w:rPr>
            </w:pPr>
            <w:r>
              <w:rPr>
                <w:rFonts w:ascii="黑体" w:eastAsia="黑体" w:hint="eastAsia"/>
                <w:sz w:val="24"/>
              </w:rPr>
              <w:t>信息获取方式说明</w:t>
            </w:r>
          </w:p>
        </w:tc>
        <w:tc>
          <w:tcPr>
            <w:tcW w:w="868"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优化前</w:t>
            </w:r>
          </w:p>
        </w:tc>
        <w:tc>
          <w:tcPr>
            <w:tcW w:w="886"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优化后</w:t>
            </w:r>
          </w:p>
        </w:tc>
        <w:tc>
          <w:tcPr>
            <w:tcW w:w="870" w:type="dxa"/>
            <w:vMerge/>
            <w:tcBorders>
              <w:top w:val="single" w:sz="8" w:space="0" w:color="auto"/>
              <w:left w:val="single" w:sz="4" w:space="0" w:color="auto"/>
              <w:bottom w:val="single" w:sz="4" w:space="0" w:color="auto"/>
              <w:right w:val="single" w:sz="4" w:space="0" w:color="auto"/>
            </w:tcBorders>
            <w:vAlign w:val="center"/>
          </w:tcPr>
          <w:p w:rsidR="00013EC7" w:rsidRDefault="00013EC7">
            <w:pPr>
              <w:widowControl/>
              <w:jc w:val="left"/>
              <w:rPr>
                <w:rFonts w:ascii="黑体" w:eastAsia="黑体" w:hAnsi="Calibri"/>
                <w:sz w:val="24"/>
              </w:rPr>
            </w:pPr>
          </w:p>
        </w:tc>
        <w:tc>
          <w:tcPr>
            <w:tcW w:w="1104" w:type="dxa"/>
            <w:vMerge/>
            <w:tcBorders>
              <w:top w:val="single" w:sz="8" w:space="0" w:color="auto"/>
              <w:left w:val="single" w:sz="4" w:space="0" w:color="auto"/>
              <w:bottom w:val="single" w:sz="4" w:space="0" w:color="auto"/>
              <w:right w:val="single" w:sz="4" w:space="0" w:color="auto"/>
            </w:tcBorders>
            <w:vAlign w:val="center"/>
          </w:tcPr>
          <w:p w:rsidR="00013EC7" w:rsidRDefault="00013EC7">
            <w:pPr>
              <w:widowControl/>
              <w:jc w:val="left"/>
              <w:rPr>
                <w:rFonts w:ascii="黑体" w:eastAsia="黑体" w:hAnsi="Calibri"/>
                <w:sz w:val="24"/>
              </w:rPr>
            </w:pPr>
          </w:p>
        </w:tc>
        <w:tc>
          <w:tcPr>
            <w:tcW w:w="1476" w:type="dxa"/>
            <w:vMerge/>
            <w:tcBorders>
              <w:top w:val="single" w:sz="8" w:space="0" w:color="auto"/>
              <w:left w:val="single" w:sz="4" w:space="0" w:color="auto"/>
              <w:bottom w:val="single" w:sz="4" w:space="0" w:color="auto"/>
              <w:right w:val="single" w:sz="8" w:space="0" w:color="auto"/>
            </w:tcBorders>
            <w:vAlign w:val="center"/>
          </w:tcPr>
          <w:p w:rsidR="00013EC7" w:rsidRDefault="00013EC7">
            <w:pPr>
              <w:widowControl/>
              <w:jc w:val="left"/>
              <w:rPr>
                <w:rFonts w:ascii="黑体" w:eastAsia="黑体" w:hAnsi="Calibri"/>
                <w:sz w:val="24"/>
              </w:rPr>
            </w:pPr>
          </w:p>
        </w:tc>
      </w:tr>
      <w:tr w:rsidR="00013EC7">
        <w:trPr>
          <w:trHeight w:val="1475"/>
        </w:trPr>
        <w:tc>
          <w:tcPr>
            <w:tcW w:w="1250" w:type="dxa"/>
            <w:vMerge w:val="restart"/>
            <w:tcBorders>
              <w:top w:val="single" w:sz="4" w:space="0" w:color="auto"/>
              <w:left w:val="single" w:sz="8" w:space="0" w:color="auto"/>
              <w:bottom w:val="single" w:sz="8" w:space="0" w:color="auto"/>
              <w:right w:val="single" w:sz="4" w:space="0" w:color="auto"/>
            </w:tcBorders>
            <w:shd w:val="clear" w:color="auto" w:fill="FFFFFF"/>
            <w:vAlign w:val="center"/>
          </w:tcPr>
          <w:p w:rsidR="00013EC7" w:rsidRDefault="00575CDB">
            <w:pPr>
              <w:widowControl/>
              <w:jc w:val="left"/>
              <w:textAlignment w:val="center"/>
              <w:rPr>
                <w:rFonts w:ascii="仿宋" w:eastAsia="仿宋" w:hAnsi="仿宋" w:cs="仿宋"/>
                <w:color w:val="000000"/>
                <w:sz w:val="24"/>
              </w:rPr>
            </w:pPr>
            <w:r>
              <w:rPr>
                <w:rFonts w:ascii="仿宋" w:eastAsia="仿宋" w:hAnsi="仿宋" w:cs="仿宋" w:hint="eastAsia"/>
                <w:color w:val="000000"/>
                <w:kern w:val="0"/>
                <w:sz w:val="24"/>
              </w:rPr>
              <w:t>23退（抵）税办理</w:t>
            </w:r>
          </w:p>
        </w:tc>
        <w:tc>
          <w:tcPr>
            <w:tcW w:w="1316" w:type="dxa"/>
            <w:vMerge w:val="restart"/>
            <w:tcBorders>
              <w:top w:val="single" w:sz="4" w:space="0" w:color="auto"/>
              <w:left w:val="single" w:sz="4" w:space="0" w:color="auto"/>
              <w:bottom w:val="single" w:sz="8" w:space="0" w:color="auto"/>
              <w:right w:val="single" w:sz="4" w:space="0" w:color="auto"/>
            </w:tcBorders>
            <w:shd w:val="clear" w:color="auto" w:fill="FFFFFF"/>
            <w:vAlign w:val="center"/>
          </w:tcPr>
          <w:p w:rsidR="00013EC7" w:rsidRDefault="00575CDB">
            <w:pPr>
              <w:widowControl/>
              <w:jc w:val="left"/>
              <w:textAlignment w:val="center"/>
              <w:rPr>
                <w:rFonts w:ascii="仿宋" w:eastAsia="仿宋" w:hAnsi="仿宋" w:cs="仿宋"/>
                <w:color w:val="000000"/>
                <w:sz w:val="24"/>
              </w:rPr>
            </w:pPr>
            <w:r>
              <w:rPr>
                <w:rFonts w:ascii="仿宋" w:eastAsia="仿宋" w:hAnsi="仿宋" w:cs="仿宋" w:hint="eastAsia"/>
                <w:color w:val="000000"/>
                <w:kern w:val="0"/>
                <w:sz w:val="24"/>
              </w:rPr>
              <w:t>23.3增值税留抵税额退税优惠办理</w:t>
            </w:r>
          </w:p>
        </w:tc>
        <w:tc>
          <w:tcPr>
            <w:tcW w:w="2932" w:type="dxa"/>
            <w:vMerge w:val="restart"/>
            <w:tcBorders>
              <w:top w:val="single" w:sz="4" w:space="0" w:color="auto"/>
              <w:left w:val="single" w:sz="4" w:space="0" w:color="auto"/>
              <w:bottom w:val="single" w:sz="8" w:space="0" w:color="auto"/>
              <w:right w:val="single" w:sz="4" w:space="0" w:color="auto"/>
            </w:tcBorders>
            <w:shd w:val="clear" w:color="auto" w:fill="FFFFFF"/>
            <w:vAlign w:val="center"/>
          </w:tcPr>
          <w:p w:rsidR="00013EC7" w:rsidRDefault="00575CDB">
            <w:pPr>
              <w:widowControl/>
              <w:jc w:val="left"/>
              <w:textAlignment w:val="center"/>
              <w:rPr>
                <w:rFonts w:ascii="仿宋" w:eastAsia="仿宋" w:hAnsi="仿宋" w:cs="仿宋"/>
                <w:color w:val="000000"/>
                <w:sz w:val="24"/>
              </w:rPr>
            </w:pPr>
            <w:r>
              <w:rPr>
                <w:rFonts w:ascii="仿宋" w:eastAsia="仿宋" w:hAnsi="仿宋" w:cs="仿宋" w:hint="eastAsia"/>
                <w:color w:val="000000"/>
                <w:sz w:val="24"/>
              </w:rPr>
              <w:t>（一）《中华人民共和国税收征收管理法实施细则》（2002年中华人民共和国国务院令第362号）第七十八条、第七十九条。</w:t>
            </w:r>
            <w:r>
              <w:rPr>
                <w:rFonts w:ascii="仿宋" w:eastAsia="仿宋" w:hAnsi="仿宋" w:cs="仿宋" w:hint="eastAsia"/>
                <w:color w:val="000000"/>
                <w:sz w:val="24"/>
              </w:rPr>
              <w:br/>
              <w:t>（二）《国家税务总局关于公开行政审批事项等相关工作的公告》（国家税务总局公告2014年第10号）附件。</w:t>
            </w:r>
            <w:r>
              <w:rPr>
                <w:rFonts w:ascii="仿宋" w:eastAsia="仿宋" w:hAnsi="仿宋" w:cs="仿宋" w:hint="eastAsia"/>
                <w:color w:val="000000"/>
                <w:sz w:val="24"/>
              </w:rPr>
              <w:br/>
              <w:t>（三）《财政部 国家税务总局关于退还集成电路企业采购设备增值税期末留抵税额的通知》（财税〔2011〕107号）全文。</w:t>
            </w:r>
            <w:r>
              <w:rPr>
                <w:rFonts w:ascii="仿宋" w:eastAsia="仿宋" w:hAnsi="仿宋" w:cs="仿宋" w:hint="eastAsia"/>
                <w:color w:val="000000"/>
                <w:sz w:val="24"/>
              </w:rPr>
              <w:br/>
              <w:t>（四）《国家税务总局关于增值税进项留抵税额税收会计核算有关事项的通知》（税总函〔2013〕212号）第二条第一款第一项。</w:t>
            </w:r>
            <w:r>
              <w:rPr>
                <w:rFonts w:ascii="仿宋" w:eastAsia="仿宋" w:hAnsi="仿宋" w:cs="仿宋" w:hint="eastAsia"/>
                <w:color w:val="000000"/>
                <w:sz w:val="24"/>
              </w:rPr>
              <w:br/>
              <w:t>（五）《财政部 国家税务总局关于利用石脑油和燃料油生产乙烯芳烃类产品有关增值税政策的通知》（财税〔2014〕17号）全文。</w:t>
            </w:r>
            <w:r>
              <w:rPr>
                <w:rFonts w:ascii="仿宋" w:eastAsia="仿宋" w:hAnsi="仿宋" w:cs="仿宋" w:hint="eastAsia"/>
                <w:color w:val="000000"/>
                <w:sz w:val="24"/>
              </w:rPr>
              <w:br/>
              <w:t>（六）《国家税务总局关于进一步规范增值税、消费税、车辆购置税有关涉税事项办理的通知》（税</w:t>
            </w:r>
            <w:r>
              <w:rPr>
                <w:rFonts w:ascii="仿宋" w:eastAsia="仿宋" w:hAnsi="仿宋" w:cs="仿宋" w:hint="eastAsia"/>
                <w:color w:val="000000"/>
                <w:sz w:val="24"/>
              </w:rPr>
              <w:lastRenderedPageBreak/>
              <w:t>总函〔2017〕426号）第一条。</w:t>
            </w:r>
          </w:p>
        </w:tc>
        <w:tc>
          <w:tcPr>
            <w:tcW w:w="2919"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rsidR="00013EC7" w:rsidRDefault="00575CDB">
            <w:pPr>
              <w:widowControl/>
              <w:jc w:val="left"/>
              <w:textAlignment w:val="center"/>
              <w:rPr>
                <w:rFonts w:ascii="仿宋" w:eastAsia="仿宋" w:hAnsi="仿宋" w:cs="仿宋"/>
                <w:color w:val="000000"/>
                <w:sz w:val="24"/>
              </w:rPr>
            </w:pPr>
            <w:r>
              <w:rPr>
                <w:rFonts w:ascii="仿宋" w:eastAsia="仿宋" w:hAnsi="仿宋" w:cs="仿宋" w:hint="eastAsia"/>
                <w:color w:val="000000"/>
                <w:kern w:val="0"/>
                <w:sz w:val="24"/>
              </w:rPr>
              <w:lastRenderedPageBreak/>
              <w:t>（一）符合条件的集成电路重大项目增值税留抵税额退税办理。</w:t>
            </w:r>
            <w:r>
              <w:rPr>
                <w:rFonts w:ascii="仿宋" w:eastAsia="仿宋" w:hAnsi="仿宋" w:cs="仿宋" w:hint="eastAsia"/>
                <w:color w:val="000000"/>
                <w:kern w:val="0"/>
                <w:sz w:val="24"/>
              </w:rPr>
              <w:br/>
              <w:t>1.（A07089）《增值税期末留抵税额退税申请表》</w:t>
            </w:r>
            <w:r>
              <w:rPr>
                <w:rFonts w:ascii="仿宋" w:eastAsia="仿宋" w:hAnsi="仿宋" w:cs="仿宋" w:hint="eastAsia"/>
                <w:color w:val="000000"/>
                <w:kern w:val="0"/>
                <w:sz w:val="24"/>
                <w:shd w:val="clear" w:color="auto" w:fill="D9D9D9"/>
              </w:rPr>
              <w:t>3份</w:t>
            </w:r>
            <w:r>
              <w:rPr>
                <w:rFonts w:ascii="仿宋" w:eastAsia="仿宋" w:hAnsi="仿宋" w:cs="仿宋" w:hint="eastAsia"/>
                <w:color w:val="000000"/>
                <w:kern w:val="0"/>
                <w:sz w:val="24"/>
              </w:rPr>
              <w:t>。</w:t>
            </w:r>
            <w:r>
              <w:rPr>
                <w:rFonts w:ascii="仿宋" w:eastAsia="仿宋" w:hAnsi="仿宋" w:cs="仿宋" w:hint="eastAsia"/>
                <w:color w:val="000000"/>
                <w:kern w:val="0"/>
                <w:sz w:val="24"/>
              </w:rPr>
              <w:br/>
              <w:t>2.增值税专用发票或海关进口增值税专用缴款书</w:t>
            </w:r>
            <w:r>
              <w:rPr>
                <w:rFonts w:ascii="仿宋" w:eastAsia="仿宋" w:hAnsi="仿宋" w:cs="仿宋" w:hint="eastAsia"/>
                <w:color w:val="000000"/>
                <w:kern w:val="0"/>
                <w:sz w:val="24"/>
                <w:shd w:val="clear" w:color="auto" w:fill="D9D9D9"/>
              </w:rPr>
              <w:t>（</w:t>
            </w:r>
            <w:r>
              <w:rPr>
                <w:rStyle w:val="font01"/>
                <w:rFonts w:ascii="仿宋" w:eastAsia="仿宋" w:hAnsi="仿宋" w:cs="仿宋" w:hint="default"/>
                <w:color w:val="000000"/>
                <w:sz w:val="24"/>
                <w:shd w:val="clear" w:color="auto" w:fill="D9D9D9"/>
              </w:rPr>
              <w:t>原件及复印件（加盖公章）</w:t>
            </w:r>
            <w:r>
              <w:rPr>
                <w:rStyle w:val="font01"/>
                <w:rFonts w:ascii="仿宋" w:eastAsia="仿宋" w:hAnsi="仿宋" w:cs="仿宋" w:hint="default"/>
                <w:color w:val="000000"/>
                <w:sz w:val="24"/>
              </w:rPr>
              <w:t>。</w:t>
            </w:r>
          </w:p>
        </w:tc>
        <w:tc>
          <w:tcPr>
            <w:tcW w:w="1350" w:type="dxa"/>
            <w:vMerge w:val="restart"/>
            <w:tcBorders>
              <w:top w:val="single" w:sz="4" w:space="0" w:color="auto"/>
              <w:left w:val="single" w:sz="4" w:space="0" w:color="auto"/>
              <w:bottom w:val="single" w:sz="8" w:space="0" w:color="auto"/>
              <w:right w:val="single" w:sz="4" w:space="0" w:color="auto"/>
            </w:tcBorders>
            <w:shd w:val="clear" w:color="auto" w:fill="FFFFFF"/>
            <w:vAlign w:val="center"/>
          </w:tcPr>
          <w:p w:rsidR="00013EC7" w:rsidRDefault="00575CDB">
            <w:pPr>
              <w:widowControl/>
              <w:jc w:val="left"/>
              <w:textAlignment w:val="center"/>
              <w:rPr>
                <w:rFonts w:ascii="仿宋" w:eastAsia="仿宋" w:hAnsi="仿宋" w:cs="仿宋"/>
                <w:color w:val="000000"/>
                <w:sz w:val="24"/>
              </w:rPr>
            </w:pPr>
            <w:r>
              <w:rPr>
                <w:rFonts w:ascii="仿宋" w:eastAsia="仿宋" w:hAnsi="仿宋" w:cs="仿宋" w:hint="eastAsia"/>
                <w:color w:val="000000"/>
                <w:kern w:val="0"/>
                <w:sz w:val="24"/>
              </w:rPr>
              <w:t>纳税人提交</w:t>
            </w:r>
          </w:p>
        </w:tc>
        <w:tc>
          <w:tcPr>
            <w:tcW w:w="2387" w:type="dxa"/>
            <w:tcBorders>
              <w:top w:val="single" w:sz="4" w:space="0" w:color="auto"/>
              <w:left w:val="single" w:sz="4" w:space="0" w:color="auto"/>
              <w:bottom w:val="single" w:sz="4" w:space="0" w:color="auto"/>
              <w:right w:val="single" w:sz="4" w:space="0" w:color="auto"/>
            </w:tcBorders>
            <w:shd w:val="clear" w:color="auto" w:fill="FFFFFF"/>
            <w:vAlign w:val="center"/>
          </w:tcPr>
          <w:p w:rsidR="00013EC7" w:rsidRDefault="00575CDB">
            <w:pPr>
              <w:widowControl/>
              <w:jc w:val="left"/>
              <w:textAlignment w:val="center"/>
              <w:rPr>
                <w:rFonts w:ascii="仿宋" w:eastAsia="仿宋" w:hAnsi="仿宋" w:cs="仿宋"/>
                <w:color w:val="000000"/>
                <w:sz w:val="24"/>
              </w:rPr>
            </w:pPr>
            <w:r>
              <w:rPr>
                <w:rFonts w:ascii="仿宋" w:eastAsia="仿宋" w:hAnsi="仿宋" w:cs="仿宋" w:hint="eastAsia"/>
                <w:color w:val="000000"/>
                <w:kern w:val="0"/>
                <w:sz w:val="24"/>
              </w:rPr>
              <w:t>（一）（A07089）《增值税期末留抵税额退税申请表》1份。</w:t>
            </w:r>
          </w:p>
        </w:tc>
        <w:tc>
          <w:tcPr>
            <w:tcW w:w="1282"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rsidR="00013EC7" w:rsidRDefault="00575CDB">
            <w:pPr>
              <w:widowControl/>
              <w:jc w:val="left"/>
              <w:textAlignment w:val="center"/>
              <w:rPr>
                <w:rFonts w:ascii="仿宋" w:eastAsia="仿宋" w:hAnsi="仿宋" w:cs="仿宋"/>
                <w:b/>
                <w:bCs/>
                <w:i/>
                <w:iCs/>
                <w:color w:val="000000"/>
                <w:sz w:val="24"/>
              </w:rPr>
            </w:pPr>
            <w:r>
              <w:rPr>
                <w:rFonts w:ascii="仿宋" w:eastAsia="仿宋" w:hAnsi="仿宋" w:cs="仿宋" w:hint="eastAsia"/>
                <w:color w:val="000000"/>
                <w:kern w:val="0"/>
                <w:sz w:val="24"/>
              </w:rPr>
              <w:t>集成电路重大项目纳税人或外购石脑油、燃料油用于生产乙烯、芳烃类化工产品的纳税人提交</w:t>
            </w:r>
          </w:p>
        </w:tc>
        <w:tc>
          <w:tcPr>
            <w:tcW w:w="2064" w:type="dxa"/>
            <w:vMerge w:val="restart"/>
            <w:tcBorders>
              <w:top w:val="single" w:sz="4" w:space="0" w:color="auto"/>
              <w:left w:val="single" w:sz="4" w:space="0" w:color="auto"/>
              <w:bottom w:val="single" w:sz="8" w:space="0" w:color="auto"/>
              <w:right w:val="single" w:sz="4" w:space="0" w:color="auto"/>
            </w:tcBorders>
            <w:shd w:val="clear" w:color="auto" w:fill="FFFFFF"/>
            <w:vAlign w:val="center"/>
          </w:tcPr>
          <w:p w:rsidR="00013EC7" w:rsidRDefault="00575CDB">
            <w:pPr>
              <w:widowControl/>
              <w:jc w:val="left"/>
              <w:textAlignment w:val="center"/>
              <w:rPr>
                <w:rStyle w:val="font01"/>
                <w:rFonts w:ascii="仿宋" w:eastAsia="仿宋" w:hAnsi="仿宋" w:cs="仿宋" w:hint="default"/>
                <w:color w:val="000000"/>
                <w:sz w:val="24"/>
              </w:rPr>
            </w:pPr>
            <w:r>
              <w:rPr>
                <w:rStyle w:val="font01"/>
                <w:rFonts w:ascii="仿宋" w:eastAsia="仿宋" w:hAnsi="仿宋" w:cs="仿宋" w:hint="default"/>
                <w:b/>
                <w:bCs/>
                <w:color w:val="000000"/>
                <w:sz w:val="24"/>
              </w:rPr>
              <w:t>现场办理：</w:t>
            </w:r>
            <w:r>
              <w:rPr>
                <w:rStyle w:val="font01"/>
                <w:rFonts w:ascii="仿宋" w:eastAsia="仿宋" w:hAnsi="仿宋" w:cs="仿宋" w:hint="default"/>
                <w:color w:val="000000"/>
                <w:sz w:val="24"/>
              </w:rPr>
              <w:t>纳税人提交书面材料。</w:t>
            </w:r>
          </w:p>
          <w:p w:rsidR="00013EC7" w:rsidRDefault="00575CDB">
            <w:pPr>
              <w:spacing w:line="300" w:lineRule="exact"/>
              <w:jc w:val="left"/>
            </w:pPr>
            <w:r>
              <w:rPr>
                <w:rStyle w:val="font01"/>
                <w:rFonts w:ascii="仿宋" w:eastAsia="仿宋" w:hAnsi="仿宋" w:cs="仿宋" w:hint="default"/>
                <w:b/>
                <w:bCs/>
                <w:color w:val="000000"/>
                <w:sz w:val="24"/>
              </w:rPr>
              <w:t>网上办理：</w:t>
            </w:r>
            <w:r>
              <w:rPr>
                <w:rFonts w:ascii="仿宋" w:eastAsia="仿宋" w:hAnsi="仿宋" w:cs="仿宋" w:hint="eastAsia"/>
                <w:sz w:val="24"/>
              </w:rPr>
              <w:t>登录浙江国税电子税务局（网址：http://etax.zjtax.gov.cn/</w:t>
            </w:r>
          </w:p>
          <w:p w:rsidR="00013EC7" w:rsidRDefault="00575CDB">
            <w:pPr>
              <w:widowControl/>
              <w:jc w:val="left"/>
              <w:textAlignment w:val="center"/>
              <w:rPr>
                <w:rStyle w:val="font01"/>
                <w:rFonts w:ascii="仿宋" w:eastAsia="仿宋" w:hAnsi="仿宋" w:cs="仿宋" w:hint="default"/>
                <w:color w:val="000000"/>
                <w:sz w:val="24"/>
              </w:rPr>
            </w:pPr>
            <w:r>
              <w:rPr>
                <w:rFonts w:ascii="仿宋" w:eastAsia="仿宋" w:hAnsi="仿宋" w:cs="仿宋" w:hint="eastAsia"/>
                <w:sz w:val="24"/>
              </w:rPr>
              <w:t>）提交申请。</w:t>
            </w:r>
          </w:p>
        </w:tc>
        <w:tc>
          <w:tcPr>
            <w:tcW w:w="868" w:type="dxa"/>
            <w:vMerge w:val="restart"/>
            <w:tcBorders>
              <w:top w:val="single" w:sz="4" w:space="0" w:color="auto"/>
              <w:left w:val="single" w:sz="4" w:space="0" w:color="auto"/>
              <w:bottom w:val="single" w:sz="8" w:space="0" w:color="auto"/>
              <w:right w:val="single" w:sz="4" w:space="0" w:color="auto"/>
            </w:tcBorders>
            <w:shd w:val="clear" w:color="auto" w:fill="FFFFFF"/>
            <w:vAlign w:val="center"/>
          </w:tcPr>
          <w:p w:rsidR="00013EC7" w:rsidRDefault="00575CDB">
            <w:pPr>
              <w:widowControl/>
              <w:jc w:val="left"/>
              <w:textAlignment w:val="center"/>
              <w:rPr>
                <w:rFonts w:ascii="仿宋" w:eastAsia="仿宋" w:hAnsi="仿宋" w:cs="仿宋"/>
                <w:color w:val="000000"/>
                <w:sz w:val="24"/>
              </w:rPr>
            </w:pPr>
            <w:r>
              <w:rPr>
                <w:rFonts w:ascii="仿宋" w:eastAsia="仿宋" w:hAnsi="仿宋" w:cs="仿宋" w:hint="eastAsia"/>
                <w:color w:val="000000"/>
                <w:kern w:val="0"/>
                <w:sz w:val="24"/>
                <w:highlight w:val="lightGray"/>
              </w:rPr>
              <w:t>20个工作日</w:t>
            </w:r>
          </w:p>
        </w:tc>
        <w:tc>
          <w:tcPr>
            <w:tcW w:w="886" w:type="dxa"/>
            <w:vMerge w:val="restart"/>
            <w:tcBorders>
              <w:top w:val="single" w:sz="4" w:space="0" w:color="auto"/>
              <w:left w:val="single" w:sz="4" w:space="0" w:color="auto"/>
              <w:bottom w:val="single" w:sz="8" w:space="0" w:color="auto"/>
              <w:right w:val="single" w:sz="4" w:space="0" w:color="auto"/>
            </w:tcBorders>
            <w:shd w:val="clear" w:color="auto" w:fill="FFFFFF"/>
            <w:vAlign w:val="center"/>
          </w:tcPr>
          <w:p w:rsidR="00013EC7" w:rsidRDefault="00575CDB">
            <w:pPr>
              <w:widowControl/>
              <w:jc w:val="left"/>
              <w:textAlignment w:val="center"/>
              <w:rPr>
                <w:rFonts w:ascii="仿宋" w:eastAsia="仿宋" w:hAnsi="仿宋" w:cs="仿宋"/>
                <w:color w:val="000000"/>
                <w:sz w:val="24"/>
              </w:rPr>
            </w:pPr>
            <w:r>
              <w:rPr>
                <w:rFonts w:ascii="仿宋" w:eastAsia="仿宋" w:hAnsi="仿宋" w:cs="仿宋" w:hint="eastAsia"/>
                <w:color w:val="000000"/>
                <w:kern w:val="0"/>
                <w:sz w:val="24"/>
              </w:rPr>
              <w:t>15个工作日</w:t>
            </w:r>
          </w:p>
        </w:tc>
        <w:tc>
          <w:tcPr>
            <w:tcW w:w="870" w:type="dxa"/>
            <w:vMerge w:val="restart"/>
            <w:tcBorders>
              <w:top w:val="single" w:sz="4" w:space="0" w:color="auto"/>
              <w:left w:val="single" w:sz="4" w:space="0" w:color="auto"/>
              <w:bottom w:val="single" w:sz="8" w:space="0" w:color="auto"/>
              <w:right w:val="single" w:sz="4" w:space="0" w:color="auto"/>
            </w:tcBorders>
            <w:shd w:val="clear" w:color="auto" w:fill="FFFFFF"/>
            <w:vAlign w:val="center"/>
          </w:tcPr>
          <w:p w:rsidR="00013EC7" w:rsidRDefault="00575CDB">
            <w:pPr>
              <w:widowControl/>
              <w:jc w:val="left"/>
              <w:textAlignment w:val="center"/>
              <w:rPr>
                <w:rFonts w:ascii="仿宋" w:eastAsia="仿宋" w:hAnsi="仿宋" w:cs="仿宋"/>
                <w:color w:val="000000"/>
                <w:sz w:val="24"/>
              </w:rPr>
            </w:pPr>
            <w:r>
              <w:rPr>
                <w:rFonts w:ascii="仿宋" w:eastAsia="仿宋" w:hAnsi="仿宋" w:cs="仿宋" w:hint="eastAsia"/>
                <w:color w:val="000000"/>
                <w:sz w:val="24"/>
              </w:rPr>
              <w:t>是</w:t>
            </w:r>
          </w:p>
        </w:tc>
        <w:tc>
          <w:tcPr>
            <w:tcW w:w="1104" w:type="dxa"/>
            <w:vMerge w:val="restart"/>
            <w:tcBorders>
              <w:top w:val="single" w:sz="4" w:space="0" w:color="auto"/>
              <w:left w:val="single" w:sz="4" w:space="0" w:color="auto"/>
              <w:bottom w:val="single" w:sz="8" w:space="0" w:color="auto"/>
              <w:right w:val="single" w:sz="4" w:space="0" w:color="auto"/>
            </w:tcBorders>
            <w:shd w:val="clear" w:color="auto" w:fill="FFFFFF"/>
            <w:vAlign w:val="center"/>
          </w:tcPr>
          <w:p w:rsidR="00013EC7" w:rsidRDefault="00575CDB">
            <w:pPr>
              <w:widowControl/>
              <w:jc w:val="left"/>
              <w:textAlignment w:val="center"/>
              <w:rPr>
                <w:rFonts w:ascii="仿宋" w:eastAsia="仿宋" w:hAnsi="仿宋" w:cs="仿宋"/>
                <w:color w:val="000000"/>
                <w:kern w:val="0"/>
                <w:sz w:val="24"/>
              </w:rPr>
            </w:pPr>
            <w:r>
              <w:rPr>
                <w:rFonts w:ascii="仿宋" w:eastAsia="仿宋" w:hAnsi="仿宋" w:cs="仿宋" w:hint="eastAsia"/>
                <w:color w:val="000000"/>
                <w:kern w:val="0"/>
                <w:sz w:val="24"/>
              </w:rPr>
              <w:t>货物和劳务税处</w:t>
            </w:r>
          </w:p>
          <w:p w:rsidR="00013EC7" w:rsidRDefault="00575CDB">
            <w:pPr>
              <w:widowControl/>
              <w:jc w:val="left"/>
              <w:textAlignment w:val="center"/>
              <w:rPr>
                <w:rFonts w:ascii="仿宋" w:eastAsia="仿宋" w:hAnsi="仿宋" w:cs="仿宋"/>
                <w:color w:val="000000"/>
                <w:kern w:val="0"/>
                <w:sz w:val="24"/>
              </w:rPr>
            </w:pPr>
            <w:r>
              <w:rPr>
                <w:rFonts w:ascii="仿宋" w:eastAsia="仿宋" w:hAnsi="仿宋" w:cs="仿宋" w:hint="eastAsia"/>
                <w:color w:val="000000"/>
                <w:kern w:val="0"/>
                <w:sz w:val="24"/>
              </w:rPr>
              <w:t>收入规划核算处</w:t>
            </w:r>
          </w:p>
        </w:tc>
        <w:tc>
          <w:tcPr>
            <w:tcW w:w="1476" w:type="dxa"/>
            <w:vMerge w:val="restart"/>
            <w:tcBorders>
              <w:top w:val="single" w:sz="4" w:space="0" w:color="auto"/>
              <w:left w:val="single" w:sz="4" w:space="0" w:color="auto"/>
              <w:bottom w:val="single" w:sz="8" w:space="0" w:color="auto"/>
              <w:right w:val="single" w:sz="8" w:space="0" w:color="auto"/>
            </w:tcBorders>
            <w:vAlign w:val="center"/>
          </w:tcPr>
          <w:p w:rsidR="00013EC7" w:rsidRDefault="00013EC7">
            <w:pPr>
              <w:spacing w:line="300" w:lineRule="exact"/>
              <w:rPr>
                <w:rFonts w:ascii="仿宋" w:eastAsia="仿宋" w:hAnsi="仿宋" w:cs="仿宋"/>
                <w:color w:val="000000"/>
                <w:sz w:val="24"/>
              </w:rPr>
            </w:pPr>
          </w:p>
        </w:tc>
      </w:tr>
      <w:tr w:rsidR="00013EC7">
        <w:trPr>
          <w:trHeight w:val="1854"/>
        </w:trPr>
        <w:tc>
          <w:tcPr>
            <w:tcW w:w="1250" w:type="dxa"/>
            <w:vMerge/>
            <w:tcBorders>
              <w:top w:val="single" w:sz="4" w:space="0" w:color="auto"/>
              <w:left w:val="single" w:sz="8" w:space="0" w:color="auto"/>
              <w:bottom w:val="single" w:sz="8" w:space="0" w:color="auto"/>
              <w:right w:val="single" w:sz="4" w:space="0" w:color="auto"/>
            </w:tcBorders>
            <w:shd w:val="clear" w:color="auto" w:fill="auto"/>
            <w:vAlign w:val="center"/>
          </w:tcPr>
          <w:p w:rsidR="00013EC7" w:rsidRDefault="00013EC7">
            <w:pPr>
              <w:widowControl/>
              <w:jc w:val="left"/>
              <w:rPr>
                <w:rFonts w:ascii="仿宋" w:eastAsia="仿宋" w:hAnsi="仿宋" w:cs="仿宋"/>
                <w:color w:val="000000"/>
                <w:sz w:val="24"/>
              </w:rPr>
            </w:pPr>
          </w:p>
        </w:tc>
        <w:tc>
          <w:tcPr>
            <w:tcW w:w="1316" w:type="dxa"/>
            <w:vMerge/>
            <w:tcBorders>
              <w:top w:val="single" w:sz="4" w:space="0" w:color="auto"/>
              <w:left w:val="single" w:sz="4" w:space="0" w:color="auto"/>
              <w:bottom w:val="single" w:sz="8" w:space="0" w:color="auto"/>
              <w:right w:val="single" w:sz="4" w:space="0" w:color="auto"/>
            </w:tcBorders>
            <w:shd w:val="clear" w:color="auto" w:fill="auto"/>
            <w:vAlign w:val="center"/>
          </w:tcPr>
          <w:p w:rsidR="00013EC7" w:rsidRDefault="00013EC7">
            <w:pPr>
              <w:widowControl/>
              <w:jc w:val="left"/>
              <w:rPr>
                <w:rFonts w:ascii="仿宋" w:eastAsia="仿宋" w:hAnsi="仿宋" w:cs="仿宋"/>
                <w:color w:val="000000"/>
                <w:sz w:val="24"/>
              </w:rPr>
            </w:pPr>
          </w:p>
        </w:tc>
        <w:tc>
          <w:tcPr>
            <w:tcW w:w="2932" w:type="dxa"/>
            <w:vMerge/>
            <w:tcBorders>
              <w:top w:val="single" w:sz="4" w:space="0" w:color="auto"/>
              <w:left w:val="single" w:sz="4" w:space="0" w:color="auto"/>
              <w:bottom w:val="single" w:sz="8" w:space="0" w:color="auto"/>
              <w:right w:val="single" w:sz="4" w:space="0" w:color="auto"/>
            </w:tcBorders>
            <w:shd w:val="clear" w:color="auto" w:fill="auto"/>
            <w:vAlign w:val="center"/>
          </w:tcPr>
          <w:p w:rsidR="00013EC7" w:rsidRDefault="00013EC7">
            <w:pPr>
              <w:widowControl/>
              <w:jc w:val="left"/>
              <w:rPr>
                <w:rFonts w:ascii="仿宋" w:eastAsia="仿宋" w:hAnsi="仿宋" w:cs="仿宋"/>
                <w:color w:val="000000"/>
                <w:sz w:val="24"/>
              </w:rPr>
            </w:pPr>
          </w:p>
        </w:tc>
        <w:tc>
          <w:tcPr>
            <w:tcW w:w="2919" w:type="dxa"/>
            <w:vMerge/>
            <w:tcBorders>
              <w:top w:val="single" w:sz="4" w:space="0" w:color="auto"/>
              <w:left w:val="single" w:sz="4" w:space="0" w:color="auto"/>
              <w:bottom w:val="single" w:sz="4" w:space="0" w:color="auto"/>
              <w:right w:val="single" w:sz="4" w:space="0" w:color="auto"/>
            </w:tcBorders>
            <w:shd w:val="clear" w:color="auto" w:fill="auto"/>
            <w:vAlign w:val="center"/>
          </w:tcPr>
          <w:p w:rsidR="00013EC7" w:rsidRDefault="00013EC7">
            <w:pPr>
              <w:widowControl/>
              <w:jc w:val="left"/>
              <w:rPr>
                <w:rFonts w:ascii="仿宋" w:eastAsia="仿宋" w:hAnsi="仿宋" w:cs="仿宋"/>
                <w:color w:val="000000"/>
                <w:sz w:val="24"/>
              </w:rPr>
            </w:pPr>
          </w:p>
        </w:tc>
        <w:tc>
          <w:tcPr>
            <w:tcW w:w="1350" w:type="dxa"/>
            <w:vMerge/>
            <w:tcBorders>
              <w:top w:val="single" w:sz="4" w:space="0" w:color="auto"/>
              <w:left w:val="single" w:sz="4" w:space="0" w:color="auto"/>
              <w:bottom w:val="single" w:sz="8" w:space="0" w:color="auto"/>
              <w:right w:val="single" w:sz="4" w:space="0" w:color="auto"/>
            </w:tcBorders>
            <w:shd w:val="clear" w:color="auto" w:fill="auto"/>
            <w:vAlign w:val="center"/>
          </w:tcPr>
          <w:p w:rsidR="00013EC7" w:rsidRDefault="00013EC7">
            <w:pPr>
              <w:widowControl/>
              <w:jc w:val="left"/>
              <w:rPr>
                <w:rFonts w:ascii="仿宋" w:eastAsia="仿宋" w:hAnsi="仿宋" w:cs="仿宋"/>
                <w:color w:val="000000"/>
                <w:sz w:val="24"/>
              </w:rPr>
            </w:pPr>
          </w:p>
        </w:tc>
        <w:tc>
          <w:tcPr>
            <w:tcW w:w="2387" w:type="dxa"/>
            <w:tcBorders>
              <w:top w:val="single" w:sz="4" w:space="0" w:color="auto"/>
              <w:left w:val="single" w:sz="4" w:space="0" w:color="auto"/>
              <w:bottom w:val="single" w:sz="4" w:space="0" w:color="auto"/>
              <w:right w:val="single" w:sz="4" w:space="0" w:color="auto"/>
            </w:tcBorders>
            <w:shd w:val="clear" w:color="auto" w:fill="FFFFFF"/>
            <w:vAlign w:val="center"/>
          </w:tcPr>
          <w:p w:rsidR="00013EC7" w:rsidRDefault="00575CDB">
            <w:pPr>
              <w:widowControl/>
              <w:jc w:val="left"/>
              <w:textAlignment w:val="center"/>
              <w:rPr>
                <w:rFonts w:ascii="仿宋" w:eastAsia="仿宋" w:hAnsi="仿宋" w:cs="仿宋"/>
                <w:color w:val="000000"/>
                <w:sz w:val="24"/>
              </w:rPr>
            </w:pPr>
            <w:r>
              <w:rPr>
                <w:rFonts w:ascii="仿宋" w:eastAsia="仿宋" w:hAnsi="仿宋" w:cs="仿宋" w:hint="eastAsia"/>
                <w:color w:val="000000"/>
                <w:kern w:val="0"/>
                <w:sz w:val="24"/>
              </w:rPr>
              <w:t>（二）增值税专用发票或海关进口增值税专用缴款书原件查验。</w:t>
            </w:r>
          </w:p>
        </w:tc>
        <w:tc>
          <w:tcPr>
            <w:tcW w:w="1282" w:type="dxa"/>
            <w:vMerge/>
            <w:tcBorders>
              <w:top w:val="single" w:sz="4" w:space="0" w:color="auto"/>
              <w:left w:val="single" w:sz="4" w:space="0" w:color="auto"/>
              <w:bottom w:val="single" w:sz="4" w:space="0" w:color="auto"/>
              <w:right w:val="single" w:sz="4" w:space="0" w:color="auto"/>
            </w:tcBorders>
            <w:vAlign w:val="center"/>
          </w:tcPr>
          <w:p w:rsidR="00013EC7" w:rsidRDefault="00013EC7">
            <w:pPr>
              <w:widowControl/>
              <w:jc w:val="left"/>
              <w:rPr>
                <w:rFonts w:ascii="仿宋" w:eastAsia="仿宋" w:hAnsi="仿宋" w:cs="仿宋"/>
                <w:b/>
                <w:bCs/>
                <w:i/>
                <w:iCs/>
                <w:color w:val="000000"/>
                <w:sz w:val="24"/>
              </w:rPr>
            </w:pPr>
          </w:p>
        </w:tc>
        <w:tc>
          <w:tcPr>
            <w:tcW w:w="2064"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Style w:val="font01"/>
                <w:rFonts w:ascii="仿宋" w:eastAsia="仿宋" w:hAnsi="仿宋" w:cs="仿宋" w:hint="default"/>
                <w:color w:val="000000"/>
                <w:sz w:val="24"/>
              </w:rPr>
            </w:pPr>
          </w:p>
        </w:tc>
        <w:tc>
          <w:tcPr>
            <w:tcW w:w="868"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cs="仿宋"/>
                <w:color w:val="000000"/>
                <w:sz w:val="24"/>
              </w:rPr>
            </w:pPr>
          </w:p>
        </w:tc>
        <w:tc>
          <w:tcPr>
            <w:tcW w:w="886"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cs="仿宋"/>
                <w:color w:val="000000"/>
                <w:sz w:val="24"/>
              </w:rPr>
            </w:pPr>
          </w:p>
        </w:tc>
        <w:tc>
          <w:tcPr>
            <w:tcW w:w="870"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cs="仿宋"/>
                <w:color w:val="000000"/>
                <w:sz w:val="24"/>
              </w:rPr>
            </w:pPr>
          </w:p>
        </w:tc>
        <w:tc>
          <w:tcPr>
            <w:tcW w:w="1104"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cs="仿宋"/>
                <w:color w:val="000000"/>
                <w:sz w:val="24"/>
              </w:rPr>
            </w:pPr>
          </w:p>
        </w:tc>
        <w:tc>
          <w:tcPr>
            <w:tcW w:w="1476" w:type="dxa"/>
            <w:vMerge/>
            <w:tcBorders>
              <w:top w:val="single" w:sz="4" w:space="0" w:color="auto"/>
              <w:left w:val="single" w:sz="4" w:space="0" w:color="auto"/>
              <w:bottom w:val="single" w:sz="8" w:space="0" w:color="auto"/>
              <w:right w:val="single" w:sz="8" w:space="0" w:color="auto"/>
            </w:tcBorders>
            <w:vAlign w:val="center"/>
          </w:tcPr>
          <w:p w:rsidR="00013EC7" w:rsidRDefault="00013EC7">
            <w:pPr>
              <w:widowControl/>
              <w:jc w:val="left"/>
              <w:rPr>
                <w:rFonts w:ascii="仿宋" w:eastAsia="仿宋" w:hAnsi="仿宋" w:cs="仿宋"/>
                <w:color w:val="000000"/>
                <w:sz w:val="24"/>
              </w:rPr>
            </w:pPr>
          </w:p>
        </w:tc>
      </w:tr>
      <w:tr w:rsidR="00013EC7">
        <w:trPr>
          <w:trHeight w:val="1769"/>
        </w:trPr>
        <w:tc>
          <w:tcPr>
            <w:tcW w:w="1250" w:type="dxa"/>
            <w:vMerge/>
            <w:tcBorders>
              <w:top w:val="single" w:sz="4" w:space="0" w:color="auto"/>
              <w:left w:val="single" w:sz="8" w:space="0" w:color="auto"/>
              <w:bottom w:val="single" w:sz="8" w:space="0" w:color="auto"/>
              <w:right w:val="single" w:sz="4" w:space="0" w:color="auto"/>
            </w:tcBorders>
            <w:shd w:val="clear" w:color="auto" w:fill="auto"/>
            <w:vAlign w:val="center"/>
          </w:tcPr>
          <w:p w:rsidR="00013EC7" w:rsidRDefault="00013EC7">
            <w:pPr>
              <w:widowControl/>
              <w:jc w:val="left"/>
              <w:rPr>
                <w:rFonts w:ascii="仿宋" w:eastAsia="仿宋" w:hAnsi="仿宋" w:cs="仿宋"/>
                <w:color w:val="000000"/>
                <w:sz w:val="24"/>
              </w:rPr>
            </w:pPr>
          </w:p>
        </w:tc>
        <w:tc>
          <w:tcPr>
            <w:tcW w:w="1316" w:type="dxa"/>
            <w:vMerge/>
            <w:tcBorders>
              <w:top w:val="single" w:sz="4" w:space="0" w:color="auto"/>
              <w:left w:val="single" w:sz="4" w:space="0" w:color="auto"/>
              <w:bottom w:val="single" w:sz="8" w:space="0" w:color="auto"/>
              <w:right w:val="single" w:sz="4" w:space="0" w:color="auto"/>
            </w:tcBorders>
            <w:shd w:val="clear" w:color="auto" w:fill="auto"/>
            <w:vAlign w:val="center"/>
          </w:tcPr>
          <w:p w:rsidR="00013EC7" w:rsidRDefault="00013EC7">
            <w:pPr>
              <w:widowControl/>
              <w:jc w:val="left"/>
              <w:rPr>
                <w:rFonts w:ascii="仿宋" w:eastAsia="仿宋" w:hAnsi="仿宋" w:cs="仿宋"/>
                <w:color w:val="000000"/>
                <w:sz w:val="24"/>
              </w:rPr>
            </w:pPr>
          </w:p>
        </w:tc>
        <w:tc>
          <w:tcPr>
            <w:tcW w:w="2932" w:type="dxa"/>
            <w:vMerge/>
            <w:tcBorders>
              <w:top w:val="single" w:sz="4" w:space="0" w:color="auto"/>
              <w:left w:val="single" w:sz="4" w:space="0" w:color="auto"/>
              <w:bottom w:val="single" w:sz="8" w:space="0" w:color="auto"/>
              <w:right w:val="single" w:sz="4" w:space="0" w:color="auto"/>
            </w:tcBorders>
            <w:shd w:val="clear" w:color="auto" w:fill="auto"/>
            <w:vAlign w:val="center"/>
          </w:tcPr>
          <w:p w:rsidR="00013EC7" w:rsidRDefault="00013EC7">
            <w:pPr>
              <w:widowControl/>
              <w:jc w:val="left"/>
              <w:rPr>
                <w:rFonts w:ascii="仿宋" w:eastAsia="仿宋" w:hAnsi="仿宋" w:cs="仿宋"/>
                <w:color w:val="000000"/>
                <w:sz w:val="24"/>
              </w:rPr>
            </w:pPr>
          </w:p>
        </w:tc>
        <w:tc>
          <w:tcPr>
            <w:tcW w:w="2919" w:type="dxa"/>
            <w:vMerge w:val="restart"/>
            <w:tcBorders>
              <w:top w:val="single" w:sz="4" w:space="0" w:color="auto"/>
              <w:left w:val="single" w:sz="4" w:space="0" w:color="auto"/>
              <w:bottom w:val="single" w:sz="8" w:space="0" w:color="auto"/>
              <w:right w:val="single" w:sz="4" w:space="0" w:color="auto"/>
            </w:tcBorders>
            <w:shd w:val="clear" w:color="auto" w:fill="FFFFFF"/>
            <w:vAlign w:val="center"/>
          </w:tcPr>
          <w:p w:rsidR="00013EC7" w:rsidRDefault="00575CDB">
            <w:pPr>
              <w:widowControl/>
              <w:jc w:val="left"/>
              <w:textAlignment w:val="center"/>
              <w:rPr>
                <w:rFonts w:ascii="仿宋" w:eastAsia="仿宋" w:hAnsi="仿宋" w:cs="仿宋"/>
                <w:color w:val="000000"/>
                <w:sz w:val="24"/>
              </w:rPr>
            </w:pPr>
            <w:r>
              <w:rPr>
                <w:rFonts w:ascii="仿宋" w:eastAsia="仿宋" w:hAnsi="仿宋" w:cs="仿宋" w:hint="eastAsia"/>
                <w:color w:val="000000"/>
                <w:kern w:val="0"/>
                <w:sz w:val="24"/>
              </w:rPr>
              <w:t>（二）对外购用于生产乙烯、芳烃类化工产品的石脑油、燃料油价格中消费税部分的增值税额退税办理：</w:t>
            </w:r>
            <w:r>
              <w:rPr>
                <w:rFonts w:ascii="仿宋" w:eastAsia="仿宋" w:hAnsi="仿宋" w:cs="仿宋" w:hint="eastAsia"/>
                <w:color w:val="000000"/>
                <w:kern w:val="0"/>
                <w:sz w:val="24"/>
              </w:rPr>
              <w:br/>
              <w:t>1.A07089《增值税期末留抵税额退税申请表》</w:t>
            </w:r>
            <w:r>
              <w:rPr>
                <w:rFonts w:ascii="仿宋" w:eastAsia="仿宋" w:hAnsi="仿宋" w:cs="仿宋" w:hint="eastAsia"/>
                <w:color w:val="000000"/>
                <w:kern w:val="0"/>
                <w:sz w:val="24"/>
                <w:shd w:val="clear" w:color="auto" w:fill="D9D9D9"/>
              </w:rPr>
              <w:t>3份。</w:t>
            </w:r>
            <w:r>
              <w:rPr>
                <w:rFonts w:ascii="仿宋" w:eastAsia="仿宋" w:hAnsi="仿宋" w:cs="仿宋" w:hint="eastAsia"/>
                <w:color w:val="000000"/>
                <w:kern w:val="0"/>
                <w:sz w:val="24"/>
              </w:rPr>
              <w:br/>
              <w:t>2.增值税专用发票或海关进口增值税专用缴款书</w:t>
            </w:r>
            <w:r>
              <w:rPr>
                <w:rFonts w:ascii="仿宋" w:eastAsia="仿宋" w:hAnsi="仿宋" w:cs="仿宋" w:hint="eastAsia"/>
                <w:color w:val="000000"/>
                <w:kern w:val="0"/>
                <w:sz w:val="24"/>
                <w:shd w:val="clear" w:color="auto" w:fill="D9D9D9"/>
              </w:rPr>
              <w:t>（原件及</w:t>
            </w:r>
            <w:r>
              <w:rPr>
                <w:rStyle w:val="font01"/>
                <w:rFonts w:ascii="仿宋" w:eastAsia="仿宋" w:hAnsi="仿宋" w:cs="仿宋" w:hint="default"/>
                <w:color w:val="000000"/>
                <w:sz w:val="24"/>
                <w:shd w:val="clear" w:color="auto" w:fill="D9D9D9"/>
              </w:rPr>
              <w:t>复印件（加盖公章）</w:t>
            </w:r>
            <w:r>
              <w:rPr>
                <w:rStyle w:val="font01"/>
                <w:rFonts w:ascii="仿宋" w:eastAsia="仿宋" w:hAnsi="仿宋" w:cs="仿宋" w:hint="default"/>
                <w:color w:val="000000"/>
                <w:sz w:val="24"/>
              </w:rPr>
              <w:t>。</w:t>
            </w:r>
            <w:r>
              <w:rPr>
                <w:rStyle w:val="font01"/>
                <w:rFonts w:ascii="仿宋" w:eastAsia="仿宋" w:hAnsi="仿宋" w:cs="仿宋" w:hint="default"/>
                <w:color w:val="000000"/>
                <w:sz w:val="24"/>
              </w:rPr>
              <w:br/>
              <w:t>3.生产乙烯、芳烃类化工产品企业外购的2类油品已缴纳消费税的证明材料。</w:t>
            </w:r>
            <w:r>
              <w:rPr>
                <w:rStyle w:val="font01"/>
                <w:rFonts w:ascii="仿宋" w:eastAsia="仿宋" w:hAnsi="仿宋" w:cs="仿宋" w:hint="default"/>
                <w:color w:val="000000"/>
                <w:sz w:val="24"/>
              </w:rPr>
              <w:br/>
              <w:t>4.生产乙烯、芳烃类化工产品企业购进合同复印件或进口协议</w:t>
            </w:r>
            <w:r>
              <w:rPr>
                <w:rStyle w:val="font01"/>
                <w:rFonts w:ascii="仿宋" w:eastAsia="仿宋" w:hAnsi="仿宋" w:cs="仿宋" w:hint="default"/>
                <w:color w:val="000000"/>
                <w:sz w:val="24"/>
                <w:shd w:val="clear" w:color="auto" w:fill="D9D9D9"/>
              </w:rPr>
              <w:t>复印件</w:t>
            </w:r>
            <w:r>
              <w:rPr>
                <w:rStyle w:val="font01"/>
                <w:rFonts w:ascii="仿宋" w:eastAsia="仿宋" w:hAnsi="仿宋" w:cs="仿宋" w:hint="default"/>
                <w:color w:val="000000"/>
                <w:sz w:val="24"/>
              </w:rPr>
              <w:t>。</w:t>
            </w:r>
            <w:r>
              <w:rPr>
                <w:rStyle w:val="font01"/>
                <w:rFonts w:ascii="仿宋" w:eastAsia="仿宋" w:hAnsi="仿宋" w:cs="仿宋" w:hint="default"/>
                <w:color w:val="000000"/>
                <w:sz w:val="24"/>
              </w:rPr>
              <w:br/>
              <w:t>5.生产乙烯、芳烃类化工产品企业生产乙烯、芳 烃</w:t>
            </w:r>
            <w:r>
              <w:rPr>
                <w:rStyle w:val="font01"/>
                <w:rFonts w:ascii="仿宋" w:eastAsia="仿宋" w:hAnsi="仿宋" w:cs="仿宋" w:hint="default"/>
                <w:color w:val="000000"/>
                <w:sz w:val="24"/>
              </w:rPr>
              <w:lastRenderedPageBreak/>
              <w:t>类化工产品企业进口货物报关单</w:t>
            </w:r>
            <w:r>
              <w:rPr>
                <w:rStyle w:val="font01"/>
                <w:rFonts w:ascii="仿宋" w:eastAsia="仿宋" w:hAnsi="仿宋" w:cs="仿宋" w:hint="default"/>
                <w:color w:val="000000"/>
                <w:sz w:val="24"/>
                <w:shd w:val="clear" w:color="auto" w:fill="D9D9D9"/>
              </w:rPr>
              <w:t>复印件</w:t>
            </w:r>
            <w:r>
              <w:rPr>
                <w:rStyle w:val="font01"/>
                <w:rFonts w:ascii="仿宋" w:eastAsia="仿宋" w:hAnsi="仿宋" w:cs="仿宋" w:hint="default"/>
                <w:color w:val="000000"/>
                <w:sz w:val="24"/>
              </w:rPr>
              <w:t>。</w:t>
            </w:r>
          </w:p>
        </w:tc>
        <w:tc>
          <w:tcPr>
            <w:tcW w:w="1350" w:type="dxa"/>
            <w:vMerge/>
            <w:tcBorders>
              <w:top w:val="single" w:sz="4" w:space="0" w:color="auto"/>
              <w:left w:val="single" w:sz="4" w:space="0" w:color="auto"/>
              <w:bottom w:val="single" w:sz="8" w:space="0" w:color="auto"/>
              <w:right w:val="single" w:sz="4" w:space="0" w:color="auto"/>
            </w:tcBorders>
            <w:shd w:val="clear" w:color="auto" w:fill="auto"/>
            <w:vAlign w:val="center"/>
          </w:tcPr>
          <w:p w:rsidR="00013EC7" w:rsidRDefault="00013EC7">
            <w:pPr>
              <w:widowControl/>
              <w:jc w:val="left"/>
              <w:rPr>
                <w:rFonts w:ascii="仿宋" w:eastAsia="仿宋" w:hAnsi="仿宋" w:cs="仿宋"/>
                <w:color w:val="000000"/>
                <w:sz w:val="24"/>
              </w:rPr>
            </w:pPr>
          </w:p>
        </w:tc>
        <w:tc>
          <w:tcPr>
            <w:tcW w:w="2387" w:type="dxa"/>
            <w:tcBorders>
              <w:top w:val="single" w:sz="4" w:space="0" w:color="auto"/>
              <w:left w:val="single" w:sz="4" w:space="0" w:color="auto"/>
              <w:bottom w:val="single" w:sz="4" w:space="0" w:color="auto"/>
              <w:right w:val="single" w:sz="4" w:space="0" w:color="auto"/>
            </w:tcBorders>
            <w:shd w:val="clear" w:color="auto" w:fill="FFFFFF"/>
            <w:vAlign w:val="center"/>
          </w:tcPr>
          <w:p w:rsidR="00013EC7" w:rsidRDefault="00575CDB">
            <w:pPr>
              <w:widowControl/>
              <w:jc w:val="left"/>
              <w:textAlignment w:val="center"/>
              <w:rPr>
                <w:rFonts w:ascii="仿宋" w:eastAsia="仿宋" w:hAnsi="仿宋" w:cs="仿宋"/>
                <w:color w:val="000000"/>
                <w:sz w:val="24"/>
              </w:rPr>
            </w:pPr>
            <w:r>
              <w:rPr>
                <w:rFonts w:ascii="仿宋" w:eastAsia="仿宋" w:hAnsi="仿宋" w:cs="仿宋" w:hint="eastAsia"/>
                <w:color w:val="000000"/>
                <w:kern w:val="0"/>
                <w:sz w:val="24"/>
              </w:rPr>
              <w:t>（三）生产乙烯、芳烃类化工产品企业外购的2类油品已缴纳消费税的证明材料。</w:t>
            </w:r>
          </w:p>
        </w:tc>
        <w:tc>
          <w:tcPr>
            <w:tcW w:w="1282" w:type="dxa"/>
            <w:vMerge w:val="restart"/>
            <w:tcBorders>
              <w:top w:val="single" w:sz="4" w:space="0" w:color="auto"/>
              <w:left w:val="single" w:sz="4" w:space="0" w:color="auto"/>
              <w:bottom w:val="single" w:sz="8" w:space="0" w:color="auto"/>
              <w:right w:val="single" w:sz="4" w:space="0" w:color="auto"/>
            </w:tcBorders>
            <w:shd w:val="clear" w:color="auto" w:fill="FFFFFF"/>
            <w:vAlign w:val="center"/>
          </w:tcPr>
          <w:p w:rsidR="00013EC7" w:rsidRDefault="00575CDB">
            <w:pPr>
              <w:widowControl/>
              <w:jc w:val="left"/>
              <w:textAlignment w:val="center"/>
              <w:rPr>
                <w:rFonts w:ascii="仿宋" w:eastAsia="仿宋" w:hAnsi="仿宋" w:cs="仿宋"/>
                <w:color w:val="000000"/>
                <w:sz w:val="24"/>
              </w:rPr>
            </w:pPr>
            <w:r>
              <w:rPr>
                <w:rFonts w:ascii="仿宋" w:eastAsia="仿宋" w:hAnsi="仿宋" w:cs="仿宋" w:hint="eastAsia"/>
                <w:color w:val="000000"/>
                <w:kern w:val="0"/>
                <w:sz w:val="24"/>
              </w:rPr>
              <w:t>外购石脑油、燃料油用于生产乙烯、芳烃类化工产品的纳税人提交</w:t>
            </w:r>
          </w:p>
        </w:tc>
        <w:tc>
          <w:tcPr>
            <w:tcW w:w="2064"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Style w:val="font01"/>
                <w:rFonts w:ascii="仿宋" w:eastAsia="仿宋" w:hAnsi="仿宋" w:cs="仿宋" w:hint="default"/>
                <w:color w:val="000000"/>
                <w:sz w:val="24"/>
              </w:rPr>
            </w:pPr>
          </w:p>
        </w:tc>
        <w:tc>
          <w:tcPr>
            <w:tcW w:w="868"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cs="仿宋"/>
                <w:color w:val="000000"/>
                <w:sz w:val="24"/>
              </w:rPr>
            </w:pPr>
          </w:p>
        </w:tc>
        <w:tc>
          <w:tcPr>
            <w:tcW w:w="886"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cs="仿宋"/>
                <w:color w:val="000000"/>
                <w:sz w:val="24"/>
              </w:rPr>
            </w:pPr>
          </w:p>
        </w:tc>
        <w:tc>
          <w:tcPr>
            <w:tcW w:w="870"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cs="仿宋"/>
                <w:color w:val="000000"/>
                <w:sz w:val="24"/>
              </w:rPr>
            </w:pPr>
          </w:p>
        </w:tc>
        <w:tc>
          <w:tcPr>
            <w:tcW w:w="1104"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cs="仿宋"/>
                <w:color w:val="000000"/>
                <w:sz w:val="24"/>
              </w:rPr>
            </w:pPr>
          </w:p>
        </w:tc>
        <w:tc>
          <w:tcPr>
            <w:tcW w:w="1476" w:type="dxa"/>
            <w:vMerge/>
            <w:tcBorders>
              <w:top w:val="single" w:sz="4" w:space="0" w:color="auto"/>
              <w:left w:val="single" w:sz="4" w:space="0" w:color="auto"/>
              <w:bottom w:val="single" w:sz="8" w:space="0" w:color="auto"/>
              <w:right w:val="single" w:sz="8" w:space="0" w:color="auto"/>
            </w:tcBorders>
            <w:vAlign w:val="center"/>
          </w:tcPr>
          <w:p w:rsidR="00013EC7" w:rsidRDefault="00013EC7">
            <w:pPr>
              <w:widowControl/>
              <w:jc w:val="left"/>
              <w:rPr>
                <w:rFonts w:ascii="仿宋" w:eastAsia="仿宋" w:hAnsi="仿宋" w:cs="仿宋"/>
                <w:color w:val="000000"/>
                <w:sz w:val="24"/>
              </w:rPr>
            </w:pPr>
          </w:p>
        </w:tc>
      </w:tr>
      <w:tr w:rsidR="00013EC7">
        <w:trPr>
          <w:trHeight w:val="1826"/>
        </w:trPr>
        <w:tc>
          <w:tcPr>
            <w:tcW w:w="1250" w:type="dxa"/>
            <w:vMerge/>
            <w:tcBorders>
              <w:top w:val="single" w:sz="4" w:space="0" w:color="auto"/>
              <w:left w:val="single" w:sz="8" w:space="0" w:color="auto"/>
              <w:bottom w:val="single" w:sz="8" w:space="0" w:color="auto"/>
              <w:right w:val="single" w:sz="4" w:space="0" w:color="auto"/>
            </w:tcBorders>
            <w:shd w:val="clear" w:color="auto" w:fill="auto"/>
            <w:vAlign w:val="center"/>
          </w:tcPr>
          <w:p w:rsidR="00013EC7" w:rsidRDefault="00013EC7">
            <w:pPr>
              <w:widowControl/>
              <w:jc w:val="left"/>
              <w:rPr>
                <w:rFonts w:ascii="仿宋" w:eastAsia="仿宋" w:hAnsi="仿宋" w:cs="仿宋"/>
                <w:color w:val="000000"/>
                <w:sz w:val="24"/>
              </w:rPr>
            </w:pPr>
          </w:p>
        </w:tc>
        <w:tc>
          <w:tcPr>
            <w:tcW w:w="1316" w:type="dxa"/>
            <w:vMerge/>
            <w:tcBorders>
              <w:top w:val="single" w:sz="4" w:space="0" w:color="auto"/>
              <w:left w:val="single" w:sz="4" w:space="0" w:color="auto"/>
              <w:bottom w:val="single" w:sz="8" w:space="0" w:color="auto"/>
              <w:right w:val="single" w:sz="4" w:space="0" w:color="auto"/>
            </w:tcBorders>
            <w:shd w:val="clear" w:color="auto" w:fill="auto"/>
            <w:vAlign w:val="center"/>
          </w:tcPr>
          <w:p w:rsidR="00013EC7" w:rsidRDefault="00013EC7">
            <w:pPr>
              <w:widowControl/>
              <w:jc w:val="left"/>
              <w:rPr>
                <w:rFonts w:ascii="仿宋" w:eastAsia="仿宋" w:hAnsi="仿宋" w:cs="仿宋"/>
                <w:color w:val="000000"/>
                <w:sz w:val="24"/>
              </w:rPr>
            </w:pPr>
          </w:p>
        </w:tc>
        <w:tc>
          <w:tcPr>
            <w:tcW w:w="2932" w:type="dxa"/>
            <w:vMerge/>
            <w:tcBorders>
              <w:top w:val="single" w:sz="4" w:space="0" w:color="auto"/>
              <w:left w:val="single" w:sz="4" w:space="0" w:color="auto"/>
              <w:bottom w:val="single" w:sz="8" w:space="0" w:color="auto"/>
              <w:right w:val="single" w:sz="4" w:space="0" w:color="auto"/>
            </w:tcBorders>
            <w:shd w:val="clear" w:color="auto" w:fill="auto"/>
            <w:vAlign w:val="center"/>
          </w:tcPr>
          <w:p w:rsidR="00013EC7" w:rsidRDefault="00013EC7">
            <w:pPr>
              <w:widowControl/>
              <w:jc w:val="left"/>
              <w:rPr>
                <w:rFonts w:ascii="仿宋" w:eastAsia="仿宋" w:hAnsi="仿宋" w:cs="仿宋"/>
                <w:color w:val="000000"/>
                <w:sz w:val="24"/>
              </w:rPr>
            </w:pPr>
          </w:p>
        </w:tc>
        <w:tc>
          <w:tcPr>
            <w:tcW w:w="2919" w:type="dxa"/>
            <w:vMerge/>
            <w:tcBorders>
              <w:top w:val="single" w:sz="4" w:space="0" w:color="auto"/>
              <w:left w:val="single" w:sz="4" w:space="0" w:color="auto"/>
              <w:bottom w:val="single" w:sz="8" w:space="0" w:color="auto"/>
              <w:right w:val="single" w:sz="4" w:space="0" w:color="auto"/>
            </w:tcBorders>
            <w:shd w:val="clear" w:color="auto" w:fill="auto"/>
            <w:vAlign w:val="center"/>
          </w:tcPr>
          <w:p w:rsidR="00013EC7" w:rsidRDefault="00013EC7">
            <w:pPr>
              <w:widowControl/>
              <w:jc w:val="left"/>
              <w:rPr>
                <w:rFonts w:ascii="仿宋" w:eastAsia="仿宋" w:hAnsi="仿宋" w:cs="仿宋"/>
                <w:color w:val="000000"/>
                <w:sz w:val="24"/>
              </w:rPr>
            </w:pPr>
          </w:p>
        </w:tc>
        <w:tc>
          <w:tcPr>
            <w:tcW w:w="1350" w:type="dxa"/>
            <w:vMerge/>
            <w:tcBorders>
              <w:top w:val="single" w:sz="4" w:space="0" w:color="auto"/>
              <w:left w:val="single" w:sz="4" w:space="0" w:color="auto"/>
              <w:bottom w:val="single" w:sz="8" w:space="0" w:color="auto"/>
              <w:right w:val="single" w:sz="4" w:space="0" w:color="auto"/>
            </w:tcBorders>
            <w:shd w:val="clear" w:color="auto" w:fill="auto"/>
            <w:vAlign w:val="center"/>
          </w:tcPr>
          <w:p w:rsidR="00013EC7" w:rsidRDefault="00013EC7">
            <w:pPr>
              <w:widowControl/>
              <w:jc w:val="left"/>
              <w:rPr>
                <w:rFonts w:ascii="仿宋" w:eastAsia="仿宋" w:hAnsi="仿宋" w:cs="仿宋"/>
                <w:color w:val="000000"/>
                <w:sz w:val="24"/>
              </w:rPr>
            </w:pPr>
          </w:p>
        </w:tc>
        <w:tc>
          <w:tcPr>
            <w:tcW w:w="2387" w:type="dxa"/>
            <w:tcBorders>
              <w:top w:val="single" w:sz="4" w:space="0" w:color="auto"/>
              <w:left w:val="single" w:sz="4" w:space="0" w:color="auto"/>
              <w:bottom w:val="single" w:sz="4" w:space="0" w:color="auto"/>
              <w:right w:val="single" w:sz="4" w:space="0" w:color="auto"/>
            </w:tcBorders>
            <w:shd w:val="clear" w:color="auto" w:fill="FFFFFF"/>
            <w:vAlign w:val="center"/>
          </w:tcPr>
          <w:p w:rsidR="00013EC7" w:rsidRDefault="00575CDB">
            <w:pPr>
              <w:widowControl/>
              <w:jc w:val="left"/>
              <w:textAlignment w:val="center"/>
              <w:rPr>
                <w:rFonts w:ascii="仿宋" w:eastAsia="仿宋" w:hAnsi="仿宋" w:cs="仿宋"/>
                <w:color w:val="000000"/>
                <w:kern w:val="0"/>
                <w:sz w:val="24"/>
              </w:rPr>
            </w:pPr>
            <w:r>
              <w:rPr>
                <w:rFonts w:ascii="仿宋" w:eastAsia="仿宋" w:hAnsi="仿宋" w:cs="仿宋" w:hint="eastAsia"/>
                <w:color w:val="000000"/>
                <w:kern w:val="0"/>
                <w:sz w:val="24"/>
              </w:rPr>
              <w:t>（四）生产乙烯、芳烃类化工产品企业购进合同原件或进口协议原件查验。</w:t>
            </w:r>
          </w:p>
        </w:tc>
        <w:tc>
          <w:tcPr>
            <w:tcW w:w="1282"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cs="仿宋"/>
                <w:color w:val="000000"/>
                <w:sz w:val="24"/>
              </w:rPr>
            </w:pPr>
          </w:p>
        </w:tc>
        <w:tc>
          <w:tcPr>
            <w:tcW w:w="2064"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Style w:val="font01"/>
                <w:rFonts w:ascii="仿宋" w:eastAsia="仿宋" w:hAnsi="仿宋" w:cs="仿宋" w:hint="default"/>
                <w:color w:val="000000"/>
                <w:sz w:val="24"/>
              </w:rPr>
            </w:pPr>
          </w:p>
        </w:tc>
        <w:tc>
          <w:tcPr>
            <w:tcW w:w="868"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cs="仿宋"/>
                <w:color w:val="000000"/>
                <w:sz w:val="24"/>
              </w:rPr>
            </w:pPr>
          </w:p>
        </w:tc>
        <w:tc>
          <w:tcPr>
            <w:tcW w:w="886"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cs="仿宋"/>
                <w:color w:val="000000"/>
                <w:sz w:val="24"/>
              </w:rPr>
            </w:pPr>
          </w:p>
        </w:tc>
        <w:tc>
          <w:tcPr>
            <w:tcW w:w="870"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cs="仿宋"/>
                <w:color w:val="000000"/>
                <w:sz w:val="24"/>
              </w:rPr>
            </w:pPr>
          </w:p>
        </w:tc>
        <w:tc>
          <w:tcPr>
            <w:tcW w:w="1104"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cs="仿宋"/>
                <w:color w:val="000000"/>
                <w:sz w:val="24"/>
              </w:rPr>
            </w:pPr>
          </w:p>
        </w:tc>
        <w:tc>
          <w:tcPr>
            <w:tcW w:w="1476" w:type="dxa"/>
            <w:vMerge/>
            <w:tcBorders>
              <w:top w:val="single" w:sz="4" w:space="0" w:color="auto"/>
              <w:left w:val="single" w:sz="4" w:space="0" w:color="auto"/>
              <w:bottom w:val="single" w:sz="8" w:space="0" w:color="auto"/>
              <w:right w:val="single" w:sz="8" w:space="0" w:color="auto"/>
            </w:tcBorders>
            <w:vAlign w:val="center"/>
          </w:tcPr>
          <w:p w:rsidR="00013EC7" w:rsidRDefault="00013EC7">
            <w:pPr>
              <w:widowControl/>
              <w:jc w:val="left"/>
              <w:rPr>
                <w:rFonts w:ascii="仿宋" w:eastAsia="仿宋" w:hAnsi="仿宋" w:cs="仿宋"/>
                <w:color w:val="000000"/>
                <w:sz w:val="24"/>
              </w:rPr>
            </w:pPr>
          </w:p>
        </w:tc>
      </w:tr>
      <w:tr w:rsidR="00013EC7">
        <w:trPr>
          <w:trHeight w:val="128"/>
        </w:trPr>
        <w:tc>
          <w:tcPr>
            <w:tcW w:w="1250" w:type="dxa"/>
            <w:vMerge/>
            <w:tcBorders>
              <w:top w:val="single" w:sz="4" w:space="0" w:color="auto"/>
              <w:left w:val="single" w:sz="8" w:space="0" w:color="auto"/>
              <w:bottom w:val="single" w:sz="4" w:space="0" w:color="auto"/>
              <w:right w:val="single" w:sz="4" w:space="0" w:color="auto"/>
            </w:tcBorders>
            <w:shd w:val="clear" w:color="auto" w:fill="auto"/>
            <w:vAlign w:val="center"/>
          </w:tcPr>
          <w:p w:rsidR="00013EC7" w:rsidRDefault="00013EC7">
            <w:pPr>
              <w:widowControl/>
              <w:jc w:val="left"/>
              <w:rPr>
                <w:rFonts w:ascii="仿宋" w:eastAsia="仿宋" w:hAnsi="仿宋" w:cs="仿宋"/>
                <w:color w:val="000000"/>
                <w:sz w:val="24"/>
              </w:rPr>
            </w:pPr>
          </w:p>
        </w:tc>
        <w:tc>
          <w:tcPr>
            <w:tcW w:w="1316" w:type="dxa"/>
            <w:vMerge/>
            <w:tcBorders>
              <w:top w:val="single" w:sz="4" w:space="0" w:color="auto"/>
              <w:left w:val="single" w:sz="4" w:space="0" w:color="auto"/>
              <w:bottom w:val="single" w:sz="4" w:space="0" w:color="auto"/>
              <w:right w:val="single" w:sz="4" w:space="0" w:color="auto"/>
            </w:tcBorders>
            <w:shd w:val="clear" w:color="auto" w:fill="auto"/>
            <w:vAlign w:val="center"/>
          </w:tcPr>
          <w:p w:rsidR="00013EC7" w:rsidRDefault="00013EC7">
            <w:pPr>
              <w:widowControl/>
              <w:jc w:val="left"/>
              <w:rPr>
                <w:rFonts w:ascii="仿宋" w:eastAsia="仿宋" w:hAnsi="仿宋" w:cs="仿宋"/>
                <w:color w:val="000000"/>
                <w:sz w:val="24"/>
              </w:rPr>
            </w:pPr>
          </w:p>
        </w:tc>
        <w:tc>
          <w:tcPr>
            <w:tcW w:w="2932" w:type="dxa"/>
            <w:vMerge/>
            <w:tcBorders>
              <w:top w:val="single" w:sz="4" w:space="0" w:color="auto"/>
              <w:left w:val="single" w:sz="4" w:space="0" w:color="auto"/>
              <w:bottom w:val="single" w:sz="4" w:space="0" w:color="auto"/>
              <w:right w:val="single" w:sz="4" w:space="0" w:color="auto"/>
            </w:tcBorders>
            <w:shd w:val="clear" w:color="auto" w:fill="auto"/>
            <w:vAlign w:val="center"/>
          </w:tcPr>
          <w:p w:rsidR="00013EC7" w:rsidRDefault="00013EC7">
            <w:pPr>
              <w:widowControl/>
              <w:jc w:val="left"/>
              <w:rPr>
                <w:rFonts w:ascii="仿宋" w:eastAsia="仿宋" w:hAnsi="仿宋" w:cs="仿宋"/>
                <w:color w:val="000000"/>
                <w:sz w:val="24"/>
              </w:rPr>
            </w:pPr>
          </w:p>
        </w:tc>
        <w:tc>
          <w:tcPr>
            <w:tcW w:w="2919" w:type="dxa"/>
            <w:vMerge/>
            <w:tcBorders>
              <w:top w:val="single" w:sz="4" w:space="0" w:color="auto"/>
              <w:left w:val="single" w:sz="4" w:space="0" w:color="auto"/>
              <w:bottom w:val="single" w:sz="4" w:space="0" w:color="auto"/>
              <w:right w:val="single" w:sz="4" w:space="0" w:color="auto"/>
            </w:tcBorders>
            <w:shd w:val="clear" w:color="auto" w:fill="auto"/>
            <w:vAlign w:val="center"/>
          </w:tcPr>
          <w:p w:rsidR="00013EC7" w:rsidRDefault="00013EC7">
            <w:pPr>
              <w:widowControl/>
              <w:jc w:val="left"/>
              <w:rPr>
                <w:rFonts w:ascii="仿宋" w:eastAsia="仿宋" w:hAnsi="仿宋" w:cs="仿宋"/>
                <w:color w:val="000000"/>
                <w:sz w:val="24"/>
              </w:rPr>
            </w:pPr>
          </w:p>
        </w:tc>
        <w:tc>
          <w:tcPr>
            <w:tcW w:w="1350" w:type="dxa"/>
            <w:vMerge/>
            <w:tcBorders>
              <w:top w:val="single" w:sz="4" w:space="0" w:color="auto"/>
              <w:left w:val="single" w:sz="4" w:space="0" w:color="auto"/>
              <w:bottom w:val="single" w:sz="4" w:space="0" w:color="auto"/>
              <w:right w:val="single" w:sz="4" w:space="0" w:color="auto"/>
            </w:tcBorders>
            <w:shd w:val="clear" w:color="auto" w:fill="auto"/>
            <w:vAlign w:val="center"/>
          </w:tcPr>
          <w:p w:rsidR="00013EC7" w:rsidRDefault="00013EC7">
            <w:pPr>
              <w:widowControl/>
              <w:jc w:val="left"/>
              <w:rPr>
                <w:rFonts w:ascii="仿宋" w:eastAsia="仿宋" w:hAnsi="仿宋" w:cs="仿宋"/>
                <w:color w:val="000000"/>
                <w:sz w:val="24"/>
              </w:rPr>
            </w:pPr>
          </w:p>
        </w:tc>
        <w:tc>
          <w:tcPr>
            <w:tcW w:w="2387" w:type="dxa"/>
            <w:tcBorders>
              <w:top w:val="single" w:sz="4" w:space="0" w:color="auto"/>
              <w:left w:val="single" w:sz="4" w:space="0" w:color="auto"/>
              <w:bottom w:val="single" w:sz="4" w:space="0" w:color="auto"/>
              <w:right w:val="single" w:sz="4" w:space="0" w:color="auto"/>
            </w:tcBorders>
            <w:shd w:val="clear" w:color="auto" w:fill="FFFFFF"/>
            <w:vAlign w:val="center"/>
          </w:tcPr>
          <w:p w:rsidR="00013EC7" w:rsidRDefault="00575CDB">
            <w:pPr>
              <w:widowControl/>
              <w:jc w:val="left"/>
              <w:textAlignment w:val="center"/>
              <w:rPr>
                <w:rFonts w:ascii="仿宋" w:eastAsia="仿宋" w:hAnsi="仿宋" w:cs="仿宋"/>
                <w:color w:val="000000"/>
                <w:kern w:val="0"/>
                <w:sz w:val="24"/>
              </w:rPr>
            </w:pPr>
            <w:r>
              <w:rPr>
                <w:rFonts w:ascii="仿宋" w:eastAsia="仿宋" w:hAnsi="仿宋" w:cs="仿宋" w:hint="eastAsia"/>
                <w:color w:val="000000"/>
                <w:kern w:val="0"/>
                <w:sz w:val="24"/>
              </w:rPr>
              <w:t>（五）生产乙烯、芳烃类化工产品企业生产乙烯、芳 烃类化工产品企业进口货物报关单原件查验。</w:t>
            </w:r>
          </w:p>
        </w:tc>
        <w:tc>
          <w:tcPr>
            <w:tcW w:w="1282" w:type="dxa"/>
            <w:vMerge/>
            <w:tcBorders>
              <w:top w:val="single" w:sz="4" w:space="0" w:color="auto"/>
              <w:left w:val="single" w:sz="4" w:space="0" w:color="auto"/>
              <w:bottom w:val="single" w:sz="4" w:space="0" w:color="auto"/>
              <w:right w:val="single" w:sz="4" w:space="0" w:color="auto"/>
            </w:tcBorders>
            <w:vAlign w:val="center"/>
          </w:tcPr>
          <w:p w:rsidR="00013EC7" w:rsidRDefault="00013EC7">
            <w:pPr>
              <w:widowControl/>
              <w:jc w:val="left"/>
              <w:rPr>
                <w:rFonts w:ascii="仿宋" w:eastAsia="仿宋" w:hAnsi="仿宋" w:cs="仿宋"/>
                <w:color w:val="000000"/>
                <w:sz w:val="24"/>
              </w:rPr>
            </w:pPr>
          </w:p>
        </w:tc>
        <w:tc>
          <w:tcPr>
            <w:tcW w:w="2064" w:type="dxa"/>
            <w:vMerge/>
            <w:tcBorders>
              <w:top w:val="single" w:sz="4" w:space="0" w:color="auto"/>
              <w:left w:val="single" w:sz="4" w:space="0" w:color="auto"/>
              <w:bottom w:val="single" w:sz="4" w:space="0" w:color="auto"/>
              <w:right w:val="single" w:sz="4" w:space="0" w:color="auto"/>
            </w:tcBorders>
            <w:vAlign w:val="center"/>
          </w:tcPr>
          <w:p w:rsidR="00013EC7" w:rsidRDefault="00013EC7">
            <w:pPr>
              <w:widowControl/>
              <w:jc w:val="left"/>
              <w:rPr>
                <w:rStyle w:val="font01"/>
                <w:rFonts w:ascii="仿宋" w:eastAsia="仿宋" w:hAnsi="仿宋" w:cs="仿宋" w:hint="default"/>
                <w:color w:val="000000"/>
                <w:sz w:val="24"/>
              </w:rPr>
            </w:pPr>
          </w:p>
        </w:tc>
        <w:tc>
          <w:tcPr>
            <w:tcW w:w="868" w:type="dxa"/>
            <w:vMerge/>
            <w:tcBorders>
              <w:top w:val="single" w:sz="4" w:space="0" w:color="auto"/>
              <w:left w:val="single" w:sz="4" w:space="0" w:color="auto"/>
              <w:bottom w:val="single" w:sz="4" w:space="0" w:color="auto"/>
              <w:right w:val="single" w:sz="4" w:space="0" w:color="auto"/>
            </w:tcBorders>
            <w:vAlign w:val="center"/>
          </w:tcPr>
          <w:p w:rsidR="00013EC7" w:rsidRDefault="00013EC7">
            <w:pPr>
              <w:widowControl/>
              <w:jc w:val="left"/>
              <w:rPr>
                <w:rFonts w:ascii="仿宋" w:eastAsia="仿宋" w:hAnsi="仿宋" w:cs="仿宋"/>
                <w:color w:val="000000"/>
                <w:sz w:val="24"/>
              </w:rPr>
            </w:pPr>
          </w:p>
        </w:tc>
        <w:tc>
          <w:tcPr>
            <w:tcW w:w="886" w:type="dxa"/>
            <w:vMerge/>
            <w:tcBorders>
              <w:top w:val="single" w:sz="4" w:space="0" w:color="auto"/>
              <w:left w:val="single" w:sz="4" w:space="0" w:color="auto"/>
              <w:bottom w:val="single" w:sz="4" w:space="0" w:color="auto"/>
              <w:right w:val="single" w:sz="4" w:space="0" w:color="auto"/>
            </w:tcBorders>
            <w:vAlign w:val="center"/>
          </w:tcPr>
          <w:p w:rsidR="00013EC7" w:rsidRDefault="00013EC7">
            <w:pPr>
              <w:widowControl/>
              <w:jc w:val="left"/>
              <w:rPr>
                <w:rFonts w:ascii="仿宋" w:eastAsia="仿宋" w:hAnsi="仿宋" w:cs="仿宋"/>
                <w:color w:val="000000"/>
                <w:sz w:val="24"/>
              </w:rPr>
            </w:pPr>
          </w:p>
        </w:tc>
        <w:tc>
          <w:tcPr>
            <w:tcW w:w="870" w:type="dxa"/>
            <w:vMerge/>
            <w:tcBorders>
              <w:top w:val="single" w:sz="4" w:space="0" w:color="auto"/>
              <w:left w:val="single" w:sz="4" w:space="0" w:color="auto"/>
              <w:bottom w:val="single" w:sz="4" w:space="0" w:color="auto"/>
              <w:right w:val="single" w:sz="4" w:space="0" w:color="auto"/>
            </w:tcBorders>
            <w:vAlign w:val="center"/>
          </w:tcPr>
          <w:p w:rsidR="00013EC7" w:rsidRDefault="00013EC7">
            <w:pPr>
              <w:widowControl/>
              <w:jc w:val="left"/>
              <w:rPr>
                <w:rFonts w:ascii="仿宋" w:eastAsia="仿宋" w:hAnsi="仿宋" w:cs="仿宋"/>
                <w:color w:val="000000"/>
                <w:sz w:val="24"/>
              </w:rPr>
            </w:pPr>
          </w:p>
        </w:tc>
        <w:tc>
          <w:tcPr>
            <w:tcW w:w="1104" w:type="dxa"/>
            <w:vMerge/>
            <w:tcBorders>
              <w:top w:val="single" w:sz="4" w:space="0" w:color="auto"/>
              <w:left w:val="single" w:sz="4" w:space="0" w:color="auto"/>
              <w:bottom w:val="single" w:sz="4" w:space="0" w:color="auto"/>
              <w:right w:val="single" w:sz="4" w:space="0" w:color="auto"/>
            </w:tcBorders>
            <w:vAlign w:val="center"/>
          </w:tcPr>
          <w:p w:rsidR="00013EC7" w:rsidRDefault="00013EC7">
            <w:pPr>
              <w:widowControl/>
              <w:jc w:val="left"/>
              <w:rPr>
                <w:rFonts w:ascii="仿宋" w:eastAsia="仿宋" w:hAnsi="仿宋" w:cs="仿宋"/>
                <w:color w:val="000000"/>
                <w:sz w:val="24"/>
              </w:rPr>
            </w:pPr>
          </w:p>
        </w:tc>
        <w:tc>
          <w:tcPr>
            <w:tcW w:w="1476" w:type="dxa"/>
            <w:vMerge/>
            <w:tcBorders>
              <w:top w:val="single" w:sz="4" w:space="0" w:color="auto"/>
              <w:left w:val="single" w:sz="4" w:space="0" w:color="auto"/>
              <w:bottom w:val="single" w:sz="4" w:space="0" w:color="auto"/>
              <w:right w:val="single" w:sz="8" w:space="0" w:color="auto"/>
            </w:tcBorders>
            <w:vAlign w:val="center"/>
          </w:tcPr>
          <w:p w:rsidR="00013EC7" w:rsidRDefault="00013EC7">
            <w:pPr>
              <w:widowControl/>
              <w:jc w:val="left"/>
              <w:rPr>
                <w:rFonts w:ascii="仿宋" w:eastAsia="仿宋" w:hAnsi="仿宋" w:cs="仿宋"/>
                <w:color w:val="000000"/>
                <w:sz w:val="24"/>
              </w:rPr>
            </w:pPr>
          </w:p>
        </w:tc>
      </w:tr>
    </w:tbl>
    <w:p w:rsidR="00013EC7" w:rsidRDefault="00013EC7">
      <w:pPr>
        <w:rPr>
          <w:rStyle w:val="font11"/>
          <w:rFonts w:hAnsi="Calibri"/>
          <w:sz w:val="28"/>
        </w:rPr>
        <w:sectPr w:rsidR="00013EC7">
          <w:pgSz w:w="23814" w:h="16840" w:orient="landscape"/>
          <w:pgMar w:top="1701" w:right="1843" w:bottom="1985" w:left="1843" w:header="851" w:footer="1701" w:gutter="0"/>
          <w:pgNumType w:fmt="numberInDash"/>
          <w:cols w:space="720"/>
          <w:docGrid w:type="lines" w:linePitch="312"/>
        </w:sectPr>
      </w:pPr>
    </w:p>
    <w:p w:rsidR="00013EC7" w:rsidRDefault="005262E6">
      <w:pPr>
        <w:rPr>
          <w:rStyle w:val="font11"/>
          <w:rFonts w:hAnsi="Calibri"/>
          <w:sz w:val="28"/>
        </w:rPr>
      </w:pPr>
      <w:r>
        <w:rPr>
          <w:rFonts w:ascii="仿宋" w:eastAsia="仿宋" w:hAnsi="Calibri" w:cs="仿宋"/>
          <w:color w:val="000000"/>
          <w:sz w:val="28"/>
          <w:szCs w:val="21"/>
        </w:rPr>
        <w:lastRenderedPageBreak/>
        <w:object w:dxaOrig="1440" w:dyaOrig="1440">
          <v:shape id="对象 170" o:spid="_x0000_s1107" type="#_x0000_t75" alt="2111217721508729125585" style="position:absolute;left:0;text-align:left;margin-left:545.6pt;margin-top:97.05pt;width:434.95pt;height:611.85pt;z-index:251567104;mso-wrap-distance-top:0;mso-wrap-distance-bottom:0;mso-position-vertical-relative:page;mso-width-relative:page;mso-height-relative:page">
            <v:imagedata r:id="rId393" o:title=""/>
            <w10:wrap type="topAndBottom" anchory="page"/>
          </v:shape>
          <o:OLEObject Type="Embed" ProgID="Visio.Drawing.11" ShapeID="对象 170" DrawAspect="Content" ObjectID="_1577296284" r:id="rId394"/>
        </w:object>
      </w:r>
      <w:r>
        <w:rPr>
          <w:rFonts w:ascii="仿宋" w:eastAsia="仿宋" w:hAnsi="Calibri" w:cs="仿宋"/>
          <w:color w:val="000000"/>
          <w:sz w:val="28"/>
          <w:szCs w:val="21"/>
        </w:rPr>
        <w:object w:dxaOrig="1440" w:dyaOrig="1440">
          <v:shape id="对象 169" o:spid="_x0000_s1106" type="#_x0000_t75" alt="2111217721508729125585" style="position:absolute;left:0;text-align:left;margin-left:8.85pt;margin-top:107.75pt;width:472.4pt;height:694.85pt;z-index:251566080;mso-wrap-distance-top:0;mso-wrap-distance-bottom:0;mso-position-vertical-relative:page;mso-width-relative:page;mso-height-relative:page">
            <v:imagedata r:id="rId395" o:title=""/>
            <w10:wrap type="topAndBottom" anchory="page"/>
          </v:shape>
          <o:OLEObject Type="Embed" ProgID="Visio.Drawing.11" ShapeID="对象 169" DrawAspect="Content" ObjectID="_1577296285" r:id="rId396"/>
        </w:object>
      </w:r>
    </w:p>
    <w:p w:rsidR="00013EC7" w:rsidRDefault="00575CDB">
      <w:pPr>
        <w:pStyle w:val="2"/>
      </w:pPr>
      <w:bookmarkStart w:id="464" w:name="_Toc21700"/>
      <w:bookmarkStart w:id="465" w:name="_Toc8361"/>
      <w:bookmarkStart w:id="466" w:name="_Toc503467461"/>
      <w:bookmarkStart w:id="467" w:name="_Toc12628"/>
      <w:bookmarkStart w:id="468" w:name="_Toc498705769"/>
      <w:r>
        <w:rPr>
          <w:rFonts w:hint="eastAsia"/>
        </w:rPr>
        <w:lastRenderedPageBreak/>
        <w:t>23.4</w:t>
      </w:r>
      <w:r>
        <w:rPr>
          <w:rFonts w:hint="eastAsia"/>
        </w:rPr>
        <w:t>入库减免退抵税办理</w:t>
      </w:r>
      <w:bookmarkEnd w:id="464"/>
      <w:bookmarkEnd w:id="465"/>
      <w:bookmarkEnd w:id="466"/>
      <w:bookmarkEnd w:id="467"/>
    </w:p>
    <w:p w:rsidR="00013EC7" w:rsidRDefault="00575CDB">
      <w:pPr>
        <w:jc w:val="center"/>
        <w:rPr>
          <w:rFonts w:ascii="黑体" w:eastAsia="黑体" w:hAnsi="黑体" w:cs="黑体"/>
          <w:sz w:val="24"/>
        </w:rPr>
      </w:pPr>
      <w:r>
        <w:rPr>
          <w:rFonts w:ascii="宋体" w:hAnsi="宋体" w:cs="宋体" w:hint="eastAsia"/>
          <w:b/>
          <w:bCs/>
          <w:sz w:val="52"/>
          <w:szCs w:val="52"/>
        </w:rPr>
        <w:t>全省“最多跑一次”事项“八统一”梳理表</w:t>
      </w:r>
    </w:p>
    <w:tbl>
      <w:tblPr>
        <w:tblW w:w="21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2"/>
        <w:gridCol w:w="1163"/>
        <w:gridCol w:w="2541"/>
        <w:gridCol w:w="1622"/>
        <w:gridCol w:w="1622"/>
        <w:gridCol w:w="1622"/>
        <w:gridCol w:w="1623"/>
        <w:gridCol w:w="1623"/>
        <w:gridCol w:w="1623"/>
        <w:gridCol w:w="1623"/>
        <w:gridCol w:w="1623"/>
        <w:gridCol w:w="1623"/>
        <w:gridCol w:w="1623"/>
      </w:tblGrid>
      <w:tr w:rsidR="00013EC7">
        <w:trPr>
          <w:trHeight w:val="293"/>
          <w:tblHeader/>
        </w:trPr>
        <w:tc>
          <w:tcPr>
            <w:tcW w:w="1162" w:type="dxa"/>
            <w:vMerge w:val="restart"/>
            <w:vAlign w:val="center"/>
          </w:tcPr>
          <w:p w:rsidR="00013EC7" w:rsidRDefault="00575CDB">
            <w:pPr>
              <w:jc w:val="center"/>
            </w:pPr>
            <w:r>
              <w:rPr>
                <w:rFonts w:ascii="黑体" w:eastAsia="黑体" w:hAnsi="黑体" w:cs="黑体" w:hint="eastAsia"/>
                <w:sz w:val="24"/>
              </w:rPr>
              <w:t>主项名称</w:t>
            </w:r>
          </w:p>
        </w:tc>
        <w:tc>
          <w:tcPr>
            <w:tcW w:w="1163" w:type="dxa"/>
            <w:vMerge w:val="restart"/>
            <w:vAlign w:val="center"/>
          </w:tcPr>
          <w:p w:rsidR="00013EC7" w:rsidRDefault="00575CDB">
            <w:pPr>
              <w:jc w:val="center"/>
            </w:pPr>
            <w:r>
              <w:rPr>
                <w:rFonts w:ascii="黑体" w:eastAsia="黑体" w:hAnsi="黑体" w:cs="黑体" w:hint="eastAsia"/>
                <w:sz w:val="24"/>
              </w:rPr>
              <w:t>子项名称</w:t>
            </w:r>
          </w:p>
        </w:tc>
        <w:tc>
          <w:tcPr>
            <w:tcW w:w="2541" w:type="dxa"/>
            <w:vMerge w:val="restart"/>
            <w:vAlign w:val="center"/>
          </w:tcPr>
          <w:p w:rsidR="00013EC7" w:rsidRDefault="00575CDB">
            <w:pPr>
              <w:jc w:val="center"/>
            </w:pPr>
            <w:r>
              <w:rPr>
                <w:rFonts w:ascii="黑体" w:eastAsia="黑体" w:hAnsi="黑体" w:cs="黑体" w:hint="eastAsia"/>
                <w:sz w:val="24"/>
              </w:rPr>
              <w:t>经办依据</w:t>
            </w:r>
          </w:p>
        </w:tc>
        <w:tc>
          <w:tcPr>
            <w:tcW w:w="3244" w:type="dxa"/>
            <w:gridSpan w:val="2"/>
            <w:vAlign w:val="center"/>
          </w:tcPr>
          <w:p w:rsidR="00013EC7" w:rsidRDefault="00575CDB">
            <w:pPr>
              <w:jc w:val="center"/>
            </w:pPr>
            <w:r>
              <w:rPr>
                <w:rFonts w:ascii="黑体" w:eastAsia="黑体" w:hAnsi="黑体" w:cs="黑体" w:hint="eastAsia"/>
                <w:sz w:val="24"/>
              </w:rPr>
              <w:t>原经办所需材料</w:t>
            </w:r>
          </w:p>
        </w:tc>
        <w:tc>
          <w:tcPr>
            <w:tcW w:w="4868" w:type="dxa"/>
            <w:gridSpan w:val="3"/>
            <w:vAlign w:val="center"/>
          </w:tcPr>
          <w:p w:rsidR="00013EC7" w:rsidRDefault="00575CDB">
            <w:pPr>
              <w:jc w:val="center"/>
            </w:pPr>
            <w:r>
              <w:rPr>
                <w:rFonts w:ascii="黑体" w:eastAsia="黑体" w:hAnsi="黑体" w:cs="黑体" w:hint="eastAsia"/>
                <w:sz w:val="24"/>
              </w:rPr>
              <w:t>精简后经办所需材料</w:t>
            </w:r>
          </w:p>
        </w:tc>
        <w:tc>
          <w:tcPr>
            <w:tcW w:w="3246" w:type="dxa"/>
            <w:gridSpan w:val="2"/>
            <w:vAlign w:val="center"/>
          </w:tcPr>
          <w:p w:rsidR="00013EC7" w:rsidRDefault="00575CDB">
            <w:pPr>
              <w:jc w:val="center"/>
            </w:pPr>
            <w:r>
              <w:rPr>
                <w:rFonts w:ascii="黑体" w:eastAsia="黑体" w:hAnsi="黑体" w:cs="黑体" w:hint="eastAsia"/>
                <w:sz w:val="24"/>
              </w:rPr>
              <w:t>办理时限</w:t>
            </w:r>
          </w:p>
        </w:tc>
        <w:tc>
          <w:tcPr>
            <w:tcW w:w="1623" w:type="dxa"/>
            <w:vMerge w:val="restart"/>
            <w:vAlign w:val="center"/>
          </w:tcPr>
          <w:p w:rsidR="00013EC7" w:rsidRDefault="00575CDB">
            <w:pPr>
              <w:jc w:val="center"/>
            </w:pPr>
            <w:r>
              <w:rPr>
                <w:rFonts w:ascii="黑体" w:eastAsia="黑体" w:hAnsi="黑体" w:cs="黑体" w:hint="eastAsia"/>
                <w:sz w:val="24"/>
              </w:rPr>
              <w:t>是否实现跑零次</w:t>
            </w:r>
          </w:p>
        </w:tc>
        <w:tc>
          <w:tcPr>
            <w:tcW w:w="1623" w:type="dxa"/>
            <w:vMerge w:val="restart"/>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省厅对口</w:t>
            </w:r>
          </w:p>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指导处室</w:t>
            </w:r>
          </w:p>
          <w:p w:rsidR="00013EC7" w:rsidRDefault="00575CDB">
            <w:pPr>
              <w:jc w:val="center"/>
            </w:pPr>
            <w:r>
              <w:rPr>
                <w:rFonts w:ascii="黑体" w:eastAsia="黑体" w:hAnsi="黑体" w:cs="黑体" w:hint="eastAsia"/>
                <w:sz w:val="24"/>
              </w:rPr>
              <w:t>（单位）</w:t>
            </w:r>
          </w:p>
        </w:tc>
        <w:tc>
          <w:tcPr>
            <w:tcW w:w="1623" w:type="dxa"/>
            <w:vMerge w:val="restart"/>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进一步精简、</w:t>
            </w:r>
          </w:p>
          <w:p w:rsidR="00013EC7" w:rsidRDefault="00575CDB">
            <w:pPr>
              <w:jc w:val="center"/>
            </w:pPr>
            <w:r>
              <w:rPr>
                <w:rFonts w:ascii="黑体" w:eastAsia="黑体" w:hAnsi="黑体" w:cs="黑体" w:hint="eastAsia"/>
                <w:sz w:val="24"/>
              </w:rPr>
              <w:t>规范建议</w:t>
            </w:r>
          </w:p>
        </w:tc>
      </w:tr>
      <w:tr w:rsidR="00013EC7">
        <w:trPr>
          <w:tblHeader/>
        </w:trPr>
        <w:tc>
          <w:tcPr>
            <w:tcW w:w="1162" w:type="dxa"/>
            <w:vMerge/>
            <w:vAlign w:val="center"/>
          </w:tcPr>
          <w:p w:rsidR="00013EC7" w:rsidRDefault="00013EC7">
            <w:pPr>
              <w:jc w:val="center"/>
            </w:pPr>
          </w:p>
        </w:tc>
        <w:tc>
          <w:tcPr>
            <w:tcW w:w="1163" w:type="dxa"/>
            <w:vMerge/>
            <w:vAlign w:val="center"/>
          </w:tcPr>
          <w:p w:rsidR="00013EC7" w:rsidRDefault="00013EC7">
            <w:pPr>
              <w:jc w:val="center"/>
            </w:pPr>
          </w:p>
        </w:tc>
        <w:tc>
          <w:tcPr>
            <w:tcW w:w="2541" w:type="dxa"/>
            <w:vMerge/>
            <w:vAlign w:val="center"/>
          </w:tcPr>
          <w:p w:rsidR="00013EC7" w:rsidRDefault="00013EC7">
            <w:pPr>
              <w:jc w:val="center"/>
            </w:pPr>
          </w:p>
        </w:tc>
        <w:tc>
          <w:tcPr>
            <w:tcW w:w="1622" w:type="dxa"/>
            <w:vAlign w:val="center"/>
          </w:tcPr>
          <w:p w:rsidR="00013EC7" w:rsidRDefault="00575CDB">
            <w:pPr>
              <w:jc w:val="center"/>
            </w:pPr>
            <w:r>
              <w:rPr>
                <w:rFonts w:ascii="黑体" w:eastAsia="黑体" w:hAnsi="黑体" w:cs="黑体" w:hint="eastAsia"/>
                <w:sz w:val="24"/>
              </w:rPr>
              <w:t>材料明细</w:t>
            </w:r>
          </w:p>
        </w:tc>
        <w:tc>
          <w:tcPr>
            <w:tcW w:w="1622" w:type="dxa"/>
            <w:vAlign w:val="center"/>
          </w:tcPr>
          <w:p w:rsidR="00013EC7" w:rsidRDefault="00575CDB">
            <w:pPr>
              <w:jc w:val="center"/>
            </w:pPr>
            <w:r>
              <w:rPr>
                <w:rFonts w:ascii="黑体" w:eastAsia="黑体" w:hAnsi="黑体" w:cs="黑体" w:hint="eastAsia"/>
                <w:sz w:val="24"/>
              </w:rPr>
              <w:t>材料来源</w:t>
            </w:r>
          </w:p>
        </w:tc>
        <w:tc>
          <w:tcPr>
            <w:tcW w:w="1622" w:type="dxa"/>
            <w:vAlign w:val="center"/>
          </w:tcPr>
          <w:p w:rsidR="00013EC7" w:rsidRDefault="00575CDB">
            <w:pPr>
              <w:jc w:val="center"/>
            </w:pPr>
            <w:r>
              <w:rPr>
                <w:rFonts w:ascii="黑体" w:eastAsia="黑体" w:hAnsi="黑体" w:cs="黑体" w:hint="eastAsia"/>
                <w:sz w:val="24"/>
              </w:rPr>
              <w:t>材料明细</w:t>
            </w:r>
          </w:p>
        </w:tc>
        <w:tc>
          <w:tcPr>
            <w:tcW w:w="1623" w:type="dxa"/>
            <w:vAlign w:val="center"/>
          </w:tcPr>
          <w:p w:rsidR="00013EC7" w:rsidRDefault="00575CDB">
            <w:pPr>
              <w:jc w:val="center"/>
            </w:pPr>
            <w:r>
              <w:rPr>
                <w:rFonts w:ascii="黑体" w:eastAsia="黑体" w:hAnsi="黑体" w:cs="黑体" w:hint="eastAsia"/>
                <w:sz w:val="24"/>
              </w:rPr>
              <w:t>材料来源</w:t>
            </w:r>
          </w:p>
        </w:tc>
        <w:tc>
          <w:tcPr>
            <w:tcW w:w="1623"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办理方式及材料</w:t>
            </w:r>
          </w:p>
          <w:p w:rsidR="00013EC7" w:rsidRDefault="00575CDB">
            <w:pPr>
              <w:jc w:val="center"/>
            </w:pPr>
            <w:r>
              <w:rPr>
                <w:rFonts w:ascii="黑体" w:eastAsia="黑体" w:hAnsi="黑体" w:cs="黑体" w:hint="eastAsia"/>
                <w:sz w:val="24"/>
              </w:rPr>
              <w:t>信息获取方式说明</w:t>
            </w:r>
          </w:p>
        </w:tc>
        <w:tc>
          <w:tcPr>
            <w:tcW w:w="1623" w:type="dxa"/>
            <w:vAlign w:val="center"/>
          </w:tcPr>
          <w:p w:rsidR="00013EC7" w:rsidRDefault="00575CDB">
            <w:pPr>
              <w:jc w:val="center"/>
            </w:pPr>
            <w:r>
              <w:rPr>
                <w:rFonts w:ascii="黑体" w:eastAsia="黑体" w:hAnsi="黑体" w:cs="黑体" w:hint="eastAsia"/>
                <w:sz w:val="24"/>
              </w:rPr>
              <w:t>优化前</w:t>
            </w:r>
          </w:p>
        </w:tc>
        <w:tc>
          <w:tcPr>
            <w:tcW w:w="1623" w:type="dxa"/>
            <w:vAlign w:val="center"/>
          </w:tcPr>
          <w:p w:rsidR="00013EC7" w:rsidRDefault="00575CDB">
            <w:pPr>
              <w:jc w:val="center"/>
            </w:pPr>
            <w:r>
              <w:rPr>
                <w:rFonts w:ascii="黑体" w:eastAsia="黑体" w:hAnsi="黑体" w:cs="黑体" w:hint="eastAsia"/>
                <w:sz w:val="24"/>
              </w:rPr>
              <w:t>优化后</w:t>
            </w: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r>
      <w:tr w:rsidR="00013EC7">
        <w:tc>
          <w:tcPr>
            <w:tcW w:w="1162" w:type="dxa"/>
            <w:vMerge w:val="restart"/>
            <w:vAlign w:val="center"/>
          </w:tcPr>
          <w:p w:rsidR="00013EC7" w:rsidRDefault="00575CDB">
            <w:pPr>
              <w:spacing w:line="300" w:lineRule="exact"/>
              <w:jc w:val="left"/>
              <w:rPr>
                <w:rFonts w:ascii="仿宋" w:eastAsia="仿宋" w:hAnsi="仿宋" w:cs="仿宋"/>
                <w:kern w:val="0"/>
                <w:sz w:val="24"/>
              </w:rPr>
            </w:pPr>
            <w:r>
              <w:rPr>
                <w:rFonts w:ascii="仿宋" w:eastAsia="仿宋" w:hAnsi="仿宋" w:cs="仿宋" w:hint="eastAsia"/>
                <w:kern w:val="0"/>
                <w:sz w:val="24"/>
              </w:rPr>
              <w:t>23退（抵）税办理</w:t>
            </w:r>
          </w:p>
          <w:p w:rsidR="00013EC7" w:rsidRDefault="00013EC7"/>
        </w:tc>
        <w:tc>
          <w:tcPr>
            <w:tcW w:w="1163" w:type="dxa"/>
            <w:vMerge w:val="restart"/>
            <w:vAlign w:val="center"/>
          </w:tcPr>
          <w:p w:rsidR="00013EC7" w:rsidRDefault="00575CDB">
            <w:pPr>
              <w:spacing w:line="310" w:lineRule="exact"/>
              <w:rPr>
                <w:rFonts w:ascii="仿宋" w:eastAsia="仿宋" w:hAnsi="仿宋" w:cs="仿宋"/>
                <w:sz w:val="24"/>
              </w:rPr>
            </w:pPr>
            <w:r>
              <w:rPr>
                <w:rFonts w:ascii="仿宋" w:eastAsia="仿宋" w:hAnsi="仿宋" w:cs="仿宋" w:hint="eastAsia"/>
                <w:kern w:val="0"/>
                <w:sz w:val="24"/>
              </w:rPr>
              <w:t>23.4入库减免退抵税办理</w:t>
            </w:r>
          </w:p>
          <w:p w:rsidR="00013EC7" w:rsidRDefault="00013EC7">
            <w:pPr>
              <w:jc w:val="center"/>
            </w:pPr>
          </w:p>
        </w:tc>
        <w:tc>
          <w:tcPr>
            <w:tcW w:w="2541" w:type="dxa"/>
            <w:vMerge w:val="restart"/>
            <w:vAlign w:val="center"/>
          </w:tcPr>
          <w:p w:rsidR="00013EC7" w:rsidRDefault="00575CDB">
            <w:pPr>
              <w:spacing w:line="310" w:lineRule="exact"/>
              <w:rPr>
                <w:rFonts w:ascii="仿宋" w:eastAsia="仿宋" w:hAnsi="仿宋" w:cs="仿宋"/>
                <w:kern w:val="1"/>
                <w:sz w:val="24"/>
              </w:rPr>
            </w:pPr>
            <w:r>
              <w:rPr>
                <w:rFonts w:ascii="仿宋" w:eastAsia="仿宋" w:hAnsi="仿宋" w:cs="仿宋" w:hint="eastAsia"/>
                <w:kern w:val="1"/>
                <w:sz w:val="24"/>
              </w:rPr>
              <w:t>（一）《财政部、国家税务总局关于促进残疾人就业增值税优惠政策的通知》（财税〔2016〕52号）全文。</w:t>
            </w:r>
          </w:p>
          <w:p w:rsidR="00013EC7" w:rsidRDefault="00575CDB">
            <w:pPr>
              <w:spacing w:line="310" w:lineRule="exact"/>
              <w:rPr>
                <w:rFonts w:ascii="仿宋" w:eastAsia="仿宋" w:hAnsi="仿宋" w:cs="仿宋"/>
                <w:kern w:val="1"/>
                <w:sz w:val="24"/>
              </w:rPr>
            </w:pPr>
            <w:r>
              <w:rPr>
                <w:rFonts w:ascii="仿宋" w:eastAsia="仿宋" w:hAnsi="仿宋" w:cs="仿宋" w:hint="eastAsia"/>
                <w:kern w:val="1"/>
                <w:sz w:val="24"/>
              </w:rPr>
              <w:t>（二）《国家税务总局关于发布&lt;促进残疾人就业增值税优惠政策管理办法&gt;的公告》（国家税务总局公告2016年第33号）全文。</w:t>
            </w:r>
          </w:p>
          <w:p w:rsidR="00013EC7" w:rsidRDefault="00575CDB">
            <w:pPr>
              <w:spacing w:line="310" w:lineRule="exact"/>
              <w:rPr>
                <w:rFonts w:ascii="仿宋" w:eastAsia="仿宋" w:hAnsi="仿宋" w:cs="仿宋"/>
                <w:kern w:val="1"/>
                <w:sz w:val="24"/>
              </w:rPr>
            </w:pPr>
            <w:r>
              <w:rPr>
                <w:rFonts w:ascii="仿宋" w:eastAsia="仿宋" w:hAnsi="仿宋" w:cs="仿宋" w:hint="eastAsia"/>
                <w:kern w:val="1"/>
                <w:sz w:val="24"/>
              </w:rPr>
              <w:t>（三）《财政部 国家税务总局关于软件产品增值税政策的通知》（财税〔2011〕100号）全文。</w:t>
            </w:r>
          </w:p>
          <w:p w:rsidR="00013EC7" w:rsidRDefault="00575CDB">
            <w:pPr>
              <w:spacing w:line="310" w:lineRule="exact"/>
              <w:rPr>
                <w:rFonts w:ascii="仿宋" w:eastAsia="仿宋" w:hAnsi="仿宋" w:cs="仿宋"/>
                <w:kern w:val="1"/>
                <w:sz w:val="24"/>
              </w:rPr>
            </w:pPr>
            <w:r>
              <w:rPr>
                <w:rFonts w:ascii="仿宋" w:eastAsia="仿宋" w:hAnsi="仿宋" w:cs="仿宋" w:hint="eastAsia"/>
                <w:kern w:val="1"/>
                <w:sz w:val="24"/>
              </w:rPr>
              <w:t>（四）《关于动漫产业增值税和营业税政策的通知》（财税〔2013〕98号）全文（2017年12月31日政策到期）。</w:t>
            </w:r>
          </w:p>
          <w:p w:rsidR="00013EC7" w:rsidRDefault="00575CDB">
            <w:pPr>
              <w:spacing w:line="310" w:lineRule="exact"/>
              <w:rPr>
                <w:rFonts w:ascii="仿宋" w:eastAsia="仿宋" w:hAnsi="仿宋" w:cs="仿宋"/>
                <w:kern w:val="1"/>
                <w:sz w:val="24"/>
              </w:rPr>
            </w:pPr>
            <w:r>
              <w:rPr>
                <w:rFonts w:ascii="仿宋" w:eastAsia="仿宋" w:hAnsi="仿宋" w:cs="仿宋" w:hint="eastAsia"/>
                <w:kern w:val="1"/>
                <w:sz w:val="24"/>
              </w:rPr>
              <w:t>（五）《财政部 国家税务总局关于&lt;印发资源综合利用产品和劳务增值税优惠目录&gt;的通知》（财税〔2015〕78号）全文。</w:t>
            </w:r>
          </w:p>
          <w:p w:rsidR="00013EC7" w:rsidRDefault="00575CDB">
            <w:pPr>
              <w:spacing w:line="310" w:lineRule="exact"/>
              <w:rPr>
                <w:rFonts w:ascii="仿宋" w:eastAsia="仿宋" w:hAnsi="仿宋" w:cs="仿宋"/>
                <w:kern w:val="1"/>
                <w:sz w:val="24"/>
              </w:rPr>
            </w:pPr>
            <w:r>
              <w:rPr>
                <w:rFonts w:ascii="仿宋" w:eastAsia="仿宋" w:hAnsi="仿宋" w:cs="仿宋" w:hint="eastAsia"/>
                <w:kern w:val="1"/>
                <w:sz w:val="24"/>
              </w:rPr>
              <w:t>（六）《浙江省国家税务局关于资源综合利用产品和劳务增值税优惠政策的公告》（浙</w:t>
            </w:r>
            <w:r>
              <w:rPr>
                <w:rFonts w:ascii="仿宋" w:eastAsia="仿宋" w:hAnsi="仿宋" w:cs="仿宋" w:hint="eastAsia"/>
                <w:kern w:val="1"/>
                <w:sz w:val="24"/>
              </w:rPr>
              <w:lastRenderedPageBreak/>
              <w:t>江省国家税务局公告2015年第6号）全文。</w:t>
            </w:r>
          </w:p>
          <w:p w:rsidR="00013EC7" w:rsidRDefault="00575CDB">
            <w:pPr>
              <w:spacing w:line="310" w:lineRule="exact"/>
              <w:rPr>
                <w:rFonts w:ascii="仿宋" w:eastAsia="仿宋" w:hAnsi="仿宋" w:cs="仿宋"/>
                <w:kern w:val="1"/>
                <w:sz w:val="24"/>
              </w:rPr>
            </w:pPr>
            <w:r>
              <w:rPr>
                <w:rFonts w:ascii="仿宋" w:eastAsia="仿宋" w:hAnsi="仿宋" w:cs="仿宋" w:hint="eastAsia"/>
                <w:kern w:val="1"/>
                <w:sz w:val="24"/>
              </w:rPr>
              <w:t>（七）《财政部 国家税务总局关于飞机维修增值税问题的通知》（财税〔2000〕102号）全文。</w:t>
            </w:r>
          </w:p>
          <w:p w:rsidR="00013EC7" w:rsidRDefault="00575CDB">
            <w:pPr>
              <w:spacing w:line="310" w:lineRule="exact"/>
              <w:rPr>
                <w:rFonts w:ascii="仿宋" w:eastAsia="仿宋" w:hAnsi="仿宋" w:cs="仿宋"/>
                <w:kern w:val="1"/>
                <w:sz w:val="24"/>
              </w:rPr>
            </w:pPr>
            <w:r>
              <w:rPr>
                <w:rFonts w:ascii="仿宋" w:eastAsia="仿宋" w:hAnsi="仿宋" w:cs="仿宋" w:hint="eastAsia"/>
                <w:kern w:val="1"/>
                <w:sz w:val="24"/>
              </w:rPr>
              <w:t>（八）《</w:t>
            </w:r>
            <w:hyperlink w:anchor="_（财税〔2014〕10号）《财政部_国家税务总局关于大型水电企业增值税" w:history="1">
              <w:r>
                <w:rPr>
                  <w:rFonts w:ascii="仿宋" w:eastAsia="仿宋" w:hAnsi="仿宋" w:cs="仿宋" w:hint="eastAsia"/>
                  <w:kern w:val="1"/>
                  <w:sz w:val="24"/>
                </w:rPr>
                <w:t>财政部 国家税务总局关于大型水电企业增值税政策的通知</w:t>
              </w:r>
            </w:hyperlink>
            <w:r>
              <w:rPr>
                <w:rFonts w:ascii="仿宋" w:eastAsia="仿宋" w:hAnsi="仿宋" w:cs="仿宋" w:hint="eastAsia"/>
                <w:kern w:val="1"/>
                <w:sz w:val="24"/>
              </w:rPr>
              <w:t>》（财税〔2014〕10号）全文（2017年12月31日政策到期）。</w:t>
            </w:r>
          </w:p>
          <w:p w:rsidR="00013EC7" w:rsidRDefault="00575CDB">
            <w:pPr>
              <w:spacing w:line="310" w:lineRule="exact"/>
              <w:rPr>
                <w:rFonts w:ascii="仿宋" w:eastAsia="仿宋" w:hAnsi="仿宋" w:cs="仿宋"/>
                <w:kern w:val="1"/>
                <w:sz w:val="24"/>
              </w:rPr>
            </w:pPr>
            <w:r>
              <w:rPr>
                <w:rFonts w:ascii="仿宋" w:eastAsia="仿宋" w:hAnsi="仿宋" w:cs="仿宋" w:hint="eastAsia"/>
                <w:kern w:val="1"/>
                <w:sz w:val="24"/>
              </w:rPr>
              <w:t>（九）《关于继续执行光伏发电增值税政策的通知》（财税〔2016〕81号）全文。</w:t>
            </w:r>
          </w:p>
          <w:p w:rsidR="00013EC7" w:rsidRDefault="00575CDB">
            <w:pPr>
              <w:spacing w:line="310" w:lineRule="exact"/>
              <w:rPr>
                <w:rFonts w:ascii="仿宋" w:eastAsia="仿宋" w:hAnsi="仿宋" w:cs="仿宋"/>
                <w:kern w:val="1"/>
                <w:sz w:val="24"/>
              </w:rPr>
            </w:pPr>
            <w:r>
              <w:rPr>
                <w:rFonts w:ascii="仿宋" w:eastAsia="仿宋" w:hAnsi="仿宋" w:cs="仿宋" w:hint="eastAsia"/>
                <w:kern w:val="1"/>
                <w:sz w:val="24"/>
              </w:rPr>
              <w:t>（十）《营业税改征增值税试点过渡政策的规定》（财税〔2016〕36号）附件3第二条。</w:t>
            </w:r>
          </w:p>
          <w:p w:rsidR="00013EC7" w:rsidRDefault="00575CDB">
            <w:pPr>
              <w:spacing w:line="310" w:lineRule="exact"/>
              <w:rPr>
                <w:rFonts w:ascii="仿宋" w:eastAsia="仿宋" w:hAnsi="仿宋" w:cs="仿宋"/>
                <w:kern w:val="1"/>
                <w:sz w:val="24"/>
              </w:rPr>
            </w:pPr>
            <w:r>
              <w:rPr>
                <w:rFonts w:ascii="仿宋" w:eastAsia="仿宋" w:hAnsi="仿宋" w:cs="仿宋" w:hint="eastAsia"/>
                <w:kern w:val="1"/>
                <w:sz w:val="24"/>
              </w:rPr>
              <w:t>（十一）《财政部 国家税务总局关于铂金及其制品税收政策的通知》（财税〔2003〕86号）全文。</w:t>
            </w:r>
          </w:p>
          <w:p w:rsidR="00013EC7" w:rsidRDefault="00575CDB">
            <w:pPr>
              <w:spacing w:line="310" w:lineRule="exact"/>
              <w:rPr>
                <w:rFonts w:ascii="仿宋" w:eastAsia="仿宋" w:hAnsi="仿宋" w:cs="仿宋"/>
                <w:kern w:val="1"/>
                <w:sz w:val="24"/>
              </w:rPr>
            </w:pPr>
            <w:r>
              <w:rPr>
                <w:rFonts w:ascii="仿宋" w:eastAsia="仿宋" w:hAnsi="仿宋" w:cs="仿宋" w:hint="eastAsia"/>
                <w:kern w:val="1"/>
                <w:sz w:val="24"/>
              </w:rPr>
              <w:t>（十二）《财政部 国家税务总局关于新型墙体材料增值税政策的通知》（财税〔2015〕73号）全文。</w:t>
            </w:r>
          </w:p>
          <w:p w:rsidR="00013EC7" w:rsidRDefault="00575CDB">
            <w:pPr>
              <w:spacing w:line="310" w:lineRule="exact"/>
              <w:rPr>
                <w:rFonts w:ascii="仿宋" w:eastAsia="仿宋" w:hAnsi="仿宋" w:cs="仿宋"/>
                <w:kern w:val="1"/>
                <w:sz w:val="24"/>
              </w:rPr>
            </w:pPr>
            <w:r>
              <w:rPr>
                <w:rFonts w:ascii="仿宋" w:eastAsia="仿宋" w:hAnsi="仿宋" w:cs="仿宋" w:hint="eastAsia"/>
                <w:kern w:val="1"/>
                <w:sz w:val="24"/>
              </w:rPr>
              <w:t>（十三）《财政部国家税务总局关于风力发电增值税政策的通知》（财税〔2015〕74号）全文。</w:t>
            </w:r>
          </w:p>
          <w:p w:rsidR="00013EC7" w:rsidRDefault="00575CDB">
            <w:pPr>
              <w:spacing w:line="310" w:lineRule="exact"/>
              <w:rPr>
                <w:rFonts w:ascii="仿宋" w:eastAsia="仿宋" w:hAnsi="仿宋" w:cs="仿宋"/>
                <w:kern w:val="1"/>
                <w:sz w:val="24"/>
              </w:rPr>
            </w:pPr>
            <w:r>
              <w:rPr>
                <w:rFonts w:ascii="仿宋" w:eastAsia="仿宋" w:hAnsi="仿宋" w:cs="仿宋" w:hint="eastAsia"/>
                <w:kern w:val="1"/>
                <w:sz w:val="24"/>
              </w:rPr>
              <w:lastRenderedPageBreak/>
              <w:t xml:space="preserve"> (十四) 《</w:t>
            </w:r>
            <w:bookmarkStart w:id="469" w:name="BIAOTI"/>
            <w:bookmarkEnd w:id="469"/>
            <w:r>
              <w:rPr>
                <w:rFonts w:ascii="仿宋" w:eastAsia="仿宋" w:hAnsi="仿宋" w:cs="仿宋" w:hint="eastAsia"/>
                <w:kern w:val="1"/>
                <w:sz w:val="24"/>
              </w:rPr>
              <w:t>国家税务总局关于进一步规范增值税、消费税</w:t>
            </w:r>
            <w:r w:rsidR="003A3FCC">
              <w:rPr>
                <w:rFonts w:ascii="仿宋" w:eastAsia="仿宋" w:hAnsi="仿宋" w:cs="仿宋" w:hint="eastAsia"/>
                <w:kern w:val="1"/>
                <w:sz w:val="24"/>
              </w:rPr>
              <w:t>、</w:t>
            </w:r>
            <w:r>
              <w:rPr>
                <w:rFonts w:ascii="仿宋" w:eastAsia="仿宋" w:hAnsi="仿宋" w:cs="仿宋" w:hint="eastAsia"/>
                <w:kern w:val="1"/>
                <w:sz w:val="24"/>
              </w:rPr>
              <w:t>车辆购置税有关涉税事项办理的通知》（税总函〔2017〕426号）第五条。</w:t>
            </w:r>
          </w:p>
          <w:p w:rsidR="00013EC7" w:rsidRDefault="00575CDB">
            <w:pPr>
              <w:spacing w:line="310" w:lineRule="exact"/>
              <w:rPr>
                <w:rFonts w:ascii="仿宋" w:eastAsia="仿宋" w:hAnsi="仿宋" w:cs="仿宋"/>
                <w:kern w:val="1"/>
                <w:sz w:val="24"/>
              </w:rPr>
            </w:pPr>
            <w:r>
              <w:rPr>
                <w:rFonts w:ascii="仿宋" w:eastAsia="仿宋" w:hAnsi="仿宋" w:cs="仿宋" w:hint="eastAsia"/>
                <w:kern w:val="1"/>
                <w:sz w:val="24"/>
              </w:rPr>
              <w:t>（十五）《中华人民共和国税收征收管理法实施细则》（2002年中华人民共和国国务院令第 362 号）第七十八条，第七十九条。</w:t>
            </w:r>
            <w:r>
              <w:rPr>
                <w:rFonts w:ascii="仿宋" w:eastAsia="仿宋" w:hAnsi="仿宋" w:cs="仿宋" w:hint="eastAsia"/>
                <w:kern w:val="1"/>
                <w:sz w:val="24"/>
              </w:rPr>
              <w:br/>
              <w:t>（十六）《税款缴库退库工作规程》（2014年国家税务总局令第 31 号）第三章。</w:t>
            </w:r>
            <w:r>
              <w:rPr>
                <w:rFonts w:ascii="仿宋" w:eastAsia="仿宋" w:hAnsi="仿宋" w:cs="仿宋" w:hint="eastAsia"/>
                <w:kern w:val="1"/>
                <w:sz w:val="24"/>
              </w:rPr>
              <w:br/>
              <w:t xml:space="preserve"> (十七）《国家税务总局关于应退税款抵扣欠缴税款有关问题的通知》（国税发〔2002〕 150 号）全文。</w:t>
            </w:r>
            <w:r>
              <w:rPr>
                <w:rFonts w:ascii="仿宋" w:eastAsia="仿宋" w:hAnsi="仿宋" w:cs="仿宋" w:hint="eastAsia"/>
                <w:kern w:val="1"/>
                <w:sz w:val="24"/>
              </w:rPr>
              <w:br/>
              <w:t>（十八）《国家税务总局关于严格执行税款退库办理制度的通知》（国税函〔2011〕19 号）全文。</w:t>
            </w:r>
          </w:p>
          <w:p w:rsidR="00013EC7" w:rsidRDefault="00575CDB">
            <w:pPr>
              <w:spacing w:line="310" w:lineRule="exact"/>
              <w:rPr>
                <w:rFonts w:ascii="仿宋" w:eastAsia="仿宋" w:hAnsi="仿宋" w:cs="仿宋"/>
                <w:kern w:val="1"/>
                <w:sz w:val="24"/>
              </w:rPr>
            </w:pPr>
            <w:r>
              <w:rPr>
                <w:rFonts w:ascii="仿宋" w:eastAsia="仿宋" w:hAnsi="仿宋" w:cs="仿宋" w:hint="eastAsia"/>
                <w:kern w:val="1"/>
                <w:sz w:val="24"/>
              </w:rPr>
              <w:t>（十九）《国家税务总局关于小微企业免征增值税和营业税有关问题的公告》（国家税务总局公告2014 年第 57 号）第三条。</w:t>
            </w:r>
            <w:r>
              <w:rPr>
                <w:rFonts w:ascii="仿宋" w:eastAsia="仿宋" w:hAnsi="仿宋" w:cs="仿宋" w:hint="eastAsia"/>
                <w:kern w:val="1"/>
                <w:sz w:val="24"/>
              </w:rPr>
              <w:br/>
              <w:t>（二十）《国家税务总局关于发布&lt;非居民纳税人享受税收协定待</w:t>
            </w:r>
            <w:r>
              <w:rPr>
                <w:rFonts w:ascii="仿宋" w:eastAsia="仿宋" w:hAnsi="仿宋" w:cs="仿宋" w:hint="eastAsia"/>
                <w:kern w:val="1"/>
                <w:sz w:val="24"/>
              </w:rPr>
              <w:lastRenderedPageBreak/>
              <w:t>遇管理办法&gt;的公告》（国家税务总局公告 2015 年第 60 号）第十四条。</w:t>
            </w:r>
          </w:p>
          <w:p w:rsidR="00013EC7" w:rsidRDefault="00013EC7">
            <w:pPr>
              <w:jc w:val="center"/>
            </w:pPr>
          </w:p>
        </w:tc>
        <w:tc>
          <w:tcPr>
            <w:tcW w:w="1622" w:type="dxa"/>
            <w:vAlign w:val="center"/>
          </w:tcPr>
          <w:p w:rsidR="00013EC7" w:rsidRDefault="00575CDB">
            <w:pPr>
              <w:jc w:val="left"/>
            </w:pPr>
            <w:r>
              <w:rPr>
                <w:rFonts w:ascii="仿宋" w:eastAsia="仿宋" w:hAnsi="仿宋" w:cs="仿宋" w:hint="eastAsia"/>
                <w:kern w:val="0"/>
                <w:sz w:val="24"/>
              </w:rPr>
              <w:lastRenderedPageBreak/>
              <w:t>（一）</w:t>
            </w:r>
            <w:r w:rsidR="00322F4E">
              <w:rPr>
                <w:rFonts w:ascii="仿宋" w:eastAsia="仿宋" w:hAnsi="仿宋" w:cs="仿宋" w:hint="eastAsia"/>
                <w:kern w:val="0"/>
                <w:sz w:val="24"/>
              </w:rPr>
              <w:t>（</w:t>
            </w:r>
            <w:r>
              <w:rPr>
                <w:rFonts w:ascii="仿宋" w:eastAsia="仿宋" w:hAnsi="仿宋" w:cs="仿宋" w:hint="eastAsia"/>
                <w:kern w:val="0"/>
                <w:sz w:val="24"/>
              </w:rPr>
              <w:t>A07113</w:t>
            </w:r>
            <w:r w:rsidR="00322F4E">
              <w:rPr>
                <w:rFonts w:ascii="仿宋" w:eastAsia="仿宋" w:hAnsi="仿宋" w:cs="仿宋" w:hint="eastAsia"/>
                <w:kern w:val="0"/>
                <w:sz w:val="24"/>
              </w:rPr>
              <w:t>）</w:t>
            </w:r>
            <w:r>
              <w:rPr>
                <w:rFonts w:ascii="仿宋" w:eastAsia="仿宋" w:hAnsi="仿宋" w:cs="仿宋" w:hint="eastAsia"/>
                <w:kern w:val="0"/>
                <w:sz w:val="24"/>
              </w:rPr>
              <w:t>《退（抵）税申请表</w:t>
            </w:r>
            <w:r w:rsidR="00322F4E">
              <w:rPr>
                <w:rFonts w:ascii="仿宋" w:eastAsia="仿宋" w:hAnsi="仿宋" w:cs="仿宋" w:hint="eastAsia"/>
                <w:kern w:val="0"/>
                <w:sz w:val="24"/>
              </w:rPr>
              <w:t>（</w:t>
            </w:r>
            <w:r>
              <w:rPr>
                <w:rFonts w:ascii="仿宋" w:eastAsia="仿宋" w:hAnsi="仿宋" w:cs="仿宋" w:hint="eastAsia"/>
                <w:kern w:val="0"/>
                <w:sz w:val="24"/>
              </w:rPr>
              <w:t>B</w:t>
            </w:r>
            <w:r w:rsidR="00322F4E">
              <w:rPr>
                <w:rFonts w:ascii="仿宋" w:eastAsia="仿宋" w:hAnsi="仿宋" w:cs="仿宋" w:hint="eastAsia"/>
                <w:kern w:val="0"/>
                <w:sz w:val="24"/>
              </w:rPr>
              <w:t>）</w:t>
            </w:r>
            <w:r>
              <w:rPr>
                <w:rFonts w:ascii="仿宋" w:eastAsia="仿宋" w:hAnsi="仿宋" w:cs="仿宋" w:hint="eastAsia"/>
                <w:kern w:val="0"/>
                <w:sz w:val="24"/>
              </w:rPr>
              <w:t xml:space="preserve">》 </w:t>
            </w:r>
            <w:r>
              <w:rPr>
                <w:rFonts w:ascii="仿宋" w:eastAsia="仿宋" w:hAnsi="仿宋" w:cs="仿宋" w:hint="eastAsia"/>
                <w:kern w:val="0"/>
                <w:sz w:val="24"/>
                <w:highlight w:val="lightGray"/>
              </w:rPr>
              <w:t>3份</w:t>
            </w:r>
            <w:r>
              <w:rPr>
                <w:rFonts w:ascii="仿宋" w:eastAsia="仿宋" w:hAnsi="仿宋" w:cs="仿宋" w:hint="eastAsia"/>
                <w:kern w:val="0"/>
                <w:sz w:val="24"/>
              </w:rPr>
              <w:t>。</w:t>
            </w:r>
          </w:p>
        </w:tc>
        <w:tc>
          <w:tcPr>
            <w:tcW w:w="1622" w:type="dxa"/>
            <w:vAlign w:val="center"/>
          </w:tcPr>
          <w:p w:rsidR="00013EC7" w:rsidRDefault="00575CDB">
            <w:pPr>
              <w:jc w:val="left"/>
            </w:pPr>
            <w:r>
              <w:rPr>
                <w:rFonts w:ascii="仿宋" w:eastAsia="仿宋" w:hAnsi="仿宋" w:cs="仿宋" w:hint="eastAsia"/>
                <w:sz w:val="24"/>
              </w:rPr>
              <w:t>纳税人提交</w:t>
            </w:r>
          </w:p>
        </w:tc>
        <w:tc>
          <w:tcPr>
            <w:tcW w:w="1622" w:type="dxa"/>
            <w:vAlign w:val="center"/>
          </w:tcPr>
          <w:p w:rsidR="00013EC7" w:rsidRDefault="00575CDB">
            <w:pPr>
              <w:jc w:val="left"/>
            </w:pPr>
            <w:r>
              <w:rPr>
                <w:rFonts w:ascii="仿宋" w:eastAsia="仿宋" w:hAnsi="仿宋" w:cs="仿宋" w:hint="eastAsia"/>
                <w:kern w:val="1"/>
                <w:sz w:val="24"/>
              </w:rPr>
              <w:t>（一）</w:t>
            </w:r>
            <w:r w:rsidR="00322F4E">
              <w:rPr>
                <w:rFonts w:ascii="仿宋" w:eastAsia="仿宋" w:hAnsi="仿宋" w:cs="仿宋" w:hint="eastAsia"/>
                <w:kern w:val="1"/>
                <w:sz w:val="24"/>
              </w:rPr>
              <w:t>（</w:t>
            </w:r>
            <w:r>
              <w:rPr>
                <w:rFonts w:ascii="仿宋" w:eastAsia="仿宋" w:hAnsi="仿宋" w:cs="仿宋" w:hint="eastAsia"/>
                <w:kern w:val="0"/>
                <w:sz w:val="24"/>
              </w:rPr>
              <w:t>A07113</w:t>
            </w:r>
            <w:r w:rsidR="00322F4E">
              <w:rPr>
                <w:rFonts w:ascii="仿宋" w:eastAsia="仿宋" w:hAnsi="仿宋" w:cs="仿宋" w:hint="eastAsia"/>
                <w:kern w:val="0"/>
                <w:sz w:val="24"/>
              </w:rPr>
              <w:t>）</w:t>
            </w:r>
            <w:r>
              <w:rPr>
                <w:rFonts w:ascii="仿宋" w:eastAsia="仿宋" w:hAnsi="仿宋" w:cs="仿宋" w:hint="eastAsia"/>
                <w:kern w:val="0"/>
                <w:sz w:val="24"/>
              </w:rPr>
              <w:t>《退（抵）税申请表</w:t>
            </w:r>
            <w:r w:rsidR="00322F4E">
              <w:rPr>
                <w:rFonts w:ascii="仿宋" w:eastAsia="仿宋" w:hAnsi="仿宋" w:cs="仿宋" w:hint="eastAsia"/>
                <w:kern w:val="0"/>
                <w:sz w:val="24"/>
              </w:rPr>
              <w:t>（</w:t>
            </w:r>
            <w:r>
              <w:rPr>
                <w:rFonts w:ascii="仿宋" w:eastAsia="仿宋" w:hAnsi="仿宋" w:cs="仿宋" w:hint="eastAsia"/>
                <w:kern w:val="0"/>
                <w:sz w:val="24"/>
              </w:rPr>
              <w:t>B</w:t>
            </w:r>
            <w:r w:rsidR="00322F4E">
              <w:rPr>
                <w:rFonts w:ascii="仿宋" w:eastAsia="仿宋" w:hAnsi="仿宋" w:cs="仿宋" w:hint="eastAsia"/>
                <w:kern w:val="0"/>
                <w:sz w:val="24"/>
              </w:rPr>
              <w:t>）</w:t>
            </w:r>
            <w:r>
              <w:rPr>
                <w:rFonts w:ascii="仿宋" w:eastAsia="仿宋" w:hAnsi="仿宋" w:cs="仿宋" w:hint="eastAsia"/>
                <w:kern w:val="0"/>
                <w:sz w:val="24"/>
              </w:rPr>
              <w:t>》 2份。</w:t>
            </w:r>
          </w:p>
        </w:tc>
        <w:tc>
          <w:tcPr>
            <w:tcW w:w="1623" w:type="dxa"/>
            <w:vAlign w:val="center"/>
          </w:tcPr>
          <w:p w:rsidR="00013EC7" w:rsidRDefault="00575CDB">
            <w:pPr>
              <w:jc w:val="left"/>
            </w:pPr>
            <w:r>
              <w:rPr>
                <w:rFonts w:ascii="仿宋" w:eastAsia="仿宋" w:hAnsi="仿宋" w:cs="仿宋" w:hint="eastAsia"/>
                <w:sz w:val="24"/>
              </w:rPr>
              <w:t>纳税人提交</w:t>
            </w:r>
          </w:p>
        </w:tc>
        <w:tc>
          <w:tcPr>
            <w:tcW w:w="1623" w:type="dxa"/>
            <w:vAlign w:val="center"/>
          </w:tcPr>
          <w:p w:rsidR="00013EC7" w:rsidRDefault="00575CDB">
            <w:pPr>
              <w:spacing w:line="300" w:lineRule="exact"/>
              <w:rPr>
                <w:rFonts w:ascii="仿宋" w:eastAsia="仿宋" w:hAnsi="仿宋" w:cs="仿宋"/>
                <w:b/>
                <w:sz w:val="24"/>
              </w:rPr>
            </w:pPr>
            <w:r>
              <w:rPr>
                <w:rFonts w:ascii="仿宋" w:eastAsia="仿宋" w:hAnsi="仿宋" w:cs="仿宋" w:hint="eastAsia"/>
                <w:b/>
                <w:sz w:val="24"/>
              </w:rPr>
              <w:t>现场办理：</w:t>
            </w:r>
            <w:r>
              <w:rPr>
                <w:rFonts w:ascii="仿宋" w:eastAsia="仿宋" w:hAnsi="仿宋" w:cs="仿宋" w:hint="eastAsia"/>
                <w:sz w:val="24"/>
              </w:rPr>
              <w:t>纳税人提交书面材料。</w:t>
            </w:r>
          </w:p>
          <w:p w:rsidR="00013EC7" w:rsidRDefault="00575CDB">
            <w:pPr>
              <w:spacing w:line="300" w:lineRule="exact"/>
              <w:rPr>
                <w:rFonts w:ascii="仿宋" w:eastAsia="仿宋" w:hAnsi="仿宋" w:cs="仿宋"/>
                <w:b/>
                <w:sz w:val="24"/>
              </w:rPr>
            </w:pPr>
            <w:r>
              <w:rPr>
                <w:rFonts w:ascii="仿宋" w:eastAsia="仿宋" w:hAnsi="仿宋" w:cs="仿宋" w:hint="eastAsia"/>
                <w:b/>
                <w:sz w:val="24"/>
              </w:rPr>
              <w:t>网上办理：</w:t>
            </w:r>
            <w:r>
              <w:rPr>
                <w:rFonts w:ascii="仿宋" w:eastAsia="仿宋" w:hAnsi="仿宋" w:cs="仿宋" w:hint="eastAsia"/>
                <w:sz w:val="24"/>
              </w:rPr>
              <w:t>登录浙江国税电子税务局（网址：</w:t>
            </w:r>
            <w:hyperlink r:id="rId397" w:tgtFrame="https://wx.qq.com/_blank" w:history="1">
              <w:r>
                <w:rPr>
                  <w:rFonts w:ascii="仿宋" w:eastAsia="仿宋" w:hAnsi="仿宋" w:cs="仿宋" w:hint="eastAsia"/>
                  <w:sz w:val="24"/>
                </w:rPr>
                <w:t>http://etax.zjtax.gov.cn/</w:t>
              </w:r>
            </w:hyperlink>
            <w:r>
              <w:rPr>
                <w:rFonts w:ascii="仿宋" w:eastAsia="仿宋" w:hAnsi="仿宋" w:cs="仿宋" w:hint="eastAsia"/>
                <w:sz w:val="24"/>
              </w:rPr>
              <w:t>）提交申请。</w:t>
            </w:r>
          </w:p>
          <w:p w:rsidR="00013EC7" w:rsidRDefault="00575CDB">
            <w:pPr>
              <w:jc w:val="left"/>
            </w:pPr>
            <w:r>
              <w:rPr>
                <w:rStyle w:val="font31"/>
                <w:rFonts w:ascii="仿宋" w:eastAsia="仿宋" w:hAnsi="仿宋" w:cs="仿宋" w:hint="default"/>
                <w:sz w:val="24"/>
              </w:rPr>
              <w:t>APP办理：</w:t>
            </w:r>
            <w:r>
              <w:rPr>
                <w:rStyle w:val="font31"/>
                <w:rFonts w:ascii="仿宋" w:eastAsia="仿宋" w:hAnsi="仿宋" w:cs="仿宋" w:hint="default"/>
                <w:b w:val="0"/>
                <w:bCs/>
                <w:sz w:val="24"/>
              </w:rPr>
              <w:t>登录浙江国税APP提交申请。</w:t>
            </w:r>
          </w:p>
        </w:tc>
        <w:tc>
          <w:tcPr>
            <w:tcW w:w="1623" w:type="dxa"/>
            <w:vMerge w:val="restart"/>
            <w:vAlign w:val="center"/>
          </w:tcPr>
          <w:p w:rsidR="00013EC7" w:rsidRPr="002C074D" w:rsidRDefault="00575CDB">
            <w:pPr>
              <w:jc w:val="left"/>
              <w:rPr>
                <w:rFonts w:ascii="仿宋" w:eastAsia="仿宋" w:hAnsi="仿宋" w:cs="仿宋"/>
                <w:sz w:val="24"/>
                <w:highlight w:val="lightGray"/>
              </w:rPr>
            </w:pPr>
            <w:r w:rsidRPr="002C074D">
              <w:rPr>
                <w:rFonts w:ascii="仿宋" w:eastAsia="仿宋" w:hAnsi="仿宋" w:cs="仿宋" w:hint="eastAsia"/>
                <w:sz w:val="24"/>
                <w:highlight w:val="lightGray"/>
              </w:rPr>
              <w:t>20个工作日</w:t>
            </w:r>
          </w:p>
        </w:tc>
        <w:tc>
          <w:tcPr>
            <w:tcW w:w="1623" w:type="dxa"/>
            <w:vMerge w:val="restart"/>
            <w:vAlign w:val="center"/>
          </w:tcPr>
          <w:p w:rsidR="00013EC7" w:rsidRDefault="00575CDB">
            <w:pPr>
              <w:jc w:val="left"/>
              <w:rPr>
                <w:rFonts w:ascii="仿宋" w:eastAsia="仿宋" w:hAnsi="仿宋" w:cs="仿宋"/>
                <w:sz w:val="24"/>
              </w:rPr>
            </w:pPr>
            <w:r>
              <w:rPr>
                <w:rFonts w:ascii="仿宋" w:eastAsia="仿宋" w:hAnsi="仿宋" w:cs="仿宋" w:hint="eastAsia"/>
                <w:sz w:val="24"/>
              </w:rPr>
              <w:t>15个工作日</w:t>
            </w:r>
          </w:p>
        </w:tc>
        <w:tc>
          <w:tcPr>
            <w:tcW w:w="1623" w:type="dxa"/>
            <w:vMerge w:val="restart"/>
            <w:vAlign w:val="center"/>
          </w:tcPr>
          <w:p w:rsidR="00013EC7" w:rsidRDefault="00575CDB">
            <w:pPr>
              <w:jc w:val="left"/>
              <w:rPr>
                <w:rFonts w:ascii="仿宋" w:eastAsia="仿宋" w:hAnsi="仿宋" w:cs="仿宋"/>
                <w:sz w:val="24"/>
              </w:rPr>
            </w:pPr>
            <w:r>
              <w:rPr>
                <w:rFonts w:ascii="仿宋" w:eastAsia="仿宋" w:hAnsi="仿宋" w:cs="仿宋" w:hint="eastAsia"/>
                <w:sz w:val="24"/>
              </w:rPr>
              <w:t>是</w:t>
            </w:r>
          </w:p>
        </w:tc>
        <w:tc>
          <w:tcPr>
            <w:tcW w:w="1623" w:type="dxa"/>
            <w:vMerge w:val="restart"/>
            <w:vAlign w:val="center"/>
          </w:tcPr>
          <w:p w:rsidR="00013EC7" w:rsidRDefault="00575CDB">
            <w:pPr>
              <w:jc w:val="left"/>
              <w:rPr>
                <w:rFonts w:ascii="仿宋" w:eastAsia="仿宋" w:hAnsi="仿宋" w:cs="仿宋"/>
                <w:sz w:val="24"/>
              </w:rPr>
            </w:pPr>
            <w:r>
              <w:rPr>
                <w:rFonts w:ascii="仿宋" w:eastAsia="仿宋" w:hAnsi="仿宋" w:cs="仿宋" w:hint="eastAsia"/>
                <w:sz w:val="24"/>
              </w:rPr>
              <w:t>货物和劳务税处</w:t>
            </w:r>
          </w:p>
          <w:p w:rsidR="00013EC7" w:rsidRDefault="00575CDB">
            <w:pPr>
              <w:jc w:val="left"/>
              <w:rPr>
                <w:rFonts w:ascii="仿宋" w:eastAsia="仿宋" w:hAnsi="仿宋" w:cs="仿宋"/>
                <w:sz w:val="24"/>
              </w:rPr>
            </w:pPr>
            <w:r>
              <w:rPr>
                <w:rFonts w:ascii="仿宋" w:eastAsia="仿宋" w:hAnsi="仿宋" w:cs="仿宋" w:hint="eastAsia"/>
                <w:sz w:val="24"/>
              </w:rPr>
              <w:t>收入规划核算处</w:t>
            </w:r>
          </w:p>
        </w:tc>
        <w:tc>
          <w:tcPr>
            <w:tcW w:w="1623" w:type="dxa"/>
            <w:vMerge w:val="restart"/>
            <w:vAlign w:val="center"/>
          </w:tcPr>
          <w:p w:rsidR="00013EC7" w:rsidRDefault="00013EC7">
            <w:pPr>
              <w:jc w:val="center"/>
            </w:pPr>
          </w:p>
        </w:tc>
      </w:tr>
      <w:tr w:rsidR="00013EC7">
        <w:tc>
          <w:tcPr>
            <w:tcW w:w="1162" w:type="dxa"/>
            <w:vMerge/>
            <w:vAlign w:val="center"/>
          </w:tcPr>
          <w:p w:rsidR="00013EC7" w:rsidRDefault="00013EC7">
            <w:pPr>
              <w:jc w:val="center"/>
            </w:pPr>
          </w:p>
        </w:tc>
        <w:tc>
          <w:tcPr>
            <w:tcW w:w="1163" w:type="dxa"/>
            <w:vMerge/>
            <w:vAlign w:val="center"/>
          </w:tcPr>
          <w:p w:rsidR="00013EC7" w:rsidRDefault="00013EC7">
            <w:pPr>
              <w:jc w:val="center"/>
            </w:pPr>
          </w:p>
        </w:tc>
        <w:tc>
          <w:tcPr>
            <w:tcW w:w="2541" w:type="dxa"/>
            <w:vMerge/>
            <w:vAlign w:val="center"/>
          </w:tcPr>
          <w:p w:rsidR="00013EC7" w:rsidRDefault="00013EC7">
            <w:pPr>
              <w:jc w:val="center"/>
            </w:pPr>
          </w:p>
        </w:tc>
        <w:tc>
          <w:tcPr>
            <w:tcW w:w="1622" w:type="dxa"/>
            <w:vAlign w:val="center"/>
          </w:tcPr>
          <w:p w:rsidR="00013EC7" w:rsidRDefault="00575CDB">
            <w:pPr>
              <w:jc w:val="left"/>
            </w:pPr>
            <w:r>
              <w:rPr>
                <w:rFonts w:ascii="仿宋" w:eastAsia="仿宋" w:hAnsi="仿宋" w:cs="仿宋" w:hint="eastAsia"/>
                <w:kern w:val="1"/>
                <w:sz w:val="24"/>
              </w:rPr>
              <w:t>（二）</w:t>
            </w:r>
            <w:r>
              <w:rPr>
                <w:rFonts w:ascii="仿宋" w:eastAsia="仿宋" w:hAnsi="仿宋" w:cs="仿宋" w:hint="eastAsia"/>
                <w:kern w:val="0"/>
                <w:sz w:val="24"/>
              </w:rPr>
              <w:t>《中华人民共和国税收缴款书》或《中华人民共和国税收完税凭证》</w:t>
            </w:r>
            <w:r>
              <w:rPr>
                <w:rFonts w:ascii="仿宋" w:eastAsia="仿宋" w:hAnsi="仿宋" w:cs="仿宋" w:hint="eastAsia"/>
                <w:kern w:val="1"/>
                <w:sz w:val="24"/>
              </w:rPr>
              <w:t>。</w:t>
            </w:r>
          </w:p>
        </w:tc>
        <w:tc>
          <w:tcPr>
            <w:tcW w:w="1622" w:type="dxa"/>
            <w:vAlign w:val="center"/>
          </w:tcPr>
          <w:p w:rsidR="00013EC7" w:rsidRDefault="00575CDB">
            <w:pPr>
              <w:jc w:val="left"/>
            </w:pPr>
            <w:r>
              <w:rPr>
                <w:rFonts w:ascii="仿宋" w:eastAsia="仿宋" w:hAnsi="仿宋" w:cs="仿宋" w:hint="eastAsia"/>
                <w:sz w:val="24"/>
              </w:rPr>
              <w:t>纳税人提交</w:t>
            </w:r>
          </w:p>
        </w:tc>
        <w:tc>
          <w:tcPr>
            <w:tcW w:w="1622" w:type="dxa"/>
            <w:vAlign w:val="center"/>
          </w:tcPr>
          <w:p w:rsidR="00013EC7" w:rsidRDefault="00575CDB">
            <w:pPr>
              <w:jc w:val="left"/>
            </w:pPr>
            <w:r>
              <w:rPr>
                <w:rFonts w:ascii="仿宋" w:eastAsia="仿宋" w:hAnsi="仿宋" w:cs="仿宋" w:hint="eastAsia"/>
                <w:kern w:val="1"/>
                <w:sz w:val="24"/>
              </w:rPr>
              <w:t>（二）</w:t>
            </w:r>
            <w:r>
              <w:rPr>
                <w:rFonts w:ascii="仿宋" w:eastAsia="仿宋" w:hAnsi="仿宋" w:cs="仿宋" w:hint="eastAsia"/>
                <w:kern w:val="0"/>
                <w:sz w:val="24"/>
              </w:rPr>
              <w:t>《中华人民共和国税收缴款书》或《中华人民共和国税收完税凭证》</w:t>
            </w:r>
            <w:r>
              <w:rPr>
                <w:rFonts w:ascii="仿宋" w:eastAsia="仿宋" w:hAnsi="仿宋" w:cs="仿宋" w:hint="eastAsia"/>
                <w:kern w:val="1"/>
                <w:sz w:val="24"/>
              </w:rPr>
              <w:t>。</w:t>
            </w:r>
          </w:p>
        </w:tc>
        <w:tc>
          <w:tcPr>
            <w:tcW w:w="1623" w:type="dxa"/>
            <w:vAlign w:val="center"/>
          </w:tcPr>
          <w:p w:rsidR="00013EC7" w:rsidRDefault="00575CDB">
            <w:pPr>
              <w:jc w:val="left"/>
            </w:pPr>
            <w:r>
              <w:rPr>
                <w:rFonts w:ascii="仿宋" w:eastAsia="仿宋" w:hAnsi="仿宋" w:cs="仿宋" w:hint="eastAsia"/>
                <w:b/>
                <w:bCs/>
                <w:i/>
                <w:iCs/>
                <w:kern w:val="0"/>
                <w:sz w:val="24"/>
              </w:rPr>
              <w:t>经办机构自行获取</w:t>
            </w:r>
          </w:p>
        </w:tc>
        <w:tc>
          <w:tcPr>
            <w:tcW w:w="1623" w:type="dxa"/>
            <w:vAlign w:val="center"/>
          </w:tcPr>
          <w:p w:rsidR="00013EC7" w:rsidRDefault="00575CDB">
            <w:pPr>
              <w:jc w:val="center"/>
            </w:pPr>
            <w:r>
              <w:rPr>
                <w:rFonts w:ascii="仿宋" w:eastAsia="仿宋" w:hAnsi="仿宋" w:cs="仿宋" w:hint="eastAsia"/>
                <w:b/>
                <w:sz w:val="24"/>
              </w:rPr>
              <w:t>内部共享：</w:t>
            </w:r>
            <w:r>
              <w:rPr>
                <w:rFonts w:ascii="仿宋" w:eastAsia="仿宋" w:hAnsi="仿宋" w:cs="仿宋" w:hint="eastAsia"/>
                <w:kern w:val="0"/>
                <w:sz w:val="24"/>
              </w:rPr>
              <w:t>内部共享获取相关信息。</w:t>
            </w: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r>
      <w:tr w:rsidR="00013EC7">
        <w:tc>
          <w:tcPr>
            <w:tcW w:w="1162" w:type="dxa"/>
            <w:vMerge/>
            <w:vAlign w:val="center"/>
          </w:tcPr>
          <w:p w:rsidR="00013EC7" w:rsidRDefault="00013EC7">
            <w:pPr>
              <w:jc w:val="center"/>
            </w:pPr>
          </w:p>
        </w:tc>
        <w:tc>
          <w:tcPr>
            <w:tcW w:w="1163" w:type="dxa"/>
            <w:vMerge/>
            <w:vAlign w:val="center"/>
          </w:tcPr>
          <w:p w:rsidR="00013EC7" w:rsidRDefault="00013EC7">
            <w:pPr>
              <w:jc w:val="center"/>
            </w:pPr>
          </w:p>
        </w:tc>
        <w:tc>
          <w:tcPr>
            <w:tcW w:w="2541" w:type="dxa"/>
            <w:vMerge/>
            <w:vAlign w:val="center"/>
          </w:tcPr>
          <w:p w:rsidR="00013EC7" w:rsidRDefault="00013EC7">
            <w:pPr>
              <w:jc w:val="center"/>
            </w:pPr>
          </w:p>
        </w:tc>
        <w:tc>
          <w:tcPr>
            <w:tcW w:w="1622" w:type="dxa"/>
            <w:vAlign w:val="center"/>
          </w:tcPr>
          <w:p w:rsidR="00013EC7" w:rsidRDefault="00575CDB">
            <w:pPr>
              <w:jc w:val="left"/>
            </w:pPr>
            <w:r>
              <w:rPr>
                <w:rFonts w:ascii="仿宋" w:eastAsia="仿宋" w:hAnsi="仿宋" w:cs="仿宋" w:hint="eastAsia"/>
                <w:kern w:val="0"/>
                <w:sz w:val="24"/>
              </w:rPr>
              <w:t>（三）《安置残疾人纳税人申请增值税退税声明》。</w:t>
            </w:r>
          </w:p>
        </w:tc>
        <w:tc>
          <w:tcPr>
            <w:tcW w:w="1622" w:type="dxa"/>
            <w:vMerge w:val="restart"/>
            <w:vAlign w:val="center"/>
          </w:tcPr>
          <w:p w:rsidR="00013EC7" w:rsidRDefault="00575CDB">
            <w:pPr>
              <w:jc w:val="left"/>
            </w:pPr>
            <w:r>
              <w:rPr>
                <w:rFonts w:ascii="仿宋" w:eastAsia="仿宋" w:hAnsi="仿宋" w:cs="仿宋" w:hint="eastAsia"/>
                <w:kern w:val="0"/>
                <w:sz w:val="24"/>
              </w:rPr>
              <w:t>安置残疾人就业增值税即征即退办理纳税人提交</w:t>
            </w:r>
          </w:p>
        </w:tc>
        <w:tc>
          <w:tcPr>
            <w:tcW w:w="1622" w:type="dxa"/>
            <w:vAlign w:val="center"/>
          </w:tcPr>
          <w:p w:rsidR="00013EC7" w:rsidRDefault="00575CDB">
            <w:pPr>
              <w:jc w:val="left"/>
            </w:pPr>
            <w:r>
              <w:rPr>
                <w:rFonts w:ascii="仿宋" w:eastAsia="仿宋" w:hAnsi="仿宋" w:cs="仿宋" w:hint="eastAsia"/>
                <w:kern w:val="0"/>
                <w:sz w:val="24"/>
              </w:rPr>
              <w:t>（三）《安置残疾人纳税人申请增值税退税声明》。</w:t>
            </w:r>
          </w:p>
        </w:tc>
        <w:tc>
          <w:tcPr>
            <w:tcW w:w="1623" w:type="dxa"/>
            <w:vMerge w:val="restart"/>
            <w:vAlign w:val="center"/>
          </w:tcPr>
          <w:p w:rsidR="00013EC7" w:rsidRDefault="00575CDB">
            <w:pPr>
              <w:jc w:val="left"/>
            </w:pPr>
            <w:r>
              <w:rPr>
                <w:rFonts w:ascii="仿宋" w:eastAsia="仿宋" w:hAnsi="仿宋" w:cs="仿宋" w:hint="eastAsia"/>
                <w:kern w:val="0"/>
                <w:sz w:val="24"/>
              </w:rPr>
              <w:t>安置残疾人就业增值税即征即退办理纳税人提交</w:t>
            </w:r>
          </w:p>
        </w:tc>
        <w:tc>
          <w:tcPr>
            <w:tcW w:w="1623" w:type="dxa"/>
            <w:vMerge w:val="restart"/>
            <w:vAlign w:val="center"/>
          </w:tcPr>
          <w:p w:rsidR="00013EC7" w:rsidRDefault="00575CDB">
            <w:pPr>
              <w:spacing w:line="300" w:lineRule="exac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纳税人提交书面材料。</w:t>
            </w:r>
          </w:p>
          <w:p w:rsidR="00013EC7" w:rsidRDefault="00575CDB">
            <w:pPr>
              <w:spacing w:line="300" w:lineRule="exact"/>
              <w:rPr>
                <w:rFonts w:ascii="仿宋" w:eastAsia="仿宋" w:hAnsi="仿宋" w:cs="仿宋"/>
                <w:b/>
                <w:sz w:val="24"/>
              </w:rPr>
            </w:pPr>
            <w:r>
              <w:rPr>
                <w:rFonts w:ascii="仿宋" w:eastAsia="仿宋" w:hAnsi="仿宋" w:cs="仿宋" w:hint="eastAsia"/>
                <w:b/>
                <w:sz w:val="24"/>
              </w:rPr>
              <w:t>网上办理：</w:t>
            </w:r>
            <w:r>
              <w:rPr>
                <w:rFonts w:ascii="仿宋" w:eastAsia="仿宋" w:hAnsi="仿宋" w:cs="仿宋" w:hint="eastAsia"/>
                <w:sz w:val="24"/>
              </w:rPr>
              <w:t>登录浙江国税电子税务局（网址：</w:t>
            </w:r>
            <w:hyperlink r:id="rId398" w:tgtFrame="https://wx.qq.com/_blank" w:history="1">
              <w:r>
                <w:rPr>
                  <w:rFonts w:ascii="仿宋" w:eastAsia="仿宋" w:hAnsi="仿宋" w:cs="仿宋" w:hint="eastAsia"/>
                  <w:sz w:val="24"/>
                </w:rPr>
                <w:t>http://etax.zjtax.gov.cn/</w:t>
              </w:r>
            </w:hyperlink>
            <w:r>
              <w:rPr>
                <w:rFonts w:ascii="仿宋" w:eastAsia="仿宋" w:hAnsi="仿宋" w:cs="仿宋" w:hint="eastAsia"/>
                <w:sz w:val="24"/>
              </w:rPr>
              <w:t>）提交申</w:t>
            </w:r>
            <w:r>
              <w:rPr>
                <w:rFonts w:ascii="仿宋" w:eastAsia="仿宋" w:hAnsi="仿宋" w:cs="仿宋" w:hint="eastAsia"/>
                <w:sz w:val="24"/>
              </w:rPr>
              <w:lastRenderedPageBreak/>
              <w:t>请。</w:t>
            </w:r>
          </w:p>
          <w:p w:rsidR="00013EC7" w:rsidRDefault="00575CDB">
            <w:pPr>
              <w:jc w:val="left"/>
            </w:pPr>
            <w:r>
              <w:rPr>
                <w:rStyle w:val="font31"/>
                <w:rFonts w:ascii="仿宋" w:eastAsia="仿宋" w:hAnsi="仿宋" w:cs="仿宋" w:hint="default"/>
                <w:sz w:val="24"/>
              </w:rPr>
              <w:t>APP办理：</w:t>
            </w:r>
            <w:r>
              <w:rPr>
                <w:rStyle w:val="font31"/>
                <w:rFonts w:ascii="仿宋" w:eastAsia="仿宋" w:hAnsi="仿宋" w:cs="仿宋" w:hint="default"/>
                <w:b w:val="0"/>
                <w:bCs/>
                <w:sz w:val="24"/>
              </w:rPr>
              <w:t>登录浙江国税APP提交申请。</w:t>
            </w: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r>
      <w:tr w:rsidR="00013EC7">
        <w:tc>
          <w:tcPr>
            <w:tcW w:w="1162" w:type="dxa"/>
            <w:vMerge/>
            <w:vAlign w:val="center"/>
          </w:tcPr>
          <w:p w:rsidR="00013EC7" w:rsidRDefault="00013EC7">
            <w:pPr>
              <w:jc w:val="center"/>
            </w:pPr>
          </w:p>
        </w:tc>
        <w:tc>
          <w:tcPr>
            <w:tcW w:w="1163" w:type="dxa"/>
            <w:vMerge/>
            <w:vAlign w:val="center"/>
          </w:tcPr>
          <w:p w:rsidR="00013EC7" w:rsidRDefault="00013EC7">
            <w:pPr>
              <w:jc w:val="center"/>
            </w:pPr>
          </w:p>
        </w:tc>
        <w:tc>
          <w:tcPr>
            <w:tcW w:w="2541" w:type="dxa"/>
            <w:vMerge/>
            <w:vAlign w:val="center"/>
          </w:tcPr>
          <w:p w:rsidR="00013EC7" w:rsidRDefault="00013EC7">
            <w:pPr>
              <w:jc w:val="center"/>
            </w:pPr>
          </w:p>
        </w:tc>
        <w:tc>
          <w:tcPr>
            <w:tcW w:w="1622" w:type="dxa"/>
            <w:vAlign w:val="center"/>
          </w:tcPr>
          <w:p w:rsidR="00013EC7" w:rsidRDefault="00575CDB">
            <w:pPr>
              <w:jc w:val="left"/>
            </w:pPr>
            <w:r>
              <w:rPr>
                <w:rFonts w:ascii="仿宋" w:eastAsia="仿宋" w:hAnsi="仿宋" w:cs="仿宋" w:hint="eastAsia"/>
                <w:kern w:val="1"/>
                <w:sz w:val="24"/>
              </w:rPr>
              <w:t>（四）</w:t>
            </w:r>
            <w:r>
              <w:rPr>
                <w:rFonts w:ascii="仿宋" w:eastAsia="仿宋" w:hAnsi="仿宋" w:cs="仿宋" w:hint="eastAsia"/>
                <w:kern w:val="0"/>
                <w:sz w:val="24"/>
              </w:rPr>
              <w:t>当期为残疾人缴纳社会保险费凭证的复印件及由纳</w:t>
            </w:r>
            <w:r>
              <w:rPr>
                <w:rFonts w:ascii="仿宋" w:eastAsia="仿宋" w:hAnsi="仿宋" w:cs="仿宋" w:hint="eastAsia"/>
                <w:kern w:val="0"/>
                <w:sz w:val="24"/>
              </w:rPr>
              <w:lastRenderedPageBreak/>
              <w:t>税人加盖公章确认的注明缴纳人员、缴纳金额、缴纳期间的明细表</w:t>
            </w:r>
            <w:r>
              <w:rPr>
                <w:rFonts w:ascii="仿宋" w:eastAsia="仿宋" w:hAnsi="仿宋" w:cs="仿宋" w:hint="eastAsia"/>
                <w:kern w:val="1"/>
                <w:sz w:val="24"/>
              </w:rPr>
              <w:t>。</w:t>
            </w:r>
          </w:p>
        </w:tc>
        <w:tc>
          <w:tcPr>
            <w:tcW w:w="1622" w:type="dxa"/>
            <w:vMerge/>
            <w:vAlign w:val="center"/>
          </w:tcPr>
          <w:p w:rsidR="00013EC7" w:rsidRDefault="00013EC7">
            <w:pPr>
              <w:jc w:val="left"/>
            </w:pPr>
          </w:p>
        </w:tc>
        <w:tc>
          <w:tcPr>
            <w:tcW w:w="1622" w:type="dxa"/>
            <w:vAlign w:val="center"/>
          </w:tcPr>
          <w:p w:rsidR="00013EC7" w:rsidRDefault="00575CDB">
            <w:pPr>
              <w:jc w:val="left"/>
            </w:pPr>
            <w:r>
              <w:rPr>
                <w:rFonts w:ascii="仿宋" w:eastAsia="仿宋" w:hAnsi="仿宋" w:cs="仿宋" w:hint="eastAsia"/>
                <w:kern w:val="0"/>
                <w:sz w:val="24"/>
              </w:rPr>
              <w:t>（四）当期为残疾人缴纳社会保险费凭证的复印件（注明</w:t>
            </w:r>
            <w:r>
              <w:rPr>
                <w:rFonts w:ascii="仿宋" w:eastAsia="仿宋" w:hAnsi="仿宋" w:cs="仿宋" w:hint="eastAsia"/>
                <w:kern w:val="0"/>
                <w:sz w:val="24"/>
              </w:rPr>
              <w:lastRenderedPageBreak/>
              <w:t>与原件一致，并加盖公章）及由纳税人加盖公章确认的注明缴纳人员、缴纳金额、缴纳期间的明细表。</w:t>
            </w:r>
          </w:p>
        </w:tc>
        <w:tc>
          <w:tcPr>
            <w:tcW w:w="1623" w:type="dxa"/>
            <w:vMerge/>
            <w:vAlign w:val="center"/>
          </w:tcPr>
          <w:p w:rsidR="00013EC7" w:rsidRDefault="00013EC7">
            <w:pPr>
              <w:jc w:val="left"/>
            </w:pP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r>
      <w:tr w:rsidR="00013EC7">
        <w:tc>
          <w:tcPr>
            <w:tcW w:w="1162" w:type="dxa"/>
            <w:vMerge/>
            <w:vAlign w:val="center"/>
          </w:tcPr>
          <w:p w:rsidR="00013EC7" w:rsidRDefault="00013EC7">
            <w:pPr>
              <w:jc w:val="center"/>
            </w:pPr>
          </w:p>
        </w:tc>
        <w:tc>
          <w:tcPr>
            <w:tcW w:w="1163" w:type="dxa"/>
            <w:vMerge/>
            <w:vAlign w:val="center"/>
          </w:tcPr>
          <w:p w:rsidR="00013EC7" w:rsidRDefault="00013EC7">
            <w:pPr>
              <w:jc w:val="center"/>
            </w:pPr>
          </w:p>
        </w:tc>
        <w:tc>
          <w:tcPr>
            <w:tcW w:w="2541" w:type="dxa"/>
            <w:vMerge/>
            <w:vAlign w:val="center"/>
          </w:tcPr>
          <w:p w:rsidR="00013EC7" w:rsidRDefault="00013EC7">
            <w:pPr>
              <w:jc w:val="center"/>
            </w:pPr>
          </w:p>
        </w:tc>
        <w:tc>
          <w:tcPr>
            <w:tcW w:w="1622" w:type="dxa"/>
            <w:vAlign w:val="center"/>
          </w:tcPr>
          <w:p w:rsidR="00013EC7" w:rsidRDefault="00575CDB">
            <w:pPr>
              <w:jc w:val="left"/>
            </w:pPr>
            <w:r>
              <w:rPr>
                <w:rFonts w:ascii="仿宋" w:eastAsia="仿宋" w:hAnsi="仿宋" w:cs="仿宋" w:hint="eastAsia"/>
                <w:kern w:val="1"/>
                <w:sz w:val="24"/>
              </w:rPr>
              <w:t>（五）</w:t>
            </w:r>
            <w:r>
              <w:rPr>
                <w:rFonts w:ascii="仿宋" w:eastAsia="仿宋" w:hAnsi="仿宋" w:cs="仿宋" w:hint="eastAsia"/>
                <w:kern w:val="0"/>
                <w:sz w:val="24"/>
              </w:rPr>
              <w:t>当期由银行等金融机构或纳税人加盖公章的按月为残疾人支付工资的清单</w:t>
            </w:r>
            <w:r>
              <w:rPr>
                <w:rFonts w:ascii="仿宋" w:eastAsia="仿宋" w:hAnsi="仿宋" w:cs="仿宋" w:hint="eastAsia"/>
                <w:kern w:val="0"/>
                <w:sz w:val="24"/>
              </w:rPr>
              <w:br/>
              <w:t>注：特殊教育学校举办的企业，申请退还增值税时，不提供上述后两项资料</w:t>
            </w:r>
            <w:r>
              <w:rPr>
                <w:rFonts w:ascii="仿宋" w:eastAsia="仿宋" w:hAnsi="仿宋" w:cs="仿宋" w:hint="eastAsia"/>
                <w:kern w:val="1"/>
                <w:sz w:val="24"/>
              </w:rPr>
              <w:t>。</w:t>
            </w:r>
          </w:p>
        </w:tc>
        <w:tc>
          <w:tcPr>
            <w:tcW w:w="1622" w:type="dxa"/>
            <w:vMerge/>
            <w:vAlign w:val="center"/>
          </w:tcPr>
          <w:p w:rsidR="00013EC7" w:rsidRDefault="00013EC7">
            <w:pPr>
              <w:jc w:val="left"/>
            </w:pPr>
          </w:p>
        </w:tc>
        <w:tc>
          <w:tcPr>
            <w:tcW w:w="1622" w:type="dxa"/>
            <w:vAlign w:val="center"/>
          </w:tcPr>
          <w:p w:rsidR="00013EC7" w:rsidRDefault="00575CDB">
            <w:pPr>
              <w:jc w:val="left"/>
            </w:pPr>
            <w:r>
              <w:rPr>
                <w:rFonts w:ascii="仿宋" w:eastAsia="仿宋" w:hAnsi="仿宋" w:cs="仿宋" w:hint="eastAsia"/>
                <w:kern w:val="0"/>
                <w:sz w:val="24"/>
              </w:rPr>
              <w:t>（五）当期由银行等金融机构或纳税人加盖公章的按月为残疾人支付工资的清单</w:t>
            </w:r>
            <w:r>
              <w:rPr>
                <w:rFonts w:ascii="仿宋" w:eastAsia="仿宋" w:hAnsi="仿宋" w:cs="仿宋" w:hint="eastAsia"/>
                <w:kern w:val="0"/>
                <w:sz w:val="24"/>
              </w:rPr>
              <w:br/>
              <w:t>注：特殊教育学校举办的企业，申请退还增值税时，不提供上述后两项资料。</w:t>
            </w:r>
          </w:p>
        </w:tc>
        <w:tc>
          <w:tcPr>
            <w:tcW w:w="1623" w:type="dxa"/>
            <w:vMerge/>
            <w:vAlign w:val="center"/>
          </w:tcPr>
          <w:p w:rsidR="00013EC7" w:rsidRDefault="00013EC7">
            <w:pPr>
              <w:jc w:val="left"/>
            </w:pP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r>
      <w:tr w:rsidR="00013EC7">
        <w:tc>
          <w:tcPr>
            <w:tcW w:w="1162" w:type="dxa"/>
            <w:vMerge/>
            <w:vAlign w:val="center"/>
          </w:tcPr>
          <w:p w:rsidR="00013EC7" w:rsidRDefault="00013EC7">
            <w:pPr>
              <w:jc w:val="center"/>
            </w:pPr>
          </w:p>
        </w:tc>
        <w:tc>
          <w:tcPr>
            <w:tcW w:w="1163" w:type="dxa"/>
            <w:vMerge/>
            <w:vAlign w:val="center"/>
          </w:tcPr>
          <w:p w:rsidR="00013EC7" w:rsidRDefault="00013EC7">
            <w:pPr>
              <w:jc w:val="center"/>
            </w:pPr>
          </w:p>
        </w:tc>
        <w:tc>
          <w:tcPr>
            <w:tcW w:w="2541" w:type="dxa"/>
            <w:vMerge/>
            <w:vAlign w:val="center"/>
          </w:tcPr>
          <w:p w:rsidR="00013EC7" w:rsidRDefault="00013EC7">
            <w:pPr>
              <w:jc w:val="center"/>
            </w:pPr>
          </w:p>
        </w:tc>
        <w:tc>
          <w:tcPr>
            <w:tcW w:w="1622" w:type="dxa"/>
            <w:vAlign w:val="center"/>
          </w:tcPr>
          <w:p w:rsidR="00013EC7" w:rsidRDefault="00575CDB">
            <w:pPr>
              <w:jc w:val="left"/>
            </w:pPr>
            <w:r>
              <w:rPr>
                <w:rFonts w:ascii="仿宋" w:eastAsia="仿宋" w:hAnsi="仿宋" w:cs="仿宋" w:hint="eastAsia"/>
                <w:kern w:val="0"/>
                <w:sz w:val="24"/>
              </w:rPr>
              <w:t>（六）《软件产品增值税超税负退税计算表》。</w:t>
            </w:r>
          </w:p>
        </w:tc>
        <w:tc>
          <w:tcPr>
            <w:tcW w:w="1622" w:type="dxa"/>
            <w:vAlign w:val="center"/>
          </w:tcPr>
          <w:p w:rsidR="00013EC7" w:rsidRDefault="00575CDB">
            <w:pPr>
              <w:jc w:val="left"/>
            </w:pPr>
            <w:r>
              <w:rPr>
                <w:rFonts w:ascii="仿宋" w:eastAsia="仿宋" w:hAnsi="仿宋" w:cs="仿宋" w:hint="eastAsia"/>
                <w:kern w:val="0"/>
                <w:sz w:val="24"/>
              </w:rPr>
              <w:t>软件产品增值税即征即退办理纳税人提交</w:t>
            </w:r>
          </w:p>
        </w:tc>
        <w:tc>
          <w:tcPr>
            <w:tcW w:w="1622" w:type="dxa"/>
            <w:vAlign w:val="center"/>
          </w:tcPr>
          <w:p w:rsidR="00013EC7" w:rsidRDefault="00575CDB">
            <w:pPr>
              <w:jc w:val="left"/>
            </w:pPr>
            <w:r>
              <w:rPr>
                <w:rFonts w:ascii="仿宋" w:eastAsia="仿宋" w:hAnsi="仿宋" w:cs="仿宋" w:hint="eastAsia"/>
                <w:kern w:val="0"/>
                <w:sz w:val="24"/>
              </w:rPr>
              <w:t>（六）《软件产品增值税超税负退税计算表》。</w:t>
            </w:r>
          </w:p>
        </w:tc>
        <w:tc>
          <w:tcPr>
            <w:tcW w:w="1623" w:type="dxa"/>
            <w:vAlign w:val="center"/>
          </w:tcPr>
          <w:p w:rsidR="00013EC7" w:rsidRDefault="00575CDB">
            <w:pPr>
              <w:jc w:val="left"/>
            </w:pPr>
            <w:r>
              <w:rPr>
                <w:rFonts w:ascii="仿宋" w:eastAsia="仿宋" w:hAnsi="仿宋" w:cs="仿宋" w:hint="eastAsia"/>
                <w:kern w:val="0"/>
                <w:sz w:val="24"/>
              </w:rPr>
              <w:t>软件企业增值税即征即退办理纳税人提交</w:t>
            </w:r>
          </w:p>
        </w:tc>
        <w:tc>
          <w:tcPr>
            <w:tcW w:w="1623"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纳税人提交书面材料。</w:t>
            </w:r>
          </w:p>
          <w:p w:rsidR="00013EC7" w:rsidRDefault="00575CDB">
            <w:pPr>
              <w:spacing w:line="300" w:lineRule="exact"/>
              <w:rPr>
                <w:rFonts w:ascii="仿宋" w:eastAsia="仿宋" w:hAnsi="仿宋" w:cs="仿宋"/>
                <w:b/>
                <w:sz w:val="24"/>
              </w:rPr>
            </w:pPr>
            <w:r>
              <w:rPr>
                <w:rFonts w:ascii="仿宋" w:eastAsia="仿宋" w:hAnsi="仿宋" w:cs="仿宋" w:hint="eastAsia"/>
                <w:b/>
                <w:sz w:val="24"/>
              </w:rPr>
              <w:t>网上办理：</w:t>
            </w:r>
            <w:r>
              <w:rPr>
                <w:rFonts w:ascii="仿宋" w:eastAsia="仿宋" w:hAnsi="仿宋" w:cs="仿宋" w:hint="eastAsia"/>
                <w:sz w:val="24"/>
              </w:rPr>
              <w:t>登录浙江国税电子税务局（网址：</w:t>
            </w:r>
            <w:hyperlink r:id="rId399" w:tgtFrame="https://wx.qq.com/_blank" w:history="1">
              <w:r>
                <w:rPr>
                  <w:rFonts w:ascii="仿宋" w:eastAsia="仿宋" w:hAnsi="仿宋" w:cs="仿宋" w:hint="eastAsia"/>
                  <w:sz w:val="24"/>
                </w:rPr>
                <w:t>http://etax.zjtax.gov.cn/</w:t>
              </w:r>
            </w:hyperlink>
            <w:r>
              <w:rPr>
                <w:rFonts w:ascii="仿宋" w:eastAsia="仿宋" w:hAnsi="仿宋" w:cs="仿宋" w:hint="eastAsia"/>
                <w:sz w:val="24"/>
              </w:rPr>
              <w:t>）提交申请。</w:t>
            </w:r>
          </w:p>
          <w:p w:rsidR="00013EC7" w:rsidRDefault="00575CDB">
            <w:pPr>
              <w:jc w:val="left"/>
            </w:pPr>
            <w:r>
              <w:rPr>
                <w:rStyle w:val="font31"/>
                <w:rFonts w:ascii="仿宋" w:eastAsia="仿宋" w:hAnsi="仿宋" w:cs="仿宋" w:hint="default"/>
                <w:sz w:val="24"/>
              </w:rPr>
              <w:t>APP办理：</w:t>
            </w:r>
            <w:r>
              <w:rPr>
                <w:rStyle w:val="font31"/>
                <w:rFonts w:ascii="仿宋" w:eastAsia="仿宋" w:hAnsi="仿宋" w:cs="仿宋" w:hint="default"/>
                <w:b w:val="0"/>
                <w:bCs/>
                <w:sz w:val="24"/>
              </w:rPr>
              <w:t>登录浙江国税</w:t>
            </w:r>
            <w:r>
              <w:rPr>
                <w:rStyle w:val="font31"/>
                <w:rFonts w:ascii="仿宋" w:eastAsia="仿宋" w:hAnsi="仿宋" w:cs="仿宋" w:hint="default"/>
                <w:b w:val="0"/>
                <w:bCs/>
                <w:sz w:val="24"/>
              </w:rPr>
              <w:lastRenderedPageBreak/>
              <w:t>APP提交申请。</w:t>
            </w: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r>
      <w:tr w:rsidR="00013EC7">
        <w:tc>
          <w:tcPr>
            <w:tcW w:w="1162" w:type="dxa"/>
            <w:vMerge/>
            <w:vAlign w:val="center"/>
          </w:tcPr>
          <w:p w:rsidR="00013EC7" w:rsidRDefault="00013EC7">
            <w:pPr>
              <w:jc w:val="center"/>
            </w:pPr>
          </w:p>
        </w:tc>
        <w:tc>
          <w:tcPr>
            <w:tcW w:w="1163" w:type="dxa"/>
            <w:vMerge/>
            <w:vAlign w:val="center"/>
          </w:tcPr>
          <w:p w:rsidR="00013EC7" w:rsidRDefault="00013EC7">
            <w:pPr>
              <w:jc w:val="center"/>
            </w:pPr>
          </w:p>
        </w:tc>
        <w:tc>
          <w:tcPr>
            <w:tcW w:w="2541" w:type="dxa"/>
            <w:vMerge/>
            <w:vAlign w:val="center"/>
          </w:tcPr>
          <w:p w:rsidR="00013EC7" w:rsidRDefault="00013EC7">
            <w:pPr>
              <w:jc w:val="center"/>
            </w:pPr>
          </w:p>
        </w:tc>
        <w:tc>
          <w:tcPr>
            <w:tcW w:w="1622" w:type="dxa"/>
            <w:vAlign w:val="center"/>
          </w:tcPr>
          <w:p w:rsidR="00013EC7" w:rsidRDefault="00575CDB">
            <w:pPr>
              <w:jc w:val="left"/>
            </w:pPr>
            <w:r>
              <w:rPr>
                <w:rFonts w:ascii="仿宋" w:eastAsia="仿宋" w:hAnsi="仿宋" w:cs="仿宋" w:hint="eastAsia"/>
                <w:kern w:val="0"/>
                <w:sz w:val="24"/>
              </w:rPr>
              <w:t>（七）行业主管部门批准从事该业务的文件原件及复印件（加盖公章），或项目核准文件原件及复印件（加盖公章）等。</w:t>
            </w:r>
          </w:p>
        </w:tc>
        <w:tc>
          <w:tcPr>
            <w:tcW w:w="1622" w:type="dxa"/>
            <w:vAlign w:val="center"/>
          </w:tcPr>
          <w:p w:rsidR="00013EC7" w:rsidRDefault="00575CDB">
            <w:pPr>
              <w:jc w:val="left"/>
            </w:pPr>
            <w:r>
              <w:rPr>
                <w:rFonts w:ascii="仿宋" w:eastAsia="仿宋" w:hAnsi="仿宋" w:cs="仿宋" w:hint="eastAsia"/>
                <w:kern w:val="0"/>
                <w:sz w:val="24"/>
              </w:rPr>
              <w:t>动漫企业、飞机维修劳务、大型水电企业增值税即征即退办理纳税人提交</w:t>
            </w:r>
          </w:p>
        </w:tc>
        <w:tc>
          <w:tcPr>
            <w:tcW w:w="1622" w:type="dxa"/>
            <w:vAlign w:val="center"/>
          </w:tcPr>
          <w:p w:rsidR="00013EC7" w:rsidRDefault="00575CDB">
            <w:pPr>
              <w:jc w:val="left"/>
            </w:pPr>
            <w:r>
              <w:rPr>
                <w:rFonts w:ascii="仿宋" w:eastAsia="仿宋" w:hAnsi="仿宋" w:cs="仿宋" w:hint="eastAsia"/>
                <w:kern w:val="0"/>
                <w:sz w:val="24"/>
              </w:rPr>
              <w:t>（七）行业主管部门批准从事该业务的文件原件及复印件（注明与原件一致，并加盖公章），或项目核准文件原件及复印件（注明与原件一致，并加盖公章）等。</w:t>
            </w:r>
          </w:p>
        </w:tc>
        <w:tc>
          <w:tcPr>
            <w:tcW w:w="1623" w:type="dxa"/>
            <w:vAlign w:val="center"/>
          </w:tcPr>
          <w:p w:rsidR="00013EC7" w:rsidRDefault="00575CDB">
            <w:pPr>
              <w:jc w:val="left"/>
            </w:pPr>
            <w:r>
              <w:rPr>
                <w:rFonts w:ascii="仿宋" w:eastAsia="仿宋" w:hAnsi="仿宋" w:cs="仿宋" w:hint="eastAsia"/>
                <w:kern w:val="0"/>
                <w:sz w:val="24"/>
              </w:rPr>
              <w:t>动漫企业、飞机维修劳务、大型水电企业增值税即征即退办理纳税人提交</w:t>
            </w:r>
          </w:p>
        </w:tc>
        <w:tc>
          <w:tcPr>
            <w:tcW w:w="1623" w:type="dxa"/>
            <w:vAlign w:val="center"/>
          </w:tcPr>
          <w:p w:rsidR="00013EC7" w:rsidRDefault="00013EC7">
            <w:pPr>
              <w:jc w:val="center"/>
            </w:pP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r>
      <w:tr w:rsidR="00013EC7">
        <w:tc>
          <w:tcPr>
            <w:tcW w:w="1162" w:type="dxa"/>
            <w:vMerge/>
            <w:vAlign w:val="center"/>
          </w:tcPr>
          <w:p w:rsidR="00013EC7" w:rsidRDefault="00013EC7">
            <w:pPr>
              <w:jc w:val="center"/>
            </w:pPr>
          </w:p>
        </w:tc>
        <w:tc>
          <w:tcPr>
            <w:tcW w:w="1163" w:type="dxa"/>
            <w:vMerge/>
            <w:vAlign w:val="center"/>
          </w:tcPr>
          <w:p w:rsidR="00013EC7" w:rsidRDefault="00013EC7">
            <w:pPr>
              <w:jc w:val="center"/>
            </w:pPr>
          </w:p>
        </w:tc>
        <w:tc>
          <w:tcPr>
            <w:tcW w:w="2541" w:type="dxa"/>
            <w:vMerge/>
            <w:vAlign w:val="center"/>
          </w:tcPr>
          <w:p w:rsidR="00013EC7" w:rsidRDefault="00013EC7">
            <w:pPr>
              <w:jc w:val="center"/>
            </w:pPr>
          </w:p>
        </w:tc>
        <w:tc>
          <w:tcPr>
            <w:tcW w:w="1622" w:type="dxa"/>
            <w:vAlign w:val="center"/>
          </w:tcPr>
          <w:p w:rsidR="00013EC7" w:rsidRDefault="00575CDB">
            <w:pPr>
              <w:jc w:val="left"/>
            </w:pPr>
            <w:r>
              <w:rPr>
                <w:rFonts w:ascii="仿宋" w:eastAsia="仿宋" w:hAnsi="仿宋" w:cs="仿宋" w:hint="eastAsia"/>
                <w:kern w:val="1"/>
                <w:sz w:val="24"/>
                <w:highlight w:val="lightGray"/>
              </w:rPr>
              <w:t>（八）</w:t>
            </w:r>
            <w:r>
              <w:rPr>
                <w:rFonts w:ascii="仿宋" w:eastAsia="仿宋" w:hAnsi="仿宋" w:cs="仿宋" w:hint="eastAsia"/>
                <w:kern w:val="0"/>
                <w:sz w:val="24"/>
                <w:highlight w:val="lightGray"/>
              </w:rPr>
              <w:t>退税申请报告</w:t>
            </w:r>
            <w:r>
              <w:rPr>
                <w:rFonts w:ascii="仿宋" w:eastAsia="仿宋" w:hAnsi="仿宋" w:cs="仿宋" w:hint="eastAsia"/>
                <w:kern w:val="1"/>
                <w:sz w:val="24"/>
                <w:highlight w:val="lightGray"/>
              </w:rPr>
              <w:t>。</w:t>
            </w:r>
          </w:p>
        </w:tc>
        <w:tc>
          <w:tcPr>
            <w:tcW w:w="1622" w:type="dxa"/>
            <w:vMerge w:val="restart"/>
            <w:vAlign w:val="center"/>
          </w:tcPr>
          <w:p w:rsidR="00013EC7" w:rsidRDefault="00013EC7">
            <w:pPr>
              <w:jc w:val="left"/>
              <w:rPr>
                <w:rFonts w:ascii="仿宋" w:eastAsia="仿宋" w:hAnsi="仿宋" w:cs="仿宋"/>
                <w:kern w:val="0"/>
                <w:sz w:val="24"/>
              </w:rPr>
            </w:pPr>
          </w:p>
          <w:p w:rsidR="00013EC7" w:rsidRDefault="00013EC7">
            <w:pPr>
              <w:jc w:val="left"/>
              <w:rPr>
                <w:rFonts w:ascii="仿宋" w:eastAsia="仿宋" w:hAnsi="仿宋" w:cs="仿宋"/>
                <w:kern w:val="0"/>
                <w:sz w:val="24"/>
              </w:rPr>
            </w:pPr>
          </w:p>
          <w:p w:rsidR="00013EC7" w:rsidRDefault="00575CDB">
            <w:pPr>
              <w:jc w:val="left"/>
            </w:pPr>
            <w:r>
              <w:rPr>
                <w:rFonts w:ascii="仿宋" w:eastAsia="仿宋" w:hAnsi="仿宋" w:cs="仿宋" w:hint="eastAsia"/>
                <w:kern w:val="0"/>
                <w:sz w:val="24"/>
              </w:rPr>
              <w:t>资源综合利用增值税即征即退办理纳税人提交</w:t>
            </w:r>
          </w:p>
        </w:tc>
        <w:tc>
          <w:tcPr>
            <w:tcW w:w="1622" w:type="dxa"/>
            <w:vAlign w:val="center"/>
          </w:tcPr>
          <w:p w:rsidR="00013EC7" w:rsidRDefault="00013EC7">
            <w:pPr>
              <w:jc w:val="left"/>
            </w:pPr>
          </w:p>
        </w:tc>
        <w:tc>
          <w:tcPr>
            <w:tcW w:w="1623" w:type="dxa"/>
            <w:vAlign w:val="center"/>
          </w:tcPr>
          <w:p w:rsidR="00013EC7" w:rsidRDefault="00575CDB">
            <w:pPr>
              <w:jc w:val="left"/>
            </w:pPr>
            <w:r>
              <w:rPr>
                <w:rFonts w:ascii="仿宋" w:eastAsia="仿宋" w:hAnsi="仿宋" w:hint="eastAsia"/>
                <w:b/>
                <w:bCs/>
                <w:i/>
                <w:iCs/>
                <w:sz w:val="24"/>
              </w:rPr>
              <w:t>取消</w:t>
            </w:r>
          </w:p>
        </w:tc>
        <w:tc>
          <w:tcPr>
            <w:tcW w:w="1623" w:type="dxa"/>
            <w:vAlign w:val="center"/>
          </w:tcPr>
          <w:p w:rsidR="00013EC7" w:rsidRDefault="00013EC7">
            <w:pPr>
              <w:jc w:val="center"/>
            </w:pP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r>
      <w:tr w:rsidR="00013EC7">
        <w:tc>
          <w:tcPr>
            <w:tcW w:w="1162" w:type="dxa"/>
            <w:vMerge/>
            <w:vAlign w:val="center"/>
          </w:tcPr>
          <w:p w:rsidR="00013EC7" w:rsidRDefault="00013EC7">
            <w:pPr>
              <w:jc w:val="center"/>
            </w:pPr>
          </w:p>
        </w:tc>
        <w:tc>
          <w:tcPr>
            <w:tcW w:w="1163" w:type="dxa"/>
            <w:vMerge/>
            <w:vAlign w:val="center"/>
          </w:tcPr>
          <w:p w:rsidR="00013EC7" w:rsidRDefault="00013EC7">
            <w:pPr>
              <w:jc w:val="center"/>
            </w:pPr>
          </w:p>
        </w:tc>
        <w:tc>
          <w:tcPr>
            <w:tcW w:w="2541" w:type="dxa"/>
            <w:vMerge/>
            <w:vAlign w:val="center"/>
          </w:tcPr>
          <w:p w:rsidR="00013EC7" w:rsidRDefault="00013EC7">
            <w:pPr>
              <w:jc w:val="center"/>
            </w:pPr>
          </w:p>
        </w:tc>
        <w:tc>
          <w:tcPr>
            <w:tcW w:w="1622" w:type="dxa"/>
            <w:vAlign w:val="center"/>
          </w:tcPr>
          <w:p w:rsidR="00013EC7" w:rsidRDefault="00575CDB">
            <w:pPr>
              <w:jc w:val="left"/>
            </w:pPr>
            <w:r>
              <w:rPr>
                <w:rFonts w:ascii="仿宋" w:eastAsia="仿宋" w:hAnsi="仿宋" w:cs="仿宋" w:hint="eastAsia"/>
                <w:kern w:val="1"/>
                <w:sz w:val="24"/>
              </w:rPr>
              <w:t>（九）</w:t>
            </w:r>
            <w:r>
              <w:rPr>
                <w:rFonts w:ascii="仿宋" w:eastAsia="仿宋" w:hAnsi="仿宋" w:cs="仿宋" w:hint="eastAsia"/>
                <w:kern w:val="0"/>
                <w:sz w:val="24"/>
              </w:rPr>
              <w:t>纳税人符合财税</w:t>
            </w:r>
            <w:r w:rsidR="006C58B0">
              <w:rPr>
                <w:rFonts w:ascii="仿宋" w:eastAsia="仿宋" w:hAnsi="仿宋" w:cs="仿宋" w:hint="eastAsia"/>
                <w:kern w:val="1"/>
                <w:sz w:val="24"/>
              </w:rPr>
              <w:t>〔</w:t>
            </w:r>
            <w:r>
              <w:rPr>
                <w:rFonts w:ascii="仿宋" w:eastAsia="仿宋" w:hAnsi="仿宋" w:cs="仿宋" w:hint="eastAsia"/>
                <w:kern w:val="0"/>
                <w:sz w:val="24"/>
              </w:rPr>
              <w:t>2015</w:t>
            </w:r>
            <w:r w:rsidR="006C58B0">
              <w:rPr>
                <w:rFonts w:ascii="仿宋" w:eastAsia="仿宋" w:hAnsi="仿宋" w:cs="仿宋" w:hint="eastAsia"/>
                <w:kern w:val="1"/>
                <w:sz w:val="24"/>
              </w:rPr>
              <w:t>〕</w:t>
            </w:r>
            <w:r>
              <w:rPr>
                <w:rFonts w:ascii="仿宋" w:eastAsia="仿宋" w:hAnsi="仿宋" w:cs="仿宋" w:hint="eastAsia"/>
                <w:kern w:val="0"/>
                <w:sz w:val="24"/>
              </w:rPr>
              <w:t>78号文件第二条规定条件以及《资源综合利用产品和劳务增值税优惠目录》规定的技术标准和相关条件的书面声明</w:t>
            </w:r>
            <w:r>
              <w:rPr>
                <w:rFonts w:ascii="仿宋" w:eastAsia="仿宋" w:hAnsi="仿宋" w:cs="仿宋" w:hint="eastAsia"/>
                <w:kern w:val="1"/>
                <w:sz w:val="24"/>
              </w:rPr>
              <w:t>。</w:t>
            </w:r>
          </w:p>
        </w:tc>
        <w:tc>
          <w:tcPr>
            <w:tcW w:w="1622" w:type="dxa"/>
            <w:vMerge/>
            <w:vAlign w:val="center"/>
          </w:tcPr>
          <w:p w:rsidR="00013EC7" w:rsidRDefault="00013EC7">
            <w:pPr>
              <w:jc w:val="left"/>
            </w:pPr>
          </w:p>
        </w:tc>
        <w:tc>
          <w:tcPr>
            <w:tcW w:w="1622" w:type="dxa"/>
            <w:vAlign w:val="center"/>
          </w:tcPr>
          <w:p w:rsidR="00013EC7" w:rsidRDefault="00575CDB">
            <w:pPr>
              <w:jc w:val="left"/>
            </w:pPr>
            <w:r>
              <w:rPr>
                <w:rFonts w:ascii="仿宋" w:eastAsia="仿宋" w:hAnsi="仿宋" w:cs="仿宋" w:hint="eastAsia"/>
                <w:kern w:val="1"/>
                <w:sz w:val="24"/>
              </w:rPr>
              <w:t>（八）</w:t>
            </w:r>
            <w:r>
              <w:rPr>
                <w:rFonts w:ascii="仿宋" w:eastAsia="仿宋" w:hAnsi="仿宋" w:cs="仿宋" w:hint="eastAsia"/>
                <w:kern w:val="0"/>
                <w:sz w:val="24"/>
              </w:rPr>
              <w:t>纳税人符合财税</w:t>
            </w:r>
            <w:r w:rsidR="006C58B0">
              <w:rPr>
                <w:rFonts w:ascii="仿宋" w:eastAsia="仿宋" w:hAnsi="仿宋" w:cs="仿宋" w:hint="eastAsia"/>
                <w:kern w:val="1"/>
                <w:sz w:val="24"/>
              </w:rPr>
              <w:t>〔</w:t>
            </w:r>
            <w:r>
              <w:rPr>
                <w:rFonts w:ascii="仿宋" w:eastAsia="仿宋" w:hAnsi="仿宋" w:cs="仿宋" w:hint="eastAsia"/>
                <w:kern w:val="0"/>
                <w:sz w:val="24"/>
              </w:rPr>
              <w:t>2015</w:t>
            </w:r>
            <w:r w:rsidR="006C58B0">
              <w:rPr>
                <w:rFonts w:ascii="仿宋" w:eastAsia="仿宋" w:hAnsi="仿宋" w:cs="仿宋" w:hint="eastAsia"/>
                <w:kern w:val="1"/>
                <w:sz w:val="24"/>
              </w:rPr>
              <w:t>〕</w:t>
            </w:r>
            <w:r>
              <w:rPr>
                <w:rFonts w:ascii="仿宋" w:eastAsia="仿宋" w:hAnsi="仿宋" w:cs="仿宋" w:hint="eastAsia"/>
                <w:kern w:val="0"/>
                <w:sz w:val="24"/>
              </w:rPr>
              <w:t>78号文件第二条规定条件以及《资源综合利用产品和劳务增值税优惠目录》规定的技术标准和相关条件的书面声明</w:t>
            </w:r>
            <w:r>
              <w:rPr>
                <w:rFonts w:ascii="仿宋" w:eastAsia="仿宋" w:hAnsi="仿宋" w:cs="仿宋" w:hint="eastAsia"/>
                <w:kern w:val="1"/>
                <w:sz w:val="24"/>
              </w:rPr>
              <w:t>。</w:t>
            </w:r>
          </w:p>
        </w:tc>
        <w:tc>
          <w:tcPr>
            <w:tcW w:w="1623" w:type="dxa"/>
            <w:vMerge w:val="restart"/>
            <w:vAlign w:val="center"/>
          </w:tcPr>
          <w:p w:rsidR="00013EC7" w:rsidRDefault="00575CDB">
            <w:pPr>
              <w:jc w:val="left"/>
            </w:pPr>
            <w:r>
              <w:rPr>
                <w:rFonts w:ascii="仿宋" w:eastAsia="仿宋" w:hAnsi="仿宋" w:cs="仿宋" w:hint="eastAsia"/>
                <w:kern w:val="0"/>
                <w:sz w:val="24"/>
              </w:rPr>
              <w:t>资源综合利用增值税即征即退办理纳税人提交</w:t>
            </w:r>
          </w:p>
        </w:tc>
        <w:tc>
          <w:tcPr>
            <w:tcW w:w="1623" w:type="dxa"/>
            <w:vMerge w:val="restart"/>
            <w:vAlign w:val="center"/>
          </w:tcPr>
          <w:p w:rsidR="00013EC7" w:rsidRDefault="00575CDB">
            <w:pPr>
              <w:spacing w:line="300" w:lineRule="exac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纳税人提交书面材料。</w:t>
            </w:r>
          </w:p>
          <w:p w:rsidR="00013EC7" w:rsidRDefault="00575CDB">
            <w:pPr>
              <w:spacing w:line="300" w:lineRule="exact"/>
              <w:rPr>
                <w:rFonts w:ascii="仿宋" w:eastAsia="仿宋" w:hAnsi="仿宋" w:cs="仿宋"/>
                <w:b/>
                <w:sz w:val="24"/>
              </w:rPr>
            </w:pPr>
            <w:r>
              <w:rPr>
                <w:rFonts w:ascii="仿宋" w:eastAsia="仿宋" w:hAnsi="仿宋" w:cs="仿宋" w:hint="eastAsia"/>
                <w:b/>
                <w:sz w:val="24"/>
              </w:rPr>
              <w:t>网上办理：</w:t>
            </w:r>
            <w:r>
              <w:rPr>
                <w:rFonts w:ascii="仿宋" w:eastAsia="仿宋" w:hAnsi="仿宋" w:cs="仿宋" w:hint="eastAsia"/>
                <w:sz w:val="24"/>
              </w:rPr>
              <w:t>登录浙江国税电子税务局（网址：</w:t>
            </w:r>
            <w:hyperlink r:id="rId400" w:tgtFrame="https://wx.qq.com/_blank" w:history="1">
              <w:r>
                <w:rPr>
                  <w:rFonts w:ascii="仿宋" w:eastAsia="仿宋" w:hAnsi="仿宋" w:cs="仿宋" w:hint="eastAsia"/>
                  <w:sz w:val="24"/>
                </w:rPr>
                <w:t>http://etax.zjtax.gov.cn/</w:t>
              </w:r>
            </w:hyperlink>
            <w:r>
              <w:rPr>
                <w:rFonts w:ascii="仿宋" w:eastAsia="仿宋" w:hAnsi="仿宋" w:cs="仿宋" w:hint="eastAsia"/>
                <w:sz w:val="24"/>
              </w:rPr>
              <w:t>）提交申请。</w:t>
            </w:r>
          </w:p>
          <w:p w:rsidR="00013EC7" w:rsidRDefault="00575CDB">
            <w:pPr>
              <w:jc w:val="left"/>
            </w:pPr>
            <w:r>
              <w:rPr>
                <w:rStyle w:val="font31"/>
                <w:rFonts w:ascii="仿宋" w:eastAsia="仿宋" w:hAnsi="仿宋" w:cs="仿宋" w:hint="default"/>
                <w:sz w:val="24"/>
              </w:rPr>
              <w:t>APP办理：</w:t>
            </w:r>
            <w:r>
              <w:rPr>
                <w:rStyle w:val="font31"/>
                <w:rFonts w:ascii="仿宋" w:eastAsia="仿宋" w:hAnsi="仿宋" w:cs="仿宋" w:hint="default"/>
                <w:b w:val="0"/>
                <w:bCs/>
                <w:sz w:val="24"/>
              </w:rPr>
              <w:t>登录浙江国税APP提交申请。</w:t>
            </w: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r>
      <w:tr w:rsidR="00013EC7">
        <w:tc>
          <w:tcPr>
            <w:tcW w:w="1162" w:type="dxa"/>
            <w:vMerge/>
            <w:vAlign w:val="center"/>
          </w:tcPr>
          <w:p w:rsidR="00013EC7" w:rsidRDefault="00013EC7">
            <w:pPr>
              <w:jc w:val="center"/>
            </w:pPr>
          </w:p>
        </w:tc>
        <w:tc>
          <w:tcPr>
            <w:tcW w:w="1163" w:type="dxa"/>
            <w:vMerge/>
            <w:vAlign w:val="center"/>
          </w:tcPr>
          <w:p w:rsidR="00013EC7" w:rsidRDefault="00013EC7">
            <w:pPr>
              <w:jc w:val="center"/>
            </w:pPr>
          </w:p>
        </w:tc>
        <w:tc>
          <w:tcPr>
            <w:tcW w:w="2541" w:type="dxa"/>
            <w:vMerge/>
            <w:vAlign w:val="center"/>
          </w:tcPr>
          <w:p w:rsidR="00013EC7" w:rsidRDefault="00013EC7">
            <w:pPr>
              <w:jc w:val="center"/>
            </w:pPr>
          </w:p>
        </w:tc>
        <w:tc>
          <w:tcPr>
            <w:tcW w:w="1622" w:type="dxa"/>
            <w:vAlign w:val="center"/>
          </w:tcPr>
          <w:p w:rsidR="00013EC7" w:rsidRDefault="00575CDB">
            <w:pPr>
              <w:jc w:val="left"/>
            </w:pPr>
            <w:r>
              <w:rPr>
                <w:rFonts w:ascii="仿宋" w:eastAsia="仿宋" w:hAnsi="仿宋" w:cs="仿宋" w:hint="eastAsia"/>
                <w:kern w:val="0"/>
                <w:sz w:val="24"/>
              </w:rPr>
              <w:t>（十）《资源综合利用产品增值税即征即退计</w:t>
            </w:r>
            <w:r>
              <w:rPr>
                <w:rFonts w:ascii="仿宋" w:eastAsia="仿宋" w:hAnsi="仿宋" w:cs="仿宋" w:hint="eastAsia"/>
                <w:kern w:val="0"/>
                <w:sz w:val="24"/>
              </w:rPr>
              <w:lastRenderedPageBreak/>
              <w:t>算表》。</w:t>
            </w:r>
          </w:p>
        </w:tc>
        <w:tc>
          <w:tcPr>
            <w:tcW w:w="1622" w:type="dxa"/>
            <w:vMerge/>
            <w:vAlign w:val="center"/>
          </w:tcPr>
          <w:p w:rsidR="00013EC7" w:rsidRDefault="00013EC7">
            <w:pPr>
              <w:jc w:val="left"/>
            </w:pPr>
          </w:p>
        </w:tc>
        <w:tc>
          <w:tcPr>
            <w:tcW w:w="1622" w:type="dxa"/>
            <w:vAlign w:val="center"/>
          </w:tcPr>
          <w:p w:rsidR="00013EC7" w:rsidRDefault="00575CDB">
            <w:pPr>
              <w:jc w:val="left"/>
            </w:pPr>
            <w:r>
              <w:rPr>
                <w:rFonts w:ascii="仿宋" w:eastAsia="仿宋" w:hAnsi="仿宋" w:cs="仿宋" w:hint="eastAsia"/>
                <w:kern w:val="0"/>
                <w:sz w:val="24"/>
              </w:rPr>
              <w:t>（九）《资源综合利用产品增值税即征即退计</w:t>
            </w:r>
            <w:r>
              <w:rPr>
                <w:rFonts w:ascii="仿宋" w:eastAsia="仿宋" w:hAnsi="仿宋" w:cs="仿宋" w:hint="eastAsia"/>
                <w:kern w:val="0"/>
                <w:sz w:val="24"/>
              </w:rPr>
              <w:lastRenderedPageBreak/>
              <w:t>算表》。</w:t>
            </w:r>
          </w:p>
        </w:tc>
        <w:tc>
          <w:tcPr>
            <w:tcW w:w="1623" w:type="dxa"/>
            <w:vMerge/>
            <w:vAlign w:val="center"/>
          </w:tcPr>
          <w:p w:rsidR="00013EC7" w:rsidRDefault="00013EC7">
            <w:pPr>
              <w:jc w:val="left"/>
            </w:pP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r>
      <w:tr w:rsidR="00013EC7">
        <w:tc>
          <w:tcPr>
            <w:tcW w:w="1162" w:type="dxa"/>
            <w:vMerge/>
            <w:vAlign w:val="center"/>
          </w:tcPr>
          <w:p w:rsidR="00013EC7" w:rsidRDefault="00013EC7">
            <w:pPr>
              <w:jc w:val="center"/>
            </w:pPr>
          </w:p>
        </w:tc>
        <w:tc>
          <w:tcPr>
            <w:tcW w:w="1163" w:type="dxa"/>
            <w:vMerge/>
            <w:vAlign w:val="center"/>
          </w:tcPr>
          <w:p w:rsidR="00013EC7" w:rsidRDefault="00013EC7">
            <w:pPr>
              <w:jc w:val="center"/>
            </w:pPr>
          </w:p>
        </w:tc>
        <w:tc>
          <w:tcPr>
            <w:tcW w:w="2541" w:type="dxa"/>
            <w:vMerge/>
            <w:vAlign w:val="center"/>
          </w:tcPr>
          <w:p w:rsidR="00013EC7" w:rsidRDefault="00013EC7">
            <w:pPr>
              <w:jc w:val="center"/>
            </w:pPr>
          </w:p>
        </w:tc>
        <w:tc>
          <w:tcPr>
            <w:tcW w:w="1622" w:type="dxa"/>
            <w:vAlign w:val="center"/>
          </w:tcPr>
          <w:p w:rsidR="00013EC7" w:rsidRDefault="00575CDB">
            <w:pPr>
              <w:jc w:val="left"/>
            </w:pPr>
            <w:r>
              <w:rPr>
                <w:rFonts w:ascii="仿宋" w:eastAsia="仿宋" w:hAnsi="仿宋" w:cs="仿宋" w:hint="eastAsia"/>
                <w:kern w:val="0"/>
                <w:sz w:val="24"/>
              </w:rPr>
              <w:t>（十一）管道运输业务合同</w:t>
            </w:r>
            <w:r>
              <w:rPr>
                <w:rFonts w:ascii="仿宋" w:eastAsia="仿宋" w:hAnsi="仿宋" w:cs="仿宋" w:hint="eastAsia"/>
                <w:kern w:val="0"/>
                <w:sz w:val="24"/>
                <w:highlight w:val="lightGray"/>
                <w:shd w:val="clear" w:color="FFFFFF" w:fill="D9D9D9"/>
              </w:rPr>
              <w:t>原件</w:t>
            </w:r>
            <w:r>
              <w:rPr>
                <w:rFonts w:ascii="仿宋" w:eastAsia="仿宋" w:hAnsi="仿宋" w:cs="仿宋" w:hint="eastAsia"/>
                <w:kern w:val="0"/>
                <w:sz w:val="24"/>
              </w:rPr>
              <w:t>和复印件。</w:t>
            </w:r>
          </w:p>
        </w:tc>
        <w:tc>
          <w:tcPr>
            <w:tcW w:w="1622" w:type="dxa"/>
            <w:vMerge w:val="restart"/>
            <w:vAlign w:val="center"/>
          </w:tcPr>
          <w:p w:rsidR="00013EC7" w:rsidRDefault="00575CDB">
            <w:pPr>
              <w:jc w:val="left"/>
            </w:pPr>
            <w:r>
              <w:rPr>
                <w:rFonts w:ascii="仿宋" w:eastAsia="仿宋" w:hAnsi="仿宋" w:cs="仿宋" w:hint="eastAsia"/>
                <w:kern w:val="0"/>
                <w:sz w:val="24"/>
              </w:rPr>
              <w:t>管道运输服务增值税即征即退纳税人提交</w:t>
            </w:r>
          </w:p>
        </w:tc>
        <w:tc>
          <w:tcPr>
            <w:tcW w:w="1622" w:type="dxa"/>
            <w:vAlign w:val="center"/>
          </w:tcPr>
          <w:p w:rsidR="00013EC7" w:rsidRDefault="00575CDB">
            <w:pPr>
              <w:jc w:val="left"/>
            </w:pPr>
            <w:r>
              <w:rPr>
                <w:rFonts w:ascii="仿宋" w:eastAsia="仿宋" w:hAnsi="仿宋" w:cs="仿宋" w:hint="eastAsia"/>
                <w:kern w:val="0"/>
                <w:sz w:val="24"/>
              </w:rPr>
              <w:t>（十）管道运输业务合同复印件（注明与原件一致，并加盖公章）。</w:t>
            </w:r>
          </w:p>
        </w:tc>
        <w:tc>
          <w:tcPr>
            <w:tcW w:w="1623" w:type="dxa"/>
            <w:vAlign w:val="center"/>
          </w:tcPr>
          <w:p w:rsidR="00013EC7" w:rsidRDefault="00575CDB">
            <w:pPr>
              <w:jc w:val="left"/>
            </w:pPr>
            <w:r>
              <w:rPr>
                <w:rFonts w:ascii="仿宋" w:eastAsia="仿宋" w:hAnsi="仿宋" w:cs="仿宋" w:hint="eastAsia"/>
                <w:kern w:val="0"/>
                <w:sz w:val="24"/>
              </w:rPr>
              <w:t>管道运输服务增值税即征即退纳税人提交</w:t>
            </w:r>
          </w:p>
        </w:tc>
        <w:tc>
          <w:tcPr>
            <w:tcW w:w="1623"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纳税人提交书面材料。</w:t>
            </w:r>
          </w:p>
          <w:p w:rsidR="00013EC7" w:rsidRDefault="00575CDB">
            <w:pPr>
              <w:spacing w:line="300" w:lineRule="exact"/>
              <w:rPr>
                <w:rFonts w:ascii="仿宋" w:eastAsia="仿宋" w:hAnsi="仿宋" w:cs="仿宋"/>
                <w:b/>
                <w:sz w:val="24"/>
              </w:rPr>
            </w:pPr>
            <w:r>
              <w:rPr>
                <w:rFonts w:ascii="仿宋" w:eastAsia="仿宋" w:hAnsi="仿宋" w:cs="仿宋" w:hint="eastAsia"/>
                <w:b/>
                <w:sz w:val="24"/>
              </w:rPr>
              <w:t>网上办理：</w:t>
            </w:r>
            <w:r>
              <w:rPr>
                <w:rFonts w:ascii="仿宋" w:eastAsia="仿宋" w:hAnsi="仿宋" w:cs="仿宋" w:hint="eastAsia"/>
                <w:sz w:val="24"/>
              </w:rPr>
              <w:t>登录浙江国税电子税务局（网址：</w:t>
            </w:r>
            <w:hyperlink r:id="rId401" w:tgtFrame="https://wx.qq.com/_blank" w:history="1">
              <w:r>
                <w:rPr>
                  <w:rFonts w:ascii="仿宋" w:eastAsia="仿宋" w:hAnsi="仿宋" w:cs="仿宋" w:hint="eastAsia"/>
                  <w:sz w:val="24"/>
                </w:rPr>
                <w:t>http://etax.zjtax.gov.cn/</w:t>
              </w:r>
            </w:hyperlink>
            <w:r>
              <w:rPr>
                <w:rFonts w:ascii="仿宋" w:eastAsia="仿宋" w:hAnsi="仿宋" w:cs="仿宋" w:hint="eastAsia"/>
                <w:sz w:val="24"/>
              </w:rPr>
              <w:t>）提交申请。</w:t>
            </w:r>
          </w:p>
          <w:p w:rsidR="00013EC7" w:rsidRDefault="00575CDB">
            <w:pPr>
              <w:jc w:val="left"/>
            </w:pPr>
            <w:r>
              <w:rPr>
                <w:rStyle w:val="font31"/>
                <w:rFonts w:ascii="仿宋" w:eastAsia="仿宋" w:hAnsi="仿宋" w:cs="仿宋" w:hint="default"/>
                <w:sz w:val="24"/>
              </w:rPr>
              <w:t>APP办理：</w:t>
            </w:r>
            <w:r>
              <w:rPr>
                <w:rStyle w:val="font31"/>
                <w:rFonts w:ascii="仿宋" w:eastAsia="仿宋" w:hAnsi="仿宋" w:cs="仿宋" w:hint="default"/>
                <w:b w:val="0"/>
                <w:bCs/>
                <w:sz w:val="24"/>
              </w:rPr>
              <w:t>登录浙江国税APP提交申请。</w:t>
            </w: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r>
      <w:tr w:rsidR="00013EC7">
        <w:tc>
          <w:tcPr>
            <w:tcW w:w="1162" w:type="dxa"/>
            <w:vMerge/>
            <w:vAlign w:val="center"/>
          </w:tcPr>
          <w:p w:rsidR="00013EC7" w:rsidRDefault="00013EC7">
            <w:pPr>
              <w:jc w:val="center"/>
            </w:pPr>
          </w:p>
        </w:tc>
        <w:tc>
          <w:tcPr>
            <w:tcW w:w="1163" w:type="dxa"/>
            <w:vMerge/>
            <w:vAlign w:val="center"/>
          </w:tcPr>
          <w:p w:rsidR="00013EC7" w:rsidRDefault="00013EC7">
            <w:pPr>
              <w:jc w:val="center"/>
            </w:pPr>
          </w:p>
        </w:tc>
        <w:tc>
          <w:tcPr>
            <w:tcW w:w="2541" w:type="dxa"/>
            <w:vMerge/>
            <w:vAlign w:val="center"/>
          </w:tcPr>
          <w:p w:rsidR="00013EC7" w:rsidRDefault="00013EC7">
            <w:pPr>
              <w:jc w:val="center"/>
            </w:pPr>
          </w:p>
        </w:tc>
        <w:tc>
          <w:tcPr>
            <w:tcW w:w="1622" w:type="dxa"/>
            <w:vAlign w:val="center"/>
          </w:tcPr>
          <w:p w:rsidR="00013EC7" w:rsidRDefault="00575CDB">
            <w:pPr>
              <w:jc w:val="left"/>
            </w:pPr>
            <w:r>
              <w:rPr>
                <w:rFonts w:ascii="仿宋" w:eastAsia="仿宋" w:hAnsi="仿宋" w:cs="仿宋" w:hint="eastAsia"/>
                <w:kern w:val="0"/>
                <w:sz w:val="24"/>
              </w:rPr>
              <w:t>（十二）实施管道运输业务期间的增值税申报表。</w:t>
            </w:r>
          </w:p>
        </w:tc>
        <w:tc>
          <w:tcPr>
            <w:tcW w:w="1622" w:type="dxa"/>
            <w:vMerge/>
            <w:vAlign w:val="center"/>
          </w:tcPr>
          <w:p w:rsidR="00013EC7" w:rsidRDefault="00013EC7">
            <w:pPr>
              <w:jc w:val="left"/>
            </w:pPr>
          </w:p>
        </w:tc>
        <w:tc>
          <w:tcPr>
            <w:tcW w:w="1622" w:type="dxa"/>
            <w:vAlign w:val="center"/>
          </w:tcPr>
          <w:p w:rsidR="00013EC7" w:rsidRDefault="00575CDB">
            <w:pPr>
              <w:jc w:val="left"/>
            </w:pPr>
            <w:r>
              <w:rPr>
                <w:rFonts w:ascii="仿宋" w:eastAsia="仿宋" w:hAnsi="仿宋" w:cs="仿宋" w:hint="eastAsia"/>
                <w:kern w:val="0"/>
                <w:sz w:val="24"/>
              </w:rPr>
              <w:t>（十一）实施管道运输业务期间的增值税申报表。</w:t>
            </w:r>
          </w:p>
        </w:tc>
        <w:tc>
          <w:tcPr>
            <w:tcW w:w="1623" w:type="dxa"/>
            <w:vAlign w:val="center"/>
          </w:tcPr>
          <w:p w:rsidR="00013EC7" w:rsidRDefault="00575CDB">
            <w:pPr>
              <w:widowControl/>
              <w:jc w:val="left"/>
              <w:textAlignment w:val="center"/>
              <w:rPr>
                <w:rFonts w:ascii="仿宋" w:eastAsia="仿宋" w:hAnsi="仿宋" w:cs="仿宋"/>
                <w:b/>
                <w:bCs/>
                <w:i/>
                <w:iCs/>
                <w:kern w:val="0"/>
                <w:sz w:val="24"/>
              </w:rPr>
            </w:pPr>
            <w:r>
              <w:rPr>
                <w:rFonts w:ascii="仿宋" w:eastAsia="仿宋" w:hAnsi="仿宋" w:cs="仿宋" w:hint="eastAsia"/>
                <w:b/>
                <w:bCs/>
                <w:i/>
                <w:iCs/>
                <w:kern w:val="0"/>
                <w:sz w:val="24"/>
              </w:rPr>
              <w:t>经办机构</w:t>
            </w:r>
          </w:p>
          <w:p w:rsidR="00013EC7" w:rsidRDefault="00575CDB">
            <w:pPr>
              <w:jc w:val="left"/>
            </w:pPr>
            <w:r>
              <w:rPr>
                <w:rFonts w:ascii="仿宋" w:eastAsia="仿宋" w:hAnsi="仿宋" w:cs="仿宋" w:hint="eastAsia"/>
                <w:b/>
                <w:bCs/>
                <w:i/>
                <w:iCs/>
                <w:kern w:val="0"/>
                <w:sz w:val="24"/>
              </w:rPr>
              <w:t>自行获取</w:t>
            </w:r>
          </w:p>
        </w:tc>
        <w:tc>
          <w:tcPr>
            <w:tcW w:w="1623" w:type="dxa"/>
            <w:vAlign w:val="center"/>
          </w:tcPr>
          <w:p w:rsidR="00013EC7" w:rsidRDefault="00575CDB">
            <w:pPr>
              <w:jc w:val="center"/>
            </w:pPr>
            <w:r>
              <w:rPr>
                <w:rFonts w:ascii="仿宋" w:eastAsia="仿宋" w:hAnsi="仿宋" w:cs="仿宋" w:hint="eastAsia"/>
                <w:b/>
                <w:sz w:val="24"/>
              </w:rPr>
              <w:t>内部共享：</w:t>
            </w:r>
            <w:r>
              <w:rPr>
                <w:rFonts w:ascii="仿宋" w:eastAsia="仿宋" w:hAnsi="仿宋" w:cs="仿宋" w:hint="eastAsia"/>
                <w:kern w:val="0"/>
                <w:sz w:val="24"/>
              </w:rPr>
              <w:t>内部共享获取相关信息。</w:t>
            </w: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r>
      <w:tr w:rsidR="00013EC7">
        <w:tc>
          <w:tcPr>
            <w:tcW w:w="1162" w:type="dxa"/>
            <w:vMerge/>
            <w:vAlign w:val="center"/>
          </w:tcPr>
          <w:p w:rsidR="00013EC7" w:rsidRDefault="00013EC7">
            <w:pPr>
              <w:jc w:val="center"/>
            </w:pPr>
          </w:p>
        </w:tc>
        <w:tc>
          <w:tcPr>
            <w:tcW w:w="1163" w:type="dxa"/>
            <w:vMerge/>
            <w:vAlign w:val="center"/>
          </w:tcPr>
          <w:p w:rsidR="00013EC7" w:rsidRDefault="00013EC7">
            <w:pPr>
              <w:jc w:val="center"/>
            </w:pPr>
          </w:p>
        </w:tc>
        <w:tc>
          <w:tcPr>
            <w:tcW w:w="2541" w:type="dxa"/>
            <w:vMerge/>
            <w:vAlign w:val="center"/>
          </w:tcPr>
          <w:p w:rsidR="00013EC7" w:rsidRDefault="00013EC7">
            <w:pPr>
              <w:jc w:val="center"/>
            </w:pPr>
          </w:p>
        </w:tc>
        <w:tc>
          <w:tcPr>
            <w:tcW w:w="1622" w:type="dxa"/>
            <w:vAlign w:val="center"/>
          </w:tcPr>
          <w:p w:rsidR="00013EC7" w:rsidRDefault="00575CDB">
            <w:pPr>
              <w:jc w:val="left"/>
            </w:pPr>
            <w:r>
              <w:rPr>
                <w:rFonts w:ascii="仿宋" w:eastAsia="仿宋" w:hAnsi="仿宋" w:cs="仿宋" w:hint="eastAsia"/>
                <w:kern w:val="0"/>
                <w:sz w:val="24"/>
              </w:rPr>
              <w:t>（十三）有形动产租赁服务期间的增值税申报表。</w:t>
            </w:r>
          </w:p>
        </w:tc>
        <w:tc>
          <w:tcPr>
            <w:tcW w:w="1622" w:type="dxa"/>
            <w:vMerge w:val="restart"/>
            <w:vAlign w:val="center"/>
          </w:tcPr>
          <w:p w:rsidR="00013EC7" w:rsidRDefault="00575CDB">
            <w:pPr>
              <w:jc w:val="left"/>
            </w:pPr>
            <w:r>
              <w:rPr>
                <w:rFonts w:ascii="仿宋" w:eastAsia="仿宋" w:hAnsi="仿宋" w:cs="仿宋" w:hint="eastAsia"/>
                <w:kern w:val="0"/>
                <w:sz w:val="24"/>
              </w:rPr>
              <w:t>有形动产融资租赁服务增值税即征即退纳税人提交</w:t>
            </w:r>
          </w:p>
        </w:tc>
        <w:tc>
          <w:tcPr>
            <w:tcW w:w="1622" w:type="dxa"/>
            <w:vAlign w:val="center"/>
          </w:tcPr>
          <w:p w:rsidR="00013EC7" w:rsidRDefault="00575CDB">
            <w:pPr>
              <w:jc w:val="left"/>
            </w:pPr>
            <w:r>
              <w:rPr>
                <w:rFonts w:ascii="仿宋" w:eastAsia="仿宋" w:hAnsi="仿宋" w:cs="仿宋" w:hint="eastAsia"/>
                <w:kern w:val="0"/>
                <w:sz w:val="24"/>
              </w:rPr>
              <w:t>（十二）有形动产租赁服务期间的增值税申报表。</w:t>
            </w:r>
          </w:p>
        </w:tc>
        <w:tc>
          <w:tcPr>
            <w:tcW w:w="1623" w:type="dxa"/>
            <w:vAlign w:val="center"/>
          </w:tcPr>
          <w:p w:rsidR="00013EC7" w:rsidRDefault="00575CDB">
            <w:pPr>
              <w:widowControl/>
              <w:jc w:val="left"/>
              <w:textAlignment w:val="center"/>
              <w:rPr>
                <w:rFonts w:ascii="仿宋" w:eastAsia="仿宋" w:hAnsi="仿宋" w:cs="仿宋"/>
                <w:b/>
                <w:bCs/>
                <w:i/>
                <w:iCs/>
                <w:kern w:val="0"/>
                <w:sz w:val="24"/>
              </w:rPr>
            </w:pPr>
            <w:r>
              <w:rPr>
                <w:rFonts w:ascii="仿宋" w:eastAsia="仿宋" w:hAnsi="仿宋" w:cs="仿宋" w:hint="eastAsia"/>
                <w:b/>
                <w:bCs/>
                <w:i/>
                <w:iCs/>
                <w:kern w:val="0"/>
                <w:sz w:val="24"/>
              </w:rPr>
              <w:t>经办机构</w:t>
            </w:r>
          </w:p>
          <w:p w:rsidR="00013EC7" w:rsidRDefault="00575CDB">
            <w:pPr>
              <w:jc w:val="left"/>
            </w:pPr>
            <w:r>
              <w:rPr>
                <w:rFonts w:ascii="仿宋" w:eastAsia="仿宋" w:hAnsi="仿宋" w:cs="仿宋" w:hint="eastAsia"/>
                <w:b/>
                <w:bCs/>
                <w:i/>
                <w:iCs/>
                <w:kern w:val="0"/>
                <w:sz w:val="24"/>
              </w:rPr>
              <w:t>自行获取</w:t>
            </w:r>
          </w:p>
        </w:tc>
        <w:tc>
          <w:tcPr>
            <w:tcW w:w="1623" w:type="dxa"/>
            <w:vAlign w:val="center"/>
          </w:tcPr>
          <w:p w:rsidR="00013EC7" w:rsidRDefault="00575CDB">
            <w:pPr>
              <w:jc w:val="center"/>
            </w:pPr>
            <w:r>
              <w:rPr>
                <w:rFonts w:ascii="仿宋" w:eastAsia="仿宋" w:hAnsi="仿宋" w:cs="仿宋" w:hint="eastAsia"/>
                <w:b/>
                <w:sz w:val="24"/>
              </w:rPr>
              <w:t>内部共享：</w:t>
            </w:r>
            <w:r>
              <w:rPr>
                <w:rFonts w:ascii="仿宋" w:eastAsia="仿宋" w:hAnsi="仿宋" w:cs="仿宋" w:hint="eastAsia"/>
                <w:kern w:val="0"/>
                <w:sz w:val="24"/>
              </w:rPr>
              <w:t>内部共享获取相关信息。</w:t>
            </w: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r>
      <w:tr w:rsidR="00013EC7">
        <w:tc>
          <w:tcPr>
            <w:tcW w:w="1162" w:type="dxa"/>
            <w:vMerge/>
            <w:vAlign w:val="center"/>
          </w:tcPr>
          <w:p w:rsidR="00013EC7" w:rsidRDefault="00013EC7">
            <w:pPr>
              <w:jc w:val="center"/>
            </w:pPr>
          </w:p>
        </w:tc>
        <w:tc>
          <w:tcPr>
            <w:tcW w:w="1163" w:type="dxa"/>
            <w:vMerge/>
            <w:vAlign w:val="center"/>
          </w:tcPr>
          <w:p w:rsidR="00013EC7" w:rsidRDefault="00013EC7">
            <w:pPr>
              <w:jc w:val="center"/>
            </w:pPr>
          </w:p>
        </w:tc>
        <w:tc>
          <w:tcPr>
            <w:tcW w:w="2541" w:type="dxa"/>
            <w:vMerge/>
            <w:vAlign w:val="center"/>
          </w:tcPr>
          <w:p w:rsidR="00013EC7" w:rsidRDefault="00013EC7">
            <w:pPr>
              <w:jc w:val="center"/>
            </w:pPr>
          </w:p>
        </w:tc>
        <w:tc>
          <w:tcPr>
            <w:tcW w:w="1622" w:type="dxa"/>
            <w:vAlign w:val="center"/>
          </w:tcPr>
          <w:p w:rsidR="00013EC7" w:rsidRDefault="00575CDB">
            <w:pPr>
              <w:jc w:val="left"/>
            </w:pPr>
            <w:r>
              <w:rPr>
                <w:rFonts w:ascii="仿宋" w:eastAsia="仿宋" w:hAnsi="仿宋" w:cs="仿宋" w:hint="eastAsia"/>
                <w:kern w:val="0"/>
                <w:sz w:val="24"/>
              </w:rPr>
              <w:t>（十四）涉及的有形动产融资租赁项目合同</w:t>
            </w:r>
            <w:r>
              <w:rPr>
                <w:rFonts w:ascii="仿宋" w:eastAsia="仿宋" w:hAnsi="仿宋" w:cs="仿宋" w:hint="eastAsia"/>
                <w:kern w:val="0"/>
                <w:sz w:val="24"/>
                <w:highlight w:val="lightGray"/>
              </w:rPr>
              <w:t>原件</w:t>
            </w:r>
            <w:r>
              <w:rPr>
                <w:rFonts w:ascii="仿宋" w:eastAsia="仿宋" w:hAnsi="仿宋" w:cs="仿宋" w:hint="eastAsia"/>
                <w:kern w:val="0"/>
                <w:sz w:val="24"/>
              </w:rPr>
              <w:t>及复印件（加盖公章）。</w:t>
            </w:r>
          </w:p>
        </w:tc>
        <w:tc>
          <w:tcPr>
            <w:tcW w:w="1622" w:type="dxa"/>
            <w:vMerge/>
            <w:vAlign w:val="center"/>
          </w:tcPr>
          <w:p w:rsidR="00013EC7" w:rsidRDefault="00013EC7">
            <w:pPr>
              <w:jc w:val="left"/>
            </w:pPr>
          </w:p>
        </w:tc>
        <w:tc>
          <w:tcPr>
            <w:tcW w:w="1622" w:type="dxa"/>
            <w:vAlign w:val="center"/>
          </w:tcPr>
          <w:p w:rsidR="00013EC7" w:rsidRDefault="00575CDB">
            <w:pPr>
              <w:jc w:val="left"/>
            </w:pPr>
            <w:r>
              <w:rPr>
                <w:rFonts w:ascii="仿宋" w:eastAsia="仿宋" w:hAnsi="仿宋" w:cs="仿宋" w:hint="eastAsia"/>
                <w:kern w:val="0"/>
                <w:sz w:val="24"/>
              </w:rPr>
              <w:t>（十三）涉及的有形动产融资租赁项目合同复印件（注明与原件一致，并加盖公章）。</w:t>
            </w:r>
          </w:p>
        </w:tc>
        <w:tc>
          <w:tcPr>
            <w:tcW w:w="1623" w:type="dxa"/>
            <w:vMerge w:val="restart"/>
            <w:vAlign w:val="center"/>
          </w:tcPr>
          <w:p w:rsidR="00013EC7" w:rsidRDefault="00575CDB">
            <w:pPr>
              <w:jc w:val="left"/>
            </w:pPr>
            <w:r>
              <w:rPr>
                <w:rFonts w:ascii="仿宋" w:eastAsia="仿宋" w:hAnsi="仿宋" w:cs="仿宋" w:hint="eastAsia"/>
                <w:kern w:val="0"/>
                <w:sz w:val="24"/>
              </w:rPr>
              <w:t>有形动产融资租赁服务增值税即征即退纳税人提交</w:t>
            </w:r>
          </w:p>
        </w:tc>
        <w:tc>
          <w:tcPr>
            <w:tcW w:w="1623" w:type="dxa"/>
            <w:vMerge w:val="restart"/>
            <w:vAlign w:val="center"/>
          </w:tcPr>
          <w:p w:rsidR="00013EC7" w:rsidRDefault="00575CDB">
            <w:pPr>
              <w:spacing w:line="300" w:lineRule="exac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纳税人提交书面材料。</w:t>
            </w:r>
          </w:p>
          <w:p w:rsidR="00013EC7" w:rsidRDefault="00575CDB">
            <w:pPr>
              <w:spacing w:line="300" w:lineRule="exact"/>
              <w:rPr>
                <w:rFonts w:ascii="仿宋" w:eastAsia="仿宋" w:hAnsi="仿宋" w:cs="仿宋"/>
                <w:b/>
                <w:sz w:val="24"/>
              </w:rPr>
            </w:pPr>
            <w:r>
              <w:rPr>
                <w:rFonts w:ascii="仿宋" w:eastAsia="仿宋" w:hAnsi="仿宋" w:cs="仿宋" w:hint="eastAsia"/>
                <w:b/>
                <w:sz w:val="24"/>
              </w:rPr>
              <w:t>网上办理：</w:t>
            </w:r>
            <w:r>
              <w:rPr>
                <w:rFonts w:ascii="仿宋" w:eastAsia="仿宋" w:hAnsi="仿宋" w:cs="仿宋" w:hint="eastAsia"/>
                <w:sz w:val="24"/>
              </w:rPr>
              <w:t>登录浙江国税电子税务局（网址：</w:t>
            </w:r>
            <w:hyperlink r:id="rId402" w:tgtFrame="https://wx.qq.com/_blank" w:history="1">
              <w:r>
                <w:rPr>
                  <w:rFonts w:ascii="仿宋" w:eastAsia="仿宋" w:hAnsi="仿宋" w:cs="仿宋" w:hint="eastAsia"/>
                  <w:sz w:val="24"/>
                </w:rPr>
                <w:t>http://etax.zjtax.gov.cn/</w:t>
              </w:r>
            </w:hyperlink>
            <w:r>
              <w:rPr>
                <w:rFonts w:ascii="仿宋" w:eastAsia="仿宋" w:hAnsi="仿宋" w:cs="仿宋" w:hint="eastAsia"/>
                <w:sz w:val="24"/>
              </w:rPr>
              <w:t>）提交申请。</w:t>
            </w:r>
          </w:p>
          <w:p w:rsidR="00013EC7" w:rsidRDefault="00575CDB">
            <w:pPr>
              <w:jc w:val="left"/>
            </w:pPr>
            <w:r>
              <w:rPr>
                <w:rStyle w:val="font31"/>
                <w:rFonts w:ascii="仿宋" w:eastAsia="仿宋" w:hAnsi="仿宋" w:cs="仿宋" w:hint="default"/>
                <w:sz w:val="24"/>
              </w:rPr>
              <w:lastRenderedPageBreak/>
              <w:t>APP办理：</w:t>
            </w:r>
            <w:r>
              <w:rPr>
                <w:rStyle w:val="font31"/>
                <w:rFonts w:ascii="仿宋" w:eastAsia="仿宋" w:hAnsi="仿宋" w:cs="仿宋" w:hint="default"/>
                <w:b w:val="0"/>
                <w:bCs/>
                <w:sz w:val="24"/>
              </w:rPr>
              <w:t>登录浙江国税APP提交申请。</w:t>
            </w: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r>
      <w:tr w:rsidR="00013EC7">
        <w:tc>
          <w:tcPr>
            <w:tcW w:w="1162" w:type="dxa"/>
            <w:vMerge/>
            <w:vAlign w:val="center"/>
          </w:tcPr>
          <w:p w:rsidR="00013EC7" w:rsidRDefault="00013EC7">
            <w:pPr>
              <w:jc w:val="center"/>
            </w:pPr>
          </w:p>
        </w:tc>
        <w:tc>
          <w:tcPr>
            <w:tcW w:w="1163" w:type="dxa"/>
            <w:vMerge/>
            <w:vAlign w:val="center"/>
          </w:tcPr>
          <w:p w:rsidR="00013EC7" w:rsidRDefault="00013EC7">
            <w:pPr>
              <w:jc w:val="center"/>
            </w:pPr>
          </w:p>
        </w:tc>
        <w:tc>
          <w:tcPr>
            <w:tcW w:w="2541" w:type="dxa"/>
            <w:vMerge/>
            <w:vAlign w:val="center"/>
          </w:tcPr>
          <w:p w:rsidR="00013EC7" w:rsidRDefault="00013EC7">
            <w:pPr>
              <w:jc w:val="center"/>
            </w:pPr>
          </w:p>
        </w:tc>
        <w:tc>
          <w:tcPr>
            <w:tcW w:w="1622" w:type="dxa"/>
            <w:vAlign w:val="center"/>
          </w:tcPr>
          <w:p w:rsidR="00013EC7" w:rsidRDefault="00575CDB">
            <w:pPr>
              <w:jc w:val="left"/>
            </w:pPr>
            <w:r>
              <w:rPr>
                <w:rFonts w:ascii="仿宋" w:eastAsia="仿宋" w:hAnsi="仿宋" w:cs="仿宋" w:hint="eastAsia"/>
                <w:kern w:val="0"/>
                <w:sz w:val="24"/>
              </w:rPr>
              <w:t>（十五）人民银行、银监会、商务</w:t>
            </w:r>
            <w:r>
              <w:rPr>
                <w:rFonts w:ascii="仿宋" w:eastAsia="仿宋" w:hAnsi="仿宋" w:cs="仿宋" w:hint="eastAsia"/>
                <w:kern w:val="0"/>
                <w:sz w:val="24"/>
              </w:rPr>
              <w:lastRenderedPageBreak/>
              <w:t>部及其授权部门批准经营融资租赁业务证明原件和复印件。</w:t>
            </w:r>
          </w:p>
        </w:tc>
        <w:tc>
          <w:tcPr>
            <w:tcW w:w="1622" w:type="dxa"/>
            <w:vMerge/>
            <w:vAlign w:val="center"/>
          </w:tcPr>
          <w:p w:rsidR="00013EC7" w:rsidRDefault="00013EC7">
            <w:pPr>
              <w:jc w:val="left"/>
            </w:pPr>
          </w:p>
        </w:tc>
        <w:tc>
          <w:tcPr>
            <w:tcW w:w="1622" w:type="dxa"/>
            <w:vAlign w:val="center"/>
          </w:tcPr>
          <w:p w:rsidR="00013EC7" w:rsidRDefault="00575CDB">
            <w:pPr>
              <w:jc w:val="left"/>
            </w:pPr>
            <w:r>
              <w:rPr>
                <w:rFonts w:ascii="仿宋" w:eastAsia="仿宋" w:hAnsi="仿宋" w:cs="仿宋" w:hint="eastAsia"/>
                <w:kern w:val="0"/>
                <w:sz w:val="24"/>
              </w:rPr>
              <w:t>（十四）人民银行、银监会、商务</w:t>
            </w:r>
            <w:r>
              <w:rPr>
                <w:rFonts w:ascii="仿宋" w:eastAsia="仿宋" w:hAnsi="仿宋" w:cs="仿宋" w:hint="eastAsia"/>
                <w:kern w:val="0"/>
                <w:sz w:val="24"/>
              </w:rPr>
              <w:lastRenderedPageBreak/>
              <w:t>部及其授权部门批准经营融资租赁业务证明原件和复印件（注明与原件一致，并加盖公章）。</w:t>
            </w:r>
          </w:p>
        </w:tc>
        <w:tc>
          <w:tcPr>
            <w:tcW w:w="1623" w:type="dxa"/>
            <w:vMerge/>
            <w:vAlign w:val="center"/>
          </w:tcPr>
          <w:p w:rsidR="00013EC7" w:rsidRDefault="00013EC7">
            <w:pPr>
              <w:jc w:val="left"/>
            </w:pP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r>
      <w:tr w:rsidR="00013EC7">
        <w:tc>
          <w:tcPr>
            <w:tcW w:w="1162" w:type="dxa"/>
            <w:vMerge/>
            <w:vAlign w:val="center"/>
          </w:tcPr>
          <w:p w:rsidR="00013EC7" w:rsidRDefault="00013EC7">
            <w:pPr>
              <w:jc w:val="center"/>
            </w:pPr>
          </w:p>
        </w:tc>
        <w:tc>
          <w:tcPr>
            <w:tcW w:w="1163" w:type="dxa"/>
            <w:vMerge/>
            <w:vAlign w:val="center"/>
          </w:tcPr>
          <w:p w:rsidR="00013EC7" w:rsidRDefault="00013EC7">
            <w:pPr>
              <w:jc w:val="center"/>
            </w:pPr>
          </w:p>
        </w:tc>
        <w:tc>
          <w:tcPr>
            <w:tcW w:w="2541" w:type="dxa"/>
            <w:vMerge/>
            <w:vAlign w:val="center"/>
          </w:tcPr>
          <w:p w:rsidR="00013EC7" w:rsidRDefault="00013EC7">
            <w:pPr>
              <w:jc w:val="center"/>
            </w:pPr>
          </w:p>
        </w:tc>
        <w:tc>
          <w:tcPr>
            <w:tcW w:w="1622" w:type="dxa"/>
            <w:vAlign w:val="center"/>
          </w:tcPr>
          <w:p w:rsidR="00013EC7" w:rsidRDefault="00575CDB">
            <w:pPr>
              <w:jc w:val="left"/>
            </w:pPr>
            <w:r>
              <w:rPr>
                <w:rFonts w:ascii="仿宋" w:eastAsia="仿宋" w:hAnsi="仿宋" w:cs="仿宋" w:hint="eastAsia"/>
                <w:kern w:val="0"/>
                <w:sz w:val="24"/>
                <w:highlight w:val="lightGray"/>
              </w:rPr>
              <w:t>（十六）退税申请报告</w:t>
            </w:r>
            <w:r>
              <w:rPr>
                <w:rFonts w:ascii="仿宋" w:eastAsia="仿宋" w:hAnsi="仿宋" w:cs="仿宋" w:hint="eastAsia"/>
                <w:kern w:val="1"/>
                <w:sz w:val="24"/>
                <w:highlight w:val="lightGray"/>
              </w:rPr>
              <w:t>。</w:t>
            </w:r>
          </w:p>
        </w:tc>
        <w:tc>
          <w:tcPr>
            <w:tcW w:w="1622" w:type="dxa"/>
            <w:vMerge w:val="restart"/>
            <w:vAlign w:val="center"/>
          </w:tcPr>
          <w:p w:rsidR="00013EC7" w:rsidRDefault="00575CDB">
            <w:pPr>
              <w:jc w:val="left"/>
            </w:pPr>
            <w:r>
              <w:rPr>
                <w:rFonts w:ascii="仿宋" w:eastAsia="仿宋" w:hAnsi="仿宋" w:cs="仿宋" w:hint="eastAsia"/>
                <w:kern w:val="0"/>
                <w:sz w:val="24"/>
              </w:rPr>
              <w:t>新型墙体材料增值税即征即退纳税人提交</w:t>
            </w:r>
          </w:p>
        </w:tc>
        <w:tc>
          <w:tcPr>
            <w:tcW w:w="1622" w:type="dxa"/>
            <w:vAlign w:val="center"/>
          </w:tcPr>
          <w:p w:rsidR="00013EC7" w:rsidRDefault="00013EC7">
            <w:pPr>
              <w:jc w:val="left"/>
            </w:pPr>
          </w:p>
        </w:tc>
        <w:tc>
          <w:tcPr>
            <w:tcW w:w="1623" w:type="dxa"/>
            <w:vAlign w:val="center"/>
          </w:tcPr>
          <w:p w:rsidR="00013EC7" w:rsidRDefault="00575CDB">
            <w:pPr>
              <w:jc w:val="left"/>
              <w:rPr>
                <w:rFonts w:ascii="仿宋" w:eastAsia="仿宋" w:hAnsi="仿宋"/>
              </w:rPr>
            </w:pPr>
            <w:r>
              <w:rPr>
                <w:rFonts w:ascii="仿宋" w:eastAsia="仿宋" w:hAnsi="仿宋" w:hint="eastAsia"/>
                <w:b/>
                <w:bCs/>
                <w:i/>
                <w:iCs/>
                <w:sz w:val="24"/>
              </w:rPr>
              <w:t>取消</w:t>
            </w:r>
          </w:p>
        </w:tc>
        <w:tc>
          <w:tcPr>
            <w:tcW w:w="1623" w:type="dxa"/>
            <w:vAlign w:val="center"/>
          </w:tcPr>
          <w:p w:rsidR="00013EC7" w:rsidRDefault="00013EC7">
            <w:pPr>
              <w:jc w:val="center"/>
            </w:pP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r>
      <w:tr w:rsidR="00013EC7">
        <w:tc>
          <w:tcPr>
            <w:tcW w:w="1162" w:type="dxa"/>
            <w:vMerge/>
            <w:vAlign w:val="center"/>
          </w:tcPr>
          <w:p w:rsidR="00013EC7" w:rsidRDefault="00013EC7">
            <w:pPr>
              <w:jc w:val="center"/>
            </w:pPr>
          </w:p>
        </w:tc>
        <w:tc>
          <w:tcPr>
            <w:tcW w:w="1163" w:type="dxa"/>
            <w:vMerge/>
            <w:vAlign w:val="center"/>
          </w:tcPr>
          <w:p w:rsidR="00013EC7" w:rsidRDefault="00013EC7">
            <w:pPr>
              <w:jc w:val="center"/>
            </w:pPr>
          </w:p>
        </w:tc>
        <w:tc>
          <w:tcPr>
            <w:tcW w:w="2541" w:type="dxa"/>
            <w:vMerge/>
            <w:vAlign w:val="center"/>
          </w:tcPr>
          <w:p w:rsidR="00013EC7" w:rsidRDefault="00013EC7">
            <w:pPr>
              <w:jc w:val="center"/>
            </w:pPr>
          </w:p>
        </w:tc>
        <w:tc>
          <w:tcPr>
            <w:tcW w:w="1622" w:type="dxa"/>
            <w:vAlign w:val="center"/>
          </w:tcPr>
          <w:p w:rsidR="00013EC7" w:rsidRDefault="00575CDB">
            <w:pPr>
              <w:jc w:val="left"/>
            </w:pPr>
            <w:r>
              <w:rPr>
                <w:rFonts w:ascii="仿宋" w:eastAsia="仿宋" w:hAnsi="仿宋" w:cs="仿宋" w:hint="eastAsia"/>
                <w:kern w:val="0"/>
                <w:sz w:val="24"/>
              </w:rPr>
              <w:t>（十七）纳税人符合财税</w:t>
            </w:r>
            <w:r w:rsidR="006C58B0">
              <w:rPr>
                <w:rFonts w:ascii="仿宋" w:eastAsia="仿宋" w:hAnsi="仿宋" w:cs="仿宋" w:hint="eastAsia"/>
                <w:kern w:val="1"/>
                <w:sz w:val="24"/>
              </w:rPr>
              <w:t>〔</w:t>
            </w:r>
            <w:r>
              <w:rPr>
                <w:rFonts w:ascii="仿宋" w:eastAsia="仿宋" w:hAnsi="仿宋" w:cs="仿宋" w:hint="eastAsia"/>
                <w:kern w:val="0"/>
                <w:sz w:val="24"/>
              </w:rPr>
              <w:t>2015</w:t>
            </w:r>
            <w:r w:rsidR="006C58B0">
              <w:rPr>
                <w:rFonts w:ascii="仿宋" w:eastAsia="仿宋" w:hAnsi="仿宋" w:cs="仿宋" w:hint="eastAsia"/>
                <w:kern w:val="0"/>
                <w:sz w:val="24"/>
              </w:rPr>
              <w:t>〕</w:t>
            </w:r>
            <w:r>
              <w:rPr>
                <w:rFonts w:ascii="仿宋" w:eastAsia="仿宋" w:hAnsi="仿宋" w:cs="仿宋" w:hint="eastAsia"/>
                <w:kern w:val="0"/>
                <w:sz w:val="24"/>
              </w:rPr>
              <w:t>73号文件第二条规定条件以及新型墙体材料规定的技术要求、相关标准的书面声明。</w:t>
            </w:r>
          </w:p>
        </w:tc>
        <w:tc>
          <w:tcPr>
            <w:tcW w:w="1622" w:type="dxa"/>
            <w:vMerge/>
            <w:vAlign w:val="center"/>
          </w:tcPr>
          <w:p w:rsidR="00013EC7" w:rsidRDefault="00013EC7">
            <w:pPr>
              <w:jc w:val="left"/>
            </w:pPr>
          </w:p>
        </w:tc>
        <w:tc>
          <w:tcPr>
            <w:tcW w:w="1622" w:type="dxa"/>
            <w:vAlign w:val="center"/>
          </w:tcPr>
          <w:p w:rsidR="00013EC7" w:rsidRDefault="00575CDB">
            <w:pPr>
              <w:jc w:val="left"/>
            </w:pPr>
            <w:r>
              <w:rPr>
                <w:rFonts w:ascii="仿宋" w:eastAsia="仿宋" w:hAnsi="仿宋" w:cs="仿宋" w:hint="eastAsia"/>
                <w:kern w:val="0"/>
                <w:sz w:val="24"/>
              </w:rPr>
              <w:t>（十五）纳税人符合财税</w:t>
            </w:r>
            <w:r w:rsidR="006C58B0">
              <w:rPr>
                <w:rFonts w:ascii="仿宋" w:eastAsia="仿宋" w:hAnsi="仿宋" w:cs="仿宋" w:hint="eastAsia"/>
                <w:kern w:val="1"/>
                <w:sz w:val="24"/>
              </w:rPr>
              <w:t>〔</w:t>
            </w:r>
            <w:r>
              <w:rPr>
                <w:rFonts w:ascii="仿宋" w:eastAsia="仿宋" w:hAnsi="仿宋" w:cs="仿宋" w:hint="eastAsia"/>
                <w:kern w:val="0"/>
                <w:sz w:val="24"/>
              </w:rPr>
              <w:t>2015</w:t>
            </w:r>
            <w:r w:rsidR="006C58B0">
              <w:rPr>
                <w:rFonts w:ascii="仿宋" w:eastAsia="仿宋" w:hAnsi="仿宋" w:cs="仿宋" w:hint="eastAsia"/>
                <w:kern w:val="0"/>
                <w:sz w:val="24"/>
              </w:rPr>
              <w:t>〕</w:t>
            </w:r>
            <w:r>
              <w:rPr>
                <w:rFonts w:ascii="仿宋" w:eastAsia="仿宋" w:hAnsi="仿宋" w:cs="仿宋" w:hint="eastAsia"/>
                <w:kern w:val="0"/>
                <w:sz w:val="24"/>
              </w:rPr>
              <w:t>73号文件第二条规定条件以及新型墙体材料规定的技术要求、相关标准的书面声明。</w:t>
            </w:r>
          </w:p>
        </w:tc>
        <w:tc>
          <w:tcPr>
            <w:tcW w:w="1623" w:type="dxa"/>
            <w:vMerge w:val="restart"/>
            <w:vAlign w:val="center"/>
          </w:tcPr>
          <w:p w:rsidR="00013EC7" w:rsidRDefault="00575CDB">
            <w:pPr>
              <w:jc w:val="left"/>
            </w:pPr>
            <w:r>
              <w:rPr>
                <w:rFonts w:ascii="仿宋" w:eastAsia="仿宋" w:hAnsi="仿宋" w:cs="仿宋" w:hint="eastAsia"/>
                <w:kern w:val="0"/>
                <w:sz w:val="24"/>
              </w:rPr>
              <w:t>新型墙体材料增值税即征即退纳税人提交</w:t>
            </w:r>
          </w:p>
        </w:tc>
        <w:tc>
          <w:tcPr>
            <w:tcW w:w="1623" w:type="dxa"/>
            <w:vMerge w:val="restart"/>
            <w:vAlign w:val="center"/>
          </w:tcPr>
          <w:p w:rsidR="00013EC7" w:rsidRDefault="00575CDB">
            <w:pPr>
              <w:spacing w:line="300" w:lineRule="exac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纳税人提交书面材料。</w:t>
            </w:r>
          </w:p>
          <w:p w:rsidR="00013EC7" w:rsidRDefault="00575CDB">
            <w:pPr>
              <w:spacing w:line="300" w:lineRule="exact"/>
              <w:rPr>
                <w:rFonts w:ascii="仿宋" w:eastAsia="仿宋" w:hAnsi="仿宋" w:cs="仿宋"/>
                <w:b/>
                <w:sz w:val="24"/>
              </w:rPr>
            </w:pPr>
            <w:r>
              <w:rPr>
                <w:rFonts w:ascii="仿宋" w:eastAsia="仿宋" w:hAnsi="仿宋" w:cs="仿宋" w:hint="eastAsia"/>
                <w:b/>
                <w:sz w:val="24"/>
              </w:rPr>
              <w:t>网上办理：</w:t>
            </w:r>
            <w:r>
              <w:rPr>
                <w:rFonts w:ascii="仿宋" w:eastAsia="仿宋" w:hAnsi="仿宋" w:cs="仿宋" w:hint="eastAsia"/>
                <w:sz w:val="24"/>
              </w:rPr>
              <w:t>登录浙江国税电子税务局（网址：</w:t>
            </w:r>
            <w:hyperlink r:id="rId403" w:tgtFrame="https://wx.qq.com/_blank" w:history="1">
              <w:r>
                <w:rPr>
                  <w:rFonts w:ascii="仿宋" w:eastAsia="仿宋" w:hAnsi="仿宋" w:cs="仿宋" w:hint="eastAsia"/>
                  <w:sz w:val="24"/>
                </w:rPr>
                <w:t>http://etax.zjtax.gov.cn/</w:t>
              </w:r>
            </w:hyperlink>
            <w:r>
              <w:rPr>
                <w:rFonts w:ascii="仿宋" w:eastAsia="仿宋" w:hAnsi="仿宋" w:cs="仿宋" w:hint="eastAsia"/>
                <w:sz w:val="24"/>
              </w:rPr>
              <w:t>）提交申请。</w:t>
            </w:r>
          </w:p>
          <w:p w:rsidR="00013EC7" w:rsidRDefault="00575CDB">
            <w:pPr>
              <w:jc w:val="left"/>
            </w:pPr>
            <w:r>
              <w:rPr>
                <w:rStyle w:val="font31"/>
                <w:rFonts w:ascii="仿宋" w:eastAsia="仿宋" w:hAnsi="仿宋" w:cs="仿宋" w:hint="default"/>
                <w:sz w:val="24"/>
              </w:rPr>
              <w:t>APP办理：</w:t>
            </w:r>
            <w:r>
              <w:rPr>
                <w:rStyle w:val="font31"/>
                <w:rFonts w:ascii="仿宋" w:eastAsia="仿宋" w:hAnsi="仿宋" w:cs="仿宋" w:hint="default"/>
                <w:b w:val="0"/>
                <w:bCs/>
                <w:sz w:val="24"/>
              </w:rPr>
              <w:t>登录浙江国税APP提交申请。</w:t>
            </w: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r>
      <w:tr w:rsidR="00013EC7">
        <w:tc>
          <w:tcPr>
            <w:tcW w:w="1162" w:type="dxa"/>
            <w:vMerge/>
            <w:vAlign w:val="center"/>
          </w:tcPr>
          <w:p w:rsidR="00013EC7" w:rsidRDefault="00013EC7">
            <w:pPr>
              <w:jc w:val="center"/>
            </w:pPr>
          </w:p>
        </w:tc>
        <w:tc>
          <w:tcPr>
            <w:tcW w:w="1163" w:type="dxa"/>
            <w:vMerge/>
            <w:vAlign w:val="center"/>
          </w:tcPr>
          <w:p w:rsidR="00013EC7" w:rsidRDefault="00013EC7">
            <w:pPr>
              <w:jc w:val="center"/>
            </w:pPr>
          </w:p>
        </w:tc>
        <w:tc>
          <w:tcPr>
            <w:tcW w:w="2541" w:type="dxa"/>
            <w:vMerge/>
            <w:vAlign w:val="center"/>
          </w:tcPr>
          <w:p w:rsidR="00013EC7" w:rsidRDefault="00013EC7">
            <w:pPr>
              <w:jc w:val="center"/>
            </w:pPr>
          </w:p>
        </w:tc>
        <w:tc>
          <w:tcPr>
            <w:tcW w:w="1622" w:type="dxa"/>
            <w:vAlign w:val="center"/>
          </w:tcPr>
          <w:p w:rsidR="00013EC7" w:rsidRDefault="00575CDB">
            <w:pPr>
              <w:jc w:val="left"/>
            </w:pPr>
            <w:r>
              <w:rPr>
                <w:rFonts w:ascii="仿宋" w:eastAsia="仿宋" w:hAnsi="仿宋" w:cs="仿宋" w:hint="eastAsia"/>
                <w:kern w:val="0"/>
                <w:sz w:val="24"/>
              </w:rPr>
              <w:t>（十八）《新型墙体材料增值税即征即退计算表 》。</w:t>
            </w:r>
          </w:p>
        </w:tc>
        <w:tc>
          <w:tcPr>
            <w:tcW w:w="1622" w:type="dxa"/>
            <w:vMerge/>
            <w:vAlign w:val="center"/>
          </w:tcPr>
          <w:p w:rsidR="00013EC7" w:rsidRDefault="00013EC7">
            <w:pPr>
              <w:jc w:val="left"/>
            </w:pPr>
          </w:p>
        </w:tc>
        <w:tc>
          <w:tcPr>
            <w:tcW w:w="1622" w:type="dxa"/>
            <w:vAlign w:val="center"/>
          </w:tcPr>
          <w:p w:rsidR="00013EC7" w:rsidRDefault="00575CDB">
            <w:pPr>
              <w:jc w:val="left"/>
            </w:pPr>
            <w:r>
              <w:rPr>
                <w:rFonts w:ascii="仿宋" w:eastAsia="仿宋" w:hAnsi="仿宋" w:cs="仿宋" w:hint="eastAsia"/>
                <w:kern w:val="0"/>
                <w:sz w:val="24"/>
              </w:rPr>
              <w:t>（十六）《新型墙体材料增值税即征即退计算表 》。</w:t>
            </w:r>
          </w:p>
        </w:tc>
        <w:tc>
          <w:tcPr>
            <w:tcW w:w="1623" w:type="dxa"/>
            <w:vMerge/>
            <w:vAlign w:val="center"/>
          </w:tcPr>
          <w:p w:rsidR="00013EC7" w:rsidRDefault="00013EC7">
            <w:pPr>
              <w:jc w:val="left"/>
            </w:pP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r>
      <w:tr w:rsidR="00013EC7">
        <w:trPr>
          <w:trHeight w:val="3451"/>
        </w:trPr>
        <w:tc>
          <w:tcPr>
            <w:tcW w:w="1162" w:type="dxa"/>
            <w:vMerge/>
            <w:vAlign w:val="center"/>
          </w:tcPr>
          <w:p w:rsidR="00013EC7" w:rsidRDefault="00013EC7">
            <w:pPr>
              <w:jc w:val="center"/>
            </w:pPr>
          </w:p>
        </w:tc>
        <w:tc>
          <w:tcPr>
            <w:tcW w:w="1163" w:type="dxa"/>
            <w:vMerge/>
            <w:vAlign w:val="center"/>
          </w:tcPr>
          <w:p w:rsidR="00013EC7" w:rsidRDefault="00013EC7">
            <w:pPr>
              <w:jc w:val="center"/>
            </w:pPr>
          </w:p>
        </w:tc>
        <w:tc>
          <w:tcPr>
            <w:tcW w:w="2541" w:type="dxa"/>
            <w:vMerge/>
            <w:vAlign w:val="center"/>
          </w:tcPr>
          <w:p w:rsidR="00013EC7" w:rsidRDefault="00013EC7">
            <w:pPr>
              <w:jc w:val="center"/>
            </w:pPr>
          </w:p>
        </w:tc>
        <w:tc>
          <w:tcPr>
            <w:tcW w:w="1622" w:type="dxa"/>
            <w:vAlign w:val="center"/>
          </w:tcPr>
          <w:p w:rsidR="00013EC7" w:rsidRDefault="00575CDB">
            <w:pPr>
              <w:jc w:val="left"/>
            </w:pPr>
            <w:r>
              <w:rPr>
                <w:rFonts w:ascii="仿宋" w:eastAsia="仿宋" w:hAnsi="仿宋" w:cs="仿宋" w:hint="eastAsia"/>
                <w:kern w:val="0"/>
                <w:sz w:val="24"/>
              </w:rPr>
              <w:t>（十九）纳税人符合《财政部国家税务总局关于风力发电增值税政策的通知》（财税〔2015〕74号）规定条件的书面声明。</w:t>
            </w:r>
          </w:p>
        </w:tc>
        <w:tc>
          <w:tcPr>
            <w:tcW w:w="1622" w:type="dxa"/>
            <w:vMerge w:val="restart"/>
            <w:vAlign w:val="center"/>
          </w:tcPr>
          <w:p w:rsidR="00013EC7" w:rsidRDefault="00575CDB">
            <w:pPr>
              <w:jc w:val="left"/>
            </w:pPr>
            <w:r>
              <w:rPr>
                <w:rFonts w:ascii="仿宋" w:eastAsia="仿宋" w:hAnsi="仿宋" w:cs="仿宋" w:hint="eastAsia"/>
                <w:kern w:val="0"/>
                <w:sz w:val="24"/>
              </w:rPr>
              <w:t>风力发电增值税即征即退纳税人提交</w:t>
            </w:r>
          </w:p>
        </w:tc>
        <w:tc>
          <w:tcPr>
            <w:tcW w:w="1622" w:type="dxa"/>
            <w:vAlign w:val="center"/>
          </w:tcPr>
          <w:p w:rsidR="00013EC7" w:rsidRDefault="00575CDB">
            <w:pPr>
              <w:jc w:val="left"/>
            </w:pPr>
            <w:r>
              <w:rPr>
                <w:rFonts w:ascii="仿宋" w:eastAsia="仿宋" w:hAnsi="仿宋" w:cs="仿宋" w:hint="eastAsia"/>
                <w:kern w:val="0"/>
                <w:sz w:val="24"/>
              </w:rPr>
              <w:t>（十七）纳税人符合《财政部国家税务总局关于风力发电增值税政策的通知》（财税〔2015〕74号）规定条件的书面声明。</w:t>
            </w:r>
          </w:p>
        </w:tc>
        <w:tc>
          <w:tcPr>
            <w:tcW w:w="1623" w:type="dxa"/>
            <w:vAlign w:val="center"/>
          </w:tcPr>
          <w:p w:rsidR="00013EC7" w:rsidRDefault="00575CDB">
            <w:pPr>
              <w:jc w:val="left"/>
            </w:pPr>
            <w:r>
              <w:rPr>
                <w:rFonts w:ascii="仿宋" w:eastAsia="仿宋" w:hAnsi="仿宋" w:cs="仿宋" w:hint="eastAsia"/>
                <w:kern w:val="0"/>
                <w:sz w:val="24"/>
              </w:rPr>
              <w:t>风力发电增值税即征即退纳税人提交</w:t>
            </w:r>
          </w:p>
        </w:tc>
        <w:tc>
          <w:tcPr>
            <w:tcW w:w="1623"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纳税人提交书面材料。</w:t>
            </w:r>
          </w:p>
          <w:p w:rsidR="00013EC7" w:rsidRDefault="00575CDB">
            <w:pPr>
              <w:spacing w:line="300" w:lineRule="exact"/>
              <w:rPr>
                <w:rFonts w:ascii="仿宋" w:eastAsia="仿宋" w:hAnsi="仿宋" w:cs="仿宋"/>
                <w:b/>
                <w:sz w:val="24"/>
              </w:rPr>
            </w:pPr>
            <w:r>
              <w:rPr>
                <w:rFonts w:ascii="仿宋" w:eastAsia="仿宋" w:hAnsi="仿宋" w:cs="仿宋" w:hint="eastAsia"/>
                <w:b/>
                <w:sz w:val="24"/>
              </w:rPr>
              <w:t>网上办理：</w:t>
            </w:r>
            <w:r>
              <w:rPr>
                <w:rFonts w:ascii="仿宋" w:eastAsia="仿宋" w:hAnsi="仿宋" w:cs="仿宋" w:hint="eastAsia"/>
                <w:sz w:val="24"/>
              </w:rPr>
              <w:t>登录浙江国税电子税务局（网址：</w:t>
            </w:r>
            <w:hyperlink r:id="rId404" w:tgtFrame="https://wx.qq.com/_blank" w:history="1">
              <w:r>
                <w:rPr>
                  <w:rFonts w:ascii="仿宋" w:eastAsia="仿宋" w:hAnsi="仿宋" w:cs="仿宋" w:hint="eastAsia"/>
                  <w:sz w:val="24"/>
                </w:rPr>
                <w:t>http://etax.zjtax.gov.cn/</w:t>
              </w:r>
            </w:hyperlink>
            <w:r>
              <w:rPr>
                <w:rFonts w:ascii="仿宋" w:eastAsia="仿宋" w:hAnsi="仿宋" w:cs="仿宋" w:hint="eastAsia"/>
                <w:sz w:val="24"/>
              </w:rPr>
              <w:t>）提交申请。</w:t>
            </w:r>
          </w:p>
          <w:p w:rsidR="00013EC7" w:rsidRDefault="00575CDB">
            <w:pPr>
              <w:jc w:val="left"/>
            </w:pPr>
            <w:r>
              <w:rPr>
                <w:rStyle w:val="font31"/>
                <w:rFonts w:ascii="仿宋" w:eastAsia="仿宋" w:hAnsi="仿宋" w:cs="仿宋" w:hint="default"/>
                <w:sz w:val="24"/>
              </w:rPr>
              <w:t>APP办理：</w:t>
            </w:r>
            <w:r>
              <w:rPr>
                <w:rStyle w:val="font31"/>
                <w:rFonts w:ascii="仿宋" w:eastAsia="仿宋" w:hAnsi="仿宋" w:cs="仿宋" w:hint="default"/>
                <w:b w:val="0"/>
                <w:bCs/>
                <w:sz w:val="24"/>
              </w:rPr>
              <w:t>登录浙江国税APP提交申请。</w:t>
            </w: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r>
      <w:tr w:rsidR="00013EC7">
        <w:tc>
          <w:tcPr>
            <w:tcW w:w="1162" w:type="dxa"/>
            <w:vMerge/>
            <w:vAlign w:val="center"/>
          </w:tcPr>
          <w:p w:rsidR="00013EC7" w:rsidRDefault="00013EC7">
            <w:pPr>
              <w:jc w:val="center"/>
            </w:pPr>
          </w:p>
        </w:tc>
        <w:tc>
          <w:tcPr>
            <w:tcW w:w="1163" w:type="dxa"/>
            <w:vMerge/>
            <w:vAlign w:val="center"/>
          </w:tcPr>
          <w:p w:rsidR="00013EC7" w:rsidRDefault="00013EC7">
            <w:pPr>
              <w:jc w:val="center"/>
            </w:pPr>
          </w:p>
        </w:tc>
        <w:tc>
          <w:tcPr>
            <w:tcW w:w="2541" w:type="dxa"/>
            <w:vMerge/>
            <w:vAlign w:val="center"/>
          </w:tcPr>
          <w:p w:rsidR="00013EC7" w:rsidRDefault="00013EC7">
            <w:pPr>
              <w:jc w:val="center"/>
            </w:pPr>
          </w:p>
        </w:tc>
        <w:tc>
          <w:tcPr>
            <w:tcW w:w="1622" w:type="dxa"/>
            <w:vAlign w:val="center"/>
          </w:tcPr>
          <w:p w:rsidR="00013EC7" w:rsidRDefault="00575CDB">
            <w:pPr>
              <w:jc w:val="left"/>
            </w:pPr>
            <w:r>
              <w:rPr>
                <w:rFonts w:ascii="仿宋" w:eastAsia="仿宋" w:hAnsi="仿宋" w:cs="仿宋" w:hint="eastAsia"/>
                <w:kern w:val="0"/>
                <w:sz w:val="24"/>
                <w:highlight w:val="lightGray"/>
              </w:rPr>
              <w:t>（二十）退税申请报告</w:t>
            </w:r>
            <w:r>
              <w:rPr>
                <w:rFonts w:ascii="仿宋" w:eastAsia="仿宋" w:hAnsi="仿宋" w:cs="仿宋" w:hint="eastAsia"/>
                <w:kern w:val="1"/>
                <w:sz w:val="24"/>
                <w:highlight w:val="lightGray"/>
              </w:rPr>
              <w:t>。</w:t>
            </w:r>
          </w:p>
        </w:tc>
        <w:tc>
          <w:tcPr>
            <w:tcW w:w="1622" w:type="dxa"/>
            <w:vMerge/>
            <w:vAlign w:val="center"/>
          </w:tcPr>
          <w:p w:rsidR="00013EC7" w:rsidRDefault="00013EC7">
            <w:pPr>
              <w:jc w:val="left"/>
            </w:pPr>
          </w:p>
        </w:tc>
        <w:tc>
          <w:tcPr>
            <w:tcW w:w="1622" w:type="dxa"/>
            <w:vAlign w:val="center"/>
          </w:tcPr>
          <w:p w:rsidR="00013EC7" w:rsidRDefault="00013EC7">
            <w:pPr>
              <w:jc w:val="left"/>
            </w:pPr>
          </w:p>
        </w:tc>
        <w:tc>
          <w:tcPr>
            <w:tcW w:w="1623" w:type="dxa"/>
            <w:vAlign w:val="center"/>
          </w:tcPr>
          <w:p w:rsidR="00013EC7" w:rsidRDefault="00575CDB">
            <w:pPr>
              <w:jc w:val="left"/>
              <w:rPr>
                <w:rFonts w:ascii="仿宋" w:eastAsia="仿宋" w:hAnsi="仿宋"/>
                <w:b/>
                <w:i/>
              </w:rPr>
            </w:pPr>
            <w:r>
              <w:rPr>
                <w:rFonts w:ascii="仿宋" w:eastAsia="仿宋" w:hAnsi="仿宋" w:hint="eastAsia"/>
                <w:b/>
                <w:bCs/>
                <w:i/>
                <w:iCs/>
                <w:sz w:val="24"/>
              </w:rPr>
              <w:t>取消</w:t>
            </w:r>
          </w:p>
        </w:tc>
        <w:tc>
          <w:tcPr>
            <w:tcW w:w="1623" w:type="dxa"/>
            <w:vAlign w:val="center"/>
          </w:tcPr>
          <w:p w:rsidR="00013EC7" w:rsidRDefault="00013EC7">
            <w:pPr>
              <w:jc w:val="center"/>
            </w:pP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r>
      <w:tr w:rsidR="00013EC7">
        <w:trPr>
          <w:trHeight w:val="3646"/>
        </w:trPr>
        <w:tc>
          <w:tcPr>
            <w:tcW w:w="1162" w:type="dxa"/>
            <w:vMerge/>
            <w:vAlign w:val="center"/>
          </w:tcPr>
          <w:p w:rsidR="00013EC7" w:rsidRDefault="00013EC7">
            <w:pPr>
              <w:jc w:val="center"/>
            </w:pPr>
          </w:p>
        </w:tc>
        <w:tc>
          <w:tcPr>
            <w:tcW w:w="1163" w:type="dxa"/>
            <w:vMerge/>
            <w:vAlign w:val="center"/>
          </w:tcPr>
          <w:p w:rsidR="00013EC7" w:rsidRDefault="00013EC7">
            <w:pPr>
              <w:jc w:val="center"/>
            </w:pPr>
          </w:p>
        </w:tc>
        <w:tc>
          <w:tcPr>
            <w:tcW w:w="2541" w:type="dxa"/>
            <w:vMerge/>
            <w:vAlign w:val="center"/>
          </w:tcPr>
          <w:p w:rsidR="00013EC7" w:rsidRDefault="00013EC7">
            <w:pPr>
              <w:jc w:val="center"/>
            </w:pPr>
          </w:p>
        </w:tc>
        <w:tc>
          <w:tcPr>
            <w:tcW w:w="1622" w:type="dxa"/>
            <w:vAlign w:val="center"/>
          </w:tcPr>
          <w:p w:rsidR="00013EC7" w:rsidRDefault="00575CDB">
            <w:pPr>
              <w:jc w:val="left"/>
            </w:pPr>
            <w:r>
              <w:rPr>
                <w:rFonts w:ascii="仿宋" w:eastAsia="仿宋" w:hAnsi="仿宋" w:cs="仿宋" w:hint="eastAsia"/>
                <w:kern w:val="0"/>
                <w:sz w:val="24"/>
              </w:rPr>
              <w:t>（二十一）增值税专用发票全部联次。</w:t>
            </w:r>
          </w:p>
        </w:tc>
        <w:tc>
          <w:tcPr>
            <w:tcW w:w="1622" w:type="dxa"/>
            <w:vAlign w:val="center"/>
          </w:tcPr>
          <w:p w:rsidR="00013EC7" w:rsidRDefault="00575CDB">
            <w:pPr>
              <w:jc w:val="left"/>
            </w:pPr>
            <w:r>
              <w:rPr>
                <w:rFonts w:ascii="仿宋" w:eastAsia="仿宋" w:hAnsi="仿宋" w:cs="仿宋" w:hint="eastAsia"/>
                <w:kern w:val="0"/>
                <w:sz w:val="24"/>
              </w:rPr>
              <w:t>退还代开发票缴纳税款的纳税人提交</w:t>
            </w:r>
          </w:p>
        </w:tc>
        <w:tc>
          <w:tcPr>
            <w:tcW w:w="1622" w:type="dxa"/>
            <w:vAlign w:val="center"/>
          </w:tcPr>
          <w:p w:rsidR="00013EC7" w:rsidRDefault="00575CDB">
            <w:pPr>
              <w:jc w:val="left"/>
            </w:pPr>
            <w:r>
              <w:rPr>
                <w:rFonts w:ascii="仿宋" w:eastAsia="仿宋" w:hAnsi="仿宋" w:cs="仿宋" w:hint="eastAsia"/>
                <w:kern w:val="0"/>
                <w:sz w:val="24"/>
              </w:rPr>
              <w:t>（十八）增值税专用发票全部联次。</w:t>
            </w:r>
          </w:p>
        </w:tc>
        <w:tc>
          <w:tcPr>
            <w:tcW w:w="1623" w:type="dxa"/>
            <w:vAlign w:val="center"/>
          </w:tcPr>
          <w:p w:rsidR="00013EC7" w:rsidRDefault="00575CDB">
            <w:pPr>
              <w:jc w:val="left"/>
            </w:pPr>
            <w:r>
              <w:rPr>
                <w:rFonts w:ascii="仿宋" w:eastAsia="仿宋" w:hAnsi="仿宋" w:cs="仿宋" w:hint="eastAsia"/>
                <w:kern w:val="0"/>
                <w:sz w:val="24"/>
              </w:rPr>
              <w:t>退还代开发票缴纳税款的纳税人提交</w:t>
            </w:r>
          </w:p>
        </w:tc>
        <w:tc>
          <w:tcPr>
            <w:tcW w:w="1623"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纳税人提交书面材料。</w:t>
            </w:r>
          </w:p>
          <w:p w:rsidR="00013EC7" w:rsidRDefault="00575CDB">
            <w:pPr>
              <w:spacing w:line="300" w:lineRule="exact"/>
              <w:rPr>
                <w:rFonts w:ascii="仿宋" w:eastAsia="仿宋" w:hAnsi="仿宋" w:cs="仿宋"/>
                <w:b/>
                <w:sz w:val="24"/>
              </w:rPr>
            </w:pPr>
            <w:r>
              <w:rPr>
                <w:rFonts w:ascii="仿宋" w:eastAsia="仿宋" w:hAnsi="仿宋" w:cs="仿宋" w:hint="eastAsia"/>
                <w:b/>
                <w:sz w:val="24"/>
              </w:rPr>
              <w:t>网上办理：</w:t>
            </w:r>
            <w:r>
              <w:rPr>
                <w:rFonts w:ascii="仿宋" w:eastAsia="仿宋" w:hAnsi="仿宋" w:cs="仿宋" w:hint="eastAsia"/>
                <w:sz w:val="24"/>
              </w:rPr>
              <w:t>登录浙江国税电子税务局（网址：</w:t>
            </w:r>
            <w:hyperlink r:id="rId405" w:tgtFrame="https://wx.qq.com/_blank" w:history="1">
              <w:r>
                <w:rPr>
                  <w:rFonts w:ascii="仿宋" w:eastAsia="仿宋" w:hAnsi="仿宋" w:cs="仿宋" w:hint="eastAsia"/>
                  <w:sz w:val="24"/>
                </w:rPr>
                <w:t>http://etax.zjtax.gov.cn/</w:t>
              </w:r>
            </w:hyperlink>
            <w:r>
              <w:rPr>
                <w:rFonts w:ascii="仿宋" w:eastAsia="仿宋" w:hAnsi="仿宋" w:cs="仿宋" w:hint="eastAsia"/>
                <w:sz w:val="24"/>
              </w:rPr>
              <w:t>）提交申请。</w:t>
            </w:r>
          </w:p>
          <w:p w:rsidR="00013EC7" w:rsidRDefault="00575CDB">
            <w:pPr>
              <w:jc w:val="left"/>
            </w:pPr>
            <w:r>
              <w:rPr>
                <w:rStyle w:val="font31"/>
                <w:rFonts w:ascii="仿宋" w:eastAsia="仿宋" w:hAnsi="仿宋" w:cs="仿宋" w:hint="default"/>
                <w:sz w:val="24"/>
              </w:rPr>
              <w:t>APP办理：</w:t>
            </w:r>
            <w:r>
              <w:rPr>
                <w:rStyle w:val="font31"/>
                <w:rFonts w:ascii="仿宋" w:eastAsia="仿宋" w:hAnsi="仿宋" w:cs="仿宋" w:hint="default"/>
                <w:b w:val="0"/>
                <w:bCs/>
                <w:sz w:val="24"/>
              </w:rPr>
              <w:t>登录浙江国税APP提交申请。</w:t>
            </w: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r>
      <w:tr w:rsidR="00013EC7">
        <w:tc>
          <w:tcPr>
            <w:tcW w:w="1162" w:type="dxa"/>
            <w:vMerge/>
            <w:vAlign w:val="center"/>
          </w:tcPr>
          <w:p w:rsidR="00013EC7" w:rsidRDefault="00013EC7">
            <w:pPr>
              <w:jc w:val="center"/>
            </w:pPr>
          </w:p>
        </w:tc>
        <w:tc>
          <w:tcPr>
            <w:tcW w:w="1163" w:type="dxa"/>
            <w:vMerge/>
            <w:vAlign w:val="center"/>
          </w:tcPr>
          <w:p w:rsidR="00013EC7" w:rsidRDefault="00013EC7">
            <w:pPr>
              <w:jc w:val="center"/>
            </w:pPr>
          </w:p>
        </w:tc>
        <w:tc>
          <w:tcPr>
            <w:tcW w:w="2541" w:type="dxa"/>
            <w:vMerge/>
            <w:vAlign w:val="center"/>
          </w:tcPr>
          <w:p w:rsidR="00013EC7" w:rsidRDefault="00013EC7">
            <w:pPr>
              <w:jc w:val="center"/>
            </w:pPr>
          </w:p>
        </w:tc>
        <w:tc>
          <w:tcPr>
            <w:tcW w:w="1622" w:type="dxa"/>
            <w:vAlign w:val="center"/>
          </w:tcPr>
          <w:p w:rsidR="00013EC7" w:rsidRDefault="00575CDB">
            <w:pPr>
              <w:jc w:val="left"/>
            </w:pPr>
            <w:r>
              <w:rPr>
                <w:rFonts w:ascii="仿宋" w:eastAsia="仿宋" w:hAnsi="仿宋" w:cs="仿宋" w:hint="eastAsia"/>
                <w:kern w:val="0"/>
                <w:sz w:val="24"/>
              </w:rPr>
              <w:t>（二十二）(A03055)《非居民纳税人税收居</w:t>
            </w:r>
            <w:r>
              <w:rPr>
                <w:rFonts w:ascii="仿宋" w:eastAsia="仿宋" w:hAnsi="仿宋" w:cs="仿宋" w:hint="eastAsia"/>
                <w:kern w:val="0"/>
                <w:sz w:val="24"/>
              </w:rPr>
              <w:lastRenderedPageBreak/>
              <w:t>民身份信息报告表》（自行申报2份，扣缴义务人扣缴申报3份）。</w:t>
            </w:r>
          </w:p>
        </w:tc>
        <w:tc>
          <w:tcPr>
            <w:tcW w:w="1622" w:type="dxa"/>
            <w:vMerge w:val="restart"/>
            <w:vAlign w:val="center"/>
          </w:tcPr>
          <w:p w:rsidR="00013EC7" w:rsidRDefault="00575CDB">
            <w:pPr>
              <w:jc w:val="left"/>
            </w:pPr>
            <w:r>
              <w:rPr>
                <w:rFonts w:ascii="仿宋" w:eastAsia="仿宋" w:hAnsi="仿宋" w:cs="仿宋" w:hint="eastAsia"/>
                <w:kern w:val="0"/>
                <w:sz w:val="24"/>
              </w:rPr>
              <w:lastRenderedPageBreak/>
              <w:t>非居民企业享受协定税率减免退库的纳税人提</w:t>
            </w:r>
            <w:r>
              <w:rPr>
                <w:rFonts w:ascii="仿宋" w:eastAsia="仿宋" w:hAnsi="仿宋" w:cs="仿宋" w:hint="eastAsia"/>
                <w:kern w:val="0"/>
                <w:sz w:val="24"/>
              </w:rPr>
              <w:lastRenderedPageBreak/>
              <w:t>交</w:t>
            </w:r>
          </w:p>
        </w:tc>
        <w:tc>
          <w:tcPr>
            <w:tcW w:w="1622" w:type="dxa"/>
            <w:vAlign w:val="center"/>
          </w:tcPr>
          <w:p w:rsidR="00013EC7" w:rsidRDefault="00575CDB">
            <w:pPr>
              <w:jc w:val="left"/>
            </w:pPr>
            <w:r>
              <w:rPr>
                <w:rFonts w:ascii="仿宋" w:eastAsia="仿宋" w:hAnsi="仿宋" w:cs="仿宋" w:hint="eastAsia"/>
                <w:kern w:val="0"/>
                <w:sz w:val="24"/>
              </w:rPr>
              <w:lastRenderedPageBreak/>
              <w:t>（十九）(A03055)《非居民纳税人税收居</w:t>
            </w:r>
            <w:r>
              <w:rPr>
                <w:rFonts w:ascii="仿宋" w:eastAsia="仿宋" w:hAnsi="仿宋" w:cs="仿宋" w:hint="eastAsia"/>
                <w:kern w:val="0"/>
                <w:sz w:val="24"/>
              </w:rPr>
              <w:lastRenderedPageBreak/>
              <w:t>民身份信息报告表》（自行申报2份，扣缴义务人扣缴申报3份）。</w:t>
            </w:r>
          </w:p>
        </w:tc>
        <w:tc>
          <w:tcPr>
            <w:tcW w:w="1623" w:type="dxa"/>
            <w:vMerge w:val="restart"/>
            <w:vAlign w:val="center"/>
          </w:tcPr>
          <w:p w:rsidR="00013EC7" w:rsidRDefault="00575CDB">
            <w:pPr>
              <w:jc w:val="left"/>
            </w:pPr>
            <w:r>
              <w:rPr>
                <w:rFonts w:ascii="仿宋" w:eastAsia="仿宋" w:hAnsi="仿宋" w:cs="仿宋" w:hint="eastAsia"/>
                <w:kern w:val="0"/>
                <w:sz w:val="24"/>
              </w:rPr>
              <w:lastRenderedPageBreak/>
              <w:t>非居民企业享受协定税率减免退库的纳税人提</w:t>
            </w:r>
            <w:r>
              <w:rPr>
                <w:rFonts w:ascii="仿宋" w:eastAsia="仿宋" w:hAnsi="仿宋" w:cs="仿宋" w:hint="eastAsia"/>
                <w:kern w:val="0"/>
                <w:sz w:val="24"/>
              </w:rPr>
              <w:lastRenderedPageBreak/>
              <w:t>交</w:t>
            </w:r>
          </w:p>
        </w:tc>
        <w:tc>
          <w:tcPr>
            <w:tcW w:w="1623" w:type="dxa"/>
            <w:vMerge w:val="restart"/>
            <w:vAlign w:val="center"/>
          </w:tcPr>
          <w:p w:rsidR="00013EC7" w:rsidRDefault="00575CDB">
            <w:pPr>
              <w:spacing w:line="300" w:lineRule="exact"/>
              <w:rPr>
                <w:rFonts w:ascii="仿宋" w:eastAsia="仿宋" w:hAnsi="仿宋" w:cs="仿宋"/>
                <w:sz w:val="24"/>
              </w:rPr>
            </w:pPr>
            <w:r>
              <w:rPr>
                <w:rFonts w:ascii="仿宋" w:eastAsia="仿宋" w:hAnsi="仿宋" w:cs="仿宋" w:hint="eastAsia"/>
                <w:b/>
                <w:sz w:val="24"/>
              </w:rPr>
              <w:lastRenderedPageBreak/>
              <w:t>现场办理：</w:t>
            </w:r>
            <w:r>
              <w:rPr>
                <w:rFonts w:ascii="仿宋" w:eastAsia="仿宋" w:hAnsi="仿宋" w:cs="仿宋" w:hint="eastAsia"/>
                <w:sz w:val="24"/>
              </w:rPr>
              <w:t>纳税人提交书面材料。</w:t>
            </w:r>
          </w:p>
          <w:p w:rsidR="00013EC7" w:rsidRDefault="00575CDB">
            <w:pPr>
              <w:spacing w:line="300" w:lineRule="exact"/>
              <w:rPr>
                <w:rFonts w:ascii="仿宋" w:eastAsia="仿宋" w:hAnsi="仿宋" w:cs="仿宋"/>
                <w:b/>
                <w:sz w:val="24"/>
              </w:rPr>
            </w:pPr>
            <w:r>
              <w:rPr>
                <w:rFonts w:ascii="仿宋" w:eastAsia="仿宋" w:hAnsi="仿宋" w:cs="仿宋" w:hint="eastAsia"/>
                <w:b/>
                <w:sz w:val="24"/>
              </w:rPr>
              <w:t>网上办理：</w:t>
            </w:r>
            <w:r>
              <w:rPr>
                <w:rFonts w:ascii="仿宋" w:eastAsia="仿宋" w:hAnsi="仿宋" w:cs="仿宋" w:hint="eastAsia"/>
                <w:sz w:val="24"/>
              </w:rPr>
              <w:t>登</w:t>
            </w:r>
            <w:r>
              <w:rPr>
                <w:rFonts w:ascii="仿宋" w:eastAsia="仿宋" w:hAnsi="仿宋" w:cs="仿宋" w:hint="eastAsia"/>
                <w:sz w:val="24"/>
              </w:rPr>
              <w:lastRenderedPageBreak/>
              <w:t>录浙江国税电子税务局（网址：</w:t>
            </w:r>
            <w:hyperlink r:id="rId406" w:tgtFrame="https://wx.qq.com/_blank" w:history="1">
              <w:r>
                <w:rPr>
                  <w:rFonts w:ascii="仿宋" w:eastAsia="仿宋" w:hAnsi="仿宋" w:cs="仿宋" w:hint="eastAsia"/>
                  <w:sz w:val="24"/>
                </w:rPr>
                <w:t>http://etax.zjtax.gov.cn/</w:t>
              </w:r>
            </w:hyperlink>
            <w:r>
              <w:rPr>
                <w:rFonts w:ascii="仿宋" w:eastAsia="仿宋" w:hAnsi="仿宋" w:cs="仿宋" w:hint="eastAsia"/>
                <w:sz w:val="24"/>
              </w:rPr>
              <w:t>）提交申请。</w:t>
            </w:r>
          </w:p>
          <w:p w:rsidR="00013EC7" w:rsidRDefault="00575CDB">
            <w:pPr>
              <w:jc w:val="left"/>
            </w:pPr>
            <w:r>
              <w:rPr>
                <w:rStyle w:val="font31"/>
                <w:rFonts w:ascii="仿宋" w:eastAsia="仿宋" w:hAnsi="仿宋" w:cs="仿宋" w:hint="default"/>
                <w:sz w:val="24"/>
              </w:rPr>
              <w:t>APP办理：</w:t>
            </w:r>
            <w:r>
              <w:rPr>
                <w:rStyle w:val="font31"/>
                <w:rFonts w:ascii="仿宋" w:eastAsia="仿宋" w:hAnsi="仿宋" w:cs="仿宋" w:hint="default"/>
                <w:b w:val="0"/>
                <w:bCs/>
                <w:sz w:val="24"/>
              </w:rPr>
              <w:t>登录浙江国税APP提交申请。</w:t>
            </w: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r>
      <w:tr w:rsidR="00013EC7">
        <w:tc>
          <w:tcPr>
            <w:tcW w:w="1162" w:type="dxa"/>
            <w:vMerge/>
            <w:vAlign w:val="center"/>
          </w:tcPr>
          <w:p w:rsidR="00013EC7" w:rsidRDefault="00013EC7">
            <w:pPr>
              <w:jc w:val="center"/>
            </w:pPr>
          </w:p>
        </w:tc>
        <w:tc>
          <w:tcPr>
            <w:tcW w:w="1163" w:type="dxa"/>
            <w:vMerge/>
            <w:vAlign w:val="center"/>
          </w:tcPr>
          <w:p w:rsidR="00013EC7" w:rsidRDefault="00013EC7">
            <w:pPr>
              <w:jc w:val="center"/>
            </w:pPr>
          </w:p>
        </w:tc>
        <w:tc>
          <w:tcPr>
            <w:tcW w:w="2541" w:type="dxa"/>
            <w:vMerge/>
            <w:vAlign w:val="center"/>
          </w:tcPr>
          <w:p w:rsidR="00013EC7" w:rsidRDefault="00013EC7">
            <w:pPr>
              <w:jc w:val="center"/>
            </w:pPr>
          </w:p>
        </w:tc>
        <w:tc>
          <w:tcPr>
            <w:tcW w:w="1622" w:type="dxa"/>
            <w:vAlign w:val="center"/>
          </w:tcPr>
          <w:p w:rsidR="00013EC7" w:rsidRDefault="00575CDB">
            <w:pPr>
              <w:jc w:val="left"/>
            </w:pPr>
            <w:r>
              <w:rPr>
                <w:rFonts w:ascii="仿宋" w:eastAsia="仿宋" w:hAnsi="仿宋" w:cs="仿宋" w:hint="eastAsia"/>
                <w:kern w:val="0"/>
                <w:sz w:val="24"/>
              </w:rPr>
              <w:t>（二十三）</w:t>
            </w:r>
            <w:r>
              <w:rPr>
                <w:rFonts w:ascii="仿宋" w:eastAsia="仿宋" w:hAnsi="仿宋" w:hint="eastAsia"/>
                <w:sz w:val="24"/>
              </w:rPr>
              <w:t>(A03060-A03063)</w:t>
            </w:r>
            <w:r>
              <w:rPr>
                <w:rFonts w:ascii="仿宋" w:eastAsia="仿宋" w:hAnsi="仿宋" w:cs="宋体" w:hint="eastAsia"/>
                <w:kern w:val="0"/>
                <w:sz w:val="24"/>
              </w:rPr>
              <w:t>《非居民纳税人享受税收协定待遇情况报告表》（自行申报2份，扣缴义务人扣缴申报3份）。</w:t>
            </w:r>
          </w:p>
        </w:tc>
        <w:tc>
          <w:tcPr>
            <w:tcW w:w="1622" w:type="dxa"/>
            <w:vMerge/>
            <w:vAlign w:val="center"/>
          </w:tcPr>
          <w:p w:rsidR="00013EC7" w:rsidRDefault="00013EC7">
            <w:pPr>
              <w:jc w:val="center"/>
            </w:pPr>
          </w:p>
        </w:tc>
        <w:tc>
          <w:tcPr>
            <w:tcW w:w="1622" w:type="dxa"/>
            <w:vAlign w:val="center"/>
          </w:tcPr>
          <w:p w:rsidR="00013EC7" w:rsidRDefault="00575CDB">
            <w:pPr>
              <w:jc w:val="left"/>
            </w:pPr>
            <w:r>
              <w:rPr>
                <w:rFonts w:ascii="仿宋" w:eastAsia="仿宋" w:hAnsi="仿宋" w:cs="仿宋" w:hint="eastAsia"/>
                <w:kern w:val="0"/>
                <w:sz w:val="24"/>
              </w:rPr>
              <w:t>（二十）</w:t>
            </w:r>
            <w:r>
              <w:rPr>
                <w:rFonts w:ascii="仿宋" w:eastAsia="仿宋" w:hAnsi="仿宋" w:hint="eastAsia"/>
                <w:sz w:val="24"/>
              </w:rPr>
              <w:t>(A03060-A03063)</w:t>
            </w:r>
            <w:r>
              <w:rPr>
                <w:rFonts w:ascii="仿宋" w:eastAsia="仿宋" w:hAnsi="仿宋" w:cs="宋体" w:hint="eastAsia"/>
                <w:kern w:val="0"/>
                <w:sz w:val="24"/>
              </w:rPr>
              <w:t>《非居民纳税人享受税收协定待遇情况报告表》（自行申报2份，扣缴义务人扣缴申报3份）。</w:t>
            </w: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r>
      <w:tr w:rsidR="00013EC7">
        <w:tc>
          <w:tcPr>
            <w:tcW w:w="1162" w:type="dxa"/>
            <w:vMerge/>
            <w:vAlign w:val="center"/>
          </w:tcPr>
          <w:p w:rsidR="00013EC7" w:rsidRDefault="00013EC7">
            <w:pPr>
              <w:jc w:val="center"/>
            </w:pPr>
          </w:p>
        </w:tc>
        <w:tc>
          <w:tcPr>
            <w:tcW w:w="1163" w:type="dxa"/>
            <w:vMerge/>
            <w:vAlign w:val="center"/>
          </w:tcPr>
          <w:p w:rsidR="00013EC7" w:rsidRDefault="00013EC7">
            <w:pPr>
              <w:jc w:val="center"/>
            </w:pPr>
          </w:p>
        </w:tc>
        <w:tc>
          <w:tcPr>
            <w:tcW w:w="2541" w:type="dxa"/>
            <w:vMerge/>
            <w:vAlign w:val="center"/>
          </w:tcPr>
          <w:p w:rsidR="00013EC7" w:rsidRDefault="00013EC7">
            <w:pPr>
              <w:jc w:val="center"/>
            </w:pPr>
          </w:p>
        </w:tc>
        <w:tc>
          <w:tcPr>
            <w:tcW w:w="1622" w:type="dxa"/>
            <w:vAlign w:val="center"/>
          </w:tcPr>
          <w:p w:rsidR="00013EC7" w:rsidRDefault="00575CDB">
            <w:pPr>
              <w:jc w:val="left"/>
            </w:pPr>
            <w:r>
              <w:rPr>
                <w:rFonts w:ascii="仿宋" w:eastAsia="仿宋" w:hAnsi="仿宋" w:cs="仿宋" w:hint="eastAsia"/>
                <w:kern w:val="0"/>
                <w:sz w:val="24"/>
              </w:rPr>
              <w:t>（二十四）税收居民身份证明（享受国际运输等协定待遇的企业可以法人证明代替，个人可以护照复印件代替）。</w:t>
            </w:r>
          </w:p>
        </w:tc>
        <w:tc>
          <w:tcPr>
            <w:tcW w:w="1622" w:type="dxa"/>
            <w:vMerge/>
            <w:vAlign w:val="center"/>
          </w:tcPr>
          <w:p w:rsidR="00013EC7" w:rsidRDefault="00013EC7">
            <w:pPr>
              <w:jc w:val="center"/>
            </w:pPr>
          </w:p>
        </w:tc>
        <w:tc>
          <w:tcPr>
            <w:tcW w:w="1622" w:type="dxa"/>
            <w:vAlign w:val="center"/>
          </w:tcPr>
          <w:p w:rsidR="00013EC7" w:rsidRDefault="00575CDB">
            <w:pPr>
              <w:jc w:val="left"/>
            </w:pPr>
            <w:r>
              <w:rPr>
                <w:rFonts w:ascii="仿宋" w:eastAsia="仿宋" w:hAnsi="仿宋" w:cs="仿宋" w:hint="eastAsia"/>
                <w:kern w:val="0"/>
                <w:sz w:val="24"/>
              </w:rPr>
              <w:t>（二十一）税收居民身份证明（享受国际运输等协定待遇的企业可以法人证明代替，个人可以护照复印件代替）。</w:t>
            </w: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r>
      <w:tr w:rsidR="00013EC7">
        <w:tc>
          <w:tcPr>
            <w:tcW w:w="1162" w:type="dxa"/>
            <w:vMerge/>
            <w:vAlign w:val="center"/>
          </w:tcPr>
          <w:p w:rsidR="00013EC7" w:rsidRDefault="00013EC7">
            <w:pPr>
              <w:jc w:val="center"/>
            </w:pPr>
          </w:p>
        </w:tc>
        <w:tc>
          <w:tcPr>
            <w:tcW w:w="1163" w:type="dxa"/>
            <w:vMerge/>
            <w:vAlign w:val="center"/>
          </w:tcPr>
          <w:p w:rsidR="00013EC7" w:rsidRDefault="00013EC7">
            <w:pPr>
              <w:jc w:val="center"/>
            </w:pPr>
          </w:p>
        </w:tc>
        <w:tc>
          <w:tcPr>
            <w:tcW w:w="2541" w:type="dxa"/>
            <w:vMerge/>
            <w:vAlign w:val="center"/>
          </w:tcPr>
          <w:p w:rsidR="00013EC7" w:rsidRDefault="00013EC7">
            <w:pPr>
              <w:jc w:val="center"/>
            </w:pPr>
          </w:p>
        </w:tc>
        <w:tc>
          <w:tcPr>
            <w:tcW w:w="1622" w:type="dxa"/>
            <w:vAlign w:val="center"/>
          </w:tcPr>
          <w:p w:rsidR="00013EC7" w:rsidRDefault="00575CDB">
            <w:pPr>
              <w:jc w:val="left"/>
            </w:pPr>
            <w:r>
              <w:rPr>
                <w:rFonts w:ascii="仿宋" w:eastAsia="仿宋" w:hAnsi="仿宋" w:cs="仿宋" w:hint="eastAsia"/>
                <w:kern w:val="0"/>
                <w:sz w:val="24"/>
              </w:rPr>
              <w:t>（二十五）与取得所得有关的合同、协议、董事会或股东会决议、支付凭证等权属证明资料。</w:t>
            </w:r>
          </w:p>
        </w:tc>
        <w:tc>
          <w:tcPr>
            <w:tcW w:w="1622" w:type="dxa"/>
            <w:vMerge/>
            <w:vAlign w:val="center"/>
          </w:tcPr>
          <w:p w:rsidR="00013EC7" w:rsidRDefault="00013EC7">
            <w:pPr>
              <w:jc w:val="center"/>
            </w:pPr>
          </w:p>
        </w:tc>
        <w:tc>
          <w:tcPr>
            <w:tcW w:w="1622" w:type="dxa"/>
            <w:vAlign w:val="center"/>
          </w:tcPr>
          <w:p w:rsidR="00013EC7" w:rsidRDefault="00575CDB">
            <w:pPr>
              <w:jc w:val="left"/>
            </w:pPr>
            <w:r>
              <w:rPr>
                <w:rFonts w:ascii="仿宋" w:eastAsia="仿宋" w:hAnsi="仿宋" w:cs="仿宋" w:hint="eastAsia"/>
                <w:kern w:val="0"/>
                <w:sz w:val="24"/>
              </w:rPr>
              <w:t>（二十二）与取得所得有关的合同、协议、董事会或股东会决议、支付凭证等权属证明资料。</w:t>
            </w: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r>
      <w:tr w:rsidR="00013EC7">
        <w:tc>
          <w:tcPr>
            <w:tcW w:w="1162" w:type="dxa"/>
            <w:vMerge/>
            <w:vAlign w:val="center"/>
          </w:tcPr>
          <w:p w:rsidR="00013EC7" w:rsidRDefault="00013EC7">
            <w:pPr>
              <w:jc w:val="center"/>
            </w:pPr>
          </w:p>
        </w:tc>
        <w:tc>
          <w:tcPr>
            <w:tcW w:w="1163" w:type="dxa"/>
            <w:vMerge/>
            <w:vAlign w:val="center"/>
          </w:tcPr>
          <w:p w:rsidR="00013EC7" w:rsidRDefault="00013EC7">
            <w:pPr>
              <w:jc w:val="center"/>
            </w:pPr>
          </w:p>
        </w:tc>
        <w:tc>
          <w:tcPr>
            <w:tcW w:w="2541" w:type="dxa"/>
            <w:vMerge/>
            <w:vAlign w:val="center"/>
          </w:tcPr>
          <w:p w:rsidR="00013EC7" w:rsidRDefault="00013EC7">
            <w:pPr>
              <w:jc w:val="center"/>
            </w:pPr>
          </w:p>
        </w:tc>
        <w:tc>
          <w:tcPr>
            <w:tcW w:w="1622" w:type="dxa"/>
            <w:vAlign w:val="center"/>
          </w:tcPr>
          <w:p w:rsidR="00013EC7" w:rsidRDefault="00575CDB">
            <w:pPr>
              <w:jc w:val="left"/>
            </w:pPr>
            <w:r>
              <w:rPr>
                <w:rFonts w:ascii="仿宋" w:eastAsia="仿宋" w:hAnsi="仿宋" w:cs="仿宋" w:hint="eastAsia"/>
                <w:kern w:val="0"/>
                <w:sz w:val="24"/>
              </w:rPr>
              <w:t>（二十六）其他税收规范性文件规定非居民纳税人享受特定条款税收协定待遇或国际运输协定待遇应当提交的证明资料。</w:t>
            </w:r>
          </w:p>
        </w:tc>
        <w:tc>
          <w:tcPr>
            <w:tcW w:w="1622" w:type="dxa"/>
            <w:vMerge/>
            <w:vAlign w:val="center"/>
          </w:tcPr>
          <w:p w:rsidR="00013EC7" w:rsidRDefault="00013EC7">
            <w:pPr>
              <w:jc w:val="center"/>
            </w:pPr>
          </w:p>
        </w:tc>
        <w:tc>
          <w:tcPr>
            <w:tcW w:w="1622" w:type="dxa"/>
            <w:vAlign w:val="center"/>
          </w:tcPr>
          <w:p w:rsidR="00013EC7" w:rsidRDefault="00575CDB">
            <w:pPr>
              <w:jc w:val="left"/>
            </w:pPr>
            <w:r>
              <w:rPr>
                <w:rFonts w:ascii="仿宋" w:eastAsia="仿宋" w:hAnsi="仿宋" w:cs="仿宋" w:hint="eastAsia"/>
                <w:kern w:val="0"/>
                <w:sz w:val="24"/>
              </w:rPr>
              <w:t>（二十三）其他税收规范性文件规定非居民纳税人享受特定条款税收协定待遇或国际运输协定待遇应当提交的证明资料。</w:t>
            </w: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r>
      <w:tr w:rsidR="00013EC7">
        <w:tc>
          <w:tcPr>
            <w:tcW w:w="1162" w:type="dxa"/>
            <w:vMerge/>
            <w:vAlign w:val="center"/>
          </w:tcPr>
          <w:p w:rsidR="00013EC7" w:rsidRDefault="00013EC7">
            <w:pPr>
              <w:jc w:val="center"/>
            </w:pPr>
          </w:p>
        </w:tc>
        <w:tc>
          <w:tcPr>
            <w:tcW w:w="1163" w:type="dxa"/>
            <w:vMerge/>
            <w:vAlign w:val="center"/>
          </w:tcPr>
          <w:p w:rsidR="00013EC7" w:rsidRDefault="00013EC7">
            <w:pPr>
              <w:jc w:val="center"/>
            </w:pPr>
          </w:p>
        </w:tc>
        <w:tc>
          <w:tcPr>
            <w:tcW w:w="2541" w:type="dxa"/>
            <w:vMerge/>
            <w:vAlign w:val="center"/>
          </w:tcPr>
          <w:p w:rsidR="00013EC7" w:rsidRDefault="00013EC7">
            <w:pPr>
              <w:jc w:val="center"/>
            </w:pPr>
          </w:p>
        </w:tc>
        <w:tc>
          <w:tcPr>
            <w:tcW w:w="1622" w:type="dxa"/>
            <w:vAlign w:val="center"/>
          </w:tcPr>
          <w:p w:rsidR="00013EC7" w:rsidRDefault="00575CDB">
            <w:pPr>
              <w:jc w:val="left"/>
            </w:pPr>
            <w:r>
              <w:rPr>
                <w:rFonts w:ascii="仿宋" w:eastAsia="仿宋" w:hAnsi="仿宋" w:cs="仿宋" w:hint="eastAsia"/>
                <w:kern w:val="0"/>
                <w:sz w:val="24"/>
              </w:rPr>
              <w:t>（二十七）非居民纳税人补充享受税收协定待遇的情况说明。</w:t>
            </w:r>
          </w:p>
        </w:tc>
        <w:tc>
          <w:tcPr>
            <w:tcW w:w="1622" w:type="dxa"/>
            <w:vMerge/>
            <w:vAlign w:val="center"/>
          </w:tcPr>
          <w:p w:rsidR="00013EC7" w:rsidRDefault="00013EC7">
            <w:pPr>
              <w:jc w:val="center"/>
            </w:pPr>
          </w:p>
        </w:tc>
        <w:tc>
          <w:tcPr>
            <w:tcW w:w="1622" w:type="dxa"/>
            <w:vAlign w:val="center"/>
          </w:tcPr>
          <w:p w:rsidR="00013EC7" w:rsidRDefault="00575CDB">
            <w:pPr>
              <w:jc w:val="left"/>
            </w:pPr>
            <w:r>
              <w:rPr>
                <w:rFonts w:ascii="仿宋" w:eastAsia="仿宋" w:hAnsi="仿宋" w:cs="仿宋" w:hint="eastAsia"/>
                <w:kern w:val="0"/>
                <w:sz w:val="24"/>
              </w:rPr>
              <w:t>（二十四）非居民纳税人补充享受税收协定待遇的情况说明。</w:t>
            </w: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c>
          <w:tcPr>
            <w:tcW w:w="1623" w:type="dxa"/>
            <w:vMerge/>
            <w:vAlign w:val="center"/>
          </w:tcPr>
          <w:p w:rsidR="00013EC7" w:rsidRDefault="00013EC7">
            <w:pPr>
              <w:jc w:val="center"/>
            </w:pPr>
          </w:p>
        </w:tc>
      </w:tr>
    </w:tbl>
    <w:p w:rsidR="00013EC7" w:rsidRDefault="00013EC7"/>
    <w:p w:rsidR="00013EC7" w:rsidRDefault="00013EC7">
      <w:pPr>
        <w:rPr>
          <w:rStyle w:val="font11"/>
          <w:rFonts w:hAnsi="Calibri"/>
          <w:sz w:val="28"/>
        </w:rPr>
      </w:pPr>
    </w:p>
    <w:p w:rsidR="00013EC7" w:rsidRDefault="00013EC7">
      <w:pPr>
        <w:rPr>
          <w:rStyle w:val="font11"/>
          <w:rFonts w:hAnsi="Calibri"/>
          <w:sz w:val="28"/>
        </w:rPr>
      </w:pPr>
    </w:p>
    <w:p w:rsidR="00013EC7" w:rsidRDefault="00575CDB">
      <w:r>
        <w:rPr>
          <w:rFonts w:ascii="宋体" w:hAnsi="宋体" w:cs="宋体"/>
          <w:noProof/>
          <w:kern w:val="1"/>
          <w:szCs w:val="21"/>
        </w:rPr>
        <w:lastRenderedPageBreak/>
        <w:drawing>
          <wp:anchor distT="0" distB="0" distL="114300" distR="114300" simplePos="0" relativeHeight="251560960" behindDoc="0" locked="0" layoutInCell="1" allowOverlap="1">
            <wp:simplePos x="0" y="0"/>
            <wp:positionH relativeFrom="column">
              <wp:posOffset>-569595</wp:posOffset>
            </wp:positionH>
            <wp:positionV relativeFrom="page">
              <wp:posOffset>1214755</wp:posOffset>
            </wp:positionV>
            <wp:extent cx="6120130" cy="7538085"/>
            <wp:effectExtent l="0" t="0" r="0" b="0"/>
            <wp:wrapSquare wrapText="bothSides"/>
            <wp:docPr id="166" name="对象 3"/>
            <wp:cNvGraphicFramePr/>
            <a:graphic xmlns:a="http://schemas.openxmlformats.org/drawingml/2006/main">
              <a:graphicData uri="http://schemas.openxmlformats.org/drawingml/2006/picture">
                <pic:pic xmlns:pic="http://schemas.openxmlformats.org/drawingml/2006/picture">
                  <pic:nvPicPr>
                    <pic:cNvPr id="166" name="对象 3"/>
                    <pic:cNvPicPr>
                      <a:picLocks noChangeArrowheads="1"/>
                    </pic:cNvPicPr>
                  </pic:nvPicPr>
                  <pic:blipFill>
                    <a:blip r:embed="rId407">
                      <a:extLst>
                        <a:ext uri="{28A0092B-C50C-407E-A947-70E740481C1C}">
                          <a14:useLocalDpi xmlns:a14="http://schemas.microsoft.com/office/drawing/2010/main" val="0"/>
                        </a:ext>
                      </a:extLst>
                    </a:blip>
                    <a:srcRect/>
                    <a:stretch>
                      <a:fillRect/>
                    </a:stretch>
                  </pic:blipFill>
                  <pic:spPr>
                    <a:xfrm>
                      <a:off x="0" y="0"/>
                      <a:ext cx="6120130" cy="7538085"/>
                    </a:xfrm>
                    <a:prstGeom prst="rect">
                      <a:avLst/>
                    </a:prstGeom>
                    <a:noFill/>
                    <a:ln>
                      <a:noFill/>
                    </a:ln>
                  </pic:spPr>
                </pic:pic>
              </a:graphicData>
            </a:graphic>
          </wp:anchor>
        </w:drawing>
      </w:r>
      <w:r w:rsidR="005262E6">
        <w:rPr>
          <w:rFonts w:ascii="黑体" w:eastAsia="黑体" w:hAnsi="黑体"/>
        </w:rPr>
        <w:object w:dxaOrig="1440" w:dyaOrig="1440">
          <v:shape id="_x0000_s1189" type="#_x0000_t75" style="position:absolute;left:0;text-align:left;margin-left:577.65pt;margin-top:87.25pt;width:450pt;height:600.35pt;z-index:251578368;mso-wrap-distance-left:9pt;mso-wrap-distance-top:0;mso-wrap-distance-right:9pt;mso-wrap-distance-bottom:0;mso-position-horizontal-relative:text;mso-position-vertical-relative:page;mso-width-relative:page;mso-height-relative:page">
            <v:imagedata r:id="rId408" o:title=""/>
            <o:lock v:ext="edit" aspectratio="f"/>
            <w10:wrap type="square" anchory="page"/>
          </v:shape>
          <o:OLEObject Type="Embed" ProgID="Visio.Drawing.11" ShapeID="_x0000_s1189" DrawAspect="Content" ObjectID="_1577296286" r:id="rId409"/>
        </w:object>
      </w:r>
    </w:p>
    <w:p w:rsidR="00013EC7" w:rsidRDefault="00013EC7"/>
    <w:p w:rsidR="00013EC7" w:rsidRDefault="00013EC7"/>
    <w:p w:rsidR="00013EC7" w:rsidRDefault="00013EC7"/>
    <w:p w:rsidR="00013EC7" w:rsidRDefault="00013EC7"/>
    <w:p w:rsidR="00013EC7" w:rsidRDefault="00013EC7"/>
    <w:p w:rsidR="00013EC7" w:rsidRDefault="00013EC7"/>
    <w:p w:rsidR="00013EC7" w:rsidRDefault="00013EC7"/>
    <w:p w:rsidR="00013EC7" w:rsidRDefault="00013EC7"/>
    <w:p w:rsidR="00013EC7" w:rsidRDefault="00013EC7"/>
    <w:p w:rsidR="00013EC7" w:rsidRDefault="00013EC7"/>
    <w:p w:rsidR="00013EC7" w:rsidRDefault="00013EC7"/>
    <w:p w:rsidR="00013EC7" w:rsidRDefault="00013EC7"/>
    <w:p w:rsidR="00013EC7" w:rsidRDefault="00013EC7"/>
    <w:p w:rsidR="00013EC7" w:rsidRDefault="00013EC7"/>
    <w:p w:rsidR="00013EC7" w:rsidRDefault="00013EC7"/>
    <w:p w:rsidR="00013EC7" w:rsidRDefault="00013EC7"/>
    <w:p w:rsidR="00013EC7" w:rsidRDefault="00013EC7"/>
    <w:p w:rsidR="00013EC7" w:rsidRDefault="00013EC7"/>
    <w:p w:rsidR="00013EC7" w:rsidRDefault="00013EC7"/>
    <w:p w:rsidR="00013EC7" w:rsidRDefault="00013EC7"/>
    <w:p w:rsidR="00013EC7" w:rsidRDefault="00013EC7"/>
    <w:p w:rsidR="00013EC7" w:rsidRDefault="00013EC7"/>
    <w:p w:rsidR="00013EC7" w:rsidRDefault="00013EC7"/>
    <w:p w:rsidR="00013EC7" w:rsidRDefault="00013EC7"/>
    <w:p w:rsidR="00013EC7" w:rsidRDefault="00013EC7"/>
    <w:p w:rsidR="00013EC7" w:rsidRDefault="00013EC7"/>
    <w:p w:rsidR="00013EC7" w:rsidRDefault="00013EC7"/>
    <w:p w:rsidR="00013EC7" w:rsidRDefault="00013EC7"/>
    <w:p w:rsidR="00013EC7" w:rsidRDefault="00013EC7"/>
    <w:p w:rsidR="00013EC7" w:rsidRDefault="00013EC7"/>
    <w:p w:rsidR="00013EC7" w:rsidRDefault="00013EC7"/>
    <w:p w:rsidR="00013EC7" w:rsidRDefault="00013EC7"/>
    <w:p w:rsidR="00013EC7" w:rsidRDefault="00013EC7"/>
    <w:p w:rsidR="00013EC7" w:rsidRDefault="00013EC7"/>
    <w:p w:rsidR="00013EC7" w:rsidRDefault="00013EC7"/>
    <w:p w:rsidR="00013EC7" w:rsidRDefault="00013EC7"/>
    <w:p w:rsidR="00013EC7" w:rsidRDefault="00013EC7"/>
    <w:p w:rsidR="00013EC7" w:rsidRDefault="00013EC7">
      <w:pPr>
        <w:jc w:val="left"/>
        <w:rPr>
          <w:rFonts w:ascii="宋体" w:hAnsi="宋体"/>
          <w:sz w:val="28"/>
          <w:szCs w:val="28"/>
        </w:rPr>
      </w:pPr>
    </w:p>
    <w:p w:rsidR="00013EC7" w:rsidRDefault="00013EC7">
      <w:pPr>
        <w:jc w:val="left"/>
        <w:rPr>
          <w:rFonts w:ascii="宋体" w:hAnsi="宋体"/>
          <w:sz w:val="28"/>
          <w:szCs w:val="28"/>
        </w:rPr>
      </w:pPr>
    </w:p>
    <w:p w:rsidR="00013EC7" w:rsidRDefault="00575CDB">
      <w:pPr>
        <w:pStyle w:val="2"/>
      </w:pPr>
      <w:bookmarkStart w:id="470" w:name="_Toc503467462"/>
      <w:bookmarkStart w:id="471" w:name="_Toc15262"/>
      <w:bookmarkStart w:id="472" w:name="_Toc12217"/>
      <w:bookmarkStart w:id="473" w:name="_Toc10998"/>
      <w:r>
        <w:rPr>
          <w:rFonts w:hint="eastAsia"/>
        </w:rPr>
        <w:lastRenderedPageBreak/>
        <w:t>23.5</w:t>
      </w:r>
      <w:r>
        <w:rPr>
          <w:rFonts w:hint="eastAsia"/>
        </w:rPr>
        <w:t>消费税退税优惠办理</w:t>
      </w:r>
      <w:bookmarkEnd w:id="470"/>
      <w:bookmarkEnd w:id="471"/>
      <w:bookmarkEnd w:id="472"/>
      <w:bookmarkEnd w:id="473"/>
    </w:p>
    <w:p w:rsidR="00013EC7" w:rsidRDefault="00575CDB">
      <w:pPr>
        <w:jc w:val="center"/>
        <w:rPr>
          <w:rFonts w:ascii="宋体" w:hAnsi="宋体"/>
          <w:b/>
          <w:color w:val="000000"/>
          <w:sz w:val="52"/>
          <w:szCs w:val="52"/>
        </w:rPr>
      </w:pPr>
      <w:bookmarkStart w:id="474" w:name="_Toc13139"/>
      <w:r>
        <w:rPr>
          <w:rFonts w:ascii="宋体" w:hAnsi="宋体" w:hint="eastAsia"/>
          <w:b/>
          <w:color w:val="000000"/>
          <w:sz w:val="52"/>
          <w:szCs w:val="52"/>
        </w:rPr>
        <w:t>全省 “最多跑一次”事项“八统一”梳理表</w:t>
      </w:r>
      <w:bookmarkEnd w:id="474"/>
    </w:p>
    <w:tbl>
      <w:tblPr>
        <w:tblW w:w="20862"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1101"/>
        <w:gridCol w:w="906"/>
        <w:gridCol w:w="2234"/>
        <w:gridCol w:w="4022"/>
        <w:gridCol w:w="788"/>
        <w:gridCol w:w="4205"/>
        <w:gridCol w:w="1078"/>
        <w:gridCol w:w="1324"/>
        <w:gridCol w:w="868"/>
        <w:gridCol w:w="798"/>
        <w:gridCol w:w="958"/>
        <w:gridCol w:w="1104"/>
        <w:gridCol w:w="1476"/>
      </w:tblGrid>
      <w:tr w:rsidR="00013EC7">
        <w:trPr>
          <w:trHeight w:val="340"/>
          <w:tblHeader/>
          <w:jc w:val="center"/>
        </w:trPr>
        <w:tc>
          <w:tcPr>
            <w:tcW w:w="1101" w:type="dxa"/>
            <w:vMerge w:val="restart"/>
            <w:vAlign w:val="center"/>
          </w:tcPr>
          <w:p w:rsidR="00013EC7" w:rsidRDefault="00575CDB">
            <w:pPr>
              <w:spacing w:line="280" w:lineRule="exact"/>
              <w:jc w:val="center"/>
              <w:rPr>
                <w:rFonts w:ascii="黑体" w:eastAsia="黑体" w:hAnsi="黑体" w:cs="黑体"/>
                <w:b/>
                <w:sz w:val="24"/>
              </w:rPr>
            </w:pPr>
            <w:r>
              <w:rPr>
                <w:rFonts w:ascii="黑体" w:eastAsia="黑体" w:hAnsi="黑体" w:cs="黑体" w:hint="eastAsia"/>
                <w:b/>
                <w:sz w:val="24"/>
              </w:rPr>
              <w:t>主项名称</w:t>
            </w:r>
          </w:p>
        </w:tc>
        <w:tc>
          <w:tcPr>
            <w:tcW w:w="906" w:type="dxa"/>
            <w:vMerge w:val="restart"/>
            <w:vAlign w:val="center"/>
          </w:tcPr>
          <w:p w:rsidR="00013EC7" w:rsidRDefault="00575CDB">
            <w:pPr>
              <w:spacing w:line="280" w:lineRule="exact"/>
              <w:jc w:val="center"/>
              <w:rPr>
                <w:rFonts w:ascii="黑体" w:eastAsia="黑体" w:hAnsi="黑体" w:cs="黑体"/>
                <w:b/>
                <w:sz w:val="24"/>
              </w:rPr>
            </w:pPr>
            <w:r>
              <w:rPr>
                <w:rFonts w:ascii="黑体" w:eastAsia="黑体" w:hAnsi="黑体" w:cs="黑体" w:hint="eastAsia"/>
                <w:b/>
                <w:sz w:val="24"/>
              </w:rPr>
              <w:t>子项名称</w:t>
            </w:r>
          </w:p>
        </w:tc>
        <w:tc>
          <w:tcPr>
            <w:tcW w:w="2234" w:type="dxa"/>
            <w:vMerge w:val="restart"/>
            <w:vAlign w:val="center"/>
          </w:tcPr>
          <w:p w:rsidR="00013EC7" w:rsidRDefault="00575CDB">
            <w:pPr>
              <w:spacing w:line="280" w:lineRule="exact"/>
              <w:jc w:val="center"/>
              <w:rPr>
                <w:rFonts w:ascii="黑体" w:eastAsia="黑体" w:hAnsi="黑体" w:cs="黑体"/>
                <w:b/>
                <w:sz w:val="24"/>
              </w:rPr>
            </w:pPr>
            <w:r>
              <w:rPr>
                <w:rFonts w:ascii="黑体" w:eastAsia="黑体" w:hAnsi="黑体" w:cs="黑体" w:hint="eastAsia"/>
                <w:b/>
                <w:sz w:val="24"/>
              </w:rPr>
              <w:t>经办依据</w:t>
            </w:r>
          </w:p>
        </w:tc>
        <w:tc>
          <w:tcPr>
            <w:tcW w:w="4810" w:type="dxa"/>
            <w:gridSpan w:val="2"/>
            <w:vAlign w:val="center"/>
          </w:tcPr>
          <w:p w:rsidR="00013EC7" w:rsidRDefault="00575CDB">
            <w:pPr>
              <w:spacing w:line="280" w:lineRule="exact"/>
              <w:jc w:val="center"/>
              <w:rPr>
                <w:rFonts w:ascii="黑体" w:eastAsia="黑体" w:hAnsi="黑体" w:cs="黑体"/>
                <w:b/>
                <w:sz w:val="24"/>
              </w:rPr>
            </w:pPr>
            <w:r>
              <w:rPr>
                <w:rFonts w:ascii="黑体" w:eastAsia="黑体" w:hAnsi="黑体" w:cs="黑体" w:hint="eastAsia"/>
                <w:b/>
                <w:sz w:val="24"/>
              </w:rPr>
              <w:t>原经办所需材料</w:t>
            </w:r>
          </w:p>
        </w:tc>
        <w:tc>
          <w:tcPr>
            <w:tcW w:w="6607" w:type="dxa"/>
            <w:gridSpan w:val="3"/>
            <w:vAlign w:val="center"/>
          </w:tcPr>
          <w:p w:rsidR="00013EC7" w:rsidRDefault="00575CDB">
            <w:pPr>
              <w:spacing w:line="280" w:lineRule="exact"/>
              <w:jc w:val="center"/>
              <w:rPr>
                <w:rFonts w:ascii="黑体" w:eastAsia="黑体" w:hAnsi="黑体" w:cs="黑体"/>
                <w:b/>
                <w:sz w:val="24"/>
              </w:rPr>
            </w:pPr>
            <w:r>
              <w:rPr>
                <w:rFonts w:ascii="黑体" w:eastAsia="黑体" w:hAnsi="黑体" w:cs="黑体" w:hint="eastAsia"/>
                <w:b/>
                <w:sz w:val="24"/>
              </w:rPr>
              <w:t>精简后经办所需材料</w:t>
            </w:r>
          </w:p>
        </w:tc>
        <w:tc>
          <w:tcPr>
            <w:tcW w:w="1666" w:type="dxa"/>
            <w:gridSpan w:val="2"/>
            <w:vAlign w:val="center"/>
          </w:tcPr>
          <w:p w:rsidR="00013EC7" w:rsidRDefault="00575CDB">
            <w:pPr>
              <w:spacing w:line="280" w:lineRule="exact"/>
              <w:jc w:val="center"/>
              <w:rPr>
                <w:rFonts w:ascii="黑体" w:eastAsia="黑体" w:hAnsi="黑体" w:cs="黑体"/>
                <w:b/>
                <w:sz w:val="24"/>
              </w:rPr>
            </w:pPr>
            <w:r>
              <w:rPr>
                <w:rFonts w:ascii="黑体" w:eastAsia="黑体" w:hAnsi="黑体" w:cs="黑体" w:hint="eastAsia"/>
                <w:b/>
                <w:sz w:val="24"/>
              </w:rPr>
              <w:t>办理时限</w:t>
            </w:r>
          </w:p>
        </w:tc>
        <w:tc>
          <w:tcPr>
            <w:tcW w:w="958" w:type="dxa"/>
            <w:vMerge w:val="restart"/>
            <w:vAlign w:val="center"/>
          </w:tcPr>
          <w:p w:rsidR="00013EC7" w:rsidRDefault="00575CDB">
            <w:pPr>
              <w:spacing w:line="280" w:lineRule="exact"/>
              <w:jc w:val="center"/>
              <w:rPr>
                <w:rFonts w:ascii="黑体" w:eastAsia="黑体" w:hAnsi="黑体" w:cs="黑体"/>
                <w:b/>
                <w:sz w:val="24"/>
              </w:rPr>
            </w:pPr>
            <w:r>
              <w:rPr>
                <w:rFonts w:ascii="黑体" w:eastAsia="黑体" w:hAnsi="黑体" w:cs="黑体" w:hint="eastAsia"/>
                <w:b/>
                <w:sz w:val="24"/>
              </w:rPr>
              <w:t>是否实现跑零次</w:t>
            </w:r>
          </w:p>
        </w:tc>
        <w:tc>
          <w:tcPr>
            <w:tcW w:w="1104" w:type="dxa"/>
            <w:vMerge w:val="restart"/>
            <w:vAlign w:val="center"/>
          </w:tcPr>
          <w:p w:rsidR="00013EC7" w:rsidRDefault="00575CDB">
            <w:pPr>
              <w:spacing w:line="280" w:lineRule="exact"/>
              <w:jc w:val="center"/>
              <w:rPr>
                <w:rFonts w:ascii="黑体" w:eastAsia="黑体" w:hAnsi="黑体" w:cs="黑体"/>
                <w:b/>
                <w:sz w:val="24"/>
              </w:rPr>
            </w:pPr>
            <w:r>
              <w:rPr>
                <w:rFonts w:ascii="黑体" w:eastAsia="黑体" w:hAnsi="黑体" w:cs="黑体" w:hint="eastAsia"/>
                <w:b/>
                <w:sz w:val="24"/>
              </w:rPr>
              <w:t>省厅对口</w:t>
            </w:r>
          </w:p>
          <w:p w:rsidR="00013EC7" w:rsidRDefault="00575CDB">
            <w:pPr>
              <w:spacing w:line="280" w:lineRule="exact"/>
              <w:jc w:val="center"/>
              <w:rPr>
                <w:rFonts w:ascii="黑体" w:eastAsia="黑体" w:hAnsi="黑体" w:cs="黑体"/>
                <w:b/>
                <w:sz w:val="24"/>
              </w:rPr>
            </w:pPr>
            <w:r>
              <w:rPr>
                <w:rFonts w:ascii="黑体" w:eastAsia="黑体" w:hAnsi="黑体" w:cs="黑体" w:hint="eastAsia"/>
                <w:b/>
                <w:sz w:val="24"/>
              </w:rPr>
              <w:t>指导处室</w:t>
            </w:r>
          </w:p>
          <w:p w:rsidR="00013EC7" w:rsidRDefault="00575CDB">
            <w:pPr>
              <w:spacing w:line="280" w:lineRule="exact"/>
              <w:jc w:val="center"/>
              <w:rPr>
                <w:rFonts w:ascii="黑体" w:eastAsia="黑体" w:hAnsi="黑体" w:cs="黑体"/>
                <w:b/>
                <w:sz w:val="24"/>
              </w:rPr>
            </w:pPr>
            <w:r>
              <w:rPr>
                <w:rFonts w:ascii="黑体" w:eastAsia="黑体" w:hAnsi="黑体" w:cs="黑体" w:hint="eastAsia"/>
                <w:b/>
                <w:sz w:val="24"/>
              </w:rPr>
              <w:t>（单位）</w:t>
            </w:r>
          </w:p>
        </w:tc>
        <w:tc>
          <w:tcPr>
            <w:tcW w:w="1476" w:type="dxa"/>
            <w:vMerge w:val="restart"/>
            <w:vAlign w:val="center"/>
          </w:tcPr>
          <w:p w:rsidR="00013EC7" w:rsidRDefault="00575CDB">
            <w:pPr>
              <w:spacing w:line="280" w:lineRule="exact"/>
              <w:jc w:val="center"/>
              <w:rPr>
                <w:rFonts w:ascii="黑体" w:eastAsia="黑体" w:hAnsi="黑体" w:cs="黑体"/>
                <w:b/>
                <w:sz w:val="24"/>
              </w:rPr>
            </w:pPr>
            <w:r>
              <w:rPr>
                <w:rFonts w:ascii="黑体" w:eastAsia="黑体" w:hAnsi="黑体" w:cs="黑体" w:hint="eastAsia"/>
                <w:b/>
                <w:sz w:val="24"/>
              </w:rPr>
              <w:t>进一步精简、</w:t>
            </w:r>
          </w:p>
          <w:p w:rsidR="00013EC7" w:rsidRDefault="00575CDB">
            <w:pPr>
              <w:spacing w:line="280" w:lineRule="exact"/>
              <w:jc w:val="center"/>
              <w:rPr>
                <w:rFonts w:ascii="黑体" w:eastAsia="黑体" w:hAnsi="黑体" w:cs="黑体"/>
                <w:b/>
                <w:sz w:val="24"/>
              </w:rPr>
            </w:pPr>
            <w:r>
              <w:rPr>
                <w:rFonts w:ascii="黑体" w:eastAsia="黑体" w:hAnsi="黑体" w:cs="黑体" w:hint="eastAsia"/>
                <w:b/>
                <w:sz w:val="24"/>
              </w:rPr>
              <w:t>规范建议</w:t>
            </w:r>
          </w:p>
        </w:tc>
      </w:tr>
      <w:tr w:rsidR="00013EC7">
        <w:trPr>
          <w:trHeight w:val="340"/>
          <w:tblHeader/>
          <w:jc w:val="center"/>
        </w:trPr>
        <w:tc>
          <w:tcPr>
            <w:tcW w:w="1101" w:type="dxa"/>
            <w:vMerge/>
            <w:vAlign w:val="center"/>
          </w:tcPr>
          <w:p w:rsidR="00013EC7" w:rsidRDefault="00013EC7">
            <w:pPr>
              <w:jc w:val="center"/>
              <w:rPr>
                <w:rFonts w:ascii="黑体" w:eastAsia="黑体" w:hAnsi="黑体" w:cs="黑体"/>
                <w:b/>
                <w:sz w:val="24"/>
              </w:rPr>
            </w:pPr>
          </w:p>
        </w:tc>
        <w:tc>
          <w:tcPr>
            <w:tcW w:w="906" w:type="dxa"/>
            <w:vMerge/>
            <w:vAlign w:val="center"/>
          </w:tcPr>
          <w:p w:rsidR="00013EC7" w:rsidRDefault="00013EC7">
            <w:pPr>
              <w:jc w:val="center"/>
              <w:rPr>
                <w:rFonts w:ascii="黑体" w:eastAsia="黑体" w:hAnsi="黑体" w:cs="黑体"/>
                <w:b/>
                <w:sz w:val="24"/>
              </w:rPr>
            </w:pPr>
          </w:p>
        </w:tc>
        <w:tc>
          <w:tcPr>
            <w:tcW w:w="2234" w:type="dxa"/>
            <w:vMerge/>
            <w:vAlign w:val="center"/>
          </w:tcPr>
          <w:p w:rsidR="00013EC7" w:rsidRDefault="00013EC7">
            <w:pPr>
              <w:jc w:val="center"/>
              <w:rPr>
                <w:rFonts w:ascii="黑体" w:eastAsia="黑体" w:hAnsi="黑体" w:cs="黑体"/>
                <w:b/>
                <w:sz w:val="24"/>
              </w:rPr>
            </w:pPr>
          </w:p>
        </w:tc>
        <w:tc>
          <w:tcPr>
            <w:tcW w:w="4022" w:type="dxa"/>
            <w:tcBorders>
              <w:bottom w:val="single" w:sz="4" w:space="0" w:color="auto"/>
            </w:tcBorders>
            <w:vAlign w:val="center"/>
          </w:tcPr>
          <w:p w:rsidR="00013EC7" w:rsidRDefault="00575CDB">
            <w:pPr>
              <w:spacing w:line="280" w:lineRule="exact"/>
              <w:jc w:val="center"/>
              <w:rPr>
                <w:rFonts w:ascii="黑体" w:eastAsia="黑体" w:hAnsi="黑体" w:cs="黑体"/>
                <w:b/>
                <w:sz w:val="24"/>
              </w:rPr>
            </w:pPr>
            <w:r>
              <w:rPr>
                <w:rFonts w:ascii="黑体" w:eastAsia="黑体" w:hAnsi="黑体" w:cs="黑体" w:hint="eastAsia"/>
                <w:b/>
                <w:sz w:val="24"/>
              </w:rPr>
              <w:t>材料明细</w:t>
            </w:r>
          </w:p>
        </w:tc>
        <w:tc>
          <w:tcPr>
            <w:tcW w:w="788" w:type="dxa"/>
            <w:vAlign w:val="center"/>
          </w:tcPr>
          <w:p w:rsidR="00013EC7" w:rsidRDefault="00575CDB">
            <w:pPr>
              <w:spacing w:line="280" w:lineRule="exact"/>
              <w:jc w:val="center"/>
              <w:rPr>
                <w:rFonts w:ascii="黑体" w:eastAsia="黑体" w:hAnsi="黑体" w:cs="黑体"/>
                <w:b/>
                <w:sz w:val="24"/>
              </w:rPr>
            </w:pPr>
            <w:r>
              <w:rPr>
                <w:rFonts w:ascii="黑体" w:eastAsia="黑体" w:hAnsi="黑体" w:cs="黑体" w:hint="eastAsia"/>
                <w:b/>
                <w:sz w:val="24"/>
              </w:rPr>
              <w:t>材料来源</w:t>
            </w:r>
          </w:p>
        </w:tc>
        <w:tc>
          <w:tcPr>
            <w:tcW w:w="4205" w:type="dxa"/>
            <w:vAlign w:val="center"/>
          </w:tcPr>
          <w:p w:rsidR="00013EC7" w:rsidRDefault="00575CDB">
            <w:pPr>
              <w:spacing w:line="280" w:lineRule="exact"/>
              <w:jc w:val="center"/>
              <w:rPr>
                <w:rFonts w:ascii="黑体" w:eastAsia="黑体" w:hAnsi="黑体" w:cs="黑体"/>
                <w:b/>
                <w:sz w:val="24"/>
              </w:rPr>
            </w:pPr>
            <w:r>
              <w:rPr>
                <w:rFonts w:ascii="黑体" w:eastAsia="黑体" w:hAnsi="黑体" w:cs="黑体" w:hint="eastAsia"/>
                <w:b/>
                <w:sz w:val="24"/>
              </w:rPr>
              <w:t>材料明细</w:t>
            </w:r>
          </w:p>
        </w:tc>
        <w:tc>
          <w:tcPr>
            <w:tcW w:w="1078" w:type="dxa"/>
            <w:vAlign w:val="center"/>
          </w:tcPr>
          <w:p w:rsidR="00013EC7" w:rsidRDefault="00575CDB">
            <w:pPr>
              <w:spacing w:line="280" w:lineRule="exact"/>
              <w:jc w:val="center"/>
              <w:rPr>
                <w:rFonts w:ascii="黑体" w:eastAsia="黑体" w:hAnsi="黑体" w:cs="黑体"/>
                <w:b/>
                <w:sz w:val="24"/>
              </w:rPr>
            </w:pPr>
            <w:r>
              <w:rPr>
                <w:rFonts w:ascii="黑体" w:eastAsia="黑体" w:hAnsi="黑体" w:cs="黑体" w:hint="eastAsia"/>
                <w:b/>
                <w:sz w:val="24"/>
              </w:rPr>
              <w:t>材料来源</w:t>
            </w:r>
          </w:p>
        </w:tc>
        <w:tc>
          <w:tcPr>
            <w:tcW w:w="1324" w:type="dxa"/>
            <w:vAlign w:val="center"/>
          </w:tcPr>
          <w:p w:rsidR="00013EC7" w:rsidRDefault="00575CDB">
            <w:pPr>
              <w:spacing w:line="280" w:lineRule="exact"/>
              <w:jc w:val="center"/>
              <w:rPr>
                <w:rFonts w:ascii="黑体" w:eastAsia="黑体" w:hAnsi="黑体" w:cs="黑体"/>
                <w:b/>
                <w:sz w:val="24"/>
              </w:rPr>
            </w:pPr>
            <w:r>
              <w:rPr>
                <w:rFonts w:ascii="黑体" w:eastAsia="黑体" w:hAnsi="黑体" w:cs="黑体" w:hint="eastAsia"/>
                <w:b/>
                <w:sz w:val="24"/>
              </w:rPr>
              <w:t>办理方式及材料</w:t>
            </w:r>
          </w:p>
          <w:p w:rsidR="00013EC7" w:rsidRDefault="00575CDB">
            <w:pPr>
              <w:spacing w:line="280" w:lineRule="exact"/>
              <w:jc w:val="center"/>
              <w:rPr>
                <w:rFonts w:ascii="黑体" w:eastAsia="黑体" w:hAnsi="黑体" w:cs="黑体"/>
                <w:b/>
                <w:sz w:val="24"/>
              </w:rPr>
            </w:pPr>
            <w:r>
              <w:rPr>
                <w:rFonts w:ascii="黑体" w:eastAsia="黑体" w:hAnsi="黑体" w:cs="黑体" w:hint="eastAsia"/>
                <w:b/>
                <w:sz w:val="24"/>
              </w:rPr>
              <w:t>信息获取方式说明</w:t>
            </w:r>
          </w:p>
        </w:tc>
        <w:tc>
          <w:tcPr>
            <w:tcW w:w="868" w:type="dxa"/>
            <w:vAlign w:val="center"/>
          </w:tcPr>
          <w:p w:rsidR="00013EC7" w:rsidRDefault="00575CDB">
            <w:pPr>
              <w:spacing w:line="280" w:lineRule="exact"/>
              <w:jc w:val="center"/>
              <w:rPr>
                <w:rFonts w:ascii="黑体" w:eastAsia="黑体" w:hAnsi="黑体" w:cs="黑体"/>
                <w:b/>
                <w:sz w:val="24"/>
              </w:rPr>
            </w:pPr>
            <w:r>
              <w:rPr>
                <w:rFonts w:ascii="黑体" w:eastAsia="黑体" w:hAnsi="黑体" w:cs="黑体" w:hint="eastAsia"/>
                <w:b/>
                <w:sz w:val="24"/>
              </w:rPr>
              <w:t>优化前</w:t>
            </w:r>
          </w:p>
        </w:tc>
        <w:tc>
          <w:tcPr>
            <w:tcW w:w="798" w:type="dxa"/>
            <w:vAlign w:val="center"/>
          </w:tcPr>
          <w:p w:rsidR="00013EC7" w:rsidRDefault="00575CDB">
            <w:pPr>
              <w:spacing w:line="280" w:lineRule="exact"/>
              <w:jc w:val="center"/>
              <w:rPr>
                <w:rFonts w:ascii="黑体" w:eastAsia="黑体" w:hAnsi="黑体" w:cs="黑体"/>
                <w:b/>
                <w:sz w:val="24"/>
              </w:rPr>
            </w:pPr>
            <w:r>
              <w:rPr>
                <w:rFonts w:ascii="黑体" w:eastAsia="黑体" w:hAnsi="黑体" w:cs="黑体" w:hint="eastAsia"/>
                <w:b/>
                <w:sz w:val="24"/>
              </w:rPr>
              <w:t>优化后</w:t>
            </w:r>
          </w:p>
        </w:tc>
        <w:tc>
          <w:tcPr>
            <w:tcW w:w="958" w:type="dxa"/>
            <w:vMerge/>
            <w:vAlign w:val="center"/>
          </w:tcPr>
          <w:p w:rsidR="00013EC7" w:rsidRDefault="00013EC7">
            <w:pPr>
              <w:jc w:val="center"/>
              <w:rPr>
                <w:rFonts w:ascii="黑体" w:eastAsia="黑体" w:hAnsi="黑体" w:cs="黑体"/>
                <w:sz w:val="24"/>
              </w:rPr>
            </w:pPr>
          </w:p>
        </w:tc>
        <w:tc>
          <w:tcPr>
            <w:tcW w:w="1104" w:type="dxa"/>
            <w:vMerge/>
            <w:vAlign w:val="center"/>
          </w:tcPr>
          <w:p w:rsidR="00013EC7" w:rsidRDefault="00013EC7">
            <w:pPr>
              <w:jc w:val="center"/>
              <w:rPr>
                <w:rFonts w:ascii="黑体" w:eastAsia="黑体" w:hAnsi="黑体" w:cs="黑体"/>
                <w:sz w:val="24"/>
              </w:rPr>
            </w:pPr>
          </w:p>
        </w:tc>
        <w:tc>
          <w:tcPr>
            <w:tcW w:w="1476" w:type="dxa"/>
            <w:vMerge/>
            <w:vAlign w:val="center"/>
          </w:tcPr>
          <w:p w:rsidR="00013EC7" w:rsidRDefault="00013EC7">
            <w:pPr>
              <w:jc w:val="center"/>
              <w:rPr>
                <w:rFonts w:ascii="黑体" w:eastAsia="黑体" w:hAnsi="黑体" w:cs="黑体"/>
                <w:sz w:val="24"/>
              </w:rPr>
            </w:pPr>
          </w:p>
        </w:tc>
      </w:tr>
      <w:tr w:rsidR="00013EC7">
        <w:trPr>
          <w:trHeight w:val="624"/>
          <w:jc w:val="center"/>
        </w:trPr>
        <w:tc>
          <w:tcPr>
            <w:tcW w:w="1101" w:type="dxa"/>
            <w:vMerge w:val="restart"/>
            <w:shd w:val="clear" w:color="auto" w:fill="auto"/>
            <w:vAlign w:val="center"/>
          </w:tcPr>
          <w:p w:rsidR="00013EC7" w:rsidRDefault="00575CDB">
            <w:pPr>
              <w:widowControl/>
              <w:textAlignment w:val="center"/>
              <w:rPr>
                <w:rFonts w:ascii="仿宋" w:eastAsia="仿宋" w:hAnsi="仿宋"/>
                <w:sz w:val="24"/>
              </w:rPr>
            </w:pPr>
            <w:r>
              <w:rPr>
                <w:rFonts w:ascii="仿宋" w:eastAsia="仿宋" w:hAnsi="仿宋" w:cs="方正书宋简体" w:hint="eastAsia"/>
                <w:color w:val="000000"/>
                <w:kern w:val="0"/>
                <w:sz w:val="24"/>
              </w:rPr>
              <w:t>23</w:t>
            </w:r>
            <w:r>
              <w:rPr>
                <w:rFonts w:ascii="仿宋" w:eastAsia="仿宋" w:hAnsi="仿宋" w:cs="方正书宋简体"/>
                <w:color w:val="000000"/>
                <w:kern w:val="0"/>
                <w:sz w:val="24"/>
              </w:rPr>
              <w:t>消费税退税优惠办理</w:t>
            </w:r>
          </w:p>
        </w:tc>
        <w:tc>
          <w:tcPr>
            <w:tcW w:w="906" w:type="dxa"/>
            <w:vMerge w:val="restart"/>
            <w:shd w:val="clear" w:color="auto" w:fill="auto"/>
            <w:vAlign w:val="center"/>
          </w:tcPr>
          <w:p w:rsidR="00013EC7" w:rsidRDefault="00575CDB">
            <w:pPr>
              <w:widowControl/>
              <w:textAlignment w:val="center"/>
              <w:rPr>
                <w:rFonts w:ascii="仿宋" w:eastAsia="仿宋" w:hAnsi="仿宋"/>
                <w:sz w:val="24"/>
              </w:rPr>
            </w:pPr>
            <w:r>
              <w:rPr>
                <w:rFonts w:ascii="仿宋" w:eastAsia="仿宋" w:hAnsi="仿宋" w:cs="方正书宋简体" w:hint="eastAsia"/>
                <w:color w:val="000000"/>
                <w:kern w:val="0"/>
                <w:sz w:val="24"/>
              </w:rPr>
              <w:t>23.5</w:t>
            </w:r>
            <w:r>
              <w:rPr>
                <w:rFonts w:ascii="仿宋" w:eastAsia="仿宋" w:hAnsi="仿宋" w:cs="方正书宋简体"/>
                <w:color w:val="000000"/>
                <w:kern w:val="0"/>
                <w:sz w:val="24"/>
              </w:rPr>
              <w:t>消费税退税优惠办理</w:t>
            </w:r>
          </w:p>
        </w:tc>
        <w:tc>
          <w:tcPr>
            <w:tcW w:w="2234" w:type="dxa"/>
            <w:vMerge w:val="restart"/>
            <w:shd w:val="clear" w:color="auto" w:fill="auto"/>
            <w:vAlign w:val="center"/>
          </w:tcPr>
          <w:p w:rsidR="00013EC7" w:rsidRDefault="00575CDB">
            <w:pPr>
              <w:spacing w:line="310" w:lineRule="exact"/>
              <w:rPr>
                <w:rFonts w:ascii="仿宋" w:eastAsia="仿宋" w:hAnsi="仿宋"/>
                <w:sz w:val="24"/>
              </w:rPr>
            </w:pPr>
            <w:r>
              <w:rPr>
                <w:rFonts w:ascii="仿宋" w:eastAsia="仿宋" w:hAnsi="仿宋" w:hint="eastAsia"/>
                <w:sz w:val="24"/>
              </w:rPr>
              <w:t>（一）</w:t>
            </w:r>
            <w:r>
              <w:rPr>
                <w:rFonts w:ascii="仿宋" w:eastAsia="仿宋" w:hAnsi="仿宋"/>
                <w:sz w:val="24"/>
              </w:rPr>
              <w:t>《财政部 中国人民银行 国家税务总局关于延续执行部分石脑油、燃料油消费税政策的通知》（财税〔2011〕87号）全文</w:t>
            </w:r>
            <w:r>
              <w:rPr>
                <w:rFonts w:ascii="仿宋" w:eastAsia="仿宋" w:hAnsi="仿宋" w:hint="eastAsia"/>
                <w:sz w:val="24"/>
              </w:rPr>
              <w:t>。</w:t>
            </w:r>
          </w:p>
          <w:p w:rsidR="00013EC7" w:rsidRDefault="00575CDB">
            <w:pPr>
              <w:spacing w:line="310" w:lineRule="exact"/>
              <w:rPr>
                <w:rFonts w:ascii="仿宋" w:eastAsia="仿宋" w:hAnsi="仿宋"/>
                <w:sz w:val="24"/>
              </w:rPr>
            </w:pPr>
            <w:r>
              <w:rPr>
                <w:rFonts w:ascii="仿宋" w:eastAsia="仿宋" w:hAnsi="仿宋" w:hint="eastAsia"/>
                <w:sz w:val="24"/>
              </w:rPr>
              <w:t>（二）</w:t>
            </w:r>
            <w:r>
              <w:rPr>
                <w:rFonts w:ascii="仿宋" w:eastAsia="仿宋" w:hAnsi="仿宋"/>
                <w:sz w:val="24"/>
              </w:rPr>
              <w:t>《国家税务总局关于发布&lt;用于生产乙烯、芳烃类化工产品的石脑油、燃料油退（免）消费税暂行办法&gt; 的公告》（国家税务总局公告2012年第36号） 全文</w:t>
            </w:r>
            <w:r>
              <w:rPr>
                <w:rFonts w:ascii="仿宋" w:eastAsia="仿宋" w:hAnsi="仿宋" w:hint="eastAsia"/>
                <w:sz w:val="24"/>
              </w:rPr>
              <w:t>。</w:t>
            </w:r>
          </w:p>
          <w:p w:rsidR="00013EC7" w:rsidRDefault="00575CDB">
            <w:pPr>
              <w:spacing w:line="310" w:lineRule="exact"/>
              <w:rPr>
                <w:rFonts w:ascii="仿宋" w:eastAsia="仿宋" w:hAnsi="仿宋"/>
                <w:sz w:val="24"/>
              </w:rPr>
            </w:pPr>
            <w:r>
              <w:rPr>
                <w:rFonts w:ascii="仿宋" w:eastAsia="仿宋" w:hAnsi="仿宋" w:hint="eastAsia"/>
                <w:sz w:val="24"/>
              </w:rPr>
              <w:t>（三）</w:t>
            </w:r>
            <w:r>
              <w:rPr>
                <w:rFonts w:ascii="仿宋" w:eastAsia="仿宋" w:hAnsi="仿宋"/>
                <w:sz w:val="24"/>
              </w:rPr>
              <w:t>《国家税务总局 海关总署关于石脑油、燃料油、生产乙烯、芳烃类化工产品消费税退税问题的公告》（国家税务总局海关总署公告2013年第29号）全文</w:t>
            </w:r>
            <w:r>
              <w:rPr>
                <w:rFonts w:ascii="仿宋" w:eastAsia="仿宋" w:hAnsi="仿宋" w:hint="eastAsia"/>
                <w:sz w:val="24"/>
              </w:rPr>
              <w:t>。</w:t>
            </w:r>
          </w:p>
          <w:p w:rsidR="00013EC7" w:rsidRDefault="00575CDB">
            <w:pPr>
              <w:spacing w:line="310" w:lineRule="exact"/>
              <w:rPr>
                <w:rFonts w:ascii="仿宋" w:eastAsia="仿宋" w:hAnsi="仿宋"/>
                <w:sz w:val="24"/>
              </w:rPr>
            </w:pPr>
            <w:r>
              <w:rPr>
                <w:rFonts w:ascii="仿宋" w:eastAsia="仿宋" w:hAnsi="仿宋" w:hint="eastAsia"/>
                <w:sz w:val="24"/>
              </w:rPr>
              <w:t>（四）</w:t>
            </w:r>
            <w:r>
              <w:rPr>
                <w:rFonts w:ascii="仿宋" w:eastAsia="仿宋" w:hAnsi="仿宋"/>
                <w:sz w:val="24"/>
              </w:rPr>
              <w:t>《国家税务总局关于印发&lt;石脑油、燃料油退（免）消费税管理操作规程（试行）&gt;的通知》（税总函〔2014〕412</w:t>
            </w:r>
            <w:r>
              <w:rPr>
                <w:rFonts w:ascii="仿宋" w:eastAsia="仿宋" w:hAnsi="仿宋"/>
                <w:sz w:val="24"/>
              </w:rPr>
              <w:lastRenderedPageBreak/>
              <w:t>号）全文</w:t>
            </w:r>
            <w:r>
              <w:rPr>
                <w:rFonts w:ascii="仿宋" w:eastAsia="仿宋" w:hAnsi="仿宋" w:hint="eastAsia"/>
                <w:sz w:val="24"/>
              </w:rPr>
              <w:t>。</w:t>
            </w:r>
          </w:p>
          <w:p w:rsidR="00013EC7" w:rsidRDefault="00575CDB">
            <w:pPr>
              <w:spacing w:line="310" w:lineRule="exact"/>
              <w:rPr>
                <w:rFonts w:ascii="仿宋" w:eastAsia="仿宋" w:hAnsi="仿宋"/>
                <w:sz w:val="24"/>
              </w:rPr>
            </w:pPr>
            <w:r>
              <w:rPr>
                <w:rFonts w:ascii="仿宋" w:eastAsia="仿宋" w:hAnsi="仿宋" w:hint="eastAsia"/>
                <w:sz w:val="24"/>
              </w:rPr>
              <w:t>（五）《关于成品油消费税征收管理有关问题的公告》（国家税务总局公告2018年第1号）第二条。</w:t>
            </w:r>
          </w:p>
        </w:tc>
        <w:tc>
          <w:tcPr>
            <w:tcW w:w="4022" w:type="dxa"/>
            <w:tcBorders>
              <w:top w:val="single" w:sz="4" w:space="0" w:color="auto"/>
              <w:bottom w:val="single" w:sz="4" w:space="0" w:color="C00000"/>
            </w:tcBorders>
            <w:shd w:val="clear" w:color="auto" w:fill="FFFFFF"/>
            <w:vAlign w:val="center"/>
          </w:tcPr>
          <w:p w:rsidR="00013EC7" w:rsidRDefault="00575CDB">
            <w:pPr>
              <w:spacing w:line="300" w:lineRule="exact"/>
              <w:rPr>
                <w:rFonts w:ascii="仿宋" w:eastAsia="仿宋" w:hAnsi="仿宋"/>
                <w:sz w:val="24"/>
              </w:rPr>
            </w:pPr>
            <w:r>
              <w:rPr>
                <w:rFonts w:ascii="仿宋" w:eastAsia="仿宋" w:hAnsi="仿宋" w:hint="eastAsia"/>
                <w:sz w:val="24"/>
              </w:rPr>
              <w:lastRenderedPageBreak/>
              <w:t>（一）(A07086)《用于生产乙烯、芳烃类化工产品的石脑油、燃料油消费税应退税额计算表》</w:t>
            </w:r>
            <w:r>
              <w:rPr>
                <w:rFonts w:ascii="仿宋" w:eastAsia="仿宋" w:hAnsi="仿宋" w:hint="eastAsia"/>
                <w:sz w:val="24"/>
                <w:shd w:val="clear" w:color="FFFFFF" w:fill="D9D9D9"/>
              </w:rPr>
              <w:t>3份</w:t>
            </w:r>
            <w:r>
              <w:rPr>
                <w:rFonts w:ascii="仿宋" w:eastAsia="仿宋" w:hAnsi="仿宋" w:hint="eastAsia"/>
                <w:sz w:val="24"/>
              </w:rPr>
              <w:t>。</w:t>
            </w:r>
          </w:p>
        </w:tc>
        <w:tc>
          <w:tcPr>
            <w:tcW w:w="788" w:type="dxa"/>
            <w:vMerge w:val="restart"/>
            <w:shd w:val="clear" w:color="auto" w:fill="auto"/>
            <w:vAlign w:val="center"/>
          </w:tcPr>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575CDB">
            <w:pPr>
              <w:spacing w:line="300" w:lineRule="exact"/>
              <w:rPr>
                <w:rFonts w:ascii="仿宋" w:eastAsia="仿宋" w:hAnsi="仿宋"/>
                <w:sz w:val="24"/>
              </w:rPr>
            </w:pPr>
            <w:r>
              <w:rPr>
                <w:rFonts w:ascii="仿宋" w:eastAsia="仿宋" w:hAnsi="仿宋" w:hint="eastAsia"/>
                <w:sz w:val="24"/>
              </w:rPr>
              <w:t>享受石脑油、燃料油消费税退税纳税人提交</w:t>
            </w: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tc>
        <w:tc>
          <w:tcPr>
            <w:tcW w:w="4205" w:type="dxa"/>
            <w:shd w:val="clear" w:color="auto" w:fill="FFFFFF"/>
            <w:vAlign w:val="center"/>
          </w:tcPr>
          <w:p w:rsidR="00013EC7" w:rsidRDefault="00575CDB">
            <w:pPr>
              <w:spacing w:line="300" w:lineRule="exact"/>
              <w:rPr>
                <w:rFonts w:ascii="仿宋" w:eastAsia="仿宋" w:hAnsi="仿宋"/>
                <w:sz w:val="24"/>
              </w:rPr>
            </w:pPr>
            <w:r>
              <w:rPr>
                <w:rFonts w:ascii="仿宋" w:eastAsia="仿宋" w:hAnsi="仿宋" w:hint="eastAsia"/>
                <w:sz w:val="24"/>
              </w:rPr>
              <w:lastRenderedPageBreak/>
              <w:t>（一） (A07086)《用于生产乙烯、芳烃类化工产品的石脑油、燃料油消费税应退税额计算表》2份。</w:t>
            </w:r>
          </w:p>
        </w:tc>
        <w:tc>
          <w:tcPr>
            <w:tcW w:w="1078" w:type="dxa"/>
            <w:vMerge w:val="restart"/>
            <w:shd w:val="clear" w:color="auto" w:fill="FFFFFF"/>
            <w:vAlign w:val="center"/>
          </w:tcPr>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575CDB">
            <w:pPr>
              <w:spacing w:line="300" w:lineRule="exact"/>
              <w:rPr>
                <w:rFonts w:ascii="仿宋" w:eastAsia="仿宋" w:hAnsi="仿宋"/>
                <w:sz w:val="24"/>
              </w:rPr>
            </w:pPr>
            <w:r>
              <w:rPr>
                <w:rFonts w:ascii="仿宋" w:eastAsia="仿宋" w:hAnsi="仿宋" w:hint="eastAsia"/>
                <w:sz w:val="24"/>
              </w:rPr>
              <w:t>享受石脑油、燃料油消费税退税纳税人提交</w:t>
            </w: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tc>
        <w:tc>
          <w:tcPr>
            <w:tcW w:w="1324" w:type="dxa"/>
            <w:vMerge w:val="restart"/>
            <w:shd w:val="clear" w:color="auto" w:fill="FFFFFF"/>
            <w:vAlign w:val="center"/>
          </w:tcPr>
          <w:p w:rsidR="00013EC7" w:rsidRDefault="00575CDB">
            <w:pPr>
              <w:spacing w:line="300" w:lineRule="exact"/>
              <w:rPr>
                <w:rFonts w:ascii="仿宋" w:eastAsia="仿宋" w:hAnsi="仿宋" w:cs="仿宋"/>
                <w:sz w:val="24"/>
              </w:rPr>
            </w:pPr>
            <w:r>
              <w:rPr>
                <w:rFonts w:ascii="仿宋" w:eastAsia="仿宋" w:hAnsi="仿宋" w:cs="仿宋" w:hint="eastAsia"/>
                <w:b/>
                <w:sz w:val="24"/>
              </w:rPr>
              <w:lastRenderedPageBreak/>
              <w:t>现场办理：</w:t>
            </w:r>
            <w:r>
              <w:rPr>
                <w:rFonts w:ascii="仿宋" w:eastAsia="仿宋" w:hAnsi="仿宋" w:cs="仿宋" w:hint="eastAsia"/>
                <w:sz w:val="24"/>
              </w:rPr>
              <w:t>纳税人提交书面材料。</w:t>
            </w:r>
            <w:r>
              <w:rPr>
                <w:rFonts w:ascii="仿宋" w:eastAsia="仿宋" w:hAnsi="仿宋" w:cs="仿宋" w:hint="eastAsia"/>
                <w:b/>
                <w:sz w:val="24"/>
              </w:rPr>
              <w:t>网上办理：</w:t>
            </w:r>
            <w:r>
              <w:rPr>
                <w:rFonts w:ascii="仿宋" w:eastAsia="仿宋" w:hAnsi="仿宋" w:cs="仿宋" w:hint="eastAsia"/>
                <w:sz w:val="24"/>
              </w:rPr>
              <w:t>登录浙江国税电子税务局（网址：</w:t>
            </w:r>
            <w:hyperlink r:id="rId410" w:tgtFrame="https://wx.qq.com/_blank" w:history="1">
              <w:r>
                <w:rPr>
                  <w:rFonts w:ascii="仿宋" w:eastAsia="仿宋" w:hAnsi="仿宋" w:cs="仿宋" w:hint="eastAsia"/>
                  <w:sz w:val="24"/>
                </w:rPr>
                <w:t>http://etax.zjtax.gov.cn/</w:t>
              </w:r>
            </w:hyperlink>
            <w:r>
              <w:rPr>
                <w:rFonts w:ascii="仿宋" w:eastAsia="仿宋" w:hAnsi="仿宋" w:cs="仿宋" w:hint="eastAsia"/>
                <w:sz w:val="24"/>
              </w:rPr>
              <w:t>）提交申请。</w:t>
            </w:r>
          </w:p>
          <w:p w:rsidR="00013EC7" w:rsidRDefault="00013EC7">
            <w:pPr>
              <w:spacing w:line="300" w:lineRule="exact"/>
              <w:rPr>
                <w:rFonts w:ascii="仿宋" w:eastAsia="仿宋" w:hAnsi="仿宋"/>
                <w:sz w:val="24"/>
              </w:rPr>
            </w:pPr>
          </w:p>
        </w:tc>
        <w:tc>
          <w:tcPr>
            <w:tcW w:w="868" w:type="dxa"/>
            <w:vMerge w:val="restart"/>
            <w:vAlign w:val="center"/>
          </w:tcPr>
          <w:p w:rsidR="00013EC7" w:rsidRDefault="002C074D">
            <w:pPr>
              <w:spacing w:line="300" w:lineRule="exact"/>
              <w:rPr>
                <w:rFonts w:ascii="仿宋" w:eastAsia="仿宋" w:hAnsi="仿宋"/>
                <w:sz w:val="24"/>
              </w:rPr>
            </w:pPr>
            <w:r>
              <w:rPr>
                <w:rFonts w:ascii="仿宋" w:eastAsia="仿宋" w:hAnsi="仿宋" w:hint="eastAsia"/>
                <w:sz w:val="24"/>
              </w:rPr>
              <w:t>20个工作日</w:t>
            </w:r>
          </w:p>
        </w:tc>
        <w:tc>
          <w:tcPr>
            <w:tcW w:w="798" w:type="dxa"/>
            <w:vMerge w:val="restart"/>
            <w:vAlign w:val="center"/>
          </w:tcPr>
          <w:p w:rsidR="00013EC7" w:rsidRDefault="002C074D">
            <w:pPr>
              <w:spacing w:line="300" w:lineRule="exact"/>
              <w:rPr>
                <w:rFonts w:ascii="仿宋" w:eastAsia="仿宋" w:hAnsi="仿宋"/>
                <w:sz w:val="24"/>
              </w:rPr>
            </w:pPr>
            <w:r>
              <w:rPr>
                <w:rFonts w:ascii="仿宋" w:eastAsia="仿宋" w:hAnsi="仿宋" w:hint="eastAsia"/>
                <w:sz w:val="24"/>
              </w:rPr>
              <w:t>20个工作日</w:t>
            </w:r>
          </w:p>
        </w:tc>
        <w:tc>
          <w:tcPr>
            <w:tcW w:w="958" w:type="dxa"/>
            <w:vMerge w:val="restart"/>
            <w:vAlign w:val="center"/>
          </w:tcPr>
          <w:p w:rsidR="00013EC7" w:rsidRDefault="00575CDB">
            <w:pPr>
              <w:spacing w:line="300" w:lineRule="exact"/>
              <w:rPr>
                <w:rFonts w:ascii="仿宋" w:eastAsia="仿宋" w:hAnsi="仿宋"/>
                <w:sz w:val="24"/>
              </w:rPr>
            </w:pPr>
            <w:r>
              <w:rPr>
                <w:rFonts w:ascii="仿宋" w:eastAsia="仿宋" w:hAnsi="仿宋" w:hint="eastAsia"/>
                <w:sz w:val="24"/>
              </w:rPr>
              <w:t>是</w:t>
            </w:r>
          </w:p>
        </w:tc>
        <w:tc>
          <w:tcPr>
            <w:tcW w:w="1104" w:type="dxa"/>
            <w:vMerge w:val="restart"/>
            <w:vAlign w:val="center"/>
          </w:tcPr>
          <w:p w:rsidR="00013EC7" w:rsidRDefault="00575CDB">
            <w:pPr>
              <w:spacing w:line="300" w:lineRule="exact"/>
              <w:rPr>
                <w:rFonts w:ascii="仿宋" w:eastAsia="仿宋" w:hAnsi="仿宋"/>
                <w:sz w:val="24"/>
              </w:rPr>
            </w:pPr>
            <w:r>
              <w:rPr>
                <w:rFonts w:ascii="仿宋" w:eastAsia="仿宋" w:hAnsi="仿宋" w:hint="eastAsia"/>
                <w:sz w:val="24"/>
              </w:rPr>
              <w:t>收入规划核算处、货物和劳务税处</w:t>
            </w:r>
          </w:p>
        </w:tc>
        <w:tc>
          <w:tcPr>
            <w:tcW w:w="1476" w:type="dxa"/>
            <w:vMerge w:val="restart"/>
            <w:vAlign w:val="center"/>
          </w:tcPr>
          <w:p w:rsidR="00013EC7" w:rsidRDefault="00013EC7">
            <w:pPr>
              <w:spacing w:line="300" w:lineRule="exact"/>
              <w:rPr>
                <w:rFonts w:ascii="仿宋" w:eastAsia="仿宋" w:hAnsi="仿宋"/>
                <w:sz w:val="24"/>
              </w:rPr>
            </w:pPr>
          </w:p>
        </w:tc>
      </w:tr>
      <w:tr w:rsidR="00013EC7">
        <w:trPr>
          <w:trHeight w:val="624"/>
          <w:jc w:val="center"/>
        </w:trPr>
        <w:tc>
          <w:tcPr>
            <w:tcW w:w="1101" w:type="dxa"/>
            <w:vMerge/>
            <w:shd w:val="clear" w:color="auto" w:fill="auto"/>
            <w:vAlign w:val="center"/>
          </w:tcPr>
          <w:p w:rsidR="00013EC7" w:rsidRDefault="00013EC7">
            <w:pPr>
              <w:spacing w:line="300" w:lineRule="exact"/>
            </w:pPr>
          </w:p>
        </w:tc>
        <w:tc>
          <w:tcPr>
            <w:tcW w:w="906" w:type="dxa"/>
            <w:vMerge/>
            <w:shd w:val="clear" w:color="auto" w:fill="auto"/>
            <w:vAlign w:val="center"/>
          </w:tcPr>
          <w:p w:rsidR="00013EC7" w:rsidRDefault="00013EC7">
            <w:pPr>
              <w:spacing w:line="300" w:lineRule="exact"/>
            </w:pPr>
          </w:p>
        </w:tc>
        <w:tc>
          <w:tcPr>
            <w:tcW w:w="2234" w:type="dxa"/>
            <w:vMerge/>
            <w:shd w:val="clear" w:color="auto" w:fill="auto"/>
            <w:vAlign w:val="center"/>
          </w:tcPr>
          <w:p w:rsidR="00013EC7" w:rsidRDefault="00013EC7">
            <w:pPr>
              <w:spacing w:line="300" w:lineRule="exact"/>
            </w:pPr>
          </w:p>
        </w:tc>
        <w:tc>
          <w:tcPr>
            <w:tcW w:w="4022" w:type="dxa"/>
            <w:tcBorders>
              <w:top w:val="single" w:sz="4" w:space="0" w:color="auto"/>
              <w:bottom w:val="single" w:sz="4" w:space="0" w:color="C00000"/>
            </w:tcBorders>
            <w:shd w:val="clear" w:color="auto" w:fill="FFFFFF"/>
            <w:vAlign w:val="center"/>
          </w:tcPr>
          <w:p w:rsidR="00013EC7" w:rsidRDefault="00575CDB">
            <w:pPr>
              <w:spacing w:line="300" w:lineRule="exact"/>
              <w:rPr>
                <w:rFonts w:ascii="仿宋" w:eastAsia="仿宋" w:hAnsi="仿宋"/>
                <w:sz w:val="24"/>
              </w:rPr>
            </w:pPr>
            <w:r>
              <w:rPr>
                <w:rFonts w:ascii="仿宋" w:eastAsia="仿宋" w:hAnsi="仿宋" w:hint="eastAsia"/>
                <w:sz w:val="24"/>
              </w:rPr>
              <w:t>（二）(A06336)《使用企业外购石脑油、燃料油凭证明细表》。</w:t>
            </w:r>
          </w:p>
        </w:tc>
        <w:tc>
          <w:tcPr>
            <w:tcW w:w="788" w:type="dxa"/>
            <w:vMerge/>
            <w:shd w:val="clear" w:color="auto" w:fill="auto"/>
            <w:vAlign w:val="center"/>
          </w:tcPr>
          <w:p w:rsidR="00013EC7" w:rsidRDefault="00013EC7">
            <w:pPr>
              <w:spacing w:line="300" w:lineRule="exact"/>
              <w:rPr>
                <w:rFonts w:ascii="仿宋" w:eastAsia="仿宋" w:hAnsi="仿宋"/>
                <w:sz w:val="24"/>
              </w:rPr>
            </w:pPr>
          </w:p>
        </w:tc>
        <w:tc>
          <w:tcPr>
            <w:tcW w:w="4205" w:type="dxa"/>
            <w:shd w:val="clear" w:color="auto" w:fill="FFFFFF"/>
            <w:vAlign w:val="center"/>
          </w:tcPr>
          <w:p w:rsidR="00013EC7" w:rsidRDefault="00575CDB">
            <w:pPr>
              <w:spacing w:line="300" w:lineRule="exact"/>
              <w:rPr>
                <w:rFonts w:ascii="仿宋" w:eastAsia="仿宋" w:hAnsi="仿宋"/>
                <w:sz w:val="24"/>
              </w:rPr>
            </w:pPr>
            <w:r>
              <w:rPr>
                <w:rFonts w:ascii="仿宋" w:eastAsia="仿宋" w:hAnsi="仿宋" w:hint="eastAsia"/>
                <w:sz w:val="24"/>
              </w:rPr>
              <w:t>（二） (A06336)《使用企业外购石脑油、燃料油凭证明细表》1份。</w:t>
            </w:r>
          </w:p>
        </w:tc>
        <w:tc>
          <w:tcPr>
            <w:tcW w:w="1078" w:type="dxa"/>
            <w:vMerge/>
            <w:shd w:val="clear" w:color="auto" w:fill="FFFFFF"/>
            <w:vAlign w:val="center"/>
          </w:tcPr>
          <w:p w:rsidR="00013EC7" w:rsidRDefault="00013EC7">
            <w:pPr>
              <w:spacing w:line="300" w:lineRule="exact"/>
              <w:rPr>
                <w:rFonts w:ascii="仿宋" w:eastAsia="仿宋" w:hAnsi="仿宋"/>
                <w:sz w:val="24"/>
              </w:rPr>
            </w:pPr>
          </w:p>
        </w:tc>
        <w:tc>
          <w:tcPr>
            <w:tcW w:w="1324" w:type="dxa"/>
            <w:vMerge/>
            <w:shd w:val="clear" w:color="auto" w:fill="FFFFFF"/>
            <w:vAlign w:val="center"/>
          </w:tcPr>
          <w:p w:rsidR="00013EC7" w:rsidRDefault="00013EC7">
            <w:pPr>
              <w:spacing w:line="300" w:lineRule="exact"/>
              <w:rPr>
                <w:rFonts w:ascii="仿宋" w:eastAsia="仿宋" w:hAnsi="仿宋"/>
                <w:sz w:val="24"/>
              </w:rPr>
            </w:pPr>
          </w:p>
        </w:tc>
        <w:tc>
          <w:tcPr>
            <w:tcW w:w="868" w:type="dxa"/>
            <w:vMerge/>
            <w:vAlign w:val="center"/>
          </w:tcPr>
          <w:p w:rsidR="00013EC7" w:rsidRDefault="00013EC7">
            <w:pPr>
              <w:spacing w:line="300" w:lineRule="exact"/>
              <w:rPr>
                <w:rFonts w:ascii="仿宋" w:eastAsia="仿宋" w:hAnsi="仿宋"/>
                <w:sz w:val="24"/>
              </w:rPr>
            </w:pPr>
          </w:p>
        </w:tc>
        <w:tc>
          <w:tcPr>
            <w:tcW w:w="798" w:type="dxa"/>
            <w:vMerge/>
            <w:vAlign w:val="center"/>
          </w:tcPr>
          <w:p w:rsidR="00013EC7" w:rsidRDefault="00013EC7">
            <w:pPr>
              <w:spacing w:line="300" w:lineRule="exact"/>
              <w:rPr>
                <w:rFonts w:ascii="仿宋" w:eastAsia="仿宋" w:hAnsi="仿宋"/>
                <w:sz w:val="24"/>
              </w:rPr>
            </w:pPr>
          </w:p>
        </w:tc>
        <w:tc>
          <w:tcPr>
            <w:tcW w:w="958" w:type="dxa"/>
            <w:vMerge/>
            <w:vAlign w:val="center"/>
          </w:tcPr>
          <w:p w:rsidR="00013EC7" w:rsidRDefault="00013EC7">
            <w:pPr>
              <w:spacing w:line="300" w:lineRule="exact"/>
              <w:rPr>
                <w:rFonts w:ascii="仿宋" w:eastAsia="仿宋" w:hAnsi="仿宋"/>
                <w:sz w:val="24"/>
              </w:rPr>
            </w:pPr>
          </w:p>
        </w:tc>
        <w:tc>
          <w:tcPr>
            <w:tcW w:w="1104" w:type="dxa"/>
            <w:vMerge/>
            <w:vAlign w:val="center"/>
          </w:tcPr>
          <w:p w:rsidR="00013EC7" w:rsidRDefault="00013EC7">
            <w:pPr>
              <w:spacing w:line="300" w:lineRule="exact"/>
              <w:rPr>
                <w:rFonts w:ascii="仿宋" w:eastAsia="仿宋" w:hAnsi="仿宋"/>
                <w:sz w:val="24"/>
              </w:rPr>
            </w:pPr>
          </w:p>
        </w:tc>
        <w:tc>
          <w:tcPr>
            <w:tcW w:w="1476" w:type="dxa"/>
            <w:vMerge/>
            <w:vAlign w:val="center"/>
          </w:tcPr>
          <w:p w:rsidR="00013EC7" w:rsidRDefault="00013EC7">
            <w:pPr>
              <w:spacing w:line="300" w:lineRule="exact"/>
              <w:rPr>
                <w:rFonts w:ascii="仿宋" w:eastAsia="仿宋" w:hAnsi="仿宋"/>
                <w:sz w:val="24"/>
              </w:rPr>
            </w:pPr>
          </w:p>
        </w:tc>
      </w:tr>
      <w:tr w:rsidR="00013EC7">
        <w:trPr>
          <w:trHeight w:val="624"/>
          <w:jc w:val="center"/>
        </w:trPr>
        <w:tc>
          <w:tcPr>
            <w:tcW w:w="1101" w:type="dxa"/>
            <w:vMerge/>
            <w:shd w:val="clear" w:color="auto" w:fill="auto"/>
            <w:vAlign w:val="center"/>
          </w:tcPr>
          <w:p w:rsidR="00013EC7" w:rsidRDefault="00013EC7">
            <w:pPr>
              <w:spacing w:line="300" w:lineRule="exact"/>
              <w:rPr>
                <w:rFonts w:ascii="仿宋" w:eastAsia="仿宋" w:hAnsi="仿宋"/>
                <w:sz w:val="24"/>
              </w:rPr>
            </w:pPr>
          </w:p>
        </w:tc>
        <w:tc>
          <w:tcPr>
            <w:tcW w:w="906" w:type="dxa"/>
            <w:vMerge/>
            <w:shd w:val="clear" w:color="auto" w:fill="auto"/>
            <w:vAlign w:val="center"/>
          </w:tcPr>
          <w:p w:rsidR="00013EC7" w:rsidRDefault="00013EC7">
            <w:pPr>
              <w:spacing w:line="300" w:lineRule="exact"/>
              <w:rPr>
                <w:rFonts w:ascii="仿宋" w:eastAsia="仿宋" w:hAnsi="仿宋"/>
                <w:sz w:val="24"/>
              </w:rPr>
            </w:pPr>
          </w:p>
        </w:tc>
        <w:tc>
          <w:tcPr>
            <w:tcW w:w="2234" w:type="dxa"/>
            <w:vMerge/>
            <w:shd w:val="clear" w:color="auto" w:fill="auto"/>
            <w:vAlign w:val="center"/>
          </w:tcPr>
          <w:p w:rsidR="00013EC7" w:rsidRDefault="00013EC7">
            <w:pPr>
              <w:spacing w:line="300" w:lineRule="exact"/>
              <w:rPr>
                <w:rFonts w:ascii="仿宋" w:eastAsia="仿宋" w:hAnsi="仿宋"/>
                <w:sz w:val="24"/>
              </w:rPr>
            </w:pPr>
          </w:p>
        </w:tc>
        <w:tc>
          <w:tcPr>
            <w:tcW w:w="4022" w:type="dxa"/>
            <w:tcBorders>
              <w:top w:val="single" w:sz="4" w:space="0" w:color="auto"/>
              <w:bottom w:val="single" w:sz="4" w:space="0" w:color="C00000"/>
            </w:tcBorders>
            <w:shd w:val="clear" w:color="auto" w:fill="FFFFFF"/>
            <w:vAlign w:val="center"/>
          </w:tcPr>
          <w:p w:rsidR="00013EC7" w:rsidRDefault="00575CDB">
            <w:pPr>
              <w:spacing w:line="300" w:lineRule="exact"/>
              <w:rPr>
                <w:rFonts w:ascii="仿宋" w:eastAsia="仿宋" w:hAnsi="仿宋"/>
                <w:sz w:val="24"/>
              </w:rPr>
            </w:pPr>
            <w:r>
              <w:rPr>
                <w:rFonts w:ascii="仿宋" w:eastAsia="仿宋" w:hAnsi="仿宋" w:hint="eastAsia"/>
                <w:sz w:val="24"/>
              </w:rPr>
              <w:t>（三）(A06334)《石脑油、燃料油生产、外购、耗用、库存月度统计表》 。</w:t>
            </w:r>
          </w:p>
        </w:tc>
        <w:tc>
          <w:tcPr>
            <w:tcW w:w="788" w:type="dxa"/>
            <w:vMerge/>
            <w:shd w:val="clear" w:color="auto" w:fill="auto"/>
            <w:vAlign w:val="center"/>
          </w:tcPr>
          <w:p w:rsidR="00013EC7" w:rsidRDefault="00013EC7">
            <w:pPr>
              <w:spacing w:line="300" w:lineRule="exact"/>
              <w:rPr>
                <w:rFonts w:ascii="仿宋" w:eastAsia="仿宋" w:hAnsi="仿宋"/>
                <w:sz w:val="24"/>
              </w:rPr>
            </w:pPr>
          </w:p>
        </w:tc>
        <w:tc>
          <w:tcPr>
            <w:tcW w:w="4205" w:type="dxa"/>
            <w:shd w:val="clear" w:color="auto" w:fill="FFFFFF"/>
            <w:vAlign w:val="center"/>
          </w:tcPr>
          <w:p w:rsidR="00013EC7" w:rsidRDefault="00575CDB">
            <w:pPr>
              <w:spacing w:line="300" w:lineRule="exact"/>
              <w:rPr>
                <w:rFonts w:ascii="仿宋" w:eastAsia="仿宋" w:hAnsi="仿宋"/>
                <w:sz w:val="24"/>
              </w:rPr>
            </w:pPr>
            <w:r>
              <w:rPr>
                <w:rFonts w:ascii="仿宋" w:eastAsia="仿宋" w:hAnsi="仿宋" w:hint="eastAsia"/>
                <w:sz w:val="24"/>
              </w:rPr>
              <w:t>（三） (A06334)《石脑油、燃料油生产、外购、耗用、库存月度统计表》1份。</w:t>
            </w:r>
          </w:p>
        </w:tc>
        <w:tc>
          <w:tcPr>
            <w:tcW w:w="1078" w:type="dxa"/>
            <w:vMerge/>
            <w:shd w:val="clear" w:color="auto" w:fill="FFFFFF"/>
            <w:vAlign w:val="center"/>
          </w:tcPr>
          <w:p w:rsidR="00013EC7" w:rsidRDefault="00013EC7">
            <w:pPr>
              <w:spacing w:line="300" w:lineRule="exact"/>
              <w:rPr>
                <w:rFonts w:ascii="仿宋" w:eastAsia="仿宋" w:hAnsi="仿宋"/>
                <w:sz w:val="24"/>
              </w:rPr>
            </w:pPr>
          </w:p>
        </w:tc>
        <w:tc>
          <w:tcPr>
            <w:tcW w:w="1324" w:type="dxa"/>
            <w:vMerge/>
            <w:shd w:val="clear" w:color="auto" w:fill="FFFFFF"/>
            <w:vAlign w:val="center"/>
          </w:tcPr>
          <w:p w:rsidR="00013EC7" w:rsidRDefault="00013EC7">
            <w:pPr>
              <w:spacing w:line="300" w:lineRule="exact"/>
              <w:rPr>
                <w:rFonts w:ascii="仿宋" w:eastAsia="仿宋" w:hAnsi="仿宋"/>
                <w:sz w:val="24"/>
              </w:rPr>
            </w:pPr>
          </w:p>
        </w:tc>
        <w:tc>
          <w:tcPr>
            <w:tcW w:w="868" w:type="dxa"/>
            <w:vMerge/>
            <w:vAlign w:val="center"/>
          </w:tcPr>
          <w:p w:rsidR="00013EC7" w:rsidRDefault="00013EC7">
            <w:pPr>
              <w:spacing w:line="300" w:lineRule="exact"/>
              <w:rPr>
                <w:rFonts w:ascii="仿宋" w:eastAsia="仿宋" w:hAnsi="仿宋"/>
                <w:sz w:val="24"/>
              </w:rPr>
            </w:pPr>
          </w:p>
        </w:tc>
        <w:tc>
          <w:tcPr>
            <w:tcW w:w="798" w:type="dxa"/>
            <w:vMerge/>
            <w:vAlign w:val="center"/>
          </w:tcPr>
          <w:p w:rsidR="00013EC7" w:rsidRDefault="00013EC7">
            <w:pPr>
              <w:spacing w:line="300" w:lineRule="exact"/>
              <w:rPr>
                <w:rFonts w:ascii="仿宋" w:eastAsia="仿宋" w:hAnsi="仿宋"/>
                <w:sz w:val="24"/>
              </w:rPr>
            </w:pPr>
          </w:p>
        </w:tc>
        <w:tc>
          <w:tcPr>
            <w:tcW w:w="958" w:type="dxa"/>
            <w:vMerge/>
            <w:vAlign w:val="center"/>
          </w:tcPr>
          <w:p w:rsidR="00013EC7" w:rsidRDefault="00013EC7">
            <w:pPr>
              <w:spacing w:line="300" w:lineRule="exact"/>
              <w:rPr>
                <w:rFonts w:ascii="仿宋" w:eastAsia="仿宋" w:hAnsi="仿宋"/>
                <w:sz w:val="24"/>
              </w:rPr>
            </w:pPr>
          </w:p>
        </w:tc>
        <w:tc>
          <w:tcPr>
            <w:tcW w:w="1104" w:type="dxa"/>
            <w:vMerge/>
            <w:vAlign w:val="center"/>
          </w:tcPr>
          <w:p w:rsidR="00013EC7" w:rsidRDefault="00013EC7">
            <w:pPr>
              <w:spacing w:line="300" w:lineRule="exact"/>
              <w:rPr>
                <w:rFonts w:ascii="仿宋" w:eastAsia="仿宋" w:hAnsi="仿宋"/>
                <w:sz w:val="24"/>
              </w:rPr>
            </w:pPr>
          </w:p>
        </w:tc>
        <w:tc>
          <w:tcPr>
            <w:tcW w:w="1476" w:type="dxa"/>
            <w:vMerge/>
            <w:vAlign w:val="center"/>
          </w:tcPr>
          <w:p w:rsidR="00013EC7" w:rsidRDefault="00013EC7">
            <w:pPr>
              <w:spacing w:line="300" w:lineRule="exact"/>
              <w:rPr>
                <w:rFonts w:ascii="仿宋" w:eastAsia="仿宋" w:hAnsi="仿宋"/>
                <w:sz w:val="24"/>
              </w:rPr>
            </w:pPr>
          </w:p>
        </w:tc>
      </w:tr>
      <w:tr w:rsidR="00013EC7">
        <w:trPr>
          <w:trHeight w:val="624"/>
          <w:jc w:val="center"/>
        </w:trPr>
        <w:tc>
          <w:tcPr>
            <w:tcW w:w="1101" w:type="dxa"/>
            <w:vMerge/>
            <w:shd w:val="clear" w:color="auto" w:fill="auto"/>
            <w:vAlign w:val="center"/>
          </w:tcPr>
          <w:p w:rsidR="00013EC7" w:rsidRDefault="00013EC7">
            <w:pPr>
              <w:spacing w:line="300" w:lineRule="exact"/>
              <w:rPr>
                <w:rFonts w:ascii="仿宋" w:eastAsia="仿宋" w:hAnsi="仿宋"/>
                <w:sz w:val="24"/>
              </w:rPr>
            </w:pPr>
          </w:p>
        </w:tc>
        <w:tc>
          <w:tcPr>
            <w:tcW w:w="906" w:type="dxa"/>
            <w:vMerge/>
            <w:shd w:val="clear" w:color="auto" w:fill="auto"/>
            <w:vAlign w:val="center"/>
          </w:tcPr>
          <w:p w:rsidR="00013EC7" w:rsidRDefault="00013EC7">
            <w:pPr>
              <w:spacing w:line="300" w:lineRule="exact"/>
              <w:rPr>
                <w:rFonts w:ascii="仿宋" w:eastAsia="仿宋" w:hAnsi="仿宋"/>
                <w:sz w:val="24"/>
              </w:rPr>
            </w:pPr>
          </w:p>
        </w:tc>
        <w:tc>
          <w:tcPr>
            <w:tcW w:w="2234" w:type="dxa"/>
            <w:vMerge/>
            <w:shd w:val="clear" w:color="auto" w:fill="auto"/>
            <w:vAlign w:val="center"/>
          </w:tcPr>
          <w:p w:rsidR="00013EC7" w:rsidRDefault="00013EC7">
            <w:pPr>
              <w:spacing w:line="300" w:lineRule="exact"/>
              <w:rPr>
                <w:rFonts w:ascii="仿宋" w:eastAsia="仿宋" w:hAnsi="仿宋"/>
                <w:sz w:val="24"/>
              </w:rPr>
            </w:pPr>
          </w:p>
        </w:tc>
        <w:tc>
          <w:tcPr>
            <w:tcW w:w="4022" w:type="dxa"/>
            <w:tcBorders>
              <w:top w:val="single" w:sz="4" w:space="0" w:color="auto"/>
              <w:bottom w:val="single" w:sz="4" w:space="0" w:color="C00000"/>
            </w:tcBorders>
            <w:shd w:val="clear" w:color="auto" w:fill="FFFFFF"/>
            <w:vAlign w:val="center"/>
          </w:tcPr>
          <w:p w:rsidR="00013EC7" w:rsidRDefault="00575CDB">
            <w:pPr>
              <w:spacing w:line="300" w:lineRule="exact"/>
              <w:rPr>
                <w:rFonts w:ascii="仿宋" w:eastAsia="仿宋" w:hAnsi="仿宋"/>
                <w:sz w:val="24"/>
              </w:rPr>
            </w:pPr>
            <w:r>
              <w:rPr>
                <w:rFonts w:ascii="仿宋" w:eastAsia="仿宋" w:hAnsi="仿宋" w:hint="eastAsia"/>
                <w:sz w:val="24"/>
              </w:rPr>
              <w:t>（四） (A06335)《乙烯、芳烃生产装置投入产出流量计统计表》。</w:t>
            </w:r>
          </w:p>
        </w:tc>
        <w:tc>
          <w:tcPr>
            <w:tcW w:w="788" w:type="dxa"/>
            <w:vMerge/>
            <w:shd w:val="clear" w:color="auto" w:fill="auto"/>
            <w:vAlign w:val="center"/>
          </w:tcPr>
          <w:p w:rsidR="00013EC7" w:rsidRDefault="00013EC7">
            <w:pPr>
              <w:spacing w:line="300" w:lineRule="exact"/>
              <w:rPr>
                <w:rFonts w:ascii="仿宋" w:eastAsia="仿宋" w:hAnsi="仿宋"/>
                <w:sz w:val="24"/>
              </w:rPr>
            </w:pPr>
          </w:p>
        </w:tc>
        <w:tc>
          <w:tcPr>
            <w:tcW w:w="4205" w:type="dxa"/>
            <w:shd w:val="clear" w:color="auto" w:fill="FFFFFF"/>
            <w:vAlign w:val="center"/>
          </w:tcPr>
          <w:p w:rsidR="00013EC7" w:rsidRDefault="00575CDB">
            <w:pPr>
              <w:spacing w:line="300" w:lineRule="exact"/>
              <w:rPr>
                <w:rFonts w:ascii="仿宋" w:eastAsia="仿宋" w:hAnsi="仿宋"/>
                <w:sz w:val="24"/>
              </w:rPr>
            </w:pPr>
            <w:r>
              <w:rPr>
                <w:rFonts w:ascii="仿宋" w:eastAsia="仿宋" w:hAnsi="仿宋" w:hint="eastAsia"/>
                <w:sz w:val="24"/>
              </w:rPr>
              <w:t>（四） (A06335)《乙烯、芳烃生产装置投入产出流量计统计表》1份。</w:t>
            </w:r>
          </w:p>
        </w:tc>
        <w:tc>
          <w:tcPr>
            <w:tcW w:w="1078" w:type="dxa"/>
            <w:vMerge/>
            <w:shd w:val="clear" w:color="auto" w:fill="FFFFFF"/>
            <w:vAlign w:val="center"/>
          </w:tcPr>
          <w:p w:rsidR="00013EC7" w:rsidRDefault="00013EC7">
            <w:pPr>
              <w:spacing w:line="300" w:lineRule="exact"/>
              <w:rPr>
                <w:rFonts w:ascii="仿宋" w:eastAsia="仿宋" w:hAnsi="仿宋"/>
                <w:sz w:val="24"/>
              </w:rPr>
            </w:pPr>
          </w:p>
        </w:tc>
        <w:tc>
          <w:tcPr>
            <w:tcW w:w="1324" w:type="dxa"/>
            <w:vMerge/>
            <w:shd w:val="clear" w:color="auto" w:fill="FFFFFF"/>
            <w:vAlign w:val="center"/>
          </w:tcPr>
          <w:p w:rsidR="00013EC7" w:rsidRDefault="00013EC7">
            <w:pPr>
              <w:spacing w:line="300" w:lineRule="exact"/>
              <w:rPr>
                <w:rFonts w:ascii="仿宋" w:eastAsia="仿宋" w:hAnsi="仿宋"/>
                <w:sz w:val="24"/>
              </w:rPr>
            </w:pPr>
          </w:p>
        </w:tc>
        <w:tc>
          <w:tcPr>
            <w:tcW w:w="868" w:type="dxa"/>
            <w:vMerge/>
            <w:vAlign w:val="center"/>
          </w:tcPr>
          <w:p w:rsidR="00013EC7" w:rsidRDefault="00013EC7">
            <w:pPr>
              <w:spacing w:line="300" w:lineRule="exact"/>
              <w:rPr>
                <w:rFonts w:ascii="仿宋" w:eastAsia="仿宋" w:hAnsi="仿宋"/>
                <w:sz w:val="24"/>
              </w:rPr>
            </w:pPr>
          </w:p>
        </w:tc>
        <w:tc>
          <w:tcPr>
            <w:tcW w:w="798" w:type="dxa"/>
            <w:vMerge/>
            <w:vAlign w:val="center"/>
          </w:tcPr>
          <w:p w:rsidR="00013EC7" w:rsidRDefault="00013EC7">
            <w:pPr>
              <w:spacing w:line="300" w:lineRule="exact"/>
              <w:rPr>
                <w:rFonts w:ascii="仿宋" w:eastAsia="仿宋" w:hAnsi="仿宋"/>
                <w:sz w:val="24"/>
              </w:rPr>
            </w:pPr>
          </w:p>
        </w:tc>
        <w:tc>
          <w:tcPr>
            <w:tcW w:w="958" w:type="dxa"/>
            <w:vMerge/>
            <w:vAlign w:val="center"/>
          </w:tcPr>
          <w:p w:rsidR="00013EC7" w:rsidRDefault="00013EC7">
            <w:pPr>
              <w:spacing w:line="300" w:lineRule="exact"/>
              <w:rPr>
                <w:rFonts w:ascii="仿宋" w:eastAsia="仿宋" w:hAnsi="仿宋"/>
                <w:sz w:val="24"/>
              </w:rPr>
            </w:pPr>
          </w:p>
        </w:tc>
        <w:tc>
          <w:tcPr>
            <w:tcW w:w="1104" w:type="dxa"/>
            <w:vMerge/>
            <w:vAlign w:val="center"/>
          </w:tcPr>
          <w:p w:rsidR="00013EC7" w:rsidRDefault="00013EC7">
            <w:pPr>
              <w:spacing w:line="300" w:lineRule="exact"/>
              <w:rPr>
                <w:rFonts w:ascii="仿宋" w:eastAsia="仿宋" w:hAnsi="仿宋"/>
                <w:sz w:val="24"/>
              </w:rPr>
            </w:pPr>
          </w:p>
        </w:tc>
        <w:tc>
          <w:tcPr>
            <w:tcW w:w="1476" w:type="dxa"/>
            <w:vMerge/>
            <w:vAlign w:val="center"/>
          </w:tcPr>
          <w:p w:rsidR="00013EC7" w:rsidRDefault="00013EC7">
            <w:pPr>
              <w:spacing w:line="300" w:lineRule="exact"/>
              <w:rPr>
                <w:rFonts w:ascii="仿宋" w:eastAsia="仿宋" w:hAnsi="仿宋"/>
                <w:sz w:val="24"/>
              </w:rPr>
            </w:pPr>
          </w:p>
        </w:tc>
      </w:tr>
      <w:tr w:rsidR="00013EC7">
        <w:trPr>
          <w:trHeight w:val="624"/>
          <w:jc w:val="center"/>
        </w:trPr>
        <w:tc>
          <w:tcPr>
            <w:tcW w:w="1101" w:type="dxa"/>
            <w:vMerge/>
            <w:shd w:val="clear" w:color="auto" w:fill="auto"/>
            <w:vAlign w:val="center"/>
          </w:tcPr>
          <w:p w:rsidR="00013EC7" w:rsidRDefault="00013EC7">
            <w:pPr>
              <w:spacing w:line="300" w:lineRule="exact"/>
              <w:rPr>
                <w:rFonts w:ascii="仿宋" w:eastAsia="仿宋" w:hAnsi="仿宋"/>
                <w:sz w:val="24"/>
              </w:rPr>
            </w:pPr>
          </w:p>
        </w:tc>
        <w:tc>
          <w:tcPr>
            <w:tcW w:w="906" w:type="dxa"/>
            <w:vMerge/>
            <w:shd w:val="clear" w:color="auto" w:fill="auto"/>
            <w:vAlign w:val="center"/>
          </w:tcPr>
          <w:p w:rsidR="00013EC7" w:rsidRDefault="00013EC7">
            <w:pPr>
              <w:spacing w:line="300" w:lineRule="exact"/>
              <w:rPr>
                <w:rFonts w:ascii="仿宋" w:eastAsia="仿宋" w:hAnsi="仿宋"/>
                <w:sz w:val="24"/>
              </w:rPr>
            </w:pPr>
          </w:p>
        </w:tc>
        <w:tc>
          <w:tcPr>
            <w:tcW w:w="2234" w:type="dxa"/>
            <w:vMerge/>
            <w:shd w:val="clear" w:color="auto" w:fill="auto"/>
            <w:vAlign w:val="center"/>
          </w:tcPr>
          <w:p w:rsidR="00013EC7" w:rsidRDefault="00013EC7">
            <w:pPr>
              <w:spacing w:line="300" w:lineRule="exact"/>
              <w:rPr>
                <w:rFonts w:ascii="仿宋" w:eastAsia="仿宋" w:hAnsi="仿宋"/>
                <w:sz w:val="24"/>
              </w:rPr>
            </w:pPr>
          </w:p>
        </w:tc>
        <w:tc>
          <w:tcPr>
            <w:tcW w:w="4022" w:type="dxa"/>
            <w:tcBorders>
              <w:top w:val="single" w:sz="4" w:space="0" w:color="auto"/>
              <w:bottom w:val="single" w:sz="4" w:space="0" w:color="C00000"/>
            </w:tcBorders>
            <w:shd w:val="clear" w:color="auto" w:fill="FFFFFF"/>
            <w:vAlign w:val="center"/>
          </w:tcPr>
          <w:p w:rsidR="00013EC7" w:rsidRDefault="00575CDB">
            <w:pPr>
              <w:spacing w:line="300" w:lineRule="exact"/>
              <w:rPr>
                <w:rFonts w:ascii="仿宋" w:eastAsia="仿宋" w:hAnsi="仿宋"/>
                <w:sz w:val="24"/>
              </w:rPr>
            </w:pPr>
            <w:r>
              <w:rPr>
                <w:rFonts w:ascii="仿宋" w:eastAsia="仿宋" w:hAnsi="仿宋" w:hint="eastAsia"/>
                <w:sz w:val="24"/>
              </w:rPr>
              <w:t>（五） (A06336)《使用企业外购石脑油、燃料油凭证明细表》中“外购含税油品”项“消费税完税凭证号码”所对应的消费税完税凭证的复印件。</w:t>
            </w:r>
          </w:p>
        </w:tc>
        <w:tc>
          <w:tcPr>
            <w:tcW w:w="788" w:type="dxa"/>
            <w:vMerge/>
            <w:shd w:val="clear" w:color="auto" w:fill="auto"/>
            <w:vAlign w:val="center"/>
          </w:tcPr>
          <w:p w:rsidR="00013EC7" w:rsidRDefault="00013EC7">
            <w:pPr>
              <w:spacing w:line="300" w:lineRule="exact"/>
              <w:rPr>
                <w:rFonts w:ascii="仿宋" w:eastAsia="仿宋" w:hAnsi="仿宋"/>
                <w:sz w:val="24"/>
              </w:rPr>
            </w:pPr>
          </w:p>
        </w:tc>
        <w:tc>
          <w:tcPr>
            <w:tcW w:w="4205" w:type="dxa"/>
            <w:shd w:val="clear" w:color="auto" w:fill="FFFFFF"/>
            <w:vAlign w:val="center"/>
          </w:tcPr>
          <w:p w:rsidR="00013EC7" w:rsidRDefault="00575CDB">
            <w:pPr>
              <w:spacing w:line="300" w:lineRule="exact"/>
              <w:rPr>
                <w:rFonts w:ascii="仿宋" w:eastAsia="仿宋" w:hAnsi="仿宋"/>
                <w:sz w:val="24"/>
              </w:rPr>
            </w:pPr>
            <w:r>
              <w:rPr>
                <w:rFonts w:ascii="仿宋" w:eastAsia="仿宋" w:hAnsi="仿宋" w:hint="eastAsia"/>
                <w:sz w:val="24"/>
              </w:rPr>
              <w:t>（五） (A06336)《使用企业外购石脑油、燃料油凭证明细表》中“外购含税油品”项“消费税完税凭证号码”所对应的消费税完税凭证的复印件。</w:t>
            </w:r>
          </w:p>
        </w:tc>
        <w:tc>
          <w:tcPr>
            <w:tcW w:w="1078" w:type="dxa"/>
            <w:vMerge/>
            <w:shd w:val="clear" w:color="auto" w:fill="FFFFFF"/>
            <w:vAlign w:val="center"/>
          </w:tcPr>
          <w:p w:rsidR="00013EC7" w:rsidRDefault="00013EC7">
            <w:pPr>
              <w:spacing w:line="300" w:lineRule="exact"/>
              <w:rPr>
                <w:rFonts w:ascii="仿宋" w:eastAsia="仿宋" w:hAnsi="仿宋"/>
                <w:sz w:val="24"/>
              </w:rPr>
            </w:pPr>
          </w:p>
        </w:tc>
        <w:tc>
          <w:tcPr>
            <w:tcW w:w="1324" w:type="dxa"/>
            <w:vMerge/>
            <w:shd w:val="clear" w:color="auto" w:fill="FFFFFF"/>
            <w:vAlign w:val="center"/>
          </w:tcPr>
          <w:p w:rsidR="00013EC7" w:rsidRDefault="00013EC7">
            <w:pPr>
              <w:spacing w:line="300" w:lineRule="exact"/>
              <w:rPr>
                <w:rFonts w:ascii="仿宋" w:eastAsia="仿宋" w:hAnsi="仿宋"/>
                <w:sz w:val="24"/>
              </w:rPr>
            </w:pPr>
          </w:p>
        </w:tc>
        <w:tc>
          <w:tcPr>
            <w:tcW w:w="868" w:type="dxa"/>
            <w:vMerge/>
            <w:vAlign w:val="center"/>
          </w:tcPr>
          <w:p w:rsidR="00013EC7" w:rsidRDefault="00013EC7">
            <w:pPr>
              <w:spacing w:line="300" w:lineRule="exact"/>
              <w:rPr>
                <w:rFonts w:ascii="仿宋" w:eastAsia="仿宋" w:hAnsi="仿宋"/>
                <w:sz w:val="24"/>
              </w:rPr>
            </w:pPr>
          </w:p>
        </w:tc>
        <w:tc>
          <w:tcPr>
            <w:tcW w:w="798" w:type="dxa"/>
            <w:vMerge/>
            <w:vAlign w:val="center"/>
          </w:tcPr>
          <w:p w:rsidR="00013EC7" w:rsidRDefault="00013EC7">
            <w:pPr>
              <w:spacing w:line="300" w:lineRule="exact"/>
              <w:rPr>
                <w:rFonts w:ascii="仿宋" w:eastAsia="仿宋" w:hAnsi="仿宋"/>
                <w:sz w:val="24"/>
              </w:rPr>
            </w:pPr>
          </w:p>
        </w:tc>
        <w:tc>
          <w:tcPr>
            <w:tcW w:w="958" w:type="dxa"/>
            <w:vMerge/>
            <w:vAlign w:val="center"/>
          </w:tcPr>
          <w:p w:rsidR="00013EC7" w:rsidRDefault="00013EC7">
            <w:pPr>
              <w:spacing w:line="300" w:lineRule="exact"/>
              <w:rPr>
                <w:rFonts w:ascii="仿宋" w:eastAsia="仿宋" w:hAnsi="仿宋"/>
                <w:sz w:val="24"/>
              </w:rPr>
            </w:pPr>
          </w:p>
        </w:tc>
        <w:tc>
          <w:tcPr>
            <w:tcW w:w="1104" w:type="dxa"/>
            <w:vMerge/>
            <w:vAlign w:val="center"/>
          </w:tcPr>
          <w:p w:rsidR="00013EC7" w:rsidRDefault="00013EC7">
            <w:pPr>
              <w:spacing w:line="300" w:lineRule="exact"/>
              <w:rPr>
                <w:rFonts w:ascii="仿宋" w:eastAsia="仿宋" w:hAnsi="仿宋"/>
                <w:sz w:val="24"/>
              </w:rPr>
            </w:pPr>
          </w:p>
        </w:tc>
        <w:tc>
          <w:tcPr>
            <w:tcW w:w="1476" w:type="dxa"/>
            <w:vMerge/>
            <w:vAlign w:val="center"/>
          </w:tcPr>
          <w:p w:rsidR="00013EC7" w:rsidRDefault="00013EC7">
            <w:pPr>
              <w:spacing w:line="300" w:lineRule="exact"/>
              <w:rPr>
                <w:rFonts w:ascii="仿宋" w:eastAsia="仿宋" w:hAnsi="仿宋"/>
                <w:sz w:val="24"/>
              </w:rPr>
            </w:pPr>
          </w:p>
        </w:tc>
      </w:tr>
      <w:tr w:rsidR="00013EC7">
        <w:trPr>
          <w:trHeight w:val="624"/>
          <w:jc w:val="center"/>
        </w:trPr>
        <w:tc>
          <w:tcPr>
            <w:tcW w:w="1101" w:type="dxa"/>
            <w:vMerge/>
            <w:shd w:val="clear" w:color="auto" w:fill="auto"/>
            <w:vAlign w:val="center"/>
          </w:tcPr>
          <w:p w:rsidR="00013EC7" w:rsidRDefault="00013EC7">
            <w:pPr>
              <w:spacing w:line="300" w:lineRule="exact"/>
              <w:rPr>
                <w:rFonts w:ascii="仿宋" w:eastAsia="仿宋" w:hAnsi="仿宋"/>
                <w:sz w:val="24"/>
              </w:rPr>
            </w:pPr>
          </w:p>
        </w:tc>
        <w:tc>
          <w:tcPr>
            <w:tcW w:w="906" w:type="dxa"/>
            <w:vMerge/>
            <w:shd w:val="clear" w:color="auto" w:fill="auto"/>
            <w:vAlign w:val="center"/>
          </w:tcPr>
          <w:p w:rsidR="00013EC7" w:rsidRDefault="00013EC7">
            <w:pPr>
              <w:spacing w:line="300" w:lineRule="exact"/>
              <w:rPr>
                <w:rFonts w:ascii="仿宋" w:eastAsia="仿宋" w:hAnsi="仿宋"/>
                <w:sz w:val="24"/>
              </w:rPr>
            </w:pPr>
          </w:p>
        </w:tc>
        <w:tc>
          <w:tcPr>
            <w:tcW w:w="2234" w:type="dxa"/>
            <w:vMerge/>
            <w:shd w:val="clear" w:color="auto" w:fill="auto"/>
            <w:vAlign w:val="center"/>
          </w:tcPr>
          <w:p w:rsidR="00013EC7" w:rsidRDefault="00013EC7">
            <w:pPr>
              <w:spacing w:line="300" w:lineRule="exact"/>
              <w:rPr>
                <w:rFonts w:ascii="仿宋" w:eastAsia="仿宋" w:hAnsi="仿宋"/>
                <w:sz w:val="24"/>
              </w:rPr>
            </w:pPr>
          </w:p>
        </w:tc>
        <w:tc>
          <w:tcPr>
            <w:tcW w:w="4022" w:type="dxa"/>
            <w:tcBorders>
              <w:top w:val="single" w:sz="4" w:space="0" w:color="auto"/>
              <w:bottom w:val="single" w:sz="4" w:space="0" w:color="auto"/>
            </w:tcBorders>
            <w:shd w:val="clear" w:color="auto" w:fill="FFFFFF"/>
            <w:vAlign w:val="center"/>
          </w:tcPr>
          <w:p w:rsidR="00013EC7" w:rsidRDefault="00575CDB">
            <w:pPr>
              <w:spacing w:line="300" w:lineRule="exact"/>
              <w:rPr>
                <w:rFonts w:ascii="仿宋" w:eastAsia="仿宋" w:hAnsi="仿宋"/>
                <w:sz w:val="24"/>
              </w:rPr>
            </w:pPr>
            <w:r>
              <w:rPr>
                <w:rFonts w:ascii="仿宋" w:eastAsia="仿宋" w:hAnsi="仿宋" w:hint="eastAsia"/>
                <w:sz w:val="24"/>
              </w:rPr>
              <w:t>（六）当期外购石脑油、燃料油取得的已认证</w:t>
            </w:r>
            <w:r>
              <w:rPr>
                <w:rFonts w:ascii="仿宋" w:eastAsia="仿宋" w:hAnsi="仿宋" w:hint="eastAsia"/>
                <w:sz w:val="24"/>
                <w:shd w:val="clear" w:color="FFFFFF" w:fill="D9D9D9"/>
              </w:rPr>
              <w:t>普通版增值税专用发票</w:t>
            </w:r>
            <w:r>
              <w:rPr>
                <w:rFonts w:ascii="仿宋" w:eastAsia="仿宋" w:hAnsi="仿宋" w:hint="eastAsia"/>
                <w:sz w:val="24"/>
              </w:rPr>
              <w:t>复印件。</w:t>
            </w:r>
          </w:p>
        </w:tc>
        <w:tc>
          <w:tcPr>
            <w:tcW w:w="788" w:type="dxa"/>
            <w:vMerge/>
            <w:shd w:val="clear" w:color="auto" w:fill="auto"/>
            <w:vAlign w:val="center"/>
          </w:tcPr>
          <w:p w:rsidR="00013EC7" w:rsidRDefault="00013EC7">
            <w:pPr>
              <w:spacing w:line="300" w:lineRule="exact"/>
              <w:rPr>
                <w:rFonts w:ascii="仿宋" w:eastAsia="仿宋" w:hAnsi="仿宋"/>
                <w:sz w:val="24"/>
              </w:rPr>
            </w:pPr>
          </w:p>
        </w:tc>
        <w:tc>
          <w:tcPr>
            <w:tcW w:w="4205" w:type="dxa"/>
            <w:shd w:val="clear" w:color="auto" w:fill="FFFFFF"/>
            <w:vAlign w:val="center"/>
          </w:tcPr>
          <w:p w:rsidR="00013EC7" w:rsidRDefault="00575CDB">
            <w:pPr>
              <w:spacing w:line="300" w:lineRule="exact"/>
              <w:rPr>
                <w:rFonts w:ascii="仿宋" w:eastAsia="仿宋" w:hAnsi="仿宋"/>
                <w:sz w:val="24"/>
              </w:rPr>
            </w:pPr>
            <w:r>
              <w:rPr>
                <w:rFonts w:ascii="仿宋" w:eastAsia="仿宋" w:hAnsi="仿宋" w:hint="eastAsia"/>
                <w:sz w:val="24"/>
              </w:rPr>
              <w:t>（六）当期外购石脑油、燃料油，取得的已认证成品油专用发票复印件（注明与原件一致，并加盖公章）。</w:t>
            </w:r>
          </w:p>
        </w:tc>
        <w:tc>
          <w:tcPr>
            <w:tcW w:w="1078" w:type="dxa"/>
            <w:vMerge/>
            <w:shd w:val="clear" w:color="auto" w:fill="FFFFFF"/>
            <w:vAlign w:val="center"/>
          </w:tcPr>
          <w:p w:rsidR="00013EC7" w:rsidRDefault="00013EC7">
            <w:pPr>
              <w:spacing w:line="300" w:lineRule="exact"/>
              <w:rPr>
                <w:rFonts w:ascii="仿宋" w:eastAsia="仿宋" w:hAnsi="仿宋"/>
                <w:sz w:val="24"/>
              </w:rPr>
            </w:pPr>
          </w:p>
        </w:tc>
        <w:tc>
          <w:tcPr>
            <w:tcW w:w="1324" w:type="dxa"/>
            <w:vMerge/>
            <w:shd w:val="clear" w:color="auto" w:fill="FFFFFF"/>
            <w:vAlign w:val="center"/>
          </w:tcPr>
          <w:p w:rsidR="00013EC7" w:rsidRDefault="00013EC7">
            <w:pPr>
              <w:spacing w:line="300" w:lineRule="exact"/>
              <w:rPr>
                <w:rFonts w:ascii="仿宋" w:eastAsia="仿宋" w:hAnsi="仿宋"/>
                <w:sz w:val="24"/>
              </w:rPr>
            </w:pPr>
          </w:p>
        </w:tc>
        <w:tc>
          <w:tcPr>
            <w:tcW w:w="868" w:type="dxa"/>
            <w:vMerge/>
            <w:vAlign w:val="center"/>
          </w:tcPr>
          <w:p w:rsidR="00013EC7" w:rsidRDefault="00013EC7">
            <w:pPr>
              <w:spacing w:line="300" w:lineRule="exact"/>
              <w:rPr>
                <w:rFonts w:ascii="仿宋" w:eastAsia="仿宋" w:hAnsi="仿宋"/>
                <w:sz w:val="24"/>
              </w:rPr>
            </w:pPr>
          </w:p>
        </w:tc>
        <w:tc>
          <w:tcPr>
            <w:tcW w:w="798" w:type="dxa"/>
            <w:vMerge/>
            <w:vAlign w:val="center"/>
          </w:tcPr>
          <w:p w:rsidR="00013EC7" w:rsidRDefault="00013EC7">
            <w:pPr>
              <w:spacing w:line="300" w:lineRule="exact"/>
              <w:rPr>
                <w:rFonts w:ascii="仿宋" w:eastAsia="仿宋" w:hAnsi="仿宋"/>
                <w:sz w:val="24"/>
              </w:rPr>
            </w:pPr>
          </w:p>
        </w:tc>
        <w:tc>
          <w:tcPr>
            <w:tcW w:w="958" w:type="dxa"/>
            <w:vMerge/>
            <w:vAlign w:val="center"/>
          </w:tcPr>
          <w:p w:rsidR="00013EC7" w:rsidRDefault="00013EC7">
            <w:pPr>
              <w:spacing w:line="300" w:lineRule="exact"/>
              <w:rPr>
                <w:rFonts w:ascii="仿宋" w:eastAsia="仿宋" w:hAnsi="仿宋"/>
                <w:sz w:val="24"/>
              </w:rPr>
            </w:pPr>
          </w:p>
        </w:tc>
        <w:tc>
          <w:tcPr>
            <w:tcW w:w="1104" w:type="dxa"/>
            <w:vMerge/>
            <w:vAlign w:val="center"/>
          </w:tcPr>
          <w:p w:rsidR="00013EC7" w:rsidRDefault="00013EC7">
            <w:pPr>
              <w:spacing w:line="300" w:lineRule="exact"/>
              <w:rPr>
                <w:rFonts w:ascii="仿宋" w:eastAsia="仿宋" w:hAnsi="仿宋"/>
                <w:sz w:val="24"/>
              </w:rPr>
            </w:pPr>
          </w:p>
        </w:tc>
        <w:tc>
          <w:tcPr>
            <w:tcW w:w="1476" w:type="dxa"/>
            <w:vMerge/>
            <w:vAlign w:val="center"/>
          </w:tcPr>
          <w:p w:rsidR="00013EC7" w:rsidRDefault="00013EC7">
            <w:pPr>
              <w:spacing w:line="300" w:lineRule="exact"/>
              <w:rPr>
                <w:rFonts w:ascii="仿宋" w:eastAsia="仿宋" w:hAnsi="仿宋"/>
                <w:sz w:val="24"/>
              </w:rPr>
            </w:pPr>
          </w:p>
        </w:tc>
      </w:tr>
      <w:tr w:rsidR="00013EC7">
        <w:trPr>
          <w:trHeight w:val="546"/>
          <w:jc w:val="center"/>
        </w:trPr>
        <w:tc>
          <w:tcPr>
            <w:tcW w:w="1101" w:type="dxa"/>
            <w:vMerge/>
            <w:shd w:val="clear" w:color="auto" w:fill="auto"/>
            <w:vAlign w:val="center"/>
          </w:tcPr>
          <w:p w:rsidR="00013EC7" w:rsidRDefault="00013EC7">
            <w:pPr>
              <w:spacing w:line="300" w:lineRule="exact"/>
              <w:rPr>
                <w:rFonts w:ascii="仿宋" w:eastAsia="仿宋" w:hAnsi="仿宋"/>
                <w:sz w:val="24"/>
              </w:rPr>
            </w:pPr>
          </w:p>
        </w:tc>
        <w:tc>
          <w:tcPr>
            <w:tcW w:w="906" w:type="dxa"/>
            <w:vMerge/>
            <w:shd w:val="clear" w:color="auto" w:fill="auto"/>
            <w:vAlign w:val="center"/>
          </w:tcPr>
          <w:p w:rsidR="00013EC7" w:rsidRDefault="00013EC7">
            <w:pPr>
              <w:spacing w:line="300" w:lineRule="exact"/>
              <w:rPr>
                <w:rFonts w:ascii="仿宋" w:eastAsia="仿宋" w:hAnsi="仿宋"/>
                <w:sz w:val="24"/>
              </w:rPr>
            </w:pPr>
          </w:p>
        </w:tc>
        <w:tc>
          <w:tcPr>
            <w:tcW w:w="2234" w:type="dxa"/>
            <w:vMerge/>
            <w:shd w:val="clear" w:color="auto" w:fill="auto"/>
            <w:vAlign w:val="center"/>
          </w:tcPr>
          <w:p w:rsidR="00013EC7" w:rsidRDefault="00013EC7">
            <w:pPr>
              <w:spacing w:line="300" w:lineRule="exact"/>
              <w:rPr>
                <w:rFonts w:ascii="仿宋" w:eastAsia="仿宋" w:hAnsi="仿宋"/>
                <w:sz w:val="24"/>
              </w:rPr>
            </w:pPr>
          </w:p>
        </w:tc>
        <w:tc>
          <w:tcPr>
            <w:tcW w:w="4022" w:type="dxa"/>
            <w:tcBorders>
              <w:top w:val="single" w:sz="4" w:space="0" w:color="auto"/>
              <w:bottom w:val="single" w:sz="4" w:space="0" w:color="auto"/>
            </w:tcBorders>
            <w:shd w:val="clear" w:color="auto" w:fill="FFFFFF"/>
            <w:vAlign w:val="center"/>
          </w:tcPr>
          <w:p w:rsidR="00013EC7" w:rsidRDefault="00575CDB">
            <w:pPr>
              <w:spacing w:line="300" w:lineRule="exact"/>
              <w:rPr>
                <w:rFonts w:ascii="仿宋" w:eastAsia="仿宋" w:hAnsi="仿宋"/>
                <w:sz w:val="24"/>
              </w:rPr>
            </w:pPr>
            <w:r>
              <w:rPr>
                <w:rFonts w:ascii="仿宋" w:eastAsia="仿宋" w:hAnsi="仿宋" w:hint="eastAsia"/>
                <w:sz w:val="24"/>
              </w:rPr>
              <w:t>（七）进口货物报关单、海关进口消费税专用缴款书、自动进口许可证等材料复印件。</w:t>
            </w:r>
          </w:p>
        </w:tc>
        <w:tc>
          <w:tcPr>
            <w:tcW w:w="788" w:type="dxa"/>
            <w:vMerge/>
            <w:shd w:val="clear" w:color="auto" w:fill="auto"/>
            <w:vAlign w:val="center"/>
          </w:tcPr>
          <w:p w:rsidR="00013EC7" w:rsidRDefault="00013EC7">
            <w:pPr>
              <w:spacing w:line="300" w:lineRule="exact"/>
              <w:rPr>
                <w:rFonts w:ascii="仿宋" w:eastAsia="仿宋" w:hAnsi="仿宋"/>
                <w:sz w:val="24"/>
              </w:rPr>
            </w:pPr>
          </w:p>
        </w:tc>
        <w:tc>
          <w:tcPr>
            <w:tcW w:w="4205" w:type="dxa"/>
            <w:shd w:val="clear" w:color="auto" w:fill="FFFFFF"/>
            <w:vAlign w:val="center"/>
          </w:tcPr>
          <w:p w:rsidR="00013EC7" w:rsidRDefault="00575CDB">
            <w:pPr>
              <w:spacing w:line="300" w:lineRule="exact"/>
              <w:rPr>
                <w:rFonts w:ascii="仿宋" w:eastAsia="仿宋" w:hAnsi="仿宋"/>
                <w:sz w:val="24"/>
              </w:rPr>
            </w:pPr>
            <w:r>
              <w:rPr>
                <w:rFonts w:ascii="仿宋" w:eastAsia="仿宋" w:hAnsi="仿宋" w:hint="eastAsia"/>
                <w:sz w:val="24"/>
              </w:rPr>
              <w:t>（七）进口货物报关单、海关进口消费税专用缴款书、自动进口许可证等材料复印件。</w:t>
            </w:r>
          </w:p>
        </w:tc>
        <w:tc>
          <w:tcPr>
            <w:tcW w:w="1078" w:type="dxa"/>
            <w:vMerge/>
            <w:shd w:val="clear" w:color="auto" w:fill="FFFFFF"/>
            <w:vAlign w:val="center"/>
          </w:tcPr>
          <w:p w:rsidR="00013EC7" w:rsidRDefault="00013EC7">
            <w:pPr>
              <w:spacing w:line="300" w:lineRule="exact"/>
              <w:rPr>
                <w:rFonts w:ascii="仿宋" w:eastAsia="仿宋" w:hAnsi="仿宋"/>
                <w:sz w:val="24"/>
              </w:rPr>
            </w:pPr>
          </w:p>
        </w:tc>
        <w:tc>
          <w:tcPr>
            <w:tcW w:w="1324" w:type="dxa"/>
            <w:vMerge/>
            <w:shd w:val="clear" w:color="auto" w:fill="FFFFFF"/>
            <w:vAlign w:val="center"/>
          </w:tcPr>
          <w:p w:rsidR="00013EC7" w:rsidRDefault="00013EC7">
            <w:pPr>
              <w:spacing w:line="300" w:lineRule="exact"/>
              <w:rPr>
                <w:rFonts w:ascii="仿宋" w:eastAsia="仿宋" w:hAnsi="仿宋"/>
                <w:sz w:val="24"/>
              </w:rPr>
            </w:pPr>
          </w:p>
        </w:tc>
        <w:tc>
          <w:tcPr>
            <w:tcW w:w="868" w:type="dxa"/>
            <w:vMerge/>
            <w:vAlign w:val="center"/>
          </w:tcPr>
          <w:p w:rsidR="00013EC7" w:rsidRDefault="00013EC7">
            <w:pPr>
              <w:spacing w:line="300" w:lineRule="exact"/>
              <w:rPr>
                <w:rFonts w:ascii="仿宋" w:eastAsia="仿宋" w:hAnsi="仿宋"/>
                <w:sz w:val="24"/>
              </w:rPr>
            </w:pPr>
          </w:p>
        </w:tc>
        <w:tc>
          <w:tcPr>
            <w:tcW w:w="798" w:type="dxa"/>
            <w:vMerge/>
            <w:vAlign w:val="center"/>
          </w:tcPr>
          <w:p w:rsidR="00013EC7" w:rsidRDefault="00013EC7">
            <w:pPr>
              <w:spacing w:line="300" w:lineRule="exact"/>
              <w:rPr>
                <w:rFonts w:ascii="仿宋" w:eastAsia="仿宋" w:hAnsi="仿宋"/>
                <w:sz w:val="24"/>
              </w:rPr>
            </w:pPr>
          </w:p>
        </w:tc>
        <w:tc>
          <w:tcPr>
            <w:tcW w:w="958" w:type="dxa"/>
            <w:vMerge/>
            <w:vAlign w:val="center"/>
          </w:tcPr>
          <w:p w:rsidR="00013EC7" w:rsidRDefault="00013EC7">
            <w:pPr>
              <w:spacing w:line="300" w:lineRule="exact"/>
              <w:rPr>
                <w:rFonts w:ascii="仿宋" w:eastAsia="仿宋" w:hAnsi="仿宋"/>
                <w:sz w:val="24"/>
              </w:rPr>
            </w:pPr>
          </w:p>
        </w:tc>
        <w:tc>
          <w:tcPr>
            <w:tcW w:w="1104" w:type="dxa"/>
            <w:vMerge/>
            <w:vAlign w:val="center"/>
          </w:tcPr>
          <w:p w:rsidR="00013EC7" w:rsidRDefault="00013EC7">
            <w:pPr>
              <w:spacing w:line="300" w:lineRule="exact"/>
              <w:rPr>
                <w:rFonts w:ascii="仿宋" w:eastAsia="仿宋" w:hAnsi="仿宋"/>
                <w:sz w:val="24"/>
              </w:rPr>
            </w:pPr>
          </w:p>
        </w:tc>
        <w:tc>
          <w:tcPr>
            <w:tcW w:w="1476" w:type="dxa"/>
            <w:vMerge/>
            <w:vAlign w:val="center"/>
          </w:tcPr>
          <w:p w:rsidR="00013EC7" w:rsidRDefault="00013EC7">
            <w:pPr>
              <w:spacing w:line="300" w:lineRule="exact"/>
              <w:rPr>
                <w:rFonts w:ascii="仿宋" w:eastAsia="仿宋" w:hAnsi="仿宋"/>
                <w:sz w:val="24"/>
              </w:rPr>
            </w:pPr>
          </w:p>
        </w:tc>
      </w:tr>
    </w:tbl>
    <w:p w:rsidR="00013EC7" w:rsidRDefault="00013EC7"/>
    <w:p w:rsidR="00013EC7" w:rsidRDefault="00013EC7"/>
    <w:p w:rsidR="00013EC7" w:rsidRDefault="00013EC7"/>
    <w:p w:rsidR="00013EC7" w:rsidRDefault="00013EC7"/>
    <w:p w:rsidR="00013EC7" w:rsidRDefault="00013EC7"/>
    <w:p w:rsidR="00013EC7" w:rsidRDefault="00013EC7">
      <w:pPr>
        <w:tabs>
          <w:tab w:val="left" w:pos="12333"/>
        </w:tabs>
        <w:ind w:firstLineChars="1100" w:firstLine="2310"/>
      </w:pPr>
    </w:p>
    <w:p w:rsidR="00013EC7" w:rsidRDefault="00013EC7">
      <w:pPr>
        <w:tabs>
          <w:tab w:val="left" w:pos="12333"/>
        </w:tabs>
        <w:ind w:firstLineChars="1100" w:firstLine="2310"/>
      </w:pPr>
    </w:p>
    <w:p w:rsidR="00013EC7" w:rsidRDefault="005262E6">
      <w:r>
        <w:lastRenderedPageBreak/>
        <w:object w:dxaOrig="1440" w:dyaOrig="1440">
          <v:shape id="_x0000_s1398" type="#_x0000_t75" style="position:absolute;left:0;text-align:left;margin-left:5.3pt;margin-top:87.55pt;width:441.3pt;height:623.6pt;z-index:251726848;mso-wrap-distance-top:0;mso-wrap-distance-bottom:0;mso-position-vertical-relative:page;mso-width-relative:page;mso-height-relative:page">
            <v:imagedata r:id="rId411" o:title=""/>
            <w10:wrap type="topAndBottom" anchory="page"/>
          </v:shape>
          <o:OLEObject Type="Embed" ProgID="Visio.Drawing.11" ShapeID="_x0000_s1398" DrawAspect="Content" ObjectID="_1577296287" r:id="rId412"/>
        </w:object>
      </w:r>
    </w:p>
    <w:bookmarkEnd w:id="468"/>
    <w:p w:rsidR="00013EC7" w:rsidRDefault="005262E6">
      <w:pPr>
        <w:pStyle w:val="1"/>
        <w:spacing w:before="0" w:after="0" w:line="240" w:lineRule="auto"/>
        <w:rPr>
          <w:rFonts w:ascii="宋体" w:hAnsi="宋体" w:cs="宋体"/>
          <w:color w:val="FF0000"/>
          <w:szCs w:val="28"/>
        </w:rPr>
        <w:sectPr w:rsidR="00013EC7">
          <w:pgSz w:w="23814" w:h="16840" w:orient="landscape"/>
          <w:pgMar w:top="1701" w:right="1843" w:bottom="1985" w:left="1843" w:header="851" w:footer="1701" w:gutter="0"/>
          <w:pgNumType w:fmt="numberInDash"/>
          <w:cols w:space="720"/>
          <w:docGrid w:type="lines" w:linePitch="312"/>
        </w:sectPr>
      </w:pPr>
      <w:r>
        <w:object w:dxaOrig="1440" w:dyaOrig="1440">
          <v:shape id="_x0000_s1418" type="#_x0000_t75" style="position:absolute;left:0;text-align:left;margin-left:512.75pt;margin-top:87.15pt;width:452.45pt;height:601.45pt;z-index:251745280;mso-wrap-distance-left:9pt;mso-wrap-distance-top:0;mso-wrap-distance-right:9pt;mso-wrap-distance-bottom:0;mso-position-vertical-relative:page;mso-width-relative:page;mso-height-relative:page">
            <v:imagedata r:id="rId413" o:title=""/>
            <w10:wrap type="square" anchory="page"/>
          </v:shape>
          <o:OLEObject Type="Embed" ProgID="Visio.Drawing.11" ShapeID="_x0000_s1418" DrawAspect="Content" ObjectID="_1577296288" r:id="rId414"/>
        </w:object>
      </w:r>
    </w:p>
    <w:p w:rsidR="00013EC7" w:rsidRDefault="00575CDB">
      <w:pPr>
        <w:pStyle w:val="1"/>
      </w:pPr>
      <w:bookmarkStart w:id="475" w:name="_Toc1099"/>
      <w:bookmarkStart w:id="476" w:name="_Toc32474"/>
      <w:bookmarkStart w:id="477" w:name="_Toc23716"/>
      <w:bookmarkStart w:id="478" w:name="_Toc503467463"/>
      <w:r>
        <w:rPr>
          <w:rFonts w:hint="eastAsia"/>
        </w:rPr>
        <w:lastRenderedPageBreak/>
        <w:t>二十四、常见税收优惠办理</w:t>
      </w:r>
      <w:bookmarkEnd w:id="475"/>
      <w:bookmarkEnd w:id="476"/>
      <w:bookmarkEnd w:id="477"/>
      <w:bookmarkEnd w:id="478"/>
    </w:p>
    <w:p w:rsidR="00013EC7" w:rsidRDefault="00575CDB">
      <w:pPr>
        <w:pStyle w:val="2"/>
      </w:pPr>
      <w:bookmarkStart w:id="479" w:name="_Toc16066"/>
      <w:bookmarkStart w:id="480" w:name="_Toc503467464"/>
      <w:bookmarkStart w:id="481" w:name="_Toc24812"/>
      <w:bookmarkStart w:id="482" w:name="_Toc29418"/>
      <w:r>
        <w:rPr>
          <w:rFonts w:hint="eastAsia"/>
        </w:rPr>
        <w:t>24.1</w:t>
      </w:r>
      <w:r>
        <w:rPr>
          <w:rFonts w:hint="eastAsia"/>
        </w:rPr>
        <w:t>增值税优惠备案</w:t>
      </w:r>
      <w:bookmarkEnd w:id="479"/>
      <w:bookmarkEnd w:id="480"/>
      <w:bookmarkEnd w:id="481"/>
      <w:bookmarkEnd w:id="482"/>
    </w:p>
    <w:p w:rsidR="00013EC7" w:rsidRDefault="00575CDB">
      <w:pPr>
        <w:jc w:val="center"/>
        <w:rPr>
          <w:rFonts w:ascii="宋体" w:hAnsi="宋体"/>
          <w:b/>
          <w:color w:val="000000"/>
          <w:sz w:val="52"/>
          <w:szCs w:val="52"/>
        </w:rPr>
      </w:pPr>
      <w:r>
        <w:rPr>
          <w:rFonts w:ascii="宋体" w:hAnsi="宋体" w:hint="eastAsia"/>
          <w:b/>
          <w:color w:val="000000"/>
          <w:sz w:val="52"/>
          <w:szCs w:val="52"/>
        </w:rPr>
        <w:t>全省“最多跑一次”事项“八统一”梳理表</w:t>
      </w:r>
    </w:p>
    <w:tbl>
      <w:tblPr>
        <w:tblW w:w="20130" w:type="dxa"/>
        <w:tblInd w:w="-2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15" w:type="dxa"/>
          <w:left w:w="15" w:type="dxa"/>
          <w:bottom w:w="15" w:type="dxa"/>
          <w:right w:w="15" w:type="dxa"/>
        </w:tblCellMar>
        <w:tblLook w:val="04A0" w:firstRow="1" w:lastRow="0" w:firstColumn="1" w:lastColumn="0" w:noHBand="0" w:noVBand="1"/>
      </w:tblPr>
      <w:tblGrid>
        <w:gridCol w:w="639"/>
        <w:gridCol w:w="510"/>
        <w:gridCol w:w="3544"/>
        <w:gridCol w:w="3260"/>
        <w:gridCol w:w="1418"/>
        <w:gridCol w:w="3118"/>
        <w:gridCol w:w="1276"/>
        <w:gridCol w:w="2268"/>
        <w:gridCol w:w="567"/>
        <w:gridCol w:w="851"/>
        <w:gridCol w:w="708"/>
        <w:gridCol w:w="993"/>
        <w:gridCol w:w="978"/>
      </w:tblGrid>
      <w:tr w:rsidR="00013EC7">
        <w:trPr>
          <w:trHeight w:val="312"/>
          <w:tblHeader/>
        </w:trPr>
        <w:tc>
          <w:tcPr>
            <w:tcW w:w="639" w:type="dxa"/>
            <w:vMerge w:val="restart"/>
            <w:tcBorders>
              <w:tl2br w:val="nil"/>
              <w:tr2bl w:val="nil"/>
            </w:tcBorders>
            <w:vAlign w:val="center"/>
          </w:tcPr>
          <w:p w:rsidR="00013EC7" w:rsidRDefault="00575CDB">
            <w:pPr>
              <w:widowControl/>
              <w:jc w:val="center"/>
              <w:textAlignment w:val="center"/>
              <w:rPr>
                <w:rFonts w:ascii="黑体" w:eastAsia="黑体" w:hAnsi="宋体" w:cs="黑体"/>
                <w:color w:val="000000"/>
                <w:sz w:val="24"/>
              </w:rPr>
            </w:pPr>
            <w:r>
              <w:rPr>
                <w:rFonts w:ascii="黑体" w:eastAsia="黑体" w:hAnsi="宋体" w:cs="黑体" w:hint="eastAsia"/>
                <w:color w:val="000000"/>
                <w:kern w:val="0"/>
                <w:sz w:val="24"/>
              </w:rPr>
              <w:t>主项名称</w:t>
            </w:r>
          </w:p>
        </w:tc>
        <w:tc>
          <w:tcPr>
            <w:tcW w:w="510" w:type="dxa"/>
            <w:vMerge w:val="restart"/>
            <w:tcBorders>
              <w:tl2br w:val="nil"/>
              <w:tr2bl w:val="nil"/>
            </w:tcBorders>
            <w:vAlign w:val="center"/>
          </w:tcPr>
          <w:p w:rsidR="00013EC7" w:rsidRDefault="00575CDB">
            <w:pPr>
              <w:widowControl/>
              <w:jc w:val="center"/>
              <w:textAlignment w:val="center"/>
              <w:rPr>
                <w:rFonts w:ascii="黑体" w:eastAsia="黑体" w:hAnsi="宋体" w:cs="黑体"/>
                <w:color w:val="000000"/>
                <w:sz w:val="24"/>
              </w:rPr>
            </w:pPr>
            <w:r>
              <w:rPr>
                <w:rFonts w:ascii="黑体" w:eastAsia="黑体" w:hAnsi="宋体" w:cs="黑体" w:hint="eastAsia"/>
                <w:color w:val="000000"/>
                <w:kern w:val="0"/>
                <w:sz w:val="24"/>
              </w:rPr>
              <w:t>子项名称</w:t>
            </w:r>
          </w:p>
        </w:tc>
        <w:tc>
          <w:tcPr>
            <w:tcW w:w="3544" w:type="dxa"/>
            <w:vMerge w:val="restart"/>
            <w:tcBorders>
              <w:tl2br w:val="nil"/>
              <w:tr2bl w:val="nil"/>
            </w:tcBorders>
            <w:vAlign w:val="center"/>
          </w:tcPr>
          <w:p w:rsidR="00013EC7" w:rsidRDefault="00575CDB">
            <w:pPr>
              <w:widowControl/>
              <w:jc w:val="center"/>
              <w:textAlignment w:val="center"/>
              <w:rPr>
                <w:rFonts w:ascii="黑体" w:eastAsia="黑体" w:hAnsi="宋体" w:cs="黑体"/>
                <w:color w:val="000000"/>
                <w:sz w:val="24"/>
              </w:rPr>
            </w:pPr>
            <w:r>
              <w:rPr>
                <w:rFonts w:ascii="黑体" w:eastAsia="黑体" w:hAnsi="宋体" w:cs="黑体" w:hint="eastAsia"/>
                <w:color w:val="000000"/>
                <w:kern w:val="0"/>
                <w:sz w:val="24"/>
              </w:rPr>
              <w:t>经办依据</w:t>
            </w:r>
          </w:p>
        </w:tc>
        <w:tc>
          <w:tcPr>
            <w:tcW w:w="4678" w:type="dxa"/>
            <w:gridSpan w:val="2"/>
            <w:vMerge w:val="restart"/>
            <w:tcBorders>
              <w:tl2br w:val="nil"/>
              <w:tr2bl w:val="nil"/>
            </w:tcBorders>
            <w:vAlign w:val="center"/>
          </w:tcPr>
          <w:p w:rsidR="00013EC7" w:rsidRDefault="00575CDB">
            <w:pPr>
              <w:widowControl/>
              <w:jc w:val="center"/>
              <w:textAlignment w:val="center"/>
              <w:rPr>
                <w:rFonts w:ascii="黑体" w:eastAsia="黑体" w:hAnsi="宋体" w:cs="黑体"/>
                <w:color w:val="000000"/>
                <w:sz w:val="24"/>
              </w:rPr>
            </w:pPr>
            <w:r>
              <w:rPr>
                <w:rFonts w:ascii="黑体" w:eastAsia="黑体" w:hAnsi="宋体" w:cs="黑体" w:hint="eastAsia"/>
                <w:color w:val="000000"/>
                <w:kern w:val="0"/>
                <w:sz w:val="24"/>
              </w:rPr>
              <w:t>原经办所需材料</w:t>
            </w:r>
          </w:p>
        </w:tc>
        <w:tc>
          <w:tcPr>
            <w:tcW w:w="6662" w:type="dxa"/>
            <w:gridSpan w:val="3"/>
            <w:vMerge w:val="restart"/>
            <w:tcBorders>
              <w:tl2br w:val="nil"/>
              <w:tr2bl w:val="nil"/>
            </w:tcBorders>
            <w:vAlign w:val="center"/>
          </w:tcPr>
          <w:p w:rsidR="00013EC7" w:rsidRDefault="00575CDB">
            <w:pPr>
              <w:widowControl/>
              <w:jc w:val="center"/>
              <w:textAlignment w:val="center"/>
              <w:rPr>
                <w:rFonts w:ascii="黑体" w:eastAsia="黑体" w:hAnsi="宋体" w:cs="黑体"/>
                <w:color w:val="000000"/>
                <w:sz w:val="24"/>
              </w:rPr>
            </w:pPr>
            <w:r>
              <w:rPr>
                <w:rFonts w:ascii="黑体" w:eastAsia="黑体" w:hAnsi="宋体" w:cs="黑体" w:hint="eastAsia"/>
                <w:color w:val="000000"/>
                <w:kern w:val="0"/>
                <w:sz w:val="24"/>
              </w:rPr>
              <w:t>精简后经办所需材料</w:t>
            </w:r>
          </w:p>
        </w:tc>
        <w:tc>
          <w:tcPr>
            <w:tcW w:w="1418" w:type="dxa"/>
            <w:gridSpan w:val="2"/>
            <w:vMerge w:val="restart"/>
            <w:tcBorders>
              <w:tl2br w:val="nil"/>
              <w:tr2bl w:val="nil"/>
            </w:tcBorders>
            <w:vAlign w:val="center"/>
          </w:tcPr>
          <w:p w:rsidR="00013EC7" w:rsidRDefault="00575CDB">
            <w:pPr>
              <w:widowControl/>
              <w:jc w:val="center"/>
              <w:textAlignment w:val="center"/>
              <w:rPr>
                <w:rFonts w:ascii="黑体" w:eastAsia="黑体" w:hAnsi="宋体" w:cs="黑体"/>
                <w:color w:val="000000"/>
                <w:sz w:val="24"/>
              </w:rPr>
            </w:pPr>
            <w:r>
              <w:rPr>
                <w:rFonts w:ascii="黑体" w:eastAsia="黑体" w:hAnsi="宋体" w:cs="黑体" w:hint="eastAsia"/>
                <w:color w:val="000000"/>
                <w:kern w:val="0"/>
                <w:sz w:val="24"/>
              </w:rPr>
              <w:t>办理时限</w:t>
            </w:r>
          </w:p>
        </w:tc>
        <w:tc>
          <w:tcPr>
            <w:tcW w:w="708" w:type="dxa"/>
            <w:vMerge w:val="restart"/>
            <w:tcBorders>
              <w:tl2br w:val="nil"/>
              <w:tr2bl w:val="nil"/>
            </w:tcBorders>
            <w:vAlign w:val="center"/>
          </w:tcPr>
          <w:p w:rsidR="00013EC7" w:rsidRDefault="00575CDB">
            <w:pPr>
              <w:widowControl/>
              <w:jc w:val="center"/>
              <w:textAlignment w:val="center"/>
              <w:rPr>
                <w:rFonts w:ascii="黑体" w:eastAsia="黑体" w:hAnsi="宋体" w:cs="黑体"/>
                <w:color w:val="000000"/>
                <w:sz w:val="24"/>
              </w:rPr>
            </w:pPr>
            <w:r>
              <w:rPr>
                <w:rFonts w:ascii="黑体" w:eastAsia="黑体" w:hAnsi="宋体" w:cs="黑体" w:hint="eastAsia"/>
                <w:color w:val="000000"/>
                <w:kern w:val="0"/>
                <w:sz w:val="24"/>
              </w:rPr>
              <w:t>是否实现跑零次</w:t>
            </w:r>
          </w:p>
        </w:tc>
        <w:tc>
          <w:tcPr>
            <w:tcW w:w="993" w:type="dxa"/>
            <w:vMerge w:val="restart"/>
            <w:tcBorders>
              <w:tl2br w:val="nil"/>
              <w:tr2bl w:val="nil"/>
            </w:tcBorders>
            <w:vAlign w:val="center"/>
          </w:tcPr>
          <w:p w:rsidR="00013EC7" w:rsidRDefault="00575CDB">
            <w:pPr>
              <w:widowControl/>
              <w:jc w:val="center"/>
              <w:textAlignment w:val="center"/>
              <w:rPr>
                <w:rFonts w:ascii="黑体" w:eastAsia="黑体" w:hAnsi="宋体" w:cs="黑体"/>
                <w:color w:val="000000"/>
                <w:sz w:val="24"/>
              </w:rPr>
            </w:pPr>
            <w:r>
              <w:rPr>
                <w:rFonts w:ascii="黑体" w:eastAsia="黑体" w:hAnsi="宋体" w:cs="黑体" w:hint="eastAsia"/>
                <w:color w:val="000000"/>
                <w:kern w:val="0"/>
                <w:sz w:val="24"/>
              </w:rPr>
              <w:t>省厅对口</w:t>
            </w:r>
            <w:r>
              <w:rPr>
                <w:rFonts w:ascii="黑体" w:eastAsia="黑体" w:hAnsi="宋体" w:cs="黑体" w:hint="eastAsia"/>
                <w:color w:val="000000"/>
                <w:kern w:val="0"/>
                <w:sz w:val="24"/>
              </w:rPr>
              <w:br/>
              <w:t>指导处室</w:t>
            </w:r>
            <w:r>
              <w:rPr>
                <w:rFonts w:ascii="黑体" w:eastAsia="黑体" w:hAnsi="宋体" w:cs="黑体" w:hint="eastAsia"/>
                <w:color w:val="000000"/>
                <w:kern w:val="0"/>
                <w:sz w:val="24"/>
              </w:rPr>
              <w:br/>
              <w:t>（单位）</w:t>
            </w:r>
          </w:p>
        </w:tc>
        <w:tc>
          <w:tcPr>
            <w:tcW w:w="978" w:type="dxa"/>
            <w:vMerge w:val="restart"/>
            <w:tcBorders>
              <w:tl2br w:val="nil"/>
              <w:tr2bl w:val="nil"/>
            </w:tcBorders>
            <w:vAlign w:val="center"/>
          </w:tcPr>
          <w:p w:rsidR="00013EC7" w:rsidRDefault="00575CDB">
            <w:pPr>
              <w:widowControl/>
              <w:jc w:val="center"/>
              <w:textAlignment w:val="center"/>
              <w:rPr>
                <w:rFonts w:ascii="黑体" w:eastAsia="黑体" w:hAnsi="宋体" w:cs="黑体"/>
                <w:color w:val="000000"/>
                <w:sz w:val="24"/>
              </w:rPr>
            </w:pPr>
            <w:r>
              <w:rPr>
                <w:rFonts w:ascii="黑体" w:eastAsia="黑体" w:hAnsi="宋体" w:cs="黑体" w:hint="eastAsia"/>
                <w:color w:val="000000"/>
                <w:kern w:val="0"/>
                <w:sz w:val="24"/>
              </w:rPr>
              <w:t>进一步精简、规范建议</w:t>
            </w:r>
          </w:p>
        </w:tc>
      </w:tr>
      <w:tr w:rsidR="00013EC7">
        <w:trPr>
          <w:trHeight w:val="312"/>
          <w:tblHeader/>
        </w:trPr>
        <w:tc>
          <w:tcPr>
            <w:tcW w:w="639" w:type="dxa"/>
            <w:vMerge/>
            <w:tcBorders>
              <w:tl2br w:val="nil"/>
              <w:tr2bl w:val="nil"/>
            </w:tcBorders>
            <w:vAlign w:val="center"/>
          </w:tcPr>
          <w:p w:rsidR="00013EC7" w:rsidRDefault="00013EC7">
            <w:pPr>
              <w:jc w:val="center"/>
              <w:rPr>
                <w:rFonts w:ascii="黑体" w:eastAsia="黑体" w:hAnsi="宋体" w:cs="黑体"/>
                <w:color w:val="000000"/>
                <w:sz w:val="24"/>
              </w:rPr>
            </w:pPr>
          </w:p>
        </w:tc>
        <w:tc>
          <w:tcPr>
            <w:tcW w:w="510" w:type="dxa"/>
            <w:vMerge/>
            <w:tcBorders>
              <w:tl2br w:val="nil"/>
              <w:tr2bl w:val="nil"/>
            </w:tcBorders>
            <w:vAlign w:val="center"/>
          </w:tcPr>
          <w:p w:rsidR="00013EC7" w:rsidRDefault="00013EC7">
            <w:pPr>
              <w:jc w:val="center"/>
              <w:rPr>
                <w:rFonts w:ascii="黑体" w:eastAsia="黑体" w:hAnsi="宋体" w:cs="黑体"/>
                <w:color w:val="000000"/>
                <w:sz w:val="24"/>
              </w:rPr>
            </w:pPr>
          </w:p>
        </w:tc>
        <w:tc>
          <w:tcPr>
            <w:tcW w:w="3544" w:type="dxa"/>
            <w:vMerge/>
            <w:tcBorders>
              <w:tl2br w:val="nil"/>
              <w:tr2bl w:val="nil"/>
            </w:tcBorders>
            <w:vAlign w:val="center"/>
          </w:tcPr>
          <w:p w:rsidR="00013EC7" w:rsidRDefault="00013EC7">
            <w:pPr>
              <w:jc w:val="center"/>
              <w:rPr>
                <w:rFonts w:ascii="黑体" w:eastAsia="黑体" w:hAnsi="宋体" w:cs="黑体"/>
                <w:color w:val="000000"/>
                <w:sz w:val="24"/>
              </w:rPr>
            </w:pPr>
          </w:p>
        </w:tc>
        <w:tc>
          <w:tcPr>
            <w:tcW w:w="4678" w:type="dxa"/>
            <w:gridSpan w:val="2"/>
            <w:vMerge/>
            <w:tcBorders>
              <w:tl2br w:val="nil"/>
              <w:tr2bl w:val="nil"/>
            </w:tcBorders>
            <w:vAlign w:val="center"/>
          </w:tcPr>
          <w:p w:rsidR="00013EC7" w:rsidRDefault="00013EC7">
            <w:pPr>
              <w:jc w:val="center"/>
              <w:rPr>
                <w:rFonts w:ascii="黑体" w:eastAsia="黑体" w:hAnsi="宋体" w:cs="黑体"/>
                <w:color w:val="000000"/>
                <w:sz w:val="24"/>
              </w:rPr>
            </w:pPr>
          </w:p>
        </w:tc>
        <w:tc>
          <w:tcPr>
            <w:tcW w:w="6662" w:type="dxa"/>
            <w:gridSpan w:val="3"/>
            <w:vMerge/>
            <w:tcBorders>
              <w:tl2br w:val="nil"/>
              <w:tr2bl w:val="nil"/>
            </w:tcBorders>
            <w:vAlign w:val="center"/>
          </w:tcPr>
          <w:p w:rsidR="00013EC7" w:rsidRDefault="00013EC7">
            <w:pPr>
              <w:jc w:val="center"/>
              <w:rPr>
                <w:rFonts w:ascii="黑体" w:eastAsia="黑体" w:hAnsi="宋体" w:cs="黑体"/>
                <w:color w:val="000000"/>
                <w:sz w:val="24"/>
              </w:rPr>
            </w:pPr>
          </w:p>
        </w:tc>
        <w:tc>
          <w:tcPr>
            <w:tcW w:w="1418" w:type="dxa"/>
            <w:gridSpan w:val="2"/>
            <w:vMerge/>
            <w:tcBorders>
              <w:tl2br w:val="nil"/>
              <w:tr2bl w:val="nil"/>
            </w:tcBorders>
            <w:vAlign w:val="center"/>
          </w:tcPr>
          <w:p w:rsidR="00013EC7" w:rsidRDefault="00013EC7">
            <w:pPr>
              <w:jc w:val="center"/>
              <w:rPr>
                <w:rFonts w:ascii="黑体" w:eastAsia="黑体" w:hAnsi="宋体" w:cs="黑体"/>
                <w:color w:val="000000"/>
                <w:sz w:val="24"/>
              </w:rPr>
            </w:pPr>
          </w:p>
        </w:tc>
        <w:tc>
          <w:tcPr>
            <w:tcW w:w="708" w:type="dxa"/>
            <w:vMerge/>
            <w:tcBorders>
              <w:tl2br w:val="nil"/>
              <w:tr2bl w:val="nil"/>
            </w:tcBorders>
            <w:vAlign w:val="center"/>
          </w:tcPr>
          <w:p w:rsidR="00013EC7" w:rsidRDefault="00013EC7">
            <w:pPr>
              <w:jc w:val="center"/>
              <w:rPr>
                <w:rFonts w:ascii="黑体" w:eastAsia="黑体" w:hAnsi="宋体" w:cs="黑体"/>
                <w:color w:val="000000"/>
                <w:sz w:val="24"/>
              </w:rPr>
            </w:pPr>
          </w:p>
        </w:tc>
        <w:tc>
          <w:tcPr>
            <w:tcW w:w="993" w:type="dxa"/>
            <w:vMerge/>
            <w:tcBorders>
              <w:tl2br w:val="nil"/>
              <w:tr2bl w:val="nil"/>
            </w:tcBorders>
            <w:vAlign w:val="center"/>
          </w:tcPr>
          <w:p w:rsidR="00013EC7" w:rsidRDefault="00013EC7">
            <w:pPr>
              <w:jc w:val="center"/>
              <w:rPr>
                <w:rFonts w:ascii="黑体" w:eastAsia="黑体" w:hAnsi="宋体" w:cs="黑体"/>
                <w:color w:val="000000"/>
                <w:sz w:val="24"/>
              </w:rPr>
            </w:pPr>
          </w:p>
        </w:tc>
        <w:tc>
          <w:tcPr>
            <w:tcW w:w="978" w:type="dxa"/>
            <w:vMerge/>
            <w:tcBorders>
              <w:tl2br w:val="nil"/>
              <w:tr2bl w:val="nil"/>
            </w:tcBorders>
            <w:vAlign w:val="center"/>
          </w:tcPr>
          <w:p w:rsidR="00013EC7" w:rsidRDefault="00013EC7">
            <w:pPr>
              <w:jc w:val="center"/>
              <w:rPr>
                <w:rFonts w:ascii="黑体" w:eastAsia="黑体" w:hAnsi="宋体" w:cs="黑体"/>
                <w:color w:val="000000"/>
                <w:sz w:val="24"/>
              </w:rPr>
            </w:pPr>
          </w:p>
        </w:tc>
      </w:tr>
      <w:tr w:rsidR="00013EC7">
        <w:trPr>
          <w:trHeight w:val="312"/>
          <w:tblHeader/>
        </w:trPr>
        <w:tc>
          <w:tcPr>
            <w:tcW w:w="639" w:type="dxa"/>
            <w:vMerge/>
            <w:tcBorders>
              <w:tl2br w:val="nil"/>
              <w:tr2bl w:val="nil"/>
            </w:tcBorders>
            <w:vAlign w:val="center"/>
          </w:tcPr>
          <w:p w:rsidR="00013EC7" w:rsidRDefault="00013EC7">
            <w:pPr>
              <w:jc w:val="center"/>
              <w:rPr>
                <w:rFonts w:ascii="黑体" w:eastAsia="黑体" w:hAnsi="宋体" w:cs="黑体"/>
                <w:color w:val="000000"/>
                <w:sz w:val="24"/>
              </w:rPr>
            </w:pPr>
          </w:p>
        </w:tc>
        <w:tc>
          <w:tcPr>
            <w:tcW w:w="510" w:type="dxa"/>
            <w:vMerge/>
            <w:tcBorders>
              <w:tl2br w:val="nil"/>
              <w:tr2bl w:val="nil"/>
            </w:tcBorders>
            <w:vAlign w:val="center"/>
          </w:tcPr>
          <w:p w:rsidR="00013EC7" w:rsidRDefault="00013EC7">
            <w:pPr>
              <w:jc w:val="center"/>
              <w:rPr>
                <w:rFonts w:ascii="黑体" w:eastAsia="黑体" w:hAnsi="宋体" w:cs="黑体"/>
                <w:color w:val="000000"/>
                <w:sz w:val="24"/>
              </w:rPr>
            </w:pPr>
          </w:p>
        </w:tc>
        <w:tc>
          <w:tcPr>
            <w:tcW w:w="3544" w:type="dxa"/>
            <w:vMerge/>
            <w:tcBorders>
              <w:tl2br w:val="nil"/>
              <w:tr2bl w:val="nil"/>
            </w:tcBorders>
            <w:vAlign w:val="center"/>
          </w:tcPr>
          <w:p w:rsidR="00013EC7" w:rsidRDefault="00013EC7">
            <w:pPr>
              <w:jc w:val="center"/>
              <w:rPr>
                <w:rFonts w:ascii="黑体" w:eastAsia="黑体" w:hAnsi="宋体" w:cs="黑体"/>
                <w:color w:val="000000"/>
                <w:sz w:val="24"/>
              </w:rPr>
            </w:pPr>
          </w:p>
        </w:tc>
        <w:tc>
          <w:tcPr>
            <w:tcW w:w="3260" w:type="dxa"/>
            <w:vMerge w:val="restart"/>
            <w:tcBorders>
              <w:tl2br w:val="nil"/>
              <w:tr2bl w:val="nil"/>
            </w:tcBorders>
            <w:vAlign w:val="center"/>
          </w:tcPr>
          <w:p w:rsidR="00013EC7" w:rsidRDefault="00575CDB">
            <w:pPr>
              <w:widowControl/>
              <w:jc w:val="center"/>
              <w:textAlignment w:val="center"/>
              <w:rPr>
                <w:rFonts w:ascii="黑体" w:eastAsia="黑体" w:hAnsi="宋体" w:cs="黑体"/>
                <w:color w:val="000000"/>
                <w:sz w:val="24"/>
              </w:rPr>
            </w:pPr>
            <w:r>
              <w:rPr>
                <w:rFonts w:ascii="黑体" w:eastAsia="黑体" w:hAnsi="宋体" w:cs="黑体" w:hint="eastAsia"/>
                <w:color w:val="000000"/>
                <w:kern w:val="0"/>
                <w:sz w:val="24"/>
              </w:rPr>
              <w:t>材料明细</w:t>
            </w:r>
          </w:p>
        </w:tc>
        <w:tc>
          <w:tcPr>
            <w:tcW w:w="1418" w:type="dxa"/>
            <w:vMerge w:val="restart"/>
            <w:tcBorders>
              <w:tl2br w:val="nil"/>
              <w:tr2bl w:val="nil"/>
            </w:tcBorders>
            <w:vAlign w:val="center"/>
          </w:tcPr>
          <w:p w:rsidR="00013EC7" w:rsidRDefault="00575CDB">
            <w:pPr>
              <w:widowControl/>
              <w:jc w:val="center"/>
              <w:textAlignment w:val="center"/>
              <w:rPr>
                <w:rFonts w:ascii="黑体" w:eastAsia="黑体" w:hAnsi="宋体" w:cs="黑体"/>
                <w:color w:val="000000"/>
                <w:sz w:val="24"/>
              </w:rPr>
            </w:pPr>
            <w:r>
              <w:rPr>
                <w:rFonts w:ascii="黑体" w:eastAsia="黑体" w:hAnsi="宋体" w:cs="黑体" w:hint="eastAsia"/>
                <w:color w:val="000000"/>
                <w:kern w:val="0"/>
                <w:sz w:val="24"/>
              </w:rPr>
              <w:t>材料来源</w:t>
            </w:r>
          </w:p>
        </w:tc>
        <w:tc>
          <w:tcPr>
            <w:tcW w:w="3118" w:type="dxa"/>
            <w:vMerge w:val="restart"/>
            <w:tcBorders>
              <w:tl2br w:val="nil"/>
              <w:tr2bl w:val="nil"/>
            </w:tcBorders>
            <w:vAlign w:val="center"/>
          </w:tcPr>
          <w:p w:rsidR="00013EC7" w:rsidRDefault="00575CDB">
            <w:pPr>
              <w:widowControl/>
              <w:jc w:val="center"/>
              <w:textAlignment w:val="center"/>
              <w:rPr>
                <w:rFonts w:ascii="黑体" w:eastAsia="黑体" w:hAnsi="宋体" w:cs="黑体"/>
                <w:color w:val="000000"/>
                <w:sz w:val="24"/>
              </w:rPr>
            </w:pPr>
            <w:r>
              <w:rPr>
                <w:rFonts w:ascii="黑体" w:eastAsia="黑体" w:hAnsi="宋体" w:cs="黑体" w:hint="eastAsia"/>
                <w:color w:val="000000"/>
                <w:kern w:val="0"/>
                <w:sz w:val="24"/>
              </w:rPr>
              <w:t>材料明细</w:t>
            </w:r>
          </w:p>
        </w:tc>
        <w:tc>
          <w:tcPr>
            <w:tcW w:w="1276" w:type="dxa"/>
            <w:vMerge w:val="restart"/>
            <w:tcBorders>
              <w:tl2br w:val="nil"/>
              <w:tr2bl w:val="nil"/>
            </w:tcBorders>
            <w:vAlign w:val="center"/>
          </w:tcPr>
          <w:p w:rsidR="00013EC7" w:rsidRDefault="00575CDB">
            <w:pPr>
              <w:widowControl/>
              <w:jc w:val="center"/>
              <w:textAlignment w:val="center"/>
              <w:rPr>
                <w:rFonts w:ascii="黑体" w:eastAsia="黑体" w:hAnsi="宋体" w:cs="黑体"/>
                <w:color w:val="000000"/>
                <w:sz w:val="24"/>
              </w:rPr>
            </w:pPr>
            <w:r>
              <w:rPr>
                <w:rFonts w:ascii="黑体" w:eastAsia="黑体" w:hAnsi="宋体" w:cs="黑体" w:hint="eastAsia"/>
                <w:color w:val="000000"/>
                <w:kern w:val="0"/>
                <w:sz w:val="24"/>
              </w:rPr>
              <w:t>材料来源</w:t>
            </w:r>
          </w:p>
        </w:tc>
        <w:tc>
          <w:tcPr>
            <w:tcW w:w="2268" w:type="dxa"/>
            <w:vMerge w:val="restart"/>
            <w:tcBorders>
              <w:tl2br w:val="nil"/>
              <w:tr2bl w:val="nil"/>
            </w:tcBorders>
            <w:vAlign w:val="center"/>
          </w:tcPr>
          <w:p w:rsidR="00013EC7" w:rsidRDefault="00575CDB">
            <w:pPr>
              <w:widowControl/>
              <w:jc w:val="center"/>
              <w:textAlignment w:val="center"/>
              <w:rPr>
                <w:rFonts w:ascii="黑体" w:eastAsia="黑体" w:hAnsi="宋体" w:cs="黑体"/>
                <w:color w:val="000000"/>
                <w:sz w:val="24"/>
              </w:rPr>
            </w:pPr>
            <w:r>
              <w:rPr>
                <w:rFonts w:ascii="黑体" w:eastAsia="黑体" w:hAnsi="宋体" w:cs="黑体" w:hint="eastAsia"/>
                <w:color w:val="000000"/>
                <w:kern w:val="0"/>
                <w:sz w:val="24"/>
              </w:rPr>
              <w:t>办理方式及材料</w:t>
            </w:r>
            <w:r>
              <w:rPr>
                <w:rFonts w:ascii="黑体" w:eastAsia="黑体" w:hAnsi="宋体" w:cs="黑体" w:hint="eastAsia"/>
                <w:color w:val="000000"/>
                <w:kern w:val="0"/>
                <w:sz w:val="24"/>
              </w:rPr>
              <w:br/>
              <w:t>信息获取方式说明</w:t>
            </w:r>
          </w:p>
        </w:tc>
        <w:tc>
          <w:tcPr>
            <w:tcW w:w="567" w:type="dxa"/>
            <w:vMerge w:val="restart"/>
            <w:tcBorders>
              <w:tl2br w:val="nil"/>
              <w:tr2bl w:val="nil"/>
            </w:tcBorders>
            <w:vAlign w:val="center"/>
          </w:tcPr>
          <w:p w:rsidR="00013EC7" w:rsidRDefault="00575CDB">
            <w:pPr>
              <w:widowControl/>
              <w:jc w:val="center"/>
              <w:textAlignment w:val="center"/>
              <w:rPr>
                <w:rFonts w:ascii="黑体" w:eastAsia="黑体" w:hAnsi="宋体" w:cs="黑体"/>
                <w:color w:val="000000"/>
                <w:sz w:val="24"/>
              </w:rPr>
            </w:pPr>
            <w:r>
              <w:rPr>
                <w:rFonts w:ascii="黑体" w:eastAsia="黑体" w:hAnsi="宋体" w:cs="黑体" w:hint="eastAsia"/>
                <w:color w:val="000000"/>
                <w:kern w:val="0"/>
                <w:sz w:val="24"/>
              </w:rPr>
              <w:t>优化前</w:t>
            </w:r>
          </w:p>
        </w:tc>
        <w:tc>
          <w:tcPr>
            <w:tcW w:w="851" w:type="dxa"/>
            <w:vMerge w:val="restart"/>
            <w:tcBorders>
              <w:tl2br w:val="nil"/>
              <w:tr2bl w:val="nil"/>
            </w:tcBorders>
            <w:vAlign w:val="center"/>
          </w:tcPr>
          <w:p w:rsidR="00013EC7" w:rsidRDefault="00575CDB">
            <w:pPr>
              <w:widowControl/>
              <w:jc w:val="center"/>
              <w:textAlignment w:val="center"/>
              <w:rPr>
                <w:rFonts w:ascii="黑体" w:eastAsia="黑体" w:hAnsi="宋体" w:cs="黑体"/>
                <w:color w:val="000000"/>
                <w:sz w:val="24"/>
              </w:rPr>
            </w:pPr>
            <w:r>
              <w:rPr>
                <w:rFonts w:ascii="黑体" w:eastAsia="黑体" w:hAnsi="宋体" w:cs="黑体" w:hint="eastAsia"/>
                <w:color w:val="000000"/>
                <w:kern w:val="0"/>
                <w:sz w:val="24"/>
              </w:rPr>
              <w:t>优化后</w:t>
            </w:r>
          </w:p>
        </w:tc>
        <w:tc>
          <w:tcPr>
            <w:tcW w:w="708" w:type="dxa"/>
            <w:vMerge/>
            <w:tcBorders>
              <w:tl2br w:val="nil"/>
              <w:tr2bl w:val="nil"/>
            </w:tcBorders>
            <w:vAlign w:val="center"/>
          </w:tcPr>
          <w:p w:rsidR="00013EC7" w:rsidRDefault="00013EC7">
            <w:pPr>
              <w:jc w:val="center"/>
              <w:rPr>
                <w:rFonts w:ascii="黑体" w:eastAsia="黑体" w:hAnsi="宋体" w:cs="黑体"/>
                <w:color w:val="000000"/>
                <w:sz w:val="24"/>
              </w:rPr>
            </w:pPr>
          </w:p>
        </w:tc>
        <w:tc>
          <w:tcPr>
            <w:tcW w:w="993" w:type="dxa"/>
            <w:vMerge/>
            <w:tcBorders>
              <w:tl2br w:val="nil"/>
              <w:tr2bl w:val="nil"/>
            </w:tcBorders>
            <w:vAlign w:val="center"/>
          </w:tcPr>
          <w:p w:rsidR="00013EC7" w:rsidRDefault="00013EC7">
            <w:pPr>
              <w:jc w:val="center"/>
              <w:rPr>
                <w:rFonts w:ascii="黑体" w:eastAsia="黑体" w:hAnsi="宋体" w:cs="黑体"/>
                <w:color w:val="000000"/>
                <w:sz w:val="24"/>
              </w:rPr>
            </w:pPr>
          </w:p>
        </w:tc>
        <w:tc>
          <w:tcPr>
            <w:tcW w:w="978" w:type="dxa"/>
            <w:vMerge/>
            <w:tcBorders>
              <w:tl2br w:val="nil"/>
              <w:tr2bl w:val="nil"/>
            </w:tcBorders>
            <w:vAlign w:val="center"/>
          </w:tcPr>
          <w:p w:rsidR="00013EC7" w:rsidRDefault="00013EC7">
            <w:pPr>
              <w:jc w:val="center"/>
              <w:rPr>
                <w:rFonts w:ascii="黑体" w:eastAsia="黑体" w:hAnsi="宋体" w:cs="黑体"/>
                <w:color w:val="000000"/>
                <w:sz w:val="24"/>
              </w:rPr>
            </w:pPr>
          </w:p>
        </w:tc>
      </w:tr>
      <w:tr w:rsidR="00013EC7">
        <w:trPr>
          <w:trHeight w:val="660"/>
          <w:tblHeader/>
        </w:trPr>
        <w:tc>
          <w:tcPr>
            <w:tcW w:w="639" w:type="dxa"/>
            <w:vMerge/>
            <w:tcBorders>
              <w:tl2br w:val="nil"/>
              <w:tr2bl w:val="nil"/>
            </w:tcBorders>
            <w:vAlign w:val="center"/>
          </w:tcPr>
          <w:p w:rsidR="00013EC7" w:rsidRDefault="00013EC7">
            <w:pPr>
              <w:jc w:val="center"/>
              <w:rPr>
                <w:rFonts w:ascii="黑体" w:eastAsia="黑体" w:hAnsi="宋体" w:cs="黑体"/>
                <w:color w:val="000000"/>
                <w:sz w:val="24"/>
              </w:rPr>
            </w:pPr>
          </w:p>
        </w:tc>
        <w:tc>
          <w:tcPr>
            <w:tcW w:w="510" w:type="dxa"/>
            <w:vMerge/>
            <w:tcBorders>
              <w:tl2br w:val="nil"/>
              <w:tr2bl w:val="nil"/>
            </w:tcBorders>
            <w:vAlign w:val="center"/>
          </w:tcPr>
          <w:p w:rsidR="00013EC7" w:rsidRDefault="00013EC7">
            <w:pPr>
              <w:jc w:val="center"/>
              <w:rPr>
                <w:rFonts w:ascii="黑体" w:eastAsia="黑体" w:hAnsi="宋体" w:cs="黑体"/>
                <w:color w:val="000000"/>
                <w:sz w:val="24"/>
              </w:rPr>
            </w:pPr>
          </w:p>
        </w:tc>
        <w:tc>
          <w:tcPr>
            <w:tcW w:w="3544" w:type="dxa"/>
            <w:vMerge/>
            <w:tcBorders>
              <w:tl2br w:val="nil"/>
              <w:tr2bl w:val="nil"/>
            </w:tcBorders>
            <w:vAlign w:val="center"/>
          </w:tcPr>
          <w:p w:rsidR="00013EC7" w:rsidRDefault="00013EC7">
            <w:pPr>
              <w:jc w:val="center"/>
              <w:rPr>
                <w:rFonts w:ascii="黑体" w:eastAsia="黑体" w:hAnsi="宋体" w:cs="黑体"/>
                <w:color w:val="000000"/>
                <w:sz w:val="24"/>
              </w:rPr>
            </w:pPr>
          </w:p>
        </w:tc>
        <w:tc>
          <w:tcPr>
            <w:tcW w:w="3260" w:type="dxa"/>
            <w:vMerge/>
            <w:tcBorders>
              <w:tl2br w:val="nil"/>
              <w:tr2bl w:val="nil"/>
            </w:tcBorders>
            <w:vAlign w:val="center"/>
          </w:tcPr>
          <w:p w:rsidR="00013EC7" w:rsidRDefault="00013EC7">
            <w:pPr>
              <w:jc w:val="center"/>
              <w:rPr>
                <w:rFonts w:ascii="黑体" w:eastAsia="黑体" w:hAnsi="宋体" w:cs="黑体"/>
                <w:color w:val="000000"/>
                <w:sz w:val="24"/>
              </w:rPr>
            </w:pPr>
          </w:p>
        </w:tc>
        <w:tc>
          <w:tcPr>
            <w:tcW w:w="1418" w:type="dxa"/>
            <w:vMerge/>
            <w:tcBorders>
              <w:tl2br w:val="nil"/>
              <w:tr2bl w:val="nil"/>
            </w:tcBorders>
            <w:vAlign w:val="center"/>
          </w:tcPr>
          <w:p w:rsidR="00013EC7" w:rsidRDefault="00013EC7">
            <w:pPr>
              <w:jc w:val="center"/>
              <w:rPr>
                <w:rFonts w:ascii="黑体" w:eastAsia="黑体" w:hAnsi="宋体" w:cs="黑体"/>
                <w:color w:val="000000"/>
                <w:sz w:val="24"/>
              </w:rPr>
            </w:pPr>
          </w:p>
        </w:tc>
        <w:tc>
          <w:tcPr>
            <w:tcW w:w="3118" w:type="dxa"/>
            <w:vMerge/>
            <w:tcBorders>
              <w:tl2br w:val="nil"/>
              <w:tr2bl w:val="nil"/>
            </w:tcBorders>
            <w:vAlign w:val="center"/>
          </w:tcPr>
          <w:p w:rsidR="00013EC7" w:rsidRDefault="00013EC7">
            <w:pPr>
              <w:jc w:val="center"/>
              <w:rPr>
                <w:rFonts w:ascii="黑体" w:eastAsia="黑体" w:hAnsi="宋体" w:cs="黑体"/>
                <w:color w:val="000000"/>
                <w:sz w:val="24"/>
              </w:rPr>
            </w:pPr>
          </w:p>
        </w:tc>
        <w:tc>
          <w:tcPr>
            <w:tcW w:w="1276" w:type="dxa"/>
            <w:vMerge/>
            <w:tcBorders>
              <w:tl2br w:val="nil"/>
              <w:tr2bl w:val="nil"/>
            </w:tcBorders>
            <w:vAlign w:val="center"/>
          </w:tcPr>
          <w:p w:rsidR="00013EC7" w:rsidRDefault="00013EC7">
            <w:pPr>
              <w:jc w:val="center"/>
              <w:rPr>
                <w:rFonts w:ascii="黑体" w:eastAsia="黑体" w:hAnsi="宋体" w:cs="黑体"/>
                <w:color w:val="000000"/>
                <w:sz w:val="24"/>
              </w:rPr>
            </w:pPr>
          </w:p>
        </w:tc>
        <w:tc>
          <w:tcPr>
            <w:tcW w:w="2268" w:type="dxa"/>
            <w:vMerge/>
            <w:tcBorders>
              <w:tl2br w:val="nil"/>
              <w:tr2bl w:val="nil"/>
            </w:tcBorders>
            <w:vAlign w:val="center"/>
          </w:tcPr>
          <w:p w:rsidR="00013EC7" w:rsidRDefault="00013EC7">
            <w:pPr>
              <w:jc w:val="center"/>
              <w:rPr>
                <w:rFonts w:ascii="黑体" w:eastAsia="黑体" w:hAnsi="宋体" w:cs="黑体"/>
                <w:color w:val="000000"/>
                <w:sz w:val="24"/>
              </w:rPr>
            </w:pPr>
          </w:p>
        </w:tc>
        <w:tc>
          <w:tcPr>
            <w:tcW w:w="567" w:type="dxa"/>
            <w:vMerge/>
            <w:tcBorders>
              <w:tl2br w:val="nil"/>
              <w:tr2bl w:val="nil"/>
            </w:tcBorders>
            <w:vAlign w:val="center"/>
          </w:tcPr>
          <w:p w:rsidR="00013EC7" w:rsidRDefault="00013EC7">
            <w:pPr>
              <w:jc w:val="center"/>
              <w:rPr>
                <w:rFonts w:ascii="黑体" w:eastAsia="黑体" w:hAnsi="宋体" w:cs="黑体"/>
                <w:color w:val="000000"/>
                <w:sz w:val="24"/>
              </w:rPr>
            </w:pPr>
          </w:p>
        </w:tc>
        <w:tc>
          <w:tcPr>
            <w:tcW w:w="851" w:type="dxa"/>
            <w:vMerge/>
            <w:tcBorders>
              <w:tl2br w:val="nil"/>
              <w:tr2bl w:val="nil"/>
            </w:tcBorders>
            <w:vAlign w:val="center"/>
          </w:tcPr>
          <w:p w:rsidR="00013EC7" w:rsidRDefault="00013EC7">
            <w:pPr>
              <w:jc w:val="center"/>
              <w:rPr>
                <w:rFonts w:ascii="黑体" w:eastAsia="黑体" w:hAnsi="宋体" w:cs="黑体"/>
                <w:color w:val="000000"/>
                <w:sz w:val="24"/>
              </w:rPr>
            </w:pPr>
          </w:p>
        </w:tc>
        <w:tc>
          <w:tcPr>
            <w:tcW w:w="708" w:type="dxa"/>
            <w:vMerge/>
            <w:tcBorders>
              <w:tl2br w:val="nil"/>
              <w:tr2bl w:val="nil"/>
            </w:tcBorders>
            <w:vAlign w:val="center"/>
          </w:tcPr>
          <w:p w:rsidR="00013EC7" w:rsidRDefault="00013EC7">
            <w:pPr>
              <w:jc w:val="center"/>
              <w:rPr>
                <w:rFonts w:ascii="黑体" w:eastAsia="黑体" w:hAnsi="宋体" w:cs="黑体"/>
                <w:color w:val="000000"/>
                <w:sz w:val="24"/>
              </w:rPr>
            </w:pPr>
          </w:p>
        </w:tc>
        <w:tc>
          <w:tcPr>
            <w:tcW w:w="993" w:type="dxa"/>
            <w:vMerge/>
            <w:tcBorders>
              <w:tl2br w:val="nil"/>
              <w:tr2bl w:val="nil"/>
            </w:tcBorders>
            <w:vAlign w:val="center"/>
          </w:tcPr>
          <w:p w:rsidR="00013EC7" w:rsidRDefault="00013EC7">
            <w:pPr>
              <w:jc w:val="center"/>
              <w:rPr>
                <w:rFonts w:ascii="黑体" w:eastAsia="黑体" w:hAnsi="宋体" w:cs="黑体"/>
                <w:color w:val="000000"/>
                <w:sz w:val="24"/>
              </w:rPr>
            </w:pPr>
          </w:p>
        </w:tc>
        <w:tc>
          <w:tcPr>
            <w:tcW w:w="978" w:type="dxa"/>
            <w:vMerge/>
            <w:tcBorders>
              <w:tl2br w:val="nil"/>
              <w:tr2bl w:val="nil"/>
            </w:tcBorders>
            <w:vAlign w:val="center"/>
          </w:tcPr>
          <w:p w:rsidR="00013EC7" w:rsidRDefault="00013EC7">
            <w:pPr>
              <w:jc w:val="center"/>
              <w:rPr>
                <w:rFonts w:ascii="黑体" w:eastAsia="黑体" w:hAnsi="宋体" w:cs="黑体"/>
                <w:color w:val="000000"/>
                <w:sz w:val="24"/>
              </w:rPr>
            </w:pPr>
          </w:p>
        </w:tc>
      </w:tr>
      <w:tr w:rsidR="00013EC7">
        <w:trPr>
          <w:trHeight w:val="1532"/>
        </w:trPr>
        <w:tc>
          <w:tcPr>
            <w:tcW w:w="639" w:type="dxa"/>
            <w:vMerge w:val="restart"/>
            <w:tcBorders>
              <w:tl2br w:val="nil"/>
              <w:tr2bl w:val="nil"/>
            </w:tcBorders>
            <w:vAlign w:val="center"/>
          </w:tcPr>
          <w:p w:rsidR="00013EC7" w:rsidRDefault="00575CDB">
            <w:pPr>
              <w:widowControl/>
              <w:jc w:val="left"/>
              <w:textAlignment w:val="center"/>
              <w:rPr>
                <w:rFonts w:ascii="仿宋" w:eastAsia="仿宋" w:hAnsi="仿宋" w:cs="仿宋"/>
                <w:color w:val="000000"/>
                <w:sz w:val="24"/>
              </w:rPr>
            </w:pPr>
            <w:r>
              <w:rPr>
                <w:rFonts w:ascii="仿宋" w:eastAsia="仿宋" w:hAnsi="仿宋" w:cs="仿宋" w:hint="eastAsia"/>
                <w:color w:val="000000"/>
                <w:kern w:val="0"/>
                <w:sz w:val="24"/>
              </w:rPr>
              <w:t>24.常见税收优惠办理</w:t>
            </w:r>
          </w:p>
        </w:tc>
        <w:tc>
          <w:tcPr>
            <w:tcW w:w="510" w:type="dxa"/>
            <w:vMerge w:val="restart"/>
            <w:tcBorders>
              <w:tl2br w:val="nil"/>
              <w:tr2bl w:val="nil"/>
            </w:tcBorders>
            <w:vAlign w:val="center"/>
          </w:tcPr>
          <w:p w:rsidR="00013EC7" w:rsidRDefault="00575CDB">
            <w:pPr>
              <w:widowControl/>
              <w:jc w:val="left"/>
              <w:textAlignment w:val="center"/>
              <w:rPr>
                <w:rFonts w:ascii="仿宋" w:eastAsia="仿宋" w:hAnsi="仿宋" w:cs="仿宋"/>
                <w:color w:val="000000"/>
                <w:sz w:val="24"/>
              </w:rPr>
            </w:pPr>
            <w:r>
              <w:rPr>
                <w:rFonts w:ascii="仿宋" w:eastAsia="仿宋" w:hAnsi="仿宋" w:cs="仿宋" w:hint="eastAsia"/>
                <w:color w:val="000000"/>
                <w:kern w:val="0"/>
                <w:sz w:val="24"/>
              </w:rPr>
              <w:t>24.1增值税优惠备案</w:t>
            </w:r>
          </w:p>
        </w:tc>
        <w:tc>
          <w:tcPr>
            <w:tcW w:w="3544" w:type="dxa"/>
            <w:vMerge w:val="restart"/>
            <w:tcBorders>
              <w:tl2br w:val="nil"/>
              <w:tr2bl w:val="nil"/>
            </w:tcBorders>
            <w:vAlign w:val="center"/>
          </w:tcPr>
          <w:p w:rsidR="00013EC7" w:rsidRDefault="00575CDB">
            <w:pPr>
              <w:widowControl/>
              <w:jc w:val="left"/>
              <w:textAlignment w:val="top"/>
              <w:rPr>
                <w:rFonts w:ascii="仿宋" w:eastAsia="仿宋" w:hAnsi="仿宋" w:cs="仿宋"/>
                <w:color w:val="000000"/>
                <w:kern w:val="0"/>
                <w:sz w:val="24"/>
              </w:rPr>
            </w:pPr>
            <w:r>
              <w:rPr>
                <w:rFonts w:ascii="仿宋" w:eastAsia="仿宋" w:hAnsi="仿宋" w:cs="仿宋" w:hint="eastAsia"/>
                <w:color w:val="000000"/>
                <w:kern w:val="0"/>
                <w:sz w:val="24"/>
              </w:rPr>
              <w:t>（一）《中华人民共和国增值税暂行条例》（2017年中华人民共和国国务院令第691号）第十五条、第十七条。</w:t>
            </w:r>
          </w:p>
          <w:p w:rsidR="00013EC7" w:rsidRDefault="00575CDB">
            <w:pPr>
              <w:widowControl/>
              <w:jc w:val="left"/>
              <w:textAlignment w:val="top"/>
              <w:rPr>
                <w:rFonts w:ascii="仿宋" w:eastAsia="仿宋" w:hAnsi="仿宋" w:cs="仿宋"/>
                <w:color w:val="000000"/>
                <w:kern w:val="0"/>
                <w:sz w:val="24"/>
              </w:rPr>
            </w:pPr>
            <w:r>
              <w:rPr>
                <w:rFonts w:ascii="仿宋" w:eastAsia="仿宋" w:hAnsi="仿宋" w:cs="仿宋" w:hint="eastAsia"/>
                <w:color w:val="000000"/>
                <w:kern w:val="0"/>
                <w:sz w:val="24"/>
              </w:rPr>
              <w:t>（二）《国家税务总局关于纳税人采取“公司+农户”经营模式销售畜禽有关增值税问题的公告》（国家税务总局公告2013年第8号）全文。</w:t>
            </w:r>
          </w:p>
          <w:p w:rsidR="00013EC7" w:rsidRDefault="00575CDB">
            <w:pPr>
              <w:widowControl/>
              <w:jc w:val="left"/>
              <w:textAlignment w:val="top"/>
              <w:rPr>
                <w:rFonts w:ascii="仿宋" w:eastAsia="仿宋" w:hAnsi="仿宋" w:cs="仿宋"/>
                <w:color w:val="000000"/>
                <w:kern w:val="0"/>
                <w:sz w:val="24"/>
              </w:rPr>
            </w:pPr>
            <w:r>
              <w:rPr>
                <w:rFonts w:ascii="仿宋" w:eastAsia="仿宋" w:hAnsi="仿宋" w:cs="仿宋" w:hint="eastAsia"/>
                <w:color w:val="000000"/>
                <w:kern w:val="0"/>
                <w:sz w:val="24"/>
              </w:rPr>
              <w:t>（三）《国家税务总局关于制种行业增值税有关问题的公告》（国家税务总局公告2010年第17号）全文。</w:t>
            </w:r>
          </w:p>
          <w:p w:rsidR="00013EC7" w:rsidRDefault="00575CDB">
            <w:pPr>
              <w:widowControl/>
              <w:jc w:val="left"/>
              <w:textAlignment w:val="top"/>
              <w:rPr>
                <w:rFonts w:ascii="仿宋" w:eastAsia="仿宋" w:hAnsi="仿宋" w:cs="仿宋"/>
                <w:color w:val="000000"/>
                <w:kern w:val="0"/>
                <w:sz w:val="24"/>
              </w:rPr>
            </w:pPr>
            <w:r>
              <w:rPr>
                <w:rFonts w:ascii="仿宋" w:eastAsia="仿宋" w:hAnsi="仿宋" w:cs="仿宋" w:hint="eastAsia"/>
                <w:color w:val="000000"/>
                <w:kern w:val="0"/>
                <w:sz w:val="24"/>
              </w:rPr>
              <w:t>（四）《财政部国家税务总局关于农民专业合作社有关税收政策的通知》（财税〔2008〕81号）第一条、第二条、第三条。</w:t>
            </w:r>
          </w:p>
          <w:p w:rsidR="00013EC7" w:rsidRDefault="00575CDB">
            <w:pPr>
              <w:widowControl/>
              <w:jc w:val="left"/>
              <w:textAlignment w:val="top"/>
              <w:rPr>
                <w:rFonts w:ascii="仿宋" w:eastAsia="仿宋" w:hAnsi="仿宋" w:cs="仿宋"/>
                <w:color w:val="000000"/>
                <w:kern w:val="0"/>
                <w:sz w:val="24"/>
              </w:rPr>
            </w:pPr>
            <w:r>
              <w:rPr>
                <w:rFonts w:ascii="仿宋" w:eastAsia="仿宋" w:hAnsi="仿宋" w:cs="仿宋" w:hint="eastAsia"/>
                <w:color w:val="000000"/>
                <w:kern w:val="0"/>
                <w:sz w:val="24"/>
              </w:rPr>
              <w:t xml:space="preserve">（五）《财政部 国家税务总局关于不带动力的手扶拖拉机和三轮农用运输车增值税政策的通知》 （财税〔2002〕89号）全文。 </w:t>
            </w:r>
          </w:p>
          <w:p w:rsidR="00013EC7" w:rsidRDefault="00575CDB">
            <w:pPr>
              <w:widowControl/>
              <w:jc w:val="left"/>
              <w:textAlignment w:val="top"/>
              <w:rPr>
                <w:rFonts w:ascii="仿宋" w:eastAsia="仿宋" w:hAnsi="仿宋" w:cs="仿宋"/>
                <w:color w:val="000000"/>
                <w:kern w:val="0"/>
                <w:sz w:val="24"/>
              </w:rPr>
            </w:pPr>
            <w:r>
              <w:rPr>
                <w:rFonts w:ascii="仿宋" w:eastAsia="仿宋" w:hAnsi="仿宋" w:cs="仿宋" w:hint="eastAsia"/>
                <w:color w:val="000000"/>
                <w:kern w:val="0"/>
                <w:sz w:val="24"/>
              </w:rPr>
              <w:t>（六）《财政部 国家税务总局关于农业生产资料征免增值税政策</w:t>
            </w:r>
            <w:r>
              <w:rPr>
                <w:rFonts w:ascii="仿宋" w:eastAsia="仿宋" w:hAnsi="仿宋" w:cs="仿宋" w:hint="eastAsia"/>
                <w:color w:val="000000"/>
                <w:kern w:val="0"/>
                <w:sz w:val="24"/>
              </w:rPr>
              <w:lastRenderedPageBreak/>
              <w:t>的通知》 （财税〔2001〕113号）全文。</w:t>
            </w:r>
          </w:p>
          <w:p w:rsidR="00013EC7" w:rsidRDefault="00575CDB">
            <w:pPr>
              <w:widowControl/>
              <w:jc w:val="left"/>
              <w:textAlignment w:val="top"/>
              <w:rPr>
                <w:rFonts w:ascii="仿宋" w:eastAsia="仿宋" w:hAnsi="仿宋" w:cs="仿宋"/>
                <w:color w:val="000000"/>
                <w:kern w:val="0"/>
                <w:sz w:val="24"/>
              </w:rPr>
            </w:pPr>
            <w:r>
              <w:rPr>
                <w:rFonts w:ascii="仿宋" w:eastAsia="仿宋" w:hAnsi="仿宋" w:cs="仿宋" w:hint="eastAsia"/>
                <w:color w:val="000000"/>
                <w:kern w:val="0"/>
                <w:sz w:val="24"/>
              </w:rPr>
              <w:t>（七）《财政部国家税务总局关于粮食企业增值税征免问题的通知》（财税字〔1999〕198号）全文。</w:t>
            </w:r>
          </w:p>
          <w:p w:rsidR="00013EC7" w:rsidRDefault="00575CDB">
            <w:pPr>
              <w:widowControl/>
              <w:jc w:val="left"/>
              <w:textAlignment w:val="top"/>
              <w:rPr>
                <w:rFonts w:ascii="仿宋" w:eastAsia="仿宋" w:hAnsi="仿宋" w:cs="仿宋"/>
                <w:color w:val="000000"/>
                <w:kern w:val="0"/>
                <w:sz w:val="24"/>
              </w:rPr>
            </w:pPr>
            <w:r>
              <w:rPr>
                <w:rFonts w:ascii="仿宋" w:eastAsia="仿宋" w:hAnsi="仿宋" w:cs="仿宋" w:hint="eastAsia"/>
                <w:color w:val="000000"/>
                <w:kern w:val="0"/>
                <w:sz w:val="24"/>
              </w:rPr>
              <w:t>（八）《关于国有粮食购销企业销售粮食免征增值税审批事项取消后有关管理事项的公告》（国家税务总局公告〔2015〕第42号）全文。</w:t>
            </w:r>
          </w:p>
          <w:p w:rsidR="00013EC7" w:rsidRDefault="00575CDB">
            <w:pPr>
              <w:widowControl/>
              <w:jc w:val="left"/>
              <w:textAlignment w:val="top"/>
              <w:rPr>
                <w:rFonts w:ascii="仿宋" w:eastAsia="仿宋" w:hAnsi="仿宋" w:cs="仿宋"/>
                <w:color w:val="000000"/>
                <w:kern w:val="0"/>
                <w:sz w:val="24"/>
              </w:rPr>
            </w:pPr>
            <w:r>
              <w:rPr>
                <w:rFonts w:ascii="仿宋" w:eastAsia="仿宋" w:hAnsi="仿宋" w:cs="仿宋" w:hint="eastAsia"/>
                <w:color w:val="000000"/>
                <w:kern w:val="0"/>
                <w:sz w:val="24"/>
              </w:rPr>
              <w:t>（九）《国家税务总局关于退耕还林还草补助粮免征增值税问题的通知》（国税发〔2001〕131号）全文。</w:t>
            </w:r>
          </w:p>
          <w:p w:rsidR="00013EC7" w:rsidRDefault="00575CDB">
            <w:pPr>
              <w:widowControl/>
              <w:jc w:val="left"/>
              <w:textAlignment w:val="top"/>
              <w:rPr>
                <w:rFonts w:ascii="仿宋" w:eastAsia="仿宋" w:hAnsi="仿宋" w:cs="仿宋"/>
                <w:color w:val="000000"/>
                <w:kern w:val="0"/>
                <w:sz w:val="24"/>
              </w:rPr>
            </w:pPr>
            <w:r>
              <w:rPr>
                <w:rFonts w:ascii="仿宋" w:eastAsia="仿宋" w:hAnsi="仿宋" w:cs="仿宋" w:hint="eastAsia"/>
                <w:color w:val="000000"/>
                <w:kern w:val="0"/>
                <w:sz w:val="24"/>
              </w:rPr>
              <w:t>（十）《财政部国家税务总局关于免征储备大豆增值税政策的通知》（财税〔2014〕38号）全文。</w:t>
            </w:r>
          </w:p>
          <w:p w:rsidR="00013EC7" w:rsidRDefault="00575CDB">
            <w:pPr>
              <w:widowControl/>
              <w:jc w:val="left"/>
              <w:textAlignment w:val="top"/>
              <w:rPr>
                <w:rFonts w:ascii="仿宋" w:eastAsia="仿宋" w:hAnsi="仿宋" w:cs="仿宋"/>
                <w:color w:val="000000"/>
                <w:kern w:val="0"/>
                <w:sz w:val="24"/>
              </w:rPr>
            </w:pPr>
            <w:r>
              <w:rPr>
                <w:rFonts w:ascii="仿宋" w:eastAsia="仿宋" w:hAnsi="仿宋" w:cs="仿宋" w:hint="eastAsia"/>
                <w:color w:val="000000"/>
                <w:kern w:val="0"/>
                <w:sz w:val="24"/>
              </w:rPr>
              <w:t>（十一）《财政部国家税务总局关于黄金税收政策问题的通知》（财税〔2002〕142号）第一条、第二条。</w:t>
            </w:r>
          </w:p>
          <w:p w:rsidR="00013EC7" w:rsidRDefault="00575CDB">
            <w:pPr>
              <w:widowControl/>
              <w:jc w:val="left"/>
              <w:textAlignment w:val="top"/>
              <w:rPr>
                <w:rFonts w:ascii="仿宋" w:eastAsia="仿宋" w:hAnsi="仿宋" w:cs="仿宋"/>
                <w:color w:val="000000"/>
                <w:kern w:val="0"/>
                <w:sz w:val="24"/>
              </w:rPr>
            </w:pPr>
            <w:r>
              <w:rPr>
                <w:rFonts w:ascii="仿宋" w:eastAsia="仿宋" w:hAnsi="仿宋" w:cs="仿宋" w:hint="eastAsia"/>
                <w:color w:val="000000"/>
                <w:kern w:val="0"/>
                <w:sz w:val="24"/>
              </w:rPr>
              <w:t>（十二）《国家税务总局关于纳税人销售伴生金有关增值税问题的公告》（国家税务总局公告〔2011〕第8号）全文。</w:t>
            </w:r>
          </w:p>
          <w:p w:rsidR="00013EC7" w:rsidRDefault="00575CDB">
            <w:pPr>
              <w:widowControl/>
              <w:jc w:val="left"/>
              <w:textAlignment w:val="top"/>
              <w:rPr>
                <w:rFonts w:ascii="仿宋" w:eastAsia="仿宋" w:hAnsi="仿宋" w:cs="仿宋"/>
                <w:color w:val="000000"/>
                <w:kern w:val="0"/>
                <w:sz w:val="24"/>
              </w:rPr>
            </w:pPr>
            <w:r>
              <w:rPr>
                <w:rFonts w:ascii="仿宋" w:eastAsia="仿宋" w:hAnsi="仿宋" w:cs="仿宋" w:hint="eastAsia"/>
                <w:color w:val="000000"/>
                <w:kern w:val="0"/>
                <w:sz w:val="24"/>
              </w:rPr>
              <w:t>（十三）《财政部国家税务总局中国人民银行关于配售出口黄金有关税收规定的通知》（财税〔2000〕3号）第二条。</w:t>
            </w:r>
          </w:p>
          <w:p w:rsidR="00013EC7" w:rsidRDefault="00575CDB">
            <w:pPr>
              <w:widowControl/>
              <w:jc w:val="left"/>
              <w:textAlignment w:val="top"/>
              <w:rPr>
                <w:rFonts w:ascii="仿宋" w:eastAsia="仿宋" w:hAnsi="仿宋" w:cs="仿宋"/>
                <w:color w:val="000000"/>
                <w:kern w:val="0"/>
                <w:sz w:val="24"/>
              </w:rPr>
            </w:pPr>
            <w:r>
              <w:rPr>
                <w:rFonts w:ascii="仿宋" w:eastAsia="仿宋" w:hAnsi="仿宋" w:cs="仿宋" w:hint="eastAsia"/>
                <w:color w:val="000000"/>
                <w:kern w:val="0"/>
                <w:sz w:val="24"/>
              </w:rPr>
              <w:t>（十四）《财政部海关总署国家税务总局关于调整钻石及上海钻</w:t>
            </w:r>
            <w:r>
              <w:rPr>
                <w:rFonts w:ascii="仿宋" w:eastAsia="仿宋" w:hAnsi="仿宋" w:cs="仿宋" w:hint="eastAsia"/>
                <w:color w:val="000000"/>
                <w:kern w:val="0"/>
                <w:sz w:val="24"/>
              </w:rPr>
              <w:lastRenderedPageBreak/>
              <w:t>石交易所有关税收政策的通知》（财税〔2006〕65号）全文。</w:t>
            </w:r>
          </w:p>
          <w:p w:rsidR="00013EC7" w:rsidRDefault="00575CDB">
            <w:pPr>
              <w:widowControl/>
              <w:jc w:val="left"/>
              <w:textAlignment w:val="top"/>
              <w:rPr>
                <w:rFonts w:ascii="仿宋" w:eastAsia="仿宋" w:hAnsi="仿宋" w:cs="仿宋"/>
                <w:color w:val="000000"/>
                <w:kern w:val="0"/>
                <w:sz w:val="24"/>
              </w:rPr>
            </w:pPr>
            <w:r>
              <w:rPr>
                <w:rFonts w:ascii="仿宋" w:eastAsia="仿宋" w:hAnsi="仿宋" w:cs="仿宋" w:hint="eastAsia"/>
                <w:color w:val="000000"/>
                <w:kern w:val="0"/>
                <w:sz w:val="24"/>
              </w:rPr>
              <w:t>（十五）《国家税务总局关于印发〈钻石交易增值税征收管理办法〉的通知》（国税发〔2006〕131号）第六条。</w:t>
            </w:r>
          </w:p>
          <w:p w:rsidR="00013EC7" w:rsidRDefault="00575CDB">
            <w:pPr>
              <w:widowControl/>
              <w:jc w:val="left"/>
              <w:textAlignment w:val="top"/>
              <w:rPr>
                <w:rFonts w:ascii="仿宋" w:eastAsia="仿宋" w:hAnsi="仿宋" w:cs="仿宋"/>
                <w:color w:val="000000"/>
                <w:kern w:val="0"/>
                <w:sz w:val="24"/>
              </w:rPr>
            </w:pPr>
            <w:r>
              <w:rPr>
                <w:rFonts w:ascii="仿宋" w:eastAsia="仿宋" w:hAnsi="仿宋" w:cs="仿宋" w:hint="eastAsia"/>
                <w:color w:val="000000"/>
                <w:kern w:val="0"/>
                <w:sz w:val="24"/>
              </w:rPr>
              <w:t>（十六）《财政部国家税务总局关于血站有关税收问题的通知》（财税字〔1999〕264号）第二条。</w:t>
            </w:r>
          </w:p>
          <w:p w:rsidR="00013EC7" w:rsidRDefault="00575CDB">
            <w:pPr>
              <w:widowControl/>
              <w:jc w:val="left"/>
              <w:textAlignment w:val="top"/>
              <w:rPr>
                <w:rFonts w:ascii="仿宋" w:eastAsia="仿宋" w:hAnsi="仿宋" w:cs="仿宋"/>
                <w:color w:val="000000"/>
                <w:kern w:val="0"/>
                <w:sz w:val="24"/>
              </w:rPr>
            </w:pPr>
            <w:r>
              <w:rPr>
                <w:rFonts w:ascii="仿宋" w:eastAsia="仿宋" w:hAnsi="仿宋" w:cs="仿宋" w:hint="eastAsia"/>
                <w:color w:val="000000"/>
                <w:kern w:val="0"/>
                <w:sz w:val="24"/>
              </w:rPr>
              <w:t>（十七）《财政部国家税务总局关于医疗卫生机构有关税收政策的通知》（财税〔2000〕42号）全文。</w:t>
            </w:r>
          </w:p>
          <w:p w:rsidR="00013EC7" w:rsidRDefault="00575CDB">
            <w:pPr>
              <w:widowControl/>
              <w:jc w:val="left"/>
              <w:textAlignment w:val="top"/>
              <w:rPr>
                <w:rFonts w:ascii="仿宋" w:eastAsia="仿宋" w:hAnsi="仿宋" w:cs="仿宋"/>
                <w:color w:val="000000"/>
                <w:kern w:val="0"/>
                <w:sz w:val="24"/>
              </w:rPr>
            </w:pPr>
            <w:r>
              <w:rPr>
                <w:rFonts w:ascii="仿宋" w:eastAsia="仿宋" w:hAnsi="仿宋" w:cs="仿宋" w:hint="eastAsia"/>
                <w:color w:val="000000"/>
                <w:kern w:val="0"/>
                <w:sz w:val="24"/>
              </w:rPr>
              <w:t>（十八）《财政部国家税务总局关于铁路货车修理免征增值税的通知》（财税〔2001〕54号）全文。</w:t>
            </w:r>
          </w:p>
          <w:p w:rsidR="00013EC7" w:rsidRDefault="00575CDB">
            <w:pPr>
              <w:widowControl/>
              <w:jc w:val="left"/>
              <w:textAlignment w:val="top"/>
              <w:rPr>
                <w:rFonts w:ascii="仿宋" w:eastAsia="仿宋" w:hAnsi="仿宋" w:cs="仿宋"/>
                <w:color w:val="000000"/>
                <w:kern w:val="0"/>
                <w:sz w:val="24"/>
              </w:rPr>
            </w:pPr>
            <w:r>
              <w:rPr>
                <w:rFonts w:ascii="仿宋" w:eastAsia="仿宋" w:hAnsi="仿宋" w:cs="仿宋" w:hint="eastAsia"/>
                <w:color w:val="000000"/>
                <w:kern w:val="0"/>
                <w:sz w:val="24"/>
              </w:rPr>
              <w:t>（十九）《国家税务总局关于中国北方机车车辆工业集团公司所属企业的铁路货车修理业务免征增值税的通知》（国税函〔2001〕862号）全文。</w:t>
            </w:r>
          </w:p>
          <w:p w:rsidR="00013EC7" w:rsidRDefault="00575CDB">
            <w:pPr>
              <w:widowControl/>
              <w:jc w:val="left"/>
              <w:textAlignment w:val="top"/>
              <w:rPr>
                <w:rFonts w:ascii="仿宋" w:eastAsia="仿宋" w:hAnsi="仿宋" w:cs="仿宋"/>
                <w:color w:val="000000"/>
                <w:kern w:val="0"/>
                <w:sz w:val="24"/>
              </w:rPr>
            </w:pPr>
            <w:r>
              <w:rPr>
                <w:rFonts w:ascii="仿宋" w:eastAsia="仿宋" w:hAnsi="仿宋" w:cs="仿宋" w:hint="eastAsia"/>
                <w:color w:val="000000"/>
                <w:kern w:val="0"/>
                <w:sz w:val="24"/>
              </w:rPr>
              <w:t>（二十）《国家税务总局关于中国南方机车车辆工业集团公司所属企业的铁路货车修理业务免征增值税的通知》（国税函〔2001〕1006号）全文。</w:t>
            </w:r>
          </w:p>
          <w:p w:rsidR="00013EC7" w:rsidRDefault="00575CDB">
            <w:pPr>
              <w:widowControl/>
              <w:jc w:val="left"/>
              <w:textAlignment w:val="top"/>
              <w:rPr>
                <w:rFonts w:ascii="仿宋" w:eastAsia="仿宋" w:hAnsi="仿宋" w:cs="仿宋"/>
                <w:color w:val="000000"/>
                <w:kern w:val="0"/>
                <w:sz w:val="24"/>
              </w:rPr>
            </w:pPr>
            <w:r>
              <w:rPr>
                <w:rFonts w:ascii="仿宋" w:eastAsia="仿宋" w:hAnsi="仿宋" w:cs="仿宋" w:hint="eastAsia"/>
                <w:color w:val="000000"/>
                <w:kern w:val="0"/>
                <w:sz w:val="24"/>
              </w:rPr>
              <w:t>（二十一）《财政部国家税务总局关于延续宣传文化增值税和营业税优惠政策的通知》（财税〔2013〕87号）第二条（2017年12月31日止）。</w:t>
            </w:r>
          </w:p>
          <w:p w:rsidR="00013EC7" w:rsidRDefault="00575CDB">
            <w:pPr>
              <w:widowControl/>
              <w:jc w:val="left"/>
              <w:textAlignment w:val="top"/>
              <w:rPr>
                <w:rFonts w:ascii="仿宋" w:eastAsia="仿宋" w:hAnsi="仿宋" w:cs="仿宋"/>
                <w:color w:val="000000"/>
                <w:kern w:val="0"/>
                <w:sz w:val="24"/>
              </w:rPr>
            </w:pPr>
            <w:r>
              <w:rPr>
                <w:rFonts w:ascii="仿宋" w:eastAsia="仿宋" w:hAnsi="仿宋" w:cs="仿宋" w:hint="eastAsia"/>
                <w:color w:val="000000"/>
                <w:kern w:val="0"/>
                <w:sz w:val="24"/>
              </w:rPr>
              <w:lastRenderedPageBreak/>
              <w:t>（二十二）《财政部 国家税务总局关于延长边销茶增值税政策执行期限的通知》（财税〔2016〕73号）全文。</w:t>
            </w:r>
          </w:p>
          <w:p w:rsidR="00013EC7" w:rsidRDefault="00575CDB">
            <w:pPr>
              <w:widowControl/>
              <w:jc w:val="left"/>
              <w:textAlignment w:val="top"/>
              <w:rPr>
                <w:rFonts w:ascii="仿宋" w:eastAsia="仿宋" w:hAnsi="仿宋" w:cs="仿宋"/>
                <w:color w:val="000000"/>
                <w:kern w:val="0"/>
                <w:sz w:val="24"/>
              </w:rPr>
            </w:pPr>
            <w:r>
              <w:rPr>
                <w:rFonts w:ascii="仿宋" w:eastAsia="仿宋" w:hAnsi="仿宋" w:cs="仿宋" w:hint="eastAsia"/>
                <w:color w:val="000000"/>
                <w:kern w:val="0"/>
                <w:sz w:val="24"/>
              </w:rPr>
              <w:t>（二十三）《财政部 国家税务总局关于全面推开营业税改征增值税试点的通知》（财税〔2016〕36号）附件3。</w:t>
            </w:r>
          </w:p>
          <w:p w:rsidR="00013EC7" w:rsidRDefault="00575CDB">
            <w:pPr>
              <w:widowControl/>
              <w:jc w:val="left"/>
              <w:textAlignment w:val="top"/>
              <w:rPr>
                <w:rFonts w:ascii="仿宋" w:eastAsia="仿宋" w:hAnsi="仿宋" w:cs="仿宋"/>
                <w:color w:val="000000"/>
                <w:kern w:val="0"/>
                <w:sz w:val="24"/>
              </w:rPr>
            </w:pPr>
            <w:r>
              <w:rPr>
                <w:rFonts w:ascii="仿宋" w:eastAsia="仿宋" w:hAnsi="仿宋" w:cs="仿宋" w:hint="eastAsia"/>
                <w:color w:val="000000"/>
                <w:kern w:val="0"/>
                <w:sz w:val="24"/>
              </w:rPr>
              <w:t>（二十四）《财政部 国家税务总局关于促进残疾人就业增值税政策的通知》（财税〔2016〕52号）第八条。</w:t>
            </w:r>
          </w:p>
          <w:p w:rsidR="00013EC7" w:rsidRDefault="00575CDB">
            <w:pPr>
              <w:widowControl/>
              <w:jc w:val="left"/>
              <w:textAlignment w:val="top"/>
              <w:rPr>
                <w:rFonts w:ascii="仿宋" w:eastAsia="仿宋" w:hAnsi="仿宋" w:cs="仿宋"/>
                <w:color w:val="000000"/>
                <w:kern w:val="0"/>
                <w:sz w:val="24"/>
              </w:rPr>
            </w:pPr>
            <w:r>
              <w:rPr>
                <w:rFonts w:ascii="仿宋" w:eastAsia="仿宋" w:hAnsi="仿宋" w:cs="仿宋" w:hint="eastAsia"/>
                <w:color w:val="000000"/>
                <w:kern w:val="0"/>
                <w:sz w:val="24"/>
              </w:rPr>
              <w:t>（二十五）《财政部 国家税务总局关于免征农村电网维护费增值税问题的通知》（财税字〔1998〕47号）全文。</w:t>
            </w:r>
          </w:p>
          <w:p w:rsidR="00013EC7" w:rsidRDefault="00575CDB">
            <w:pPr>
              <w:widowControl/>
              <w:jc w:val="left"/>
              <w:textAlignment w:val="top"/>
              <w:rPr>
                <w:rFonts w:ascii="仿宋" w:eastAsia="仿宋" w:hAnsi="仿宋" w:cs="仿宋"/>
                <w:color w:val="000000"/>
                <w:kern w:val="0"/>
                <w:sz w:val="24"/>
              </w:rPr>
            </w:pPr>
            <w:r>
              <w:rPr>
                <w:rFonts w:ascii="仿宋" w:eastAsia="仿宋" w:hAnsi="仿宋" w:cs="仿宋" w:hint="eastAsia"/>
                <w:color w:val="000000"/>
                <w:kern w:val="0"/>
                <w:sz w:val="24"/>
              </w:rPr>
              <w:t>（二十六）《国家税务总局关于农村电网维护费征免增值税问题的通知》（国税函〔2009〕591号）全文。</w:t>
            </w:r>
          </w:p>
          <w:p w:rsidR="00013EC7" w:rsidRDefault="00575CDB">
            <w:pPr>
              <w:widowControl/>
              <w:jc w:val="left"/>
              <w:textAlignment w:val="top"/>
              <w:rPr>
                <w:rFonts w:ascii="仿宋" w:eastAsia="仿宋" w:hAnsi="仿宋" w:cs="仿宋"/>
                <w:color w:val="000000"/>
                <w:kern w:val="0"/>
                <w:sz w:val="24"/>
              </w:rPr>
            </w:pPr>
            <w:r>
              <w:rPr>
                <w:rFonts w:ascii="仿宋" w:eastAsia="仿宋" w:hAnsi="仿宋" w:cs="仿宋" w:hint="eastAsia"/>
                <w:color w:val="000000"/>
                <w:kern w:val="0"/>
                <w:sz w:val="24"/>
              </w:rPr>
              <w:t>（二十七）《财政部 国家税务总局关于延续免征国产抗艾滋病病毒药品增值税政策的通知》 （财税〔2016〕97号）全文。</w:t>
            </w:r>
          </w:p>
          <w:p w:rsidR="00013EC7" w:rsidRDefault="00575CDB">
            <w:pPr>
              <w:widowControl/>
              <w:jc w:val="left"/>
              <w:textAlignment w:val="top"/>
              <w:rPr>
                <w:rFonts w:ascii="仿宋" w:eastAsia="仿宋" w:hAnsi="仿宋" w:cs="仿宋"/>
                <w:color w:val="000000"/>
                <w:kern w:val="0"/>
                <w:sz w:val="24"/>
              </w:rPr>
            </w:pPr>
            <w:r>
              <w:rPr>
                <w:rFonts w:ascii="仿宋" w:eastAsia="仿宋" w:hAnsi="仿宋" w:cs="仿宋" w:hint="eastAsia"/>
                <w:color w:val="000000"/>
                <w:kern w:val="0"/>
                <w:sz w:val="24"/>
              </w:rPr>
              <w:t>（二十八）《财政部 国家税务总局关于免征部分鲜活肉蛋产品流通环节增值税政策的通知》（财税〔2012〕75号）全文。</w:t>
            </w:r>
          </w:p>
          <w:p w:rsidR="00013EC7" w:rsidRDefault="00575CDB">
            <w:pPr>
              <w:widowControl/>
              <w:jc w:val="left"/>
              <w:textAlignment w:val="top"/>
              <w:rPr>
                <w:rFonts w:ascii="仿宋" w:eastAsia="仿宋" w:hAnsi="仿宋" w:cs="仿宋"/>
                <w:color w:val="000000"/>
                <w:kern w:val="0"/>
                <w:sz w:val="24"/>
              </w:rPr>
            </w:pPr>
            <w:r>
              <w:rPr>
                <w:rFonts w:ascii="仿宋" w:eastAsia="仿宋" w:hAnsi="仿宋" w:cs="仿宋" w:hint="eastAsia"/>
                <w:color w:val="000000"/>
                <w:kern w:val="0"/>
                <w:sz w:val="24"/>
              </w:rPr>
              <w:t>（二十九）《财政部 国家税务总局关于免征蔬菜流通环节增值税有关问题的通知》（财税〔2011〕137号）全文。</w:t>
            </w:r>
          </w:p>
          <w:p w:rsidR="00013EC7" w:rsidRDefault="00575CDB">
            <w:pPr>
              <w:widowControl/>
              <w:jc w:val="left"/>
              <w:textAlignment w:val="top"/>
              <w:rPr>
                <w:rFonts w:ascii="仿宋" w:eastAsia="仿宋" w:hAnsi="仿宋" w:cs="仿宋"/>
                <w:color w:val="000000"/>
                <w:kern w:val="0"/>
                <w:sz w:val="24"/>
              </w:rPr>
            </w:pPr>
            <w:r>
              <w:rPr>
                <w:rFonts w:ascii="仿宋" w:eastAsia="仿宋" w:hAnsi="仿宋" w:cs="仿宋" w:hint="eastAsia"/>
                <w:color w:val="000000"/>
                <w:kern w:val="0"/>
                <w:sz w:val="24"/>
              </w:rPr>
              <w:t>（三十）《财政部 国家税务总局关于中国邮政集团公司邮政速递</w:t>
            </w:r>
            <w:r>
              <w:rPr>
                <w:rFonts w:ascii="仿宋" w:eastAsia="仿宋" w:hAnsi="仿宋" w:cs="仿宋" w:hint="eastAsia"/>
                <w:color w:val="000000"/>
                <w:kern w:val="0"/>
                <w:sz w:val="24"/>
              </w:rPr>
              <w:lastRenderedPageBreak/>
              <w:t>物流业务重组改制有关税收问题的通知》（财税〔2011〕116号）第一条。</w:t>
            </w:r>
          </w:p>
          <w:p w:rsidR="00013EC7" w:rsidRDefault="00575CDB">
            <w:pPr>
              <w:widowControl/>
              <w:jc w:val="left"/>
              <w:textAlignment w:val="top"/>
              <w:rPr>
                <w:rFonts w:ascii="仿宋" w:eastAsia="仿宋" w:hAnsi="仿宋" w:cs="仿宋"/>
                <w:color w:val="000000"/>
                <w:kern w:val="0"/>
                <w:sz w:val="24"/>
              </w:rPr>
            </w:pPr>
            <w:r>
              <w:rPr>
                <w:rFonts w:ascii="仿宋" w:eastAsia="仿宋" w:hAnsi="仿宋" w:cs="仿宋" w:hint="eastAsia"/>
                <w:color w:val="000000"/>
                <w:kern w:val="0"/>
                <w:sz w:val="24"/>
              </w:rPr>
              <w:t>（三十一）《财政部国家税务总局关于中国邮政储蓄银行改制上市有关税收政策的通知》（财税〔2013〕53号）第三条。</w:t>
            </w:r>
          </w:p>
          <w:p w:rsidR="00013EC7" w:rsidRDefault="00575CDB">
            <w:pPr>
              <w:widowControl/>
              <w:jc w:val="left"/>
              <w:textAlignment w:val="top"/>
              <w:rPr>
                <w:rFonts w:ascii="仿宋" w:eastAsia="仿宋" w:hAnsi="仿宋" w:cs="仿宋"/>
                <w:color w:val="000000"/>
                <w:kern w:val="0"/>
                <w:sz w:val="24"/>
              </w:rPr>
            </w:pPr>
            <w:r>
              <w:rPr>
                <w:rFonts w:ascii="仿宋" w:eastAsia="仿宋" w:hAnsi="仿宋" w:cs="仿宋" w:hint="eastAsia"/>
                <w:color w:val="000000"/>
                <w:kern w:val="0"/>
                <w:sz w:val="24"/>
              </w:rPr>
              <w:t>（三十二）《财政部国家税务总局关于中国联合网络通信集团有限公司转让CDMA网及其用户资产企业合并资产整合过程中涉及的增值税营业税印花税和土地增值税政策问题的通知》（财税〔2011〕13号）第一条、第二条。</w:t>
            </w:r>
          </w:p>
          <w:p w:rsidR="00013EC7" w:rsidRDefault="00575CDB">
            <w:pPr>
              <w:widowControl/>
              <w:jc w:val="left"/>
              <w:textAlignment w:val="top"/>
              <w:rPr>
                <w:rFonts w:ascii="仿宋" w:eastAsia="仿宋" w:hAnsi="仿宋" w:cs="仿宋"/>
                <w:color w:val="000000"/>
                <w:kern w:val="0"/>
                <w:sz w:val="24"/>
              </w:rPr>
            </w:pPr>
            <w:r>
              <w:rPr>
                <w:rFonts w:ascii="仿宋" w:eastAsia="仿宋" w:hAnsi="仿宋" w:cs="仿宋" w:hint="eastAsia"/>
                <w:color w:val="000000"/>
                <w:kern w:val="0"/>
                <w:sz w:val="24"/>
              </w:rPr>
              <w:t>（三十三）《财政部国家税务总局关于继续实行农村饮水安全工程建设运营税收优惠政策的通知》（财税〔2016〕19号）第四条。</w:t>
            </w:r>
          </w:p>
          <w:p w:rsidR="00013EC7" w:rsidRDefault="00575CDB">
            <w:pPr>
              <w:widowControl/>
              <w:jc w:val="left"/>
              <w:textAlignment w:val="top"/>
              <w:rPr>
                <w:rFonts w:ascii="仿宋" w:eastAsia="仿宋" w:hAnsi="仿宋" w:cs="仿宋"/>
                <w:color w:val="000000"/>
                <w:kern w:val="0"/>
                <w:sz w:val="24"/>
              </w:rPr>
            </w:pPr>
            <w:r>
              <w:rPr>
                <w:rFonts w:ascii="仿宋" w:eastAsia="仿宋" w:hAnsi="仿宋" w:cs="仿宋" w:hint="eastAsia"/>
                <w:color w:val="000000"/>
                <w:kern w:val="0"/>
                <w:sz w:val="24"/>
              </w:rPr>
              <w:t>（三十四）《财政部国家税务总局关于支持农村饮水安全工程建设运营税收政策的通知》（财税〔2012〕30号）全文。</w:t>
            </w:r>
          </w:p>
          <w:p w:rsidR="00013EC7" w:rsidRDefault="00575CDB">
            <w:pPr>
              <w:widowControl/>
              <w:jc w:val="left"/>
              <w:textAlignment w:val="top"/>
              <w:rPr>
                <w:rFonts w:ascii="仿宋" w:eastAsia="仿宋" w:hAnsi="仿宋" w:cs="仿宋"/>
                <w:color w:val="000000"/>
                <w:kern w:val="0"/>
                <w:sz w:val="24"/>
              </w:rPr>
            </w:pPr>
            <w:r>
              <w:rPr>
                <w:rFonts w:ascii="仿宋" w:eastAsia="仿宋" w:hAnsi="仿宋" w:cs="仿宋" w:hint="eastAsia"/>
                <w:color w:val="000000"/>
                <w:kern w:val="0"/>
                <w:sz w:val="24"/>
              </w:rPr>
              <w:t>（三十五）《财政部国家税务总局关于熊猫普制金币免征增值税政策的通知》（财税〔2012〕97号）全文。</w:t>
            </w:r>
          </w:p>
          <w:p w:rsidR="00013EC7" w:rsidRDefault="00575CDB">
            <w:pPr>
              <w:widowControl/>
              <w:jc w:val="left"/>
              <w:textAlignment w:val="top"/>
              <w:rPr>
                <w:rFonts w:ascii="仿宋" w:eastAsia="仿宋" w:hAnsi="仿宋" w:cs="仿宋"/>
                <w:color w:val="000000"/>
                <w:kern w:val="0"/>
                <w:sz w:val="24"/>
              </w:rPr>
            </w:pPr>
            <w:r>
              <w:rPr>
                <w:rFonts w:ascii="仿宋" w:eastAsia="仿宋" w:hAnsi="仿宋" w:cs="仿宋" w:hint="eastAsia"/>
                <w:color w:val="000000"/>
                <w:kern w:val="0"/>
                <w:sz w:val="24"/>
              </w:rPr>
              <w:t>（三十六）《国家税务总局关于发布〈熊猫普制金币免征增值税管理办法（试行）〉的公告》</w:t>
            </w:r>
            <w:r>
              <w:rPr>
                <w:rFonts w:ascii="仿宋" w:eastAsia="仿宋" w:hAnsi="仿宋" w:cs="仿宋" w:hint="eastAsia"/>
                <w:color w:val="000000"/>
                <w:kern w:val="0"/>
                <w:sz w:val="24"/>
              </w:rPr>
              <w:lastRenderedPageBreak/>
              <w:t>（国家税务总局公告〔2013〕第6号）第二条、第三条。</w:t>
            </w:r>
          </w:p>
          <w:p w:rsidR="00013EC7" w:rsidRDefault="00575CDB">
            <w:pPr>
              <w:widowControl/>
              <w:jc w:val="left"/>
              <w:textAlignment w:val="top"/>
              <w:rPr>
                <w:rFonts w:ascii="仿宋" w:eastAsia="仿宋" w:hAnsi="仿宋" w:cs="仿宋"/>
                <w:color w:val="000000"/>
                <w:kern w:val="0"/>
                <w:sz w:val="24"/>
              </w:rPr>
            </w:pPr>
            <w:r>
              <w:rPr>
                <w:rFonts w:ascii="仿宋" w:eastAsia="仿宋" w:hAnsi="仿宋" w:cs="仿宋" w:hint="eastAsia"/>
                <w:color w:val="000000"/>
                <w:kern w:val="0"/>
                <w:sz w:val="24"/>
              </w:rPr>
              <w:t>（三十七）《财政部 国家税务总局关于继续执行高校学生公寓和食堂有关税收政策的通知》 （财税〔2016〕82号）第二条、第三条。</w:t>
            </w:r>
          </w:p>
          <w:p w:rsidR="00013EC7" w:rsidRDefault="00575CDB">
            <w:pPr>
              <w:widowControl/>
              <w:jc w:val="left"/>
              <w:textAlignment w:val="top"/>
              <w:rPr>
                <w:rFonts w:ascii="仿宋" w:eastAsia="仿宋" w:hAnsi="仿宋" w:cs="仿宋"/>
                <w:color w:val="000000"/>
                <w:kern w:val="0"/>
                <w:sz w:val="24"/>
              </w:rPr>
            </w:pPr>
            <w:r>
              <w:rPr>
                <w:rFonts w:ascii="仿宋" w:eastAsia="仿宋" w:hAnsi="仿宋" w:cs="仿宋" w:hint="eastAsia"/>
                <w:color w:val="000000"/>
                <w:kern w:val="0"/>
                <w:sz w:val="24"/>
              </w:rPr>
              <w:t>（三十八）《财政部国家税务总局关于被撤销金融机构有关税收政策问题的通知》（财税〔2003〕141号）第二条第四款。</w:t>
            </w:r>
          </w:p>
          <w:p w:rsidR="00013EC7" w:rsidRDefault="00575CDB">
            <w:pPr>
              <w:widowControl/>
              <w:jc w:val="left"/>
              <w:textAlignment w:val="top"/>
              <w:rPr>
                <w:rFonts w:ascii="仿宋" w:eastAsia="仿宋" w:hAnsi="仿宋" w:cs="仿宋"/>
                <w:color w:val="000000"/>
                <w:kern w:val="0"/>
                <w:sz w:val="24"/>
              </w:rPr>
            </w:pPr>
            <w:r>
              <w:rPr>
                <w:rFonts w:ascii="仿宋" w:eastAsia="仿宋" w:hAnsi="仿宋" w:cs="仿宋" w:hint="eastAsia"/>
                <w:color w:val="000000"/>
                <w:kern w:val="0"/>
                <w:sz w:val="24"/>
              </w:rPr>
              <w:t>（三十九）《财政部国家税务总局中宣部关于下发红旗出版社有限责任公司等中央所属转制文化企业名单的通知》（财税〔2011〕3号）全文。</w:t>
            </w:r>
          </w:p>
          <w:p w:rsidR="00013EC7" w:rsidRDefault="00575CDB">
            <w:pPr>
              <w:widowControl/>
              <w:jc w:val="left"/>
              <w:textAlignment w:val="top"/>
              <w:rPr>
                <w:rFonts w:ascii="仿宋" w:eastAsia="仿宋" w:hAnsi="仿宋" w:cs="仿宋"/>
                <w:color w:val="000000"/>
                <w:kern w:val="0"/>
                <w:sz w:val="24"/>
              </w:rPr>
            </w:pPr>
            <w:r>
              <w:rPr>
                <w:rFonts w:ascii="仿宋" w:eastAsia="仿宋" w:hAnsi="仿宋" w:cs="仿宋" w:hint="eastAsia"/>
                <w:color w:val="000000"/>
                <w:kern w:val="0"/>
                <w:sz w:val="24"/>
              </w:rPr>
              <w:t>（四十）《财政部国家税务总局中宣部关于下发人民网股份有限公司等81家中央所属转制文化企业名单的通知》（财税〔2011〕27号）全文。</w:t>
            </w:r>
          </w:p>
          <w:p w:rsidR="00013EC7" w:rsidRDefault="00575CDB">
            <w:pPr>
              <w:widowControl/>
              <w:jc w:val="left"/>
              <w:textAlignment w:val="top"/>
              <w:rPr>
                <w:rFonts w:ascii="仿宋" w:eastAsia="仿宋" w:hAnsi="仿宋" w:cs="仿宋"/>
                <w:color w:val="000000"/>
                <w:kern w:val="0"/>
                <w:sz w:val="24"/>
              </w:rPr>
            </w:pPr>
            <w:r>
              <w:rPr>
                <w:rFonts w:ascii="仿宋" w:eastAsia="仿宋" w:hAnsi="仿宋" w:cs="仿宋" w:hint="eastAsia"/>
                <w:color w:val="000000"/>
                <w:kern w:val="0"/>
                <w:sz w:val="24"/>
              </w:rPr>
              <w:t>（四十一）《财政部国家税务总局中宣部关于下发世界知识出版社等35家中央所属转制文化企业名单的通知》（财税〔2011〕120号）全文。</w:t>
            </w:r>
          </w:p>
          <w:p w:rsidR="00013EC7" w:rsidRDefault="00575CDB">
            <w:pPr>
              <w:widowControl/>
              <w:jc w:val="left"/>
              <w:textAlignment w:val="top"/>
              <w:rPr>
                <w:rFonts w:ascii="仿宋" w:eastAsia="仿宋" w:hAnsi="仿宋" w:cs="仿宋"/>
                <w:color w:val="000000"/>
                <w:kern w:val="0"/>
                <w:sz w:val="24"/>
              </w:rPr>
            </w:pPr>
            <w:r>
              <w:rPr>
                <w:rFonts w:ascii="仿宋" w:eastAsia="仿宋" w:hAnsi="仿宋" w:cs="仿宋" w:hint="eastAsia"/>
                <w:color w:val="000000"/>
                <w:kern w:val="0"/>
                <w:sz w:val="24"/>
              </w:rPr>
              <w:t>（四十二）《财政部国家税务总局中宣部关于发布《中国减灾》杂志社等14家中央所属转制文化企业名单的通知》（财税〔2015〕25号）全文。</w:t>
            </w:r>
          </w:p>
          <w:p w:rsidR="00013EC7" w:rsidRDefault="00575CDB">
            <w:pPr>
              <w:widowControl/>
              <w:jc w:val="left"/>
              <w:textAlignment w:val="top"/>
              <w:rPr>
                <w:rFonts w:ascii="仿宋" w:eastAsia="仿宋" w:hAnsi="仿宋" w:cs="仿宋"/>
                <w:color w:val="000000"/>
                <w:kern w:val="0"/>
                <w:sz w:val="24"/>
              </w:rPr>
            </w:pPr>
            <w:r>
              <w:rPr>
                <w:rFonts w:ascii="仿宋" w:eastAsia="仿宋" w:hAnsi="仿宋" w:cs="仿宋" w:hint="eastAsia"/>
                <w:color w:val="000000"/>
                <w:kern w:val="0"/>
                <w:sz w:val="24"/>
              </w:rPr>
              <w:t>（四十三）《财政部国家税务总局中宣部关于继续实施文化体制</w:t>
            </w:r>
            <w:r>
              <w:rPr>
                <w:rFonts w:ascii="仿宋" w:eastAsia="仿宋" w:hAnsi="仿宋" w:cs="仿宋" w:hint="eastAsia"/>
                <w:color w:val="000000"/>
                <w:kern w:val="0"/>
                <w:sz w:val="24"/>
              </w:rPr>
              <w:lastRenderedPageBreak/>
              <w:t>改革中经营性文化事业单位转制为企业若干税收政策的通知》（财税〔2014〕84号）第一条第（三）项，第（四）项。</w:t>
            </w:r>
          </w:p>
          <w:p w:rsidR="00013EC7" w:rsidRDefault="00575CDB">
            <w:pPr>
              <w:widowControl/>
              <w:jc w:val="left"/>
              <w:textAlignment w:val="top"/>
              <w:rPr>
                <w:rFonts w:ascii="仿宋" w:eastAsia="仿宋" w:hAnsi="仿宋" w:cs="仿宋"/>
                <w:color w:val="000000"/>
                <w:kern w:val="0"/>
                <w:sz w:val="24"/>
              </w:rPr>
            </w:pPr>
            <w:r>
              <w:rPr>
                <w:rFonts w:ascii="仿宋" w:eastAsia="仿宋" w:hAnsi="仿宋" w:cs="仿宋" w:hint="eastAsia"/>
                <w:color w:val="000000"/>
                <w:kern w:val="0"/>
                <w:sz w:val="24"/>
              </w:rPr>
              <w:t>（四十四）《财政部国家税务总局关于继续执行有线电视收视费增值税政策的通知》（财税〔2017〕35号）全文。</w:t>
            </w:r>
          </w:p>
          <w:p w:rsidR="00013EC7" w:rsidRDefault="00575CDB">
            <w:pPr>
              <w:widowControl/>
              <w:jc w:val="left"/>
              <w:textAlignment w:val="top"/>
              <w:rPr>
                <w:rFonts w:ascii="仿宋" w:eastAsia="仿宋" w:hAnsi="仿宋" w:cs="仿宋"/>
                <w:color w:val="000000"/>
                <w:kern w:val="0"/>
                <w:sz w:val="24"/>
              </w:rPr>
            </w:pPr>
            <w:r>
              <w:rPr>
                <w:rFonts w:ascii="仿宋" w:eastAsia="仿宋" w:hAnsi="仿宋" w:cs="仿宋" w:hint="eastAsia"/>
                <w:color w:val="000000"/>
                <w:kern w:val="0"/>
                <w:sz w:val="24"/>
              </w:rPr>
              <w:t>（四十五）《财政部国家税务总局关于免征滴灌带和滴灌管产品增值税的通知》（财税〔2007〕83号）全文。</w:t>
            </w:r>
          </w:p>
          <w:p w:rsidR="00013EC7" w:rsidRDefault="00575CDB">
            <w:pPr>
              <w:widowControl/>
              <w:jc w:val="left"/>
              <w:textAlignment w:val="top"/>
              <w:rPr>
                <w:rFonts w:ascii="仿宋" w:eastAsia="仿宋" w:hAnsi="仿宋" w:cs="仿宋"/>
                <w:color w:val="000000"/>
                <w:kern w:val="0"/>
                <w:sz w:val="24"/>
              </w:rPr>
            </w:pPr>
            <w:r>
              <w:rPr>
                <w:rFonts w:ascii="仿宋" w:eastAsia="仿宋" w:hAnsi="仿宋" w:cs="仿宋" w:hint="eastAsia"/>
                <w:color w:val="000000"/>
                <w:kern w:val="0"/>
                <w:sz w:val="24"/>
              </w:rPr>
              <w:t>（四十六）《财政部国家税务总局关于有机肥产品免征增值税的通知》（财税〔2008〕56号）全文。</w:t>
            </w:r>
          </w:p>
          <w:p w:rsidR="00013EC7" w:rsidRDefault="00575CDB">
            <w:pPr>
              <w:widowControl/>
              <w:jc w:val="left"/>
              <w:textAlignment w:val="top"/>
              <w:rPr>
                <w:rFonts w:ascii="仿宋" w:eastAsia="仿宋" w:hAnsi="仿宋" w:cs="仿宋"/>
                <w:color w:val="000000"/>
                <w:kern w:val="0"/>
                <w:sz w:val="24"/>
              </w:rPr>
            </w:pPr>
            <w:r>
              <w:rPr>
                <w:rFonts w:ascii="仿宋" w:eastAsia="仿宋" w:hAnsi="仿宋" w:cs="仿宋" w:hint="eastAsia"/>
                <w:color w:val="000000"/>
                <w:kern w:val="0"/>
                <w:sz w:val="24"/>
              </w:rPr>
              <w:t>（四十七）《国家税务总局关于明确有机肥产品执行标准的公告》（国家税务总局公告2015年第86号）全文。</w:t>
            </w:r>
          </w:p>
          <w:p w:rsidR="00013EC7" w:rsidRDefault="00575CDB">
            <w:pPr>
              <w:widowControl/>
              <w:jc w:val="left"/>
              <w:textAlignment w:val="top"/>
              <w:rPr>
                <w:rFonts w:ascii="仿宋" w:eastAsia="仿宋" w:hAnsi="仿宋" w:cs="仿宋"/>
                <w:color w:val="000000"/>
                <w:kern w:val="0"/>
                <w:sz w:val="24"/>
              </w:rPr>
            </w:pPr>
            <w:r>
              <w:rPr>
                <w:rFonts w:ascii="仿宋" w:eastAsia="仿宋" w:hAnsi="仿宋" w:cs="仿宋" w:hint="eastAsia"/>
                <w:color w:val="000000"/>
                <w:kern w:val="0"/>
                <w:sz w:val="24"/>
              </w:rPr>
              <w:t>（四十八）《财政部 国家税务总局关于享受资源综合利用增值税优惠政策的纳税人执行污染物排放标准有关问题的通知》（财税〔2013〕23号）全文。</w:t>
            </w:r>
          </w:p>
          <w:p w:rsidR="00013EC7" w:rsidRDefault="00575CDB">
            <w:pPr>
              <w:widowControl/>
              <w:jc w:val="left"/>
              <w:textAlignment w:val="top"/>
              <w:rPr>
                <w:rFonts w:ascii="仿宋" w:eastAsia="仿宋" w:hAnsi="仿宋" w:cs="仿宋"/>
                <w:color w:val="000000"/>
                <w:kern w:val="0"/>
                <w:sz w:val="24"/>
              </w:rPr>
            </w:pPr>
            <w:r>
              <w:rPr>
                <w:rFonts w:ascii="仿宋" w:eastAsia="仿宋" w:hAnsi="仿宋" w:cs="仿宋" w:hint="eastAsia"/>
                <w:color w:val="000000"/>
                <w:kern w:val="0"/>
                <w:sz w:val="24"/>
              </w:rPr>
              <w:t>（四十九）《财政部 国家税务总局关于饲料产品免征增值税问题的通知》（财税〔2001〕121号）全文。</w:t>
            </w:r>
          </w:p>
          <w:p w:rsidR="00013EC7" w:rsidRDefault="00575CDB">
            <w:pPr>
              <w:widowControl/>
              <w:jc w:val="left"/>
              <w:textAlignment w:val="top"/>
              <w:rPr>
                <w:rFonts w:ascii="仿宋" w:eastAsia="仿宋" w:hAnsi="仿宋" w:cs="仿宋"/>
                <w:color w:val="000000"/>
                <w:kern w:val="0"/>
                <w:sz w:val="24"/>
              </w:rPr>
            </w:pPr>
            <w:r>
              <w:rPr>
                <w:rFonts w:ascii="仿宋" w:eastAsia="仿宋" w:hAnsi="仿宋" w:cs="仿宋" w:hint="eastAsia"/>
                <w:color w:val="000000"/>
                <w:kern w:val="0"/>
                <w:sz w:val="24"/>
              </w:rPr>
              <w:t>（五十）《国家税务总局关于精料补充料免征增值税问题的公</w:t>
            </w:r>
            <w:r>
              <w:rPr>
                <w:rFonts w:ascii="仿宋" w:eastAsia="仿宋" w:hAnsi="仿宋" w:cs="仿宋" w:hint="eastAsia"/>
                <w:color w:val="000000"/>
                <w:kern w:val="0"/>
                <w:sz w:val="24"/>
              </w:rPr>
              <w:lastRenderedPageBreak/>
              <w:t>告》（国家税务总局公告2013年第46号）全文。</w:t>
            </w:r>
          </w:p>
          <w:p w:rsidR="00013EC7" w:rsidRDefault="00575CDB">
            <w:pPr>
              <w:widowControl/>
              <w:jc w:val="left"/>
              <w:textAlignment w:val="top"/>
              <w:rPr>
                <w:rFonts w:ascii="仿宋" w:eastAsia="仿宋" w:hAnsi="仿宋" w:cs="仿宋"/>
                <w:color w:val="000000"/>
                <w:kern w:val="0"/>
                <w:sz w:val="24"/>
              </w:rPr>
            </w:pPr>
            <w:r>
              <w:rPr>
                <w:rFonts w:ascii="仿宋" w:eastAsia="仿宋" w:hAnsi="仿宋" w:cs="仿宋" w:hint="eastAsia"/>
                <w:color w:val="000000"/>
                <w:kern w:val="0"/>
                <w:sz w:val="24"/>
              </w:rPr>
              <w:t>（五十一）《国家税务总局关于矿物质微量元素舔砖免征增值税问题的批复》（国税函〔2005〕1127号）全文。</w:t>
            </w:r>
          </w:p>
          <w:p w:rsidR="00013EC7" w:rsidRDefault="00575CDB">
            <w:pPr>
              <w:widowControl/>
              <w:jc w:val="left"/>
              <w:textAlignment w:val="top"/>
              <w:rPr>
                <w:rFonts w:ascii="仿宋" w:eastAsia="仿宋" w:hAnsi="仿宋" w:cs="仿宋"/>
                <w:color w:val="000000"/>
                <w:kern w:val="0"/>
                <w:sz w:val="24"/>
              </w:rPr>
            </w:pPr>
            <w:r>
              <w:rPr>
                <w:rFonts w:ascii="仿宋" w:eastAsia="仿宋" w:hAnsi="仿宋" w:cs="仿宋" w:hint="eastAsia"/>
                <w:color w:val="000000"/>
                <w:kern w:val="0"/>
                <w:sz w:val="24"/>
              </w:rPr>
              <w:t>（五十二）《财政部 国家税务总局关于豆粕等粕类产品征免增值税政策的通知》（财税〔2001〕30号）全文。</w:t>
            </w:r>
          </w:p>
          <w:p w:rsidR="00013EC7" w:rsidRDefault="00575CDB">
            <w:pPr>
              <w:widowControl/>
              <w:jc w:val="left"/>
              <w:textAlignment w:val="top"/>
              <w:rPr>
                <w:rFonts w:ascii="仿宋" w:eastAsia="仿宋" w:hAnsi="仿宋" w:cs="仿宋"/>
                <w:color w:val="000000"/>
                <w:kern w:val="0"/>
                <w:sz w:val="24"/>
              </w:rPr>
            </w:pPr>
            <w:r>
              <w:rPr>
                <w:rFonts w:ascii="仿宋" w:eastAsia="仿宋" w:hAnsi="仿宋" w:cs="仿宋" w:hint="eastAsia"/>
                <w:color w:val="000000"/>
                <w:kern w:val="0"/>
                <w:sz w:val="24"/>
              </w:rPr>
              <w:t>（五十三）《国家税务总局关于粕类产品征免增值税问题的通知》（国税函〔2010〕75号）全文。</w:t>
            </w:r>
          </w:p>
          <w:p w:rsidR="00013EC7" w:rsidRDefault="00575CDB">
            <w:pPr>
              <w:widowControl/>
              <w:jc w:val="left"/>
              <w:textAlignment w:val="top"/>
              <w:rPr>
                <w:rFonts w:ascii="仿宋" w:eastAsia="仿宋" w:hAnsi="仿宋" w:cs="仿宋"/>
                <w:color w:val="000000"/>
                <w:kern w:val="0"/>
                <w:sz w:val="24"/>
              </w:rPr>
            </w:pPr>
            <w:r>
              <w:rPr>
                <w:rFonts w:ascii="仿宋" w:eastAsia="仿宋" w:hAnsi="仿宋" w:cs="仿宋" w:hint="eastAsia"/>
                <w:color w:val="000000"/>
                <w:kern w:val="0"/>
                <w:sz w:val="24"/>
              </w:rPr>
              <w:t>（五十四）《国家税务总局关于取消饲料产品免征增值税审批程序后加强后续管理的通知》（国税函〔2004〕884号）全文</w:t>
            </w:r>
          </w:p>
          <w:p w:rsidR="00013EC7" w:rsidRDefault="00575CDB">
            <w:pPr>
              <w:widowControl/>
              <w:jc w:val="left"/>
              <w:textAlignment w:val="top"/>
              <w:rPr>
                <w:rFonts w:ascii="仿宋" w:eastAsia="仿宋" w:hAnsi="仿宋" w:cs="仿宋"/>
                <w:color w:val="000000"/>
                <w:kern w:val="0"/>
                <w:sz w:val="24"/>
              </w:rPr>
            </w:pPr>
            <w:r>
              <w:rPr>
                <w:rFonts w:ascii="仿宋" w:eastAsia="仿宋" w:hAnsi="仿宋" w:cs="仿宋" w:hint="eastAsia"/>
                <w:color w:val="000000"/>
                <w:kern w:val="0"/>
                <w:sz w:val="24"/>
              </w:rPr>
              <w:t>（五十五）《国家税务总局关于饲料级磷酸二氢钙产品增值税政策问题的通知》（国税函〔2007〕10号）第一条。</w:t>
            </w:r>
          </w:p>
          <w:p w:rsidR="00013EC7" w:rsidRDefault="00575CDB">
            <w:pPr>
              <w:widowControl/>
              <w:jc w:val="left"/>
              <w:textAlignment w:val="top"/>
              <w:rPr>
                <w:rFonts w:ascii="仿宋" w:eastAsia="仿宋" w:hAnsi="仿宋" w:cs="仿宋"/>
                <w:color w:val="000000"/>
                <w:kern w:val="0"/>
                <w:sz w:val="24"/>
              </w:rPr>
            </w:pPr>
            <w:r>
              <w:rPr>
                <w:rFonts w:ascii="仿宋" w:eastAsia="仿宋" w:hAnsi="仿宋" w:cs="仿宋" w:hint="eastAsia"/>
                <w:color w:val="000000"/>
                <w:kern w:val="0"/>
                <w:sz w:val="24"/>
              </w:rPr>
              <w:t>（五十六）《国家税务总局关于饲用鱼油产品免征增值税的批复》（国税函〔2003〕1395号）全文。</w:t>
            </w:r>
          </w:p>
          <w:p w:rsidR="00013EC7" w:rsidRDefault="00575CDB">
            <w:pPr>
              <w:widowControl/>
              <w:jc w:val="left"/>
              <w:textAlignment w:val="top"/>
              <w:rPr>
                <w:rFonts w:ascii="仿宋" w:eastAsia="仿宋" w:hAnsi="仿宋" w:cs="仿宋"/>
                <w:color w:val="000000"/>
                <w:kern w:val="0"/>
                <w:sz w:val="24"/>
              </w:rPr>
            </w:pPr>
            <w:r>
              <w:rPr>
                <w:rFonts w:ascii="仿宋" w:eastAsia="仿宋" w:hAnsi="仿宋" w:cs="仿宋" w:hint="eastAsia"/>
                <w:color w:val="000000"/>
                <w:kern w:val="0"/>
                <w:sz w:val="24"/>
              </w:rPr>
              <w:t>（五十七）《财政部 国家税务总局关于促进节能服务产业发展增值税营业税和企业所得税政策问题的通知》（财税〔2010〕110号）第一条第（二）项。</w:t>
            </w:r>
          </w:p>
          <w:p w:rsidR="00013EC7" w:rsidRDefault="00575CDB">
            <w:pPr>
              <w:widowControl/>
              <w:jc w:val="left"/>
              <w:textAlignment w:val="top"/>
              <w:rPr>
                <w:rFonts w:ascii="仿宋" w:eastAsia="仿宋" w:hAnsi="仿宋" w:cs="仿宋"/>
                <w:color w:val="000000"/>
                <w:kern w:val="0"/>
                <w:sz w:val="24"/>
              </w:rPr>
            </w:pPr>
            <w:r>
              <w:rPr>
                <w:rFonts w:ascii="仿宋" w:eastAsia="仿宋" w:hAnsi="仿宋" w:cs="仿宋" w:hint="eastAsia"/>
                <w:color w:val="000000"/>
                <w:kern w:val="0"/>
                <w:sz w:val="24"/>
              </w:rPr>
              <w:t>（五十八）《财政部国家税务总局关于营业税改征增值税试点若干政策的通知》（财税〔2016〕</w:t>
            </w:r>
            <w:r>
              <w:rPr>
                <w:rFonts w:ascii="仿宋" w:eastAsia="仿宋" w:hAnsi="仿宋" w:cs="仿宋" w:hint="eastAsia"/>
                <w:color w:val="000000"/>
                <w:kern w:val="0"/>
                <w:sz w:val="24"/>
              </w:rPr>
              <w:lastRenderedPageBreak/>
              <w:t>39号）第五条、第六条、第七条、第八条、第九条、第十条。</w:t>
            </w:r>
          </w:p>
          <w:p w:rsidR="00013EC7" w:rsidRDefault="00575CDB">
            <w:pPr>
              <w:widowControl/>
              <w:jc w:val="left"/>
              <w:textAlignment w:val="top"/>
              <w:rPr>
                <w:rFonts w:ascii="仿宋" w:eastAsia="仿宋" w:hAnsi="仿宋" w:cs="仿宋"/>
                <w:color w:val="000000"/>
                <w:kern w:val="0"/>
                <w:sz w:val="24"/>
              </w:rPr>
            </w:pPr>
            <w:r>
              <w:rPr>
                <w:rFonts w:ascii="仿宋" w:eastAsia="仿宋" w:hAnsi="仿宋" w:cs="仿宋" w:hint="eastAsia"/>
                <w:color w:val="000000"/>
                <w:kern w:val="0"/>
                <w:sz w:val="24"/>
              </w:rPr>
              <w:t xml:space="preserve">（五十九）《财政部 海关总署 国家税务总局关于继续实施支持文化企业发展若干税收政策的通知》 （财税〔2014〕85号）第一条 。 </w:t>
            </w:r>
          </w:p>
          <w:p w:rsidR="00013EC7" w:rsidRDefault="00575CDB">
            <w:pPr>
              <w:widowControl/>
              <w:jc w:val="left"/>
              <w:textAlignment w:val="top"/>
              <w:rPr>
                <w:rFonts w:ascii="仿宋" w:eastAsia="仿宋" w:hAnsi="仿宋" w:cs="仿宋"/>
                <w:color w:val="000000"/>
                <w:kern w:val="0"/>
                <w:sz w:val="24"/>
              </w:rPr>
            </w:pPr>
            <w:r>
              <w:rPr>
                <w:rFonts w:ascii="仿宋" w:eastAsia="仿宋" w:hAnsi="仿宋" w:cs="仿宋" w:hint="eastAsia"/>
                <w:color w:val="000000"/>
                <w:kern w:val="0"/>
                <w:sz w:val="24"/>
              </w:rPr>
              <w:t>（六十）《财政部国家发展和改革委员会国家税务总局国家新闻出版广播电影电视总局国土资源部中国人民银行住房和城乡建设部关于支持电影发展若干经济政策的通知》（财教〔2014〕56号）第四条。</w:t>
            </w:r>
          </w:p>
          <w:p w:rsidR="00013EC7" w:rsidRDefault="00575CDB">
            <w:pPr>
              <w:widowControl/>
              <w:jc w:val="left"/>
              <w:textAlignment w:val="top"/>
              <w:rPr>
                <w:rFonts w:ascii="仿宋" w:eastAsia="仿宋" w:hAnsi="仿宋" w:cs="仿宋"/>
                <w:color w:val="000000"/>
                <w:kern w:val="0"/>
                <w:sz w:val="24"/>
              </w:rPr>
            </w:pPr>
            <w:r>
              <w:rPr>
                <w:rFonts w:ascii="仿宋" w:eastAsia="仿宋" w:hAnsi="仿宋" w:cs="仿宋" w:hint="eastAsia"/>
                <w:color w:val="000000"/>
                <w:kern w:val="0"/>
                <w:sz w:val="24"/>
              </w:rPr>
              <w:t>（六十一）《财政部国家税务总局关于增值税税控系统专用设备和技术维护费用抵减增值税税额有关政策的通知》（财税〔2012〕15号）全文。</w:t>
            </w:r>
          </w:p>
          <w:p w:rsidR="00013EC7" w:rsidRDefault="00575CDB">
            <w:pPr>
              <w:widowControl/>
              <w:jc w:val="left"/>
              <w:textAlignment w:val="top"/>
              <w:rPr>
                <w:rFonts w:ascii="仿宋" w:eastAsia="仿宋" w:hAnsi="仿宋" w:cs="仿宋"/>
                <w:color w:val="000000"/>
                <w:kern w:val="0"/>
                <w:sz w:val="24"/>
              </w:rPr>
            </w:pPr>
            <w:r>
              <w:rPr>
                <w:rFonts w:ascii="仿宋" w:eastAsia="仿宋" w:hAnsi="仿宋" w:cs="仿宋" w:hint="eastAsia"/>
                <w:color w:val="000000"/>
                <w:kern w:val="0"/>
                <w:sz w:val="24"/>
              </w:rPr>
              <w:t>（六十二）《财政部 国家税务总局关于推广税控收款机有关税收政策的通知》（财税〔2004〕167号）全文。</w:t>
            </w:r>
          </w:p>
          <w:p w:rsidR="00013EC7" w:rsidRDefault="00575CDB">
            <w:pPr>
              <w:widowControl/>
              <w:jc w:val="left"/>
              <w:textAlignment w:val="top"/>
              <w:rPr>
                <w:rFonts w:ascii="仿宋" w:eastAsia="仿宋" w:hAnsi="仿宋" w:cs="仿宋"/>
                <w:color w:val="000000"/>
                <w:kern w:val="0"/>
                <w:sz w:val="24"/>
              </w:rPr>
            </w:pPr>
            <w:r>
              <w:rPr>
                <w:rFonts w:ascii="仿宋" w:eastAsia="仿宋" w:hAnsi="仿宋" w:cs="仿宋" w:hint="eastAsia"/>
                <w:color w:val="000000"/>
                <w:kern w:val="0"/>
                <w:sz w:val="24"/>
              </w:rPr>
              <w:t>（六十三）《财政部国家税务总局关于4家资产管理公司接收资本金项下的资产在办理过户时有关税收政策问题的通知》（财税〔2003〕21号）第二条。</w:t>
            </w:r>
          </w:p>
          <w:p w:rsidR="00013EC7" w:rsidRDefault="00575CDB">
            <w:pPr>
              <w:widowControl/>
              <w:jc w:val="left"/>
              <w:textAlignment w:val="top"/>
              <w:rPr>
                <w:rFonts w:ascii="仿宋" w:eastAsia="仿宋" w:hAnsi="仿宋" w:cs="仿宋"/>
                <w:color w:val="000000"/>
                <w:kern w:val="0"/>
                <w:sz w:val="24"/>
              </w:rPr>
            </w:pPr>
            <w:r>
              <w:rPr>
                <w:rFonts w:ascii="仿宋" w:eastAsia="仿宋" w:hAnsi="仿宋" w:cs="仿宋" w:hint="eastAsia"/>
                <w:color w:val="000000"/>
                <w:kern w:val="0"/>
                <w:sz w:val="24"/>
              </w:rPr>
              <w:t>（六十四）《财政部国家税务总局关于中国信达等4家金融资产管理公司税收政策问题的通知》（财税〔2001〕10号）全文。</w:t>
            </w:r>
          </w:p>
          <w:p w:rsidR="00013EC7" w:rsidRDefault="00575CDB">
            <w:pPr>
              <w:widowControl/>
              <w:jc w:val="left"/>
              <w:textAlignment w:val="top"/>
              <w:rPr>
                <w:rFonts w:ascii="仿宋" w:eastAsia="仿宋" w:hAnsi="仿宋" w:cs="仿宋"/>
                <w:color w:val="000000"/>
                <w:kern w:val="0"/>
                <w:sz w:val="24"/>
              </w:rPr>
            </w:pPr>
            <w:r>
              <w:rPr>
                <w:rFonts w:ascii="仿宋" w:eastAsia="仿宋" w:hAnsi="仿宋" w:cs="仿宋" w:hint="eastAsia"/>
                <w:color w:val="000000"/>
                <w:kern w:val="0"/>
                <w:sz w:val="24"/>
              </w:rPr>
              <w:lastRenderedPageBreak/>
              <w:t>（六十五）《财政部国家税务总局关于中国东方资产管理公司处置港澳国际（集团）有限公司有关资产税收政策问题的通知》（财税〔2003〕212号）第二条第4项，第三条第4项、第四条第4项。</w:t>
            </w:r>
          </w:p>
          <w:p w:rsidR="00013EC7" w:rsidRDefault="00575CDB">
            <w:pPr>
              <w:widowControl/>
              <w:jc w:val="left"/>
              <w:textAlignment w:val="top"/>
              <w:rPr>
                <w:rFonts w:ascii="仿宋" w:eastAsia="仿宋" w:hAnsi="仿宋" w:cs="仿宋"/>
                <w:color w:val="000000"/>
                <w:kern w:val="0"/>
                <w:sz w:val="24"/>
              </w:rPr>
            </w:pPr>
            <w:r>
              <w:rPr>
                <w:rFonts w:ascii="仿宋" w:eastAsia="仿宋" w:hAnsi="仿宋" w:cs="仿宋" w:hint="eastAsia"/>
                <w:color w:val="000000"/>
                <w:kern w:val="0"/>
                <w:sz w:val="24"/>
              </w:rPr>
              <w:t>（六十六）《财政部国家税务总局关于中国信达资产管理股份有限公司等4家金融资产管理公司有关税收政策问题的通知》（财税〔2013〕56号）全文。</w:t>
            </w:r>
          </w:p>
          <w:p w:rsidR="00013EC7" w:rsidRDefault="00575CDB">
            <w:pPr>
              <w:widowControl/>
              <w:jc w:val="left"/>
              <w:textAlignment w:val="top"/>
              <w:rPr>
                <w:rFonts w:ascii="仿宋" w:eastAsia="仿宋" w:hAnsi="仿宋" w:cs="仿宋"/>
                <w:color w:val="000000"/>
                <w:kern w:val="0"/>
                <w:sz w:val="24"/>
              </w:rPr>
            </w:pPr>
            <w:r>
              <w:rPr>
                <w:rFonts w:ascii="仿宋" w:eastAsia="仿宋" w:hAnsi="仿宋" w:cs="仿宋" w:hint="eastAsia"/>
                <w:color w:val="000000"/>
                <w:kern w:val="0"/>
                <w:sz w:val="24"/>
              </w:rPr>
              <w:t>（六十七）《国家税务总局关于拍卖行取得的拍卖收入征收增值税、营业税有关问题的通知》（国税发〔1999〕40号）第一条。</w:t>
            </w:r>
          </w:p>
          <w:p w:rsidR="00013EC7" w:rsidRDefault="00575CDB">
            <w:pPr>
              <w:widowControl/>
              <w:jc w:val="left"/>
              <w:textAlignment w:val="top"/>
              <w:rPr>
                <w:rFonts w:ascii="仿宋" w:eastAsia="仿宋" w:hAnsi="仿宋" w:cs="仿宋"/>
                <w:color w:val="000000"/>
                <w:kern w:val="0"/>
                <w:sz w:val="24"/>
              </w:rPr>
            </w:pPr>
            <w:r>
              <w:rPr>
                <w:rFonts w:ascii="仿宋" w:eastAsia="仿宋" w:hAnsi="仿宋" w:cs="仿宋" w:hint="eastAsia"/>
                <w:color w:val="000000"/>
                <w:kern w:val="0"/>
                <w:sz w:val="24"/>
              </w:rPr>
              <w:t>（六十八）《财政部国家税务总局 民政部 关于继续实施扶持自主就业退役士兵创业就业有关税收政策的通知》（财税〔2017〕46）第一条、第二条。</w:t>
            </w:r>
          </w:p>
          <w:p w:rsidR="00013EC7" w:rsidRDefault="00575CDB">
            <w:pPr>
              <w:widowControl/>
              <w:jc w:val="left"/>
              <w:textAlignment w:val="top"/>
              <w:rPr>
                <w:rFonts w:ascii="仿宋" w:eastAsia="仿宋" w:hAnsi="仿宋" w:cs="仿宋"/>
                <w:color w:val="000000"/>
                <w:kern w:val="0"/>
                <w:sz w:val="24"/>
              </w:rPr>
            </w:pPr>
            <w:r>
              <w:rPr>
                <w:rFonts w:ascii="仿宋" w:eastAsia="仿宋" w:hAnsi="仿宋" w:cs="仿宋" w:hint="eastAsia"/>
                <w:color w:val="000000"/>
                <w:kern w:val="0"/>
                <w:sz w:val="24"/>
              </w:rPr>
              <w:t>（六十九）《财政部国家税务总局关于污水处理费有关增值税政策的通知》（财税〔2001〕97号）全文。</w:t>
            </w:r>
          </w:p>
          <w:p w:rsidR="00013EC7" w:rsidRDefault="00575CDB">
            <w:pPr>
              <w:widowControl/>
              <w:jc w:val="left"/>
              <w:textAlignment w:val="top"/>
              <w:rPr>
                <w:rFonts w:ascii="仿宋" w:eastAsia="仿宋" w:hAnsi="仿宋" w:cs="仿宋"/>
                <w:color w:val="000000"/>
                <w:kern w:val="0"/>
                <w:sz w:val="24"/>
              </w:rPr>
            </w:pPr>
            <w:r>
              <w:rPr>
                <w:rFonts w:ascii="仿宋" w:eastAsia="仿宋" w:hAnsi="仿宋" w:cs="仿宋" w:hint="eastAsia"/>
                <w:color w:val="000000"/>
                <w:kern w:val="0"/>
                <w:sz w:val="24"/>
              </w:rPr>
              <w:t>（七十）《财政部国家税务总局 人力资源社会保障部 关于继续实施支持和促进重点群体创业就业</w:t>
            </w:r>
            <w:r>
              <w:rPr>
                <w:rFonts w:ascii="仿宋" w:eastAsia="仿宋" w:hAnsi="仿宋" w:cs="仿宋" w:hint="eastAsia"/>
                <w:color w:val="000000"/>
                <w:kern w:val="0"/>
                <w:sz w:val="24"/>
              </w:rPr>
              <w:lastRenderedPageBreak/>
              <w:t>有关税收政策的通知》（财税〔2017〕49号 ）第一条、第二条。</w:t>
            </w:r>
          </w:p>
          <w:p w:rsidR="00013EC7" w:rsidRDefault="00575CDB">
            <w:pPr>
              <w:widowControl/>
              <w:jc w:val="left"/>
              <w:textAlignment w:val="top"/>
              <w:rPr>
                <w:rFonts w:ascii="仿宋" w:eastAsia="仿宋" w:hAnsi="仿宋" w:cs="仿宋"/>
                <w:color w:val="000000"/>
                <w:kern w:val="0"/>
                <w:sz w:val="24"/>
              </w:rPr>
            </w:pPr>
            <w:r>
              <w:rPr>
                <w:rFonts w:ascii="仿宋" w:eastAsia="仿宋" w:hAnsi="仿宋" w:cs="仿宋" w:hint="eastAsia"/>
                <w:color w:val="000000"/>
                <w:kern w:val="0"/>
                <w:sz w:val="24"/>
              </w:rPr>
              <w:t>（七十一）《财政部国家税务总局关于修改&lt;中华人民共和国增值税暂行条例实施细则&gt;和&lt;中华人民共和国营业税暂行条例实施细则&gt;的决定》（2011年中华人民共和国财政部令第65号）第一条。</w:t>
            </w:r>
          </w:p>
          <w:p w:rsidR="00013EC7" w:rsidRDefault="00575CDB">
            <w:pPr>
              <w:widowControl/>
              <w:jc w:val="left"/>
              <w:textAlignment w:val="top"/>
              <w:rPr>
                <w:rFonts w:ascii="仿宋" w:eastAsia="仿宋" w:hAnsi="仿宋" w:cs="仿宋"/>
                <w:color w:val="000000"/>
                <w:kern w:val="0"/>
                <w:sz w:val="24"/>
              </w:rPr>
            </w:pPr>
            <w:r>
              <w:rPr>
                <w:rFonts w:ascii="仿宋" w:eastAsia="仿宋" w:hAnsi="仿宋" w:cs="仿宋" w:hint="eastAsia"/>
                <w:color w:val="000000"/>
                <w:kern w:val="0"/>
                <w:sz w:val="24"/>
              </w:rPr>
              <w:t>（七十二）《财政部国家税务总局关于暂免征收部分小微企业增值税和营业税的通知》（财税〔2013〕52号）全文。</w:t>
            </w:r>
          </w:p>
          <w:p w:rsidR="00013EC7" w:rsidRDefault="00575CDB">
            <w:pPr>
              <w:widowControl/>
              <w:jc w:val="left"/>
              <w:textAlignment w:val="top"/>
              <w:rPr>
                <w:rFonts w:ascii="仿宋" w:eastAsia="仿宋" w:hAnsi="仿宋" w:cs="仿宋"/>
                <w:color w:val="000000"/>
                <w:kern w:val="0"/>
                <w:sz w:val="24"/>
              </w:rPr>
            </w:pPr>
            <w:r>
              <w:rPr>
                <w:rFonts w:ascii="仿宋" w:eastAsia="仿宋" w:hAnsi="仿宋" w:cs="仿宋" w:hint="eastAsia"/>
                <w:color w:val="000000"/>
                <w:kern w:val="0"/>
                <w:sz w:val="24"/>
              </w:rPr>
              <w:t>（七十三）《财政部国家税务总局关于继续执行小微企业增值税和营业税政策的通知》（财税〔2015〕96号）全文（到2017年12月31日止）。</w:t>
            </w:r>
          </w:p>
          <w:p w:rsidR="00013EC7" w:rsidRDefault="00575CDB">
            <w:pPr>
              <w:widowControl/>
              <w:jc w:val="left"/>
              <w:textAlignment w:val="top"/>
              <w:rPr>
                <w:rFonts w:ascii="仿宋" w:eastAsia="仿宋" w:hAnsi="仿宋" w:cs="仿宋"/>
                <w:color w:val="000000"/>
                <w:kern w:val="0"/>
                <w:sz w:val="24"/>
              </w:rPr>
            </w:pPr>
            <w:r>
              <w:rPr>
                <w:rFonts w:ascii="仿宋" w:eastAsia="仿宋" w:hAnsi="仿宋" w:cs="仿宋" w:hint="eastAsia"/>
                <w:color w:val="000000"/>
                <w:kern w:val="0"/>
                <w:sz w:val="24"/>
              </w:rPr>
              <w:t>（七十四）《财政部国家税务总局关于进一步支持小微企业增值税和营业税政策的通知》（财税〔2014〕71号）全文。</w:t>
            </w:r>
          </w:p>
          <w:p w:rsidR="00013EC7" w:rsidRDefault="00575CDB">
            <w:pPr>
              <w:widowControl/>
              <w:jc w:val="left"/>
              <w:textAlignment w:val="top"/>
              <w:rPr>
                <w:rFonts w:ascii="仿宋" w:eastAsia="仿宋" w:hAnsi="仿宋" w:cs="仿宋"/>
                <w:color w:val="000000"/>
                <w:kern w:val="0"/>
                <w:sz w:val="24"/>
              </w:rPr>
            </w:pPr>
            <w:r>
              <w:rPr>
                <w:rFonts w:ascii="仿宋" w:eastAsia="仿宋" w:hAnsi="仿宋" w:cs="仿宋" w:hint="eastAsia"/>
                <w:color w:val="000000"/>
                <w:kern w:val="0"/>
                <w:sz w:val="24"/>
              </w:rPr>
              <w:t>（七十五）《财政部 税务总局关于延续小微企业增值税政策的通知》（财税〔2017〕76号）全文。</w:t>
            </w:r>
          </w:p>
          <w:p w:rsidR="00013EC7" w:rsidRDefault="00575CDB">
            <w:pPr>
              <w:widowControl/>
              <w:jc w:val="left"/>
              <w:textAlignment w:val="top"/>
              <w:rPr>
                <w:rFonts w:ascii="仿宋" w:eastAsia="仿宋" w:hAnsi="仿宋" w:cs="仿宋"/>
                <w:color w:val="000000"/>
                <w:kern w:val="0"/>
                <w:sz w:val="24"/>
              </w:rPr>
            </w:pPr>
            <w:r>
              <w:rPr>
                <w:rFonts w:ascii="仿宋" w:eastAsia="仿宋" w:hAnsi="仿宋" w:cs="仿宋" w:hint="eastAsia"/>
                <w:color w:val="000000"/>
                <w:kern w:val="0"/>
                <w:sz w:val="24"/>
              </w:rPr>
              <w:t>（七十六）《财政部国家税务总局关于黄金期货交易有关税收政策的通知》（财税〔2008〕5号）全文。</w:t>
            </w:r>
          </w:p>
          <w:p w:rsidR="00013EC7" w:rsidRDefault="00575CDB">
            <w:pPr>
              <w:widowControl/>
              <w:jc w:val="left"/>
              <w:textAlignment w:val="top"/>
              <w:rPr>
                <w:rFonts w:ascii="仿宋" w:eastAsia="仿宋" w:hAnsi="仿宋" w:cs="仿宋"/>
                <w:color w:val="000000"/>
                <w:kern w:val="0"/>
                <w:sz w:val="24"/>
              </w:rPr>
            </w:pPr>
            <w:r>
              <w:rPr>
                <w:rFonts w:ascii="仿宋" w:eastAsia="仿宋" w:hAnsi="仿宋" w:cs="仿宋" w:hint="eastAsia"/>
                <w:color w:val="000000"/>
                <w:kern w:val="0"/>
                <w:sz w:val="24"/>
              </w:rPr>
              <w:lastRenderedPageBreak/>
              <w:t>（七十七）《财政部国家税务总局关于教育税收政策的通知》（财税〔2004〕39号）第一条第七项。</w:t>
            </w:r>
          </w:p>
          <w:p w:rsidR="00013EC7" w:rsidRDefault="00575CDB">
            <w:pPr>
              <w:widowControl/>
              <w:jc w:val="left"/>
              <w:textAlignment w:val="top"/>
              <w:rPr>
                <w:rFonts w:ascii="仿宋" w:eastAsia="仿宋" w:hAnsi="仿宋" w:cs="仿宋"/>
                <w:color w:val="000000"/>
                <w:kern w:val="0"/>
                <w:sz w:val="24"/>
              </w:rPr>
            </w:pPr>
            <w:r>
              <w:rPr>
                <w:rFonts w:ascii="仿宋" w:eastAsia="仿宋" w:hAnsi="仿宋" w:cs="仿宋" w:hint="eastAsia"/>
                <w:color w:val="000000"/>
                <w:kern w:val="0"/>
                <w:sz w:val="24"/>
              </w:rPr>
              <w:t>（七十八）《财政部国家税务总局关于简并增值税征收率政策的通知》（财税〔2014〕57号）第一条。</w:t>
            </w:r>
          </w:p>
          <w:p w:rsidR="00013EC7" w:rsidRDefault="00575CDB">
            <w:pPr>
              <w:widowControl/>
              <w:jc w:val="left"/>
              <w:textAlignment w:val="top"/>
              <w:rPr>
                <w:rFonts w:ascii="仿宋" w:eastAsia="仿宋" w:hAnsi="仿宋" w:cs="仿宋"/>
                <w:color w:val="000000"/>
                <w:kern w:val="0"/>
                <w:sz w:val="24"/>
              </w:rPr>
            </w:pPr>
            <w:r>
              <w:rPr>
                <w:rFonts w:ascii="仿宋" w:eastAsia="仿宋" w:hAnsi="仿宋" w:cs="仿宋" w:hint="eastAsia"/>
                <w:color w:val="000000"/>
                <w:kern w:val="0"/>
                <w:sz w:val="24"/>
              </w:rPr>
              <w:t>（七十九）《财政部 国家税务总局关于部分营业税和增值税政策到期延续问题的通知》（财税〔2016〕83号）第三条。</w:t>
            </w:r>
          </w:p>
          <w:p w:rsidR="00013EC7" w:rsidRDefault="00575CDB">
            <w:pPr>
              <w:widowControl/>
              <w:jc w:val="left"/>
              <w:textAlignment w:val="top"/>
              <w:rPr>
                <w:rFonts w:ascii="仿宋" w:eastAsia="仿宋" w:hAnsi="仿宋" w:cs="仿宋"/>
                <w:color w:val="000000"/>
                <w:kern w:val="0"/>
                <w:sz w:val="24"/>
              </w:rPr>
            </w:pPr>
            <w:r>
              <w:rPr>
                <w:rFonts w:ascii="仿宋" w:eastAsia="仿宋" w:hAnsi="仿宋" w:cs="仿宋" w:hint="eastAsia"/>
                <w:color w:val="000000"/>
                <w:kern w:val="0"/>
                <w:sz w:val="24"/>
              </w:rPr>
              <w:t>（八十）《财政部 国家税务总局关于进一步明确全面推开营改增试点金融业有关政策的通知》 （财税〔2016〕46号）第一条。</w:t>
            </w:r>
          </w:p>
          <w:p w:rsidR="00013EC7" w:rsidRDefault="00575CDB">
            <w:pPr>
              <w:widowControl/>
              <w:jc w:val="left"/>
              <w:textAlignment w:val="top"/>
              <w:rPr>
                <w:rFonts w:ascii="仿宋" w:eastAsia="仿宋" w:hAnsi="仿宋" w:cs="仿宋"/>
                <w:color w:val="000000"/>
                <w:kern w:val="0"/>
                <w:sz w:val="24"/>
              </w:rPr>
            </w:pPr>
            <w:r>
              <w:rPr>
                <w:rFonts w:ascii="仿宋" w:eastAsia="仿宋" w:hAnsi="仿宋" w:cs="仿宋" w:hint="eastAsia"/>
                <w:color w:val="000000"/>
                <w:kern w:val="0"/>
                <w:sz w:val="24"/>
              </w:rPr>
              <w:t>（八十一）《财政部 国家税务总局关于金融机构同业往来等增值税政策的补充通知》 （财税〔2016〕70号）第一条、第二条、第三条。</w:t>
            </w:r>
          </w:p>
          <w:p w:rsidR="00013EC7" w:rsidRDefault="00575CDB">
            <w:pPr>
              <w:widowControl/>
              <w:jc w:val="left"/>
              <w:textAlignment w:val="top"/>
              <w:rPr>
                <w:rFonts w:ascii="仿宋" w:eastAsia="仿宋" w:hAnsi="仿宋" w:cs="仿宋"/>
                <w:color w:val="000000"/>
                <w:kern w:val="0"/>
                <w:sz w:val="24"/>
              </w:rPr>
            </w:pPr>
            <w:r>
              <w:rPr>
                <w:rFonts w:ascii="仿宋" w:eastAsia="仿宋" w:hAnsi="仿宋" w:cs="仿宋" w:hint="eastAsia"/>
                <w:color w:val="000000"/>
                <w:kern w:val="0"/>
                <w:sz w:val="24"/>
              </w:rPr>
              <w:t>（八十二）《财政部 国家税务总局关于国家大学科技园税收政策的通知》（财税〔2016〕98号）第一条。</w:t>
            </w:r>
          </w:p>
          <w:p w:rsidR="00013EC7" w:rsidRDefault="00575CDB">
            <w:pPr>
              <w:widowControl/>
              <w:jc w:val="left"/>
              <w:textAlignment w:val="top"/>
              <w:rPr>
                <w:rFonts w:ascii="仿宋" w:eastAsia="仿宋" w:hAnsi="仿宋" w:cs="仿宋"/>
                <w:color w:val="000000"/>
                <w:kern w:val="0"/>
                <w:sz w:val="24"/>
              </w:rPr>
            </w:pPr>
            <w:r>
              <w:rPr>
                <w:rFonts w:ascii="仿宋" w:eastAsia="仿宋" w:hAnsi="仿宋" w:cs="仿宋" w:hint="eastAsia"/>
                <w:color w:val="000000"/>
                <w:kern w:val="0"/>
                <w:sz w:val="24"/>
              </w:rPr>
              <w:lastRenderedPageBreak/>
              <w:t>（八十三）《财政部 国家税务总局关于科技企业孵化器税收政策的通知》 （财税〔2016〕89号）第一条。</w:t>
            </w:r>
          </w:p>
          <w:p w:rsidR="00013EC7" w:rsidRDefault="00575CDB">
            <w:pPr>
              <w:widowControl/>
              <w:jc w:val="left"/>
              <w:textAlignment w:val="top"/>
              <w:rPr>
                <w:rFonts w:ascii="仿宋" w:eastAsia="仿宋" w:hAnsi="仿宋" w:cs="仿宋"/>
                <w:color w:val="000000"/>
                <w:kern w:val="0"/>
                <w:sz w:val="24"/>
              </w:rPr>
            </w:pPr>
            <w:r>
              <w:rPr>
                <w:rFonts w:ascii="仿宋" w:eastAsia="仿宋" w:hAnsi="仿宋" w:cs="仿宋" w:hint="eastAsia"/>
                <w:color w:val="000000"/>
                <w:kern w:val="0"/>
                <w:sz w:val="24"/>
              </w:rPr>
              <w:t>（八十四）《财政部 国家税务总局关于供热企业增值税 房产税 城镇土地使用税优惠政策的通知》 （财税〔2016〕94号）第一条。</w:t>
            </w:r>
          </w:p>
          <w:p w:rsidR="00013EC7" w:rsidRDefault="00575CDB">
            <w:pPr>
              <w:widowControl/>
              <w:jc w:val="left"/>
              <w:textAlignment w:val="top"/>
              <w:rPr>
                <w:rFonts w:ascii="仿宋" w:eastAsia="仿宋" w:hAnsi="仿宋" w:cs="仿宋"/>
                <w:color w:val="000000"/>
                <w:kern w:val="0"/>
                <w:sz w:val="24"/>
              </w:rPr>
            </w:pPr>
            <w:r>
              <w:rPr>
                <w:rFonts w:ascii="仿宋" w:eastAsia="仿宋" w:hAnsi="仿宋" w:cs="仿宋" w:hint="eastAsia"/>
                <w:color w:val="000000"/>
                <w:kern w:val="0"/>
                <w:sz w:val="24"/>
              </w:rPr>
              <w:t>（八十五）《财政部 国家税务总局关于小额贷款公司有关税收政策的通知》（财税〔2017〕48号）第一条。</w:t>
            </w:r>
          </w:p>
          <w:p w:rsidR="00013EC7" w:rsidRDefault="00575CDB">
            <w:pPr>
              <w:widowControl/>
              <w:jc w:val="left"/>
              <w:textAlignment w:val="top"/>
              <w:rPr>
                <w:rFonts w:ascii="仿宋" w:eastAsia="仿宋" w:hAnsi="仿宋" w:cs="仿宋"/>
                <w:color w:val="000000"/>
                <w:kern w:val="0"/>
                <w:sz w:val="24"/>
              </w:rPr>
            </w:pPr>
            <w:r>
              <w:rPr>
                <w:rFonts w:ascii="仿宋" w:eastAsia="仿宋" w:hAnsi="仿宋" w:cs="仿宋" w:hint="eastAsia"/>
                <w:color w:val="000000"/>
                <w:kern w:val="0"/>
                <w:sz w:val="24"/>
              </w:rPr>
              <w:t>（八十六）《财政部 税务总局关于支持小微企业融资有关税收政策的通知》（财税〔2017〕77号）全文。</w:t>
            </w:r>
          </w:p>
          <w:p w:rsidR="00013EC7" w:rsidRDefault="00575CDB">
            <w:pPr>
              <w:widowControl/>
              <w:jc w:val="left"/>
              <w:textAlignment w:val="top"/>
              <w:rPr>
                <w:rFonts w:ascii="仿宋" w:eastAsia="仿宋" w:hAnsi="仿宋" w:cs="仿宋"/>
                <w:color w:val="000000"/>
                <w:kern w:val="0"/>
                <w:sz w:val="24"/>
              </w:rPr>
            </w:pPr>
            <w:r>
              <w:rPr>
                <w:rFonts w:ascii="仿宋" w:eastAsia="仿宋" w:hAnsi="仿宋" w:cs="仿宋" w:hint="eastAsia"/>
                <w:color w:val="000000"/>
                <w:kern w:val="0"/>
                <w:sz w:val="24"/>
              </w:rPr>
              <w:t>（八十七）《财政部 国家税务总局外经贸部关于外国政府和国际组织无偿援助项目在华采购物资免征增值税问题的通知》（财税〔2002〕2号）全文。</w:t>
            </w:r>
          </w:p>
          <w:p w:rsidR="00013EC7" w:rsidRDefault="00575CDB">
            <w:pPr>
              <w:widowControl/>
              <w:jc w:val="left"/>
              <w:textAlignment w:val="top"/>
              <w:rPr>
                <w:rFonts w:ascii="仿宋" w:eastAsia="仿宋" w:hAnsi="仿宋" w:cs="仿宋"/>
                <w:color w:val="000000"/>
                <w:kern w:val="0"/>
                <w:sz w:val="24"/>
              </w:rPr>
            </w:pPr>
            <w:r>
              <w:rPr>
                <w:rFonts w:ascii="仿宋" w:eastAsia="仿宋" w:hAnsi="仿宋" w:cs="仿宋" w:hint="eastAsia"/>
                <w:color w:val="000000"/>
                <w:kern w:val="0"/>
                <w:sz w:val="24"/>
              </w:rPr>
              <w:t>（八十八）《国家税务总局关于明确部分增值税优惠政策审批事项取消后有关管理事项的公告》（国家税务总局公告2015年第38号）全文。</w:t>
            </w:r>
          </w:p>
          <w:p w:rsidR="00BD2337" w:rsidRPr="00BD2337" w:rsidRDefault="00BD2337" w:rsidP="00BD2337">
            <w:pPr>
              <w:widowControl/>
              <w:jc w:val="left"/>
              <w:textAlignment w:val="top"/>
              <w:rPr>
                <w:rFonts w:ascii="仿宋" w:eastAsia="仿宋" w:hAnsi="仿宋" w:cs="仿宋"/>
                <w:color w:val="000000"/>
                <w:kern w:val="0"/>
                <w:sz w:val="24"/>
              </w:rPr>
            </w:pPr>
            <w:r>
              <w:rPr>
                <w:rFonts w:ascii="仿宋" w:eastAsia="仿宋" w:hAnsi="仿宋" w:cs="仿宋" w:hint="eastAsia"/>
                <w:color w:val="000000"/>
                <w:kern w:val="0"/>
                <w:sz w:val="24"/>
              </w:rPr>
              <w:t>（八十九）《</w:t>
            </w:r>
            <w:r w:rsidRPr="00BD2337">
              <w:rPr>
                <w:rFonts w:ascii="仿宋" w:eastAsia="仿宋" w:hAnsi="仿宋" w:cs="仿宋" w:hint="eastAsia"/>
                <w:color w:val="000000"/>
                <w:kern w:val="0"/>
                <w:sz w:val="24"/>
              </w:rPr>
              <w:t>国家税务总局关于小微企业免征增值税有关问题的公告</w:t>
            </w:r>
            <w:r>
              <w:rPr>
                <w:rFonts w:ascii="仿宋" w:eastAsia="仿宋" w:hAnsi="仿宋" w:cs="仿宋" w:hint="eastAsia"/>
                <w:color w:val="000000"/>
                <w:kern w:val="0"/>
                <w:sz w:val="24"/>
              </w:rPr>
              <w:t>》（</w:t>
            </w:r>
            <w:r w:rsidRPr="00BD2337">
              <w:rPr>
                <w:rFonts w:ascii="仿宋" w:eastAsia="仿宋" w:hAnsi="仿宋" w:cs="仿宋" w:hint="eastAsia"/>
                <w:color w:val="000000"/>
                <w:kern w:val="0"/>
                <w:sz w:val="24"/>
              </w:rPr>
              <w:t>国家税务总局公告2017年第52号</w:t>
            </w:r>
            <w:r>
              <w:rPr>
                <w:rFonts w:ascii="仿宋" w:eastAsia="仿宋" w:hAnsi="仿宋" w:cs="仿宋" w:hint="eastAsia"/>
                <w:color w:val="000000"/>
                <w:kern w:val="0"/>
                <w:sz w:val="24"/>
              </w:rPr>
              <w:t>）全文。</w:t>
            </w:r>
          </w:p>
          <w:p w:rsidR="00BD2337" w:rsidRDefault="00BD2337" w:rsidP="00BD2337">
            <w:pPr>
              <w:widowControl/>
              <w:jc w:val="left"/>
              <w:textAlignment w:val="top"/>
              <w:rPr>
                <w:rFonts w:ascii="仿宋" w:eastAsia="仿宋" w:hAnsi="仿宋" w:cs="仿宋"/>
                <w:color w:val="000000"/>
                <w:kern w:val="0"/>
                <w:sz w:val="24"/>
              </w:rPr>
            </w:pPr>
            <w:r w:rsidRPr="00BD2337">
              <w:rPr>
                <w:rFonts w:ascii="仿宋" w:eastAsia="仿宋" w:hAnsi="仿宋" w:cs="仿宋" w:hint="eastAsia"/>
                <w:color w:val="000000"/>
                <w:kern w:val="0"/>
                <w:sz w:val="24"/>
              </w:rPr>
              <w:lastRenderedPageBreak/>
              <w:t>国家税务总局公告2017年第52号</w:t>
            </w:r>
          </w:p>
        </w:tc>
        <w:tc>
          <w:tcPr>
            <w:tcW w:w="3260" w:type="dxa"/>
            <w:tcBorders>
              <w:tl2br w:val="nil"/>
              <w:tr2bl w:val="nil"/>
            </w:tcBorders>
            <w:vAlign w:val="center"/>
          </w:tcPr>
          <w:p w:rsidR="00013EC7" w:rsidRDefault="00575CDB">
            <w:pPr>
              <w:widowControl/>
              <w:jc w:val="left"/>
              <w:textAlignment w:val="center"/>
              <w:rPr>
                <w:rFonts w:ascii="仿宋" w:eastAsia="仿宋" w:hAnsi="仿宋" w:cs="仿宋"/>
                <w:color w:val="000000"/>
                <w:kern w:val="0"/>
                <w:sz w:val="24"/>
              </w:rPr>
            </w:pPr>
            <w:r>
              <w:rPr>
                <w:rFonts w:ascii="仿宋" w:eastAsia="仿宋" w:hAnsi="仿宋" w:cs="仿宋" w:hint="eastAsia"/>
                <w:color w:val="000000"/>
                <w:kern w:val="0"/>
                <w:sz w:val="24"/>
              </w:rPr>
              <w:lastRenderedPageBreak/>
              <w:t>（一）A03007《纳税人减免税备案登记表》2份。</w:t>
            </w:r>
          </w:p>
        </w:tc>
        <w:tc>
          <w:tcPr>
            <w:tcW w:w="1418" w:type="dxa"/>
            <w:tcBorders>
              <w:tl2br w:val="nil"/>
              <w:tr2bl w:val="nil"/>
            </w:tcBorders>
            <w:vAlign w:val="center"/>
          </w:tcPr>
          <w:p w:rsidR="00013EC7" w:rsidRDefault="00575CDB">
            <w:pPr>
              <w:widowControl/>
              <w:jc w:val="left"/>
              <w:textAlignment w:val="center"/>
              <w:rPr>
                <w:rFonts w:ascii="仿宋" w:eastAsia="仿宋" w:hAnsi="仿宋" w:cs="仿宋"/>
                <w:color w:val="000000"/>
                <w:sz w:val="24"/>
              </w:rPr>
            </w:pPr>
            <w:r>
              <w:rPr>
                <w:rFonts w:ascii="仿宋" w:eastAsia="仿宋" w:hAnsi="仿宋" w:cs="仿宋" w:hint="eastAsia"/>
                <w:color w:val="000000"/>
                <w:kern w:val="0"/>
                <w:sz w:val="24"/>
              </w:rPr>
              <w:t>纳税人提交</w:t>
            </w:r>
          </w:p>
        </w:tc>
        <w:tc>
          <w:tcPr>
            <w:tcW w:w="3118" w:type="dxa"/>
            <w:tcBorders>
              <w:tl2br w:val="nil"/>
              <w:tr2bl w:val="nil"/>
            </w:tcBorders>
            <w:vAlign w:val="center"/>
          </w:tcPr>
          <w:p w:rsidR="00013EC7" w:rsidRDefault="00575CDB">
            <w:pPr>
              <w:widowControl/>
              <w:jc w:val="left"/>
              <w:textAlignment w:val="center"/>
              <w:rPr>
                <w:rFonts w:ascii="仿宋" w:eastAsia="仿宋" w:hAnsi="仿宋" w:cs="仿宋"/>
                <w:color w:val="000000"/>
                <w:sz w:val="24"/>
              </w:rPr>
            </w:pPr>
            <w:r>
              <w:rPr>
                <w:rFonts w:ascii="仿宋" w:eastAsia="仿宋" w:hAnsi="仿宋" w:cs="仿宋" w:hint="eastAsia"/>
                <w:color w:val="000000"/>
                <w:kern w:val="0"/>
                <w:sz w:val="24"/>
              </w:rPr>
              <w:t>（一）A03007《纳税人减免税备案登记表》2份。</w:t>
            </w:r>
          </w:p>
        </w:tc>
        <w:tc>
          <w:tcPr>
            <w:tcW w:w="1276" w:type="dxa"/>
            <w:tcBorders>
              <w:tl2br w:val="nil"/>
              <w:tr2bl w:val="nil"/>
            </w:tcBorders>
            <w:vAlign w:val="center"/>
          </w:tcPr>
          <w:p w:rsidR="00013EC7" w:rsidRDefault="00575CDB">
            <w:pPr>
              <w:widowControl/>
              <w:jc w:val="left"/>
              <w:textAlignment w:val="center"/>
              <w:rPr>
                <w:rFonts w:ascii="仿宋" w:eastAsia="仿宋" w:hAnsi="仿宋" w:cs="仿宋"/>
                <w:color w:val="000000"/>
                <w:sz w:val="24"/>
              </w:rPr>
            </w:pPr>
            <w:r>
              <w:rPr>
                <w:rFonts w:ascii="仿宋" w:eastAsia="仿宋" w:hAnsi="仿宋" w:cs="仿宋" w:hint="eastAsia"/>
                <w:color w:val="000000"/>
                <w:kern w:val="0"/>
                <w:sz w:val="24"/>
              </w:rPr>
              <w:t>纳税人提交</w:t>
            </w:r>
          </w:p>
        </w:tc>
        <w:tc>
          <w:tcPr>
            <w:tcW w:w="2268" w:type="dxa"/>
            <w:vMerge w:val="restart"/>
            <w:tcBorders>
              <w:tl2br w:val="nil"/>
              <w:tr2bl w:val="nil"/>
            </w:tcBorders>
            <w:vAlign w:val="center"/>
          </w:tcPr>
          <w:p w:rsidR="00013EC7" w:rsidRDefault="00575CDB">
            <w:pPr>
              <w:widowControl/>
              <w:jc w:val="left"/>
              <w:textAlignment w:val="center"/>
              <w:rPr>
                <w:rFonts w:ascii="仿宋" w:eastAsia="仿宋" w:hAnsi="仿宋" w:cs="仿宋"/>
                <w:color w:val="000000"/>
                <w:kern w:val="0"/>
                <w:sz w:val="24"/>
              </w:rPr>
            </w:pPr>
            <w:r>
              <w:rPr>
                <w:rFonts w:ascii="仿宋" w:eastAsia="仿宋" w:hAnsi="仿宋" w:cs="仿宋" w:hint="eastAsia"/>
                <w:b/>
                <w:color w:val="000000"/>
                <w:kern w:val="0"/>
                <w:sz w:val="24"/>
              </w:rPr>
              <w:t>现场办理：</w:t>
            </w:r>
            <w:r>
              <w:rPr>
                <w:rFonts w:ascii="仿宋" w:eastAsia="仿宋" w:hAnsi="仿宋" w:cs="仿宋" w:hint="eastAsia"/>
                <w:color w:val="000000"/>
                <w:kern w:val="0"/>
                <w:sz w:val="24"/>
              </w:rPr>
              <w:t>纳税人提交书面材料。</w:t>
            </w:r>
          </w:p>
          <w:p w:rsidR="00013EC7" w:rsidRDefault="00575CDB">
            <w:pPr>
              <w:widowControl/>
              <w:jc w:val="left"/>
              <w:textAlignment w:val="center"/>
              <w:rPr>
                <w:rFonts w:ascii="仿宋" w:eastAsia="仿宋" w:hAnsi="仿宋" w:cs="仿宋"/>
                <w:color w:val="000000"/>
                <w:kern w:val="0"/>
                <w:sz w:val="24"/>
              </w:rPr>
            </w:pPr>
            <w:r>
              <w:rPr>
                <w:rFonts w:ascii="仿宋" w:eastAsia="仿宋" w:hAnsi="仿宋" w:cs="仿宋" w:hint="eastAsia"/>
                <w:b/>
                <w:color w:val="000000"/>
                <w:kern w:val="0"/>
                <w:sz w:val="24"/>
              </w:rPr>
              <w:t>网上办理：</w:t>
            </w:r>
            <w:r>
              <w:rPr>
                <w:rFonts w:ascii="仿宋" w:eastAsia="仿宋" w:hAnsi="仿宋" w:cs="仿宋" w:hint="eastAsia"/>
                <w:color w:val="000000"/>
                <w:kern w:val="0"/>
                <w:sz w:val="24"/>
              </w:rPr>
              <w:t>登录浙江国税电子税务局（网址：http://etax.zjtax.gov.cn/）提交申请。</w:t>
            </w:r>
          </w:p>
          <w:p w:rsidR="00013EC7" w:rsidRDefault="00575CDB">
            <w:pPr>
              <w:widowControl/>
              <w:jc w:val="left"/>
              <w:textAlignment w:val="center"/>
              <w:rPr>
                <w:rFonts w:ascii="仿宋" w:eastAsia="仿宋" w:hAnsi="仿宋" w:cs="仿宋"/>
                <w:b/>
                <w:color w:val="000000"/>
                <w:sz w:val="24"/>
              </w:rPr>
            </w:pPr>
            <w:r>
              <w:rPr>
                <w:rFonts w:ascii="仿宋" w:eastAsia="仿宋" w:hAnsi="仿宋" w:cs="仿宋" w:hint="eastAsia"/>
                <w:b/>
                <w:color w:val="000000"/>
                <w:kern w:val="0"/>
                <w:sz w:val="24"/>
              </w:rPr>
              <w:t>APP办理：</w:t>
            </w:r>
            <w:r w:rsidR="006776D1">
              <w:rPr>
                <w:rFonts w:ascii="仿宋" w:eastAsia="仿宋" w:hAnsi="仿宋" w:cs="仿宋" w:hint="eastAsia"/>
                <w:color w:val="000000"/>
                <w:kern w:val="0"/>
                <w:sz w:val="24"/>
              </w:rPr>
              <w:t>登录浙江国税APP提交申请。</w:t>
            </w:r>
          </w:p>
        </w:tc>
        <w:tc>
          <w:tcPr>
            <w:tcW w:w="567" w:type="dxa"/>
            <w:vMerge w:val="restart"/>
            <w:tcBorders>
              <w:tl2br w:val="nil"/>
              <w:tr2bl w:val="nil"/>
            </w:tcBorders>
            <w:vAlign w:val="center"/>
          </w:tcPr>
          <w:p w:rsidR="00013EC7" w:rsidRDefault="00575CDB">
            <w:pPr>
              <w:widowControl/>
              <w:jc w:val="left"/>
              <w:textAlignment w:val="top"/>
              <w:rPr>
                <w:rFonts w:ascii="仿宋" w:eastAsia="仿宋" w:hAnsi="仿宋" w:cs="仿宋"/>
                <w:color w:val="000000"/>
                <w:sz w:val="24"/>
              </w:rPr>
            </w:pPr>
            <w:r>
              <w:rPr>
                <w:rFonts w:ascii="仿宋" w:eastAsia="仿宋" w:hAnsi="仿宋" w:cs="仿宋" w:hint="eastAsia"/>
                <w:color w:val="000000"/>
                <w:kern w:val="0"/>
                <w:sz w:val="24"/>
              </w:rPr>
              <w:t>即时办结</w:t>
            </w:r>
          </w:p>
        </w:tc>
        <w:tc>
          <w:tcPr>
            <w:tcW w:w="851" w:type="dxa"/>
            <w:vMerge w:val="restart"/>
            <w:tcBorders>
              <w:tl2br w:val="nil"/>
              <w:tr2bl w:val="nil"/>
            </w:tcBorders>
            <w:vAlign w:val="center"/>
          </w:tcPr>
          <w:p w:rsidR="00013EC7" w:rsidRDefault="00575CDB">
            <w:pPr>
              <w:widowControl/>
              <w:jc w:val="left"/>
              <w:textAlignment w:val="top"/>
              <w:rPr>
                <w:rFonts w:ascii="仿宋" w:eastAsia="仿宋" w:hAnsi="仿宋" w:cs="仿宋"/>
                <w:color w:val="000000"/>
                <w:sz w:val="24"/>
              </w:rPr>
            </w:pPr>
            <w:r>
              <w:rPr>
                <w:rFonts w:ascii="仿宋" w:eastAsia="仿宋" w:hAnsi="仿宋" w:cs="仿宋" w:hint="eastAsia"/>
                <w:color w:val="000000"/>
                <w:kern w:val="0"/>
                <w:sz w:val="24"/>
              </w:rPr>
              <w:t>即时办结</w:t>
            </w:r>
          </w:p>
        </w:tc>
        <w:tc>
          <w:tcPr>
            <w:tcW w:w="708" w:type="dxa"/>
            <w:vMerge w:val="restart"/>
            <w:tcBorders>
              <w:tl2br w:val="nil"/>
              <w:tr2bl w:val="nil"/>
            </w:tcBorders>
            <w:vAlign w:val="center"/>
          </w:tcPr>
          <w:p w:rsidR="00013EC7" w:rsidRDefault="00575CDB">
            <w:pPr>
              <w:widowControl/>
              <w:jc w:val="left"/>
              <w:textAlignment w:val="top"/>
              <w:rPr>
                <w:rFonts w:ascii="仿宋" w:eastAsia="仿宋" w:hAnsi="仿宋" w:cs="仿宋"/>
                <w:color w:val="000000"/>
                <w:sz w:val="24"/>
              </w:rPr>
            </w:pPr>
            <w:r>
              <w:rPr>
                <w:rFonts w:ascii="仿宋" w:eastAsia="仿宋" w:hAnsi="仿宋" w:cs="仿宋" w:hint="eastAsia"/>
                <w:color w:val="000000"/>
                <w:kern w:val="0"/>
                <w:sz w:val="24"/>
              </w:rPr>
              <w:t>是</w:t>
            </w:r>
          </w:p>
        </w:tc>
        <w:tc>
          <w:tcPr>
            <w:tcW w:w="993" w:type="dxa"/>
            <w:vMerge w:val="restart"/>
            <w:tcBorders>
              <w:tl2br w:val="nil"/>
              <w:tr2bl w:val="nil"/>
            </w:tcBorders>
            <w:vAlign w:val="center"/>
          </w:tcPr>
          <w:p w:rsidR="00013EC7" w:rsidRDefault="00575CDB">
            <w:pPr>
              <w:widowControl/>
              <w:jc w:val="left"/>
              <w:textAlignment w:val="top"/>
              <w:rPr>
                <w:rFonts w:ascii="仿宋" w:eastAsia="仿宋" w:hAnsi="仿宋" w:cs="仿宋"/>
                <w:color w:val="000000"/>
                <w:sz w:val="24"/>
              </w:rPr>
            </w:pPr>
            <w:r>
              <w:rPr>
                <w:rFonts w:ascii="仿宋" w:eastAsia="仿宋" w:hAnsi="仿宋" w:cs="仿宋" w:hint="eastAsia"/>
                <w:color w:val="000000"/>
                <w:kern w:val="0"/>
                <w:sz w:val="24"/>
              </w:rPr>
              <w:t>货物和劳务税处</w:t>
            </w:r>
          </w:p>
        </w:tc>
        <w:tc>
          <w:tcPr>
            <w:tcW w:w="978" w:type="dxa"/>
            <w:vMerge w:val="restart"/>
            <w:tcBorders>
              <w:tl2br w:val="nil"/>
              <w:tr2bl w:val="nil"/>
            </w:tcBorders>
            <w:vAlign w:val="center"/>
          </w:tcPr>
          <w:p w:rsidR="00013EC7" w:rsidRDefault="00013EC7">
            <w:pPr>
              <w:rPr>
                <w:rFonts w:ascii="仿宋" w:eastAsia="仿宋" w:hAnsi="仿宋" w:cs="仿宋"/>
                <w:color w:val="000000"/>
                <w:sz w:val="24"/>
              </w:rPr>
            </w:pPr>
          </w:p>
          <w:p w:rsidR="00013EC7" w:rsidRDefault="00013EC7">
            <w:pPr>
              <w:rPr>
                <w:rFonts w:ascii="仿宋" w:eastAsia="仿宋" w:hAnsi="仿宋" w:cs="仿宋"/>
                <w:color w:val="000000"/>
                <w:sz w:val="24"/>
              </w:rPr>
            </w:pPr>
          </w:p>
          <w:p w:rsidR="00013EC7" w:rsidRDefault="00013EC7">
            <w:pPr>
              <w:rPr>
                <w:rFonts w:ascii="仿宋" w:eastAsia="仿宋" w:hAnsi="仿宋" w:cs="仿宋"/>
                <w:color w:val="000000"/>
                <w:sz w:val="24"/>
              </w:rPr>
            </w:pPr>
          </w:p>
          <w:p w:rsidR="00013EC7" w:rsidRDefault="00013EC7">
            <w:pPr>
              <w:rPr>
                <w:rFonts w:ascii="仿宋" w:eastAsia="仿宋" w:hAnsi="仿宋" w:cs="仿宋"/>
                <w:color w:val="000000"/>
                <w:sz w:val="24"/>
              </w:rPr>
            </w:pPr>
          </w:p>
          <w:p w:rsidR="00013EC7" w:rsidRDefault="00013EC7">
            <w:pPr>
              <w:rPr>
                <w:rFonts w:ascii="仿宋" w:eastAsia="仿宋" w:hAnsi="仿宋" w:cs="仿宋"/>
                <w:color w:val="000000"/>
                <w:sz w:val="24"/>
              </w:rPr>
            </w:pPr>
          </w:p>
          <w:p w:rsidR="00013EC7" w:rsidRDefault="00013EC7">
            <w:pPr>
              <w:rPr>
                <w:rFonts w:ascii="仿宋" w:eastAsia="仿宋" w:hAnsi="仿宋" w:cs="仿宋"/>
                <w:color w:val="000000"/>
                <w:sz w:val="24"/>
              </w:rPr>
            </w:pPr>
          </w:p>
          <w:p w:rsidR="00013EC7" w:rsidRDefault="00013EC7">
            <w:pPr>
              <w:rPr>
                <w:rFonts w:ascii="仿宋" w:eastAsia="仿宋" w:hAnsi="仿宋" w:cs="仿宋"/>
                <w:color w:val="000000"/>
                <w:sz w:val="24"/>
              </w:rPr>
            </w:pPr>
          </w:p>
          <w:p w:rsidR="00013EC7" w:rsidRDefault="00013EC7">
            <w:pPr>
              <w:rPr>
                <w:rFonts w:ascii="仿宋" w:eastAsia="仿宋" w:hAnsi="仿宋" w:cs="仿宋"/>
                <w:color w:val="000000"/>
                <w:sz w:val="24"/>
              </w:rPr>
            </w:pPr>
          </w:p>
          <w:p w:rsidR="00013EC7" w:rsidRDefault="00013EC7">
            <w:pPr>
              <w:rPr>
                <w:rFonts w:ascii="仿宋" w:eastAsia="仿宋" w:hAnsi="仿宋" w:cs="仿宋"/>
                <w:color w:val="000000"/>
                <w:sz w:val="24"/>
              </w:rPr>
            </w:pPr>
          </w:p>
          <w:p w:rsidR="00013EC7" w:rsidRDefault="00013EC7">
            <w:pPr>
              <w:rPr>
                <w:rFonts w:ascii="仿宋" w:eastAsia="仿宋" w:hAnsi="仿宋" w:cs="仿宋"/>
                <w:color w:val="000000"/>
                <w:sz w:val="24"/>
              </w:rPr>
            </w:pPr>
          </w:p>
          <w:p w:rsidR="00013EC7" w:rsidRDefault="00013EC7">
            <w:pPr>
              <w:rPr>
                <w:rFonts w:ascii="仿宋" w:eastAsia="仿宋" w:hAnsi="仿宋" w:cs="仿宋"/>
                <w:color w:val="000000"/>
                <w:sz w:val="24"/>
              </w:rPr>
            </w:pPr>
          </w:p>
          <w:p w:rsidR="00013EC7" w:rsidRDefault="00013EC7">
            <w:pPr>
              <w:rPr>
                <w:rFonts w:ascii="仿宋" w:eastAsia="仿宋" w:hAnsi="仿宋" w:cs="仿宋"/>
                <w:color w:val="000000"/>
                <w:sz w:val="24"/>
              </w:rPr>
            </w:pPr>
          </w:p>
          <w:p w:rsidR="00013EC7" w:rsidRDefault="00013EC7">
            <w:pPr>
              <w:rPr>
                <w:rFonts w:ascii="仿宋" w:eastAsia="仿宋" w:hAnsi="仿宋" w:cs="仿宋"/>
                <w:color w:val="000000"/>
                <w:sz w:val="24"/>
              </w:rPr>
            </w:pPr>
          </w:p>
          <w:p w:rsidR="00013EC7" w:rsidRDefault="00013EC7">
            <w:pPr>
              <w:rPr>
                <w:rFonts w:ascii="仿宋" w:eastAsia="仿宋" w:hAnsi="仿宋" w:cs="仿宋"/>
                <w:color w:val="000000"/>
                <w:sz w:val="24"/>
              </w:rPr>
            </w:pPr>
          </w:p>
          <w:p w:rsidR="00013EC7" w:rsidRDefault="00013EC7">
            <w:pPr>
              <w:rPr>
                <w:rFonts w:ascii="仿宋" w:eastAsia="仿宋" w:hAnsi="仿宋" w:cs="仿宋"/>
                <w:color w:val="000000"/>
                <w:sz w:val="24"/>
              </w:rPr>
            </w:pPr>
          </w:p>
          <w:p w:rsidR="00013EC7" w:rsidRDefault="00013EC7">
            <w:pPr>
              <w:rPr>
                <w:rFonts w:ascii="仿宋" w:eastAsia="仿宋" w:hAnsi="仿宋" w:cs="仿宋"/>
                <w:color w:val="000000"/>
                <w:sz w:val="24"/>
              </w:rPr>
            </w:pPr>
          </w:p>
          <w:p w:rsidR="00013EC7" w:rsidRDefault="00013EC7">
            <w:pPr>
              <w:rPr>
                <w:rFonts w:ascii="仿宋" w:eastAsia="仿宋" w:hAnsi="仿宋" w:cs="仿宋"/>
                <w:color w:val="000000"/>
                <w:sz w:val="24"/>
              </w:rPr>
            </w:pPr>
          </w:p>
          <w:p w:rsidR="00013EC7" w:rsidRDefault="00013EC7">
            <w:pPr>
              <w:rPr>
                <w:rFonts w:ascii="仿宋" w:eastAsia="仿宋" w:hAnsi="仿宋" w:cs="仿宋"/>
                <w:color w:val="000000"/>
                <w:sz w:val="24"/>
              </w:rPr>
            </w:pPr>
          </w:p>
          <w:p w:rsidR="00013EC7" w:rsidRDefault="00013EC7">
            <w:pPr>
              <w:rPr>
                <w:rFonts w:ascii="仿宋" w:eastAsia="仿宋" w:hAnsi="仿宋" w:cs="仿宋"/>
                <w:color w:val="000000"/>
                <w:sz w:val="24"/>
              </w:rPr>
            </w:pPr>
          </w:p>
          <w:p w:rsidR="00013EC7" w:rsidRDefault="00013EC7">
            <w:pPr>
              <w:rPr>
                <w:rFonts w:ascii="仿宋" w:eastAsia="仿宋" w:hAnsi="仿宋" w:cs="仿宋"/>
                <w:color w:val="000000"/>
                <w:sz w:val="24"/>
              </w:rPr>
            </w:pPr>
          </w:p>
        </w:tc>
      </w:tr>
      <w:tr w:rsidR="00013EC7">
        <w:trPr>
          <w:trHeight w:val="1100"/>
        </w:trPr>
        <w:tc>
          <w:tcPr>
            <w:tcW w:w="639" w:type="dxa"/>
            <w:vMerge/>
            <w:tcBorders>
              <w:tl2br w:val="nil"/>
              <w:tr2bl w:val="nil"/>
            </w:tcBorders>
            <w:vAlign w:val="center"/>
          </w:tcPr>
          <w:p w:rsidR="00013EC7" w:rsidRDefault="00013EC7">
            <w:pPr>
              <w:rPr>
                <w:rFonts w:ascii="仿宋" w:eastAsia="仿宋" w:hAnsi="仿宋" w:cs="仿宋"/>
                <w:color w:val="000000"/>
                <w:sz w:val="24"/>
              </w:rPr>
            </w:pPr>
          </w:p>
        </w:tc>
        <w:tc>
          <w:tcPr>
            <w:tcW w:w="510" w:type="dxa"/>
            <w:vMerge/>
            <w:tcBorders>
              <w:tl2br w:val="nil"/>
              <w:tr2bl w:val="nil"/>
            </w:tcBorders>
            <w:vAlign w:val="center"/>
          </w:tcPr>
          <w:p w:rsidR="00013EC7" w:rsidRDefault="00013EC7">
            <w:pPr>
              <w:rPr>
                <w:rFonts w:ascii="仿宋" w:eastAsia="仿宋" w:hAnsi="仿宋" w:cs="仿宋"/>
                <w:color w:val="000000"/>
                <w:sz w:val="24"/>
              </w:rPr>
            </w:pPr>
          </w:p>
        </w:tc>
        <w:tc>
          <w:tcPr>
            <w:tcW w:w="3544" w:type="dxa"/>
            <w:vMerge/>
            <w:tcBorders>
              <w:tl2br w:val="nil"/>
              <w:tr2bl w:val="nil"/>
            </w:tcBorders>
            <w:vAlign w:val="center"/>
          </w:tcPr>
          <w:p w:rsidR="00013EC7" w:rsidRDefault="00013EC7">
            <w:pPr>
              <w:rPr>
                <w:rFonts w:ascii="仿宋" w:eastAsia="仿宋" w:hAnsi="仿宋" w:cs="仿宋"/>
                <w:color w:val="000000"/>
                <w:kern w:val="0"/>
                <w:sz w:val="24"/>
              </w:rPr>
            </w:pPr>
          </w:p>
        </w:tc>
        <w:tc>
          <w:tcPr>
            <w:tcW w:w="3260" w:type="dxa"/>
            <w:tcBorders>
              <w:tl2br w:val="nil"/>
              <w:tr2bl w:val="nil"/>
            </w:tcBorders>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color w:val="000000"/>
                <w:kern w:val="0"/>
                <w:sz w:val="24"/>
              </w:rPr>
              <w:t>（二）县及县以上政府批准储备食用植物油的批文原件及复印件（加盖公章）。</w:t>
            </w:r>
          </w:p>
        </w:tc>
        <w:tc>
          <w:tcPr>
            <w:tcW w:w="1418" w:type="dxa"/>
            <w:tcBorders>
              <w:tl2br w:val="nil"/>
              <w:tr2bl w:val="nil"/>
            </w:tcBorders>
            <w:vAlign w:val="center"/>
          </w:tcPr>
          <w:p w:rsidR="00013EC7" w:rsidRDefault="00575CDB">
            <w:pPr>
              <w:widowControl/>
              <w:textAlignment w:val="center"/>
              <w:rPr>
                <w:rFonts w:ascii="仿宋" w:eastAsia="仿宋" w:hAnsi="仿宋" w:cs="仿宋"/>
                <w:b/>
                <w:i/>
                <w:color w:val="000000"/>
                <w:sz w:val="24"/>
              </w:rPr>
            </w:pPr>
            <w:r>
              <w:rPr>
                <w:rFonts w:ascii="仿宋" w:eastAsia="仿宋" w:hAnsi="仿宋" w:cs="仿宋" w:hint="eastAsia"/>
                <w:color w:val="000000"/>
                <w:kern w:val="0"/>
                <w:sz w:val="24"/>
              </w:rPr>
              <w:t>政府储备食用植物油的纳税人提交</w:t>
            </w:r>
          </w:p>
        </w:tc>
        <w:tc>
          <w:tcPr>
            <w:tcW w:w="3118" w:type="dxa"/>
            <w:tcBorders>
              <w:tl2br w:val="nil"/>
              <w:tr2bl w:val="nil"/>
            </w:tcBorders>
            <w:vAlign w:val="center"/>
          </w:tcPr>
          <w:p w:rsidR="00013EC7" w:rsidRDefault="00575CDB">
            <w:pPr>
              <w:widowControl/>
              <w:textAlignment w:val="center"/>
              <w:rPr>
                <w:rFonts w:ascii="仿宋" w:eastAsia="仿宋" w:hAnsi="仿宋" w:cs="仿宋"/>
                <w:color w:val="000000"/>
                <w:sz w:val="24"/>
              </w:rPr>
            </w:pPr>
            <w:r>
              <w:rPr>
                <w:rFonts w:ascii="仿宋" w:eastAsia="仿宋" w:hAnsi="仿宋" w:cs="仿宋" w:hint="eastAsia"/>
                <w:color w:val="000000"/>
                <w:kern w:val="0"/>
                <w:sz w:val="24"/>
              </w:rPr>
              <w:t>（二）县及县以上政府批准储备食用植物油的批文复印件（注明与原件一致，并加盖公章）。</w:t>
            </w:r>
          </w:p>
        </w:tc>
        <w:tc>
          <w:tcPr>
            <w:tcW w:w="1276" w:type="dxa"/>
            <w:tcBorders>
              <w:tl2br w:val="nil"/>
              <w:tr2bl w:val="nil"/>
            </w:tcBorders>
            <w:vAlign w:val="center"/>
          </w:tcPr>
          <w:p w:rsidR="00013EC7" w:rsidRDefault="00575CDB">
            <w:pPr>
              <w:widowControl/>
              <w:textAlignment w:val="center"/>
              <w:rPr>
                <w:rFonts w:ascii="仿宋" w:eastAsia="仿宋" w:hAnsi="仿宋" w:cs="仿宋"/>
                <w:b/>
                <w:i/>
                <w:color w:val="000000"/>
                <w:sz w:val="24"/>
              </w:rPr>
            </w:pPr>
            <w:r>
              <w:rPr>
                <w:rFonts w:ascii="仿宋" w:eastAsia="仿宋" w:hAnsi="仿宋" w:cs="仿宋" w:hint="eastAsia"/>
                <w:color w:val="000000"/>
                <w:kern w:val="0"/>
                <w:sz w:val="24"/>
              </w:rPr>
              <w:t>储备食用植物油的纳税人提交</w:t>
            </w:r>
          </w:p>
        </w:tc>
        <w:tc>
          <w:tcPr>
            <w:tcW w:w="2268" w:type="dxa"/>
            <w:vMerge/>
            <w:tcBorders>
              <w:tl2br w:val="nil"/>
              <w:tr2bl w:val="nil"/>
            </w:tcBorders>
            <w:vAlign w:val="center"/>
          </w:tcPr>
          <w:p w:rsidR="00013EC7" w:rsidRDefault="00013EC7">
            <w:pPr>
              <w:widowControl/>
              <w:textAlignment w:val="center"/>
              <w:rPr>
                <w:rFonts w:ascii="仿宋" w:eastAsia="仿宋" w:hAnsi="仿宋" w:cs="仿宋"/>
                <w:b/>
                <w:color w:val="000000"/>
                <w:sz w:val="24"/>
              </w:rPr>
            </w:pPr>
          </w:p>
        </w:tc>
        <w:tc>
          <w:tcPr>
            <w:tcW w:w="567" w:type="dxa"/>
            <w:vMerge/>
            <w:tcBorders>
              <w:tl2br w:val="nil"/>
              <w:tr2bl w:val="nil"/>
            </w:tcBorders>
            <w:vAlign w:val="center"/>
          </w:tcPr>
          <w:p w:rsidR="00013EC7" w:rsidRDefault="00013EC7">
            <w:pPr>
              <w:rPr>
                <w:rFonts w:ascii="仿宋" w:eastAsia="仿宋" w:hAnsi="仿宋" w:cs="仿宋"/>
                <w:color w:val="000000"/>
                <w:sz w:val="24"/>
              </w:rPr>
            </w:pPr>
          </w:p>
        </w:tc>
        <w:tc>
          <w:tcPr>
            <w:tcW w:w="851" w:type="dxa"/>
            <w:vMerge/>
            <w:tcBorders>
              <w:tl2br w:val="nil"/>
              <w:tr2bl w:val="nil"/>
            </w:tcBorders>
            <w:vAlign w:val="center"/>
          </w:tcPr>
          <w:p w:rsidR="00013EC7" w:rsidRDefault="00013EC7">
            <w:pPr>
              <w:rPr>
                <w:rFonts w:ascii="仿宋" w:eastAsia="仿宋" w:hAnsi="仿宋" w:cs="仿宋"/>
                <w:color w:val="000000"/>
                <w:sz w:val="24"/>
              </w:rPr>
            </w:pPr>
          </w:p>
        </w:tc>
        <w:tc>
          <w:tcPr>
            <w:tcW w:w="708" w:type="dxa"/>
            <w:vMerge/>
            <w:tcBorders>
              <w:tl2br w:val="nil"/>
              <w:tr2bl w:val="nil"/>
            </w:tcBorders>
            <w:vAlign w:val="center"/>
          </w:tcPr>
          <w:p w:rsidR="00013EC7" w:rsidRDefault="00013EC7">
            <w:pPr>
              <w:rPr>
                <w:rFonts w:ascii="仿宋" w:eastAsia="仿宋" w:hAnsi="仿宋" w:cs="仿宋"/>
                <w:color w:val="000000"/>
                <w:sz w:val="24"/>
              </w:rPr>
            </w:pPr>
          </w:p>
        </w:tc>
        <w:tc>
          <w:tcPr>
            <w:tcW w:w="993" w:type="dxa"/>
            <w:vMerge/>
            <w:tcBorders>
              <w:tl2br w:val="nil"/>
              <w:tr2bl w:val="nil"/>
            </w:tcBorders>
            <w:vAlign w:val="center"/>
          </w:tcPr>
          <w:p w:rsidR="00013EC7" w:rsidRDefault="00013EC7">
            <w:pPr>
              <w:rPr>
                <w:rFonts w:ascii="仿宋" w:eastAsia="仿宋" w:hAnsi="仿宋" w:cs="仿宋"/>
                <w:color w:val="000000"/>
                <w:sz w:val="24"/>
              </w:rPr>
            </w:pPr>
          </w:p>
        </w:tc>
        <w:tc>
          <w:tcPr>
            <w:tcW w:w="978" w:type="dxa"/>
            <w:vMerge/>
            <w:tcBorders>
              <w:tl2br w:val="nil"/>
              <w:tr2bl w:val="nil"/>
            </w:tcBorders>
            <w:vAlign w:val="center"/>
          </w:tcPr>
          <w:p w:rsidR="00013EC7" w:rsidRDefault="00013EC7">
            <w:pPr>
              <w:rPr>
                <w:rFonts w:ascii="仿宋" w:eastAsia="仿宋" w:hAnsi="仿宋" w:cs="仿宋"/>
                <w:color w:val="000000"/>
                <w:sz w:val="24"/>
              </w:rPr>
            </w:pPr>
          </w:p>
        </w:tc>
      </w:tr>
      <w:tr w:rsidR="00013EC7">
        <w:trPr>
          <w:trHeight w:val="960"/>
        </w:trPr>
        <w:tc>
          <w:tcPr>
            <w:tcW w:w="639" w:type="dxa"/>
            <w:vMerge/>
            <w:tcBorders>
              <w:tl2br w:val="nil"/>
              <w:tr2bl w:val="nil"/>
            </w:tcBorders>
            <w:vAlign w:val="center"/>
          </w:tcPr>
          <w:p w:rsidR="00013EC7" w:rsidRDefault="00013EC7">
            <w:pPr>
              <w:rPr>
                <w:rFonts w:ascii="仿宋" w:eastAsia="仿宋" w:hAnsi="仿宋" w:cs="仿宋"/>
                <w:color w:val="000000"/>
                <w:sz w:val="24"/>
              </w:rPr>
            </w:pPr>
          </w:p>
        </w:tc>
        <w:tc>
          <w:tcPr>
            <w:tcW w:w="510" w:type="dxa"/>
            <w:vMerge/>
            <w:tcBorders>
              <w:tl2br w:val="nil"/>
              <w:tr2bl w:val="nil"/>
            </w:tcBorders>
            <w:vAlign w:val="center"/>
          </w:tcPr>
          <w:p w:rsidR="00013EC7" w:rsidRDefault="00013EC7">
            <w:pPr>
              <w:rPr>
                <w:rFonts w:ascii="仿宋" w:eastAsia="仿宋" w:hAnsi="仿宋" w:cs="仿宋"/>
                <w:color w:val="000000"/>
                <w:sz w:val="24"/>
              </w:rPr>
            </w:pPr>
          </w:p>
        </w:tc>
        <w:tc>
          <w:tcPr>
            <w:tcW w:w="3544" w:type="dxa"/>
            <w:vMerge/>
            <w:tcBorders>
              <w:tl2br w:val="nil"/>
              <w:tr2bl w:val="nil"/>
            </w:tcBorders>
            <w:vAlign w:val="center"/>
          </w:tcPr>
          <w:p w:rsidR="00013EC7" w:rsidRDefault="00013EC7">
            <w:pPr>
              <w:rPr>
                <w:rFonts w:ascii="仿宋" w:eastAsia="仿宋" w:hAnsi="仿宋" w:cs="仿宋"/>
                <w:color w:val="000000"/>
                <w:kern w:val="0"/>
                <w:sz w:val="24"/>
              </w:rPr>
            </w:pPr>
          </w:p>
        </w:tc>
        <w:tc>
          <w:tcPr>
            <w:tcW w:w="3260" w:type="dxa"/>
            <w:tcBorders>
              <w:tl2br w:val="nil"/>
              <w:tr2bl w:val="nil"/>
            </w:tcBorders>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color w:val="000000"/>
                <w:kern w:val="0"/>
                <w:sz w:val="24"/>
              </w:rPr>
              <w:t>（三）救灾救济粮的单位、供应数量等有关证明资料。</w:t>
            </w:r>
          </w:p>
        </w:tc>
        <w:tc>
          <w:tcPr>
            <w:tcW w:w="1418" w:type="dxa"/>
            <w:tcBorders>
              <w:tl2br w:val="nil"/>
              <w:tr2bl w:val="nil"/>
            </w:tcBorders>
            <w:vAlign w:val="center"/>
          </w:tcPr>
          <w:p w:rsidR="00013EC7" w:rsidRDefault="00575CDB">
            <w:pPr>
              <w:widowControl/>
              <w:textAlignment w:val="center"/>
              <w:rPr>
                <w:rFonts w:ascii="仿宋" w:eastAsia="仿宋" w:hAnsi="仿宋" w:cs="仿宋"/>
                <w:color w:val="000000"/>
                <w:sz w:val="24"/>
              </w:rPr>
            </w:pPr>
            <w:r>
              <w:rPr>
                <w:rFonts w:ascii="仿宋" w:eastAsia="仿宋" w:hAnsi="仿宋" w:cs="仿宋" w:hint="eastAsia"/>
                <w:color w:val="000000"/>
                <w:kern w:val="0"/>
                <w:sz w:val="24"/>
              </w:rPr>
              <w:t>销售救灾救济粮的纳税人提交</w:t>
            </w:r>
          </w:p>
        </w:tc>
        <w:tc>
          <w:tcPr>
            <w:tcW w:w="3118" w:type="dxa"/>
            <w:tcBorders>
              <w:tl2br w:val="nil"/>
              <w:tr2bl w:val="nil"/>
            </w:tcBorders>
            <w:vAlign w:val="center"/>
          </w:tcPr>
          <w:p w:rsidR="00013EC7" w:rsidRDefault="00575CDB">
            <w:pPr>
              <w:widowControl/>
              <w:textAlignment w:val="center"/>
              <w:rPr>
                <w:rFonts w:ascii="仿宋" w:eastAsia="仿宋" w:hAnsi="仿宋" w:cs="仿宋"/>
                <w:color w:val="000000"/>
                <w:sz w:val="24"/>
              </w:rPr>
            </w:pPr>
            <w:r>
              <w:rPr>
                <w:rFonts w:ascii="仿宋" w:eastAsia="仿宋" w:hAnsi="仿宋" w:cs="仿宋" w:hint="eastAsia"/>
                <w:color w:val="000000"/>
                <w:kern w:val="0"/>
                <w:sz w:val="24"/>
              </w:rPr>
              <w:t>（三）救灾救济粮的单位、供应数量等证明资料。</w:t>
            </w:r>
          </w:p>
        </w:tc>
        <w:tc>
          <w:tcPr>
            <w:tcW w:w="1276" w:type="dxa"/>
            <w:tcBorders>
              <w:tl2br w:val="nil"/>
              <w:tr2bl w:val="nil"/>
            </w:tcBorders>
            <w:vAlign w:val="center"/>
          </w:tcPr>
          <w:p w:rsidR="00013EC7" w:rsidRDefault="00575CDB">
            <w:pPr>
              <w:widowControl/>
              <w:textAlignment w:val="center"/>
              <w:rPr>
                <w:rFonts w:ascii="仿宋" w:eastAsia="仿宋" w:hAnsi="仿宋" w:cs="仿宋"/>
                <w:color w:val="000000"/>
                <w:sz w:val="24"/>
              </w:rPr>
            </w:pPr>
            <w:r>
              <w:rPr>
                <w:rFonts w:ascii="仿宋" w:eastAsia="仿宋" w:hAnsi="仿宋" w:cs="仿宋" w:hint="eastAsia"/>
                <w:color w:val="000000"/>
                <w:kern w:val="0"/>
                <w:sz w:val="24"/>
              </w:rPr>
              <w:t>销售救灾救济粮的纳税人提交</w:t>
            </w:r>
          </w:p>
        </w:tc>
        <w:tc>
          <w:tcPr>
            <w:tcW w:w="2268" w:type="dxa"/>
            <w:vMerge/>
            <w:tcBorders>
              <w:tl2br w:val="nil"/>
              <w:tr2bl w:val="nil"/>
            </w:tcBorders>
            <w:vAlign w:val="center"/>
          </w:tcPr>
          <w:p w:rsidR="00013EC7" w:rsidRDefault="00013EC7">
            <w:pPr>
              <w:rPr>
                <w:rFonts w:ascii="仿宋" w:eastAsia="仿宋" w:hAnsi="仿宋" w:cs="仿宋"/>
                <w:color w:val="000000"/>
                <w:sz w:val="24"/>
              </w:rPr>
            </w:pPr>
          </w:p>
        </w:tc>
        <w:tc>
          <w:tcPr>
            <w:tcW w:w="567" w:type="dxa"/>
            <w:vMerge/>
            <w:tcBorders>
              <w:tl2br w:val="nil"/>
              <w:tr2bl w:val="nil"/>
            </w:tcBorders>
            <w:vAlign w:val="center"/>
          </w:tcPr>
          <w:p w:rsidR="00013EC7" w:rsidRDefault="00013EC7">
            <w:pPr>
              <w:rPr>
                <w:rFonts w:ascii="仿宋" w:eastAsia="仿宋" w:hAnsi="仿宋" w:cs="仿宋"/>
                <w:color w:val="000000"/>
                <w:sz w:val="24"/>
              </w:rPr>
            </w:pPr>
          </w:p>
        </w:tc>
        <w:tc>
          <w:tcPr>
            <w:tcW w:w="851" w:type="dxa"/>
            <w:vMerge/>
            <w:tcBorders>
              <w:tl2br w:val="nil"/>
              <w:tr2bl w:val="nil"/>
            </w:tcBorders>
            <w:vAlign w:val="center"/>
          </w:tcPr>
          <w:p w:rsidR="00013EC7" w:rsidRDefault="00013EC7">
            <w:pPr>
              <w:rPr>
                <w:rFonts w:ascii="仿宋" w:eastAsia="仿宋" w:hAnsi="仿宋" w:cs="仿宋"/>
                <w:color w:val="000000"/>
                <w:sz w:val="24"/>
              </w:rPr>
            </w:pPr>
          </w:p>
        </w:tc>
        <w:tc>
          <w:tcPr>
            <w:tcW w:w="708" w:type="dxa"/>
            <w:vMerge/>
            <w:tcBorders>
              <w:tl2br w:val="nil"/>
              <w:tr2bl w:val="nil"/>
            </w:tcBorders>
            <w:vAlign w:val="center"/>
          </w:tcPr>
          <w:p w:rsidR="00013EC7" w:rsidRDefault="00013EC7">
            <w:pPr>
              <w:rPr>
                <w:rFonts w:ascii="仿宋" w:eastAsia="仿宋" w:hAnsi="仿宋" w:cs="仿宋"/>
                <w:color w:val="000000"/>
                <w:sz w:val="24"/>
              </w:rPr>
            </w:pPr>
          </w:p>
        </w:tc>
        <w:tc>
          <w:tcPr>
            <w:tcW w:w="993" w:type="dxa"/>
            <w:vMerge/>
            <w:tcBorders>
              <w:tl2br w:val="nil"/>
              <w:tr2bl w:val="nil"/>
            </w:tcBorders>
            <w:vAlign w:val="center"/>
          </w:tcPr>
          <w:p w:rsidR="00013EC7" w:rsidRDefault="00013EC7">
            <w:pPr>
              <w:rPr>
                <w:rFonts w:ascii="仿宋" w:eastAsia="仿宋" w:hAnsi="仿宋" w:cs="仿宋"/>
                <w:color w:val="000000"/>
                <w:sz w:val="24"/>
              </w:rPr>
            </w:pPr>
          </w:p>
        </w:tc>
        <w:tc>
          <w:tcPr>
            <w:tcW w:w="978" w:type="dxa"/>
            <w:vMerge/>
            <w:tcBorders>
              <w:tl2br w:val="nil"/>
              <w:tr2bl w:val="nil"/>
            </w:tcBorders>
            <w:vAlign w:val="center"/>
          </w:tcPr>
          <w:p w:rsidR="00013EC7" w:rsidRDefault="00013EC7">
            <w:pPr>
              <w:rPr>
                <w:rFonts w:ascii="仿宋" w:eastAsia="仿宋" w:hAnsi="仿宋" w:cs="仿宋"/>
                <w:color w:val="000000"/>
                <w:sz w:val="24"/>
              </w:rPr>
            </w:pPr>
          </w:p>
        </w:tc>
      </w:tr>
      <w:tr w:rsidR="00013EC7">
        <w:trPr>
          <w:trHeight w:val="1155"/>
        </w:trPr>
        <w:tc>
          <w:tcPr>
            <w:tcW w:w="639" w:type="dxa"/>
            <w:vMerge/>
            <w:tcBorders>
              <w:tl2br w:val="nil"/>
              <w:tr2bl w:val="nil"/>
            </w:tcBorders>
            <w:vAlign w:val="center"/>
          </w:tcPr>
          <w:p w:rsidR="00013EC7" w:rsidRDefault="00013EC7">
            <w:pPr>
              <w:rPr>
                <w:rFonts w:ascii="仿宋" w:eastAsia="仿宋" w:hAnsi="仿宋" w:cs="仿宋"/>
                <w:color w:val="000000"/>
                <w:sz w:val="24"/>
              </w:rPr>
            </w:pPr>
          </w:p>
        </w:tc>
        <w:tc>
          <w:tcPr>
            <w:tcW w:w="510" w:type="dxa"/>
            <w:vMerge/>
            <w:tcBorders>
              <w:tl2br w:val="nil"/>
              <w:tr2bl w:val="nil"/>
            </w:tcBorders>
            <w:vAlign w:val="center"/>
          </w:tcPr>
          <w:p w:rsidR="00013EC7" w:rsidRDefault="00013EC7">
            <w:pPr>
              <w:rPr>
                <w:rFonts w:ascii="仿宋" w:eastAsia="仿宋" w:hAnsi="仿宋" w:cs="仿宋"/>
                <w:color w:val="000000"/>
                <w:sz w:val="24"/>
              </w:rPr>
            </w:pPr>
          </w:p>
        </w:tc>
        <w:tc>
          <w:tcPr>
            <w:tcW w:w="3544" w:type="dxa"/>
            <w:vMerge/>
            <w:tcBorders>
              <w:tl2br w:val="nil"/>
              <w:tr2bl w:val="nil"/>
            </w:tcBorders>
            <w:vAlign w:val="center"/>
          </w:tcPr>
          <w:p w:rsidR="00013EC7" w:rsidRDefault="00013EC7">
            <w:pPr>
              <w:rPr>
                <w:rFonts w:ascii="仿宋" w:eastAsia="仿宋" w:hAnsi="仿宋" w:cs="仿宋"/>
                <w:color w:val="000000"/>
                <w:kern w:val="0"/>
                <w:sz w:val="24"/>
              </w:rPr>
            </w:pPr>
          </w:p>
        </w:tc>
        <w:tc>
          <w:tcPr>
            <w:tcW w:w="3260" w:type="dxa"/>
            <w:tcBorders>
              <w:tl2br w:val="nil"/>
              <w:tr2bl w:val="nil"/>
            </w:tcBorders>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color w:val="000000"/>
                <w:kern w:val="0"/>
                <w:sz w:val="24"/>
              </w:rPr>
              <w:t>（四）纳税人销售含有伴生金的货物，应当出具伴生金含量的有效证明。</w:t>
            </w:r>
          </w:p>
        </w:tc>
        <w:tc>
          <w:tcPr>
            <w:tcW w:w="1418" w:type="dxa"/>
            <w:tcBorders>
              <w:tl2br w:val="nil"/>
              <w:tr2bl w:val="nil"/>
            </w:tcBorders>
            <w:vAlign w:val="center"/>
          </w:tcPr>
          <w:p w:rsidR="00013EC7" w:rsidRDefault="00575CDB">
            <w:pPr>
              <w:widowControl/>
              <w:textAlignment w:val="center"/>
              <w:rPr>
                <w:rFonts w:ascii="仿宋" w:eastAsia="仿宋" w:hAnsi="仿宋" w:cs="仿宋"/>
                <w:color w:val="000000"/>
                <w:sz w:val="24"/>
              </w:rPr>
            </w:pPr>
            <w:r>
              <w:rPr>
                <w:rFonts w:ascii="仿宋" w:eastAsia="仿宋" w:hAnsi="仿宋" w:cs="仿宋" w:hint="eastAsia"/>
                <w:color w:val="000000"/>
                <w:kern w:val="0"/>
                <w:sz w:val="24"/>
              </w:rPr>
              <w:t>黄金交易的纳税人提交</w:t>
            </w:r>
          </w:p>
        </w:tc>
        <w:tc>
          <w:tcPr>
            <w:tcW w:w="3118" w:type="dxa"/>
            <w:tcBorders>
              <w:tl2br w:val="nil"/>
              <w:tr2bl w:val="nil"/>
            </w:tcBorders>
            <w:vAlign w:val="center"/>
          </w:tcPr>
          <w:p w:rsidR="00013EC7" w:rsidRDefault="00575CDB">
            <w:pPr>
              <w:widowControl/>
              <w:textAlignment w:val="center"/>
              <w:rPr>
                <w:rFonts w:ascii="仿宋" w:eastAsia="仿宋" w:hAnsi="仿宋" w:cs="仿宋"/>
                <w:color w:val="000000"/>
                <w:sz w:val="24"/>
              </w:rPr>
            </w:pPr>
            <w:r>
              <w:rPr>
                <w:rFonts w:ascii="仿宋" w:eastAsia="仿宋" w:hAnsi="仿宋" w:cs="仿宋" w:hint="eastAsia"/>
                <w:color w:val="000000"/>
                <w:kern w:val="0"/>
                <w:sz w:val="24"/>
              </w:rPr>
              <w:t>（四）纳税人销售含有伴生金的货物，应当出具伴生金含量的有效证明。</w:t>
            </w:r>
          </w:p>
        </w:tc>
        <w:tc>
          <w:tcPr>
            <w:tcW w:w="1276" w:type="dxa"/>
            <w:tcBorders>
              <w:tl2br w:val="nil"/>
              <w:tr2bl w:val="nil"/>
            </w:tcBorders>
            <w:vAlign w:val="center"/>
          </w:tcPr>
          <w:p w:rsidR="00013EC7" w:rsidRDefault="00575CDB">
            <w:pPr>
              <w:widowControl/>
              <w:textAlignment w:val="center"/>
              <w:rPr>
                <w:rFonts w:ascii="仿宋" w:eastAsia="仿宋" w:hAnsi="仿宋" w:cs="仿宋"/>
                <w:color w:val="000000"/>
                <w:sz w:val="24"/>
              </w:rPr>
            </w:pPr>
            <w:r>
              <w:rPr>
                <w:rFonts w:ascii="仿宋" w:eastAsia="仿宋" w:hAnsi="仿宋" w:cs="仿宋" w:hint="eastAsia"/>
                <w:color w:val="000000"/>
                <w:kern w:val="0"/>
                <w:sz w:val="24"/>
              </w:rPr>
              <w:t>黄金交易的纳税人提交</w:t>
            </w:r>
          </w:p>
        </w:tc>
        <w:tc>
          <w:tcPr>
            <w:tcW w:w="2268" w:type="dxa"/>
            <w:vMerge/>
            <w:tcBorders>
              <w:tl2br w:val="nil"/>
              <w:tr2bl w:val="nil"/>
            </w:tcBorders>
            <w:vAlign w:val="center"/>
          </w:tcPr>
          <w:p w:rsidR="00013EC7" w:rsidRDefault="00013EC7">
            <w:pPr>
              <w:rPr>
                <w:rFonts w:ascii="仿宋" w:eastAsia="仿宋" w:hAnsi="仿宋" w:cs="仿宋"/>
                <w:color w:val="000000"/>
                <w:sz w:val="24"/>
              </w:rPr>
            </w:pPr>
          </w:p>
        </w:tc>
        <w:tc>
          <w:tcPr>
            <w:tcW w:w="567" w:type="dxa"/>
            <w:vMerge/>
            <w:tcBorders>
              <w:tl2br w:val="nil"/>
              <w:tr2bl w:val="nil"/>
            </w:tcBorders>
            <w:vAlign w:val="center"/>
          </w:tcPr>
          <w:p w:rsidR="00013EC7" w:rsidRDefault="00013EC7">
            <w:pPr>
              <w:rPr>
                <w:rFonts w:ascii="仿宋" w:eastAsia="仿宋" w:hAnsi="仿宋" w:cs="仿宋"/>
                <w:color w:val="000000"/>
                <w:sz w:val="24"/>
              </w:rPr>
            </w:pPr>
          </w:p>
        </w:tc>
        <w:tc>
          <w:tcPr>
            <w:tcW w:w="851" w:type="dxa"/>
            <w:vMerge/>
            <w:tcBorders>
              <w:tl2br w:val="nil"/>
              <w:tr2bl w:val="nil"/>
            </w:tcBorders>
            <w:vAlign w:val="center"/>
          </w:tcPr>
          <w:p w:rsidR="00013EC7" w:rsidRDefault="00013EC7">
            <w:pPr>
              <w:rPr>
                <w:rFonts w:ascii="仿宋" w:eastAsia="仿宋" w:hAnsi="仿宋" w:cs="仿宋"/>
                <w:color w:val="000000"/>
                <w:sz w:val="24"/>
              </w:rPr>
            </w:pPr>
          </w:p>
        </w:tc>
        <w:tc>
          <w:tcPr>
            <w:tcW w:w="708" w:type="dxa"/>
            <w:vMerge/>
            <w:tcBorders>
              <w:tl2br w:val="nil"/>
              <w:tr2bl w:val="nil"/>
            </w:tcBorders>
            <w:vAlign w:val="center"/>
          </w:tcPr>
          <w:p w:rsidR="00013EC7" w:rsidRDefault="00013EC7">
            <w:pPr>
              <w:rPr>
                <w:rFonts w:ascii="仿宋" w:eastAsia="仿宋" w:hAnsi="仿宋" w:cs="仿宋"/>
                <w:color w:val="000000"/>
                <w:sz w:val="24"/>
              </w:rPr>
            </w:pPr>
          </w:p>
        </w:tc>
        <w:tc>
          <w:tcPr>
            <w:tcW w:w="993" w:type="dxa"/>
            <w:vMerge/>
            <w:tcBorders>
              <w:tl2br w:val="nil"/>
              <w:tr2bl w:val="nil"/>
            </w:tcBorders>
            <w:vAlign w:val="center"/>
          </w:tcPr>
          <w:p w:rsidR="00013EC7" w:rsidRDefault="00013EC7">
            <w:pPr>
              <w:rPr>
                <w:rFonts w:ascii="仿宋" w:eastAsia="仿宋" w:hAnsi="仿宋" w:cs="仿宋"/>
                <w:color w:val="000000"/>
                <w:sz w:val="24"/>
              </w:rPr>
            </w:pPr>
          </w:p>
        </w:tc>
        <w:tc>
          <w:tcPr>
            <w:tcW w:w="978" w:type="dxa"/>
            <w:vMerge/>
            <w:tcBorders>
              <w:tl2br w:val="nil"/>
              <w:tr2bl w:val="nil"/>
            </w:tcBorders>
            <w:vAlign w:val="center"/>
          </w:tcPr>
          <w:p w:rsidR="00013EC7" w:rsidRDefault="00013EC7">
            <w:pPr>
              <w:rPr>
                <w:rFonts w:ascii="仿宋" w:eastAsia="仿宋" w:hAnsi="仿宋" w:cs="仿宋"/>
                <w:color w:val="000000"/>
                <w:sz w:val="24"/>
              </w:rPr>
            </w:pPr>
          </w:p>
        </w:tc>
      </w:tr>
      <w:tr w:rsidR="00013EC7">
        <w:trPr>
          <w:trHeight w:val="1020"/>
        </w:trPr>
        <w:tc>
          <w:tcPr>
            <w:tcW w:w="639" w:type="dxa"/>
            <w:vMerge/>
            <w:tcBorders>
              <w:tl2br w:val="nil"/>
              <w:tr2bl w:val="nil"/>
            </w:tcBorders>
            <w:vAlign w:val="center"/>
          </w:tcPr>
          <w:p w:rsidR="00013EC7" w:rsidRDefault="00013EC7">
            <w:pPr>
              <w:rPr>
                <w:rFonts w:ascii="仿宋" w:eastAsia="仿宋" w:hAnsi="仿宋" w:cs="仿宋"/>
                <w:color w:val="000000"/>
                <w:sz w:val="24"/>
              </w:rPr>
            </w:pPr>
          </w:p>
        </w:tc>
        <w:tc>
          <w:tcPr>
            <w:tcW w:w="510" w:type="dxa"/>
            <w:vMerge/>
            <w:tcBorders>
              <w:tl2br w:val="nil"/>
              <w:tr2bl w:val="nil"/>
            </w:tcBorders>
            <w:vAlign w:val="center"/>
          </w:tcPr>
          <w:p w:rsidR="00013EC7" w:rsidRDefault="00013EC7">
            <w:pPr>
              <w:rPr>
                <w:rFonts w:ascii="仿宋" w:eastAsia="仿宋" w:hAnsi="仿宋" w:cs="仿宋"/>
                <w:color w:val="000000"/>
                <w:sz w:val="24"/>
              </w:rPr>
            </w:pPr>
          </w:p>
        </w:tc>
        <w:tc>
          <w:tcPr>
            <w:tcW w:w="3544" w:type="dxa"/>
            <w:vMerge/>
            <w:tcBorders>
              <w:tl2br w:val="nil"/>
              <w:tr2bl w:val="nil"/>
            </w:tcBorders>
            <w:vAlign w:val="center"/>
          </w:tcPr>
          <w:p w:rsidR="00013EC7" w:rsidRDefault="00013EC7">
            <w:pPr>
              <w:rPr>
                <w:rFonts w:ascii="仿宋" w:eastAsia="仿宋" w:hAnsi="仿宋" w:cs="仿宋"/>
                <w:color w:val="000000"/>
                <w:kern w:val="0"/>
                <w:sz w:val="24"/>
              </w:rPr>
            </w:pPr>
          </w:p>
        </w:tc>
        <w:tc>
          <w:tcPr>
            <w:tcW w:w="3260" w:type="dxa"/>
            <w:tcBorders>
              <w:tl2br w:val="nil"/>
              <w:tr2bl w:val="nil"/>
            </w:tcBorders>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color w:val="000000"/>
                <w:kern w:val="0"/>
                <w:sz w:val="24"/>
              </w:rPr>
              <w:t>（五）上海钻石交易所会员资格证明原件、复印件（加盖公章）。</w:t>
            </w:r>
          </w:p>
        </w:tc>
        <w:tc>
          <w:tcPr>
            <w:tcW w:w="1418" w:type="dxa"/>
            <w:tcBorders>
              <w:tl2br w:val="nil"/>
              <w:tr2bl w:val="nil"/>
            </w:tcBorders>
            <w:vAlign w:val="center"/>
          </w:tcPr>
          <w:p w:rsidR="00013EC7" w:rsidRDefault="00575CDB">
            <w:pPr>
              <w:widowControl/>
              <w:jc w:val="left"/>
              <w:textAlignment w:val="center"/>
              <w:rPr>
                <w:rFonts w:ascii="仿宋" w:eastAsia="仿宋" w:hAnsi="仿宋" w:cs="仿宋"/>
                <w:b/>
                <w:i/>
                <w:color w:val="000000"/>
                <w:sz w:val="24"/>
              </w:rPr>
            </w:pPr>
            <w:r>
              <w:rPr>
                <w:rFonts w:ascii="仿宋" w:eastAsia="仿宋" w:hAnsi="仿宋" w:cs="仿宋" w:hint="eastAsia"/>
                <w:color w:val="000000"/>
                <w:kern w:val="0"/>
                <w:sz w:val="24"/>
              </w:rPr>
              <w:t>钻石交易的纳税人提交</w:t>
            </w:r>
          </w:p>
        </w:tc>
        <w:tc>
          <w:tcPr>
            <w:tcW w:w="3118" w:type="dxa"/>
            <w:tcBorders>
              <w:tl2br w:val="nil"/>
              <w:tr2bl w:val="nil"/>
            </w:tcBorders>
            <w:vAlign w:val="center"/>
          </w:tcPr>
          <w:p w:rsidR="00013EC7" w:rsidRDefault="00575CDB">
            <w:pPr>
              <w:widowControl/>
              <w:textAlignment w:val="center"/>
              <w:rPr>
                <w:rFonts w:ascii="仿宋" w:eastAsia="仿宋" w:hAnsi="仿宋" w:cs="仿宋"/>
                <w:color w:val="000000"/>
                <w:sz w:val="24"/>
              </w:rPr>
            </w:pPr>
            <w:r>
              <w:rPr>
                <w:rFonts w:ascii="仿宋" w:eastAsia="仿宋" w:hAnsi="仿宋" w:cs="仿宋" w:hint="eastAsia"/>
                <w:color w:val="000000"/>
                <w:kern w:val="0"/>
                <w:sz w:val="24"/>
              </w:rPr>
              <w:t>（五）上海钻石交易所会员资格证明复印件（注明与原件一致，并加盖公章）。</w:t>
            </w:r>
          </w:p>
        </w:tc>
        <w:tc>
          <w:tcPr>
            <w:tcW w:w="1276" w:type="dxa"/>
            <w:tcBorders>
              <w:tl2br w:val="nil"/>
              <w:tr2bl w:val="nil"/>
            </w:tcBorders>
            <w:vAlign w:val="center"/>
          </w:tcPr>
          <w:p w:rsidR="00013EC7" w:rsidRDefault="00575CDB">
            <w:pPr>
              <w:widowControl/>
              <w:jc w:val="left"/>
              <w:textAlignment w:val="center"/>
              <w:rPr>
                <w:rFonts w:ascii="仿宋" w:eastAsia="仿宋" w:hAnsi="仿宋" w:cs="仿宋"/>
                <w:b/>
                <w:i/>
                <w:color w:val="000000"/>
                <w:sz w:val="24"/>
              </w:rPr>
            </w:pPr>
            <w:r>
              <w:rPr>
                <w:rFonts w:ascii="仿宋" w:eastAsia="仿宋" w:hAnsi="仿宋" w:cs="仿宋" w:hint="eastAsia"/>
                <w:color w:val="000000"/>
                <w:kern w:val="0"/>
                <w:sz w:val="24"/>
              </w:rPr>
              <w:t>钻石交易的纳税人提交</w:t>
            </w:r>
          </w:p>
        </w:tc>
        <w:tc>
          <w:tcPr>
            <w:tcW w:w="2268" w:type="dxa"/>
            <w:vMerge/>
            <w:tcBorders>
              <w:tl2br w:val="nil"/>
              <w:tr2bl w:val="nil"/>
            </w:tcBorders>
            <w:vAlign w:val="center"/>
          </w:tcPr>
          <w:p w:rsidR="00013EC7" w:rsidRDefault="00013EC7">
            <w:pPr>
              <w:widowControl/>
              <w:jc w:val="left"/>
              <w:textAlignment w:val="center"/>
              <w:rPr>
                <w:rFonts w:ascii="仿宋" w:eastAsia="仿宋" w:hAnsi="仿宋" w:cs="仿宋"/>
                <w:b/>
                <w:color w:val="000000"/>
                <w:sz w:val="24"/>
              </w:rPr>
            </w:pPr>
          </w:p>
        </w:tc>
        <w:tc>
          <w:tcPr>
            <w:tcW w:w="567" w:type="dxa"/>
            <w:vMerge/>
            <w:tcBorders>
              <w:tl2br w:val="nil"/>
              <w:tr2bl w:val="nil"/>
            </w:tcBorders>
          </w:tcPr>
          <w:p w:rsidR="00013EC7" w:rsidRDefault="00013EC7">
            <w:pPr>
              <w:jc w:val="center"/>
              <w:rPr>
                <w:rFonts w:ascii="仿宋" w:eastAsia="仿宋" w:hAnsi="仿宋" w:cs="仿宋"/>
                <w:color w:val="000000"/>
                <w:sz w:val="24"/>
              </w:rPr>
            </w:pPr>
          </w:p>
        </w:tc>
        <w:tc>
          <w:tcPr>
            <w:tcW w:w="851" w:type="dxa"/>
            <w:vMerge/>
            <w:tcBorders>
              <w:tl2br w:val="nil"/>
              <w:tr2bl w:val="nil"/>
            </w:tcBorders>
          </w:tcPr>
          <w:p w:rsidR="00013EC7" w:rsidRDefault="00013EC7">
            <w:pPr>
              <w:jc w:val="center"/>
              <w:rPr>
                <w:rFonts w:ascii="仿宋" w:eastAsia="仿宋" w:hAnsi="仿宋" w:cs="仿宋"/>
                <w:color w:val="000000"/>
                <w:sz w:val="24"/>
              </w:rPr>
            </w:pPr>
          </w:p>
        </w:tc>
        <w:tc>
          <w:tcPr>
            <w:tcW w:w="708" w:type="dxa"/>
            <w:vMerge/>
            <w:tcBorders>
              <w:tl2br w:val="nil"/>
              <w:tr2bl w:val="nil"/>
            </w:tcBorders>
          </w:tcPr>
          <w:p w:rsidR="00013EC7" w:rsidRDefault="00013EC7">
            <w:pPr>
              <w:jc w:val="center"/>
              <w:rPr>
                <w:rFonts w:ascii="仿宋" w:eastAsia="仿宋" w:hAnsi="仿宋" w:cs="仿宋"/>
                <w:color w:val="000000"/>
                <w:sz w:val="24"/>
              </w:rPr>
            </w:pPr>
          </w:p>
        </w:tc>
        <w:tc>
          <w:tcPr>
            <w:tcW w:w="993" w:type="dxa"/>
            <w:vMerge/>
            <w:tcBorders>
              <w:tl2br w:val="nil"/>
              <w:tr2bl w:val="nil"/>
            </w:tcBorders>
          </w:tcPr>
          <w:p w:rsidR="00013EC7" w:rsidRDefault="00013EC7">
            <w:pPr>
              <w:jc w:val="center"/>
              <w:rPr>
                <w:rFonts w:ascii="仿宋" w:eastAsia="仿宋" w:hAnsi="仿宋" w:cs="仿宋"/>
                <w:color w:val="000000"/>
                <w:sz w:val="24"/>
              </w:rPr>
            </w:pPr>
          </w:p>
        </w:tc>
        <w:tc>
          <w:tcPr>
            <w:tcW w:w="978" w:type="dxa"/>
            <w:vMerge/>
            <w:tcBorders>
              <w:tl2br w:val="nil"/>
              <w:tr2bl w:val="nil"/>
            </w:tcBorders>
          </w:tcPr>
          <w:p w:rsidR="00013EC7" w:rsidRDefault="00013EC7">
            <w:pPr>
              <w:rPr>
                <w:rFonts w:ascii="仿宋" w:eastAsia="仿宋" w:hAnsi="仿宋" w:cs="仿宋"/>
                <w:color w:val="000000"/>
                <w:sz w:val="24"/>
              </w:rPr>
            </w:pPr>
          </w:p>
        </w:tc>
      </w:tr>
      <w:tr w:rsidR="00013EC7">
        <w:trPr>
          <w:trHeight w:val="1078"/>
        </w:trPr>
        <w:tc>
          <w:tcPr>
            <w:tcW w:w="639" w:type="dxa"/>
            <w:vMerge/>
            <w:tcBorders>
              <w:tl2br w:val="nil"/>
              <w:tr2bl w:val="nil"/>
            </w:tcBorders>
            <w:vAlign w:val="center"/>
          </w:tcPr>
          <w:p w:rsidR="00013EC7" w:rsidRDefault="00013EC7">
            <w:pPr>
              <w:rPr>
                <w:rFonts w:ascii="仿宋" w:eastAsia="仿宋" w:hAnsi="仿宋" w:cs="仿宋"/>
                <w:color w:val="000000"/>
                <w:sz w:val="24"/>
              </w:rPr>
            </w:pPr>
          </w:p>
        </w:tc>
        <w:tc>
          <w:tcPr>
            <w:tcW w:w="510" w:type="dxa"/>
            <w:vMerge/>
            <w:tcBorders>
              <w:tl2br w:val="nil"/>
              <w:tr2bl w:val="nil"/>
            </w:tcBorders>
            <w:vAlign w:val="center"/>
          </w:tcPr>
          <w:p w:rsidR="00013EC7" w:rsidRDefault="00013EC7">
            <w:pPr>
              <w:rPr>
                <w:rFonts w:ascii="仿宋" w:eastAsia="仿宋" w:hAnsi="仿宋" w:cs="仿宋"/>
                <w:color w:val="000000"/>
                <w:sz w:val="24"/>
              </w:rPr>
            </w:pPr>
          </w:p>
        </w:tc>
        <w:tc>
          <w:tcPr>
            <w:tcW w:w="3544" w:type="dxa"/>
            <w:vMerge/>
            <w:tcBorders>
              <w:tl2br w:val="nil"/>
              <w:tr2bl w:val="nil"/>
            </w:tcBorders>
            <w:vAlign w:val="center"/>
          </w:tcPr>
          <w:p w:rsidR="00013EC7" w:rsidRDefault="00013EC7">
            <w:pPr>
              <w:rPr>
                <w:rFonts w:ascii="仿宋" w:eastAsia="仿宋" w:hAnsi="仿宋" w:cs="仿宋"/>
                <w:color w:val="000000"/>
                <w:kern w:val="0"/>
                <w:sz w:val="24"/>
              </w:rPr>
            </w:pPr>
          </w:p>
        </w:tc>
        <w:tc>
          <w:tcPr>
            <w:tcW w:w="3260" w:type="dxa"/>
            <w:tcBorders>
              <w:tl2br w:val="nil"/>
              <w:tr2bl w:val="nil"/>
            </w:tcBorders>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color w:val="000000"/>
                <w:kern w:val="0"/>
                <w:sz w:val="24"/>
              </w:rPr>
              <w:t>（六）证明为铁路系统内部单位的文件原件及复印件（加盖公章）。</w:t>
            </w:r>
          </w:p>
        </w:tc>
        <w:tc>
          <w:tcPr>
            <w:tcW w:w="1418" w:type="dxa"/>
            <w:tcBorders>
              <w:tl2br w:val="nil"/>
              <w:tr2bl w:val="nil"/>
            </w:tcBorders>
            <w:vAlign w:val="center"/>
          </w:tcPr>
          <w:p w:rsidR="00013EC7" w:rsidRDefault="00575CDB">
            <w:pPr>
              <w:widowControl/>
              <w:jc w:val="left"/>
              <w:textAlignment w:val="center"/>
              <w:rPr>
                <w:rFonts w:ascii="仿宋" w:eastAsia="仿宋" w:hAnsi="仿宋" w:cs="仿宋"/>
                <w:b/>
                <w:i/>
                <w:color w:val="000000"/>
                <w:sz w:val="24"/>
              </w:rPr>
            </w:pPr>
            <w:r>
              <w:rPr>
                <w:rFonts w:ascii="仿宋" w:eastAsia="仿宋" w:hAnsi="仿宋" w:cs="仿宋" w:hint="eastAsia"/>
                <w:color w:val="000000"/>
                <w:kern w:val="0"/>
                <w:sz w:val="24"/>
              </w:rPr>
              <w:t>铁路货车修理的纳税人提交</w:t>
            </w:r>
          </w:p>
        </w:tc>
        <w:tc>
          <w:tcPr>
            <w:tcW w:w="3118" w:type="dxa"/>
            <w:tcBorders>
              <w:tl2br w:val="nil"/>
              <w:tr2bl w:val="nil"/>
            </w:tcBorders>
            <w:vAlign w:val="center"/>
          </w:tcPr>
          <w:p w:rsidR="00013EC7" w:rsidRDefault="00575CDB">
            <w:pPr>
              <w:widowControl/>
              <w:textAlignment w:val="center"/>
              <w:rPr>
                <w:rFonts w:ascii="仿宋" w:eastAsia="仿宋" w:hAnsi="仿宋" w:cs="仿宋"/>
                <w:color w:val="000000"/>
                <w:sz w:val="24"/>
              </w:rPr>
            </w:pPr>
            <w:r>
              <w:rPr>
                <w:rFonts w:ascii="仿宋" w:eastAsia="仿宋" w:hAnsi="仿宋" w:cs="仿宋" w:hint="eastAsia"/>
                <w:color w:val="000000"/>
                <w:kern w:val="0"/>
                <w:sz w:val="24"/>
              </w:rPr>
              <w:t>（六）证明为铁路系统内部单位的文件复印件（注明与原件一致，并加盖公章）。</w:t>
            </w:r>
          </w:p>
        </w:tc>
        <w:tc>
          <w:tcPr>
            <w:tcW w:w="1276" w:type="dxa"/>
            <w:tcBorders>
              <w:tl2br w:val="nil"/>
              <w:tr2bl w:val="nil"/>
            </w:tcBorders>
            <w:vAlign w:val="center"/>
          </w:tcPr>
          <w:p w:rsidR="00013EC7" w:rsidRDefault="00575CDB">
            <w:pPr>
              <w:widowControl/>
              <w:jc w:val="left"/>
              <w:textAlignment w:val="center"/>
              <w:rPr>
                <w:rFonts w:ascii="仿宋" w:eastAsia="仿宋" w:hAnsi="仿宋" w:cs="仿宋"/>
                <w:b/>
                <w:i/>
                <w:color w:val="000000"/>
                <w:sz w:val="24"/>
              </w:rPr>
            </w:pPr>
            <w:r>
              <w:rPr>
                <w:rFonts w:ascii="仿宋" w:eastAsia="仿宋" w:hAnsi="仿宋" w:cs="仿宋" w:hint="eastAsia"/>
                <w:color w:val="000000"/>
                <w:kern w:val="0"/>
                <w:sz w:val="24"/>
              </w:rPr>
              <w:t>铁路货车修理的纳税人提交</w:t>
            </w:r>
          </w:p>
        </w:tc>
        <w:tc>
          <w:tcPr>
            <w:tcW w:w="2268" w:type="dxa"/>
            <w:vMerge/>
            <w:tcBorders>
              <w:tl2br w:val="nil"/>
              <w:tr2bl w:val="nil"/>
            </w:tcBorders>
            <w:vAlign w:val="center"/>
          </w:tcPr>
          <w:p w:rsidR="00013EC7" w:rsidRDefault="00013EC7">
            <w:pPr>
              <w:jc w:val="left"/>
              <w:textAlignment w:val="center"/>
              <w:rPr>
                <w:rFonts w:ascii="仿宋" w:eastAsia="仿宋" w:hAnsi="仿宋" w:cs="仿宋"/>
                <w:b/>
                <w:color w:val="000000"/>
                <w:sz w:val="24"/>
              </w:rPr>
            </w:pPr>
          </w:p>
        </w:tc>
        <w:tc>
          <w:tcPr>
            <w:tcW w:w="567" w:type="dxa"/>
            <w:vMerge/>
            <w:tcBorders>
              <w:tl2br w:val="nil"/>
              <w:tr2bl w:val="nil"/>
            </w:tcBorders>
          </w:tcPr>
          <w:p w:rsidR="00013EC7" w:rsidRDefault="00013EC7">
            <w:pPr>
              <w:jc w:val="center"/>
              <w:rPr>
                <w:rFonts w:ascii="仿宋" w:eastAsia="仿宋" w:hAnsi="仿宋" w:cs="仿宋"/>
                <w:color w:val="000000"/>
                <w:sz w:val="24"/>
              </w:rPr>
            </w:pPr>
          </w:p>
        </w:tc>
        <w:tc>
          <w:tcPr>
            <w:tcW w:w="851" w:type="dxa"/>
            <w:vMerge/>
            <w:tcBorders>
              <w:tl2br w:val="nil"/>
              <w:tr2bl w:val="nil"/>
            </w:tcBorders>
          </w:tcPr>
          <w:p w:rsidR="00013EC7" w:rsidRDefault="00013EC7">
            <w:pPr>
              <w:jc w:val="center"/>
              <w:rPr>
                <w:rFonts w:ascii="仿宋" w:eastAsia="仿宋" w:hAnsi="仿宋" w:cs="仿宋"/>
                <w:color w:val="000000"/>
                <w:sz w:val="24"/>
              </w:rPr>
            </w:pPr>
          </w:p>
        </w:tc>
        <w:tc>
          <w:tcPr>
            <w:tcW w:w="708" w:type="dxa"/>
            <w:vMerge/>
            <w:tcBorders>
              <w:tl2br w:val="nil"/>
              <w:tr2bl w:val="nil"/>
            </w:tcBorders>
          </w:tcPr>
          <w:p w:rsidR="00013EC7" w:rsidRDefault="00013EC7">
            <w:pPr>
              <w:jc w:val="center"/>
              <w:rPr>
                <w:rFonts w:ascii="仿宋" w:eastAsia="仿宋" w:hAnsi="仿宋" w:cs="仿宋"/>
                <w:color w:val="000000"/>
                <w:sz w:val="24"/>
              </w:rPr>
            </w:pPr>
          </w:p>
        </w:tc>
        <w:tc>
          <w:tcPr>
            <w:tcW w:w="993" w:type="dxa"/>
            <w:vMerge/>
            <w:tcBorders>
              <w:tl2br w:val="nil"/>
              <w:tr2bl w:val="nil"/>
            </w:tcBorders>
          </w:tcPr>
          <w:p w:rsidR="00013EC7" w:rsidRDefault="00013EC7">
            <w:pPr>
              <w:jc w:val="center"/>
              <w:rPr>
                <w:rFonts w:ascii="仿宋" w:eastAsia="仿宋" w:hAnsi="仿宋" w:cs="仿宋"/>
                <w:color w:val="000000"/>
                <w:sz w:val="24"/>
              </w:rPr>
            </w:pPr>
          </w:p>
        </w:tc>
        <w:tc>
          <w:tcPr>
            <w:tcW w:w="978" w:type="dxa"/>
            <w:vMerge/>
            <w:tcBorders>
              <w:tl2br w:val="nil"/>
              <w:tr2bl w:val="nil"/>
            </w:tcBorders>
          </w:tcPr>
          <w:p w:rsidR="00013EC7" w:rsidRDefault="00013EC7">
            <w:pPr>
              <w:rPr>
                <w:rFonts w:ascii="仿宋" w:eastAsia="仿宋" w:hAnsi="仿宋" w:cs="仿宋"/>
                <w:color w:val="000000"/>
                <w:sz w:val="24"/>
              </w:rPr>
            </w:pPr>
          </w:p>
        </w:tc>
      </w:tr>
      <w:tr w:rsidR="00013EC7">
        <w:trPr>
          <w:trHeight w:val="1094"/>
        </w:trPr>
        <w:tc>
          <w:tcPr>
            <w:tcW w:w="639" w:type="dxa"/>
            <w:vMerge/>
            <w:tcBorders>
              <w:tl2br w:val="nil"/>
              <w:tr2bl w:val="nil"/>
            </w:tcBorders>
            <w:vAlign w:val="center"/>
          </w:tcPr>
          <w:p w:rsidR="00013EC7" w:rsidRDefault="00013EC7">
            <w:pPr>
              <w:rPr>
                <w:rFonts w:ascii="仿宋" w:eastAsia="仿宋" w:hAnsi="仿宋" w:cs="仿宋"/>
                <w:color w:val="000000"/>
                <w:sz w:val="24"/>
              </w:rPr>
            </w:pPr>
          </w:p>
        </w:tc>
        <w:tc>
          <w:tcPr>
            <w:tcW w:w="510" w:type="dxa"/>
            <w:vMerge/>
            <w:tcBorders>
              <w:tl2br w:val="nil"/>
              <w:tr2bl w:val="nil"/>
            </w:tcBorders>
            <w:vAlign w:val="center"/>
          </w:tcPr>
          <w:p w:rsidR="00013EC7" w:rsidRDefault="00013EC7">
            <w:pPr>
              <w:rPr>
                <w:rFonts w:ascii="仿宋" w:eastAsia="仿宋" w:hAnsi="仿宋" w:cs="仿宋"/>
                <w:color w:val="000000"/>
                <w:sz w:val="24"/>
              </w:rPr>
            </w:pPr>
          </w:p>
        </w:tc>
        <w:tc>
          <w:tcPr>
            <w:tcW w:w="3544" w:type="dxa"/>
            <w:vMerge/>
            <w:tcBorders>
              <w:tl2br w:val="nil"/>
              <w:tr2bl w:val="nil"/>
            </w:tcBorders>
            <w:vAlign w:val="center"/>
          </w:tcPr>
          <w:p w:rsidR="00013EC7" w:rsidRDefault="00013EC7">
            <w:pPr>
              <w:rPr>
                <w:rFonts w:ascii="仿宋" w:eastAsia="仿宋" w:hAnsi="仿宋" w:cs="仿宋"/>
                <w:color w:val="000000"/>
                <w:kern w:val="0"/>
                <w:sz w:val="24"/>
              </w:rPr>
            </w:pPr>
          </w:p>
        </w:tc>
        <w:tc>
          <w:tcPr>
            <w:tcW w:w="3260" w:type="dxa"/>
            <w:tcBorders>
              <w:tl2br w:val="nil"/>
              <w:tr2bl w:val="nil"/>
            </w:tcBorders>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color w:val="000000"/>
                <w:kern w:val="0"/>
                <w:sz w:val="24"/>
              </w:rPr>
              <w:t>（七）属于“中国熊猫普制金币授权经销商”的纳税人应提供相关资格证书原件及复印件（加盖公章）和《中国熊猫普制金币经销协议》原件及复印件（加盖公章）。</w:t>
            </w:r>
          </w:p>
        </w:tc>
        <w:tc>
          <w:tcPr>
            <w:tcW w:w="1418" w:type="dxa"/>
            <w:vMerge w:val="restart"/>
            <w:tcBorders>
              <w:tl2br w:val="nil"/>
              <w:tr2bl w:val="nil"/>
            </w:tcBorders>
            <w:vAlign w:val="center"/>
          </w:tcPr>
          <w:p w:rsidR="00013EC7" w:rsidRDefault="00575CDB">
            <w:pPr>
              <w:widowControl/>
              <w:textAlignment w:val="center"/>
              <w:rPr>
                <w:rFonts w:ascii="仿宋" w:eastAsia="仿宋" w:hAnsi="仿宋" w:cs="仿宋"/>
                <w:color w:val="000000"/>
                <w:sz w:val="24"/>
              </w:rPr>
            </w:pPr>
            <w:r>
              <w:rPr>
                <w:rFonts w:ascii="仿宋" w:eastAsia="仿宋" w:hAnsi="仿宋" w:cs="仿宋" w:hint="eastAsia"/>
                <w:color w:val="000000"/>
                <w:kern w:val="0"/>
                <w:sz w:val="24"/>
              </w:rPr>
              <w:t>销售熊猫普制金币的纳税人提交</w:t>
            </w:r>
          </w:p>
        </w:tc>
        <w:tc>
          <w:tcPr>
            <w:tcW w:w="3118" w:type="dxa"/>
            <w:tcBorders>
              <w:tl2br w:val="nil"/>
              <w:tr2bl w:val="nil"/>
            </w:tcBorders>
            <w:vAlign w:val="center"/>
          </w:tcPr>
          <w:p w:rsidR="00013EC7" w:rsidRDefault="00575CDB">
            <w:pPr>
              <w:widowControl/>
              <w:textAlignment w:val="center"/>
              <w:rPr>
                <w:rFonts w:ascii="仿宋" w:eastAsia="仿宋" w:hAnsi="仿宋" w:cs="仿宋"/>
                <w:color w:val="000000"/>
                <w:sz w:val="24"/>
              </w:rPr>
            </w:pPr>
            <w:r>
              <w:rPr>
                <w:rFonts w:ascii="仿宋" w:eastAsia="仿宋" w:hAnsi="仿宋" w:cs="仿宋" w:hint="eastAsia"/>
                <w:color w:val="000000"/>
                <w:kern w:val="0"/>
                <w:sz w:val="24"/>
              </w:rPr>
              <w:t>（七）属于“中国熊猫普制金币授权经销商”的纳税人应提供该资格证书复印件（注明与原件一致，并加盖公章）和《中国熊猫普制金币经销协议》复印件（注明与原件一致，并加盖公章）。</w:t>
            </w:r>
          </w:p>
        </w:tc>
        <w:tc>
          <w:tcPr>
            <w:tcW w:w="1276" w:type="dxa"/>
            <w:vMerge w:val="restart"/>
            <w:tcBorders>
              <w:tl2br w:val="nil"/>
              <w:tr2bl w:val="nil"/>
            </w:tcBorders>
            <w:vAlign w:val="center"/>
          </w:tcPr>
          <w:p w:rsidR="00013EC7" w:rsidRDefault="00575CDB">
            <w:pPr>
              <w:widowControl/>
              <w:jc w:val="left"/>
              <w:textAlignment w:val="center"/>
              <w:rPr>
                <w:rFonts w:ascii="仿宋" w:eastAsia="仿宋" w:hAnsi="仿宋" w:cs="仿宋"/>
                <w:b/>
                <w:i/>
                <w:color w:val="000000"/>
                <w:sz w:val="24"/>
              </w:rPr>
            </w:pPr>
            <w:r>
              <w:rPr>
                <w:rFonts w:ascii="仿宋" w:eastAsia="仿宋" w:hAnsi="仿宋" w:cs="仿宋" w:hint="eastAsia"/>
                <w:color w:val="000000"/>
                <w:kern w:val="0"/>
                <w:sz w:val="24"/>
              </w:rPr>
              <w:t>销售熊猫普制金币的纳税人提交</w:t>
            </w:r>
          </w:p>
        </w:tc>
        <w:tc>
          <w:tcPr>
            <w:tcW w:w="2268" w:type="dxa"/>
            <w:vMerge/>
            <w:tcBorders>
              <w:tl2br w:val="nil"/>
              <w:tr2bl w:val="nil"/>
            </w:tcBorders>
            <w:vAlign w:val="center"/>
          </w:tcPr>
          <w:p w:rsidR="00013EC7" w:rsidRDefault="00013EC7">
            <w:pPr>
              <w:jc w:val="left"/>
              <w:textAlignment w:val="center"/>
              <w:rPr>
                <w:rFonts w:ascii="仿宋" w:eastAsia="仿宋" w:hAnsi="仿宋" w:cs="仿宋"/>
                <w:b/>
                <w:color w:val="000000"/>
                <w:sz w:val="24"/>
              </w:rPr>
            </w:pPr>
          </w:p>
        </w:tc>
        <w:tc>
          <w:tcPr>
            <w:tcW w:w="567" w:type="dxa"/>
            <w:vMerge/>
            <w:tcBorders>
              <w:tl2br w:val="nil"/>
              <w:tr2bl w:val="nil"/>
            </w:tcBorders>
          </w:tcPr>
          <w:p w:rsidR="00013EC7" w:rsidRDefault="00013EC7">
            <w:pPr>
              <w:jc w:val="center"/>
              <w:rPr>
                <w:rFonts w:ascii="仿宋" w:eastAsia="仿宋" w:hAnsi="仿宋" w:cs="仿宋"/>
                <w:color w:val="000000"/>
                <w:sz w:val="24"/>
              </w:rPr>
            </w:pPr>
          </w:p>
        </w:tc>
        <w:tc>
          <w:tcPr>
            <w:tcW w:w="851" w:type="dxa"/>
            <w:vMerge/>
            <w:tcBorders>
              <w:tl2br w:val="nil"/>
              <w:tr2bl w:val="nil"/>
            </w:tcBorders>
          </w:tcPr>
          <w:p w:rsidR="00013EC7" w:rsidRDefault="00013EC7">
            <w:pPr>
              <w:jc w:val="center"/>
              <w:rPr>
                <w:rFonts w:ascii="仿宋" w:eastAsia="仿宋" w:hAnsi="仿宋" w:cs="仿宋"/>
                <w:color w:val="000000"/>
                <w:sz w:val="24"/>
              </w:rPr>
            </w:pPr>
          </w:p>
        </w:tc>
        <w:tc>
          <w:tcPr>
            <w:tcW w:w="708" w:type="dxa"/>
            <w:vMerge/>
            <w:tcBorders>
              <w:tl2br w:val="nil"/>
              <w:tr2bl w:val="nil"/>
            </w:tcBorders>
          </w:tcPr>
          <w:p w:rsidR="00013EC7" w:rsidRDefault="00013EC7">
            <w:pPr>
              <w:jc w:val="center"/>
              <w:rPr>
                <w:rFonts w:ascii="仿宋" w:eastAsia="仿宋" w:hAnsi="仿宋" w:cs="仿宋"/>
                <w:color w:val="000000"/>
                <w:sz w:val="24"/>
              </w:rPr>
            </w:pPr>
          </w:p>
        </w:tc>
        <w:tc>
          <w:tcPr>
            <w:tcW w:w="993" w:type="dxa"/>
            <w:vMerge/>
            <w:tcBorders>
              <w:tl2br w:val="nil"/>
              <w:tr2bl w:val="nil"/>
            </w:tcBorders>
          </w:tcPr>
          <w:p w:rsidR="00013EC7" w:rsidRDefault="00013EC7">
            <w:pPr>
              <w:jc w:val="center"/>
              <w:rPr>
                <w:rFonts w:ascii="仿宋" w:eastAsia="仿宋" w:hAnsi="仿宋" w:cs="仿宋"/>
                <w:color w:val="000000"/>
                <w:sz w:val="24"/>
              </w:rPr>
            </w:pPr>
          </w:p>
        </w:tc>
        <w:tc>
          <w:tcPr>
            <w:tcW w:w="978" w:type="dxa"/>
            <w:vMerge/>
            <w:tcBorders>
              <w:tl2br w:val="nil"/>
              <w:tr2bl w:val="nil"/>
            </w:tcBorders>
          </w:tcPr>
          <w:p w:rsidR="00013EC7" w:rsidRDefault="00013EC7">
            <w:pPr>
              <w:rPr>
                <w:rFonts w:ascii="仿宋" w:eastAsia="仿宋" w:hAnsi="仿宋" w:cs="仿宋"/>
                <w:color w:val="000000"/>
                <w:sz w:val="24"/>
              </w:rPr>
            </w:pPr>
          </w:p>
        </w:tc>
      </w:tr>
      <w:tr w:rsidR="00013EC7">
        <w:trPr>
          <w:trHeight w:val="1657"/>
        </w:trPr>
        <w:tc>
          <w:tcPr>
            <w:tcW w:w="639" w:type="dxa"/>
            <w:vMerge/>
            <w:tcBorders>
              <w:tl2br w:val="nil"/>
              <w:tr2bl w:val="nil"/>
            </w:tcBorders>
            <w:vAlign w:val="center"/>
          </w:tcPr>
          <w:p w:rsidR="00013EC7" w:rsidRDefault="00013EC7">
            <w:pPr>
              <w:rPr>
                <w:rFonts w:ascii="仿宋" w:eastAsia="仿宋" w:hAnsi="仿宋" w:cs="仿宋"/>
                <w:color w:val="000000"/>
                <w:sz w:val="24"/>
              </w:rPr>
            </w:pPr>
          </w:p>
        </w:tc>
        <w:tc>
          <w:tcPr>
            <w:tcW w:w="510" w:type="dxa"/>
            <w:vMerge/>
            <w:tcBorders>
              <w:tl2br w:val="nil"/>
              <w:tr2bl w:val="nil"/>
            </w:tcBorders>
            <w:vAlign w:val="center"/>
          </w:tcPr>
          <w:p w:rsidR="00013EC7" w:rsidRDefault="00013EC7">
            <w:pPr>
              <w:rPr>
                <w:rFonts w:ascii="仿宋" w:eastAsia="仿宋" w:hAnsi="仿宋" w:cs="仿宋"/>
                <w:color w:val="000000"/>
                <w:sz w:val="24"/>
              </w:rPr>
            </w:pPr>
          </w:p>
        </w:tc>
        <w:tc>
          <w:tcPr>
            <w:tcW w:w="3544" w:type="dxa"/>
            <w:vMerge/>
            <w:tcBorders>
              <w:tl2br w:val="nil"/>
              <w:tr2bl w:val="nil"/>
            </w:tcBorders>
            <w:vAlign w:val="center"/>
          </w:tcPr>
          <w:p w:rsidR="00013EC7" w:rsidRDefault="00013EC7">
            <w:pPr>
              <w:rPr>
                <w:rFonts w:ascii="仿宋" w:eastAsia="仿宋" w:hAnsi="仿宋" w:cs="仿宋"/>
                <w:color w:val="000000"/>
                <w:kern w:val="0"/>
                <w:sz w:val="24"/>
              </w:rPr>
            </w:pPr>
          </w:p>
        </w:tc>
        <w:tc>
          <w:tcPr>
            <w:tcW w:w="3260" w:type="dxa"/>
            <w:tcBorders>
              <w:tl2br w:val="nil"/>
              <w:tr2bl w:val="nil"/>
            </w:tcBorders>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color w:val="000000"/>
                <w:kern w:val="0"/>
                <w:sz w:val="24"/>
              </w:rPr>
              <w:t>（八）金融机构应提供中国银行业监督管理委员会批准其开办个人黄金买卖业务的相关批件材料。</w:t>
            </w:r>
          </w:p>
        </w:tc>
        <w:tc>
          <w:tcPr>
            <w:tcW w:w="1418" w:type="dxa"/>
            <w:vMerge/>
            <w:tcBorders>
              <w:tl2br w:val="nil"/>
              <w:tr2bl w:val="nil"/>
            </w:tcBorders>
            <w:vAlign w:val="center"/>
          </w:tcPr>
          <w:p w:rsidR="00013EC7" w:rsidRDefault="00013EC7">
            <w:pPr>
              <w:widowControl/>
              <w:textAlignment w:val="center"/>
              <w:rPr>
                <w:rFonts w:ascii="仿宋" w:eastAsia="仿宋" w:hAnsi="仿宋" w:cs="仿宋"/>
                <w:color w:val="000000"/>
                <w:sz w:val="24"/>
              </w:rPr>
            </w:pPr>
          </w:p>
        </w:tc>
        <w:tc>
          <w:tcPr>
            <w:tcW w:w="3118" w:type="dxa"/>
            <w:tcBorders>
              <w:tl2br w:val="nil"/>
              <w:tr2bl w:val="nil"/>
            </w:tcBorders>
            <w:vAlign w:val="center"/>
          </w:tcPr>
          <w:p w:rsidR="00013EC7" w:rsidRDefault="00575CDB">
            <w:pPr>
              <w:widowControl/>
              <w:textAlignment w:val="center"/>
              <w:rPr>
                <w:rFonts w:ascii="仿宋" w:eastAsia="仿宋" w:hAnsi="仿宋" w:cs="仿宋"/>
                <w:color w:val="000000"/>
                <w:sz w:val="24"/>
              </w:rPr>
            </w:pPr>
            <w:r>
              <w:rPr>
                <w:rFonts w:ascii="仿宋" w:eastAsia="仿宋" w:hAnsi="仿宋" w:cs="仿宋" w:hint="eastAsia"/>
                <w:color w:val="000000"/>
                <w:kern w:val="0"/>
                <w:sz w:val="24"/>
              </w:rPr>
              <w:t>（八）金融机构应提供中国银行业监督管理委员会批准其开办个人黄金买卖业务的批件材料。</w:t>
            </w:r>
          </w:p>
        </w:tc>
        <w:tc>
          <w:tcPr>
            <w:tcW w:w="1276" w:type="dxa"/>
            <w:vMerge/>
            <w:tcBorders>
              <w:tl2br w:val="nil"/>
              <w:tr2bl w:val="nil"/>
            </w:tcBorders>
            <w:vAlign w:val="center"/>
          </w:tcPr>
          <w:p w:rsidR="00013EC7" w:rsidRDefault="00013EC7">
            <w:pPr>
              <w:widowControl/>
              <w:jc w:val="left"/>
              <w:textAlignment w:val="center"/>
              <w:rPr>
                <w:rFonts w:ascii="仿宋" w:eastAsia="仿宋" w:hAnsi="仿宋" w:cs="仿宋"/>
                <w:b/>
                <w:i/>
                <w:color w:val="000000"/>
                <w:sz w:val="24"/>
              </w:rPr>
            </w:pPr>
          </w:p>
        </w:tc>
        <w:tc>
          <w:tcPr>
            <w:tcW w:w="2268" w:type="dxa"/>
            <w:vMerge/>
            <w:tcBorders>
              <w:tl2br w:val="nil"/>
              <w:tr2bl w:val="nil"/>
            </w:tcBorders>
            <w:vAlign w:val="center"/>
          </w:tcPr>
          <w:p w:rsidR="00013EC7" w:rsidRDefault="00013EC7">
            <w:pPr>
              <w:widowControl/>
              <w:jc w:val="left"/>
              <w:textAlignment w:val="center"/>
              <w:rPr>
                <w:rFonts w:ascii="仿宋" w:eastAsia="仿宋" w:hAnsi="仿宋" w:cs="仿宋"/>
                <w:b/>
                <w:color w:val="000000"/>
                <w:sz w:val="24"/>
              </w:rPr>
            </w:pPr>
          </w:p>
        </w:tc>
        <w:tc>
          <w:tcPr>
            <w:tcW w:w="567" w:type="dxa"/>
            <w:vMerge/>
            <w:tcBorders>
              <w:tl2br w:val="nil"/>
              <w:tr2bl w:val="nil"/>
            </w:tcBorders>
          </w:tcPr>
          <w:p w:rsidR="00013EC7" w:rsidRDefault="00013EC7">
            <w:pPr>
              <w:jc w:val="center"/>
              <w:rPr>
                <w:rFonts w:ascii="仿宋" w:eastAsia="仿宋" w:hAnsi="仿宋" w:cs="仿宋"/>
                <w:color w:val="000000"/>
                <w:sz w:val="24"/>
              </w:rPr>
            </w:pPr>
          </w:p>
        </w:tc>
        <w:tc>
          <w:tcPr>
            <w:tcW w:w="851" w:type="dxa"/>
            <w:vMerge/>
            <w:tcBorders>
              <w:tl2br w:val="nil"/>
              <w:tr2bl w:val="nil"/>
            </w:tcBorders>
          </w:tcPr>
          <w:p w:rsidR="00013EC7" w:rsidRDefault="00013EC7">
            <w:pPr>
              <w:jc w:val="center"/>
              <w:rPr>
                <w:rFonts w:ascii="仿宋" w:eastAsia="仿宋" w:hAnsi="仿宋" w:cs="仿宋"/>
                <w:color w:val="000000"/>
                <w:sz w:val="24"/>
              </w:rPr>
            </w:pPr>
          </w:p>
        </w:tc>
        <w:tc>
          <w:tcPr>
            <w:tcW w:w="708" w:type="dxa"/>
            <w:vMerge/>
            <w:tcBorders>
              <w:tl2br w:val="nil"/>
              <w:tr2bl w:val="nil"/>
            </w:tcBorders>
          </w:tcPr>
          <w:p w:rsidR="00013EC7" w:rsidRDefault="00013EC7">
            <w:pPr>
              <w:jc w:val="center"/>
              <w:rPr>
                <w:rFonts w:ascii="仿宋" w:eastAsia="仿宋" w:hAnsi="仿宋" w:cs="仿宋"/>
                <w:color w:val="000000"/>
                <w:sz w:val="24"/>
              </w:rPr>
            </w:pPr>
          </w:p>
        </w:tc>
        <w:tc>
          <w:tcPr>
            <w:tcW w:w="993" w:type="dxa"/>
            <w:vMerge/>
            <w:tcBorders>
              <w:tl2br w:val="nil"/>
              <w:tr2bl w:val="nil"/>
            </w:tcBorders>
          </w:tcPr>
          <w:p w:rsidR="00013EC7" w:rsidRDefault="00013EC7">
            <w:pPr>
              <w:jc w:val="center"/>
              <w:rPr>
                <w:rFonts w:ascii="仿宋" w:eastAsia="仿宋" w:hAnsi="仿宋" w:cs="仿宋"/>
                <w:color w:val="000000"/>
                <w:sz w:val="24"/>
              </w:rPr>
            </w:pPr>
          </w:p>
        </w:tc>
        <w:tc>
          <w:tcPr>
            <w:tcW w:w="978" w:type="dxa"/>
            <w:vMerge/>
            <w:tcBorders>
              <w:tl2br w:val="nil"/>
              <w:tr2bl w:val="nil"/>
            </w:tcBorders>
          </w:tcPr>
          <w:p w:rsidR="00013EC7" w:rsidRDefault="00013EC7">
            <w:pPr>
              <w:rPr>
                <w:rFonts w:ascii="仿宋" w:eastAsia="仿宋" w:hAnsi="仿宋" w:cs="仿宋"/>
                <w:color w:val="000000"/>
                <w:sz w:val="24"/>
              </w:rPr>
            </w:pPr>
          </w:p>
        </w:tc>
      </w:tr>
      <w:tr w:rsidR="00013EC7">
        <w:trPr>
          <w:trHeight w:val="975"/>
        </w:trPr>
        <w:tc>
          <w:tcPr>
            <w:tcW w:w="639" w:type="dxa"/>
            <w:vMerge/>
            <w:tcBorders>
              <w:tl2br w:val="nil"/>
              <w:tr2bl w:val="nil"/>
            </w:tcBorders>
            <w:vAlign w:val="center"/>
          </w:tcPr>
          <w:p w:rsidR="00013EC7" w:rsidRDefault="00013EC7">
            <w:pPr>
              <w:rPr>
                <w:rFonts w:ascii="仿宋" w:eastAsia="仿宋" w:hAnsi="仿宋" w:cs="仿宋"/>
                <w:color w:val="000000"/>
                <w:sz w:val="24"/>
              </w:rPr>
            </w:pPr>
          </w:p>
        </w:tc>
        <w:tc>
          <w:tcPr>
            <w:tcW w:w="510" w:type="dxa"/>
            <w:vMerge/>
            <w:tcBorders>
              <w:tl2br w:val="nil"/>
              <w:tr2bl w:val="nil"/>
            </w:tcBorders>
            <w:vAlign w:val="center"/>
          </w:tcPr>
          <w:p w:rsidR="00013EC7" w:rsidRDefault="00013EC7">
            <w:pPr>
              <w:rPr>
                <w:rFonts w:ascii="仿宋" w:eastAsia="仿宋" w:hAnsi="仿宋" w:cs="仿宋"/>
                <w:color w:val="000000"/>
                <w:sz w:val="24"/>
              </w:rPr>
            </w:pPr>
          </w:p>
        </w:tc>
        <w:tc>
          <w:tcPr>
            <w:tcW w:w="3544" w:type="dxa"/>
            <w:vMerge/>
            <w:tcBorders>
              <w:tl2br w:val="nil"/>
              <w:tr2bl w:val="nil"/>
            </w:tcBorders>
            <w:vAlign w:val="center"/>
          </w:tcPr>
          <w:p w:rsidR="00013EC7" w:rsidRDefault="00013EC7">
            <w:pPr>
              <w:rPr>
                <w:rFonts w:ascii="仿宋" w:eastAsia="仿宋" w:hAnsi="仿宋" w:cs="仿宋"/>
                <w:color w:val="000000"/>
                <w:kern w:val="0"/>
                <w:sz w:val="24"/>
              </w:rPr>
            </w:pPr>
          </w:p>
        </w:tc>
        <w:tc>
          <w:tcPr>
            <w:tcW w:w="3260" w:type="dxa"/>
            <w:tcBorders>
              <w:tl2br w:val="nil"/>
              <w:tr2bl w:val="nil"/>
            </w:tcBorders>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color w:val="000000"/>
                <w:kern w:val="0"/>
                <w:sz w:val="24"/>
              </w:rPr>
              <w:t>（九）企业收取相关收入的合同或协议原件及复印件（加盖公章）。</w:t>
            </w:r>
          </w:p>
        </w:tc>
        <w:tc>
          <w:tcPr>
            <w:tcW w:w="1418" w:type="dxa"/>
            <w:vMerge w:val="restart"/>
            <w:tcBorders>
              <w:tl2br w:val="nil"/>
              <w:tr2bl w:val="nil"/>
            </w:tcBorders>
            <w:vAlign w:val="center"/>
          </w:tcPr>
          <w:p w:rsidR="00013EC7" w:rsidRDefault="00575CDB">
            <w:pPr>
              <w:widowControl/>
              <w:textAlignment w:val="center"/>
              <w:rPr>
                <w:rFonts w:ascii="仿宋" w:eastAsia="仿宋" w:hAnsi="仿宋" w:cs="仿宋"/>
                <w:color w:val="000000"/>
                <w:sz w:val="24"/>
              </w:rPr>
            </w:pPr>
            <w:r>
              <w:rPr>
                <w:rFonts w:ascii="仿宋" w:eastAsia="仿宋" w:hAnsi="仿宋" w:cs="仿宋" w:hint="eastAsia"/>
                <w:color w:val="000000"/>
                <w:kern w:val="0"/>
                <w:sz w:val="24"/>
              </w:rPr>
              <w:t>符合国际货物运输代理服务免征增值税优惠条件的纳税人提交</w:t>
            </w:r>
          </w:p>
        </w:tc>
        <w:tc>
          <w:tcPr>
            <w:tcW w:w="3118" w:type="dxa"/>
            <w:tcBorders>
              <w:tl2br w:val="nil"/>
              <w:tr2bl w:val="nil"/>
            </w:tcBorders>
            <w:vAlign w:val="center"/>
          </w:tcPr>
          <w:p w:rsidR="00013EC7" w:rsidRDefault="00575CDB">
            <w:pPr>
              <w:widowControl/>
              <w:textAlignment w:val="center"/>
              <w:rPr>
                <w:rFonts w:ascii="仿宋" w:eastAsia="仿宋" w:hAnsi="仿宋" w:cs="仿宋"/>
                <w:color w:val="000000"/>
                <w:sz w:val="24"/>
              </w:rPr>
            </w:pPr>
            <w:r>
              <w:rPr>
                <w:rFonts w:ascii="仿宋" w:eastAsia="仿宋" w:hAnsi="仿宋" w:cs="仿宋" w:hint="eastAsia"/>
                <w:color w:val="000000"/>
                <w:kern w:val="0"/>
                <w:sz w:val="24"/>
              </w:rPr>
              <w:t>（九）企业收取相关收入的合同或协议原件及复印件（注明与原件一致，并加盖公章）。</w:t>
            </w:r>
          </w:p>
        </w:tc>
        <w:tc>
          <w:tcPr>
            <w:tcW w:w="1276" w:type="dxa"/>
            <w:vMerge w:val="restart"/>
            <w:tcBorders>
              <w:tl2br w:val="nil"/>
              <w:tr2bl w:val="nil"/>
            </w:tcBorders>
            <w:vAlign w:val="center"/>
          </w:tcPr>
          <w:p w:rsidR="00013EC7" w:rsidRDefault="00575CDB">
            <w:pPr>
              <w:widowControl/>
              <w:jc w:val="left"/>
              <w:textAlignment w:val="center"/>
              <w:rPr>
                <w:rFonts w:ascii="仿宋" w:eastAsia="仿宋" w:hAnsi="仿宋" w:cs="仿宋"/>
                <w:color w:val="000000"/>
                <w:sz w:val="24"/>
              </w:rPr>
            </w:pPr>
            <w:r>
              <w:rPr>
                <w:rFonts w:ascii="仿宋" w:eastAsia="仿宋" w:hAnsi="仿宋" w:cs="仿宋" w:hint="eastAsia"/>
                <w:color w:val="000000"/>
                <w:kern w:val="0"/>
                <w:sz w:val="24"/>
              </w:rPr>
              <w:t>国际货物运输代理服务的纳税人提交</w:t>
            </w:r>
          </w:p>
        </w:tc>
        <w:tc>
          <w:tcPr>
            <w:tcW w:w="2268" w:type="dxa"/>
            <w:vMerge/>
            <w:tcBorders>
              <w:tl2br w:val="nil"/>
              <w:tr2bl w:val="nil"/>
            </w:tcBorders>
            <w:vAlign w:val="center"/>
          </w:tcPr>
          <w:p w:rsidR="00013EC7" w:rsidRDefault="00013EC7">
            <w:pPr>
              <w:jc w:val="left"/>
              <w:rPr>
                <w:rFonts w:ascii="仿宋" w:eastAsia="仿宋" w:hAnsi="仿宋" w:cs="仿宋"/>
                <w:color w:val="000000"/>
                <w:sz w:val="24"/>
              </w:rPr>
            </w:pPr>
          </w:p>
        </w:tc>
        <w:tc>
          <w:tcPr>
            <w:tcW w:w="567" w:type="dxa"/>
            <w:vMerge/>
            <w:tcBorders>
              <w:tl2br w:val="nil"/>
              <w:tr2bl w:val="nil"/>
            </w:tcBorders>
          </w:tcPr>
          <w:p w:rsidR="00013EC7" w:rsidRDefault="00013EC7">
            <w:pPr>
              <w:jc w:val="center"/>
              <w:rPr>
                <w:rFonts w:ascii="仿宋" w:eastAsia="仿宋" w:hAnsi="仿宋" w:cs="仿宋"/>
                <w:color w:val="000000"/>
                <w:sz w:val="24"/>
              </w:rPr>
            </w:pPr>
          </w:p>
        </w:tc>
        <w:tc>
          <w:tcPr>
            <w:tcW w:w="851" w:type="dxa"/>
            <w:vMerge/>
            <w:tcBorders>
              <w:tl2br w:val="nil"/>
              <w:tr2bl w:val="nil"/>
            </w:tcBorders>
          </w:tcPr>
          <w:p w:rsidR="00013EC7" w:rsidRDefault="00013EC7">
            <w:pPr>
              <w:jc w:val="center"/>
              <w:rPr>
                <w:rFonts w:ascii="仿宋" w:eastAsia="仿宋" w:hAnsi="仿宋" w:cs="仿宋"/>
                <w:color w:val="000000"/>
                <w:sz w:val="24"/>
              </w:rPr>
            </w:pPr>
          </w:p>
        </w:tc>
        <w:tc>
          <w:tcPr>
            <w:tcW w:w="708" w:type="dxa"/>
            <w:vMerge/>
            <w:tcBorders>
              <w:tl2br w:val="nil"/>
              <w:tr2bl w:val="nil"/>
            </w:tcBorders>
          </w:tcPr>
          <w:p w:rsidR="00013EC7" w:rsidRDefault="00013EC7">
            <w:pPr>
              <w:jc w:val="center"/>
              <w:rPr>
                <w:rFonts w:ascii="仿宋" w:eastAsia="仿宋" w:hAnsi="仿宋" w:cs="仿宋"/>
                <w:color w:val="000000"/>
                <w:sz w:val="24"/>
              </w:rPr>
            </w:pPr>
          </w:p>
        </w:tc>
        <w:tc>
          <w:tcPr>
            <w:tcW w:w="993" w:type="dxa"/>
            <w:vMerge/>
            <w:tcBorders>
              <w:tl2br w:val="nil"/>
              <w:tr2bl w:val="nil"/>
            </w:tcBorders>
          </w:tcPr>
          <w:p w:rsidR="00013EC7" w:rsidRDefault="00013EC7">
            <w:pPr>
              <w:jc w:val="center"/>
              <w:rPr>
                <w:rFonts w:ascii="仿宋" w:eastAsia="仿宋" w:hAnsi="仿宋" w:cs="仿宋"/>
                <w:color w:val="000000"/>
                <w:sz w:val="24"/>
              </w:rPr>
            </w:pPr>
          </w:p>
        </w:tc>
        <w:tc>
          <w:tcPr>
            <w:tcW w:w="978" w:type="dxa"/>
            <w:vMerge/>
            <w:tcBorders>
              <w:tl2br w:val="nil"/>
              <w:tr2bl w:val="nil"/>
            </w:tcBorders>
          </w:tcPr>
          <w:p w:rsidR="00013EC7" w:rsidRDefault="00013EC7">
            <w:pPr>
              <w:rPr>
                <w:rFonts w:ascii="仿宋" w:eastAsia="仿宋" w:hAnsi="仿宋" w:cs="仿宋"/>
                <w:color w:val="000000"/>
                <w:sz w:val="24"/>
              </w:rPr>
            </w:pPr>
          </w:p>
        </w:tc>
      </w:tr>
      <w:tr w:rsidR="00013EC7">
        <w:trPr>
          <w:trHeight w:val="1321"/>
        </w:trPr>
        <w:tc>
          <w:tcPr>
            <w:tcW w:w="639" w:type="dxa"/>
            <w:vMerge/>
            <w:tcBorders>
              <w:tl2br w:val="nil"/>
              <w:tr2bl w:val="nil"/>
            </w:tcBorders>
            <w:vAlign w:val="center"/>
          </w:tcPr>
          <w:p w:rsidR="00013EC7" w:rsidRDefault="00013EC7">
            <w:pPr>
              <w:rPr>
                <w:rFonts w:ascii="仿宋" w:eastAsia="仿宋" w:hAnsi="仿宋" w:cs="仿宋"/>
                <w:color w:val="000000"/>
                <w:sz w:val="24"/>
              </w:rPr>
            </w:pPr>
          </w:p>
        </w:tc>
        <w:tc>
          <w:tcPr>
            <w:tcW w:w="510" w:type="dxa"/>
            <w:vMerge/>
            <w:tcBorders>
              <w:tl2br w:val="nil"/>
              <w:tr2bl w:val="nil"/>
            </w:tcBorders>
            <w:vAlign w:val="center"/>
          </w:tcPr>
          <w:p w:rsidR="00013EC7" w:rsidRDefault="00013EC7">
            <w:pPr>
              <w:rPr>
                <w:rFonts w:ascii="仿宋" w:eastAsia="仿宋" w:hAnsi="仿宋" w:cs="仿宋"/>
                <w:color w:val="000000"/>
                <w:sz w:val="24"/>
              </w:rPr>
            </w:pPr>
          </w:p>
        </w:tc>
        <w:tc>
          <w:tcPr>
            <w:tcW w:w="3544" w:type="dxa"/>
            <w:vMerge/>
            <w:tcBorders>
              <w:tl2br w:val="nil"/>
              <w:tr2bl w:val="nil"/>
            </w:tcBorders>
            <w:vAlign w:val="center"/>
          </w:tcPr>
          <w:p w:rsidR="00013EC7" w:rsidRDefault="00013EC7">
            <w:pPr>
              <w:rPr>
                <w:rFonts w:ascii="仿宋" w:eastAsia="仿宋" w:hAnsi="仿宋" w:cs="仿宋"/>
                <w:color w:val="000000"/>
                <w:kern w:val="0"/>
                <w:sz w:val="24"/>
              </w:rPr>
            </w:pPr>
          </w:p>
        </w:tc>
        <w:tc>
          <w:tcPr>
            <w:tcW w:w="3260" w:type="dxa"/>
            <w:tcBorders>
              <w:tl2br w:val="nil"/>
              <w:tr2bl w:val="nil"/>
            </w:tcBorders>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color w:val="000000"/>
                <w:kern w:val="0"/>
                <w:sz w:val="24"/>
              </w:rPr>
              <w:t>（十）通过金融机构结算的运输代理服务及国际运输费用的凭证。</w:t>
            </w:r>
          </w:p>
        </w:tc>
        <w:tc>
          <w:tcPr>
            <w:tcW w:w="1418" w:type="dxa"/>
            <w:vMerge/>
            <w:tcBorders>
              <w:tl2br w:val="nil"/>
              <w:tr2bl w:val="nil"/>
            </w:tcBorders>
            <w:vAlign w:val="center"/>
          </w:tcPr>
          <w:p w:rsidR="00013EC7" w:rsidRDefault="00013EC7">
            <w:pPr>
              <w:widowControl/>
              <w:textAlignment w:val="center"/>
              <w:rPr>
                <w:rFonts w:ascii="仿宋" w:eastAsia="仿宋" w:hAnsi="仿宋" w:cs="仿宋"/>
                <w:color w:val="000000"/>
                <w:sz w:val="24"/>
              </w:rPr>
            </w:pPr>
          </w:p>
        </w:tc>
        <w:tc>
          <w:tcPr>
            <w:tcW w:w="3118" w:type="dxa"/>
            <w:tcBorders>
              <w:tl2br w:val="nil"/>
              <w:tr2bl w:val="nil"/>
            </w:tcBorders>
            <w:vAlign w:val="center"/>
          </w:tcPr>
          <w:p w:rsidR="00013EC7" w:rsidRDefault="00575CDB">
            <w:pPr>
              <w:widowControl/>
              <w:textAlignment w:val="center"/>
              <w:rPr>
                <w:rFonts w:ascii="仿宋" w:eastAsia="仿宋" w:hAnsi="仿宋" w:cs="仿宋"/>
                <w:color w:val="000000"/>
                <w:sz w:val="24"/>
              </w:rPr>
            </w:pPr>
            <w:r>
              <w:rPr>
                <w:rFonts w:ascii="仿宋" w:eastAsia="仿宋" w:hAnsi="仿宋" w:cs="仿宋" w:hint="eastAsia"/>
                <w:color w:val="000000"/>
                <w:kern w:val="0"/>
                <w:sz w:val="24"/>
              </w:rPr>
              <w:t>（十）通过金融机构结算的运输代理服务及国际运输费用的凭证。</w:t>
            </w:r>
          </w:p>
        </w:tc>
        <w:tc>
          <w:tcPr>
            <w:tcW w:w="1276" w:type="dxa"/>
            <w:vMerge/>
            <w:tcBorders>
              <w:tl2br w:val="nil"/>
              <w:tr2bl w:val="nil"/>
            </w:tcBorders>
            <w:vAlign w:val="center"/>
          </w:tcPr>
          <w:p w:rsidR="00013EC7" w:rsidRDefault="00013EC7">
            <w:pPr>
              <w:widowControl/>
              <w:jc w:val="left"/>
              <w:textAlignment w:val="center"/>
              <w:rPr>
                <w:rFonts w:ascii="仿宋" w:eastAsia="仿宋" w:hAnsi="仿宋" w:cs="仿宋"/>
                <w:color w:val="000000"/>
                <w:sz w:val="24"/>
              </w:rPr>
            </w:pPr>
          </w:p>
        </w:tc>
        <w:tc>
          <w:tcPr>
            <w:tcW w:w="2268" w:type="dxa"/>
            <w:vMerge/>
            <w:tcBorders>
              <w:tl2br w:val="nil"/>
              <w:tr2bl w:val="nil"/>
            </w:tcBorders>
            <w:vAlign w:val="center"/>
          </w:tcPr>
          <w:p w:rsidR="00013EC7" w:rsidRDefault="00013EC7">
            <w:pPr>
              <w:jc w:val="left"/>
              <w:rPr>
                <w:rFonts w:ascii="仿宋" w:eastAsia="仿宋" w:hAnsi="仿宋" w:cs="仿宋"/>
                <w:color w:val="000000"/>
                <w:sz w:val="24"/>
              </w:rPr>
            </w:pPr>
          </w:p>
        </w:tc>
        <w:tc>
          <w:tcPr>
            <w:tcW w:w="567" w:type="dxa"/>
            <w:vMerge/>
            <w:tcBorders>
              <w:tl2br w:val="nil"/>
              <w:tr2bl w:val="nil"/>
            </w:tcBorders>
          </w:tcPr>
          <w:p w:rsidR="00013EC7" w:rsidRDefault="00013EC7">
            <w:pPr>
              <w:jc w:val="center"/>
              <w:rPr>
                <w:rFonts w:ascii="仿宋" w:eastAsia="仿宋" w:hAnsi="仿宋" w:cs="仿宋"/>
                <w:color w:val="000000"/>
                <w:sz w:val="24"/>
              </w:rPr>
            </w:pPr>
          </w:p>
        </w:tc>
        <w:tc>
          <w:tcPr>
            <w:tcW w:w="851" w:type="dxa"/>
            <w:vMerge/>
            <w:tcBorders>
              <w:tl2br w:val="nil"/>
              <w:tr2bl w:val="nil"/>
            </w:tcBorders>
          </w:tcPr>
          <w:p w:rsidR="00013EC7" w:rsidRDefault="00013EC7">
            <w:pPr>
              <w:jc w:val="center"/>
              <w:rPr>
                <w:rFonts w:ascii="仿宋" w:eastAsia="仿宋" w:hAnsi="仿宋" w:cs="仿宋"/>
                <w:color w:val="000000"/>
                <w:sz w:val="24"/>
              </w:rPr>
            </w:pPr>
          </w:p>
        </w:tc>
        <w:tc>
          <w:tcPr>
            <w:tcW w:w="708" w:type="dxa"/>
            <w:vMerge/>
            <w:tcBorders>
              <w:tl2br w:val="nil"/>
              <w:tr2bl w:val="nil"/>
            </w:tcBorders>
          </w:tcPr>
          <w:p w:rsidR="00013EC7" w:rsidRDefault="00013EC7">
            <w:pPr>
              <w:jc w:val="center"/>
              <w:rPr>
                <w:rFonts w:ascii="仿宋" w:eastAsia="仿宋" w:hAnsi="仿宋" w:cs="仿宋"/>
                <w:color w:val="000000"/>
                <w:sz w:val="24"/>
              </w:rPr>
            </w:pPr>
          </w:p>
        </w:tc>
        <w:tc>
          <w:tcPr>
            <w:tcW w:w="993" w:type="dxa"/>
            <w:vMerge/>
            <w:tcBorders>
              <w:tl2br w:val="nil"/>
              <w:tr2bl w:val="nil"/>
            </w:tcBorders>
          </w:tcPr>
          <w:p w:rsidR="00013EC7" w:rsidRDefault="00013EC7">
            <w:pPr>
              <w:jc w:val="center"/>
              <w:rPr>
                <w:rFonts w:ascii="仿宋" w:eastAsia="仿宋" w:hAnsi="仿宋" w:cs="仿宋"/>
                <w:color w:val="000000"/>
                <w:sz w:val="24"/>
              </w:rPr>
            </w:pPr>
          </w:p>
        </w:tc>
        <w:tc>
          <w:tcPr>
            <w:tcW w:w="978" w:type="dxa"/>
            <w:vMerge/>
            <w:tcBorders>
              <w:tl2br w:val="nil"/>
              <w:tr2bl w:val="nil"/>
            </w:tcBorders>
          </w:tcPr>
          <w:p w:rsidR="00013EC7" w:rsidRDefault="00013EC7">
            <w:pPr>
              <w:rPr>
                <w:rFonts w:ascii="仿宋" w:eastAsia="仿宋" w:hAnsi="仿宋" w:cs="仿宋"/>
                <w:color w:val="000000"/>
                <w:sz w:val="24"/>
              </w:rPr>
            </w:pPr>
          </w:p>
        </w:tc>
      </w:tr>
      <w:tr w:rsidR="00013EC7">
        <w:trPr>
          <w:trHeight w:val="1264"/>
        </w:trPr>
        <w:tc>
          <w:tcPr>
            <w:tcW w:w="639" w:type="dxa"/>
            <w:vMerge/>
            <w:tcBorders>
              <w:tl2br w:val="nil"/>
              <w:tr2bl w:val="nil"/>
            </w:tcBorders>
            <w:vAlign w:val="center"/>
          </w:tcPr>
          <w:p w:rsidR="00013EC7" w:rsidRDefault="00013EC7">
            <w:pPr>
              <w:rPr>
                <w:rFonts w:ascii="仿宋" w:eastAsia="仿宋" w:hAnsi="仿宋" w:cs="仿宋"/>
                <w:color w:val="000000"/>
                <w:sz w:val="24"/>
              </w:rPr>
            </w:pPr>
          </w:p>
        </w:tc>
        <w:tc>
          <w:tcPr>
            <w:tcW w:w="510" w:type="dxa"/>
            <w:vMerge/>
            <w:tcBorders>
              <w:tl2br w:val="nil"/>
              <w:tr2bl w:val="nil"/>
            </w:tcBorders>
            <w:vAlign w:val="center"/>
          </w:tcPr>
          <w:p w:rsidR="00013EC7" w:rsidRDefault="00013EC7">
            <w:pPr>
              <w:rPr>
                <w:rFonts w:ascii="仿宋" w:eastAsia="仿宋" w:hAnsi="仿宋" w:cs="仿宋"/>
                <w:color w:val="000000"/>
                <w:sz w:val="24"/>
              </w:rPr>
            </w:pPr>
          </w:p>
        </w:tc>
        <w:tc>
          <w:tcPr>
            <w:tcW w:w="3544" w:type="dxa"/>
            <w:vMerge/>
            <w:tcBorders>
              <w:tl2br w:val="nil"/>
              <w:tr2bl w:val="nil"/>
            </w:tcBorders>
            <w:vAlign w:val="center"/>
          </w:tcPr>
          <w:p w:rsidR="00013EC7" w:rsidRDefault="00013EC7">
            <w:pPr>
              <w:rPr>
                <w:rFonts w:ascii="仿宋" w:eastAsia="仿宋" w:hAnsi="仿宋" w:cs="仿宋"/>
                <w:color w:val="000000"/>
                <w:kern w:val="0"/>
                <w:sz w:val="24"/>
              </w:rPr>
            </w:pPr>
          </w:p>
        </w:tc>
        <w:tc>
          <w:tcPr>
            <w:tcW w:w="3260" w:type="dxa"/>
            <w:tcBorders>
              <w:tl2br w:val="nil"/>
              <w:tr2bl w:val="nil"/>
            </w:tcBorders>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color w:val="000000"/>
                <w:kern w:val="0"/>
                <w:sz w:val="24"/>
              </w:rPr>
              <w:t>（十一）被撤销金融机构文件原件及复印件（加盖公章）。</w:t>
            </w:r>
          </w:p>
        </w:tc>
        <w:tc>
          <w:tcPr>
            <w:tcW w:w="1418" w:type="dxa"/>
            <w:tcBorders>
              <w:tl2br w:val="nil"/>
              <w:tr2bl w:val="nil"/>
            </w:tcBorders>
            <w:vAlign w:val="center"/>
          </w:tcPr>
          <w:p w:rsidR="00013EC7" w:rsidRDefault="00575CDB">
            <w:pPr>
              <w:widowControl/>
              <w:textAlignment w:val="center"/>
              <w:rPr>
                <w:rFonts w:ascii="仿宋" w:eastAsia="仿宋" w:hAnsi="仿宋" w:cs="仿宋"/>
                <w:color w:val="000000"/>
                <w:sz w:val="24"/>
              </w:rPr>
            </w:pPr>
            <w:r>
              <w:rPr>
                <w:rFonts w:ascii="仿宋" w:eastAsia="仿宋" w:hAnsi="仿宋" w:cs="仿宋" w:hint="eastAsia"/>
                <w:color w:val="000000"/>
                <w:kern w:val="0"/>
                <w:sz w:val="24"/>
              </w:rPr>
              <w:t>被撤销金融机构转让财产免征增值税优惠条件的纳税人提交</w:t>
            </w:r>
          </w:p>
        </w:tc>
        <w:tc>
          <w:tcPr>
            <w:tcW w:w="3118" w:type="dxa"/>
            <w:tcBorders>
              <w:tl2br w:val="nil"/>
              <w:tr2bl w:val="nil"/>
            </w:tcBorders>
            <w:vAlign w:val="center"/>
          </w:tcPr>
          <w:p w:rsidR="00013EC7" w:rsidRDefault="00575CDB">
            <w:pPr>
              <w:widowControl/>
              <w:textAlignment w:val="center"/>
              <w:rPr>
                <w:rFonts w:ascii="仿宋" w:eastAsia="仿宋" w:hAnsi="仿宋" w:cs="仿宋"/>
                <w:color w:val="000000"/>
                <w:sz w:val="24"/>
              </w:rPr>
            </w:pPr>
            <w:r>
              <w:rPr>
                <w:rFonts w:ascii="仿宋" w:eastAsia="仿宋" w:hAnsi="仿宋" w:cs="仿宋" w:hint="eastAsia"/>
                <w:color w:val="000000"/>
                <w:kern w:val="0"/>
                <w:sz w:val="24"/>
              </w:rPr>
              <w:t>（十一）被撤销金融机构文件复印件（注明与原件一致，并加盖公章）。</w:t>
            </w:r>
          </w:p>
        </w:tc>
        <w:tc>
          <w:tcPr>
            <w:tcW w:w="1276" w:type="dxa"/>
            <w:tcBorders>
              <w:tl2br w:val="nil"/>
              <w:tr2bl w:val="nil"/>
            </w:tcBorders>
            <w:vAlign w:val="center"/>
          </w:tcPr>
          <w:p w:rsidR="00013EC7" w:rsidRDefault="00575CDB">
            <w:pPr>
              <w:widowControl/>
              <w:jc w:val="left"/>
              <w:textAlignment w:val="center"/>
              <w:rPr>
                <w:rFonts w:ascii="仿宋" w:eastAsia="仿宋" w:hAnsi="仿宋" w:cs="仿宋"/>
                <w:b/>
                <w:i/>
                <w:color w:val="000000"/>
                <w:sz w:val="24"/>
              </w:rPr>
            </w:pPr>
            <w:r>
              <w:rPr>
                <w:rFonts w:ascii="仿宋" w:eastAsia="仿宋" w:hAnsi="仿宋" w:cs="仿宋" w:hint="eastAsia"/>
                <w:color w:val="000000"/>
                <w:kern w:val="0"/>
                <w:sz w:val="24"/>
              </w:rPr>
              <w:t>被撤销金融机构转让财产的纳税人提交</w:t>
            </w:r>
          </w:p>
        </w:tc>
        <w:tc>
          <w:tcPr>
            <w:tcW w:w="2268" w:type="dxa"/>
            <w:vMerge/>
            <w:tcBorders>
              <w:tl2br w:val="nil"/>
              <w:tr2bl w:val="nil"/>
            </w:tcBorders>
            <w:vAlign w:val="center"/>
          </w:tcPr>
          <w:p w:rsidR="00013EC7" w:rsidRDefault="00013EC7">
            <w:pPr>
              <w:widowControl/>
              <w:textAlignment w:val="center"/>
              <w:rPr>
                <w:rFonts w:ascii="仿宋" w:eastAsia="仿宋" w:hAnsi="仿宋" w:cs="仿宋"/>
                <w:b/>
                <w:color w:val="000000"/>
                <w:sz w:val="24"/>
              </w:rPr>
            </w:pPr>
          </w:p>
        </w:tc>
        <w:tc>
          <w:tcPr>
            <w:tcW w:w="567" w:type="dxa"/>
            <w:vMerge/>
            <w:tcBorders>
              <w:tl2br w:val="nil"/>
              <w:tr2bl w:val="nil"/>
            </w:tcBorders>
          </w:tcPr>
          <w:p w:rsidR="00013EC7" w:rsidRDefault="00013EC7">
            <w:pPr>
              <w:jc w:val="center"/>
              <w:rPr>
                <w:rFonts w:ascii="仿宋" w:eastAsia="仿宋" w:hAnsi="仿宋" w:cs="仿宋"/>
                <w:color w:val="000000"/>
                <w:sz w:val="24"/>
              </w:rPr>
            </w:pPr>
          </w:p>
        </w:tc>
        <w:tc>
          <w:tcPr>
            <w:tcW w:w="851" w:type="dxa"/>
            <w:vMerge/>
            <w:tcBorders>
              <w:tl2br w:val="nil"/>
              <w:tr2bl w:val="nil"/>
            </w:tcBorders>
          </w:tcPr>
          <w:p w:rsidR="00013EC7" w:rsidRDefault="00013EC7">
            <w:pPr>
              <w:jc w:val="center"/>
              <w:rPr>
                <w:rFonts w:ascii="仿宋" w:eastAsia="仿宋" w:hAnsi="仿宋" w:cs="仿宋"/>
                <w:color w:val="000000"/>
                <w:sz w:val="24"/>
              </w:rPr>
            </w:pPr>
          </w:p>
        </w:tc>
        <w:tc>
          <w:tcPr>
            <w:tcW w:w="708" w:type="dxa"/>
            <w:vMerge/>
            <w:tcBorders>
              <w:tl2br w:val="nil"/>
              <w:tr2bl w:val="nil"/>
            </w:tcBorders>
          </w:tcPr>
          <w:p w:rsidR="00013EC7" w:rsidRDefault="00013EC7">
            <w:pPr>
              <w:jc w:val="center"/>
              <w:rPr>
                <w:rFonts w:ascii="仿宋" w:eastAsia="仿宋" w:hAnsi="仿宋" w:cs="仿宋"/>
                <w:color w:val="000000"/>
                <w:sz w:val="24"/>
              </w:rPr>
            </w:pPr>
          </w:p>
        </w:tc>
        <w:tc>
          <w:tcPr>
            <w:tcW w:w="993" w:type="dxa"/>
            <w:vMerge/>
            <w:tcBorders>
              <w:tl2br w:val="nil"/>
              <w:tr2bl w:val="nil"/>
            </w:tcBorders>
          </w:tcPr>
          <w:p w:rsidR="00013EC7" w:rsidRDefault="00013EC7">
            <w:pPr>
              <w:jc w:val="center"/>
              <w:rPr>
                <w:rFonts w:ascii="仿宋" w:eastAsia="仿宋" w:hAnsi="仿宋" w:cs="仿宋"/>
                <w:color w:val="000000"/>
                <w:sz w:val="24"/>
              </w:rPr>
            </w:pPr>
          </w:p>
        </w:tc>
        <w:tc>
          <w:tcPr>
            <w:tcW w:w="978" w:type="dxa"/>
            <w:vMerge/>
            <w:tcBorders>
              <w:tl2br w:val="nil"/>
              <w:tr2bl w:val="nil"/>
            </w:tcBorders>
          </w:tcPr>
          <w:p w:rsidR="00013EC7" w:rsidRDefault="00013EC7">
            <w:pPr>
              <w:rPr>
                <w:rFonts w:ascii="仿宋" w:eastAsia="仿宋" w:hAnsi="仿宋" w:cs="仿宋"/>
                <w:color w:val="000000"/>
                <w:sz w:val="24"/>
              </w:rPr>
            </w:pPr>
          </w:p>
        </w:tc>
      </w:tr>
      <w:tr w:rsidR="00013EC7">
        <w:trPr>
          <w:trHeight w:val="1194"/>
        </w:trPr>
        <w:tc>
          <w:tcPr>
            <w:tcW w:w="639" w:type="dxa"/>
            <w:vMerge/>
            <w:tcBorders>
              <w:tl2br w:val="nil"/>
              <w:tr2bl w:val="nil"/>
            </w:tcBorders>
            <w:vAlign w:val="center"/>
          </w:tcPr>
          <w:p w:rsidR="00013EC7" w:rsidRDefault="00013EC7">
            <w:pPr>
              <w:rPr>
                <w:rFonts w:ascii="仿宋" w:eastAsia="仿宋" w:hAnsi="仿宋" w:cs="仿宋"/>
                <w:color w:val="000000"/>
                <w:sz w:val="24"/>
              </w:rPr>
            </w:pPr>
          </w:p>
        </w:tc>
        <w:tc>
          <w:tcPr>
            <w:tcW w:w="510" w:type="dxa"/>
            <w:vMerge/>
            <w:tcBorders>
              <w:tl2br w:val="nil"/>
              <w:tr2bl w:val="nil"/>
            </w:tcBorders>
            <w:vAlign w:val="center"/>
          </w:tcPr>
          <w:p w:rsidR="00013EC7" w:rsidRDefault="00013EC7">
            <w:pPr>
              <w:rPr>
                <w:rFonts w:ascii="仿宋" w:eastAsia="仿宋" w:hAnsi="仿宋" w:cs="仿宋"/>
                <w:color w:val="000000"/>
                <w:sz w:val="24"/>
              </w:rPr>
            </w:pPr>
          </w:p>
        </w:tc>
        <w:tc>
          <w:tcPr>
            <w:tcW w:w="3544" w:type="dxa"/>
            <w:vMerge/>
            <w:tcBorders>
              <w:tl2br w:val="nil"/>
              <w:tr2bl w:val="nil"/>
            </w:tcBorders>
            <w:vAlign w:val="center"/>
          </w:tcPr>
          <w:p w:rsidR="00013EC7" w:rsidRDefault="00013EC7">
            <w:pPr>
              <w:rPr>
                <w:rFonts w:ascii="仿宋" w:eastAsia="仿宋" w:hAnsi="仿宋" w:cs="仿宋"/>
                <w:color w:val="000000"/>
                <w:kern w:val="0"/>
                <w:sz w:val="24"/>
              </w:rPr>
            </w:pPr>
          </w:p>
        </w:tc>
        <w:tc>
          <w:tcPr>
            <w:tcW w:w="3260" w:type="dxa"/>
            <w:tcBorders>
              <w:tl2br w:val="nil"/>
              <w:tr2bl w:val="nil"/>
            </w:tcBorders>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color w:val="000000"/>
                <w:kern w:val="0"/>
                <w:sz w:val="24"/>
              </w:rPr>
              <w:t>（十二）转制方案批复函原件及复印件（加盖公章）。</w:t>
            </w:r>
          </w:p>
        </w:tc>
        <w:tc>
          <w:tcPr>
            <w:tcW w:w="1418" w:type="dxa"/>
            <w:vMerge w:val="restart"/>
            <w:tcBorders>
              <w:tl2br w:val="nil"/>
              <w:tr2bl w:val="nil"/>
            </w:tcBorders>
            <w:vAlign w:val="center"/>
          </w:tcPr>
          <w:p w:rsidR="00013EC7" w:rsidRDefault="00575CDB">
            <w:pPr>
              <w:widowControl/>
              <w:textAlignment w:val="center"/>
              <w:rPr>
                <w:rFonts w:ascii="仿宋" w:eastAsia="仿宋" w:hAnsi="仿宋" w:cs="仿宋"/>
                <w:color w:val="000000"/>
                <w:sz w:val="24"/>
              </w:rPr>
            </w:pPr>
            <w:r>
              <w:rPr>
                <w:rFonts w:ascii="仿宋" w:eastAsia="仿宋" w:hAnsi="仿宋" w:cs="仿宋" w:hint="eastAsia"/>
                <w:color w:val="000000"/>
                <w:kern w:val="0"/>
                <w:sz w:val="24"/>
              </w:rPr>
              <w:t>符合文化事业单位转制免征增值税优惠条件的纳税人提交</w:t>
            </w:r>
          </w:p>
        </w:tc>
        <w:tc>
          <w:tcPr>
            <w:tcW w:w="3118" w:type="dxa"/>
            <w:tcBorders>
              <w:tl2br w:val="nil"/>
              <w:tr2bl w:val="nil"/>
            </w:tcBorders>
            <w:vAlign w:val="center"/>
          </w:tcPr>
          <w:p w:rsidR="00013EC7" w:rsidRDefault="00575CDB">
            <w:pPr>
              <w:widowControl/>
              <w:textAlignment w:val="center"/>
              <w:rPr>
                <w:rFonts w:ascii="仿宋" w:eastAsia="仿宋" w:hAnsi="仿宋" w:cs="仿宋"/>
                <w:sz w:val="24"/>
              </w:rPr>
            </w:pPr>
            <w:r>
              <w:rPr>
                <w:rFonts w:ascii="仿宋" w:eastAsia="仿宋" w:hAnsi="仿宋" w:cs="仿宋" w:hint="eastAsia"/>
                <w:kern w:val="0"/>
                <w:sz w:val="24"/>
              </w:rPr>
              <w:t>（十二）转制方案批复函复印件（注明与原件一致，并加盖公章）。</w:t>
            </w:r>
          </w:p>
        </w:tc>
        <w:tc>
          <w:tcPr>
            <w:tcW w:w="1276" w:type="dxa"/>
            <w:tcBorders>
              <w:tl2br w:val="nil"/>
              <w:tr2bl w:val="nil"/>
            </w:tcBorders>
            <w:vAlign w:val="center"/>
          </w:tcPr>
          <w:p w:rsidR="00013EC7" w:rsidRDefault="00575CDB">
            <w:pPr>
              <w:widowControl/>
              <w:jc w:val="left"/>
              <w:textAlignment w:val="center"/>
              <w:rPr>
                <w:rFonts w:ascii="仿宋" w:eastAsia="仿宋" w:hAnsi="仿宋" w:cs="仿宋"/>
                <w:b/>
                <w:i/>
                <w:color w:val="000000"/>
                <w:sz w:val="24"/>
              </w:rPr>
            </w:pPr>
            <w:r>
              <w:rPr>
                <w:rFonts w:ascii="仿宋" w:eastAsia="仿宋" w:hAnsi="仿宋" w:cs="仿宋" w:hint="eastAsia"/>
                <w:color w:val="000000"/>
                <w:kern w:val="0"/>
                <w:sz w:val="24"/>
              </w:rPr>
              <w:t>符合文化事业单位转制免征增值税优惠条件的纳税人提交</w:t>
            </w:r>
          </w:p>
        </w:tc>
        <w:tc>
          <w:tcPr>
            <w:tcW w:w="2268" w:type="dxa"/>
            <w:vMerge/>
            <w:tcBorders>
              <w:tl2br w:val="nil"/>
              <w:tr2bl w:val="nil"/>
            </w:tcBorders>
            <w:vAlign w:val="center"/>
          </w:tcPr>
          <w:p w:rsidR="00013EC7" w:rsidRDefault="00013EC7">
            <w:pPr>
              <w:widowControl/>
              <w:jc w:val="left"/>
              <w:textAlignment w:val="center"/>
              <w:rPr>
                <w:rFonts w:ascii="仿宋" w:eastAsia="仿宋" w:hAnsi="仿宋" w:cs="仿宋"/>
                <w:b/>
                <w:color w:val="000000"/>
                <w:sz w:val="24"/>
              </w:rPr>
            </w:pPr>
          </w:p>
        </w:tc>
        <w:tc>
          <w:tcPr>
            <w:tcW w:w="567" w:type="dxa"/>
            <w:vMerge/>
            <w:tcBorders>
              <w:tl2br w:val="nil"/>
              <w:tr2bl w:val="nil"/>
            </w:tcBorders>
          </w:tcPr>
          <w:p w:rsidR="00013EC7" w:rsidRDefault="00013EC7">
            <w:pPr>
              <w:jc w:val="center"/>
              <w:rPr>
                <w:rFonts w:ascii="仿宋" w:eastAsia="仿宋" w:hAnsi="仿宋" w:cs="仿宋"/>
                <w:color w:val="000000"/>
                <w:sz w:val="24"/>
              </w:rPr>
            </w:pPr>
          </w:p>
        </w:tc>
        <w:tc>
          <w:tcPr>
            <w:tcW w:w="851" w:type="dxa"/>
            <w:vMerge/>
            <w:tcBorders>
              <w:tl2br w:val="nil"/>
              <w:tr2bl w:val="nil"/>
            </w:tcBorders>
          </w:tcPr>
          <w:p w:rsidR="00013EC7" w:rsidRDefault="00013EC7">
            <w:pPr>
              <w:jc w:val="center"/>
              <w:rPr>
                <w:rFonts w:ascii="仿宋" w:eastAsia="仿宋" w:hAnsi="仿宋" w:cs="仿宋"/>
                <w:color w:val="000000"/>
                <w:sz w:val="24"/>
              </w:rPr>
            </w:pPr>
          </w:p>
        </w:tc>
        <w:tc>
          <w:tcPr>
            <w:tcW w:w="708" w:type="dxa"/>
            <w:vMerge/>
            <w:tcBorders>
              <w:tl2br w:val="nil"/>
              <w:tr2bl w:val="nil"/>
            </w:tcBorders>
          </w:tcPr>
          <w:p w:rsidR="00013EC7" w:rsidRDefault="00013EC7">
            <w:pPr>
              <w:jc w:val="center"/>
              <w:rPr>
                <w:rFonts w:ascii="仿宋" w:eastAsia="仿宋" w:hAnsi="仿宋" w:cs="仿宋"/>
                <w:color w:val="000000"/>
                <w:sz w:val="24"/>
              </w:rPr>
            </w:pPr>
          </w:p>
        </w:tc>
        <w:tc>
          <w:tcPr>
            <w:tcW w:w="993" w:type="dxa"/>
            <w:vMerge/>
            <w:tcBorders>
              <w:tl2br w:val="nil"/>
              <w:tr2bl w:val="nil"/>
            </w:tcBorders>
          </w:tcPr>
          <w:p w:rsidR="00013EC7" w:rsidRDefault="00013EC7">
            <w:pPr>
              <w:jc w:val="center"/>
              <w:rPr>
                <w:rFonts w:ascii="仿宋" w:eastAsia="仿宋" w:hAnsi="仿宋" w:cs="仿宋"/>
                <w:color w:val="000000"/>
                <w:sz w:val="24"/>
              </w:rPr>
            </w:pPr>
          </w:p>
        </w:tc>
        <w:tc>
          <w:tcPr>
            <w:tcW w:w="978" w:type="dxa"/>
            <w:vMerge/>
            <w:tcBorders>
              <w:tl2br w:val="nil"/>
              <w:tr2bl w:val="nil"/>
            </w:tcBorders>
          </w:tcPr>
          <w:p w:rsidR="00013EC7" w:rsidRDefault="00013EC7">
            <w:pPr>
              <w:rPr>
                <w:rFonts w:ascii="仿宋" w:eastAsia="仿宋" w:hAnsi="仿宋" w:cs="仿宋"/>
                <w:color w:val="000000"/>
                <w:sz w:val="24"/>
              </w:rPr>
            </w:pPr>
          </w:p>
        </w:tc>
      </w:tr>
      <w:tr w:rsidR="00013EC7">
        <w:trPr>
          <w:trHeight w:val="1016"/>
        </w:trPr>
        <w:tc>
          <w:tcPr>
            <w:tcW w:w="639" w:type="dxa"/>
            <w:vMerge/>
            <w:tcBorders>
              <w:tl2br w:val="nil"/>
              <w:tr2bl w:val="nil"/>
            </w:tcBorders>
            <w:vAlign w:val="center"/>
          </w:tcPr>
          <w:p w:rsidR="00013EC7" w:rsidRDefault="00013EC7">
            <w:pPr>
              <w:rPr>
                <w:rFonts w:ascii="仿宋" w:eastAsia="仿宋" w:hAnsi="仿宋" w:cs="仿宋"/>
                <w:color w:val="000000"/>
                <w:sz w:val="24"/>
              </w:rPr>
            </w:pPr>
          </w:p>
        </w:tc>
        <w:tc>
          <w:tcPr>
            <w:tcW w:w="510" w:type="dxa"/>
            <w:vMerge/>
            <w:tcBorders>
              <w:tl2br w:val="nil"/>
              <w:tr2bl w:val="nil"/>
            </w:tcBorders>
            <w:vAlign w:val="center"/>
          </w:tcPr>
          <w:p w:rsidR="00013EC7" w:rsidRDefault="00013EC7">
            <w:pPr>
              <w:rPr>
                <w:rFonts w:ascii="仿宋" w:eastAsia="仿宋" w:hAnsi="仿宋" w:cs="仿宋"/>
                <w:color w:val="000000"/>
                <w:sz w:val="24"/>
              </w:rPr>
            </w:pPr>
          </w:p>
        </w:tc>
        <w:tc>
          <w:tcPr>
            <w:tcW w:w="3544" w:type="dxa"/>
            <w:vMerge/>
            <w:tcBorders>
              <w:tl2br w:val="nil"/>
              <w:tr2bl w:val="nil"/>
            </w:tcBorders>
            <w:vAlign w:val="center"/>
          </w:tcPr>
          <w:p w:rsidR="00013EC7" w:rsidRDefault="00013EC7">
            <w:pPr>
              <w:rPr>
                <w:rFonts w:ascii="仿宋" w:eastAsia="仿宋" w:hAnsi="仿宋" w:cs="仿宋"/>
                <w:color w:val="000000"/>
                <w:kern w:val="0"/>
                <w:sz w:val="24"/>
              </w:rPr>
            </w:pPr>
          </w:p>
        </w:tc>
        <w:tc>
          <w:tcPr>
            <w:tcW w:w="3260" w:type="dxa"/>
            <w:tcBorders>
              <w:tl2br w:val="nil"/>
              <w:tr2bl w:val="nil"/>
            </w:tcBorders>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color w:val="000000"/>
                <w:kern w:val="0"/>
                <w:sz w:val="24"/>
              </w:rPr>
              <w:t>（十三）企业工商营业执照原件及复印件（加盖公章）。</w:t>
            </w:r>
          </w:p>
        </w:tc>
        <w:tc>
          <w:tcPr>
            <w:tcW w:w="1418" w:type="dxa"/>
            <w:vMerge/>
            <w:tcBorders>
              <w:tl2br w:val="nil"/>
              <w:tr2bl w:val="nil"/>
            </w:tcBorders>
            <w:vAlign w:val="center"/>
          </w:tcPr>
          <w:p w:rsidR="00013EC7" w:rsidRDefault="00013EC7">
            <w:pPr>
              <w:textAlignment w:val="center"/>
              <w:rPr>
                <w:rFonts w:ascii="仿宋" w:eastAsia="仿宋" w:hAnsi="仿宋" w:cs="仿宋"/>
                <w:color w:val="000000"/>
                <w:sz w:val="24"/>
              </w:rPr>
            </w:pPr>
          </w:p>
        </w:tc>
        <w:tc>
          <w:tcPr>
            <w:tcW w:w="3118" w:type="dxa"/>
            <w:tcBorders>
              <w:tl2br w:val="nil"/>
              <w:tr2bl w:val="nil"/>
            </w:tcBorders>
            <w:vAlign w:val="center"/>
          </w:tcPr>
          <w:p w:rsidR="00013EC7" w:rsidRDefault="00575CDB">
            <w:pPr>
              <w:widowControl/>
              <w:textAlignment w:val="center"/>
              <w:rPr>
                <w:rFonts w:ascii="仿宋" w:eastAsia="仿宋" w:hAnsi="仿宋" w:cs="仿宋"/>
                <w:sz w:val="24"/>
              </w:rPr>
            </w:pPr>
            <w:r>
              <w:rPr>
                <w:rFonts w:ascii="仿宋" w:eastAsia="仿宋" w:hAnsi="仿宋" w:cs="仿宋" w:hint="eastAsia"/>
                <w:kern w:val="0"/>
                <w:sz w:val="24"/>
              </w:rPr>
              <w:t>（十三）企业工商营业执照。</w:t>
            </w:r>
          </w:p>
        </w:tc>
        <w:tc>
          <w:tcPr>
            <w:tcW w:w="1276" w:type="dxa"/>
            <w:tcBorders>
              <w:tl2br w:val="nil"/>
              <w:tr2bl w:val="nil"/>
            </w:tcBorders>
            <w:vAlign w:val="center"/>
          </w:tcPr>
          <w:p w:rsidR="00013EC7" w:rsidRDefault="00575CDB">
            <w:pPr>
              <w:widowControl/>
              <w:jc w:val="left"/>
              <w:textAlignment w:val="center"/>
              <w:rPr>
                <w:rFonts w:ascii="仿宋" w:eastAsia="仿宋" w:hAnsi="仿宋" w:cs="仿宋"/>
                <w:b/>
                <w:i/>
                <w:color w:val="000000"/>
                <w:sz w:val="24"/>
              </w:rPr>
            </w:pPr>
            <w:r>
              <w:rPr>
                <w:rFonts w:ascii="仿宋" w:eastAsia="仿宋" w:hAnsi="仿宋" w:cs="仿宋" w:hint="eastAsia"/>
                <w:b/>
                <w:i/>
                <w:color w:val="000000"/>
                <w:kern w:val="0"/>
                <w:sz w:val="24"/>
              </w:rPr>
              <w:t>经办机构</w:t>
            </w:r>
            <w:r>
              <w:rPr>
                <w:rFonts w:ascii="仿宋" w:eastAsia="仿宋" w:hAnsi="仿宋" w:cs="仿宋" w:hint="eastAsia"/>
                <w:b/>
                <w:i/>
                <w:color w:val="000000"/>
                <w:kern w:val="0"/>
                <w:sz w:val="24"/>
              </w:rPr>
              <w:br/>
              <w:t>自行获取</w:t>
            </w:r>
          </w:p>
        </w:tc>
        <w:tc>
          <w:tcPr>
            <w:tcW w:w="2268" w:type="dxa"/>
            <w:tcBorders>
              <w:tl2br w:val="nil"/>
              <w:tr2bl w:val="nil"/>
            </w:tcBorders>
            <w:vAlign w:val="center"/>
          </w:tcPr>
          <w:p w:rsidR="00013EC7" w:rsidRDefault="00575CDB">
            <w:pPr>
              <w:widowControl/>
              <w:jc w:val="left"/>
              <w:textAlignment w:val="center"/>
              <w:rPr>
                <w:rFonts w:ascii="仿宋" w:eastAsia="仿宋" w:hAnsi="仿宋" w:cs="仿宋"/>
                <w:b/>
                <w:color w:val="000000"/>
                <w:sz w:val="24"/>
              </w:rPr>
            </w:pPr>
            <w:r>
              <w:rPr>
                <w:rFonts w:ascii="仿宋" w:eastAsia="仿宋" w:hAnsi="仿宋" w:cs="仿宋" w:hint="eastAsia"/>
                <w:b/>
                <w:color w:val="000000"/>
                <w:kern w:val="0"/>
                <w:sz w:val="24"/>
              </w:rPr>
              <w:t>外部共享：</w:t>
            </w:r>
            <w:r>
              <w:rPr>
                <w:rFonts w:ascii="仿宋" w:eastAsia="仿宋" w:hAnsi="仿宋" w:cs="仿宋" w:hint="eastAsia"/>
                <w:color w:val="000000"/>
                <w:kern w:val="0"/>
                <w:sz w:val="24"/>
              </w:rPr>
              <w:t>由省工商局提供共享。</w:t>
            </w:r>
          </w:p>
        </w:tc>
        <w:tc>
          <w:tcPr>
            <w:tcW w:w="567" w:type="dxa"/>
            <w:vMerge/>
            <w:tcBorders>
              <w:tl2br w:val="nil"/>
              <w:tr2bl w:val="nil"/>
            </w:tcBorders>
          </w:tcPr>
          <w:p w:rsidR="00013EC7" w:rsidRDefault="00013EC7">
            <w:pPr>
              <w:jc w:val="center"/>
              <w:rPr>
                <w:rFonts w:ascii="仿宋" w:eastAsia="仿宋" w:hAnsi="仿宋" w:cs="仿宋"/>
                <w:color w:val="000000"/>
                <w:sz w:val="24"/>
              </w:rPr>
            </w:pPr>
          </w:p>
        </w:tc>
        <w:tc>
          <w:tcPr>
            <w:tcW w:w="851" w:type="dxa"/>
            <w:vMerge/>
            <w:tcBorders>
              <w:tl2br w:val="nil"/>
              <w:tr2bl w:val="nil"/>
            </w:tcBorders>
          </w:tcPr>
          <w:p w:rsidR="00013EC7" w:rsidRDefault="00013EC7">
            <w:pPr>
              <w:jc w:val="center"/>
              <w:rPr>
                <w:rFonts w:ascii="仿宋" w:eastAsia="仿宋" w:hAnsi="仿宋" w:cs="仿宋"/>
                <w:color w:val="000000"/>
                <w:sz w:val="24"/>
              </w:rPr>
            </w:pPr>
          </w:p>
        </w:tc>
        <w:tc>
          <w:tcPr>
            <w:tcW w:w="708" w:type="dxa"/>
            <w:vMerge/>
            <w:tcBorders>
              <w:tl2br w:val="nil"/>
              <w:tr2bl w:val="nil"/>
            </w:tcBorders>
          </w:tcPr>
          <w:p w:rsidR="00013EC7" w:rsidRDefault="00013EC7">
            <w:pPr>
              <w:jc w:val="center"/>
              <w:rPr>
                <w:rFonts w:ascii="仿宋" w:eastAsia="仿宋" w:hAnsi="仿宋" w:cs="仿宋"/>
                <w:color w:val="000000"/>
                <w:sz w:val="24"/>
              </w:rPr>
            </w:pPr>
          </w:p>
        </w:tc>
        <w:tc>
          <w:tcPr>
            <w:tcW w:w="993" w:type="dxa"/>
            <w:vMerge/>
            <w:tcBorders>
              <w:tl2br w:val="nil"/>
              <w:tr2bl w:val="nil"/>
            </w:tcBorders>
          </w:tcPr>
          <w:p w:rsidR="00013EC7" w:rsidRDefault="00013EC7">
            <w:pPr>
              <w:jc w:val="center"/>
              <w:rPr>
                <w:rFonts w:ascii="仿宋" w:eastAsia="仿宋" w:hAnsi="仿宋" w:cs="仿宋"/>
                <w:color w:val="000000"/>
                <w:sz w:val="24"/>
              </w:rPr>
            </w:pPr>
          </w:p>
        </w:tc>
        <w:tc>
          <w:tcPr>
            <w:tcW w:w="978" w:type="dxa"/>
            <w:vMerge/>
            <w:tcBorders>
              <w:tl2br w:val="nil"/>
              <w:tr2bl w:val="nil"/>
            </w:tcBorders>
          </w:tcPr>
          <w:p w:rsidR="00013EC7" w:rsidRDefault="00013EC7">
            <w:pPr>
              <w:rPr>
                <w:rFonts w:ascii="仿宋" w:eastAsia="仿宋" w:hAnsi="仿宋" w:cs="仿宋"/>
                <w:color w:val="000000"/>
                <w:sz w:val="24"/>
              </w:rPr>
            </w:pPr>
          </w:p>
        </w:tc>
      </w:tr>
      <w:tr w:rsidR="00013EC7">
        <w:trPr>
          <w:trHeight w:val="1532"/>
        </w:trPr>
        <w:tc>
          <w:tcPr>
            <w:tcW w:w="639" w:type="dxa"/>
            <w:vMerge/>
            <w:tcBorders>
              <w:tl2br w:val="nil"/>
              <w:tr2bl w:val="nil"/>
            </w:tcBorders>
            <w:vAlign w:val="center"/>
          </w:tcPr>
          <w:p w:rsidR="00013EC7" w:rsidRDefault="00013EC7">
            <w:pPr>
              <w:rPr>
                <w:rFonts w:ascii="仿宋" w:eastAsia="仿宋" w:hAnsi="仿宋" w:cs="仿宋"/>
                <w:color w:val="000000"/>
                <w:sz w:val="24"/>
              </w:rPr>
            </w:pPr>
          </w:p>
        </w:tc>
        <w:tc>
          <w:tcPr>
            <w:tcW w:w="510" w:type="dxa"/>
            <w:vMerge/>
            <w:tcBorders>
              <w:tl2br w:val="nil"/>
              <w:tr2bl w:val="nil"/>
            </w:tcBorders>
            <w:vAlign w:val="center"/>
          </w:tcPr>
          <w:p w:rsidR="00013EC7" w:rsidRDefault="00013EC7">
            <w:pPr>
              <w:rPr>
                <w:rFonts w:ascii="仿宋" w:eastAsia="仿宋" w:hAnsi="仿宋" w:cs="仿宋"/>
                <w:color w:val="000000"/>
                <w:sz w:val="24"/>
              </w:rPr>
            </w:pPr>
          </w:p>
        </w:tc>
        <w:tc>
          <w:tcPr>
            <w:tcW w:w="3544" w:type="dxa"/>
            <w:vMerge/>
            <w:tcBorders>
              <w:tl2br w:val="nil"/>
              <w:tr2bl w:val="nil"/>
            </w:tcBorders>
            <w:vAlign w:val="center"/>
          </w:tcPr>
          <w:p w:rsidR="00013EC7" w:rsidRDefault="00013EC7">
            <w:pPr>
              <w:rPr>
                <w:rFonts w:ascii="仿宋" w:eastAsia="仿宋" w:hAnsi="仿宋" w:cs="仿宋"/>
                <w:color w:val="000000"/>
                <w:kern w:val="0"/>
                <w:sz w:val="24"/>
              </w:rPr>
            </w:pPr>
          </w:p>
        </w:tc>
        <w:tc>
          <w:tcPr>
            <w:tcW w:w="3260" w:type="dxa"/>
            <w:tcBorders>
              <w:tl2br w:val="nil"/>
              <w:tr2bl w:val="nil"/>
            </w:tcBorders>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color w:val="000000"/>
                <w:kern w:val="0"/>
                <w:sz w:val="24"/>
              </w:rPr>
              <w:t>（十四）同级机构编制管理机关核销事业编制、注销事业单位法人的证明（整体转制前已进行事业单位法人登记的提供）。</w:t>
            </w:r>
          </w:p>
        </w:tc>
        <w:tc>
          <w:tcPr>
            <w:tcW w:w="1418" w:type="dxa"/>
            <w:vMerge/>
            <w:tcBorders>
              <w:tl2br w:val="nil"/>
              <w:tr2bl w:val="nil"/>
            </w:tcBorders>
            <w:vAlign w:val="center"/>
          </w:tcPr>
          <w:p w:rsidR="00013EC7" w:rsidRDefault="00013EC7">
            <w:pPr>
              <w:textAlignment w:val="center"/>
              <w:rPr>
                <w:rFonts w:ascii="仿宋" w:eastAsia="仿宋" w:hAnsi="仿宋" w:cs="仿宋"/>
                <w:color w:val="000000"/>
                <w:sz w:val="24"/>
              </w:rPr>
            </w:pPr>
          </w:p>
        </w:tc>
        <w:tc>
          <w:tcPr>
            <w:tcW w:w="3118" w:type="dxa"/>
            <w:tcBorders>
              <w:tl2br w:val="nil"/>
              <w:tr2bl w:val="nil"/>
            </w:tcBorders>
            <w:vAlign w:val="center"/>
          </w:tcPr>
          <w:p w:rsidR="00013EC7" w:rsidRDefault="00575CDB">
            <w:pPr>
              <w:widowControl/>
              <w:textAlignment w:val="center"/>
              <w:rPr>
                <w:rFonts w:ascii="仿宋" w:eastAsia="仿宋" w:hAnsi="仿宋" w:cs="仿宋"/>
                <w:sz w:val="24"/>
              </w:rPr>
            </w:pPr>
            <w:r>
              <w:rPr>
                <w:rFonts w:ascii="仿宋" w:eastAsia="仿宋" w:hAnsi="仿宋" w:cs="仿宋" w:hint="eastAsia"/>
                <w:kern w:val="0"/>
                <w:sz w:val="24"/>
              </w:rPr>
              <w:t>（十四）同级机构编制管理机关核销事业编制、注销事业单位法人的证明（整体转制前已进行事业单位法人登记的提供）。</w:t>
            </w:r>
          </w:p>
        </w:tc>
        <w:tc>
          <w:tcPr>
            <w:tcW w:w="1276" w:type="dxa"/>
            <w:vMerge w:val="restart"/>
            <w:tcBorders>
              <w:tl2br w:val="nil"/>
              <w:tr2bl w:val="nil"/>
            </w:tcBorders>
            <w:vAlign w:val="center"/>
          </w:tcPr>
          <w:p w:rsidR="00013EC7" w:rsidRDefault="00575CDB">
            <w:pPr>
              <w:jc w:val="left"/>
              <w:textAlignment w:val="center"/>
              <w:rPr>
                <w:rFonts w:ascii="仿宋" w:eastAsia="仿宋" w:hAnsi="仿宋" w:cs="仿宋"/>
                <w:color w:val="000000"/>
                <w:sz w:val="24"/>
              </w:rPr>
            </w:pPr>
            <w:r>
              <w:rPr>
                <w:rFonts w:ascii="仿宋" w:eastAsia="仿宋" w:hAnsi="仿宋" w:cs="仿宋" w:hint="eastAsia"/>
                <w:color w:val="000000"/>
                <w:kern w:val="0"/>
                <w:sz w:val="24"/>
              </w:rPr>
              <w:t>文化事业单位转制的纳税人提交</w:t>
            </w:r>
          </w:p>
        </w:tc>
        <w:tc>
          <w:tcPr>
            <w:tcW w:w="2268" w:type="dxa"/>
            <w:vMerge w:val="restart"/>
            <w:tcBorders>
              <w:tl2br w:val="nil"/>
              <w:tr2bl w:val="nil"/>
            </w:tcBorders>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b/>
                <w:color w:val="000000"/>
                <w:kern w:val="0"/>
                <w:sz w:val="24"/>
              </w:rPr>
              <w:t>网上办理：</w:t>
            </w:r>
            <w:r>
              <w:rPr>
                <w:rFonts w:ascii="仿宋" w:eastAsia="仿宋" w:hAnsi="仿宋" w:cs="仿宋" w:hint="eastAsia"/>
                <w:color w:val="000000"/>
                <w:kern w:val="0"/>
                <w:sz w:val="24"/>
              </w:rPr>
              <w:t>登录浙江国税电子税务局（网址：http://etax.zjtax.gov.cn/）提交申请。</w:t>
            </w:r>
          </w:p>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b/>
                <w:color w:val="000000"/>
                <w:kern w:val="0"/>
                <w:sz w:val="24"/>
              </w:rPr>
              <w:t>现场办理：</w:t>
            </w:r>
            <w:r>
              <w:rPr>
                <w:rFonts w:ascii="仿宋" w:eastAsia="仿宋" w:hAnsi="仿宋" w:cs="仿宋" w:hint="eastAsia"/>
                <w:color w:val="000000"/>
                <w:kern w:val="0"/>
                <w:sz w:val="24"/>
              </w:rPr>
              <w:t>纳税人提交书面材料。</w:t>
            </w:r>
          </w:p>
          <w:p w:rsidR="00013EC7" w:rsidRDefault="00575CDB">
            <w:pPr>
              <w:jc w:val="left"/>
              <w:rPr>
                <w:rFonts w:ascii="仿宋" w:eastAsia="仿宋" w:hAnsi="仿宋" w:cs="仿宋"/>
                <w:color w:val="000000"/>
                <w:sz w:val="24"/>
              </w:rPr>
            </w:pPr>
            <w:r>
              <w:rPr>
                <w:rFonts w:ascii="仿宋" w:eastAsia="仿宋" w:hAnsi="仿宋" w:cs="仿宋" w:hint="eastAsia"/>
                <w:b/>
                <w:color w:val="000000"/>
                <w:kern w:val="0"/>
                <w:sz w:val="24"/>
              </w:rPr>
              <w:t>APP办理：</w:t>
            </w:r>
            <w:r w:rsidR="006776D1">
              <w:rPr>
                <w:rFonts w:ascii="仿宋" w:eastAsia="仿宋" w:hAnsi="仿宋" w:cs="仿宋" w:hint="eastAsia"/>
                <w:color w:val="000000"/>
                <w:kern w:val="0"/>
                <w:sz w:val="24"/>
              </w:rPr>
              <w:t>登录浙江国税APP提交申请。</w:t>
            </w:r>
          </w:p>
        </w:tc>
        <w:tc>
          <w:tcPr>
            <w:tcW w:w="567" w:type="dxa"/>
            <w:vMerge/>
            <w:tcBorders>
              <w:tl2br w:val="nil"/>
              <w:tr2bl w:val="nil"/>
            </w:tcBorders>
          </w:tcPr>
          <w:p w:rsidR="00013EC7" w:rsidRDefault="00013EC7">
            <w:pPr>
              <w:jc w:val="center"/>
              <w:rPr>
                <w:rFonts w:ascii="仿宋" w:eastAsia="仿宋" w:hAnsi="仿宋" w:cs="仿宋"/>
                <w:color w:val="000000"/>
                <w:sz w:val="24"/>
              </w:rPr>
            </w:pPr>
          </w:p>
        </w:tc>
        <w:tc>
          <w:tcPr>
            <w:tcW w:w="851" w:type="dxa"/>
            <w:vMerge/>
            <w:tcBorders>
              <w:tl2br w:val="nil"/>
              <w:tr2bl w:val="nil"/>
            </w:tcBorders>
          </w:tcPr>
          <w:p w:rsidR="00013EC7" w:rsidRDefault="00013EC7">
            <w:pPr>
              <w:jc w:val="center"/>
              <w:rPr>
                <w:rFonts w:ascii="仿宋" w:eastAsia="仿宋" w:hAnsi="仿宋" w:cs="仿宋"/>
                <w:color w:val="000000"/>
                <w:sz w:val="24"/>
              </w:rPr>
            </w:pPr>
          </w:p>
        </w:tc>
        <w:tc>
          <w:tcPr>
            <w:tcW w:w="708" w:type="dxa"/>
            <w:vMerge/>
            <w:tcBorders>
              <w:tl2br w:val="nil"/>
              <w:tr2bl w:val="nil"/>
            </w:tcBorders>
          </w:tcPr>
          <w:p w:rsidR="00013EC7" w:rsidRDefault="00013EC7">
            <w:pPr>
              <w:jc w:val="center"/>
              <w:rPr>
                <w:rFonts w:ascii="仿宋" w:eastAsia="仿宋" w:hAnsi="仿宋" w:cs="仿宋"/>
                <w:color w:val="000000"/>
                <w:sz w:val="24"/>
              </w:rPr>
            </w:pPr>
          </w:p>
        </w:tc>
        <w:tc>
          <w:tcPr>
            <w:tcW w:w="993" w:type="dxa"/>
            <w:vMerge/>
            <w:tcBorders>
              <w:tl2br w:val="nil"/>
              <w:tr2bl w:val="nil"/>
            </w:tcBorders>
          </w:tcPr>
          <w:p w:rsidR="00013EC7" w:rsidRDefault="00013EC7">
            <w:pPr>
              <w:jc w:val="center"/>
              <w:rPr>
                <w:rFonts w:ascii="仿宋" w:eastAsia="仿宋" w:hAnsi="仿宋" w:cs="仿宋"/>
                <w:color w:val="000000"/>
                <w:sz w:val="24"/>
              </w:rPr>
            </w:pPr>
          </w:p>
        </w:tc>
        <w:tc>
          <w:tcPr>
            <w:tcW w:w="978" w:type="dxa"/>
            <w:vMerge/>
            <w:tcBorders>
              <w:tl2br w:val="nil"/>
              <w:tr2bl w:val="nil"/>
            </w:tcBorders>
          </w:tcPr>
          <w:p w:rsidR="00013EC7" w:rsidRDefault="00013EC7">
            <w:pPr>
              <w:rPr>
                <w:rFonts w:ascii="仿宋" w:eastAsia="仿宋" w:hAnsi="仿宋" w:cs="仿宋"/>
                <w:color w:val="000000"/>
                <w:sz w:val="24"/>
              </w:rPr>
            </w:pPr>
          </w:p>
        </w:tc>
      </w:tr>
      <w:tr w:rsidR="00013EC7">
        <w:trPr>
          <w:trHeight w:val="1725"/>
        </w:trPr>
        <w:tc>
          <w:tcPr>
            <w:tcW w:w="639" w:type="dxa"/>
            <w:vMerge/>
            <w:tcBorders>
              <w:tl2br w:val="nil"/>
              <w:tr2bl w:val="nil"/>
            </w:tcBorders>
            <w:vAlign w:val="center"/>
          </w:tcPr>
          <w:p w:rsidR="00013EC7" w:rsidRDefault="00013EC7">
            <w:pPr>
              <w:rPr>
                <w:rFonts w:ascii="仿宋" w:eastAsia="仿宋" w:hAnsi="仿宋" w:cs="仿宋"/>
                <w:color w:val="000000"/>
                <w:sz w:val="24"/>
              </w:rPr>
            </w:pPr>
          </w:p>
        </w:tc>
        <w:tc>
          <w:tcPr>
            <w:tcW w:w="510" w:type="dxa"/>
            <w:vMerge/>
            <w:tcBorders>
              <w:tl2br w:val="nil"/>
              <w:tr2bl w:val="nil"/>
            </w:tcBorders>
            <w:vAlign w:val="center"/>
          </w:tcPr>
          <w:p w:rsidR="00013EC7" w:rsidRDefault="00013EC7">
            <w:pPr>
              <w:rPr>
                <w:rFonts w:ascii="仿宋" w:eastAsia="仿宋" w:hAnsi="仿宋" w:cs="仿宋"/>
                <w:color w:val="000000"/>
                <w:sz w:val="24"/>
              </w:rPr>
            </w:pPr>
          </w:p>
        </w:tc>
        <w:tc>
          <w:tcPr>
            <w:tcW w:w="3544" w:type="dxa"/>
            <w:vMerge/>
            <w:tcBorders>
              <w:tl2br w:val="nil"/>
              <w:tr2bl w:val="nil"/>
            </w:tcBorders>
            <w:vAlign w:val="center"/>
          </w:tcPr>
          <w:p w:rsidR="00013EC7" w:rsidRDefault="00013EC7">
            <w:pPr>
              <w:rPr>
                <w:rFonts w:ascii="仿宋" w:eastAsia="仿宋" w:hAnsi="仿宋" w:cs="仿宋"/>
                <w:color w:val="000000"/>
                <w:kern w:val="0"/>
                <w:sz w:val="24"/>
              </w:rPr>
            </w:pPr>
          </w:p>
        </w:tc>
        <w:tc>
          <w:tcPr>
            <w:tcW w:w="3260" w:type="dxa"/>
            <w:tcBorders>
              <w:tl2br w:val="nil"/>
              <w:tr2bl w:val="nil"/>
            </w:tcBorders>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color w:val="000000"/>
                <w:kern w:val="0"/>
                <w:sz w:val="24"/>
              </w:rPr>
              <w:t>（十五）同在职职工签订劳动合同、按企业办法参加社会保险制度的证明（从事托儿所、幼儿园育养服务的提供）。</w:t>
            </w:r>
          </w:p>
        </w:tc>
        <w:tc>
          <w:tcPr>
            <w:tcW w:w="1418" w:type="dxa"/>
            <w:vMerge/>
            <w:tcBorders>
              <w:tl2br w:val="nil"/>
              <w:tr2bl w:val="nil"/>
            </w:tcBorders>
            <w:vAlign w:val="center"/>
          </w:tcPr>
          <w:p w:rsidR="00013EC7" w:rsidRDefault="00013EC7">
            <w:pPr>
              <w:widowControl/>
              <w:textAlignment w:val="center"/>
              <w:rPr>
                <w:rFonts w:ascii="仿宋" w:eastAsia="仿宋" w:hAnsi="仿宋" w:cs="仿宋"/>
                <w:color w:val="000000"/>
                <w:sz w:val="24"/>
              </w:rPr>
            </w:pPr>
          </w:p>
        </w:tc>
        <w:tc>
          <w:tcPr>
            <w:tcW w:w="3118" w:type="dxa"/>
            <w:tcBorders>
              <w:tl2br w:val="nil"/>
              <w:tr2bl w:val="nil"/>
            </w:tcBorders>
            <w:vAlign w:val="center"/>
          </w:tcPr>
          <w:p w:rsidR="00013EC7" w:rsidRDefault="00575CDB">
            <w:pPr>
              <w:widowControl/>
              <w:textAlignment w:val="center"/>
              <w:rPr>
                <w:rFonts w:ascii="仿宋" w:eastAsia="仿宋" w:hAnsi="仿宋" w:cs="仿宋"/>
                <w:sz w:val="24"/>
              </w:rPr>
            </w:pPr>
            <w:r>
              <w:rPr>
                <w:rFonts w:ascii="仿宋" w:eastAsia="仿宋" w:hAnsi="仿宋" w:cs="仿宋" w:hint="eastAsia"/>
                <w:kern w:val="0"/>
                <w:sz w:val="24"/>
              </w:rPr>
              <w:t>（十五）同在职职工签订劳动合同、按企业办法参加社会保险制度的证明（从事托儿所、幼儿园育养服务的提供）。</w:t>
            </w:r>
          </w:p>
        </w:tc>
        <w:tc>
          <w:tcPr>
            <w:tcW w:w="1276" w:type="dxa"/>
            <w:vMerge/>
            <w:tcBorders>
              <w:tl2br w:val="nil"/>
              <w:tr2bl w:val="nil"/>
            </w:tcBorders>
            <w:vAlign w:val="center"/>
          </w:tcPr>
          <w:p w:rsidR="00013EC7" w:rsidRDefault="00013EC7">
            <w:pPr>
              <w:jc w:val="left"/>
              <w:textAlignment w:val="center"/>
              <w:rPr>
                <w:rFonts w:ascii="仿宋" w:eastAsia="仿宋" w:hAnsi="仿宋" w:cs="仿宋"/>
                <w:color w:val="000000"/>
                <w:sz w:val="24"/>
              </w:rPr>
            </w:pPr>
          </w:p>
        </w:tc>
        <w:tc>
          <w:tcPr>
            <w:tcW w:w="2268" w:type="dxa"/>
            <w:vMerge/>
            <w:tcBorders>
              <w:tl2br w:val="nil"/>
              <w:tr2bl w:val="nil"/>
            </w:tcBorders>
            <w:vAlign w:val="center"/>
          </w:tcPr>
          <w:p w:rsidR="00013EC7" w:rsidRDefault="00013EC7">
            <w:pPr>
              <w:jc w:val="left"/>
              <w:rPr>
                <w:rFonts w:ascii="仿宋" w:eastAsia="仿宋" w:hAnsi="仿宋" w:cs="仿宋"/>
                <w:color w:val="000000"/>
                <w:sz w:val="24"/>
              </w:rPr>
            </w:pPr>
          </w:p>
        </w:tc>
        <w:tc>
          <w:tcPr>
            <w:tcW w:w="567" w:type="dxa"/>
            <w:vMerge/>
            <w:tcBorders>
              <w:tl2br w:val="nil"/>
              <w:tr2bl w:val="nil"/>
            </w:tcBorders>
          </w:tcPr>
          <w:p w:rsidR="00013EC7" w:rsidRDefault="00013EC7">
            <w:pPr>
              <w:jc w:val="center"/>
              <w:rPr>
                <w:rFonts w:ascii="仿宋" w:eastAsia="仿宋" w:hAnsi="仿宋" w:cs="仿宋"/>
                <w:color w:val="000000"/>
                <w:sz w:val="24"/>
              </w:rPr>
            </w:pPr>
          </w:p>
        </w:tc>
        <w:tc>
          <w:tcPr>
            <w:tcW w:w="851" w:type="dxa"/>
            <w:vMerge/>
            <w:tcBorders>
              <w:tl2br w:val="nil"/>
              <w:tr2bl w:val="nil"/>
            </w:tcBorders>
          </w:tcPr>
          <w:p w:rsidR="00013EC7" w:rsidRDefault="00013EC7">
            <w:pPr>
              <w:jc w:val="center"/>
              <w:rPr>
                <w:rFonts w:ascii="仿宋" w:eastAsia="仿宋" w:hAnsi="仿宋" w:cs="仿宋"/>
                <w:color w:val="000000"/>
                <w:sz w:val="24"/>
              </w:rPr>
            </w:pPr>
          </w:p>
        </w:tc>
        <w:tc>
          <w:tcPr>
            <w:tcW w:w="708" w:type="dxa"/>
            <w:vMerge/>
            <w:tcBorders>
              <w:tl2br w:val="nil"/>
              <w:tr2bl w:val="nil"/>
            </w:tcBorders>
          </w:tcPr>
          <w:p w:rsidR="00013EC7" w:rsidRDefault="00013EC7">
            <w:pPr>
              <w:jc w:val="center"/>
              <w:rPr>
                <w:rFonts w:ascii="仿宋" w:eastAsia="仿宋" w:hAnsi="仿宋" w:cs="仿宋"/>
                <w:color w:val="000000"/>
                <w:sz w:val="24"/>
              </w:rPr>
            </w:pPr>
          </w:p>
        </w:tc>
        <w:tc>
          <w:tcPr>
            <w:tcW w:w="993" w:type="dxa"/>
            <w:vMerge/>
            <w:tcBorders>
              <w:tl2br w:val="nil"/>
              <w:tr2bl w:val="nil"/>
            </w:tcBorders>
          </w:tcPr>
          <w:p w:rsidR="00013EC7" w:rsidRDefault="00013EC7">
            <w:pPr>
              <w:jc w:val="center"/>
              <w:rPr>
                <w:rFonts w:ascii="仿宋" w:eastAsia="仿宋" w:hAnsi="仿宋" w:cs="仿宋"/>
                <w:color w:val="000000"/>
                <w:sz w:val="24"/>
              </w:rPr>
            </w:pPr>
          </w:p>
        </w:tc>
        <w:tc>
          <w:tcPr>
            <w:tcW w:w="978" w:type="dxa"/>
            <w:vMerge/>
            <w:tcBorders>
              <w:tl2br w:val="nil"/>
              <w:tr2bl w:val="nil"/>
            </w:tcBorders>
          </w:tcPr>
          <w:p w:rsidR="00013EC7" w:rsidRDefault="00013EC7">
            <w:pPr>
              <w:rPr>
                <w:rFonts w:ascii="仿宋" w:eastAsia="仿宋" w:hAnsi="仿宋" w:cs="仿宋"/>
                <w:color w:val="000000"/>
                <w:sz w:val="24"/>
              </w:rPr>
            </w:pPr>
          </w:p>
        </w:tc>
      </w:tr>
      <w:tr w:rsidR="00013EC7">
        <w:trPr>
          <w:trHeight w:val="1508"/>
        </w:trPr>
        <w:tc>
          <w:tcPr>
            <w:tcW w:w="639" w:type="dxa"/>
            <w:vMerge/>
            <w:tcBorders>
              <w:tl2br w:val="nil"/>
              <w:tr2bl w:val="nil"/>
            </w:tcBorders>
            <w:vAlign w:val="center"/>
          </w:tcPr>
          <w:p w:rsidR="00013EC7" w:rsidRDefault="00013EC7">
            <w:pPr>
              <w:rPr>
                <w:rFonts w:ascii="仿宋" w:eastAsia="仿宋" w:hAnsi="仿宋" w:cs="仿宋"/>
                <w:color w:val="000000"/>
                <w:sz w:val="24"/>
              </w:rPr>
            </w:pPr>
          </w:p>
        </w:tc>
        <w:tc>
          <w:tcPr>
            <w:tcW w:w="510" w:type="dxa"/>
            <w:vMerge/>
            <w:tcBorders>
              <w:tl2br w:val="nil"/>
              <w:tr2bl w:val="nil"/>
            </w:tcBorders>
            <w:vAlign w:val="center"/>
          </w:tcPr>
          <w:p w:rsidR="00013EC7" w:rsidRDefault="00013EC7">
            <w:pPr>
              <w:rPr>
                <w:rFonts w:ascii="仿宋" w:eastAsia="仿宋" w:hAnsi="仿宋" w:cs="仿宋"/>
                <w:color w:val="000000"/>
                <w:sz w:val="24"/>
              </w:rPr>
            </w:pPr>
          </w:p>
        </w:tc>
        <w:tc>
          <w:tcPr>
            <w:tcW w:w="3544" w:type="dxa"/>
            <w:vMerge/>
            <w:tcBorders>
              <w:tl2br w:val="nil"/>
              <w:tr2bl w:val="nil"/>
            </w:tcBorders>
            <w:vAlign w:val="center"/>
          </w:tcPr>
          <w:p w:rsidR="00013EC7" w:rsidRDefault="00013EC7">
            <w:pPr>
              <w:rPr>
                <w:rFonts w:ascii="仿宋" w:eastAsia="仿宋" w:hAnsi="仿宋" w:cs="仿宋"/>
                <w:color w:val="000000"/>
                <w:kern w:val="0"/>
                <w:sz w:val="24"/>
              </w:rPr>
            </w:pPr>
          </w:p>
        </w:tc>
        <w:tc>
          <w:tcPr>
            <w:tcW w:w="3260" w:type="dxa"/>
            <w:tcBorders>
              <w:tl2br w:val="nil"/>
              <w:tr2bl w:val="nil"/>
            </w:tcBorders>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color w:val="000000"/>
                <w:kern w:val="0"/>
                <w:sz w:val="24"/>
              </w:rPr>
              <w:t>（十六）相关部门批准文件（从事托儿所、幼儿园育养服务的提供）。</w:t>
            </w:r>
          </w:p>
        </w:tc>
        <w:tc>
          <w:tcPr>
            <w:tcW w:w="1418" w:type="dxa"/>
            <w:vMerge/>
            <w:tcBorders>
              <w:tl2br w:val="nil"/>
              <w:tr2bl w:val="nil"/>
            </w:tcBorders>
            <w:vAlign w:val="center"/>
          </w:tcPr>
          <w:p w:rsidR="00013EC7" w:rsidRDefault="00013EC7">
            <w:pPr>
              <w:widowControl/>
              <w:textAlignment w:val="center"/>
              <w:rPr>
                <w:rFonts w:ascii="仿宋" w:eastAsia="仿宋" w:hAnsi="仿宋" w:cs="仿宋"/>
                <w:color w:val="000000"/>
                <w:sz w:val="24"/>
              </w:rPr>
            </w:pPr>
          </w:p>
        </w:tc>
        <w:tc>
          <w:tcPr>
            <w:tcW w:w="3118" w:type="dxa"/>
            <w:tcBorders>
              <w:tl2br w:val="nil"/>
              <w:tr2bl w:val="nil"/>
            </w:tcBorders>
            <w:vAlign w:val="center"/>
          </w:tcPr>
          <w:p w:rsidR="00013EC7" w:rsidRDefault="00575CDB">
            <w:pPr>
              <w:widowControl/>
              <w:textAlignment w:val="center"/>
              <w:rPr>
                <w:rFonts w:ascii="仿宋" w:eastAsia="仿宋" w:hAnsi="仿宋" w:cs="仿宋"/>
                <w:sz w:val="24"/>
              </w:rPr>
            </w:pPr>
            <w:r>
              <w:rPr>
                <w:rFonts w:ascii="仿宋" w:eastAsia="仿宋" w:hAnsi="仿宋" w:cs="仿宋" w:hint="eastAsia"/>
                <w:kern w:val="0"/>
                <w:sz w:val="24"/>
              </w:rPr>
              <w:t>（十六）</w:t>
            </w:r>
            <w:r>
              <w:rPr>
                <w:rFonts w:ascii="仿宋" w:eastAsia="仿宋" w:hAnsi="仿宋" w:cs="仿宋" w:hint="eastAsia"/>
                <w:sz w:val="24"/>
              </w:rPr>
              <w:t>宣传部门会同财政、税务部门或文化体制改革和发展工作领导小组办公室出具的</w:t>
            </w:r>
            <w:r>
              <w:rPr>
                <w:rFonts w:ascii="仿宋" w:eastAsia="仿宋" w:hAnsi="仿宋" w:cs="仿宋" w:hint="eastAsia"/>
                <w:kern w:val="0"/>
                <w:sz w:val="24"/>
              </w:rPr>
              <w:t>批准文件（从事托儿所、幼儿园育养服务的提供）。</w:t>
            </w:r>
          </w:p>
        </w:tc>
        <w:tc>
          <w:tcPr>
            <w:tcW w:w="1276" w:type="dxa"/>
            <w:vMerge/>
            <w:tcBorders>
              <w:tl2br w:val="nil"/>
              <w:tr2bl w:val="nil"/>
            </w:tcBorders>
            <w:vAlign w:val="center"/>
          </w:tcPr>
          <w:p w:rsidR="00013EC7" w:rsidRDefault="00013EC7">
            <w:pPr>
              <w:widowControl/>
              <w:jc w:val="left"/>
              <w:textAlignment w:val="center"/>
              <w:rPr>
                <w:rFonts w:ascii="仿宋" w:eastAsia="仿宋" w:hAnsi="仿宋" w:cs="仿宋"/>
                <w:color w:val="000000"/>
                <w:sz w:val="24"/>
              </w:rPr>
            </w:pPr>
          </w:p>
        </w:tc>
        <w:tc>
          <w:tcPr>
            <w:tcW w:w="2268" w:type="dxa"/>
            <w:vMerge/>
            <w:tcBorders>
              <w:tl2br w:val="nil"/>
              <w:tr2bl w:val="nil"/>
            </w:tcBorders>
            <w:vAlign w:val="center"/>
          </w:tcPr>
          <w:p w:rsidR="00013EC7" w:rsidRDefault="00013EC7">
            <w:pPr>
              <w:jc w:val="left"/>
              <w:rPr>
                <w:rFonts w:ascii="仿宋" w:eastAsia="仿宋" w:hAnsi="仿宋" w:cs="仿宋"/>
                <w:color w:val="000000"/>
                <w:sz w:val="24"/>
              </w:rPr>
            </w:pPr>
          </w:p>
        </w:tc>
        <w:tc>
          <w:tcPr>
            <w:tcW w:w="567" w:type="dxa"/>
            <w:vMerge/>
            <w:tcBorders>
              <w:tl2br w:val="nil"/>
              <w:tr2bl w:val="nil"/>
            </w:tcBorders>
          </w:tcPr>
          <w:p w:rsidR="00013EC7" w:rsidRDefault="00013EC7">
            <w:pPr>
              <w:jc w:val="center"/>
              <w:rPr>
                <w:rFonts w:ascii="仿宋" w:eastAsia="仿宋" w:hAnsi="仿宋" w:cs="仿宋"/>
                <w:color w:val="000000"/>
                <w:sz w:val="24"/>
              </w:rPr>
            </w:pPr>
          </w:p>
        </w:tc>
        <w:tc>
          <w:tcPr>
            <w:tcW w:w="851" w:type="dxa"/>
            <w:vMerge/>
            <w:tcBorders>
              <w:tl2br w:val="nil"/>
              <w:tr2bl w:val="nil"/>
            </w:tcBorders>
          </w:tcPr>
          <w:p w:rsidR="00013EC7" w:rsidRDefault="00013EC7">
            <w:pPr>
              <w:jc w:val="center"/>
              <w:rPr>
                <w:rFonts w:ascii="仿宋" w:eastAsia="仿宋" w:hAnsi="仿宋" w:cs="仿宋"/>
                <w:color w:val="000000"/>
                <w:sz w:val="24"/>
              </w:rPr>
            </w:pPr>
          </w:p>
        </w:tc>
        <w:tc>
          <w:tcPr>
            <w:tcW w:w="708" w:type="dxa"/>
            <w:vMerge/>
            <w:tcBorders>
              <w:tl2br w:val="nil"/>
              <w:tr2bl w:val="nil"/>
            </w:tcBorders>
          </w:tcPr>
          <w:p w:rsidR="00013EC7" w:rsidRDefault="00013EC7">
            <w:pPr>
              <w:jc w:val="center"/>
              <w:rPr>
                <w:rFonts w:ascii="仿宋" w:eastAsia="仿宋" w:hAnsi="仿宋" w:cs="仿宋"/>
                <w:color w:val="000000"/>
                <w:sz w:val="24"/>
              </w:rPr>
            </w:pPr>
          </w:p>
        </w:tc>
        <w:tc>
          <w:tcPr>
            <w:tcW w:w="993" w:type="dxa"/>
            <w:vMerge/>
            <w:tcBorders>
              <w:tl2br w:val="nil"/>
              <w:tr2bl w:val="nil"/>
            </w:tcBorders>
          </w:tcPr>
          <w:p w:rsidR="00013EC7" w:rsidRDefault="00013EC7">
            <w:pPr>
              <w:jc w:val="center"/>
              <w:rPr>
                <w:rFonts w:ascii="仿宋" w:eastAsia="仿宋" w:hAnsi="仿宋" w:cs="仿宋"/>
                <w:color w:val="000000"/>
                <w:sz w:val="24"/>
              </w:rPr>
            </w:pPr>
          </w:p>
        </w:tc>
        <w:tc>
          <w:tcPr>
            <w:tcW w:w="978" w:type="dxa"/>
            <w:vMerge/>
            <w:tcBorders>
              <w:tl2br w:val="nil"/>
              <w:tr2bl w:val="nil"/>
            </w:tcBorders>
          </w:tcPr>
          <w:p w:rsidR="00013EC7" w:rsidRDefault="00013EC7">
            <w:pPr>
              <w:rPr>
                <w:rFonts w:ascii="仿宋" w:eastAsia="仿宋" w:hAnsi="仿宋" w:cs="仿宋"/>
                <w:color w:val="000000"/>
                <w:sz w:val="24"/>
              </w:rPr>
            </w:pPr>
          </w:p>
        </w:tc>
      </w:tr>
      <w:tr w:rsidR="00013EC7">
        <w:trPr>
          <w:trHeight w:val="1022"/>
        </w:trPr>
        <w:tc>
          <w:tcPr>
            <w:tcW w:w="639" w:type="dxa"/>
            <w:vMerge/>
            <w:tcBorders>
              <w:tl2br w:val="nil"/>
              <w:tr2bl w:val="nil"/>
            </w:tcBorders>
            <w:vAlign w:val="center"/>
          </w:tcPr>
          <w:p w:rsidR="00013EC7" w:rsidRDefault="00013EC7">
            <w:pPr>
              <w:rPr>
                <w:rFonts w:ascii="仿宋" w:eastAsia="仿宋" w:hAnsi="仿宋" w:cs="仿宋"/>
                <w:color w:val="000000"/>
                <w:sz w:val="24"/>
              </w:rPr>
            </w:pPr>
          </w:p>
        </w:tc>
        <w:tc>
          <w:tcPr>
            <w:tcW w:w="510" w:type="dxa"/>
            <w:vMerge/>
            <w:tcBorders>
              <w:tl2br w:val="nil"/>
              <w:tr2bl w:val="nil"/>
            </w:tcBorders>
            <w:vAlign w:val="center"/>
          </w:tcPr>
          <w:p w:rsidR="00013EC7" w:rsidRDefault="00013EC7">
            <w:pPr>
              <w:rPr>
                <w:rFonts w:ascii="仿宋" w:eastAsia="仿宋" w:hAnsi="仿宋" w:cs="仿宋"/>
                <w:color w:val="000000"/>
                <w:sz w:val="24"/>
              </w:rPr>
            </w:pPr>
          </w:p>
        </w:tc>
        <w:tc>
          <w:tcPr>
            <w:tcW w:w="3544" w:type="dxa"/>
            <w:vMerge/>
            <w:tcBorders>
              <w:tl2br w:val="nil"/>
              <w:tr2bl w:val="nil"/>
            </w:tcBorders>
            <w:vAlign w:val="center"/>
          </w:tcPr>
          <w:p w:rsidR="00013EC7" w:rsidRDefault="00013EC7">
            <w:pPr>
              <w:rPr>
                <w:rFonts w:ascii="仿宋" w:eastAsia="仿宋" w:hAnsi="仿宋" w:cs="仿宋"/>
                <w:color w:val="000000"/>
                <w:kern w:val="0"/>
                <w:sz w:val="24"/>
              </w:rPr>
            </w:pPr>
          </w:p>
        </w:tc>
        <w:tc>
          <w:tcPr>
            <w:tcW w:w="3260" w:type="dxa"/>
            <w:tcBorders>
              <w:tl2br w:val="nil"/>
              <w:tr2bl w:val="nil"/>
            </w:tcBorders>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color w:val="000000"/>
                <w:kern w:val="0"/>
                <w:sz w:val="24"/>
              </w:rPr>
              <w:t>（十二）转制方案批复函原件及复印件（加盖公章）。</w:t>
            </w:r>
          </w:p>
        </w:tc>
        <w:tc>
          <w:tcPr>
            <w:tcW w:w="1418" w:type="dxa"/>
            <w:vMerge w:val="restart"/>
            <w:tcBorders>
              <w:tl2br w:val="nil"/>
              <w:tr2bl w:val="nil"/>
            </w:tcBorders>
            <w:vAlign w:val="center"/>
          </w:tcPr>
          <w:p w:rsidR="00013EC7" w:rsidRDefault="00575CDB">
            <w:pPr>
              <w:widowControl/>
              <w:textAlignment w:val="center"/>
              <w:rPr>
                <w:rFonts w:ascii="仿宋" w:eastAsia="仿宋" w:hAnsi="仿宋" w:cs="仿宋"/>
                <w:color w:val="000000"/>
                <w:sz w:val="24"/>
              </w:rPr>
            </w:pPr>
            <w:r>
              <w:rPr>
                <w:rFonts w:ascii="仿宋" w:eastAsia="仿宋" w:hAnsi="仿宋" w:cs="仿宋" w:hint="eastAsia"/>
                <w:color w:val="000000"/>
                <w:kern w:val="0"/>
                <w:sz w:val="24"/>
              </w:rPr>
              <w:t>符合转制文化企业免征增值税优惠条件的纳税人提交</w:t>
            </w:r>
          </w:p>
        </w:tc>
        <w:tc>
          <w:tcPr>
            <w:tcW w:w="3118" w:type="dxa"/>
            <w:tcBorders>
              <w:tl2br w:val="nil"/>
              <w:tr2bl w:val="nil"/>
            </w:tcBorders>
            <w:vAlign w:val="center"/>
          </w:tcPr>
          <w:p w:rsidR="00013EC7" w:rsidRDefault="00575CDB">
            <w:pPr>
              <w:widowControl/>
              <w:textAlignment w:val="center"/>
              <w:rPr>
                <w:rFonts w:ascii="仿宋" w:eastAsia="仿宋" w:hAnsi="仿宋" w:cs="仿宋"/>
                <w:sz w:val="24"/>
              </w:rPr>
            </w:pPr>
            <w:r>
              <w:rPr>
                <w:rFonts w:ascii="仿宋" w:eastAsia="仿宋" w:hAnsi="仿宋" w:cs="仿宋" w:hint="eastAsia"/>
                <w:kern w:val="0"/>
                <w:sz w:val="24"/>
              </w:rPr>
              <w:t>（十二）转制方案批复函复印件（注明与原件一致，并加盖公章）。</w:t>
            </w:r>
          </w:p>
        </w:tc>
        <w:tc>
          <w:tcPr>
            <w:tcW w:w="1276" w:type="dxa"/>
            <w:tcBorders>
              <w:tl2br w:val="nil"/>
              <w:tr2bl w:val="nil"/>
            </w:tcBorders>
            <w:vAlign w:val="center"/>
          </w:tcPr>
          <w:p w:rsidR="00013EC7" w:rsidRDefault="00575CDB">
            <w:pPr>
              <w:widowControl/>
              <w:jc w:val="left"/>
              <w:textAlignment w:val="center"/>
              <w:rPr>
                <w:rFonts w:ascii="仿宋" w:eastAsia="仿宋" w:hAnsi="仿宋" w:cs="仿宋"/>
                <w:b/>
                <w:i/>
                <w:color w:val="000000"/>
                <w:sz w:val="24"/>
              </w:rPr>
            </w:pPr>
            <w:r>
              <w:rPr>
                <w:rFonts w:ascii="仿宋" w:eastAsia="仿宋" w:hAnsi="仿宋" w:cs="仿宋" w:hint="eastAsia"/>
                <w:color w:val="000000"/>
                <w:kern w:val="0"/>
                <w:sz w:val="24"/>
              </w:rPr>
              <w:t>转制文化企业提交</w:t>
            </w:r>
          </w:p>
        </w:tc>
        <w:tc>
          <w:tcPr>
            <w:tcW w:w="2268" w:type="dxa"/>
            <w:vMerge/>
            <w:tcBorders>
              <w:tl2br w:val="nil"/>
              <w:tr2bl w:val="nil"/>
            </w:tcBorders>
            <w:vAlign w:val="center"/>
          </w:tcPr>
          <w:p w:rsidR="00013EC7" w:rsidRDefault="00013EC7">
            <w:pPr>
              <w:widowControl/>
              <w:jc w:val="left"/>
              <w:textAlignment w:val="center"/>
              <w:rPr>
                <w:rFonts w:ascii="仿宋" w:eastAsia="仿宋" w:hAnsi="仿宋" w:cs="仿宋"/>
                <w:b/>
                <w:color w:val="000000"/>
                <w:sz w:val="24"/>
              </w:rPr>
            </w:pPr>
          </w:p>
        </w:tc>
        <w:tc>
          <w:tcPr>
            <w:tcW w:w="567" w:type="dxa"/>
            <w:vMerge/>
            <w:tcBorders>
              <w:tl2br w:val="nil"/>
              <w:tr2bl w:val="nil"/>
            </w:tcBorders>
          </w:tcPr>
          <w:p w:rsidR="00013EC7" w:rsidRDefault="00013EC7">
            <w:pPr>
              <w:jc w:val="center"/>
              <w:rPr>
                <w:rFonts w:ascii="仿宋" w:eastAsia="仿宋" w:hAnsi="仿宋" w:cs="仿宋"/>
                <w:color w:val="000000"/>
                <w:sz w:val="24"/>
              </w:rPr>
            </w:pPr>
          </w:p>
        </w:tc>
        <w:tc>
          <w:tcPr>
            <w:tcW w:w="851" w:type="dxa"/>
            <w:vMerge/>
            <w:tcBorders>
              <w:tl2br w:val="nil"/>
              <w:tr2bl w:val="nil"/>
            </w:tcBorders>
          </w:tcPr>
          <w:p w:rsidR="00013EC7" w:rsidRDefault="00013EC7">
            <w:pPr>
              <w:jc w:val="center"/>
              <w:rPr>
                <w:rFonts w:ascii="仿宋" w:eastAsia="仿宋" w:hAnsi="仿宋" w:cs="仿宋"/>
                <w:color w:val="000000"/>
                <w:sz w:val="24"/>
              </w:rPr>
            </w:pPr>
          </w:p>
        </w:tc>
        <w:tc>
          <w:tcPr>
            <w:tcW w:w="708" w:type="dxa"/>
            <w:vMerge/>
            <w:tcBorders>
              <w:tl2br w:val="nil"/>
              <w:tr2bl w:val="nil"/>
            </w:tcBorders>
          </w:tcPr>
          <w:p w:rsidR="00013EC7" w:rsidRDefault="00013EC7">
            <w:pPr>
              <w:jc w:val="center"/>
              <w:rPr>
                <w:rFonts w:ascii="仿宋" w:eastAsia="仿宋" w:hAnsi="仿宋" w:cs="仿宋"/>
                <w:color w:val="000000"/>
                <w:sz w:val="24"/>
              </w:rPr>
            </w:pPr>
          </w:p>
        </w:tc>
        <w:tc>
          <w:tcPr>
            <w:tcW w:w="993" w:type="dxa"/>
            <w:vMerge/>
            <w:tcBorders>
              <w:tl2br w:val="nil"/>
              <w:tr2bl w:val="nil"/>
            </w:tcBorders>
          </w:tcPr>
          <w:p w:rsidR="00013EC7" w:rsidRDefault="00013EC7">
            <w:pPr>
              <w:jc w:val="center"/>
              <w:rPr>
                <w:rFonts w:ascii="仿宋" w:eastAsia="仿宋" w:hAnsi="仿宋" w:cs="仿宋"/>
                <w:color w:val="000000"/>
                <w:sz w:val="24"/>
              </w:rPr>
            </w:pPr>
          </w:p>
        </w:tc>
        <w:tc>
          <w:tcPr>
            <w:tcW w:w="978" w:type="dxa"/>
            <w:vMerge/>
            <w:tcBorders>
              <w:tl2br w:val="nil"/>
              <w:tr2bl w:val="nil"/>
            </w:tcBorders>
          </w:tcPr>
          <w:p w:rsidR="00013EC7" w:rsidRDefault="00013EC7">
            <w:pPr>
              <w:rPr>
                <w:rFonts w:ascii="仿宋" w:eastAsia="仿宋" w:hAnsi="仿宋" w:cs="仿宋"/>
                <w:color w:val="000000"/>
                <w:sz w:val="24"/>
              </w:rPr>
            </w:pPr>
          </w:p>
        </w:tc>
      </w:tr>
      <w:tr w:rsidR="00013EC7">
        <w:trPr>
          <w:trHeight w:val="810"/>
        </w:trPr>
        <w:tc>
          <w:tcPr>
            <w:tcW w:w="639" w:type="dxa"/>
            <w:vMerge/>
            <w:tcBorders>
              <w:tl2br w:val="nil"/>
              <w:tr2bl w:val="nil"/>
            </w:tcBorders>
            <w:vAlign w:val="center"/>
          </w:tcPr>
          <w:p w:rsidR="00013EC7" w:rsidRDefault="00013EC7">
            <w:pPr>
              <w:rPr>
                <w:rFonts w:ascii="仿宋" w:eastAsia="仿宋" w:hAnsi="仿宋" w:cs="仿宋"/>
                <w:color w:val="000000"/>
                <w:sz w:val="24"/>
              </w:rPr>
            </w:pPr>
          </w:p>
        </w:tc>
        <w:tc>
          <w:tcPr>
            <w:tcW w:w="510" w:type="dxa"/>
            <w:vMerge/>
            <w:tcBorders>
              <w:tl2br w:val="nil"/>
              <w:tr2bl w:val="nil"/>
            </w:tcBorders>
            <w:vAlign w:val="center"/>
          </w:tcPr>
          <w:p w:rsidR="00013EC7" w:rsidRDefault="00013EC7">
            <w:pPr>
              <w:rPr>
                <w:rFonts w:ascii="仿宋" w:eastAsia="仿宋" w:hAnsi="仿宋" w:cs="仿宋"/>
                <w:color w:val="000000"/>
                <w:sz w:val="24"/>
              </w:rPr>
            </w:pPr>
          </w:p>
        </w:tc>
        <w:tc>
          <w:tcPr>
            <w:tcW w:w="3544" w:type="dxa"/>
            <w:vMerge/>
            <w:tcBorders>
              <w:tl2br w:val="nil"/>
              <w:tr2bl w:val="nil"/>
            </w:tcBorders>
            <w:vAlign w:val="center"/>
          </w:tcPr>
          <w:p w:rsidR="00013EC7" w:rsidRDefault="00013EC7">
            <w:pPr>
              <w:rPr>
                <w:rFonts w:ascii="仿宋" w:eastAsia="仿宋" w:hAnsi="仿宋" w:cs="仿宋"/>
                <w:color w:val="000000"/>
                <w:kern w:val="0"/>
                <w:sz w:val="24"/>
              </w:rPr>
            </w:pPr>
          </w:p>
        </w:tc>
        <w:tc>
          <w:tcPr>
            <w:tcW w:w="3260" w:type="dxa"/>
            <w:tcBorders>
              <w:tl2br w:val="nil"/>
              <w:tr2bl w:val="nil"/>
            </w:tcBorders>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color w:val="000000"/>
                <w:kern w:val="0"/>
                <w:sz w:val="24"/>
              </w:rPr>
              <w:t>（十三）企业工商营业执照原件及复印件（加盖公章）。</w:t>
            </w:r>
          </w:p>
        </w:tc>
        <w:tc>
          <w:tcPr>
            <w:tcW w:w="1418" w:type="dxa"/>
            <w:vMerge/>
            <w:tcBorders>
              <w:tl2br w:val="nil"/>
              <w:tr2bl w:val="nil"/>
            </w:tcBorders>
            <w:vAlign w:val="center"/>
          </w:tcPr>
          <w:p w:rsidR="00013EC7" w:rsidRDefault="00013EC7">
            <w:pPr>
              <w:widowControl/>
              <w:textAlignment w:val="center"/>
              <w:rPr>
                <w:rFonts w:ascii="仿宋" w:eastAsia="仿宋" w:hAnsi="仿宋" w:cs="仿宋"/>
                <w:color w:val="000000"/>
                <w:sz w:val="24"/>
              </w:rPr>
            </w:pPr>
          </w:p>
        </w:tc>
        <w:tc>
          <w:tcPr>
            <w:tcW w:w="3118" w:type="dxa"/>
            <w:tcBorders>
              <w:tl2br w:val="nil"/>
              <w:tr2bl w:val="nil"/>
            </w:tcBorders>
            <w:vAlign w:val="center"/>
          </w:tcPr>
          <w:p w:rsidR="00013EC7" w:rsidRDefault="00575CDB">
            <w:pPr>
              <w:widowControl/>
              <w:textAlignment w:val="center"/>
              <w:rPr>
                <w:rFonts w:ascii="仿宋" w:eastAsia="仿宋" w:hAnsi="仿宋" w:cs="仿宋"/>
                <w:sz w:val="24"/>
              </w:rPr>
            </w:pPr>
            <w:r>
              <w:rPr>
                <w:rFonts w:ascii="仿宋" w:eastAsia="仿宋" w:hAnsi="仿宋" w:cs="仿宋" w:hint="eastAsia"/>
                <w:kern w:val="0"/>
                <w:sz w:val="24"/>
              </w:rPr>
              <w:t>（十三）企业工商营业执照。</w:t>
            </w:r>
          </w:p>
        </w:tc>
        <w:tc>
          <w:tcPr>
            <w:tcW w:w="1276" w:type="dxa"/>
            <w:tcBorders>
              <w:tl2br w:val="nil"/>
              <w:tr2bl w:val="nil"/>
            </w:tcBorders>
            <w:vAlign w:val="center"/>
          </w:tcPr>
          <w:p w:rsidR="00013EC7" w:rsidRDefault="00575CDB">
            <w:pPr>
              <w:widowControl/>
              <w:jc w:val="left"/>
              <w:textAlignment w:val="center"/>
              <w:rPr>
                <w:rFonts w:ascii="仿宋" w:eastAsia="仿宋" w:hAnsi="仿宋" w:cs="仿宋"/>
                <w:b/>
                <w:i/>
                <w:color w:val="000000"/>
                <w:sz w:val="24"/>
              </w:rPr>
            </w:pPr>
            <w:r>
              <w:rPr>
                <w:rFonts w:ascii="仿宋" w:eastAsia="仿宋" w:hAnsi="仿宋" w:cs="仿宋" w:hint="eastAsia"/>
                <w:b/>
                <w:i/>
                <w:color w:val="000000"/>
                <w:kern w:val="0"/>
                <w:sz w:val="24"/>
              </w:rPr>
              <w:t>经办机构</w:t>
            </w:r>
            <w:r>
              <w:rPr>
                <w:rFonts w:ascii="仿宋" w:eastAsia="仿宋" w:hAnsi="仿宋" w:cs="仿宋" w:hint="eastAsia"/>
                <w:b/>
                <w:i/>
                <w:color w:val="000000"/>
                <w:kern w:val="0"/>
                <w:sz w:val="24"/>
              </w:rPr>
              <w:br/>
              <w:t>自行获取</w:t>
            </w:r>
          </w:p>
        </w:tc>
        <w:tc>
          <w:tcPr>
            <w:tcW w:w="2268" w:type="dxa"/>
            <w:tcBorders>
              <w:tl2br w:val="nil"/>
              <w:tr2bl w:val="nil"/>
            </w:tcBorders>
            <w:vAlign w:val="center"/>
          </w:tcPr>
          <w:p w:rsidR="00013EC7" w:rsidRDefault="00575CDB">
            <w:pPr>
              <w:widowControl/>
              <w:jc w:val="left"/>
              <w:textAlignment w:val="center"/>
              <w:rPr>
                <w:rFonts w:ascii="仿宋" w:eastAsia="仿宋" w:hAnsi="仿宋" w:cs="仿宋"/>
                <w:b/>
                <w:color w:val="000000"/>
                <w:sz w:val="24"/>
              </w:rPr>
            </w:pPr>
            <w:r>
              <w:rPr>
                <w:rFonts w:ascii="仿宋" w:eastAsia="仿宋" w:hAnsi="仿宋" w:cs="仿宋" w:hint="eastAsia"/>
                <w:b/>
                <w:color w:val="000000"/>
                <w:kern w:val="0"/>
                <w:sz w:val="24"/>
              </w:rPr>
              <w:t>外部共享：</w:t>
            </w:r>
            <w:r>
              <w:rPr>
                <w:rFonts w:ascii="仿宋" w:eastAsia="仿宋" w:hAnsi="仿宋" w:cs="仿宋" w:hint="eastAsia"/>
                <w:color w:val="000000"/>
                <w:kern w:val="0"/>
                <w:sz w:val="24"/>
              </w:rPr>
              <w:t>由省工商局提供共享。</w:t>
            </w:r>
          </w:p>
        </w:tc>
        <w:tc>
          <w:tcPr>
            <w:tcW w:w="567" w:type="dxa"/>
            <w:vMerge/>
            <w:tcBorders>
              <w:tl2br w:val="nil"/>
              <w:tr2bl w:val="nil"/>
            </w:tcBorders>
          </w:tcPr>
          <w:p w:rsidR="00013EC7" w:rsidRDefault="00013EC7">
            <w:pPr>
              <w:jc w:val="center"/>
              <w:rPr>
                <w:rFonts w:ascii="仿宋" w:eastAsia="仿宋" w:hAnsi="仿宋" w:cs="仿宋"/>
                <w:color w:val="000000"/>
                <w:sz w:val="24"/>
              </w:rPr>
            </w:pPr>
          </w:p>
        </w:tc>
        <w:tc>
          <w:tcPr>
            <w:tcW w:w="851" w:type="dxa"/>
            <w:vMerge/>
            <w:tcBorders>
              <w:tl2br w:val="nil"/>
              <w:tr2bl w:val="nil"/>
            </w:tcBorders>
          </w:tcPr>
          <w:p w:rsidR="00013EC7" w:rsidRDefault="00013EC7">
            <w:pPr>
              <w:jc w:val="center"/>
              <w:rPr>
                <w:rFonts w:ascii="仿宋" w:eastAsia="仿宋" w:hAnsi="仿宋" w:cs="仿宋"/>
                <w:color w:val="000000"/>
                <w:sz w:val="24"/>
              </w:rPr>
            </w:pPr>
          </w:p>
        </w:tc>
        <w:tc>
          <w:tcPr>
            <w:tcW w:w="708" w:type="dxa"/>
            <w:vMerge/>
            <w:tcBorders>
              <w:tl2br w:val="nil"/>
              <w:tr2bl w:val="nil"/>
            </w:tcBorders>
          </w:tcPr>
          <w:p w:rsidR="00013EC7" w:rsidRDefault="00013EC7">
            <w:pPr>
              <w:jc w:val="center"/>
              <w:rPr>
                <w:rFonts w:ascii="仿宋" w:eastAsia="仿宋" w:hAnsi="仿宋" w:cs="仿宋"/>
                <w:color w:val="000000"/>
                <w:sz w:val="24"/>
              </w:rPr>
            </w:pPr>
          </w:p>
        </w:tc>
        <w:tc>
          <w:tcPr>
            <w:tcW w:w="993" w:type="dxa"/>
            <w:vMerge/>
            <w:tcBorders>
              <w:tl2br w:val="nil"/>
              <w:tr2bl w:val="nil"/>
            </w:tcBorders>
          </w:tcPr>
          <w:p w:rsidR="00013EC7" w:rsidRDefault="00013EC7">
            <w:pPr>
              <w:jc w:val="center"/>
              <w:rPr>
                <w:rFonts w:ascii="仿宋" w:eastAsia="仿宋" w:hAnsi="仿宋" w:cs="仿宋"/>
                <w:color w:val="000000"/>
                <w:sz w:val="24"/>
              </w:rPr>
            </w:pPr>
          </w:p>
        </w:tc>
        <w:tc>
          <w:tcPr>
            <w:tcW w:w="978" w:type="dxa"/>
            <w:vMerge/>
            <w:tcBorders>
              <w:tl2br w:val="nil"/>
              <w:tr2bl w:val="nil"/>
            </w:tcBorders>
          </w:tcPr>
          <w:p w:rsidR="00013EC7" w:rsidRDefault="00013EC7">
            <w:pPr>
              <w:rPr>
                <w:rFonts w:ascii="仿宋" w:eastAsia="仿宋" w:hAnsi="仿宋" w:cs="仿宋"/>
                <w:color w:val="000000"/>
                <w:sz w:val="24"/>
              </w:rPr>
            </w:pPr>
          </w:p>
        </w:tc>
      </w:tr>
      <w:tr w:rsidR="00013EC7">
        <w:trPr>
          <w:trHeight w:val="1362"/>
        </w:trPr>
        <w:tc>
          <w:tcPr>
            <w:tcW w:w="639" w:type="dxa"/>
            <w:vMerge/>
            <w:tcBorders>
              <w:tl2br w:val="nil"/>
              <w:tr2bl w:val="nil"/>
            </w:tcBorders>
            <w:vAlign w:val="center"/>
          </w:tcPr>
          <w:p w:rsidR="00013EC7" w:rsidRDefault="00013EC7">
            <w:pPr>
              <w:rPr>
                <w:rFonts w:ascii="仿宋" w:eastAsia="仿宋" w:hAnsi="仿宋" w:cs="仿宋"/>
                <w:color w:val="000000"/>
                <w:sz w:val="24"/>
              </w:rPr>
            </w:pPr>
          </w:p>
        </w:tc>
        <w:tc>
          <w:tcPr>
            <w:tcW w:w="510" w:type="dxa"/>
            <w:vMerge/>
            <w:tcBorders>
              <w:tl2br w:val="nil"/>
              <w:tr2bl w:val="nil"/>
            </w:tcBorders>
            <w:vAlign w:val="center"/>
          </w:tcPr>
          <w:p w:rsidR="00013EC7" w:rsidRDefault="00013EC7">
            <w:pPr>
              <w:rPr>
                <w:rFonts w:ascii="仿宋" w:eastAsia="仿宋" w:hAnsi="仿宋" w:cs="仿宋"/>
                <w:color w:val="000000"/>
                <w:sz w:val="24"/>
              </w:rPr>
            </w:pPr>
          </w:p>
        </w:tc>
        <w:tc>
          <w:tcPr>
            <w:tcW w:w="3544" w:type="dxa"/>
            <w:vMerge/>
            <w:tcBorders>
              <w:tl2br w:val="nil"/>
              <w:tr2bl w:val="nil"/>
            </w:tcBorders>
            <w:vAlign w:val="center"/>
          </w:tcPr>
          <w:p w:rsidR="00013EC7" w:rsidRDefault="00013EC7">
            <w:pPr>
              <w:rPr>
                <w:rFonts w:ascii="仿宋" w:eastAsia="仿宋" w:hAnsi="仿宋" w:cs="仿宋"/>
                <w:color w:val="000000"/>
                <w:kern w:val="0"/>
                <w:sz w:val="24"/>
              </w:rPr>
            </w:pPr>
          </w:p>
        </w:tc>
        <w:tc>
          <w:tcPr>
            <w:tcW w:w="3260" w:type="dxa"/>
            <w:tcBorders>
              <w:tl2br w:val="nil"/>
              <w:tr2bl w:val="nil"/>
            </w:tcBorders>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color w:val="000000"/>
                <w:kern w:val="0"/>
                <w:sz w:val="24"/>
              </w:rPr>
              <w:t>（十四）同级机构编制管理机关核销事业编制、注销事业单位法人的证明（整体转制前已进行事业单位法人登记的提供）。</w:t>
            </w:r>
          </w:p>
        </w:tc>
        <w:tc>
          <w:tcPr>
            <w:tcW w:w="1418" w:type="dxa"/>
            <w:vMerge/>
            <w:tcBorders>
              <w:tl2br w:val="nil"/>
              <w:tr2bl w:val="nil"/>
            </w:tcBorders>
            <w:vAlign w:val="center"/>
          </w:tcPr>
          <w:p w:rsidR="00013EC7" w:rsidRDefault="00013EC7">
            <w:pPr>
              <w:widowControl/>
              <w:textAlignment w:val="center"/>
              <w:rPr>
                <w:rFonts w:ascii="仿宋" w:eastAsia="仿宋" w:hAnsi="仿宋" w:cs="仿宋"/>
                <w:color w:val="000000"/>
                <w:sz w:val="24"/>
              </w:rPr>
            </w:pPr>
          </w:p>
        </w:tc>
        <w:tc>
          <w:tcPr>
            <w:tcW w:w="3118" w:type="dxa"/>
            <w:tcBorders>
              <w:tl2br w:val="nil"/>
              <w:tr2bl w:val="nil"/>
            </w:tcBorders>
            <w:vAlign w:val="center"/>
          </w:tcPr>
          <w:p w:rsidR="00013EC7" w:rsidRDefault="00575CDB">
            <w:pPr>
              <w:widowControl/>
              <w:textAlignment w:val="center"/>
              <w:rPr>
                <w:rFonts w:ascii="仿宋" w:eastAsia="仿宋" w:hAnsi="仿宋" w:cs="仿宋"/>
                <w:sz w:val="24"/>
              </w:rPr>
            </w:pPr>
            <w:r>
              <w:rPr>
                <w:rFonts w:ascii="仿宋" w:eastAsia="仿宋" w:hAnsi="仿宋" w:cs="仿宋" w:hint="eastAsia"/>
                <w:kern w:val="0"/>
                <w:sz w:val="24"/>
              </w:rPr>
              <w:t>（十四）同级机构编制管理机关核销事业编制、注销事业单位法人的证明（整体转制前已进行事业单位法人登记的提供）。</w:t>
            </w:r>
          </w:p>
        </w:tc>
        <w:tc>
          <w:tcPr>
            <w:tcW w:w="1276" w:type="dxa"/>
            <w:vMerge w:val="restart"/>
            <w:tcBorders>
              <w:tl2br w:val="nil"/>
              <w:tr2bl w:val="nil"/>
            </w:tcBorders>
            <w:vAlign w:val="center"/>
          </w:tcPr>
          <w:p w:rsidR="00013EC7" w:rsidRDefault="00575CDB">
            <w:pPr>
              <w:widowControl/>
              <w:jc w:val="left"/>
              <w:textAlignment w:val="center"/>
              <w:rPr>
                <w:rFonts w:ascii="仿宋" w:eastAsia="仿宋" w:hAnsi="仿宋" w:cs="仿宋"/>
                <w:color w:val="000000"/>
                <w:sz w:val="24"/>
              </w:rPr>
            </w:pPr>
            <w:r>
              <w:rPr>
                <w:rFonts w:ascii="仿宋" w:eastAsia="仿宋" w:hAnsi="仿宋" w:cs="仿宋" w:hint="eastAsia"/>
                <w:color w:val="000000"/>
                <w:kern w:val="0"/>
                <w:sz w:val="24"/>
              </w:rPr>
              <w:t>转制文化企业免提交</w:t>
            </w:r>
          </w:p>
        </w:tc>
        <w:tc>
          <w:tcPr>
            <w:tcW w:w="2268" w:type="dxa"/>
            <w:vMerge w:val="restart"/>
            <w:tcBorders>
              <w:tl2br w:val="nil"/>
              <w:tr2bl w:val="nil"/>
            </w:tcBorders>
            <w:vAlign w:val="center"/>
          </w:tcPr>
          <w:p w:rsidR="00013EC7" w:rsidRDefault="00575CDB">
            <w:pPr>
              <w:widowControl/>
              <w:jc w:val="left"/>
              <w:textAlignment w:val="center"/>
              <w:rPr>
                <w:rFonts w:ascii="仿宋" w:eastAsia="仿宋" w:hAnsi="仿宋" w:cs="仿宋"/>
                <w:color w:val="000000"/>
                <w:kern w:val="0"/>
                <w:sz w:val="24"/>
              </w:rPr>
            </w:pPr>
            <w:r>
              <w:rPr>
                <w:rFonts w:ascii="仿宋" w:eastAsia="仿宋" w:hAnsi="仿宋" w:cs="仿宋" w:hint="eastAsia"/>
                <w:b/>
                <w:color w:val="000000"/>
                <w:kern w:val="0"/>
                <w:sz w:val="24"/>
              </w:rPr>
              <w:t>网上办理：</w:t>
            </w:r>
            <w:r>
              <w:rPr>
                <w:rFonts w:ascii="仿宋" w:eastAsia="仿宋" w:hAnsi="仿宋" w:cs="仿宋" w:hint="eastAsia"/>
                <w:color w:val="000000"/>
                <w:kern w:val="0"/>
                <w:sz w:val="24"/>
              </w:rPr>
              <w:t>登录浙江国税电子税务局（网址：http://etax.zjtax.gov.cn/）提交申请。</w:t>
            </w:r>
            <w:r>
              <w:rPr>
                <w:rFonts w:ascii="仿宋" w:eastAsia="仿宋" w:hAnsi="仿宋" w:cs="仿宋" w:hint="eastAsia"/>
                <w:b/>
                <w:color w:val="000000"/>
                <w:kern w:val="0"/>
                <w:sz w:val="24"/>
              </w:rPr>
              <w:br/>
              <w:t>现场办理：</w:t>
            </w:r>
            <w:r>
              <w:rPr>
                <w:rFonts w:ascii="仿宋" w:eastAsia="仿宋" w:hAnsi="仿宋" w:cs="仿宋" w:hint="eastAsia"/>
                <w:color w:val="000000"/>
                <w:kern w:val="0"/>
                <w:sz w:val="24"/>
              </w:rPr>
              <w:t>纳税人提交书面材料。</w:t>
            </w:r>
          </w:p>
          <w:p w:rsidR="00013EC7" w:rsidRDefault="00575CDB">
            <w:pPr>
              <w:jc w:val="left"/>
              <w:rPr>
                <w:rFonts w:ascii="仿宋" w:eastAsia="仿宋" w:hAnsi="仿宋" w:cs="仿宋"/>
                <w:color w:val="000000"/>
                <w:sz w:val="24"/>
              </w:rPr>
            </w:pPr>
            <w:r>
              <w:rPr>
                <w:rFonts w:ascii="仿宋" w:eastAsia="仿宋" w:hAnsi="仿宋" w:cs="仿宋" w:hint="eastAsia"/>
                <w:b/>
                <w:color w:val="000000"/>
                <w:kern w:val="0"/>
                <w:sz w:val="24"/>
              </w:rPr>
              <w:t>APP办理：</w:t>
            </w:r>
            <w:r w:rsidR="006776D1">
              <w:rPr>
                <w:rFonts w:ascii="仿宋" w:eastAsia="仿宋" w:hAnsi="仿宋" w:cs="仿宋" w:hint="eastAsia"/>
                <w:color w:val="000000"/>
                <w:kern w:val="0"/>
                <w:sz w:val="24"/>
              </w:rPr>
              <w:t>登录浙江国税APP提交申请。</w:t>
            </w:r>
          </w:p>
        </w:tc>
        <w:tc>
          <w:tcPr>
            <w:tcW w:w="567" w:type="dxa"/>
            <w:vMerge/>
            <w:tcBorders>
              <w:tl2br w:val="nil"/>
              <w:tr2bl w:val="nil"/>
            </w:tcBorders>
          </w:tcPr>
          <w:p w:rsidR="00013EC7" w:rsidRDefault="00013EC7">
            <w:pPr>
              <w:jc w:val="center"/>
              <w:rPr>
                <w:rFonts w:ascii="仿宋" w:eastAsia="仿宋" w:hAnsi="仿宋" w:cs="仿宋"/>
                <w:color w:val="000000"/>
                <w:sz w:val="24"/>
              </w:rPr>
            </w:pPr>
          </w:p>
        </w:tc>
        <w:tc>
          <w:tcPr>
            <w:tcW w:w="851" w:type="dxa"/>
            <w:vMerge/>
            <w:tcBorders>
              <w:tl2br w:val="nil"/>
              <w:tr2bl w:val="nil"/>
            </w:tcBorders>
          </w:tcPr>
          <w:p w:rsidR="00013EC7" w:rsidRDefault="00013EC7">
            <w:pPr>
              <w:jc w:val="center"/>
              <w:rPr>
                <w:rFonts w:ascii="仿宋" w:eastAsia="仿宋" w:hAnsi="仿宋" w:cs="仿宋"/>
                <w:color w:val="000000"/>
                <w:sz w:val="24"/>
              </w:rPr>
            </w:pPr>
          </w:p>
        </w:tc>
        <w:tc>
          <w:tcPr>
            <w:tcW w:w="708" w:type="dxa"/>
            <w:vMerge/>
            <w:tcBorders>
              <w:tl2br w:val="nil"/>
              <w:tr2bl w:val="nil"/>
            </w:tcBorders>
          </w:tcPr>
          <w:p w:rsidR="00013EC7" w:rsidRDefault="00013EC7">
            <w:pPr>
              <w:jc w:val="center"/>
              <w:rPr>
                <w:rFonts w:ascii="仿宋" w:eastAsia="仿宋" w:hAnsi="仿宋" w:cs="仿宋"/>
                <w:color w:val="000000"/>
                <w:sz w:val="24"/>
              </w:rPr>
            </w:pPr>
          </w:p>
        </w:tc>
        <w:tc>
          <w:tcPr>
            <w:tcW w:w="993" w:type="dxa"/>
            <w:vMerge/>
            <w:tcBorders>
              <w:tl2br w:val="nil"/>
              <w:tr2bl w:val="nil"/>
            </w:tcBorders>
          </w:tcPr>
          <w:p w:rsidR="00013EC7" w:rsidRDefault="00013EC7">
            <w:pPr>
              <w:jc w:val="center"/>
              <w:rPr>
                <w:rFonts w:ascii="仿宋" w:eastAsia="仿宋" w:hAnsi="仿宋" w:cs="仿宋"/>
                <w:color w:val="000000"/>
                <w:sz w:val="24"/>
              </w:rPr>
            </w:pPr>
          </w:p>
        </w:tc>
        <w:tc>
          <w:tcPr>
            <w:tcW w:w="978" w:type="dxa"/>
            <w:vMerge/>
            <w:tcBorders>
              <w:tl2br w:val="nil"/>
              <w:tr2bl w:val="nil"/>
            </w:tcBorders>
          </w:tcPr>
          <w:p w:rsidR="00013EC7" w:rsidRDefault="00013EC7">
            <w:pPr>
              <w:rPr>
                <w:rFonts w:ascii="仿宋" w:eastAsia="仿宋" w:hAnsi="仿宋" w:cs="仿宋"/>
                <w:color w:val="000000"/>
                <w:sz w:val="24"/>
              </w:rPr>
            </w:pPr>
          </w:p>
        </w:tc>
      </w:tr>
      <w:tr w:rsidR="00013EC7">
        <w:trPr>
          <w:trHeight w:val="1078"/>
        </w:trPr>
        <w:tc>
          <w:tcPr>
            <w:tcW w:w="639" w:type="dxa"/>
            <w:vMerge/>
            <w:tcBorders>
              <w:tl2br w:val="nil"/>
              <w:tr2bl w:val="nil"/>
            </w:tcBorders>
            <w:vAlign w:val="center"/>
          </w:tcPr>
          <w:p w:rsidR="00013EC7" w:rsidRDefault="00013EC7">
            <w:pPr>
              <w:rPr>
                <w:rFonts w:ascii="仿宋" w:eastAsia="仿宋" w:hAnsi="仿宋" w:cs="仿宋"/>
                <w:color w:val="000000"/>
                <w:sz w:val="24"/>
              </w:rPr>
            </w:pPr>
          </w:p>
        </w:tc>
        <w:tc>
          <w:tcPr>
            <w:tcW w:w="510" w:type="dxa"/>
            <w:vMerge/>
            <w:tcBorders>
              <w:tl2br w:val="nil"/>
              <w:tr2bl w:val="nil"/>
            </w:tcBorders>
            <w:vAlign w:val="center"/>
          </w:tcPr>
          <w:p w:rsidR="00013EC7" w:rsidRDefault="00013EC7">
            <w:pPr>
              <w:rPr>
                <w:rFonts w:ascii="仿宋" w:eastAsia="仿宋" w:hAnsi="仿宋" w:cs="仿宋"/>
                <w:color w:val="000000"/>
                <w:sz w:val="24"/>
              </w:rPr>
            </w:pPr>
          </w:p>
        </w:tc>
        <w:tc>
          <w:tcPr>
            <w:tcW w:w="3544" w:type="dxa"/>
            <w:vMerge/>
            <w:tcBorders>
              <w:tl2br w:val="nil"/>
              <w:tr2bl w:val="nil"/>
            </w:tcBorders>
            <w:vAlign w:val="center"/>
          </w:tcPr>
          <w:p w:rsidR="00013EC7" w:rsidRDefault="00013EC7">
            <w:pPr>
              <w:rPr>
                <w:rFonts w:ascii="仿宋" w:eastAsia="仿宋" w:hAnsi="仿宋" w:cs="仿宋"/>
                <w:color w:val="000000"/>
                <w:kern w:val="0"/>
                <w:sz w:val="24"/>
              </w:rPr>
            </w:pPr>
          </w:p>
        </w:tc>
        <w:tc>
          <w:tcPr>
            <w:tcW w:w="3260" w:type="dxa"/>
            <w:tcBorders>
              <w:tl2br w:val="nil"/>
              <w:tr2bl w:val="nil"/>
            </w:tcBorders>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color w:val="000000"/>
                <w:kern w:val="0"/>
                <w:sz w:val="24"/>
              </w:rPr>
              <w:t>（十五）同在职职工签订劳动合同、按企业办法参加社会保险制度的证明。</w:t>
            </w:r>
          </w:p>
        </w:tc>
        <w:tc>
          <w:tcPr>
            <w:tcW w:w="1418" w:type="dxa"/>
            <w:vMerge/>
            <w:tcBorders>
              <w:tl2br w:val="nil"/>
              <w:tr2bl w:val="nil"/>
            </w:tcBorders>
            <w:vAlign w:val="center"/>
          </w:tcPr>
          <w:p w:rsidR="00013EC7" w:rsidRDefault="00013EC7">
            <w:pPr>
              <w:widowControl/>
              <w:textAlignment w:val="center"/>
              <w:rPr>
                <w:rFonts w:ascii="仿宋" w:eastAsia="仿宋" w:hAnsi="仿宋" w:cs="仿宋"/>
                <w:color w:val="000000"/>
                <w:sz w:val="24"/>
              </w:rPr>
            </w:pPr>
          </w:p>
        </w:tc>
        <w:tc>
          <w:tcPr>
            <w:tcW w:w="3118" w:type="dxa"/>
            <w:tcBorders>
              <w:tl2br w:val="nil"/>
              <w:tr2bl w:val="nil"/>
            </w:tcBorders>
            <w:vAlign w:val="center"/>
          </w:tcPr>
          <w:p w:rsidR="00013EC7" w:rsidRDefault="00575CDB">
            <w:pPr>
              <w:widowControl/>
              <w:textAlignment w:val="center"/>
              <w:rPr>
                <w:rFonts w:ascii="仿宋" w:eastAsia="仿宋" w:hAnsi="仿宋" w:cs="仿宋"/>
                <w:sz w:val="24"/>
              </w:rPr>
            </w:pPr>
            <w:r>
              <w:rPr>
                <w:rFonts w:ascii="仿宋" w:eastAsia="仿宋" w:hAnsi="仿宋" w:cs="仿宋" w:hint="eastAsia"/>
                <w:kern w:val="0"/>
                <w:sz w:val="24"/>
              </w:rPr>
              <w:t>（十五）同在职职工签订劳动合同、按企业办法参加社会保险制度的证明。</w:t>
            </w:r>
          </w:p>
        </w:tc>
        <w:tc>
          <w:tcPr>
            <w:tcW w:w="1276" w:type="dxa"/>
            <w:vMerge/>
            <w:tcBorders>
              <w:tl2br w:val="nil"/>
              <w:tr2bl w:val="nil"/>
            </w:tcBorders>
            <w:vAlign w:val="center"/>
          </w:tcPr>
          <w:p w:rsidR="00013EC7" w:rsidRDefault="00013EC7">
            <w:pPr>
              <w:widowControl/>
              <w:jc w:val="left"/>
              <w:textAlignment w:val="center"/>
              <w:rPr>
                <w:rFonts w:ascii="仿宋" w:eastAsia="仿宋" w:hAnsi="仿宋" w:cs="仿宋"/>
                <w:color w:val="000000"/>
                <w:sz w:val="24"/>
              </w:rPr>
            </w:pPr>
          </w:p>
        </w:tc>
        <w:tc>
          <w:tcPr>
            <w:tcW w:w="2268" w:type="dxa"/>
            <w:vMerge/>
            <w:tcBorders>
              <w:tl2br w:val="nil"/>
              <w:tr2bl w:val="nil"/>
            </w:tcBorders>
            <w:vAlign w:val="center"/>
          </w:tcPr>
          <w:p w:rsidR="00013EC7" w:rsidRDefault="00013EC7">
            <w:pPr>
              <w:jc w:val="left"/>
              <w:rPr>
                <w:rFonts w:ascii="仿宋" w:eastAsia="仿宋" w:hAnsi="仿宋" w:cs="仿宋"/>
                <w:color w:val="000000"/>
                <w:sz w:val="24"/>
              </w:rPr>
            </w:pPr>
          </w:p>
        </w:tc>
        <w:tc>
          <w:tcPr>
            <w:tcW w:w="567" w:type="dxa"/>
            <w:vMerge/>
            <w:tcBorders>
              <w:tl2br w:val="nil"/>
              <w:tr2bl w:val="nil"/>
            </w:tcBorders>
          </w:tcPr>
          <w:p w:rsidR="00013EC7" w:rsidRDefault="00013EC7">
            <w:pPr>
              <w:jc w:val="center"/>
              <w:rPr>
                <w:rFonts w:ascii="仿宋" w:eastAsia="仿宋" w:hAnsi="仿宋" w:cs="仿宋"/>
                <w:color w:val="000000"/>
                <w:sz w:val="24"/>
              </w:rPr>
            </w:pPr>
          </w:p>
        </w:tc>
        <w:tc>
          <w:tcPr>
            <w:tcW w:w="851" w:type="dxa"/>
            <w:vMerge/>
            <w:tcBorders>
              <w:tl2br w:val="nil"/>
              <w:tr2bl w:val="nil"/>
            </w:tcBorders>
          </w:tcPr>
          <w:p w:rsidR="00013EC7" w:rsidRDefault="00013EC7">
            <w:pPr>
              <w:jc w:val="center"/>
              <w:rPr>
                <w:rFonts w:ascii="仿宋" w:eastAsia="仿宋" w:hAnsi="仿宋" w:cs="仿宋"/>
                <w:color w:val="000000"/>
                <w:sz w:val="24"/>
              </w:rPr>
            </w:pPr>
          </w:p>
        </w:tc>
        <w:tc>
          <w:tcPr>
            <w:tcW w:w="708" w:type="dxa"/>
            <w:vMerge/>
            <w:tcBorders>
              <w:tl2br w:val="nil"/>
              <w:tr2bl w:val="nil"/>
            </w:tcBorders>
          </w:tcPr>
          <w:p w:rsidR="00013EC7" w:rsidRDefault="00013EC7">
            <w:pPr>
              <w:jc w:val="center"/>
              <w:rPr>
                <w:rFonts w:ascii="仿宋" w:eastAsia="仿宋" w:hAnsi="仿宋" w:cs="仿宋"/>
                <w:color w:val="000000"/>
                <w:sz w:val="24"/>
              </w:rPr>
            </w:pPr>
          </w:p>
        </w:tc>
        <w:tc>
          <w:tcPr>
            <w:tcW w:w="993" w:type="dxa"/>
            <w:vMerge/>
            <w:tcBorders>
              <w:tl2br w:val="nil"/>
              <w:tr2bl w:val="nil"/>
            </w:tcBorders>
          </w:tcPr>
          <w:p w:rsidR="00013EC7" w:rsidRDefault="00013EC7">
            <w:pPr>
              <w:jc w:val="center"/>
              <w:rPr>
                <w:rFonts w:ascii="仿宋" w:eastAsia="仿宋" w:hAnsi="仿宋" w:cs="仿宋"/>
                <w:color w:val="000000"/>
                <w:sz w:val="24"/>
              </w:rPr>
            </w:pPr>
          </w:p>
        </w:tc>
        <w:tc>
          <w:tcPr>
            <w:tcW w:w="978" w:type="dxa"/>
            <w:vMerge/>
            <w:tcBorders>
              <w:tl2br w:val="nil"/>
              <w:tr2bl w:val="nil"/>
            </w:tcBorders>
          </w:tcPr>
          <w:p w:rsidR="00013EC7" w:rsidRDefault="00013EC7">
            <w:pPr>
              <w:rPr>
                <w:rFonts w:ascii="仿宋" w:eastAsia="仿宋" w:hAnsi="仿宋" w:cs="仿宋"/>
                <w:color w:val="000000"/>
                <w:sz w:val="24"/>
              </w:rPr>
            </w:pPr>
          </w:p>
        </w:tc>
      </w:tr>
      <w:tr w:rsidR="00013EC7">
        <w:trPr>
          <w:trHeight w:val="1155"/>
        </w:trPr>
        <w:tc>
          <w:tcPr>
            <w:tcW w:w="639" w:type="dxa"/>
            <w:vMerge/>
            <w:tcBorders>
              <w:tl2br w:val="nil"/>
              <w:tr2bl w:val="nil"/>
            </w:tcBorders>
            <w:vAlign w:val="center"/>
          </w:tcPr>
          <w:p w:rsidR="00013EC7" w:rsidRDefault="00013EC7">
            <w:pPr>
              <w:rPr>
                <w:rFonts w:ascii="仿宋" w:eastAsia="仿宋" w:hAnsi="仿宋" w:cs="仿宋"/>
                <w:color w:val="000000"/>
                <w:sz w:val="24"/>
              </w:rPr>
            </w:pPr>
          </w:p>
        </w:tc>
        <w:tc>
          <w:tcPr>
            <w:tcW w:w="510" w:type="dxa"/>
            <w:vMerge/>
            <w:tcBorders>
              <w:tl2br w:val="nil"/>
              <w:tr2bl w:val="nil"/>
            </w:tcBorders>
            <w:vAlign w:val="center"/>
          </w:tcPr>
          <w:p w:rsidR="00013EC7" w:rsidRDefault="00013EC7">
            <w:pPr>
              <w:rPr>
                <w:rFonts w:ascii="仿宋" w:eastAsia="仿宋" w:hAnsi="仿宋" w:cs="仿宋"/>
                <w:color w:val="000000"/>
                <w:sz w:val="24"/>
              </w:rPr>
            </w:pPr>
          </w:p>
        </w:tc>
        <w:tc>
          <w:tcPr>
            <w:tcW w:w="3544" w:type="dxa"/>
            <w:vMerge/>
            <w:tcBorders>
              <w:tl2br w:val="nil"/>
              <w:tr2bl w:val="nil"/>
            </w:tcBorders>
            <w:vAlign w:val="center"/>
          </w:tcPr>
          <w:p w:rsidR="00013EC7" w:rsidRDefault="00013EC7">
            <w:pPr>
              <w:rPr>
                <w:rFonts w:ascii="仿宋" w:eastAsia="仿宋" w:hAnsi="仿宋" w:cs="仿宋"/>
                <w:color w:val="000000"/>
                <w:kern w:val="0"/>
                <w:sz w:val="24"/>
              </w:rPr>
            </w:pPr>
          </w:p>
        </w:tc>
        <w:tc>
          <w:tcPr>
            <w:tcW w:w="3260" w:type="dxa"/>
            <w:tcBorders>
              <w:tl2br w:val="nil"/>
              <w:tr2bl w:val="nil"/>
            </w:tcBorders>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color w:val="000000"/>
                <w:kern w:val="0"/>
                <w:sz w:val="24"/>
              </w:rPr>
              <w:t>（十六）相关部门批准文件。</w:t>
            </w:r>
          </w:p>
        </w:tc>
        <w:tc>
          <w:tcPr>
            <w:tcW w:w="1418" w:type="dxa"/>
            <w:vMerge/>
            <w:tcBorders>
              <w:tl2br w:val="nil"/>
              <w:tr2bl w:val="nil"/>
            </w:tcBorders>
            <w:vAlign w:val="center"/>
          </w:tcPr>
          <w:p w:rsidR="00013EC7" w:rsidRDefault="00013EC7">
            <w:pPr>
              <w:widowControl/>
              <w:textAlignment w:val="center"/>
              <w:rPr>
                <w:rFonts w:ascii="仿宋" w:eastAsia="仿宋" w:hAnsi="仿宋" w:cs="仿宋"/>
                <w:color w:val="000000"/>
                <w:sz w:val="24"/>
              </w:rPr>
            </w:pPr>
          </w:p>
        </w:tc>
        <w:tc>
          <w:tcPr>
            <w:tcW w:w="3118" w:type="dxa"/>
            <w:tcBorders>
              <w:tl2br w:val="nil"/>
              <w:tr2bl w:val="nil"/>
            </w:tcBorders>
            <w:vAlign w:val="center"/>
          </w:tcPr>
          <w:p w:rsidR="00013EC7" w:rsidRDefault="00575CDB">
            <w:pPr>
              <w:widowControl/>
              <w:textAlignment w:val="center"/>
              <w:rPr>
                <w:rFonts w:ascii="仿宋" w:eastAsia="仿宋" w:hAnsi="仿宋" w:cs="仿宋"/>
                <w:sz w:val="24"/>
              </w:rPr>
            </w:pPr>
            <w:r>
              <w:rPr>
                <w:rFonts w:ascii="仿宋" w:eastAsia="仿宋" w:hAnsi="仿宋" w:cs="仿宋" w:hint="eastAsia"/>
                <w:kern w:val="0"/>
                <w:sz w:val="24"/>
              </w:rPr>
              <w:t>（十六）</w:t>
            </w:r>
            <w:r>
              <w:rPr>
                <w:rFonts w:ascii="仿宋" w:eastAsia="仿宋" w:hAnsi="仿宋" w:cs="仿宋" w:hint="eastAsia"/>
                <w:sz w:val="24"/>
              </w:rPr>
              <w:t>宣传部门会同财政、税务部门或文化体制改革和发展工作领导小组办公室出具的</w:t>
            </w:r>
            <w:r>
              <w:rPr>
                <w:rFonts w:ascii="仿宋" w:eastAsia="仿宋" w:hAnsi="仿宋" w:cs="仿宋" w:hint="eastAsia"/>
                <w:kern w:val="0"/>
                <w:sz w:val="24"/>
              </w:rPr>
              <w:t>批准文件。</w:t>
            </w:r>
          </w:p>
        </w:tc>
        <w:tc>
          <w:tcPr>
            <w:tcW w:w="1276" w:type="dxa"/>
            <w:vMerge/>
            <w:tcBorders>
              <w:tl2br w:val="nil"/>
              <w:tr2bl w:val="nil"/>
            </w:tcBorders>
            <w:vAlign w:val="center"/>
          </w:tcPr>
          <w:p w:rsidR="00013EC7" w:rsidRDefault="00013EC7">
            <w:pPr>
              <w:widowControl/>
              <w:jc w:val="left"/>
              <w:textAlignment w:val="center"/>
              <w:rPr>
                <w:rFonts w:ascii="仿宋" w:eastAsia="仿宋" w:hAnsi="仿宋" w:cs="仿宋"/>
                <w:color w:val="000000"/>
                <w:sz w:val="24"/>
              </w:rPr>
            </w:pPr>
          </w:p>
        </w:tc>
        <w:tc>
          <w:tcPr>
            <w:tcW w:w="2268" w:type="dxa"/>
            <w:vMerge/>
            <w:tcBorders>
              <w:tl2br w:val="nil"/>
              <w:tr2bl w:val="nil"/>
            </w:tcBorders>
            <w:vAlign w:val="center"/>
          </w:tcPr>
          <w:p w:rsidR="00013EC7" w:rsidRDefault="00013EC7">
            <w:pPr>
              <w:jc w:val="left"/>
              <w:rPr>
                <w:rFonts w:ascii="仿宋" w:eastAsia="仿宋" w:hAnsi="仿宋" w:cs="仿宋"/>
                <w:color w:val="000000"/>
                <w:sz w:val="24"/>
              </w:rPr>
            </w:pPr>
          </w:p>
        </w:tc>
        <w:tc>
          <w:tcPr>
            <w:tcW w:w="567" w:type="dxa"/>
            <w:vMerge/>
            <w:tcBorders>
              <w:tl2br w:val="nil"/>
              <w:tr2bl w:val="nil"/>
            </w:tcBorders>
          </w:tcPr>
          <w:p w:rsidR="00013EC7" w:rsidRDefault="00013EC7">
            <w:pPr>
              <w:jc w:val="center"/>
              <w:rPr>
                <w:rFonts w:ascii="仿宋" w:eastAsia="仿宋" w:hAnsi="仿宋" w:cs="仿宋"/>
                <w:color w:val="000000"/>
                <w:sz w:val="24"/>
              </w:rPr>
            </w:pPr>
          </w:p>
        </w:tc>
        <w:tc>
          <w:tcPr>
            <w:tcW w:w="851" w:type="dxa"/>
            <w:vMerge/>
            <w:tcBorders>
              <w:tl2br w:val="nil"/>
              <w:tr2bl w:val="nil"/>
            </w:tcBorders>
          </w:tcPr>
          <w:p w:rsidR="00013EC7" w:rsidRDefault="00013EC7">
            <w:pPr>
              <w:jc w:val="center"/>
              <w:rPr>
                <w:rFonts w:ascii="仿宋" w:eastAsia="仿宋" w:hAnsi="仿宋" w:cs="仿宋"/>
                <w:color w:val="000000"/>
                <w:sz w:val="24"/>
              </w:rPr>
            </w:pPr>
          </w:p>
        </w:tc>
        <w:tc>
          <w:tcPr>
            <w:tcW w:w="708" w:type="dxa"/>
            <w:vMerge/>
            <w:tcBorders>
              <w:tl2br w:val="nil"/>
              <w:tr2bl w:val="nil"/>
            </w:tcBorders>
          </w:tcPr>
          <w:p w:rsidR="00013EC7" w:rsidRDefault="00013EC7">
            <w:pPr>
              <w:jc w:val="center"/>
              <w:rPr>
                <w:rFonts w:ascii="仿宋" w:eastAsia="仿宋" w:hAnsi="仿宋" w:cs="仿宋"/>
                <w:color w:val="000000"/>
                <w:sz w:val="24"/>
              </w:rPr>
            </w:pPr>
          </w:p>
        </w:tc>
        <w:tc>
          <w:tcPr>
            <w:tcW w:w="993" w:type="dxa"/>
            <w:vMerge/>
            <w:tcBorders>
              <w:tl2br w:val="nil"/>
              <w:tr2bl w:val="nil"/>
            </w:tcBorders>
          </w:tcPr>
          <w:p w:rsidR="00013EC7" w:rsidRDefault="00013EC7">
            <w:pPr>
              <w:jc w:val="center"/>
              <w:rPr>
                <w:rFonts w:ascii="仿宋" w:eastAsia="仿宋" w:hAnsi="仿宋" w:cs="仿宋"/>
                <w:color w:val="000000"/>
                <w:sz w:val="24"/>
              </w:rPr>
            </w:pPr>
          </w:p>
        </w:tc>
        <w:tc>
          <w:tcPr>
            <w:tcW w:w="978" w:type="dxa"/>
            <w:vMerge/>
            <w:tcBorders>
              <w:tl2br w:val="nil"/>
              <w:tr2bl w:val="nil"/>
            </w:tcBorders>
          </w:tcPr>
          <w:p w:rsidR="00013EC7" w:rsidRDefault="00013EC7">
            <w:pPr>
              <w:rPr>
                <w:rFonts w:ascii="仿宋" w:eastAsia="仿宋" w:hAnsi="仿宋" w:cs="仿宋"/>
                <w:color w:val="000000"/>
                <w:sz w:val="24"/>
              </w:rPr>
            </w:pPr>
          </w:p>
        </w:tc>
      </w:tr>
      <w:tr w:rsidR="00013EC7">
        <w:trPr>
          <w:trHeight w:val="1440"/>
        </w:trPr>
        <w:tc>
          <w:tcPr>
            <w:tcW w:w="639" w:type="dxa"/>
            <w:vMerge/>
            <w:tcBorders>
              <w:tl2br w:val="nil"/>
              <w:tr2bl w:val="nil"/>
            </w:tcBorders>
            <w:vAlign w:val="center"/>
          </w:tcPr>
          <w:p w:rsidR="00013EC7" w:rsidRDefault="00013EC7">
            <w:pPr>
              <w:rPr>
                <w:rFonts w:ascii="仿宋" w:eastAsia="仿宋" w:hAnsi="仿宋" w:cs="仿宋"/>
                <w:color w:val="000000"/>
                <w:sz w:val="24"/>
              </w:rPr>
            </w:pPr>
          </w:p>
        </w:tc>
        <w:tc>
          <w:tcPr>
            <w:tcW w:w="510" w:type="dxa"/>
            <w:vMerge/>
            <w:tcBorders>
              <w:tl2br w:val="nil"/>
              <w:tr2bl w:val="nil"/>
            </w:tcBorders>
            <w:vAlign w:val="center"/>
          </w:tcPr>
          <w:p w:rsidR="00013EC7" w:rsidRDefault="00013EC7">
            <w:pPr>
              <w:rPr>
                <w:rFonts w:ascii="仿宋" w:eastAsia="仿宋" w:hAnsi="仿宋" w:cs="仿宋"/>
                <w:color w:val="000000"/>
                <w:sz w:val="24"/>
              </w:rPr>
            </w:pPr>
          </w:p>
        </w:tc>
        <w:tc>
          <w:tcPr>
            <w:tcW w:w="3544" w:type="dxa"/>
            <w:vMerge/>
            <w:tcBorders>
              <w:tl2br w:val="nil"/>
              <w:tr2bl w:val="nil"/>
            </w:tcBorders>
            <w:vAlign w:val="center"/>
          </w:tcPr>
          <w:p w:rsidR="00013EC7" w:rsidRDefault="00013EC7">
            <w:pPr>
              <w:rPr>
                <w:rFonts w:ascii="仿宋" w:eastAsia="仿宋" w:hAnsi="仿宋" w:cs="仿宋"/>
                <w:color w:val="000000"/>
                <w:kern w:val="0"/>
                <w:sz w:val="24"/>
              </w:rPr>
            </w:pPr>
          </w:p>
        </w:tc>
        <w:tc>
          <w:tcPr>
            <w:tcW w:w="3260" w:type="dxa"/>
            <w:tcBorders>
              <w:tl2br w:val="nil"/>
              <w:tr2bl w:val="nil"/>
            </w:tcBorders>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color w:val="000000"/>
                <w:kern w:val="0"/>
                <w:sz w:val="24"/>
              </w:rPr>
              <w:t>（十七）具有相关资质的产品质量检验机构出具的质量技术检测合格报告原件及复印件（加盖公章）。</w:t>
            </w:r>
          </w:p>
        </w:tc>
        <w:tc>
          <w:tcPr>
            <w:tcW w:w="1418" w:type="dxa"/>
            <w:tcBorders>
              <w:tl2br w:val="nil"/>
              <w:tr2bl w:val="nil"/>
            </w:tcBorders>
            <w:vAlign w:val="center"/>
          </w:tcPr>
          <w:p w:rsidR="00013EC7" w:rsidRDefault="00575CDB">
            <w:pPr>
              <w:widowControl/>
              <w:textAlignment w:val="center"/>
              <w:rPr>
                <w:rFonts w:ascii="仿宋" w:eastAsia="仿宋" w:hAnsi="仿宋" w:cs="仿宋"/>
                <w:color w:val="000000"/>
                <w:sz w:val="24"/>
              </w:rPr>
            </w:pPr>
            <w:r>
              <w:rPr>
                <w:rFonts w:ascii="仿宋" w:eastAsia="仿宋" w:hAnsi="仿宋" w:cs="仿宋" w:hint="eastAsia"/>
                <w:color w:val="000000"/>
                <w:kern w:val="0"/>
                <w:sz w:val="24"/>
              </w:rPr>
              <w:t>滴灌带和滴灌管产品免征增值税优惠条件的纳税人提交</w:t>
            </w:r>
          </w:p>
        </w:tc>
        <w:tc>
          <w:tcPr>
            <w:tcW w:w="3118" w:type="dxa"/>
            <w:tcBorders>
              <w:tl2br w:val="nil"/>
              <w:tr2bl w:val="nil"/>
            </w:tcBorders>
            <w:vAlign w:val="center"/>
          </w:tcPr>
          <w:p w:rsidR="00013EC7" w:rsidRDefault="00575CDB">
            <w:pPr>
              <w:widowControl/>
              <w:textAlignment w:val="center"/>
              <w:rPr>
                <w:rFonts w:ascii="仿宋" w:eastAsia="仿宋" w:hAnsi="仿宋" w:cs="仿宋"/>
                <w:color w:val="000000"/>
                <w:sz w:val="24"/>
              </w:rPr>
            </w:pPr>
            <w:r>
              <w:rPr>
                <w:rFonts w:ascii="仿宋" w:eastAsia="仿宋" w:hAnsi="仿宋" w:cs="仿宋" w:hint="eastAsia"/>
                <w:color w:val="000000"/>
                <w:kern w:val="0"/>
                <w:sz w:val="24"/>
              </w:rPr>
              <w:t>（十七）具有资质的产品质量检验机构出具的质量技术检测合格报告复印件（注明与原件一致，并加盖公章）。</w:t>
            </w:r>
          </w:p>
        </w:tc>
        <w:tc>
          <w:tcPr>
            <w:tcW w:w="1276" w:type="dxa"/>
            <w:tcBorders>
              <w:tl2br w:val="nil"/>
              <w:tr2bl w:val="nil"/>
            </w:tcBorders>
            <w:vAlign w:val="center"/>
          </w:tcPr>
          <w:p w:rsidR="00013EC7" w:rsidRDefault="00575CDB">
            <w:pPr>
              <w:widowControl/>
              <w:jc w:val="left"/>
              <w:textAlignment w:val="center"/>
              <w:rPr>
                <w:rFonts w:ascii="仿宋" w:eastAsia="仿宋" w:hAnsi="仿宋" w:cs="仿宋"/>
                <w:b/>
                <w:i/>
                <w:color w:val="000000"/>
                <w:sz w:val="24"/>
              </w:rPr>
            </w:pPr>
            <w:r>
              <w:rPr>
                <w:rFonts w:ascii="仿宋" w:eastAsia="仿宋" w:hAnsi="仿宋" w:cs="仿宋" w:hint="eastAsia"/>
                <w:color w:val="000000"/>
                <w:kern w:val="0"/>
                <w:sz w:val="24"/>
              </w:rPr>
              <w:t>销售滴灌带和滴灌管产品的纳税人提交</w:t>
            </w:r>
          </w:p>
        </w:tc>
        <w:tc>
          <w:tcPr>
            <w:tcW w:w="2268" w:type="dxa"/>
            <w:vMerge/>
            <w:tcBorders>
              <w:tl2br w:val="nil"/>
              <w:tr2bl w:val="nil"/>
            </w:tcBorders>
            <w:vAlign w:val="center"/>
          </w:tcPr>
          <w:p w:rsidR="00013EC7" w:rsidRDefault="00013EC7">
            <w:pPr>
              <w:widowControl/>
              <w:jc w:val="left"/>
              <w:textAlignment w:val="center"/>
              <w:rPr>
                <w:rFonts w:ascii="仿宋" w:eastAsia="仿宋" w:hAnsi="仿宋" w:cs="仿宋"/>
                <w:b/>
                <w:color w:val="000000"/>
                <w:sz w:val="24"/>
              </w:rPr>
            </w:pPr>
          </w:p>
        </w:tc>
        <w:tc>
          <w:tcPr>
            <w:tcW w:w="567" w:type="dxa"/>
            <w:vMerge/>
            <w:tcBorders>
              <w:tl2br w:val="nil"/>
              <w:tr2bl w:val="nil"/>
            </w:tcBorders>
          </w:tcPr>
          <w:p w:rsidR="00013EC7" w:rsidRDefault="00013EC7">
            <w:pPr>
              <w:jc w:val="center"/>
              <w:rPr>
                <w:rFonts w:ascii="仿宋" w:eastAsia="仿宋" w:hAnsi="仿宋" w:cs="仿宋"/>
                <w:color w:val="000000"/>
                <w:sz w:val="24"/>
              </w:rPr>
            </w:pPr>
          </w:p>
        </w:tc>
        <w:tc>
          <w:tcPr>
            <w:tcW w:w="851" w:type="dxa"/>
            <w:vMerge/>
            <w:tcBorders>
              <w:tl2br w:val="nil"/>
              <w:tr2bl w:val="nil"/>
            </w:tcBorders>
          </w:tcPr>
          <w:p w:rsidR="00013EC7" w:rsidRDefault="00013EC7">
            <w:pPr>
              <w:jc w:val="center"/>
              <w:rPr>
                <w:rFonts w:ascii="仿宋" w:eastAsia="仿宋" w:hAnsi="仿宋" w:cs="仿宋"/>
                <w:color w:val="000000"/>
                <w:sz w:val="24"/>
              </w:rPr>
            </w:pPr>
          </w:p>
        </w:tc>
        <w:tc>
          <w:tcPr>
            <w:tcW w:w="708" w:type="dxa"/>
            <w:vMerge/>
            <w:tcBorders>
              <w:tl2br w:val="nil"/>
              <w:tr2bl w:val="nil"/>
            </w:tcBorders>
          </w:tcPr>
          <w:p w:rsidR="00013EC7" w:rsidRDefault="00013EC7">
            <w:pPr>
              <w:jc w:val="center"/>
              <w:rPr>
                <w:rFonts w:ascii="仿宋" w:eastAsia="仿宋" w:hAnsi="仿宋" w:cs="仿宋"/>
                <w:color w:val="000000"/>
                <w:sz w:val="24"/>
              </w:rPr>
            </w:pPr>
          </w:p>
        </w:tc>
        <w:tc>
          <w:tcPr>
            <w:tcW w:w="993" w:type="dxa"/>
            <w:vMerge/>
            <w:tcBorders>
              <w:tl2br w:val="nil"/>
              <w:tr2bl w:val="nil"/>
            </w:tcBorders>
          </w:tcPr>
          <w:p w:rsidR="00013EC7" w:rsidRDefault="00013EC7">
            <w:pPr>
              <w:jc w:val="center"/>
              <w:rPr>
                <w:rFonts w:ascii="仿宋" w:eastAsia="仿宋" w:hAnsi="仿宋" w:cs="仿宋"/>
                <w:color w:val="000000"/>
                <w:sz w:val="24"/>
              </w:rPr>
            </w:pPr>
          </w:p>
        </w:tc>
        <w:tc>
          <w:tcPr>
            <w:tcW w:w="978" w:type="dxa"/>
            <w:vMerge/>
            <w:tcBorders>
              <w:tl2br w:val="nil"/>
              <w:tr2bl w:val="nil"/>
            </w:tcBorders>
          </w:tcPr>
          <w:p w:rsidR="00013EC7" w:rsidRDefault="00013EC7">
            <w:pPr>
              <w:rPr>
                <w:rFonts w:ascii="仿宋" w:eastAsia="仿宋" w:hAnsi="仿宋" w:cs="仿宋"/>
                <w:color w:val="000000"/>
                <w:sz w:val="24"/>
              </w:rPr>
            </w:pPr>
          </w:p>
        </w:tc>
      </w:tr>
      <w:tr w:rsidR="00013EC7">
        <w:trPr>
          <w:trHeight w:val="1155"/>
        </w:trPr>
        <w:tc>
          <w:tcPr>
            <w:tcW w:w="639" w:type="dxa"/>
            <w:vMerge/>
            <w:tcBorders>
              <w:tl2br w:val="nil"/>
              <w:tr2bl w:val="nil"/>
            </w:tcBorders>
            <w:vAlign w:val="center"/>
          </w:tcPr>
          <w:p w:rsidR="00013EC7" w:rsidRDefault="00013EC7">
            <w:pPr>
              <w:rPr>
                <w:rFonts w:ascii="仿宋" w:eastAsia="仿宋" w:hAnsi="仿宋" w:cs="仿宋"/>
                <w:color w:val="000000"/>
                <w:sz w:val="24"/>
              </w:rPr>
            </w:pPr>
          </w:p>
        </w:tc>
        <w:tc>
          <w:tcPr>
            <w:tcW w:w="510" w:type="dxa"/>
            <w:vMerge/>
            <w:tcBorders>
              <w:tl2br w:val="nil"/>
              <w:tr2bl w:val="nil"/>
            </w:tcBorders>
            <w:vAlign w:val="center"/>
          </w:tcPr>
          <w:p w:rsidR="00013EC7" w:rsidRDefault="00013EC7">
            <w:pPr>
              <w:rPr>
                <w:rFonts w:ascii="仿宋" w:eastAsia="仿宋" w:hAnsi="仿宋" w:cs="仿宋"/>
                <w:color w:val="000000"/>
                <w:sz w:val="24"/>
              </w:rPr>
            </w:pPr>
          </w:p>
        </w:tc>
        <w:tc>
          <w:tcPr>
            <w:tcW w:w="3544" w:type="dxa"/>
            <w:vMerge/>
            <w:tcBorders>
              <w:tl2br w:val="nil"/>
              <w:tr2bl w:val="nil"/>
            </w:tcBorders>
            <w:vAlign w:val="center"/>
          </w:tcPr>
          <w:p w:rsidR="00013EC7" w:rsidRDefault="00013EC7">
            <w:pPr>
              <w:rPr>
                <w:rFonts w:ascii="仿宋" w:eastAsia="仿宋" w:hAnsi="仿宋" w:cs="仿宋"/>
                <w:color w:val="000000"/>
                <w:kern w:val="0"/>
                <w:sz w:val="24"/>
              </w:rPr>
            </w:pPr>
          </w:p>
        </w:tc>
        <w:tc>
          <w:tcPr>
            <w:tcW w:w="3260" w:type="dxa"/>
            <w:tcBorders>
              <w:tl2br w:val="nil"/>
              <w:tr2bl w:val="nil"/>
            </w:tcBorders>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color w:val="000000"/>
                <w:kern w:val="0"/>
                <w:sz w:val="24"/>
              </w:rPr>
              <w:t>（十八）肥料登记证原件原件及复印件（加盖公章）。</w:t>
            </w:r>
          </w:p>
        </w:tc>
        <w:tc>
          <w:tcPr>
            <w:tcW w:w="1418" w:type="dxa"/>
            <w:tcBorders>
              <w:tl2br w:val="nil"/>
              <w:tr2bl w:val="nil"/>
            </w:tcBorders>
            <w:vAlign w:val="center"/>
          </w:tcPr>
          <w:p w:rsidR="00013EC7" w:rsidRDefault="00575CDB">
            <w:pPr>
              <w:widowControl/>
              <w:textAlignment w:val="center"/>
              <w:rPr>
                <w:rFonts w:ascii="仿宋" w:eastAsia="仿宋" w:hAnsi="仿宋" w:cs="仿宋"/>
                <w:color w:val="000000"/>
                <w:sz w:val="24"/>
              </w:rPr>
            </w:pPr>
            <w:r>
              <w:rPr>
                <w:rFonts w:ascii="仿宋" w:eastAsia="仿宋" w:hAnsi="仿宋" w:cs="仿宋" w:hint="eastAsia"/>
                <w:color w:val="000000"/>
                <w:kern w:val="0"/>
                <w:sz w:val="24"/>
              </w:rPr>
              <w:t>符合有机肥产品免征增值税优惠条件的纳税人提交</w:t>
            </w:r>
          </w:p>
        </w:tc>
        <w:tc>
          <w:tcPr>
            <w:tcW w:w="3118" w:type="dxa"/>
            <w:vMerge w:val="restart"/>
            <w:tcBorders>
              <w:tl2br w:val="nil"/>
              <w:tr2bl w:val="nil"/>
            </w:tcBorders>
            <w:vAlign w:val="center"/>
          </w:tcPr>
          <w:p w:rsidR="00013EC7" w:rsidRDefault="00575CDB">
            <w:pPr>
              <w:widowControl/>
              <w:textAlignment w:val="center"/>
              <w:rPr>
                <w:rFonts w:ascii="仿宋" w:eastAsia="仿宋" w:hAnsi="仿宋" w:cs="仿宋"/>
                <w:color w:val="000000"/>
                <w:sz w:val="24"/>
              </w:rPr>
            </w:pPr>
            <w:r>
              <w:rPr>
                <w:rFonts w:ascii="仿宋" w:eastAsia="仿宋" w:hAnsi="仿宋" w:cs="仿宋" w:hint="eastAsia"/>
                <w:color w:val="000000"/>
                <w:kern w:val="0"/>
                <w:sz w:val="24"/>
              </w:rPr>
              <w:t>（十八）肥料登记证复印件（</w:t>
            </w:r>
            <w:r>
              <w:rPr>
                <w:rFonts w:ascii="仿宋" w:eastAsia="仿宋" w:hAnsi="仿宋" w:cs="仿宋" w:hint="eastAsia"/>
                <w:color w:val="000000"/>
                <w:kern w:val="0"/>
                <w:sz w:val="24"/>
                <w:lang w:val="zh-CN"/>
              </w:rPr>
              <w:t>批发、零售有机肥产品的纳税人提交生产企业提供的肥料登记证</w:t>
            </w:r>
            <w:r>
              <w:rPr>
                <w:rFonts w:ascii="仿宋" w:eastAsia="仿宋" w:hAnsi="仿宋" w:cs="仿宋" w:hint="eastAsia"/>
                <w:color w:val="000000"/>
                <w:kern w:val="0"/>
                <w:sz w:val="24"/>
              </w:rPr>
              <w:t>）（注明与原件一致，并加盖公章）。</w:t>
            </w:r>
          </w:p>
        </w:tc>
        <w:tc>
          <w:tcPr>
            <w:tcW w:w="1276" w:type="dxa"/>
            <w:vMerge w:val="restart"/>
            <w:tcBorders>
              <w:tl2br w:val="nil"/>
              <w:tr2bl w:val="nil"/>
            </w:tcBorders>
            <w:vAlign w:val="center"/>
          </w:tcPr>
          <w:p w:rsidR="00013EC7" w:rsidRDefault="00575CDB">
            <w:pPr>
              <w:widowControl/>
              <w:jc w:val="left"/>
              <w:textAlignment w:val="center"/>
              <w:rPr>
                <w:rFonts w:ascii="仿宋" w:eastAsia="仿宋" w:hAnsi="仿宋" w:cs="仿宋"/>
                <w:b/>
                <w:i/>
                <w:color w:val="000000"/>
                <w:sz w:val="24"/>
              </w:rPr>
            </w:pPr>
            <w:r>
              <w:rPr>
                <w:rFonts w:ascii="仿宋" w:eastAsia="仿宋" w:hAnsi="仿宋" w:cs="仿宋" w:hint="eastAsia"/>
                <w:color w:val="000000"/>
                <w:kern w:val="0"/>
                <w:sz w:val="24"/>
              </w:rPr>
              <w:t>符合有机肥产品免征增值税优惠条件的纳税人提交</w:t>
            </w:r>
          </w:p>
        </w:tc>
        <w:tc>
          <w:tcPr>
            <w:tcW w:w="2268" w:type="dxa"/>
            <w:vMerge/>
            <w:tcBorders>
              <w:tl2br w:val="nil"/>
              <w:tr2bl w:val="nil"/>
            </w:tcBorders>
            <w:vAlign w:val="center"/>
          </w:tcPr>
          <w:p w:rsidR="00013EC7" w:rsidRDefault="00013EC7">
            <w:pPr>
              <w:widowControl/>
              <w:jc w:val="left"/>
              <w:textAlignment w:val="center"/>
              <w:rPr>
                <w:rFonts w:ascii="仿宋" w:eastAsia="仿宋" w:hAnsi="仿宋" w:cs="仿宋"/>
                <w:b/>
                <w:color w:val="000000"/>
                <w:sz w:val="24"/>
              </w:rPr>
            </w:pPr>
          </w:p>
        </w:tc>
        <w:tc>
          <w:tcPr>
            <w:tcW w:w="567" w:type="dxa"/>
            <w:vMerge/>
            <w:tcBorders>
              <w:tl2br w:val="nil"/>
              <w:tr2bl w:val="nil"/>
            </w:tcBorders>
          </w:tcPr>
          <w:p w:rsidR="00013EC7" w:rsidRDefault="00013EC7">
            <w:pPr>
              <w:jc w:val="center"/>
              <w:rPr>
                <w:rFonts w:ascii="仿宋" w:eastAsia="仿宋" w:hAnsi="仿宋" w:cs="仿宋"/>
                <w:color w:val="000000"/>
                <w:sz w:val="24"/>
              </w:rPr>
            </w:pPr>
          </w:p>
        </w:tc>
        <w:tc>
          <w:tcPr>
            <w:tcW w:w="851" w:type="dxa"/>
            <w:vMerge/>
            <w:tcBorders>
              <w:tl2br w:val="nil"/>
              <w:tr2bl w:val="nil"/>
            </w:tcBorders>
          </w:tcPr>
          <w:p w:rsidR="00013EC7" w:rsidRDefault="00013EC7">
            <w:pPr>
              <w:jc w:val="center"/>
              <w:rPr>
                <w:rFonts w:ascii="仿宋" w:eastAsia="仿宋" w:hAnsi="仿宋" w:cs="仿宋"/>
                <w:color w:val="000000"/>
                <w:sz w:val="24"/>
              </w:rPr>
            </w:pPr>
          </w:p>
        </w:tc>
        <w:tc>
          <w:tcPr>
            <w:tcW w:w="708" w:type="dxa"/>
            <w:vMerge/>
            <w:tcBorders>
              <w:tl2br w:val="nil"/>
              <w:tr2bl w:val="nil"/>
            </w:tcBorders>
          </w:tcPr>
          <w:p w:rsidR="00013EC7" w:rsidRDefault="00013EC7">
            <w:pPr>
              <w:jc w:val="center"/>
              <w:rPr>
                <w:rFonts w:ascii="仿宋" w:eastAsia="仿宋" w:hAnsi="仿宋" w:cs="仿宋"/>
                <w:color w:val="000000"/>
                <w:sz w:val="24"/>
              </w:rPr>
            </w:pPr>
          </w:p>
        </w:tc>
        <w:tc>
          <w:tcPr>
            <w:tcW w:w="993" w:type="dxa"/>
            <w:vMerge/>
            <w:tcBorders>
              <w:tl2br w:val="nil"/>
              <w:tr2bl w:val="nil"/>
            </w:tcBorders>
          </w:tcPr>
          <w:p w:rsidR="00013EC7" w:rsidRDefault="00013EC7">
            <w:pPr>
              <w:jc w:val="center"/>
              <w:rPr>
                <w:rFonts w:ascii="仿宋" w:eastAsia="仿宋" w:hAnsi="仿宋" w:cs="仿宋"/>
                <w:color w:val="000000"/>
                <w:sz w:val="24"/>
              </w:rPr>
            </w:pPr>
          </w:p>
        </w:tc>
        <w:tc>
          <w:tcPr>
            <w:tcW w:w="978" w:type="dxa"/>
            <w:vMerge/>
            <w:tcBorders>
              <w:tl2br w:val="nil"/>
              <w:tr2bl w:val="nil"/>
            </w:tcBorders>
          </w:tcPr>
          <w:p w:rsidR="00013EC7" w:rsidRDefault="00013EC7">
            <w:pPr>
              <w:rPr>
                <w:rFonts w:ascii="仿宋" w:eastAsia="仿宋" w:hAnsi="仿宋" w:cs="仿宋"/>
                <w:color w:val="000000"/>
                <w:sz w:val="24"/>
              </w:rPr>
            </w:pPr>
          </w:p>
        </w:tc>
      </w:tr>
      <w:tr w:rsidR="00013EC7">
        <w:trPr>
          <w:trHeight w:val="775"/>
        </w:trPr>
        <w:tc>
          <w:tcPr>
            <w:tcW w:w="639" w:type="dxa"/>
            <w:vMerge/>
            <w:tcBorders>
              <w:tl2br w:val="nil"/>
              <w:tr2bl w:val="nil"/>
            </w:tcBorders>
            <w:vAlign w:val="center"/>
          </w:tcPr>
          <w:p w:rsidR="00013EC7" w:rsidRDefault="00013EC7">
            <w:pPr>
              <w:rPr>
                <w:rFonts w:ascii="仿宋" w:eastAsia="仿宋" w:hAnsi="仿宋" w:cs="仿宋"/>
                <w:color w:val="000000"/>
                <w:sz w:val="24"/>
              </w:rPr>
            </w:pPr>
          </w:p>
        </w:tc>
        <w:tc>
          <w:tcPr>
            <w:tcW w:w="510" w:type="dxa"/>
            <w:vMerge/>
            <w:tcBorders>
              <w:tl2br w:val="nil"/>
              <w:tr2bl w:val="nil"/>
            </w:tcBorders>
            <w:vAlign w:val="center"/>
          </w:tcPr>
          <w:p w:rsidR="00013EC7" w:rsidRDefault="00013EC7">
            <w:pPr>
              <w:rPr>
                <w:rFonts w:ascii="仿宋" w:eastAsia="仿宋" w:hAnsi="仿宋" w:cs="仿宋"/>
                <w:color w:val="000000"/>
                <w:sz w:val="24"/>
              </w:rPr>
            </w:pPr>
          </w:p>
        </w:tc>
        <w:tc>
          <w:tcPr>
            <w:tcW w:w="3544" w:type="dxa"/>
            <w:vMerge/>
            <w:tcBorders>
              <w:tl2br w:val="nil"/>
              <w:tr2bl w:val="nil"/>
            </w:tcBorders>
            <w:vAlign w:val="center"/>
          </w:tcPr>
          <w:p w:rsidR="00013EC7" w:rsidRDefault="00013EC7">
            <w:pPr>
              <w:rPr>
                <w:rFonts w:ascii="仿宋" w:eastAsia="仿宋" w:hAnsi="仿宋" w:cs="仿宋"/>
                <w:color w:val="000000"/>
                <w:kern w:val="0"/>
                <w:sz w:val="24"/>
              </w:rPr>
            </w:pPr>
          </w:p>
        </w:tc>
        <w:tc>
          <w:tcPr>
            <w:tcW w:w="3260" w:type="dxa"/>
            <w:tcBorders>
              <w:tl2br w:val="nil"/>
              <w:tr2bl w:val="nil"/>
            </w:tcBorders>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color w:val="000000"/>
                <w:kern w:val="0"/>
                <w:sz w:val="24"/>
              </w:rPr>
              <w:t>（十八）由农业部或省农业厅批准核发的肥料登记证原件。</w:t>
            </w:r>
          </w:p>
        </w:tc>
        <w:tc>
          <w:tcPr>
            <w:tcW w:w="1418" w:type="dxa"/>
            <w:vMerge w:val="restart"/>
            <w:tcBorders>
              <w:tl2br w:val="nil"/>
              <w:tr2bl w:val="nil"/>
            </w:tcBorders>
            <w:vAlign w:val="center"/>
          </w:tcPr>
          <w:p w:rsidR="00013EC7" w:rsidRDefault="00575CDB">
            <w:pPr>
              <w:widowControl/>
              <w:textAlignment w:val="center"/>
              <w:rPr>
                <w:rFonts w:ascii="仿宋" w:eastAsia="仿宋" w:hAnsi="仿宋" w:cs="仿宋"/>
                <w:color w:val="000000"/>
                <w:sz w:val="24"/>
              </w:rPr>
            </w:pPr>
            <w:r>
              <w:rPr>
                <w:rFonts w:ascii="仿宋" w:eastAsia="仿宋" w:hAnsi="仿宋" w:cs="仿宋" w:hint="eastAsia"/>
                <w:color w:val="000000"/>
                <w:kern w:val="0"/>
                <w:sz w:val="24"/>
              </w:rPr>
              <w:t>生产有机肥产品的纳税人提交</w:t>
            </w:r>
          </w:p>
        </w:tc>
        <w:tc>
          <w:tcPr>
            <w:tcW w:w="3118" w:type="dxa"/>
            <w:vMerge/>
            <w:tcBorders>
              <w:tl2br w:val="nil"/>
              <w:tr2bl w:val="nil"/>
            </w:tcBorders>
            <w:vAlign w:val="center"/>
          </w:tcPr>
          <w:p w:rsidR="00013EC7" w:rsidRDefault="00013EC7">
            <w:pPr>
              <w:widowControl/>
              <w:textAlignment w:val="center"/>
              <w:rPr>
                <w:rFonts w:ascii="仿宋" w:eastAsia="仿宋" w:hAnsi="仿宋" w:cs="仿宋"/>
                <w:color w:val="000000"/>
                <w:sz w:val="24"/>
              </w:rPr>
            </w:pPr>
          </w:p>
        </w:tc>
        <w:tc>
          <w:tcPr>
            <w:tcW w:w="1276" w:type="dxa"/>
            <w:vMerge/>
            <w:tcBorders>
              <w:tl2br w:val="nil"/>
              <w:tr2bl w:val="nil"/>
            </w:tcBorders>
            <w:vAlign w:val="center"/>
          </w:tcPr>
          <w:p w:rsidR="00013EC7" w:rsidRDefault="00013EC7">
            <w:pPr>
              <w:widowControl/>
              <w:jc w:val="left"/>
              <w:textAlignment w:val="center"/>
              <w:rPr>
                <w:rFonts w:ascii="仿宋" w:eastAsia="仿宋" w:hAnsi="仿宋" w:cs="仿宋"/>
                <w:color w:val="000000"/>
                <w:sz w:val="24"/>
              </w:rPr>
            </w:pPr>
          </w:p>
        </w:tc>
        <w:tc>
          <w:tcPr>
            <w:tcW w:w="2268" w:type="dxa"/>
            <w:vMerge/>
            <w:tcBorders>
              <w:tl2br w:val="nil"/>
              <w:tr2bl w:val="nil"/>
            </w:tcBorders>
            <w:vAlign w:val="center"/>
          </w:tcPr>
          <w:p w:rsidR="00013EC7" w:rsidRDefault="00013EC7">
            <w:pPr>
              <w:rPr>
                <w:rFonts w:ascii="仿宋" w:eastAsia="仿宋" w:hAnsi="仿宋" w:cs="仿宋"/>
                <w:color w:val="000000"/>
                <w:sz w:val="24"/>
              </w:rPr>
            </w:pPr>
          </w:p>
        </w:tc>
        <w:tc>
          <w:tcPr>
            <w:tcW w:w="567" w:type="dxa"/>
            <w:vMerge/>
            <w:tcBorders>
              <w:tl2br w:val="nil"/>
              <w:tr2bl w:val="nil"/>
            </w:tcBorders>
          </w:tcPr>
          <w:p w:rsidR="00013EC7" w:rsidRDefault="00013EC7">
            <w:pPr>
              <w:jc w:val="center"/>
              <w:rPr>
                <w:rFonts w:ascii="仿宋" w:eastAsia="仿宋" w:hAnsi="仿宋" w:cs="仿宋"/>
                <w:color w:val="000000"/>
                <w:sz w:val="24"/>
              </w:rPr>
            </w:pPr>
          </w:p>
        </w:tc>
        <w:tc>
          <w:tcPr>
            <w:tcW w:w="851" w:type="dxa"/>
            <w:vMerge/>
            <w:tcBorders>
              <w:tl2br w:val="nil"/>
              <w:tr2bl w:val="nil"/>
            </w:tcBorders>
          </w:tcPr>
          <w:p w:rsidR="00013EC7" w:rsidRDefault="00013EC7">
            <w:pPr>
              <w:jc w:val="center"/>
              <w:rPr>
                <w:rFonts w:ascii="仿宋" w:eastAsia="仿宋" w:hAnsi="仿宋" w:cs="仿宋"/>
                <w:color w:val="000000"/>
                <w:sz w:val="24"/>
              </w:rPr>
            </w:pPr>
          </w:p>
        </w:tc>
        <w:tc>
          <w:tcPr>
            <w:tcW w:w="708" w:type="dxa"/>
            <w:vMerge/>
            <w:tcBorders>
              <w:tl2br w:val="nil"/>
              <w:tr2bl w:val="nil"/>
            </w:tcBorders>
          </w:tcPr>
          <w:p w:rsidR="00013EC7" w:rsidRDefault="00013EC7">
            <w:pPr>
              <w:jc w:val="center"/>
              <w:rPr>
                <w:rFonts w:ascii="仿宋" w:eastAsia="仿宋" w:hAnsi="仿宋" w:cs="仿宋"/>
                <w:color w:val="000000"/>
                <w:sz w:val="24"/>
              </w:rPr>
            </w:pPr>
          </w:p>
        </w:tc>
        <w:tc>
          <w:tcPr>
            <w:tcW w:w="993" w:type="dxa"/>
            <w:vMerge/>
            <w:tcBorders>
              <w:tl2br w:val="nil"/>
              <w:tr2bl w:val="nil"/>
            </w:tcBorders>
          </w:tcPr>
          <w:p w:rsidR="00013EC7" w:rsidRDefault="00013EC7">
            <w:pPr>
              <w:jc w:val="center"/>
              <w:rPr>
                <w:rFonts w:ascii="仿宋" w:eastAsia="仿宋" w:hAnsi="仿宋" w:cs="仿宋"/>
                <w:color w:val="000000"/>
                <w:sz w:val="24"/>
              </w:rPr>
            </w:pPr>
          </w:p>
        </w:tc>
        <w:tc>
          <w:tcPr>
            <w:tcW w:w="978" w:type="dxa"/>
            <w:vMerge/>
            <w:tcBorders>
              <w:tl2br w:val="nil"/>
              <w:tr2bl w:val="nil"/>
            </w:tcBorders>
          </w:tcPr>
          <w:p w:rsidR="00013EC7" w:rsidRDefault="00013EC7">
            <w:pPr>
              <w:rPr>
                <w:rFonts w:ascii="仿宋" w:eastAsia="仿宋" w:hAnsi="仿宋" w:cs="仿宋"/>
                <w:color w:val="000000"/>
                <w:sz w:val="24"/>
              </w:rPr>
            </w:pPr>
          </w:p>
        </w:tc>
      </w:tr>
      <w:tr w:rsidR="00013EC7">
        <w:trPr>
          <w:trHeight w:val="1665"/>
        </w:trPr>
        <w:tc>
          <w:tcPr>
            <w:tcW w:w="639" w:type="dxa"/>
            <w:vMerge/>
            <w:tcBorders>
              <w:tl2br w:val="nil"/>
              <w:tr2bl w:val="nil"/>
            </w:tcBorders>
            <w:vAlign w:val="center"/>
          </w:tcPr>
          <w:p w:rsidR="00013EC7" w:rsidRDefault="00013EC7">
            <w:pPr>
              <w:rPr>
                <w:rFonts w:ascii="仿宋" w:eastAsia="仿宋" w:hAnsi="仿宋" w:cs="仿宋"/>
                <w:color w:val="000000"/>
                <w:sz w:val="24"/>
              </w:rPr>
            </w:pPr>
          </w:p>
        </w:tc>
        <w:tc>
          <w:tcPr>
            <w:tcW w:w="510" w:type="dxa"/>
            <w:vMerge/>
            <w:tcBorders>
              <w:tl2br w:val="nil"/>
              <w:tr2bl w:val="nil"/>
            </w:tcBorders>
            <w:vAlign w:val="center"/>
          </w:tcPr>
          <w:p w:rsidR="00013EC7" w:rsidRDefault="00013EC7">
            <w:pPr>
              <w:rPr>
                <w:rFonts w:ascii="仿宋" w:eastAsia="仿宋" w:hAnsi="仿宋" w:cs="仿宋"/>
                <w:color w:val="000000"/>
                <w:sz w:val="24"/>
              </w:rPr>
            </w:pPr>
          </w:p>
        </w:tc>
        <w:tc>
          <w:tcPr>
            <w:tcW w:w="3544" w:type="dxa"/>
            <w:vMerge/>
            <w:tcBorders>
              <w:tl2br w:val="nil"/>
              <w:tr2bl w:val="nil"/>
            </w:tcBorders>
            <w:vAlign w:val="center"/>
          </w:tcPr>
          <w:p w:rsidR="00013EC7" w:rsidRDefault="00013EC7">
            <w:pPr>
              <w:rPr>
                <w:rFonts w:ascii="仿宋" w:eastAsia="仿宋" w:hAnsi="仿宋" w:cs="仿宋"/>
                <w:color w:val="000000"/>
                <w:kern w:val="0"/>
                <w:sz w:val="24"/>
              </w:rPr>
            </w:pPr>
          </w:p>
        </w:tc>
        <w:tc>
          <w:tcPr>
            <w:tcW w:w="3260" w:type="dxa"/>
            <w:tcBorders>
              <w:bottom w:val="single" w:sz="8" w:space="0" w:color="000000"/>
              <w:tl2br w:val="nil"/>
              <w:tr2bl w:val="nil"/>
            </w:tcBorders>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color w:val="000000"/>
                <w:kern w:val="0"/>
                <w:sz w:val="24"/>
              </w:rPr>
              <w:t>（十九）由肥料产品质量检验机构一年内出具的有机肥产品质量技术检测合格报告原件。出具报告的肥料产品质量检验机构须通过相关资质认定。</w:t>
            </w:r>
          </w:p>
        </w:tc>
        <w:tc>
          <w:tcPr>
            <w:tcW w:w="1418" w:type="dxa"/>
            <w:vMerge/>
            <w:tcBorders>
              <w:tl2br w:val="nil"/>
              <w:tr2bl w:val="nil"/>
            </w:tcBorders>
            <w:vAlign w:val="center"/>
          </w:tcPr>
          <w:p w:rsidR="00013EC7" w:rsidRDefault="00013EC7">
            <w:pPr>
              <w:widowControl/>
              <w:textAlignment w:val="center"/>
              <w:rPr>
                <w:rFonts w:ascii="仿宋" w:eastAsia="仿宋" w:hAnsi="仿宋" w:cs="仿宋"/>
                <w:color w:val="000000"/>
                <w:sz w:val="24"/>
              </w:rPr>
            </w:pPr>
          </w:p>
        </w:tc>
        <w:tc>
          <w:tcPr>
            <w:tcW w:w="3118" w:type="dxa"/>
            <w:vMerge/>
            <w:tcBorders>
              <w:bottom w:val="single" w:sz="8" w:space="0" w:color="000000"/>
              <w:tl2br w:val="nil"/>
              <w:tr2bl w:val="nil"/>
            </w:tcBorders>
            <w:vAlign w:val="center"/>
          </w:tcPr>
          <w:p w:rsidR="00013EC7" w:rsidRDefault="00013EC7">
            <w:pPr>
              <w:widowControl/>
              <w:textAlignment w:val="center"/>
              <w:rPr>
                <w:rFonts w:ascii="仿宋" w:eastAsia="仿宋" w:hAnsi="仿宋" w:cs="仿宋"/>
                <w:color w:val="000000"/>
                <w:sz w:val="24"/>
              </w:rPr>
            </w:pPr>
          </w:p>
        </w:tc>
        <w:tc>
          <w:tcPr>
            <w:tcW w:w="1276" w:type="dxa"/>
            <w:vMerge/>
            <w:tcBorders>
              <w:bottom w:val="single" w:sz="8" w:space="0" w:color="000000"/>
              <w:tl2br w:val="nil"/>
              <w:tr2bl w:val="nil"/>
            </w:tcBorders>
            <w:vAlign w:val="center"/>
          </w:tcPr>
          <w:p w:rsidR="00013EC7" w:rsidRDefault="00013EC7">
            <w:pPr>
              <w:widowControl/>
              <w:jc w:val="left"/>
              <w:textAlignment w:val="center"/>
              <w:rPr>
                <w:rFonts w:ascii="仿宋" w:eastAsia="仿宋" w:hAnsi="仿宋" w:cs="仿宋"/>
                <w:color w:val="000000"/>
                <w:sz w:val="24"/>
              </w:rPr>
            </w:pPr>
          </w:p>
        </w:tc>
        <w:tc>
          <w:tcPr>
            <w:tcW w:w="2268" w:type="dxa"/>
            <w:vMerge/>
            <w:tcBorders>
              <w:tl2br w:val="nil"/>
              <w:tr2bl w:val="nil"/>
            </w:tcBorders>
            <w:vAlign w:val="center"/>
          </w:tcPr>
          <w:p w:rsidR="00013EC7" w:rsidRDefault="00013EC7">
            <w:pPr>
              <w:jc w:val="left"/>
              <w:rPr>
                <w:rFonts w:ascii="仿宋" w:eastAsia="仿宋" w:hAnsi="仿宋" w:cs="仿宋"/>
                <w:color w:val="000000"/>
                <w:sz w:val="24"/>
              </w:rPr>
            </w:pPr>
          </w:p>
        </w:tc>
        <w:tc>
          <w:tcPr>
            <w:tcW w:w="567" w:type="dxa"/>
            <w:vMerge/>
            <w:tcBorders>
              <w:tl2br w:val="nil"/>
              <w:tr2bl w:val="nil"/>
            </w:tcBorders>
          </w:tcPr>
          <w:p w:rsidR="00013EC7" w:rsidRDefault="00013EC7">
            <w:pPr>
              <w:jc w:val="center"/>
              <w:rPr>
                <w:rFonts w:ascii="仿宋" w:eastAsia="仿宋" w:hAnsi="仿宋" w:cs="仿宋"/>
                <w:color w:val="000000"/>
                <w:sz w:val="24"/>
              </w:rPr>
            </w:pPr>
          </w:p>
        </w:tc>
        <w:tc>
          <w:tcPr>
            <w:tcW w:w="851" w:type="dxa"/>
            <w:vMerge/>
            <w:tcBorders>
              <w:tl2br w:val="nil"/>
              <w:tr2bl w:val="nil"/>
            </w:tcBorders>
          </w:tcPr>
          <w:p w:rsidR="00013EC7" w:rsidRDefault="00013EC7">
            <w:pPr>
              <w:jc w:val="center"/>
              <w:rPr>
                <w:rFonts w:ascii="仿宋" w:eastAsia="仿宋" w:hAnsi="仿宋" w:cs="仿宋"/>
                <w:color w:val="000000"/>
                <w:sz w:val="24"/>
              </w:rPr>
            </w:pPr>
          </w:p>
        </w:tc>
        <w:tc>
          <w:tcPr>
            <w:tcW w:w="708" w:type="dxa"/>
            <w:vMerge/>
            <w:tcBorders>
              <w:tl2br w:val="nil"/>
              <w:tr2bl w:val="nil"/>
            </w:tcBorders>
          </w:tcPr>
          <w:p w:rsidR="00013EC7" w:rsidRDefault="00013EC7">
            <w:pPr>
              <w:jc w:val="center"/>
              <w:rPr>
                <w:rFonts w:ascii="仿宋" w:eastAsia="仿宋" w:hAnsi="仿宋" w:cs="仿宋"/>
                <w:color w:val="000000"/>
                <w:sz w:val="24"/>
              </w:rPr>
            </w:pPr>
          </w:p>
        </w:tc>
        <w:tc>
          <w:tcPr>
            <w:tcW w:w="993" w:type="dxa"/>
            <w:vMerge/>
            <w:tcBorders>
              <w:tl2br w:val="nil"/>
              <w:tr2bl w:val="nil"/>
            </w:tcBorders>
          </w:tcPr>
          <w:p w:rsidR="00013EC7" w:rsidRDefault="00013EC7">
            <w:pPr>
              <w:jc w:val="center"/>
              <w:rPr>
                <w:rFonts w:ascii="仿宋" w:eastAsia="仿宋" w:hAnsi="仿宋" w:cs="仿宋"/>
                <w:color w:val="000000"/>
                <w:sz w:val="24"/>
              </w:rPr>
            </w:pPr>
          </w:p>
        </w:tc>
        <w:tc>
          <w:tcPr>
            <w:tcW w:w="978" w:type="dxa"/>
            <w:vMerge/>
            <w:tcBorders>
              <w:tl2br w:val="nil"/>
              <w:tr2bl w:val="nil"/>
            </w:tcBorders>
          </w:tcPr>
          <w:p w:rsidR="00013EC7" w:rsidRDefault="00013EC7">
            <w:pPr>
              <w:rPr>
                <w:rFonts w:ascii="仿宋" w:eastAsia="仿宋" w:hAnsi="仿宋" w:cs="仿宋"/>
                <w:color w:val="000000"/>
                <w:sz w:val="24"/>
              </w:rPr>
            </w:pPr>
          </w:p>
        </w:tc>
      </w:tr>
      <w:tr w:rsidR="00013EC7">
        <w:trPr>
          <w:trHeight w:val="1377"/>
        </w:trPr>
        <w:tc>
          <w:tcPr>
            <w:tcW w:w="639" w:type="dxa"/>
            <w:vMerge/>
            <w:tcBorders>
              <w:tl2br w:val="nil"/>
              <w:tr2bl w:val="nil"/>
            </w:tcBorders>
            <w:vAlign w:val="center"/>
          </w:tcPr>
          <w:p w:rsidR="00013EC7" w:rsidRDefault="00013EC7">
            <w:pPr>
              <w:rPr>
                <w:rFonts w:ascii="仿宋" w:eastAsia="仿宋" w:hAnsi="仿宋" w:cs="仿宋"/>
                <w:color w:val="000000"/>
                <w:sz w:val="24"/>
              </w:rPr>
            </w:pPr>
          </w:p>
        </w:tc>
        <w:tc>
          <w:tcPr>
            <w:tcW w:w="510" w:type="dxa"/>
            <w:vMerge/>
            <w:tcBorders>
              <w:tl2br w:val="nil"/>
              <w:tr2bl w:val="nil"/>
            </w:tcBorders>
            <w:vAlign w:val="center"/>
          </w:tcPr>
          <w:p w:rsidR="00013EC7" w:rsidRDefault="00013EC7">
            <w:pPr>
              <w:rPr>
                <w:rFonts w:ascii="仿宋" w:eastAsia="仿宋" w:hAnsi="仿宋" w:cs="仿宋"/>
                <w:color w:val="000000"/>
                <w:sz w:val="24"/>
              </w:rPr>
            </w:pPr>
          </w:p>
        </w:tc>
        <w:tc>
          <w:tcPr>
            <w:tcW w:w="3544" w:type="dxa"/>
            <w:vMerge/>
            <w:tcBorders>
              <w:tl2br w:val="nil"/>
              <w:tr2bl w:val="nil"/>
            </w:tcBorders>
            <w:vAlign w:val="center"/>
          </w:tcPr>
          <w:p w:rsidR="00013EC7" w:rsidRDefault="00013EC7">
            <w:pPr>
              <w:rPr>
                <w:rFonts w:ascii="仿宋" w:eastAsia="仿宋" w:hAnsi="仿宋" w:cs="仿宋"/>
                <w:color w:val="000000"/>
                <w:kern w:val="0"/>
                <w:sz w:val="24"/>
              </w:rPr>
            </w:pPr>
          </w:p>
        </w:tc>
        <w:tc>
          <w:tcPr>
            <w:tcW w:w="3260" w:type="dxa"/>
            <w:tcBorders>
              <w:top w:val="single" w:sz="8" w:space="0" w:color="000000"/>
              <w:tl2br w:val="nil"/>
              <w:tr2bl w:val="nil"/>
            </w:tcBorders>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color w:val="000000"/>
                <w:kern w:val="0"/>
                <w:sz w:val="24"/>
                <w:highlight w:val="lightGray"/>
              </w:rPr>
              <w:t>（二十）在省、自治区、直辖市外销售有机肥产品的，还应提供在销售使用地省级农业行政主管部门办理备案的证明原件。</w:t>
            </w:r>
          </w:p>
        </w:tc>
        <w:tc>
          <w:tcPr>
            <w:tcW w:w="1418" w:type="dxa"/>
            <w:vMerge/>
            <w:tcBorders>
              <w:tl2br w:val="nil"/>
              <w:tr2bl w:val="nil"/>
            </w:tcBorders>
            <w:vAlign w:val="center"/>
          </w:tcPr>
          <w:p w:rsidR="00013EC7" w:rsidRDefault="00013EC7">
            <w:pPr>
              <w:widowControl/>
              <w:textAlignment w:val="center"/>
              <w:rPr>
                <w:rFonts w:ascii="仿宋" w:eastAsia="仿宋" w:hAnsi="仿宋" w:cs="仿宋"/>
                <w:color w:val="000000"/>
                <w:sz w:val="24"/>
              </w:rPr>
            </w:pPr>
          </w:p>
        </w:tc>
        <w:tc>
          <w:tcPr>
            <w:tcW w:w="3118" w:type="dxa"/>
            <w:tcBorders>
              <w:top w:val="single" w:sz="8" w:space="0" w:color="000000"/>
              <w:bottom w:val="single" w:sz="8" w:space="0" w:color="000000"/>
              <w:tl2br w:val="nil"/>
              <w:tr2bl w:val="nil"/>
            </w:tcBorders>
            <w:vAlign w:val="center"/>
          </w:tcPr>
          <w:p w:rsidR="00013EC7" w:rsidRDefault="00013EC7">
            <w:pPr>
              <w:widowControl/>
              <w:textAlignment w:val="center"/>
              <w:rPr>
                <w:rFonts w:ascii="仿宋" w:eastAsia="仿宋" w:hAnsi="仿宋" w:cs="仿宋"/>
                <w:color w:val="000000"/>
                <w:sz w:val="24"/>
              </w:rPr>
            </w:pPr>
          </w:p>
        </w:tc>
        <w:tc>
          <w:tcPr>
            <w:tcW w:w="1276" w:type="dxa"/>
            <w:tcBorders>
              <w:top w:val="single" w:sz="8" w:space="0" w:color="000000"/>
              <w:left w:val="single" w:sz="8" w:space="0" w:color="000000"/>
              <w:bottom w:val="single" w:sz="8" w:space="0" w:color="000000"/>
              <w:tl2br w:val="nil"/>
              <w:tr2bl w:val="nil"/>
            </w:tcBorders>
            <w:vAlign w:val="center"/>
          </w:tcPr>
          <w:p w:rsidR="00013EC7" w:rsidRDefault="00575CDB">
            <w:pPr>
              <w:widowControl/>
              <w:jc w:val="left"/>
              <w:textAlignment w:val="center"/>
              <w:rPr>
                <w:rFonts w:ascii="仿宋" w:eastAsia="仿宋" w:hAnsi="仿宋" w:cs="仿宋"/>
                <w:color w:val="000000"/>
                <w:sz w:val="24"/>
              </w:rPr>
            </w:pPr>
            <w:r>
              <w:rPr>
                <w:rFonts w:ascii="仿宋" w:eastAsia="仿宋" w:hAnsi="仿宋" w:cs="仿宋" w:hint="eastAsia"/>
                <w:b/>
                <w:i/>
                <w:color w:val="000000"/>
                <w:kern w:val="0"/>
                <w:sz w:val="24"/>
              </w:rPr>
              <w:t>取消</w:t>
            </w:r>
          </w:p>
        </w:tc>
        <w:tc>
          <w:tcPr>
            <w:tcW w:w="2268" w:type="dxa"/>
            <w:vMerge/>
            <w:tcBorders>
              <w:tl2br w:val="nil"/>
              <w:tr2bl w:val="nil"/>
            </w:tcBorders>
            <w:vAlign w:val="center"/>
          </w:tcPr>
          <w:p w:rsidR="00013EC7" w:rsidRDefault="00013EC7">
            <w:pPr>
              <w:rPr>
                <w:rFonts w:ascii="仿宋" w:eastAsia="仿宋" w:hAnsi="仿宋" w:cs="仿宋"/>
                <w:color w:val="000000"/>
                <w:sz w:val="24"/>
              </w:rPr>
            </w:pPr>
          </w:p>
        </w:tc>
        <w:tc>
          <w:tcPr>
            <w:tcW w:w="567" w:type="dxa"/>
            <w:vMerge/>
            <w:tcBorders>
              <w:tl2br w:val="nil"/>
              <w:tr2bl w:val="nil"/>
            </w:tcBorders>
          </w:tcPr>
          <w:p w:rsidR="00013EC7" w:rsidRDefault="00013EC7">
            <w:pPr>
              <w:jc w:val="center"/>
              <w:rPr>
                <w:rFonts w:ascii="仿宋" w:eastAsia="仿宋" w:hAnsi="仿宋" w:cs="仿宋"/>
                <w:color w:val="000000"/>
                <w:sz w:val="24"/>
              </w:rPr>
            </w:pPr>
          </w:p>
        </w:tc>
        <w:tc>
          <w:tcPr>
            <w:tcW w:w="851" w:type="dxa"/>
            <w:vMerge/>
            <w:tcBorders>
              <w:tl2br w:val="nil"/>
              <w:tr2bl w:val="nil"/>
            </w:tcBorders>
          </w:tcPr>
          <w:p w:rsidR="00013EC7" w:rsidRDefault="00013EC7">
            <w:pPr>
              <w:jc w:val="center"/>
              <w:rPr>
                <w:rFonts w:ascii="仿宋" w:eastAsia="仿宋" w:hAnsi="仿宋" w:cs="仿宋"/>
                <w:color w:val="000000"/>
                <w:sz w:val="24"/>
              </w:rPr>
            </w:pPr>
          </w:p>
        </w:tc>
        <w:tc>
          <w:tcPr>
            <w:tcW w:w="708" w:type="dxa"/>
            <w:vMerge/>
            <w:tcBorders>
              <w:tl2br w:val="nil"/>
              <w:tr2bl w:val="nil"/>
            </w:tcBorders>
          </w:tcPr>
          <w:p w:rsidR="00013EC7" w:rsidRDefault="00013EC7">
            <w:pPr>
              <w:jc w:val="center"/>
              <w:rPr>
                <w:rFonts w:ascii="仿宋" w:eastAsia="仿宋" w:hAnsi="仿宋" w:cs="仿宋"/>
                <w:color w:val="000000"/>
                <w:sz w:val="24"/>
              </w:rPr>
            </w:pPr>
          </w:p>
        </w:tc>
        <w:tc>
          <w:tcPr>
            <w:tcW w:w="993" w:type="dxa"/>
            <w:vMerge/>
            <w:tcBorders>
              <w:tl2br w:val="nil"/>
              <w:tr2bl w:val="nil"/>
            </w:tcBorders>
          </w:tcPr>
          <w:p w:rsidR="00013EC7" w:rsidRDefault="00013EC7">
            <w:pPr>
              <w:jc w:val="center"/>
              <w:rPr>
                <w:rFonts w:ascii="仿宋" w:eastAsia="仿宋" w:hAnsi="仿宋" w:cs="仿宋"/>
                <w:color w:val="000000"/>
                <w:sz w:val="24"/>
              </w:rPr>
            </w:pPr>
          </w:p>
        </w:tc>
        <w:tc>
          <w:tcPr>
            <w:tcW w:w="978" w:type="dxa"/>
            <w:vMerge/>
            <w:tcBorders>
              <w:tl2br w:val="nil"/>
              <w:tr2bl w:val="nil"/>
            </w:tcBorders>
          </w:tcPr>
          <w:p w:rsidR="00013EC7" w:rsidRDefault="00013EC7">
            <w:pPr>
              <w:rPr>
                <w:rFonts w:ascii="仿宋" w:eastAsia="仿宋" w:hAnsi="仿宋" w:cs="仿宋"/>
                <w:color w:val="000000"/>
                <w:sz w:val="24"/>
              </w:rPr>
            </w:pPr>
          </w:p>
        </w:tc>
      </w:tr>
      <w:tr w:rsidR="00013EC7">
        <w:trPr>
          <w:trHeight w:val="763"/>
        </w:trPr>
        <w:tc>
          <w:tcPr>
            <w:tcW w:w="639" w:type="dxa"/>
            <w:vMerge/>
            <w:tcBorders>
              <w:tl2br w:val="nil"/>
              <w:tr2bl w:val="nil"/>
            </w:tcBorders>
            <w:vAlign w:val="center"/>
          </w:tcPr>
          <w:p w:rsidR="00013EC7" w:rsidRDefault="00013EC7">
            <w:pPr>
              <w:rPr>
                <w:rFonts w:ascii="仿宋" w:eastAsia="仿宋" w:hAnsi="仿宋" w:cs="仿宋"/>
                <w:color w:val="000000"/>
                <w:sz w:val="24"/>
              </w:rPr>
            </w:pPr>
          </w:p>
        </w:tc>
        <w:tc>
          <w:tcPr>
            <w:tcW w:w="510" w:type="dxa"/>
            <w:vMerge/>
            <w:tcBorders>
              <w:tl2br w:val="nil"/>
              <w:tr2bl w:val="nil"/>
            </w:tcBorders>
            <w:vAlign w:val="center"/>
          </w:tcPr>
          <w:p w:rsidR="00013EC7" w:rsidRDefault="00013EC7">
            <w:pPr>
              <w:rPr>
                <w:rFonts w:ascii="仿宋" w:eastAsia="仿宋" w:hAnsi="仿宋" w:cs="仿宋"/>
                <w:color w:val="000000"/>
                <w:sz w:val="24"/>
              </w:rPr>
            </w:pPr>
          </w:p>
        </w:tc>
        <w:tc>
          <w:tcPr>
            <w:tcW w:w="3544" w:type="dxa"/>
            <w:vMerge/>
            <w:tcBorders>
              <w:tl2br w:val="nil"/>
              <w:tr2bl w:val="nil"/>
            </w:tcBorders>
            <w:vAlign w:val="center"/>
          </w:tcPr>
          <w:p w:rsidR="00013EC7" w:rsidRDefault="00013EC7">
            <w:pPr>
              <w:rPr>
                <w:rFonts w:ascii="仿宋" w:eastAsia="仿宋" w:hAnsi="仿宋" w:cs="仿宋"/>
                <w:color w:val="000000"/>
                <w:sz w:val="24"/>
              </w:rPr>
            </w:pPr>
          </w:p>
        </w:tc>
        <w:tc>
          <w:tcPr>
            <w:tcW w:w="3260" w:type="dxa"/>
            <w:tcBorders>
              <w:tl2br w:val="nil"/>
              <w:tr2bl w:val="nil"/>
            </w:tcBorders>
            <w:vAlign w:val="center"/>
          </w:tcPr>
          <w:p w:rsidR="00013EC7" w:rsidRDefault="00575CDB">
            <w:pPr>
              <w:widowControl/>
              <w:textAlignment w:val="center"/>
              <w:rPr>
                <w:rFonts w:ascii="仿宋" w:eastAsia="仿宋" w:hAnsi="仿宋" w:cs="仿宋"/>
                <w:color w:val="000000"/>
                <w:sz w:val="24"/>
              </w:rPr>
            </w:pPr>
            <w:r>
              <w:rPr>
                <w:rFonts w:ascii="仿宋" w:eastAsia="仿宋" w:hAnsi="仿宋" w:cs="仿宋" w:hint="eastAsia"/>
                <w:color w:val="000000"/>
                <w:kern w:val="0"/>
                <w:sz w:val="24"/>
              </w:rPr>
              <w:t>（十八）生产企业提供的在有效期内的肥料登记证复印件（加盖公章）。</w:t>
            </w:r>
          </w:p>
        </w:tc>
        <w:tc>
          <w:tcPr>
            <w:tcW w:w="1418" w:type="dxa"/>
            <w:vMerge w:val="restart"/>
            <w:tcBorders>
              <w:tl2br w:val="nil"/>
              <w:tr2bl w:val="nil"/>
            </w:tcBorders>
            <w:vAlign w:val="center"/>
          </w:tcPr>
          <w:p w:rsidR="00013EC7" w:rsidRDefault="00575CDB">
            <w:pPr>
              <w:widowControl/>
              <w:textAlignment w:val="center"/>
              <w:rPr>
                <w:rFonts w:ascii="仿宋" w:eastAsia="仿宋" w:hAnsi="仿宋" w:cs="仿宋"/>
                <w:color w:val="000000"/>
                <w:sz w:val="24"/>
              </w:rPr>
            </w:pPr>
            <w:r>
              <w:rPr>
                <w:rFonts w:ascii="仿宋" w:eastAsia="仿宋" w:hAnsi="仿宋" w:cs="仿宋" w:hint="eastAsia"/>
                <w:color w:val="000000"/>
                <w:kern w:val="0"/>
                <w:sz w:val="24"/>
              </w:rPr>
              <w:t>批发、零售有机肥产品的纳税人提交</w:t>
            </w:r>
          </w:p>
        </w:tc>
        <w:tc>
          <w:tcPr>
            <w:tcW w:w="3118" w:type="dxa"/>
            <w:vMerge w:val="restart"/>
            <w:tcBorders>
              <w:top w:val="single" w:sz="8" w:space="0" w:color="000000"/>
              <w:right w:val="single" w:sz="8" w:space="0" w:color="000000"/>
              <w:tl2br w:val="nil"/>
              <w:tr2bl w:val="nil"/>
            </w:tcBorders>
            <w:vAlign w:val="center"/>
          </w:tcPr>
          <w:p w:rsidR="00013EC7" w:rsidRDefault="00575CDB">
            <w:pPr>
              <w:widowControl/>
              <w:textAlignment w:val="center"/>
              <w:rPr>
                <w:rFonts w:ascii="仿宋" w:eastAsia="仿宋" w:hAnsi="仿宋" w:cs="仿宋"/>
                <w:color w:val="000000"/>
                <w:sz w:val="24"/>
              </w:rPr>
            </w:pPr>
            <w:r>
              <w:rPr>
                <w:rFonts w:ascii="仿宋" w:eastAsia="仿宋" w:hAnsi="仿宋" w:cs="仿宋" w:hint="eastAsia"/>
                <w:color w:val="000000"/>
                <w:kern w:val="0"/>
                <w:sz w:val="24"/>
              </w:rPr>
              <w:t>（十九）由肥料产品质量检验机构一年内出具的有机肥产品质量技术检测合格报告原件。出具报告的肥料产品质量检验机构须通过资质认定（</w:t>
            </w:r>
            <w:r>
              <w:rPr>
                <w:rFonts w:ascii="仿宋" w:eastAsia="仿宋" w:hAnsi="仿宋" w:cs="仿宋" w:hint="eastAsia"/>
                <w:color w:val="000000"/>
                <w:kern w:val="0"/>
                <w:sz w:val="24"/>
                <w:lang w:val="zh-CN"/>
              </w:rPr>
              <w:t>批发、零售有机肥产品的纳税人提交生产企业提供的产品质量技术检验合格报告原件</w:t>
            </w:r>
            <w:r>
              <w:rPr>
                <w:rFonts w:ascii="仿宋" w:eastAsia="仿宋" w:hAnsi="仿宋" w:cs="仿宋" w:hint="eastAsia"/>
                <w:color w:val="000000"/>
                <w:kern w:val="0"/>
                <w:sz w:val="24"/>
              </w:rPr>
              <w:t>）。</w:t>
            </w:r>
          </w:p>
        </w:tc>
        <w:tc>
          <w:tcPr>
            <w:tcW w:w="1276" w:type="dxa"/>
            <w:vMerge w:val="restart"/>
            <w:tcBorders>
              <w:top w:val="single" w:sz="8" w:space="0" w:color="000000"/>
              <w:left w:val="single" w:sz="8" w:space="0" w:color="000000"/>
              <w:tl2br w:val="nil"/>
              <w:tr2bl w:val="nil"/>
            </w:tcBorders>
            <w:vAlign w:val="center"/>
          </w:tcPr>
          <w:p w:rsidR="00013EC7" w:rsidRDefault="00575CDB">
            <w:pPr>
              <w:widowControl/>
              <w:jc w:val="left"/>
              <w:textAlignment w:val="center"/>
              <w:rPr>
                <w:rFonts w:ascii="仿宋" w:eastAsia="仿宋" w:hAnsi="仿宋" w:cs="仿宋"/>
                <w:b/>
                <w:i/>
                <w:color w:val="000000"/>
                <w:sz w:val="24"/>
              </w:rPr>
            </w:pPr>
            <w:r>
              <w:rPr>
                <w:rFonts w:ascii="仿宋" w:eastAsia="仿宋" w:hAnsi="仿宋" w:cs="仿宋" w:hint="eastAsia"/>
                <w:color w:val="000000"/>
                <w:kern w:val="0"/>
                <w:sz w:val="24"/>
              </w:rPr>
              <w:t>符合有机肥产品免征增值税优惠条件的纳税人提交</w:t>
            </w:r>
          </w:p>
        </w:tc>
        <w:tc>
          <w:tcPr>
            <w:tcW w:w="2268" w:type="dxa"/>
            <w:vMerge/>
            <w:tcBorders>
              <w:tl2br w:val="nil"/>
              <w:tr2bl w:val="nil"/>
            </w:tcBorders>
            <w:vAlign w:val="center"/>
          </w:tcPr>
          <w:p w:rsidR="00013EC7" w:rsidRDefault="00013EC7">
            <w:pPr>
              <w:widowControl/>
              <w:textAlignment w:val="center"/>
              <w:rPr>
                <w:rFonts w:ascii="仿宋" w:eastAsia="仿宋" w:hAnsi="仿宋" w:cs="仿宋"/>
                <w:b/>
                <w:color w:val="000000"/>
                <w:sz w:val="24"/>
              </w:rPr>
            </w:pPr>
          </w:p>
        </w:tc>
        <w:tc>
          <w:tcPr>
            <w:tcW w:w="567" w:type="dxa"/>
            <w:vMerge/>
            <w:tcBorders>
              <w:tl2br w:val="nil"/>
              <w:tr2bl w:val="nil"/>
            </w:tcBorders>
          </w:tcPr>
          <w:p w:rsidR="00013EC7" w:rsidRDefault="00013EC7">
            <w:pPr>
              <w:jc w:val="center"/>
              <w:rPr>
                <w:rFonts w:ascii="仿宋" w:eastAsia="仿宋" w:hAnsi="仿宋" w:cs="仿宋"/>
                <w:color w:val="000000"/>
                <w:sz w:val="24"/>
              </w:rPr>
            </w:pPr>
          </w:p>
        </w:tc>
        <w:tc>
          <w:tcPr>
            <w:tcW w:w="851" w:type="dxa"/>
            <w:vMerge/>
            <w:tcBorders>
              <w:tl2br w:val="nil"/>
              <w:tr2bl w:val="nil"/>
            </w:tcBorders>
          </w:tcPr>
          <w:p w:rsidR="00013EC7" w:rsidRDefault="00013EC7">
            <w:pPr>
              <w:jc w:val="center"/>
              <w:rPr>
                <w:rFonts w:ascii="仿宋" w:eastAsia="仿宋" w:hAnsi="仿宋" w:cs="仿宋"/>
                <w:color w:val="000000"/>
                <w:sz w:val="24"/>
              </w:rPr>
            </w:pPr>
          </w:p>
        </w:tc>
        <w:tc>
          <w:tcPr>
            <w:tcW w:w="708" w:type="dxa"/>
            <w:vMerge/>
            <w:tcBorders>
              <w:tl2br w:val="nil"/>
              <w:tr2bl w:val="nil"/>
            </w:tcBorders>
          </w:tcPr>
          <w:p w:rsidR="00013EC7" w:rsidRDefault="00013EC7">
            <w:pPr>
              <w:jc w:val="center"/>
              <w:rPr>
                <w:rFonts w:ascii="仿宋" w:eastAsia="仿宋" w:hAnsi="仿宋" w:cs="仿宋"/>
                <w:color w:val="000000"/>
                <w:sz w:val="24"/>
              </w:rPr>
            </w:pPr>
          </w:p>
        </w:tc>
        <w:tc>
          <w:tcPr>
            <w:tcW w:w="993" w:type="dxa"/>
            <w:vMerge/>
            <w:tcBorders>
              <w:tl2br w:val="nil"/>
              <w:tr2bl w:val="nil"/>
            </w:tcBorders>
          </w:tcPr>
          <w:p w:rsidR="00013EC7" w:rsidRDefault="00013EC7">
            <w:pPr>
              <w:jc w:val="center"/>
              <w:rPr>
                <w:rFonts w:ascii="仿宋" w:eastAsia="仿宋" w:hAnsi="仿宋" w:cs="仿宋"/>
                <w:color w:val="000000"/>
                <w:sz w:val="24"/>
              </w:rPr>
            </w:pPr>
          </w:p>
        </w:tc>
        <w:tc>
          <w:tcPr>
            <w:tcW w:w="978" w:type="dxa"/>
            <w:vMerge/>
            <w:tcBorders>
              <w:tl2br w:val="nil"/>
              <w:tr2bl w:val="nil"/>
            </w:tcBorders>
          </w:tcPr>
          <w:p w:rsidR="00013EC7" w:rsidRDefault="00013EC7">
            <w:pPr>
              <w:rPr>
                <w:rFonts w:ascii="仿宋" w:eastAsia="仿宋" w:hAnsi="仿宋" w:cs="仿宋"/>
                <w:color w:val="000000"/>
                <w:sz w:val="24"/>
              </w:rPr>
            </w:pPr>
          </w:p>
        </w:tc>
      </w:tr>
      <w:tr w:rsidR="00013EC7">
        <w:trPr>
          <w:trHeight w:val="802"/>
        </w:trPr>
        <w:tc>
          <w:tcPr>
            <w:tcW w:w="639" w:type="dxa"/>
            <w:vMerge/>
            <w:tcBorders>
              <w:tl2br w:val="nil"/>
              <w:tr2bl w:val="nil"/>
            </w:tcBorders>
            <w:vAlign w:val="center"/>
          </w:tcPr>
          <w:p w:rsidR="00013EC7" w:rsidRDefault="00013EC7">
            <w:pPr>
              <w:rPr>
                <w:rFonts w:ascii="仿宋" w:eastAsia="仿宋" w:hAnsi="仿宋" w:cs="仿宋"/>
                <w:color w:val="000000"/>
                <w:sz w:val="24"/>
              </w:rPr>
            </w:pPr>
          </w:p>
        </w:tc>
        <w:tc>
          <w:tcPr>
            <w:tcW w:w="510" w:type="dxa"/>
            <w:vMerge/>
            <w:tcBorders>
              <w:tl2br w:val="nil"/>
              <w:tr2bl w:val="nil"/>
            </w:tcBorders>
            <w:vAlign w:val="center"/>
          </w:tcPr>
          <w:p w:rsidR="00013EC7" w:rsidRDefault="00013EC7">
            <w:pPr>
              <w:rPr>
                <w:rFonts w:ascii="仿宋" w:eastAsia="仿宋" w:hAnsi="仿宋" w:cs="仿宋"/>
                <w:color w:val="000000"/>
                <w:sz w:val="24"/>
              </w:rPr>
            </w:pPr>
          </w:p>
        </w:tc>
        <w:tc>
          <w:tcPr>
            <w:tcW w:w="3544" w:type="dxa"/>
            <w:vMerge/>
            <w:tcBorders>
              <w:tl2br w:val="nil"/>
              <w:tr2bl w:val="nil"/>
            </w:tcBorders>
            <w:vAlign w:val="center"/>
          </w:tcPr>
          <w:p w:rsidR="00013EC7" w:rsidRDefault="00013EC7">
            <w:pPr>
              <w:rPr>
                <w:rFonts w:ascii="仿宋" w:eastAsia="仿宋" w:hAnsi="仿宋" w:cs="仿宋"/>
                <w:color w:val="000000"/>
                <w:sz w:val="24"/>
              </w:rPr>
            </w:pPr>
          </w:p>
        </w:tc>
        <w:tc>
          <w:tcPr>
            <w:tcW w:w="3260" w:type="dxa"/>
            <w:tcBorders>
              <w:bottom w:val="single" w:sz="8" w:space="0" w:color="000000"/>
              <w:tl2br w:val="nil"/>
              <w:tr2bl w:val="nil"/>
            </w:tcBorders>
            <w:vAlign w:val="center"/>
          </w:tcPr>
          <w:p w:rsidR="00013EC7" w:rsidRDefault="00575CDB">
            <w:pPr>
              <w:widowControl/>
              <w:textAlignment w:val="center"/>
              <w:rPr>
                <w:rFonts w:ascii="仿宋" w:eastAsia="仿宋" w:hAnsi="仿宋" w:cs="仿宋"/>
                <w:color w:val="000000"/>
                <w:sz w:val="24"/>
              </w:rPr>
            </w:pPr>
            <w:r>
              <w:rPr>
                <w:rFonts w:ascii="仿宋" w:eastAsia="仿宋" w:hAnsi="仿宋" w:cs="仿宋" w:hint="eastAsia"/>
                <w:color w:val="000000"/>
                <w:kern w:val="0"/>
                <w:sz w:val="24"/>
              </w:rPr>
              <w:t>（十九）生产企业提供的产品质量技术检验合格报告原件。</w:t>
            </w:r>
          </w:p>
        </w:tc>
        <w:tc>
          <w:tcPr>
            <w:tcW w:w="1418" w:type="dxa"/>
            <w:vMerge/>
            <w:tcBorders>
              <w:tl2br w:val="nil"/>
              <w:tr2bl w:val="nil"/>
            </w:tcBorders>
            <w:vAlign w:val="center"/>
          </w:tcPr>
          <w:p w:rsidR="00013EC7" w:rsidRDefault="00013EC7">
            <w:pPr>
              <w:widowControl/>
              <w:textAlignment w:val="center"/>
              <w:rPr>
                <w:rFonts w:ascii="仿宋" w:eastAsia="仿宋" w:hAnsi="仿宋" w:cs="仿宋"/>
                <w:color w:val="000000"/>
                <w:sz w:val="24"/>
              </w:rPr>
            </w:pPr>
          </w:p>
        </w:tc>
        <w:tc>
          <w:tcPr>
            <w:tcW w:w="3118" w:type="dxa"/>
            <w:vMerge/>
            <w:tcBorders>
              <w:bottom w:val="single" w:sz="8" w:space="0" w:color="000000"/>
              <w:right w:val="single" w:sz="8" w:space="0" w:color="000000"/>
              <w:tl2br w:val="nil"/>
              <w:tr2bl w:val="nil"/>
            </w:tcBorders>
            <w:vAlign w:val="center"/>
          </w:tcPr>
          <w:p w:rsidR="00013EC7" w:rsidRDefault="00013EC7">
            <w:pPr>
              <w:widowControl/>
              <w:textAlignment w:val="center"/>
              <w:rPr>
                <w:rFonts w:ascii="仿宋" w:eastAsia="仿宋" w:hAnsi="仿宋" w:cs="仿宋"/>
                <w:color w:val="000000"/>
                <w:sz w:val="24"/>
              </w:rPr>
            </w:pPr>
          </w:p>
        </w:tc>
        <w:tc>
          <w:tcPr>
            <w:tcW w:w="1276" w:type="dxa"/>
            <w:vMerge/>
            <w:tcBorders>
              <w:left w:val="single" w:sz="8" w:space="0" w:color="000000"/>
              <w:bottom w:val="single" w:sz="8" w:space="0" w:color="000000"/>
              <w:tl2br w:val="nil"/>
              <w:tr2bl w:val="nil"/>
            </w:tcBorders>
            <w:vAlign w:val="center"/>
          </w:tcPr>
          <w:p w:rsidR="00013EC7" w:rsidRDefault="00013EC7">
            <w:pPr>
              <w:widowControl/>
              <w:jc w:val="left"/>
              <w:textAlignment w:val="center"/>
              <w:rPr>
                <w:rFonts w:ascii="仿宋" w:eastAsia="仿宋" w:hAnsi="仿宋" w:cs="仿宋"/>
                <w:color w:val="000000"/>
                <w:sz w:val="24"/>
              </w:rPr>
            </w:pPr>
          </w:p>
        </w:tc>
        <w:tc>
          <w:tcPr>
            <w:tcW w:w="2268" w:type="dxa"/>
            <w:vMerge/>
            <w:tcBorders>
              <w:tl2br w:val="nil"/>
              <w:tr2bl w:val="nil"/>
            </w:tcBorders>
            <w:vAlign w:val="center"/>
          </w:tcPr>
          <w:p w:rsidR="00013EC7" w:rsidRDefault="00013EC7">
            <w:pPr>
              <w:rPr>
                <w:rFonts w:ascii="仿宋" w:eastAsia="仿宋" w:hAnsi="仿宋" w:cs="仿宋"/>
                <w:color w:val="000000"/>
                <w:sz w:val="24"/>
              </w:rPr>
            </w:pPr>
          </w:p>
        </w:tc>
        <w:tc>
          <w:tcPr>
            <w:tcW w:w="567" w:type="dxa"/>
            <w:vMerge/>
            <w:tcBorders>
              <w:tl2br w:val="nil"/>
              <w:tr2bl w:val="nil"/>
            </w:tcBorders>
          </w:tcPr>
          <w:p w:rsidR="00013EC7" w:rsidRDefault="00013EC7">
            <w:pPr>
              <w:jc w:val="center"/>
              <w:rPr>
                <w:rFonts w:ascii="仿宋" w:eastAsia="仿宋" w:hAnsi="仿宋" w:cs="仿宋"/>
                <w:color w:val="000000"/>
                <w:sz w:val="24"/>
              </w:rPr>
            </w:pPr>
          </w:p>
        </w:tc>
        <w:tc>
          <w:tcPr>
            <w:tcW w:w="851" w:type="dxa"/>
            <w:vMerge/>
            <w:tcBorders>
              <w:tl2br w:val="nil"/>
              <w:tr2bl w:val="nil"/>
            </w:tcBorders>
          </w:tcPr>
          <w:p w:rsidR="00013EC7" w:rsidRDefault="00013EC7">
            <w:pPr>
              <w:jc w:val="center"/>
              <w:rPr>
                <w:rFonts w:ascii="仿宋" w:eastAsia="仿宋" w:hAnsi="仿宋" w:cs="仿宋"/>
                <w:color w:val="000000"/>
                <w:sz w:val="24"/>
              </w:rPr>
            </w:pPr>
          </w:p>
        </w:tc>
        <w:tc>
          <w:tcPr>
            <w:tcW w:w="708" w:type="dxa"/>
            <w:vMerge/>
            <w:tcBorders>
              <w:tl2br w:val="nil"/>
              <w:tr2bl w:val="nil"/>
            </w:tcBorders>
          </w:tcPr>
          <w:p w:rsidR="00013EC7" w:rsidRDefault="00013EC7">
            <w:pPr>
              <w:jc w:val="center"/>
              <w:rPr>
                <w:rFonts w:ascii="仿宋" w:eastAsia="仿宋" w:hAnsi="仿宋" w:cs="仿宋"/>
                <w:color w:val="000000"/>
                <w:sz w:val="24"/>
              </w:rPr>
            </w:pPr>
          </w:p>
        </w:tc>
        <w:tc>
          <w:tcPr>
            <w:tcW w:w="993" w:type="dxa"/>
            <w:vMerge/>
            <w:tcBorders>
              <w:tl2br w:val="nil"/>
              <w:tr2bl w:val="nil"/>
            </w:tcBorders>
          </w:tcPr>
          <w:p w:rsidR="00013EC7" w:rsidRDefault="00013EC7">
            <w:pPr>
              <w:jc w:val="center"/>
              <w:rPr>
                <w:rFonts w:ascii="仿宋" w:eastAsia="仿宋" w:hAnsi="仿宋" w:cs="仿宋"/>
                <w:color w:val="000000"/>
                <w:sz w:val="24"/>
              </w:rPr>
            </w:pPr>
          </w:p>
        </w:tc>
        <w:tc>
          <w:tcPr>
            <w:tcW w:w="978" w:type="dxa"/>
            <w:vMerge/>
            <w:tcBorders>
              <w:tl2br w:val="nil"/>
              <w:tr2bl w:val="nil"/>
            </w:tcBorders>
          </w:tcPr>
          <w:p w:rsidR="00013EC7" w:rsidRDefault="00013EC7">
            <w:pPr>
              <w:rPr>
                <w:rFonts w:ascii="仿宋" w:eastAsia="仿宋" w:hAnsi="仿宋" w:cs="仿宋"/>
                <w:color w:val="000000"/>
                <w:sz w:val="24"/>
              </w:rPr>
            </w:pPr>
          </w:p>
        </w:tc>
      </w:tr>
      <w:tr w:rsidR="00013EC7">
        <w:trPr>
          <w:trHeight w:val="942"/>
        </w:trPr>
        <w:tc>
          <w:tcPr>
            <w:tcW w:w="639" w:type="dxa"/>
            <w:vMerge/>
            <w:tcBorders>
              <w:tl2br w:val="nil"/>
              <w:tr2bl w:val="nil"/>
            </w:tcBorders>
            <w:vAlign w:val="center"/>
          </w:tcPr>
          <w:p w:rsidR="00013EC7" w:rsidRDefault="00013EC7">
            <w:pPr>
              <w:rPr>
                <w:rFonts w:ascii="仿宋" w:eastAsia="仿宋" w:hAnsi="仿宋" w:cs="仿宋"/>
                <w:color w:val="000000"/>
                <w:sz w:val="24"/>
              </w:rPr>
            </w:pPr>
          </w:p>
        </w:tc>
        <w:tc>
          <w:tcPr>
            <w:tcW w:w="510" w:type="dxa"/>
            <w:vMerge/>
            <w:tcBorders>
              <w:tl2br w:val="nil"/>
              <w:tr2bl w:val="nil"/>
            </w:tcBorders>
            <w:vAlign w:val="center"/>
          </w:tcPr>
          <w:p w:rsidR="00013EC7" w:rsidRDefault="00013EC7">
            <w:pPr>
              <w:rPr>
                <w:rFonts w:ascii="仿宋" w:eastAsia="仿宋" w:hAnsi="仿宋" w:cs="仿宋"/>
                <w:color w:val="000000"/>
                <w:sz w:val="24"/>
              </w:rPr>
            </w:pPr>
          </w:p>
        </w:tc>
        <w:tc>
          <w:tcPr>
            <w:tcW w:w="3544" w:type="dxa"/>
            <w:vMerge/>
            <w:tcBorders>
              <w:tl2br w:val="nil"/>
              <w:tr2bl w:val="nil"/>
            </w:tcBorders>
            <w:vAlign w:val="center"/>
          </w:tcPr>
          <w:p w:rsidR="00013EC7" w:rsidRDefault="00013EC7">
            <w:pPr>
              <w:rPr>
                <w:rFonts w:ascii="仿宋" w:eastAsia="仿宋" w:hAnsi="仿宋" w:cs="仿宋"/>
                <w:color w:val="000000"/>
                <w:sz w:val="24"/>
              </w:rPr>
            </w:pPr>
          </w:p>
        </w:tc>
        <w:tc>
          <w:tcPr>
            <w:tcW w:w="3260" w:type="dxa"/>
            <w:tcBorders>
              <w:top w:val="single" w:sz="8" w:space="0" w:color="000000"/>
              <w:tl2br w:val="nil"/>
              <w:tr2bl w:val="nil"/>
            </w:tcBorders>
            <w:vAlign w:val="center"/>
          </w:tcPr>
          <w:p w:rsidR="00013EC7" w:rsidRDefault="00575CDB">
            <w:pPr>
              <w:widowControl/>
              <w:textAlignment w:val="center"/>
              <w:rPr>
                <w:rFonts w:ascii="仿宋" w:eastAsia="仿宋" w:hAnsi="仿宋" w:cs="仿宋"/>
                <w:color w:val="000000"/>
                <w:kern w:val="0"/>
                <w:sz w:val="24"/>
                <w:highlight w:val="lightGray"/>
              </w:rPr>
            </w:pPr>
            <w:r>
              <w:rPr>
                <w:rFonts w:ascii="仿宋" w:eastAsia="仿宋" w:hAnsi="仿宋" w:cs="仿宋" w:hint="eastAsia"/>
                <w:color w:val="000000"/>
                <w:kern w:val="0"/>
                <w:sz w:val="24"/>
                <w:highlight w:val="lightGray"/>
              </w:rPr>
              <w:t>（二十一）省级农业行政主管部门办理备案的证明原件及复印件（加盖公章）。</w:t>
            </w:r>
          </w:p>
        </w:tc>
        <w:tc>
          <w:tcPr>
            <w:tcW w:w="1418" w:type="dxa"/>
            <w:vMerge/>
            <w:tcBorders>
              <w:tl2br w:val="nil"/>
              <w:tr2bl w:val="nil"/>
            </w:tcBorders>
            <w:vAlign w:val="center"/>
          </w:tcPr>
          <w:p w:rsidR="00013EC7" w:rsidRDefault="00013EC7">
            <w:pPr>
              <w:widowControl/>
              <w:textAlignment w:val="center"/>
              <w:rPr>
                <w:rFonts w:ascii="仿宋" w:eastAsia="仿宋" w:hAnsi="仿宋" w:cs="仿宋"/>
                <w:color w:val="000000"/>
                <w:sz w:val="24"/>
              </w:rPr>
            </w:pPr>
          </w:p>
        </w:tc>
        <w:tc>
          <w:tcPr>
            <w:tcW w:w="3118" w:type="dxa"/>
            <w:vMerge w:val="restart"/>
            <w:tcBorders>
              <w:top w:val="single" w:sz="8" w:space="0" w:color="000000"/>
              <w:right w:val="single" w:sz="8" w:space="0" w:color="000000"/>
              <w:tl2br w:val="nil"/>
              <w:tr2bl w:val="nil"/>
            </w:tcBorders>
            <w:vAlign w:val="center"/>
          </w:tcPr>
          <w:p w:rsidR="00013EC7" w:rsidRDefault="00013EC7">
            <w:pPr>
              <w:widowControl/>
              <w:textAlignment w:val="center"/>
              <w:rPr>
                <w:rFonts w:ascii="仿宋" w:eastAsia="仿宋" w:hAnsi="仿宋" w:cs="仿宋"/>
                <w:color w:val="000000"/>
                <w:sz w:val="24"/>
              </w:rPr>
            </w:pPr>
          </w:p>
        </w:tc>
        <w:tc>
          <w:tcPr>
            <w:tcW w:w="1276" w:type="dxa"/>
            <w:vMerge w:val="restart"/>
            <w:tcBorders>
              <w:top w:val="single" w:sz="8" w:space="0" w:color="000000"/>
              <w:left w:val="single" w:sz="8" w:space="0" w:color="000000"/>
              <w:tl2br w:val="nil"/>
              <w:tr2bl w:val="nil"/>
            </w:tcBorders>
            <w:vAlign w:val="center"/>
          </w:tcPr>
          <w:p w:rsidR="00013EC7" w:rsidRDefault="00575CDB">
            <w:pPr>
              <w:widowControl/>
              <w:jc w:val="left"/>
              <w:textAlignment w:val="center"/>
              <w:rPr>
                <w:rFonts w:ascii="仿宋" w:eastAsia="仿宋" w:hAnsi="仿宋" w:cs="仿宋"/>
                <w:color w:val="000000"/>
                <w:sz w:val="24"/>
              </w:rPr>
            </w:pPr>
            <w:r>
              <w:rPr>
                <w:rFonts w:ascii="仿宋" w:eastAsia="仿宋" w:hAnsi="仿宋" w:cs="仿宋" w:hint="eastAsia"/>
                <w:b/>
                <w:i/>
                <w:color w:val="000000"/>
                <w:kern w:val="0"/>
                <w:sz w:val="24"/>
              </w:rPr>
              <w:t>取消</w:t>
            </w:r>
          </w:p>
        </w:tc>
        <w:tc>
          <w:tcPr>
            <w:tcW w:w="2268" w:type="dxa"/>
            <w:vMerge/>
            <w:tcBorders>
              <w:tl2br w:val="nil"/>
              <w:tr2bl w:val="nil"/>
            </w:tcBorders>
            <w:vAlign w:val="center"/>
          </w:tcPr>
          <w:p w:rsidR="00013EC7" w:rsidRDefault="00013EC7">
            <w:pPr>
              <w:rPr>
                <w:rFonts w:ascii="仿宋" w:eastAsia="仿宋" w:hAnsi="仿宋" w:cs="仿宋"/>
                <w:color w:val="000000"/>
                <w:sz w:val="24"/>
              </w:rPr>
            </w:pPr>
          </w:p>
        </w:tc>
        <w:tc>
          <w:tcPr>
            <w:tcW w:w="567" w:type="dxa"/>
            <w:vMerge/>
            <w:tcBorders>
              <w:tl2br w:val="nil"/>
              <w:tr2bl w:val="nil"/>
            </w:tcBorders>
          </w:tcPr>
          <w:p w:rsidR="00013EC7" w:rsidRDefault="00013EC7">
            <w:pPr>
              <w:jc w:val="center"/>
              <w:rPr>
                <w:rFonts w:ascii="仿宋" w:eastAsia="仿宋" w:hAnsi="仿宋" w:cs="仿宋"/>
                <w:color w:val="000000"/>
                <w:sz w:val="24"/>
              </w:rPr>
            </w:pPr>
          </w:p>
        </w:tc>
        <w:tc>
          <w:tcPr>
            <w:tcW w:w="851" w:type="dxa"/>
            <w:vMerge/>
            <w:tcBorders>
              <w:tl2br w:val="nil"/>
              <w:tr2bl w:val="nil"/>
            </w:tcBorders>
          </w:tcPr>
          <w:p w:rsidR="00013EC7" w:rsidRDefault="00013EC7">
            <w:pPr>
              <w:jc w:val="center"/>
              <w:rPr>
                <w:rFonts w:ascii="仿宋" w:eastAsia="仿宋" w:hAnsi="仿宋" w:cs="仿宋"/>
                <w:color w:val="000000"/>
                <w:sz w:val="24"/>
              </w:rPr>
            </w:pPr>
          </w:p>
        </w:tc>
        <w:tc>
          <w:tcPr>
            <w:tcW w:w="708" w:type="dxa"/>
            <w:vMerge/>
            <w:tcBorders>
              <w:tl2br w:val="nil"/>
              <w:tr2bl w:val="nil"/>
            </w:tcBorders>
          </w:tcPr>
          <w:p w:rsidR="00013EC7" w:rsidRDefault="00013EC7">
            <w:pPr>
              <w:jc w:val="center"/>
              <w:rPr>
                <w:rFonts w:ascii="仿宋" w:eastAsia="仿宋" w:hAnsi="仿宋" w:cs="仿宋"/>
                <w:color w:val="000000"/>
                <w:sz w:val="24"/>
              </w:rPr>
            </w:pPr>
          </w:p>
        </w:tc>
        <w:tc>
          <w:tcPr>
            <w:tcW w:w="993" w:type="dxa"/>
            <w:vMerge/>
            <w:tcBorders>
              <w:tl2br w:val="nil"/>
              <w:tr2bl w:val="nil"/>
            </w:tcBorders>
          </w:tcPr>
          <w:p w:rsidR="00013EC7" w:rsidRDefault="00013EC7">
            <w:pPr>
              <w:jc w:val="center"/>
              <w:rPr>
                <w:rFonts w:ascii="仿宋" w:eastAsia="仿宋" w:hAnsi="仿宋" w:cs="仿宋"/>
                <w:color w:val="000000"/>
                <w:sz w:val="24"/>
              </w:rPr>
            </w:pPr>
          </w:p>
        </w:tc>
        <w:tc>
          <w:tcPr>
            <w:tcW w:w="978" w:type="dxa"/>
            <w:vMerge/>
            <w:tcBorders>
              <w:tl2br w:val="nil"/>
              <w:tr2bl w:val="nil"/>
            </w:tcBorders>
          </w:tcPr>
          <w:p w:rsidR="00013EC7" w:rsidRDefault="00013EC7">
            <w:pPr>
              <w:rPr>
                <w:rFonts w:ascii="仿宋" w:eastAsia="仿宋" w:hAnsi="仿宋" w:cs="仿宋"/>
                <w:color w:val="000000"/>
                <w:sz w:val="24"/>
              </w:rPr>
            </w:pPr>
          </w:p>
        </w:tc>
      </w:tr>
      <w:tr w:rsidR="00013EC7">
        <w:trPr>
          <w:trHeight w:val="815"/>
        </w:trPr>
        <w:tc>
          <w:tcPr>
            <w:tcW w:w="639" w:type="dxa"/>
            <w:vMerge/>
            <w:tcBorders>
              <w:tl2br w:val="nil"/>
              <w:tr2bl w:val="nil"/>
            </w:tcBorders>
            <w:vAlign w:val="center"/>
          </w:tcPr>
          <w:p w:rsidR="00013EC7" w:rsidRDefault="00013EC7">
            <w:pPr>
              <w:rPr>
                <w:rFonts w:ascii="仿宋" w:eastAsia="仿宋" w:hAnsi="仿宋" w:cs="仿宋"/>
                <w:color w:val="000000"/>
                <w:sz w:val="24"/>
              </w:rPr>
            </w:pPr>
          </w:p>
        </w:tc>
        <w:tc>
          <w:tcPr>
            <w:tcW w:w="510" w:type="dxa"/>
            <w:vMerge/>
            <w:tcBorders>
              <w:tl2br w:val="nil"/>
              <w:tr2bl w:val="nil"/>
            </w:tcBorders>
            <w:vAlign w:val="center"/>
          </w:tcPr>
          <w:p w:rsidR="00013EC7" w:rsidRDefault="00013EC7">
            <w:pPr>
              <w:rPr>
                <w:rFonts w:ascii="仿宋" w:eastAsia="仿宋" w:hAnsi="仿宋" w:cs="仿宋"/>
                <w:color w:val="000000"/>
                <w:sz w:val="24"/>
              </w:rPr>
            </w:pPr>
          </w:p>
        </w:tc>
        <w:tc>
          <w:tcPr>
            <w:tcW w:w="3544" w:type="dxa"/>
            <w:vMerge/>
            <w:tcBorders>
              <w:tl2br w:val="nil"/>
              <w:tr2bl w:val="nil"/>
            </w:tcBorders>
            <w:vAlign w:val="center"/>
          </w:tcPr>
          <w:p w:rsidR="00013EC7" w:rsidRDefault="00013EC7">
            <w:pPr>
              <w:rPr>
                <w:rFonts w:ascii="仿宋" w:eastAsia="仿宋" w:hAnsi="仿宋" w:cs="仿宋"/>
                <w:color w:val="000000"/>
                <w:sz w:val="24"/>
              </w:rPr>
            </w:pPr>
          </w:p>
        </w:tc>
        <w:tc>
          <w:tcPr>
            <w:tcW w:w="3260" w:type="dxa"/>
            <w:tcBorders>
              <w:tl2br w:val="nil"/>
              <w:tr2bl w:val="nil"/>
            </w:tcBorders>
            <w:vAlign w:val="center"/>
          </w:tcPr>
          <w:p w:rsidR="00013EC7" w:rsidRDefault="00575CDB">
            <w:pPr>
              <w:widowControl/>
              <w:textAlignment w:val="center"/>
              <w:rPr>
                <w:rFonts w:ascii="仿宋" w:eastAsia="仿宋" w:hAnsi="仿宋" w:cs="仿宋"/>
                <w:color w:val="000000"/>
                <w:kern w:val="0"/>
                <w:sz w:val="24"/>
                <w:highlight w:val="lightGray"/>
              </w:rPr>
            </w:pPr>
            <w:r>
              <w:rPr>
                <w:rFonts w:ascii="仿宋" w:eastAsia="仿宋" w:hAnsi="仿宋" w:cs="仿宋" w:hint="eastAsia"/>
                <w:color w:val="000000"/>
                <w:kern w:val="0"/>
                <w:sz w:val="24"/>
                <w:highlight w:val="lightGray"/>
              </w:rPr>
              <w:t>（二十）在省、自治区、直辖市外销售有机肥产品的，还应提供在销售使用地省级农业行政主管部门办理备案的证明复印件（加盖公章）。</w:t>
            </w:r>
          </w:p>
        </w:tc>
        <w:tc>
          <w:tcPr>
            <w:tcW w:w="1418" w:type="dxa"/>
            <w:vMerge/>
            <w:tcBorders>
              <w:tl2br w:val="nil"/>
              <w:tr2bl w:val="nil"/>
            </w:tcBorders>
            <w:vAlign w:val="center"/>
          </w:tcPr>
          <w:p w:rsidR="00013EC7" w:rsidRDefault="00013EC7">
            <w:pPr>
              <w:widowControl/>
              <w:textAlignment w:val="center"/>
              <w:rPr>
                <w:rFonts w:ascii="仿宋" w:eastAsia="仿宋" w:hAnsi="仿宋" w:cs="仿宋"/>
                <w:color w:val="000000"/>
                <w:sz w:val="24"/>
              </w:rPr>
            </w:pPr>
          </w:p>
        </w:tc>
        <w:tc>
          <w:tcPr>
            <w:tcW w:w="3118" w:type="dxa"/>
            <w:vMerge/>
            <w:tcBorders>
              <w:right w:val="single" w:sz="8" w:space="0" w:color="000000"/>
              <w:tl2br w:val="nil"/>
              <w:tr2bl w:val="nil"/>
            </w:tcBorders>
            <w:vAlign w:val="center"/>
          </w:tcPr>
          <w:p w:rsidR="00013EC7" w:rsidRDefault="00013EC7">
            <w:pPr>
              <w:widowControl/>
              <w:textAlignment w:val="center"/>
              <w:rPr>
                <w:rFonts w:ascii="仿宋" w:eastAsia="仿宋" w:hAnsi="仿宋" w:cs="仿宋"/>
                <w:color w:val="000000"/>
                <w:sz w:val="24"/>
              </w:rPr>
            </w:pPr>
          </w:p>
        </w:tc>
        <w:tc>
          <w:tcPr>
            <w:tcW w:w="1276" w:type="dxa"/>
            <w:vMerge/>
            <w:tcBorders>
              <w:left w:val="single" w:sz="8" w:space="0" w:color="000000"/>
              <w:tl2br w:val="nil"/>
              <w:tr2bl w:val="nil"/>
            </w:tcBorders>
            <w:vAlign w:val="center"/>
          </w:tcPr>
          <w:p w:rsidR="00013EC7" w:rsidRDefault="00013EC7">
            <w:pPr>
              <w:widowControl/>
              <w:jc w:val="left"/>
              <w:textAlignment w:val="center"/>
              <w:rPr>
                <w:rFonts w:ascii="仿宋" w:eastAsia="仿宋" w:hAnsi="仿宋" w:cs="仿宋"/>
                <w:b/>
                <w:i/>
                <w:color w:val="000000"/>
                <w:sz w:val="24"/>
              </w:rPr>
            </w:pPr>
          </w:p>
        </w:tc>
        <w:tc>
          <w:tcPr>
            <w:tcW w:w="2268" w:type="dxa"/>
            <w:vMerge/>
            <w:tcBorders>
              <w:tl2br w:val="nil"/>
              <w:tr2bl w:val="nil"/>
            </w:tcBorders>
            <w:vAlign w:val="center"/>
          </w:tcPr>
          <w:p w:rsidR="00013EC7" w:rsidRDefault="00013EC7">
            <w:pPr>
              <w:widowControl/>
              <w:jc w:val="left"/>
              <w:textAlignment w:val="center"/>
              <w:rPr>
                <w:rFonts w:ascii="仿宋" w:eastAsia="仿宋" w:hAnsi="仿宋" w:cs="仿宋"/>
                <w:b/>
                <w:color w:val="000000"/>
                <w:sz w:val="24"/>
              </w:rPr>
            </w:pPr>
          </w:p>
        </w:tc>
        <w:tc>
          <w:tcPr>
            <w:tcW w:w="567" w:type="dxa"/>
            <w:vMerge/>
            <w:tcBorders>
              <w:tl2br w:val="nil"/>
              <w:tr2bl w:val="nil"/>
            </w:tcBorders>
          </w:tcPr>
          <w:p w:rsidR="00013EC7" w:rsidRDefault="00013EC7">
            <w:pPr>
              <w:jc w:val="center"/>
              <w:rPr>
                <w:rFonts w:ascii="仿宋" w:eastAsia="仿宋" w:hAnsi="仿宋" w:cs="仿宋"/>
                <w:color w:val="000000"/>
                <w:sz w:val="24"/>
              </w:rPr>
            </w:pPr>
          </w:p>
        </w:tc>
        <w:tc>
          <w:tcPr>
            <w:tcW w:w="851" w:type="dxa"/>
            <w:vMerge/>
            <w:tcBorders>
              <w:tl2br w:val="nil"/>
              <w:tr2bl w:val="nil"/>
            </w:tcBorders>
          </w:tcPr>
          <w:p w:rsidR="00013EC7" w:rsidRDefault="00013EC7">
            <w:pPr>
              <w:jc w:val="center"/>
              <w:rPr>
                <w:rFonts w:ascii="仿宋" w:eastAsia="仿宋" w:hAnsi="仿宋" w:cs="仿宋"/>
                <w:color w:val="000000"/>
                <w:sz w:val="24"/>
              </w:rPr>
            </w:pPr>
          </w:p>
        </w:tc>
        <w:tc>
          <w:tcPr>
            <w:tcW w:w="708" w:type="dxa"/>
            <w:vMerge/>
            <w:tcBorders>
              <w:tl2br w:val="nil"/>
              <w:tr2bl w:val="nil"/>
            </w:tcBorders>
          </w:tcPr>
          <w:p w:rsidR="00013EC7" w:rsidRDefault="00013EC7">
            <w:pPr>
              <w:jc w:val="center"/>
              <w:rPr>
                <w:rFonts w:ascii="仿宋" w:eastAsia="仿宋" w:hAnsi="仿宋" w:cs="仿宋"/>
                <w:color w:val="000000"/>
                <w:sz w:val="24"/>
              </w:rPr>
            </w:pPr>
          </w:p>
        </w:tc>
        <w:tc>
          <w:tcPr>
            <w:tcW w:w="993" w:type="dxa"/>
            <w:vMerge/>
            <w:tcBorders>
              <w:tl2br w:val="nil"/>
              <w:tr2bl w:val="nil"/>
            </w:tcBorders>
          </w:tcPr>
          <w:p w:rsidR="00013EC7" w:rsidRDefault="00013EC7">
            <w:pPr>
              <w:jc w:val="center"/>
              <w:rPr>
                <w:rFonts w:ascii="仿宋" w:eastAsia="仿宋" w:hAnsi="仿宋" w:cs="仿宋"/>
                <w:color w:val="000000"/>
                <w:sz w:val="24"/>
              </w:rPr>
            </w:pPr>
          </w:p>
        </w:tc>
        <w:tc>
          <w:tcPr>
            <w:tcW w:w="978" w:type="dxa"/>
            <w:vMerge/>
            <w:tcBorders>
              <w:tl2br w:val="nil"/>
              <w:tr2bl w:val="nil"/>
            </w:tcBorders>
          </w:tcPr>
          <w:p w:rsidR="00013EC7" w:rsidRDefault="00013EC7">
            <w:pPr>
              <w:rPr>
                <w:rFonts w:ascii="仿宋" w:eastAsia="仿宋" w:hAnsi="仿宋" w:cs="仿宋"/>
                <w:color w:val="000000"/>
                <w:sz w:val="24"/>
              </w:rPr>
            </w:pPr>
          </w:p>
        </w:tc>
      </w:tr>
      <w:tr w:rsidR="00013EC7">
        <w:trPr>
          <w:trHeight w:val="1440"/>
        </w:trPr>
        <w:tc>
          <w:tcPr>
            <w:tcW w:w="639" w:type="dxa"/>
            <w:vMerge/>
            <w:tcBorders>
              <w:tl2br w:val="nil"/>
              <w:tr2bl w:val="nil"/>
            </w:tcBorders>
            <w:vAlign w:val="center"/>
          </w:tcPr>
          <w:p w:rsidR="00013EC7" w:rsidRDefault="00013EC7">
            <w:pPr>
              <w:rPr>
                <w:rFonts w:ascii="仿宋" w:eastAsia="仿宋" w:hAnsi="仿宋" w:cs="仿宋"/>
                <w:color w:val="000000"/>
                <w:sz w:val="24"/>
              </w:rPr>
            </w:pPr>
          </w:p>
        </w:tc>
        <w:tc>
          <w:tcPr>
            <w:tcW w:w="510" w:type="dxa"/>
            <w:vMerge/>
            <w:tcBorders>
              <w:tl2br w:val="nil"/>
              <w:tr2bl w:val="nil"/>
            </w:tcBorders>
            <w:vAlign w:val="center"/>
          </w:tcPr>
          <w:p w:rsidR="00013EC7" w:rsidRDefault="00013EC7">
            <w:pPr>
              <w:rPr>
                <w:rFonts w:ascii="仿宋" w:eastAsia="仿宋" w:hAnsi="仿宋" w:cs="仿宋"/>
                <w:color w:val="000000"/>
                <w:sz w:val="24"/>
              </w:rPr>
            </w:pPr>
          </w:p>
        </w:tc>
        <w:tc>
          <w:tcPr>
            <w:tcW w:w="3544" w:type="dxa"/>
            <w:vMerge/>
            <w:tcBorders>
              <w:tl2br w:val="nil"/>
              <w:tr2bl w:val="nil"/>
            </w:tcBorders>
            <w:vAlign w:val="center"/>
          </w:tcPr>
          <w:p w:rsidR="00013EC7" w:rsidRDefault="00013EC7">
            <w:pPr>
              <w:rPr>
                <w:rFonts w:ascii="仿宋" w:eastAsia="仿宋" w:hAnsi="仿宋" w:cs="仿宋"/>
                <w:color w:val="000000"/>
                <w:sz w:val="24"/>
              </w:rPr>
            </w:pPr>
          </w:p>
        </w:tc>
        <w:tc>
          <w:tcPr>
            <w:tcW w:w="3260" w:type="dxa"/>
            <w:tcBorders>
              <w:tl2br w:val="nil"/>
              <w:tr2bl w:val="nil"/>
            </w:tcBorders>
            <w:vAlign w:val="center"/>
          </w:tcPr>
          <w:p w:rsidR="00013EC7" w:rsidRDefault="00575CDB">
            <w:pPr>
              <w:widowControl/>
              <w:textAlignment w:val="center"/>
              <w:rPr>
                <w:rFonts w:ascii="仿宋" w:eastAsia="仿宋" w:hAnsi="仿宋" w:cs="仿宋"/>
                <w:color w:val="000000"/>
                <w:sz w:val="24"/>
              </w:rPr>
            </w:pPr>
            <w:r>
              <w:rPr>
                <w:rFonts w:ascii="仿宋" w:eastAsia="仿宋" w:hAnsi="仿宋" w:cs="仿宋" w:hint="eastAsia"/>
                <w:color w:val="000000"/>
                <w:kern w:val="0"/>
                <w:sz w:val="24"/>
              </w:rPr>
              <w:t>（二十二）省级税务机关认可的饲料质量检测机构出具的饲料产品合格证明</w:t>
            </w:r>
            <w:r>
              <w:rPr>
                <w:rFonts w:ascii="仿宋" w:eastAsia="仿宋" w:hAnsi="仿宋" w:cs="仿宋" w:hint="eastAsia"/>
                <w:color w:val="000000"/>
                <w:kern w:val="0"/>
                <w:sz w:val="24"/>
                <w:highlight w:val="lightGray"/>
              </w:rPr>
              <w:t>原件及</w:t>
            </w:r>
            <w:r>
              <w:rPr>
                <w:rFonts w:ascii="仿宋" w:eastAsia="仿宋" w:hAnsi="仿宋" w:cs="仿宋" w:hint="eastAsia"/>
                <w:color w:val="000000"/>
                <w:kern w:val="0"/>
                <w:sz w:val="24"/>
              </w:rPr>
              <w:t>复印件（加盖公章）。</w:t>
            </w:r>
          </w:p>
        </w:tc>
        <w:tc>
          <w:tcPr>
            <w:tcW w:w="1418" w:type="dxa"/>
            <w:tcBorders>
              <w:tl2br w:val="nil"/>
              <w:tr2bl w:val="nil"/>
            </w:tcBorders>
            <w:vAlign w:val="center"/>
          </w:tcPr>
          <w:p w:rsidR="00013EC7" w:rsidRDefault="00575CDB">
            <w:pPr>
              <w:widowControl/>
              <w:textAlignment w:val="center"/>
              <w:rPr>
                <w:rFonts w:ascii="仿宋" w:eastAsia="仿宋" w:hAnsi="仿宋" w:cs="仿宋"/>
                <w:color w:val="000000"/>
                <w:sz w:val="24"/>
              </w:rPr>
            </w:pPr>
            <w:r>
              <w:rPr>
                <w:rFonts w:ascii="仿宋" w:eastAsia="仿宋" w:hAnsi="仿宋" w:cs="仿宋" w:hint="eastAsia"/>
                <w:color w:val="000000"/>
                <w:kern w:val="0"/>
                <w:sz w:val="24"/>
              </w:rPr>
              <w:t>符合饲料产品免征增值税优惠条件的纳税人提交</w:t>
            </w:r>
          </w:p>
        </w:tc>
        <w:tc>
          <w:tcPr>
            <w:tcW w:w="3118" w:type="dxa"/>
            <w:tcBorders>
              <w:tl2br w:val="nil"/>
              <w:tr2bl w:val="nil"/>
            </w:tcBorders>
            <w:vAlign w:val="center"/>
          </w:tcPr>
          <w:p w:rsidR="00013EC7" w:rsidRDefault="00575CDB">
            <w:pPr>
              <w:widowControl/>
              <w:textAlignment w:val="center"/>
              <w:rPr>
                <w:rFonts w:ascii="仿宋" w:eastAsia="仿宋" w:hAnsi="仿宋" w:cs="仿宋"/>
                <w:color w:val="000000"/>
                <w:sz w:val="24"/>
              </w:rPr>
            </w:pPr>
            <w:r>
              <w:rPr>
                <w:rFonts w:ascii="仿宋" w:eastAsia="仿宋" w:hAnsi="仿宋" w:cs="仿宋" w:hint="eastAsia"/>
                <w:color w:val="000000"/>
                <w:kern w:val="0"/>
                <w:sz w:val="24"/>
              </w:rPr>
              <w:t>（二十）省级税务机关认可的饲料质量检测机构出具的饲料产品合格证明复印件（注明与原件一致，并加盖公章）。</w:t>
            </w:r>
          </w:p>
        </w:tc>
        <w:tc>
          <w:tcPr>
            <w:tcW w:w="1276" w:type="dxa"/>
            <w:tcBorders>
              <w:tl2br w:val="nil"/>
              <w:tr2bl w:val="nil"/>
            </w:tcBorders>
            <w:vAlign w:val="center"/>
          </w:tcPr>
          <w:p w:rsidR="00013EC7" w:rsidRDefault="00575CDB">
            <w:pPr>
              <w:widowControl/>
              <w:jc w:val="left"/>
              <w:textAlignment w:val="center"/>
              <w:rPr>
                <w:rFonts w:ascii="仿宋" w:eastAsia="仿宋" w:hAnsi="仿宋" w:cs="仿宋"/>
                <w:b/>
                <w:i/>
                <w:color w:val="000000"/>
                <w:sz w:val="24"/>
              </w:rPr>
            </w:pPr>
            <w:r>
              <w:rPr>
                <w:rFonts w:ascii="仿宋" w:eastAsia="仿宋" w:hAnsi="仿宋" w:cs="仿宋" w:hint="eastAsia"/>
                <w:color w:val="000000"/>
                <w:kern w:val="0"/>
                <w:sz w:val="24"/>
              </w:rPr>
              <w:t>生产、销售饲料产品的纳税人提交</w:t>
            </w:r>
          </w:p>
        </w:tc>
        <w:tc>
          <w:tcPr>
            <w:tcW w:w="2268" w:type="dxa"/>
            <w:vMerge/>
            <w:tcBorders>
              <w:tl2br w:val="nil"/>
              <w:tr2bl w:val="nil"/>
            </w:tcBorders>
            <w:vAlign w:val="center"/>
          </w:tcPr>
          <w:p w:rsidR="00013EC7" w:rsidRDefault="00013EC7">
            <w:pPr>
              <w:widowControl/>
              <w:jc w:val="left"/>
              <w:textAlignment w:val="center"/>
              <w:rPr>
                <w:rFonts w:ascii="仿宋" w:eastAsia="仿宋" w:hAnsi="仿宋" w:cs="仿宋"/>
                <w:b/>
                <w:color w:val="000000"/>
                <w:sz w:val="24"/>
              </w:rPr>
            </w:pPr>
          </w:p>
        </w:tc>
        <w:tc>
          <w:tcPr>
            <w:tcW w:w="567" w:type="dxa"/>
            <w:vMerge/>
            <w:tcBorders>
              <w:tl2br w:val="nil"/>
              <w:tr2bl w:val="nil"/>
            </w:tcBorders>
          </w:tcPr>
          <w:p w:rsidR="00013EC7" w:rsidRDefault="00013EC7">
            <w:pPr>
              <w:jc w:val="center"/>
              <w:rPr>
                <w:rFonts w:ascii="仿宋" w:eastAsia="仿宋" w:hAnsi="仿宋" w:cs="仿宋"/>
                <w:color w:val="000000"/>
                <w:sz w:val="24"/>
              </w:rPr>
            </w:pPr>
          </w:p>
        </w:tc>
        <w:tc>
          <w:tcPr>
            <w:tcW w:w="851" w:type="dxa"/>
            <w:vMerge/>
            <w:tcBorders>
              <w:tl2br w:val="nil"/>
              <w:tr2bl w:val="nil"/>
            </w:tcBorders>
          </w:tcPr>
          <w:p w:rsidR="00013EC7" w:rsidRDefault="00013EC7">
            <w:pPr>
              <w:jc w:val="center"/>
              <w:rPr>
                <w:rFonts w:ascii="仿宋" w:eastAsia="仿宋" w:hAnsi="仿宋" w:cs="仿宋"/>
                <w:color w:val="000000"/>
                <w:sz w:val="24"/>
              </w:rPr>
            </w:pPr>
          </w:p>
        </w:tc>
        <w:tc>
          <w:tcPr>
            <w:tcW w:w="708" w:type="dxa"/>
            <w:vMerge/>
            <w:tcBorders>
              <w:tl2br w:val="nil"/>
              <w:tr2bl w:val="nil"/>
            </w:tcBorders>
          </w:tcPr>
          <w:p w:rsidR="00013EC7" w:rsidRDefault="00013EC7">
            <w:pPr>
              <w:jc w:val="center"/>
              <w:rPr>
                <w:rFonts w:ascii="仿宋" w:eastAsia="仿宋" w:hAnsi="仿宋" w:cs="仿宋"/>
                <w:color w:val="000000"/>
                <w:sz w:val="24"/>
              </w:rPr>
            </w:pPr>
          </w:p>
        </w:tc>
        <w:tc>
          <w:tcPr>
            <w:tcW w:w="993" w:type="dxa"/>
            <w:vMerge/>
            <w:tcBorders>
              <w:tl2br w:val="nil"/>
              <w:tr2bl w:val="nil"/>
            </w:tcBorders>
          </w:tcPr>
          <w:p w:rsidR="00013EC7" w:rsidRDefault="00013EC7">
            <w:pPr>
              <w:jc w:val="center"/>
              <w:rPr>
                <w:rFonts w:ascii="仿宋" w:eastAsia="仿宋" w:hAnsi="仿宋" w:cs="仿宋"/>
                <w:color w:val="000000"/>
                <w:sz w:val="24"/>
              </w:rPr>
            </w:pPr>
          </w:p>
        </w:tc>
        <w:tc>
          <w:tcPr>
            <w:tcW w:w="978" w:type="dxa"/>
            <w:vMerge/>
            <w:tcBorders>
              <w:tl2br w:val="nil"/>
              <w:tr2bl w:val="nil"/>
            </w:tcBorders>
          </w:tcPr>
          <w:p w:rsidR="00013EC7" w:rsidRDefault="00013EC7">
            <w:pPr>
              <w:rPr>
                <w:rFonts w:ascii="仿宋" w:eastAsia="仿宋" w:hAnsi="仿宋" w:cs="仿宋"/>
                <w:color w:val="000000"/>
                <w:sz w:val="24"/>
              </w:rPr>
            </w:pPr>
          </w:p>
        </w:tc>
      </w:tr>
      <w:tr w:rsidR="00013EC7">
        <w:trPr>
          <w:trHeight w:val="917"/>
        </w:trPr>
        <w:tc>
          <w:tcPr>
            <w:tcW w:w="639" w:type="dxa"/>
            <w:vMerge/>
            <w:tcBorders>
              <w:tl2br w:val="nil"/>
              <w:tr2bl w:val="nil"/>
            </w:tcBorders>
            <w:vAlign w:val="center"/>
          </w:tcPr>
          <w:p w:rsidR="00013EC7" w:rsidRDefault="00013EC7">
            <w:pPr>
              <w:rPr>
                <w:rFonts w:ascii="仿宋" w:eastAsia="仿宋" w:hAnsi="仿宋" w:cs="仿宋"/>
                <w:color w:val="000000"/>
                <w:sz w:val="24"/>
              </w:rPr>
            </w:pPr>
          </w:p>
        </w:tc>
        <w:tc>
          <w:tcPr>
            <w:tcW w:w="510" w:type="dxa"/>
            <w:vMerge/>
            <w:tcBorders>
              <w:tl2br w:val="nil"/>
              <w:tr2bl w:val="nil"/>
            </w:tcBorders>
            <w:vAlign w:val="center"/>
          </w:tcPr>
          <w:p w:rsidR="00013EC7" w:rsidRDefault="00013EC7">
            <w:pPr>
              <w:rPr>
                <w:rFonts w:ascii="仿宋" w:eastAsia="仿宋" w:hAnsi="仿宋" w:cs="仿宋"/>
                <w:color w:val="000000"/>
                <w:sz w:val="24"/>
              </w:rPr>
            </w:pPr>
          </w:p>
        </w:tc>
        <w:tc>
          <w:tcPr>
            <w:tcW w:w="3544" w:type="dxa"/>
            <w:vMerge/>
            <w:tcBorders>
              <w:tl2br w:val="nil"/>
              <w:tr2bl w:val="nil"/>
            </w:tcBorders>
            <w:vAlign w:val="center"/>
          </w:tcPr>
          <w:p w:rsidR="00013EC7" w:rsidRDefault="00013EC7">
            <w:pPr>
              <w:rPr>
                <w:rFonts w:ascii="仿宋" w:eastAsia="仿宋" w:hAnsi="仿宋" w:cs="仿宋"/>
                <w:color w:val="000000"/>
                <w:sz w:val="24"/>
              </w:rPr>
            </w:pPr>
          </w:p>
        </w:tc>
        <w:tc>
          <w:tcPr>
            <w:tcW w:w="3260" w:type="dxa"/>
            <w:tcBorders>
              <w:tl2br w:val="nil"/>
              <w:tr2bl w:val="nil"/>
            </w:tcBorders>
            <w:vAlign w:val="center"/>
          </w:tcPr>
          <w:p w:rsidR="00013EC7" w:rsidRDefault="00575CDB">
            <w:pPr>
              <w:widowControl/>
              <w:textAlignment w:val="center"/>
              <w:rPr>
                <w:rFonts w:ascii="仿宋" w:eastAsia="仿宋" w:hAnsi="仿宋" w:cs="仿宋"/>
                <w:color w:val="000000"/>
                <w:sz w:val="24"/>
              </w:rPr>
            </w:pPr>
            <w:r>
              <w:rPr>
                <w:rFonts w:ascii="仿宋" w:eastAsia="仿宋" w:hAnsi="仿宋" w:cs="仿宋" w:hint="eastAsia"/>
                <w:color w:val="000000"/>
                <w:kern w:val="0"/>
                <w:sz w:val="24"/>
              </w:rPr>
              <w:t>（二十三）技术转让合同</w:t>
            </w:r>
            <w:r>
              <w:rPr>
                <w:rFonts w:ascii="仿宋" w:eastAsia="仿宋" w:hAnsi="仿宋" w:cs="仿宋" w:hint="eastAsia"/>
                <w:color w:val="000000"/>
                <w:kern w:val="0"/>
                <w:sz w:val="24"/>
                <w:highlight w:val="lightGray"/>
              </w:rPr>
              <w:t>原件及</w:t>
            </w:r>
            <w:r>
              <w:rPr>
                <w:rFonts w:ascii="仿宋" w:eastAsia="仿宋" w:hAnsi="仿宋" w:cs="仿宋" w:hint="eastAsia"/>
                <w:color w:val="000000"/>
                <w:kern w:val="0"/>
                <w:sz w:val="24"/>
              </w:rPr>
              <w:t xml:space="preserve">复印件（加盖公章）。                   </w:t>
            </w:r>
          </w:p>
        </w:tc>
        <w:tc>
          <w:tcPr>
            <w:tcW w:w="1418" w:type="dxa"/>
            <w:vMerge w:val="restart"/>
            <w:tcBorders>
              <w:tl2br w:val="nil"/>
              <w:tr2bl w:val="nil"/>
            </w:tcBorders>
            <w:vAlign w:val="center"/>
          </w:tcPr>
          <w:p w:rsidR="00013EC7" w:rsidRDefault="00013EC7">
            <w:pPr>
              <w:textAlignment w:val="center"/>
              <w:rPr>
                <w:rFonts w:ascii="仿宋" w:eastAsia="仿宋" w:hAnsi="仿宋" w:cs="仿宋"/>
                <w:color w:val="000000"/>
                <w:kern w:val="0"/>
                <w:sz w:val="24"/>
              </w:rPr>
            </w:pPr>
          </w:p>
          <w:p w:rsidR="00013EC7" w:rsidRDefault="00575CDB">
            <w:pPr>
              <w:textAlignment w:val="center"/>
              <w:rPr>
                <w:rFonts w:ascii="仿宋" w:eastAsia="仿宋" w:hAnsi="仿宋" w:cs="仿宋"/>
                <w:color w:val="000000"/>
                <w:sz w:val="24"/>
              </w:rPr>
            </w:pPr>
            <w:r>
              <w:rPr>
                <w:rFonts w:ascii="仿宋" w:eastAsia="仿宋" w:hAnsi="仿宋" w:cs="仿宋" w:hint="eastAsia"/>
                <w:color w:val="000000"/>
                <w:kern w:val="0"/>
                <w:sz w:val="24"/>
              </w:rPr>
              <w:t>符合技术转让、技术开发免征增值税优惠条件的纳税人提交</w:t>
            </w:r>
          </w:p>
        </w:tc>
        <w:tc>
          <w:tcPr>
            <w:tcW w:w="3118" w:type="dxa"/>
            <w:tcBorders>
              <w:tl2br w:val="nil"/>
              <w:tr2bl w:val="nil"/>
            </w:tcBorders>
            <w:vAlign w:val="center"/>
          </w:tcPr>
          <w:p w:rsidR="00013EC7" w:rsidRDefault="00575CDB">
            <w:pPr>
              <w:widowControl/>
              <w:textAlignment w:val="center"/>
              <w:rPr>
                <w:rFonts w:ascii="仿宋" w:eastAsia="仿宋" w:hAnsi="仿宋" w:cs="仿宋"/>
                <w:color w:val="000000"/>
                <w:sz w:val="24"/>
              </w:rPr>
            </w:pPr>
            <w:r>
              <w:rPr>
                <w:rFonts w:ascii="仿宋" w:eastAsia="仿宋" w:hAnsi="仿宋" w:cs="仿宋" w:hint="eastAsia"/>
                <w:color w:val="000000"/>
                <w:kern w:val="0"/>
                <w:sz w:val="24"/>
              </w:rPr>
              <w:t xml:space="preserve">（二十一）技术转让合同复印件（注明与原件一致，并加盖公章）。                   </w:t>
            </w:r>
          </w:p>
        </w:tc>
        <w:tc>
          <w:tcPr>
            <w:tcW w:w="1276" w:type="dxa"/>
            <w:vMerge w:val="restart"/>
            <w:tcBorders>
              <w:tl2br w:val="nil"/>
              <w:tr2bl w:val="nil"/>
            </w:tcBorders>
            <w:vAlign w:val="center"/>
          </w:tcPr>
          <w:p w:rsidR="00013EC7" w:rsidRDefault="00013EC7">
            <w:pPr>
              <w:jc w:val="left"/>
              <w:textAlignment w:val="center"/>
              <w:rPr>
                <w:rFonts w:ascii="仿宋" w:eastAsia="仿宋" w:hAnsi="仿宋" w:cs="仿宋"/>
                <w:color w:val="000000"/>
                <w:kern w:val="0"/>
                <w:sz w:val="24"/>
              </w:rPr>
            </w:pPr>
          </w:p>
          <w:p w:rsidR="00013EC7" w:rsidRDefault="00013EC7">
            <w:pPr>
              <w:jc w:val="left"/>
              <w:textAlignment w:val="center"/>
              <w:rPr>
                <w:rFonts w:ascii="仿宋" w:eastAsia="仿宋" w:hAnsi="仿宋" w:cs="仿宋"/>
                <w:color w:val="000000"/>
                <w:kern w:val="0"/>
                <w:sz w:val="24"/>
              </w:rPr>
            </w:pPr>
          </w:p>
          <w:p w:rsidR="00013EC7" w:rsidRDefault="00575CDB">
            <w:pPr>
              <w:jc w:val="left"/>
              <w:textAlignment w:val="center"/>
              <w:rPr>
                <w:rFonts w:ascii="仿宋" w:eastAsia="仿宋" w:hAnsi="仿宋" w:cs="仿宋"/>
                <w:b/>
                <w:i/>
                <w:color w:val="000000"/>
                <w:sz w:val="24"/>
              </w:rPr>
            </w:pPr>
            <w:r>
              <w:rPr>
                <w:rFonts w:ascii="仿宋" w:eastAsia="仿宋" w:hAnsi="仿宋" w:cs="仿宋" w:hint="eastAsia"/>
                <w:color w:val="000000"/>
                <w:kern w:val="0"/>
                <w:sz w:val="24"/>
              </w:rPr>
              <w:t>技术转让、技术开发的纳税人提交</w:t>
            </w:r>
          </w:p>
        </w:tc>
        <w:tc>
          <w:tcPr>
            <w:tcW w:w="2268" w:type="dxa"/>
            <w:vMerge/>
            <w:tcBorders>
              <w:tl2br w:val="nil"/>
              <w:tr2bl w:val="nil"/>
            </w:tcBorders>
            <w:vAlign w:val="center"/>
          </w:tcPr>
          <w:p w:rsidR="00013EC7" w:rsidRDefault="00013EC7">
            <w:pPr>
              <w:widowControl/>
              <w:jc w:val="left"/>
              <w:textAlignment w:val="center"/>
              <w:rPr>
                <w:rFonts w:ascii="仿宋" w:eastAsia="仿宋" w:hAnsi="仿宋" w:cs="仿宋"/>
                <w:b/>
                <w:color w:val="000000"/>
                <w:sz w:val="24"/>
              </w:rPr>
            </w:pPr>
          </w:p>
        </w:tc>
        <w:tc>
          <w:tcPr>
            <w:tcW w:w="567" w:type="dxa"/>
            <w:vMerge/>
            <w:tcBorders>
              <w:tl2br w:val="nil"/>
              <w:tr2bl w:val="nil"/>
            </w:tcBorders>
          </w:tcPr>
          <w:p w:rsidR="00013EC7" w:rsidRDefault="00013EC7">
            <w:pPr>
              <w:jc w:val="center"/>
              <w:rPr>
                <w:rFonts w:ascii="仿宋" w:eastAsia="仿宋" w:hAnsi="仿宋" w:cs="仿宋"/>
                <w:color w:val="000000"/>
                <w:sz w:val="24"/>
              </w:rPr>
            </w:pPr>
          </w:p>
        </w:tc>
        <w:tc>
          <w:tcPr>
            <w:tcW w:w="851" w:type="dxa"/>
            <w:vMerge/>
            <w:tcBorders>
              <w:tl2br w:val="nil"/>
              <w:tr2bl w:val="nil"/>
            </w:tcBorders>
          </w:tcPr>
          <w:p w:rsidR="00013EC7" w:rsidRDefault="00013EC7">
            <w:pPr>
              <w:jc w:val="center"/>
              <w:rPr>
                <w:rFonts w:ascii="仿宋" w:eastAsia="仿宋" w:hAnsi="仿宋" w:cs="仿宋"/>
                <w:color w:val="000000"/>
                <w:sz w:val="24"/>
              </w:rPr>
            </w:pPr>
          </w:p>
        </w:tc>
        <w:tc>
          <w:tcPr>
            <w:tcW w:w="708" w:type="dxa"/>
            <w:vMerge/>
            <w:tcBorders>
              <w:tl2br w:val="nil"/>
              <w:tr2bl w:val="nil"/>
            </w:tcBorders>
          </w:tcPr>
          <w:p w:rsidR="00013EC7" w:rsidRDefault="00013EC7">
            <w:pPr>
              <w:jc w:val="center"/>
              <w:rPr>
                <w:rFonts w:ascii="仿宋" w:eastAsia="仿宋" w:hAnsi="仿宋" w:cs="仿宋"/>
                <w:color w:val="000000"/>
                <w:sz w:val="24"/>
              </w:rPr>
            </w:pPr>
          </w:p>
        </w:tc>
        <w:tc>
          <w:tcPr>
            <w:tcW w:w="993" w:type="dxa"/>
            <w:vMerge/>
            <w:tcBorders>
              <w:tl2br w:val="nil"/>
              <w:tr2bl w:val="nil"/>
            </w:tcBorders>
          </w:tcPr>
          <w:p w:rsidR="00013EC7" w:rsidRDefault="00013EC7">
            <w:pPr>
              <w:jc w:val="center"/>
              <w:rPr>
                <w:rFonts w:ascii="仿宋" w:eastAsia="仿宋" w:hAnsi="仿宋" w:cs="仿宋"/>
                <w:color w:val="000000"/>
                <w:sz w:val="24"/>
              </w:rPr>
            </w:pPr>
          </w:p>
        </w:tc>
        <w:tc>
          <w:tcPr>
            <w:tcW w:w="978" w:type="dxa"/>
            <w:vMerge/>
            <w:tcBorders>
              <w:tl2br w:val="nil"/>
              <w:tr2bl w:val="nil"/>
            </w:tcBorders>
          </w:tcPr>
          <w:p w:rsidR="00013EC7" w:rsidRDefault="00013EC7">
            <w:pPr>
              <w:rPr>
                <w:rFonts w:ascii="仿宋" w:eastAsia="仿宋" w:hAnsi="仿宋" w:cs="仿宋"/>
                <w:color w:val="000000"/>
                <w:sz w:val="24"/>
              </w:rPr>
            </w:pPr>
          </w:p>
        </w:tc>
      </w:tr>
      <w:tr w:rsidR="00013EC7">
        <w:trPr>
          <w:trHeight w:val="958"/>
        </w:trPr>
        <w:tc>
          <w:tcPr>
            <w:tcW w:w="639" w:type="dxa"/>
            <w:vMerge/>
            <w:tcBorders>
              <w:tl2br w:val="nil"/>
              <w:tr2bl w:val="nil"/>
            </w:tcBorders>
            <w:vAlign w:val="center"/>
          </w:tcPr>
          <w:p w:rsidR="00013EC7" w:rsidRDefault="00013EC7">
            <w:pPr>
              <w:rPr>
                <w:rFonts w:ascii="仿宋" w:eastAsia="仿宋" w:hAnsi="仿宋" w:cs="仿宋"/>
                <w:color w:val="000000"/>
                <w:sz w:val="24"/>
              </w:rPr>
            </w:pPr>
          </w:p>
        </w:tc>
        <w:tc>
          <w:tcPr>
            <w:tcW w:w="510" w:type="dxa"/>
            <w:vMerge/>
            <w:tcBorders>
              <w:tl2br w:val="nil"/>
              <w:tr2bl w:val="nil"/>
            </w:tcBorders>
            <w:vAlign w:val="center"/>
          </w:tcPr>
          <w:p w:rsidR="00013EC7" w:rsidRDefault="00013EC7">
            <w:pPr>
              <w:rPr>
                <w:rFonts w:ascii="仿宋" w:eastAsia="仿宋" w:hAnsi="仿宋" w:cs="仿宋"/>
                <w:color w:val="000000"/>
                <w:sz w:val="24"/>
              </w:rPr>
            </w:pPr>
          </w:p>
        </w:tc>
        <w:tc>
          <w:tcPr>
            <w:tcW w:w="3544" w:type="dxa"/>
            <w:vMerge/>
            <w:tcBorders>
              <w:tl2br w:val="nil"/>
              <w:tr2bl w:val="nil"/>
            </w:tcBorders>
            <w:vAlign w:val="center"/>
          </w:tcPr>
          <w:p w:rsidR="00013EC7" w:rsidRDefault="00013EC7">
            <w:pPr>
              <w:rPr>
                <w:rFonts w:ascii="仿宋" w:eastAsia="仿宋" w:hAnsi="仿宋" w:cs="仿宋"/>
                <w:color w:val="000000"/>
                <w:sz w:val="24"/>
              </w:rPr>
            </w:pPr>
          </w:p>
        </w:tc>
        <w:tc>
          <w:tcPr>
            <w:tcW w:w="3260" w:type="dxa"/>
            <w:tcBorders>
              <w:tl2br w:val="nil"/>
              <w:tr2bl w:val="nil"/>
            </w:tcBorders>
            <w:vAlign w:val="center"/>
          </w:tcPr>
          <w:p w:rsidR="00013EC7" w:rsidRDefault="00575CDB">
            <w:pPr>
              <w:widowControl/>
              <w:textAlignment w:val="center"/>
              <w:rPr>
                <w:rFonts w:ascii="仿宋" w:eastAsia="仿宋" w:hAnsi="仿宋" w:cs="仿宋"/>
                <w:color w:val="000000"/>
                <w:sz w:val="24"/>
              </w:rPr>
            </w:pPr>
            <w:r>
              <w:rPr>
                <w:rFonts w:ascii="仿宋" w:eastAsia="仿宋" w:hAnsi="仿宋" w:cs="仿宋" w:hint="eastAsia"/>
                <w:color w:val="000000"/>
                <w:kern w:val="0"/>
                <w:sz w:val="24"/>
              </w:rPr>
              <w:t>（二十四）技术开发合同</w:t>
            </w:r>
            <w:r>
              <w:rPr>
                <w:rFonts w:ascii="仿宋" w:eastAsia="仿宋" w:hAnsi="仿宋" w:cs="仿宋" w:hint="eastAsia"/>
                <w:color w:val="000000"/>
                <w:kern w:val="0"/>
                <w:sz w:val="24"/>
                <w:highlight w:val="lightGray"/>
              </w:rPr>
              <w:t>原件及</w:t>
            </w:r>
            <w:r>
              <w:rPr>
                <w:rFonts w:ascii="仿宋" w:eastAsia="仿宋" w:hAnsi="仿宋" w:cs="仿宋" w:hint="eastAsia"/>
                <w:color w:val="000000"/>
                <w:kern w:val="0"/>
                <w:sz w:val="24"/>
              </w:rPr>
              <w:t xml:space="preserve">复印件（加盖公章）。                   </w:t>
            </w:r>
          </w:p>
        </w:tc>
        <w:tc>
          <w:tcPr>
            <w:tcW w:w="1418" w:type="dxa"/>
            <w:vMerge/>
            <w:tcBorders>
              <w:tl2br w:val="nil"/>
              <w:tr2bl w:val="nil"/>
            </w:tcBorders>
            <w:vAlign w:val="center"/>
          </w:tcPr>
          <w:p w:rsidR="00013EC7" w:rsidRDefault="00013EC7">
            <w:pPr>
              <w:textAlignment w:val="center"/>
              <w:rPr>
                <w:rFonts w:ascii="仿宋" w:eastAsia="仿宋" w:hAnsi="仿宋" w:cs="仿宋"/>
                <w:color w:val="000000"/>
                <w:sz w:val="24"/>
              </w:rPr>
            </w:pPr>
          </w:p>
        </w:tc>
        <w:tc>
          <w:tcPr>
            <w:tcW w:w="3118" w:type="dxa"/>
            <w:tcBorders>
              <w:tl2br w:val="nil"/>
              <w:tr2bl w:val="nil"/>
            </w:tcBorders>
            <w:vAlign w:val="center"/>
          </w:tcPr>
          <w:p w:rsidR="00013EC7" w:rsidRDefault="00575CDB">
            <w:pPr>
              <w:widowControl/>
              <w:textAlignment w:val="center"/>
              <w:rPr>
                <w:rFonts w:ascii="仿宋" w:eastAsia="仿宋" w:hAnsi="仿宋" w:cs="仿宋"/>
                <w:color w:val="000000"/>
                <w:sz w:val="24"/>
              </w:rPr>
            </w:pPr>
            <w:r>
              <w:rPr>
                <w:rFonts w:ascii="仿宋" w:eastAsia="仿宋" w:hAnsi="仿宋" w:cs="仿宋" w:hint="eastAsia"/>
                <w:color w:val="000000"/>
                <w:kern w:val="0"/>
                <w:sz w:val="24"/>
              </w:rPr>
              <w:t xml:space="preserve">（二十二）技术开发合同复印件（注明与原件一致，并加盖公章）。                 </w:t>
            </w:r>
          </w:p>
        </w:tc>
        <w:tc>
          <w:tcPr>
            <w:tcW w:w="1276" w:type="dxa"/>
            <w:vMerge/>
            <w:tcBorders>
              <w:tl2br w:val="nil"/>
              <w:tr2bl w:val="nil"/>
            </w:tcBorders>
            <w:vAlign w:val="center"/>
          </w:tcPr>
          <w:p w:rsidR="00013EC7" w:rsidRDefault="00013EC7">
            <w:pPr>
              <w:jc w:val="left"/>
              <w:textAlignment w:val="center"/>
              <w:rPr>
                <w:rFonts w:ascii="仿宋" w:eastAsia="仿宋" w:hAnsi="仿宋" w:cs="仿宋"/>
                <w:b/>
                <w:i/>
                <w:color w:val="000000"/>
                <w:sz w:val="24"/>
              </w:rPr>
            </w:pPr>
          </w:p>
        </w:tc>
        <w:tc>
          <w:tcPr>
            <w:tcW w:w="2268" w:type="dxa"/>
            <w:vMerge/>
            <w:tcBorders>
              <w:tl2br w:val="nil"/>
              <w:tr2bl w:val="nil"/>
            </w:tcBorders>
            <w:vAlign w:val="center"/>
          </w:tcPr>
          <w:p w:rsidR="00013EC7" w:rsidRDefault="00013EC7">
            <w:pPr>
              <w:widowControl/>
              <w:jc w:val="left"/>
              <w:textAlignment w:val="center"/>
              <w:rPr>
                <w:rFonts w:ascii="仿宋" w:eastAsia="仿宋" w:hAnsi="仿宋" w:cs="仿宋"/>
                <w:b/>
                <w:color w:val="000000"/>
                <w:sz w:val="24"/>
              </w:rPr>
            </w:pPr>
          </w:p>
        </w:tc>
        <w:tc>
          <w:tcPr>
            <w:tcW w:w="567" w:type="dxa"/>
            <w:vMerge/>
            <w:tcBorders>
              <w:tl2br w:val="nil"/>
              <w:tr2bl w:val="nil"/>
            </w:tcBorders>
          </w:tcPr>
          <w:p w:rsidR="00013EC7" w:rsidRDefault="00013EC7">
            <w:pPr>
              <w:jc w:val="center"/>
              <w:rPr>
                <w:rFonts w:ascii="仿宋" w:eastAsia="仿宋" w:hAnsi="仿宋" w:cs="仿宋"/>
                <w:color w:val="000000"/>
                <w:sz w:val="24"/>
              </w:rPr>
            </w:pPr>
          </w:p>
        </w:tc>
        <w:tc>
          <w:tcPr>
            <w:tcW w:w="851" w:type="dxa"/>
            <w:vMerge/>
            <w:tcBorders>
              <w:tl2br w:val="nil"/>
              <w:tr2bl w:val="nil"/>
            </w:tcBorders>
          </w:tcPr>
          <w:p w:rsidR="00013EC7" w:rsidRDefault="00013EC7">
            <w:pPr>
              <w:jc w:val="center"/>
              <w:rPr>
                <w:rFonts w:ascii="仿宋" w:eastAsia="仿宋" w:hAnsi="仿宋" w:cs="仿宋"/>
                <w:color w:val="000000"/>
                <w:sz w:val="24"/>
              </w:rPr>
            </w:pPr>
          </w:p>
        </w:tc>
        <w:tc>
          <w:tcPr>
            <w:tcW w:w="708" w:type="dxa"/>
            <w:vMerge/>
            <w:tcBorders>
              <w:tl2br w:val="nil"/>
              <w:tr2bl w:val="nil"/>
            </w:tcBorders>
          </w:tcPr>
          <w:p w:rsidR="00013EC7" w:rsidRDefault="00013EC7">
            <w:pPr>
              <w:jc w:val="center"/>
              <w:rPr>
                <w:rFonts w:ascii="仿宋" w:eastAsia="仿宋" w:hAnsi="仿宋" w:cs="仿宋"/>
                <w:color w:val="000000"/>
                <w:sz w:val="24"/>
              </w:rPr>
            </w:pPr>
          </w:p>
        </w:tc>
        <w:tc>
          <w:tcPr>
            <w:tcW w:w="993" w:type="dxa"/>
            <w:vMerge/>
            <w:tcBorders>
              <w:tl2br w:val="nil"/>
              <w:tr2bl w:val="nil"/>
            </w:tcBorders>
          </w:tcPr>
          <w:p w:rsidR="00013EC7" w:rsidRDefault="00013EC7">
            <w:pPr>
              <w:jc w:val="center"/>
              <w:rPr>
                <w:rFonts w:ascii="仿宋" w:eastAsia="仿宋" w:hAnsi="仿宋" w:cs="仿宋"/>
                <w:color w:val="000000"/>
                <w:sz w:val="24"/>
              </w:rPr>
            </w:pPr>
          </w:p>
        </w:tc>
        <w:tc>
          <w:tcPr>
            <w:tcW w:w="978" w:type="dxa"/>
            <w:vMerge/>
            <w:tcBorders>
              <w:tl2br w:val="nil"/>
              <w:tr2bl w:val="nil"/>
            </w:tcBorders>
          </w:tcPr>
          <w:p w:rsidR="00013EC7" w:rsidRDefault="00013EC7">
            <w:pPr>
              <w:rPr>
                <w:rFonts w:ascii="仿宋" w:eastAsia="仿宋" w:hAnsi="仿宋" w:cs="仿宋"/>
                <w:color w:val="000000"/>
                <w:sz w:val="24"/>
              </w:rPr>
            </w:pPr>
          </w:p>
        </w:tc>
      </w:tr>
      <w:tr w:rsidR="00013EC7">
        <w:trPr>
          <w:trHeight w:val="802"/>
        </w:trPr>
        <w:tc>
          <w:tcPr>
            <w:tcW w:w="639" w:type="dxa"/>
            <w:vMerge/>
            <w:tcBorders>
              <w:tl2br w:val="nil"/>
              <w:tr2bl w:val="nil"/>
            </w:tcBorders>
            <w:vAlign w:val="center"/>
          </w:tcPr>
          <w:p w:rsidR="00013EC7" w:rsidRDefault="00013EC7">
            <w:pPr>
              <w:rPr>
                <w:rFonts w:ascii="仿宋" w:eastAsia="仿宋" w:hAnsi="仿宋" w:cs="仿宋"/>
                <w:color w:val="000000"/>
                <w:sz w:val="24"/>
              </w:rPr>
            </w:pPr>
          </w:p>
        </w:tc>
        <w:tc>
          <w:tcPr>
            <w:tcW w:w="510" w:type="dxa"/>
            <w:vMerge/>
            <w:tcBorders>
              <w:tl2br w:val="nil"/>
              <w:tr2bl w:val="nil"/>
            </w:tcBorders>
            <w:vAlign w:val="center"/>
          </w:tcPr>
          <w:p w:rsidR="00013EC7" w:rsidRDefault="00013EC7">
            <w:pPr>
              <w:rPr>
                <w:rFonts w:ascii="仿宋" w:eastAsia="仿宋" w:hAnsi="仿宋" w:cs="仿宋"/>
                <w:color w:val="000000"/>
                <w:sz w:val="24"/>
              </w:rPr>
            </w:pPr>
          </w:p>
        </w:tc>
        <w:tc>
          <w:tcPr>
            <w:tcW w:w="3544" w:type="dxa"/>
            <w:vMerge/>
            <w:tcBorders>
              <w:tl2br w:val="nil"/>
              <w:tr2bl w:val="nil"/>
            </w:tcBorders>
            <w:vAlign w:val="center"/>
          </w:tcPr>
          <w:p w:rsidR="00013EC7" w:rsidRDefault="00013EC7">
            <w:pPr>
              <w:rPr>
                <w:rFonts w:ascii="仿宋" w:eastAsia="仿宋" w:hAnsi="仿宋" w:cs="仿宋"/>
                <w:color w:val="000000"/>
                <w:sz w:val="24"/>
              </w:rPr>
            </w:pPr>
          </w:p>
        </w:tc>
        <w:tc>
          <w:tcPr>
            <w:tcW w:w="3260" w:type="dxa"/>
            <w:tcBorders>
              <w:tl2br w:val="nil"/>
              <w:tr2bl w:val="nil"/>
            </w:tcBorders>
            <w:vAlign w:val="center"/>
          </w:tcPr>
          <w:p w:rsidR="00013EC7" w:rsidRDefault="00575CDB">
            <w:pPr>
              <w:widowControl/>
              <w:textAlignment w:val="center"/>
              <w:rPr>
                <w:rFonts w:ascii="仿宋" w:eastAsia="仿宋" w:hAnsi="仿宋" w:cs="仿宋"/>
                <w:color w:val="000000"/>
                <w:sz w:val="24"/>
              </w:rPr>
            </w:pPr>
            <w:r>
              <w:rPr>
                <w:rFonts w:ascii="仿宋" w:eastAsia="仿宋" w:hAnsi="仿宋" w:cs="仿宋" w:hint="eastAsia"/>
                <w:color w:val="000000"/>
                <w:kern w:val="0"/>
                <w:sz w:val="24"/>
              </w:rPr>
              <w:t>（二十五）科技主管部门审核意见证明文件。</w:t>
            </w:r>
          </w:p>
        </w:tc>
        <w:tc>
          <w:tcPr>
            <w:tcW w:w="1418" w:type="dxa"/>
            <w:vMerge/>
            <w:tcBorders>
              <w:tl2br w:val="nil"/>
              <w:tr2bl w:val="nil"/>
            </w:tcBorders>
            <w:vAlign w:val="center"/>
          </w:tcPr>
          <w:p w:rsidR="00013EC7" w:rsidRDefault="00013EC7">
            <w:pPr>
              <w:widowControl/>
              <w:textAlignment w:val="center"/>
              <w:rPr>
                <w:rFonts w:ascii="仿宋" w:eastAsia="仿宋" w:hAnsi="仿宋" w:cs="仿宋"/>
                <w:color w:val="000000"/>
                <w:sz w:val="24"/>
              </w:rPr>
            </w:pPr>
          </w:p>
        </w:tc>
        <w:tc>
          <w:tcPr>
            <w:tcW w:w="3118" w:type="dxa"/>
            <w:tcBorders>
              <w:tl2br w:val="nil"/>
              <w:tr2bl w:val="nil"/>
            </w:tcBorders>
            <w:vAlign w:val="center"/>
          </w:tcPr>
          <w:p w:rsidR="00013EC7" w:rsidRDefault="00575CDB">
            <w:pPr>
              <w:widowControl/>
              <w:textAlignment w:val="center"/>
              <w:rPr>
                <w:rFonts w:ascii="仿宋" w:eastAsia="仿宋" w:hAnsi="仿宋" w:cs="仿宋"/>
                <w:color w:val="000000"/>
                <w:sz w:val="24"/>
              </w:rPr>
            </w:pPr>
            <w:r>
              <w:rPr>
                <w:rFonts w:ascii="仿宋" w:eastAsia="仿宋" w:hAnsi="仿宋" w:cs="仿宋" w:hint="eastAsia"/>
                <w:color w:val="000000"/>
                <w:kern w:val="0"/>
                <w:sz w:val="24"/>
              </w:rPr>
              <w:t>（二十三）科技主管部门审核意见证明文件。</w:t>
            </w:r>
          </w:p>
        </w:tc>
        <w:tc>
          <w:tcPr>
            <w:tcW w:w="1276" w:type="dxa"/>
            <w:vMerge/>
            <w:tcBorders>
              <w:tl2br w:val="nil"/>
              <w:tr2bl w:val="nil"/>
            </w:tcBorders>
            <w:vAlign w:val="center"/>
          </w:tcPr>
          <w:p w:rsidR="00013EC7" w:rsidRDefault="00013EC7">
            <w:pPr>
              <w:widowControl/>
              <w:jc w:val="left"/>
              <w:textAlignment w:val="center"/>
              <w:rPr>
                <w:rFonts w:ascii="仿宋" w:eastAsia="仿宋" w:hAnsi="仿宋" w:cs="仿宋"/>
                <w:color w:val="000000"/>
                <w:sz w:val="24"/>
              </w:rPr>
            </w:pPr>
          </w:p>
        </w:tc>
        <w:tc>
          <w:tcPr>
            <w:tcW w:w="2268" w:type="dxa"/>
            <w:vMerge/>
            <w:tcBorders>
              <w:tl2br w:val="nil"/>
              <w:tr2bl w:val="nil"/>
            </w:tcBorders>
            <w:vAlign w:val="center"/>
          </w:tcPr>
          <w:p w:rsidR="00013EC7" w:rsidRDefault="00013EC7">
            <w:pPr>
              <w:rPr>
                <w:rFonts w:ascii="仿宋" w:eastAsia="仿宋" w:hAnsi="仿宋" w:cs="仿宋"/>
                <w:color w:val="000000"/>
                <w:sz w:val="24"/>
              </w:rPr>
            </w:pPr>
          </w:p>
        </w:tc>
        <w:tc>
          <w:tcPr>
            <w:tcW w:w="567" w:type="dxa"/>
            <w:vMerge/>
            <w:tcBorders>
              <w:tl2br w:val="nil"/>
              <w:tr2bl w:val="nil"/>
            </w:tcBorders>
          </w:tcPr>
          <w:p w:rsidR="00013EC7" w:rsidRDefault="00013EC7">
            <w:pPr>
              <w:jc w:val="center"/>
              <w:rPr>
                <w:rFonts w:ascii="仿宋" w:eastAsia="仿宋" w:hAnsi="仿宋" w:cs="仿宋"/>
                <w:color w:val="000000"/>
                <w:sz w:val="24"/>
              </w:rPr>
            </w:pPr>
          </w:p>
        </w:tc>
        <w:tc>
          <w:tcPr>
            <w:tcW w:w="851" w:type="dxa"/>
            <w:vMerge/>
            <w:tcBorders>
              <w:tl2br w:val="nil"/>
              <w:tr2bl w:val="nil"/>
            </w:tcBorders>
          </w:tcPr>
          <w:p w:rsidR="00013EC7" w:rsidRDefault="00013EC7">
            <w:pPr>
              <w:jc w:val="center"/>
              <w:rPr>
                <w:rFonts w:ascii="仿宋" w:eastAsia="仿宋" w:hAnsi="仿宋" w:cs="仿宋"/>
                <w:color w:val="000000"/>
                <w:sz w:val="24"/>
              </w:rPr>
            </w:pPr>
          </w:p>
        </w:tc>
        <w:tc>
          <w:tcPr>
            <w:tcW w:w="708" w:type="dxa"/>
            <w:vMerge/>
            <w:tcBorders>
              <w:tl2br w:val="nil"/>
              <w:tr2bl w:val="nil"/>
            </w:tcBorders>
          </w:tcPr>
          <w:p w:rsidR="00013EC7" w:rsidRDefault="00013EC7">
            <w:pPr>
              <w:jc w:val="center"/>
              <w:rPr>
                <w:rFonts w:ascii="仿宋" w:eastAsia="仿宋" w:hAnsi="仿宋" w:cs="仿宋"/>
                <w:color w:val="000000"/>
                <w:sz w:val="24"/>
              </w:rPr>
            </w:pPr>
          </w:p>
        </w:tc>
        <w:tc>
          <w:tcPr>
            <w:tcW w:w="993" w:type="dxa"/>
            <w:vMerge/>
            <w:tcBorders>
              <w:tl2br w:val="nil"/>
              <w:tr2bl w:val="nil"/>
            </w:tcBorders>
          </w:tcPr>
          <w:p w:rsidR="00013EC7" w:rsidRDefault="00013EC7">
            <w:pPr>
              <w:jc w:val="center"/>
              <w:rPr>
                <w:rFonts w:ascii="仿宋" w:eastAsia="仿宋" w:hAnsi="仿宋" w:cs="仿宋"/>
                <w:color w:val="000000"/>
                <w:sz w:val="24"/>
              </w:rPr>
            </w:pPr>
          </w:p>
        </w:tc>
        <w:tc>
          <w:tcPr>
            <w:tcW w:w="978" w:type="dxa"/>
            <w:vMerge/>
            <w:tcBorders>
              <w:tl2br w:val="nil"/>
              <w:tr2bl w:val="nil"/>
            </w:tcBorders>
          </w:tcPr>
          <w:p w:rsidR="00013EC7" w:rsidRDefault="00013EC7">
            <w:pPr>
              <w:rPr>
                <w:rFonts w:ascii="仿宋" w:eastAsia="仿宋" w:hAnsi="仿宋" w:cs="仿宋"/>
                <w:color w:val="000000"/>
                <w:sz w:val="24"/>
              </w:rPr>
            </w:pPr>
          </w:p>
        </w:tc>
      </w:tr>
      <w:tr w:rsidR="00013EC7">
        <w:trPr>
          <w:trHeight w:val="1240"/>
        </w:trPr>
        <w:tc>
          <w:tcPr>
            <w:tcW w:w="639" w:type="dxa"/>
            <w:vMerge/>
            <w:tcBorders>
              <w:tl2br w:val="nil"/>
              <w:tr2bl w:val="nil"/>
            </w:tcBorders>
            <w:vAlign w:val="center"/>
          </w:tcPr>
          <w:p w:rsidR="00013EC7" w:rsidRDefault="00013EC7">
            <w:pPr>
              <w:rPr>
                <w:rFonts w:ascii="仿宋" w:eastAsia="仿宋" w:hAnsi="仿宋" w:cs="仿宋"/>
                <w:color w:val="000000"/>
                <w:sz w:val="24"/>
              </w:rPr>
            </w:pPr>
          </w:p>
        </w:tc>
        <w:tc>
          <w:tcPr>
            <w:tcW w:w="510" w:type="dxa"/>
            <w:vMerge/>
            <w:tcBorders>
              <w:tl2br w:val="nil"/>
              <w:tr2bl w:val="nil"/>
            </w:tcBorders>
            <w:vAlign w:val="center"/>
          </w:tcPr>
          <w:p w:rsidR="00013EC7" w:rsidRDefault="00013EC7">
            <w:pPr>
              <w:rPr>
                <w:rFonts w:ascii="仿宋" w:eastAsia="仿宋" w:hAnsi="仿宋" w:cs="仿宋"/>
                <w:color w:val="000000"/>
                <w:sz w:val="24"/>
              </w:rPr>
            </w:pPr>
          </w:p>
        </w:tc>
        <w:tc>
          <w:tcPr>
            <w:tcW w:w="3544" w:type="dxa"/>
            <w:vMerge/>
            <w:tcBorders>
              <w:tl2br w:val="nil"/>
              <w:tr2bl w:val="nil"/>
            </w:tcBorders>
            <w:vAlign w:val="center"/>
          </w:tcPr>
          <w:p w:rsidR="00013EC7" w:rsidRDefault="00013EC7">
            <w:pPr>
              <w:rPr>
                <w:rFonts w:ascii="仿宋" w:eastAsia="仿宋" w:hAnsi="仿宋" w:cs="仿宋"/>
                <w:color w:val="000000"/>
                <w:sz w:val="24"/>
              </w:rPr>
            </w:pPr>
          </w:p>
        </w:tc>
        <w:tc>
          <w:tcPr>
            <w:tcW w:w="3260" w:type="dxa"/>
            <w:tcBorders>
              <w:tl2br w:val="nil"/>
              <w:tr2bl w:val="nil"/>
            </w:tcBorders>
            <w:vAlign w:val="center"/>
          </w:tcPr>
          <w:p w:rsidR="00013EC7" w:rsidRDefault="00575CDB">
            <w:pPr>
              <w:widowControl/>
              <w:textAlignment w:val="center"/>
              <w:rPr>
                <w:rFonts w:ascii="仿宋" w:eastAsia="仿宋" w:hAnsi="仿宋" w:cs="仿宋"/>
                <w:color w:val="000000"/>
                <w:sz w:val="24"/>
              </w:rPr>
            </w:pPr>
            <w:r>
              <w:rPr>
                <w:rFonts w:ascii="仿宋" w:eastAsia="仿宋" w:hAnsi="仿宋" w:cs="仿宋" w:hint="eastAsia"/>
                <w:color w:val="000000"/>
                <w:kern w:val="0"/>
                <w:sz w:val="24"/>
              </w:rPr>
              <w:t>（二十六）企业签订节能效益分享型合同能源管理项目合同</w:t>
            </w:r>
            <w:r>
              <w:rPr>
                <w:rFonts w:ascii="仿宋" w:eastAsia="仿宋" w:hAnsi="仿宋" w:cs="仿宋" w:hint="eastAsia"/>
                <w:color w:val="000000"/>
                <w:kern w:val="0"/>
                <w:sz w:val="24"/>
                <w:highlight w:val="lightGray"/>
              </w:rPr>
              <w:t>原件和</w:t>
            </w:r>
            <w:r>
              <w:rPr>
                <w:rFonts w:ascii="仿宋" w:eastAsia="仿宋" w:hAnsi="仿宋" w:cs="仿宋" w:hint="eastAsia"/>
                <w:color w:val="000000"/>
                <w:kern w:val="0"/>
                <w:sz w:val="24"/>
              </w:rPr>
              <w:t>复印件（加盖公章）。</w:t>
            </w:r>
          </w:p>
        </w:tc>
        <w:tc>
          <w:tcPr>
            <w:tcW w:w="1418" w:type="dxa"/>
            <w:tcBorders>
              <w:tl2br w:val="nil"/>
              <w:tr2bl w:val="nil"/>
            </w:tcBorders>
            <w:vAlign w:val="center"/>
          </w:tcPr>
          <w:p w:rsidR="00013EC7" w:rsidRDefault="00575CDB">
            <w:pPr>
              <w:widowControl/>
              <w:textAlignment w:val="center"/>
              <w:rPr>
                <w:rFonts w:ascii="仿宋" w:eastAsia="仿宋" w:hAnsi="仿宋" w:cs="仿宋"/>
                <w:color w:val="000000"/>
                <w:sz w:val="24"/>
              </w:rPr>
            </w:pPr>
            <w:r>
              <w:rPr>
                <w:rFonts w:ascii="仿宋" w:eastAsia="仿宋" w:hAnsi="仿宋" w:cs="仿宋" w:hint="eastAsia"/>
                <w:color w:val="000000"/>
                <w:kern w:val="0"/>
                <w:sz w:val="24"/>
              </w:rPr>
              <w:t>符合合同能源管理项目免征增值税优惠条件的纳税人提交</w:t>
            </w:r>
          </w:p>
        </w:tc>
        <w:tc>
          <w:tcPr>
            <w:tcW w:w="3118" w:type="dxa"/>
            <w:tcBorders>
              <w:tl2br w:val="nil"/>
              <w:tr2bl w:val="nil"/>
            </w:tcBorders>
            <w:vAlign w:val="center"/>
          </w:tcPr>
          <w:p w:rsidR="00013EC7" w:rsidRDefault="00575CDB">
            <w:pPr>
              <w:widowControl/>
              <w:textAlignment w:val="center"/>
              <w:rPr>
                <w:rFonts w:ascii="仿宋" w:eastAsia="仿宋" w:hAnsi="仿宋" w:cs="仿宋"/>
                <w:color w:val="000000"/>
                <w:sz w:val="24"/>
              </w:rPr>
            </w:pPr>
            <w:r>
              <w:rPr>
                <w:rFonts w:ascii="仿宋" w:eastAsia="仿宋" w:hAnsi="仿宋" w:cs="仿宋" w:hint="eastAsia"/>
                <w:color w:val="000000"/>
                <w:kern w:val="0"/>
                <w:sz w:val="24"/>
              </w:rPr>
              <w:t>（二十四）企业签订节能效益分享型合同能源管理项目合同复印件（注明与原件一致，并加盖公章）。</w:t>
            </w:r>
          </w:p>
        </w:tc>
        <w:tc>
          <w:tcPr>
            <w:tcW w:w="1276" w:type="dxa"/>
            <w:tcBorders>
              <w:tl2br w:val="nil"/>
              <w:tr2bl w:val="nil"/>
            </w:tcBorders>
            <w:vAlign w:val="center"/>
          </w:tcPr>
          <w:p w:rsidR="00013EC7" w:rsidRDefault="00575CDB">
            <w:pPr>
              <w:widowControl/>
              <w:jc w:val="left"/>
              <w:textAlignment w:val="center"/>
              <w:rPr>
                <w:rFonts w:ascii="仿宋" w:eastAsia="仿宋" w:hAnsi="仿宋" w:cs="仿宋"/>
                <w:b/>
                <w:i/>
                <w:color w:val="000000"/>
                <w:sz w:val="24"/>
              </w:rPr>
            </w:pPr>
            <w:r>
              <w:rPr>
                <w:rFonts w:ascii="仿宋" w:eastAsia="仿宋" w:hAnsi="仿宋" w:cs="仿宋" w:hint="eastAsia"/>
                <w:color w:val="000000"/>
                <w:kern w:val="0"/>
                <w:sz w:val="24"/>
              </w:rPr>
              <w:t>合同能源管理项目的纳税人提交</w:t>
            </w:r>
          </w:p>
        </w:tc>
        <w:tc>
          <w:tcPr>
            <w:tcW w:w="2268" w:type="dxa"/>
            <w:vMerge/>
            <w:tcBorders>
              <w:tl2br w:val="nil"/>
              <w:tr2bl w:val="nil"/>
            </w:tcBorders>
            <w:vAlign w:val="center"/>
          </w:tcPr>
          <w:p w:rsidR="00013EC7" w:rsidRDefault="00013EC7">
            <w:pPr>
              <w:widowControl/>
              <w:jc w:val="left"/>
              <w:textAlignment w:val="center"/>
              <w:rPr>
                <w:rFonts w:ascii="仿宋" w:eastAsia="仿宋" w:hAnsi="仿宋" w:cs="仿宋"/>
                <w:b/>
                <w:color w:val="000000"/>
                <w:sz w:val="24"/>
              </w:rPr>
            </w:pPr>
          </w:p>
        </w:tc>
        <w:tc>
          <w:tcPr>
            <w:tcW w:w="567" w:type="dxa"/>
            <w:vMerge/>
            <w:tcBorders>
              <w:tl2br w:val="nil"/>
              <w:tr2bl w:val="nil"/>
            </w:tcBorders>
          </w:tcPr>
          <w:p w:rsidR="00013EC7" w:rsidRDefault="00013EC7">
            <w:pPr>
              <w:jc w:val="center"/>
              <w:rPr>
                <w:rFonts w:ascii="仿宋" w:eastAsia="仿宋" w:hAnsi="仿宋" w:cs="仿宋"/>
                <w:color w:val="000000"/>
                <w:sz w:val="24"/>
              </w:rPr>
            </w:pPr>
          </w:p>
        </w:tc>
        <w:tc>
          <w:tcPr>
            <w:tcW w:w="851" w:type="dxa"/>
            <w:vMerge/>
            <w:tcBorders>
              <w:tl2br w:val="nil"/>
              <w:tr2bl w:val="nil"/>
            </w:tcBorders>
          </w:tcPr>
          <w:p w:rsidR="00013EC7" w:rsidRDefault="00013EC7">
            <w:pPr>
              <w:jc w:val="center"/>
              <w:rPr>
                <w:rFonts w:ascii="仿宋" w:eastAsia="仿宋" w:hAnsi="仿宋" w:cs="仿宋"/>
                <w:color w:val="000000"/>
                <w:sz w:val="24"/>
              </w:rPr>
            </w:pPr>
          </w:p>
        </w:tc>
        <w:tc>
          <w:tcPr>
            <w:tcW w:w="708" w:type="dxa"/>
            <w:vMerge/>
            <w:tcBorders>
              <w:tl2br w:val="nil"/>
              <w:tr2bl w:val="nil"/>
            </w:tcBorders>
          </w:tcPr>
          <w:p w:rsidR="00013EC7" w:rsidRDefault="00013EC7">
            <w:pPr>
              <w:jc w:val="center"/>
              <w:rPr>
                <w:rFonts w:ascii="仿宋" w:eastAsia="仿宋" w:hAnsi="仿宋" w:cs="仿宋"/>
                <w:color w:val="000000"/>
                <w:sz w:val="24"/>
              </w:rPr>
            </w:pPr>
          </w:p>
        </w:tc>
        <w:tc>
          <w:tcPr>
            <w:tcW w:w="993" w:type="dxa"/>
            <w:vMerge/>
            <w:tcBorders>
              <w:tl2br w:val="nil"/>
              <w:tr2bl w:val="nil"/>
            </w:tcBorders>
          </w:tcPr>
          <w:p w:rsidR="00013EC7" w:rsidRDefault="00013EC7">
            <w:pPr>
              <w:jc w:val="center"/>
              <w:rPr>
                <w:rFonts w:ascii="仿宋" w:eastAsia="仿宋" w:hAnsi="仿宋" w:cs="仿宋"/>
                <w:color w:val="000000"/>
                <w:sz w:val="24"/>
              </w:rPr>
            </w:pPr>
          </w:p>
        </w:tc>
        <w:tc>
          <w:tcPr>
            <w:tcW w:w="978" w:type="dxa"/>
            <w:vMerge/>
            <w:tcBorders>
              <w:tl2br w:val="nil"/>
              <w:tr2bl w:val="nil"/>
            </w:tcBorders>
          </w:tcPr>
          <w:p w:rsidR="00013EC7" w:rsidRDefault="00013EC7">
            <w:pPr>
              <w:rPr>
                <w:rFonts w:ascii="仿宋" w:eastAsia="仿宋" w:hAnsi="仿宋" w:cs="仿宋"/>
                <w:color w:val="000000"/>
                <w:sz w:val="24"/>
              </w:rPr>
            </w:pPr>
          </w:p>
        </w:tc>
      </w:tr>
      <w:tr w:rsidR="00013EC7">
        <w:trPr>
          <w:trHeight w:val="2326"/>
        </w:trPr>
        <w:tc>
          <w:tcPr>
            <w:tcW w:w="639" w:type="dxa"/>
            <w:vMerge/>
            <w:tcBorders>
              <w:tl2br w:val="nil"/>
              <w:tr2bl w:val="nil"/>
            </w:tcBorders>
            <w:vAlign w:val="center"/>
          </w:tcPr>
          <w:p w:rsidR="00013EC7" w:rsidRDefault="00013EC7">
            <w:pPr>
              <w:rPr>
                <w:rFonts w:ascii="仿宋" w:eastAsia="仿宋" w:hAnsi="仿宋" w:cs="仿宋"/>
                <w:color w:val="000000"/>
                <w:sz w:val="24"/>
              </w:rPr>
            </w:pPr>
          </w:p>
        </w:tc>
        <w:tc>
          <w:tcPr>
            <w:tcW w:w="510" w:type="dxa"/>
            <w:vMerge/>
            <w:tcBorders>
              <w:tl2br w:val="nil"/>
              <w:tr2bl w:val="nil"/>
            </w:tcBorders>
            <w:vAlign w:val="center"/>
          </w:tcPr>
          <w:p w:rsidR="00013EC7" w:rsidRDefault="00013EC7">
            <w:pPr>
              <w:rPr>
                <w:rFonts w:ascii="仿宋" w:eastAsia="仿宋" w:hAnsi="仿宋" w:cs="仿宋"/>
                <w:color w:val="000000"/>
                <w:sz w:val="24"/>
              </w:rPr>
            </w:pPr>
          </w:p>
        </w:tc>
        <w:tc>
          <w:tcPr>
            <w:tcW w:w="3544" w:type="dxa"/>
            <w:vMerge/>
            <w:tcBorders>
              <w:tl2br w:val="nil"/>
              <w:tr2bl w:val="nil"/>
            </w:tcBorders>
            <w:vAlign w:val="center"/>
          </w:tcPr>
          <w:p w:rsidR="00013EC7" w:rsidRDefault="00013EC7">
            <w:pPr>
              <w:rPr>
                <w:rFonts w:ascii="仿宋" w:eastAsia="仿宋" w:hAnsi="仿宋" w:cs="仿宋"/>
                <w:color w:val="000000"/>
                <w:sz w:val="24"/>
              </w:rPr>
            </w:pPr>
          </w:p>
        </w:tc>
        <w:tc>
          <w:tcPr>
            <w:tcW w:w="3260" w:type="dxa"/>
            <w:tcBorders>
              <w:tl2br w:val="nil"/>
              <w:tr2bl w:val="nil"/>
            </w:tcBorders>
            <w:vAlign w:val="center"/>
          </w:tcPr>
          <w:p w:rsidR="00013EC7" w:rsidRDefault="00575CDB">
            <w:pPr>
              <w:widowControl/>
              <w:textAlignment w:val="center"/>
              <w:rPr>
                <w:rFonts w:ascii="仿宋" w:eastAsia="仿宋" w:hAnsi="仿宋" w:cs="仿宋"/>
                <w:color w:val="000000"/>
                <w:sz w:val="24"/>
              </w:rPr>
            </w:pPr>
            <w:r>
              <w:rPr>
                <w:rFonts w:ascii="仿宋" w:eastAsia="仿宋" w:hAnsi="仿宋" w:cs="仿宋" w:hint="eastAsia"/>
                <w:color w:val="000000"/>
                <w:kern w:val="0"/>
                <w:sz w:val="24"/>
              </w:rPr>
              <w:t>（二十七）广播电影电视行政主管部门（包括中央、省、地市及县级）批准从事电影制片、发行、放映的电影集团公司（含成员企业）、电影制片厂及其他电影企业的批文</w:t>
            </w:r>
            <w:r>
              <w:rPr>
                <w:rFonts w:ascii="仿宋" w:eastAsia="仿宋" w:hAnsi="仿宋" w:cs="仿宋" w:hint="eastAsia"/>
                <w:color w:val="000000"/>
                <w:kern w:val="0"/>
                <w:sz w:val="24"/>
                <w:highlight w:val="lightGray"/>
              </w:rPr>
              <w:t>原件及</w:t>
            </w:r>
            <w:r>
              <w:rPr>
                <w:rFonts w:ascii="仿宋" w:eastAsia="仿宋" w:hAnsi="仿宋" w:cs="仿宋" w:hint="eastAsia"/>
                <w:color w:val="000000"/>
                <w:kern w:val="0"/>
                <w:sz w:val="24"/>
              </w:rPr>
              <w:t>复印件（加盖公章）。</w:t>
            </w:r>
          </w:p>
        </w:tc>
        <w:tc>
          <w:tcPr>
            <w:tcW w:w="1418" w:type="dxa"/>
            <w:tcBorders>
              <w:tl2br w:val="nil"/>
              <w:tr2bl w:val="nil"/>
            </w:tcBorders>
            <w:vAlign w:val="center"/>
          </w:tcPr>
          <w:p w:rsidR="00013EC7" w:rsidRDefault="00575CDB">
            <w:pPr>
              <w:widowControl/>
              <w:textAlignment w:val="center"/>
              <w:rPr>
                <w:rFonts w:ascii="仿宋" w:eastAsia="仿宋" w:hAnsi="仿宋" w:cs="仿宋"/>
                <w:color w:val="000000"/>
                <w:sz w:val="24"/>
              </w:rPr>
            </w:pPr>
            <w:r>
              <w:rPr>
                <w:rFonts w:ascii="仿宋" w:eastAsia="仿宋" w:hAnsi="仿宋" w:cs="仿宋" w:hint="eastAsia"/>
                <w:color w:val="000000"/>
                <w:kern w:val="0"/>
                <w:sz w:val="24"/>
              </w:rPr>
              <w:t>符合电影产业免征增值税优惠条件的纳税人提交</w:t>
            </w:r>
          </w:p>
        </w:tc>
        <w:tc>
          <w:tcPr>
            <w:tcW w:w="3118" w:type="dxa"/>
            <w:tcBorders>
              <w:tl2br w:val="nil"/>
              <w:tr2bl w:val="nil"/>
            </w:tcBorders>
            <w:vAlign w:val="center"/>
          </w:tcPr>
          <w:p w:rsidR="00013EC7" w:rsidRDefault="00575CDB">
            <w:pPr>
              <w:widowControl/>
              <w:textAlignment w:val="center"/>
              <w:rPr>
                <w:rFonts w:ascii="仿宋" w:eastAsia="仿宋" w:hAnsi="仿宋" w:cs="仿宋"/>
                <w:color w:val="000000"/>
                <w:sz w:val="24"/>
              </w:rPr>
            </w:pPr>
            <w:r>
              <w:rPr>
                <w:rFonts w:ascii="仿宋" w:eastAsia="仿宋" w:hAnsi="仿宋" w:cs="仿宋" w:hint="eastAsia"/>
                <w:color w:val="000000"/>
                <w:kern w:val="0"/>
                <w:sz w:val="24"/>
              </w:rPr>
              <w:t>（二十五）广播电影电视行政主管部门（包括中央、省、地市及县级）批准从事电影制片、发行、放映的电影集团公司（含成员企业）、电影制片厂及其他电影企业的批文复印件（注明与原件一致，并加盖公章）。</w:t>
            </w:r>
          </w:p>
        </w:tc>
        <w:tc>
          <w:tcPr>
            <w:tcW w:w="1276" w:type="dxa"/>
            <w:tcBorders>
              <w:tl2br w:val="nil"/>
              <w:tr2bl w:val="nil"/>
            </w:tcBorders>
            <w:vAlign w:val="center"/>
          </w:tcPr>
          <w:p w:rsidR="00013EC7" w:rsidRDefault="00575CDB">
            <w:pPr>
              <w:widowControl/>
              <w:jc w:val="left"/>
              <w:textAlignment w:val="center"/>
              <w:rPr>
                <w:rFonts w:ascii="仿宋" w:eastAsia="仿宋" w:hAnsi="仿宋" w:cs="仿宋"/>
                <w:b/>
                <w:i/>
                <w:color w:val="000000"/>
                <w:sz w:val="24"/>
              </w:rPr>
            </w:pPr>
            <w:r>
              <w:rPr>
                <w:rFonts w:ascii="仿宋" w:eastAsia="仿宋" w:hAnsi="仿宋" w:cs="仿宋" w:hint="eastAsia"/>
                <w:color w:val="000000"/>
                <w:kern w:val="0"/>
                <w:sz w:val="24"/>
              </w:rPr>
              <w:t>电影产业纳税人提交</w:t>
            </w:r>
          </w:p>
        </w:tc>
        <w:tc>
          <w:tcPr>
            <w:tcW w:w="2268" w:type="dxa"/>
            <w:vMerge/>
            <w:tcBorders>
              <w:tl2br w:val="nil"/>
              <w:tr2bl w:val="nil"/>
            </w:tcBorders>
            <w:vAlign w:val="center"/>
          </w:tcPr>
          <w:p w:rsidR="00013EC7" w:rsidRDefault="00013EC7">
            <w:pPr>
              <w:widowControl/>
              <w:jc w:val="left"/>
              <w:textAlignment w:val="center"/>
              <w:rPr>
                <w:rFonts w:ascii="仿宋" w:eastAsia="仿宋" w:hAnsi="仿宋" w:cs="仿宋"/>
                <w:b/>
                <w:color w:val="000000"/>
                <w:sz w:val="24"/>
              </w:rPr>
            </w:pPr>
          </w:p>
        </w:tc>
        <w:tc>
          <w:tcPr>
            <w:tcW w:w="567" w:type="dxa"/>
            <w:vMerge/>
            <w:tcBorders>
              <w:tl2br w:val="nil"/>
              <w:tr2bl w:val="nil"/>
            </w:tcBorders>
          </w:tcPr>
          <w:p w:rsidR="00013EC7" w:rsidRDefault="00013EC7">
            <w:pPr>
              <w:jc w:val="center"/>
              <w:rPr>
                <w:rFonts w:ascii="仿宋" w:eastAsia="仿宋" w:hAnsi="仿宋" w:cs="仿宋"/>
                <w:color w:val="000000"/>
                <w:sz w:val="24"/>
              </w:rPr>
            </w:pPr>
          </w:p>
        </w:tc>
        <w:tc>
          <w:tcPr>
            <w:tcW w:w="851" w:type="dxa"/>
            <w:vMerge/>
            <w:tcBorders>
              <w:tl2br w:val="nil"/>
              <w:tr2bl w:val="nil"/>
            </w:tcBorders>
          </w:tcPr>
          <w:p w:rsidR="00013EC7" w:rsidRDefault="00013EC7">
            <w:pPr>
              <w:jc w:val="center"/>
              <w:rPr>
                <w:rFonts w:ascii="仿宋" w:eastAsia="仿宋" w:hAnsi="仿宋" w:cs="仿宋"/>
                <w:color w:val="000000"/>
                <w:sz w:val="24"/>
              </w:rPr>
            </w:pPr>
          </w:p>
        </w:tc>
        <w:tc>
          <w:tcPr>
            <w:tcW w:w="708" w:type="dxa"/>
            <w:vMerge/>
            <w:tcBorders>
              <w:tl2br w:val="nil"/>
              <w:tr2bl w:val="nil"/>
            </w:tcBorders>
          </w:tcPr>
          <w:p w:rsidR="00013EC7" w:rsidRDefault="00013EC7">
            <w:pPr>
              <w:jc w:val="center"/>
              <w:rPr>
                <w:rFonts w:ascii="仿宋" w:eastAsia="仿宋" w:hAnsi="仿宋" w:cs="仿宋"/>
                <w:color w:val="000000"/>
                <w:sz w:val="24"/>
              </w:rPr>
            </w:pPr>
          </w:p>
        </w:tc>
        <w:tc>
          <w:tcPr>
            <w:tcW w:w="993" w:type="dxa"/>
            <w:vMerge/>
            <w:tcBorders>
              <w:tl2br w:val="nil"/>
              <w:tr2bl w:val="nil"/>
            </w:tcBorders>
          </w:tcPr>
          <w:p w:rsidR="00013EC7" w:rsidRDefault="00013EC7">
            <w:pPr>
              <w:jc w:val="center"/>
              <w:rPr>
                <w:rFonts w:ascii="仿宋" w:eastAsia="仿宋" w:hAnsi="仿宋" w:cs="仿宋"/>
                <w:color w:val="000000"/>
                <w:sz w:val="24"/>
              </w:rPr>
            </w:pPr>
          </w:p>
        </w:tc>
        <w:tc>
          <w:tcPr>
            <w:tcW w:w="978" w:type="dxa"/>
            <w:vMerge/>
            <w:tcBorders>
              <w:tl2br w:val="nil"/>
              <w:tr2bl w:val="nil"/>
            </w:tcBorders>
          </w:tcPr>
          <w:p w:rsidR="00013EC7" w:rsidRDefault="00013EC7">
            <w:pPr>
              <w:rPr>
                <w:rFonts w:ascii="仿宋" w:eastAsia="仿宋" w:hAnsi="仿宋" w:cs="仿宋"/>
                <w:color w:val="000000"/>
                <w:sz w:val="24"/>
              </w:rPr>
            </w:pPr>
          </w:p>
        </w:tc>
      </w:tr>
      <w:tr w:rsidR="00013EC7">
        <w:trPr>
          <w:trHeight w:val="1084"/>
        </w:trPr>
        <w:tc>
          <w:tcPr>
            <w:tcW w:w="639" w:type="dxa"/>
            <w:vMerge/>
            <w:tcBorders>
              <w:tl2br w:val="nil"/>
              <w:tr2bl w:val="nil"/>
            </w:tcBorders>
            <w:vAlign w:val="center"/>
          </w:tcPr>
          <w:p w:rsidR="00013EC7" w:rsidRDefault="00013EC7">
            <w:pPr>
              <w:rPr>
                <w:rFonts w:ascii="仿宋" w:eastAsia="仿宋" w:hAnsi="仿宋" w:cs="仿宋"/>
                <w:color w:val="000000"/>
                <w:sz w:val="24"/>
              </w:rPr>
            </w:pPr>
          </w:p>
        </w:tc>
        <w:tc>
          <w:tcPr>
            <w:tcW w:w="510" w:type="dxa"/>
            <w:vMerge/>
            <w:tcBorders>
              <w:tl2br w:val="nil"/>
              <w:tr2bl w:val="nil"/>
            </w:tcBorders>
            <w:vAlign w:val="center"/>
          </w:tcPr>
          <w:p w:rsidR="00013EC7" w:rsidRDefault="00013EC7">
            <w:pPr>
              <w:rPr>
                <w:rFonts w:ascii="仿宋" w:eastAsia="仿宋" w:hAnsi="仿宋" w:cs="仿宋"/>
                <w:color w:val="000000"/>
                <w:sz w:val="24"/>
              </w:rPr>
            </w:pPr>
          </w:p>
        </w:tc>
        <w:tc>
          <w:tcPr>
            <w:tcW w:w="3544" w:type="dxa"/>
            <w:vMerge/>
            <w:tcBorders>
              <w:tl2br w:val="nil"/>
              <w:tr2bl w:val="nil"/>
            </w:tcBorders>
            <w:vAlign w:val="center"/>
          </w:tcPr>
          <w:p w:rsidR="00013EC7" w:rsidRDefault="00013EC7">
            <w:pPr>
              <w:rPr>
                <w:rFonts w:ascii="仿宋" w:eastAsia="仿宋" w:hAnsi="仿宋" w:cs="仿宋"/>
                <w:color w:val="000000"/>
                <w:sz w:val="24"/>
              </w:rPr>
            </w:pPr>
          </w:p>
        </w:tc>
        <w:tc>
          <w:tcPr>
            <w:tcW w:w="3260" w:type="dxa"/>
            <w:tcBorders>
              <w:tl2br w:val="nil"/>
              <w:tr2bl w:val="nil"/>
            </w:tcBorders>
            <w:vAlign w:val="center"/>
          </w:tcPr>
          <w:p w:rsidR="00013EC7" w:rsidRDefault="00575CDB">
            <w:pPr>
              <w:widowControl/>
              <w:textAlignment w:val="center"/>
              <w:rPr>
                <w:rFonts w:ascii="仿宋" w:eastAsia="仿宋" w:hAnsi="仿宋" w:cs="仿宋"/>
                <w:color w:val="000000"/>
                <w:sz w:val="24"/>
              </w:rPr>
            </w:pPr>
            <w:r>
              <w:rPr>
                <w:rFonts w:ascii="仿宋" w:eastAsia="仿宋" w:hAnsi="仿宋" w:cs="仿宋" w:hint="eastAsia"/>
                <w:color w:val="000000"/>
                <w:kern w:val="0"/>
                <w:sz w:val="24"/>
                <w:highlight w:val="lightGray"/>
              </w:rPr>
              <w:t>（二十八）减免税申请报告</w:t>
            </w:r>
            <w:r>
              <w:rPr>
                <w:rFonts w:ascii="仿宋" w:eastAsia="仿宋" w:hAnsi="仿宋" w:cs="仿宋" w:hint="eastAsia"/>
                <w:color w:val="000000"/>
                <w:kern w:val="0"/>
                <w:sz w:val="24"/>
              </w:rPr>
              <w:t>。</w:t>
            </w:r>
          </w:p>
        </w:tc>
        <w:tc>
          <w:tcPr>
            <w:tcW w:w="1418" w:type="dxa"/>
            <w:tcBorders>
              <w:tl2br w:val="nil"/>
              <w:tr2bl w:val="nil"/>
            </w:tcBorders>
            <w:vAlign w:val="center"/>
          </w:tcPr>
          <w:p w:rsidR="00013EC7" w:rsidRDefault="00575CDB">
            <w:pPr>
              <w:widowControl/>
              <w:textAlignment w:val="center"/>
              <w:rPr>
                <w:rFonts w:ascii="仿宋" w:eastAsia="仿宋" w:hAnsi="仿宋" w:cs="仿宋"/>
                <w:color w:val="000000"/>
                <w:sz w:val="24"/>
              </w:rPr>
            </w:pPr>
            <w:r>
              <w:rPr>
                <w:rFonts w:ascii="仿宋" w:eastAsia="仿宋" w:hAnsi="仿宋" w:cs="仿宋" w:hint="eastAsia"/>
                <w:color w:val="000000"/>
                <w:kern w:val="0"/>
                <w:sz w:val="24"/>
              </w:rPr>
              <w:t>符合拍卖货物免征增值税优惠条件的纳税人提交</w:t>
            </w:r>
          </w:p>
        </w:tc>
        <w:tc>
          <w:tcPr>
            <w:tcW w:w="3118" w:type="dxa"/>
            <w:tcBorders>
              <w:tl2br w:val="nil"/>
              <w:tr2bl w:val="nil"/>
            </w:tcBorders>
            <w:vAlign w:val="center"/>
          </w:tcPr>
          <w:p w:rsidR="00013EC7" w:rsidRDefault="00013EC7">
            <w:pPr>
              <w:rPr>
                <w:rFonts w:ascii="仿宋" w:eastAsia="仿宋" w:hAnsi="仿宋" w:cs="仿宋"/>
                <w:color w:val="000000"/>
                <w:sz w:val="24"/>
              </w:rPr>
            </w:pPr>
          </w:p>
        </w:tc>
        <w:tc>
          <w:tcPr>
            <w:tcW w:w="1276" w:type="dxa"/>
            <w:tcBorders>
              <w:tl2br w:val="nil"/>
              <w:tr2bl w:val="nil"/>
            </w:tcBorders>
            <w:vAlign w:val="center"/>
          </w:tcPr>
          <w:p w:rsidR="00013EC7" w:rsidRDefault="00575CDB">
            <w:pPr>
              <w:widowControl/>
              <w:jc w:val="left"/>
              <w:textAlignment w:val="center"/>
              <w:rPr>
                <w:rFonts w:ascii="仿宋" w:eastAsia="仿宋" w:hAnsi="仿宋" w:cs="仿宋"/>
                <w:b/>
                <w:i/>
                <w:color w:val="000000"/>
                <w:sz w:val="24"/>
              </w:rPr>
            </w:pPr>
            <w:r>
              <w:rPr>
                <w:rFonts w:ascii="仿宋" w:eastAsia="仿宋" w:hAnsi="仿宋" w:cs="仿宋" w:hint="eastAsia"/>
                <w:b/>
                <w:i/>
                <w:color w:val="000000"/>
                <w:kern w:val="0"/>
                <w:sz w:val="24"/>
              </w:rPr>
              <w:t>取消</w:t>
            </w:r>
          </w:p>
        </w:tc>
        <w:tc>
          <w:tcPr>
            <w:tcW w:w="2268" w:type="dxa"/>
            <w:vMerge/>
            <w:tcBorders>
              <w:tl2br w:val="nil"/>
              <w:tr2bl w:val="nil"/>
            </w:tcBorders>
            <w:vAlign w:val="center"/>
          </w:tcPr>
          <w:p w:rsidR="00013EC7" w:rsidRDefault="00013EC7">
            <w:pPr>
              <w:rPr>
                <w:rFonts w:ascii="仿宋" w:eastAsia="仿宋" w:hAnsi="仿宋" w:cs="仿宋"/>
                <w:color w:val="000000"/>
                <w:sz w:val="24"/>
              </w:rPr>
            </w:pPr>
          </w:p>
        </w:tc>
        <w:tc>
          <w:tcPr>
            <w:tcW w:w="567" w:type="dxa"/>
            <w:vMerge/>
            <w:tcBorders>
              <w:tl2br w:val="nil"/>
              <w:tr2bl w:val="nil"/>
            </w:tcBorders>
          </w:tcPr>
          <w:p w:rsidR="00013EC7" w:rsidRDefault="00013EC7">
            <w:pPr>
              <w:jc w:val="center"/>
              <w:rPr>
                <w:rFonts w:ascii="仿宋" w:eastAsia="仿宋" w:hAnsi="仿宋" w:cs="仿宋"/>
                <w:color w:val="000000"/>
                <w:sz w:val="24"/>
              </w:rPr>
            </w:pPr>
          </w:p>
        </w:tc>
        <w:tc>
          <w:tcPr>
            <w:tcW w:w="851" w:type="dxa"/>
            <w:vMerge/>
            <w:tcBorders>
              <w:tl2br w:val="nil"/>
              <w:tr2bl w:val="nil"/>
            </w:tcBorders>
          </w:tcPr>
          <w:p w:rsidR="00013EC7" w:rsidRDefault="00013EC7">
            <w:pPr>
              <w:jc w:val="center"/>
              <w:rPr>
                <w:rFonts w:ascii="仿宋" w:eastAsia="仿宋" w:hAnsi="仿宋" w:cs="仿宋"/>
                <w:color w:val="000000"/>
                <w:sz w:val="24"/>
              </w:rPr>
            </w:pPr>
          </w:p>
        </w:tc>
        <w:tc>
          <w:tcPr>
            <w:tcW w:w="708" w:type="dxa"/>
            <w:vMerge/>
            <w:tcBorders>
              <w:tl2br w:val="nil"/>
              <w:tr2bl w:val="nil"/>
            </w:tcBorders>
          </w:tcPr>
          <w:p w:rsidR="00013EC7" w:rsidRDefault="00013EC7">
            <w:pPr>
              <w:jc w:val="center"/>
              <w:rPr>
                <w:rFonts w:ascii="仿宋" w:eastAsia="仿宋" w:hAnsi="仿宋" w:cs="仿宋"/>
                <w:color w:val="000000"/>
                <w:sz w:val="24"/>
              </w:rPr>
            </w:pPr>
          </w:p>
        </w:tc>
        <w:tc>
          <w:tcPr>
            <w:tcW w:w="993" w:type="dxa"/>
            <w:vMerge/>
            <w:tcBorders>
              <w:tl2br w:val="nil"/>
              <w:tr2bl w:val="nil"/>
            </w:tcBorders>
          </w:tcPr>
          <w:p w:rsidR="00013EC7" w:rsidRDefault="00013EC7">
            <w:pPr>
              <w:jc w:val="center"/>
              <w:rPr>
                <w:rFonts w:ascii="仿宋" w:eastAsia="仿宋" w:hAnsi="仿宋" w:cs="仿宋"/>
                <w:color w:val="000000"/>
                <w:sz w:val="24"/>
              </w:rPr>
            </w:pPr>
          </w:p>
        </w:tc>
        <w:tc>
          <w:tcPr>
            <w:tcW w:w="978" w:type="dxa"/>
            <w:vMerge/>
            <w:tcBorders>
              <w:tl2br w:val="nil"/>
              <w:tr2bl w:val="nil"/>
            </w:tcBorders>
            <w:vAlign w:val="center"/>
          </w:tcPr>
          <w:p w:rsidR="00013EC7" w:rsidRDefault="00013EC7">
            <w:pPr>
              <w:rPr>
                <w:rFonts w:ascii="仿宋" w:eastAsia="仿宋" w:hAnsi="仿宋" w:cs="仿宋"/>
                <w:color w:val="000000"/>
                <w:sz w:val="24"/>
              </w:rPr>
            </w:pPr>
          </w:p>
        </w:tc>
      </w:tr>
      <w:tr w:rsidR="00013EC7">
        <w:trPr>
          <w:trHeight w:val="1725"/>
        </w:trPr>
        <w:tc>
          <w:tcPr>
            <w:tcW w:w="639" w:type="dxa"/>
            <w:vMerge/>
            <w:tcBorders>
              <w:tl2br w:val="nil"/>
              <w:tr2bl w:val="nil"/>
            </w:tcBorders>
            <w:vAlign w:val="center"/>
          </w:tcPr>
          <w:p w:rsidR="00013EC7" w:rsidRDefault="00013EC7">
            <w:pPr>
              <w:rPr>
                <w:rFonts w:ascii="仿宋" w:eastAsia="仿宋" w:hAnsi="仿宋" w:cs="仿宋"/>
                <w:color w:val="000000"/>
                <w:sz w:val="24"/>
              </w:rPr>
            </w:pPr>
          </w:p>
        </w:tc>
        <w:tc>
          <w:tcPr>
            <w:tcW w:w="510" w:type="dxa"/>
            <w:vMerge/>
            <w:tcBorders>
              <w:tl2br w:val="nil"/>
              <w:tr2bl w:val="nil"/>
            </w:tcBorders>
            <w:vAlign w:val="center"/>
          </w:tcPr>
          <w:p w:rsidR="00013EC7" w:rsidRDefault="00013EC7">
            <w:pPr>
              <w:rPr>
                <w:rFonts w:ascii="仿宋" w:eastAsia="仿宋" w:hAnsi="仿宋" w:cs="仿宋"/>
                <w:color w:val="000000"/>
                <w:sz w:val="24"/>
              </w:rPr>
            </w:pPr>
          </w:p>
        </w:tc>
        <w:tc>
          <w:tcPr>
            <w:tcW w:w="3544" w:type="dxa"/>
            <w:vMerge/>
            <w:tcBorders>
              <w:tl2br w:val="nil"/>
              <w:tr2bl w:val="nil"/>
            </w:tcBorders>
            <w:vAlign w:val="center"/>
          </w:tcPr>
          <w:p w:rsidR="00013EC7" w:rsidRDefault="00013EC7">
            <w:pPr>
              <w:rPr>
                <w:rFonts w:ascii="仿宋" w:eastAsia="仿宋" w:hAnsi="仿宋" w:cs="仿宋"/>
                <w:color w:val="000000"/>
                <w:sz w:val="24"/>
              </w:rPr>
            </w:pPr>
          </w:p>
        </w:tc>
        <w:tc>
          <w:tcPr>
            <w:tcW w:w="3260" w:type="dxa"/>
            <w:tcBorders>
              <w:tl2br w:val="nil"/>
              <w:tr2bl w:val="nil"/>
            </w:tcBorders>
            <w:vAlign w:val="center"/>
          </w:tcPr>
          <w:p w:rsidR="00013EC7" w:rsidRDefault="00575CDB">
            <w:pPr>
              <w:widowControl/>
              <w:textAlignment w:val="center"/>
              <w:rPr>
                <w:rFonts w:ascii="仿宋" w:eastAsia="仿宋" w:hAnsi="仿宋" w:cs="仿宋"/>
                <w:color w:val="000000"/>
                <w:sz w:val="24"/>
              </w:rPr>
            </w:pPr>
            <w:r>
              <w:rPr>
                <w:rFonts w:ascii="仿宋" w:eastAsia="仿宋" w:hAnsi="仿宋" w:cs="仿宋" w:hint="eastAsia"/>
                <w:color w:val="000000"/>
                <w:kern w:val="0"/>
                <w:sz w:val="24"/>
              </w:rPr>
              <w:t>（二十九）军（含）以上政治和后勤机关共同出具的加盖部队公章的“安置随军家属达到规定比例企业”证明材料</w:t>
            </w:r>
            <w:r>
              <w:rPr>
                <w:rFonts w:ascii="仿宋" w:eastAsia="仿宋" w:hAnsi="仿宋" w:cs="仿宋" w:hint="eastAsia"/>
                <w:color w:val="000000"/>
                <w:kern w:val="0"/>
                <w:sz w:val="24"/>
                <w:highlight w:val="lightGray"/>
              </w:rPr>
              <w:t>原件和</w:t>
            </w:r>
            <w:r>
              <w:rPr>
                <w:rFonts w:ascii="仿宋" w:eastAsia="仿宋" w:hAnsi="仿宋" w:cs="仿宋" w:hint="eastAsia"/>
                <w:color w:val="000000"/>
                <w:kern w:val="0"/>
                <w:sz w:val="24"/>
              </w:rPr>
              <w:t>复印件（加盖公章）。</w:t>
            </w:r>
          </w:p>
        </w:tc>
        <w:tc>
          <w:tcPr>
            <w:tcW w:w="1418" w:type="dxa"/>
            <w:tcBorders>
              <w:tl2br w:val="nil"/>
              <w:tr2bl w:val="nil"/>
            </w:tcBorders>
            <w:vAlign w:val="center"/>
          </w:tcPr>
          <w:p w:rsidR="00013EC7" w:rsidRDefault="00575CDB">
            <w:pPr>
              <w:widowControl/>
              <w:textAlignment w:val="center"/>
              <w:rPr>
                <w:rFonts w:ascii="仿宋" w:eastAsia="仿宋" w:hAnsi="仿宋" w:cs="仿宋"/>
                <w:color w:val="000000"/>
                <w:sz w:val="24"/>
              </w:rPr>
            </w:pPr>
            <w:r>
              <w:rPr>
                <w:rFonts w:ascii="仿宋" w:eastAsia="仿宋" w:hAnsi="仿宋" w:cs="仿宋" w:hint="eastAsia"/>
                <w:color w:val="000000"/>
                <w:kern w:val="0"/>
                <w:sz w:val="24"/>
              </w:rPr>
              <w:t>符合企业安置随军家属免征增值税优惠条件的纳税人提交</w:t>
            </w:r>
          </w:p>
        </w:tc>
        <w:tc>
          <w:tcPr>
            <w:tcW w:w="3118" w:type="dxa"/>
            <w:tcBorders>
              <w:tl2br w:val="nil"/>
              <w:tr2bl w:val="nil"/>
            </w:tcBorders>
            <w:vAlign w:val="center"/>
          </w:tcPr>
          <w:p w:rsidR="00013EC7" w:rsidRDefault="00575CDB">
            <w:pPr>
              <w:widowControl/>
              <w:textAlignment w:val="center"/>
              <w:rPr>
                <w:rFonts w:ascii="仿宋" w:eastAsia="仿宋" w:hAnsi="仿宋" w:cs="仿宋"/>
                <w:color w:val="000000"/>
                <w:sz w:val="24"/>
              </w:rPr>
            </w:pPr>
            <w:r>
              <w:rPr>
                <w:rFonts w:ascii="仿宋" w:eastAsia="仿宋" w:hAnsi="仿宋" w:cs="仿宋" w:hint="eastAsia"/>
                <w:color w:val="000000"/>
                <w:kern w:val="0"/>
                <w:sz w:val="24"/>
              </w:rPr>
              <w:t>（二十六）军（含）以上政治和后勤机关共同出具的加盖部队公章的“安置随军家属达到规定比例企业”证明材料复印件（注明与原件一致，并加盖公章）。</w:t>
            </w:r>
          </w:p>
        </w:tc>
        <w:tc>
          <w:tcPr>
            <w:tcW w:w="1276" w:type="dxa"/>
            <w:tcBorders>
              <w:tl2br w:val="nil"/>
              <w:tr2bl w:val="nil"/>
            </w:tcBorders>
            <w:vAlign w:val="center"/>
          </w:tcPr>
          <w:p w:rsidR="00013EC7" w:rsidRDefault="00575CDB">
            <w:pPr>
              <w:widowControl/>
              <w:jc w:val="left"/>
              <w:textAlignment w:val="center"/>
              <w:rPr>
                <w:rFonts w:ascii="仿宋" w:eastAsia="仿宋" w:hAnsi="仿宋" w:cs="仿宋"/>
                <w:b/>
                <w:i/>
                <w:color w:val="000000"/>
                <w:sz w:val="24"/>
              </w:rPr>
            </w:pPr>
            <w:r>
              <w:rPr>
                <w:rFonts w:ascii="仿宋" w:eastAsia="仿宋" w:hAnsi="仿宋" w:cs="仿宋" w:hint="eastAsia"/>
                <w:color w:val="000000"/>
                <w:kern w:val="0"/>
                <w:sz w:val="24"/>
              </w:rPr>
              <w:t>安置随军家属的企业提交</w:t>
            </w:r>
          </w:p>
        </w:tc>
        <w:tc>
          <w:tcPr>
            <w:tcW w:w="2268" w:type="dxa"/>
            <w:vMerge/>
            <w:tcBorders>
              <w:tl2br w:val="nil"/>
              <w:tr2bl w:val="nil"/>
            </w:tcBorders>
            <w:vAlign w:val="center"/>
          </w:tcPr>
          <w:p w:rsidR="00013EC7" w:rsidRDefault="00013EC7">
            <w:pPr>
              <w:textAlignment w:val="center"/>
              <w:rPr>
                <w:rFonts w:ascii="仿宋" w:eastAsia="仿宋" w:hAnsi="仿宋" w:cs="仿宋"/>
                <w:b/>
                <w:color w:val="000000"/>
                <w:sz w:val="24"/>
              </w:rPr>
            </w:pPr>
          </w:p>
        </w:tc>
        <w:tc>
          <w:tcPr>
            <w:tcW w:w="567" w:type="dxa"/>
            <w:vMerge/>
            <w:tcBorders>
              <w:tl2br w:val="nil"/>
              <w:tr2bl w:val="nil"/>
            </w:tcBorders>
          </w:tcPr>
          <w:p w:rsidR="00013EC7" w:rsidRDefault="00013EC7">
            <w:pPr>
              <w:jc w:val="center"/>
              <w:rPr>
                <w:rFonts w:ascii="仿宋" w:eastAsia="仿宋" w:hAnsi="仿宋" w:cs="仿宋"/>
                <w:color w:val="000000"/>
                <w:sz w:val="24"/>
              </w:rPr>
            </w:pPr>
          </w:p>
        </w:tc>
        <w:tc>
          <w:tcPr>
            <w:tcW w:w="851" w:type="dxa"/>
            <w:vMerge/>
            <w:tcBorders>
              <w:tl2br w:val="nil"/>
              <w:tr2bl w:val="nil"/>
            </w:tcBorders>
          </w:tcPr>
          <w:p w:rsidR="00013EC7" w:rsidRDefault="00013EC7">
            <w:pPr>
              <w:jc w:val="center"/>
              <w:rPr>
                <w:rFonts w:ascii="仿宋" w:eastAsia="仿宋" w:hAnsi="仿宋" w:cs="仿宋"/>
                <w:color w:val="000000"/>
                <w:sz w:val="24"/>
              </w:rPr>
            </w:pPr>
          </w:p>
        </w:tc>
        <w:tc>
          <w:tcPr>
            <w:tcW w:w="708" w:type="dxa"/>
            <w:vMerge/>
            <w:tcBorders>
              <w:tl2br w:val="nil"/>
              <w:tr2bl w:val="nil"/>
            </w:tcBorders>
          </w:tcPr>
          <w:p w:rsidR="00013EC7" w:rsidRDefault="00013EC7">
            <w:pPr>
              <w:jc w:val="center"/>
              <w:rPr>
                <w:rFonts w:ascii="仿宋" w:eastAsia="仿宋" w:hAnsi="仿宋" w:cs="仿宋"/>
                <w:color w:val="000000"/>
                <w:sz w:val="24"/>
              </w:rPr>
            </w:pPr>
          </w:p>
        </w:tc>
        <w:tc>
          <w:tcPr>
            <w:tcW w:w="993" w:type="dxa"/>
            <w:vMerge/>
            <w:tcBorders>
              <w:tl2br w:val="nil"/>
              <w:tr2bl w:val="nil"/>
            </w:tcBorders>
          </w:tcPr>
          <w:p w:rsidR="00013EC7" w:rsidRDefault="00013EC7">
            <w:pPr>
              <w:jc w:val="center"/>
              <w:rPr>
                <w:rFonts w:ascii="仿宋" w:eastAsia="仿宋" w:hAnsi="仿宋" w:cs="仿宋"/>
                <w:color w:val="000000"/>
                <w:sz w:val="24"/>
              </w:rPr>
            </w:pPr>
          </w:p>
        </w:tc>
        <w:tc>
          <w:tcPr>
            <w:tcW w:w="978" w:type="dxa"/>
            <w:vMerge/>
            <w:tcBorders>
              <w:tl2br w:val="nil"/>
              <w:tr2bl w:val="nil"/>
            </w:tcBorders>
          </w:tcPr>
          <w:p w:rsidR="00013EC7" w:rsidRDefault="00013EC7">
            <w:pPr>
              <w:rPr>
                <w:rFonts w:ascii="仿宋" w:eastAsia="仿宋" w:hAnsi="仿宋" w:cs="仿宋"/>
                <w:color w:val="000000"/>
                <w:sz w:val="24"/>
              </w:rPr>
            </w:pPr>
          </w:p>
        </w:tc>
      </w:tr>
      <w:tr w:rsidR="00013EC7">
        <w:trPr>
          <w:trHeight w:val="1174"/>
        </w:trPr>
        <w:tc>
          <w:tcPr>
            <w:tcW w:w="639" w:type="dxa"/>
            <w:vMerge/>
            <w:tcBorders>
              <w:tl2br w:val="nil"/>
              <w:tr2bl w:val="nil"/>
            </w:tcBorders>
            <w:vAlign w:val="center"/>
          </w:tcPr>
          <w:p w:rsidR="00013EC7" w:rsidRDefault="00013EC7">
            <w:pPr>
              <w:rPr>
                <w:rFonts w:ascii="仿宋" w:eastAsia="仿宋" w:hAnsi="仿宋" w:cs="仿宋"/>
                <w:color w:val="000000"/>
                <w:sz w:val="24"/>
              </w:rPr>
            </w:pPr>
          </w:p>
        </w:tc>
        <w:tc>
          <w:tcPr>
            <w:tcW w:w="510" w:type="dxa"/>
            <w:vMerge/>
            <w:tcBorders>
              <w:tl2br w:val="nil"/>
              <w:tr2bl w:val="nil"/>
            </w:tcBorders>
            <w:vAlign w:val="center"/>
          </w:tcPr>
          <w:p w:rsidR="00013EC7" w:rsidRDefault="00013EC7">
            <w:pPr>
              <w:rPr>
                <w:rFonts w:ascii="仿宋" w:eastAsia="仿宋" w:hAnsi="仿宋" w:cs="仿宋"/>
                <w:color w:val="000000"/>
                <w:sz w:val="24"/>
              </w:rPr>
            </w:pPr>
          </w:p>
        </w:tc>
        <w:tc>
          <w:tcPr>
            <w:tcW w:w="3544" w:type="dxa"/>
            <w:vMerge/>
            <w:tcBorders>
              <w:tl2br w:val="nil"/>
              <w:tr2bl w:val="nil"/>
            </w:tcBorders>
            <w:vAlign w:val="center"/>
          </w:tcPr>
          <w:p w:rsidR="00013EC7" w:rsidRDefault="00013EC7">
            <w:pPr>
              <w:rPr>
                <w:rFonts w:ascii="仿宋" w:eastAsia="仿宋" w:hAnsi="仿宋" w:cs="仿宋"/>
                <w:color w:val="000000"/>
                <w:sz w:val="24"/>
              </w:rPr>
            </w:pPr>
          </w:p>
        </w:tc>
        <w:tc>
          <w:tcPr>
            <w:tcW w:w="3260" w:type="dxa"/>
            <w:tcBorders>
              <w:tl2br w:val="nil"/>
              <w:tr2bl w:val="nil"/>
            </w:tcBorders>
            <w:vAlign w:val="center"/>
          </w:tcPr>
          <w:p w:rsidR="00013EC7" w:rsidRDefault="00575CDB">
            <w:pPr>
              <w:widowControl/>
              <w:textAlignment w:val="center"/>
              <w:rPr>
                <w:rFonts w:ascii="仿宋" w:eastAsia="仿宋" w:hAnsi="仿宋" w:cs="仿宋"/>
                <w:color w:val="000000"/>
                <w:sz w:val="24"/>
              </w:rPr>
            </w:pPr>
            <w:r>
              <w:rPr>
                <w:rFonts w:ascii="仿宋" w:eastAsia="仿宋" w:hAnsi="仿宋" w:cs="仿宋" w:hint="eastAsia"/>
                <w:color w:val="000000"/>
                <w:kern w:val="0"/>
                <w:sz w:val="24"/>
              </w:rPr>
              <w:t>（三十）师以上部队颁发的转业证件</w:t>
            </w:r>
            <w:r>
              <w:rPr>
                <w:rFonts w:ascii="仿宋" w:eastAsia="仿宋" w:hAnsi="仿宋" w:cs="仿宋" w:hint="eastAsia"/>
                <w:color w:val="000000"/>
                <w:kern w:val="0"/>
                <w:sz w:val="24"/>
                <w:highlight w:val="lightGray"/>
              </w:rPr>
              <w:t>原件及</w:t>
            </w:r>
            <w:r>
              <w:rPr>
                <w:rFonts w:ascii="仿宋" w:eastAsia="仿宋" w:hAnsi="仿宋" w:cs="仿宋" w:hint="eastAsia"/>
                <w:color w:val="000000"/>
                <w:kern w:val="0"/>
                <w:sz w:val="24"/>
              </w:rPr>
              <w:t>复印件（加盖公章）。</w:t>
            </w:r>
          </w:p>
        </w:tc>
        <w:tc>
          <w:tcPr>
            <w:tcW w:w="1418" w:type="dxa"/>
            <w:vMerge w:val="restart"/>
            <w:tcBorders>
              <w:tl2br w:val="nil"/>
              <w:tr2bl w:val="nil"/>
            </w:tcBorders>
            <w:vAlign w:val="center"/>
          </w:tcPr>
          <w:p w:rsidR="00013EC7" w:rsidRDefault="00013EC7">
            <w:pPr>
              <w:widowControl/>
              <w:textAlignment w:val="center"/>
              <w:rPr>
                <w:rFonts w:ascii="仿宋" w:eastAsia="仿宋" w:hAnsi="仿宋" w:cs="仿宋"/>
                <w:color w:val="000000"/>
                <w:kern w:val="0"/>
                <w:sz w:val="24"/>
              </w:rPr>
            </w:pPr>
          </w:p>
          <w:p w:rsidR="00013EC7" w:rsidRDefault="00013EC7">
            <w:pPr>
              <w:widowControl/>
              <w:textAlignment w:val="center"/>
              <w:rPr>
                <w:rFonts w:ascii="仿宋" w:eastAsia="仿宋" w:hAnsi="仿宋" w:cs="仿宋"/>
                <w:color w:val="000000"/>
                <w:kern w:val="0"/>
                <w:sz w:val="24"/>
              </w:rPr>
            </w:pPr>
          </w:p>
          <w:p w:rsidR="00013EC7" w:rsidRDefault="00575CDB">
            <w:pPr>
              <w:widowControl/>
              <w:textAlignment w:val="center"/>
              <w:rPr>
                <w:rFonts w:ascii="仿宋" w:eastAsia="仿宋" w:hAnsi="仿宋" w:cs="仿宋"/>
                <w:color w:val="000000"/>
                <w:sz w:val="24"/>
              </w:rPr>
            </w:pPr>
            <w:r>
              <w:rPr>
                <w:rFonts w:ascii="仿宋" w:eastAsia="仿宋" w:hAnsi="仿宋" w:cs="仿宋" w:hint="eastAsia"/>
                <w:color w:val="000000"/>
                <w:kern w:val="0"/>
                <w:sz w:val="24"/>
              </w:rPr>
              <w:t>企业安置军转干部免征增值税优惠</w:t>
            </w:r>
          </w:p>
        </w:tc>
        <w:tc>
          <w:tcPr>
            <w:tcW w:w="3118" w:type="dxa"/>
            <w:tcBorders>
              <w:tl2br w:val="nil"/>
              <w:tr2bl w:val="nil"/>
            </w:tcBorders>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color w:val="000000"/>
                <w:kern w:val="0"/>
                <w:sz w:val="24"/>
              </w:rPr>
              <w:t>（二十七）师以上部队颁发的转业证件复印件（注明与原件一致，并加盖公章）。</w:t>
            </w:r>
          </w:p>
        </w:tc>
        <w:tc>
          <w:tcPr>
            <w:tcW w:w="1276" w:type="dxa"/>
            <w:vMerge w:val="restart"/>
            <w:tcBorders>
              <w:tl2br w:val="nil"/>
              <w:tr2bl w:val="nil"/>
            </w:tcBorders>
            <w:vAlign w:val="center"/>
          </w:tcPr>
          <w:p w:rsidR="00013EC7" w:rsidRDefault="00013EC7">
            <w:pPr>
              <w:widowControl/>
              <w:jc w:val="left"/>
              <w:textAlignment w:val="center"/>
              <w:rPr>
                <w:rFonts w:ascii="仿宋" w:eastAsia="仿宋" w:hAnsi="仿宋" w:cs="仿宋"/>
                <w:color w:val="000000"/>
                <w:kern w:val="0"/>
                <w:sz w:val="24"/>
              </w:rPr>
            </w:pPr>
          </w:p>
          <w:p w:rsidR="00013EC7" w:rsidRDefault="00013EC7">
            <w:pPr>
              <w:widowControl/>
              <w:jc w:val="left"/>
              <w:textAlignment w:val="center"/>
              <w:rPr>
                <w:rFonts w:ascii="仿宋" w:eastAsia="仿宋" w:hAnsi="仿宋" w:cs="仿宋"/>
                <w:color w:val="000000"/>
                <w:kern w:val="0"/>
                <w:sz w:val="24"/>
              </w:rPr>
            </w:pPr>
          </w:p>
          <w:p w:rsidR="00013EC7" w:rsidRDefault="00575CDB">
            <w:pPr>
              <w:widowControl/>
              <w:jc w:val="left"/>
              <w:textAlignment w:val="center"/>
              <w:rPr>
                <w:rFonts w:ascii="仿宋" w:eastAsia="仿宋" w:hAnsi="仿宋" w:cs="仿宋"/>
                <w:color w:val="000000"/>
                <w:sz w:val="24"/>
              </w:rPr>
            </w:pPr>
            <w:r>
              <w:rPr>
                <w:rFonts w:ascii="仿宋" w:eastAsia="仿宋" w:hAnsi="仿宋" w:cs="仿宋" w:hint="eastAsia"/>
                <w:color w:val="000000"/>
                <w:kern w:val="0"/>
                <w:sz w:val="24"/>
              </w:rPr>
              <w:t>安置军转干部的企业提交</w:t>
            </w:r>
          </w:p>
        </w:tc>
        <w:tc>
          <w:tcPr>
            <w:tcW w:w="2268" w:type="dxa"/>
            <w:vMerge/>
            <w:tcBorders>
              <w:tl2br w:val="nil"/>
              <w:tr2bl w:val="nil"/>
            </w:tcBorders>
            <w:vAlign w:val="center"/>
          </w:tcPr>
          <w:p w:rsidR="00013EC7" w:rsidRDefault="00013EC7">
            <w:pPr>
              <w:textAlignment w:val="center"/>
              <w:rPr>
                <w:rFonts w:ascii="仿宋" w:eastAsia="仿宋" w:hAnsi="仿宋" w:cs="仿宋"/>
                <w:color w:val="000000"/>
                <w:sz w:val="24"/>
              </w:rPr>
            </w:pPr>
          </w:p>
        </w:tc>
        <w:tc>
          <w:tcPr>
            <w:tcW w:w="567" w:type="dxa"/>
            <w:vMerge/>
            <w:tcBorders>
              <w:tl2br w:val="nil"/>
              <w:tr2bl w:val="nil"/>
            </w:tcBorders>
          </w:tcPr>
          <w:p w:rsidR="00013EC7" w:rsidRDefault="00013EC7">
            <w:pPr>
              <w:jc w:val="center"/>
              <w:rPr>
                <w:rFonts w:ascii="仿宋" w:eastAsia="仿宋" w:hAnsi="仿宋" w:cs="仿宋"/>
                <w:color w:val="000000"/>
                <w:sz w:val="24"/>
              </w:rPr>
            </w:pPr>
          </w:p>
        </w:tc>
        <w:tc>
          <w:tcPr>
            <w:tcW w:w="851" w:type="dxa"/>
            <w:vMerge/>
            <w:tcBorders>
              <w:tl2br w:val="nil"/>
              <w:tr2bl w:val="nil"/>
            </w:tcBorders>
          </w:tcPr>
          <w:p w:rsidR="00013EC7" w:rsidRDefault="00013EC7">
            <w:pPr>
              <w:jc w:val="center"/>
              <w:rPr>
                <w:rFonts w:ascii="仿宋" w:eastAsia="仿宋" w:hAnsi="仿宋" w:cs="仿宋"/>
                <w:color w:val="000000"/>
                <w:sz w:val="24"/>
              </w:rPr>
            </w:pPr>
          </w:p>
        </w:tc>
        <w:tc>
          <w:tcPr>
            <w:tcW w:w="708" w:type="dxa"/>
            <w:vMerge/>
            <w:tcBorders>
              <w:tl2br w:val="nil"/>
              <w:tr2bl w:val="nil"/>
            </w:tcBorders>
          </w:tcPr>
          <w:p w:rsidR="00013EC7" w:rsidRDefault="00013EC7">
            <w:pPr>
              <w:jc w:val="center"/>
              <w:rPr>
                <w:rFonts w:ascii="仿宋" w:eastAsia="仿宋" w:hAnsi="仿宋" w:cs="仿宋"/>
                <w:color w:val="000000"/>
                <w:sz w:val="24"/>
              </w:rPr>
            </w:pPr>
          </w:p>
        </w:tc>
        <w:tc>
          <w:tcPr>
            <w:tcW w:w="993" w:type="dxa"/>
            <w:vMerge/>
            <w:tcBorders>
              <w:tl2br w:val="nil"/>
              <w:tr2bl w:val="nil"/>
            </w:tcBorders>
          </w:tcPr>
          <w:p w:rsidR="00013EC7" w:rsidRDefault="00013EC7">
            <w:pPr>
              <w:jc w:val="center"/>
              <w:rPr>
                <w:rFonts w:ascii="仿宋" w:eastAsia="仿宋" w:hAnsi="仿宋" w:cs="仿宋"/>
                <w:color w:val="000000"/>
                <w:sz w:val="24"/>
              </w:rPr>
            </w:pPr>
          </w:p>
        </w:tc>
        <w:tc>
          <w:tcPr>
            <w:tcW w:w="978" w:type="dxa"/>
            <w:vMerge/>
            <w:tcBorders>
              <w:tl2br w:val="nil"/>
              <w:tr2bl w:val="nil"/>
            </w:tcBorders>
          </w:tcPr>
          <w:p w:rsidR="00013EC7" w:rsidRDefault="00013EC7">
            <w:pPr>
              <w:rPr>
                <w:rFonts w:ascii="仿宋" w:eastAsia="仿宋" w:hAnsi="仿宋" w:cs="仿宋"/>
                <w:color w:val="000000"/>
                <w:sz w:val="24"/>
              </w:rPr>
            </w:pPr>
          </w:p>
        </w:tc>
      </w:tr>
      <w:tr w:rsidR="00013EC7">
        <w:trPr>
          <w:trHeight w:val="950"/>
        </w:trPr>
        <w:tc>
          <w:tcPr>
            <w:tcW w:w="639" w:type="dxa"/>
            <w:vMerge/>
            <w:tcBorders>
              <w:tl2br w:val="nil"/>
              <w:tr2bl w:val="nil"/>
            </w:tcBorders>
            <w:vAlign w:val="center"/>
          </w:tcPr>
          <w:p w:rsidR="00013EC7" w:rsidRDefault="00013EC7">
            <w:pPr>
              <w:rPr>
                <w:rFonts w:ascii="仿宋" w:eastAsia="仿宋" w:hAnsi="仿宋" w:cs="仿宋"/>
                <w:color w:val="000000"/>
                <w:sz w:val="24"/>
              </w:rPr>
            </w:pPr>
          </w:p>
        </w:tc>
        <w:tc>
          <w:tcPr>
            <w:tcW w:w="510" w:type="dxa"/>
            <w:vMerge/>
            <w:tcBorders>
              <w:tl2br w:val="nil"/>
              <w:tr2bl w:val="nil"/>
            </w:tcBorders>
            <w:vAlign w:val="center"/>
          </w:tcPr>
          <w:p w:rsidR="00013EC7" w:rsidRDefault="00013EC7">
            <w:pPr>
              <w:rPr>
                <w:rFonts w:ascii="仿宋" w:eastAsia="仿宋" w:hAnsi="仿宋" w:cs="仿宋"/>
                <w:color w:val="000000"/>
                <w:sz w:val="24"/>
              </w:rPr>
            </w:pPr>
          </w:p>
        </w:tc>
        <w:tc>
          <w:tcPr>
            <w:tcW w:w="3544" w:type="dxa"/>
            <w:vMerge/>
            <w:tcBorders>
              <w:tl2br w:val="nil"/>
              <w:tr2bl w:val="nil"/>
            </w:tcBorders>
            <w:vAlign w:val="center"/>
          </w:tcPr>
          <w:p w:rsidR="00013EC7" w:rsidRDefault="00013EC7">
            <w:pPr>
              <w:rPr>
                <w:rFonts w:ascii="仿宋" w:eastAsia="仿宋" w:hAnsi="仿宋" w:cs="仿宋"/>
                <w:color w:val="000000"/>
                <w:sz w:val="24"/>
              </w:rPr>
            </w:pPr>
          </w:p>
        </w:tc>
        <w:tc>
          <w:tcPr>
            <w:tcW w:w="3260" w:type="dxa"/>
            <w:tcBorders>
              <w:tl2br w:val="nil"/>
              <w:tr2bl w:val="nil"/>
            </w:tcBorders>
            <w:vAlign w:val="center"/>
          </w:tcPr>
          <w:p w:rsidR="00013EC7" w:rsidRDefault="00575CDB">
            <w:pPr>
              <w:widowControl/>
              <w:textAlignment w:val="center"/>
              <w:rPr>
                <w:rFonts w:ascii="仿宋" w:eastAsia="仿宋" w:hAnsi="仿宋" w:cs="仿宋"/>
                <w:color w:val="000000"/>
                <w:sz w:val="24"/>
              </w:rPr>
            </w:pPr>
            <w:r>
              <w:rPr>
                <w:rFonts w:ascii="仿宋" w:eastAsia="仿宋" w:hAnsi="仿宋" w:cs="仿宋" w:hint="eastAsia"/>
                <w:color w:val="000000"/>
                <w:kern w:val="0"/>
                <w:sz w:val="24"/>
              </w:rPr>
              <w:t>（三十一）企业提供有关转业干部就业人员占全部在职职工比例等相关情况说明。</w:t>
            </w:r>
          </w:p>
        </w:tc>
        <w:tc>
          <w:tcPr>
            <w:tcW w:w="1418" w:type="dxa"/>
            <w:vMerge/>
            <w:tcBorders>
              <w:tl2br w:val="nil"/>
              <w:tr2bl w:val="nil"/>
            </w:tcBorders>
            <w:vAlign w:val="center"/>
          </w:tcPr>
          <w:p w:rsidR="00013EC7" w:rsidRDefault="00013EC7">
            <w:pPr>
              <w:widowControl/>
              <w:textAlignment w:val="center"/>
              <w:rPr>
                <w:rFonts w:ascii="仿宋" w:eastAsia="仿宋" w:hAnsi="仿宋" w:cs="仿宋"/>
                <w:color w:val="000000"/>
                <w:sz w:val="24"/>
              </w:rPr>
            </w:pPr>
          </w:p>
        </w:tc>
        <w:tc>
          <w:tcPr>
            <w:tcW w:w="3118" w:type="dxa"/>
            <w:tcBorders>
              <w:tl2br w:val="nil"/>
              <w:tr2bl w:val="nil"/>
            </w:tcBorders>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color w:val="000000"/>
                <w:kern w:val="0"/>
                <w:sz w:val="24"/>
              </w:rPr>
              <w:t>（二十八）企业提供关于转业干部就业人员占全部在职职工比例等情况的说明。</w:t>
            </w:r>
          </w:p>
        </w:tc>
        <w:tc>
          <w:tcPr>
            <w:tcW w:w="1276" w:type="dxa"/>
            <w:vMerge/>
            <w:tcBorders>
              <w:tl2br w:val="nil"/>
              <w:tr2bl w:val="nil"/>
            </w:tcBorders>
            <w:vAlign w:val="center"/>
          </w:tcPr>
          <w:p w:rsidR="00013EC7" w:rsidRDefault="00013EC7">
            <w:pPr>
              <w:widowControl/>
              <w:jc w:val="left"/>
              <w:textAlignment w:val="center"/>
              <w:rPr>
                <w:rFonts w:ascii="仿宋" w:eastAsia="仿宋" w:hAnsi="仿宋" w:cs="仿宋"/>
                <w:color w:val="000000"/>
                <w:sz w:val="24"/>
              </w:rPr>
            </w:pPr>
          </w:p>
        </w:tc>
        <w:tc>
          <w:tcPr>
            <w:tcW w:w="2268" w:type="dxa"/>
            <w:vMerge/>
            <w:tcBorders>
              <w:tl2br w:val="nil"/>
              <w:tr2bl w:val="nil"/>
            </w:tcBorders>
            <w:vAlign w:val="center"/>
          </w:tcPr>
          <w:p w:rsidR="00013EC7" w:rsidRDefault="00013EC7">
            <w:pPr>
              <w:textAlignment w:val="center"/>
              <w:rPr>
                <w:rFonts w:ascii="仿宋" w:eastAsia="仿宋" w:hAnsi="仿宋" w:cs="仿宋"/>
                <w:color w:val="000000"/>
                <w:sz w:val="24"/>
              </w:rPr>
            </w:pPr>
          </w:p>
        </w:tc>
        <w:tc>
          <w:tcPr>
            <w:tcW w:w="567" w:type="dxa"/>
            <w:vMerge/>
            <w:tcBorders>
              <w:tl2br w:val="nil"/>
              <w:tr2bl w:val="nil"/>
            </w:tcBorders>
          </w:tcPr>
          <w:p w:rsidR="00013EC7" w:rsidRDefault="00013EC7">
            <w:pPr>
              <w:jc w:val="center"/>
              <w:rPr>
                <w:rFonts w:ascii="仿宋" w:eastAsia="仿宋" w:hAnsi="仿宋" w:cs="仿宋"/>
                <w:color w:val="000000"/>
                <w:sz w:val="24"/>
              </w:rPr>
            </w:pPr>
          </w:p>
        </w:tc>
        <w:tc>
          <w:tcPr>
            <w:tcW w:w="851" w:type="dxa"/>
            <w:vMerge/>
            <w:tcBorders>
              <w:tl2br w:val="nil"/>
              <w:tr2bl w:val="nil"/>
            </w:tcBorders>
          </w:tcPr>
          <w:p w:rsidR="00013EC7" w:rsidRDefault="00013EC7">
            <w:pPr>
              <w:jc w:val="center"/>
              <w:rPr>
                <w:rFonts w:ascii="仿宋" w:eastAsia="仿宋" w:hAnsi="仿宋" w:cs="仿宋"/>
                <w:color w:val="000000"/>
                <w:sz w:val="24"/>
              </w:rPr>
            </w:pPr>
          </w:p>
        </w:tc>
        <w:tc>
          <w:tcPr>
            <w:tcW w:w="708" w:type="dxa"/>
            <w:vMerge/>
            <w:tcBorders>
              <w:tl2br w:val="nil"/>
              <w:tr2bl w:val="nil"/>
            </w:tcBorders>
          </w:tcPr>
          <w:p w:rsidR="00013EC7" w:rsidRDefault="00013EC7">
            <w:pPr>
              <w:jc w:val="center"/>
              <w:rPr>
                <w:rFonts w:ascii="仿宋" w:eastAsia="仿宋" w:hAnsi="仿宋" w:cs="仿宋"/>
                <w:color w:val="000000"/>
                <w:sz w:val="24"/>
              </w:rPr>
            </w:pPr>
          </w:p>
        </w:tc>
        <w:tc>
          <w:tcPr>
            <w:tcW w:w="993" w:type="dxa"/>
            <w:vMerge/>
            <w:tcBorders>
              <w:tl2br w:val="nil"/>
              <w:tr2bl w:val="nil"/>
            </w:tcBorders>
          </w:tcPr>
          <w:p w:rsidR="00013EC7" w:rsidRDefault="00013EC7">
            <w:pPr>
              <w:jc w:val="center"/>
              <w:rPr>
                <w:rFonts w:ascii="仿宋" w:eastAsia="仿宋" w:hAnsi="仿宋" w:cs="仿宋"/>
                <w:color w:val="000000"/>
                <w:sz w:val="24"/>
              </w:rPr>
            </w:pPr>
          </w:p>
        </w:tc>
        <w:tc>
          <w:tcPr>
            <w:tcW w:w="978" w:type="dxa"/>
            <w:vMerge/>
            <w:tcBorders>
              <w:tl2br w:val="nil"/>
              <w:tr2bl w:val="nil"/>
            </w:tcBorders>
            <w:vAlign w:val="center"/>
          </w:tcPr>
          <w:p w:rsidR="00013EC7" w:rsidRDefault="00013EC7">
            <w:pPr>
              <w:rPr>
                <w:rFonts w:ascii="仿宋" w:eastAsia="仿宋" w:hAnsi="仿宋" w:cs="仿宋"/>
                <w:color w:val="000000"/>
                <w:sz w:val="24"/>
              </w:rPr>
            </w:pPr>
          </w:p>
        </w:tc>
      </w:tr>
      <w:tr w:rsidR="00013EC7">
        <w:trPr>
          <w:trHeight w:val="1376"/>
        </w:trPr>
        <w:tc>
          <w:tcPr>
            <w:tcW w:w="639" w:type="dxa"/>
            <w:vMerge/>
            <w:tcBorders>
              <w:tl2br w:val="nil"/>
              <w:tr2bl w:val="nil"/>
            </w:tcBorders>
            <w:vAlign w:val="center"/>
          </w:tcPr>
          <w:p w:rsidR="00013EC7" w:rsidRDefault="00013EC7">
            <w:pPr>
              <w:rPr>
                <w:rFonts w:ascii="仿宋" w:eastAsia="仿宋" w:hAnsi="仿宋" w:cs="仿宋"/>
                <w:color w:val="000000"/>
                <w:sz w:val="24"/>
              </w:rPr>
            </w:pPr>
          </w:p>
        </w:tc>
        <w:tc>
          <w:tcPr>
            <w:tcW w:w="510" w:type="dxa"/>
            <w:vMerge/>
            <w:tcBorders>
              <w:tl2br w:val="nil"/>
              <w:tr2bl w:val="nil"/>
            </w:tcBorders>
            <w:vAlign w:val="center"/>
          </w:tcPr>
          <w:p w:rsidR="00013EC7" w:rsidRDefault="00013EC7">
            <w:pPr>
              <w:rPr>
                <w:rFonts w:ascii="仿宋" w:eastAsia="仿宋" w:hAnsi="仿宋" w:cs="仿宋"/>
                <w:color w:val="000000"/>
                <w:sz w:val="24"/>
              </w:rPr>
            </w:pPr>
          </w:p>
        </w:tc>
        <w:tc>
          <w:tcPr>
            <w:tcW w:w="3544" w:type="dxa"/>
            <w:vMerge/>
            <w:tcBorders>
              <w:tl2br w:val="nil"/>
              <w:tr2bl w:val="nil"/>
            </w:tcBorders>
            <w:vAlign w:val="center"/>
          </w:tcPr>
          <w:p w:rsidR="00013EC7" w:rsidRDefault="00013EC7">
            <w:pPr>
              <w:rPr>
                <w:rFonts w:ascii="仿宋" w:eastAsia="仿宋" w:hAnsi="仿宋" w:cs="仿宋"/>
                <w:color w:val="000000"/>
                <w:sz w:val="24"/>
              </w:rPr>
            </w:pPr>
          </w:p>
        </w:tc>
        <w:tc>
          <w:tcPr>
            <w:tcW w:w="3260" w:type="dxa"/>
            <w:tcBorders>
              <w:tl2br w:val="nil"/>
              <w:tr2bl w:val="nil"/>
            </w:tcBorders>
            <w:vAlign w:val="center"/>
          </w:tcPr>
          <w:p w:rsidR="00013EC7" w:rsidRDefault="00575CDB">
            <w:pPr>
              <w:widowControl/>
              <w:textAlignment w:val="center"/>
              <w:rPr>
                <w:rFonts w:ascii="仿宋" w:eastAsia="仿宋" w:hAnsi="仿宋" w:cs="仿宋"/>
                <w:color w:val="000000"/>
                <w:sz w:val="24"/>
              </w:rPr>
            </w:pPr>
            <w:r>
              <w:rPr>
                <w:rFonts w:ascii="仿宋" w:eastAsia="仿宋" w:hAnsi="仿宋" w:cs="仿宋" w:hint="eastAsia"/>
                <w:color w:val="000000"/>
                <w:kern w:val="0"/>
                <w:sz w:val="24"/>
              </w:rPr>
              <w:t>（三十）师（含）以上部队颁发的转业证件</w:t>
            </w:r>
            <w:r>
              <w:rPr>
                <w:rFonts w:ascii="仿宋" w:eastAsia="仿宋" w:hAnsi="仿宋" w:cs="仿宋" w:hint="eastAsia"/>
                <w:color w:val="000000"/>
                <w:kern w:val="0"/>
                <w:sz w:val="24"/>
                <w:highlight w:val="lightGray"/>
              </w:rPr>
              <w:t>原件和</w:t>
            </w:r>
            <w:r>
              <w:rPr>
                <w:rFonts w:ascii="仿宋" w:eastAsia="仿宋" w:hAnsi="仿宋" w:cs="仿宋" w:hint="eastAsia"/>
                <w:color w:val="000000"/>
                <w:kern w:val="0"/>
                <w:sz w:val="24"/>
              </w:rPr>
              <w:t>复印件（加盖公章）。</w:t>
            </w:r>
          </w:p>
        </w:tc>
        <w:tc>
          <w:tcPr>
            <w:tcW w:w="1418" w:type="dxa"/>
            <w:tcBorders>
              <w:tl2br w:val="nil"/>
              <w:tr2bl w:val="nil"/>
            </w:tcBorders>
            <w:vAlign w:val="center"/>
          </w:tcPr>
          <w:p w:rsidR="00013EC7" w:rsidRDefault="00575CDB">
            <w:pPr>
              <w:widowControl/>
              <w:textAlignment w:val="center"/>
              <w:rPr>
                <w:rFonts w:ascii="仿宋" w:eastAsia="仿宋" w:hAnsi="仿宋" w:cs="仿宋"/>
                <w:color w:val="000000"/>
                <w:sz w:val="24"/>
              </w:rPr>
            </w:pPr>
            <w:r>
              <w:rPr>
                <w:rFonts w:ascii="仿宋" w:eastAsia="仿宋" w:hAnsi="仿宋" w:cs="仿宋" w:hint="eastAsia"/>
                <w:color w:val="000000"/>
                <w:kern w:val="0"/>
                <w:sz w:val="24"/>
              </w:rPr>
              <w:t>符合军转干部从事个体经营免征增值税优惠条件的纳税人提交</w:t>
            </w:r>
          </w:p>
        </w:tc>
        <w:tc>
          <w:tcPr>
            <w:tcW w:w="3118" w:type="dxa"/>
            <w:tcBorders>
              <w:tl2br w:val="nil"/>
              <w:tr2bl w:val="nil"/>
            </w:tcBorders>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color w:val="000000"/>
                <w:kern w:val="0"/>
                <w:sz w:val="24"/>
              </w:rPr>
              <w:t>（二十七）师（含）以上部队颁发的转业证件复印件（注明与原件一致，并加盖公章）。</w:t>
            </w:r>
          </w:p>
        </w:tc>
        <w:tc>
          <w:tcPr>
            <w:tcW w:w="1276" w:type="dxa"/>
            <w:tcBorders>
              <w:tl2br w:val="nil"/>
              <w:tr2bl w:val="nil"/>
            </w:tcBorders>
            <w:vAlign w:val="center"/>
          </w:tcPr>
          <w:p w:rsidR="00013EC7" w:rsidRDefault="00575CDB">
            <w:pPr>
              <w:widowControl/>
              <w:jc w:val="left"/>
              <w:textAlignment w:val="center"/>
              <w:rPr>
                <w:rFonts w:ascii="仿宋" w:eastAsia="仿宋" w:hAnsi="仿宋" w:cs="仿宋"/>
                <w:b/>
                <w:i/>
                <w:color w:val="000000"/>
                <w:sz w:val="24"/>
              </w:rPr>
            </w:pPr>
            <w:r>
              <w:rPr>
                <w:rFonts w:ascii="仿宋" w:eastAsia="仿宋" w:hAnsi="仿宋" w:cs="仿宋" w:hint="eastAsia"/>
                <w:color w:val="000000"/>
                <w:kern w:val="0"/>
                <w:sz w:val="24"/>
              </w:rPr>
              <w:t>军转干部个体经营纳税人提交</w:t>
            </w:r>
          </w:p>
        </w:tc>
        <w:tc>
          <w:tcPr>
            <w:tcW w:w="2268" w:type="dxa"/>
            <w:vMerge/>
            <w:tcBorders>
              <w:tl2br w:val="nil"/>
              <w:tr2bl w:val="nil"/>
            </w:tcBorders>
            <w:vAlign w:val="center"/>
          </w:tcPr>
          <w:p w:rsidR="00013EC7" w:rsidRDefault="00013EC7">
            <w:pPr>
              <w:widowControl/>
              <w:textAlignment w:val="center"/>
              <w:rPr>
                <w:rFonts w:ascii="仿宋" w:eastAsia="仿宋" w:hAnsi="仿宋" w:cs="仿宋"/>
                <w:b/>
                <w:color w:val="000000"/>
                <w:sz w:val="24"/>
              </w:rPr>
            </w:pPr>
          </w:p>
        </w:tc>
        <w:tc>
          <w:tcPr>
            <w:tcW w:w="567" w:type="dxa"/>
            <w:vMerge/>
            <w:tcBorders>
              <w:tl2br w:val="nil"/>
              <w:tr2bl w:val="nil"/>
            </w:tcBorders>
          </w:tcPr>
          <w:p w:rsidR="00013EC7" w:rsidRDefault="00013EC7">
            <w:pPr>
              <w:jc w:val="center"/>
              <w:rPr>
                <w:rFonts w:ascii="仿宋" w:eastAsia="仿宋" w:hAnsi="仿宋" w:cs="仿宋"/>
                <w:color w:val="000000"/>
                <w:sz w:val="24"/>
              </w:rPr>
            </w:pPr>
          </w:p>
        </w:tc>
        <w:tc>
          <w:tcPr>
            <w:tcW w:w="851" w:type="dxa"/>
            <w:vMerge/>
            <w:tcBorders>
              <w:tl2br w:val="nil"/>
              <w:tr2bl w:val="nil"/>
            </w:tcBorders>
          </w:tcPr>
          <w:p w:rsidR="00013EC7" w:rsidRDefault="00013EC7">
            <w:pPr>
              <w:jc w:val="center"/>
              <w:rPr>
                <w:rFonts w:ascii="仿宋" w:eastAsia="仿宋" w:hAnsi="仿宋" w:cs="仿宋"/>
                <w:color w:val="000000"/>
                <w:sz w:val="24"/>
              </w:rPr>
            </w:pPr>
          </w:p>
        </w:tc>
        <w:tc>
          <w:tcPr>
            <w:tcW w:w="708" w:type="dxa"/>
            <w:vMerge/>
            <w:tcBorders>
              <w:tl2br w:val="nil"/>
              <w:tr2bl w:val="nil"/>
            </w:tcBorders>
          </w:tcPr>
          <w:p w:rsidR="00013EC7" w:rsidRDefault="00013EC7">
            <w:pPr>
              <w:jc w:val="center"/>
              <w:rPr>
                <w:rFonts w:ascii="仿宋" w:eastAsia="仿宋" w:hAnsi="仿宋" w:cs="仿宋"/>
                <w:color w:val="000000"/>
                <w:sz w:val="24"/>
              </w:rPr>
            </w:pPr>
          </w:p>
        </w:tc>
        <w:tc>
          <w:tcPr>
            <w:tcW w:w="993" w:type="dxa"/>
            <w:vMerge/>
            <w:tcBorders>
              <w:tl2br w:val="nil"/>
              <w:tr2bl w:val="nil"/>
            </w:tcBorders>
          </w:tcPr>
          <w:p w:rsidR="00013EC7" w:rsidRDefault="00013EC7">
            <w:pPr>
              <w:jc w:val="center"/>
              <w:rPr>
                <w:rFonts w:ascii="仿宋" w:eastAsia="仿宋" w:hAnsi="仿宋" w:cs="仿宋"/>
                <w:color w:val="000000"/>
                <w:sz w:val="24"/>
              </w:rPr>
            </w:pPr>
          </w:p>
        </w:tc>
        <w:tc>
          <w:tcPr>
            <w:tcW w:w="978" w:type="dxa"/>
            <w:vMerge/>
            <w:tcBorders>
              <w:tl2br w:val="nil"/>
              <w:tr2bl w:val="nil"/>
            </w:tcBorders>
          </w:tcPr>
          <w:p w:rsidR="00013EC7" w:rsidRDefault="00013EC7">
            <w:pPr>
              <w:rPr>
                <w:rFonts w:ascii="仿宋" w:eastAsia="仿宋" w:hAnsi="仿宋" w:cs="仿宋"/>
                <w:color w:val="000000"/>
                <w:sz w:val="24"/>
              </w:rPr>
            </w:pPr>
          </w:p>
        </w:tc>
      </w:tr>
      <w:tr w:rsidR="00013EC7">
        <w:trPr>
          <w:trHeight w:val="1587"/>
        </w:trPr>
        <w:tc>
          <w:tcPr>
            <w:tcW w:w="639" w:type="dxa"/>
            <w:vMerge/>
            <w:tcBorders>
              <w:tl2br w:val="nil"/>
              <w:tr2bl w:val="nil"/>
            </w:tcBorders>
            <w:vAlign w:val="center"/>
          </w:tcPr>
          <w:p w:rsidR="00013EC7" w:rsidRDefault="00013EC7">
            <w:pPr>
              <w:rPr>
                <w:rFonts w:ascii="仿宋" w:eastAsia="仿宋" w:hAnsi="仿宋" w:cs="仿宋"/>
                <w:color w:val="000000"/>
                <w:sz w:val="24"/>
              </w:rPr>
            </w:pPr>
          </w:p>
        </w:tc>
        <w:tc>
          <w:tcPr>
            <w:tcW w:w="510" w:type="dxa"/>
            <w:vMerge/>
            <w:tcBorders>
              <w:tl2br w:val="nil"/>
              <w:tr2bl w:val="nil"/>
            </w:tcBorders>
            <w:vAlign w:val="center"/>
          </w:tcPr>
          <w:p w:rsidR="00013EC7" w:rsidRDefault="00013EC7">
            <w:pPr>
              <w:rPr>
                <w:rFonts w:ascii="仿宋" w:eastAsia="仿宋" w:hAnsi="仿宋" w:cs="仿宋"/>
                <w:color w:val="000000"/>
                <w:sz w:val="24"/>
              </w:rPr>
            </w:pPr>
          </w:p>
        </w:tc>
        <w:tc>
          <w:tcPr>
            <w:tcW w:w="3544" w:type="dxa"/>
            <w:vMerge/>
            <w:tcBorders>
              <w:tl2br w:val="nil"/>
              <w:tr2bl w:val="nil"/>
            </w:tcBorders>
            <w:vAlign w:val="center"/>
          </w:tcPr>
          <w:p w:rsidR="00013EC7" w:rsidRDefault="00013EC7">
            <w:pPr>
              <w:rPr>
                <w:rFonts w:ascii="仿宋" w:eastAsia="仿宋" w:hAnsi="仿宋" w:cs="仿宋"/>
                <w:color w:val="000000"/>
                <w:sz w:val="24"/>
              </w:rPr>
            </w:pPr>
          </w:p>
        </w:tc>
        <w:tc>
          <w:tcPr>
            <w:tcW w:w="3260" w:type="dxa"/>
            <w:tcBorders>
              <w:tl2br w:val="nil"/>
              <w:tr2bl w:val="nil"/>
            </w:tcBorders>
            <w:vAlign w:val="center"/>
          </w:tcPr>
          <w:p w:rsidR="00013EC7" w:rsidRDefault="00575CDB">
            <w:pPr>
              <w:widowControl/>
              <w:textAlignment w:val="center"/>
              <w:rPr>
                <w:rFonts w:ascii="仿宋" w:eastAsia="仿宋" w:hAnsi="仿宋" w:cs="仿宋"/>
                <w:color w:val="000000"/>
                <w:sz w:val="24"/>
              </w:rPr>
            </w:pPr>
            <w:r>
              <w:rPr>
                <w:rFonts w:ascii="仿宋" w:eastAsia="仿宋" w:hAnsi="仿宋" w:cs="仿宋" w:hint="eastAsia"/>
                <w:color w:val="000000"/>
                <w:kern w:val="0"/>
                <w:sz w:val="24"/>
              </w:rPr>
              <w:t>（三十二）新招用自主就业退役士兵的《中国人民解放军义务兵退出现役证》或《中国人民解放军士官退出现役证》。</w:t>
            </w:r>
          </w:p>
        </w:tc>
        <w:tc>
          <w:tcPr>
            <w:tcW w:w="1418" w:type="dxa"/>
            <w:vMerge w:val="restart"/>
            <w:tcBorders>
              <w:tl2br w:val="nil"/>
              <w:tr2bl w:val="nil"/>
            </w:tcBorders>
            <w:vAlign w:val="center"/>
          </w:tcPr>
          <w:p w:rsidR="00013EC7" w:rsidRDefault="00013EC7">
            <w:pPr>
              <w:widowControl/>
              <w:textAlignment w:val="center"/>
              <w:rPr>
                <w:rFonts w:ascii="仿宋" w:eastAsia="仿宋" w:hAnsi="仿宋" w:cs="仿宋"/>
                <w:color w:val="000000"/>
                <w:kern w:val="0"/>
                <w:sz w:val="24"/>
              </w:rPr>
            </w:pPr>
          </w:p>
          <w:p w:rsidR="00013EC7" w:rsidRDefault="00013EC7">
            <w:pPr>
              <w:widowControl/>
              <w:textAlignment w:val="center"/>
              <w:rPr>
                <w:rFonts w:ascii="仿宋" w:eastAsia="仿宋" w:hAnsi="仿宋" w:cs="仿宋"/>
                <w:color w:val="000000"/>
                <w:kern w:val="0"/>
                <w:sz w:val="24"/>
              </w:rPr>
            </w:pPr>
          </w:p>
          <w:p w:rsidR="00013EC7" w:rsidRDefault="00013EC7">
            <w:pPr>
              <w:widowControl/>
              <w:textAlignment w:val="center"/>
              <w:rPr>
                <w:rFonts w:ascii="仿宋" w:eastAsia="仿宋" w:hAnsi="仿宋" w:cs="仿宋"/>
                <w:color w:val="000000"/>
                <w:kern w:val="0"/>
                <w:sz w:val="24"/>
              </w:rPr>
            </w:pPr>
          </w:p>
          <w:p w:rsidR="00013EC7" w:rsidRDefault="00575CDB">
            <w:pPr>
              <w:widowControl/>
              <w:textAlignment w:val="center"/>
              <w:rPr>
                <w:rFonts w:ascii="仿宋" w:eastAsia="仿宋" w:hAnsi="仿宋" w:cs="仿宋"/>
                <w:color w:val="000000"/>
                <w:sz w:val="24"/>
              </w:rPr>
            </w:pPr>
            <w:r>
              <w:rPr>
                <w:rFonts w:ascii="仿宋" w:eastAsia="仿宋" w:hAnsi="仿宋" w:cs="仿宋" w:hint="eastAsia"/>
                <w:color w:val="000000"/>
                <w:kern w:val="0"/>
                <w:sz w:val="24"/>
              </w:rPr>
              <w:t>符合企业招用退役士兵扣减增值税优惠条件的纳税人提交</w:t>
            </w:r>
          </w:p>
        </w:tc>
        <w:tc>
          <w:tcPr>
            <w:tcW w:w="3118" w:type="dxa"/>
            <w:tcBorders>
              <w:tl2br w:val="nil"/>
              <w:tr2bl w:val="nil"/>
            </w:tcBorders>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color w:val="000000"/>
                <w:kern w:val="0"/>
                <w:sz w:val="24"/>
              </w:rPr>
              <w:t>（二十九）新招用自主就业退役士兵的《中国人民解放军义务兵退出现役证》或《中国人民解放军士官退出现役证》。</w:t>
            </w:r>
          </w:p>
        </w:tc>
        <w:tc>
          <w:tcPr>
            <w:tcW w:w="1276" w:type="dxa"/>
            <w:vMerge w:val="restart"/>
            <w:tcBorders>
              <w:tl2br w:val="nil"/>
              <w:tr2bl w:val="nil"/>
            </w:tcBorders>
            <w:vAlign w:val="center"/>
          </w:tcPr>
          <w:p w:rsidR="00013EC7" w:rsidRDefault="00013EC7">
            <w:pPr>
              <w:jc w:val="left"/>
              <w:textAlignment w:val="center"/>
              <w:rPr>
                <w:rFonts w:ascii="仿宋" w:eastAsia="仿宋" w:hAnsi="仿宋" w:cs="仿宋"/>
                <w:color w:val="000000"/>
                <w:kern w:val="0"/>
                <w:sz w:val="24"/>
              </w:rPr>
            </w:pPr>
          </w:p>
          <w:p w:rsidR="00013EC7" w:rsidRDefault="00013EC7">
            <w:pPr>
              <w:jc w:val="left"/>
              <w:textAlignment w:val="center"/>
              <w:rPr>
                <w:rFonts w:ascii="仿宋" w:eastAsia="仿宋" w:hAnsi="仿宋" w:cs="仿宋"/>
                <w:color w:val="000000"/>
                <w:kern w:val="0"/>
                <w:sz w:val="24"/>
              </w:rPr>
            </w:pPr>
          </w:p>
          <w:p w:rsidR="00013EC7" w:rsidRDefault="00013EC7">
            <w:pPr>
              <w:jc w:val="left"/>
              <w:textAlignment w:val="center"/>
              <w:rPr>
                <w:rFonts w:ascii="仿宋" w:eastAsia="仿宋" w:hAnsi="仿宋" w:cs="仿宋"/>
                <w:color w:val="000000"/>
                <w:kern w:val="0"/>
                <w:sz w:val="24"/>
              </w:rPr>
            </w:pPr>
          </w:p>
          <w:p w:rsidR="00013EC7" w:rsidRDefault="00013EC7">
            <w:pPr>
              <w:jc w:val="left"/>
              <w:textAlignment w:val="center"/>
              <w:rPr>
                <w:rFonts w:ascii="仿宋" w:eastAsia="仿宋" w:hAnsi="仿宋" w:cs="仿宋"/>
                <w:color w:val="000000"/>
                <w:kern w:val="0"/>
                <w:sz w:val="24"/>
              </w:rPr>
            </w:pPr>
          </w:p>
          <w:p w:rsidR="00013EC7" w:rsidRDefault="00013EC7">
            <w:pPr>
              <w:jc w:val="left"/>
              <w:textAlignment w:val="center"/>
              <w:rPr>
                <w:rFonts w:ascii="仿宋" w:eastAsia="仿宋" w:hAnsi="仿宋" w:cs="仿宋"/>
                <w:color w:val="000000"/>
                <w:kern w:val="0"/>
                <w:sz w:val="24"/>
              </w:rPr>
            </w:pPr>
          </w:p>
          <w:p w:rsidR="00013EC7" w:rsidRDefault="00575CDB">
            <w:pPr>
              <w:jc w:val="left"/>
              <w:textAlignment w:val="center"/>
              <w:rPr>
                <w:rFonts w:ascii="仿宋" w:eastAsia="仿宋" w:hAnsi="仿宋" w:cs="仿宋"/>
                <w:color w:val="000000"/>
                <w:sz w:val="24"/>
              </w:rPr>
            </w:pPr>
            <w:r>
              <w:rPr>
                <w:rFonts w:ascii="仿宋" w:eastAsia="仿宋" w:hAnsi="仿宋" w:cs="仿宋" w:hint="eastAsia"/>
                <w:color w:val="000000"/>
                <w:kern w:val="0"/>
                <w:sz w:val="24"/>
              </w:rPr>
              <w:t>招用退役士兵的企业提交</w:t>
            </w:r>
          </w:p>
        </w:tc>
        <w:tc>
          <w:tcPr>
            <w:tcW w:w="2268" w:type="dxa"/>
            <w:vMerge/>
            <w:tcBorders>
              <w:tl2br w:val="nil"/>
              <w:tr2bl w:val="nil"/>
            </w:tcBorders>
            <w:vAlign w:val="center"/>
          </w:tcPr>
          <w:p w:rsidR="00013EC7" w:rsidRDefault="00013EC7">
            <w:pPr>
              <w:widowControl/>
              <w:textAlignment w:val="center"/>
              <w:rPr>
                <w:rFonts w:ascii="仿宋" w:eastAsia="仿宋" w:hAnsi="仿宋" w:cs="仿宋"/>
                <w:b/>
                <w:color w:val="000000"/>
                <w:sz w:val="24"/>
              </w:rPr>
            </w:pPr>
          </w:p>
        </w:tc>
        <w:tc>
          <w:tcPr>
            <w:tcW w:w="567" w:type="dxa"/>
            <w:vMerge/>
            <w:tcBorders>
              <w:tl2br w:val="nil"/>
              <w:tr2bl w:val="nil"/>
            </w:tcBorders>
          </w:tcPr>
          <w:p w:rsidR="00013EC7" w:rsidRDefault="00013EC7">
            <w:pPr>
              <w:jc w:val="center"/>
              <w:rPr>
                <w:rFonts w:ascii="仿宋" w:eastAsia="仿宋" w:hAnsi="仿宋" w:cs="仿宋"/>
                <w:color w:val="000000"/>
                <w:sz w:val="24"/>
              </w:rPr>
            </w:pPr>
          </w:p>
        </w:tc>
        <w:tc>
          <w:tcPr>
            <w:tcW w:w="851" w:type="dxa"/>
            <w:vMerge/>
            <w:tcBorders>
              <w:tl2br w:val="nil"/>
              <w:tr2bl w:val="nil"/>
            </w:tcBorders>
          </w:tcPr>
          <w:p w:rsidR="00013EC7" w:rsidRDefault="00013EC7">
            <w:pPr>
              <w:jc w:val="center"/>
              <w:rPr>
                <w:rFonts w:ascii="仿宋" w:eastAsia="仿宋" w:hAnsi="仿宋" w:cs="仿宋"/>
                <w:color w:val="000000"/>
                <w:sz w:val="24"/>
              </w:rPr>
            </w:pPr>
          </w:p>
        </w:tc>
        <w:tc>
          <w:tcPr>
            <w:tcW w:w="708" w:type="dxa"/>
            <w:vMerge/>
            <w:tcBorders>
              <w:tl2br w:val="nil"/>
              <w:tr2bl w:val="nil"/>
            </w:tcBorders>
          </w:tcPr>
          <w:p w:rsidR="00013EC7" w:rsidRDefault="00013EC7">
            <w:pPr>
              <w:jc w:val="center"/>
              <w:rPr>
                <w:rFonts w:ascii="仿宋" w:eastAsia="仿宋" w:hAnsi="仿宋" w:cs="仿宋"/>
                <w:color w:val="000000"/>
                <w:sz w:val="24"/>
              </w:rPr>
            </w:pPr>
          </w:p>
        </w:tc>
        <w:tc>
          <w:tcPr>
            <w:tcW w:w="993" w:type="dxa"/>
            <w:vMerge/>
            <w:tcBorders>
              <w:tl2br w:val="nil"/>
              <w:tr2bl w:val="nil"/>
            </w:tcBorders>
          </w:tcPr>
          <w:p w:rsidR="00013EC7" w:rsidRDefault="00013EC7">
            <w:pPr>
              <w:jc w:val="center"/>
              <w:rPr>
                <w:rFonts w:ascii="仿宋" w:eastAsia="仿宋" w:hAnsi="仿宋" w:cs="仿宋"/>
                <w:color w:val="000000"/>
                <w:sz w:val="24"/>
              </w:rPr>
            </w:pPr>
          </w:p>
        </w:tc>
        <w:tc>
          <w:tcPr>
            <w:tcW w:w="978" w:type="dxa"/>
            <w:vMerge/>
            <w:tcBorders>
              <w:tl2br w:val="nil"/>
              <w:tr2bl w:val="nil"/>
            </w:tcBorders>
          </w:tcPr>
          <w:p w:rsidR="00013EC7" w:rsidRDefault="00013EC7">
            <w:pPr>
              <w:rPr>
                <w:rFonts w:ascii="仿宋" w:eastAsia="仿宋" w:hAnsi="仿宋" w:cs="仿宋"/>
                <w:color w:val="000000"/>
                <w:sz w:val="24"/>
              </w:rPr>
            </w:pPr>
          </w:p>
        </w:tc>
      </w:tr>
      <w:tr w:rsidR="00013EC7">
        <w:trPr>
          <w:trHeight w:val="1369"/>
        </w:trPr>
        <w:tc>
          <w:tcPr>
            <w:tcW w:w="639" w:type="dxa"/>
            <w:vMerge/>
            <w:tcBorders>
              <w:tl2br w:val="nil"/>
              <w:tr2bl w:val="nil"/>
            </w:tcBorders>
            <w:vAlign w:val="center"/>
          </w:tcPr>
          <w:p w:rsidR="00013EC7" w:rsidRDefault="00013EC7">
            <w:pPr>
              <w:rPr>
                <w:rFonts w:ascii="仿宋" w:eastAsia="仿宋" w:hAnsi="仿宋" w:cs="仿宋"/>
                <w:color w:val="000000"/>
                <w:sz w:val="24"/>
              </w:rPr>
            </w:pPr>
          </w:p>
        </w:tc>
        <w:tc>
          <w:tcPr>
            <w:tcW w:w="510" w:type="dxa"/>
            <w:vMerge/>
            <w:tcBorders>
              <w:tl2br w:val="nil"/>
              <w:tr2bl w:val="nil"/>
            </w:tcBorders>
            <w:vAlign w:val="center"/>
          </w:tcPr>
          <w:p w:rsidR="00013EC7" w:rsidRDefault="00013EC7">
            <w:pPr>
              <w:rPr>
                <w:rFonts w:ascii="仿宋" w:eastAsia="仿宋" w:hAnsi="仿宋" w:cs="仿宋"/>
                <w:color w:val="000000"/>
                <w:sz w:val="24"/>
              </w:rPr>
            </w:pPr>
          </w:p>
        </w:tc>
        <w:tc>
          <w:tcPr>
            <w:tcW w:w="3544" w:type="dxa"/>
            <w:vMerge/>
            <w:tcBorders>
              <w:tl2br w:val="nil"/>
              <w:tr2bl w:val="nil"/>
            </w:tcBorders>
            <w:vAlign w:val="center"/>
          </w:tcPr>
          <w:p w:rsidR="00013EC7" w:rsidRDefault="00013EC7">
            <w:pPr>
              <w:rPr>
                <w:rFonts w:ascii="仿宋" w:eastAsia="仿宋" w:hAnsi="仿宋" w:cs="仿宋"/>
                <w:color w:val="000000"/>
                <w:sz w:val="24"/>
              </w:rPr>
            </w:pPr>
          </w:p>
        </w:tc>
        <w:tc>
          <w:tcPr>
            <w:tcW w:w="3260" w:type="dxa"/>
            <w:tcBorders>
              <w:tl2br w:val="nil"/>
              <w:tr2bl w:val="nil"/>
            </w:tcBorders>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color w:val="000000"/>
                <w:kern w:val="0"/>
                <w:sz w:val="24"/>
              </w:rPr>
              <w:t>（十五）企业与新招用自主就业退役士兵签订的劳动合同（副本），企业为职工缴纳的社会保险费记录。</w:t>
            </w:r>
          </w:p>
        </w:tc>
        <w:tc>
          <w:tcPr>
            <w:tcW w:w="1418" w:type="dxa"/>
            <w:vMerge/>
            <w:tcBorders>
              <w:tl2br w:val="nil"/>
              <w:tr2bl w:val="nil"/>
            </w:tcBorders>
            <w:vAlign w:val="center"/>
          </w:tcPr>
          <w:p w:rsidR="00013EC7" w:rsidRDefault="00013EC7">
            <w:pPr>
              <w:widowControl/>
              <w:textAlignment w:val="center"/>
              <w:rPr>
                <w:rFonts w:ascii="仿宋" w:eastAsia="仿宋" w:hAnsi="仿宋" w:cs="仿宋"/>
                <w:color w:val="000000"/>
                <w:sz w:val="24"/>
              </w:rPr>
            </w:pPr>
          </w:p>
        </w:tc>
        <w:tc>
          <w:tcPr>
            <w:tcW w:w="3118" w:type="dxa"/>
            <w:tcBorders>
              <w:tl2br w:val="nil"/>
              <w:tr2bl w:val="nil"/>
            </w:tcBorders>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color w:val="000000"/>
                <w:kern w:val="0"/>
                <w:sz w:val="24"/>
              </w:rPr>
              <w:t>（十五）企业与新招用自主就业退役士兵签订的劳动合同（副本），企业为职工缴纳的社会保险费记录。</w:t>
            </w:r>
          </w:p>
        </w:tc>
        <w:tc>
          <w:tcPr>
            <w:tcW w:w="1276" w:type="dxa"/>
            <w:vMerge/>
            <w:tcBorders>
              <w:tl2br w:val="nil"/>
              <w:tr2bl w:val="nil"/>
            </w:tcBorders>
            <w:vAlign w:val="center"/>
          </w:tcPr>
          <w:p w:rsidR="00013EC7" w:rsidRDefault="00013EC7">
            <w:pPr>
              <w:widowControl/>
              <w:jc w:val="left"/>
              <w:textAlignment w:val="center"/>
              <w:rPr>
                <w:rFonts w:ascii="仿宋" w:eastAsia="仿宋" w:hAnsi="仿宋" w:cs="仿宋"/>
                <w:color w:val="000000"/>
                <w:sz w:val="24"/>
              </w:rPr>
            </w:pPr>
          </w:p>
        </w:tc>
        <w:tc>
          <w:tcPr>
            <w:tcW w:w="2268" w:type="dxa"/>
            <w:vMerge/>
            <w:tcBorders>
              <w:tl2br w:val="nil"/>
              <w:tr2bl w:val="nil"/>
            </w:tcBorders>
            <w:vAlign w:val="center"/>
          </w:tcPr>
          <w:p w:rsidR="00013EC7" w:rsidRDefault="00013EC7">
            <w:pPr>
              <w:jc w:val="left"/>
              <w:rPr>
                <w:rFonts w:ascii="仿宋" w:eastAsia="仿宋" w:hAnsi="仿宋" w:cs="仿宋"/>
                <w:color w:val="000000"/>
                <w:sz w:val="24"/>
              </w:rPr>
            </w:pPr>
          </w:p>
        </w:tc>
        <w:tc>
          <w:tcPr>
            <w:tcW w:w="567" w:type="dxa"/>
            <w:vMerge/>
            <w:tcBorders>
              <w:tl2br w:val="nil"/>
              <w:tr2bl w:val="nil"/>
            </w:tcBorders>
          </w:tcPr>
          <w:p w:rsidR="00013EC7" w:rsidRDefault="00013EC7">
            <w:pPr>
              <w:jc w:val="center"/>
              <w:rPr>
                <w:rFonts w:ascii="仿宋" w:eastAsia="仿宋" w:hAnsi="仿宋" w:cs="仿宋"/>
                <w:color w:val="000000"/>
                <w:sz w:val="24"/>
              </w:rPr>
            </w:pPr>
          </w:p>
        </w:tc>
        <w:tc>
          <w:tcPr>
            <w:tcW w:w="851" w:type="dxa"/>
            <w:vMerge/>
            <w:tcBorders>
              <w:tl2br w:val="nil"/>
              <w:tr2bl w:val="nil"/>
            </w:tcBorders>
          </w:tcPr>
          <w:p w:rsidR="00013EC7" w:rsidRDefault="00013EC7">
            <w:pPr>
              <w:jc w:val="center"/>
              <w:rPr>
                <w:rFonts w:ascii="仿宋" w:eastAsia="仿宋" w:hAnsi="仿宋" w:cs="仿宋"/>
                <w:color w:val="000000"/>
                <w:sz w:val="24"/>
              </w:rPr>
            </w:pPr>
          </w:p>
        </w:tc>
        <w:tc>
          <w:tcPr>
            <w:tcW w:w="708" w:type="dxa"/>
            <w:vMerge/>
            <w:tcBorders>
              <w:tl2br w:val="nil"/>
              <w:tr2bl w:val="nil"/>
            </w:tcBorders>
          </w:tcPr>
          <w:p w:rsidR="00013EC7" w:rsidRDefault="00013EC7">
            <w:pPr>
              <w:jc w:val="center"/>
              <w:rPr>
                <w:rFonts w:ascii="仿宋" w:eastAsia="仿宋" w:hAnsi="仿宋" w:cs="仿宋"/>
                <w:color w:val="000000"/>
                <w:sz w:val="24"/>
              </w:rPr>
            </w:pPr>
          </w:p>
        </w:tc>
        <w:tc>
          <w:tcPr>
            <w:tcW w:w="993" w:type="dxa"/>
            <w:vMerge/>
            <w:tcBorders>
              <w:tl2br w:val="nil"/>
              <w:tr2bl w:val="nil"/>
            </w:tcBorders>
          </w:tcPr>
          <w:p w:rsidR="00013EC7" w:rsidRDefault="00013EC7">
            <w:pPr>
              <w:jc w:val="center"/>
              <w:rPr>
                <w:rFonts w:ascii="仿宋" w:eastAsia="仿宋" w:hAnsi="仿宋" w:cs="仿宋"/>
                <w:color w:val="000000"/>
                <w:sz w:val="24"/>
              </w:rPr>
            </w:pPr>
          </w:p>
        </w:tc>
        <w:tc>
          <w:tcPr>
            <w:tcW w:w="978" w:type="dxa"/>
            <w:vMerge/>
            <w:tcBorders>
              <w:tl2br w:val="nil"/>
              <w:tr2bl w:val="nil"/>
            </w:tcBorders>
          </w:tcPr>
          <w:p w:rsidR="00013EC7" w:rsidRDefault="00013EC7">
            <w:pPr>
              <w:rPr>
                <w:rFonts w:ascii="仿宋" w:eastAsia="仿宋" w:hAnsi="仿宋" w:cs="仿宋"/>
                <w:color w:val="000000"/>
                <w:sz w:val="24"/>
              </w:rPr>
            </w:pPr>
          </w:p>
        </w:tc>
      </w:tr>
      <w:tr w:rsidR="00013EC7">
        <w:trPr>
          <w:trHeight w:val="1092"/>
        </w:trPr>
        <w:tc>
          <w:tcPr>
            <w:tcW w:w="639" w:type="dxa"/>
            <w:vMerge/>
            <w:tcBorders>
              <w:tl2br w:val="nil"/>
              <w:tr2bl w:val="nil"/>
            </w:tcBorders>
            <w:vAlign w:val="center"/>
          </w:tcPr>
          <w:p w:rsidR="00013EC7" w:rsidRDefault="00013EC7">
            <w:pPr>
              <w:rPr>
                <w:rFonts w:ascii="仿宋" w:eastAsia="仿宋" w:hAnsi="仿宋" w:cs="仿宋"/>
                <w:color w:val="000000"/>
                <w:sz w:val="24"/>
              </w:rPr>
            </w:pPr>
          </w:p>
        </w:tc>
        <w:tc>
          <w:tcPr>
            <w:tcW w:w="510" w:type="dxa"/>
            <w:vMerge/>
            <w:tcBorders>
              <w:tl2br w:val="nil"/>
              <w:tr2bl w:val="nil"/>
            </w:tcBorders>
            <w:vAlign w:val="center"/>
          </w:tcPr>
          <w:p w:rsidR="00013EC7" w:rsidRDefault="00013EC7">
            <w:pPr>
              <w:rPr>
                <w:rFonts w:ascii="仿宋" w:eastAsia="仿宋" w:hAnsi="仿宋" w:cs="仿宋"/>
                <w:color w:val="000000"/>
                <w:sz w:val="24"/>
              </w:rPr>
            </w:pPr>
          </w:p>
        </w:tc>
        <w:tc>
          <w:tcPr>
            <w:tcW w:w="3544" w:type="dxa"/>
            <w:vMerge/>
            <w:tcBorders>
              <w:tl2br w:val="nil"/>
              <w:tr2bl w:val="nil"/>
            </w:tcBorders>
            <w:vAlign w:val="center"/>
          </w:tcPr>
          <w:p w:rsidR="00013EC7" w:rsidRDefault="00013EC7">
            <w:pPr>
              <w:rPr>
                <w:rFonts w:ascii="仿宋" w:eastAsia="仿宋" w:hAnsi="仿宋" w:cs="仿宋"/>
                <w:color w:val="000000"/>
                <w:sz w:val="24"/>
              </w:rPr>
            </w:pPr>
          </w:p>
        </w:tc>
        <w:tc>
          <w:tcPr>
            <w:tcW w:w="3260" w:type="dxa"/>
            <w:tcBorders>
              <w:tl2br w:val="nil"/>
              <w:tr2bl w:val="nil"/>
            </w:tcBorders>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color w:val="000000"/>
                <w:kern w:val="0"/>
                <w:sz w:val="24"/>
              </w:rPr>
              <w:t>（三十三）自主就业退役士兵本年度在企业工作时间表。</w:t>
            </w:r>
          </w:p>
        </w:tc>
        <w:tc>
          <w:tcPr>
            <w:tcW w:w="1418" w:type="dxa"/>
            <w:vMerge/>
            <w:tcBorders>
              <w:tl2br w:val="nil"/>
              <w:tr2bl w:val="nil"/>
            </w:tcBorders>
            <w:vAlign w:val="center"/>
          </w:tcPr>
          <w:p w:rsidR="00013EC7" w:rsidRDefault="00013EC7">
            <w:pPr>
              <w:widowControl/>
              <w:textAlignment w:val="center"/>
              <w:rPr>
                <w:rFonts w:ascii="仿宋" w:eastAsia="仿宋" w:hAnsi="仿宋" w:cs="仿宋"/>
                <w:color w:val="000000"/>
                <w:sz w:val="24"/>
              </w:rPr>
            </w:pPr>
          </w:p>
        </w:tc>
        <w:tc>
          <w:tcPr>
            <w:tcW w:w="3118" w:type="dxa"/>
            <w:tcBorders>
              <w:tl2br w:val="nil"/>
              <w:tr2bl w:val="nil"/>
            </w:tcBorders>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color w:val="000000"/>
                <w:kern w:val="0"/>
                <w:sz w:val="24"/>
              </w:rPr>
              <w:t>（三十）自主就业退役士兵本年度在企业工作时间表。</w:t>
            </w:r>
          </w:p>
        </w:tc>
        <w:tc>
          <w:tcPr>
            <w:tcW w:w="1276" w:type="dxa"/>
            <w:vMerge/>
            <w:tcBorders>
              <w:tl2br w:val="nil"/>
              <w:tr2bl w:val="nil"/>
            </w:tcBorders>
            <w:vAlign w:val="center"/>
          </w:tcPr>
          <w:p w:rsidR="00013EC7" w:rsidRDefault="00013EC7">
            <w:pPr>
              <w:widowControl/>
              <w:jc w:val="left"/>
              <w:textAlignment w:val="center"/>
              <w:rPr>
                <w:rFonts w:ascii="仿宋" w:eastAsia="仿宋" w:hAnsi="仿宋" w:cs="仿宋"/>
                <w:color w:val="000000"/>
                <w:sz w:val="24"/>
              </w:rPr>
            </w:pPr>
          </w:p>
        </w:tc>
        <w:tc>
          <w:tcPr>
            <w:tcW w:w="2268" w:type="dxa"/>
            <w:vMerge/>
            <w:tcBorders>
              <w:tl2br w:val="nil"/>
              <w:tr2bl w:val="nil"/>
            </w:tcBorders>
            <w:vAlign w:val="center"/>
          </w:tcPr>
          <w:p w:rsidR="00013EC7" w:rsidRDefault="00013EC7">
            <w:pPr>
              <w:rPr>
                <w:rFonts w:ascii="仿宋" w:eastAsia="仿宋" w:hAnsi="仿宋" w:cs="仿宋"/>
                <w:color w:val="000000"/>
                <w:sz w:val="24"/>
              </w:rPr>
            </w:pPr>
          </w:p>
        </w:tc>
        <w:tc>
          <w:tcPr>
            <w:tcW w:w="567" w:type="dxa"/>
            <w:vMerge/>
            <w:tcBorders>
              <w:tl2br w:val="nil"/>
              <w:tr2bl w:val="nil"/>
            </w:tcBorders>
          </w:tcPr>
          <w:p w:rsidR="00013EC7" w:rsidRDefault="00013EC7">
            <w:pPr>
              <w:jc w:val="center"/>
              <w:rPr>
                <w:rFonts w:ascii="仿宋" w:eastAsia="仿宋" w:hAnsi="仿宋" w:cs="仿宋"/>
                <w:color w:val="000000"/>
                <w:sz w:val="24"/>
              </w:rPr>
            </w:pPr>
          </w:p>
        </w:tc>
        <w:tc>
          <w:tcPr>
            <w:tcW w:w="851" w:type="dxa"/>
            <w:vMerge/>
            <w:tcBorders>
              <w:tl2br w:val="nil"/>
              <w:tr2bl w:val="nil"/>
            </w:tcBorders>
          </w:tcPr>
          <w:p w:rsidR="00013EC7" w:rsidRDefault="00013EC7">
            <w:pPr>
              <w:jc w:val="center"/>
              <w:rPr>
                <w:rFonts w:ascii="仿宋" w:eastAsia="仿宋" w:hAnsi="仿宋" w:cs="仿宋"/>
                <w:color w:val="000000"/>
                <w:sz w:val="24"/>
              </w:rPr>
            </w:pPr>
          </w:p>
        </w:tc>
        <w:tc>
          <w:tcPr>
            <w:tcW w:w="708" w:type="dxa"/>
            <w:vMerge/>
            <w:tcBorders>
              <w:tl2br w:val="nil"/>
              <w:tr2bl w:val="nil"/>
            </w:tcBorders>
          </w:tcPr>
          <w:p w:rsidR="00013EC7" w:rsidRDefault="00013EC7">
            <w:pPr>
              <w:jc w:val="center"/>
              <w:rPr>
                <w:rFonts w:ascii="仿宋" w:eastAsia="仿宋" w:hAnsi="仿宋" w:cs="仿宋"/>
                <w:color w:val="000000"/>
                <w:sz w:val="24"/>
              </w:rPr>
            </w:pPr>
          </w:p>
        </w:tc>
        <w:tc>
          <w:tcPr>
            <w:tcW w:w="993" w:type="dxa"/>
            <w:vMerge/>
            <w:tcBorders>
              <w:tl2br w:val="nil"/>
              <w:tr2bl w:val="nil"/>
            </w:tcBorders>
          </w:tcPr>
          <w:p w:rsidR="00013EC7" w:rsidRDefault="00013EC7">
            <w:pPr>
              <w:jc w:val="center"/>
              <w:rPr>
                <w:rFonts w:ascii="仿宋" w:eastAsia="仿宋" w:hAnsi="仿宋" w:cs="仿宋"/>
                <w:color w:val="000000"/>
                <w:sz w:val="24"/>
              </w:rPr>
            </w:pPr>
          </w:p>
        </w:tc>
        <w:tc>
          <w:tcPr>
            <w:tcW w:w="978" w:type="dxa"/>
            <w:vMerge/>
            <w:tcBorders>
              <w:tl2br w:val="nil"/>
              <w:tr2bl w:val="nil"/>
            </w:tcBorders>
          </w:tcPr>
          <w:p w:rsidR="00013EC7" w:rsidRDefault="00013EC7">
            <w:pPr>
              <w:rPr>
                <w:rFonts w:ascii="仿宋" w:eastAsia="仿宋" w:hAnsi="仿宋" w:cs="仿宋"/>
                <w:color w:val="000000"/>
                <w:sz w:val="24"/>
              </w:rPr>
            </w:pPr>
          </w:p>
        </w:tc>
      </w:tr>
      <w:tr w:rsidR="00013EC7">
        <w:trPr>
          <w:trHeight w:val="2295"/>
        </w:trPr>
        <w:tc>
          <w:tcPr>
            <w:tcW w:w="639" w:type="dxa"/>
            <w:vMerge/>
            <w:tcBorders>
              <w:tl2br w:val="nil"/>
              <w:tr2bl w:val="nil"/>
            </w:tcBorders>
            <w:vAlign w:val="center"/>
          </w:tcPr>
          <w:p w:rsidR="00013EC7" w:rsidRDefault="00013EC7">
            <w:pPr>
              <w:rPr>
                <w:rFonts w:ascii="仿宋" w:eastAsia="仿宋" w:hAnsi="仿宋" w:cs="仿宋"/>
                <w:color w:val="000000"/>
                <w:sz w:val="24"/>
              </w:rPr>
            </w:pPr>
          </w:p>
        </w:tc>
        <w:tc>
          <w:tcPr>
            <w:tcW w:w="510" w:type="dxa"/>
            <w:vMerge/>
            <w:tcBorders>
              <w:tl2br w:val="nil"/>
              <w:tr2bl w:val="nil"/>
            </w:tcBorders>
            <w:vAlign w:val="center"/>
          </w:tcPr>
          <w:p w:rsidR="00013EC7" w:rsidRDefault="00013EC7">
            <w:pPr>
              <w:rPr>
                <w:rFonts w:ascii="仿宋" w:eastAsia="仿宋" w:hAnsi="仿宋" w:cs="仿宋"/>
                <w:color w:val="000000"/>
                <w:sz w:val="24"/>
              </w:rPr>
            </w:pPr>
          </w:p>
        </w:tc>
        <w:tc>
          <w:tcPr>
            <w:tcW w:w="3544" w:type="dxa"/>
            <w:vMerge/>
            <w:tcBorders>
              <w:tl2br w:val="nil"/>
              <w:tr2bl w:val="nil"/>
            </w:tcBorders>
            <w:vAlign w:val="center"/>
          </w:tcPr>
          <w:p w:rsidR="00013EC7" w:rsidRDefault="00013EC7">
            <w:pPr>
              <w:rPr>
                <w:rFonts w:ascii="仿宋" w:eastAsia="仿宋" w:hAnsi="仿宋" w:cs="仿宋"/>
                <w:color w:val="000000"/>
                <w:sz w:val="24"/>
              </w:rPr>
            </w:pPr>
          </w:p>
        </w:tc>
        <w:tc>
          <w:tcPr>
            <w:tcW w:w="3260" w:type="dxa"/>
            <w:tcBorders>
              <w:tl2br w:val="nil"/>
              <w:tr2bl w:val="nil"/>
            </w:tcBorders>
            <w:vAlign w:val="center"/>
          </w:tcPr>
          <w:p w:rsidR="00013EC7" w:rsidRDefault="00575CDB">
            <w:pPr>
              <w:widowControl/>
              <w:textAlignment w:val="center"/>
              <w:rPr>
                <w:rFonts w:ascii="仿宋" w:eastAsia="仿宋" w:hAnsi="仿宋" w:cs="仿宋"/>
                <w:color w:val="000000"/>
                <w:sz w:val="24"/>
              </w:rPr>
            </w:pPr>
            <w:r>
              <w:rPr>
                <w:rFonts w:ascii="仿宋" w:eastAsia="仿宋" w:hAnsi="仿宋" w:cs="仿宋" w:hint="eastAsia"/>
                <w:color w:val="000000"/>
                <w:kern w:val="0"/>
                <w:sz w:val="24"/>
              </w:rPr>
              <w:t>（三十二）中国人民解放军义务兵退出现役证原件及复印件（加盖公章）（中国人民解放军士官退出现役证原件及复印件（加盖公章））。</w:t>
            </w:r>
          </w:p>
        </w:tc>
        <w:tc>
          <w:tcPr>
            <w:tcW w:w="1418" w:type="dxa"/>
            <w:tcBorders>
              <w:tl2br w:val="nil"/>
              <w:tr2bl w:val="nil"/>
            </w:tcBorders>
            <w:vAlign w:val="center"/>
          </w:tcPr>
          <w:p w:rsidR="00013EC7" w:rsidRDefault="00575CDB">
            <w:pPr>
              <w:widowControl/>
              <w:textAlignment w:val="center"/>
              <w:rPr>
                <w:rFonts w:ascii="仿宋" w:eastAsia="仿宋" w:hAnsi="仿宋" w:cs="仿宋"/>
                <w:color w:val="000000"/>
                <w:sz w:val="24"/>
              </w:rPr>
            </w:pPr>
            <w:r>
              <w:rPr>
                <w:rFonts w:ascii="仿宋" w:eastAsia="仿宋" w:hAnsi="仿宋" w:cs="仿宋" w:hint="eastAsia"/>
                <w:color w:val="000000"/>
                <w:kern w:val="0"/>
                <w:sz w:val="24"/>
              </w:rPr>
              <w:t>符合退役士兵从事个体经营扣减增值税优惠条件的纳税人提交</w:t>
            </w:r>
          </w:p>
        </w:tc>
        <w:tc>
          <w:tcPr>
            <w:tcW w:w="3118" w:type="dxa"/>
            <w:tcBorders>
              <w:tl2br w:val="nil"/>
              <w:tr2bl w:val="nil"/>
            </w:tcBorders>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color w:val="000000"/>
                <w:kern w:val="0"/>
                <w:sz w:val="24"/>
              </w:rPr>
              <w:t>（二十九）中国人民解放军义务兵退出现役证原件及复印件（注明与原件一致，并加盖公章）（中国人民解放军士官退出现役证原件及复印件（注明与原件一致，并加盖公章））。</w:t>
            </w:r>
          </w:p>
        </w:tc>
        <w:tc>
          <w:tcPr>
            <w:tcW w:w="1276" w:type="dxa"/>
            <w:tcBorders>
              <w:tl2br w:val="nil"/>
              <w:tr2bl w:val="nil"/>
            </w:tcBorders>
            <w:vAlign w:val="center"/>
          </w:tcPr>
          <w:p w:rsidR="00013EC7" w:rsidRDefault="00575CDB">
            <w:pPr>
              <w:widowControl/>
              <w:jc w:val="left"/>
              <w:textAlignment w:val="center"/>
              <w:rPr>
                <w:rFonts w:ascii="仿宋" w:eastAsia="仿宋" w:hAnsi="仿宋" w:cs="仿宋"/>
                <w:color w:val="000000"/>
                <w:sz w:val="24"/>
              </w:rPr>
            </w:pPr>
            <w:r>
              <w:rPr>
                <w:rFonts w:ascii="仿宋" w:eastAsia="仿宋" w:hAnsi="仿宋" w:cs="仿宋" w:hint="eastAsia"/>
                <w:color w:val="000000"/>
                <w:kern w:val="0"/>
                <w:sz w:val="24"/>
              </w:rPr>
              <w:t>退役士兵个体经营纳税人提交</w:t>
            </w:r>
          </w:p>
        </w:tc>
        <w:tc>
          <w:tcPr>
            <w:tcW w:w="2268" w:type="dxa"/>
            <w:vMerge/>
            <w:tcBorders>
              <w:tl2br w:val="nil"/>
              <w:tr2bl w:val="nil"/>
            </w:tcBorders>
            <w:vAlign w:val="center"/>
          </w:tcPr>
          <w:p w:rsidR="00013EC7" w:rsidRDefault="00013EC7">
            <w:pPr>
              <w:widowControl/>
              <w:textAlignment w:val="center"/>
              <w:rPr>
                <w:rFonts w:ascii="仿宋" w:eastAsia="仿宋" w:hAnsi="仿宋" w:cs="仿宋"/>
                <w:b/>
                <w:color w:val="000000"/>
                <w:sz w:val="24"/>
              </w:rPr>
            </w:pPr>
          </w:p>
        </w:tc>
        <w:tc>
          <w:tcPr>
            <w:tcW w:w="567" w:type="dxa"/>
            <w:vMerge/>
            <w:tcBorders>
              <w:tl2br w:val="nil"/>
              <w:tr2bl w:val="nil"/>
            </w:tcBorders>
          </w:tcPr>
          <w:p w:rsidR="00013EC7" w:rsidRDefault="00013EC7">
            <w:pPr>
              <w:jc w:val="center"/>
              <w:rPr>
                <w:rFonts w:ascii="仿宋" w:eastAsia="仿宋" w:hAnsi="仿宋" w:cs="仿宋"/>
                <w:color w:val="000000"/>
                <w:sz w:val="24"/>
              </w:rPr>
            </w:pPr>
          </w:p>
        </w:tc>
        <w:tc>
          <w:tcPr>
            <w:tcW w:w="851" w:type="dxa"/>
            <w:vMerge/>
            <w:tcBorders>
              <w:tl2br w:val="nil"/>
              <w:tr2bl w:val="nil"/>
            </w:tcBorders>
          </w:tcPr>
          <w:p w:rsidR="00013EC7" w:rsidRDefault="00013EC7">
            <w:pPr>
              <w:jc w:val="center"/>
              <w:rPr>
                <w:rFonts w:ascii="仿宋" w:eastAsia="仿宋" w:hAnsi="仿宋" w:cs="仿宋"/>
                <w:color w:val="000000"/>
                <w:sz w:val="24"/>
              </w:rPr>
            </w:pPr>
          </w:p>
        </w:tc>
        <w:tc>
          <w:tcPr>
            <w:tcW w:w="708" w:type="dxa"/>
            <w:vMerge/>
            <w:tcBorders>
              <w:tl2br w:val="nil"/>
              <w:tr2bl w:val="nil"/>
            </w:tcBorders>
          </w:tcPr>
          <w:p w:rsidR="00013EC7" w:rsidRDefault="00013EC7">
            <w:pPr>
              <w:jc w:val="center"/>
              <w:rPr>
                <w:rFonts w:ascii="仿宋" w:eastAsia="仿宋" w:hAnsi="仿宋" w:cs="仿宋"/>
                <w:color w:val="000000"/>
                <w:sz w:val="24"/>
              </w:rPr>
            </w:pPr>
          </w:p>
        </w:tc>
        <w:tc>
          <w:tcPr>
            <w:tcW w:w="993" w:type="dxa"/>
            <w:vMerge/>
            <w:tcBorders>
              <w:tl2br w:val="nil"/>
              <w:tr2bl w:val="nil"/>
            </w:tcBorders>
          </w:tcPr>
          <w:p w:rsidR="00013EC7" w:rsidRDefault="00013EC7">
            <w:pPr>
              <w:jc w:val="center"/>
              <w:rPr>
                <w:rFonts w:ascii="仿宋" w:eastAsia="仿宋" w:hAnsi="仿宋" w:cs="仿宋"/>
                <w:color w:val="000000"/>
                <w:sz w:val="24"/>
              </w:rPr>
            </w:pPr>
          </w:p>
        </w:tc>
        <w:tc>
          <w:tcPr>
            <w:tcW w:w="978" w:type="dxa"/>
            <w:vMerge/>
            <w:tcBorders>
              <w:tl2br w:val="nil"/>
              <w:tr2bl w:val="nil"/>
            </w:tcBorders>
          </w:tcPr>
          <w:p w:rsidR="00013EC7" w:rsidRDefault="00013EC7">
            <w:pPr>
              <w:rPr>
                <w:rFonts w:ascii="仿宋" w:eastAsia="仿宋" w:hAnsi="仿宋" w:cs="仿宋"/>
                <w:color w:val="000000"/>
                <w:sz w:val="24"/>
              </w:rPr>
            </w:pPr>
          </w:p>
        </w:tc>
      </w:tr>
      <w:tr w:rsidR="00013EC7">
        <w:trPr>
          <w:trHeight w:val="898"/>
        </w:trPr>
        <w:tc>
          <w:tcPr>
            <w:tcW w:w="639" w:type="dxa"/>
            <w:vMerge/>
            <w:tcBorders>
              <w:tl2br w:val="nil"/>
              <w:tr2bl w:val="nil"/>
            </w:tcBorders>
            <w:vAlign w:val="center"/>
          </w:tcPr>
          <w:p w:rsidR="00013EC7" w:rsidRDefault="00013EC7">
            <w:pPr>
              <w:rPr>
                <w:rFonts w:ascii="仿宋" w:eastAsia="仿宋" w:hAnsi="仿宋" w:cs="仿宋"/>
                <w:color w:val="000000"/>
                <w:sz w:val="24"/>
              </w:rPr>
            </w:pPr>
          </w:p>
        </w:tc>
        <w:tc>
          <w:tcPr>
            <w:tcW w:w="510" w:type="dxa"/>
            <w:vMerge/>
            <w:tcBorders>
              <w:tl2br w:val="nil"/>
              <w:tr2bl w:val="nil"/>
            </w:tcBorders>
            <w:vAlign w:val="center"/>
          </w:tcPr>
          <w:p w:rsidR="00013EC7" w:rsidRDefault="00013EC7">
            <w:pPr>
              <w:rPr>
                <w:rFonts w:ascii="仿宋" w:eastAsia="仿宋" w:hAnsi="仿宋" w:cs="仿宋"/>
                <w:color w:val="000000"/>
                <w:sz w:val="24"/>
              </w:rPr>
            </w:pPr>
          </w:p>
        </w:tc>
        <w:tc>
          <w:tcPr>
            <w:tcW w:w="3544" w:type="dxa"/>
            <w:vMerge/>
            <w:tcBorders>
              <w:tl2br w:val="nil"/>
              <w:tr2bl w:val="nil"/>
            </w:tcBorders>
            <w:vAlign w:val="center"/>
          </w:tcPr>
          <w:p w:rsidR="00013EC7" w:rsidRDefault="00013EC7">
            <w:pPr>
              <w:rPr>
                <w:rFonts w:ascii="仿宋" w:eastAsia="仿宋" w:hAnsi="仿宋" w:cs="仿宋"/>
                <w:color w:val="000000"/>
                <w:sz w:val="24"/>
              </w:rPr>
            </w:pPr>
          </w:p>
        </w:tc>
        <w:tc>
          <w:tcPr>
            <w:tcW w:w="3260" w:type="dxa"/>
            <w:tcBorders>
              <w:tl2br w:val="nil"/>
              <w:tr2bl w:val="nil"/>
            </w:tcBorders>
            <w:vAlign w:val="center"/>
          </w:tcPr>
          <w:p w:rsidR="00013EC7" w:rsidRDefault="00575CDB">
            <w:pPr>
              <w:widowControl/>
              <w:textAlignment w:val="center"/>
              <w:rPr>
                <w:rFonts w:ascii="仿宋" w:eastAsia="仿宋" w:hAnsi="仿宋" w:cs="仿宋"/>
                <w:color w:val="000000"/>
                <w:sz w:val="24"/>
              </w:rPr>
            </w:pPr>
            <w:r>
              <w:rPr>
                <w:rFonts w:ascii="仿宋" w:eastAsia="仿宋" w:hAnsi="仿宋" w:cs="仿宋" w:hint="eastAsia"/>
                <w:color w:val="000000"/>
                <w:kern w:val="0"/>
                <w:sz w:val="24"/>
              </w:rPr>
              <w:t>（三十四）《就业失业登记证》（注明“自主创业税收政策”或附着《高校毕业生自主创业证》）</w:t>
            </w:r>
            <w:r>
              <w:rPr>
                <w:rFonts w:ascii="仿宋" w:eastAsia="仿宋" w:hAnsi="仿宋" w:cs="仿宋" w:hint="eastAsia"/>
                <w:color w:val="000000"/>
                <w:kern w:val="0"/>
                <w:sz w:val="24"/>
                <w:highlight w:val="lightGray"/>
              </w:rPr>
              <w:t>原件及</w:t>
            </w:r>
            <w:r>
              <w:rPr>
                <w:rFonts w:ascii="仿宋" w:eastAsia="仿宋" w:hAnsi="仿宋" w:cs="仿宋" w:hint="eastAsia"/>
                <w:color w:val="000000"/>
                <w:kern w:val="0"/>
                <w:sz w:val="24"/>
              </w:rPr>
              <w:t>复印件（加盖公章）。</w:t>
            </w:r>
          </w:p>
        </w:tc>
        <w:tc>
          <w:tcPr>
            <w:tcW w:w="1418" w:type="dxa"/>
            <w:vMerge w:val="restart"/>
            <w:tcBorders>
              <w:tl2br w:val="nil"/>
              <w:tr2bl w:val="nil"/>
            </w:tcBorders>
            <w:vAlign w:val="center"/>
          </w:tcPr>
          <w:p w:rsidR="00013EC7" w:rsidRDefault="00013EC7">
            <w:pPr>
              <w:widowControl/>
              <w:textAlignment w:val="center"/>
              <w:rPr>
                <w:rFonts w:ascii="仿宋" w:eastAsia="仿宋" w:hAnsi="仿宋" w:cs="仿宋"/>
                <w:kern w:val="0"/>
                <w:sz w:val="24"/>
              </w:rPr>
            </w:pPr>
          </w:p>
          <w:p w:rsidR="00013EC7" w:rsidRDefault="00575CDB">
            <w:pPr>
              <w:widowControl/>
              <w:textAlignment w:val="center"/>
              <w:rPr>
                <w:rFonts w:ascii="仿宋" w:eastAsia="仿宋" w:hAnsi="仿宋" w:cs="仿宋"/>
                <w:sz w:val="24"/>
              </w:rPr>
            </w:pPr>
            <w:r>
              <w:rPr>
                <w:rFonts w:ascii="仿宋" w:eastAsia="仿宋" w:hAnsi="仿宋" w:cs="仿宋" w:hint="eastAsia"/>
                <w:kern w:val="0"/>
                <w:sz w:val="24"/>
              </w:rPr>
              <w:t>符合重点群体从事个体经营扣减增值税优惠的纳税人提交</w:t>
            </w:r>
          </w:p>
        </w:tc>
        <w:tc>
          <w:tcPr>
            <w:tcW w:w="3118" w:type="dxa"/>
            <w:tcBorders>
              <w:tl2br w:val="nil"/>
              <w:tr2bl w:val="nil"/>
            </w:tcBorders>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color w:val="000000"/>
                <w:kern w:val="0"/>
                <w:sz w:val="24"/>
              </w:rPr>
              <w:t>（三十一）《就业失业登记证》（注明“自主创业税收政策”或附着《高校毕业生自主创业证》）复印件（注明与原件致，并加盖公章）。</w:t>
            </w:r>
          </w:p>
        </w:tc>
        <w:tc>
          <w:tcPr>
            <w:tcW w:w="1276" w:type="dxa"/>
            <w:vMerge w:val="restart"/>
            <w:tcBorders>
              <w:tl2br w:val="nil"/>
              <w:tr2bl w:val="nil"/>
            </w:tcBorders>
            <w:vAlign w:val="center"/>
          </w:tcPr>
          <w:p w:rsidR="00013EC7" w:rsidRDefault="00013EC7">
            <w:pPr>
              <w:textAlignment w:val="center"/>
              <w:rPr>
                <w:rFonts w:ascii="仿宋" w:eastAsia="仿宋" w:hAnsi="仿宋" w:cs="仿宋"/>
                <w:color w:val="000000"/>
                <w:kern w:val="0"/>
                <w:sz w:val="24"/>
              </w:rPr>
            </w:pPr>
          </w:p>
          <w:p w:rsidR="00013EC7" w:rsidRDefault="00013EC7">
            <w:pPr>
              <w:textAlignment w:val="center"/>
              <w:rPr>
                <w:rFonts w:ascii="仿宋" w:eastAsia="仿宋" w:hAnsi="仿宋" w:cs="仿宋"/>
                <w:color w:val="000000"/>
                <w:kern w:val="0"/>
                <w:sz w:val="24"/>
              </w:rPr>
            </w:pPr>
          </w:p>
          <w:p w:rsidR="00013EC7" w:rsidRDefault="00575CDB">
            <w:pPr>
              <w:textAlignment w:val="center"/>
              <w:rPr>
                <w:rFonts w:ascii="仿宋" w:eastAsia="仿宋" w:hAnsi="仿宋" w:cs="仿宋"/>
                <w:b/>
                <w:i/>
                <w:color w:val="000000"/>
                <w:sz w:val="24"/>
              </w:rPr>
            </w:pPr>
            <w:r>
              <w:rPr>
                <w:rFonts w:ascii="仿宋" w:eastAsia="仿宋" w:hAnsi="仿宋" w:cs="仿宋" w:hint="eastAsia"/>
                <w:color w:val="000000"/>
                <w:kern w:val="0"/>
                <w:sz w:val="24"/>
              </w:rPr>
              <w:t>重点群体从事个体经营纳税人提交</w:t>
            </w:r>
          </w:p>
        </w:tc>
        <w:tc>
          <w:tcPr>
            <w:tcW w:w="2268" w:type="dxa"/>
            <w:vMerge/>
            <w:tcBorders>
              <w:tl2br w:val="nil"/>
              <w:tr2bl w:val="nil"/>
            </w:tcBorders>
            <w:vAlign w:val="center"/>
          </w:tcPr>
          <w:p w:rsidR="00013EC7" w:rsidRDefault="00013EC7">
            <w:pPr>
              <w:rPr>
                <w:rFonts w:ascii="仿宋" w:eastAsia="仿宋" w:hAnsi="仿宋" w:cs="仿宋"/>
                <w:b/>
                <w:color w:val="000000"/>
                <w:sz w:val="24"/>
              </w:rPr>
            </w:pPr>
          </w:p>
        </w:tc>
        <w:tc>
          <w:tcPr>
            <w:tcW w:w="567" w:type="dxa"/>
            <w:vMerge/>
            <w:tcBorders>
              <w:tl2br w:val="nil"/>
              <w:tr2bl w:val="nil"/>
            </w:tcBorders>
          </w:tcPr>
          <w:p w:rsidR="00013EC7" w:rsidRDefault="00013EC7">
            <w:pPr>
              <w:jc w:val="center"/>
              <w:rPr>
                <w:rFonts w:ascii="仿宋" w:eastAsia="仿宋" w:hAnsi="仿宋" w:cs="仿宋"/>
                <w:color w:val="000000"/>
                <w:sz w:val="24"/>
              </w:rPr>
            </w:pPr>
          </w:p>
        </w:tc>
        <w:tc>
          <w:tcPr>
            <w:tcW w:w="851" w:type="dxa"/>
            <w:vMerge/>
            <w:tcBorders>
              <w:tl2br w:val="nil"/>
              <w:tr2bl w:val="nil"/>
            </w:tcBorders>
          </w:tcPr>
          <w:p w:rsidR="00013EC7" w:rsidRDefault="00013EC7">
            <w:pPr>
              <w:jc w:val="center"/>
              <w:rPr>
                <w:rFonts w:ascii="仿宋" w:eastAsia="仿宋" w:hAnsi="仿宋" w:cs="仿宋"/>
                <w:color w:val="000000"/>
                <w:sz w:val="24"/>
              </w:rPr>
            </w:pPr>
          </w:p>
        </w:tc>
        <w:tc>
          <w:tcPr>
            <w:tcW w:w="708" w:type="dxa"/>
            <w:vMerge/>
            <w:tcBorders>
              <w:tl2br w:val="nil"/>
              <w:tr2bl w:val="nil"/>
            </w:tcBorders>
          </w:tcPr>
          <w:p w:rsidR="00013EC7" w:rsidRDefault="00013EC7">
            <w:pPr>
              <w:jc w:val="center"/>
              <w:rPr>
                <w:rFonts w:ascii="仿宋" w:eastAsia="仿宋" w:hAnsi="仿宋" w:cs="仿宋"/>
                <w:color w:val="000000"/>
                <w:sz w:val="24"/>
              </w:rPr>
            </w:pPr>
          </w:p>
        </w:tc>
        <w:tc>
          <w:tcPr>
            <w:tcW w:w="993" w:type="dxa"/>
            <w:vMerge/>
            <w:tcBorders>
              <w:tl2br w:val="nil"/>
              <w:tr2bl w:val="nil"/>
            </w:tcBorders>
          </w:tcPr>
          <w:p w:rsidR="00013EC7" w:rsidRDefault="00013EC7">
            <w:pPr>
              <w:jc w:val="center"/>
              <w:rPr>
                <w:rFonts w:ascii="仿宋" w:eastAsia="仿宋" w:hAnsi="仿宋" w:cs="仿宋"/>
                <w:color w:val="000000"/>
                <w:sz w:val="24"/>
              </w:rPr>
            </w:pPr>
          </w:p>
        </w:tc>
        <w:tc>
          <w:tcPr>
            <w:tcW w:w="978" w:type="dxa"/>
            <w:vMerge/>
            <w:tcBorders>
              <w:tl2br w:val="nil"/>
              <w:tr2bl w:val="nil"/>
            </w:tcBorders>
            <w:vAlign w:val="center"/>
          </w:tcPr>
          <w:p w:rsidR="00013EC7" w:rsidRDefault="00013EC7">
            <w:pPr>
              <w:rPr>
                <w:rFonts w:ascii="仿宋" w:eastAsia="仿宋" w:hAnsi="仿宋" w:cs="仿宋"/>
                <w:color w:val="000000"/>
                <w:sz w:val="24"/>
              </w:rPr>
            </w:pPr>
          </w:p>
        </w:tc>
      </w:tr>
      <w:tr w:rsidR="00013EC7">
        <w:trPr>
          <w:trHeight w:val="605"/>
        </w:trPr>
        <w:tc>
          <w:tcPr>
            <w:tcW w:w="639" w:type="dxa"/>
            <w:vMerge/>
            <w:tcBorders>
              <w:tl2br w:val="nil"/>
              <w:tr2bl w:val="nil"/>
            </w:tcBorders>
            <w:vAlign w:val="center"/>
          </w:tcPr>
          <w:p w:rsidR="00013EC7" w:rsidRDefault="00013EC7">
            <w:pPr>
              <w:rPr>
                <w:rFonts w:ascii="仿宋" w:eastAsia="仿宋" w:hAnsi="仿宋" w:cs="仿宋"/>
                <w:color w:val="000000"/>
                <w:sz w:val="24"/>
              </w:rPr>
            </w:pPr>
          </w:p>
        </w:tc>
        <w:tc>
          <w:tcPr>
            <w:tcW w:w="510" w:type="dxa"/>
            <w:vMerge/>
            <w:tcBorders>
              <w:tl2br w:val="nil"/>
              <w:tr2bl w:val="nil"/>
            </w:tcBorders>
            <w:vAlign w:val="center"/>
          </w:tcPr>
          <w:p w:rsidR="00013EC7" w:rsidRDefault="00013EC7">
            <w:pPr>
              <w:rPr>
                <w:rFonts w:ascii="仿宋" w:eastAsia="仿宋" w:hAnsi="仿宋" w:cs="仿宋"/>
                <w:color w:val="000000"/>
                <w:sz w:val="24"/>
              </w:rPr>
            </w:pPr>
          </w:p>
        </w:tc>
        <w:tc>
          <w:tcPr>
            <w:tcW w:w="3544" w:type="dxa"/>
            <w:vMerge/>
            <w:tcBorders>
              <w:tl2br w:val="nil"/>
              <w:tr2bl w:val="nil"/>
            </w:tcBorders>
            <w:vAlign w:val="center"/>
          </w:tcPr>
          <w:p w:rsidR="00013EC7" w:rsidRDefault="00013EC7">
            <w:pPr>
              <w:rPr>
                <w:rFonts w:ascii="仿宋" w:eastAsia="仿宋" w:hAnsi="仿宋" w:cs="仿宋"/>
                <w:color w:val="000000"/>
                <w:sz w:val="24"/>
              </w:rPr>
            </w:pPr>
          </w:p>
        </w:tc>
        <w:tc>
          <w:tcPr>
            <w:tcW w:w="3260" w:type="dxa"/>
            <w:tcBorders>
              <w:tl2br w:val="nil"/>
              <w:tr2bl w:val="nil"/>
            </w:tcBorders>
            <w:vAlign w:val="center"/>
          </w:tcPr>
          <w:p w:rsidR="00013EC7" w:rsidRDefault="00575CDB">
            <w:pPr>
              <w:widowControl/>
              <w:textAlignment w:val="center"/>
              <w:rPr>
                <w:rFonts w:ascii="仿宋" w:eastAsia="仿宋" w:hAnsi="仿宋" w:cs="仿宋"/>
                <w:color w:val="000000"/>
                <w:sz w:val="24"/>
              </w:rPr>
            </w:pPr>
            <w:r>
              <w:rPr>
                <w:rFonts w:ascii="仿宋" w:eastAsia="仿宋" w:hAnsi="仿宋" w:cs="仿宋" w:hint="eastAsia"/>
                <w:color w:val="000000"/>
                <w:kern w:val="0"/>
                <w:sz w:val="24"/>
              </w:rPr>
              <w:t>（三十五）居民身份证</w:t>
            </w:r>
            <w:r>
              <w:rPr>
                <w:rFonts w:ascii="仿宋" w:eastAsia="仿宋" w:hAnsi="仿宋" w:cs="仿宋" w:hint="eastAsia"/>
                <w:color w:val="000000"/>
                <w:kern w:val="0"/>
                <w:sz w:val="24"/>
                <w:highlight w:val="lightGray"/>
              </w:rPr>
              <w:t>原件及</w:t>
            </w:r>
            <w:r>
              <w:rPr>
                <w:rFonts w:ascii="仿宋" w:eastAsia="仿宋" w:hAnsi="仿宋" w:cs="仿宋" w:hint="eastAsia"/>
                <w:color w:val="000000"/>
                <w:kern w:val="0"/>
                <w:sz w:val="24"/>
              </w:rPr>
              <w:t>复印件（加盖公章）。</w:t>
            </w:r>
          </w:p>
        </w:tc>
        <w:tc>
          <w:tcPr>
            <w:tcW w:w="1418" w:type="dxa"/>
            <w:vMerge/>
            <w:tcBorders>
              <w:tl2br w:val="nil"/>
              <w:tr2bl w:val="nil"/>
            </w:tcBorders>
            <w:vAlign w:val="center"/>
          </w:tcPr>
          <w:p w:rsidR="00013EC7" w:rsidRDefault="00013EC7">
            <w:pPr>
              <w:widowControl/>
              <w:textAlignment w:val="center"/>
              <w:rPr>
                <w:rFonts w:ascii="仿宋" w:eastAsia="仿宋" w:hAnsi="仿宋" w:cs="仿宋"/>
                <w:sz w:val="24"/>
              </w:rPr>
            </w:pPr>
          </w:p>
        </w:tc>
        <w:tc>
          <w:tcPr>
            <w:tcW w:w="3118" w:type="dxa"/>
            <w:tcBorders>
              <w:tl2br w:val="nil"/>
              <w:tr2bl w:val="nil"/>
            </w:tcBorders>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color w:val="000000"/>
                <w:kern w:val="0"/>
                <w:sz w:val="24"/>
              </w:rPr>
              <w:t>（三十二）居民身份证复印件（注明与原件一致，并加盖公章）。</w:t>
            </w:r>
          </w:p>
        </w:tc>
        <w:tc>
          <w:tcPr>
            <w:tcW w:w="1276" w:type="dxa"/>
            <w:vMerge/>
            <w:tcBorders>
              <w:tl2br w:val="nil"/>
              <w:tr2bl w:val="nil"/>
            </w:tcBorders>
            <w:vAlign w:val="center"/>
          </w:tcPr>
          <w:p w:rsidR="00013EC7" w:rsidRDefault="00013EC7">
            <w:pPr>
              <w:widowControl/>
              <w:textAlignment w:val="center"/>
              <w:rPr>
                <w:rFonts w:ascii="仿宋" w:eastAsia="仿宋" w:hAnsi="仿宋" w:cs="仿宋"/>
                <w:color w:val="000000"/>
                <w:sz w:val="24"/>
              </w:rPr>
            </w:pPr>
          </w:p>
        </w:tc>
        <w:tc>
          <w:tcPr>
            <w:tcW w:w="2268" w:type="dxa"/>
            <w:vMerge/>
            <w:tcBorders>
              <w:tl2br w:val="nil"/>
              <w:tr2bl w:val="nil"/>
            </w:tcBorders>
            <w:vAlign w:val="center"/>
          </w:tcPr>
          <w:p w:rsidR="00013EC7" w:rsidRDefault="00013EC7">
            <w:pPr>
              <w:rPr>
                <w:rFonts w:ascii="仿宋" w:eastAsia="仿宋" w:hAnsi="仿宋" w:cs="仿宋"/>
                <w:color w:val="000000"/>
                <w:sz w:val="24"/>
              </w:rPr>
            </w:pPr>
          </w:p>
        </w:tc>
        <w:tc>
          <w:tcPr>
            <w:tcW w:w="567" w:type="dxa"/>
            <w:vMerge/>
            <w:tcBorders>
              <w:tl2br w:val="nil"/>
              <w:tr2bl w:val="nil"/>
            </w:tcBorders>
          </w:tcPr>
          <w:p w:rsidR="00013EC7" w:rsidRDefault="00013EC7">
            <w:pPr>
              <w:jc w:val="center"/>
              <w:rPr>
                <w:rFonts w:ascii="仿宋" w:eastAsia="仿宋" w:hAnsi="仿宋" w:cs="仿宋"/>
                <w:color w:val="000000"/>
                <w:sz w:val="24"/>
              </w:rPr>
            </w:pPr>
          </w:p>
        </w:tc>
        <w:tc>
          <w:tcPr>
            <w:tcW w:w="851" w:type="dxa"/>
            <w:vMerge/>
            <w:tcBorders>
              <w:tl2br w:val="nil"/>
              <w:tr2bl w:val="nil"/>
            </w:tcBorders>
          </w:tcPr>
          <w:p w:rsidR="00013EC7" w:rsidRDefault="00013EC7">
            <w:pPr>
              <w:jc w:val="center"/>
              <w:rPr>
                <w:rFonts w:ascii="仿宋" w:eastAsia="仿宋" w:hAnsi="仿宋" w:cs="仿宋"/>
                <w:color w:val="000000"/>
                <w:sz w:val="24"/>
              </w:rPr>
            </w:pPr>
          </w:p>
        </w:tc>
        <w:tc>
          <w:tcPr>
            <w:tcW w:w="708" w:type="dxa"/>
            <w:vMerge/>
            <w:tcBorders>
              <w:tl2br w:val="nil"/>
              <w:tr2bl w:val="nil"/>
            </w:tcBorders>
          </w:tcPr>
          <w:p w:rsidR="00013EC7" w:rsidRDefault="00013EC7">
            <w:pPr>
              <w:jc w:val="center"/>
              <w:rPr>
                <w:rFonts w:ascii="仿宋" w:eastAsia="仿宋" w:hAnsi="仿宋" w:cs="仿宋"/>
                <w:color w:val="000000"/>
                <w:sz w:val="24"/>
              </w:rPr>
            </w:pPr>
          </w:p>
        </w:tc>
        <w:tc>
          <w:tcPr>
            <w:tcW w:w="993" w:type="dxa"/>
            <w:vMerge/>
            <w:tcBorders>
              <w:tl2br w:val="nil"/>
              <w:tr2bl w:val="nil"/>
            </w:tcBorders>
          </w:tcPr>
          <w:p w:rsidR="00013EC7" w:rsidRDefault="00013EC7">
            <w:pPr>
              <w:jc w:val="center"/>
              <w:rPr>
                <w:rFonts w:ascii="仿宋" w:eastAsia="仿宋" w:hAnsi="仿宋" w:cs="仿宋"/>
                <w:color w:val="000000"/>
                <w:sz w:val="24"/>
              </w:rPr>
            </w:pPr>
          </w:p>
        </w:tc>
        <w:tc>
          <w:tcPr>
            <w:tcW w:w="978" w:type="dxa"/>
            <w:vMerge/>
            <w:tcBorders>
              <w:tl2br w:val="nil"/>
              <w:tr2bl w:val="nil"/>
            </w:tcBorders>
            <w:vAlign w:val="center"/>
          </w:tcPr>
          <w:p w:rsidR="00013EC7" w:rsidRDefault="00013EC7">
            <w:pPr>
              <w:rPr>
                <w:rFonts w:ascii="仿宋" w:eastAsia="仿宋" w:hAnsi="仿宋" w:cs="仿宋"/>
                <w:color w:val="000000"/>
                <w:sz w:val="24"/>
              </w:rPr>
            </w:pPr>
          </w:p>
        </w:tc>
      </w:tr>
      <w:tr w:rsidR="00013EC7">
        <w:trPr>
          <w:trHeight w:val="926"/>
        </w:trPr>
        <w:tc>
          <w:tcPr>
            <w:tcW w:w="639" w:type="dxa"/>
            <w:vMerge/>
            <w:tcBorders>
              <w:tl2br w:val="nil"/>
              <w:tr2bl w:val="nil"/>
            </w:tcBorders>
            <w:vAlign w:val="center"/>
          </w:tcPr>
          <w:p w:rsidR="00013EC7" w:rsidRDefault="00013EC7">
            <w:pPr>
              <w:rPr>
                <w:rFonts w:ascii="仿宋" w:eastAsia="仿宋" w:hAnsi="仿宋" w:cs="仿宋"/>
                <w:color w:val="000000"/>
                <w:sz w:val="24"/>
              </w:rPr>
            </w:pPr>
          </w:p>
        </w:tc>
        <w:tc>
          <w:tcPr>
            <w:tcW w:w="510" w:type="dxa"/>
            <w:vMerge/>
            <w:tcBorders>
              <w:tl2br w:val="nil"/>
              <w:tr2bl w:val="nil"/>
            </w:tcBorders>
            <w:vAlign w:val="center"/>
          </w:tcPr>
          <w:p w:rsidR="00013EC7" w:rsidRDefault="00013EC7">
            <w:pPr>
              <w:rPr>
                <w:rFonts w:ascii="仿宋" w:eastAsia="仿宋" w:hAnsi="仿宋" w:cs="仿宋"/>
                <w:color w:val="000000"/>
                <w:sz w:val="24"/>
              </w:rPr>
            </w:pPr>
          </w:p>
        </w:tc>
        <w:tc>
          <w:tcPr>
            <w:tcW w:w="3544" w:type="dxa"/>
            <w:vMerge/>
            <w:tcBorders>
              <w:tl2br w:val="nil"/>
              <w:tr2bl w:val="nil"/>
            </w:tcBorders>
            <w:vAlign w:val="center"/>
          </w:tcPr>
          <w:p w:rsidR="00013EC7" w:rsidRDefault="00013EC7">
            <w:pPr>
              <w:rPr>
                <w:rFonts w:ascii="仿宋" w:eastAsia="仿宋" w:hAnsi="仿宋" w:cs="仿宋"/>
                <w:color w:val="000000"/>
                <w:sz w:val="24"/>
              </w:rPr>
            </w:pPr>
          </w:p>
        </w:tc>
        <w:tc>
          <w:tcPr>
            <w:tcW w:w="3260" w:type="dxa"/>
            <w:tcBorders>
              <w:tl2br w:val="nil"/>
              <w:tr2bl w:val="nil"/>
            </w:tcBorders>
            <w:vAlign w:val="center"/>
          </w:tcPr>
          <w:p w:rsidR="00013EC7" w:rsidRDefault="00575CDB">
            <w:pPr>
              <w:widowControl/>
              <w:textAlignment w:val="center"/>
              <w:rPr>
                <w:rFonts w:ascii="仿宋" w:eastAsia="仿宋" w:hAnsi="仿宋" w:cs="仿宋"/>
                <w:color w:val="000000"/>
                <w:sz w:val="24"/>
              </w:rPr>
            </w:pPr>
            <w:r>
              <w:rPr>
                <w:rFonts w:ascii="仿宋" w:eastAsia="仿宋" w:hAnsi="仿宋" w:cs="仿宋" w:hint="eastAsia"/>
                <w:color w:val="000000"/>
                <w:kern w:val="0"/>
                <w:sz w:val="24"/>
              </w:rPr>
              <w:t>（三十四）《就业失业登记证》（注明“企业吸纳税收政策”）</w:t>
            </w:r>
            <w:r>
              <w:rPr>
                <w:rFonts w:ascii="仿宋" w:eastAsia="仿宋" w:hAnsi="仿宋" w:cs="仿宋" w:hint="eastAsia"/>
                <w:color w:val="000000"/>
                <w:kern w:val="0"/>
                <w:sz w:val="24"/>
                <w:highlight w:val="lightGray"/>
              </w:rPr>
              <w:t>原件及</w:t>
            </w:r>
            <w:r>
              <w:rPr>
                <w:rFonts w:ascii="仿宋" w:eastAsia="仿宋" w:hAnsi="仿宋" w:cs="仿宋" w:hint="eastAsia"/>
                <w:color w:val="000000"/>
                <w:kern w:val="0"/>
                <w:sz w:val="24"/>
              </w:rPr>
              <w:t>复印件（加盖公章）。</w:t>
            </w:r>
          </w:p>
        </w:tc>
        <w:tc>
          <w:tcPr>
            <w:tcW w:w="1418" w:type="dxa"/>
            <w:vMerge w:val="restart"/>
            <w:tcBorders>
              <w:tl2br w:val="nil"/>
              <w:tr2bl w:val="nil"/>
            </w:tcBorders>
            <w:vAlign w:val="center"/>
          </w:tcPr>
          <w:p w:rsidR="00013EC7" w:rsidRDefault="00575CDB">
            <w:pPr>
              <w:widowControl/>
              <w:textAlignment w:val="center"/>
              <w:rPr>
                <w:rFonts w:ascii="仿宋" w:eastAsia="仿宋" w:hAnsi="仿宋" w:cs="仿宋"/>
                <w:sz w:val="24"/>
              </w:rPr>
            </w:pPr>
            <w:r>
              <w:rPr>
                <w:rFonts w:ascii="仿宋" w:eastAsia="仿宋" w:hAnsi="仿宋" w:cs="仿宋" w:hint="eastAsia"/>
                <w:kern w:val="0"/>
                <w:sz w:val="24"/>
              </w:rPr>
              <w:t>符合招录重点群体就业扣减增值税优惠的纳税人提交</w:t>
            </w:r>
          </w:p>
        </w:tc>
        <w:tc>
          <w:tcPr>
            <w:tcW w:w="3118" w:type="dxa"/>
            <w:tcBorders>
              <w:tl2br w:val="nil"/>
              <w:tr2bl w:val="nil"/>
            </w:tcBorders>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color w:val="000000"/>
                <w:kern w:val="0"/>
                <w:sz w:val="24"/>
              </w:rPr>
              <w:t>（三十一）《就业失业登记证》（注明“企业吸纳税收政策”）复印件（注明与原件一致，并加盖公章）。</w:t>
            </w:r>
          </w:p>
        </w:tc>
        <w:tc>
          <w:tcPr>
            <w:tcW w:w="1276" w:type="dxa"/>
            <w:vMerge w:val="restart"/>
            <w:tcBorders>
              <w:tl2br w:val="nil"/>
              <w:tr2bl w:val="nil"/>
            </w:tcBorders>
            <w:vAlign w:val="center"/>
          </w:tcPr>
          <w:p w:rsidR="00013EC7" w:rsidRDefault="00575CDB">
            <w:pPr>
              <w:widowControl/>
              <w:textAlignment w:val="center"/>
              <w:rPr>
                <w:rFonts w:ascii="仿宋" w:eastAsia="仿宋" w:hAnsi="仿宋" w:cs="仿宋"/>
                <w:b/>
                <w:i/>
                <w:color w:val="000000"/>
                <w:sz w:val="24"/>
              </w:rPr>
            </w:pPr>
            <w:r>
              <w:rPr>
                <w:rFonts w:ascii="仿宋" w:eastAsia="仿宋" w:hAnsi="仿宋" w:cs="仿宋" w:hint="eastAsia"/>
                <w:color w:val="000000"/>
                <w:kern w:val="0"/>
                <w:sz w:val="24"/>
              </w:rPr>
              <w:t>招录重点群体就业纳税人提交</w:t>
            </w:r>
          </w:p>
        </w:tc>
        <w:tc>
          <w:tcPr>
            <w:tcW w:w="2268" w:type="dxa"/>
            <w:vMerge/>
            <w:tcBorders>
              <w:tl2br w:val="nil"/>
              <w:tr2bl w:val="nil"/>
            </w:tcBorders>
            <w:vAlign w:val="center"/>
          </w:tcPr>
          <w:p w:rsidR="00013EC7" w:rsidRDefault="00013EC7">
            <w:pPr>
              <w:widowControl/>
              <w:textAlignment w:val="center"/>
              <w:rPr>
                <w:rFonts w:ascii="仿宋" w:eastAsia="仿宋" w:hAnsi="仿宋" w:cs="仿宋"/>
                <w:b/>
                <w:color w:val="000000"/>
                <w:sz w:val="24"/>
              </w:rPr>
            </w:pPr>
          </w:p>
        </w:tc>
        <w:tc>
          <w:tcPr>
            <w:tcW w:w="567" w:type="dxa"/>
            <w:vMerge/>
            <w:tcBorders>
              <w:tl2br w:val="nil"/>
              <w:tr2bl w:val="nil"/>
            </w:tcBorders>
          </w:tcPr>
          <w:p w:rsidR="00013EC7" w:rsidRDefault="00013EC7">
            <w:pPr>
              <w:jc w:val="center"/>
              <w:rPr>
                <w:rFonts w:ascii="仿宋" w:eastAsia="仿宋" w:hAnsi="仿宋" w:cs="仿宋"/>
                <w:color w:val="000000"/>
                <w:sz w:val="24"/>
              </w:rPr>
            </w:pPr>
          </w:p>
        </w:tc>
        <w:tc>
          <w:tcPr>
            <w:tcW w:w="851" w:type="dxa"/>
            <w:vMerge/>
            <w:tcBorders>
              <w:tl2br w:val="nil"/>
              <w:tr2bl w:val="nil"/>
            </w:tcBorders>
          </w:tcPr>
          <w:p w:rsidR="00013EC7" w:rsidRDefault="00013EC7">
            <w:pPr>
              <w:jc w:val="center"/>
              <w:rPr>
                <w:rFonts w:ascii="仿宋" w:eastAsia="仿宋" w:hAnsi="仿宋" w:cs="仿宋"/>
                <w:color w:val="000000"/>
                <w:sz w:val="24"/>
              </w:rPr>
            </w:pPr>
          </w:p>
        </w:tc>
        <w:tc>
          <w:tcPr>
            <w:tcW w:w="708" w:type="dxa"/>
            <w:vMerge/>
            <w:tcBorders>
              <w:tl2br w:val="nil"/>
              <w:tr2bl w:val="nil"/>
            </w:tcBorders>
          </w:tcPr>
          <w:p w:rsidR="00013EC7" w:rsidRDefault="00013EC7">
            <w:pPr>
              <w:jc w:val="center"/>
              <w:rPr>
                <w:rFonts w:ascii="仿宋" w:eastAsia="仿宋" w:hAnsi="仿宋" w:cs="仿宋"/>
                <w:color w:val="000000"/>
                <w:sz w:val="24"/>
              </w:rPr>
            </w:pPr>
          </w:p>
        </w:tc>
        <w:tc>
          <w:tcPr>
            <w:tcW w:w="993" w:type="dxa"/>
            <w:vMerge/>
            <w:tcBorders>
              <w:tl2br w:val="nil"/>
              <w:tr2bl w:val="nil"/>
            </w:tcBorders>
          </w:tcPr>
          <w:p w:rsidR="00013EC7" w:rsidRDefault="00013EC7">
            <w:pPr>
              <w:jc w:val="center"/>
              <w:rPr>
                <w:rFonts w:ascii="仿宋" w:eastAsia="仿宋" w:hAnsi="仿宋" w:cs="仿宋"/>
                <w:color w:val="000000"/>
                <w:sz w:val="24"/>
              </w:rPr>
            </w:pPr>
          </w:p>
        </w:tc>
        <w:tc>
          <w:tcPr>
            <w:tcW w:w="978" w:type="dxa"/>
            <w:vMerge/>
            <w:tcBorders>
              <w:tl2br w:val="nil"/>
              <w:tr2bl w:val="nil"/>
            </w:tcBorders>
            <w:vAlign w:val="center"/>
          </w:tcPr>
          <w:p w:rsidR="00013EC7" w:rsidRDefault="00013EC7">
            <w:pPr>
              <w:rPr>
                <w:rFonts w:ascii="仿宋" w:eastAsia="仿宋" w:hAnsi="仿宋" w:cs="仿宋"/>
                <w:color w:val="000000"/>
                <w:sz w:val="24"/>
              </w:rPr>
            </w:pPr>
          </w:p>
        </w:tc>
      </w:tr>
      <w:tr w:rsidR="00013EC7">
        <w:trPr>
          <w:trHeight w:val="1351"/>
        </w:trPr>
        <w:tc>
          <w:tcPr>
            <w:tcW w:w="639" w:type="dxa"/>
            <w:vMerge/>
            <w:tcBorders>
              <w:tl2br w:val="nil"/>
              <w:tr2bl w:val="nil"/>
            </w:tcBorders>
            <w:vAlign w:val="center"/>
          </w:tcPr>
          <w:p w:rsidR="00013EC7" w:rsidRDefault="00013EC7">
            <w:pPr>
              <w:rPr>
                <w:rFonts w:ascii="仿宋" w:eastAsia="仿宋" w:hAnsi="仿宋" w:cs="仿宋"/>
                <w:color w:val="000000"/>
                <w:sz w:val="24"/>
              </w:rPr>
            </w:pPr>
          </w:p>
        </w:tc>
        <w:tc>
          <w:tcPr>
            <w:tcW w:w="510" w:type="dxa"/>
            <w:vMerge/>
            <w:tcBorders>
              <w:tl2br w:val="nil"/>
              <w:tr2bl w:val="nil"/>
            </w:tcBorders>
            <w:vAlign w:val="center"/>
          </w:tcPr>
          <w:p w:rsidR="00013EC7" w:rsidRDefault="00013EC7">
            <w:pPr>
              <w:rPr>
                <w:rFonts w:ascii="仿宋" w:eastAsia="仿宋" w:hAnsi="仿宋" w:cs="仿宋"/>
                <w:color w:val="000000"/>
                <w:sz w:val="24"/>
              </w:rPr>
            </w:pPr>
          </w:p>
        </w:tc>
        <w:tc>
          <w:tcPr>
            <w:tcW w:w="3544" w:type="dxa"/>
            <w:vMerge/>
            <w:tcBorders>
              <w:tl2br w:val="nil"/>
              <w:tr2bl w:val="nil"/>
            </w:tcBorders>
            <w:vAlign w:val="center"/>
          </w:tcPr>
          <w:p w:rsidR="00013EC7" w:rsidRDefault="00013EC7">
            <w:pPr>
              <w:rPr>
                <w:rFonts w:ascii="仿宋" w:eastAsia="仿宋" w:hAnsi="仿宋" w:cs="仿宋"/>
                <w:color w:val="000000"/>
                <w:sz w:val="24"/>
              </w:rPr>
            </w:pPr>
          </w:p>
        </w:tc>
        <w:tc>
          <w:tcPr>
            <w:tcW w:w="3260" w:type="dxa"/>
            <w:tcBorders>
              <w:tl2br w:val="nil"/>
              <w:tr2bl w:val="nil"/>
            </w:tcBorders>
            <w:vAlign w:val="center"/>
          </w:tcPr>
          <w:p w:rsidR="00013EC7" w:rsidRDefault="00575CDB">
            <w:pPr>
              <w:widowControl/>
              <w:textAlignment w:val="center"/>
              <w:rPr>
                <w:rFonts w:ascii="仿宋" w:eastAsia="仿宋" w:hAnsi="仿宋" w:cs="仿宋"/>
                <w:color w:val="000000"/>
                <w:sz w:val="24"/>
              </w:rPr>
            </w:pPr>
            <w:r>
              <w:rPr>
                <w:rFonts w:ascii="仿宋" w:eastAsia="仿宋" w:hAnsi="仿宋" w:cs="仿宋" w:hint="eastAsia"/>
                <w:color w:val="000000"/>
                <w:kern w:val="0"/>
                <w:sz w:val="24"/>
              </w:rPr>
              <w:t>（十五）纳税人与新招录的持有《就业失业登记证》失业人员签订的一年（含）以上的劳动合同</w:t>
            </w:r>
            <w:r>
              <w:rPr>
                <w:rFonts w:ascii="仿宋" w:eastAsia="仿宋" w:hAnsi="仿宋" w:cs="仿宋" w:hint="eastAsia"/>
                <w:color w:val="000000"/>
                <w:kern w:val="0"/>
                <w:sz w:val="24"/>
                <w:highlight w:val="lightGray"/>
              </w:rPr>
              <w:t>原件及</w:t>
            </w:r>
            <w:r>
              <w:rPr>
                <w:rFonts w:ascii="仿宋" w:eastAsia="仿宋" w:hAnsi="仿宋" w:cs="仿宋" w:hint="eastAsia"/>
                <w:color w:val="000000"/>
                <w:kern w:val="0"/>
                <w:sz w:val="24"/>
              </w:rPr>
              <w:t>复印件（加盖公章）。</w:t>
            </w:r>
          </w:p>
        </w:tc>
        <w:tc>
          <w:tcPr>
            <w:tcW w:w="1418" w:type="dxa"/>
            <w:vMerge/>
            <w:tcBorders>
              <w:tl2br w:val="nil"/>
              <w:tr2bl w:val="nil"/>
            </w:tcBorders>
            <w:vAlign w:val="center"/>
          </w:tcPr>
          <w:p w:rsidR="00013EC7" w:rsidRDefault="00013EC7">
            <w:pPr>
              <w:widowControl/>
              <w:textAlignment w:val="center"/>
              <w:rPr>
                <w:rFonts w:ascii="仿宋" w:eastAsia="仿宋" w:hAnsi="仿宋" w:cs="仿宋"/>
                <w:color w:val="000000"/>
                <w:sz w:val="24"/>
              </w:rPr>
            </w:pPr>
          </w:p>
        </w:tc>
        <w:tc>
          <w:tcPr>
            <w:tcW w:w="3118" w:type="dxa"/>
            <w:tcBorders>
              <w:tl2br w:val="nil"/>
              <w:tr2bl w:val="nil"/>
            </w:tcBorders>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color w:val="000000"/>
                <w:kern w:val="0"/>
                <w:sz w:val="24"/>
              </w:rPr>
              <w:t>（十五）纳税人与新招录的持有《就业失业登记证》失业人员签订的一年（含）以上的劳动合同复印件（注明与原件一致，并加盖公章）。</w:t>
            </w:r>
          </w:p>
        </w:tc>
        <w:tc>
          <w:tcPr>
            <w:tcW w:w="1276" w:type="dxa"/>
            <w:vMerge/>
            <w:tcBorders>
              <w:tl2br w:val="nil"/>
              <w:tr2bl w:val="nil"/>
            </w:tcBorders>
            <w:vAlign w:val="center"/>
          </w:tcPr>
          <w:p w:rsidR="00013EC7" w:rsidRDefault="00013EC7">
            <w:pPr>
              <w:widowControl/>
              <w:jc w:val="left"/>
              <w:textAlignment w:val="center"/>
              <w:rPr>
                <w:rFonts w:ascii="仿宋" w:eastAsia="仿宋" w:hAnsi="仿宋" w:cs="仿宋"/>
                <w:b/>
                <w:i/>
                <w:color w:val="000000"/>
                <w:sz w:val="24"/>
              </w:rPr>
            </w:pPr>
          </w:p>
        </w:tc>
        <w:tc>
          <w:tcPr>
            <w:tcW w:w="2268" w:type="dxa"/>
            <w:vMerge/>
            <w:tcBorders>
              <w:tl2br w:val="nil"/>
              <w:tr2bl w:val="nil"/>
            </w:tcBorders>
            <w:vAlign w:val="center"/>
          </w:tcPr>
          <w:p w:rsidR="00013EC7" w:rsidRDefault="00013EC7">
            <w:pPr>
              <w:widowControl/>
              <w:textAlignment w:val="center"/>
              <w:rPr>
                <w:rFonts w:ascii="仿宋" w:eastAsia="仿宋" w:hAnsi="仿宋" w:cs="仿宋"/>
                <w:b/>
                <w:color w:val="000000"/>
                <w:sz w:val="24"/>
              </w:rPr>
            </w:pPr>
          </w:p>
        </w:tc>
        <w:tc>
          <w:tcPr>
            <w:tcW w:w="567" w:type="dxa"/>
            <w:vMerge/>
            <w:tcBorders>
              <w:tl2br w:val="nil"/>
              <w:tr2bl w:val="nil"/>
            </w:tcBorders>
          </w:tcPr>
          <w:p w:rsidR="00013EC7" w:rsidRDefault="00013EC7">
            <w:pPr>
              <w:jc w:val="center"/>
              <w:rPr>
                <w:rFonts w:ascii="仿宋" w:eastAsia="仿宋" w:hAnsi="仿宋" w:cs="仿宋"/>
                <w:color w:val="000000"/>
                <w:sz w:val="24"/>
              </w:rPr>
            </w:pPr>
          </w:p>
        </w:tc>
        <w:tc>
          <w:tcPr>
            <w:tcW w:w="851" w:type="dxa"/>
            <w:vMerge/>
            <w:tcBorders>
              <w:tl2br w:val="nil"/>
              <w:tr2bl w:val="nil"/>
            </w:tcBorders>
          </w:tcPr>
          <w:p w:rsidR="00013EC7" w:rsidRDefault="00013EC7">
            <w:pPr>
              <w:jc w:val="center"/>
              <w:rPr>
                <w:rFonts w:ascii="仿宋" w:eastAsia="仿宋" w:hAnsi="仿宋" w:cs="仿宋"/>
                <w:color w:val="000000"/>
                <w:sz w:val="24"/>
              </w:rPr>
            </w:pPr>
          </w:p>
        </w:tc>
        <w:tc>
          <w:tcPr>
            <w:tcW w:w="708" w:type="dxa"/>
            <w:vMerge/>
            <w:tcBorders>
              <w:tl2br w:val="nil"/>
              <w:tr2bl w:val="nil"/>
            </w:tcBorders>
          </w:tcPr>
          <w:p w:rsidR="00013EC7" w:rsidRDefault="00013EC7">
            <w:pPr>
              <w:jc w:val="center"/>
              <w:rPr>
                <w:rFonts w:ascii="仿宋" w:eastAsia="仿宋" w:hAnsi="仿宋" w:cs="仿宋"/>
                <w:color w:val="000000"/>
                <w:sz w:val="24"/>
              </w:rPr>
            </w:pPr>
          </w:p>
        </w:tc>
        <w:tc>
          <w:tcPr>
            <w:tcW w:w="993" w:type="dxa"/>
            <w:vMerge/>
            <w:tcBorders>
              <w:tl2br w:val="nil"/>
              <w:tr2bl w:val="nil"/>
            </w:tcBorders>
          </w:tcPr>
          <w:p w:rsidR="00013EC7" w:rsidRDefault="00013EC7">
            <w:pPr>
              <w:jc w:val="center"/>
              <w:rPr>
                <w:rFonts w:ascii="仿宋" w:eastAsia="仿宋" w:hAnsi="仿宋" w:cs="仿宋"/>
                <w:color w:val="000000"/>
                <w:sz w:val="24"/>
              </w:rPr>
            </w:pPr>
          </w:p>
        </w:tc>
        <w:tc>
          <w:tcPr>
            <w:tcW w:w="978" w:type="dxa"/>
            <w:vMerge/>
            <w:tcBorders>
              <w:tl2br w:val="nil"/>
              <w:tr2bl w:val="nil"/>
            </w:tcBorders>
            <w:vAlign w:val="center"/>
          </w:tcPr>
          <w:p w:rsidR="00013EC7" w:rsidRDefault="00013EC7">
            <w:pPr>
              <w:rPr>
                <w:rFonts w:ascii="仿宋" w:eastAsia="仿宋" w:hAnsi="仿宋" w:cs="仿宋"/>
                <w:color w:val="000000"/>
                <w:sz w:val="24"/>
              </w:rPr>
            </w:pPr>
          </w:p>
        </w:tc>
      </w:tr>
      <w:tr w:rsidR="00013EC7">
        <w:trPr>
          <w:trHeight w:val="1034"/>
        </w:trPr>
        <w:tc>
          <w:tcPr>
            <w:tcW w:w="639" w:type="dxa"/>
            <w:vMerge/>
            <w:tcBorders>
              <w:tl2br w:val="nil"/>
              <w:tr2bl w:val="nil"/>
            </w:tcBorders>
            <w:vAlign w:val="center"/>
          </w:tcPr>
          <w:p w:rsidR="00013EC7" w:rsidRDefault="00013EC7">
            <w:pPr>
              <w:rPr>
                <w:rFonts w:ascii="仿宋" w:eastAsia="仿宋" w:hAnsi="仿宋" w:cs="仿宋"/>
                <w:color w:val="000000"/>
                <w:sz w:val="24"/>
              </w:rPr>
            </w:pPr>
          </w:p>
        </w:tc>
        <w:tc>
          <w:tcPr>
            <w:tcW w:w="510" w:type="dxa"/>
            <w:vMerge/>
            <w:tcBorders>
              <w:tl2br w:val="nil"/>
              <w:tr2bl w:val="nil"/>
            </w:tcBorders>
            <w:vAlign w:val="center"/>
          </w:tcPr>
          <w:p w:rsidR="00013EC7" w:rsidRDefault="00013EC7">
            <w:pPr>
              <w:rPr>
                <w:rFonts w:ascii="仿宋" w:eastAsia="仿宋" w:hAnsi="仿宋" w:cs="仿宋"/>
                <w:color w:val="000000"/>
                <w:sz w:val="24"/>
              </w:rPr>
            </w:pPr>
          </w:p>
        </w:tc>
        <w:tc>
          <w:tcPr>
            <w:tcW w:w="3544" w:type="dxa"/>
            <w:vMerge/>
            <w:tcBorders>
              <w:tl2br w:val="nil"/>
              <w:tr2bl w:val="nil"/>
            </w:tcBorders>
            <w:vAlign w:val="center"/>
          </w:tcPr>
          <w:p w:rsidR="00013EC7" w:rsidRDefault="00013EC7">
            <w:pPr>
              <w:rPr>
                <w:rFonts w:ascii="仿宋" w:eastAsia="仿宋" w:hAnsi="仿宋" w:cs="仿宋"/>
                <w:color w:val="000000"/>
                <w:sz w:val="24"/>
              </w:rPr>
            </w:pPr>
          </w:p>
        </w:tc>
        <w:tc>
          <w:tcPr>
            <w:tcW w:w="3260" w:type="dxa"/>
            <w:tcBorders>
              <w:tl2br w:val="nil"/>
              <w:tr2bl w:val="nil"/>
            </w:tcBorders>
            <w:vAlign w:val="center"/>
          </w:tcPr>
          <w:p w:rsidR="00013EC7" w:rsidRDefault="00575CDB">
            <w:pPr>
              <w:widowControl/>
              <w:textAlignment w:val="center"/>
              <w:rPr>
                <w:rFonts w:ascii="仿宋" w:eastAsia="仿宋" w:hAnsi="仿宋" w:cs="仿宋"/>
                <w:color w:val="000000"/>
                <w:sz w:val="24"/>
              </w:rPr>
            </w:pPr>
            <w:r>
              <w:rPr>
                <w:rFonts w:ascii="仿宋" w:eastAsia="仿宋" w:hAnsi="仿宋" w:cs="仿宋" w:hint="eastAsia"/>
                <w:color w:val="000000"/>
                <w:kern w:val="0"/>
                <w:sz w:val="24"/>
              </w:rPr>
              <w:t>（三十六）纳税人为新招录的持有《就业失业登记证》失业人员缴纳的社会保险费缴费记录</w:t>
            </w:r>
            <w:r>
              <w:rPr>
                <w:rFonts w:ascii="仿宋" w:eastAsia="仿宋" w:hAnsi="仿宋" w:cs="仿宋" w:hint="eastAsia"/>
                <w:color w:val="000000"/>
                <w:kern w:val="0"/>
                <w:sz w:val="24"/>
                <w:highlight w:val="lightGray"/>
              </w:rPr>
              <w:t>原件及</w:t>
            </w:r>
            <w:r>
              <w:rPr>
                <w:rFonts w:ascii="仿宋" w:eastAsia="仿宋" w:hAnsi="仿宋" w:cs="仿宋" w:hint="eastAsia"/>
                <w:color w:val="000000"/>
                <w:kern w:val="0"/>
                <w:sz w:val="24"/>
              </w:rPr>
              <w:t>复印件（加盖公章）。</w:t>
            </w:r>
          </w:p>
        </w:tc>
        <w:tc>
          <w:tcPr>
            <w:tcW w:w="1418" w:type="dxa"/>
            <w:vMerge/>
            <w:tcBorders>
              <w:tl2br w:val="nil"/>
              <w:tr2bl w:val="nil"/>
            </w:tcBorders>
            <w:vAlign w:val="center"/>
          </w:tcPr>
          <w:p w:rsidR="00013EC7" w:rsidRDefault="00013EC7">
            <w:pPr>
              <w:widowControl/>
              <w:textAlignment w:val="center"/>
              <w:rPr>
                <w:rFonts w:ascii="仿宋" w:eastAsia="仿宋" w:hAnsi="仿宋" w:cs="仿宋"/>
                <w:color w:val="000000"/>
                <w:sz w:val="24"/>
              </w:rPr>
            </w:pPr>
          </w:p>
        </w:tc>
        <w:tc>
          <w:tcPr>
            <w:tcW w:w="3118" w:type="dxa"/>
            <w:tcBorders>
              <w:tl2br w:val="nil"/>
              <w:tr2bl w:val="nil"/>
            </w:tcBorders>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color w:val="000000"/>
                <w:kern w:val="0"/>
                <w:sz w:val="24"/>
              </w:rPr>
              <w:t>（三十三）纳税人为新招录的持有《就业失业登记证》失业人员缴纳的社会保险费缴费记录。</w:t>
            </w:r>
          </w:p>
        </w:tc>
        <w:tc>
          <w:tcPr>
            <w:tcW w:w="1276" w:type="dxa"/>
            <w:tcBorders>
              <w:tl2br w:val="nil"/>
              <w:tr2bl w:val="nil"/>
            </w:tcBorders>
            <w:vAlign w:val="center"/>
          </w:tcPr>
          <w:p w:rsidR="00013EC7" w:rsidRDefault="00575CDB">
            <w:pPr>
              <w:widowControl/>
              <w:jc w:val="left"/>
              <w:textAlignment w:val="center"/>
              <w:rPr>
                <w:rFonts w:ascii="仿宋" w:eastAsia="仿宋" w:hAnsi="仿宋" w:cs="仿宋"/>
                <w:b/>
                <w:i/>
                <w:color w:val="000000"/>
                <w:sz w:val="24"/>
              </w:rPr>
            </w:pPr>
            <w:r>
              <w:rPr>
                <w:rFonts w:ascii="仿宋" w:eastAsia="仿宋" w:hAnsi="仿宋" w:cs="仿宋" w:hint="eastAsia"/>
                <w:b/>
                <w:i/>
                <w:color w:val="000000"/>
                <w:kern w:val="0"/>
                <w:sz w:val="24"/>
              </w:rPr>
              <w:t>经办机构自行获取</w:t>
            </w:r>
          </w:p>
        </w:tc>
        <w:tc>
          <w:tcPr>
            <w:tcW w:w="2268" w:type="dxa"/>
            <w:tcBorders>
              <w:tl2br w:val="nil"/>
              <w:tr2bl w:val="nil"/>
            </w:tcBorders>
            <w:vAlign w:val="center"/>
          </w:tcPr>
          <w:p w:rsidR="00013EC7" w:rsidRDefault="00575CDB">
            <w:pPr>
              <w:widowControl/>
              <w:textAlignment w:val="center"/>
              <w:rPr>
                <w:rFonts w:ascii="仿宋" w:eastAsia="仿宋" w:hAnsi="仿宋" w:cs="仿宋"/>
                <w:b/>
                <w:color w:val="000000"/>
                <w:sz w:val="24"/>
              </w:rPr>
            </w:pPr>
            <w:r>
              <w:rPr>
                <w:rFonts w:ascii="仿宋" w:eastAsia="仿宋" w:hAnsi="仿宋" w:cs="仿宋" w:hint="eastAsia"/>
                <w:b/>
                <w:color w:val="000000"/>
                <w:kern w:val="0"/>
                <w:sz w:val="24"/>
              </w:rPr>
              <w:t>外部共享：</w:t>
            </w:r>
            <w:r>
              <w:rPr>
                <w:rFonts w:ascii="仿宋" w:eastAsia="仿宋" w:hAnsi="仿宋" w:cs="仿宋" w:hint="eastAsia"/>
                <w:color w:val="000000"/>
                <w:kern w:val="0"/>
                <w:sz w:val="24"/>
              </w:rPr>
              <w:t>由省人力社保厅提供共享。</w:t>
            </w:r>
          </w:p>
        </w:tc>
        <w:tc>
          <w:tcPr>
            <w:tcW w:w="567" w:type="dxa"/>
            <w:vMerge/>
            <w:tcBorders>
              <w:tl2br w:val="nil"/>
              <w:tr2bl w:val="nil"/>
            </w:tcBorders>
          </w:tcPr>
          <w:p w:rsidR="00013EC7" w:rsidRDefault="00013EC7">
            <w:pPr>
              <w:jc w:val="center"/>
              <w:rPr>
                <w:rFonts w:ascii="仿宋" w:eastAsia="仿宋" w:hAnsi="仿宋" w:cs="仿宋"/>
                <w:color w:val="000000"/>
                <w:sz w:val="24"/>
              </w:rPr>
            </w:pPr>
          </w:p>
        </w:tc>
        <w:tc>
          <w:tcPr>
            <w:tcW w:w="851" w:type="dxa"/>
            <w:vMerge/>
            <w:tcBorders>
              <w:tl2br w:val="nil"/>
              <w:tr2bl w:val="nil"/>
            </w:tcBorders>
          </w:tcPr>
          <w:p w:rsidR="00013EC7" w:rsidRDefault="00013EC7">
            <w:pPr>
              <w:jc w:val="center"/>
              <w:rPr>
                <w:rFonts w:ascii="仿宋" w:eastAsia="仿宋" w:hAnsi="仿宋" w:cs="仿宋"/>
                <w:color w:val="000000"/>
                <w:sz w:val="24"/>
              </w:rPr>
            </w:pPr>
          </w:p>
        </w:tc>
        <w:tc>
          <w:tcPr>
            <w:tcW w:w="708" w:type="dxa"/>
            <w:vMerge/>
            <w:tcBorders>
              <w:tl2br w:val="nil"/>
              <w:tr2bl w:val="nil"/>
            </w:tcBorders>
          </w:tcPr>
          <w:p w:rsidR="00013EC7" w:rsidRDefault="00013EC7">
            <w:pPr>
              <w:jc w:val="center"/>
              <w:rPr>
                <w:rFonts w:ascii="仿宋" w:eastAsia="仿宋" w:hAnsi="仿宋" w:cs="仿宋"/>
                <w:color w:val="000000"/>
                <w:sz w:val="24"/>
              </w:rPr>
            </w:pPr>
          </w:p>
        </w:tc>
        <w:tc>
          <w:tcPr>
            <w:tcW w:w="993" w:type="dxa"/>
            <w:vMerge/>
            <w:tcBorders>
              <w:tl2br w:val="nil"/>
              <w:tr2bl w:val="nil"/>
            </w:tcBorders>
          </w:tcPr>
          <w:p w:rsidR="00013EC7" w:rsidRDefault="00013EC7">
            <w:pPr>
              <w:jc w:val="center"/>
              <w:rPr>
                <w:rFonts w:ascii="仿宋" w:eastAsia="仿宋" w:hAnsi="仿宋" w:cs="仿宋"/>
                <w:color w:val="000000"/>
                <w:sz w:val="24"/>
              </w:rPr>
            </w:pPr>
          </w:p>
        </w:tc>
        <w:tc>
          <w:tcPr>
            <w:tcW w:w="978" w:type="dxa"/>
            <w:vMerge/>
            <w:tcBorders>
              <w:tl2br w:val="nil"/>
              <w:tr2bl w:val="nil"/>
            </w:tcBorders>
            <w:vAlign w:val="center"/>
          </w:tcPr>
          <w:p w:rsidR="00013EC7" w:rsidRDefault="00013EC7">
            <w:pPr>
              <w:rPr>
                <w:rFonts w:ascii="仿宋" w:eastAsia="仿宋" w:hAnsi="仿宋" w:cs="仿宋"/>
                <w:color w:val="000000"/>
                <w:sz w:val="24"/>
              </w:rPr>
            </w:pPr>
          </w:p>
        </w:tc>
      </w:tr>
      <w:tr w:rsidR="00013EC7">
        <w:trPr>
          <w:trHeight w:val="1387"/>
        </w:trPr>
        <w:tc>
          <w:tcPr>
            <w:tcW w:w="639" w:type="dxa"/>
            <w:vMerge/>
            <w:tcBorders>
              <w:tl2br w:val="nil"/>
              <w:tr2bl w:val="nil"/>
            </w:tcBorders>
            <w:vAlign w:val="center"/>
          </w:tcPr>
          <w:p w:rsidR="00013EC7" w:rsidRDefault="00013EC7">
            <w:pPr>
              <w:rPr>
                <w:rFonts w:ascii="仿宋" w:eastAsia="仿宋" w:hAnsi="仿宋" w:cs="仿宋"/>
                <w:color w:val="000000"/>
                <w:sz w:val="24"/>
              </w:rPr>
            </w:pPr>
          </w:p>
        </w:tc>
        <w:tc>
          <w:tcPr>
            <w:tcW w:w="510" w:type="dxa"/>
            <w:vMerge/>
            <w:tcBorders>
              <w:tl2br w:val="nil"/>
              <w:tr2bl w:val="nil"/>
            </w:tcBorders>
            <w:vAlign w:val="center"/>
          </w:tcPr>
          <w:p w:rsidR="00013EC7" w:rsidRDefault="00013EC7">
            <w:pPr>
              <w:rPr>
                <w:rFonts w:ascii="仿宋" w:eastAsia="仿宋" w:hAnsi="仿宋" w:cs="仿宋"/>
                <w:color w:val="000000"/>
                <w:sz w:val="24"/>
              </w:rPr>
            </w:pPr>
          </w:p>
        </w:tc>
        <w:tc>
          <w:tcPr>
            <w:tcW w:w="3544" w:type="dxa"/>
            <w:vMerge/>
            <w:tcBorders>
              <w:tl2br w:val="nil"/>
              <w:tr2bl w:val="nil"/>
            </w:tcBorders>
            <w:vAlign w:val="center"/>
          </w:tcPr>
          <w:p w:rsidR="00013EC7" w:rsidRDefault="00013EC7">
            <w:pPr>
              <w:rPr>
                <w:rFonts w:ascii="仿宋" w:eastAsia="仿宋" w:hAnsi="仿宋" w:cs="仿宋"/>
                <w:color w:val="000000"/>
                <w:sz w:val="24"/>
              </w:rPr>
            </w:pPr>
          </w:p>
        </w:tc>
        <w:tc>
          <w:tcPr>
            <w:tcW w:w="3260" w:type="dxa"/>
            <w:tcBorders>
              <w:tl2br w:val="nil"/>
              <w:tr2bl w:val="nil"/>
            </w:tcBorders>
            <w:vAlign w:val="center"/>
          </w:tcPr>
          <w:p w:rsidR="00013EC7" w:rsidRDefault="00575CDB">
            <w:pPr>
              <w:widowControl/>
              <w:textAlignment w:val="center"/>
              <w:rPr>
                <w:rFonts w:ascii="仿宋" w:eastAsia="仿宋" w:hAnsi="仿宋" w:cs="仿宋"/>
                <w:color w:val="000000"/>
                <w:sz w:val="24"/>
              </w:rPr>
            </w:pPr>
            <w:r>
              <w:rPr>
                <w:rFonts w:ascii="仿宋" w:eastAsia="仿宋" w:hAnsi="仿宋" w:cs="仿宋" w:hint="eastAsia"/>
                <w:color w:val="000000"/>
                <w:kern w:val="0"/>
                <w:sz w:val="24"/>
              </w:rPr>
              <w:t>（三十七）黄金期货交易资格证明材料。</w:t>
            </w:r>
          </w:p>
        </w:tc>
        <w:tc>
          <w:tcPr>
            <w:tcW w:w="1418" w:type="dxa"/>
            <w:tcBorders>
              <w:tl2br w:val="nil"/>
              <w:tr2bl w:val="nil"/>
            </w:tcBorders>
            <w:vAlign w:val="center"/>
          </w:tcPr>
          <w:p w:rsidR="00013EC7" w:rsidRDefault="00575CDB">
            <w:pPr>
              <w:widowControl/>
              <w:textAlignment w:val="center"/>
              <w:rPr>
                <w:rFonts w:ascii="仿宋" w:eastAsia="仿宋" w:hAnsi="仿宋" w:cs="仿宋"/>
                <w:color w:val="000000"/>
                <w:sz w:val="24"/>
              </w:rPr>
            </w:pPr>
            <w:r>
              <w:rPr>
                <w:rFonts w:ascii="仿宋" w:eastAsia="仿宋" w:hAnsi="仿宋" w:cs="仿宋" w:hint="eastAsia"/>
                <w:color w:val="000000"/>
                <w:kern w:val="0"/>
                <w:sz w:val="24"/>
              </w:rPr>
              <w:t>黄金期货交易免征增值税优惠的纳税人提交</w:t>
            </w:r>
          </w:p>
        </w:tc>
        <w:tc>
          <w:tcPr>
            <w:tcW w:w="3118" w:type="dxa"/>
            <w:tcBorders>
              <w:tl2br w:val="nil"/>
              <w:tr2bl w:val="nil"/>
            </w:tcBorders>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color w:val="000000"/>
                <w:kern w:val="0"/>
                <w:sz w:val="24"/>
              </w:rPr>
              <w:t>（三十四）黄金期货交易资格证明材料。</w:t>
            </w:r>
          </w:p>
        </w:tc>
        <w:tc>
          <w:tcPr>
            <w:tcW w:w="1276" w:type="dxa"/>
            <w:tcBorders>
              <w:tl2br w:val="nil"/>
              <w:tr2bl w:val="nil"/>
            </w:tcBorders>
            <w:vAlign w:val="center"/>
          </w:tcPr>
          <w:p w:rsidR="00013EC7" w:rsidRDefault="00575CDB">
            <w:pPr>
              <w:widowControl/>
              <w:jc w:val="left"/>
              <w:textAlignment w:val="center"/>
              <w:rPr>
                <w:rFonts w:ascii="仿宋" w:eastAsia="仿宋" w:hAnsi="仿宋" w:cs="仿宋"/>
                <w:color w:val="000000"/>
                <w:sz w:val="24"/>
              </w:rPr>
            </w:pPr>
            <w:r>
              <w:rPr>
                <w:rFonts w:ascii="仿宋" w:eastAsia="仿宋" w:hAnsi="仿宋" w:cs="仿宋" w:hint="eastAsia"/>
                <w:color w:val="000000"/>
                <w:kern w:val="0"/>
                <w:sz w:val="24"/>
              </w:rPr>
              <w:t>黄金期货交易纳税人提交</w:t>
            </w:r>
          </w:p>
        </w:tc>
        <w:tc>
          <w:tcPr>
            <w:tcW w:w="2268" w:type="dxa"/>
            <w:tcBorders>
              <w:tl2br w:val="nil"/>
              <w:tr2bl w:val="nil"/>
            </w:tcBorders>
            <w:vAlign w:val="center"/>
          </w:tcPr>
          <w:p w:rsidR="00013EC7" w:rsidRDefault="00013EC7">
            <w:pPr>
              <w:widowControl/>
              <w:jc w:val="left"/>
              <w:textAlignment w:val="center"/>
              <w:rPr>
                <w:rFonts w:ascii="仿宋" w:eastAsia="仿宋" w:hAnsi="仿宋" w:cs="仿宋"/>
                <w:b/>
                <w:color w:val="000000"/>
                <w:kern w:val="0"/>
                <w:sz w:val="24"/>
              </w:rPr>
            </w:pPr>
          </w:p>
          <w:p w:rsidR="00013EC7" w:rsidRDefault="00575CDB">
            <w:pPr>
              <w:widowControl/>
              <w:jc w:val="left"/>
              <w:textAlignment w:val="center"/>
              <w:rPr>
                <w:rFonts w:ascii="仿宋" w:eastAsia="仿宋" w:hAnsi="仿宋" w:cs="仿宋"/>
                <w:color w:val="000000"/>
                <w:kern w:val="0"/>
                <w:sz w:val="24"/>
              </w:rPr>
            </w:pPr>
            <w:r>
              <w:rPr>
                <w:rFonts w:ascii="仿宋" w:eastAsia="仿宋" w:hAnsi="仿宋" w:cs="仿宋" w:hint="eastAsia"/>
                <w:b/>
                <w:color w:val="000000"/>
                <w:kern w:val="0"/>
                <w:sz w:val="24"/>
              </w:rPr>
              <w:t>现场办理：</w:t>
            </w:r>
            <w:r>
              <w:rPr>
                <w:rFonts w:ascii="仿宋" w:eastAsia="仿宋" w:hAnsi="仿宋" w:cs="仿宋" w:hint="eastAsia"/>
                <w:color w:val="000000"/>
                <w:kern w:val="0"/>
                <w:sz w:val="24"/>
              </w:rPr>
              <w:t>纳税人提交书面材料。</w:t>
            </w:r>
          </w:p>
          <w:p w:rsidR="00013EC7" w:rsidRDefault="00575CDB">
            <w:pPr>
              <w:widowControl/>
              <w:jc w:val="left"/>
              <w:textAlignment w:val="center"/>
              <w:rPr>
                <w:rFonts w:ascii="仿宋" w:eastAsia="仿宋" w:hAnsi="仿宋" w:cs="仿宋"/>
                <w:color w:val="000000"/>
                <w:kern w:val="0"/>
                <w:sz w:val="24"/>
              </w:rPr>
            </w:pPr>
            <w:r>
              <w:rPr>
                <w:rFonts w:ascii="仿宋" w:eastAsia="仿宋" w:hAnsi="仿宋" w:cs="仿宋" w:hint="eastAsia"/>
                <w:b/>
                <w:color w:val="000000"/>
                <w:kern w:val="0"/>
                <w:sz w:val="24"/>
              </w:rPr>
              <w:t>网上办理：</w:t>
            </w:r>
            <w:r>
              <w:rPr>
                <w:rFonts w:ascii="仿宋" w:eastAsia="仿宋" w:hAnsi="仿宋" w:cs="仿宋" w:hint="eastAsia"/>
                <w:color w:val="000000"/>
                <w:kern w:val="0"/>
                <w:sz w:val="24"/>
              </w:rPr>
              <w:t>登录浙江国税电子税务局（网址：http://etax.zjtax.gov.cn/）提交申请。</w:t>
            </w:r>
          </w:p>
          <w:p w:rsidR="00013EC7" w:rsidRDefault="00575CDB">
            <w:pPr>
              <w:widowControl/>
              <w:jc w:val="left"/>
              <w:textAlignment w:val="center"/>
              <w:rPr>
                <w:rFonts w:ascii="仿宋" w:eastAsia="仿宋" w:hAnsi="仿宋" w:cs="仿宋"/>
                <w:b/>
                <w:color w:val="000000"/>
                <w:sz w:val="24"/>
              </w:rPr>
            </w:pPr>
            <w:r>
              <w:rPr>
                <w:rFonts w:ascii="仿宋" w:eastAsia="仿宋" w:hAnsi="仿宋" w:cs="仿宋" w:hint="eastAsia"/>
                <w:b/>
                <w:color w:val="000000"/>
                <w:kern w:val="0"/>
                <w:sz w:val="24"/>
              </w:rPr>
              <w:t>APP办理：</w:t>
            </w:r>
            <w:r w:rsidR="006776D1">
              <w:rPr>
                <w:rFonts w:ascii="仿宋" w:eastAsia="仿宋" w:hAnsi="仿宋" w:cs="仿宋" w:hint="eastAsia"/>
                <w:color w:val="000000"/>
                <w:kern w:val="0"/>
                <w:sz w:val="24"/>
              </w:rPr>
              <w:t>登录浙江国税APP提交申请。</w:t>
            </w:r>
          </w:p>
        </w:tc>
        <w:tc>
          <w:tcPr>
            <w:tcW w:w="567" w:type="dxa"/>
            <w:vMerge/>
            <w:tcBorders>
              <w:tl2br w:val="nil"/>
              <w:tr2bl w:val="nil"/>
            </w:tcBorders>
          </w:tcPr>
          <w:p w:rsidR="00013EC7" w:rsidRDefault="00013EC7">
            <w:pPr>
              <w:jc w:val="center"/>
              <w:rPr>
                <w:rFonts w:ascii="仿宋" w:eastAsia="仿宋" w:hAnsi="仿宋" w:cs="仿宋"/>
                <w:color w:val="000000"/>
                <w:sz w:val="24"/>
              </w:rPr>
            </w:pPr>
          </w:p>
        </w:tc>
        <w:tc>
          <w:tcPr>
            <w:tcW w:w="851" w:type="dxa"/>
            <w:vMerge/>
            <w:tcBorders>
              <w:tl2br w:val="nil"/>
              <w:tr2bl w:val="nil"/>
            </w:tcBorders>
          </w:tcPr>
          <w:p w:rsidR="00013EC7" w:rsidRDefault="00013EC7">
            <w:pPr>
              <w:jc w:val="center"/>
              <w:rPr>
                <w:rFonts w:ascii="仿宋" w:eastAsia="仿宋" w:hAnsi="仿宋" w:cs="仿宋"/>
                <w:color w:val="000000"/>
                <w:sz w:val="24"/>
              </w:rPr>
            </w:pPr>
          </w:p>
        </w:tc>
        <w:tc>
          <w:tcPr>
            <w:tcW w:w="708" w:type="dxa"/>
            <w:vMerge/>
            <w:tcBorders>
              <w:tl2br w:val="nil"/>
              <w:tr2bl w:val="nil"/>
            </w:tcBorders>
          </w:tcPr>
          <w:p w:rsidR="00013EC7" w:rsidRDefault="00013EC7">
            <w:pPr>
              <w:jc w:val="center"/>
              <w:rPr>
                <w:rFonts w:ascii="仿宋" w:eastAsia="仿宋" w:hAnsi="仿宋" w:cs="仿宋"/>
                <w:color w:val="000000"/>
                <w:sz w:val="24"/>
              </w:rPr>
            </w:pPr>
          </w:p>
        </w:tc>
        <w:tc>
          <w:tcPr>
            <w:tcW w:w="993" w:type="dxa"/>
            <w:vMerge/>
            <w:tcBorders>
              <w:tl2br w:val="nil"/>
              <w:tr2bl w:val="nil"/>
            </w:tcBorders>
          </w:tcPr>
          <w:p w:rsidR="00013EC7" w:rsidRDefault="00013EC7">
            <w:pPr>
              <w:jc w:val="center"/>
              <w:rPr>
                <w:rFonts w:ascii="仿宋" w:eastAsia="仿宋" w:hAnsi="仿宋" w:cs="仿宋"/>
                <w:color w:val="000000"/>
                <w:sz w:val="24"/>
              </w:rPr>
            </w:pPr>
          </w:p>
        </w:tc>
        <w:tc>
          <w:tcPr>
            <w:tcW w:w="978" w:type="dxa"/>
            <w:vMerge/>
            <w:tcBorders>
              <w:tl2br w:val="nil"/>
              <w:tr2bl w:val="nil"/>
            </w:tcBorders>
            <w:vAlign w:val="center"/>
          </w:tcPr>
          <w:p w:rsidR="00013EC7" w:rsidRDefault="00013EC7">
            <w:pPr>
              <w:jc w:val="center"/>
              <w:rPr>
                <w:rFonts w:ascii="仿宋" w:eastAsia="仿宋" w:hAnsi="仿宋" w:cs="仿宋"/>
                <w:color w:val="000000"/>
                <w:sz w:val="24"/>
              </w:rPr>
            </w:pPr>
          </w:p>
        </w:tc>
      </w:tr>
      <w:tr w:rsidR="00013EC7">
        <w:trPr>
          <w:trHeight w:val="2010"/>
        </w:trPr>
        <w:tc>
          <w:tcPr>
            <w:tcW w:w="639" w:type="dxa"/>
            <w:vMerge/>
            <w:tcBorders>
              <w:tl2br w:val="nil"/>
              <w:tr2bl w:val="nil"/>
            </w:tcBorders>
            <w:vAlign w:val="center"/>
          </w:tcPr>
          <w:p w:rsidR="00013EC7" w:rsidRDefault="00013EC7">
            <w:pPr>
              <w:rPr>
                <w:rFonts w:ascii="仿宋" w:eastAsia="仿宋" w:hAnsi="仿宋" w:cs="仿宋"/>
                <w:color w:val="000000"/>
                <w:sz w:val="24"/>
              </w:rPr>
            </w:pPr>
          </w:p>
        </w:tc>
        <w:tc>
          <w:tcPr>
            <w:tcW w:w="510" w:type="dxa"/>
            <w:vMerge/>
            <w:tcBorders>
              <w:tl2br w:val="nil"/>
              <w:tr2bl w:val="nil"/>
            </w:tcBorders>
            <w:vAlign w:val="center"/>
          </w:tcPr>
          <w:p w:rsidR="00013EC7" w:rsidRDefault="00013EC7">
            <w:pPr>
              <w:rPr>
                <w:rFonts w:ascii="仿宋" w:eastAsia="仿宋" w:hAnsi="仿宋" w:cs="仿宋"/>
                <w:color w:val="000000"/>
                <w:sz w:val="24"/>
              </w:rPr>
            </w:pPr>
          </w:p>
        </w:tc>
        <w:tc>
          <w:tcPr>
            <w:tcW w:w="3544" w:type="dxa"/>
            <w:vMerge/>
            <w:tcBorders>
              <w:tl2br w:val="nil"/>
              <w:tr2bl w:val="nil"/>
            </w:tcBorders>
            <w:vAlign w:val="center"/>
          </w:tcPr>
          <w:p w:rsidR="00013EC7" w:rsidRDefault="00013EC7">
            <w:pPr>
              <w:rPr>
                <w:rFonts w:ascii="仿宋" w:eastAsia="仿宋" w:hAnsi="仿宋" w:cs="仿宋"/>
                <w:color w:val="000000"/>
                <w:sz w:val="24"/>
              </w:rPr>
            </w:pPr>
          </w:p>
        </w:tc>
        <w:tc>
          <w:tcPr>
            <w:tcW w:w="3260" w:type="dxa"/>
            <w:tcBorders>
              <w:tl2br w:val="nil"/>
              <w:tr2bl w:val="nil"/>
            </w:tcBorders>
            <w:vAlign w:val="center"/>
          </w:tcPr>
          <w:p w:rsidR="00013EC7" w:rsidRDefault="00575CDB">
            <w:pPr>
              <w:widowControl/>
              <w:textAlignment w:val="center"/>
              <w:rPr>
                <w:rFonts w:ascii="仿宋" w:eastAsia="仿宋" w:hAnsi="仿宋" w:cs="仿宋"/>
                <w:color w:val="000000"/>
                <w:sz w:val="24"/>
              </w:rPr>
            </w:pPr>
            <w:r>
              <w:rPr>
                <w:rFonts w:ascii="仿宋" w:eastAsia="仿宋" w:hAnsi="仿宋" w:cs="仿宋" w:hint="eastAsia"/>
                <w:color w:val="000000"/>
                <w:kern w:val="0"/>
                <w:sz w:val="24"/>
              </w:rPr>
              <w:t>（三十八）县级以上教育部门出具的办园许可证复印件（加盖公章）等证明材料。</w:t>
            </w:r>
          </w:p>
        </w:tc>
        <w:tc>
          <w:tcPr>
            <w:tcW w:w="1418" w:type="dxa"/>
            <w:tcBorders>
              <w:tl2br w:val="nil"/>
              <w:tr2bl w:val="nil"/>
            </w:tcBorders>
            <w:vAlign w:val="center"/>
          </w:tcPr>
          <w:p w:rsidR="00013EC7" w:rsidRDefault="00575CDB">
            <w:pPr>
              <w:widowControl/>
              <w:textAlignment w:val="center"/>
              <w:rPr>
                <w:rFonts w:ascii="仿宋" w:eastAsia="仿宋" w:hAnsi="仿宋" w:cs="仿宋"/>
                <w:color w:val="000000"/>
                <w:sz w:val="24"/>
              </w:rPr>
            </w:pPr>
            <w:r>
              <w:rPr>
                <w:rFonts w:ascii="仿宋" w:eastAsia="仿宋" w:hAnsi="仿宋" w:cs="仿宋" w:hint="eastAsia"/>
                <w:color w:val="000000"/>
                <w:kern w:val="0"/>
                <w:sz w:val="24"/>
              </w:rPr>
              <w:t>符合托儿所、幼儿园提供的保育和教育服务条件纳税人提交</w:t>
            </w:r>
          </w:p>
        </w:tc>
        <w:tc>
          <w:tcPr>
            <w:tcW w:w="3118" w:type="dxa"/>
            <w:tcBorders>
              <w:tl2br w:val="nil"/>
              <w:tr2bl w:val="nil"/>
            </w:tcBorders>
            <w:vAlign w:val="center"/>
          </w:tcPr>
          <w:p w:rsidR="00013EC7" w:rsidRDefault="00575CDB">
            <w:pPr>
              <w:widowControl/>
              <w:textAlignment w:val="center"/>
              <w:rPr>
                <w:rFonts w:ascii="仿宋" w:eastAsia="仿宋" w:hAnsi="仿宋" w:cs="仿宋"/>
                <w:color w:val="000000"/>
                <w:sz w:val="24"/>
              </w:rPr>
            </w:pPr>
            <w:r>
              <w:rPr>
                <w:rFonts w:ascii="仿宋" w:eastAsia="仿宋" w:hAnsi="仿宋" w:cs="仿宋" w:hint="eastAsia"/>
                <w:color w:val="000000"/>
                <w:kern w:val="0"/>
                <w:sz w:val="24"/>
              </w:rPr>
              <w:t>（三十五）县级以上教育部门出具的办园许可证等证明材料。</w:t>
            </w:r>
          </w:p>
        </w:tc>
        <w:tc>
          <w:tcPr>
            <w:tcW w:w="1276" w:type="dxa"/>
            <w:tcBorders>
              <w:tl2br w:val="nil"/>
              <w:tr2bl w:val="nil"/>
            </w:tcBorders>
            <w:vAlign w:val="center"/>
          </w:tcPr>
          <w:p w:rsidR="00013EC7" w:rsidRDefault="00575CDB">
            <w:pPr>
              <w:widowControl/>
              <w:jc w:val="left"/>
              <w:textAlignment w:val="center"/>
              <w:rPr>
                <w:rFonts w:ascii="仿宋" w:eastAsia="仿宋" w:hAnsi="仿宋" w:cs="仿宋"/>
                <w:color w:val="000000"/>
                <w:sz w:val="24"/>
              </w:rPr>
            </w:pPr>
            <w:r>
              <w:rPr>
                <w:rFonts w:ascii="仿宋" w:eastAsia="仿宋" w:hAnsi="仿宋" w:cs="仿宋" w:hint="eastAsia"/>
                <w:b/>
                <w:bCs/>
                <w:i/>
                <w:iCs/>
                <w:color w:val="000000"/>
                <w:kern w:val="0"/>
                <w:sz w:val="24"/>
              </w:rPr>
              <w:t>经办机构自行获取</w:t>
            </w:r>
          </w:p>
        </w:tc>
        <w:tc>
          <w:tcPr>
            <w:tcW w:w="2268" w:type="dxa"/>
            <w:tcBorders>
              <w:tl2br w:val="nil"/>
              <w:tr2bl w:val="nil"/>
            </w:tcBorders>
            <w:vAlign w:val="center"/>
          </w:tcPr>
          <w:p w:rsidR="00013EC7" w:rsidRDefault="00575CDB">
            <w:pPr>
              <w:widowControl/>
              <w:textAlignment w:val="center"/>
              <w:rPr>
                <w:rFonts w:ascii="仿宋" w:eastAsia="仿宋" w:hAnsi="仿宋" w:cs="仿宋"/>
                <w:b/>
                <w:color w:val="000000"/>
                <w:sz w:val="24"/>
              </w:rPr>
            </w:pPr>
            <w:r>
              <w:rPr>
                <w:rFonts w:ascii="仿宋" w:eastAsia="仿宋" w:hAnsi="仿宋" w:cs="仿宋" w:hint="eastAsia"/>
                <w:b/>
                <w:color w:val="000000"/>
                <w:kern w:val="0"/>
                <w:sz w:val="24"/>
              </w:rPr>
              <w:t>外部共享：</w:t>
            </w:r>
            <w:r>
              <w:rPr>
                <w:rFonts w:ascii="仿宋" w:eastAsia="仿宋" w:hAnsi="仿宋" w:cs="仿宋" w:hint="eastAsia"/>
                <w:color w:val="000000"/>
                <w:kern w:val="0"/>
                <w:sz w:val="24"/>
              </w:rPr>
              <w:t>由省教育厅提供共享。</w:t>
            </w:r>
          </w:p>
        </w:tc>
        <w:tc>
          <w:tcPr>
            <w:tcW w:w="567" w:type="dxa"/>
            <w:vMerge/>
            <w:tcBorders>
              <w:tl2br w:val="nil"/>
              <w:tr2bl w:val="nil"/>
            </w:tcBorders>
          </w:tcPr>
          <w:p w:rsidR="00013EC7" w:rsidRDefault="00013EC7">
            <w:pPr>
              <w:jc w:val="center"/>
              <w:rPr>
                <w:rFonts w:ascii="仿宋" w:eastAsia="仿宋" w:hAnsi="仿宋" w:cs="仿宋"/>
                <w:color w:val="000000"/>
                <w:sz w:val="24"/>
              </w:rPr>
            </w:pPr>
          </w:p>
        </w:tc>
        <w:tc>
          <w:tcPr>
            <w:tcW w:w="851" w:type="dxa"/>
            <w:vMerge/>
            <w:tcBorders>
              <w:tl2br w:val="nil"/>
              <w:tr2bl w:val="nil"/>
            </w:tcBorders>
          </w:tcPr>
          <w:p w:rsidR="00013EC7" w:rsidRDefault="00013EC7">
            <w:pPr>
              <w:jc w:val="center"/>
              <w:rPr>
                <w:rFonts w:ascii="仿宋" w:eastAsia="仿宋" w:hAnsi="仿宋" w:cs="仿宋"/>
                <w:color w:val="000000"/>
                <w:sz w:val="24"/>
              </w:rPr>
            </w:pPr>
          </w:p>
        </w:tc>
        <w:tc>
          <w:tcPr>
            <w:tcW w:w="708" w:type="dxa"/>
            <w:vMerge/>
            <w:tcBorders>
              <w:tl2br w:val="nil"/>
              <w:tr2bl w:val="nil"/>
            </w:tcBorders>
          </w:tcPr>
          <w:p w:rsidR="00013EC7" w:rsidRDefault="00013EC7">
            <w:pPr>
              <w:jc w:val="center"/>
              <w:rPr>
                <w:rFonts w:ascii="仿宋" w:eastAsia="仿宋" w:hAnsi="仿宋" w:cs="仿宋"/>
                <w:color w:val="000000"/>
                <w:sz w:val="24"/>
              </w:rPr>
            </w:pPr>
          </w:p>
        </w:tc>
        <w:tc>
          <w:tcPr>
            <w:tcW w:w="993" w:type="dxa"/>
            <w:vMerge/>
            <w:tcBorders>
              <w:tl2br w:val="nil"/>
              <w:tr2bl w:val="nil"/>
            </w:tcBorders>
          </w:tcPr>
          <w:p w:rsidR="00013EC7" w:rsidRDefault="00013EC7">
            <w:pPr>
              <w:jc w:val="center"/>
              <w:rPr>
                <w:rFonts w:ascii="仿宋" w:eastAsia="仿宋" w:hAnsi="仿宋" w:cs="仿宋"/>
                <w:color w:val="000000"/>
                <w:sz w:val="24"/>
              </w:rPr>
            </w:pPr>
          </w:p>
        </w:tc>
        <w:tc>
          <w:tcPr>
            <w:tcW w:w="978" w:type="dxa"/>
            <w:vMerge/>
            <w:tcBorders>
              <w:tl2br w:val="nil"/>
              <w:tr2bl w:val="nil"/>
            </w:tcBorders>
          </w:tcPr>
          <w:p w:rsidR="00013EC7" w:rsidRDefault="00013EC7">
            <w:pPr>
              <w:jc w:val="center"/>
              <w:rPr>
                <w:rFonts w:ascii="仿宋" w:eastAsia="仿宋" w:hAnsi="仿宋" w:cs="仿宋"/>
                <w:color w:val="000000"/>
                <w:sz w:val="24"/>
              </w:rPr>
            </w:pPr>
          </w:p>
        </w:tc>
      </w:tr>
      <w:tr w:rsidR="00013EC7">
        <w:trPr>
          <w:trHeight w:val="1603"/>
        </w:trPr>
        <w:tc>
          <w:tcPr>
            <w:tcW w:w="639" w:type="dxa"/>
            <w:vMerge/>
            <w:tcBorders>
              <w:tl2br w:val="nil"/>
              <w:tr2bl w:val="nil"/>
            </w:tcBorders>
            <w:vAlign w:val="center"/>
          </w:tcPr>
          <w:p w:rsidR="00013EC7" w:rsidRDefault="00013EC7">
            <w:pPr>
              <w:rPr>
                <w:rFonts w:ascii="仿宋" w:eastAsia="仿宋" w:hAnsi="仿宋" w:cs="仿宋"/>
                <w:color w:val="000000"/>
                <w:sz w:val="24"/>
              </w:rPr>
            </w:pPr>
          </w:p>
        </w:tc>
        <w:tc>
          <w:tcPr>
            <w:tcW w:w="510" w:type="dxa"/>
            <w:vMerge/>
            <w:tcBorders>
              <w:tl2br w:val="nil"/>
              <w:tr2bl w:val="nil"/>
            </w:tcBorders>
            <w:vAlign w:val="center"/>
          </w:tcPr>
          <w:p w:rsidR="00013EC7" w:rsidRDefault="00013EC7">
            <w:pPr>
              <w:rPr>
                <w:rFonts w:ascii="仿宋" w:eastAsia="仿宋" w:hAnsi="仿宋" w:cs="仿宋"/>
                <w:color w:val="000000"/>
                <w:sz w:val="24"/>
              </w:rPr>
            </w:pPr>
          </w:p>
        </w:tc>
        <w:tc>
          <w:tcPr>
            <w:tcW w:w="3544" w:type="dxa"/>
            <w:vMerge/>
            <w:tcBorders>
              <w:tl2br w:val="nil"/>
              <w:tr2bl w:val="nil"/>
            </w:tcBorders>
            <w:vAlign w:val="center"/>
          </w:tcPr>
          <w:p w:rsidR="00013EC7" w:rsidRDefault="00013EC7">
            <w:pPr>
              <w:rPr>
                <w:rFonts w:ascii="仿宋" w:eastAsia="仿宋" w:hAnsi="仿宋" w:cs="仿宋"/>
                <w:color w:val="000000"/>
                <w:sz w:val="24"/>
              </w:rPr>
            </w:pPr>
          </w:p>
        </w:tc>
        <w:tc>
          <w:tcPr>
            <w:tcW w:w="3260" w:type="dxa"/>
            <w:tcBorders>
              <w:tl2br w:val="nil"/>
              <w:tr2bl w:val="nil"/>
            </w:tcBorders>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color w:val="000000"/>
                <w:kern w:val="0"/>
                <w:sz w:val="24"/>
              </w:rPr>
              <w:t>（三十九）养老院提供民政部门核发的社会福利机构设置批准证书原件及复印件（加盖公章）。</w:t>
            </w:r>
          </w:p>
        </w:tc>
        <w:tc>
          <w:tcPr>
            <w:tcW w:w="1418" w:type="dxa"/>
            <w:tcBorders>
              <w:tl2br w:val="nil"/>
              <w:tr2bl w:val="nil"/>
            </w:tcBorders>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color w:val="000000"/>
                <w:kern w:val="0"/>
                <w:sz w:val="24"/>
              </w:rPr>
              <w:t>符合养老机构提供的养老服务条件的纳税人提交</w:t>
            </w:r>
          </w:p>
        </w:tc>
        <w:tc>
          <w:tcPr>
            <w:tcW w:w="3118" w:type="dxa"/>
            <w:tcBorders>
              <w:tl2br w:val="nil"/>
              <w:tr2bl w:val="nil"/>
            </w:tcBorders>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color w:val="000000"/>
                <w:kern w:val="0"/>
                <w:sz w:val="24"/>
              </w:rPr>
              <w:t>（三十六）民政部门核发的社会福利机构设置批准证书。</w:t>
            </w:r>
          </w:p>
        </w:tc>
        <w:tc>
          <w:tcPr>
            <w:tcW w:w="1276" w:type="dxa"/>
            <w:tcBorders>
              <w:tl2br w:val="nil"/>
              <w:tr2bl w:val="nil"/>
            </w:tcBorders>
            <w:vAlign w:val="center"/>
          </w:tcPr>
          <w:p w:rsidR="00013EC7" w:rsidRDefault="00575CDB">
            <w:pPr>
              <w:widowControl/>
              <w:jc w:val="left"/>
              <w:textAlignment w:val="center"/>
              <w:rPr>
                <w:rFonts w:ascii="仿宋" w:eastAsia="仿宋" w:hAnsi="仿宋" w:cs="仿宋"/>
                <w:color w:val="000000"/>
                <w:sz w:val="24"/>
              </w:rPr>
            </w:pPr>
            <w:r>
              <w:rPr>
                <w:rFonts w:ascii="仿宋" w:eastAsia="仿宋" w:hAnsi="仿宋" w:cs="仿宋" w:hint="eastAsia"/>
                <w:b/>
                <w:bCs/>
                <w:i/>
                <w:iCs/>
                <w:color w:val="000000"/>
                <w:kern w:val="0"/>
                <w:sz w:val="24"/>
              </w:rPr>
              <w:t>经办机构自行获取</w:t>
            </w:r>
          </w:p>
        </w:tc>
        <w:tc>
          <w:tcPr>
            <w:tcW w:w="2268" w:type="dxa"/>
            <w:tcBorders>
              <w:tl2br w:val="nil"/>
              <w:tr2bl w:val="nil"/>
            </w:tcBorders>
            <w:vAlign w:val="center"/>
          </w:tcPr>
          <w:p w:rsidR="00013EC7" w:rsidRDefault="00575CDB">
            <w:pPr>
              <w:widowControl/>
              <w:textAlignment w:val="center"/>
              <w:rPr>
                <w:rFonts w:ascii="仿宋" w:eastAsia="仿宋" w:hAnsi="仿宋" w:cs="仿宋"/>
                <w:b/>
                <w:color w:val="000000"/>
                <w:sz w:val="24"/>
              </w:rPr>
            </w:pPr>
            <w:r>
              <w:rPr>
                <w:rFonts w:ascii="仿宋" w:eastAsia="仿宋" w:hAnsi="仿宋" w:cs="仿宋" w:hint="eastAsia"/>
                <w:b/>
                <w:color w:val="000000"/>
                <w:kern w:val="0"/>
                <w:sz w:val="24"/>
              </w:rPr>
              <w:t>外部共享：</w:t>
            </w:r>
            <w:r>
              <w:rPr>
                <w:rFonts w:ascii="仿宋" w:eastAsia="仿宋" w:hAnsi="仿宋" w:cs="仿宋" w:hint="eastAsia"/>
                <w:color w:val="000000"/>
                <w:kern w:val="0"/>
                <w:sz w:val="24"/>
              </w:rPr>
              <w:t>由省民政厅提供共享。</w:t>
            </w:r>
          </w:p>
        </w:tc>
        <w:tc>
          <w:tcPr>
            <w:tcW w:w="567" w:type="dxa"/>
            <w:vMerge/>
            <w:tcBorders>
              <w:tl2br w:val="nil"/>
              <w:tr2bl w:val="nil"/>
            </w:tcBorders>
          </w:tcPr>
          <w:p w:rsidR="00013EC7" w:rsidRDefault="00013EC7">
            <w:pPr>
              <w:jc w:val="center"/>
              <w:rPr>
                <w:rFonts w:ascii="仿宋" w:eastAsia="仿宋" w:hAnsi="仿宋" w:cs="仿宋"/>
                <w:color w:val="000000"/>
                <w:sz w:val="24"/>
              </w:rPr>
            </w:pPr>
          </w:p>
        </w:tc>
        <w:tc>
          <w:tcPr>
            <w:tcW w:w="851" w:type="dxa"/>
            <w:vMerge/>
            <w:tcBorders>
              <w:tl2br w:val="nil"/>
              <w:tr2bl w:val="nil"/>
            </w:tcBorders>
          </w:tcPr>
          <w:p w:rsidR="00013EC7" w:rsidRDefault="00013EC7">
            <w:pPr>
              <w:jc w:val="center"/>
              <w:rPr>
                <w:rFonts w:ascii="仿宋" w:eastAsia="仿宋" w:hAnsi="仿宋" w:cs="仿宋"/>
                <w:color w:val="000000"/>
                <w:sz w:val="24"/>
              </w:rPr>
            </w:pPr>
          </w:p>
        </w:tc>
        <w:tc>
          <w:tcPr>
            <w:tcW w:w="708" w:type="dxa"/>
            <w:vMerge/>
            <w:tcBorders>
              <w:tl2br w:val="nil"/>
              <w:tr2bl w:val="nil"/>
            </w:tcBorders>
          </w:tcPr>
          <w:p w:rsidR="00013EC7" w:rsidRDefault="00013EC7">
            <w:pPr>
              <w:jc w:val="center"/>
              <w:rPr>
                <w:rFonts w:ascii="仿宋" w:eastAsia="仿宋" w:hAnsi="仿宋" w:cs="仿宋"/>
                <w:color w:val="000000"/>
                <w:sz w:val="24"/>
              </w:rPr>
            </w:pPr>
          </w:p>
        </w:tc>
        <w:tc>
          <w:tcPr>
            <w:tcW w:w="993" w:type="dxa"/>
            <w:vMerge/>
            <w:tcBorders>
              <w:tl2br w:val="nil"/>
              <w:tr2bl w:val="nil"/>
            </w:tcBorders>
          </w:tcPr>
          <w:p w:rsidR="00013EC7" w:rsidRDefault="00013EC7">
            <w:pPr>
              <w:jc w:val="center"/>
              <w:rPr>
                <w:rFonts w:ascii="仿宋" w:eastAsia="仿宋" w:hAnsi="仿宋" w:cs="仿宋"/>
                <w:color w:val="000000"/>
                <w:sz w:val="24"/>
              </w:rPr>
            </w:pPr>
          </w:p>
        </w:tc>
        <w:tc>
          <w:tcPr>
            <w:tcW w:w="978" w:type="dxa"/>
            <w:vMerge/>
            <w:tcBorders>
              <w:tl2br w:val="nil"/>
              <w:tr2bl w:val="nil"/>
            </w:tcBorders>
            <w:vAlign w:val="center"/>
          </w:tcPr>
          <w:p w:rsidR="00013EC7" w:rsidRDefault="00013EC7">
            <w:pPr>
              <w:rPr>
                <w:rFonts w:ascii="仿宋" w:eastAsia="仿宋" w:hAnsi="仿宋" w:cs="仿宋"/>
                <w:color w:val="000000"/>
                <w:sz w:val="24"/>
              </w:rPr>
            </w:pPr>
          </w:p>
        </w:tc>
      </w:tr>
      <w:tr w:rsidR="00013EC7">
        <w:trPr>
          <w:trHeight w:val="1810"/>
        </w:trPr>
        <w:tc>
          <w:tcPr>
            <w:tcW w:w="639" w:type="dxa"/>
            <w:vMerge/>
            <w:tcBorders>
              <w:tl2br w:val="nil"/>
              <w:tr2bl w:val="nil"/>
            </w:tcBorders>
            <w:vAlign w:val="center"/>
          </w:tcPr>
          <w:p w:rsidR="00013EC7" w:rsidRDefault="00013EC7">
            <w:pPr>
              <w:rPr>
                <w:rFonts w:ascii="仿宋" w:eastAsia="仿宋" w:hAnsi="仿宋" w:cs="仿宋"/>
                <w:color w:val="000000"/>
                <w:sz w:val="24"/>
              </w:rPr>
            </w:pPr>
          </w:p>
        </w:tc>
        <w:tc>
          <w:tcPr>
            <w:tcW w:w="510" w:type="dxa"/>
            <w:vMerge/>
            <w:tcBorders>
              <w:tl2br w:val="nil"/>
              <w:tr2bl w:val="nil"/>
            </w:tcBorders>
            <w:vAlign w:val="center"/>
          </w:tcPr>
          <w:p w:rsidR="00013EC7" w:rsidRDefault="00013EC7">
            <w:pPr>
              <w:rPr>
                <w:rFonts w:ascii="仿宋" w:eastAsia="仿宋" w:hAnsi="仿宋" w:cs="仿宋"/>
                <w:color w:val="000000"/>
                <w:sz w:val="24"/>
              </w:rPr>
            </w:pPr>
          </w:p>
        </w:tc>
        <w:tc>
          <w:tcPr>
            <w:tcW w:w="3544" w:type="dxa"/>
            <w:vMerge/>
            <w:tcBorders>
              <w:tl2br w:val="nil"/>
              <w:tr2bl w:val="nil"/>
            </w:tcBorders>
            <w:vAlign w:val="center"/>
          </w:tcPr>
          <w:p w:rsidR="00013EC7" w:rsidRDefault="00013EC7">
            <w:pPr>
              <w:rPr>
                <w:rFonts w:ascii="仿宋" w:eastAsia="仿宋" w:hAnsi="仿宋" w:cs="仿宋"/>
                <w:color w:val="000000"/>
                <w:sz w:val="24"/>
              </w:rPr>
            </w:pPr>
          </w:p>
        </w:tc>
        <w:tc>
          <w:tcPr>
            <w:tcW w:w="3260" w:type="dxa"/>
            <w:tcBorders>
              <w:tl2br w:val="nil"/>
              <w:tr2bl w:val="nil"/>
            </w:tcBorders>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color w:val="000000"/>
                <w:kern w:val="0"/>
                <w:sz w:val="24"/>
              </w:rPr>
              <w:t>（三十九）社会福利机构设置批准证书原件及复印件（加盖公章）。</w:t>
            </w:r>
          </w:p>
        </w:tc>
        <w:tc>
          <w:tcPr>
            <w:tcW w:w="1418" w:type="dxa"/>
            <w:tcBorders>
              <w:tl2br w:val="nil"/>
              <w:tr2bl w:val="nil"/>
            </w:tcBorders>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color w:val="000000"/>
                <w:kern w:val="0"/>
                <w:sz w:val="24"/>
              </w:rPr>
              <w:t>符合残疾人福利机构提供的育养服务免征增值税优惠条件 纳税人提交</w:t>
            </w:r>
          </w:p>
        </w:tc>
        <w:tc>
          <w:tcPr>
            <w:tcW w:w="3118" w:type="dxa"/>
            <w:tcBorders>
              <w:tl2br w:val="nil"/>
              <w:tr2bl w:val="nil"/>
            </w:tcBorders>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color w:val="000000"/>
                <w:kern w:val="0"/>
                <w:sz w:val="24"/>
              </w:rPr>
              <w:t>（三十六）民政部门核发的社会福利机构设置批准证书。</w:t>
            </w:r>
          </w:p>
        </w:tc>
        <w:tc>
          <w:tcPr>
            <w:tcW w:w="1276" w:type="dxa"/>
            <w:tcBorders>
              <w:tl2br w:val="nil"/>
              <w:tr2bl w:val="nil"/>
            </w:tcBorders>
            <w:vAlign w:val="center"/>
          </w:tcPr>
          <w:p w:rsidR="00013EC7" w:rsidRDefault="00575CDB">
            <w:pPr>
              <w:widowControl/>
              <w:jc w:val="left"/>
              <w:textAlignment w:val="center"/>
              <w:rPr>
                <w:rFonts w:ascii="仿宋" w:eastAsia="仿宋" w:hAnsi="仿宋" w:cs="仿宋"/>
                <w:color w:val="000000"/>
                <w:sz w:val="24"/>
              </w:rPr>
            </w:pPr>
            <w:r>
              <w:rPr>
                <w:rFonts w:ascii="仿宋" w:eastAsia="仿宋" w:hAnsi="仿宋" w:cs="仿宋" w:hint="eastAsia"/>
                <w:b/>
                <w:bCs/>
                <w:i/>
                <w:iCs/>
                <w:color w:val="000000"/>
                <w:kern w:val="0"/>
                <w:sz w:val="24"/>
              </w:rPr>
              <w:t>经办机构自行获取</w:t>
            </w:r>
          </w:p>
        </w:tc>
        <w:tc>
          <w:tcPr>
            <w:tcW w:w="2268" w:type="dxa"/>
            <w:tcBorders>
              <w:tl2br w:val="nil"/>
              <w:tr2bl w:val="nil"/>
            </w:tcBorders>
            <w:vAlign w:val="center"/>
          </w:tcPr>
          <w:p w:rsidR="00013EC7" w:rsidRDefault="00575CDB">
            <w:pPr>
              <w:widowControl/>
              <w:textAlignment w:val="center"/>
              <w:rPr>
                <w:rFonts w:ascii="仿宋" w:eastAsia="仿宋" w:hAnsi="仿宋" w:cs="仿宋"/>
                <w:b/>
                <w:color w:val="000000"/>
                <w:sz w:val="24"/>
              </w:rPr>
            </w:pPr>
            <w:r>
              <w:rPr>
                <w:rFonts w:ascii="仿宋" w:eastAsia="仿宋" w:hAnsi="仿宋" w:cs="仿宋" w:hint="eastAsia"/>
                <w:b/>
                <w:color w:val="000000"/>
                <w:kern w:val="0"/>
                <w:sz w:val="24"/>
              </w:rPr>
              <w:t>外部共享：</w:t>
            </w:r>
            <w:r>
              <w:rPr>
                <w:rFonts w:ascii="仿宋" w:eastAsia="仿宋" w:hAnsi="仿宋" w:cs="仿宋" w:hint="eastAsia"/>
                <w:color w:val="000000"/>
                <w:kern w:val="0"/>
                <w:sz w:val="24"/>
              </w:rPr>
              <w:t>由省民政厅提供共享。</w:t>
            </w:r>
          </w:p>
        </w:tc>
        <w:tc>
          <w:tcPr>
            <w:tcW w:w="567" w:type="dxa"/>
            <w:vMerge/>
            <w:tcBorders>
              <w:tl2br w:val="nil"/>
              <w:tr2bl w:val="nil"/>
            </w:tcBorders>
          </w:tcPr>
          <w:p w:rsidR="00013EC7" w:rsidRDefault="00013EC7">
            <w:pPr>
              <w:jc w:val="center"/>
              <w:rPr>
                <w:rFonts w:ascii="仿宋" w:eastAsia="仿宋" w:hAnsi="仿宋" w:cs="仿宋"/>
                <w:color w:val="000000"/>
                <w:sz w:val="24"/>
              </w:rPr>
            </w:pPr>
          </w:p>
        </w:tc>
        <w:tc>
          <w:tcPr>
            <w:tcW w:w="851" w:type="dxa"/>
            <w:vMerge/>
            <w:tcBorders>
              <w:tl2br w:val="nil"/>
              <w:tr2bl w:val="nil"/>
            </w:tcBorders>
          </w:tcPr>
          <w:p w:rsidR="00013EC7" w:rsidRDefault="00013EC7">
            <w:pPr>
              <w:jc w:val="center"/>
              <w:rPr>
                <w:rFonts w:ascii="仿宋" w:eastAsia="仿宋" w:hAnsi="仿宋" w:cs="仿宋"/>
                <w:color w:val="000000"/>
                <w:sz w:val="24"/>
              </w:rPr>
            </w:pPr>
          </w:p>
        </w:tc>
        <w:tc>
          <w:tcPr>
            <w:tcW w:w="708" w:type="dxa"/>
            <w:vMerge/>
            <w:tcBorders>
              <w:tl2br w:val="nil"/>
              <w:tr2bl w:val="nil"/>
            </w:tcBorders>
          </w:tcPr>
          <w:p w:rsidR="00013EC7" w:rsidRDefault="00013EC7">
            <w:pPr>
              <w:jc w:val="center"/>
              <w:rPr>
                <w:rFonts w:ascii="仿宋" w:eastAsia="仿宋" w:hAnsi="仿宋" w:cs="仿宋"/>
                <w:color w:val="000000"/>
                <w:sz w:val="24"/>
              </w:rPr>
            </w:pPr>
          </w:p>
        </w:tc>
        <w:tc>
          <w:tcPr>
            <w:tcW w:w="993" w:type="dxa"/>
            <w:vMerge/>
            <w:tcBorders>
              <w:tl2br w:val="nil"/>
              <w:tr2bl w:val="nil"/>
            </w:tcBorders>
          </w:tcPr>
          <w:p w:rsidR="00013EC7" w:rsidRDefault="00013EC7">
            <w:pPr>
              <w:jc w:val="center"/>
              <w:rPr>
                <w:rFonts w:ascii="仿宋" w:eastAsia="仿宋" w:hAnsi="仿宋" w:cs="仿宋"/>
                <w:color w:val="000000"/>
                <w:sz w:val="24"/>
              </w:rPr>
            </w:pPr>
          </w:p>
        </w:tc>
        <w:tc>
          <w:tcPr>
            <w:tcW w:w="978" w:type="dxa"/>
            <w:vMerge/>
            <w:tcBorders>
              <w:tl2br w:val="nil"/>
              <w:tr2bl w:val="nil"/>
            </w:tcBorders>
          </w:tcPr>
          <w:p w:rsidR="00013EC7" w:rsidRDefault="00013EC7">
            <w:pPr>
              <w:rPr>
                <w:rFonts w:ascii="仿宋" w:eastAsia="仿宋" w:hAnsi="仿宋" w:cs="仿宋"/>
                <w:color w:val="000000"/>
                <w:sz w:val="24"/>
              </w:rPr>
            </w:pPr>
          </w:p>
        </w:tc>
      </w:tr>
      <w:tr w:rsidR="00013EC7">
        <w:trPr>
          <w:trHeight w:val="1442"/>
        </w:trPr>
        <w:tc>
          <w:tcPr>
            <w:tcW w:w="639" w:type="dxa"/>
            <w:vMerge/>
            <w:tcBorders>
              <w:tl2br w:val="nil"/>
              <w:tr2bl w:val="nil"/>
            </w:tcBorders>
            <w:vAlign w:val="center"/>
          </w:tcPr>
          <w:p w:rsidR="00013EC7" w:rsidRDefault="00013EC7">
            <w:pPr>
              <w:rPr>
                <w:rFonts w:ascii="仿宋" w:eastAsia="仿宋" w:hAnsi="仿宋" w:cs="仿宋"/>
                <w:color w:val="000000"/>
                <w:sz w:val="24"/>
              </w:rPr>
            </w:pPr>
          </w:p>
        </w:tc>
        <w:tc>
          <w:tcPr>
            <w:tcW w:w="510" w:type="dxa"/>
            <w:vMerge/>
            <w:tcBorders>
              <w:tl2br w:val="nil"/>
              <w:tr2bl w:val="nil"/>
            </w:tcBorders>
            <w:vAlign w:val="center"/>
          </w:tcPr>
          <w:p w:rsidR="00013EC7" w:rsidRDefault="00013EC7">
            <w:pPr>
              <w:rPr>
                <w:rFonts w:ascii="仿宋" w:eastAsia="仿宋" w:hAnsi="仿宋" w:cs="仿宋"/>
                <w:color w:val="000000"/>
                <w:sz w:val="24"/>
              </w:rPr>
            </w:pPr>
          </w:p>
        </w:tc>
        <w:tc>
          <w:tcPr>
            <w:tcW w:w="3544" w:type="dxa"/>
            <w:vMerge/>
            <w:tcBorders>
              <w:tl2br w:val="nil"/>
              <w:tr2bl w:val="nil"/>
            </w:tcBorders>
            <w:vAlign w:val="center"/>
          </w:tcPr>
          <w:p w:rsidR="00013EC7" w:rsidRDefault="00013EC7">
            <w:pPr>
              <w:rPr>
                <w:rFonts w:ascii="仿宋" w:eastAsia="仿宋" w:hAnsi="仿宋" w:cs="仿宋"/>
                <w:color w:val="000000"/>
                <w:sz w:val="24"/>
              </w:rPr>
            </w:pPr>
          </w:p>
        </w:tc>
        <w:tc>
          <w:tcPr>
            <w:tcW w:w="3260" w:type="dxa"/>
            <w:tcBorders>
              <w:tl2br w:val="nil"/>
              <w:tr2bl w:val="nil"/>
            </w:tcBorders>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color w:val="000000"/>
                <w:kern w:val="0"/>
                <w:sz w:val="24"/>
              </w:rPr>
              <w:t>（四十）医疗机构执业许可证原件及复印件（加盖公章）。</w:t>
            </w:r>
          </w:p>
        </w:tc>
        <w:tc>
          <w:tcPr>
            <w:tcW w:w="1418" w:type="dxa"/>
            <w:tcBorders>
              <w:tl2br w:val="nil"/>
              <w:tr2bl w:val="nil"/>
            </w:tcBorders>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color w:val="000000"/>
                <w:kern w:val="0"/>
                <w:sz w:val="24"/>
              </w:rPr>
              <w:t>符合医疗机构提供的医疗服务条件的纳税人提交</w:t>
            </w:r>
          </w:p>
        </w:tc>
        <w:tc>
          <w:tcPr>
            <w:tcW w:w="3118" w:type="dxa"/>
            <w:tcBorders>
              <w:tl2br w:val="nil"/>
              <w:tr2bl w:val="nil"/>
            </w:tcBorders>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color w:val="000000"/>
                <w:kern w:val="0"/>
                <w:sz w:val="24"/>
              </w:rPr>
              <w:t>（三十七）医疗机构执业许可证。</w:t>
            </w:r>
          </w:p>
        </w:tc>
        <w:tc>
          <w:tcPr>
            <w:tcW w:w="1276" w:type="dxa"/>
            <w:tcBorders>
              <w:tl2br w:val="nil"/>
              <w:tr2bl w:val="nil"/>
            </w:tcBorders>
            <w:vAlign w:val="center"/>
          </w:tcPr>
          <w:p w:rsidR="00013EC7" w:rsidRDefault="00575CDB">
            <w:pPr>
              <w:widowControl/>
              <w:jc w:val="left"/>
              <w:textAlignment w:val="center"/>
              <w:rPr>
                <w:rFonts w:ascii="仿宋" w:eastAsia="仿宋" w:hAnsi="仿宋" w:cs="仿宋"/>
                <w:color w:val="000000"/>
                <w:sz w:val="24"/>
              </w:rPr>
            </w:pPr>
            <w:r>
              <w:rPr>
                <w:rFonts w:ascii="仿宋" w:eastAsia="仿宋" w:hAnsi="仿宋" w:cs="仿宋" w:hint="eastAsia"/>
                <w:b/>
                <w:bCs/>
                <w:i/>
                <w:iCs/>
                <w:color w:val="000000"/>
                <w:kern w:val="0"/>
                <w:sz w:val="24"/>
              </w:rPr>
              <w:t>经办机构自行获取</w:t>
            </w:r>
          </w:p>
        </w:tc>
        <w:tc>
          <w:tcPr>
            <w:tcW w:w="2268" w:type="dxa"/>
            <w:tcBorders>
              <w:tl2br w:val="nil"/>
              <w:tr2bl w:val="nil"/>
            </w:tcBorders>
            <w:vAlign w:val="center"/>
          </w:tcPr>
          <w:p w:rsidR="00013EC7" w:rsidRDefault="00575CDB">
            <w:pPr>
              <w:widowControl/>
              <w:textAlignment w:val="center"/>
              <w:rPr>
                <w:rFonts w:ascii="仿宋" w:eastAsia="仿宋" w:hAnsi="仿宋" w:cs="仿宋"/>
                <w:b/>
                <w:color w:val="000000"/>
                <w:sz w:val="24"/>
              </w:rPr>
            </w:pPr>
            <w:r>
              <w:rPr>
                <w:rFonts w:ascii="仿宋" w:eastAsia="仿宋" w:hAnsi="仿宋" w:cs="仿宋" w:hint="eastAsia"/>
                <w:b/>
                <w:color w:val="000000"/>
                <w:kern w:val="0"/>
                <w:sz w:val="24"/>
              </w:rPr>
              <w:t>外部共享：</w:t>
            </w:r>
            <w:r>
              <w:rPr>
                <w:rFonts w:ascii="仿宋" w:eastAsia="仿宋" w:hAnsi="仿宋" w:cs="仿宋" w:hint="eastAsia"/>
                <w:color w:val="000000"/>
                <w:kern w:val="0"/>
                <w:sz w:val="24"/>
              </w:rPr>
              <w:t>由省卫生厅提供共享。</w:t>
            </w:r>
          </w:p>
        </w:tc>
        <w:tc>
          <w:tcPr>
            <w:tcW w:w="567" w:type="dxa"/>
            <w:vMerge/>
            <w:tcBorders>
              <w:tl2br w:val="nil"/>
              <w:tr2bl w:val="nil"/>
            </w:tcBorders>
          </w:tcPr>
          <w:p w:rsidR="00013EC7" w:rsidRDefault="00013EC7">
            <w:pPr>
              <w:jc w:val="center"/>
              <w:rPr>
                <w:rFonts w:ascii="仿宋" w:eastAsia="仿宋" w:hAnsi="仿宋" w:cs="仿宋"/>
                <w:color w:val="000000"/>
                <w:sz w:val="24"/>
              </w:rPr>
            </w:pPr>
          </w:p>
        </w:tc>
        <w:tc>
          <w:tcPr>
            <w:tcW w:w="851" w:type="dxa"/>
            <w:vMerge/>
            <w:tcBorders>
              <w:tl2br w:val="nil"/>
              <w:tr2bl w:val="nil"/>
            </w:tcBorders>
          </w:tcPr>
          <w:p w:rsidR="00013EC7" w:rsidRDefault="00013EC7">
            <w:pPr>
              <w:jc w:val="center"/>
              <w:rPr>
                <w:rFonts w:ascii="仿宋" w:eastAsia="仿宋" w:hAnsi="仿宋" w:cs="仿宋"/>
                <w:color w:val="000000"/>
                <w:sz w:val="24"/>
              </w:rPr>
            </w:pPr>
          </w:p>
        </w:tc>
        <w:tc>
          <w:tcPr>
            <w:tcW w:w="708" w:type="dxa"/>
            <w:vMerge/>
            <w:tcBorders>
              <w:tl2br w:val="nil"/>
              <w:tr2bl w:val="nil"/>
            </w:tcBorders>
          </w:tcPr>
          <w:p w:rsidR="00013EC7" w:rsidRDefault="00013EC7">
            <w:pPr>
              <w:jc w:val="center"/>
              <w:rPr>
                <w:rFonts w:ascii="仿宋" w:eastAsia="仿宋" w:hAnsi="仿宋" w:cs="仿宋"/>
                <w:color w:val="000000"/>
                <w:sz w:val="24"/>
              </w:rPr>
            </w:pPr>
          </w:p>
        </w:tc>
        <w:tc>
          <w:tcPr>
            <w:tcW w:w="993" w:type="dxa"/>
            <w:vMerge/>
            <w:tcBorders>
              <w:tl2br w:val="nil"/>
              <w:tr2bl w:val="nil"/>
            </w:tcBorders>
          </w:tcPr>
          <w:p w:rsidR="00013EC7" w:rsidRDefault="00013EC7">
            <w:pPr>
              <w:jc w:val="center"/>
              <w:rPr>
                <w:rFonts w:ascii="仿宋" w:eastAsia="仿宋" w:hAnsi="仿宋" w:cs="仿宋"/>
                <w:color w:val="000000"/>
                <w:sz w:val="24"/>
              </w:rPr>
            </w:pPr>
          </w:p>
        </w:tc>
        <w:tc>
          <w:tcPr>
            <w:tcW w:w="978" w:type="dxa"/>
            <w:vMerge/>
            <w:tcBorders>
              <w:tl2br w:val="nil"/>
              <w:tr2bl w:val="nil"/>
            </w:tcBorders>
          </w:tcPr>
          <w:p w:rsidR="00013EC7" w:rsidRDefault="00013EC7">
            <w:pPr>
              <w:rPr>
                <w:rFonts w:ascii="仿宋" w:eastAsia="仿宋" w:hAnsi="仿宋" w:cs="仿宋"/>
                <w:color w:val="000000"/>
                <w:sz w:val="24"/>
              </w:rPr>
            </w:pPr>
          </w:p>
        </w:tc>
      </w:tr>
      <w:tr w:rsidR="00013EC7">
        <w:trPr>
          <w:trHeight w:val="2580"/>
        </w:trPr>
        <w:tc>
          <w:tcPr>
            <w:tcW w:w="639" w:type="dxa"/>
            <w:vMerge/>
            <w:tcBorders>
              <w:tl2br w:val="nil"/>
              <w:tr2bl w:val="nil"/>
            </w:tcBorders>
            <w:vAlign w:val="center"/>
          </w:tcPr>
          <w:p w:rsidR="00013EC7" w:rsidRDefault="00013EC7">
            <w:pPr>
              <w:rPr>
                <w:rFonts w:ascii="仿宋" w:eastAsia="仿宋" w:hAnsi="仿宋" w:cs="仿宋"/>
                <w:color w:val="000000"/>
                <w:sz w:val="24"/>
              </w:rPr>
            </w:pPr>
          </w:p>
        </w:tc>
        <w:tc>
          <w:tcPr>
            <w:tcW w:w="510" w:type="dxa"/>
            <w:vMerge/>
            <w:tcBorders>
              <w:tl2br w:val="nil"/>
              <w:tr2bl w:val="nil"/>
            </w:tcBorders>
            <w:vAlign w:val="center"/>
          </w:tcPr>
          <w:p w:rsidR="00013EC7" w:rsidRDefault="00013EC7">
            <w:pPr>
              <w:rPr>
                <w:rFonts w:ascii="仿宋" w:eastAsia="仿宋" w:hAnsi="仿宋" w:cs="仿宋"/>
                <w:color w:val="000000"/>
                <w:sz w:val="24"/>
              </w:rPr>
            </w:pPr>
          </w:p>
        </w:tc>
        <w:tc>
          <w:tcPr>
            <w:tcW w:w="3544" w:type="dxa"/>
            <w:vMerge/>
            <w:tcBorders>
              <w:tl2br w:val="nil"/>
              <w:tr2bl w:val="nil"/>
            </w:tcBorders>
            <w:vAlign w:val="center"/>
          </w:tcPr>
          <w:p w:rsidR="00013EC7" w:rsidRDefault="00013EC7">
            <w:pPr>
              <w:rPr>
                <w:rFonts w:ascii="仿宋" w:eastAsia="仿宋" w:hAnsi="仿宋" w:cs="仿宋"/>
                <w:color w:val="000000"/>
                <w:sz w:val="24"/>
              </w:rPr>
            </w:pPr>
          </w:p>
        </w:tc>
        <w:tc>
          <w:tcPr>
            <w:tcW w:w="3260" w:type="dxa"/>
            <w:tcBorders>
              <w:tl2br w:val="nil"/>
              <w:tr2bl w:val="nil"/>
            </w:tcBorders>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color w:val="000000"/>
                <w:kern w:val="0"/>
                <w:sz w:val="24"/>
              </w:rPr>
              <w:t>（四十一）普通学校办学许可证或经省政府（或教育行政部门）批准成立的文件或经市级及以上人力资源和社会保障部门批准成立的文件原件及复印件（加盖公章）。</w:t>
            </w:r>
          </w:p>
        </w:tc>
        <w:tc>
          <w:tcPr>
            <w:tcW w:w="1418" w:type="dxa"/>
            <w:tcBorders>
              <w:tl2br w:val="nil"/>
              <w:tr2bl w:val="nil"/>
            </w:tcBorders>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color w:val="000000"/>
                <w:kern w:val="0"/>
                <w:sz w:val="24"/>
              </w:rPr>
              <w:t>符合从事学历教育的学校提供的教育服务免征增值税优惠条件的纳税人提交</w:t>
            </w:r>
          </w:p>
        </w:tc>
        <w:tc>
          <w:tcPr>
            <w:tcW w:w="3118" w:type="dxa"/>
            <w:tcBorders>
              <w:tl2br w:val="nil"/>
              <w:tr2bl w:val="nil"/>
            </w:tcBorders>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color w:val="000000"/>
                <w:kern w:val="0"/>
                <w:sz w:val="24"/>
              </w:rPr>
              <w:t>（三十八）普通学校办学许可证或经省政府（或教育行政部门）批准成立的文件或经市级及以上人力资源和社会保障部门批准成立的文件。</w:t>
            </w:r>
          </w:p>
        </w:tc>
        <w:tc>
          <w:tcPr>
            <w:tcW w:w="1276" w:type="dxa"/>
            <w:tcBorders>
              <w:tl2br w:val="nil"/>
              <w:tr2bl w:val="nil"/>
            </w:tcBorders>
            <w:vAlign w:val="center"/>
          </w:tcPr>
          <w:p w:rsidR="00013EC7" w:rsidRDefault="00575CDB">
            <w:pPr>
              <w:widowControl/>
              <w:jc w:val="left"/>
              <w:textAlignment w:val="center"/>
              <w:rPr>
                <w:rFonts w:ascii="仿宋" w:eastAsia="仿宋" w:hAnsi="仿宋" w:cs="仿宋"/>
                <w:color w:val="000000"/>
                <w:sz w:val="24"/>
              </w:rPr>
            </w:pPr>
            <w:r>
              <w:rPr>
                <w:rFonts w:ascii="仿宋" w:eastAsia="仿宋" w:hAnsi="仿宋" w:cs="仿宋" w:hint="eastAsia"/>
                <w:color w:val="000000"/>
                <w:kern w:val="0"/>
                <w:sz w:val="24"/>
              </w:rPr>
              <w:t>从事学历教育的学校提供的教育服务免征增值税优惠条件的纳税人提交</w:t>
            </w:r>
          </w:p>
        </w:tc>
        <w:tc>
          <w:tcPr>
            <w:tcW w:w="2268" w:type="dxa"/>
            <w:tcBorders>
              <w:tl2br w:val="nil"/>
              <w:tr2bl w:val="nil"/>
            </w:tcBorders>
            <w:vAlign w:val="center"/>
          </w:tcPr>
          <w:p w:rsidR="00013EC7" w:rsidRDefault="00575CDB">
            <w:pPr>
              <w:widowControl/>
              <w:jc w:val="left"/>
              <w:textAlignment w:val="center"/>
              <w:rPr>
                <w:rFonts w:ascii="仿宋" w:eastAsia="仿宋" w:hAnsi="仿宋" w:cs="仿宋"/>
                <w:color w:val="000000"/>
                <w:kern w:val="0"/>
                <w:sz w:val="24"/>
              </w:rPr>
            </w:pPr>
            <w:r>
              <w:rPr>
                <w:rFonts w:ascii="仿宋" w:eastAsia="仿宋" w:hAnsi="仿宋" w:cs="仿宋" w:hint="eastAsia"/>
                <w:b/>
                <w:color w:val="000000"/>
                <w:kern w:val="0"/>
                <w:sz w:val="24"/>
              </w:rPr>
              <w:t>现场办理：</w:t>
            </w:r>
            <w:r>
              <w:rPr>
                <w:rFonts w:ascii="仿宋" w:eastAsia="仿宋" w:hAnsi="仿宋" w:cs="仿宋" w:hint="eastAsia"/>
                <w:color w:val="000000"/>
                <w:kern w:val="0"/>
                <w:sz w:val="24"/>
              </w:rPr>
              <w:t>纳税人提交书面材料。</w:t>
            </w:r>
          </w:p>
          <w:p w:rsidR="00013EC7" w:rsidRDefault="00575CDB">
            <w:pPr>
              <w:widowControl/>
              <w:jc w:val="left"/>
              <w:textAlignment w:val="center"/>
              <w:rPr>
                <w:rFonts w:ascii="仿宋" w:eastAsia="仿宋" w:hAnsi="仿宋" w:cs="仿宋"/>
                <w:color w:val="000000"/>
                <w:kern w:val="0"/>
                <w:sz w:val="24"/>
              </w:rPr>
            </w:pPr>
            <w:r>
              <w:rPr>
                <w:rFonts w:ascii="仿宋" w:eastAsia="仿宋" w:hAnsi="仿宋" w:cs="仿宋" w:hint="eastAsia"/>
                <w:b/>
                <w:color w:val="000000"/>
                <w:kern w:val="0"/>
                <w:sz w:val="24"/>
              </w:rPr>
              <w:t>网上办理：</w:t>
            </w:r>
            <w:r>
              <w:rPr>
                <w:rFonts w:ascii="仿宋" w:eastAsia="仿宋" w:hAnsi="仿宋" w:cs="仿宋" w:hint="eastAsia"/>
                <w:color w:val="000000"/>
                <w:kern w:val="0"/>
                <w:sz w:val="24"/>
              </w:rPr>
              <w:t>登录浙江国税电子税务局（网址：http://etax.zjtax.gov.cn/）提交申请。</w:t>
            </w:r>
          </w:p>
          <w:p w:rsidR="00013EC7" w:rsidRDefault="00575CDB">
            <w:pPr>
              <w:widowControl/>
              <w:textAlignment w:val="center"/>
              <w:rPr>
                <w:rFonts w:ascii="仿宋" w:eastAsia="仿宋" w:hAnsi="仿宋" w:cs="仿宋"/>
                <w:b/>
                <w:color w:val="000000"/>
                <w:sz w:val="24"/>
              </w:rPr>
            </w:pPr>
            <w:r>
              <w:rPr>
                <w:rFonts w:ascii="仿宋" w:eastAsia="仿宋" w:hAnsi="仿宋" w:cs="仿宋" w:hint="eastAsia"/>
                <w:b/>
                <w:color w:val="000000"/>
                <w:kern w:val="0"/>
                <w:sz w:val="24"/>
              </w:rPr>
              <w:t>APP办理：</w:t>
            </w:r>
            <w:r w:rsidR="006776D1">
              <w:rPr>
                <w:rFonts w:ascii="仿宋" w:eastAsia="仿宋" w:hAnsi="仿宋" w:cs="仿宋" w:hint="eastAsia"/>
                <w:color w:val="000000"/>
                <w:kern w:val="0"/>
                <w:sz w:val="24"/>
              </w:rPr>
              <w:t>登录浙江国税APP提交申请。</w:t>
            </w:r>
          </w:p>
        </w:tc>
        <w:tc>
          <w:tcPr>
            <w:tcW w:w="567" w:type="dxa"/>
            <w:vMerge/>
            <w:tcBorders>
              <w:tl2br w:val="nil"/>
              <w:tr2bl w:val="nil"/>
            </w:tcBorders>
          </w:tcPr>
          <w:p w:rsidR="00013EC7" w:rsidRDefault="00013EC7">
            <w:pPr>
              <w:jc w:val="center"/>
              <w:rPr>
                <w:rFonts w:ascii="仿宋" w:eastAsia="仿宋" w:hAnsi="仿宋" w:cs="仿宋"/>
                <w:color w:val="000000"/>
                <w:sz w:val="24"/>
              </w:rPr>
            </w:pPr>
          </w:p>
        </w:tc>
        <w:tc>
          <w:tcPr>
            <w:tcW w:w="851" w:type="dxa"/>
            <w:vMerge/>
            <w:tcBorders>
              <w:tl2br w:val="nil"/>
              <w:tr2bl w:val="nil"/>
            </w:tcBorders>
          </w:tcPr>
          <w:p w:rsidR="00013EC7" w:rsidRDefault="00013EC7">
            <w:pPr>
              <w:jc w:val="center"/>
              <w:rPr>
                <w:rFonts w:ascii="仿宋" w:eastAsia="仿宋" w:hAnsi="仿宋" w:cs="仿宋"/>
                <w:color w:val="000000"/>
                <w:sz w:val="24"/>
              </w:rPr>
            </w:pPr>
          </w:p>
        </w:tc>
        <w:tc>
          <w:tcPr>
            <w:tcW w:w="708" w:type="dxa"/>
            <w:vMerge/>
            <w:tcBorders>
              <w:tl2br w:val="nil"/>
              <w:tr2bl w:val="nil"/>
            </w:tcBorders>
          </w:tcPr>
          <w:p w:rsidR="00013EC7" w:rsidRDefault="00013EC7">
            <w:pPr>
              <w:jc w:val="center"/>
              <w:rPr>
                <w:rFonts w:ascii="仿宋" w:eastAsia="仿宋" w:hAnsi="仿宋" w:cs="仿宋"/>
                <w:color w:val="000000"/>
                <w:sz w:val="24"/>
              </w:rPr>
            </w:pPr>
          </w:p>
        </w:tc>
        <w:tc>
          <w:tcPr>
            <w:tcW w:w="993" w:type="dxa"/>
            <w:vMerge/>
            <w:tcBorders>
              <w:tl2br w:val="nil"/>
              <w:tr2bl w:val="nil"/>
            </w:tcBorders>
          </w:tcPr>
          <w:p w:rsidR="00013EC7" w:rsidRDefault="00013EC7">
            <w:pPr>
              <w:jc w:val="center"/>
              <w:rPr>
                <w:rFonts w:ascii="仿宋" w:eastAsia="仿宋" w:hAnsi="仿宋" w:cs="仿宋"/>
                <w:color w:val="000000"/>
                <w:sz w:val="24"/>
              </w:rPr>
            </w:pPr>
          </w:p>
        </w:tc>
        <w:tc>
          <w:tcPr>
            <w:tcW w:w="978" w:type="dxa"/>
            <w:vMerge/>
            <w:tcBorders>
              <w:tl2br w:val="nil"/>
              <w:tr2bl w:val="nil"/>
            </w:tcBorders>
          </w:tcPr>
          <w:p w:rsidR="00013EC7" w:rsidRDefault="00013EC7">
            <w:pPr>
              <w:rPr>
                <w:rFonts w:ascii="仿宋" w:eastAsia="仿宋" w:hAnsi="仿宋" w:cs="仿宋"/>
                <w:color w:val="000000"/>
                <w:sz w:val="24"/>
              </w:rPr>
            </w:pPr>
          </w:p>
        </w:tc>
      </w:tr>
      <w:tr w:rsidR="00013EC7">
        <w:trPr>
          <w:trHeight w:val="3435"/>
        </w:trPr>
        <w:tc>
          <w:tcPr>
            <w:tcW w:w="639" w:type="dxa"/>
            <w:vMerge/>
            <w:tcBorders>
              <w:tl2br w:val="nil"/>
              <w:tr2bl w:val="nil"/>
            </w:tcBorders>
            <w:vAlign w:val="center"/>
          </w:tcPr>
          <w:p w:rsidR="00013EC7" w:rsidRDefault="00013EC7">
            <w:pPr>
              <w:rPr>
                <w:rFonts w:ascii="仿宋" w:eastAsia="仿宋" w:hAnsi="仿宋" w:cs="仿宋"/>
                <w:color w:val="000000"/>
                <w:sz w:val="24"/>
              </w:rPr>
            </w:pPr>
          </w:p>
        </w:tc>
        <w:tc>
          <w:tcPr>
            <w:tcW w:w="510" w:type="dxa"/>
            <w:vMerge/>
            <w:tcBorders>
              <w:tl2br w:val="nil"/>
              <w:tr2bl w:val="nil"/>
            </w:tcBorders>
            <w:vAlign w:val="center"/>
          </w:tcPr>
          <w:p w:rsidR="00013EC7" w:rsidRDefault="00013EC7">
            <w:pPr>
              <w:rPr>
                <w:rFonts w:ascii="仿宋" w:eastAsia="仿宋" w:hAnsi="仿宋" w:cs="仿宋"/>
                <w:color w:val="000000"/>
                <w:sz w:val="24"/>
              </w:rPr>
            </w:pPr>
          </w:p>
        </w:tc>
        <w:tc>
          <w:tcPr>
            <w:tcW w:w="3544" w:type="dxa"/>
            <w:vMerge/>
            <w:tcBorders>
              <w:tl2br w:val="nil"/>
              <w:tr2bl w:val="nil"/>
            </w:tcBorders>
            <w:vAlign w:val="center"/>
          </w:tcPr>
          <w:p w:rsidR="00013EC7" w:rsidRDefault="00013EC7">
            <w:pPr>
              <w:rPr>
                <w:rFonts w:ascii="仿宋" w:eastAsia="仿宋" w:hAnsi="仿宋" w:cs="仿宋"/>
                <w:color w:val="000000"/>
                <w:sz w:val="24"/>
              </w:rPr>
            </w:pPr>
          </w:p>
        </w:tc>
        <w:tc>
          <w:tcPr>
            <w:tcW w:w="3260" w:type="dxa"/>
            <w:tcBorders>
              <w:tl2br w:val="nil"/>
              <w:tr2bl w:val="nil"/>
            </w:tcBorders>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color w:val="000000"/>
                <w:kern w:val="0"/>
                <w:sz w:val="24"/>
              </w:rPr>
              <w:t>（四十二）开展相关业务合同、协议原件及复印件（加盖公章）或相关业务证明材料。</w:t>
            </w:r>
          </w:p>
        </w:tc>
        <w:tc>
          <w:tcPr>
            <w:tcW w:w="1418" w:type="dxa"/>
            <w:tcBorders>
              <w:tl2br w:val="nil"/>
              <w:tr2bl w:val="nil"/>
            </w:tcBorders>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color w:val="000000"/>
                <w:kern w:val="0"/>
                <w:sz w:val="24"/>
              </w:rPr>
              <w:t>符合农业机耕、排灌、病虫害防治、植物保护、农牧保险以及相关技术培训业务，家禽、牲畜、水生动物的配种和疾病防治免征增值税优惠条件的纳税人提交</w:t>
            </w:r>
          </w:p>
        </w:tc>
        <w:tc>
          <w:tcPr>
            <w:tcW w:w="3118" w:type="dxa"/>
            <w:tcBorders>
              <w:tl2br w:val="nil"/>
              <w:tr2bl w:val="nil"/>
            </w:tcBorders>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color w:val="000000"/>
                <w:kern w:val="0"/>
                <w:sz w:val="24"/>
              </w:rPr>
              <w:t>（三十九）开展该项业务合同、协议原件及复印件（注明与原件一致，并加盖公章）或该项业务证明材料。</w:t>
            </w:r>
          </w:p>
        </w:tc>
        <w:tc>
          <w:tcPr>
            <w:tcW w:w="1276" w:type="dxa"/>
            <w:tcBorders>
              <w:tl2br w:val="nil"/>
              <w:tr2bl w:val="nil"/>
            </w:tcBorders>
            <w:vAlign w:val="center"/>
          </w:tcPr>
          <w:p w:rsidR="00013EC7" w:rsidRDefault="00575CDB">
            <w:pPr>
              <w:widowControl/>
              <w:jc w:val="left"/>
              <w:textAlignment w:val="center"/>
              <w:rPr>
                <w:rFonts w:ascii="仿宋" w:eastAsia="仿宋" w:hAnsi="仿宋" w:cs="仿宋"/>
                <w:color w:val="000000"/>
                <w:sz w:val="24"/>
              </w:rPr>
            </w:pPr>
            <w:r>
              <w:rPr>
                <w:rFonts w:ascii="仿宋" w:eastAsia="仿宋" w:hAnsi="仿宋" w:cs="仿宋" w:hint="eastAsia"/>
                <w:color w:val="000000"/>
                <w:kern w:val="0"/>
                <w:sz w:val="24"/>
              </w:rPr>
              <w:t>农业机耕、排灌、病虫害防治、植物保护、农牧保险以及相关技术培训业务，家禽、牲畜、水生动物的配种和疾病防治纳税人提交</w:t>
            </w:r>
          </w:p>
        </w:tc>
        <w:tc>
          <w:tcPr>
            <w:tcW w:w="2268" w:type="dxa"/>
            <w:vMerge w:val="restart"/>
            <w:tcBorders>
              <w:tl2br w:val="nil"/>
              <w:tr2bl w:val="nil"/>
            </w:tcBorders>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b/>
                <w:color w:val="000000"/>
                <w:kern w:val="0"/>
                <w:sz w:val="24"/>
              </w:rPr>
              <w:t>网上办理：</w:t>
            </w:r>
            <w:r>
              <w:rPr>
                <w:rFonts w:ascii="仿宋" w:eastAsia="仿宋" w:hAnsi="仿宋" w:cs="仿宋" w:hint="eastAsia"/>
                <w:color w:val="000000"/>
                <w:kern w:val="0"/>
                <w:sz w:val="24"/>
              </w:rPr>
              <w:t>登录浙江国税电子税务局（网址：http://etax.zjtax.gov.cn/</w:t>
            </w:r>
            <w:r>
              <w:rPr>
                <w:rFonts w:ascii="仿宋" w:eastAsia="仿宋" w:hAnsi="仿宋" w:cs="仿宋" w:hint="eastAsia"/>
                <w:color w:val="000000"/>
                <w:kern w:val="0"/>
                <w:sz w:val="24"/>
              </w:rPr>
              <w:br/>
              <w:t>）提交申请。</w:t>
            </w:r>
            <w:r>
              <w:rPr>
                <w:rFonts w:ascii="仿宋" w:eastAsia="仿宋" w:hAnsi="仿宋" w:cs="仿宋" w:hint="eastAsia"/>
                <w:b/>
                <w:color w:val="000000"/>
                <w:kern w:val="0"/>
                <w:sz w:val="24"/>
              </w:rPr>
              <w:br/>
              <w:t>现场办理：</w:t>
            </w:r>
            <w:r>
              <w:rPr>
                <w:rFonts w:ascii="仿宋" w:eastAsia="仿宋" w:hAnsi="仿宋" w:cs="仿宋" w:hint="eastAsia"/>
                <w:color w:val="000000"/>
                <w:kern w:val="0"/>
                <w:sz w:val="24"/>
              </w:rPr>
              <w:t>纳税人提交书面材料。</w:t>
            </w:r>
          </w:p>
          <w:p w:rsidR="00013EC7" w:rsidRDefault="00575CDB">
            <w:pPr>
              <w:jc w:val="left"/>
              <w:rPr>
                <w:rFonts w:ascii="仿宋" w:eastAsia="仿宋" w:hAnsi="仿宋" w:cs="仿宋"/>
                <w:color w:val="000000"/>
                <w:sz w:val="24"/>
              </w:rPr>
            </w:pPr>
            <w:r>
              <w:rPr>
                <w:rFonts w:ascii="仿宋" w:eastAsia="仿宋" w:hAnsi="仿宋" w:cs="仿宋" w:hint="eastAsia"/>
                <w:b/>
                <w:color w:val="000000"/>
                <w:kern w:val="0"/>
                <w:sz w:val="24"/>
              </w:rPr>
              <w:t>APP办理：</w:t>
            </w:r>
            <w:r w:rsidR="006776D1">
              <w:rPr>
                <w:rFonts w:ascii="仿宋" w:eastAsia="仿宋" w:hAnsi="仿宋" w:cs="仿宋" w:hint="eastAsia"/>
                <w:color w:val="000000"/>
                <w:kern w:val="0"/>
                <w:sz w:val="24"/>
              </w:rPr>
              <w:t>登录浙江国税APP提交申请。</w:t>
            </w:r>
          </w:p>
        </w:tc>
        <w:tc>
          <w:tcPr>
            <w:tcW w:w="567" w:type="dxa"/>
            <w:vMerge/>
            <w:tcBorders>
              <w:tl2br w:val="nil"/>
              <w:tr2bl w:val="nil"/>
            </w:tcBorders>
          </w:tcPr>
          <w:p w:rsidR="00013EC7" w:rsidRDefault="00013EC7">
            <w:pPr>
              <w:jc w:val="center"/>
              <w:rPr>
                <w:rFonts w:ascii="仿宋" w:eastAsia="仿宋" w:hAnsi="仿宋" w:cs="仿宋"/>
                <w:color w:val="000000"/>
                <w:sz w:val="24"/>
              </w:rPr>
            </w:pPr>
          </w:p>
        </w:tc>
        <w:tc>
          <w:tcPr>
            <w:tcW w:w="851" w:type="dxa"/>
            <w:vMerge/>
            <w:tcBorders>
              <w:tl2br w:val="nil"/>
              <w:tr2bl w:val="nil"/>
            </w:tcBorders>
          </w:tcPr>
          <w:p w:rsidR="00013EC7" w:rsidRDefault="00013EC7">
            <w:pPr>
              <w:jc w:val="center"/>
              <w:rPr>
                <w:rFonts w:ascii="仿宋" w:eastAsia="仿宋" w:hAnsi="仿宋" w:cs="仿宋"/>
                <w:color w:val="000000"/>
                <w:sz w:val="24"/>
              </w:rPr>
            </w:pPr>
          </w:p>
        </w:tc>
        <w:tc>
          <w:tcPr>
            <w:tcW w:w="708" w:type="dxa"/>
            <w:vMerge/>
            <w:tcBorders>
              <w:tl2br w:val="nil"/>
              <w:tr2bl w:val="nil"/>
            </w:tcBorders>
          </w:tcPr>
          <w:p w:rsidR="00013EC7" w:rsidRDefault="00013EC7">
            <w:pPr>
              <w:jc w:val="center"/>
              <w:rPr>
                <w:rFonts w:ascii="仿宋" w:eastAsia="仿宋" w:hAnsi="仿宋" w:cs="仿宋"/>
                <w:color w:val="000000"/>
                <w:sz w:val="24"/>
              </w:rPr>
            </w:pPr>
          </w:p>
        </w:tc>
        <w:tc>
          <w:tcPr>
            <w:tcW w:w="993" w:type="dxa"/>
            <w:vMerge/>
            <w:tcBorders>
              <w:tl2br w:val="nil"/>
              <w:tr2bl w:val="nil"/>
            </w:tcBorders>
          </w:tcPr>
          <w:p w:rsidR="00013EC7" w:rsidRDefault="00013EC7">
            <w:pPr>
              <w:jc w:val="center"/>
              <w:rPr>
                <w:rFonts w:ascii="仿宋" w:eastAsia="仿宋" w:hAnsi="仿宋" w:cs="仿宋"/>
                <w:color w:val="000000"/>
                <w:sz w:val="24"/>
              </w:rPr>
            </w:pPr>
          </w:p>
        </w:tc>
        <w:tc>
          <w:tcPr>
            <w:tcW w:w="978" w:type="dxa"/>
            <w:vMerge/>
            <w:tcBorders>
              <w:tl2br w:val="nil"/>
              <w:tr2bl w:val="nil"/>
            </w:tcBorders>
          </w:tcPr>
          <w:p w:rsidR="00013EC7" w:rsidRDefault="00013EC7">
            <w:pPr>
              <w:rPr>
                <w:rFonts w:ascii="仿宋" w:eastAsia="仿宋" w:hAnsi="仿宋" w:cs="仿宋"/>
                <w:color w:val="000000"/>
                <w:sz w:val="24"/>
              </w:rPr>
            </w:pPr>
          </w:p>
        </w:tc>
      </w:tr>
      <w:tr w:rsidR="00013EC7">
        <w:trPr>
          <w:trHeight w:val="2681"/>
        </w:trPr>
        <w:tc>
          <w:tcPr>
            <w:tcW w:w="639" w:type="dxa"/>
            <w:vMerge/>
            <w:tcBorders>
              <w:tl2br w:val="nil"/>
              <w:tr2bl w:val="nil"/>
            </w:tcBorders>
            <w:vAlign w:val="center"/>
          </w:tcPr>
          <w:p w:rsidR="00013EC7" w:rsidRDefault="00013EC7">
            <w:pPr>
              <w:rPr>
                <w:rFonts w:ascii="仿宋" w:eastAsia="仿宋" w:hAnsi="仿宋" w:cs="仿宋"/>
                <w:color w:val="000000"/>
                <w:sz w:val="24"/>
              </w:rPr>
            </w:pPr>
          </w:p>
        </w:tc>
        <w:tc>
          <w:tcPr>
            <w:tcW w:w="510" w:type="dxa"/>
            <w:vMerge/>
            <w:tcBorders>
              <w:tl2br w:val="nil"/>
              <w:tr2bl w:val="nil"/>
            </w:tcBorders>
            <w:vAlign w:val="center"/>
          </w:tcPr>
          <w:p w:rsidR="00013EC7" w:rsidRDefault="00013EC7">
            <w:pPr>
              <w:rPr>
                <w:rFonts w:ascii="仿宋" w:eastAsia="仿宋" w:hAnsi="仿宋" w:cs="仿宋"/>
                <w:color w:val="000000"/>
                <w:sz w:val="24"/>
              </w:rPr>
            </w:pPr>
          </w:p>
        </w:tc>
        <w:tc>
          <w:tcPr>
            <w:tcW w:w="3544" w:type="dxa"/>
            <w:vMerge/>
            <w:tcBorders>
              <w:tl2br w:val="nil"/>
              <w:tr2bl w:val="nil"/>
            </w:tcBorders>
            <w:vAlign w:val="center"/>
          </w:tcPr>
          <w:p w:rsidR="00013EC7" w:rsidRDefault="00013EC7">
            <w:pPr>
              <w:rPr>
                <w:rFonts w:ascii="仿宋" w:eastAsia="仿宋" w:hAnsi="仿宋" w:cs="仿宋"/>
                <w:color w:val="000000"/>
                <w:sz w:val="24"/>
              </w:rPr>
            </w:pPr>
          </w:p>
        </w:tc>
        <w:tc>
          <w:tcPr>
            <w:tcW w:w="3260" w:type="dxa"/>
            <w:tcBorders>
              <w:tl2br w:val="nil"/>
              <w:tr2bl w:val="nil"/>
            </w:tcBorders>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color w:val="000000"/>
                <w:kern w:val="0"/>
                <w:sz w:val="24"/>
              </w:rPr>
              <w:t>（四十三）国务院、财政部，地方财政、价格主管部门批准设立收费或基金的文件原件及复印件（加盖公章）。</w:t>
            </w:r>
          </w:p>
        </w:tc>
        <w:tc>
          <w:tcPr>
            <w:tcW w:w="1418" w:type="dxa"/>
            <w:tcBorders>
              <w:tl2br w:val="nil"/>
              <w:tr2bl w:val="nil"/>
            </w:tcBorders>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color w:val="000000"/>
                <w:kern w:val="0"/>
                <w:sz w:val="24"/>
              </w:rPr>
              <w:t>符合行政单位之外的其他单位收取的符合条件的政府性基金和行政事业性收费免征增值税优惠条件纳税人提交</w:t>
            </w:r>
          </w:p>
        </w:tc>
        <w:tc>
          <w:tcPr>
            <w:tcW w:w="3118" w:type="dxa"/>
            <w:tcBorders>
              <w:tl2br w:val="nil"/>
              <w:tr2bl w:val="nil"/>
            </w:tcBorders>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color w:val="000000"/>
                <w:kern w:val="0"/>
                <w:sz w:val="24"/>
              </w:rPr>
              <w:t>（四十）国务院、财政部，地方财政、价格主管部门批准设立收费或基金的文件原件及复印件（注明与原件一致，并加盖公章）。</w:t>
            </w:r>
          </w:p>
        </w:tc>
        <w:tc>
          <w:tcPr>
            <w:tcW w:w="1276" w:type="dxa"/>
            <w:tcBorders>
              <w:tl2br w:val="nil"/>
              <w:tr2bl w:val="nil"/>
            </w:tcBorders>
            <w:vAlign w:val="center"/>
          </w:tcPr>
          <w:p w:rsidR="00013EC7" w:rsidRDefault="00575CDB">
            <w:pPr>
              <w:widowControl/>
              <w:jc w:val="left"/>
              <w:textAlignment w:val="center"/>
              <w:rPr>
                <w:rFonts w:ascii="仿宋" w:eastAsia="仿宋" w:hAnsi="仿宋" w:cs="仿宋"/>
                <w:color w:val="000000"/>
                <w:sz w:val="24"/>
              </w:rPr>
            </w:pPr>
            <w:r>
              <w:rPr>
                <w:rFonts w:ascii="仿宋" w:eastAsia="仿宋" w:hAnsi="仿宋" w:cs="仿宋" w:hint="eastAsia"/>
                <w:color w:val="000000"/>
                <w:kern w:val="0"/>
                <w:sz w:val="24"/>
              </w:rPr>
              <w:t>行政单位之外的收取符合条件的政府性基金和行政事业性收费的纳税人提交</w:t>
            </w:r>
          </w:p>
        </w:tc>
        <w:tc>
          <w:tcPr>
            <w:tcW w:w="2268" w:type="dxa"/>
            <w:vMerge/>
            <w:tcBorders>
              <w:tl2br w:val="nil"/>
              <w:tr2bl w:val="nil"/>
            </w:tcBorders>
            <w:vAlign w:val="center"/>
          </w:tcPr>
          <w:p w:rsidR="00013EC7" w:rsidRDefault="00013EC7">
            <w:pPr>
              <w:widowControl/>
              <w:textAlignment w:val="center"/>
              <w:rPr>
                <w:rFonts w:ascii="仿宋" w:eastAsia="仿宋" w:hAnsi="仿宋" w:cs="仿宋"/>
                <w:b/>
                <w:color w:val="000000"/>
                <w:sz w:val="24"/>
              </w:rPr>
            </w:pPr>
          </w:p>
        </w:tc>
        <w:tc>
          <w:tcPr>
            <w:tcW w:w="567" w:type="dxa"/>
            <w:vMerge/>
            <w:tcBorders>
              <w:tl2br w:val="nil"/>
              <w:tr2bl w:val="nil"/>
            </w:tcBorders>
          </w:tcPr>
          <w:p w:rsidR="00013EC7" w:rsidRDefault="00013EC7">
            <w:pPr>
              <w:jc w:val="center"/>
              <w:rPr>
                <w:rFonts w:ascii="仿宋" w:eastAsia="仿宋" w:hAnsi="仿宋" w:cs="仿宋"/>
                <w:color w:val="000000"/>
                <w:sz w:val="24"/>
              </w:rPr>
            </w:pPr>
          </w:p>
        </w:tc>
        <w:tc>
          <w:tcPr>
            <w:tcW w:w="851" w:type="dxa"/>
            <w:vMerge/>
            <w:tcBorders>
              <w:tl2br w:val="nil"/>
              <w:tr2bl w:val="nil"/>
            </w:tcBorders>
          </w:tcPr>
          <w:p w:rsidR="00013EC7" w:rsidRDefault="00013EC7">
            <w:pPr>
              <w:jc w:val="center"/>
              <w:rPr>
                <w:rFonts w:ascii="仿宋" w:eastAsia="仿宋" w:hAnsi="仿宋" w:cs="仿宋"/>
                <w:color w:val="000000"/>
                <w:sz w:val="24"/>
              </w:rPr>
            </w:pPr>
          </w:p>
        </w:tc>
        <w:tc>
          <w:tcPr>
            <w:tcW w:w="708" w:type="dxa"/>
            <w:vMerge/>
            <w:tcBorders>
              <w:tl2br w:val="nil"/>
              <w:tr2bl w:val="nil"/>
            </w:tcBorders>
          </w:tcPr>
          <w:p w:rsidR="00013EC7" w:rsidRDefault="00013EC7">
            <w:pPr>
              <w:jc w:val="center"/>
              <w:rPr>
                <w:rFonts w:ascii="仿宋" w:eastAsia="仿宋" w:hAnsi="仿宋" w:cs="仿宋"/>
                <w:color w:val="000000"/>
                <w:sz w:val="24"/>
              </w:rPr>
            </w:pPr>
          </w:p>
        </w:tc>
        <w:tc>
          <w:tcPr>
            <w:tcW w:w="993" w:type="dxa"/>
            <w:vMerge/>
            <w:tcBorders>
              <w:tl2br w:val="nil"/>
              <w:tr2bl w:val="nil"/>
            </w:tcBorders>
          </w:tcPr>
          <w:p w:rsidR="00013EC7" w:rsidRDefault="00013EC7">
            <w:pPr>
              <w:jc w:val="center"/>
              <w:rPr>
                <w:rFonts w:ascii="仿宋" w:eastAsia="仿宋" w:hAnsi="仿宋" w:cs="仿宋"/>
                <w:color w:val="000000"/>
                <w:sz w:val="24"/>
              </w:rPr>
            </w:pPr>
          </w:p>
        </w:tc>
        <w:tc>
          <w:tcPr>
            <w:tcW w:w="978" w:type="dxa"/>
            <w:vMerge/>
            <w:tcBorders>
              <w:tl2br w:val="nil"/>
              <w:tr2bl w:val="nil"/>
            </w:tcBorders>
          </w:tcPr>
          <w:p w:rsidR="00013EC7" w:rsidRDefault="00013EC7">
            <w:pPr>
              <w:rPr>
                <w:rFonts w:ascii="仿宋" w:eastAsia="仿宋" w:hAnsi="仿宋" w:cs="仿宋"/>
                <w:color w:val="000000"/>
                <w:sz w:val="24"/>
              </w:rPr>
            </w:pPr>
          </w:p>
        </w:tc>
      </w:tr>
      <w:tr w:rsidR="00013EC7">
        <w:trPr>
          <w:trHeight w:val="1440"/>
        </w:trPr>
        <w:tc>
          <w:tcPr>
            <w:tcW w:w="639" w:type="dxa"/>
            <w:vMerge/>
            <w:tcBorders>
              <w:tl2br w:val="nil"/>
              <w:tr2bl w:val="nil"/>
            </w:tcBorders>
            <w:vAlign w:val="center"/>
          </w:tcPr>
          <w:p w:rsidR="00013EC7" w:rsidRDefault="00013EC7">
            <w:pPr>
              <w:rPr>
                <w:rFonts w:ascii="仿宋" w:eastAsia="仿宋" w:hAnsi="仿宋" w:cs="仿宋"/>
                <w:color w:val="000000"/>
                <w:sz w:val="24"/>
              </w:rPr>
            </w:pPr>
          </w:p>
        </w:tc>
        <w:tc>
          <w:tcPr>
            <w:tcW w:w="510" w:type="dxa"/>
            <w:vMerge/>
            <w:tcBorders>
              <w:tl2br w:val="nil"/>
              <w:tr2bl w:val="nil"/>
            </w:tcBorders>
            <w:vAlign w:val="center"/>
          </w:tcPr>
          <w:p w:rsidR="00013EC7" w:rsidRDefault="00013EC7">
            <w:pPr>
              <w:rPr>
                <w:rFonts w:ascii="仿宋" w:eastAsia="仿宋" w:hAnsi="仿宋" w:cs="仿宋"/>
                <w:color w:val="000000"/>
                <w:sz w:val="24"/>
              </w:rPr>
            </w:pPr>
          </w:p>
        </w:tc>
        <w:tc>
          <w:tcPr>
            <w:tcW w:w="3544" w:type="dxa"/>
            <w:vMerge/>
            <w:tcBorders>
              <w:tl2br w:val="nil"/>
              <w:tr2bl w:val="nil"/>
            </w:tcBorders>
            <w:vAlign w:val="center"/>
          </w:tcPr>
          <w:p w:rsidR="00013EC7" w:rsidRDefault="00013EC7">
            <w:pPr>
              <w:rPr>
                <w:rFonts w:ascii="仿宋" w:eastAsia="仿宋" w:hAnsi="仿宋" w:cs="仿宋"/>
                <w:color w:val="000000"/>
                <w:sz w:val="24"/>
              </w:rPr>
            </w:pPr>
          </w:p>
        </w:tc>
        <w:tc>
          <w:tcPr>
            <w:tcW w:w="3260" w:type="dxa"/>
            <w:tcBorders>
              <w:tl2br w:val="nil"/>
              <w:tr2bl w:val="nil"/>
            </w:tcBorders>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color w:val="000000"/>
                <w:kern w:val="0"/>
                <w:sz w:val="24"/>
              </w:rPr>
              <w:t>（四十四）专项国债转贷利息收入相关证明材料。</w:t>
            </w:r>
          </w:p>
        </w:tc>
        <w:tc>
          <w:tcPr>
            <w:tcW w:w="1418" w:type="dxa"/>
            <w:tcBorders>
              <w:tl2br w:val="nil"/>
              <w:tr2bl w:val="nil"/>
            </w:tcBorders>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color w:val="000000"/>
                <w:kern w:val="0"/>
                <w:sz w:val="24"/>
              </w:rPr>
              <w:t>符合国债、地方政府债利息收入免征增值税优惠条件的纳税人提交</w:t>
            </w:r>
          </w:p>
        </w:tc>
        <w:tc>
          <w:tcPr>
            <w:tcW w:w="3118" w:type="dxa"/>
            <w:tcBorders>
              <w:tl2br w:val="nil"/>
              <w:tr2bl w:val="nil"/>
            </w:tcBorders>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color w:val="000000"/>
                <w:kern w:val="0"/>
                <w:sz w:val="24"/>
              </w:rPr>
              <w:t>（四十一）专项国债转贷利息收入证明材料。</w:t>
            </w:r>
          </w:p>
        </w:tc>
        <w:tc>
          <w:tcPr>
            <w:tcW w:w="1276" w:type="dxa"/>
            <w:tcBorders>
              <w:tl2br w:val="nil"/>
              <w:tr2bl w:val="nil"/>
            </w:tcBorders>
            <w:vAlign w:val="center"/>
          </w:tcPr>
          <w:p w:rsidR="00013EC7" w:rsidRDefault="00575CDB">
            <w:pPr>
              <w:widowControl/>
              <w:jc w:val="left"/>
              <w:textAlignment w:val="center"/>
              <w:rPr>
                <w:rFonts w:ascii="仿宋" w:eastAsia="仿宋" w:hAnsi="仿宋" w:cs="仿宋"/>
                <w:color w:val="000000"/>
                <w:sz w:val="24"/>
              </w:rPr>
            </w:pPr>
            <w:r>
              <w:rPr>
                <w:rFonts w:ascii="仿宋" w:eastAsia="仿宋" w:hAnsi="仿宋" w:cs="仿宋" w:hint="eastAsia"/>
                <w:color w:val="000000"/>
                <w:kern w:val="0"/>
                <w:sz w:val="24"/>
              </w:rPr>
              <w:t>国债、地方政府债利息收入的纳税人提交</w:t>
            </w:r>
          </w:p>
        </w:tc>
        <w:tc>
          <w:tcPr>
            <w:tcW w:w="2268" w:type="dxa"/>
            <w:vMerge/>
            <w:tcBorders>
              <w:tl2br w:val="nil"/>
              <w:tr2bl w:val="nil"/>
            </w:tcBorders>
            <w:vAlign w:val="center"/>
          </w:tcPr>
          <w:p w:rsidR="00013EC7" w:rsidRDefault="00013EC7">
            <w:pPr>
              <w:rPr>
                <w:rFonts w:ascii="仿宋" w:eastAsia="仿宋" w:hAnsi="仿宋" w:cs="仿宋"/>
                <w:color w:val="000000"/>
                <w:sz w:val="24"/>
              </w:rPr>
            </w:pPr>
          </w:p>
        </w:tc>
        <w:tc>
          <w:tcPr>
            <w:tcW w:w="567" w:type="dxa"/>
            <w:vMerge/>
            <w:tcBorders>
              <w:tl2br w:val="nil"/>
              <w:tr2bl w:val="nil"/>
            </w:tcBorders>
          </w:tcPr>
          <w:p w:rsidR="00013EC7" w:rsidRDefault="00013EC7">
            <w:pPr>
              <w:jc w:val="center"/>
              <w:rPr>
                <w:rFonts w:ascii="仿宋" w:eastAsia="仿宋" w:hAnsi="仿宋" w:cs="仿宋"/>
                <w:color w:val="000000"/>
                <w:sz w:val="24"/>
              </w:rPr>
            </w:pPr>
          </w:p>
        </w:tc>
        <w:tc>
          <w:tcPr>
            <w:tcW w:w="851" w:type="dxa"/>
            <w:vMerge/>
            <w:tcBorders>
              <w:tl2br w:val="nil"/>
              <w:tr2bl w:val="nil"/>
            </w:tcBorders>
          </w:tcPr>
          <w:p w:rsidR="00013EC7" w:rsidRDefault="00013EC7">
            <w:pPr>
              <w:jc w:val="center"/>
              <w:rPr>
                <w:rFonts w:ascii="仿宋" w:eastAsia="仿宋" w:hAnsi="仿宋" w:cs="仿宋"/>
                <w:color w:val="000000"/>
                <w:sz w:val="24"/>
              </w:rPr>
            </w:pPr>
          </w:p>
        </w:tc>
        <w:tc>
          <w:tcPr>
            <w:tcW w:w="708" w:type="dxa"/>
            <w:vMerge/>
            <w:tcBorders>
              <w:tl2br w:val="nil"/>
              <w:tr2bl w:val="nil"/>
            </w:tcBorders>
          </w:tcPr>
          <w:p w:rsidR="00013EC7" w:rsidRDefault="00013EC7">
            <w:pPr>
              <w:jc w:val="center"/>
              <w:rPr>
                <w:rFonts w:ascii="仿宋" w:eastAsia="仿宋" w:hAnsi="仿宋" w:cs="仿宋"/>
                <w:color w:val="000000"/>
                <w:sz w:val="24"/>
              </w:rPr>
            </w:pPr>
          </w:p>
        </w:tc>
        <w:tc>
          <w:tcPr>
            <w:tcW w:w="993" w:type="dxa"/>
            <w:vMerge/>
            <w:tcBorders>
              <w:tl2br w:val="nil"/>
              <w:tr2bl w:val="nil"/>
            </w:tcBorders>
          </w:tcPr>
          <w:p w:rsidR="00013EC7" w:rsidRDefault="00013EC7">
            <w:pPr>
              <w:jc w:val="center"/>
              <w:rPr>
                <w:rFonts w:ascii="仿宋" w:eastAsia="仿宋" w:hAnsi="仿宋" w:cs="仿宋"/>
                <w:color w:val="000000"/>
                <w:sz w:val="24"/>
              </w:rPr>
            </w:pPr>
          </w:p>
        </w:tc>
        <w:tc>
          <w:tcPr>
            <w:tcW w:w="978" w:type="dxa"/>
            <w:vMerge/>
            <w:tcBorders>
              <w:tl2br w:val="nil"/>
              <w:tr2bl w:val="nil"/>
            </w:tcBorders>
            <w:vAlign w:val="center"/>
          </w:tcPr>
          <w:p w:rsidR="00013EC7" w:rsidRDefault="00013EC7">
            <w:pPr>
              <w:rPr>
                <w:rFonts w:ascii="仿宋" w:eastAsia="仿宋" w:hAnsi="仿宋" w:cs="仿宋"/>
                <w:color w:val="000000"/>
                <w:sz w:val="24"/>
              </w:rPr>
            </w:pPr>
          </w:p>
        </w:tc>
      </w:tr>
      <w:tr w:rsidR="00013EC7">
        <w:trPr>
          <w:trHeight w:val="2865"/>
        </w:trPr>
        <w:tc>
          <w:tcPr>
            <w:tcW w:w="639" w:type="dxa"/>
            <w:vMerge/>
            <w:tcBorders>
              <w:tl2br w:val="nil"/>
              <w:tr2bl w:val="nil"/>
            </w:tcBorders>
            <w:vAlign w:val="center"/>
          </w:tcPr>
          <w:p w:rsidR="00013EC7" w:rsidRDefault="00013EC7">
            <w:pPr>
              <w:rPr>
                <w:rFonts w:ascii="仿宋" w:eastAsia="仿宋" w:hAnsi="仿宋" w:cs="仿宋"/>
                <w:color w:val="000000"/>
                <w:sz w:val="24"/>
              </w:rPr>
            </w:pPr>
          </w:p>
        </w:tc>
        <w:tc>
          <w:tcPr>
            <w:tcW w:w="510" w:type="dxa"/>
            <w:vMerge/>
            <w:tcBorders>
              <w:tl2br w:val="nil"/>
              <w:tr2bl w:val="nil"/>
            </w:tcBorders>
            <w:vAlign w:val="center"/>
          </w:tcPr>
          <w:p w:rsidR="00013EC7" w:rsidRDefault="00013EC7">
            <w:pPr>
              <w:rPr>
                <w:rFonts w:ascii="仿宋" w:eastAsia="仿宋" w:hAnsi="仿宋" w:cs="仿宋"/>
                <w:color w:val="000000"/>
                <w:sz w:val="24"/>
              </w:rPr>
            </w:pPr>
          </w:p>
        </w:tc>
        <w:tc>
          <w:tcPr>
            <w:tcW w:w="3544" w:type="dxa"/>
            <w:vMerge/>
            <w:tcBorders>
              <w:tl2br w:val="nil"/>
              <w:tr2bl w:val="nil"/>
            </w:tcBorders>
            <w:vAlign w:val="center"/>
          </w:tcPr>
          <w:p w:rsidR="00013EC7" w:rsidRDefault="00013EC7">
            <w:pPr>
              <w:rPr>
                <w:rFonts w:ascii="仿宋" w:eastAsia="仿宋" w:hAnsi="仿宋" w:cs="仿宋"/>
                <w:color w:val="000000"/>
                <w:sz w:val="24"/>
              </w:rPr>
            </w:pPr>
          </w:p>
        </w:tc>
        <w:tc>
          <w:tcPr>
            <w:tcW w:w="3260" w:type="dxa"/>
            <w:tcBorders>
              <w:tl2br w:val="nil"/>
              <w:tr2bl w:val="nil"/>
            </w:tcBorders>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color w:val="000000"/>
                <w:kern w:val="0"/>
                <w:sz w:val="24"/>
              </w:rPr>
              <w:t>（四十五）与指定的委托银行签订的委托贷款协议原件及复印件（加盖公章）。</w:t>
            </w:r>
          </w:p>
        </w:tc>
        <w:tc>
          <w:tcPr>
            <w:tcW w:w="1418" w:type="dxa"/>
            <w:tcBorders>
              <w:tl2br w:val="nil"/>
              <w:tr2bl w:val="nil"/>
            </w:tcBorders>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color w:val="000000"/>
                <w:kern w:val="0"/>
                <w:sz w:val="24"/>
              </w:rPr>
              <w:t>符合住房公积金管理中心用住房公积金在指定的委托银行发放的个人住房贷款取得的利息收入免征增值税优惠条件的纳税人提交</w:t>
            </w:r>
          </w:p>
        </w:tc>
        <w:tc>
          <w:tcPr>
            <w:tcW w:w="3118" w:type="dxa"/>
            <w:tcBorders>
              <w:tl2br w:val="nil"/>
              <w:tr2bl w:val="nil"/>
            </w:tcBorders>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color w:val="000000"/>
                <w:kern w:val="0"/>
                <w:sz w:val="24"/>
              </w:rPr>
              <w:t>（四十二）与指定的委托银行签订的委托贷款协议原件及复印件（注明与原件一致，并加盖公章）。</w:t>
            </w:r>
          </w:p>
        </w:tc>
        <w:tc>
          <w:tcPr>
            <w:tcW w:w="1276" w:type="dxa"/>
            <w:tcBorders>
              <w:tl2br w:val="nil"/>
              <w:tr2bl w:val="nil"/>
            </w:tcBorders>
            <w:vAlign w:val="center"/>
          </w:tcPr>
          <w:p w:rsidR="00013EC7" w:rsidRDefault="00575CDB">
            <w:pPr>
              <w:widowControl/>
              <w:jc w:val="left"/>
              <w:textAlignment w:val="center"/>
              <w:rPr>
                <w:rFonts w:ascii="仿宋" w:eastAsia="仿宋" w:hAnsi="仿宋" w:cs="仿宋"/>
                <w:color w:val="000000"/>
                <w:sz w:val="24"/>
              </w:rPr>
            </w:pPr>
            <w:r>
              <w:rPr>
                <w:rFonts w:ascii="仿宋" w:eastAsia="仿宋" w:hAnsi="仿宋" w:cs="仿宋" w:hint="eastAsia"/>
                <w:color w:val="000000"/>
                <w:kern w:val="0"/>
                <w:sz w:val="24"/>
              </w:rPr>
              <w:t>住房公积金管理中心提交</w:t>
            </w:r>
          </w:p>
        </w:tc>
        <w:tc>
          <w:tcPr>
            <w:tcW w:w="2268" w:type="dxa"/>
            <w:vMerge/>
            <w:tcBorders>
              <w:tl2br w:val="nil"/>
              <w:tr2bl w:val="nil"/>
            </w:tcBorders>
            <w:vAlign w:val="center"/>
          </w:tcPr>
          <w:p w:rsidR="00013EC7" w:rsidRDefault="00013EC7">
            <w:pPr>
              <w:rPr>
                <w:rFonts w:ascii="仿宋" w:eastAsia="仿宋" w:hAnsi="仿宋" w:cs="仿宋"/>
                <w:color w:val="000000"/>
                <w:sz w:val="24"/>
              </w:rPr>
            </w:pPr>
          </w:p>
        </w:tc>
        <w:tc>
          <w:tcPr>
            <w:tcW w:w="567" w:type="dxa"/>
            <w:vMerge/>
            <w:tcBorders>
              <w:tl2br w:val="nil"/>
              <w:tr2bl w:val="nil"/>
            </w:tcBorders>
          </w:tcPr>
          <w:p w:rsidR="00013EC7" w:rsidRDefault="00013EC7">
            <w:pPr>
              <w:jc w:val="center"/>
              <w:rPr>
                <w:rFonts w:ascii="仿宋" w:eastAsia="仿宋" w:hAnsi="仿宋" w:cs="仿宋"/>
                <w:color w:val="000000"/>
                <w:sz w:val="24"/>
              </w:rPr>
            </w:pPr>
          </w:p>
        </w:tc>
        <w:tc>
          <w:tcPr>
            <w:tcW w:w="851" w:type="dxa"/>
            <w:vMerge/>
            <w:tcBorders>
              <w:tl2br w:val="nil"/>
              <w:tr2bl w:val="nil"/>
            </w:tcBorders>
          </w:tcPr>
          <w:p w:rsidR="00013EC7" w:rsidRDefault="00013EC7">
            <w:pPr>
              <w:jc w:val="center"/>
              <w:rPr>
                <w:rFonts w:ascii="仿宋" w:eastAsia="仿宋" w:hAnsi="仿宋" w:cs="仿宋"/>
                <w:color w:val="000000"/>
                <w:sz w:val="24"/>
              </w:rPr>
            </w:pPr>
          </w:p>
        </w:tc>
        <w:tc>
          <w:tcPr>
            <w:tcW w:w="708" w:type="dxa"/>
            <w:vMerge/>
            <w:tcBorders>
              <w:tl2br w:val="nil"/>
              <w:tr2bl w:val="nil"/>
            </w:tcBorders>
          </w:tcPr>
          <w:p w:rsidR="00013EC7" w:rsidRDefault="00013EC7">
            <w:pPr>
              <w:jc w:val="center"/>
              <w:rPr>
                <w:rFonts w:ascii="仿宋" w:eastAsia="仿宋" w:hAnsi="仿宋" w:cs="仿宋"/>
                <w:color w:val="000000"/>
                <w:sz w:val="24"/>
              </w:rPr>
            </w:pPr>
          </w:p>
        </w:tc>
        <w:tc>
          <w:tcPr>
            <w:tcW w:w="993" w:type="dxa"/>
            <w:vMerge/>
            <w:tcBorders>
              <w:tl2br w:val="nil"/>
              <w:tr2bl w:val="nil"/>
            </w:tcBorders>
          </w:tcPr>
          <w:p w:rsidR="00013EC7" w:rsidRDefault="00013EC7">
            <w:pPr>
              <w:jc w:val="center"/>
              <w:rPr>
                <w:rFonts w:ascii="仿宋" w:eastAsia="仿宋" w:hAnsi="仿宋" w:cs="仿宋"/>
                <w:color w:val="000000"/>
                <w:sz w:val="24"/>
              </w:rPr>
            </w:pPr>
          </w:p>
        </w:tc>
        <w:tc>
          <w:tcPr>
            <w:tcW w:w="978" w:type="dxa"/>
            <w:vMerge/>
            <w:tcBorders>
              <w:tl2br w:val="nil"/>
              <w:tr2bl w:val="nil"/>
            </w:tcBorders>
            <w:vAlign w:val="center"/>
          </w:tcPr>
          <w:p w:rsidR="00013EC7" w:rsidRDefault="00013EC7">
            <w:pPr>
              <w:rPr>
                <w:rFonts w:ascii="仿宋" w:eastAsia="仿宋" w:hAnsi="仿宋" w:cs="仿宋"/>
                <w:color w:val="000000"/>
                <w:sz w:val="24"/>
              </w:rPr>
            </w:pPr>
          </w:p>
        </w:tc>
      </w:tr>
      <w:tr w:rsidR="00013EC7">
        <w:trPr>
          <w:trHeight w:val="2580"/>
        </w:trPr>
        <w:tc>
          <w:tcPr>
            <w:tcW w:w="639" w:type="dxa"/>
            <w:vMerge/>
            <w:tcBorders>
              <w:tl2br w:val="nil"/>
              <w:tr2bl w:val="nil"/>
            </w:tcBorders>
            <w:vAlign w:val="center"/>
          </w:tcPr>
          <w:p w:rsidR="00013EC7" w:rsidRDefault="00013EC7">
            <w:pPr>
              <w:rPr>
                <w:rFonts w:ascii="仿宋" w:eastAsia="仿宋" w:hAnsi="仿宋" w:cs="仿宋"/>
                <w:color w:val="000000"/>
                <w:sz w:val="24"/>
              </w:rPr>
            </w:pPr>
          </w:p>
        </w:tc>
        <w:tc>
          <w:tcPr>
            <w:tcW w:w="510" w:type="dxa"/>
            <w:vMerge/>
            <w:tcBorders>
              <w:tl2br w:val="nil"/>
              <w:tr2bl w:val="nil"/>
            </w:tcBorders>
            <w:vAlign w:val="center"/>
          </w:tcPr>
          <w:p w:rsidR="00013EC7" w:rsidRDefault="00013EC7">
            <w:pPr>
              <w:rPr>
                <w:rFonts w:ascii="仿宋" w:eastAsia="仿宋" w:hAnsi="仿宋" w:cs="仿宋"/>
                <w:color w:val="000000"/>
                <w:sz w:val="24"/>
              </w:rPr>
            </w:pPr>
          </w:p>
        </w:tc>
        <w:tc>
          <w:tcPr>
            <w:tcW w:w="3544" w:type="dxa"/>
            <w:vMerge/>
            <w:tcBorders>
              <w:tl2br w:val="nil"/>
              <w:tr2bl w:val="nil"/>
            </w:tcBorders>
            <w:vAlign w:val="center"/>
          </w:tcPr>
          <w:p w:rsidR="00013EC7" w:rsidRDefault="00013EC7">
            <w:pPr>
              <w:rPr>
                <w:rFonts w:ascii="仿宋" w:eastAsia="仿宋" w:hAnsi="仿宋" w:cs="仿宋"/>
                <w:color w:val="000000"/>
                <w:sz w:val="24"/>
              </w:rPr>
            </w:pPr>
          </w:p>
        </w:tc>
        <w:tc>
          <w:tcPr>
            <w:tcW w:w="3260" w:type="dxa"/>
            <w:tcBorders>
              <w:tl2br w:val="nil"/>
              <w:tr2bl w:val="nil"/>
            </w:tcBorders>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color w:val="000000"/>
                <w:kern w:val="0"/>
                <w:sz w:val="24"/>
              </w:rPr>
              <w:t>（四十六）委托金融机构发放的外汇贷款合同协议原件及复印件（加盖公章）。</w:t>
            </w:r>
          </w:p>
        </w:tc>
        <w:tc>
          <w:tcPr>
            <w:tcW w:w="1418" w:type="dxa"/>
            <w:tcBorders>
              <w:tl2br w:val="nil"/>
              <w:tr2bl w:val="nil"/>
            </w:tcBorders>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color w:val="000000"/>
                <w:kern w:val="0"/>
                <w:sz w:val="24"/>
              </w:rPr>
              <w:t>外汇管理部门在从事国家外汇储备经营过程中,委托金融机构发放的外汇贷款取得的利息收入免征增值税优惠纳税人提交</w:t>
            </w:r>
          </w:p>
        </w:tc>
        <w:tc>
          <w:tcPr>
            <w:tcW w:w="3118" w:type="dxa"/>
            <w:tcBorders>
              <w:tl2br w:val="nil"/>
              <w:tr2bl w:val="nil"/>
            </w:tcBorders>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color w:val="000000"/>
                <w:kern w:val="0"/>
                <w:sz w:val="24"/>
              </w:rPr>
              <w:t>（四十三）委托金融机构发放的外汇贷款合同协议原件及复印件（注明与原件一致，并加盖公章）。</w:t>
            </w:r>
          </w:p>
        </w:tc>
        <w:tc>
          <w:tcPr>
            <w:tcW w:w="1276" w:type="dxa"/>
            <w:tcBorders>
              <w:tl2br w:val="nil"/>
              <w:tr2bl w:val="nil"/>
            </w:tcBorders>
            <w:vAlign w:val="center"/>
          </w:tcPr>
          <w:p w:rsidR="00013EC7" w:rsidRDefault="00575CDB">
            <w:pPr>
              <w:widowControl/>
              <w:jc w:val="left"/>
              <w:textAlignment w:val="center"/>
              <w:rPr>
                <w:rFonts w:ascii="仿宋" w:eastAsia="仿宋" w:hAnsi="仿宋" w:cs="仿宋"/>
                <w:color w:val="000000"/>
                <w:sz w:val="24"/>
              </w:rPr>
            </w:pPr>
            <w:r>
              <w:rPr>
                <w:rFonts w:ascii="仿宋" w:eastAsia="仿宋" w:hAnsi="仿宋" w:cs="仿宋" w:hint="eastAsia"/>
                <w:color w:val="000000"/>
                <w:kern w:val="0"/>
                <w:sz w:val="24"/>
              </w:rPr>
              <w:t>外汇管理部门提交</w:t>
            </w:r>
          </w:p>
        </w:tc>
        <w:tc>
          <w:tcPr>
            <w:tcW w:w="2268" w:type="dxa"/>
            <w:vMerge/>
            <w:tcBorders>
              <w:tl2br w:val="nil"/>
              <w:tr2bl w:val="nil"/>
            </w:tcBorders>
            <w:vAlign w:val="center"/>
          </w:tcPr>
          <w:p w:rsidR="00013EC7" w:rsidRDefault="00013EC7">
            <w:pPr>
              <w:rPr>
                <w:rFonts w:ascii="仿宋" w:eastAsia="仿宋" w:hAnsi="仿宋" w:cs="仿宋"/>
                <w:color w:val="000000"/>
                <w:sz w:val="24"/>
              </w:rPr>
            </w:pPr>
          </w:p>
        </w:tc>
        <w:tc>
          <w:tcPr>
            <w:tcW w:w="567" w:type="dxa"/>
            <w:vMerge/>
            <w:tcBorders>
              <w:tl2br w:val="nil"/>
              <w:tr2bl w:val="nil"/>
            </w:tcBorders>
          </w:tcPr>
          <w:p w:rsidR="00013EC7" w:rsidRDefault="00013EC7">
            <w:pPr>
              <w:jc w:val="center"/>
              <w:rPr>
                <w:rFonts w:ascii="仿宋" w:eastAsia="仿宋" w:hAnsi="仿宋" w:cs="仿宋"/>
                <w:color w:val="000000"/>
                <w:sz w:val="24"/>
              </w:rPr>
            </w:pPr>
          </w:p>
        </w:tc>
        <w:tc>
          <w:tcPr>
            <w:tcW w:w="851" w:type="dxa"/>
            <w:vMerge/>
            <w:tcBorders>
              <w:tl2br w:val="nil"/>
              <w:tr2bl w:val="nil"/>
            </w:tcBorders>
          </w:tcPr>
          <w:p w:rsidR="00013EC7" w:rsidRDefault="00013EC7">
            <w:pPr>
              <w:jc w:val="center"/>
              <w:rPr>
                <w:rFonts w:ascii="仿宋" w:eastAsia="仿宋" w:hAnsi="仿宋" w:cs="仿宋"/>
                <w:color w:val="000000"/>
                <w:sz w:val="24"/>
              </w:rPr>
            </w:pPr>
          </w:p>
        </w:tc>
        <w:tc>
          <w:tcPr>
            <w:tcW w:w="708" w:type="dxa"/>
            <w:vMerge/>
            <w:tcBorders>
              <w:tl2br w:val="nil"/>
              <w:tr2bl w:val="nil"/>
            </w:tcBorders>
          </w:tcPr>
          <w:p w:rsidR="00013EC7" w:rsidRDefault="00013EC7">
            <w:pPr>
              <w:jc w:val="center"/>
              <w:rPr>
                <w:rFonts w:ascii="仿宋" w:eastAsia="仿宋" w:hAnsi="仿宋" w:cs="仿宋"/>
                <w:color w:val="000000"/>
                <w:sz w:val="24"/>
              </w:rPr>
            </w:pPr>
          </w:p>
        </w:tc>
        <w:tc>
          <w:tcPr>
            <w:tcW w:w="993" w:type="dxa"/>
            <w:vMerge/>
            <w:tcBorders>
              <w:tl2br w:val="nil"/>
              <w:tr2bl w:val="nil"/>
            </w:tcBorders>
          </w:tcPr>
          <w:p w:rsidR="00013EC7" w:rsidRDefault="00013EC7">
            <w:pPr>
              <w:jc w:val="center"/>
              <w:rPr>
                <w:rFonts w:ascii="仿宋" w:eastAsia="仿宋" w:hAnsi="仿宋" w:cs="仿宋"/>
                <w:color w:val="000000"/>
                <w:sz w:val="24"/>
              </w:rPr>
            </w:pPr>
          </w:p>
        </w:tc>
        <w:tc>
          <w:tcPr>
            <w:tcW w:w="978" w:type="dxa"/>
            <w:vMerge/>
            <w:tcBorders>
              <w:tl2br w:val="nil"/>
              <w:tr2bl w:val="nil"/>
            </w:tcBorders>
            <w:vAlign w:val="center"/>
          </w:tcPr>
          <w:p w:rsidR="00013EC7" w:rsidRDefault="00013EC7">
            <w:pPr>
              <w:rPr>
                <w:rFonts w:ascii="仿宋" w:eastAsia="仿宋" w:hAnsi="仿宋" w:cs="仿宋"/>
                <w:color w:val="000000"/>
                <w:sz w:val="24"/>
              </w:rPr>
            </w:pPr>
          </w:p>
        </w:tc>
      </w:tr>
      <w:tr w:rsidR="00013EC7">
        <w:trPr>
          <w:trHeight w:val="2295"/>
        </w:trPr>
        <w:tc>
          <w:tcPr>
            <w:tcW w:w="639" w:type="dxa"/>
            <w:vMerge/>
            <w:tcBorders>
              <w:tl2br w:val="nil"/>
              <w:tr2bl w:val="nil"/>
            </w:tcBorders>
            <w:vAlign w:val="center"/>
          </w:tcPr>
          <w:p w:rsidR="00013EC7" w:rsidRDefault="00013EC7">
            <w:pPr>
              <w:rPr>
                <w:rFonts w:ascii="仿宋" w:eastAsia="仿宋" w:hAnsi="仿宋" w:cs="仿宋"/>
                <w:color w:val="000000"/>
                <w:sz w:val="24"/>
              </w:rPr>
            </w:pPr>
          </w:p>
        </w:tc>
        <w:tc>
          <w:tcPr>
            <w:tcW w:w="510" w:type="dxa"/>
            <w:vMerge/>
            <w:tcBorders>
              <w:tl2br w:val="nil"/>
              <w:tr2bl w:val="nil"/>
            </w:tcBorders>
            <w:vAlign w:val="center"/>
          </w:tcPr>
          <w:p w:rsidR="00013EC7" w:rsidRDefault="00013EC7">
            <w:pPr>
              <w:rPr>
                <w:rFonts w:ascii="仿宋" w:eastAsia="仿宋" w:hAnsi="仿宋" w:cs="仿宋"/>
                <w:color w:val="000000"/>
                <w:sz w:val="24"/>
              </w:rPr>
            </w:pPr>
          </w:p>
        </w:tc>
        <w:tc>
          <w:tcPr>
            <w:tcW w:w="3544" w:type="dxa"/>
            <w:vMerge/>
            <w:tcBorders>
              <w:tl2br w:val="nil"/>
              <w:tr2bl w:val="nil"/>
            </w:tcBorders>
            <w:vAlign w:val="center"/>
          </w:tcPr>
          <w:p w:rsidR="00013EC7" w:rsidRDefault="00013EC7">
            <w:pPr>
              <w:rPr>
                <w:rFonts w:ascii="仿宋" w:eastAsia="仿宋" w:hAnsi="仿宋" w:cs="仿宋"/>
                <w:color w:val="000000"/>
                <w:sz w:val="24"/>
              </w:rPr>
            </w:pPr>
          </w:p>
        </w:tc>
        <w:tc>
          <w:tcPr>
            <w:tcW w:w="3260" w:type="dxa"/>
            <w:tcBorders>
              <w:tl2br w:val="nil"/>
              <w:tr2bl w:val="nil"/>
            </w:tcBorders>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color w:val="000000"/>
                <w:kern w:val="0"/>
                <w:sz w:val="24"/>
              </w:rPr>
              <w:t>（四十七）《公司章程》原件及复印件（加盖公章）。</w:t>
            </w:r>
          </w:p>
        </w:tc>
        <w:tc>
          <w:tcPr>
            <w:tcW w:w="1418" w:type="dxa"/>
            <w:tcBorders>
              <w:tl2br w:val="nil"/>
              <w:tr2bl w:val="nil"/>
            </w:tcBorders>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color w:val="000000"/>
                <w:kern w:val="0"/>
                <w:sz w:val="24"/>
              </w:rPr>
              <w:t>符合条件的担保机构从事中小企业信用担保或者再担保业务取得的收入免征增值税优惠条件的纳税人提交</w:t>
            </w:r>
          </w:p>
        </w:tc>
        <w:tc>
          <w:tcPr>
            <w:tcW w:w="3118" w:type="dxa"/>
            <w:tcBorders>
              <w:tl2br w:val="nil"/>
              <w:tr2bl w:val="nil"/>
            </w:tcBorders>
            <w:vAlign w:val="center"/>
          </w:tcPr>
          <w:p w:rsidR="00013EC7" w:rsidRDefault="00575CDB">
            <w:pPr>
              <w:rPr>
                <w:rFonts w:ascii="仿宋" w:eastAsia="仿宋" w:hAnsi="仿宋" w:cs="仿宋"/>
                <w:color w:val="000000"/>
                <w:kern w:val="0"/>
                <w:sz w:val="24"/>
              </w:rPr>
            </w:pPr>
            <w:r>
              <w:rPr>
                <w:rFonts w:ascii="仿宋" w:eastAsia="仿宋" w:hAnsi="仿宋" w:cs="仿宋" w:hint="eastAsia"/>
                <w:color w:val="000000"/>
                <w:kern w:val="0"/>
                <w:sz w:val="24"/>
              </w:rPr>
              <w:t>（四十四）《公司章程》原件及复印件（注明与原件一致，并加盖公章）。</w:t>
            </w:r>
          </w:p>
        </w:tc>
        <w:tc>
          <w:tcPr>
            <w:tcW w:w="1276" w:type="dxa"/>
            <w:tcBorders>
              <w:tl2br w:val="nil"/>
              <w:tr2bl w:val="nil"/>
            </w:tcBorders>
            <w:vAlign w:val="center"/>
          </w:tcPr>
          <w:p w:rsidR="00013EC7" w:rsidRDefault="00575CDB">
            <w:pPr>
              <w:widowControl/>
              <w:jc w:val="left"/>
              <w:textAlignment w:val="center"/>
              <w:rPr>
                <w:rFonts w:ascii="仿宋" w:eastAsia="仿宋" w:hAnsi="仿宋" w:cs="仿宋"/>
                <w:color w:val="000000"/>
                <w:sz w:val="24"/>
              </w:rPr>
            </w:pPr>
            <w:r>
              <w:rPr>
                <w:rFonts w:ascii="仿宋" w:eastAsia="仿宋" w:hAnsi="仿宋" w:cs="仿宋" w:hint="eastAsia"/>
                <w:color w:val="000000"/>
                <w:kern w:val="0"/>
                <w:sz w:val="24"/>
              </w:rPr>
              <w:t>担保机构留存备查</w:t>
            </w:r>
          </w:p>
        </w:tc>
        <w:tc>
          <w:tcPr>
            <w:tcW w:w="2268" w:type="dxa"/>
            <w:vMerge/>
            <w:tcBorders>
              <w:tl2br w:val="nil"/>
              <w:tr2bl w:val="nil"/>
            </w:tcBorders>
            <w:vAlign w:val="center"/>
          </w:tcPr>
          <w:p w:rsidR="00013EC7" w:rsidRDefault="00013EC7">
            <w:pPr>
              <w:rPr>
                <w:rFonts w:ascii="仿宋" w:eastAsia="仿宋" w:hAnsi="仿宋" w:cs="仿宋"/>
                <w:color w:val="000000"/>
                <w:sz w:val="24"/>
              </w:rPr>
            </w:pPr>
          </w:p>
        </w:tc>
        <w:tc>
          <w:tcPr>
            <w:tcW w:w="567" w:type="dxa"/>
            <w:vMerge/>
            <w:tcBorders>
              <w:tl2br w:val="nil"/>
              <w:tr2bl w:val="nil"/>
            </w:tcBorders>
          </w:tcPr>
          <w:p w:rsidR="00013EC7" w:rsidRDefault="00013EC7">
            <w:pPr>
              <w:jc w:val="center"/>
              <w:rPr>
                <w:rFonts w:ascii="仿宋" w:eastAsia="仿宋" w:hAnsi="仿宋" w:cs="仿宋"/>
                <w:color w:val="000000"/>
                <w:sz w:val="24"/>
              </w:rPr>
            </w:pPr>
          </w:p>
        </w:tc>
        <w:tc>
          <w:tcPr>
            <w:tcW w:w="851" w:type="dxa"/>
            <w:vMerge/>
            <w:tcBorders>
              <w:tl2br w:val="nil"/>
              <w:tr2bl w:val="nil"/>
            </w:tcBorders>
          </w:tcPr>
          <w:p w:rsidR="00013EC7" w:rsidRDefault="00013EC7">
            <w:pPr>
              <w:jc w:val="center"/>
              <w:rPr>
                <w:rFonts w:ascii="仿宋" w:eastAsia="仿宋" w:hAnsi="仿宋" w:cs="仿宋"/>
                <w:color w:val="000000"/>
                <w:sz w:val="24"/>
              </w:rPr>
            </w:pPr>
          </w:p>
        </w:tc>
        <w:tc>
          <w:tcPr>
            <w:tcW w:w="708" w:type="dxa"/>
            <w:vMerge/>
            <w:tcBorders>
              <w:tl2br w:val="nil"/>
              <w:tr2bl w:val="nil"/>
            </w:tcBorders>
          </w:tcPr>
          <w:p w:rsidR="00013EC7" w:rsidRDefault="00013EC7">
            <w:pPr>
              <w:jc w:val="center"/>
              <w:rPr>
                <w:rFonts w:ascii="仿宋" w:eastAsia="仿宋" w:hAnsi="仿宋" w:cs="仿宋"/>
                <w:color w:val="000000"/>
                <w:sz w:val="24"/>
              </w:rPr>
            </w:pPr>
          </w:p>
        </w:tc>
        <w:tc>
          <w:tcPr>
            <w:tcW w:w="993" w:type="dxa"/>
            <w:vMerge/>
            <w:tcBorders>
              <w:tl2br w:val="nil"/>
              <w:tr2bl w:val="nil"/>
            </w:tcBorders>
          </w:tcPr>
          <w:p w:rsidR="00013EC7" w:rsidRDefault="00013EC7">
            <w:pPr>
              <w:jc w:val="center"/>
              <w:rPr>
                <w:rFonts w:ascii="仿宋" w:eastAsia="仿宋" w:hAnsi="仿宋" w:cs="仿宋"/>
                <w:color w:val="000000"/>
                <w:sz w:val="24"/>
              </w:rPr>
            </w:pPr>
          </w:p>
        </w:tc>
        <w:tc>
          <w:tcPr>
            <w:tcW w:w="978" w:type="dxa"/>
            <w:vMerge/>
            <w:tcBorders>
              <w:tl2br w:val="nil"/>
              <w:tr2bl w:val="nil"/>
            </w:tcBorders>
            <w:vAlign w:val="center"/>
          </w:tcPr>
          <w:p w:rsidR="00013EC7" w:rsidRDefault="00013EC7">
            <w:pPr>
              <w:rPr>
                <w:rFonts w:ascii="仿宋" w:eastAsia="仿宋" w:hAnsi="仿宋" w:cs="仿宋"/>
                <w:color w:val="000000"/>
                <w:sz w:val="24"/>
              </w:rPr>
            </w:pPr>
          </w:p>
        </w:tc>
      </w:tr>
      <w:tr w:rsidR="00013EC7">
        <w:trPr>
          <w:trHeight w:val="2295"/>
        </w:trPr>
        <w:tc>
          <w:tcPr>
            <w:tcW w:w="639" w:type="dxa"/>
            <w:vMerge/>
            <w:tcBorders>
              <w:tl2br w:val="nil"/>
              <w:tr2bl w:val="nil"/>
            </w:tcBorders>
            <w:vAlign w:val="center"/>
          </w:tcPr>
          <w:p w:rsidR="00013EC7" w:rsidRDefault="00013EC7">
            <w:pPr>
              <w:rPr>
                <w:rFonts w:ascii="仿宋" w:eastAsia="仿宋" w:hAnsi="仿宋" w:cs="仿宋"/>
                <w:color w:val="000000"/>
                <w:sz w:val="24"/>
              </w:rPr>
            </w:pPr>
          </w:p>
        </w:tc>
        <w:tc>
          <w:tcPr>
            <w:tcW w:w="510" w:type="dxa"/>
            <w:vMerge/>
            <w:tcBorders>
              <w:tl2br w:val="nil"/>
              <w:tr2bl w:val="nil"/>
            </w:tcBorders>
            <w:vAlign w:val="center"/>
          </w:tcPr>
          <w:p w:rsidR="00013EC7" w:rsidRDefault="00013EC7">
            <w:pPr>
              <w:rPr>
                <w:rFonts w:ascii="仿宋" w:eastAsia="仿宋" w:hAnsi="仿宋" w:cs="仿宋"/>
                <w:color w:val="000000"/>
                <w:sz w:val="24"/>
              </w:rPr>
            </w:pPr>
          </w:p>
        </w:tc>
        <w:tc>
          <w:tcPr>
            <w:tcW w:w="3544" w:type="dxa"/>
            <w:vMerge/>
            <w:tcBorders>
              <w:tl2br w:val="nil"/>
              <w:tr2bl w:val="nil"/>
            </w:tcBorders>
            <w:vAlign w:val="center"/>
          </w:tcPr>
          <w:p w:rsidR="00013EC7" w:rsidRDefault="00013EC7">
            <w:pPr>
              <w:rPr>
                <w:rFonts w:ascii="仿宋" w:eastAsia="仿宋" w:hAnsi="仿宋" w:cs="仿宋"/>
                <w:color w:val="000000"/>
                <w:sz w:val="24"/>
              </w:rPr>
            </w:pPr>
          </w:p>
        </w:tc>
        <w:tc>
          <w:tcPr>
            <w:tcW w:w="3260" w:type="dxa"/>
            <w:tcBorders>
              <w:tl2br w:val="nil"/>
              <w:tr2bl w:val="nil"/>
            </w:tcBorders>
            <w:vAlign w:val="center"/>
          </w:tcPr>
          <w:p w:rsidR="00013EC7" w:rsidRDefault="00575CDB">
            <w:pPr>
              <w:widowControl/>
              <w:textAlignment w:val="center"/>
              <w:rPr>
                <w:rFonts w:ascii="仿宋" w:eastAsia="仿宋" w:hAnsi="仿宋" w:cs="仿宋"/>
                <w:color w:val="000000"/>
                <w:sz w:val="24"/>
              </w:rPr>
            </w:pPr>
            <w:r>
              <w:rPr>
                <w:rFonts w:ascii="仿宋" w:eastAsia="仿宋" w:hAnsi="仿宋" w:cs="仿宋" w:hint="eastAsia"/>
                <w:color w:val="000000"/>
                <w:kern w:val="0"/>
                <w:sz w:val="24"/>
                <w:highlight w:val="lightGray"/>
              </w:rPr>
              <w:t>（四十八）《统一社会信息代码证》原件及复印件（加盖公章）</w:t>
            </w:r>
            <w:r>
              <w:rPr>
                <w:rFonts w:ascii="仿宋" w:eastAsia="仿宋" w:hAnsi="仿宋" w:cs="仿宋" w:hint="eastAsia"/>
                <w:color w:val="000000"/>
                <w:kern w:val="0"/>
                <w:sz w:val="24"/>
              </w:rPr>
              <w:t>。</w:t>
            </w:r>
          </w:p>
        </w:tc>
        <w:tc>
          <w:tcPr>
            <w:tcW w:w="1418" w:type="dxa"/>
            <w:tcBorders>
              <w:tl2br w:val="nil"/>
              <w:tr2bl w:val="nil"/>
            </w:tcBorders>
            <w:vAlign w:val="center"/>
          </w:tcPr>
          <w:p w:rsidR="00013EC7" w:rsidRDefault="00575CDB">
            <w:pPr>
              <w:widowControl/>
              <w:textAlignment w:val="center"/>
              <w:rPr>
                <w:rFonts w:ascii="仿宋" w:eastAsia="仿宋" w:hAnsi="仿宋" w:cs="仿宋"/>
                <w:color w:val="000000"/>
                <w:sz w:val="24"/>
              </w:rPr>
            </w:pPr>
            <w:r>
              <w:rPr>
                <w:rFonts w:ascii="仿宋" w:eastAsia="仿宋" w:hAnsi="仿宋" w:cs="仿宋" w:hint="eastAsia"/>
                <w:color w:val="000000"/>
                <w:kern w:val="0"/>
                <w:sz w:val="24"/>
              </w:rPr>
              <w:t>符合条件的担保机构从事中小企业信用担保或者再担保业务取得的收入免征增值税优惠条件的纳税人提交</w:t>
            </w:r>
          </w:p>
        </w:tc>
        <w:tc>
          <w:tcPr>
            <w:tcW w:w="3118" w:type="dxa"/>
            <w:tcBorders>
              <w:tl2br w:val="nil"/>
              <w:tr2bl w:val="nil"/>
            </w:tcBorders>
            <w:vAlign w:val="center"/>
          </w:tcPr>
          <w:p w:rsidR="00013EC7" w:rsidRDefault="00013EC7">
            <w:pPr>
              <w:rPr>
                <w:rFonts w:ascii="仿宋" w:eastAsia="仿宋" w:hAnsi="仿宋" w:cs="仿宋"/>
                <w:color w:val="000000"/>
                <w:sz w:val="24"/>
              </w:rPr>
            </w:pPr>
          </w:p>
        </w:tc>
        <w:tc>
          <w:tcPr>
            <w:tcW w:w="1276" w:type="dxa"/>
            <w:tcBorders>
              <w:tl2br w:val="nil"/>
              <w:tr2bl w:val="nil"/>
            </w:tcBorders>
            <w:vAlign w:val="center"/>
          </w:tcPr>
          <w:p w:rsidR="00013EC7" w:rsidRDefault="00575CDB">
            <w:pPr>
              <w:widowControl/>
              <w:jc w:val="left"/>
              <w:textAlignment w:val="center"/>
              <w:rPr>
                <w:rFonts w:ascii="仿宋" w:eastAsia="仿宋" w:hAnsi="仿宋" w:cs="仿宋"/>
                <w:b/>
                <w:i/>
                <w:color w:val="000000"/>
                <w:sz w:val="24"/>
              </w:rPr>
            </w:pPr>
            <w:r>
              <w:rPr>
                <w:rFonts w:ascii="仿宋" w:eastAsia="仿宋" w:hAnsi="仿宋" w:cs="仿宋" w:hint="eastAsia"/>
                <w:b/>
                <w:i/>
                <w:color w:val="000000"/>
                <w:kern w:val="0"/>
                <w:sz w:val="24"/>
              </w:rPr>
              <w:t>取消</w:t>
            </w:r>
          </w:p>
        </w:tc>
        <w:tc>
          <w:tcPr>
            <w:tcW w:w="2268" w:type="dxa"/>
            <w:vMerge/>
            <w:tcBorders>
              <w:tl2br w:val="nil"/>
              <w:tr2bl w:val="nil"/>
            </w:tcBorders>
            <w:vAlign w:val="center"/>
          </w:tcPr>
          <w:p w:rsidR="00013EC7" w:rsidRDefault="00013EC7">
            <w:pPr>
              <w:rPr>
                <w:rFonts w:ascii="仿宋" w:eastAsia="仿宋" w:hAnsi="仿宋" w:cs="仿宋"/>
                <w:color w:val="000000"/>
                <w:sz w:val="24"/>
              </w:rPr>
            </w:pPr>
          </w:p>
        </w:tc>
        <w:tc>
          <w:tcPr>
            <w:tcW w:w="567" w:type="dxa"/>
            <w:vMerge/>
            <w:tcBorders>
              <w:tl2br w:val="nil"/>
              <w:tr2bl w:val="nil"/>
            </w:tcBorders>
          </w:tcPr>
          <w:p w:rsidR="00013EC7" w:rsidRDefault="00013EC7">
            <w:pPr>
              <w:jc w:val="center"/>
              <w:rPr>
                <w:rFonts w:ascii="仿宋" w:eastAsia="仿宋" w:hAnsi="仿宋" w:cs="仿宋"/>
                <w:color w:val="000000"/>
                <w:sz w:val="24"/>
              </w:rPr>
            </w:pPr>
          </w:p>
        </w:tc>
        <w:tc>
          <w:tcPr>
            <w:tcW w:w="851" w:type="dxa"/>
            <w:vMerge/>
            <w:tcBorders>
              <w:tl2br w:val="nil"/>
              <w:tr2bl w:val="nil"/>
            </w:tcBorders>
          </w:tcPr>
          <w:p w:rsidR="00013EC7" w:rsidRDefault="00013EC7">
            <w:pPr>
              <w:jc w:val="center"/>
              <w:rPr>
                <w:rFonts w:ascii="仿宋" w:eastAsia="仿宋" w:hAnsi="仿宋" w:cs="仿宋"/>
                <w:color w:val="000000"/>
                <w:sz w:val="24"/>
              </w:rPr>
            </w:pPr>
          </w:p>
        </w:tc>
        <w:tc>
          <w:tcPr>
            <w:tcW w:w="708" w:type="dxa"/>
            <w:vMerge/>
            <w:tcBorders>
              <w:tl2br w:val="nil"/>
              <w:tr2bl w:val="nil"/>
            </w:tcBorders>
          </w:tcPr>
          <w:p w:rsidR="00013EC7" w:rsidRDefault="00013EC7">
            <w:pPr>
              <w:jc w:val="center"/>
              <w:rPr>
                <w:rFonts w:ascii="仿宋" w:eastAsia="仿宋" w:hAnsi="仿宋" w:cs="仿宋"/>
                <w:color w:val="000000"/>
                <w:sz w:val="24"/>
              </w:rPr>
            </w:pPr>
          </w:p>
        </w:tc>
        <w:tc>
          <w:tcPr>
            <w:tcW w:w="993" w:type="dxa"/>
            <w:vMerge/>
            <w:tcBorders>
              <w:tl2br w:val="nil"/>
              <w:tr2bl w:val="nil"/>
            </w:tcBorders>
          </w:tcPr>
          <w:p w:rsidR="00013EC7" w:rsidRDefault="00013EC7">
            <w:pPr>
              <w:jc w:val="center"/>
              <w:rPr>
                <w:rFonts w:ascii="仿宋" w:eastAsia="仿宋" w:hAnsi="仿宋" w:cs="仿宋"/>
                <w:color w:val="000000"/>
                <w:sz w:val="24"/>
              </w:rPr>
            </w:pPr>
          </w:p>
        </w:tc>
        <w:tc>
          <w:tcPr>
            <w:tcW w:w="978" w:type="dxa"/>
            <w:vMerge/>
            <w:tcBorders>
              <w:tl2br w:val="nil"/>
              <w:tr2bl w:val="nil"/>
            </w:tcBorders>
            <w:vAlign w:val="center"/>
          </w:tcPr>
          <w:p w:rsidR="00013EC7" w:rsidRDefault="00013EC7">
            <w:pPr>
              <w:rPr>
                <w:rFonts w:ascii="仿宋" w:eastAsia="仿宋" w:hAnsi="仿宋" w:cs="仿宋"/>
                <w:color w:val="000000"/>
                <w:sz w:val="24"/>
              </w:rPr>
            </w:pPr>
          </w:p>
        </w:tc>
      </w:tr>
      <w:tr w:rsidR="00013EC7">
        <w:trPr>
          <w:trHeight w:val="3435"/>
        </w:trPr>
        <w:tc>
          <w:tcPr>
            <w:tcW w:w="639" w:type="dxa"/>
            <w:vMerge/>
            <w:tcBorders>
              <w:tl2br w:val="nil"/>
              <w:tr2bl w:val="nil"/>
            </w:tcBorders>
            <w:vAlign w:val="center"/>
          </w:tcPr>
          <w:p w:rsidR="00013EC7" w:rsidRDefault="00013EC7">
            <w:pPr>
              <w:rPr>
                <w:rFonts w:ascii="仿宋" w:eastAsia="仿宋" w:hAnsi="仿宋" w:cs="仿宋"/>
                <w:color w:val="000000"/>
                <w:sz w:val="24"/>
              </w:rPr>
            </w:pPr>
          </w:p>
        </w:tc>
        <w:tc>
          <w:tcPr>
            <w:tcW w:w="510" w:type="dxa"/>
            <w:vMerge/>
            <w:tcBorders>
              <w:tl2br w:val="nil"/>
              <w:tr2bl w:val="nil"/>
            </w:tcBorders>
            <w:vAlign w:val="center"/>
          </w:tcPr>
          <w:p w:rsidR="00013EC7" w:rsidRDefault="00013EC7">
            <w:pPr>
              <w:rPr>
                <w:rFonts w:ascii="仿宋" w:eastAsia="仿宋" w:hAnsi="仿宋" w:cs="仿宋"/>
                <w:color w:val="000000"/>
                <w:sz w:val="24"/>
              </w:rPr>
            </w:pPr>
          </w:p>
        </w:tc>
        <w:tc>
          <w:tcPr>
            <w:tcW w:w="3544" w:type="dxa"/>
            <w:vMerge/>
            <w:tcBorders>
              <w:tl2br w:val="nil"/>
              <w:tr2bl w:val="nil"/>
            </w:tcBorders>
            <w:vAlign w:val="center"/>
          </w:tcPr>
          <w:p w:rsidR="00013EC7" w:rsidRDefault="00013EC7">
            <w:pPr>
              <w:rPr>
                <w:rFonts w:ascii="仿宋" w:eastAsia="仿宋" w:hAnsi="仿宋" w:cs="仿宋"/>
                <w:color w:val="000000"/>
                <w:sz w:val="24"/>
              </w:rPr>
            </w:pPr>
          </w:p>
        </w:tc>
        <w:tc>
          <w:tcPr>
            <w:tcW w:w="3260" w:type="dxa"/>
            <w:tcBorders>
              <w:tl2br w:val="nil"/>
              <w:tr2bl w:val="nil"/>
            </w:tcBorders>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color w:val="000000"/>
                <w:kern w:val="0"/>
                <w:sz w:val="24"/>
              </w:rPr>
              <w:t>（四十九）科技部门对科普活动、科普基地认定的证明材料。</w:t>
            </w:r>
          </w:p>
        </w:tc>
        <w:tc>
          <w:tcPr>
            <w:tcW w:w="1418" w:type="dxa"/>
            <w:tcBorders>
              <w:tl2br w:val="nil"/>
              <w:tr2bl w:val="nil"/>
            </w:tcBorders>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color w:val="000000"/>
                <w:kern w:val="0"/>
                <w:sz w:val="24"/>
              </w:rPr>
              <w:t>符合科普单位的门票收入，以及县级及以上党政部门和科协开展科普活动的门票收入免征增值税优惠条件的纳税人提交</w:t>
            </w:r>
          </w:p>
        </w:tc>
        <w:tc>
          <w:tcPr>
            <w:tcW w:w="3118" w:type="dxa"/>
            <w:tcBorders>
              <w:tl2br w:val="nil"/>
              <w:tr2bl w:val="nil"/>
            </w:tcBorders>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color w:val="000000"/>
                <w:kern w:val="0"/>
                <w:sz w:val="24"/>
              </w:rPr>
              <w:t>（四十五）科技部门对科普活动、科普基地认定的证明材料。</w:t>
            </w:r>
          </w:p>
        </w:tc>
        <w:tc>
          <w:tcPr>
            <w:tcW w:w="1276" w:type="dxa"/>
            <w:tcBorders>
              <w:tl2br w:val="nil"/>
              <w:tr2bl w:val="nil"/>
            </w:tcBorders>
            <w:vAlign w:val="center"/>
          </w:tcPr>
          <w:p w:rsidR="00013EC7" w:rsidRDefault="00575CDB">
            <w:pPr>
              <w:widowControl/>
              <w:jc w:val="left"/>
              <w:textAlignment w:val="center"/>
              <w:rPr>
                <w:rFonts w:ascii="仿宋" w:eastAsia="仿宋" w:hAnsi="仿宋" w:cs="仿宋"/>
                <w:color w:val="000000"/>
                <w:sz w:val="24"/>
              </w:rPr>
            </w:pPr>
            <w:r>
              <w:rPr>
                <w:rFonts w:ascii="仿宋" w:eastAsia="仿宋" w:hAnsi="仿宋" w:cs="仿宋" w:hint="eastAsia"/>
                <w:color w:val="000000"/>
                <w:kern w:val="0"/>
                <w:sz w:val="24"/>
              </w:rPr>
              <w:t>科普单位，县级及以上党政部门和科协提交</w:t>
            </w:r>
          </w:p>
        </w:tc>
        <w:tc>
          <w:tcPr>
            <w:tcW w:w="2268" w:type="dxa"/>
            <w:vMerge/>
            <w:tcBorders>
              <w:tl2br w:val="nil"/>
              <w:tr2bl w:val="nil"/>
            </w:tcBorders>
            <w:vAlign w:val="center"/>
          </w:tcPr>
          <w:p w:rsidR="00013EC7" w:rsidRDefault="00013EC7">
            <w:pPr>
              <w:widowControl/>
              <w:textAlignment w:val="center"/>
              <w:rPr>
                <w:rFonts w:ascii="仿宋" w:eastAsia="仿宋" w:hAnsi="仿宋" w:cs="仿宋"/>
                <w:b/>
                <w:color w:val="000000"/>
                <w:sz w:val="24"/>
              </w:rPr>
            </w:pPr>
          </w:p>
        </w:tc>
        <w:tc>
          <w:tcPr>
            <w:tcW w:w="567" w:type="dxa"/>
            <w:vMerge/>
            <w:tcBorders>
              <w:tl2br w:val="nil"/>
              <w:tr2bl w:val="nil"/>
            </w:tcBorders>
          </w:tcPr>
          <w:p w:rsidR="00013EC7" w:rsidRDefault="00013EC7">
            <w:pPr>
              <w:jc w:val="center"/>
              <w:rPr>
                <w:rFonts w:ascii="仿宋" w:eastAsia="仿宋" w:hAnsi="仿宋" w:cs="仿宋"/>
                <w:color w:val="000000"/>
                <w:sz w:val="24"/>
              </w:rPr>
            </w:pPr>
          </w:p>
        </w:tc>
        <w:tc>
          <w:tcPr>
            <w:tcW w:w="851" w:type="dxa"/>
            <w:vMerge/>
            <w:tcBorders>
              <w:tl2br w:val="nil"/>
              <w:tr2bl w:val="nil"/>
            </w:tcBorders>
          </w:tcPr>
          <w:p w:rsidR="00013EC7" w:rsidRDefault="00013EC7">
            <w:pPr>
              <w:jc w:val="center"/>
              <w:rPr>
                <w:rFonts w:ascii="仿宋" w:eastAsia="仿宋" w:hAnsi="仿宋" w:cs="仿宋"/>
                <w:color w:val="000000"/>
                <w:sz w:val="24"/>
              </w:rPr>
            </w:pPr>
          </w:p>
        </w:tc>
        <w:tc>
          <w:tcPr>
            <w:tcW w:w="708" w:type="dxa"/>
            <w:vMerge/>
            <w:tcBorders>
              <w:tl2br w:val="nil"/>
              <w:tr2bl w:val="nil"/>
            </w:tcBorders>
          </w:tcPr>
          <w:p w:rsidR="00013EC7" w:rsidRDefault="00013EC7">
            <w:pPr>
              <w:jc w:val="center"/>
              <w:rPr>
                <w:rFonts w:ascii="仿宋" w:eastAsia="仿宋" w:hAnsi="仿宋" w:cs="仿宋"/>
                <w:color w:val="000000"/>
                <w:sz w:val="24"/>
              </w:rPr>
            </w:pPr>
          </w:p>
        </w:tc>
        <w:tc>
          <w:tcPr>
            <w:tcW w:w="993" w:type="dxa"/>
            <w:vMerge/>
            <w:tcBorders>
              <w:tl2br w:val="nil"/>
              <w:tr2bl w:val="nil"/>
            </w:tcBorders>
          </w:tcPr>
          <w:p w:rsidR="00013EC7" w:rsidRDefault="00013EC7">
            <w:pPr>
              <w:jc w:val="center"/>
              <w:rPr>
                <w:rFonts w:ascii="仿宋" w:eastAsia="仿宋" w:hAnsi="仿宋" w:cs="仿宋"/>
                <w:color w:val="000000"/>
                <w:sz w:val="24"/>
              </w:rPr>
            </w:pPr>
          </w:p>
        </w:tc>
        <w:tc>
          <w:tcPr>
            <w:tcW w:w="978" w:type="dxa"/>
            <w:vMerge/>
            <w:tcBorders>
              <w:tl2br w:val="nil"/>
              <w:tr2bl w:val="nil"/>
            </w:tcBorders>
            <w:vAlign w:val="center"/>
          </w:tcPr>
          <w:p w:rsidR="00013EC7" w:rsidRDefault="00013EC7">
            <w:pPr>
              <w:rPr>
                <w:rFonts w:ascii="仿宋" w:eastAsia="仿宋" w:hAnsi="仿宋" w:cs="仿宋"/>
                <w:color w:val="000000"/>
                <w:sz w:val="24"/>
              </w:rPr>
            </w:pPr>
          </w:p>
        </w:tc>
      </w:tr>
      <w:tr w:rsidR="00013EC7">
        <w:trPr>
          <w:trHeight w:val="4290"/>
        </w:trPr>
        <w:tc>
          <w:tcPr>
            <w:tcW w:w="639" w:type="dxa"/>
            <w:vMerge/>
            <w:tcBorders>
              <w:tl2br w:val="nil"/>
              <w:tr2bl w:val="nil"/>
            </w:tcBorders>
            <w:vAlign w:val="center"/>
          </w:tcPr>
          <w:p w:rsidR="00013EC7" w:rsidRDefault="00013EC7">
            <w:pPr>
              <w:rPr>
                <w:rFonts w:ascii="仿宋" w:eastAsia="仿宋" w:hAnsi="仿宋" w:cs="仿宋"/>
                <w:color w:val="000000"/>
                <w:sz w:val="24"/>
              </w:rPr>
            </w:pPr>
          </w:p>
        </w:tc>
        <w:tc>
          <w:tcPr>
            <w:tcW w:w="510" w:type="dxa"/>
            <w:vMerge/>
            <w:tcBorders>
              <w:tl2br w:val="nil"/>
              <w:tr2bl w:val="nil"/>
            </w:tcBorders>
            <w:vAlign w:val="center"/>
          </w:tcPr>
          <w:p w:rsidR="00013EC7" w:rsidRDefault="00013EC7">
            <w:pPr>
              <w:rPr>
                <w:rFonts w:ascii="仿宋" w:eastAsia="仿宋" w:hAnsi="仿宋" w:cs="仿宋"/>
                <w:color w:val="000000"/>
                <w:sz w:val="24"/>
              </w:rPr>
            </w:pPr>
          </w:p>
        </w:tc>
        <w:tc>
          <w:tcPr>
            <w:tcW w:w="3544" w:type="dxa"/>
            <w:vMerge/>
            <w:tcBorders>
              <w:tl2br w:val="nil"/>
              <w:tr2bl w:val="nil"/>
            </w:tcBorders>
            <w:vAlign w:val="center"/>
          </w:tcPr>
          <w:p w:rsidR="00013EC7" w:rsidRDefault="00013EC7">
            <w:pPr>
              <w:rPr>
                <w:rFonts w:ascii="仿宋" w:eastAsia="仿宋" w:hAnsi="仿宋" w:cs="仿宋"/>
                <w:color w:val="000000"/>
                <w:sz w:val="24"/>
              </w:rPr>
            </w:pPr>
          </w:p>
        </w:tc>
        <w:tc>
          <w:tcPr>
            <w:tcW w:w="3260" w:type="dxa"/>
            <w:tcBorders>
              <w:tl2br w:val="nil"/>
              <w:tr2bl w:val="nil"/>
            </w:tcBorders>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color w:val="000000"/>
                <w:kern w:val="0"/>
                <w:sz w:val="24"/>
              </w:rPr>
              <w:t>（五十）经相关部门批准成立的证件原件及复印件（加盖公章）。</w:t>
            </w:r>
          </w:p>
        </w:tc>
        <w:tc>
          <w:tcPr>
            <w:tcW w:w="1418" w:type="dxa"/>
            <w:tcBorders>
              <w:tl2br w:val="nil"/>
              <w:tr2bl w:val="nil"/>
            </w:tcBorders>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color w:val="000000"/>
                <w:kern w:val="0"/>
                <w:sz w:val="24"/>
              </w:rPr>
              <w:t>符合政府举办的从事学历教育的高等、中等和初等学校（不含下属单位），举办进修班、培训班取得的全部归该学校所有的收入免征增值税优惠条件的纳税人提交</w:t>
            </w:r>
          </w:p>
        </w:tc>
        <w:tc>
          <w:tcPr>
            <w:tcW w:w="3118" w:type="dxa"/>
            <w:tcBorders>
              <w:tl2br w:val="nil"/>
              <w:tr2bl w:val="nil"/>
            </w:tcBorders>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color w:val="000000"/>
                <w:kern w:val="0"/>
                <w:sz w:val="24"/>
              </w:rPr>
              <w:t>（四十六）经教育部门批准成立的证件原件及复印件（注明与原件一致，并加盖公章）。</w:t>
            </w:r>
          </w:p>
          <w:p w:rsidR="00013EC7" w:rsidRDefault="00013EC7">
            <w:pPr>
              <w:widowControl/>
              <w:textAlignment w:val="center"/>
              <w:rPr>
                <w:rFonts w:ascii="仿宋" w:eastAsia="仿宋" w:hAnsi="仿宋" w:cs="仿宋"/>
                <w:color w:val="000000"/>
                <w:kern w:val="0"/>
                <w:sz w:val="24"/>
              </w:rPr>
            </w:pPr>
          </w:p>
        </w:tc>
        <w:tc>
          <w:tcPr>
            <w:tcW w:w="1276" w:type="dxa"/>
            <w:tcBorders>
              <w:tl2br w:val="nil"/>
              <w:tr2bl w:val="nil"/>
            </w:tcBorders>
            <w:vAlign w:val="center"/>
          </w:tcPr>
          <w:p w:rsidR="00013EC7" w:rsidRDefault="00575CDB">
            <w:pPr>
              <w:widowControl/>
              <w:jc w:val="left"/>
              <w:textAlignment w:val="center"/>
              <w:rPr>
                <w:rFonts w:ascii="仿宋" w:eastAsia="仿宋" w:hAnsi="仿宋" w:cs="仿宋"/>
                <w:color w:val="FF0000"/>
                <w:sz w:val="24"/>
              </w:rPr>
            </w:pPr>
            <w:r>
              <w:rPr>
                <w:rFonts w:ascii="仿宋" w:eastAsia="仿宋" w:hAnsi="仿宋" w:cs="仿宋" w:hint="eastAsia"/>
                <w:color w:val="000000"/>
                <w:kern w:val="0"/>
                <w:sz w:val="24"/>
              </w:rPr>
              <w:t>政府举办的从事学历教育的高等、中等和初等学校（不含下属单位），举办进修班、培训班取得的全部归该学校所有的收入免征增值税优惠条件的纳税人提交</w:t>
            </w:r>
          </w:p>
        </w:tc>
        <w:tc>
          <w:tcPr>
            <w:tcW w:w="2268" w:type="dxa"/>
            <w:vMerge w:val="restart"/>
            <w:tcBorders>
              <w:tl2br w:val="nil"/>
              <w:tr2bl w:val="nil"/>
            </w:tcBorders>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b/>
                <w:color w:val="000000"/>
                <w:kern w:val="0"/>
                <w:sz w:val="24"/>
              </w:rPr>
              <w:t>网上办理：</w:t>
            </w:r>
            <w:r>
              <w:rPr>
                <w:rFonts w:ascii="仿宋" w:eastAsia="仿宋" w:hAnsi="仿宋" w:cs="仿宋" w:hint="eastAsia"/>
                <w:color w:val="000000"/>
                <w:kern w:val="0"/>
                <w:sz w:val="24"/>
              </w:rPr>
              <w:t>登录浙江国税电子税务局（网址：http://etax.zjtax.gov.cn/</w:t>
            </w:r>
            <w:r>
              <w:rPr>
                <w:rFonts w:ascii="仿宋" w:eastAsia="仿宋" w:hAnsi="仿宋" w:cs="仿宋" w:hint="eastAsia"/>
                <w:color w:val="000000"/>
                <w:kern w:val="0"/>
                <w:sz w:val="24"/>
              </w:rPr>
              <w:br/>
              <w:t>）提交申请。</w:t>
            </w:r>
            <w:r>
              <w:rPr>
                <w:rFonts w:ascii="仿宋" w:eastAsia="仿宋" w:hAnsi="仿宋" w:cs="仿宋" w:hint="eastAsia"/>
                <w:b/>
                <w:color w:val="000000"/>
                <w:kern w:val="0"/>
                <w:sz w:val="24"/>
              </w:rPr>
              <w:br/>
              <w:t>现场办理：</w:t>
            </w:r>
            <w:r>
              <w:rPr>
                <w:rFonts w:ascii="仿宋" w:eastAsia="仿宋" w:hAnsi="仿宋" w:cs="仿宋" w:hint="eastAsia"/>
                <w:color w:val="000000"/>
                <w:kern w:val="0"/>
                <w:sz w:val="24"/>
              </w:rPr>
              <w:t>纳税人提交书面材料。</w:t>
            </w:r>
          </w:p>
          <w:p w:rsidR="00013EC7" w:rsidRDefault="00575CDB">
            <w:pPr>
              <w:widowControl/>
              <w:textAlignment w:val="center"/>
              <w:rPr>
                <w:rFonts w:ascii="仿宋" w:eastAsia="仿宋" w:hAnsi="仿宋" w:cs="仿宋"/>
                <w:b/>
                <w:color w:val="FF0000"/>
                <w:sz w:val="24"/>
              </w:rPr>
            </w:pPr>
            <w:r>
              <w:rPr>
                <w:rFonts w:ascii="仿宋" w:eastAsia="仿宋" w:hAnsi="仿宋" w:cs="仿宋" w:hint="eastAsia"/>
                <w:b/>
                <w:color w:val="000000"/>
                <w:kern w:val="0"/>
                <w:sz w:val="24"/>
              </w:rPr>
              <w:t>APP办理：</w:t>
            </w:r>
            <w:r>
              <w:rPr>
                <w:rFonts w:ascii="仿宋" w:eastAsia="仿宋" w:hAnsi="仿宋" w:cs="仿宋" w:hint="eastAsia"/>
                <w:color w:val="000000"/>
                <w:kern w:val="0"/>
                <w:sz w:val="24"/>
              </w:rPr>
              <w:t>登录浙江国税手机APP提交</w:t>
            </w:r>
          </w:p>
        </w:tc>
        <w:tc>
          <w:tcPr>
            <w:tcW w:w="567" w:type="dxa"/>
            <w:vMerge/>
            <w:tcBorders>
              <w:tl2br w:val="nil"/>
              <w:tr2bl w:val="nil"/>
            </w:tcBorders>
          </w:tcPr>
          <w:p w:rsidR="00013EC7" w:rsidRDefault="00013EC7">
            <w:pPr>
              <w:jc w:val="center"/>
              <w:rPr>
                <w:rFonts w:ascii="仿宋" w:eastAsia="仿宋" w:hAnsi="仿宋" w:cs="仿宋"/>
                <w:color w:val="000000"/>
                <w:sz w:val="24"/>
              </w:rPr>
            </w:pPr>
          </w:p>
        </w:tc>
        <w:tc>
          <w:tcPr>
            <w:tcW w:w="851" w:type="dxa"/>
            <w:vMerge/>
            <w:tcBorders>
              <w:tl2br w:val="nil"/>
              <w:tr2bl w:val="nil"/>
            </w:tcBorders>
          </w:tcPr>
          <w:p w:rsidR="00013EC7" w:rsidRDefault="00013EC7">
            <w:pPr>
              <w:jc w:val="center"/>
              <w:rPr>
                <w:rFonts w:ascii="仿宋" w:eastAsia="仿宋" w:hAnsi="仿宋" w:cs="仿宋"/>
                <w:color w:val="000000"/>
                <w:sz w:val="24"/>
              </w:rPr>
            </w:pPr>
          </w:p>
        </w:tc>
        <w:tc>
          <w:tcPr>
            <w:tcW w:w="708" w:type="dxa"/>
            <w:vMerge/>
            <w:tcBorders>
              <w:tl2br w:val="nil"/>
              <w:tr2bl w:val="nil"/>
            </w:tcBorders>
          </w:tcPr>
          <w:p w:rsidR="00013EC7" w:rsidRDefault="00013EC7">
            <w:pPr>
              <w:jc w:val="center"/>
              <w:rPr>
                <w:rFonts w:ascii="仿宋" w:eastAsia="仿宋" w:hAnsi="仿宋" w:cs="仿宋"/>
                <w:color w:val="000000"/>
                <w:sz w:val="24"/>
              </w:rPr>
            </w:pPr>
          </w:p>
        </w:tc>
        <w:tc>
          <w:tcPr>
            <w:tcW w:w="993" w:type="dxa"/>
            <w:vMerge/>
            <w:tcBorders>
              <w:tl2br w:val="nil"/>
              <w:tr2bl w:val="nil"/>
            </w:tcBorders>
          </w:tcPr>
          <w:p w:rsidR="00013EC7" w:rsidRDefault="00013EC7">
            <w:pPr>
              <w:jc w:val="center"/>
              <w:rPr>
                <w:rFonts w:ascii="仿宋" w:eastAsia="仿宋" w:hAnsi="仿宋" w:cs="仿宋"/>
                <w:color w:val="000000"/>
                <w:sz w:val="24"/>
              </w:rPr>
            </w:pPr>
          </w:p>
        </w:tc>
        <w:tc>
          <w:tcPr>
            <w:tcW w:w="978" w:type="dxa"/>
            <w:vMerge/>
            <w:tcBorders>
              <w:tl2br w:val="nil"/>
              <w:tr2bl w:val="nil"/>
            </w:tcBorders>
            <w:vAlign w:val="center"/>
          </w:tcPr>
          <w:p w:rsidR="00013EC7" w:rsidRDefault="00013EC7">
            <w:pPr>
              <w:rPr>
                <w:rFonts w:ascii="仿宋" w:eastAsia="仿宋" w:hAnsi="仿宋" w:cs="仿宋"/>
                <w:color w:val="000000"/>
                <w:sz w:val="24"/>
              </w:rPr>
            </w:pPr>
          </w:p>
        </w:tc>
      </w:tr>
      <w:tr w:rsidR="00013EC7">
        <w:trPr>
          <w:trHeight w:val="2190"/>
        </w:trPr>
        <w:tc>
          <w:tcPr>
            <w:tcW w:w="639" w:type="dxa"/>
            <w:vMerge/>
            <w:tcBorders>
              <w:tl2br w:val="nil"/>
              <w:tr2bl w:val="nil"/>
            </w:tcBorders>
            <w:vAlign w:val="center"/>
          </w:tcPr>
          <w:p w:rsidR="00013EC7" w:rsidRDefault="00013EC7">
            <w:pPr>
              <w:rPr>
                <w:rFonts w:ascii="仿宋" w:eastAsia="仿宋" w:hAnsi="仿宋" w:cs="仿宋"/>
                <w:color w:val="000000"/>
                <w:sz w:val="24"/>
              </w:rPr>
            </w:pPr>
          </w:p>
        </w:tc>
        <w:tc>
          <w:tcPr>
            <w:tcW w:w="510" w:type="dxa"/>
            <w:vMerge/>
            <w:tcBorders>
              <w:tl2br w:val="nil"/>
              <w:tr2bl w:val="nil"/>
            </w:tcBorders>
            <w:vAlign w:val="center"/>
          </w:tcPr>
          <w:p w:rsidR="00013EC7" w:rsidRDefault="00013EC7">
            <w:pPr>
              <w:rPr>
                <w:rFonts w:ascii="仿宋" w:eastAsia="仿宋" w:hAnsi="仿宋" w:cs="仿宋"/>
                <w:color w:val="000000"/>
                <w:sz w:val="24"/>
              </w:rPr>
            </w:pPr>
          </w:p>
        </w:tc>
        <w:tc>
          <w:tcPr>
            <w:tcW w:w="3544" w:type="dxa"/>
            <w:vMerge/>
            <w:tcBorders>
              <w:tl2br w:val="nil"/>
              <w:tr2bl w:val="nil"/>
            </w:tcBorders>
            <w:vAlign w:val="center"/>
          </w:tcPr>
          <w:p w:rsidR="00013EC7" w:rsidRDefault="00013EC7">
            <w:pPr>
              <w:rPr>
                <w:rFonts w:ascii="仿宋" w:eastAsia="仿宋" w:hAnsi="仿宋" w:cs="仿宋"/>
                <w:color w:val="000000"/>
                <w:sz w:val="24"/>
              </w:rPr>
            </w:pPr>
          </w:p>
        </w:tc>
        <w:tc>
          <w:tcPr>
            <w:tcW w:w="3260" w:type="dxa"/>
            <w:tcBorders>
              <w:tl2br w:val="nil"/>
              <w:tr2bl w:val="nil"/>
            </w:tcBorders>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color w:val="000000"/>
                <w:kern w:val="0"/>
                <w:sz w:val="24"/>
              </w:rPr>
              <w:t>（五十一）经相关部门批准成立或出具的从业认定的证件原件及复印件（加盖公章）。</w:t>
            </w:r>
          </w:p>
        </w:tc>
        <w:tc>
          <w:tcPr>
            <w:tcW w:w="1418" w:type="dxa"/>
            <w:tcBorders>
              <w:tl2br w:val="nil"/>
              <w:tr2bl w:val="nil"/>
            </w:tcBorders>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color w:val="000000"/>
                <w:kern w:val="0"/>
                <w:sz w:val="24"/>
              </w:rPr>
              <w:t>符合政府举办的职业学校设立的企业从事“现代服务”、“生活服务”业务活动取得的收入免征增值税优惠条件的纳税人提交</w:t>
            </w:r>
          </w:p>
        </w:tc>
        <w:tc>
          <w:tcPr>
            <w:tcW w:w="3118" w:type="dxa"/>
            <w:tcBorders>
              <w:tl2br w:val="nil"/>
              <w:tr2bl w:val="nil"/>
            </w:tcBorders>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color w:val="000000"/>
                <w:kern w:val="0"/>
                <w:sz w:val="24"/>
              </w:rPr>
              <w:t>（四十七）经同级政府或教育部门（或人力资源和社会保障部门）批准成立或出具的从业认定的证件原件及复印件（注明与原件一致，并加盖公章）。</w:t>
            </w:r>
          </w:p>
          <w:p w:rsidR="00013EC7" w:rsidRDefault="00013EC7">
            <w:pPr>
              <w:widowControl/>
              <w:textAlignment w:val="center"/>
              <w:rPr>
                <w:rFonts w:ascii="仿宋" w:eastAsia="仿宋" w:hAnsi="仿宋" w:cs="仿宋"/>
                <w:color w:val="000000"/>
                <w:kern w:val="0"/>
                <w:sz w:val="24"/>
              </w:rPr>
            </w:pPr>
          </w:p>
        </w:tc>
        <w:tc>
          <w:tcPr>
            <w:tcW w:w="1276" w:type="dxa"/>
            <w:tcBorders>
              <w:tl2br w:val="nil"/>
              <w:tr2bl w:val="nil"/>
            </w:tcBorders>
            <w:vAlign w:val="center"/>
          </w:tcPr>
          <w:p w:rsidR="00013EC7" w:rsidRDefault="00575CDB">
            <w:pPr>
              <w:widowControl/>
              <w:jc w:val="left"/>
              <w:textAlignment w:val="center"/>
              <w:rPr>
                <w:rFonts w:ascii="仿宋" w:eastAsia="仿宋" w:hAnsi="仿宋" w:cs="仿宋"/>
                <w:color w:val="FF0000"/>
                <w:sz w:val="24"/>
              </w:rPr>
            </w:pPr>
            <w:r>
              <w:rPr>
                <w:rFonts w:ascii="仿宋" w:eastAsia="仿宋" w:hAnsi="仿宋" w:cs="仿宋" w:hint="eastAsia"/>
                <w:color w:val="000000"/>
                <w:sz w:val="24"/>
              </w:rPr>
              <w:t>政府举办的职业学校设立的企业从事“现代服务”、“生活服务”业务活动取得的收入免征增值税优惠条件的纳税人提交</w:t>
            </w:r>
          </w:p>
        </w:tc>
        <w:tc>
          <w:tcPr>
            <w:tcW w:w="2268" w:type="dxa"/>
            <w:vMerge/>
            <w:tcBorders>
              <w:tl2br w:val="nil"/>
              <w:tr2bl w:val="nil"/>
            </w:tcBorders>
            <w:vAlign w:val="center"/>
          </w:tcPr>
          <w:p w:rsidR="00013EC7" w:rsidRDefault="00013EC7">
            <w:pPr>
              <w:widowControl/>
              <w:textAlignment w:val="center"/>
              <w:rPr>
                <w:rFonts w:ascii="仿宋" w:eastAsia="仿宋" w:hAnsi="仿宋" w:cs="仿宋"/>
                <w:b/>
                <w:color w:val="FF0000"/>
                <w:sz w:val="24"/>
              </w:rPr>
            </w:pPr>
          </w:p>
        </w:tc>
        <w:tc>
          <w:tcPr>
            <w:tcW w:w="567" w:type="dxa"/>
            <w:vMerge/>
            <w:tcBorders>
              <w:tl2br w:val="nil"/>
              <w:tr2bl w:val="nil"/>
            </w:tcBorders>
          </w:tcPr>
          <w:p w:rsidR="00013EC7" w:rsidRDefault="00013EC7">
            <w:pPr>
              <w:jc w:val="center"/>
              <w:rPr>
                <w:rFonts w:ascii="仿宋" w:eastAsia="仿宋" w:hAnsi="仿宋" w:cs="仿宋"/>
                <w:color w:val="000000"/>
                <w:sz w:val="24"/>
              </w:rPr>
            </w:pPr>
          </w:p>
        </w:tc>
        <w:tc>
          <w:tcPr>
            <w:tcW w:w="851" w:type="dxa"/>
            <w:vMerge/>
            <w:tcBorders>
              <w:tl2br w:val="nil"/>
              <w:tr2bl w:val="nil"/>
            </w:tcBorders>
          </w:tcPr>
          <w:p w:rsidR="00013EC7" w:rsidRDefault="00013EC7">
            <w:pPr>
              <w:jc w:val="center"/>
              <w:rPr>
                <w:rFonts w:ascii="仿宋" w:eastAsia="仿宋" w:hAnsi="仿宋" w:cs="仿宋"/>
                <w:color w:val="000000"/>
                <w:sz w:val="24"/>
              </w:rPr>
            </w:pPr>
          </w:p>
        </w:tc>
        <w:tc>
          <w:tcPr>
            <w:tcW w:w="708" w:type="dxa"/>
            <w:vMerge/>
            <w:tcBorders>
              <w:tl2br w:val="nil"/>
              <w:tr2bl w:val="nil"/>
            </w:tcBorders>
          </w:tcPr>
          <w:p w:rsidR="00013EC7" w:rsidRDefault="00013EC7">
            <w:pPr>
              <w:jc w:val="center"/>
              <w:rPr>
                <w:rFonts w:ascii="仿宋" w:eastAsia="仿宋" w:hAnsi="仿宋" w:cs="仿宋"/>
                <w:color w:val="000000"/>
                <w:sz w:val="24"/>
              </w:rPr>
            </w:pPr>
          </w:p>
        </w:tc>
        <w:tc>
          <w:tcPr>
            <w:tcW w:w="993" w:type="dxa"/>
            <w:vMerge/>
            <w:tcBorders>
              <w:tl2br w:val="nil"/>
              <w:tr2bl w:val="nil"/>
            </w:tcBorders>
          </w:tcPr>
          <w:p w:rsidR="00013EC7" w:rsidRDefault="00013EC7">
            <w:pPr>
              <w:jc w:val="center"/>
              <w:rPr>
                <w:rFonts w:ascii="仿宋" w:eastAsia="仿宋" w:hAnsi="仿宋" w:cs="仿宋"/>
                <w:color w:val="000000"/>
                <w:sz w:val="24"/>
              </w:rPr>
            </w:pPr>
          </w:p>
        </w:tc>
        <w:tc>
          <w:tcPr>
            <w:tcW w:w="978" w:type="dxa"/>
            <w:vMerge/>
            <w:tcBorders>
              <w:tl2br w:val="nil"/>
              <w:tr2bl w:val="nil"/>
            </w:tcBorders>
          </w:tcPr>
          <w:p w:rsidR="00013EC7" w:rsidRDefault="00013EC7">
            <w:pPr>
              <w:rPr>
                <w:rFonts w:ascii="仿宋" w:eastAsia="仿宋" w:hAnsi="仿宋" w:cs="仿宋"/>
                <w:color w:val="000000"/>
                <w:sz w:val="24"/>
              </w:rPr>
            </w:pPr>
          </w:p>
        </w:tc>
      </w:tr>
      <w:tr w:rsidR="00013EC7">
        <w:trPr>
          <w:trHeight w:val="3452"/>
        </w:trPr>
        <w:tc>
          <w:tcPr>
            <w:tcW w:w="639" w:type="dxa"/>
            <w:vMerge/>
            <w:tcBorders>
              <w:tl2br w:val="nil"/>
              <w:tr2bl w:val="nil"/>
            </w:tcBorders>
            <w:vAlign w:val="center"/>
          </w:tcPr>
          <w:p w:rsidR="00013EC7" w:rsidRDefault="00013EC7">
            <w:pPr>
              <w:rPr>
                <w:rFonts w:ascii="仿宋" w:eastAsia="仿宋" w:hAnsi="仿宋" w:cs="仿宋"/>
                <w:color w:val="000000"/>
                <w:sz w:val="24"/>
              </w:rPr>
            </w:pPr>
          </w:p>
        </w:tc>
        <w:tc>
          <w:tcPr>
            <w:tcW w:w="510" w:type="dxa"/>
            <w:vMerge/>
            <w:tcBorders>
              <w:tl2br w:val="nil"/>
              <w:tr2bl w:val="nil"/>
            </w:tcBorders>
            <w:vAlign w:val="center"/>
          </w:tcPr>
          <w:p w:rsidR="00013EC7" w:rsidRDefault="00013EC7">
            <w:pPr>
              <w:rPr>
                <w:rFonts w:ascii="仿宋" w:eastAsia="仿宋" w:hAnsi="仿宋" w:cs="仿宋"/>
                <w:color w:val="000000"/>
                <w:sz w:val="24"/>
              </w:rPr>
            </w:pPr>
          </w:p>
        </w:tc>
        <w:tc>
          <w:tcPr>
            <w:tcW w:w="3544" w:type="dxa"/>
            <w:vMerge/>
            <w:tcBorders>
              <w:tl2br w:val="nil"/>
              <w:tr2bl w:val="nil"/>
            </w:tcBorders>
            <w:vAlign w:val="center"/>
          </w:tcPr>
          <w:p w:rsidR="00013EC7" w:rsidRDefault="00013EC7">
            <w:pPr>
              <w:rPr>
                <w:rFonts w:ascii="仿宋" w:eastAsia="仿宋" w:hAnsi="仿宋" w:cs="仿宋"/>
                <w:color w:val="000000"/>
                <w:sz w:val="24"/>
              </w:rPr>
            </w:pPr>
          </w:p>
        </w:tc>
        <w:tc>
          <w:tcPr>
            <w:tcW w:w="3260" w:type="dxa"/>
            <w:tcBorders>
              <w:tl2br w:val="nil"/>
              <w:tr2bl w:val="nil"/>
            </w:tcBorders>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color w:val="000000"/>
                <w:kern w:val="0"/>
                <w:sz w:val="24"/>
              </w:rPr>
              <w:t>（五十二）房改批文等有关证明材料原件及复印件（加盖公章）。</w:t>
            </w:r>
          </w:p>
        </w:tc>
        <w:tc>
          <w:tcPr>
            <w:tcW w:w="1418" w:type="dxa"/>
            <w:vMerge w:val="restart"/>
            <w:tcBorders>
              <w:tl2br w:val="nil"/>
              <w:tr2bl w:val="nil"/>
            </w:tcBorders>
            <w:vAlign w:val="center"/>
          </w:tcPr>
          <w:p w:rsidR="00013EC7" w:rsidRDefault="00575CDB">
            <w:pPr>
              <w:textAlignment w:val="center"/>
              <w:rPr>
                <w:rFonts w:ascii="仿宋" w:eastAsia="仿宋" w:hAnsi="仿宋" w:cs="仿宋"/>
                <w:color w:val="000000"/>
                <w:kern w:val="0"/>
                <w:sz w:val="24"/>
              </w:rPr>
            </w:pPr>
            <w:r>
              <w:rPr>
                <w:rFonts w:ascii="仿宋" w:eastAsia="仿宋" w:hAnsi="仿宋" w:cs="仿宋" w:hint="eastAsia"/>
                <w:color w:val="000000"/>
                <w:kern w:val="0"/>
                <w:sz w:val="24"/>
              </w:rPr>
              <w:t>符合为了配合国家住房制度改革，企业、行政事业单位按房改成本价、标准价出售住房取得的收入免征增值税优惠条件的纳税人提交</w:t>
            </w:r>
          </w:p>
        </w:tc>
        <w:tc>
          <w:tcPr>
            <w:tcW w:w="3118" w:type="dxa"/>
            <w:tcBorders>
              <w:tl2br w:val="nil"/>
              <w:tr2bl w:val="nil"/>
            </w:tcBorders>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color w:val="000000"/>
                <w:kern w:val="0"/>
                <w:sz w:val="24"/>
              </w:rPr>
              <w:t>（四十八）房改批文等证明材料原件及复印件（注明与原件一致，并加盖公章）。</w:t>
            </w:r>
          </w:p>
        </w:tc>
        <w:tc>
          <w:tcPr>
            <w:tcW w:w="1276" w:type="dxa"/>
            <w:vMerge w:val="restart"/>
            <w:tcBorders>
              <w:tl2br w:val="nil"/>
              <w:tr2bl w:val="nil"/>
            </w:tcBorders>
            <w:vAlign w:val="center"/>
          </w:tcPr>
          <w:p w:rsidR="00013EC7" w:rsidRDefault="00575CDB">
            <w:pPr>
              <w:widowControl/>
              <w:jc w:val="left"/>
              <w:textAlignment w:val="center"/>
              <w:rPr>
                <w:rFonts w:ascii="仿宋" w:eastAsia="仿宋" w:hAnsi="仿宋" w:cs="仿宋"/>
                <w:color w:val="000000"/>
                <w:sz w:val="24"/>
              </w:rPr>
            </w:pPr>
            <w:r>
              <w:rPr>
                <w:rFonts w:ascii="仿宋" w:eastAsia="仿宋" w:hAnsi="仿宋" w:cs="仿宋" w:hint="eastAsia"/>
                <w:color w:val="000000"/>
                <w:kern w:val="0"/>
                <w:sz w:val="24"/>
              </w:rPr>
              <w:t>企业、行政事业单位提交</w:t>
            </w:r>
          </w:p>
        </w:tc>
        <w:tc>
          <w:tcPr>
            <w:tcW w:w="2268" w:type="dxa"/>
            <w:vMerge w:val="restart"/>
            <w:tcBorders>
              <w:tl2br w:val="nil"/>
              <w:tr2bl w:val="nil"/>
            </w:tcBorders>
            <w:vAlign w:val="center"/>
          </w:tcPr>
          <w:p w:rsidR="00013EC7" w:rsidRDefault="00575CDB">
            <w:pPr>
              <w:widowControl/>
              <w:jc w:val="left"/>
              <w:textAlignment w:val="center"/>
              <w:rPr>
                <w:rFonts w:ascii="仿宋" w:eastAsia="仿宋" w:hAnsi="仿宋" w:cs="仿宋"/>
                <w:color w:val="000000"/>
                <w:kern w:val="0"/>
                <w:sz w:val="24"/>
              </w:rPr>
            </w:pPr>
            <w:r>
              <w:rPr>
                <w:rFonts w:ascii="仿宋" w:eastAsia="仿宋" w:hAnsi="仿宋" w:cs="仿宋" w:hint="eastAsia"/>
                <w:b/>
                <w:color w:val="000000"/>
                <w:kern w:val="0"/>
                <w:sz w:val="24"/>
              </w:rPr>
              <w:t>网上办理：</w:t>
            </w:r>
            <w:r>
              <w:rPr>
                <w:rFonts w:ascii="仿宋" w:eastAsia="仿宋" w:hAnsi="仿宋" w:cs="仿宋" w:hint="eastAsia"/>
                <w:color w:val="000000"/>
                <w:kern w:val="0"/>
                <w:sz w:val="24"/>
              </w:rPr>
              <w:t>登录浙江国税电子税务局（网址：http://etax.zjtax.gov.cn/）提交申请。</w:t>
            </w:r>
            <w:r>
              <w:rPr>
                <w:rFonts w:ascii="仿宋" w:eastAsia="仿宋" w:hAnsi="仿宋" w:cs="仿宋" w:hint="eastAsia"/>
                <w:b/>
                <w:color w:val="000000"/>
                <w:kern w:val="0"/>
                <w:sz w:val="24"/>
              </w:rPr>
              <w:br/>
              <w:t>现场办理：</w:t>
            </w:r>
            <w:r>
              <w:rPr>
                <w:rFonts w:ascii="仿宋" w:eastAsia="仿宋" w:hAnsi="仿宋" w:cs="仿宋" w:hint="eastAsia"/>
                <w:color w:val="000000"/>
                <w:kern w:val="0"/>
                <w:sz w:val="24"/>
              </w:rPr>
              <w:t>纳税人提交书面材料。</w:t>
            </w:r>
          </w:p>
          <w:p w:rsidR="00013EC7" w:rsidRDefault="00575CDB">
            <w:pPr>
              <w:widowControl/>
              <w:jc w:val="left"/>
              <w:textAlignment w:val="center"/>
              <w:rPr>
                <w:rFonts w:ascii="仿宋" w:eastAsia="仿宋" w:hAnsi="仿宋" w:cs="仿宋"/>
                <w:b/>
                <w:color w:val="000000"/>
                <w:sz w:val="24"/>
              </w:rPr>
            </w:pPr>
            <w:r>
              <w:rPr>
                <w:rFonts w:ascii="仿宋" w:eastAsia="仿宋" w:hAnsi="仿宋" w:cs="仿宋" w:hint="eastAsia"/>
                <w:b/>
                <w:color w:val="000000"/>
                <w:kern w:val="0"/>
                <w:sz w:val="24"/>
              </w:rPr>
              <w:t>APP办理：</w:t>
            </w:r>
            <w:r w:rsidR="006776D1">
              <w:rPr>
                <w:rFonts w:ascii="仿宋" w:eastAsia="仿宋" w:hAnsi="仿宋" w:cs="仿宋" w:hint="eastAsia"/>
                <w:color w:val="000000"/>
                <w:kern w:val="0"/>
                <w:sz w:val="24"/>
              </w:rPr>
              <w:t>登录浙江国税APP提交申请。</w:t>
            </w:r>
          </w:p>
        </w:tc>
        <w:tc>
          <w:tcPr>
            <w:tcW w:w="567" w:type="dxa"/>
            <w:vMerge/>
            <w:tcBorders>
              <w:tl2br w:val="nil"/>
              <w:tr2bl w:val="nil"/>
            </w:tcBorders>
          </w:tcPr>
          <w:p w:rsidR="00013EC7" w:rsidRDefault="00013EC7">
            <w:pPr>
              <w:jc w:val="center"/>
              <w:rPr>
                <w:rFonts w:ascii="仿宋" w:eastAsia="仿宋" w:hAnsi="仿宋" w:cs="仿宋"/>
                <w:color w:val="000000"/>
                <w:sz w:val="24"/>
              </w:rPr>
            </w:pPr>
          </w:p>
        </w:tc>
        <w:tc>
          <w:tcPr>
            <w:tcW w:w="851" w:type="dxa"/>
            <w:vMerge/>
            <w:tcBorders>
              <w:tl2br w:val="nil"/>
              <w:tr2bl w:val="nil"/>
            </w:tcBorders>
          </w:tcPr>
          <w:p w:rsidR="00013EC7" w:rsidRDefault="00013EC7">
            <w:pPr>
              <w:jc w:val="center"/>
              <w:rPr>
                <w:rFonts w:ascii="仿宋" w:eastAsia="仿宋" w:hAnsi="仿宋" w:cs="仿宋"/>
                <w:color w:val="000000"/>
                <w:sz w:val="24"/>
              </w:rPr>
            </w:pPr>
          </w:p>
        </w:tc>
        <w:tc>
          <w:tcPr>
            <w:tcW w:w="708" w:type="dxa"/>
            <w:vMerge/>
            <w:tcBorders>
              <w:tl2br w:val="nil"/>
              <w:tr2bl w:val="nil"/>
            </w:tcBorders>
          </w:tcPr>
          <w:p w:rsidR="00013EC7" w:rsidRDefault="00013EC7">
            <w:pPr>
              <w:jc w:val="center"/>
              <w:rPr>
                <w:rFonts w:ascii="仿宋" w:eastAsia="仿宋" w:hAnsi="仿宋" w:cs="仿宋"/>
                <w:color w:val="000000"/>
                <w:sz w:val="24"/>
              </w:rPr>
            </w:pPr>
          </w:p>
        </w:tc>
        <w:tc>
          <w:tcPr>
            <w:tcW w:w="993" w:type="dxa"/>
            <w:vMerge/>
            <w:tcBorders>
              <w:tl2br w:val="nil"/>
              <w:tr2bl w:val="nil"/>
            </w:tcBorders>
          </w:tcPr>
          <w:p w:rsidR="00013EC7" w:rsidRDefault="00013EC7">
            <w:pPr>
              <w:jc w:val="center"/>
              <w:rPr>
                <w:rFonts w:ascii="仿宋" w:eastAsia="仿宋" w:hAnsi="仿宋" w:cs="仿宋"/>
                <w:color w:val="000000"/>
                <w:sz w:val="24"/>
              </w:rPr>
            </w:pPr>
          </w:p>
        </w:tc>
        <w:tc>
          <w:tcPr>
            <w:tcW w:w="978" w:type="dxa"/>
            <w:vMerge/>
            <w:tcBorders>
              <w:tl2br w:val="nil"/>
              <w:tr2bl w:val="nil"/>
            </w:tcBorders>
          </w:tcPr>
          <w:p w:rsidR="00013EC7" w:rsidRDefault="00013EC7">
            <w:pPr>
              <w:rPr>
                <w:rFonts w:ascii="仿宋" w:eastAsia="仿宋" w:hAnsi="仿宋" w:cs="仿宋"/>
                <w:color w:val="000000"/>
                <w:sz w:val="24"/>
              </w:rPr>
            </w:pPr>
          </w:p>
        </w:tc>
      </w:tr>
      <w:tr w:rsidR="00013EC7">
        <w:trPr>
          <w:trHeight w:val="3720"/>
        </w:trPr>
        <w:tc>
          <w:tcPr>
            <w:tcW w:w="639" w:type="dxa"/>
            <w:vMerge/>
            <w:tcBorders>
              <w:tl2br w:val="nil"/>
              <w:tr2bl w:val="nil"/>
            </w:tcBorders>
            <w:vAlign w:val="center"/>
          </w:tcPr>
          <w:p w:rsidR="00013EC7" w:rsidRDefault="00013EC7">
            <w:pPr>
              <w:rPr>
                <w:rFonts w:ascii="仿宋" w:eastAsia="仿宋" w:hAnsi="仿宋" w:cs="仿宋"/>
                <w:color w:val="000000"/>
                <w:sz w:val="24"/>
              </w:rPr>
            </w:pPr>
          </w:p>
        </w:tc>
        <w:tc>
          <w:tcPr>
            <w:tcW w:w="510" w:type="dxa"/>
            <w:vMerge/>
            <w:tcBorders>
              <w:tl2br w:val="nil"/>
              <w:tr2bl w:val="nil"/>
            </w:tcBorders>
            <w:vAlign w:val="center"/>
          </w:tcPr>
          <w:p w:rsidR="00013EC7" w:rsidRDefault="00013EC7">
            <w:pPr>
              <w:rPr>
                <w:rFonts w:ascii="仿宋" w:eastAsia="仿宋" w:hAnsi="仿宋" w:cs="仿宋"/>
                <w:color w:val="000000"/>
                <w:sz w:val="24"/>
              </w:rPr>
            </w:pPr>
          </w:p>
        </w:tc>
        <w:tc>
          <w:tcPr>
            <w:tcW w:w="3544" w:type="dxa"/>
            <w:vMerge/>
            <w:tcBorders>
              <w:tl2br w:val="nil"/>
              <w:tr2bl w:val="nil"/>
            </w:tcBorders>
            <w:vAlign w:val="center"/>
          </w:tcPr>
          <w:p w:rsidR="00013EC7" w:rsidRDefault="00013EC7">
            <w:pPr>
              <w:rPr>
                <w:rFonts w:ascii="仿宋" w:eastAsia="仿宋" w:hAnsi="仿宋" w:cs="仿宋"/>
                <w:color w:val="000000"/>
                <w:sz w:val="24"/>
              </w:rPr>
            </w:pPr>
          </w:p>
        </w:tc>
        <w:tc>
          <w:tcPr>
            <w:tcW w:w="3260" w:type="dxa"/>
            <w:tcBorders>
              <w:tl2br w:val="nil"/>
              <w:tr2bl w:val="nil"/>
            </w:tcBorders>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color w:val="000000"/>
                <w:kern w:val="0"/>
                <w:sz w:val="24"/>
              </w:rPr>
              <w:t>（五十三）出售住房合同及收入证明材料原件及复印件（加盖公章）。</w:t>
            </w:r>
          </w:p>
        </w:tc>
        <w:tc>
          <w:tcPr>
            <w:tcW w:w="1418" w:type="dxa"/>
            <w:vMerge/>
            <w:tcBorders>
              <w:tl2br w:val="nil"/>
              <w:tr2bl w:val="nil"/>
            </w:tcBorders>
            <w:vAlign w:val="center"/>
          </w:tcPr>
          <w:p w:rsidR="00013EC7" w:rsidRDefault="00013EC7">
            <w:pPr>
              <w:widowControl/>
              <w:textAlignment w:val="center"/>
              <w:rPr>
                <w:rFonts w:ascii="仿宋" w:eastAsia="仿宋" w:hAnsi="仿宋" w:cs="仿宋"/>
                <w:color w:val="000000"/>
                <w:kern w:val="0"/>
                <w:sz w:val="24"/>
              </w:rPr>
            </w:pPr>
          </w:p>
        </w:tc>
        <w:tc>
          <w:tcPr>
            <w:tcW w:w="3118" w:type="dxa"/>
            <w:tcBorders>
              <w:tl2br w:val="nil"/>
              <w:tr2bl w:val="nil"/>
            </w:tcBorders>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color w:val="000000"/>
                <w:kern w:val="0"/>
                <w:sz w:val="24"/>
              </w:rPr>
              <w:t>（四十九）出售住房合同及收入证明材料原件及复印件（注明与原件一致，并加盖公章）。</w:t>
            </w:r>
          </w:p>
        </w:tc>
        <w:tc>
          <w:tcPr>
            <w:tcW w:w="1276" w:type="dxa"/>
            <w:vMerge/>
            <w:tcBorders>
              <w:tl2br w:val="nil"/>
              <w:tr2bl w:val="nil"/>
            </w:tcBorders>
            <w:vAlign w:val="center"/>
          </w:tcPr>
          <w:p w:rsidR="00013EC7" w:rsidRDefault="00013EC7">
            <w:pPr>
              <w:widowControl/>
              <w:jc w:val="left"/>
              <w:textAlignment w:val="center"/>
              <w:rPr>
                <w:rFonts w:ascii="仿宋" w:eastAsia="仿宋" w:hAnsi="仿宋" w:cs="仿宋"/>
                <w:color w:val="000000"/>
                <w:sz w:val="24"/>
              </w:rPr>
            </w:pPr>
          </w:p>
        </w:tc>
        <w:tc>
          <w:tcPr>
            <w:tcW w:w="2268" w:type="dxa"/>
            <w:vMerge/>
            <w:tcBorders>
              <w:tl2br w:val="nil"/>
              <w:tr2bl w:val="nil"/>
            </w:tcBorders>
            <w:vAlign w:val="center"/>
          </w:tcPr>
          <w:p w:rsidR="00013EC7" w:rsidRDefault="00013EC7">
            <w:pPr>
              <w:widowControl/>
              <w:textAlignment w:val="center"/>
              <w:rPr>
                <w:rFonts w:ascii="仿宋" w:eastAsia="仿宋" w:hAnsi="仿宋" w:cs="仿宋"/>
                <w:b/>
                <w:color w:val="000000"/>
                <w:sz w:val="24"/>
              </w:rPr>
            </w:pPr>
          </w:p>
        </w:tc>
        <w:tc>
          <w:tcPr>
            <w:tcW w:w="567" w:type="dxa"/>
            <w:vMerge/>
            <w:tcBorders>
              <w:tl2br w:val="nil"/>
              <w:tr2bl w:val="nil"/>
            </w:tcBorders>
          </w:tcPr>
          <w:p w:rsidR="00013EC7" w:rsidRDefault="00013EC7">
            <w:pPr>
              <w:jc w:val="center"/>
              <w:rPr>
                <w:rFonts w:ascii="仿宋" w:eastAsia="仿宋" w:hAnsi="仿宋" w:cs="仿宋"/>
                <w:color w:val="000000"/>
                <w:sz w:val="24"/>
              </w:rPr>
            </w:pPr>
          </w:p>
        </w:tc>
        <w:tc>
          <w:tcPr>
            <w:tcW w:w="851" w:type="dxa"/>
            <w:vMerge/>
            <w:tcBorders>
              <w:tl2br w:val="nil"/>
              <w:tr2bl w:val="nil"/>
            </w:tcBorders>
          </w:tcPr>
          <w:p w:rsidR="00013EC7" w:rsidRDefault="00013EC7">
            <w:pPr>
              <w:jc w:val="center"/>
              <w:rPr>
                <w:rFonts w:ascii="仿宋" w:eastAsia="仿宋" w:hAnsi="仿宋" w:cs="仿宋"/>
                <w:color w:val="000000"/>
                <w:sz w:val="24"/>
              </w:rPr>
            </w:pPr>
          </w:p>
        </w:tc>
        <w:tc>
          <w:tcPr>
            <w:tcW w:w="708" w:type="dxa"/>
            <w:vMerge/>
            <w:tcBorders>
              <w:tl2br w:val="nil"/>
              <w:tr2bl w:val="nil"/>
            </w:tcBorders>
          </w:tcPr>
          <w:p w:rsidR="00013EC7" w:rsidRDefault="00013EC7">
            <w:pPr>
              <w:jc w:val="center"/>
              <w:rPr>
                <w:rFonts w:ascii="仿宋" w:eastAsia="仿宋" w:hAnsi="仿宋" w:cs="仿宋"/>
                <w:color w:val="000000"/>
                <w:sz w:val="24"/>
              </w:rPr>
            </w:pPr>
          </w:p>
        </w:tc>
        <w:tc>
          <w:tcPr>
            <w:tcW w:w="993" w:type="dxa"/>
            <w:vMerge/>
            <w:tcBorders>
              <w:tl2br w:val="nil"/>
              <w:tr2bl w:val="nil"/>
            </w:tcBorders>
          </w:tcPr>
          <w:p w:rsidR="00013EC7" w:rsidRDefault="00013EC7">
            <w:pPr>
              <w:jc w:val="center"/>
              <w:rPr>
                <w:rFonts w:ascii="仿宋" w:eastAsia="仿宋" w:hAnsi="仿宋" w:cs="仿宋"/>
                <w:color w:val="000000"/>
                <w:sz w:val="24"/>
              </w:rPr>
            </w:pPr>
          </w:p>
        </w:tc>
        <w:tc>
          <w:tcPr>
            <w:tcW w:w="978" w:type="dxa"/>
            <w:vMerge/>
            <w:tcBorders>
              <w:tl2br w:val="nil"/>
              <w:tr2bl w:val="nil"/>
            </w:tcBorders>
            <w:vAlign w:val="center"/>
          </w:tcPr>
          <w:p w:rsidR="00013EC7" w:rsidRDefault="00013EC7">
            <w:pPr>
              <w:rPr>
                <w:rFonts w:ascii="仿宋" w:eastAsia="仿宋" w:hAnsi="仿宋" w:cs="仿宋"/>
                <w:color w:val="000000"/>
                <w:sz w:val="24"/>
              </w:rPr>
            </w:pPr>
          </w:p>
        </w:tc>
      </w:tr>
      <w:tr w:rsidR="00013EC7">
        <w:trPr>
          <w:trHeight w:val="2670"/>
        </w:trPr>
        <w:tc>
          <w:tcPr>
            <w:tcW w:w="639" w:type="dxa"/>
            <w:vMerge/>
            <w:tcBorders>
              <w:tl2br w:val="nil"/>
              <w:tr2bl w:val="nil"/>
            </w:tcBorders>
            <w:vAlign w:val="center"/>
          </w:tcPr>
          <w:p w:rsidR="00013EC7" w:rsidRDefault="00013EC7">
            <w:pPr>
              <w:rPr>
                <w:rFonts w:ascii="仿宋" w:eastAsia="仿宋" w:hAnsi="仿宋" w:cs="仿宋"/>
                <w:color w:val="000000"/>
                <w:sz w:val="24"/>
              </w:rPr>
            </w:pPr>
          </w:p>
        </w:tc>
        <w:tc>
          <w:tcPr>
            <w:tcW w:w="510" w:type="dxa"/>
            <w:vMerge/>
            <w:tcBorders>
              <w:tl2br w:val="nil"/>
              <w:tr2bl w:val="nil"/>
            </w:tcBorders>
            <w:vAlign w:val="center"/>
          </w:tcPr>
          <w:p w:rsidR="00013EC7" w:rsidRDefault="00013EC7">
            <w:pPr>
              <w:rPr>
                <w:rFonts w:ascii="仿宋" w:eastAsia="仿宋" w:hAnsi="仿宋" w:cs="仿宋"/>
                <w:color w:val="000000"/>
                <w:sz w:val="24"/>
              </w:rPr>
            </w:pPr>
          </w:p>
        </w:tc>
        <w:tc>
          <w:tcPr>
            <w:tcW w:w="3544" w:type="dxa"/>
            <w:vMerge/>
            <w:tcBorders>
              <w:tl2br w:val="nil"/>
              <w:tr2bl w:val="nil"/>
            </w:tcBorders>
            <w:vAlign w:val="center"/>
          </w:tcPr>
          <w:p w:rsidR="00013EC7" w:rsidRDefault="00013EC7">
            <w:pPr>
              <w:rPr>
                <w:rFonts w:ascii="仿宋" w:eastAsia="仿宋" w:hAnsi="仿宋" w:cs="仿宋"/>
                <w:color w:val="000000"/>
                <w:sz w:val="24"/>
              </w:rPr>
            </w:pPr>
          </w:p>
        </w:tc>
        <w:tc>
          <w:tcPr>
            <w:tcW w:w="3260" w:type="dxa"/>
            <w:tcBorders>
              <w:tl2br w:val="nil"/>
              <w:tr2bl w:val="nil"/>
            </w:tcBorders>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color w:val="000000"/>
                <w:kern w:val="0"/>
                <w:sz w:val="24"/>
              </w:rPr>
              <w:t>（五十四）转让或发包（或出租）土地使用权的合同原件及复印件（加盖公章）。</w:t>
            </w:r>
          </w:p>
        </w:tc>
        <w:tc>
          <w:tcPr>
            <w:tcW w:w="1418" w:type="dxa"/>
            <w:tcBorders>
              <w:tl2br w:val="nil"/>
              <w:tr2bl w:val="nil"/>
            </w:tcBorders>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color w:val="000000"/>
                <w:kern w:val="0"/>
                <w:sz w:val="24"/>
              </w:rPr>
              <w:t>符合将土地使用权转让给农业生产者用于农业生产免征增值税优惠条件的纳税人提交</w:t>
            </w:r>
          </w:p>
        </w:tc>
        <w:tc>
          <w:tcPr>
            <w:tcW w:w="3118" w:type="dxa"/>
            <w:tcBorders>
              <w:tl2br w:val="nil"/>
              <w:tr2bl w:val="nil"/>
            </w:tcBorders>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color w:val="000000"/>
                <w:kern w:val="0"/>
                <w:sz w:val="24"/>
              </w:rPr>
              <w:t>（五十）转让或发包（或出租）土地使用权的合同原件及复印件（注明与原件一致，并加盖公章）。</w:t>
            </w:r>
          </w:p>
        </w:tc>
        <w:tc>
          <w:tcPr>
            <w:tcW w:w="1276" w:type="dxa"/>
            <w:tcBorders>
              <w:tl2br w:val="nil"/>
              <w:tr2bl w:val="nil"/>
            </w:tcBorders>
            <w:vAlign w:val="center"/>
          </w:tcPr>
          <w:p w:rsidR="00013EC7" w:rsidRDefault="00575CDB">
            <w:pPr>
              <w:widowControl/>
              <w:jc w:val="left"/>
              <w:textAlignment w:val="center"/>
              <w:rPr>
                <w:rFonts w:ascii="仿宋" w:eastAsia="仿宋" w:hAnsi="仿宋" w:cs="仿宋"/>
                <w:color w:val="000000"/>
                <w:sz w:val="24"/>
              </w:rPr>
            </w:pPr>
            <w:r>
              <w:rPr>
                <w:rFonts w:ascii="仿宋" w:eastAsia="仿宋" w:hAnsi="仿宋" w:cs="仿宋" w:hint="eastAsia"/>
                <w:color w:val="000000"/>
                <w:sz w:val="24"/>
              </w:rPr>
              <w:t>转让</w:t>
            </w:r>
            <w:r>
              <w:rPr>
                <w:rFonts w:ascii="仿宋" w:eastAsia="仿宋" w:hAnsi="仿宋" w:cs="仿宋" w:hint="eastAsia"/>
                <w:color w:val="000000"/>
                <w:kern w:val="0"/>
                <w:sz w:val="24"/>
              </w:rPr>
              <w:t>土地使用权的纳税人提交</w:t>
            </w:r>
          </w:p>
        </w:tc>
        <w:tc>
          <w:tcPr>
            <w:tcW w:w="2268" w:type="dxa"/>
            <w:vMerge/>
            <w:tcBorders>
              <w:tl2br w:val="nil"/>
              <w:tr2bl w:val="nil"/>
            </w:tcBorders>
            <w:vAlign w:val="center"/>
          </w:tcPr>
          <w:p w:rsidR="00013EC7" w:rsidRDefault="00013EC7">
            <w:pPr>
              <w:widowControl/>
              <w:jc w:val="left"/>
              <w:textAlignment w:val="center"/>
              <w:rPr>
                <w:rFonts w:ascii="仿宋" w:eastAsia="仿宋" w:hAnsi="仿宋" w:cs="仿宋"/>
                <w:b/>
                <w:color w:val="000000"/>
                <w:sz w:val="24"/>
              </w:rPr>
            </w:pPr>
          </w:p>
        </w:tc>
        <w:tc>
          <w:tcPr>
            <w:tcW w:w="567" w:type="dxa"/>
            <w:vMerge/>
            <w:tcBorders>
              <w:tl2br w:val="nil"/>
              <w:tr2bl w:val="nil"/>
            </w:tcBorders>
          </w:tcPr>
          <w:p w:rsidR="00013EC7" w:rsidRDefault="00013EC7">
            <w:pPr>
              <w:jc w:val="center"/>
              <w:rPr>
                <w:rFonts w:ascii="仿宋" w:eastAsia="仿宋" w:hAnsi="仿宋" w:cs="仿宋"/>
                <w:color w:val="000000"/>
                <w:sz w:val="24"/>
              </w:rPr>
            </w:pPr>
          </w:p>
        </w:tc>
        <w:tc>
          <w:tcPr>
            <w:tcW w:w="851" w:type="dxa"/>
            <w:vMerge/>
            <w:tcBorders>
              <w:tl2br w:val="nil"/>
              <w:tr2bl w:val="nil"/>
            </w:tcBorders>
          </w:tcPr>
          <w:p w:rsidR="00013EC7" w:rsidRDefault="00013EC7">
            <w:pPr>
              <w:jc w:val="center"/>
              <w:rPr>
                <w:rFonts w:ascii="仿宋" w:eastAsia="仿宋" w:hAnsi="仿宋" w:cs="仿宋"/>
                <w:color w:val="000000"/>
                <w:sz w:val="24"/>
              </w:rPr>
            </w:pPr>
          </w:p>
        </w:tc>
        <w:tc>
          <w:tcPr>
            <w:tcW w:w="708" w:type="dxa"/>
            <w:vMerge/>
            <w:tcBorders>
              <w:tl2br w:val="nil"/>
              <w:tr2bl w:val="nil"/>
            </w:tcBorders>
          </w:tcPr>
          <w:p w:rsidR="00013EC7" w:rsidRDefault="00013EC7">
            <w:pPr>
              <w:jc w:val="center"/>
              <w:rPr>
                <w:rFonts w:ascii="仿宋" w:eastAsia="仿宋" w:hAnsi="仿宋" w:cs="仿宋"/>
                <w:color w:val="000000"/>
                <w:sz w:val="24"/>
              </w:rPr>
            </w:pPr>
          </w:p>
        </w:tc>
        <w:tc>
          <w:tcPr>
            <w:tcW w:w="993" w:type="dxa"/>
            <w:vMerge/>
            <w:tcBorders>
              <w:tl2br w:val="nil"/>
              <w:tr2bl w:val="nil"/>
            </w:tcBorders>
          </w:tcPr>
          <w:p w:rsidR="00013EC7" w:rsidRDefault="00013EC7">
            <w:pPr>
              <w:jc w:val="center"/>
              <w:rPr>
                <w:rFonts w:ascii="仿宋" w:eastAsia="仿宋" w:hAnsi="仿宋" w:cs="仿宋"/>
                <w:color w:val="000000"/>
                <w:sz w:val="24"/>
              </w:rPr>
            </w:pPr>
          </w:p>
        </w:tc>
        <w:tc>
          <w:tcPr>
            <w:tcW w:w="978" w:type="dxa"/>
            <w:vMerge/>
            <w:tcBorders>
              <w:tl2br w:val="nil"/>
              <w:tr2bl w:val="nil"/>
            </w:tcBorders>
            <w:vAlign w:val="center"/>
          </w:tcPr>
          <w:p w:rsidR="00013EC7" w:rsidRDefault="00013EC7">
            <w:pPr>
              <w:rPr>
                <w:rFonts w:ascii="仿宋" w:eastAsia="仿宋" w:hAnsi="仿宋" w:cs="仿宋"/>
                <w:color w:val="000000"/>
                <w:sz w:val="24"/>
              </w:rPr>
            </w:pPr>
          </w:p>
        </w:tc>
      </w:tr>
      <w:tr w:rsidR="00013EC7">
        <w:trPr>
          <w:trHeight w:val="3150"/>
        </w:trPr>
        <w:tc>
          <w:tcPr>
            <w:tcW w:w="639" w:type="dxa"/>
            <w:vMerge/>
            <w:tcBorders>
              <w:tl2br w:val="nil"/>
              <w:tr2bl w:val="nil"/>
            </w:tcBorders>
            <w:vAlign w:val="center"/>
          </w:tcPr>
          <w:p w:rsidR="00013EC7" w:rsidRDefault="00013EC7">
            <w:pPr>
              <w:rPr>
                <w:rFonts w:ascii="仿宋" w:eastAsia="仿宋" w:hAnsi="仿宋" w:cs="仿宋"/>
                <w:color w:val="000000"/>
                <w:sz w:val="24"/>
              </w:rPr>
            </w:pPr>
          </w:p>
        </w:tc>
        <w:tc>
          <w:tcPr>
            <w:tcW w:w="510" w:type="dxa"/>
            <w:vMerge/>
            <w:tcBorders>
              <w:tl2br w:val="nil"/>
              <w:tr2bl w:val="nil"/>
            </w:tcBorders>
            <w:vAlign w:val="center"/>
          </w:tcPr>
          <w:p w:rsidR="00013EC7" w:rsidRDefault="00013EC7">
            <w:pPr>
              <w:rPr>
                <w:rFonts w:ascii="仿宋" w:eastAsia="仿宋" w:hAnsi="仿宋" w:cs="仿宋"/>
                <w:color w:val="000000"/>
                <w:sz w:val="24"/>
              </w:rPr>
            </w:pPr>
          </w:p>
        </w:tc>
        <w:tc>
          <w:tcPr>
            <w:tcW w:w="3544" w:type="dxa"/>
            <w:vMerge/>
            <w:tcBorders>
              <w:tl2br w:val="nil"/>
              <w:tr2bl w:val="nil"/>
            </w:tcBorders>
            <w:vAlign w:val="center"/>
          </w:tcPr>
          <w:p w:rsidR="00013EC7" w:rsidRDefault="00013EC7">
            <w:pPr>
              <w:rPr>
                <w:rFonts w:ascii="仿宋" w:eastAsia="仿宋" w:hAnsi="仿宋" w:cs="仿宋"/>
                <w:color w:val="000000"/>
                <w:sz w:val="24"/>
              </w:rPr>
            </w:pPr>
          </w:p>
        </w:tc>
        <w:tc>
          <w:tcPr>
            <w:tcW w:w="3260" w:type="dxa"/>
            <w:tcBorders>
              <w:tl2br w:val="nil"/>
              <w:tr2bl w:val="nil"/>
            </w:tcBorders>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color w:val="000000"/>
                <w:kern w:val="0"/>
                <w:sz w:val="24"/>
              </w:rPr>
              <w:t>（五十四）转让或发包（或出租）土地使用权的合同原件及复印件（加盖公章）。</w:t>
            </w:r>
          </w:p>
        </w:tc>
        <w:tc>
          <w:tcPr>
            <w:tcW w:w="1418" w:type="dxa"/>
            <w:tcBorders>
              <w:tl2br w:val="nil"/>
              <w:tr2bl w:val="nil"/>
            </w:tcBorders>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color w:val="000000"/>
                <w:kern w:val="0"/>
                <w:sz w:val="24"/>
              </w:rPr>
              <w:t>符合土地所有者出让土地使用权和土地使用者将土地使用权归还给土地所有者免征增值税优惠条件的纳税人提交</w:t>
            </w:r>
          </w:p>
        </w:tc>
        <w:tc>
          <w:tcPr>
            <w:tcW w:w="3118" w:type="dxa"/>
            <w:tcBorders>
              <w:tl2br w:val="nil"/>
              <w:tr2bl w:val="nil"/>
            </w:tcBorders>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color w:val="000000"/>
                <w:kern w:val="0"/>
                <w:sz w:val="24"/>
              </w:rPr>
              <w:t>（五十）转让或发包（或出租）土地使用权的合同原件及复印件（注明与原件一致，并加盖公章）。</w:t>
            </w:r>
          </w:p>
        </w:tc>
        <w:tc>
          <w:tcPr>
            <w:tcW w:w="1276" w:type="dxa"/>
            <w:tcBorders>
              <w:tl2br w:val="nil"/>
              <w:tr2bl w:val="nil"/>
            </w:tcBorders>
            <w:vAlign w:val="center"/>
          </w:tcPr>
          <w:p w:rsidR="00013EC7" w:rsidRDefault="00575CDB">
            <w:pPr>
              <w:widowControl/>
              <w:jc w:val="left"/>
              <w:textAlignment w:val="center"/>
              <w:rPr>
                <w:rFonts w:ascii="仿宋" w:eastAsia="仿宋" w:hAnsi="仿宋" w:cs="仿宋"/>
                <w:color w:val="000000"/>
                <w:sz w:val="24"/>
              </w:rPr>
            </w:pPr>
            <w:r>
              <w:rPr>
                <w:rFonts w:ascii="仿宋" w:eastAsia="仿宋" w:hAnsi="仿宋" w:cs="仿宋" w:hint="eastAsia"/>
                <w:color w:val="000000"/>
                <w:sz w:val="24"/>
              </w:rPr>
              <w:t>土地所有者或土地使用者提交</w:t>
            </w:r>
          </w:p>
        </w:tc>
        <w:tc>
          <w:tcPr>
            <w:tcW w:w="2268" w:type="dxa"/>
            <w:vMerge/>
            <w:tcBorders>
              <w:tl2br w:val="nil"/>
              <w:tr2bl w:val="nil"/>
            </w:tcBorders>
            <w:vAlign w:val="center"/>
          </w:tcPr>
          <w:p w:rsidR="00013EC7" w:rsidRDefault="00013EC7">
            <w:pPr>
              <w:widowControl/>
              <w:jc w:val="left"/>
              <w:textAlignment w:val="center"/>
              <w:rPr>
                <w:rFonts w:ascii="仿宋" w:eastAsia="仿宋" w:hAnsi="仿宋" w:cs="仿宋"/>
                <w:b/>
                <w:color w:val="000000"/>
                <w:sz w:val="24"/>
              </w:rPr>
            </w:pPr>
          </w:p>
        </w:tc>
        <w:tc>
          <w:tcPr>
            <w:tcW w:w="567" w:type="dxa"/>
            <w:vMerge/>
            <w:tcBorders>
              <w:tl2br w:val="nil"/>
              <w:tr2bl w:val="nil"/>
            </w:tcBorders>
          </w:tcPr>
          <w:p w:rsidR="00013EC7" w:rsidRDefault="00013EC7">
            <w:pPr>
              <w:jc w:val="center"/>
              <w:rPr>
                <w:rFonts w:ascii="仿宋" w:eastAsia="仿宋" w:hAnsi="仿宋" w:cs="仿宋"/>
                <w:color w:val="000000"/>
                <w:sz w:val="24"/>
              </w:rPr>
            </w:pPr>
          </w:p>
        </w:tc>
        <w:tc>
          <w:tcPr>
            <w:tcW w:w="851" w:type="dxa"/>
            <w:vMerge/>
            <w:tcBorders>
              <w:tl2br w:val="nil"/>
              <w:tr2bl w:val="nil"/>
            </w:tcBorders>
          </w:tcPr>
          <w:p w:rsidR="00013EC7" w:rsidRDefault="00013EC7">
            <w:pPr>
              <w:jc w:val="center"/>
              <w:rPr>
                <w:rFonts w:ascii="仿宋" w:eastAsia="仿宋" w:hAnsi="仿宋" w:cs="仿宋"/>
                <w:color w:val="000000"/>
                <w:sz w:val="24"/>
              </w:rPr>
            </w:pPr>
          </w:p>
        </w:tc>
        <w:tc>
          <w:tcPr>
            <w:tcW w:w="708" w:type="dxa"/>
            <w:vMerge/>
            <w:tcBorders>
              <w:tl2br w:val="nil"/>
              <w:tr2bl w:val="nil"/>
            </w:tcBorders>
          </w:tcPr>
          <w:p w:rsidR="00013EC7" w:rsidRDefault="00013EC7">
            <w:pPr>
              <w:jc w:val="center"/>
              <w:rPr>
                <w:rFonts w:ascii="仿宋" w:eastAsia="仿宋" w:hAnsi="仿宋" w:cs="仿宋"/>
                <w:color w:val="000000"/>
                <w:sz w:val="24"/>
              </w:rPr>
            </w:pPr>
          </w:p>
        </w:tc>
        <w:tc>
          <w:tcPr>
            <w:tcW w:w="993" w:type="dxa"/>
            <w:vMerge/>
            <w:tcBorders>
              <w:tl2br w:val="nil"/>
              <w:tr2bl w:val="nil"/>
            </w:tcBorders>
          </w:tcPr>
          <w:p w:rsidR="00013EC7" w:rsidRDefault="00013EC7">
            <w:pPr>
              <w:jc w:val="center"/>
              <w:rPr>
                <w:rFonts w:ascii="仿宋" w:eastAsia="仿宋" w:hAnsi="仿宋" w:cs="仿宋"/>
                <w:color w:val="000000"/>
                <w:sz w:val="24"/>
              </w:rPr>
            </w:pPr>
          </w:p>
        </w:tc>
        <w:tc>
          <w:tcPr>
            <w:tcW w:w="978" w:type="dxa"/>
            <w:vMerge/>
            <w:tcBorders>
              <w:tl2br w:val="nil"/>
              <w:tr2bl w:val="nil"/>
            </w:tcBorders>
            <w:vAlign w:val="center"/>
          </w:tcPr>
          <w:p w:rsidR="00013EC7" w:rsidRDefault="00013EC7">
            <w:pPr>
              <w:rPr>
                <w:rFonts w:ascii="仿宋" w:eastAsia="仿宋" w:hAnsi="仿宋" w:cs="仿宋"/>
                <w:color w:val="000000"/>
                <w:sz w:val="24"/>
              </w:rPr>
            </w:pPr>
          </w:p>
        </w:tc>
      </w:tr>
      <w:tr w:rsidR="00013EC7">
        <w:trPr>
          <w:trHeight w:val="1020"/>
        </w:trPr>
        <w:tc>
          <w:tcPr>
            <w:tcW w:w="639" w:type="dxa"/>
            <w:vMerge/>
            <w:tcBorders>
              <w:tl2br w:val="nil"/>
              <w:tr2bl w:val="nil"/>
            </w:tcBorders>
            <w:vAlign w:val="center"/>
          </w:tcPr>
          <w:p w:rsidR="00013EC7" w:rsidRDefault="00013EC7">
            <w:pPr>
              <w:rPr>
                <w:rFonts w:ascii="仿宋" w:eastAsia="仿宋" w:hAnsi="仿宋" w:cs="仿宋"/>
                <w:color w:val="000000"/>
                <w:sz w:val="24"/>
              </w:rPr>
            </w:pPr>
          </w:p>
        </w:tc>
        <w:tc>
          <w:tcPr>
            <w:tcW w:w="510" w:type="dxa"/>
            <w:vMerge/>
            <w:tcBorders>
              <w:tl2br w:val="nil"/>
              <w:tr2bl w:val="nil"/>
            </w:tcBorders>
            <w:vAlign w:val="center"/>
          </w:tcPr>
          <w:p w:rsidR="00013EC7" w:rsidRDefault="00013EC7">
            <w:pPr>
              <w:rPr>
                <w:rFonts w:ascii="仿宋" w:eastAsia="仿宋" w:hAnsi="仿宋" w:cs="仿宋"/>
                <w:color w:val="000000"/>
                <w:sz w:val="24"/>
              </w:rPr>
            </w:pPr>
          </w:p>
        </w:tc>
        <w:tc>
          <w:tcPr>
            <w:tcW w:w="3544" w:type="dxa"/>
            <w:vMerge/>
            <w:tcBorders>
              <w:tl2br w:val="nil"/>
              <w:tr2bl w:val="nil"/>
            </w:tcBorders>
            <w:vAlign w:val="center"/>
          </w:tcPr>
          <w:p w:rsidR="00013EC7" w:rsidRDefault="00013EC7">
            <w:pPr>
              <w:rPr>
                <w:rFonts w:ascii="仿宋" w:eastAsia="仿宋" w:hAnsi="仿宋" w:cs="仿宋"/>
                <w:color w:val="000000"/>
                <w:sz w:val="24"/>
              </w:rPr>
            </w:pPr>
          </w:p>
        </w:tc>
        <w:tc>
          <w:tcPr>
            <w:tcW w:w="3260" w:type="dxa"/>
            <w:tcBorders>
              <w:tl2br w:val="nil"/>
              <w:tr2bl w:val="nil"/>
            </w:tcBorders>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color w:val="000000"/>
                <w:kern w:val="0"/>
                <w:sz w:val="24"/>
              </w:rPr>
              <w:t>（五十五）房屋买卖协议原件及复印件（加盖公章）。</w:t>
            </w:r>
          </w:p>
        </w:tc>
        <w:tc>
          <w:tcPr>
            <w:tcW w:w="1418" w:type="dxa"/>
            <w:vMerge w:val="restart"/>
            <w:tcBorders>
              <w:tl2br w:val="nil"/>
              <w:tr2bl w:val="nil"/>
            </w:tcBorders>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color w:val="000000"/>
                <w:kern w:val="0"/>
                <w:sz w:val="24"/>
              </w:rPr>
              <w:t>符合个人将购买2年以上（含2年）的住房对外销售免征增值税优惠条件的纳税人提交</w:t>
            </w:r>
          </w:p>
        </w:tc>
        <w:tc>
          <w:tcPr>
            <w:tcW w:w="3118" w:type="dxa"/>
            <w:tcBorders>
              <w:tl2br w:val="nil"/>
              <w:tr2bl w:val="nil"/>
            </w:tcBorders>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color w:val="000000"/>
                <w:kern w:val="0"/>
                <w:sz w:val="24"/>
              </w:rPr>
              <w:t>（五十一）房屋买卖协议原件及复印件（注明与原件一致，并加盖公章）。</w:t>
            </w:r>
          </w:p>
        </w:tc>
        <w:tc>
          <w:tcPr>
            <w:tcW w:w="1276" w:type="dxa"/>
            <w:vMerge w:val="restart"/>
            <w:tcBorders>
              <w:tl2br w:val="nil"/>
              <w:tr2bl w:val="nil"/>
            </w:tcBorders>
            <w:vAlign w:val="center"/>
          </w:tcPr>
          <w:p w:rsidR="00013EC7" w:rsidRDefault="00575CDB">
            <w:pPr>
              <w:widowControl/>
              <w:jc w:val="left"/>
              <w:textAlignment w:val="center"/>
              <w:rPr>
                <w:rFonts w:ascii="仿宋" w:eastAsia="仿宋" w:hAnsi="仿宋" w:cs="仿宋"/>
                <w:color w:val="000000"/>
                <w:sz w:val="24"/>
              </w:rPr>
            </w:pPr>
            <w:r>
              <w:rPr>
                <w:rFonts w:ascii="仿宋" w:eastAsia="仿宋" w:hAnsi="仿宋" w:cs="仿宋" w:hint="eastAsia"/>
                <w:color w:val="000000"/>
                <w:kern w:val="0"/>
                <w:sz w:val="24"/>
              </w:rPr>
              <w:t>个人将购买2年以上（含2年）的住房对外销售</w:t>
            </w:r>
            <w:r>
              <w:rPr>
                <w:rFonts w:ascii="仿宋" w:eastAsia="仿宋" w:hAnsi="仿宋" w:cs="仿宋" w:hint="eastAsia"/>
                <w:color w:val="000000"/>
                <w:sz w:val="24"/>
              </w:rPr>
              <w:t>纳税人提交</w:t>
            </w:r>
          </w:p>
        </w:tc>
        <w:tc>
          <w:tcPr>
            <w:tcW w:w="2268" w:type="dxa"/>
            <w:vMerge/>
            <w:tcBorders>
              <w:tl2br w:val="nil"/>
              <w:tr2bl w:val="nil"/>
            </w:tcBorders>
            <w:vAlign w:val="center"/>
          </w:tcPr>
          <w:p w:rsidR="00013EC7" w:rsidRDefault="00013EC7">
            <w:pPr>
              <w:jc w:val="left"/>
              <w:rPr>
                <w:rFonts w:ascii="仿宋" w:eastAsia="仿宋" w:hAnsi="仿宋" w:cs="仿宋"/>
                <w:color w:val="000000"/>
                <w:sz w:val="24"/>
              </w:rPr>
            </w:pPr>
          </w:p>
        </w:tc>
        <w:tc>
          <w:tcPr>
            <w:tcW w:w="567" w:type="dxa"/>
            <w:vMerge/>
            <w:tcBorders>
              <w:tl2br w:val="nil"/>
              <w:tr2bl w:val="nil"/>
            </w:tcBorders>
          </w:tcPr>
          <w:p w:rsidR="00013EC7" w:rsidRDefault="00013EC7">
            <w:pPr>
              <w:jc w:val="center"/>
              <w:rPr>
                <w:rFonts w:ascii="仿宋" w:eastAsia="仿宋" w:hAnsi="仿宋" w:cs="仿宋"/>
                <w:color w:val="000000"/>
                <w:sz w:val="24"/>
              </w:rPr>
            </w:pPr>
          </w:p>
        </w:tc>
        <w:tc>
          <w:tcPr>
            <w:tcW w:w="851" w:type="dxa"/>
            <w:vMerge/>
            <w:tcBorders>
              <w:tl2br w:val="nil"/>
              <w:tr2bl w:val="nil"/>
            </w:tcBorders>
          </w:tcPr>
          <w:p w:rsidR="00013EC7" w:rsidRDefault="00013EC7">
            <w:pPr>
              <w:jc w:val="center"/>
              <w:rPr>
                <w:rFonts w:ascii="仿宋" w:eastAsia="仿宋" w:hAnsi="仿宋" w:cs="仿宋"/>
                <w:color w:val="000000"/>
                <w:sz w:val="24"/>
              </w:rPr>
            </w:pPr>
          </w:p>
        </w:tc>
        <w:tc>
          <w:tcPr>
            <w:tcW w:w="708" w:type="dxa"/>
            <w:vMerge/>
            <w:tcBorders>
              <w:tl2br w:val="nil"/>
              <w:tr2bl w:val="nil"/>
            </w:tcBorders>
          </w:tcPr>
          <w:p w:rsidR="00013EC7" w:rsidRDefault="00013EC7">
            <w:pPr>
              <w:jc w:val="center"/>
              <w:rPr>
                <w:rFonts w:ascii="仿宋" w:eastAsia="仿宋" w:hAnsi="仿宋" w:cs="仿宋"/>
                <w:color w:val="000000"/>
                <w:sz w:val="24"/>
              </w:rPr>
            </w:pPr>
          </w:p>
        </w:tc>
        <w:tc>
          <w:tcPr>
            <w:tcW w:w="993" w:type="dxa"/>
            <w:vMerge/>
            <w:tcBorders>
              <w:tl2br w:val="nil"/>
              <w:tr2bl w:val="nil"/>
            </w:tcBorders>
          </w:tcPr>
          <w:p w:rsidR="00013EC7" w:rsidRDefault="00013EC7">
            <w:pPr>
              <w:jc w:val="center"/>
              <w:rPr>
                <w:rFonts w:ascii="仿宋" w:eastAsia="仿宋" w:hAnsi="仿宋" w:cs="仿宋"/>
                <w:color w:val="000000"/>
                <w:sz w:val="24"/>
              </w:rPr>
            </w:pPr>
          </w:p>
        </w:tc>
        <w:tc>
          <w:tcPr>
            <w:tcW w:w="978" w:type="dxa"/>
            <w:vMerge/>
            <w:tcBorders>
              <w:tl2br w:val="nil"/>
              <w:tr2bl w:val="nil"/>
            </w:tcBorders>
          </w:tcPr>
          <w:p w:rsidR="00013EC7" w:rsidRDefault="00013EC7">
            <w:pPr>
              <w:rPr>
                <w:rFonts w:ascii="仿宋" w:eastAsia="仿宋" w:hAnsi="仿宋" w:cs="仿宋"/>
                <w:color w:val="000000"/>
                <w:sz w:val="24"/>
              </w:rPr>
            </w:pPr>
          </w:p>
        </w:tc>
      </w:tr>
      <w:tr w:rsidR="00013EC7">
        <w:trPr>
          <w:trHeight w:val="936"/>
        </w:trPr>
        <w:tc>
          <w:tcPr>
            <w:tcW w:w="639" w:type="dxa"/>
            <w:vMerge/>
            <w:tcBorders>
              <w:tl2br w:val="nil"/>
              <w:tr2bl w:val="nil"/>
            </w:tcBorders>
            <w:vAlign w:val="center"/>
          </w:tcPr>
          <w:p w:rsidR="00013EC7" w:rsidRDefault="00013EC7">
            <w:pPr>
              <w:rPr>
                <w:rFonts w:ascii="仿宋" w:eastAsia="仿宋" w:hAnsi="仿宋" w:cs="仿宋"/>
                <w:color w:val="000000"/>
                <w:sz w:val="24"/>
              </w:rPr>
            </w:pPr>
          </w:p>
        </w:tc>
        <w:tc>
          <w:tcPr>
            <w:tcW w:w="510" w:type="dxa"/>
            <w:vMerge/>
            <w:tcBorders>
              <w:tl2br w:val="nil"/>
              <w:tr2bl w:val="nil"/>
            </w:tcBorders>
            <w:vAlign w:val="center"/>
          </w:tcPr>
          <w:p w:rsidR="00013EC7" w:rsidRDefault="00013EC7">
            <w:pPr>
              <w:rPr>
                <w:rFonts w:ascii="仿宋" w:eastAsia="仿宋" w:hAnsi="仿宋" w:cs="仿宋"/>
                <w:color w:val="000000"/>
                <w:sz w:val="24"/>
              </w:rPr>
            </w:pPr>
          </w:p>
        </w:tc>
        <w:tc>
          <w:tcPr>
            <w:tcW w:w="3544" w:type="dxa"/>
            <w:vMerge/>
            <w:tcBorders>
              <w:tl2br w:val="nil"/>
              <w:tr2bl w:val="nil"/>
            </w:tcBorders>
            <w:vAlign w:val="center"/>
          </w:tcPr>
          <w:p w:rsidR="00013EC7" w:rsidRDefault="00013EC7">
            <w:pPr>
              <w:rPr>
                <w:rFonts w:ascii="仿宋" w:eastAsia="仿宋" w:hAnsi="仿宋" w:cs="仿宋"/>
                <w:color w:val="000000"/>
                <w:sz w:val="24"/>
              </w:rPr>
            </w:pPr>
          </w:p>
        </w:tc>
        <w:tc>
          <w:tcPr>
            <w:tcW w:w="3260" w:type="dxa"/>
            <w:tcBorders>
              <w:tl2br w:val="nil"/>
              <w:tr2bl w:val="nil"/>
            </w:tcBorders>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color w:val="000000"/>
                <w:kern w:val="0"/>
                <w:sz w:val="24"/>
              </w:rPr>
              <w:t>（五十六）房屋产权证原件及复印件（加盖公章）。</w:t>
            </w:r>
          </w:p>
        </w:tc>
        <w:tc>
          <w:tcPr>
            <w:tcW w:w="1418" w:type="dxa"/>
            <w:vMerge/>
            <w:tcBorders>
              <w:tl2br w:val="nil"/>
              <w:tr2bl w:val="nil"/>
            </w:tcBorders>
            <w:vAlign w:val="center"/>
          </w:tcPr>
          <w:p w:rsidR="00013EC7" w:rsidRDefault="00013EC7">
            <w:pPr>
              <w:widowControl/>
              <w:textAlignment w:val="center"/>
              <w:rPr>
                <w:rFonts w:ascii="仿宋" w:eastAsia="仿宋" w:hAnsi="仿宋" w:cs="仿宋"/>
                <w:color w:val="000000"/>
                <w:kern w:val="0"/>
                <w:sz w:val="24"/>
              </w:rPr>
            </w:pPr>
          </w:p>
        </w:tc>
        <w:tc>
          <w:tcPr>
            <w:tcW w:w="3118" w:type="dxa"/>
            <w:tcBorders>
              <w:tl2br w:val="nil"/>
              <w:tr2bl w:val="nil"/>
            </w:tcBorders>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color w:val="000000"/>
                <w:kern w:val="0"/>
                <w:sz w:val="24"/>
              </w:rPr>
              <w:t>（五十二）房屋产权证原件及复印件（注明与原件一致，并加盖公章）。</w:t>
            </w:r>
          </w:p>
        </w:tc>
        <w:tc>
          <w:tcPr>
            <w:tcW w:w="1276" w:type="dxa"/>
            <w:vMerge/>
            <w:tcBorders>
              <w:tl2br w:val="nil"/>
              <w:tr2bl w:val="nil"/>
            </w:tcBorders>
            <w:vAlign w:val="center"/>
          </w:tcPr>
          <w:p w:rsidR="00013EC7" w:rsidRDefault="00013EC7">
            <w:pPr>
              <w:widowControl/>
              <w:jc w:val="left"/>
              <w:textAlignment w:val="center"/>
              <w:rPr>
                <w:rFonts w:ascii="仿宋" w:eastAsia="仿宋" w:hAnsi="仿宋" w:cs="仿宋"/>
                <w:color w:val="000000"/>
                <w:sz w:val="24"/>
              </w:rPr>
            </w:pPr>
          </w:p>
        </w:tc>
        <w:tc>
          <w:tcPr>
            <w:tcW w:w="2268" w:type="dxa"/>
            <w:vMerge/>
            <w:tcBorders>
              <w:tl2br w:val="nil"/>
              <w:tr2bl w:val="nil"/>
            </w:tcBorders>
            <w:vAlign w:val="center"/>
          </w:tcPr>
          <w:p w:rsidR="00013EC7" w:rsidRDefault="00013EC7">
            <w:pPr>
              <w:rPr>
                <w:rFonts w:ascii="仿宋" w:eastAsia="仿宋" w:hAnsi="仿宋" w:cs="仿宋"/>
                <w:color w:val="000000"/>
                <w:sz w:val="24"/>
              </w:rPr>
            </w:pPr>
          </w:p>
        </w:tc>
        <w:tc>
          <w:tcPr>
            <w:tcW w:w="567" w:type="dxa"/>
            <w:vMerge/>
            <w:tcBorders>
              <w:tl2br w:val="nil"/>
              <w:tr2bl w:val="nil"/>
            </w:tcBorders>
          </w:tcPr>
          <w:p w:rsidR="00013EC7" w:rsidRDefault="00013EC7">
            <w:pPr>
              <w:jc w:val="center"/>
              <w:rPr>
                <w:rFonts w:ascii="仿宋" w:eastAsia="仿宋" w:hAnsi="仿宋" w:cs="仿宋"/>
                <w:color w:val="000000"/>
                <w:sz w:val="24"/>
              </w:rPr>
            </w:pPr>
          </w:p>
        </w:tc>
        <w:tc>
          <w:tcPr>
            <w:tcW w:w="851" w:type="dxa"/>
            <w:vMerge/>
            <w:tcBorders>
              <w:tl2br w:val="nil"/>
              <w:tr2bl w:val="nil"/>
            </w:tcBorders>
          </w:tcPr>
          <w:p w:rsidR="00013EC7" w:rsidRDefault="00013EC7">
            <w:pPr>
              <w:jc w:val="center"/>
              <w:rPr>
                <w:rFonts w:ascii="仿宋" w:eastAsia="仿宋" w:hAnsi="仿宋" w:cs="仿宋"/>
                <w:color w:val="000000"/>
                <w:sz w:val="24"/>
              </w:rPr>
            </w:pPr>
          </w:p>
        </w:tc>
        <w:tc>
          <w:tcPr>
            <w:tcW w:w="708" w:type="dxa"/>
            <w:vMerge/>
            <w:tcBorders>
              <w:tl2br w:val="nil"/>
              <w:tr2bl w:val="nil"/>
            </w:tcBorders>
          </w:tcPr>
          <w:p w:rsidR="00013EC7" w:rsidRDefault="00013EC7">
            <w:pPr>
              <w:jc w:val="center"/>
              <w:rPr>
                <w:rFonts w:ascii="仿宋" w:eastAsia="仿宋" w:hAnsi="仿宋" w:cs="仿宋"/>
                <w:color w:val="000000"/>
                <w:sz w:val="24"/>
              </w:rPr>
            </w:pPr>
          </w:p>
        </w:tc>
        <w:tc>
          <w:tcPr>
            <w:tcW w:w="993" w:type="dxa"/>
            <w:vMerge/>
            <w:tcBorders>
              <w:tl2br w:val="nil"/>
              <w:tr2bl w:val="nil"/>
            </w:tcBorders>
          </w:tcPr>
          <w:p w:rsidR="00013EC7" w:rsidRDefault="00013EC7">
            <w:pPr>
              <w:jc w:val="center"/>
              <w:rPr>
                <w:rFonts w:ascii="仿宋" w:eastAsia="仿宋" w:hAnsi="仿宋" w:cs="仿宋"/>
                <w:color w:val="000000"/>
                <w:sz w:val="24"/>
              </w:rPr>
            </w:pPr>
          </w:p>
        </w:tc>
        <w:tc>
          <w:tcPr>
            <w:tcW w:w="978" w:type="dxa"/>
            <w:vMerge/>
            <w:tcBorders>
              <w:tl2br w:val="nil"/>
              <w:tr2bl w:val="nil"/>
            </w:tcBorders>
          </w:tcPr>
          <w:p w:rsidR="00013EC7" w:rsidRDefault="00013EC7">
            <w:pPr>
              <w:rPr>
                <w:rFonts w:ascii="仿宋" w:eastAsia="仿宋" w:hAnsi="仿宋" w:cs="仿宋"/>
                <w:color w:val="000000"/>
                <w:sz w:val="24"/>
              </w:rPr>
            </w:pPr>
          </w:p>
        </w:tc>
      </w:tr>
      <w:tr w:rsidR="00013EC7">
        <w:trPr>
          <w:trHeight w:val="937"/>
        </w:trPr>
        <w:tc>
          <w:tcPr>
            <w:tcW w:w="639" w:type="dxa"/>
            <w:vMerge/>
            <w:tcBorders>
              <w:tl2br w:val="nil"/>
              <w:tr2bl w:val="nil"/>
            </w:tcBorders>
            <w:vAlign w:val="center"/>
          </w:tcPr>
          <w:p w:rsidR="00013EC7" w:rsidRDefault="00013EC7">
            <w:pPr>
              <w:rPr>
                <w:rFonts w:ascii="仿宋" w:eastAsia="仿宋" w:hAnsi="仿宋" w:cs="仿宋"/>
                <w:color w:val="000000"/>
                <w:sz w:val="24"/>
              </w:rPr>
            </w:pPr>
          </w:p>
        </w:tc>
        <w:tc>
          <w:tcPr>
            <w:tcW w:w="510" w:type="dxa"/>
            <w:vMerge/>
            <w:tcBorders>
              <w:tl2br w:val="nil"/>
              <w:tr2bl w:val="nil"/>
            </w:tcBorders>
            <w:vAlign w:val="center"/>
          </w:tcPr>
          <w:p w:rsidR="00013EC7" w:rsidRDefault="00013EC7">
            <w:pPr>
              <w:rPr>
                <w:rFonts w:ascii="仿宋" w:eastAsia="仿宋" w:hAnsi="仿宋" w:cs="仿宋"/>
                <w:color w:val="000000"/>
                <w:sz w:val="24"/>
              </w:rPr>
            </w:pPr>
          </w:p>
        </w:tc>
        <w:tc>
          <w:tcPr>
            <w:tcW w:w="3544" w:type="dxa"/>
            <w:vMerge/>
            <w:tcBorders>
              <w:tl2br w:val="nil"/>
              <w:tr2bl w:val="nil"/>
            </w:tcBorders>
            <w:vAlign w:val="center"/>
          </w:tcPr>
          <w:p w:rsidR="00013EC7" w:rsidRDefault="00013EC7">
            <w:pPr>
              <w:rPr>
                <w:rFonts w:ascii="仿宋" w:eastAsia="仿宋" w:hAnsi="仿宋" w:cs="仿宋"/>
                <w:color w:val="000000"/>
                <w:sz w:val="24"/>
              </w:rPr>
            </w:pPr>
          </w:p>
        </w:tc>
        <w:tc>
          <w:tcPr>
            <w:tcW w:w="3260" w:type="dxa"/>
            <w:tcBorders>
              <w:tl2br w:val="nil"/>
              <w:tr2bl w:val="nil"/>
            </w:tcBorders>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color w:val="000000"/>
                <w:kern w:val="0"/>
                <w:sz w:val="24"/>
              </w:rPr>
              <w:t>（五十七）契税完税凭证原件及复印件（加盖公章）。</w:t>
            </w:r>
          </w:p>
        </w:tc>
        <w:tc>
          <w:tcPr>
            <w:tcW w:w="1418" w:type="dxa"/>
            <w:vMerge/>
            <w:tcBorders>
              <w:tl2br w:val="nil"/>
              <w:tr2bl w:val="nil"/>
            </w:tcBorders>
            <w:vAlign w:val="center"/>
          </w:tcPr>
          <w:p w:rsidR="00013EC7" w:rsidRDefault="00013EC7">
            <w:pPr>
              <w:widowControl/>
              <w:textAlignment w:val="center"/>
              <w:rPr>
                <w:rFonts w:ascii="仿宋" w:eastAsia="仿宋" w:hAnsi="仿宋" w:cs="仿宋"/>
                <w:color w:val="000000"/>
                <w:kern w:val="0"/>
                <w:sz w:val="24"/>
              </w:rPr>
            </w:pPr>
          </w:p>
        </w:tc>
        <w:tc>
          <w:tcPr>
            <w:tcW w:w="3118" w:type="dxa"/>
            <w:tcBorders>
              <w:tl2br w:val="nil"/>
              <w:tr2bl w:val="nil"/>
            </w:tcBorders>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color w:val="000000"/>
                <w:kern w:val="0"/>
                <w:sz w:val="24"/>
              </w:rPr>
              <w:t>（五十三）契税完税凭证原件及复印件（注明与原件一致，并加盖公章）。</w:t>
            </w:r>
          </w:p>
        </w:tc>
        <w:tc>
          <w:tcPr>
            <w:tcW w:w="1276" w:type="dxa"/>
            <w:vMerge/>
            <w:tcBorders>
              <w:tl2br w:val="nil"/>
              <w:tr2bl w:val="nil"/>
            </w:tcBorders>
            <w:vAlign w:val="center"/>
          </w:tcPr>
          <w:p w:rsidR="00013EC7" w:rsidRDefault="00013EC7">
            <w:pPr>
              <w:widowControl/>
              <w:jc w:val="left"/>
              <w:textAlignment w:val="center"/>
              <w:rPr>
                <w:rFonts w:ascii="仿宋" w:eastAsia="仿宋" w:hAnsi="仿宋" w:cs="仿宋"/>
                <w:color w:val="000000"/>
                <w:sz w:val="24"/>
              </w:rPr>
            </w:pPr>
          </w:p>
        </w:tc>
        <w:tc>
          <w:tcPr>
            <w:tcW w:w="2268" w:type="dxa"/>
            <w:vMerge/>
            <w:tcBorders>
              <w:tl2br w:val="nil"/>
              <w:tr2bl w:val="nil"/>
            </w:tcBorders>
            <w:vAlign w:val="center"/>
          </w:tcPr>
          <w:p w:rsidR="00013EC7" w:rsidRDefault="00013EC7">
            <w:pPr>
              <w:rPr>
                <w:rFonts w:ascii="仿宋" w:eastAsia="仿宋" w:hAnsi="仿宋" w:cs="仿宋"/>
                <w:color w:val="000000"/>
                <w:sz w:val="24"/>
              </w:rPr>
            </w:pPr>
          </w:p>
        </w:tc>
        <w:tc>
          <w:tcPr>
            <w:tcW w:w="567" w:type="dxa"/>
            <w:vMerge/>
            <w:tcBorders>
              <w:tl2br w:val="nil"/>
              <w:tr2bl w:val="nil"/>
            </w:tcBorders>
          </w:tcPr>
          <w:p w:rsidR="00013EC7" w:rsidRDefault="00013EC7">
            <w:pPr>
              <w:jc w:val="center"/>
              <w:rPr>
                <w:rFonts w:ascii="仿宋" w:eastAsia="仿宋" w:hAnsi="仿宋" w:cs="仿宋"/>
                <w:color w:val="000000"/>
                <w:sz w:val="24"/>
              </w:rPr>
            </w:pPr>
          </w:p>
        </w:tc>
        <w:tc>
          <w:tcPr>
            <w:tcW w:w="851" w:type="dxa"/>
            <w:vMerge/>
            <w:tcBorders>
              <w:tl2br w:val="nil"/>
              <w:tr2bl w:val="nil"/>
            </w:tcBorders>
          </w:tcPr>
          <w:p w:rsidR="00013EC7" w:rsidRDefault="00013EC7">
            <w:pPr>
              <w:jc w:val="center"/>
              <w:rPr>
                <w:rFonts w:ascii="仿宋" w:eastAsia="仿宋" w:hAnsi="仿宋" w:cs="仿宋"/>
                <w:color w:val="000000"/>
                <w:sz w:val="24"/>
              </w:rPr>
            </w:pPr>
          </w:p>
        </w:tc>
        <w:tc>
          <w:tcPr>
            <w:tcW w:w="708" w:type="dxa"/>
            <w:vMerge/>
            <w:tcBorders>
              <w:tl2br w:val="nil"/>
              <w:tr2bl w:val="nil"/>
            </w:tcBorders>
          </w:tcPr>
          <w:p w:rsidR="00013EC7" w:rsidRDefault="00013EC7">
            <w:pPr>
              <w:jc w:val="center"/>
              <w:rPr>
                <w:rFonts w:ascii="仿宋" w:eastAsia="仿宋" w:hAnsi="仿宋" w:cs="仿宋"/>
                <w:color w:val="000000"/>
                <w:sz w:val="24"/>
              </w:rPr>
            </w:pPr>
          </w:p>
        </w:tc>
        <w:tc>
          <w:tcPr>
            <w:tcW w:w="993" w:type="dxa"/>
            <w:vMerge/>
            <w:tcBorders>
              <w:tl2br w:val="nil"/>
              <w:tr2bl w:val="nil"/>
            </w:tcBorders>
          </w:tcPr>
          <w:p w:rsidR="00013EC7" w:rsidRDefault="00013EC7">
            <w:pPr>
              <w:jc w:val="center"/>
              <w:rPr>
                <w:rFonts w:ascii="仿宋" w:eastAsia="仿宋" w:hAnsi="仿宋" w:cs="仿宋"/>
                <w:color w:val="000000"/>
                <w:sz w:val="24"/>
              </w:rPr>
            </w:pPr>
          </w:p>
        </w:tc>
        <w:tc>
          <w:tcPr>
            <w:tcW w:w="978" w:type="dxa"/>
            <w:vMerge/>
            <w:tcBorders>
              <w:tl2br w:val="nil"/>
              <w:tr2bl w:val="nil"/>
            </w:tcBorders>
          </w:tcPr>
          <w:p w:rsidR="00013EC7" w:rsidRDefault="00013EC7">
            <w:pPr>
              <w:rPr>
                <w:rFonts w:ascii="仿宋" w:eastAsia="仿宋" w:hAnsi="仿宋" w:cs="仿宋"/>
                <w:color w:val="000000"/>
                <w:sz w:val="24"/>
              </w:rPr>
            </w:pPr>
          </w:p>
        </w:tc>
      </w:tr>
      <w:tr w:rsidR="00013EC7">
        <w:trPr>
          <w:trHeight w:val="2010"/>
        </w:trPr>
        <w:tc>
          <w:tcPr>
            <w:tcW w:w="639" w:type="dxa"/>
            <w:vMerge/>
            <w:tcBorders>
              <w:tl2br w:val="nil"/>
              <w:tr2bl w:val="nil"/>
            </w:tcBorders>
            <w:vAlign w:val="center"/>
          </w:tcPr>
          <w:p w:rsidR="00013EC7" w:rsidRDefault="00013EC7">
            <w:pPr>
              <w:rPr>
                <w:rFonts w:ascii="仿宋" w:eastAsia="仿宋" w:hAnsi="仿宋" w:cs="仿宋"/>
                <w:color w:val="000000"/>
                <w:sz w:val="24"/>
              </w:rPr>
            </w:pPr>
          </w:p>
        </w:tc>
        <w:tc>
          <w:tcPr>
            <w:tcW w:w="510" w:type="dxa"/>
            <w:vMerge/>
            <w:tcBorders>
              <w:tl2br w:val="nil"/>
              <w:tr2bl w:val="nil"/>
            </w:tcBorders>
            <w:vAlign w:val="center"/>
          </w:tcPr>
          <w:p w:rsidR="00013EC7" w:rsidRDefault="00013EC7">
            <w:pPr>
              <w:rPr>
                <w:rFonts w:ascii="仿宋" w:eastAsia="仿宋" w:hAnsi="仿宋" w:cs="仿宋"/>
                <w:color w:val="000000"/>
                <w:sz w:val="24"/>
              </w:rPr>
            </w:pPr>
          </w:p>
        </w:tc>
        <w:tc>
          <w:tcPr>
            <w:tcW w:w="3544" w:type="dxa"/>
            <w:vMerge/>
            <w:tcBorders>
              <w:tl2br w:val="nil"/>
              <w:tr2bl w:val="nil"/>
            </w:tcBorders>
            <w:vAlign w:val="center"/>
          </w:tcPr>
          <w:p w:rsidR="00013EC7" w:rsidRDefault="00013EC7">
            <w:pPr>
              <w:rPr>
                <w:rFonts w:ascii="仿宋" w:eastAsia="仿宋" w:hAnsi="仿宋" w:cs="仿宋"/>
                <w:color w:val="000000"/>
                <w:sz w:val="24"/>
              </w:rPr>
            </w:pPr>
          </w:p>
        </w:tc>
        <w:tc>
          <w:tcPr>
            <w:tcW w:w="3260" w:type="dxa"/>
            <w:tcBorders>
              <w:tl2br w:val="nil"/>
              <w:tr2bl w:val="nil"/>
            </w:tcBorders>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color w:val="000000"/>
                <w:kern w:val="0"/>
                <w:sz w:val="24"/>
              </w:rPr>
              <w:t>（三十五）交易双方身份证明原件及复印件（加盖公章）。</w:t>
            </w:r>
          </w:p>
        </w:tc>
        <w:tc>
          <w:tcPr>
            <w:tcW w:w="1418" w:type="dxa"/>
            <w:vMerge/>
            <w:tcBorders>
              <w:tl2br w:val="nil"/>
              <w:tr2bl w:val="nil"/>
            </w:tcBorders>
            <w:vAlign w:val="center"/>
          </w:tcPr>
          <w:p w:rsidR="00013EC7" w:rsidRDefault="00013EC7">
            <w:pPr>
              <w:widowControl/>
              <w:textAlignment w:val="center"/>
              <w:rPr>
                <w:rFonts w:ascii="仿宋" w:eastAsia="仿宋" w:hAnsi="仿宋" w:cs="仿宋"/>
                <w:color w:val="000000"/>
                <w:kern w:val="0"/>
                <w:sz w:val="24"/>
              </w:rPr>
            </w:pPr>
          </w:p>
        </w:tc>
        <w:tc>
          <w:tcPr>
            <w:tcW w:w="3118" w:type="dxa"/>
            <w:tcBorders>
              <w:tl2br w:val="nil"/>
              <w:tr2bl w:val="nil"/>
            </w:tcBorders>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color w:val="000000"/>
                <w:kern w:val="0"/>
                <w:sz w:val="24"/>
              </w:rPr>
              <w:t>（三十二）交易双方身份证明原件及复印件（注明与原件一致，并加盖公章）。</w:t>
            </w:r>
          </w:p>
        </w:tc>
        <w:tc>
          <w:tcPr>
            <w:tcW w:w="1276" w:type="dxa"/>
            <w:vMerge/>
            <w:tcBorders>
              <w:tl2br w:val="nil"/>
              <w:tr2bl w:val="nil"/>
            </w:tcBorders>
            <w:vAlign w:val="center"/>
          </w:tcPr>
          <w:p w:rsidR="00013EC7" w:rsidRDefault="00013EC7">
            <w:pPr>
              <w:widowControl/>
              <w:jc w:val="left"/>
              <w:textAlignment w:val="center"/>
              <w:rPr>
                <w:rFonts w:ascii="仿宋" w:eastAsia="仿宋" w:hAnsi="仿宋" w:cs="仿宋"/>
                <w:color w:val="000000"/>
                <w:sz w:val="24"/>
              </w:rPr>
            </w:pPr>
          </w:p>
        </w:tc>
        <w:tc>
          <w:tcPr>
            <w:tcW w:w="2268" w:type="dxa"/>
            <w:vMerge/>
            <w:tcBorders>
              <w:tl2br w:val="nil"/>
              <w:tr2bl w:val="nil"/>
            </w:tcBorders>
            <w:vAlign w:val="center"/>
          </w:tcPr>
          <w:p w:rsidR="00013EC7" w:rsidRDefault="00013EC7">
            <w:pPr>
              <w:rPr>
                <w:rFonts w:ascii="仿宋" w:eastAsia="仿宋" w:hAnsi="仿宋" w:cs="仿宋"/>
                <w:color w:val="000000"/>
                <w:sz w:val="24"/>
              </w:rPr>
            </w:pPr>
          </w:p>
        </w:tc>
        <w:tc>
          <w:tcPr>
            <w:tcW w:w="567" w:type="dxa"/>
            <w:vMerge/>
            <w:tcBorders>
              <w:tl2br w:val="nil"/>
              <w:tr2bl w:val="nil"/>
            </w:tcBorders>
          </w:tcPr>
          <w:p w:rsidR="00013EC7" w:rsidRDefault="00013EC7">
            <w:pPr>
              <w:jc w:val="center"/>
              <w:rPr>
                <w:rFonts w:ascii="仿宋" w:eastAsia="仿宋" w:hAnsi="仿宋" w:cs="仿宋"/>
                <w:color w:val="000000"/>
                <w:sz w:val="24"/>
              </w:rPr>
            </w:pPr>
          </w:p>
        </w:tc>
        <w:tc>
          <w:tcPr>
            <w:tcW w:w="851" w:type="dxa"/>
            <w:vMerge/>
            <w:tcBorders>
              <w:tl2br w:val="nil"/>
              <w:tr2bl w:val="nil"/>
            </w:tcBorders>
          </w:tcPr>
          <w:p w:rsidR="00013EC7" w:rsidRDefault="00013EC7">
            <w:pPr>
              <w:jc w:val="center"/>
              <w:rPr>
                <w:rFonts w:ascii="仿宋" w:eastAsia="仿宋" w:hAnsi="仿宋" w:cs="仿宋"/>
                <w:color w:val="000000"/>
                <w:sz w:val="24"/>
              </w:rPr>
            </w:pPr>
          </w:p>
        </w:tc>
        <w:tc>
          <w:tcPr>
            <w:tcW w:w="708" w:type="dxa"/>
            <w:vMerge/>
            <w:tcBorders>
              <w:tl2br w:val="nil"/>
              <w:tr2bl w:val="nil"/>
            </w:tcBorders>
          </w:tcPr>
          <w:p w:rsidR="00013EC7" w:rsidRDefault="00013EC7">
            <w:pPr>
              <w:jc w:val="center"/>
              <w:rPr>
                <w:rFonts w:ascii="仿宋" w:eastAsia="仿宋" w:hAnsi="仿宋" w:cs="仿宋"/>
                <w:color w:val="000000"/>
                <w:sz w:val="24"/>
              </w:rPr>
            </w:pPr>
          </w:p>
        </w:tc>
        <w:tc>
          <w:tcPr>
            <w:tcW w:w="993" w:type="dxa"/>
            <w:vMerge/>
            <w:tcBorders>
              <w:tl2br w:val="nil"/>
              <w:tr2bl w:val="nil"/>
            </w:tcBorders>
          </w:tcPr>
          <w:p w:rsidR="00013EC7" w:rsidRDefault="00013EC7">
            <w:pPr>
              <w:jc w:val="center"/>
              <w:rPr>
                <w:rFonts w:ascii="仿宋" w:eastAsia="仿宋" w:hAnsi="仿宋" w:cs="仿宋"/>
                <w:color w:val="000000"/>
                <w:sz w:val="24"/>
              </w:rPr>
            </w:pPr>
          </w:p>
        </w:tc>
        <w:tc>
          <w:tcPr>
            <w:tcW w:w="978" w:type="dxa"/>
            <w:vMerge/>
            <w:tcBorders>
              <w:tl2br w:val="nil"/>
              <w:tr2bl w:val="nil"/>
            </w:tcBorders>
          </w:tcPr>
          <w:p w:rsidR="00013EC7" w:rsidRDefault="00013EC7">
            <w:pPr>
              <w:rPr>
                <w:rFonts w:ascii="仿宋" w:eastAsia="仿宋" w:hAnsi="仿宋" w:cs="仿宋"/>
                <w:color w:val="000000"/>
                <w:sz w:val="24"/>
              </w:rPr>
            </w:pPr>
          </w:p>
        </w:tc>
      </w:tr>
      <w:tr w:rsidR="00013EC7">
        <w:trPr>
          <w:trHeight w:val="2010"/>
        </w:trPr>
        <w:tc>
          <w:tcPr>
            <w:tcW w:w="639" w:type="dxa"/>
            <w:vMerge/>
            <w:tcBorders>
              <w:tl2br w:val="nil"/>
              <w:tr2bl w:val="nil"/>
            </w:tcBorders>
            <w:vAlign w:val="center"/>
          </w:tcPr>
          <w:p w:rsidR="00013EC7" w:rsidRDefault="00013EC7">
            <w:pPr>
              <w:rPr>
                <w:rFonts w:ascii="仿宋" w:eastAsia="仿宋" w:hAnsi="仿宋" w:cs="仿宋"/>
                <w:color w:val="000000"/>
                <w:sz w:val="24"/>
              </w:rPr>
            </w:pPr>
          </w:p>
        </w:tc>
        <w:tc>
          <w:tcPr>
            <w:tcW w:w="510" w:type="dxa"/>
            <w:vMerge/>
            <w:tcBorders>
              <w:tl2br w:val="nil"/>
              <w:tr2bl w:val="nil"/>
            </w:tcBorders>
            <w:vAlign w:val="center"/>
          </w:tcPr>
          <w:p w:rsidR="00013EC7" w:rsidRDefault="00013EC7">
            <w:pPr>
              <w:rPr>
                <w:rFonts w:ascii="仿宋" w:eastAsia="仿宋" w:hAnsi="仿宋" w:cs="仿宋"/>
                <w:color w:val="000000"/>
                <w:sz w:val="24"/>
              </w:rPr>
            </w:pPr>
          </w:p>
        </w:tc>
        <w:tc>
          <w:tcPr>
            <w:tcW w:w="3544" w:type="dxa"/>
            <w:vMerge/>
            <w:tcBorders>
              <w:tl2br w:val="nil"/>
              <w:tr2bl w:val="nil"/>
            </w:tcBorders>
            <w:vAlign w:val="center"/>
          </w:tcPr>
          <w:p w:rsidR="00013EC7" w:rsidRDefault="00013EC7">
            <w:pPr>
              <w:rPr>
                <w:rFonts w:ascii="仿宋" w:eastAsia="仿宋" w:hAnsi="仿宋" w:cs="仿宋"/>
                <w:color w:val="000000"/>
                <w:sz w:val="24"/>
              </w:rPr>
            </w:pPr>
          </w:p>
        </w:tc>
        <w:tc>
          <w:tcPr>
            <w:tcW w:w="3260" w:type="dxa"/>
            <w:tcBorders>
              <w:tl2br w:val="nil"/>
              <w:tr2bl w:val="nil"/>
            </w:tcBorders>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color w:val="000000"/>
                <w:kern w:val="0"/>
                <w:sz w:val="24"/>
              </w:rPr>
              <w:t>（五十八）援助项目名称、援助方、受援单位、购货方与供货方签订的销售合同复印件（加盖公章）。</w:t>
            </w:r>
          </w:p>
        </w:tc>
        <w:tc>
          <w:tcPr>
            <w:tcW w:w="1418" w:type="dxa"/>
            <w:tcBorders>
              <w:tl2br w:val="nil"/>
              <w:tr2bl w:val="nil"/>
            </w:tcBorders>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color w:val="000000"/>
                <w:kern w:val="0"/>
                <w:sz w:val="24"/>
              </w:rPr>
              <w:t>符合无偿援助项目免征增值税优惠的纳税人提交</w:t>
            </w:r>
          </w:p>
        </w:tc>
        <w:tc>
          <w:tcPr>
            <w:tcW w:w="3118" w:type="dxa"/>
            <w:tcBorders>
              <w:tl2br w:val="nil"/>
              <w:tr2bl w:val="nil"/>
            </w:tcBorders>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color w:val="000000"/>
                <w:kern w:val="0"/>
                <w:sz w:val="24"/>
              </w:rPr>
              <w:t>（五十四）援助项目名称、援助方、受援单位、购货方与供货方签订的销售合同复印件（注明与原件一致，并加盖公章）。</w:t>
            </w:r>
          </w:p>
        </w:tc>
        <w:tc>
          <w:tcPr>
            <w:tcW w:w="1276" w:type="dxa"/>
            <w:tcBorders>
              <w:tl2br w:val="nil"/>
              <w:tr2bl w:val="nil"/>
            </w:tcBorders>
            <w:vAlign w:val="center"/>
          </w:tcPr>
          <w:p w:rsidR="00013EC7" w:rsidRDefault="00575CDB">
            <w:pPr>
              <w:widowControl/>
              <w:jc w:val="left"/>
              <w:textAlignment w:val="center"/>
              <w:rPr>
                <w:rFonts w:ascii="仿宋" w:eastAsia="仿宋" w:hAnsi="仿宋" w:cs="仿宋"/>
                <w:color w:val="000000"/>
                <w:sz w:val="24"/>
              </w:rPr>
            </w:pPr>
            <w:r>
              <w:rPr>
                <w:rFonts w:ascii="仿宋" w:eastAsia="仿宋" w:hAnsi="仿宋" w:cs="仿宋" w:hint="eastAsia"/>
                <w:color w:val="000000"/>
                <w:kern w:val="0"/>
                <w:sz w:val="24"/>
              </w:rPr>
              <w:t>无偿援助项目纳税人提交</w:t>
            </w:r>
          </w:p>
        </w:tc>
        <w:tc>
          <w:tcPr>
            <w:tcW w:w="2268" w:type="dxa"/>
            <w:vMerge/>
            <w:tcBorders>
              <w:tl2br w:val="nil"/>
              <w:tr2bl w:val="nil"/>
            </w:tcBorders>
            <w:vAlign w:val="center"/>
          </w:tcPr>
          <w:p w:rsidR="00013EC7" w:rsidRDefault="00013EC7">
            <w:pPr>
              <w:rPr>
                <w:rFonts w:ascii="仿宋" w:eastAsia="仿宋" w:hAnsi="仿宋" w:cs="仿宋"/>
                <w:color w:val="000000"/>
                <w:sz w:val="24"/>
              </w:rPr>
            </w:pPr>
          </w:p>
        </w:tc>
        <w:tc>
          <w:tcPr>
            <w:tcW w:w="567" w:type="dxa"/>
            <w:vMerge/>
            <w:tcBorders>
              <w:tl2br w:val="nil"/>
              <w:tr2bl w:val="nil"/>
            </w:tcBorders>
          </w:tcPr>
          <w:p w:rsidR="00013EC7" w:rsidRDefault="00013EC7">
            <w:pPr>
              <w:jc w:val="center"/>
              <w:rPr>
                <w:rFonts w:ascii="仿宋" w:eastAsia="仿宋" w:hAnsi="仿宋" w:cs="仿宋"/>
                <w:color w:val="000000"/>
                <w:sz w:val="24"/>
              </w:rPr>
            </w:pPr>
          </w:p>
        </w:tc>
        <w:tc>
          <w:tcPr>
            <w:tcW w:w="851" w:type="dxa"/>
            <w:vMerge/>
            <w:tcBorders>
              <w:tl2br w:val="nil"/>
              <w:tr2bl w:val="nil"/>
            </w:tcBorders>
          </w:tcPr>
          <w:p w:rsidR="00013EC7" w:rsidRDefault="00013EC7">
            <w:pPr>
              <w:jc w:val="center"/>
              <w:rPr>
                <w:rFonts w:ascii="仿宋" w:eastAsia="仿宋" w:hAnsi="仿宋" w:cs="仿宋"/>
                <w:color w:val="000000"/>
                <w:sz w:val="24"/>
              </w:rPr>
            </w:pPr>
          </w:p>
        </w:tc>
        <w:tc>
          <w:tcPr>
            <w:tcW w:w="708" w:type="dxa"/>
            <w:vMerge/>
            <w:tcBorders>
              <w:tl2br w:val="nil"/>
              <w:tr2bl w:val="nil"/>
            </w:tcBorders>
          </w:tcPr>
          <w:p w:rsidR="00013EC7" w:rsidRDefault="00013EC7">
            <w:pPr>
              <w:jc w:val="center"/>
              <w:rPr>
                <w:rFonts w:ascii="仿宋" w:eastAsia="仿宋" w:hAnsi="仿宋" w:cs="仿宋"/>
                <w:color w:val="000000"/>
                <w:sz w:val="24"/>
              </w:rPr>
            </w:pPr>
          </w:p>
        </w:tc>
        <w:tc>
          <w:tcPr>
            <w:tcW w:w="993" w:type="dxa"/>
            <w:vMerge/>
            <w:tcBorders>
              <w:tl2br w:val="nil"/>
              <w:tr2bl w:val="nil"/>
            </w:tcBorders>
          </w:tcPr>
          <w:p w:rsidR="00013EC7" w:rsidRDefault="00013EC7">
            <w:pPr>
              <w:jc w:val="center"/>
              <w:rPr>
                <w:rFonts w:ascii="仿宋" w:eastAsia="仿宋" w:hAnsi="仿宋" w:cs="仿宋"/>
                <w:color w:val="000000"/>
                <w:sz w:val="24"/>
              </w:rPr>
            </w:pPr>
          </w:p>
        </w:tc>
        <w:tc>
          <w:tcPr>
            <w:tcW w:w="978" w:type="dxa"/>
            <w:vMerge/>
            <w:tcBorders>
              <w:tl2br w:val="nil"/>
              <w:tr2bl w:val="nil"/>
            </w:tcBorders>
          </w:tcPr>
          <w:p w:rsidR="00013EC7" w:rsidRDefault="00013EC7">
            <w:pPr>
              <w:rPr>
                <w:rFonts w:ascii="仿宋" w:eastAsia="仿宋" w:hAnsi="仿宋" w:cs="仿宋"/>
                <w:color w:val="000000"/>
                <w:sz w:val="24"/>
              </w:rPr>
            </w:pPr>
          </w:p>
        </w:tc>
      </w:tr>
    </w:tbl>
    <w:p w:rsidR="00013EC7" w:rsidRDefault="00013EC7"/>
    <w:p w:rsidR="00013EC7" w:rsidRDefault="00013EC7"/>
    <w:p w:rsidR="00013EC7" w:rsidRDefault="005262E6">
      <w:r>
        <w:rPr>
          <w:rFonts w:ascii="宋体" w:hAnsi="宋体" w:cs="宋体"/>
          <w:szCs w:val="21"/>
        </w:rPr>
        <w:lastRenderedPageBreak/>
        <w:object w:dxaOrig="1440" w:dyaOrig="1440">
          <v:shape id="_x0000_s1230" type="#_x0000_t75" style="position:absolute;left:0;text-align:left;margin-left:549.75pt;margin-top:78.8pt;width:481.9pt;height:668.85pt;z-index:251599872;mso-wrap-distance-left:9pt;mso-wrap-distance-top:0;mso-wrap-distance-right:9pt;mso-wrap-distance-bottom:0;mso-position-vertical-relative:page;mso-width-relative:page;mso-height-relative:page">
            <v:imagedata r:id="rId415" o:title=""/>
            <o:lock v:ext="edit" aspectratio="f"/>
            <w10:wrap type="square" anchory="page"/>
          </v:shape>
          <o:OLEObject Type="Embed" ProgID="Visio.Drawing.11" ShapeID="_x0000_s1230" DrawAspect="Content" ObjectID="_1577296289" r:id="rId416"/>
        </w:object>
      </w:r>
      <w:r>
        <w:rPr>
          <w:rFonts w:ascii="宋体" w:hAnsi="宋体" w:cs="宋体"/>
          <w:kern w:val="1"/>
          <w:szCs w:val="21"/>
        </w:rPr>
        <w:object w:dxaOrig="1440" w:dyaOrig="1440">
          <v:shape id="_x0000_s1229" type="#_x0000_t75" style="position:absolute;left:0;text-align:left;margin-left:-.6pt;margin-top:95.35pt;width:481.9pt;height:524.2pt;z-index:251598848;mso-wrap-distance-left:9pt;mso-wrap-distance-top:0;mso-wrap-distance-right:9pt;mso-wrap-distance-bottom:0;mso-position-vertical-relative:page;mso-width-relative:page;mso-height-relative:page">
            <v:imagedata r:id="rId417" o:title=""/>
            <o:lock v:ext="edit" aspectratio="f"/>
            <w10:wrap type="square" anchory="page"/>
          </v:shape>
          <o:OLEObject Type="Embed" ProgID="Visio.Drawing.11" ShapeID="_x0000_s1229" DrawAspect="Content" ObjectID="_1577296290" r:id="rId418"/>
        </w:object>
      </w:r>
    </w:p>
    <w:p w:rsidR="00013EC7" w:rsidRDefault="00013EC7">
      <w:pPr>
        <w:jc w:val="center"/>
      </w:pPr>
    </w:p>
    <w:p w:rsidR="00013EC7" w:rsidRDefault="00013EC7">
      <w:pPr>
        <w:jc w:val="center"/>
      </w:pPr>
    </w:p>
    <w:p w:rsidR="00013EC7" w:rsidRDefault="00013EC7">
      <w:pPr>
        <w:jc w:val="center"/>
      </w:pPr>
    </w:p>
    <w:p w:rsidR="00013EC7" w:rsidRDefault="00013EC7">
      <w:pPr>
        <w:jc w:val="center"/>
      </w:pPr>
    </w:p>
    <w:p w:rsidR="00013EC7" w:rsidRDefault="00013EC7">
      <w:pPr>
        <w:jc w:val="center"/>
      </w:pPr>
    </w:p>
    <w:p w:rsidR="00013EC7" w:rsidRDefault="00013EC7">
      <w:pPr>
        <w:jc w:val="center"/>
      </w:pPr>
    </w:p>
    <w:p w:rsidR="00013EC7" w:rsidRDefault="00013EC7">
      <w:pPr>
        <w:jc w:val="center"/>
      </w:pPr>
    </w:p>
    <w:p w:rsidR="00013EC7" w:rsidRDefault="00013EC7">
      <w:pPr>
        <w:jc w:val="center"/>
      </w:pPr>
    </w:p>
    <w:p w:rsidR="00013EC7" w:rsidRDefault="00013EC7">
      <w:pPr>
        <w:jc w:val="center"/>
      </w:pPr>
    </w:p>
    <w:p w:rsidR="00013EC7" w:rsidRDefault="00013EC7">
      <w:pPr>
        <w:jc w:val="center"/>
      </w:pPr>
    </w:p>
    <w:p w:rsidR="00013EC7" w:rsidRDefault="00013EC7">
      <w:pPr>
        <w:jc w:val="center"/>
      </w:pPr>
    </w:p>
    <w:p w:rsidR="00013EC7" w:rsidRDefault="00013EC7">
      <w:pPr>
        <w:jc w:val="center"/>
      </w:pPr>
    </w:p>
    <w:p w:rsidR="00013EC7" w:rsidRDefault="00013EC7">
      <w:pPr>
        <w:jc w:val="center"/>
      </w:pPr>
    </w:p>
    <w:p w:rsidR="00013EC7" w:rsidRDefault="00013EC7">
      <w:pPr>
        <w:jc w:val="center"/>
      </w:pPr>
    </w:p>
    <w:p w:rsidR="00013EC7" w:rsidRDefault="00013EC7">
      <w:pPr>
        <w:jc w:val="center"/>
      </w:pPr>
    </w:p>
    <w:p w:rsidR="00013EC7" w:rsidRDefault="00013EC7">
      <w:pPr>
        <w:jc w:val="center"/>
      </w:pPr>
    </w:p>
    <w:p w:rsidR="00013EC7" w:rsidRDefault="00013EC7">
      <w:pPr>
        <w:jc w:val="center"/>
      </w:pPr>
    </w:p>
    <w:p w:rsidR="00013EC7" w:rsidRDefault="00013EC7">
      <w:pPr>
        <w:jc w:val="center"/>
      </w:pPr>
    </w:p>
    <w:p w:rsidR="00013EC7" w:rsidRDefault="00013EC7">
      <w:pPr>
        <w:jc w:val="center"/>
      </w:pPr>
    </w:p>
    <w:p w:rsidR="00013EC7" w:rsidRDefault="00013EC7">
      <w:pPr>
        <w:jc w:val="center"/>
      </w:pPr>
    </w:p>
    <w:p w:rsidR="00013EC7" w:rsidRDefault="00013EC7">
      <w:pPr>
        <w:jc w:val="center"/>
      </w:pPr>
    </w:p>
    <w:p w:rsidR="00013EC7" w:rsidRDefault="00013EC7">
      <w:pPr>
        <w:jc w:val="center"/>
      </w:pPr>
    </w:p>
    <w:p w:rsidR="00013EC7" w:rsidRDefault="00013EC7">
      <w:pPr>
        <w:jc w:val="center"/>
      </w:pPr>
    </w:p>
    <w:p w:rsidR="00013EC7" w:rsidRDefault="00013EC7">
      <w:pPr>
        <w:jc w:val="center"/>
      </w:pPr>
    </w:p>
    <w:p w:rsidR="00013EC7" w:rsidRDefault="00013EC7">
      <w:pPr>
        <w:jc w:val="center"/>
      </w:pPr>
    </w:p>
    <w:p w:rsidR="00013EC7" w:rsidRDefault="00013EC7">
      <w:pPr>
        <w:jc w:val="center"/>
      </w:pPr>
    </w:p>
    <w:p w:rsidR="00013EC7" w:rsidRDefault="00013EC7">
      <w:pPr>
        <w:jc w:val="center"/>
      </w:pPr>
    </w:p>
    <w:p w:rsidR="00013EC7" w:rsidRDefault="00013EC7">
      <w:pPr>
        <w:pStyle w:val="2"/>
        <w:sectPr w:rsidR="00013EC7">
          <w:pgSz w:w="23814" w:h="16840" w:orient="landscape"/>
          <w:pgMar w:top="1701" w:right="1843" w:bottom="1985" w:left="1843" w:header="851" w:footer="1701" w:gutter="0"/>
          <w:pgNumType w:fmt="numberInDash"/>
          <w:cols w:space="720"/>
          <w:docGrid w:type="lines" w:linePitch="312"/>
        </w:sectPr>
      </w:pPr>
      <w:bookmarkStart w:id="483" w:name="_Toc503467465"/>
      <w:bookmarkStart w:id="484" w:name="_Toc488248810"/>
      <w:bookmarkStart w:id="485" w:name="_Toc17991"/>
      <w:bookmarkStart w:id="486" w:name="_Toc498705770"/>
    </w:p>
    <w:p w:rsidR="00013EC7" w:rsidRDefault="00575CDB">
      <w:pPr>
        <w:pStyle w:val="2"/>
      </w:pPr>
      <w:bookmarkStart w:id="487" w:name="_Toc11548"/>
      <w:bookmarkStart w:id="488" w:name="_Toc21977"/>
      <w:r>
        <w:rPr>
          <w:rFonts w:hint="eastAsia"/>
        </w:rPr>
        <w:lastRenderedPageBreak/>
        <w:t>24.2</w:t>
      </w:r>
      <w:r>
        <w:rPr>
          <w:rFonts w:hint="eastAsia"/>
        </w:rPr>
        <w:t>增值税即征即退优惠资格备案</w:t>
      </w:r>
      <w:bookmarkEnd w:id="483"/>
      <w:bookmarkEnd w:id="484"/>
      <w:bookmarkEnd w:id="485"/>
      <w:bookmarkEnd w:id="487"/>
      <w:bookmarkEnd w:id="488"/>
    </w:p>
    <w:p w:rsidR="00013EC7" w:rsidRDefault="00575CDB">
      <w:pPr>
        <w:jc w:val="center"/>
        <w:rPr>
          <w:rFonts w:ascii="宋体" w:hAnsi="宋体" w:cs="宋体"/>
          <w:b/>
          <w:bCs/>
          <w:sz w:val="44"/>
          <w:szCs w:val="44"/>
        </w:rPr>
      </w:pPr>
      <w:r>
        <w:rPr>
          <w:rFonts w:ascii="宋体" w:hAnsi="宋体" w:cs="宋体" w:hint="eastAsia"/>
          <w:b/>
          <w:bCs/>
          <w:sz w:val="52"/>
          <w:szCs w:val="52"/>
        </w:rPr>
        <w:t>全省“最多跑一次”事项“八统一”梳理表</w:t>
      </w:r>
    </w:p>
    <w:tbl>
      <w:tblPr>
        <w:tblW w:w="20591"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1243"/>
        <w:gridCol w:w="1309"/>
        <w:gridCol w:w="2102"/>
        <w:gridCol w:w="2770"/>
        <w:gridCol w:w="1112"/>
        <w:gridCol w:w="2390"/>
        <w:gridCol w:w="1189"/>
        <w:gridCol w:w="3300"/>
        <w:gridCol w:w="863"/>
        <w:gridCol w:w="794"/>
        <w:gridCol w:w="79"/>
        <w:gridCol w:w="874"/>
        <w:gridCol w:w="1098"/>
        <w:gridCol w:w="1468"/>
      </w:tblGrid>
      <w:tr w:rsidR="00013EC7">
        <w:trPr>
          <w:trHeight w:val="340"/>
          <w:tblHeader/>
          <w:jc w:val="center"/>
        </w:trPr>
        <w:tc>
          <w:tcPr>
            <w:tcW w:w="1243"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主项名称</w:t>
            </w:r>
          </w:p>
        </w:tc>
        <w:tc>
          <w:tcPr>
            <w:tcW w:w="1309"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子项名称</w:t>
            </w:r>
          </w:p>
        </w:tc>
        <w:tc>
          <w:tcPr>
            <w:tcW w:w="2102"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经办依据</w:t>
            </w:r>
          </w:p>
        </w:tc>
        <w:tc>
          <w:tcPr>
            <w:tcW w:w="3882"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原经办所需材料</w:t>
            </w:r>
          </w:p>
        </w:tc>
        <w:tc>
          <w:tcPr>
            <w:tcW w:w="6879" w:type="dxa"/>
            <w:gridSpan w:val="3"/>
            <w:vAlign w:val="center"/>
          </w:tcPr>
          <w:p w:rsidR="00013EC7" w:rsidRDefault="00575CDB">
            <w:pPr>
              <w:spacing w:line="280" w:lineRule="exact"/>
              <w:jc w:val="center"/>
              <w:rPr>
                <w:rFonts w:ascii="黑体" w:eastAsia="黑体"/>
                <w:sz w:val="24"/>
              </w:rPr>
            </w:pPr>
            <w:r>
              <w:rPr>
                <w:rFonts w:ascii="黑体" w:eastAsia="黑体" w:hint="eastAsia"/>
                <w:sz w:val="24"/>
              </w:rPr>
              <w:t>梳理后经办所需材料</w:t>
            </w:r>
          </w:p>
        </w:tc>
        <w:tc>
          <w:tcPr>
            <w:tcW w:w="1736" w:type="dxa"/>
            <w:gridSpan w:val="3"/>
            <w:vAlign w:val="center"/>
          </w:tcPr>
          <w:p w:rsidR="00013EC7" w:rsidRDefault="00575CDB">
            <w:pPr>
              <w:spacing w:line="280" w:lineRule="exact"/>
              <w:jc w:val="center"/>
              <w:rPr>
                <w:rFonts w:ascii="黑体" w:eastAsia="黑体"/>
                <w:sz w:val="24"/>
              </w:rPr>
            </w:pPr>
            <w:r>
              <w:rPr>
                <w:rFonts w:ascii="黑体" w:eastAsia="黑体" w:hint="eastAsia"/>
                <w:sz w:val="24"/>
              </w:rPr>
              <w:t>办理时限</w:t>
            </w:r>
          </w:p>
        </w:tc>
        <w:tc>
          <w:tcPr>
            <w:tcW w:w="874"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是否实现跑零次</w:t>
            </w:r>
          </w:p>
        </w:tc>
        <w:tc>
          <w:tcPr>
            <w:tcW w:w="1098"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省厅对口</w:t>
            </w:r>
          </w:p>
          <w:p w:rsidR="00013EC7" w:rsidRDefault="00575CDB">
            <w:pPr>
              <w:spacing w:line="280" w:lineRule="exact"/>
              <w:jc w:val="center"/>
              <w:rPr>
                <w:rFonts w:ascii="黑体" w:eastAsia="黑体"/>
                <w:sz w:val="24"/>
              </w:rPr>
            </w:pPr>
            <w:r>
              <w:rPr>
                <w:rFonts w:ascii="黑体" w:eastAsia="黑体" w:hint="eastAsia"/>
                <w:sz w:val="24"/>
              </w:rPr>
              <w:t>指导处室</w:t>
            </w:r>
          </w:p>
          <w:p w:rsidR="00013EC7" w:rsidRDefault="00575CDB">
            <w:pPr>
              <w:spacing w:line="280" w:lineRule="exact"/>
              <w:jc w:val="center"/>
              <w:rPr>
                <w:rFonts w:ascii="黑体" w:eastAsia="黑体"/>
                <w:sz w:val="24"/>
              </w:rPr>
            </w:pPr>
            <w:r>
              <w:rPr>
                <w:rFonts w:ascii="黑体" w:eastAsia="黑体" w:hint="eastAsia"/>
                <w:sz w:val="24"/>
              </w:rPr>
              <w:t>（单位）</w:t>
            </w:r>
          </w:p>
        </w:tc>
        <w:tc>
          <w:tcPr>
            <w:tcW w:w="1468"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进一步精简、</w:t>
            </w:r>
          </w:p>
          <w:p w:rsidR="00013EC7" w:rsidRDefault="00575CDB">
            <w:pPr>
              <w:spacing w:line="280" w:lineRule="exact"/>
              <w:jc w:val="center"/>
              <w:rPr>
                <w:rFonts w:ascii="黑体" w:eastAsia="黑体"/>
                <w:sz w:val="24"/>
              </w:rPr>
            </w:pPr>
            <w:r>
              <w:rPr>
                <w:rFonts w:ascii="黑体" w:eastAsia="黑体" w:hint="eastAsia"/>
                <w:sz w:val="24"/>
              </w:rPr>
              <w:t>规范建议</w:t>
            </w:r>
          </w:p>
        </w:tc>
      </w:tr>
      <w:tr w:rsidR="00013EC7">
        <w:trPr>
          <w:trHeight w:val="340"/>
          <w:tblHeader/>
          <w:jc w:val="center"/>
        </w:trPr>
        <w:tc>
          <w:tcPr>
            <w:tcW w:w="1243" w:type="dxa"/>
            <w:vMerge/>
            <w:vAlign w:val="center"/>
          </w:tcPr>
          <w:p w:rsidR="00013EC7" w:rsidRDefault="00013EC7">
            <w:pPr>
              <w:rPr>
                <w:sz w:val="24"/>
              </w:rPr>
            </w:pPr>
          </w:p>
        </w:tc>
        <w:tc>
          <w:tcPr>
            <w:tcW w:w="1309" w:type="dxa"/>
            <w:vMerge/>
          </w:tcPr>
          <w:p w:rsidR="00013EC7" w:rsidRDefault="00013EC7">
            <w:pPr>
              <w:rPr>
                <w:sz w:val="24"/>
              </w:rPr>
            </w:pPr>
          </w:p>
        </w:tc>
        <w:tc>
          <w:tcPr>
            <w:tcW w:w="2102" w:type="dxa"/>
            <w:vMerge/>
          </w:tcPr>
          <w:p w:rsidR="00013EC7" w:rsidRDefault="00013EC7">
            <w:pPr>
              <w:rPr>
                <w:sz w:val="24"/>
              </w:rPr>
            </w:pPr>
          </w:p>
        </w:tc>
        <w:tc>
          <w:tcPr>
            <w:tcW w:w="2770" w:type="dxa"/>
            <w:tcBorders>
              <w:bottom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112"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2390" w:type="dxa"/>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189"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3300" w:type="dxa"/>
            <w:vAlign w:val="center"/>
          </w:tcPr>
          <w:p w:rsidR="00013EC7" w:rsidRDefault="00575CDB">
            <w:pPr>
              <w:spacing w:line="280" w:lineRule="exact"/>
              <w:jc w:val="center"/>
              <w:rPr>
                <w:rFonts w:ascii="黑体" w:eastAsia="黑体"/>
                <w:sz w:val="24"/>
              </w:rPr>
            </w:pPr>
            <w:r>
              <w:rPr>
                <w:rFonts w:ascii="黑体" w:eastAsia="黑体" w:hint="eastAsia"/>
                <w:sz w:val="24"/>
              </w:rPr>
              <w:t>办理方式及材料</w:t>
            </w:r>
          </w:p>
          <w:p w:rsidR="00013EC7" w:rsidRDefault="00575CDB">
            <w:pPr>
              <w:spacing w:line="280" w:lineRule="exact"/>
              <w:jc w:val="center"/>
              <w:rPr>
                <w:rFonts w:ascii="黑体" w:eastAsia="黑体"/>
                <w:sz w:val="24"/>
              </w:rPr>
            </w:pPr>
            <w:r>
              <w:rPr>
                <w:rFonts w:ascii="黑体" w:eastAsia="黑体" w:hint="eastAsia"/>
                <w:sz w:val="24"/>
              </w:rPr>
              <w:t>信息获取方式说明</w:t>
            </w:r>
          </w:p>
        </w:tc>
        <w:tc>
          <w:tcPr>
            <w:tcW w:w="863" w:type="dxa"/>
            <w:vAlign w:val="center"/>
          </w:tcPr>
          <w:p w:rsidR="00013EC7" w:rsidRDefault="00575CDB">
            <w:pPr>
              <w:spacing w:line="280" w:lineRule="exact"/>
              <w:jc w:val="center"/>
              <w:rPr>
                <w:rFonts w:ascii="黑体" w:eastAsia="黑体"/>
                <w:sz w:val="24"/>
              </w:rPr>
            </w:pPr>
            <w:r>
              <w:rPr>
                <w:rFonts w:ascii="黑体" w:eastAsia="黑体" w:hint="eastAsia"/>
                <w:sz w:val="24"/>
              </w:rPr>
              <w:t>优化前</w:t>
            </w:r>
          </w:p>
        </w:tc>
        <w:tc>
          <w:tcPr>
            <w:tcW w:w="873"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优化后</w:t>
            </w:r>
          </w:p>
        </w:tc>
        <w:tc>
          <w:tcPr>
            <w:tcW w:w="874" w:type="dxa"/>
            <w:vMerge/>
            <w:vAlign w:val="center"/>
          </w:tcPr>
          <w:p w:rsidR="00013EC7" w:rsidRDefault="00013EC7">
            <w:pPr>
              <w:rPr>
                <w:sz w:val="24"/>
              </w:rPr>
            </w:pPr>
          </w:p>
        </w:tc>
        <w:tc>
          <w:tcPr>
            <w:tcW w:w="1098" w:type="dxa"/>
            <w:vMerge/>
            <w:vAlign w:val="center"/>
          </w:tcPr>
          <w:p w:rsidR="00013EC7" w:rsidRDefault="00013EC7">
            <w:pPr>
              <w:rPr>
                <w:sz w:val="24"/>
              </w:rPr>
            </w:pPr>
          </w:p>
        </w:tc>
        <w:tc>
          <w:tcPr>
            <w:tcW w:w="1468" w:type="dxa"/>
            <w:vMerge/>
            <w:vAlign w:val="center"/>
          </w:tcPr>
          <w:p w:rsidR="00013EC7" w:rsidRDefault="00013EC7">
            <w:pPr>
              <w:rPr>
                <w:sz w:val="24"/>
              </w:rPr>
            </w:pPr>
          </w:p>
        </w:tc>
      </w:tr>
      <w:tr w:rsidR="00013EC7">
        <w:trPr>
          <w:trHeight w:val="2116"/>
          <w:jc w:val="center"/>
        </w:trPr>
        <w:tc>
          <w:tcPr>
            <w:tcW w:w="1243"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24.常见税收优惠办理</w:t>
            </w:r>
          </w:p>
        </w:tc>
        <w:tc>
          <w:tcPr>
            <w:tcW w:w="1309" w:type="dxa"/>
            <w:vMerge w:val="restart"/>
            <w:vAlign w:val="center"/>
          </w:tcPr>
          <w:p w:rsidR="00013EC7" w:rsidRDefault="00575CDB">
            <w:pPr>
              <w:spacing w:line="310" w:lineRule="exact"/>
              <w:jc w:val="left"/>
              <w:rPr>
                <w:rFonts w:ascii="仿宋" w:eastAsia="仿宋" w:hAnsi="仿宋" w:cs="仿宋"/>
                <w:sz w:val="24"/>
              </w:rPr>
            </w:pPr>
            <w:r>
              <w:rPr>
                <w:rFonts w:ascii="仿宋" w:eastAsia="仿宋" w:hAnsi="仿宋" w:cs="仿宋" w:hint="eastAsia"/>
                <w:sz w:val="24"/>
              </w:rPr>
              <w:t>24.2增值税即征即退优惠资格备案</w:t>
            </w:r>
          </w:p>
        </w:tc>
        <w:tc>
          <w:tcPr>
            <w:tcW w:w="2102" w:type="dxa"/>
            <w:vMerge w:val="restart"/>
            <w:vAlign w:val="center"/>
          </w:tcPr>
          <w:p w:rsidR="00013EC7" w:rsidRDefault="00575CDB">
            <w:pPr>
              <w:jc w:val="left"/>
              <w:rPr>
                <w:rFonts w:ascii="仿宋" w:eastAsia="仿宋" w:hAnsi="仿宋" w:cs="仿宋"/>
                <w:color w:val="000000"/>
                <w:kern w:val="0"/>
                <w:sz w:val="24"/>
              </w:rPr>
            </w:pPr>
            <w:r>
              <w:rPr>
                <w:rFonts w:ascii="仿宋" w:eastAsia="仿宋" w:hAnsi="仿宋" w:cs="仿宋" w:hint="eastAsia"/>
                <w:color w:val="000000"/>
                <w:kern w:val="0"/>
                <w:sz w:val="24"/>
              </w:rPr>
              <w:t>（一）《营业税改征增值税试点过渡政策的规定》（财税〔2016〕36号）附件3第二条第一款，第二款。</w:t>
            </w:r>
          </w:p>
          <w:p w:rsidR="00013EC7" w:rsidRDefault="00575CDB">
            <w:pPr>
              <w:jc w:val="left"/>
              <w:rPr>
                <w:rFonts w:ascii="仿宋" w:eastAsia="仿宋" w:hAnsi="仿宋" w:cs="仿宋"/>
                <w:color w:val="000000"/>
                <w:kern w:val="0"/>
                <w:sz w:val="24"/>
              </w:rPr>
            </w:pPr>
            <w:r>
              <w:rPr>
                <w:rFonts w:ascii="仿宋" w:eastAsia="仿宋" w:hAnsi="仿宋" w:cs="仿宋" w:hint="eastAsia"/>
                <w:color w:val="000000"/>
                <w:kern w:val="0"/>
                <w:sz w:val="24"/>
              </w:rPr>
              <w:t>（二）《财政部 国家税务总局关于促进残疾人就业增值税优惠政策的通知》（财税〔2016〕52号）全文。</w:t>
            </w:r>
          </w:p>
          <w:p w:rsidR="00013EC7" w:rsidRDefault="00575CDB">
            <w:pPr>
              <w:jc w:val="left"/>
              <w:rPr>
                <w:rFonts w:ascii="仿宋" w:eastAsia="仿宋" w:hAnsi="仿宋" w:cs="仿宋"/>
                <w:color w:val="000000"/>
                <w:kern w:val="0"/>
                <w:sz w:val="24"/>
              </w:rPr>
            </w:pPr>
            <w:r>
              <w:rPr>
                <w:rFonts w:ascii="仿宋" w:eastAsia="仿宋" w:hAnsi="仿宋" w:cs="仿宋" w:hint="eastAsia"/>
                <w:color w:val="000000"/>
                <w:kern w:val="0"/>
                <w:sz w:val="24"/>
              </w:rPr>
              <w:t>（三）《国家税务总局关于安置残疾人单位是否可以同时享受多项增值税优惠政策问题的公告》（国家税务总局公告2011年第61号）全文。</w:t>
            </w:r>
          </w:p>
          <w:p w:rsidR="00013EC7" w:rsidRDefault="00575CDB">
            <w:pPr>
              <w:jc w:val="left"/>
              <w:rPr>
                <w:rFonts w:ascii="仿宋" w:eastAsia="仿宋" w:hAnsi="仿宋" w:cs="仿宋"/>
                <w:color w:val="000000"/>
                <w:kern w:val="0"/>
                <w:sz w:val="24"/>
              </w:rPr>
            </w:pPr>
            <w:r>
              <w:rPr>
                <w:rFonts w:ascii="仿宋" w:eastAsia="仿宋" w:hAnsi="仿宋" w:cs="仿宋" w:hint="eastAsia"/>
                <w:color w:val="000000"/>
                <w:kern w:val="0"/>
                <w:sz w:val="24"/>
              </w:rPr>
              <w:t>（四）《财政部 国家税务总局关于教育税收政策的通知》（财税〔2004〕39号）第</w:t>
            </w:r>
            <w:r>
              <w:rPr>
                <w:rFonts w:ascii="仿宋" w:eastAsia="仿宋" w:hAnsi="仿宋" w:cs="仿宋" w:hint="eastAsia"/>
                <w:color w:val="000000"/>
                <w:kern w:val="0"/>
                <w:sz w:val="24"/>
              </w:rPr>
              <w:lastRenderedPageBreak/>
              <w:t>一条第七款。</w:t>
            </w:r>
          </w:p>
          <w:p w:rsidR="00013EC7" w:rsidRDefault="00575CDB">
            <w:pPr>
              <w:jc w:val="left"/>
              <w:rPr>
                <w:rFonts w:ascii="仿宋" w:eastAsia="仿宋" w:hAnsi="仿宋" w:cs="仿宋"/>
                <w:color w:val="000000"/>
                <w:kern w:val="0"/>
                <w:sz w:val="24"/>
              </w:rPr>
            </w:pPr>
            <w:r>
              <w:rPr>
                <w:rFonts w:ascii="仿宋" w:eastAsia="仿宋" w:hAnsi="仿宋" w:cs="仿宋" w:hint="eastAsia"/>
                <w:color w:val="000000"/>
                <w:kern w:val="0"/>
                <w:sz w:val="24"/>
              </w:rPr>
              <w:t>（五）《国家税务总局关于促进残疾人就业税收优惠政策相关问题的公告》（国家税务总局公告2015年第55号）全文。</w:t>
            </w:r>
          </w:p>
          <w:p w:rsidR="00013EC7" w:rsidRDefault="00575CDB">
            <w:pPr>
              <w:jc w:val="left"/>
              <w:rPr>
                <w:rFonts w:ascii="仿宋" w:eastAsia="仿宋" w:hAnsi="仿宋" w:cs="仿宋"/>
                <w:color w:val="000000"/>
                <w:kern w:val="0"/>
                <w:sz w:val="24"/>
              </w:rPr>
            </w:pPr>
            <w:r>
              <w:rPr>
                <w:rFonts w:ascii="仿宋" w:eastAsia="仿宋" w:hAnsi="仿宋" w:cs="仿宋" w:hint="eastAsia"/>
                <w:color w:val="000000"/>
                <w:kern w:val="0"/>
                <w:sz w:val="24"/>
              </w:rPr>
              <w:t>（六）《国家税务总局关于发布促进残疾人就业增值税优惠政策管理办法的公告》（国家税务总局公告2016年第33号）全文。</w:t>
            </w:r>
          </w:p>
          <w:p w:rsidR="00013EC7" w:rsidRDefault="00575CDB">
            <w:pPr>
              <w:jc w:val="left"/>
              <w:rPr>
                <w:rFonts w:ascii="仿宋" w:eastAsia="仿宋" w:hAnsi="仿宋" w:cs="仿宋"/>
                <w:color w:val="000000"/>
                <w:kern w:val="0"/>
                <w:sz w:val="24"/>
              </w:rPr>
            </w:pPr>
            <w:r>
              <w:rPr>
                <w:rFonts w:ascii="仿宋" w:eastAsia="仿宋" w:hAnsi="仿宋" w:cs="仿宋" w:hint="eastAsia"/>
                <w:color w:val="000000"/>
                <w:kern w:val="0"/>
                <w:sz w:val="24"/>
              </w:rPr>
              <w:t>（七）《财政部 国家税务总局关于增值税若干政策的通知》（财税〔2005〕165号）第十一条第二款。</w:t>
            </w:r>
          </w:p>
          <w:p w:rsidR="00013EC7" w:rsidRDefault="00575CDB">
            <w:pPr>
              <w:jc w:val="left"/>
              <w:rPr>
                <w:rFonts w:ascii="仿宋" w:eastAsia="仿宋" w:hAnsi="仿宋" w:cs="仿宋"/>
                <w:color w:val="000000"/>
                <w:kern w:val="0"/>
                <w:sz w:val="24"/>
              </w:rPr>
            </w:pPr>
            <w:r>
              <w:rPr>
                <w:rFonts w:ascii="仿宋" w:eastAsia="仿宋" w:hAnsi="仿宋" w:cs="仿宋" w:hint="eastAsia"/>
                <w:color w:val="000000"/>
                <w:kern w:val="0"/>
                <w:sz w:val="24"/>
              </w:rPr>
              <w:t>（八）《财政部 国家税务总局关于软件产品增值税政策的通知》（财税〔2011〕100号）全文。</w:t>
            </w:r>
          </w:p>
          <w:p w:rsidR="00013EC7" w:rsidRDefault="00575CDB">
            <w:pPr>
              <w:jc w:val="left"/>
              <w:rPr>
                <w:rFonts w:ascii="仿宋" w:eastAsia="仿宋" w:hAnsi="仿宋" w:cs="仿宋"/>
                <w:color w:val="000000"/>
                <w:kern w:val="0"/>
                <w:sz w:val="24"/>
              </w:rPr>
            </w:pPr>
            <w:r>
              <w:rPr>
                <w:rFonts w:ascii="仿宋" w:eastAsia="仿宋" w:hAnsi="仿宋" w:cs="仿宋" w:hint="eastAsia"/>
                <w:color w:val="000000"/>
                <w:kern w:val="0"/>
                <w:sz w:val="24"/>
              </w:rPr>
              <w:t>（九）《财政部 国家税务总局关于印发&lt;资源综合利用产品和劳务增值税优惠目录&gt;的通知》（财税〔2015〕78号）全文。</w:t>
            </w:r>
          </w:p>
          <w:p w:rsidR="00013EC7" w:rsidRDefault="00575CDB">
            <w:pPr>
              <w:jc w:val="left"/>
              <w:rPr>
                <w:rFonts w:ascii="仿宋" w:eastAsia="仿宋" w:hAnsi="仿宋" w:cs="仿宋"/>
                <w:color w:val="000000"/>
                <w:kern w:val="0"/>
                <w:sz w:val="24"/>
              </w:rPr>
            </w:pPr>
            <w:r>
              <w:rPr>
                <w:rFonts w:ascii="仿宋" w:eastAsia="仿宋" w:hAnsi="仿宋" w:cs="仿宋" w:hint="eastAsia"/>
                <w:color w:val="000000"/>
                <w:kern w:val="0"/>
                <w:sz w:val="24"/>
              </w:rPr>
              <w:t>（十）《浙江省国</w:t>
            </w:r>
            <w:r>
              <w:rPr>
                <w:rFonts w:ascii="仿宋" w:eastAsia="仿宋" w:hAnsi="仿宋" w:cs="仿宋" w:hint="eastAsia"/>
                <w:color w:val="000000"/>
                <w:kern w:val="0"/>
                <w:sz w:val="24"/>
              </w:rPr>
              <w:lastRenderedPageBreak/>
              <w:t>家税务局关于资源综合利用产品和劳务增值税优惠政策的公告》（浙江省国家税务局公告2015年第6号）全文。</w:t>
            </w:r>
          </w:p>
          <w:p w:rsidR="00013EC7" w:rsidRDefault="00575CDB">
            <w:pPr>
              <w:jc w:val="left"/>
              <w:rPr>
                <w:rFonts w:ascii="仿宋" w:eastAsia="仿宋" w:hAnsi="仿宋" w:cs="仿宋"/>
                <w:color w:val="000000"/>
                <w:kern w:val="0"/>
                <w:sz w:val="24"/>
              </w:rPr>
            </w:pPr>
            <w:r>
              <w:rPr>
                <w:rFonts w:ascii="仿宋" w:eastAsia="仿宋" w:hAnsi="仿宋" w:cs="仿宋" w:hint="eastAsia"/>
                <w:color w:val="000000"/>
                <w:kern w:val="0"/>
                <w:sz w:val="24"/>
              </w:rPr>
              <w:t>（十一）《财政部 国家税务总局关于飞机维修增值税问题的通知》（财税〔2000〕102号）全文。</w:t>
            </w:r>
          </w:p>
          <w:p w:rsidR="00013EC7" w:rsidRDefault="00575CDB">
            <w:pPr>
              <w:jc w:val="left"/>
              <w:rPr>
                <w:rFonts w:ascii="仿宋" w:eastAsia="仿宋" w:hAnsi="仿宋" w:cs="仿宋"/>
                <w:color w:val="000000"/>
                <w:kern w:val="0"/>
                <w:sz w:val="24"/>
              </w:rPr>
            </w:pPr>
            <w:r>
              <w:rPr>
                <w:rFonts w:ascii="仿宋" w:eastAsia="仿宋" w:hAnsi="仿宋" w:cs="仿宋" w:hint="eastAsia"/>
                <w:color w:val="000000"/>
                <w:kern w:val="0"/>
                <w:sz w:val="24"/>
              </w:rPr>
              <w:t>（十二）《财政部 国家税务总局关于大型水电企业增值税政策的通知》（财税〔2014〕10号）全文（2017年12月31日政策到期）。</w:t>
            </w:r>
          </w:p>
          <w:p w:rsidR="00013EC7" w:rsidRDefault="00575CDB">
            <w:pPr>
              <w:jc w:val="left"/>
              <w:rPr>
                <w:rFonts w:ascii="仿宋" w:eastAsia="仿宋" w:hAnsi="仿宋" w:cs="仿宋"/>
                <w:color w:val="000000"/>
                <w:kern w:val="0"/>
                <w:sz w:val="24"/>
              </w:rPr>
            </w:pPr>
            <w:r>
              <w:rPr>
                <w:rFonts w:ascii="仿宋" w:eastAsia="仿宋" w:hAnsi="仿宋" w:cs="仿宋" w:hint="eastAsia"/>
                <w:color w:val="000000"/>
                <w:kern w:val="0"/>
                <w:sz w:val="24"/>
              </w:rPr>
              <w:t>（十三）《财政部 国家税务总局发布关于继续执行光伏发电增值税政策的通知》（财税〔2016〕81号）全文。</w:t>
            </w:r>
          </w:p>
          <w:p w:rsidR="00013EC7" w:rsidRDefault="00575CDB">
            <w:pPr>
              <w:jc w:val="left"/>
              <w:rPr>
                <w:rFonts w:ascii="仿宋" w:eastAsia="仿宋" w:hAnsi="仿宋" w:cs="仿宋"/>
                <w:color w:val="000000"/>
                <w:kern w:val="0"/>
                <w:sz w:val="24"/>
              </w:rPr>
            </w:pPr>
            <w:r>
              <w:rPr>
                <w:rFonts w:ascii="仿宋" w:eastAsia="仿宋" w:hAnsi="仿宋" w:cs="仿宋" w:hint="eastAsia"/>
                <w:color w:val="000000"/>
                <w:kern w:val="0"/>
                <w:sz w:val="24"/>
              </w:rPr>
              <w:t>（十四）《财政部 国家税务总局关于</w:t>
            </w:r>
            <w:r>
              <w:rPr>
                <w:rFonts w:ascii="仿宋" w:eastAsia="仿宋" w:hAnsi="仿宋" w:cs="仿宋" w:hint="eastAsia"/>
                <w:color w:val="000000"/>
                <w:kern w:val="0"/>
                <w:sz w:val="24"/>
              </w:rPr>
              <w:lastRenderedPageBreak/>
              <w:t>铂金及其制品税收政策的通知》（财税〔2003〕86号）第一条，第二条，第三条，第四条。</w:t>
            </w:r>
          </w:p>
          <w:p w:rsidR="00013EC7" w:rsidRDefault="00575CDB">
            <w:pPr>
              <w:jc w:val="left"/>
              <w:rPr>
                <w:rFonts w:ascii="仿宋" w:eastAsia="仿宋" w:hAnsi="仿宋" w:cs="仿宋"/>
                <w:color w:val="000000"/>
                <w:kern w:val="0"/>
                <w:sz w:val="24"/>
              </w:rPr>
            </w:pPr>
            <w:r>
              <w:rPr>
                <w:rFonts w:ascii="仿宋" w:eastAsia="仿宋" w:hAnsi="仿宋" w:cs="仿宋" w:hint="eastAsia"/>
                <w:color w:val="000000"/>
                <w:kern w:val="0"/>
                <w:sz w:val="24"/>
              </w:rPr>
              <w:t>（十五）《财政部 国家税务总局关于新型墙体材料增值税政策的通知》（财税〔2015〕73号）全文。</w:t>
            </w:r>
          </w:p>
          <w:p w:rsidR="00013EC7" w:rsidRDefault="00575CDB">
            <w:pPr>
              <w:jc w:val="left"/>
              <w:rPr>
                <w:rFonts w:ascii="仿宋" w:eastAsia="仿宋" w:hAnsi="仿宋" w:cs="仿宋"/>
                <w:color w:val="000000"/>
                <w:kern w:val="0"/>
                <w:sz w:val="24"/>
              </w:rPr>
            </w:pPr>
            <w:r>
              <w:rPr>
                <w:rFonts w:ascii="仿宋" w:eastAsia="仿宋" w:hAnsi="仿宋" w:cs="仿宋" w:hint="eastAsia"/>
                <w:color w:val="000000"/>
                <w:kern w:val="0"/>
                <w:sz w:val="24"/>
              </w:rPr>
              <w:t>（十六）《财政部 国家税务总局关于风力发电增值税政策的通知》（财税〔2015〕74号）全文。</w:t>
            </w:r>
          </w:p>
          <w:p w:rsidR="00013EC7" w:rsidRDefault="00575CDB">
            <w:pPr>
              <w:jc w:val="left"/>
              <w:rPr>
                <w:rFonts w:ascii="仿宋" w:eastAsia="仿宋" w:hAnsi="仿宋" w:cs="仿宋"/>
                <w:color w:val="000000"/>
                <w:kern w:val="0"/>
                <w:sz w:val="24"/>
              </w:rPr>
            </w:pPr>
            <w:r>
              <w:rPr>
                <w:rFonts w:ascii="仿宋" w:eastAsia="仿宋" w:hAnsi="仿宋" w:cs="仿宋" w:hint="eastAsia"/>
                <w:color w:val="000000"/>
                <w:kern w:val="0"/>
                <w:sz w:val="24"/>
              </w:rPr>
              <w:t>（十七）《文化部 财政部 国家税务总局关于印发&lt;动漫企业认定管理办法（试行）&gt;的通知》（文市发〔2008〕51号）全文。</w:t>
            </w:r>
          </w:p>
          <w:p w:rsidR="00013EC7" w:rsidRDefault="00575CDB">
            <w:pPr>
              <w:jc w:val="left"/>
              <w:rPr>
                <w:rFonts w:ascii="仿宋" w:eastAsia="仿宋" w:hAnsi="仿宋" w:cs="仿宋"/>
                <w:color w:val="000000"/>
                <w:kern w:val="0"/>
                <w:sz w:val="24"/>
              </w:rPr>
            </w:pPr>
            <w:r>
              <w:rPr>
                <w:rFonts w:ascii="仿宋" w:eastAsia="仿宋" w:hAnsi="仿宋" w:cs="仿宋" w:hint="eastAsia"/>
                <w:color w:val="000000"/>
                <w:kern w:val="0"/>
                <w:sz w:val="24"/>
              </w:rPr>
              <w:t>（十八） 《财政部 国家税务总局关于动漫产业增值税和营业税政策的通知》（财税〔2013〕98号）第一条，第三条（2017年12月31</w:t>
            </w:r>
            <w:r>
              <w:rPr>
                <w:rFonts w:ascii="仿宋" w:eastAsia="仿宋" w:hAnsi="仿宋" w:cs="仿宋" w:hint="eastAsia"/>
                <w:color w:val="000000"/>
                <w:kern w:val="0"/>
                <w:sz w:val="24"/>
              </w:rPr>
              <w:lastRenderedPageBreak/>
              <w:t>日政策到期）。</w:t>
            </w:r>
          </w:p>
          <w:p w:rsidR="00013EC7" w:rsidRDefault="00013EC7">
            <w:pPr>
              <w:jc w:val="left"/>
              <w:rPr>
                <w:rFonts w:ascii="仿宋" w:eastAsia="仿宋" w:hAnsi="仿宋" w:cs="仿宋"/>
                <w:kern w:val="1"/>
                <w:sz w:val="24"/>
              </w:rPr>
            </w:pPr>
          </w:p>
        </w:tc>
        <w:tc>
          <w:tcPr>
            <w:tcW w:w="2770" w:type="dxa"/>
            <w:tcBorders>
              <w:top w:val="single" w:sz="4" w:space="0" w:color="auto"/>
              <w:bottom w:val="single" w:sz="4" w:space="0" w:color="auto"/>
            </w:tcBorders>
            <w:vAlign w:val="center"/>
          </w:tcPr>
          <w:p w:rsidR="00013EC7" w:rsidRDefault="00575CDB">
            <w:pPr>
              <w:jc w:val="left"/>
              <w:rPr>
                <w:rFonts w:ascii="仿宋" w:eastAsia="仿宋" w:hAnsi="仿宋" w:cs="仿宋"/>
                <w:kern w:val="1"/>
                <w:sz w:val="24"/>
              </w:rPr>
            </w:pPr>
            <w:r>
              <w:rPr>
                <w:rFonts w:ascii="仿宋" w:eastAsia="仿宋" w:hAnsi="仿宋" w:cs="仿宋" w:hint="eastAsia"/>
                <w:kern w:val="1"/>
                <w:sz w:val="24"/>
              </w:rPr>
              <w:lastRenderedPageBreak/>
              <w:t>（一）（A03050）《税务资格备案表》2份。</w:t>
            </w:r>
          </w:p>
        </w:tc>
        <w:tc>
          <w:tcPr>
            <w:tcW w:w="1112"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纳税人提交</w:t>
            </w:r>
          </w:p>
        </w:tc>
        <w:tc>
          <w:tcPr>
            <w:tcW w:w="2390" w:type="dxa"/>
            <w:vAlign w:val="center"/>
          </w:tcPr>
          <w:p w:rsidR="00013EC7" w:rsidRDefault="00575CDB">
            <w:pPr>
              <w:jc w:val="left"/>
              <w:rPr>
                <w:rFonts w:ascii="仿宋" w:eastAsia="仿宋" w:hAnsi="仿宋" w:cs="仿宋"/>
                <w:kern w:val="1"/>
                <w:sz w:val="24"/>
              </w:rPr>
            </w:pPr>
            <w:r>
              <w:rPr>
                <w:rFonts w:ascii="仿宋" w:eastAsia="仿宋" w:hAnsi="仿宋" w:cs="仿宋" w:hint="eastAsia"/>
                <w:kern w:val="1"/>
                <w:sz w:val="24"/>
              </w:rPr>
              <w:t>（一）（A03050）《税务资格备案表》2份。</w:t>
            </w:r>
          </w:p>
        </w:tc>
        <w:tc>
          <w:tcPr>
            <w:tcW w:w="1189" w:type="dxa"/>
            <w:vAlign w:val="center"/>
          </w:tcPr>
          <w:p w:rsidR="00013EC7" w:rsidRDefault="00575CDB">
            <w:pPr>
              <w:spacing w:line="300" w:lineRule="exact"/>
              <w:jc w:val="left"/>
              <w:rPr>
                <w:rFonts w:ascii="仿宋" w:eastAsia="仿宋" w:hAnsi="仿宋" w:cs="仿宋"/>
                <w:b/>
                <w:bCs/>
                <w:i/>
                <w:iCs/>
                <w:sz w:val="24"/>
              </w:rPr>
            </w:pPr>
            <w:r>
              <w:rPr>
                <w:rFonts w:ascii="仿宋" w:eastAsia="仿宋" w:hAnsi="仿宋" w:cs="仿宋" w:hint="eastAsia"/>
                <w:sz w:val="24"/>
              </w:rPr>
              <w:t>纳税人提交</w:t>
            </w:r>
          </w:p>
        </w:tc>
        <w:tc>
          <w:tcPr>
            <w:tcW w:w="3300"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纳税人提交书面材料。</w:t>
            </w:r>
          </w:p>
          <w:p w:rsidR="00013EC7" w:rsidRDefault="00575CDB">
            <w:pPr>
              <w:spacing w:line="300" w:lineRule="exact"/>
              <w:jc w:val="left"/>
              <w:rPr>
                <w:rFonts w:ascii="仿宋" w:eastAsia="仿宋" w:hAnsi="仿宋" w:cs="仿宋"/>
                <w:b/>
                <w:sz w:val="24"/>
              </w:rPr>
            </w:pPr>
            <w:r>
              <w:rPr>
                <w:rFonts w:ascii="仿宋" w:eastAsia="仿宋" w:hAnsi="仿宋" w:cs="仿宋" w:hint="eastAsia"/>
                <w:b/>
                <w:sz w:val="24"/>
              </w:rPr>
              <w:t>网上办理：</w:t>
            </w:r>
            <w:r>
              <w:rPr>
                <w:rFonts w:ascii="仿宋" w:eastAsia="仿宋" w:hAnsi="仿宋" w:cs="仿宋" w:hint="eastAsia"/>
                <w:sz w:val="24"/>
              </w:rPr>
              <w:t>登录浙江国税电子税务局（网址：</w:t>
            </w:r>
            <w:hyperlink r:id="rId419" w:tgtFrame="https://wx.qq.com/_blank" w:history="1">
              <w:r>
                <w:rPr>
                  <w:rFonts w:ascii="仿宋" w:eastAsia="仿宋" w:hAnsi="仿宋" w:cs="仿宋" w:hint="eastAsia"/>
                  <w:sz w:val="24"/>
                </w:rPr>
                <w:t>http://etax.zjtax.gov.cn/</w:t>
              </w:r>
            </w:hyperlink>
            <w:r>
              <w:rPr>
                <w:rFonts w:ascii="仿宋" w:eastAsia="仿宋" w:hAnsi="仿宋" w:cs="仿宋" w:hint="eastAsia"/>
                <w:sz w:val="24"/>
              </w:rPr>
              <w:t>）提交申请。</w:t>
            </w:r>
          </w:p>
          <w:p w:rsidR="00013EC7" w:rsidRDefault="00575CDB">
            <w:pPr>
              <w:spacing w:line="300" w:lineRule="exact"/>
              <w:jc w:val="left"/>
              <w:rPr>
                <w:rFonts w:ascii="仿宋" w:eastAsia="仿宋" w:hAnsi="仿宋" w:cs="仿宋"/>
                <w:sz w:val="24"/>
              </w:rPr>
            </w:pPr>
            <w:r>
              <w:rPr>
                <w:rStyle w:val="font31"/>
                <w:rFonts w:ascii="仿宋" w:eastAsia="仿宋" w:hAnsi="仿宋" w:cs="仿宋" w:hint="default"/>
                <w:sz w:val="24"/>
              </w:rPr>
              <w:t>APP办理：</w:t>
            </w:r>
            <w:r>
              <w:rPr>
                <w:rFonts w:ascii="仿宋" w:eastAsia="仿宋" w:hAnsi="仿宋" w:cs="仿宋"/>
                <w:sz w:val="24"/>
              </w:rPr>
              <w:t>登录浙江国税APP提交申请。</w:t>
            </w:r>
          </w:p>
        </w:tc>
        <w:tc>
          <w:tcPr>
            <w:tcW w:w="863"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即时办结</w:t>
            </w:r>
          </w:p>
        </w:tc>
        <w:tc>
          <w:tcPr>
            <w:tcW w:w="873" w:type="dxa"/>
            <w:gridSpan w:val="2"/>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即时办结</w:t>
            </w:r>
          </w:p>
        </w:tc>
        <w:tc>
          <w:tcPr>
            <w:tcW w:w="874"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是</w:t>
            </w:r>
          </w:p>
        </w:tc>
        <w:tc>
          <w:tcPr>
            <w:tcW w:w="1098"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货物和劳务税处</w:t>
            </w:r>
          </w:p>
        </w:tc>
        <w:tc>
          <w:tcPr>
            <w:tcW w:w="1468"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相关文件外部获取</w:t>
            </w:r>
          </w:p>
          <w:p w:rsidR="00013EC7" w:rsidRDefault="00575CDB">
            <w:pPr>
              <w:spacing w:line="300" w:lineRule="exact"/>
              <w:jc w:val="left"/>
              <w:rPr>
                <w:rFonts w:ascii="仿宋" w:eastAsia="仿宋" w:hAnsi="仿宋" w:cs="仿宋"/>
                <w:sz w:val="24"/>
              </w:rPr>
            </w:pPr>
            <w:r>
              <w:rPr>
                <w:rFonts w:ascii="仿宋" w:eastAsia="仿宋" w:hAnsi="仿宋" w:cs="仿宋" w:hint="eastAsia"/>
                <w:sz w:val="24"/>
              </w:rPr>
              <w:t>（一）省级软件产业主管部门认可的软件检测机构出具的检测证明材料。</w:t>
            </w:r>
          </w:p>
          <w:p w:rsidR="00013EC7" w:rsidRDefault="00575CDB">
            <w:pPr>
              <w:spacing w:line="300" w:lineRule="exact"/>
              <w:jc w:val="left"/>
              <w:rPr>
                <w:rFonts w:ascii="仿宋" w:eastAsia="仿宋" w:hAnsi="仿宋" w:cs="仿宋"/>
                <w:sz w:val="24"/>
              </w:rPr>
            </w:pPr>
            <w:r>
              <w:rPr>
                <w:rFonts w:ascii="仿宋" w:eastAsia="仿宋" w:hAnsi="仿宋" w:cs="仿宋" w:hint="eastAsia"/>
                <w:sz w:val="24"/>
              </w:rPr>
              <w:t>（二）软件产业主管部门颁发的《软件产品登记证书》或著作权行政管理部门颁发的《计算机软件著作权登记证书》。</w:t>
            </w:r>
          </w:p>
          <w:p w:rsidR="00013EC7" w:rsidRDefault="00575CDB">
            <w:pPr>
              <w:spacing w:line="300" w:lineRule="exact"/>
              <w:jc w:val="left"/>
              <w:rPr>
                <w:rFonts w:ascii="仿宋" w:eastAsia="仿宋" w:hAnsi="仿宋" w:cs="仿宋"/>
                <w:sz w:val="24"/>
              </w:rPr>
            </w:pPr>
            <w:r>
              <w:rPr>
                <w:rFonts w:ascii="仿宋" w:eastAsia="仿宋" w:hAnsi="仿宋" w:cs="仿宋" w:hint="eastAsia"/>
                <w:sz w:val="24"/>
              </w:rPr>
              <w:t>取消省级及以上环境保护部门颁发的《危险废物经营许可证》复印件（加盖公</w:t>
            </w:r>
            <w:r>
              <w:rPr>
                <w:rFonts w:ascii="仿宋" w:eastAsia="仿宋" w:hAnsi="仿宋" w:cs="仿宋" w:hint="eastAsia"/>
                <w:sz w:val="24"/>
              </w:rPr>
              <w:lastRenderedPageBreak/>
              <w:t>章）报送</w:t>
            </w:r>
          </w:p>
        </w:tc>
      </w:tr>
      <w:tr w:rsidR="00013EC7">
        <w:trPr>
          <w:cantSplit/>
          <w:trHeight w:val="1381"/>
          <w:jc w:val="center"/>
        </w:trPr>
        <w:tc>
          <w:tcPr>
            <w:tcW w:w="1243" w:type="dxa"/>
            <w:vMerge/>
            <w:textDirection w:val="tbRlV"/>
            <w:vAlign w:val="center"/>
          </w:tcPr>
          <w:p w:rsidR="00013EC7" w:rsidRDefault="00013EC7">
            <w:pPr>
              <w:jc w:val="left"/>
              <w:rPr>
                <w:rFonts w:ascii="仿宋" w:eastAsia="仿宋" w:hAnsi="仿宋" w:cs="仿宋"/>
                <w:sz w:val="24"/>
              </w:rPr>
            </w:pPr>
          </w:p>
        </w:tc>
        <w:tc>
          <w:tcPr>
            <w:tcW w:w="1309" w:type="dxa"/>
            <w:vMerge/>
            <w:vAlign w:val="center"/>
          </w:tcPr>
          <w:p w:rsidR="00013EC7" w:rsidRDefault="00013EC7">
            <w:pPr>
              <w:jc w:val="left"/>
              <w:rPr>
                <w:rFonts w:ascii="仿宋" w:eastAsia="仿宋" w:hAnsi="仿宋" w:cs="仿宋"/>
                <w:sz w:val="24"/>
              </w:rPr>
            </w:pPr>
          </w:p>
        </w:tc>
        <w:tc>
          <w:tcPr>
            <w:tcW w:w="2102" w:type="dxa"/>
            <w:vMerge/>
            <w:vAlign w:val="center"/>
          </w:tcPr>
          <w:p w:rsidR="00013EC7" w:rsidRDefault="00013EC7">
            <w:pPr>
              <w:jc w:val="left"/>
              <w:rPr>
                <w:rFonts w:ascii="仿宋" w:eastAsia="仿宋" w:hAnsi="仿宋" w:cs="仿宋"/>
                <w:sz w:val="24"/>
              </w:rPr>
            </w:pPr>
          </w:p>
        </w:tc>
        <w:tc>
          <w:tcPr>
            <w:tcW w:w="2770" w:type="dxa"/>
            <w:tcBorders>
              <w:top w:val="single" w:sz="4" w:space="0" w:color="auto"/>
            </w:tcBorders>
            <w:vAlign w:val="center"/>
          </w:tcPr>
          <w:p w:rsidR="00013EC7" w:rsidRDefault="00575CDB">
            <w:pPr>
              <w:jc w:val="left"/>
              <w:rPr>
                <w:rFonts w:ascii="仿宋" w:eastAsia="仿宋" w:hAnsi="仿宋" w:cs="仿宋"/>
                <w:kern w:val="1"/>
                <w:sz w:val="24"/>
              </w:rPr>
            </w:pPr>
            <w:r>
              <w:rPr>
                <w:rFonts w:ascii="仿宋" w:eastAsia="仿宋" w:hAnsi="仿宋" w:cs="仿宋" w:hint="eastAsia"/>
                <w:kern w:val="1"/>
                <w:sz w:val="24"/>
              </w:rPr>
              <w:t>（二）安置的残疾人的身份证明复印件，注明与原件一致，并逐页加盖公章。</w:t>
            </w:r>
          </w:p>
        </w:tc>
        <w:tc>
          <w:tcPr>
            <w:tcW w:w="1112" w:type="dxa"/>
            <w:vMerge w:val="restart"/>
            <w:vAlign w:val="center"/>
          </w:tcPr>
          <w:p w:rsidR="00013EC7" w:rsidRDefault="00575CDB">
            <w:pPr>
              <w:jc w:val="left"/>
              <w:rPr>
                <w:rFonts w:ascii="仿宋" w:eastAsia="仿宋" w:hAnsi="仿宋" w:cs="仿宋"/>
                <w:sz w:val="24"/>
              </w:rPr>
            </w:pPr>
            <w:r>
              <w:rPr>
                <w:rFonts w:ascii="仿宋" w:eastAsia="仿宋" w:hAnsi="仿宋" w:cs="仿宋" w:hint="eastAsia"/>
                <w:color w:val="000000"/>
                <w:kern w:val="0"/>
                <w:sz w:val="24"/>
              </w:rPr>
              <w:t>安置精神残疾人的</w:t>
            </w:r>
            <w:r>
              <w:rPr>
                <w:rFonts w:ascii="仿宋" w:eastAsia="仿宋" w:hAnsi="仿宋" w:cs="仿宋" w:hint="eastAsia"/>
                <w:sz w:val="24"/>
              </w:rPr>
              <w:t>纳税人提交</w:t>
            </w:r>
          </w:p>
        </w:tc>
        <w:tc>
          <w:tcPr>
            <w:tcW w:w="2390" w:type="dxa"/>
            <w:vAlign w:val="center"/>
          </w:tcPr>
          <w:p w:rsidR="00013EC7" w:rsidRDefault="00575CDB">
            <w:pPr>
              <w:jc w:val="left"/>
              <w:rPr>
                <w:rFonts w:ascii="仿宋" w:eastAsia="仿宋" w:hAnsi="仿宋" w:cs="仿宋"/>
                <w:kern w:val="1"/>
                <w:sz w:val="24"/>
              </w:rPr>
            </w:pPr>
            <w:r>
              <w:rPr>
                <w:rFonts w:ascii="仿宋" w:eastAsia="仿宋" w:hAnsi="仿宋" w:cs="仿宋" w:hint="eastAsia"/>
                <w:kern w:val="1"/>
                <w:sz w:val="24"/>
              </w:rPr>
              <w:t>（二）安置的残疾人的身份证明。</w:t>
            </w:r>
          </w:p>
          <w:p w:rsidR="00013EC7" w:rsidRDefault="00013EC7">
            <w:pPr>
              <w:jc w:val="left"/>
              <w:rPr>
                <w:rFonts w:ascii="仿宋" w:eastAsia="仿宋" w:hAnsi="仿宋" w:cs="仿宋"/>
                <w:kern w:val="1"/>
                <w:sz w:val="24"/>
              </w:rPr>
            </w:pPr>
          </w:p>
        </w:tc>
        <w:tc>
          <w:tcPr>
            <w:tcW w:w="1189" w:type="dxa"/>
            <w:vMerge w:val="restart"/>
            <w:vAlign w:val="center"/>
          </w:tcPr>
          <w:p w:rsidR="00013EC7" w:rsidRDefault="00575CDB">
            <w:pPr>
              <w:spacing w:line="300" w:lineRule="exact"/>
              <w:jc w:val="left"/>
              <w:rPr>
                <w:rFonts w:ascii="仿宋" w:eastAsia="仿宋" w:hAnsi="仿宋" w:cs="仿宋"/>
                <w:sz w:val="24"/>
              </w:rPr>
            </w:pPr>
            <w:r>
              <w:rPr>
                <w:rStyle w:val="font131"/>
                <w:rFonts w:ascii="仿宋" w:eastAsia="仿宋" w:hAnsi="仿宋" w:cs="仿宋" w:hint="eastAsia"/>
                <w:b/>
                <w:bCs/>
                <w:i/>
                <w:iCs/>
                <w:sz w:val="24"/>
              </w:rPr>
              <w:t>经办机构自行获取</w:t>
            </w:r>
          </w:p>
        </w:tc>
        <w:tc>
          <w:tcPr>
            <w:tcW w:w="3300"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b/>
                <w:bCs/>
                <w:color w:val="000000"/>
                <w:sz w:val="24"/>
              </w:rPr>
              <w:t>外部共享：</w:t>
            </w:r>
            <w:r>
              <w:rPr>
                <w:rFonts w:ascii="仿宋" w:eastAsia="仿宋" w:hAnsi="仿宋" w:cs="仿宋" w:hint="eastAsia"/>
                <w:color w:val="000000"/>
                <w:sz w:val="24"/>
              </w:rPr>
              <w:t>由省公安厅提供共享。</w:t>
            </w:r>
          </w:p>
        </w:tc>
        <w:tc>
          <w:tcPr>
            <w:tcW w:w="863" w:type="dxa"/>
            <w:vMerge/>
            <w:vAlign w:val="center"/>
          </w:tcPr>
          <w:p w:rsidR="00013EC7" w:rsidRDefault="00013EC7">
            <w:pPr>
              <w:jc w:val="left"/>
              <w:rPr>
                <w:rFonts w:ascii="仿宋" w:eastAsia="仿宋" w:hAnsi="仿宋" w:cs="仿宋"/>
                <w:sz w:val="24"/>
              </w:rPr>
            </w:pPr>
          </w:p>
        </w:tc>
        <w:tc>
          <w:tcPr>
            <w:tcW w:w="873" w:type="dxa"/>
            <w:gridSpan w:val="2"/>
            <w:vMerge/>
            <w:vAlign w:val="center"/>
          </w:tcPr>
          <w:p w:rsidR="00013EC7" w:rsidRDefault="00013EC7">
            <w:pPr>
              <w:jc w:val="left"/>
              <w:rPr>
                <w:rFonts w:ascii="仿宋" w:eastAsia="仿宋" w:hAnsi="仿宋" w:cs="仿宋"/>
                <w:sz w:val="24"/>
              </w:rPr>
            </w:pPr>
          </w:p>
        </w:tc>
        <w:tc>
          <w:tcPr>
            <w:tcW w:w="874" w:type="dxa"/>
            <w:vMerge/>
            <w:vAlign w:val="center"/>
          </w:tcPr>
          <w:p w:rsidR="00013EC7" w:rsidRDefault="00013EC7">
            <w:pPr>
              <w:jc w:val="left"/>
              <w:rPr>
                <w:rFonts w:ascii="仿宋" w:eastAsia="仿宋" w:hAnsi="仿宋" w:cs="仿宋"/>
                <w:sz w:val="24"/>
              </w:rPr>
            </w:pPr>
          </w:p>
        </w:tc>
        <w:tc>
          <w:tcPr>
            <w:tcW w:w="1098" w:type="dxa"/>
            <w:vMerge/>
            <w:vAlign w:val="center"/>
          </w:tcPr>
          <w:p w:rsidR="00013EC7" w:rsidRDefault="00013EC7">
            <w:pPr>
              <w:jc w:val="left"/>
              <w:rPr>
                <w:rFonts w:ascii="仿宋" w:eastAsia="仿宋" w:hAnsi="仿宋" w:cs="仿宋"/>
                <w:sz w:val="24"/>
              </w:rPr>
            </w:pPr>
          </w:p>
        </w:tc>
        <w:tc>
          <w:tcPr>
            <w:tcW w:w="1468" w:type="dxa"/>
            <w:vMerge/>
            <w:vAlign w:val="center"/>
          </w:tcPr>
          <w:p w:rsidR="00013EC7" w:rsidRDefault="00013EC7">
            <w:pPr>
              <w:jc w:val="left"/>
              <w:rPr>
                <w:rFonts w:ascii="仿宋" w:eastAsia="仿宋" w:hAnsi="仿宋" w:cs="仿宋"/>
                <w:sz w:val="24"/>
              </w:rPr>
            </w:pPr>
          </w:p>
        </w:tc>
      </w:tr>
      <w:tr w:rsidR="00013EC7">
        <w:trPr>
          <w:trHeight w:val="90"/>
          <w:jc w:val="center"/>
        </w:trPr>
        <w:tc>
          <w:tcPr>
            <w:tcW w:w="1243" w:type="dxa"/>
            <w:vMerge/>
            <w:textDirection w:val="tbRlV"/>
            <w:vAlign w:val="center"/>
          </w:tcPr>
          <w:p w:rsidR="00013EC7" w:rsidRDefault="00013EC7">
            <w:pPr>
              <w:jc w:val="left"/>
              <w:rPr>
                <w:rFonts w:ascii="仿宋" w:eastAsia="仿宋" w:hAnsi="仿宋" w:cs="仿宋"/>
                <w:sz w:val="24"/>
              </w:rPr>
            </w:pPr>
          </w:p>
        </w:tc>
        <w:tc>
          <w:tcPr>
            <w:tcW w:w="1309" w:type="dxa"/>
            <w:vMerge/>
            <w:vAlign w:val="center"/>
          </w:tcPr>
          <w:p w:rsidR="00013EC7" w:rsidRDefault="00013EC7">
            <w:pPr>
              <w:jc w:val="left"/>
              <w:rPr>
                <w:rFonts w:ascii="仿宋" w:eastAsia="仿宋" w:hAnsi="仿宋" w:cs="仿宋"/>
                <w:sz w:val="24"/>
              </w:rPr>
            </w:pPr>
          </w:p>
        </w:tc>
        <w:tc>
          <w:tcPr>
            <w:tcW w:w="2102" w:type="dxa"/>
            <w:vMerge/>
            <w:vAlign w:val="center"/>
          </w:tcPr>
          <w:p w:rsidR="00013EC7" w:rsidRDefault="00013EC7">
            <w:pPr>
              <w:jc w:val="left"/>
              <w:rPr>
                <w:rFonts w:ascii="仿宋" w:eastAsia="仿宋" w:hAnsi="仿宋" w:cs="仿宋"/>
                <w:sz w:val="24"/>
              </w:rPr>
            </w:pPr>
          </w:p>
        </w:tc>
        <w:tc>
          <w:tcPr>
            <w:tcW w:w="2770" w:type="dxa"/>
            <w:vAlign w:val="center"/>
          </w:tcPr>
          <w:p w:rsidR="00013EC7" w:rsidRDefault="00575CDB">
            <w:pPr>
              <w:jc w:val="left"/>
              <w:rPr>
                <w:rFonts w:ascii="仿宋" w:eastAsia="仿宋" w:hAnsi="仿宋" w:cs="仿宋"/>
                <w:kern w:val="1"/>
                <w:sz w:val="24"/>
              </w:rPr>
            </w:pPr>
            <w:r>
              <w:rPr>
                <w:rFonts w:ascii="仿宋" w:eastAsia="仿宋" w:hAnsi="仿宋" w:cs="仿宋" w:hint="eastAsia"/>
                <w:kern w:val="1"/>
                <w:sz w:val="24"/>
              </w:rPr>
              <w:t>（三）安置的残疾人的《中华人民共和国残疾人证》或者《中华人民共和国残疾军人证（1至8级）》复印件，注明与原件一致，并逐页加盖公章。</w:t>
            </w:r>
          </w:p>
        </w:tc>
        <w:tc>
          <w:tcPr>
            <w:tcW w:w="1112" w:type="dxa"/>
            <w:vMerge/>
            <w:vAlign w:val="center"/>
          </w:tcPr>
          <w:p w:rsidR="00013EC7" w:rsidRDefault="00013EC7">
            <w:pPr>
              <w:jc w:val="left"/>
              <w:rPr>
                <w:rFonts w:ascii="仿宋" w:eastAsia="仿宋" w:hAnsi="仿宋" w:cs="仿宋"/>
                <w:sz w:val="24"/>
              </w:rPr>
            </w:pPr>
          </w:p>
        </w:tc>
        <w:tc>
          <w:tcPr>
            <w:tcW w:w="2390" w:type="dxa"/>
            <w:vAlign w:val="center"/>
          </w:tcPr>
          <w:p w:rsidR="00013EC7" w:rsidRDefault="00575CDB">
            <w:pPr>
              <w:jc w:val="left"/>
              <w:rPr>
                <w:rFonts w:ascii="仿宋" w:eastAsia="仿宋" w:hAnsi="仿宋" w:cs="仿宋"/>
                <w:kern w:val="1"/>
                <w:sz w:val="24"/>
              </w:rPr>
            </w:pPr>
            <w:r>
              <w:rPr>
                <w:rFonts w:ascii="仿宋" w:eastAsia="仿宋" w:hAnsi="仿宋" w:cs="仿宋" w:hint="eastAsia"/>
                <w:kern w:val="1"/>
                <w:sz w:val="24"/>
              </w:rPr>
              <w:t>（三）安置的残疾人的《中华人民共和国残疾人证》或者《中华人民共和国残疾军人证（1至8级）》。</w:t>
            </w:r>
          </w:p>
          <w:p w:rsidR="00013EC7" w:rsidRDefault="00013EC7">
            <w:pPr>
              <w:jc w:val="left"/>
              <w:rPr>
                <w:rFonts w:ascii="仿宋" w:eastAsia="仿宋" w:hAnsi="仿宋" w:cs="仿宋"/>
                <w:kern w:val="1"/>
                <w:sz w:val="24"/>
              </w:rPr>
            </w:pPr>
          </w:p>
        </w:tc>
        <w:tc>
          <w:tcPr>
            <w:tcW w:w="1189" w:type="dxa"/>
            <w:vMerge/>
            <w:vAlign w:val="center"/>
          </w:tcPr>
          <w:p w:rsidR="00013EC7" w:rsidRDefault="00013EC7">
            <w:pPr>
              <w:jc w:val="left"/>
              <w:rPr>
                <w:rFonts w:ascii="仿宋" w:eastAsia="仿宋" w:hAnsi="仿宋" w:cs="仿宋"/>
                <w:sz w:val="24"/>
              </w:rPr>
            </w:pPr>
          </w:p>
        </w:tc>
        <w:tc>
          <w:tcPr>
            <w:tcW w:w="3300"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b/>
                <w:bCs/>
                <w:color w:val="000000"/>
                <w:sz w:val="24"/>
              </w:rPr>
              <w:t>外部共享：</w:t>
            </w:r>
            <w:r>
              <w:rPr>
                <w:rStyle w:val="font112"/>
                <w:rFonts w:ascii="仿宋" w:eastAsia="仿宋" w:hAnsi="仿宋" w:cs="仿宋" w:hint="default"/>
                <w:sz w:val="24"/>
              </w:rPr>
              <w:t>《中华人民共和国残疾人证》</w:t>
            </w:r>
            <w:r>
              <w:rPr>
                <w:rFonts w:ascii="仿宋" w:eastAsia="仿宋" w:hAnsi="仿宋" w:cs="仿宋" w:hint="eastAsia"/>
                <w:color w:val="000000"/>
                <w:sz w:val="24"/>
              </w:rPr>
              <w:t>由省残联提供共享，</w:t>
            </w:r>
            <w:r>
              <w:rPr>
                <w:rStyle w:val="font112"/>
                <w:rFonts w:ascii="仿宋" w:eastAsia="仿宋" w:hAnsi="仿宋" w:cs="仿宋" w:hint="default"/>
                <w:sz w:val="24"/>
              </w:rPr>
              <w:t>《中华人民共和国残疾军人证（1至8级）》由省民政厅提供共享。</w:t>
            </w:r>
          </w:p>
        </w:tc>
        <w:tc>
          <w:tcPr>
            <w:tcW w:w="863" w:type="dxa"/>
            <w:vMerge/>
            <w:vAlign w:val="center"/>
          </w:tcPr>
          <w:p w:rsidR="00013EC7" w:rsidRDefault="00013EC7">
            <w:pPr>
              <w:jc w:val="left"/>
              <w:rPr>
                <w:rFonts w:ascii="仿宋" w:eastAsia="仿宋" w:hAnsi="仿宋" w:cs="仿宋"/>
                <w:sz w:val="24"/>
              </w:rPr>
            </w:pPr>
          </w:p>
        </w:tc>
        <w:tc>
          <w:tcPr>
            <w:tcW w:w="873" w:type="dxa"/>
            <w:gridSpan w:val="2"/>
            <w:vMerge/>
            <w:vAlign w:val="center"/>
          </w:tcPr>
          <w:p w:rsidR="00013EC7" w:rsidRDefault="00013EC7">
            <w:pPr>
              <w:jc w:val="left"/>
              <w:rPr>
                <w:rFonts w:ascii="仿宋" w:eastAsia="仿宋" w:hAnsi="仿宋" w:cs="仿宋"/>
                <w:sz w:val="24"/>
              </w:rPr>
            </w:pPr>
          </w:p>
        </w:tc>
        <w:tc>
          <w:tcPr>
            <w:tcW w:w="874" w:type="dxa"/>
            <w:vMerge/>
            <w:vAlign w:val="center"/>
          </w:tcPr>
          <w:p w:rsidR="00013EC7" w:rsidRDefault="00013EC7">
            <w:pPr>
              <w:jc w:val="left"/>
              <w:rPr>
                <w:rFonts w:ascii="仿宋" w:eastAsia="仿宋" w:hAnsi="仿宋" w:cs="仿宋"/>
                <w:sz w:val="24"/>
              </w:rPr>
            </w:pPr>
          </w:p>
        </w:tc>
        <w:tc>
          <w:tcPr>
            <w:tcW w:w="1098" w:type="dxa"/>
            <w:vMerge/>
            <w:vAlign w:val="center"/>
          </w:tcPr>
          <w:p w:rsidR="00013EC7" w:rsidRDefault="00013EC7">
            <w:pPr>
              <w:jc w:val="left"/>
              <w:rPr>
                <w:rFonts w:ascii="仿宋" w:eastAsia="仿宋" w:hAnsi="仿宋" w:cs="仿宋"/>
                <w:sz w:val="24"/>
              </w:rPr>
            </w:pPr>
          </w:p>
        </w:tc>
        <w:tc>
          <w:tcPr>
            <w:tcW w:w="1468" w:type="dxa"/>
            <w:vMerge/>
            <w:vAlign w:val="center"/>
          </w:tcPr>
          <w:p w:rsidR="00013EC7" w:rsidRDefault="00013EC7">
            <w:pPr>
              <w:jc w:val="left"/>
              <w:rPr>
                <w:rFonts w:ascii="仿宋" w:eastAsia="仿宋" w:hAnsi="仿宋" w:cs="仿宋"/>
                <w:sz w:val="24"/>
              </w:rPr>
            </w:pPr>
          </w:p>
        </w:tc>
      </w:tr>
      <w:tr w:rsidR="00013EC7">
        <w:trPr>
          <w:trHeight w:val="114"/>
          <w:jc w:val="center"/>
        </w:trPr>
        <w:tc>
          <w:tcPr>
            <w:tcW w:w="1243" w:type="dxa"/>
            <w:vMerge/>
            <w:vAlign w:val="center"/>
          </w:tcPr>
          <w:p w:rsidR="00013EC7" w:rsidRDefault="00013EC7">
            <w:pPr>
              <w:jc w:val="left"/>
              <w:rPr>
                <w:rFonts w:ascii="仿宋" w:eastAsia="仿宋" w:hAnsi="仿宋" w:cs="仿宋"/>
                <w:sz w:val="24"/>
              </w:rPr>
            </w:pPr>
          </w:p>
        </w:tc>
        <w:tc>
          <w:tcPr>
            <w:tcW w:w="1309" w:type="dxa"/>
            <w:vMerge/>
            <w:vAlign w:val="center"/>
          </w:tcPr>
          <w:p w:rsidR="00013EC7" w:rsidRDefault="00013EC7">
            <w:pPr>
              <w:jc w:val="left"/>
              <w:rPr>
                <w:rFonts w:ascii="仿宋" w:eastAsia="仿宋" w:hAnsi="仿宋" w:cs="仿宋"/>
                <w:sz w:val="24"/>
              </w:rPr>
            </w:pPr>
          </w:p>
        </w:tc>
        <w:tc>
          <w:tcPr>
            <w:tcW w:w="2102" w:type="dxa"/>
            <w:vMerge/>
            <w:vAlign w:val="center"/>
          </w:tcPr>
          <w:p w:rsidR="00013EC7" w:rsidRDefault="00013EC7">
            <w:pPr>
              <w:jc w:val="left"/>
              <w:rPr>
                <w:rFonts w:ascii="仿宋" w:eastAsia="仿宋" w:hAnsi="仿宋" w:cs="仿宋"/>
                <w:sz w:val="24"/>
              </w:rPr>
            </w:pPr>
          </w:p>
        </w:tc>
        <w:tc>
          <w:tcPr>
            <w:tcW w:w="2770" w:type="dxa"/>
            <w:vAlign w:val="center"/>
          </w:tcPr>
          <w:p w:rsidR="00013EC7" w:rsidRDefault="00013EC7">
            <w:pPr>
              <w:jc w:val="left"/>
              <w:rPr>
                <w:rFonts w:ascii="仿宋" w:eastAsia="仿宋" w:hAnsi="仿宋" w:cs="仿宋"/>
                <w:kern w:val="1"/>
                <w:sz w:val="24"/>
              </w:rPr>
            </w:pPr>
          </w:p>
          <w:p w:rsidR="00013EC7" w:rsidRDefault="00575CDB">
            <w:pPr>
              <w:jc w:val="left"/>
              <w:rPr>
                <w:rFonts w:ascii="仿宋" w:eastAsia="仿宋" w:hAnsi="仿宋" w:cs="仿宋"/>
                <w:kern w:val="1"/>
                <w:sz w:val="24"/>
              </w:rPr>
            </w:pPr>
            <w:r>
              <w:rPr>
                <w:rFonts w:ascii="仿宋" w:eastAsia="仿宋" w:hAnsi="仿宋" w:cs="仿宋" w:hint="eastAsia"/>
                <w:kern w:val="1"/>
                <w:sz w:val="24"/>
              </w:rPr>
              <w:t>（四）精神残疾人同意就业的书面声明以及其法定监护人签字或印章的证明精神残疾人具有劳动条件和劳动意愿的书面材料。</w:t>
            </w:r>
          </w:p>
          <w:p w:rsidR="00013EC7" w:rsidRDefault="00013EC7">
            <w:pPr>
              <w:jc w:val="left"/>
              <w:rPr>
                <w:rFonts w:ascii="仿宋" w:eastAsia="仿宋" w:hAnsi="仿宋" w:cs="仿宋"/>
                <w:kern w:val="1"/>
                <w:sz w:val="24"/>
              </w:rPr>
            </w:pPr>
          </w:p>
        </w:tc>
        <w:tc>
          <w:tcPr>
            <w:tcW w:w="1112" w:type="dxa"/>
            <w:vMerge/>
            <w:vAlign w:val="center"/>
          </w:tcPr>
          <w:p w:rsidR="00013EC7" w:rsidRDefault="00013EC7">
            <w:pPr>
              <w:jc w:val="left"/>
              <w:rPr>
                <w:rFonts w:ascii="仿宋" w:eastAsia="仿宋" w:hAnsi="仿宋" w:cs="仿宋"/>
                <w:sz w:val="24"/>
              </w:rPr>
            </w:pPr>
          </w:p>
        </w:tc>
        <w:tc>
          <w:tcPr>
            <w:tcW w:w="2390" w:type="dxa"/>
            <w:vAlign w:val="center"/>
          </w:tcPr>
          <w:p w:rsidR="00013EC7" w:rsidRDefault="00575CDB">
            <w:pPr>
              <w:jc w:val="left"/>
              <w:rPr>
                <w:rFonts w:ascii="仿宋" w:eastAsia="仿宋" w:hAnsi="仿宋" w:cs="仿宋"/>
                <w:kern w:val="1"/>
                <w:sz w:val="24"/>
              </w:rPr>
            </w:pPr>
            <w:r>
              <w:rPr>
                <w:rFonts w:ascii="仿宋" w:eastAsia="仿宋" w:hAnsi="仿宋" w:cs="仿宋" w:hint="eastAsia"/>
                <w:kern w:val="1"/>
                <w:sz w:val="24"/>
              </w:rPr>
              <w:t>（四）提供精神残疾人同意就业的书面声明以及其法定监护人签字或印章的证明精神残疾人具有劳动条件和劳动意愿的书面材料。</w:t>
            </w:r>
          </w:p>
        </w:tc>
        <w:tc>
          <w:tcPr>
            <w:tcW w:w="1189" w:type="dxa"/>
            <w:vAlign w:val="center"/>
          </w:tcPr>
          <w:p w:rsidR="00013EC7" w:rsidRDefault="00575CDB">
            <w:pPr>
              <w:jc w:val="left"/>
              <w:rPr>
                <w:rFonts w:ascii="仿宋" w:eastAsia="仿宋" w:hAnsi="仿宋" w:cs="仿宋"/>
                <w:sz w:val="24"/>
              </w:rPr>
            </w:pPr>
            <w:r>
              <w:rPr>
                <w:rFonts w:ascii="仿宋" w:eastAsia="仿宋" w:hAnsi="仿宋" w:cs="仿宋" w:hint="eastAsia"/>
                <w:color w:val="000000"/>
                <w:kern w:val="0"/>
                <w:sz w:val="24"/>
              </w:rPr>
              <w:t>安置精神残疾人的</w:t>
            </w:r>
            <w:r>
              <w:rPr>
                <w:rFonts w:ascii="仿宋" w:eastAsia="仿宋" w:hAnsi="仿宋" w:cs="仿宋" w:hint="eastAsia"/>
                <w:sz w:val="24"/>
              </w:rPr>
              <w:t>纳税人提交</w:t>
            </w:r>
          </w:p>
        </w:tc>
        <w:tc>
          <w:tcPr>
            <w:tcW w:w="3300" w:type="dxa"/>
            <w:vMerge w:val="restart"/>
            <w:vAlign w:val="center"/>
          </w:tcPr>
          <w:p w:rsidR="00013EC7" w:rsidRDefault="00575CDB">
            <w:pPr>
              <w:spacing w:line="300" w:lineRule="exact"/>
              <w:jc w:val="left"/>
              <w:rPr>
                <w:rFonts w:ascii="仿宋" w:eastAsia="仿宋" w:hAnsi="仿宋" w:cs="仿宋"/>
                <w:b/>
                <w:sz w:val="24"/>
              </w:rPr>
            </w:pPr>
            <w:r>
              <w:rPr>
                <w:rFonts w:ascii="仿宋" w:eastAsia="仿宋" w:hAnsi="仿宋" w:cs="仿宋" w:hint="eastAsia"/>
                <w:b/>
                <w:sz w:val="24"/>
              </w:rPr>
              <w:t>网上办理：</w:t>
            </w:r>
            <w:r>
              <w:rPr>
                <w:rFonts w:ascii="仿宋" w:eastAsia="仿宋" w:hAnsi="仿宋" w:cs="仿宋" w:hint="eastAsia"/>
                <w:sz w:val="24"/>
              </w:rPr>
              <w:t>登录浙江国税电子税务局（网址：</w:t>
            </w:r>
            <w:hyperlink r:id="rId420" w:tgtFrame="https://wx.qq.com/_blank" w:history="1">
              <w:r>
                <w:rPr>
                  <w:rFonts w:ascii="仿宋" w:eastAsia="仿宋" w:hAnsi="仿宋" w:cs="仿宋" w:hint="eastAsia"/>
                  <w:sz w:val="24"/>
                </w:rPr>
                <w:t>http://etax.zjtax.gov.cn/</w:t>
              </w:r>
            </w:hyperlink>
            <w:r>
              <w:rPr>
                <w:rFonts w:ascii="仿宋" w:eastAsia="仿宋" w:hAnsi="仿宋" w:cs="仿宋" w:hint="eastAsia"/>
                <w:sz w:val="24"/>
              </w:rPr>
              <w:t>）提交申请。</w:t>
            </w:r>
          </w:p>
          <w:p w:rsidR="00013EC7" w:rsidRDefault="00575CDB">
            <w:pPr>
              <w:spacing w:line="300" w:lineRule="exact"/>
              <w:jc w:val="lef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纳税人提交书面材料。</w:t>
            </w:r>
          </w:p>
          <w:p w:rsidR="00013EC7" w:rsidRDefault="00575CDB">
            <w:pPr>
              <w:spacing w:line="300" w:lineRule="exact"/>
              <w:jc w:val="left"/>
              <w:rPr>
                <w:rFonts w:ascii="仿宋" w:eastAsia="仿宋" w:hAnsi="仿宋" w:cs="仿宋"/>
                <w:sz w:val="24"/>
              </w:rPr>
            </w:pPr>
            <w:r>
              <w:rPr>
                <w:rStyle w:val="font31"/>
                <w:rFonts w:ascii="仿宋" w:eastAsia="仿宋" w:hAnsi="仿宋" w:cs="仿宋" w:hint="default"/>
                <w:sz w:val="24"/>
              </w:rPr>
              <w:t>APP办理：</w:t>
            </w:r>
            <w:r>
              <w:rPr>
                <w:rFonts w:ascii="仿宋" w:eastAsia="仿宋" w:hAnsi="仿宋" w:cs="仿宋"/>
                <w:sz w:val="24"/>
              </w:rPr>
              <w:t>登录浙江国税APP</w:t>
            </w:r>
            <w:r>
              <w:rPr>
                <w:rFonts w:ascii="仿宋" w:eastAsia="仿宋" w:hAnsi="仿宋" w:cs="仿宋"/>
                <w:sz w:val="24"/>
              </w:rPr>
              <w:lastRenderedPageBreak/>
              <w:t>提交申请。</w:t>
            </w:r>
          </w:p>
        </w:tc>
        <w:tc>
          <w:tcPr>
            <w:tcW w:w="863" w:type="dxa"/>
            <w:vMerge/>
            <w:vAlign w:val="center"/>
          </w:tcPr>
          <w:p w:rsidR="00013EC7" w:rsidRDefault="00013EC7">
            <w:pPr>
              <w:jc w:val="left"/>
              <w:rPr>
                <w:rFonts w:ascii="仿宋" w:eastAsia="仿宋" w:hAnsi="仿宋" w:cs="仿宋"/>
                <w:sz w:val="24"/>
              </w:rPr>
            </w:pPr>
          </w:p>
        </w:tc>
        <w:tc>
          <w:tcPr>
            <w:tcW w:w="873" w:type="dxa"/>
            <w:gridSpan w:val="2"/>
            <w:vMerge/>
            <w:vAlign w:val="center"/>
          </w:tcPr>
          <w:p w:rsidR="00013EC7" w:rsidRDefault="00013EC7">
            <w:pPr>
              <w:jc w:val="left"/>
              <w:rPr>
                <w:rFonts w:ascii="仿宋" w:eastAsia="仿宋" w:hAnsi="仿宋" w:cs="仿宋"/>
                <w:sz w:val="24"/>
              </w:rPr>
            </w:pPr>
          </w:p>
        </w:tc>
        <w:tc>
          <w:tcPr>
            <w:tcW w:w="874" w:type="dxa"/>
            <w:vMerge/>
            <w:vAlign w:val="center"/>
          </w:tcPr>
          <w:p w:rsidR="00013EC7" w:rsidRDefault="00013EC7">
            <w:pPr>
              <w:jc w:val="left"/>
              <w:rPr>
                <w:rFonts w:ascii="仿宋" w:eastAsia="仿宋" w:hAnsi="仿宋" w:cs="仿宋"/>
                <w:sz w:val="24"/>
              </w:rPr>
            </w:pPr>
          </w:p>
        </w:tc>
        <w:tc>
          <w:tcPr>
            <w:tcW w:w="1098" w:type="dxa"/>
            <w:vMerge/>
            <w:vAlign w:val="center"/>
          </w:tcPr>
          <w:p w:rsidR="00013EC7" w:rsidRDefault="00013EC7">
            <w:pPr>
              <w:jc w:val="left"/>
              <w:rPr>
                <w:rFonts w:ascii="仿宋" w:eastAsia="仿宋" w:hAnsi="仿宋" w:cs="仿宋"/>
                <w:sz w:val="24"/>
              </w:rPr>
            </w:pPr>
          </w:p>
        </w:tc>
        <w:tc>
          <w:tcPr>
            <w:tcW w:w="1468" w:type="dxa"/>
            <w:vMerge/>
            <w:vAlign w:val="center"/>
          </w:tcPr>
          <w:p w:rsidR="00013EC7" w:rsidRDefault="00013EC7">
            <w:pPr>
              <w:jc w:val="left"/>
              <w:rPr>
                <w:rFonts w:ascii="仿宋" w:eastAsia="仿宋" w:hAnsi="仿宋" w:cs="仿宋"/>
                <w:sz w:val="24"/>
              </w:rPr>
            </w:pPr>
          </w:p>
        </w:tc>
      </w:tr>
      <w:tr w:rsidR="00013EC7">
        <w:trPr>
          <w:trHeight w:val="2861"/>
          <w:jc w:val="center"/>
        </w:trPr>
        <w:tc>
          <w:tcPr>
            <w:tcW w:w="1243" w:type="dxa"/>
            <w:vMerge/>
            <w:vAlign w:val="center"/>
          </w:tcPr>
          <w:p w:rsidR="00013EC7" w:rsidRDefault="00013EC7">
            <w:pPr>
              <w:jc w:val="left"/>
              <w:rPr>
                <w:rFonts w:ascii="仿宋" w:eastAsia="仿宋" w:hAnsi="仿宋" w:cs="仿宋"/>
                <w:sz w:val="24"/>
              </w:rPr>
            </w:pPr>
          </w:p>
        </w:tc>
        <w:tc>
          <w:tcPr>
            <w:tcW w:w="1309" w:type="dxa"/>
            <w:vMerge/>
            <w:vAlign w:val="center"/>
          </w:tcPr>
          <w:p w:rsidR="00013EC7" w:rsidRDefault="00013EC7">
            <w:pPr>
              <w:jc w:val="left"/>
              <w:rPr>
                <w:rFonts w:ascii="仿宋" w:eastAsia="仿宋" w:hAnsi="仿宋" w:cs="仿宋"/>
                <w:sz w:val="24"/>
              </w:rPr>
            </w:pPr>
          </w:p>
        </w:tc>
        <w:tc>
          <w:tcPr>
            <w:tcW w:w="2102" w:type="dxa"/>
            <w:vMerge/>
            <w:vAlign w:val="center"/>
          </w:tcPr>
          <w:p w:rsidR="00013EC7" w:rsidRDefault="00013EC7">
            <w:pPr>
              <w:jc w:val="left"/>
              <w:rPr>
                <w:rFonts w:ascii="仿宋" w:eastAsia="仿宋" w:hAnsi="仿宋" w:cs="仿宋"/>
                <w:sz w:val="24"/>
              </w:rPr>
            </w:pPr>
          </w:p>
        </w:tc>
        <w:tc>
          <w:tcPr>
            <w:tcW w:w="2770" w:type="dxa"/>
            <w:vAlign w:val="center"/>
          </w:tcPr>
          <w:p w:rsidR="00013EC7" w:rsidRDefault="00575CDB">
            <w:pPr>
              <w:jc w:val="left"/>
              <w:rPr>
                <w:rFonts w:ascii="仿宋" w:eastAsia="仿宋" w:hAnsi="仿宋" w:cs="仿宋"/>
                <w:kern w:val="1"/>
                <w:sz w:val="24"/>
              </w:rPr>
            </w:pPr>
            <w:r>
              <w:rPr>
                <w:rFonts w:ascii="仿宋" w:eastAsia="仿宋" w:hAnsi="仿宋" w:cs="仿宋" w:hint="eastAsia"/>
                <w:kern w:val="1"/>
                <w:sz w:val="24"/>
              </w:rPr>
              <w:t>（五）省级软件产业主管部门认可的软件检测机构出具的检测证明材料。</w:t>
            </w:r>
          </w:p>
        </w:tc>
        <w:tc>
          <w:tcPr>
            <w:tcW w:w="1112" w:type="dxa"/>
            <w:vMerge w:val="restart"/>
            <w:vAlign w:val="center"/>
          </w:tcPr>
          <w:p w:rsidR="00013EC7" w:rsidRDefault="00575CDB">
            <w:pPr>
              <w:jc w:val="left"/>
              <w:rPr>
                <w:rFonts w:ascii="仿宋" w:eastAsia="仿宋" w:hAnsi="仿宋" w:cs="仿宋"/>
                <w:sz w:val="24"/>
              </w:rPr>
            </w:pPr>
            <w:r>
              <w:rPr>
                <w:rFonts w:ascii="仿宋" w:eastAsia="仿宋" w:hAnsi="仿宋" w:cs="仿宋" w:hint="eastAsia"/>
                <w:sz w:val="24"/>
              </w:rPr>
              <w:t>软件产品纳税人、动漫企业提交</w:t>
            </w:r>
          </w:p>
        </w:tc>
        <w:tc>
          <w:tcPr>
            <w:tcW w:w="2390" w:type="dxa"/>
            <w:vAlign w:val="center"/>
          </w:tcPr>
          <w:p w:rsidR="00013EC7" w:rsidRDefault="00575CDB">
            <w:pPr>
              <w:jc w:val="left"/>
              <w:rPr>
                <w:rFonts w:ascii="仿宋" w:eastAsia="仿宋" w:hAnsi="仿宋" w:cs="仿宋"/>
                <w:kern w:val="1"/>
                <w:sz w:val="24"/>
              </w:rPr>
            </w:pPr>
            <w:r>
              <w:rPr>
                <w:rFonts w:ascii="仿宋" w:eastAsia="仿宋" w:hAnsi="仿宋" w:cs="仿宋" w:hint="eastAsia"/>
                <w:kern w:val="1"/>
                <w:sz w:val="24"/>
              </w:rPr>
              <w:t>（五）省级软件产业主管部门认可的软件检测机构出具的检测证明材料复印件（注明与原件一致，并加盖公章）。</w:t>
            </w:r>
          </w:p>
          <w:p w:rsidR="00013EC7" w:rsidRDefault="00013EC7">
            <w:pPr>
              <w:jc w:val="left"/>
              <w:rPr>
                <w:rFonts w:ascii="仿宋" w:eastAsia="仿宋" w:hAnsi="仿宋" w:cs="仿宋"/>
                <w:kern w:val="1"/>
                <w:sz w:val="24"/>
              </w:rPr>
            </w:pPr>
          </w:p>
        </w:tc>
        <w:tc>
          <w:tcPr>
            <w:tcW w:w="1189"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软件产品纳税人、动漫企业提交</w:t>
            </w:r>
          </w:p>
        </w:tc>
        <w:tc>
          <w:tcPr>
            <w:tcW w:w="3300" w:type="dxa"/>
            <w:vMerge/>
            <w:vAlign w:val="center"/>
          </w:tcPr>
          <w:p w:rsidR="00013EC7" w:rsidRDefault="00013EC7">
            <w:pPr>
              <w:spacing w:line="300" w:lineRule="exact"/>
              <w:jc w:val="left"/>
              <w:rPr>
                <w:rFonts w:ascii="仿宋" w:eastAsia="仿宋" w:hAnsi="仿宋" w:cs="仿宋"/>
                <w:sz w:val="24"/>
              </w:rPr>
            </w:pPr>
          </w:p>
        </w:tc>
        <w:tc>
          <w:tcPr>
            <w:tcW w:w="863" w:type="dxa"/>
            <w:vMerge/>
            <w:vAlign w:val="center"/>
          </w:tcPr>
          <w:p w:rsidR="00013EC7" w:rsidRDefault="00013EC7">
            <w:pPr>
              <w:jc w:val="left"/>
              <w:rPr>
                <w:rFonts w:ascii="仿宋" w:eastAsia="仿宋" w:hAnsi="仿宋" w:cs="仿宋"/>
                <w:sz w:val="24"/>
              </w:rPr>
            </w:pPr>
          </w:p>
        </w:tc>
        <w:tc>
          <w:tcPr>
            <w:tcW w:w="873" w:type="dxa"/>
            <w:gridSpan w:val="2"/>
            <w:vMerge/>
            <w:vAlign w:val="center"/>
          </w:tcPr>
          <w:p w:rsidR="00013EC7" w:rsidRDefault="00013EC7">
            <w:pPr>
              <w:jc w:val="left"/>
              <w:rPr>
                <w:rFonts w:ascii="仿宋" w:eastAsia="仿宋" w:hAnsi="仿宋" w:cs="仿宋"/>
                <w:sz w:val="24"/>
              </w:rPr>
            </w:pPr>
          </w:p>
        </w:tc>
        <w:tc>
          <w:tcPr>
            <w:tcW w:w="874" w:type="dxa"/>
            <w:vMerge/>
            <w:vAlign w:val="center"/>
          </w:tcPr>
          <w:p w:rsidR="00013EC7" w:rsidRDefault="00013EC7">
            <w:pPr>
              <w:jc w:val="left"/>
              <w:rPr>
                <w:rFonts w:ascii="仿宋" w:eastAsia="仿宋" w:hAnsi="仿宋" w:cs="仿宋"/>
                <w:sz w:val="24"/>
              </w:rPr>
            </w:pPr>
          </w:p>
        </w:tc>
        <w:tc>
          <w:tcPr>
            <w:tcW w:w="1098" w:type="dxa"/>
            <w:vMerge/>
            <w:vAlign w:val="center"/>
          </w:tcPr>
          <w:p w:rsidR="00013EC7" w:rsidRDefault="00013EC7">
            <w:pPr>
              <w:jc w:val="left"/>
              <w:rPr>
                <w:rFonts w:ascii="仿宋" w:eastAsia="仿宋" w:hAnsi="仿宋" w:cs="仿宋"/>
                <w:sz w:val="24"/>
              </w:rPr>
            </w:pPr>
          </w:p>
        </w:tc>
        <w:tc>
          <w:tcPr>
            <w:tcW w:w="1468" w:type="dxa"/>
            <w:vMerge/>
            <w:vAlign w:val="center"/>
          </w:tcPr>
          <w:p w:rsidR="00013EC7" w:rsidRDefault="00013EC7">
            <w:pPr>
              <w:jc w:val="left"/>
              <w:rPr>
                <w:rFonts w:ascii="仿宋" w:eastAsia="仿宋" w:hAnsi="仿宋" w:cs="仿宋"/>
                <w:sz w:val="24"/>
              </w:rPr>
            </w:pPr>
          </w:p>
        </w:tc>
      </w:tr>
      <w:tr w:rsidR="00013EC7">
        <w:trPr>
          <w:trHeight w:val="3106"/>
          <w:jc w:val="center"/>
        </w:trPr>
        <w:tc>
          <w:tcPr>
            <w:tcW w:w="1243" w:type="dxa"/>
            <w:vMerge/>
            <w:vAlign w:val="center"/>
          </w:tcPr>
          <w:p w:rsidR="00013EC7" w:rsidRDefault="00013EC7">
            <w:pPr>
              <w:jc w:val="left"/>
              <w:rPr>
                <w:rFonts w:ascii="仿宋" w:eastAsia="仿宋" w:hAnsi="仿宋" w:cs="仿宋"/>
                <w:sz w:val="24"/>
              </w:rPr>
            </w:pPr>
          </w:p>
        </w:tc>
        <w:tc>
          <w:tcPr>
            <w:tcW w:w="1309" w:type="dxa"/>
            <w:vMerge/>
            <w:vAlign w:val="center"/>
          </w:tcPr>
          <w:p w:rsidR="00013EC7" w:rsidRDefault="00013EC7">
            <w:pPr>
              <w:jc w:val="left"/>
              <w:rPr>
                <w:rFonts w:ascii="仿宋" w:eastAsia="仿宋" w:hAnsi="仿宋" w:cs="仿宋"/>
                <w:sz w:val="24"/>
              </w:rPr>
            </w:pPr>
          </w:p>
        </w:tc>
        <w:tc>
          <w:tcPr>
            <w:tcW w:w="2102" w:type="dxa"/>
            <w:vMerge/>
            <w:vAlign w:val="center"/>
          </w:tcPr>
          <w:p w:rsidR="00013EC7" w:rsidRDefault="00013EC7">
            <w:pPr>
              <w:jc w:val="left"/>
              <w:rPr>
                <w:rFonts w:ascii="仿宋" w:eastAsia="仿宋" w:hAnsi="仿宋" w:cs="仿宋"/>
                <w:sz w:val="24"/>
              </w:rPr>
            </w:pPr>
          </w:p>
        </w:tc>
        <w:tc>
          <w:tcPr>
            <w:tcW w:w="2770" w:type="dxa"/>
            <w:vAlign w:val="center"/>
          </w:tcPr>
          <w:p w:rsidR="00013EC7" w:rsidRDefault="00575CDB">
            <w:pPr>
              <w:jc w:val="left"/>
              <w:rPr>
                <w:rFonts w:ascii="仿宋" w:eastAsia="仿宋" w:hAnsi="仿宋" w:cs="仿宋"/>
                <w:kern w:val="1"/>
                <w:sz w:val="24"/>
              </w:rPr>
            </w:pPr>
            <w:r>
              <w:rPr>
                <w:rFonts w:ascii="仿宋" w:eastAsia="仿宋" w:hAnsi="仿宋" w:cs="仿宋" w:hint="eastAsia"/>
                <w:color w:val="000000"/>
                <w:kern w:val="0"/>
                <w:sz w:val="24"/>
              </w:rPr>
              <w:t>（六）软件产业主管部门颁发的《软件产品登记证书》或著作权行政管理部门颁发的《计算机软件著作权登记证书》。</w:t>
            </w:r>
          </w:p>
        </w:tc>
        <w:tc>
          <w:tcPr>
            <w:tcW w:w="1112" w:type="dxa"/>
            <w:vMerge/>
            <w:vAlign w:val="center"/>
          </w:tcPr>
          <w:p w:rsidR="00013EC7" w:rsidRDefault="00013EC7">
            <w:pPr>
              <w:jc w:val="left"/>
              <w:rPr>
                <w:rFonts w:ascii="仿宋" w:eastAsia="仿宋" w:hAnsi="仿宋" w:cs="仿宋"/>
                <w:sz w:val="24"/>
              </w:rPr>
            </w:pPr>
          </w:p>
        </w:tc>
        <w:tc>
          <w:tcPr>
            <w:tcW w:w="2390" w:type="dxa"/>
            <w:vAlign w:val="center"/>
          </w:tcPr>
          <w:p w:rsidR="00013EC7" w:rsidRDefault="00575CDB">
            <w:pPr>
              <w:jc w:val="left"/>
              <w:rPr>
                <w:rFonts w:ascii="仿宋" w:eastAsia="仿宋" w:hAnsi="仿宋" w:cs="仿宋"/>
                <w:kern w:val="1"/>
                <w:sz w:val="24"/>
              </w:rPr>
            </w:pPr>
            <w:r>
              <w:rPr>
                <w:rFonts w:ascii="仿宋" w:eastAsia="仿宋" w:hAnsi="仿宋" w:cs="仿宋" w:hint="eastAsia"/>
                <w:kern w:val="1"/>
                <w:sz w:val="24"/>
              </w:rPr>
              <w:t>（六）软件产业主管部门颁发的《软件产品登记证书》复印件（注明与原件一致，并加盖公章）或著作权行政管理部门颁发的《计算机软件著作权登记证书》复印件（注明与原件一致，并加盖公章）。</w:t>
            </w:r>
          </w:p>
        </w:tc>
        <w:tc>
          <w:tcPr>
            <w:tcW w:w="1189" w:type="dxa"/>
            <w:vMerge/>
            <w:vAlign w:val="center"/>
          </w:tcPr>
          <w:p w:rsidR="00013EC7" w:rsidRDefault="00013EC7">
            <w:pPr>
              <w:spacing w:line="300" w:lineRule="exact"/>
              <w:jc w:val="left"/>
              <w:rPr>
                <w:rFonts w:ascii="仿宋" w:eastAsia="仿宋" w:hAnsi="仿宋" w:cs="仿宋"/>
                <w:sz w:val="24"/>
              </w:rPr>
            </w:pPr>
          </w:p>
        </w:tc>
        <w:tc>
          <w:tcPr>
            <w:tcW w:w="3300" w:type="dxa"/>
            <w:vMerge/>
            <w:vAlign w:val="center"/>
          </w:tcPr>
          <w:p w:rsidR="00013EC7" w:rsidRDefault="00013EC7">
            <w:pPr>
              <w:spacing w:line="300" w:lineRule="exact"/>
              <w:jc w:val="left"/>
              <w:rPr>
                <w:rFonts w:ascii="仿宋" w:eastAsia="仿宋" w:hAnsi="仿宋" w:cs="仿宋"/>
                <w:sz w:val="24"/>
              </w:rPr>
            </w:pPr>
          </w:p>
        </w:tc>
        <w:tc>
          <w:tcPr>
            <w:tcW w:w="863" w:type="dxa"/>
            <w:vMerge/>
            <w:vAlign w:val="center"/>
          </w:tcPr>
          <w:p w:rsidR="00013EC7" w:rsidRDefault="00013EC7">
            <w:pPr>
              <w:jc w:val="left"/>
              <w:rPr>
                <w:rFonts w:ascii="仿宋" w:eastAsia="仿宋" w:hAnsi="仿宋" w:cs="仿宋"/>
                <w:sz w:val="24"/>
              </w:rPr>
            </w:pPr>
          </w:p>
        </w:tc>
        <w:tc>
          <w:tcPr>
            <w:tcW w:w="873" w:type="dxa"/>
            <w:gridSpan w:val="2"/>
            <w:vMerge/>
            <w:vAlign w:val="center"/>
          </w:tcPr>
          <w:p w:rsidR="00013EC7" w:rsidRDefault="00013EC7">
            <w:pPr>
              <w:jc w:val="left"/>
              <w:rPr>
                <w:rFonts w:ascii="仿宋" w:eastAsia="仿宋" w:hAnsi="仿宋" w:cs="仿宋"/>
                <w:sz w:val="24"/>
              </w:rPr>
            </w:pPr>
          </w:p>
        </w:tc>
        <w:tc>
          <w:tcPr>
            <w:tcW w:w="874" w:type="dxa"/>
            <w:vMerge/>
            <w:vAlign w:val="center"/>
          </w:tcPr>
          <w:p w:rsidR="00013EC7" w:rsidRDefault="00013EC7">
            <w:pPr>
              <w:jc w:val="left"/>
              <w:rPr>
                <w:rFonts w:ascii="仿宋" w:eastAsia="仿宋" w:hAnsi="仿宋" w:cs="仿宋"/>
                <w:sz w:val="24"/>
              </w:rPr>
            </w:pPr>
          </w:p>
        </w:tc>
        <w:tc>
          <w:tcPr>
            <w:tcW w:w="1098" w:type="dxa"/>
            <w:vMerge/>
            <w:vAlign w:val="center"/>
          </w:tcPr>
          <w:p w:rsidR="00013EC7" w:rsidRDefault="00013EC7">
            <w:pPr>
              <w:jc w:val="left"/>
              <w:rPr>
                <w:rFonts w:ascii="仿宋" w:eastAsia="仿宋" w:hAnsi="仿宋" w:cs="仿宋"/>
                <w:sz w:val="24"/>
              </w:rPr>
            </w:pPr>
          </w:p>
        </w:tc>
        <w:tc>
          <w:tcPr>
            <w:tcW w:w="1468" w:type="dxa"/>
            <w:vMerge/>
            <w:vAlign w:val="center"/>
          </w:tcPr>
          <w:p w:rsidR="00013EC7" w:rsidRDefault="00013EC7">
            <w:pPr>
              <w:jc w:val="left"/>
              <w:rPr>
                <w:rFonts w:ascii="仿宋" w:eastAsia="仿宋" w:hAnsi="仿宋" w:cs="仿宋"/>
                <w:sz w:val="24"/>
              </w:rPr>
            </w:pPr>
          </w:p>
        </w:tc>
      </w:tr>
      <w:tr w:rsidR="00013EC7">
        <w:trPr>
          <w:trHeight w:val="2027"/>
          <w:jc w:val="center"/>
        </w:trPr>
        <w:tc>
          <w:tcPr>
            <w:tcW w:w="1243" w:type="dxa"/>
            <w:vMerge/>
            <w:vAlign w:val="center"/>
          </w:tcPr>
          <w:p w:rsidR="00013EC7" w:rsidRDefault="00013EC7">
            <w:pPr>
              <w:jc w:val="left"/>
              <w:rPr>
                <w:rFonts w:ascii="仿宋" w:eastAsia="仿宋" w:hAnsi="仿宋" w:cs="仿宋"/>
                <w:sz w:val="24"/>
              </w:rPr>
            </w:pPr>
          </w:p>
        </w:tc>
        <w:tc>
          <w:tcPr>
            <w:tcW w:w="1309" w:type="dxa"/>
            <w:vMerge/>
            <w:vAlign w:val="center"/>
          </w:tcPr>
          <w:p w:rsidR="00013EC7" w:rsidRDefault="00013EC7">
            <w:pPr>
              <w:jc w:val="left"/>
              <w:rPr>
                <w:rFonts w:ascii="仿宋" w:eastAsia="仿宋" w:hAnsi="仿宋" w:cs="仿宋"/>
                <w:sz w:val="24"/>
              </w:rPr>
            </w:pPr>
          </w:p>
        </w:tc>
        <w:tc>
          <w:tcPr>
            <w:tcW w:w="2102" w:type="dxa"/>
            <w:vMerge/>
            <w:vAlign w:val="center"/>
          </w:tcPr>
          <w:p w:rsidR="00013EC7" w:rsidRDefault="00013EC7">
            <w:pPr>
              <w:jc w:val="left"/>
              <w:rPr>
                <w:rFonts w:ascii="仿宋" w:eastAsia="仿宋" w:hAnsi="仿宋" w:cs="仿宋"/>
                <w:sz w:val="24"/>
              </w:rPr>
            </w:pPr>
          </w:p>
        </w:tc>
        <w:tc>
          <w:tcPr>
            <w:tcW w:w="2770" w:type="dxa"/>
            <w:vAlign w:val="center"/>
          </w:tcPr>
          <w:p w:rsidR="00013EC7" w:rsidRDefault="00575CDB">
            <w:pPr>
              <w:jc w:val="left"/>
              <w:rPr>
                <w:rFonts w:ascii="仿宋" w:eastAsia="仿宋" w:hAnsi="仿宋" w:cs="仿宋"/>
                <w:kern w:val="1"/>
                <w:sz w:val="24"/>
              </w:rPr>
            </w:pPr>
            <w:r>
              <w:rPr>
                <w:rFonts w:ascii="仿宋" w:eastAsia="仿宋" w:hAnsi="仿宋" w:cs="仿宋" w:hint="eastAsia"/>
                <w:color w:val="000000"/>
                <w:kern w:val="0"/>
                <w:sz w:val="24"/>
              </w:rPr>
              <w:t>（七）享受优惠政策的项目、依据、范围、期限等。</w:t>
            </w:r>
          </w:p>
        </w:tc>
        <w:tc>
          <w:tcPr>
            <w:tcW w:w="1112" w:type="dxa"/>
            <w:vMerge w:val="restart"/>
            <w:vAlign w:val="center"/>
          </w:tcPr>
          <w:p w:rsidR="00013EC7" w:rsidRDefault="00575CDB">
            <w:pPr>
              <w:jc w:val="left"/>
              <w:rPr>
                <w:rFonts w:ascii="仿宋" w:eastAsia="仿宋" w:hAnsi="仿宋" w:cs="仿宋"/>
                <w:sz w:val="24"/>
              </w:rPr>
            </w:pPr>
            <w:r>
              <w:rPr>
                <w:rFonts w:ascii="仿宋" w:eastAsia="仿宋" w:hAnsi="仿宋" w:cs="仿宋" w:hint="eastAsia"/>
                <w:color w:val="000000"/>
                <w:kern w:val="0"/>
                <w:sz w:val="24"/>
              </w:rPr>
              <w:t>资源综合利用纳税人提交</w:t>
            </w:r>
          </w:p>
        </w:tc>
        <w:tc>
          <w:tcPr>
            <w:tcW w:w="2390" w:type="dxa"/>
            <w:vAlign w:val="center"/>
          </w:tcPr>
          <w:p w:rsidR="00013EC7" w:rsidRDefault="00575CDB">
            <w:pPr>
              <w:jc w:val="left"/>
              <w:rPr>
                <w:rFonts w:ascii="仿宋" w:eastAsia="仿宋" w:hAnsi="仿宋" w:cs="仿宋"/>
                <w:kern w:val="1"/>
                <w:sz w:val="24"/>
              </w:rPr>
            </w:pPr>
            <w:r>
              <w:rPr>
                <w:rFonts w:ascii="仿宋" w:eastAsia="仿宋" w:hAnsi="仿宋" w:cs="仿宋" w:hint="eastAsia"/>
                <w:kern w:val="1"/>
                <w:sz w:val="24"/>
              </w:rPr>
              <w:t>（七）享受优惠政策的项目、依据、范围、期限等。</w:t>
            </w:r>
          </w:p>
        </w:tc>
        <w:tc>
          <w:tcPr>
            <w:tcW w:w="1189" w:type="dxa"/>
            <w:vMerge w:val="restart"/>
            <w:vAlign w:val="center"/>
          </w:tcPr>
          <w:p w:rsidR="00013EC7" w:rsidRDefault="00575CDB">
            <w:pPr>
              <w:spacing w:line="300" w:lineRule="exact"/>
              <w:jc w:val="left"/>
              <w:rPr>
                <w:rFonts w:ascii="仿宋" w:eastAsia="仿宋" w:hAnsi="仿宋" w:cs="仿宋"/>
                <w:color w:val="000000"/>
                <w:kern w:val="0"/>
                <w:sz w:val="24"/>
              </w:rPr>
            </w:pPr>
            <w:r>
              <w:rPr>
                <w:rFonts w:ascii="仿宋" w:eastAsia="仿宋" w:hAnsi="仿宋" w:cs="仿宋" w:hint="eastAsia"/>
                <w:color w:val="000000"/>
                <w:kern w:val="0"/>
                <w:sz w:val="24"/>
              </w:rPr>
              <w:t>资源综合利用纳税人提交</w:t>
            </w:r>
          </w:p>
        </w:tc>
        <w:tc>
          <w:tcPr>
            <w:tcW w:w="3300" w:type="dxa"/>
            <w:vMerge/>
            <w:vAlign w:val="center"/>
          </w:tcPr>
          <w:p w:rsidR="00013EC7" w:rsidRDefault="00013EC7">
            <w:pPr>
              <w:spacing w:line="300" w:lineRule="exact"/>
              <w:jc w:val="left"/>
              <w:rPr>
                <w:rFonts w:ascii="仿宋" w:eastAsia="仿宋" w:hAnsi="仿宋" w:cs="仿宋"/>
                <w:sz w:val="24"/>
              </w:rPr>
            </w:pPr>
          </w:p>
        </w:tc>
        <w:tc>
          <w:tcPr>
            <w:tcW w:w="863" w:type="dxa"/>
            <w:vMerge/>
            <w:vAlign w:val="center"/>
          </w:tcPr>
          <w:p w:rsidR="00013EC7" w:rsidRDefault="00013EC7">
            <w:pPr>
              <w:jc w:val="left"/>
              <w:rPr>
                <w:rFonts w:ascii="仿宋" w:eastAsia="仿宋" w:hAnsi="仿宋" w:cs="仿宋"/>
                <w:sz w:val="24"/>
              </w:rPr>
            </w:pPr>
          </w:p>
        </w:tc>
        <w:tc>
          <w:tcPr>
            <w:tcW w:w="873" w:type="dxa"/>
            <w:gridSpan w:val="2"/>
            <w:vMerge/>
            <w:vAlign w:val="center"/>
          </w:tcPr>
          <w:p w:rsidR="00013EC7" w:rsidRDefault="00013EC7">
            <w:pPr>
              <w:jc w:val="left"/>
              <w:rPr>
                <w:rFonts w:ascii="仿宋" w:eastAsia="仿宋" w:hAnsi="仿宋" w:cs="仿宋"/>
                <w:sz w:val="24"/>
              </w:rPr>
            </w:pPr>
          </w:p>
        </w:tc>
        <w:tc>
          <w:tcPr>
            <w:tcW w:w="874" w:type="dxa"/>
            <w:vMerge/>
            <w:vAlign w:val="center"/>
          </w:tcPr>
          <w:p w:rsidR="00013EC7" w:rsidRDefault="00013EC7">
            <w:pPr>
              <w:jc w:val="left"/>
              <w:rPr>
                <w:rFonts w:ascii="仿宋" w:eastAsia="仿宋" w:hAnsi="仿宋" w:cs="仿宋"/>
                <w:sz w:val="24"/>
              </w:rPr>
            </w:pPr>
          </w:p>
        </w:tc>
        <w:tc>
          <w:tcPr>
            <w:tcW w:w="1098" w:type="dxa"/>
            <w:vMerge/>
            <w:vAlign w:val="center"/>
          </w:tcPr>
          <w:p w:rsidR="00013EC7" w:rsidRDefault="00013EC7">
            <w:pPr>
              <w:jc w:val="left"/>
              <w:rPr>
                <w:rFonts w:ascii="仿宋" w:eastAsia="仿宋" w:hAnsi="仿宋" w:cs="仿宋"/>
                <w:sz w:val="24"/>
              </w:rPr>
            </w:pPr>
          </w:p>
        </w:tc>
        <w:tc>
          <w:tcPr>
            <w:tcW w:w="1468" w:type="dxa"/>
            <w:vMerge/>
            <w:vAlign w:val="center"/>
          </w:tcPr>
          <w:p w:rsidR="00013EC7" w:rsidRDefault="00013EC7">
            <w:pPr>
              <w:jc w:val="left"/>
              <w:rPr>
                <w:rFonts w:ascii="仿宋" w:eastAsia="仿宋" w:hAnsi="仿宋" w:cs="仿宋"/>
                <w:sz w:val="24"/>
              </w:rPr>
            </w:pPr>
          </w:p>
        </w:tc>
      </w:tr>
      <w:tr w:rsidR="00013EC7">
        <w:trPr>
          <w:trHeight w:val="1795"/>
          <w:jc w:val="center"/>
        </w:trPr>
        <w:tc>
          <w:tcPr>
            <w:tcW w:w="1243" w:type="dxa"/>
            <w:vMerge/>
            <w:vAlign w:val="center"/>
          </w:tcPr>
          <w:p w:rsidR="00013EC7" w:rsidRDefault="00013EC7">
            <w:pPr>
              <w:jc w:val="left"/>
              <w:rPr>
                <w:rFonts w:ascii="仿宋" w:eastAsia="仿宋" w:hAnsi="仿宋" w:cs="仿宋"/>
                <w:sz w:val="24"/>
              </w:rPr>
            </w:pPr>
          </w:p>
        </w:tc>
        <w:tc>
          <w:tcPr>
            <w:tcW w:w="1309" w:type="dxa"/>
            <w:vMerge/>
            <w:vAlign w:val="center"/>
          </w:tcPr>
          <w:p w:rsidR="00013EC7" w:rsidRDefault="00013EC7">
            <w:pPr>
              <w:jc w:val="left"/>
              <w:rPr>
                <w:rFonts w:ascii="仿宋" w:eastAsia="仿宋" w:hAnsi="仿宋" w:cs="仿宋"/>
                <w:sz w:val="24"/>
              </w:rPr>
            </w:pPr>
          </w:p>
        </w:tc>
        <w:tc>
          <w:tcPr>
            <w:tcW w:w="2102" w:type="dxa"/>
            <w:vMerge/>
            <w:vAlign w:val="center"/>
          </w:tcPr>
          <w:p w:rsidR="00013EC7" w:rsidRDefault="00013EC7">
            <w:pPr>
              <w:jc w:val="left"/>
              <w:rPr>
                <w:rFonts w:ascii="仿宋" w:eastAsia="仿宋" w:hAnsi="仿宋" w:cs="仿宋"/>
                <w:sz w:val="24"/>
              </w:rPr>
            </w:pPr>
          </w:p>
        </w:tc>
        <w:tc>
          <w:tcPr>
            <w:tcW w:w="2770" w:type="dxa"/>
            <w:vAlign w:val="center"/>
          </w:tcPr>
          <w:p w:rsidR="00013EC7" w:rsidRDefault="00575CDB">
            <w:pPr>
              <w:jc w:val="left"/>
              <w:rPr>
                <w:rFonts w:ascii="仿宋" w:eastAsia="仿宋" w:hAnsi="仿宋" w:cs="仿宋"/>
                <w:kern w:val="1"/>
                <w:sz w:val="24"/>
              </w:rPr>
            </w:pPr>
            <w:r>
              <w:rPr>
                <w:rFonts w:ascii="仿宋" w:eastAsia="仿宋" w:hAnsi="仿宋" w:cs="仿宋" w:hint="eastAsia"/>
                <w:color w:val="000000"/>
                <w:kern w:val="0"/>
                <w:sz w:val="24"/>
              </w:rPr>
              <w:t>（八）产品、劳务不属于国家发展改革委《产业结构调整指导目录》中的禁止类、限制类项目的书面证明材料。</w:t>
            </w:r>
          </w:p>
        </w:tc>
        <w:tc>
          <w:tcPr>
            <w:tcW w:w="1112" w:type="dxa"/>
            <w:vMerge/>
            <w:vAlign w:val="center"/>
          </w:tcPr>
          <w:p w:rsidR="00013EC7" w:rsidRDefault="00013EC7">
            <w:pPr>
              <w:jc w:val="left"/>
              <w:rPr>
                <w:rFonts w:ascii="仿宋" w:eastAsia="仿宋" w:hAnsi="仿宋" w:cs="仿宋"/>
                <w:sz w:val="24"/>
              </w:rPr>
            </w:pPr>
          </w:p>
        </w:tc>
        <w:tc>
          <w:tcPr>
            <w:tcW w:w="2390" w:type="dxa"/>
            <w:vAlign w:val="center"/>
          </w:tcPr>
          <w:p w:rsidR="00013EC7" w:rsidRDefault="00013EC7">
            <w:pPr>
              <w:jc w:val="left"/>
              <w:rPr>
                <w:rFonts w:ascii="仿宋" w:eastAsia="仿宋" w:hAnsi="仿宋" w:cs="仿宋"/>
                <w:kern w:val="1"/>
                <w:sz w:val="24"/>
              </w:rPr>
            </w:pPr>
          </w:p>
          <w:p w:rsidR="00013EC7" w:rsidRDefault="00575CDB">
            <w:pPr>
              <w:jc w:val="left"/>
              <w:rPr>
                <w:rFonts w:ascii="仿宋" w:eastAsia="仿宋" w:hAnsi="仿宋" w:cs="仿宋"/>
                <w:kern w:val="1"/>
                <w:sz w:val="24"/>
              </w:rPr>
            </w:pPr>
            <w:r>
              <w:rPr>
                <w:rFonts w:ascii="仿宋" w:eastAsia="仿宋" w:hAnsi="仿宋" w:cs="仿宋" w:hint="eastAsia"/>
                <w:kern w:val="1"/>
                <w:sz w:val="24"/>
              </w:rPr>
              <w:t>（八）产品、劳务不属于国家发展改革委《产业结构调整指导目录》中的禁止类、限制类项目的书面证明材料。</w:t>
            </w:r>
          </w:p>
        </w:tc>
        <w:tc>
          <w:tcPr>
            <w:tcW w:w="1189" w:type="dxa"/>
            <w:vMerge/>
            <w:vAlign w:val="center"/>
          </w:tcPr>
          <w:p w:rsidR="00013EC7" w:rsidRDefault="00013EC7">
            <w:pPr>
              <w:spacing w:line="300" w:lineRule="exact"/>
              <w:jc w:val="left"/>
              <w:rPr>
                <w:rFonts w:ascii="仿宋" w:eastAsia="仿宋" w:hAnsi="仿宋" w:cs="仿宋"/>
                <w:sz w:val="24"/>
              </w:rPr>
            </w:pPr>
          </w:p>
        </w:tc>
        <w:tc>
          <w:tcPr>
            <w:tcW w:w="3300" w:type="dxa"/>
            <w:vMerge/>
            <w:vAlign w:val="center"/>
          </w:tcPr>
          <w:p w:rsidR="00013EC7" w:rsidRDefault="00013EC7">
            <w:pPr>
              <w:spacing w:line="300" w:lineRule="exact"/>
              <w:jc w:val="left"/>
              <w:rPr>
                <w:rFonts w:ascii="仿宋" w:eastAsia="仿宋" w:hAnsi="仿宋" w:cs="仿宋"/>
                <w:sz w:val="24"/>
              </w:rPr>
            </w:pPr>
          </w:p>
        </w:tc>
        <w:tc>
          <w:tcPr>
            <w:tcW w:w="863" w:type="dxa"/>
            <w:vMerge/>
            <w:vAlign w:val="center"/>
          </w:tcPr>
          <w:p w:rsidR="00013EC7" w:rsidRDefault="00013EC7">
            <w:pPr>
              <w:jc w:val="left"/>
              <w:rPr>
                <w:rFonts w:ascii="仿宋" w:eastAsia="仿宋" w:hAnsi="仿宋" w:cs="仿宋"/>
                <w:sz w:val="24"/>
              </w:rPr>
            </w:pPr>
          </w:p>
        </w:tc>
        <w:tc>
          <w:tcPr>
            <w:tcW w:w="873" w:type="dxa"/>
            <w:gridSpan w:val="2"/>
            <w:vMerge/>
            <w:vAlign w:val="center"/>
          </w:tcPr>
          <w:p w:rsidR="00013EC7" w:rsidRDefault="00013EC7">
            <w:pPr>
              <w:jc w:val="left"/>
              <w:rPr>
                <w:rFonts w:ascii="仿宋" w:eastAsia="仿宋" w:hAnsi="仿宋" w:cs="仿宋"/>
                <w:sz w:val="24"/>
              </w:rPr>
            </w:pPr>
          </w:p>
        </w:tc>
        <w:tc>
          <w:tcPr>
            <w:tcW w:w="874" w:type="dxa"/>
            <w:vMerge/>
            <w:vAlign w:val="center"/>
          </w:tcPr>
          <w:p w:rsidR="00013EC7" w:rsidRDefault="00013EC7">
            <w:pPr>
              <w:jc w:val="left"/>
              <w:rPr>
                <w:rFonts w:ascii="仿宋" w:eastAsia="仿宋" w:hAnsi="仿宋" w:cs="仿宋"/>
                <w:sz w:val="24"/>
              </w:rPr>
            </w:pPr>
          </w:p>
        </w:tc>
        <w:tc>
          <w:tcPr>
            <w:tcW w:w="1098" w:type="dxa"/>
            <w:vMerge/>
            <w:vAlign w:val="center"/>
          </w:tcPr>
          <w:p w:rsidR="00013EC7" w:rsidRDefault="00013EC7">
            <w:pPr>
              <w:jc w:val="left"/>
              <w:rPr>
                <w:rFonts w:ascii="仿宋" w:eastAsia="仿宋" w:hAnsi="仿宋" w:cs="仿宋"/>
                <w:sz w:val="24"/>
              </w:rPr>
            </w:pPr>
          </w:p>
        </w:tc>
        <w:tc>
          <w:tcPr>
            <w:tcW w:w="1468" w:type="dxa"/>
            <w:vMerge/>
            <w:vAlign w:val="center"/>
          </w:tcPr>
          <w:p w:rsidR="00013EC7" w:rsidRDefault="00013EC7">
            <w:pPr>
              <w:jc w:val="left"/>
              <w:rPr>
                <w:rFonts w:ascii="仿宋" w:eastAsia="仿宋" w:hAnsi="仿宋" w:cs="仿宋"/>
                <w:sz w:val="24"/>
              </w:rPr>
            </w:pPr>
          </w:p>
        </w:tc>
      </w:tr>
      <w:tr w:rsidR="00013EC7">
        <w:trPr>
          <w:trHeight w:val="1294"/>
          <w:jc w:val="center"/>
        </w:trPr>
        <w:tc>
          <w:tcPr>
            <w:tcW w:w="1243" w:type="dxa"/>
            <w:vMerge/>
            <w:vAlign w:val="center"/>
          </w:tcPr>
          <w:p w:rsidR="00013EC7" w:rsidRDefault="00013EC7">
            <w:pPr>
              <w:jc w:val="left"/>
              <w:rPr>
                <w:rFonts w:ascii="仿宋" w:eastAsia="仿宋" w:hAnsi="仿宋" w:cs="仿宋"/>
                <w:sz w:val="24"/>
              </w:rPr>
            </w:pPr>
          </w:p>
        </w:tc>
        <w:tc>
          <w:tcPr>
            <w:tcW w:w="1309" w:type="dxa"/>
            <w:vMerge/>
            <w:vAlign w:val="center"/>
          </w:tcPr>
          <w:p w:rsidR="00013EC7" w:rsidRDefault="00013EC7">
            <w:pPr>
              <w:jc w:val="left"/>
              <w:rPr>
                <w:rFonts w:ascii="仿宋" w:eastAsia="仿宋" w:hAnsi="仿宋" w:cs="仿宋"/>
                <w:sz w:val="24"/>
              </w:rPr>
            </w:pPr>
          </w:p>
        </w:tc>
        <w:tc>
          <w:tcPr>
            <w:tcW w:w="2102" w:type="dxa"/>
            <w:vMerge/>
            <w:vAlign w:val="center"/>
          </w:tcPr>
          <w:p w:rsidR="00013EC7" w:rsidRDefault="00013EC7">
            <w:pPr>
              <w:jc w:val="left"/>
              <w:rPr>
                <w:rFonts w:ascii="仿宋" w:eastAsia="仿宋" w:hAnsi="仿宋" w:cs="仿宋"/>
                <w:sz w:val="24"/>
              </w:rPr>
            </w:pPr>
          </w:p>
        </w:tc>
        <w:tc>
          <w:tcPr>
            <w:tcW w:w="2770" w:type="dxa"/>
            <w:vAlign w:val="center"/>
          </w:tcPr>
          <w:p w:rsidR="00013EC7" w:rsidRDefault="00575CDB">
            <w:pPr>
              <w:jc w:val="left"/>
              <w:rPr>
                <w:rFonts w:ascii="仿宋" w:eastAsia="仿宋" w:hAnsi="仿宋" w:cs="仿宋"/>
                <w:kern w:val="1"/>
                <w:sz w:val="24"/>
              </w:rPr>
            </w:pPr>
            <w:r>
              <w:rPr>
                <w:rFonts w:ascii="仿宋" w:eastAsia="仿宋" w:hAnsi="仿宋" w:cs="仿宋" w:hint="eastAsia"/>
                <w:color w:val="000000"/>
                <w:kern w:val="0"/>
                <w:sz w:val="24"/>
              </w:rPr>
              <w:t>（九）产品和劳务不属于环境保护部《环境保护综合名录》中的“高污染、高环境风险”产品或者重</w:t>
            </w:r>
            <w:r>
              <w:rPr>
                <w:rFonts w:ascii="仿宋" w:eastAsia="仿宋" w:hAnsi="仿宋" w:cs="仿宋" w:hint="eastAsia"/>
                <w:color w:val="000000"/>
                <w:kern w:val="0"/>
                <w:sz w:val="24"/>
              </w:rPr>
              <w:lastRenderedPageBreak/>
              <w:t>污染工艺的书面证明材料。</w:t>
            </w:r>
          </w:p>
        </w:tc>
        <w:tc>
          <w:tcPr>
            <w:tcW w:w="1112" w:type="dxa"/>
            <w:vMerge/>
            <w:vAlign w:val="center"/>
          </w:tcPr>
          <w:p w:rsidR="00013EC7" w:rsidRDefault="00013EC7">
            <w:pPr>
              <w:jc w:val="left"/>
              <w:rPr>
                <w:rFonts w:ascii="仿宋" w:eastAsia="仿宋" w:hAnsi="仿宋" w:cs="仿宋"/>
                <w:sz w:val="24"/>
              </w:rPr>
            </w:pPr>
          </w:p>
        </w:tc>
        <w:tc>
          <w:tcPr>
            <w:tcW w:w="2390" w:type="dxa"/>
            <w:vAlign w:val="center"/>
          </w:tcPr>
          <w:p w:rsidR="00013EC7" w:rsidRDefault="00575CDB">
            <w:pPr>
              <w:jc w:val="left"/>
              <w:rPr>
                <w:rFonts w:ascii="仿宋" w:eastAsia="仿宋" w:hAnsi="仿宋" w:cs="仿宋"/>
                <w:kern w:val="1"/>
                <w:sz w:val="24"/>
              </w:rPr>
            </w:pPr>
            <w:r>
              <w:rPr>
                <w:rFonts w:ascii="仿宋" w:eastAsia="仿宋" w:hAnsi="仿宋" w:cs="仿宋" w:hint="eastAsia"/>
                <w:kern w:val="1"/>
                <w:sz w:val="24"/>
              </w:rPr>
              <w:t>（九）产品和劳务不属于环境保护部《环境保护综合名录》中的“高污染、高环境</w:t>
            </w:r>
            <w:r>
              <w:rPr>
                <w:rFonts w:ascii="仿宋" w:eastAsia="仿宋" w:hAnsi="仿宋" w:cs="仿宋" w:hint="eastAsia"/>
                <w:kern w:val="1"/>
                <w:sz w:val="24"/>
              </w:rPr>
              <w:lastRenderedPageBreak/>
              <w:t>风险”产品或者重污染工艺的书面证明材料。</w:t>
            </w:r>
          </w:p>
          <w:p w:rsidR="00013EC7" w:rsidRDefault="00013EC7">
            <w:pPr>
              <w:jc w:val="left"/>
              <w:rPr>
                <w:rFonts w:ascii="仿宋" w:eastAsia="仿宋" w:hAnsi="仿宋" w:cs="仿宋"/>
                <w:kern w:val="1"/>
                <w:sz w:val="24"/>
              </w:rPr>
            </w:pPr>
          </w:p>
        </w:tc>
        <w:tc>
          <w:tcPr>
            <w:tcW w:w="1189" w:type="dxa"/>
            <w:vMerge/>
            <w:vAlign w:val="center"/>
          </w:tcPr>
          <w:p w:rsidR="00013EC7" w:rsidRDefault="00013EC7">
            <w:pPr>
              <w:spacing w:line="300" w:lineRule="exact"/>
              <w:jc w:val="left"/>
              <w:rPr>
                <w:rFonts w:ascii="仿宋" w:eastAsia="仿宋" w:hAnsi="仿宋" w:cs="仿宋"/>
                <w:sz w:val="24"/>
              </w:rPr>
            </w:pPr>
          </w:p>
        </w:tc>
        <w:tc>
          <w:tcPr>
            <w:tcW w:w="3300" w:type="dxa"/>
            <w:vMerge/>
            <w:vAlign w:val="center"/>
          </w:tcPr>
          <w:p w:rsidR="00013EC7" w:rsidRDefault="00013EC7">
            <w:pPr>
              <w:spacing w:line="300" w:lineRule="exact"/>
              <w:jc w:val="left"/>
              <w:rPr>
                <w:rFonts w:ascii="仿宋" w:eastAsia="仿宋" w:hAnsi="仿宋" w:cs="仿宋"/>
                <w:sz w:val="24"/>
              </w:rPr>
            </w:pPr>
          </w:p>
        </w:tc>
        <w:tc>
          <w:tcPr>
            <w:tcW w:w="863" w:type="dxa"/>
            <w:vMerge/>
            <w:vAlign w:val="center"/>
          </w:tcPr>
          <w:p w:rsidR="00013EC7" w:rsidRDefault="00013EC7">
            <w:pPr>
              <w:jc w:val="left"/>
              <w:rPr>
                <w:rFonts w:ascii="仿宋" w:eastAsia="仿宋" w:hAnsi="仿宋" w:cs="仿宋"/>
                <w:sz w:val="24"/>
              </w:rPr>
            </w:pPr>
          </w:p>
        </w:tc>
        <w:tc>
          <w:tcPr>
            <w:tcW w:w="873" w:type="dxa"/>
            <w:gridSpan w:val="2"/>
            <w:vMerge/>
            <w:vAlign w:val="center"/>
          </w:tcPr>
          <w:p w:rsidR="00013EC7" w:rsidRDefault="00013EC7">
            <w:pPr>
              <w:jc w:val="left"/>
              <w:rPr>
                <w:rFonts w:ascii="仿宋" w:eastAsia="仿宋" w:hAnsi="仿宋" w:cs="仿宋"/>
                <w:sz w:val="24"/>
              </w:rPr>
            </w:pPr>
          </w:p>
        </w:tc>
        <w:tc>
          <w:tcPr>
            <w:tcW w:w="874" w:type="dxa"/>
            <w:vMerge/>
            <w:vAlign w:val="center"/>
          </w:tcPr>
          <w:p w:rsidR="00013EC7" w:rsidRDefault="00013EC7">
            <w:pPr>
              <w:jc w:val="left"/>
              <w:rPr>
                <w:rFonts w:ascii="仿宋" w:eastAsia="仿宋" w:hAnsi="仿宋" w:cs="仿宋"/>
                <w:sz w:val="24"/>
              </w:rPr>
            </w:pPr>
          </w:p>
        </w:tc>
        <w:tc>
          <w:tcPr>
            <w:tcW w:w="1098" w:type="dxa"/>
            <w:vMerge/>
            <w:vAlign w:val="center"/>
          </w:tcPr>
          <w:p w:rsidR="00013EC7" w:rsidRDefault="00013EC7">
            <w:pPr>
              <w:jc w:val="left"/>
              <w:rPr>
                <w:rFonts w:ascii="仿宋" w:eastAsia="仿宋" w:hAnsi="仿宋" w:cs="仿宋"/>
                <w:sz w:val="24"/>
              </w:rPr>
            </w:pPr>
          </w:p>
        </w:tc>
        <w:tc>
          <w:tcPr>
            <w:tcW w:w="1468" w:type="dxa"/>
            <w:vMerge/>
            <w:vAlign w:val="center"/>
          </w:tcPr>
          <w:p w:rsidR="00013EC7" w:rsidRDefault="00013EC7">
            <w:pPr>
              <w:jc w:val="left"/>
              <w:rPr>
                <w:rFonts w:ascii="仿宋" w:eastAsia="仿宋" w:hAnsi="仿宋" w:cs="仿宋"/>
                <w:sz w:val="24"/>
              </w:rPr>
            </w:pPr>
          </w:p>
        </w:tc>
      </w:tr>
      <w:tr w:rsidR="00013EC7">
        <w:trPr>
          <w:trHeight w:val="3661"/>
          <w:jc w:val="center"/>
        </w:trPr>
        <w:tc>
          <w:tcPr>
            <w:tcW w:w="1243" w:type="dxa"/>
            <w:vMerge/>
            <w:vAlign w:val="center"/>
          </w:tcPr>
          <w:p w:rsidR="00013EC7" w:rsidRDefault="00013EC7">
            <w:pPr>
              <w:jc w:val="left"/>
              <w:rPr>
                <w:rFonts w:ascii="仿宋" w:eastAsia="仿宋" w:hAnsi="仿宋" w:cs="仿宋"/>
                <w:sz w:val="24"/>
              </w:rPr>
            </w:pPr>
          </w:p>
        </w:tc>
        <w:tc>
          <w:tcPr>
            <w:tcW w:w="1309" w:type="dxa"/>
            <w:vMerge/>
            <w:vAlign w:val="center"/>
          </w:tcPr>
          <w:p w:rsidR="00013EC7" w:rsidRDefault="00013EC7">
            <w:pPr>
              <w:jc w:val="left"/>
              <w:rPr>
                <w:rFonts w:ascii="仿宋" w:eastAsia="仿宋" w:hAnsi="仿宋" w:cs="仿宋"/>
                <w:sz w:val="24"/>
              </w:rPr>
            </w:pPr>
          </w:p>
        </w:tc>
        <w:tc>
          <w:tcPr>
            <w:tcW w:w="2102" w:type="dxa"/>
            <w:vMerge/>
            <w:vAlign w:val="center"/>
          </w:tcPr>
          <w:p w:rsidR="00013EC7" w:rsidRDefault="00013EC7">
            <w:pPr>
              <w:jc w:val="left"/>
              <w:rPr>
                <w:rFonts w:ascii="仿宋" w:eastAsia="仿宋" w:hAnsi="仿宋" w:cs="仿宋"/>
                <w:sz w:val="24"/>
              </w:rPr>
            </w:pPr>
          </w:p>
        </w:tc>
        <w:tc>
          <w:tcPr>
            <w:tcW w:w="2770" w:type="dxa"/>
            <w:vAlign w:val="center"/>
          </w:tcPr>
          <w:p w:rsidR="00013EC7" w:rsidRDefault="00575CDB">
            <w:pPr>
              <w:jc w:val="left"/>
              <w:rPr>
                <w:rFonts w:ascii="仿宋" w:eastAsia="仿宋" w:hAnsi="仿宋" w:cs="仿宋"/>
                <w:kern w:val="1"/>
                <w:sz w:val="24"/>
              </w:rPr>
            </w:pPr>
            <w:r>
              <w:rPr>
                <w:rFonts w:ascii="仿宋" w:eastAsia="仿宋" w:hAnsi="仿宋" w:cs="仿宋" w:hint="eastAsia"/>
                <w:color w:val="000000"/>
                <w:kern w:val="0"/>
                <w:sz w:val="24"/>
              </w:rPr>
              <w:t>（十）省级及以上环境保护部门颁发的《危险废物经营许可证》</w:t>
            </w:r>
            <w:r>
              <w:rPr>
                <w:rFonts w:ascii="仿宋" w:eastAsia="仿宋" w:hAnsi="仿宋" w:cs="仿宋" w:hint="eastAsia"/>
                <w:color w:val="000000"/>
                <w:kern w:val="0"/>
                <w:sz w:val="24"/>
                <w:shd w:val="clear" w:color="FFFFFF" w:fill="D9D9D9"/>
              </w:rPr>
              <w:t>原件及</w:t>
            </w:r>
            <w:r>
              <w:rPr>
                <w:rFonts w:ascii="仿宋" w:eastAsia="仿宋" w:hAnsi="仿宋" w:cs="仿宋" w:hint="eastAsia"/>
                <w:color w:val="000000"/>
                <w:kern w:val="0"/>
                <w:sz w:val="24"/>
              </w:rPr>
              <w:t>复印件（加盖公章）。</w:t>
            </w:r>
          </w:p>
        </w:tc>
        <w:tc>
          <w:tcPr>
            <w:tcW w:w="1112" w:type="dxa"/>
            <w:vMerge/>
            <w:vAlign w:val="center"/>
          </w:tcPr>
          <w:p w:rsidR="00013EC7" w:rsidRDefault="00013EC7">
            <w:pPr>
              <w:jc w:val="left"/>
              <w:rPr>
                <w:rFonts w:ascii="仿宋" w:eastAsia="仿宋" w:hAnsi="仿宋" w:cs="仿宋"/>
                <w:sz w:val="24"/>
              </w:rPr>
            </w:pPr>
          </w:p>
        </w:tc>
        <w:tc>
          <w:tcPr>
            <w:tcW w:w="2390" w:type="dxa"/>
            <w:vAlign w:val="center"/>
          </w:tcPr>
          <w:p w:rsidR="00013EC7" w:rsidRDefault="00575CDB">
            <w:pPr>
              <w:jc w:val="left"/>
              <w:rPr>
                <w:rFonts w:ascii="仿宋" w:eastAsia="仿宋" w:hAnsi="仿宋" w:cs="仿宋"/>
                <w:kern w:val="1"/>
                <w:sz w:val="24"/>
              </w:rPr>
            </w:pPr>
            <w:r>
              <w:rPr>
                <w:rFonts w:ascii="仿宋" w:eastAsia="仿宋" w:hAnsi="仿宋" w:cs="仿宋" w:hint="eastAsia"/>
                <w:kern w:val="1"/>
                <w:sz w:val="24"/>
              </w:rPr>
              <w:t>（十）条件报送：综合利用的资源，属于环境保护部《国家危险废物名录》列明的危险废物的，应提供省级及以上环境保护部门颁发的《危险废物经营许可证》复印件（</w:t>
            </w:r>
            <w:r>
              <w:rPr>
                <w:rFonts w:ascii="仿宋" w:eastAsia="仿宋" w:hAnsi="仿宋" w:cs="仿宋" w:hint="eastAsia"/>
                <w:kern w:val="1"/>
                <w:sz w:val="24"/>
                <w:lang w:val="zh-CN"/>
              </w:rPr>
              <w:t>注明与原件一致，并加盖公章</w:t>
            </w:r>
            <w:r>
              <w:rPr>
                <w:rFonts w:ascii="仿宋" w:eastAsia="仿宋" w:hAnsi="仿宋" w:cs="仿宋" w:hint="eastAsia"/>
                <w:kern w:val="1"/>
                <w:sz w:val="24"/>
              </w:rPr>
              <w:t>）。</w:t>
            </w:r>
          </w:p>
          <w:p w:rsidR="00013EC7" w:rsidRDefault="00013EC7">
            <w:pPr>
              <w:jc w:val="left"/>
              <w:rPr>
                <w:rFonts w:ascii="仿宋" w:eastAsia="仿宋" w:hAnsi="仿宋" w:cs="仿宋"/>
                <w:kern w:val="1"/>
                <w:sz w:val="24"/>
              </w:rPr>
            </w:pPr>
          </w:p>
        </w:tc>
        <w:tc>
          <w:tcPr>
            <w:tcW w:w="1189" w:type="dxa"/>
            <w:vMerge/>
            <w:vAlign w:val="center"/>
          </w:tcPr>
          <w:p w:rsidR="00013EC7" w:rsidRDefault="00013EC7">
            <w:pPr>
              <w:spacing w:line="300" w:lineRule="exact"/>
              <w:jc w:val="left"/>
              <w:rPr>
                <w:rFonts w:ascii="仿宋" w:eastAsia="仿宋" w:hAnsi="仿宋" w:cs="仿宋"/>
                <w:sz w:val="24"/>
              </w:rPr>
            </w:pPr>
          </w:p>
        </w:tc>
        <w:tc>
          <w:tcPr>
            <w:tcW w:w="3300" w:type="dxa"/>
            <w:vMerge/>
            <w:vAlign w:val="center"/>
          </w:tcPr>
          <w:p w:rsidR="00013EC7" w:rsidRDefault="00013EC7">
            <w:pPr>
              <w:spacing w:line="300" w:lineRule="exact"/>
              <w:jc w:val="left"/>
              <w:rPr>
                <w:rFonts w:ascii="仿宋" w:eastAsia="仿宋" w:hAnsi="仿宋" w:cs="仿宋"/>
                <w:sz w:val="24"/>
              </w:rPr>
            </w:pPr>
          </w:p>
        </w:tc>
        <w:tc>
          <w:tcPr>
            <w:tcW w:w="863" w:type="dxa"/>
            <w:vMerge/>
            <w:vAlign w:val="center"/>
          </w:tcPr>
          <w:p w:rsidR="00013EC7" w:rsidRDefault="00013EC7">
            <w:pPr>
              <w:jc w:val="left"/>
              <w:rPr>
                <w:rFonts w:ascii="仿宋" w:eastAsia="仿宋" w:hAnsi="仿宋" w:cs="仿宋"/>
                <w:sz w:val="24"/>
              </w:rPr>
            </w:pPr>
          </w:p>
        </w:tc>
        <w:tc>
          <w:tcPr>
            <w:tcW w:w="873" w:type="dxa"/>
            <w:gridSpan w:val="2"/>
            <w:vMerge/>
            <w:vAlign w:val="center"/>
          </w:tcPr>
          <w:p w:rsidR="00013EC7" w:rsidRDefault="00013EC7">
            <w:pPr>
              <w:jc w:val="left"/>
              <w:rPr>
                <w:rFonts w:ascii="仿宋" w:eastAsia="仿宋" w:hAnsi="仿宋" w:cs="仿宋"/>
                <w:sz w:val="24"/>
              </w:rPr>
            </w:pPr>
          </w:p>
        </w:tc>
        <w:tc>
          <w:tcPr>
            <w:tcW w:w="874" w:type="dxa"/>
            <w:vMerge/>
            <w:vAlign w:val="center"/>
          </w:tcPr>
          <w:p w:rsidR="00013EC7" w:rsidRDefault="00013EC7">
            <w:pPr>
              <w:jc w:val="left"/>
              <w:rPr>
                <w:rFonts w:ascii="仿宋" w:eastAsia="仿宋" w:hAnsi="仿宋" w:cs="仿宋"/>
                <w:sz w:val="24"/>
              </w:rPr>
            </w:pPr>
          </w:p>
        </w:tc>
        <w:tc>
          <w:tcPr>
            <w:tcW w:w="1098" w:type="dxa"/>
            <w:vMerge/>
            <w:vAlign w:val="center"/>
          </w:tcPr>
          <w:p w:rsidR="00013EC7" w:rsidRDefault="00013EC7">
            <w:pPr>
              <w:jc w:val="left"/>
              <w:rPr>
                <w:rFonts w:ascii="仿宋" w:eastAsia="仿宋" w:hAnsi="仿宋" w:cs="仿宋"/>
                <w:sz w:val="24"/>
              </w:rPr>
            </w:pPr>
          </w:p>
        </w:tc>
        <w:tc>
          <w:tcPr>
            <w:tcW w:w="1468" w:type="dxa"/>
            <w:vMerge/>
            <w:vAlign w:val="center"/>
          </w:tcPr>
          <w:p w:rsidR="00013EC7" w:rsidRDefault="00013EC7">
            <w:pPr>
              <w:jc w:val="left"/>
              <w:rPr>
                <w:rFonts w:ascii="仿宋" w:eastAsia="仿宋" w:hAnsi="仿宋" w:cs="仿宋"/>
                <w:sz w:val="24"/>
              </w:rPr>
            </w:pPr>
          </w:p>
        </w:tc>
      </w:tr>
      <w:tr w:rsidR="00013EC7">
        <w:trPr>
          <w:trHeight w:val="3017"/>
          <w:jc w:val="center"/>
        </w:trPr>
        <w:tc>
          <w:tcPr>
            <w:tcW w:w="1243" w:type="dxa"/>
            <w:vMerge/>
            <w:vAlign w:val="center"/>
          </w:tcPr>
          <w:p w:rsidR="00013EC7" w:rsidRDefault="00013EC7">
            <w:pPr>
              <w:jc w:val="left"/>
              <w:rPr>
                <w:rFonts w:ascii="仿宋" w:eastAsia="仿宋" w:hAnsi="仿宋" w:cs="仿宋"/>
                <w:sz w:val="24"/>
              </w:rPr>
            </w:pPr>
          </w:p>
        </w:tc>
        <w:tc>
          <w:tcPr>
            <w:tcW w:w="1309" w:type="dxa"/>
            <w:vMerge/>
            <w:vAlign w:val="center"/>
          </w:tcPr>
          <w:p w:rsidR="00013EC7" w:rsidRDefault="00013EC7">
            <w:pPr>
              <w:jc w:val="left"/>
              <w:rPr>
                <w:rFonts w:ascii="仿宋" w:eastAsia="仿宋" w:hAnsi="仿宋" w:cs="仿宋"/>
                <w:sz w:val="24"/>
              </w:rPr>
            </w:pPr>
          </w:p>
        </w:tc>
        <w:tc>
          <w:tcPr>
            <w:tcW w:w="2102" w:type="dxa"/>
            <w:vMerge/>
            <w:vAlign w:val="center"/>
          </w:tcPr>
          <w:p w:rsidR="00013EC7" w:rsidRDefault="00013EC7">
            <w:pPr>
              <w:jc w:val="left"/>
              <w:rPr>
                <w:rFonts w:ascii="仿宋" w:eastAsia="仿宋" w:hAnsi="仿宋" w:cs="仿宋"/>
                <w:sz w:val="24"/>
              </w:rPr>
            </w:pPr>
          </w:p>
        </w:tc>
        <w:tc>
          <w:tcPr>
            <w:tcW w:w="2770" w:type="dxa"/>
            <w:vAlign w:val="center"/>
          </w:tcPr>
          <w:p w:rsidR="00013EC7" w:rsidRDefault="00575CDB">
            <w:pPr>
              <w:jc w:val="left"/>
              <w:rPr>
                <w:rFonts w:ascii="仿宋" w:eastAsia="仿宋" w:hAnsi="仿宋" w:cs="仿宋"/>
                <w:kern w:val="1"/>
                <w:sz w:val="24"/>
              </w:rPr>
            </w:pPr>
            <w:r>
              <w:rPr>
                <w:rFonts w:ascii="仿宋" w:eastAsia="仿宋" w:hAnsi="仿宋" w:cs="仿宋" w:hint="eastAsia"/>
                <w:color w:val="000000"/>
                <w:kern w:val="0"/>
                <w:sz w:val="24"/>
              </w:rPr>
              <w:t>（十一）单站发电机组额定装机容量总和的情况材料。</w:t>
            </w:r>
          </w:p>
        </w:tc>
        <w:tc>
          <w:tcPr>
            <w:tcW w:w="1112" w:type="dxa"/>
            <w:vAlign w:val="center"/>
          </w:tcPr>
          <w:p w:rsidR="00013EC7" w:rsidRDefault="00575CDB">
            <w:pPr>
              <w:jc w:val="left"/>
              <w:rPr>
                <w:rFonts w:ascii="仿宋" w:eastAsia="仿宋" w:hAnsi="仿宋" w:cs="仿宋"/>
                <w:sz w:val="24"/>
              </w:rPr>
            </w:pPr>
            <w:r>
              <w:rPr>
                <w:rFonts w:ascii="仿宋" w:eastAsia="仿宋" w:hAnsi="仿宋" w:cs="仿宋" w:hint="eastAsia"/>
                <w:color w:val="000000"/>
                <w:kern w:val="0"/>
                <w:sz w:val="24"/>
              </w:rPr>
              <w:t>大型水电企业纳税人提交</w:t>
            </w:r>
          </w:p>
        </w:tc>
        <w:tc>
          <w:tcPr>
            <w:tcW w:w="2390" w:type="dxa"/>
            <w:vAlign w:val="center"/>
          </w:tcPr>
          <w:p w:rsidR="00013EC7" w:rsidRDefault="00575CDB">
            <w:pPr>
              <w:jc w:val="left"/>
              <w:rPr>
                <w:rFonts w:ascii="仿宋" w:eastAsia="仿宋" w:hAnsi="仿宋" w:cs="仿宋"/>
                <w:kern w:val="1"/>
                <w:sz w:val="24"/>
              </w:rPr>
            </w:pPr>
            <w:r>
              <w:rPr>
                <w:rFonts w:ascii="仿宋" w:eastAsia="仿宋" w:hAnsi="仿宋" w:cs="仿宋" w:hint="eastAsia"/>
                <w:kern w:val="1"/>
                <w:sz w:val="24"/>
              </w:rPr>
              <w:t>（十一）</w:t>
            </w:r>
            <w:r>
              <w:rPr>
                <w:rFonts w:ascii="仿宋" w:eastAsia="仿宋" w:hAnsi="仿宋" w:cs="仿宋"/>
                <w:kern w:val="1"/>
                <w:sz w:val="24"/>
              </w:rPr>
              <w:t>单站发电机组额定装机容量总和的情况材料。</w:t>
            </w:r>
          </w:p>
          <w:p w:rsidR="00013EC7" w:rsidRDefault="00013EC7">
            <w:pPr>
              <w:jc w:val="left"/>
              <w:rPr>
                <w:rFonts w:ascii="仿宋" w:eastAsia="仿宋" w:hAnsi="仿宋" w:cs="仿宋"/>
                <w:kern w:val="1"/>
                <w:sz w:val="24"/>
              </w:rPr>
            </w:pPr>
          </w:p>
        </w:tc>
        <w:tc>
          <w:tcPr>
            <w:tcW w:w="1189"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color w:val="000000"/>
                <w:kern w:val="0"/>
                <w:sz w:val="24"/>
              </w:rPr>
              <w:t>大型水电企业纳税人提交</w:t>
            </w:r>
          </w:p>
        </w:tc>
        <w:tc>
          <w:tcPr>
            <w:tcW w:w="3300" w:type="dxa"/>
            <w:vMerge/>
            <w:vAlign w:val="center"/>
          </w:tcPr>
          <w:p w:rsidR="00013EC7" w:rsidRDefault="00013EC7">
            <w:pPr>
              <w:spacing w:line="300" w:lineRule="exact"/>
              <w:jc w:val="left"/>
              <w:rPr>
                <w:rFonts w:ascii="仿宋" w:eastAsia="仿宋" w:hAnsi="仿宋" w:cs="仿宋"/>
                <w:sz w:val="24"/>
              </w:rPr>
            </w:pPr>
          </w:p>
        </w:tc>
        <w:tc>
          <w:tcPr>
            <w:tcW w:w="863" w:type="dxa"/>
            <w:vMerge/>
            <w:vAlign w:val="center"/>
          </w:tcPr>
          <w:p w:rsidR="00013EC7" w:rsidRDefault="00013EC7">
            <w:pPr>
              <w:jc w:val="left"/>
              <w:rPr>
                <w:rFonts w:ascii="仿宋" w:eastAsia="仿宋" w:hAnsi="仿宋" w:cs="仿宋"/>
                <w:sz w:val="24"/>
              </w:rPr>
            </w:pPr>
          </w:p>
        </w:tc>
        <w:tc>
          <w:tcPr>
            <w:tcW w:w="873" w:type="dxa"/>
            <w:gridSpan w:val="2"/>
            <w:vMerge/>
            <w:vAlign w:val="center"/>
          </w:tcPr>
          <w:p w:rsidR="00013EC7" w:rsidRDefault="00013EC7">
            <w:pPr>
              <w:jc w:val="left"/>
              <w:rPr>
                <w:rFonts w:ascii="仿宋" w:eastAsia="仿宋" w:hAnsi="仿宋" w:cs="仿宋"/>
                <w:sz w:val="24"/>
              </w:rPr>
            </w:pPr>
          </w:p>
        </w:tc>
        <w:tc>
          <w:tcPr>
            <w:tcW w:w="874" w:type="dxa"/>
            <w:vMerge/>
            <w:vAlign w:val="center"/>
          </w:tcPr>
          <w:p w:rsidR="00013EC7" w:rsidRDefault="00013EC7">
            <w:pPr>
              <w:jc w:val="left"/>
              <w:rPr>
                <w:rFonts w:ascii="仿宋" w:eastAsia="仿宋" w:hAnsi="仿宋" w:cs="仿宋"/>
                <w:sz w:val="24"/>
              </w:rPr>
            </w:pPr>
          </w:p>
        </w:tc>
        <w:tc>
          <w:tcPr>
            <w:tcW w:w="1098" w:type="dxa"/>
            <w:vMerge/>
            <w:vAlign w:val="center"/>
          </w:tcPr>
          <w:p w:rsidR="00013EC7" w:rsidRDefault="00013EC7">
            <w:pPr>
              <w:jc w:val="left"/>
              <w:rPr>
                <w:rFonts w:ascii="仿宋" w:eastAsia="仿宋" w:hAnsi="仿宋" w:cs="仿宋"/>
                <w:sz w:val="24"/>
              </w:rPr>
            </w:pPr>
          </w:p>
        </w:tc>
        <w:tc>
          <w:tcPr>
            <w:tcW w:w="1468" w:type="dxa"/>
            <w:vMerge/>
            <w:vAlign w:val="center"/>
          </w:tcPr>
          <w:p w:rsidR="00013EC7" w:rsidRDefault="00013EC7">
            <w:pPr>
              <w:jc w:val="left"/>
              <w:rPr>
                <w:rFonts w:ascii="仿宋" w:eastAsia="仿宋" w:hAnsi="仿宋" w:cs="仿宋"/>
                <w:sz w:val="24"/>
              </w:rPr>
            </w:pPr>
          </w:p>
        </w:tc>
      </w:tr>
      <w:tr w:rsidR="00013EC7">
        <w:trPr>
          <w:trHeight w:val="992"/>
          <w:jc w:val="center"/>
        </w:trPr>
        <w:tc>
          <w:tcPr>
            <w:tcW w:w="1243" w:type="dxa"/>
            <w:vMerge/>
            <w:vAlign w:val="center"/>
          </w:tcPr>
          <w:p w:rsidR="00013EC7" w:rsidRDefault="00013EC7">
            <w:pPr>
              <w:jc w:val="left"/>
              <w:rPr>
                <w:rFonts w:ascii="仿宋" w:eastAsia="仿宋" w:hAnsi="仿宋" w:cs="仿宋"/>
                <w:sz w:val="24"/>
              </w:rPr>
            </w:pPr>
          </w:p>
        </w:tc>
        <w:tc>
          <w:tcPr>
            <w:tcW w:w="1309" w:type="dxa"/>
            <w:vMerge/>
            <w:vAlign w:val="center"/>
          </w:tcPr>
          <w:p w:rsidR="00013EC7" w:rsidRDefault="00013EC7">
            <w:pPr>
              <w:jc w:val="left"/>
              <w:rPr>
                <w:rFonts w:ascii="仿宋" w:eastAsia="仿宋" w:hAnsi="仿宋" w:cs="仿宋"/>
                <w:sz w:val="24"/>
              </w:rPr>
            </w:pPr>
          </w:p>
        </w:tc>
        <w:tc>
          <w:tcPr>
            <w:tcW w:w="2102" w:type="dxa"/>
            <w:vMerge/>
            <w:vAlign w:val="center"/>
          </w:tcPr>
          <w:p w:rsidR="00013EC7" w:rsidRDefault="00013EC7">
            <w:pPr>
              <w:jc w:val="left"/>
              <w:rPr>
                <w:rFonts w:ascii="仿宋" w:eastAsia="仿宋" w:hAnsi="仿宋" w:cs="仿宋"/>
                <w:sz w:val="24"/>
              </w:rPr>
            </w:pPr>
          </w:p>
        </w:tc>
        <w:tc>
          <w:tcPr>
            <w:tcW w:w="2770" w:type="dxa"/>
            <w:vAlign w:val="center"/>
          </w:tcPr>
          <w:p w:rsidR="00013EC7" w:rsidRDefault="00575CDB">
            <w:pPr>
              <w:numPr>
                <w:ilvl w:val="0"/>
                <w:numId w:val="1"/>
              </w:numPr>
              <w:jc w:val="left"/>
              <w:rPr>
                <w:rFonts w:ascii="仿宋" w:eastAsia="仿宋" w:hAnsi="仿宋" w:cs="仿宋"/>
                <w:color w:val="000000"/>
                <w:kern w:val="0"/>
                <w:sz w:val="24"/>
              </w:rPr>
            </w:pPr>
            <w:r>
              <w:rPr>
                <w:rFonts w:ascii="仿宋" w:eastAsia="仿宋" w:hAnsi="仿宋" w:cs="仿宋" w:hint="eastAsia"/>
                <w:color w:val="000000"/>
                <w:kern w:val="0"/>
                <w:sz w:val="24"/>
              </w:rPr>
              <w:t>自产的利用太阳能生产的电力产品的相关材料。</w:t>
            </w:r>
          </w:p>
        </w:tc>
        <w:tc>
          <w:tcPr>
            <w:tcW w:w="1112" w:type="dxa"/>
            <w:vAlign w:val="center"/>
          </w:tcPr>
          <w:p w:rsidR="00013EC7" w:rsidRDefault="00575CDB">
            <w:pPr>
              <w:jc w:val="left"/>
              <w:rPr>
                <w:rFonts w:ascii="仿宋" w:eastAsia="仿宋" w:hAnsi="仿宋" w:cs="仿宋"/>
                <w:sz w:val="24"/>
              </w:rPr>
            </w:pPr>
            <w:r>
              <w:rPr>
                <w:rFonts w:ascii="仿宋" w:eastAsia="仿宋" w:hAnsi="仿宋" w:cs="仿宋" w:hint="eastAsia"/>
                <w:color w:val="000000"/>
                <w:kern w:val="0"/>
                <w:sz w:val="24"/>
              </w:rPr>
              <w:t>光伏发电纳税人提交</w:t>
            </w:r>
          </w:p>
        </w:tc>
        <w:tc>
          <w:tcPr>
            <w:tcW w:w="2390" w:type="dxa"/>
            <w:vAlign w:val="center"/>
          </w:tcPr>
          <w:p w:rsidR="00013EC7" w:rsidRDefault="00575CDB">
            <w:pPr>
              <w:jc w:val="left"/>
              <w:rPr>
                <w:rFonts w:ascii="仿宋" w:eastAsia="仿宋" w:hAnsi="仿宋" w:cs="仿宋"/>
                <w:kern w:val="1"/>
                <w:sz w:val="24"/>
              </w:rPr>
            </w:pPr>
            <w:r>
              <w:rPr>
                <w:rFonts w:ascii="仿宋" w:eastAsia="仿宋" w:hAnsi="仿宋" w:cs="仿宋" w:hint="eastAsia"/>
                <w:kern w:val="1"/>
                <w:sz w:val="24"/>
              </w:rPr>
              <w:t>（十二）</w:t>
            </w:r>
            <w:r>
              <w:rPr>
                <w:rFonts w:ascii="仿宋" w:eastAsia="仿宋" w:hAnsi="仿宋" w:cs="仿宋"/>
                <w:kern w:val="1"/>
                <w:sz w:val="24"/>
              </w:rPr>
              <w:t>自产的利用太阳能生产的电力产品的</w:t>
            </w:r>
            <w:r>
              <w:rPr>
                <w:rFonts w:ascii="仿宋" w:eastAsia="仿宋" w:hAnsi="仿宋" w:cs="仿宋" w:hint="eastAsia"/>
                <w:kern w:val="1"/>
                <w:sz w:val="24"/>
              </w:rPr>
              <w:t>证明</w:t>
            </w:r>
            <w:r>
              <w:rPr>
                <w:rFonts w:ascii="仿宋" w:eastAsia="仿宋" w:hAnsi="仿宋" w:cs="仿宋"/>
                <w:kern w:val="1"/>
                <w:sz w:val="24"/>
              </w:rPr>
              <w:t>材料。</w:t>
            </w:r>
          </w:p>
          <w:p w:rsidR="00013EC7" w:rsidRDefault="00013EC7">
            <w:pPr>
              <w:jc w:val="left"/>
              <w:rPr>
                <w:rFonts w:ascii="仿宋" w:eastAsia="仿宋" w:hAnsi="仿宋" w:cs="仿宋"/>
                <w:kern w:val="1"/>
                <w:sz w:val="24"/>
              </w:rPr>
            </w:pPr>
          </w:p>
        </w:tc>
        <w:tc>
          <w:tcPr>
            <w:tcW w:w="1189" w:type="dxa"/>
            <w:vAlign w:val="center"/>
          </w:tcPr>
          <w:p w:rsidR="00013EC7" w:rsidRDefault="00575CDB">
            <w:pPr>
              <w:spacing w:line="300" w:lineRule="exact"/>
              <w:jc w:val="left"/>
              <w:rPr>
                <w:rFonts w:ascii="仿宋" w:eastAsia="仿宋" w:hAnsi="仿宋" w:cs="仿宋"/>
                <w:color w:val="000000"/>
                <w:kern w:val="0"/>
                <w:sz w:val="24"/>
              </w:rPr>
            </w:pPr>
            <w:r>
              <w:rPr>
                <w:rFonts w:ascii="仿宋" w:eastAsia="仿宋" w:hAnsi="仿宋" w:cs="仿宋" w:hint="eastAsia"/>
                <w:color w:val="000000"/>
                <w:kern w:val="0"/>
                <w:sz w:val="24"/>
              </w:rPr>
              <w:t>光伏发电纳税人提交</w:t>
            </w:r>
          </w:p>
          <w:p w:rsidR="00013EC7" w:rsidRDefault="00013EC7">
            <w:pPr>
              <w:spacing w:line="300" w:lineRule="exact"/>
              <w:jc w:val="left"/>
              <w:rPr>
                <w:rFonts w:ascii="仿宋" w:eastAsia="仿宋" w:hAnsi="仿宋" w:cs="仿宋"/>
                <w:color w:val="000000"/>
                <w:kern w:val="0"/>
                <w:sz w:val="24"/>
              </w:rPr>
            </w:pPr>
          </w:p>
          <w:p w:rsidR="00013EC7" w:rsidRDefault="00013EC7">
            <w:pPr>
              <w:spacing w:line="300" w:lineRule="exact"/>
              <w:jc w:val="left"/>
              <w:rPr>
                <w:rFonts w:ascii="仿宋" w:eastAsia="仿宋" w:hAnsi="仿宋" w:cs="仿宋"/>
                <w:color w:val="000000"/>
                <w:kern w:val="0"/>
                <w:sz w:val="24"/>
              </w:rPr>
            </w:pPr>
          </w:p>
        </w:tc>
        <w:tc>
          <w:tcPr>
            <w:tcW w:w="3300" w:type="dxa"/>
            <w:vMerge/>
            <w:vAlign w:val="center"/>
          </w:tcPr>
          <w:p w:rsidR="00013EC7" w:rsidRDefault="00013EC7">
            <w:pPr>
              <w:spacing w:line="300" w:lineRule="exact"/>
              <w:jc w:val="left"/>
              <w:rPr>
                <w:rFonts w:ascii="仿宋" w:eastAsia="仿宋" w:hAnsi="仿宋" w:cs="仿宋"/>
                <w:sz w:val="24"/>
              </w:rPr>
            </w:pPr>
          </w:p>
        </w:tc>
        <w:tc>
          <w:tcPr>
            <w:tcW w:w="863" w:type="dxa"/>
            <w:vMerge/>
            <w:vAlign w:val="center"/>
          </w:tcPr>
          <w:p w:rsidR="00013EC7" w:rsidRDefault="00013EC7">
            <w:pPr>
              <w:jc w:val="left"/>
              <w:rPr>
                <w:rFonts w:ascii="仿宋" w:eastAsia="仿宋" w:hAnsi="仿宋" w:cs="仿宋"/>
                <w:sz w:val="24"/>
              </w:rPr>
            </w:pPr>
          </w:p>
        </w:tc>
        <w:tc>
          <w:tcPr>
            <w:tcW w:w="873" w:type="dxa"/>
            <w:gridSpan w:val="2"/>
            <w:vMerge/>
            <w:vAlign w:val="center"/>
          </w:tcPr>
          <w:p w:rsidR="00013EC7" w:rsidRDefault="00013EC7">
            <w:pPr>
              <w:jc w:val="left"/>
              <w:rPr>
                <w:rFonts w:ascii="仿宋" w:eastAsia="仿宋" w:hAnsi="仿宋" w:cs="仿宋"/>
                <w:sz w:val="24"/>
              </w:rPr>
            </w:pPr>
          </w:p>
        </w:tc>
        <w:tc>
          <w:tcPr>
            <w:tcW w:w="874" w:type="dxa"/>
            <w:vMerge/>
            <w:vAlign w:val="center"/>
          </w:tcPr>
          <w:p w:rsidR="00013EC7" w:rsidRDefault="00013EC7">
            <w:pPr>
              <w:jc w:val="left"/>
              <w:rPr>
                <w:rFonts w:ascii="仿宋" w:eastAsia="仿宋" w:hAnsi="仿宋" w:cs="仿宋"/>
                <w:sz w:val="24"/>
              </w:rPr>
            </w:pPr>
          </w:p>
        </w:tc>
        <w:tc>
          <w:tcPr>
            <w:tcW w:w="1098" w:type="dxa"/>
            <w:vMerge/>
            <w:vAlign w:val="center"/>
          </w:tcPr>
          <w:p w:rsidR="00013EC7" w:rsidRDefault="00013EC7">
            <w:pPr>
              <w:jc w:val="left"/>
              <w:rPr>
                <w:rFonts w:ascii="仿宋" w:eastAsia="仿宋" w:hAnsi="仿宋" w:cs="仿宋"/>
                <w:sz w:val="24"/>
              </w:rPr>
            </w:pPr>
          </w:p>
        </w:tc>
        <w:tc>
          <w:tcPr>
            <w:tcW w:w="1468" w:type="dxa"/>
            <w:vMerge/>
            <w:vAlign w:val="center"/>
          </w:tcPr>
          <w:p w:rsidR="00013EC7" w:rsidRDefault="00013EC7">
            <w:pPr>
              <w:jc w:val="left"/>
              <w:rPr>
                <w:rFonts w:ascii="仿宋" w:eastAsia="仿宋" w:hAnsi="仿宋" w:cs="仿宋"/>
                <w:sz w:val="24"/>
              </w:rPr>
            </w:pPr>
          </w:p>
        </w:tc>
      </w:tr>
      <w:tr w:rsidR="00013EC7">
        <w:trPr>
          <w:trHeight w:val="3371"/>
          <w:jc w:val="center"/>
        </w:trPr>
        <w:tc>
          <w:tcPr>
            <w:tcW w:w="1243" w:type="dxa"/>
            <w:vMerge/>
            <w:vAlign w:val="center"/>
          </w:tcPr>
          <w:p w:rsidR="00013EC7" w:rsidRDefault="00013EC7">
            <w:pPr>
              <w:jc w:val="left"/>
              <w:rPr>
                <w:rFonts w:ascii="仿宋" w:eastAsia="仿宋" w:hAnsi="仿宋" w:cs="仿宋"/>
                <w:sz w:val="24"/>
              </w:rPr>
            </w:pPr>
          </w:p>
        </w:tc>
        <w:tc>
          <w:tcPr>
            <w:tcW w:w="1309" w:type="dxa"/>
            <w:vMerge/>
            <w:vAlign w:val="center"/>
          </w:tcPr>
          <w:p w:rsidR="00013EC7" w:rsidRDefault="00013EC7">
            <w:pPr>
              <w:jc w:val="left"/>
              <w:rPr>
                <w:rFonts w:ascii="仿宋" w:eastAsia="仿宋" w:hAnsi="仿宋" w:cs="仿宋"/>
                <w:sz w:val="24"/>
              </w:rPr>
            </w:pPr>
          </w:p>
        </w:tc>
        <w:tc>
          <w:tcPr>
            <w:tcW w:w="2102" w:type="dxa"/>
            <w:vMerge/>
            <w:vAlign w:val="center"/>
          </w:tcPr>
          <w:p w:rsidR="00013EC7" w:rsidRDefault="00013EC7">
            <w:pPr>
              <w:jc w:val="left"/>
              <w:rPr>
                <w:rFonts w:ascii="仿宋" w:eastAsia="仿宋" w:hAnsi="仿宋" w:cs="仿宋"/>
                <w:sz w:val="24"/>
              </w:rPr>
            </w:pPr>
          </w:p>
        </w:tc>
        <w:tc>
          <w:tcPr>
            <w:tcW w:w="2770" w:type="dxa"/>
            <w:vAlign w:val="center"/>
          </w:tcPr>
          <w:p w:rsidR="00013EC7" w:rsidRDefault="00575CDB">
            <w:pPr>
              <w:jc w:val="left"/>
              <w:rPr>
                <w:rFonts w:ascii="仿宋" w:eastAsia="仿宋" w:hAnsi="仿宋" w:cs="仿宋"/>
                <w:kern w:val="1"/>
                <w:sz w:val="24"/>
              </w:rPr>
            </w:pPr>
            <w:r>
              <w:rPr>
                <w:rFonts w:ascii="仿宋" w:eastAsia="仿宋" w:hAnsi="仿宋" w:cs="仿宋" w:hint="eastAsia"/>
                <w:kern w:val="0"/>
                <w:sz w:val="24"/>
              </w:rPr>
              <w:t>（十三）管道运输服务业务合同</w:t>
            </w:r>
            <w:r>
              <w:rPr>
                <w:rFonts w:ascii="仿宋" w:eastAsia="仿宋" w:hAnsi="仿宋" w:cs="仿宋" w:hint="eastAsia"/>
                <w:color w:val="000000"/>
                <w:kern w:val="0"/>
                <w:sz w:val="24"/>
                <w:shd w:val="clear" w:color="FFFFFF" w:fill="D9D9D9"/>
              </w:rPr>
              <w:t>原件及</w:t>
            </w:r>
            <w:r>
              <w:rPr>
                <w:rFonts w:ascii="仿宋" w:eastAsia="仿宋" w:hAnsi="仿宋" w:cs="仿宋" w:hint="eastAsia"/>
                <w:color w:val="000000"/>
                <w:kern w:val="0"/>
                <w:sz w:val="24"/>
              </w:rPr>
              <w:t>复印件（加盖公章）。</w:t>
            </w:r>
          </w:p>
        </w:tc>
        <w:tc>
          <w:tcPr>
            <w:tcW w:w="1112" w:type="dxa"/>
            <w:vAlign w:val="center"/>
          </w:tcPr>
          <w:p w:rsidR="00013EC7" w:rsidRDefault="00575CDB">
            <w:pPr>
              <w:jc w:val="left"/>
              <w:rPr>
                <w:rFonts w:ascii="仿宋" w:eastAsia="仿宋" w:hAnsi="仿宋" w:cs="仿宋"/>
                <w:sz w:val="24"/>
              </w:rPr>
            </w:pPr>
            <w:r>
              <w:rPr>
                <w:rFonts w:ascii="仿宋" w:eastAsia="仿宋" w:hAnsi="仿宋" w:cs="仿宋" w:hint="eastAsia"/>
                <w:color w:val="000000"/>
                <w:kern w:val="0"/>
                <w:sz w:val="24"/>
              </w:rPr>
              <w:t>提供管道运输服务纳税人提交</w:t>
            </w:r>
          </w:p>
        </w:tc>
        <w:tc>
          <w:tcPr>
            <w:tcW w:w="2390" w:type="dxa"/>
            <w:vAlign w:val="center"/>
          </w:tcPr>
          <w:p w:rsidR="00013EC7" w:rsidRDefault="00575CDB">
            <w:pPr>
              <w:jc w:val="left"/>
              <w:rPr>
                <w:rFonts w:ascii="仿宋" w:eastAsia="仿宋" w:hAnsi="仿宋" w:cs="仿宋"/>
                <w:kern w:val="1"/>
                <w:sz w:val="24"/>
              </w:rPr>
            </w:pPr>
            <w:r>
              <w:rPr>
                <w:rFonts w:ascii="仿宋" w:eastAsia="仿宋" w:hAnsi="仿宋" w:cs="仿宋" w:hint="eastAsia"/>
                <w:kern w:val="1"/>
                <w:sz w:val="24"/>
              </w:rPr>
              <w:t>（十三）管道运输服务业务合同复印件（注明与原件一致，并加盖公章）。</w:t>
            </w:r>
          </w:p>
          <w:p w:rsidR="00013EC7" w:rsidRDefault="00013EC7">
            <w:pPr>
              <w:jc w:val="left"/>
              <w:rPr>
                <w:rFonts w:ascii="仿宋" w:eastAsia="仿宋" w:hAnsi="仿宋" w:cs="仿宋"/>
                <w:kern w:val="1"/>
                <w:sz w:val="24"/>
              </w:rPr>
            </w:pPr>
          </w:p>
        </w:tc>
        <w:tc>
          <w:tcPr>
            <w:tcW w:w="1189"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color w:val="000000"/>
                <w:kern w:val="0"/>
                <w:sz w:val="24"/>
              </w:rPr>
              <w:t>提供管道运输服务纳税人提交</w:t>
            </w:r>
          </w:p>
        </w:tc>
        <w:tc>
          <w:tcPr>
            <w:tcW w:w="3300" w:type="dxa"/>
            <w:vMerge/>
            <w:vAlign w:val="center"/>
          </w:tcPr>
          <w:p w:rsidR="00013EC7" w:rsidRDefault="00013EC7">
            <w:pPr>
              <w:spacing w:line="300" w:lineRule="exact"/>
              <w:jc w:val="left"/>
              <w:rPr>
                <w:rFonts w:ascii="仿宋" w:eastAsia="仿宋" w:hAnsi="仿宋" w:cs="仿宋"/>
                <w:sz w:val="24"/>
              </w:rPr>
            </w:pPr>
          </w:p>
        </w:tc>
        <w:tc>
          <w:tcPr>
            <w:tcW w:w="863" w:type="dxa"/>
            <w:vMerge/>
            <w:vAlign w:val="center"/>
          </w:tcPr>
          <w:p w:rsidR="00013EC7" w:rsidRDefault="00013EC7">
            <w:pPr>
              <w:jc w:val="left"/>
              <w:rPr>
                <w:rFonts w:ascii="仿宋" w:eastAsia="仿宋" w:hAnsi="仿宋" w:cs="仿宋"/>
                <w:sz w:val="24"/>
              </w:rPr>
            </w:pPr>
          </w:p>
        </w:tc>
        <w:tc>
          <w:tcPr>
            <w:tcW w:w="873" w:type="dxa"/>
            <w:gridSpan w:val="2"/>
            <w:vMerge/>
            <w:vAlign w:val="center"/>
          </w:tcPr>
          <w:p w:rsidR="00013EC7" w:rsidRDefault="00013EC7">
            <w:pPr>
              <w:jc w:val="left"/>
              <w:rPr>
                <w:rFonts w:ascii="仿宋" w:eastAsia="仿宋" w:hAnsi="仿宋" w:cs="仿宋"/>
                <w:sz w:val="24"/>
              </w:rPr>
            </w:pPr>
          </w:p>
        </w:tc>
        <w:tc>
          <w:tcPr>
            <w:tcW w:w="874" w:type="dxa"/>
            <w:vMerge/>
            <w:vAlign w:val="center"/>
          </w:tcPr>
          <w:p w:rsidR="00013EC7" w:rsidRDefault="00013EC7">
            <w:pPr>
              <w:jc w:val="left"/>
              <w:rPr>
                <w:rFonts w:ascii="仿宋" w:eastAsia="仿宋" w:hAnsi="仿宋" w:cs="仿宋"/>
                <w:sz w:val="24"/>
              </w:rPr>
            </w:pPr>
          </w:p>
        </w:tc>
        <w:tc>
          <w:tcPr>
            <w:tcW w:w="1098" w:type="dxa"/>
            <w:vMerge/>
            <w:vAlign w:val="center"/>
          </w:tcPr>
          <w:p w:rsidR="00013EC7" w:rsidRDefault="00013EC7">
            <w:pPr>
              <w:jc w:val="left"/>
              <w:rPr>
                <w:rFonts w:ascii="仿宋" w:eastAsia="仿宋" w:hAnsi="仿宋" w:cs="仿宋"/>
                <w:sz w:val="24"/>
              </w:rPr>
            </w:pPr>
          </w:p>
        </w:tc>
        <w:tc>
          <w:tcPr>
            <w:tcW w:w="1468" w:type="dxa"/>
            <w:vMerge/>
            <w:vAlign w:val="center"/>
          </w:tcPr>
          <w:p w:rsidR="00013EC7" w:rsidRDefault="00013EC7">
            <w:pPr>
              <w:jc w:val="left"/>
              <w:rPr>
                <w:rFonts w:ascii="仿宋" w:eastAsia="仿宋" w:hAnsi="仿宋" w:cs="仿宋"/>
                <w:sz w:val="24"/>
              </w:rPr>
            </w:pPr>
          </w:p>
        </w:tc>
      </w:tr>
      <w:tr w:rsidR="00013EC7">
        <w:trPr>
          <w:trHeight w:val="2585"/>
          <w:jc w:val="center"/>
        </w:trPr>
        <w:tc>
          <w:tcPr>
            <w:tcW w:w="1243" w:type="dxa"/>
            <w:vMerge/>
            <w:vAlign w:val="center"/>
          </w:tcPr>
          <w:p w:rsidR="00013EC7" w:rsidRDefault="00013EC7">
            <w:pPr>
              <w:jc w:val="left"/>
              <w:rPr>
                <w:rFonts w:ascii="仿宋" w:eastAsia="仿宋" w:hAnsi="仿宋" w:cs="仿宋"/>
                <w:sz w:val="24"/>
              </w:rPr>
            </w:pPr>
          </w:p>
        </w:tc>
        <w:tc>
          <w:tcPr>
            <w:tcW w:w="1309" w:type="dxa"/>
            <w:vMerge/>
            <w:vAlign w:val="center"/>
          </w:tcPr>
          <w:p w:rsidR="00013EC7" w:rsidRDefault="00013EC7">
            <w:pPr>
              <w:jc w:val="left"/>
              <w:rPr>
                <w:rFonts w:ascii="仿宋" w:eastAsia="仿宋" w:hAnsi="仿宋" w:cs="仿宋"/>
                <w:sz w:val="24"/>
              </w:rPr>
            </w:pPr>
          </w:p>
        </w:tc>
        <w:tc>
          <w:tcPr>
            <w:tcW w:w="2102" w:type="dxa"/>
            <w:vMerge/>
            <w:vAlign w:val="center"/>
          </w:tcPr>
          <w:p w:rsidR="00013EC7" w:rsidRDefault="00013EC7">
            <w:pPr>
              <w:jc w:val="left"/>
              <w:rPr>
                <w:rFonts w:ascii="仿宋" w:eastAsia="仿宋" w:hAnsi="仿宋" w:cs="仿宋"/>
                <w:sz w:val="24"/>
              </w:rPr>
            </w:pPr>
          </w:p>
        </w:tc>
        <w:tc>
          <w:tcPr>
            <w:tcW w:w="2770" w:type="dxa"/>
            <w:vAlign w:val="center"/>
          </w:tcPr>
          <w:p w:rsidR="00013EC7" w:rsidRDefault="00575CDB">
            <w:pPr>
              <w:jc w:val="left"/>
              <w:rPr>
                <w:rFonts w:ascii="仿宋" w:eastAsia="仿宋" w:hAnsi="仿宋" w:cs="仿宋"/>
                <w:kern w:val="0"/>
                <w:sz w:val="24"/>
              </w:rPr>
            </w:pPr>
            <w:r>
              <w:rPr>
                <w:rFonts w:ascii="仿宋" w:eastAsia="仿宋" w:hAnsi="仿宋" w:cs="仿宋" w:hint="eastAsia"/>
                <w:color w:val="000000"/>
                <w:kern w:val="0"/>
                <w:sz w:val="24"/>
              </w:rPr>
              <w:t>（十四）中华人民共和国人民银行、银监会、商务部及授权部门批准经营融资租赁业务证明</w:t>
            </w:r>
            <w:r>
              <w:rPr>
                <w:rFonts w:ascii="仿宋" w:eastAsia="仿宋" w:hAnsi="仿宋" w:cs="仿宋" w:hint="eastAsia"/>
                <w:color w:val="000000"/>
                <w:kern w:val="0"/>
                <w:sz w:val="24"/>
                <w:shd w:val="clear" w:color="FFFFFF" w:fill="D9D9D9"/>
              </w:rPr>
              <w:t>原件及</w:t>
            </w:r>
            <w:r>
              <w:rPr>
                <w:rFonts w:ascii="仿宋" w:eastAsia="仿宋" w:hAnsi="仿宋" w:cs="仿宋" w:hint="eastAsia"/>
                <w:color w:val="000000"/>
                <w:kern w:val="0"/>
                <w:sz w:val="24"/>
              </w:rPr>
              <w:t>复印件。</w:t>
            </w:r>
          </w:p>
        </w:tc>
        <w:tc>
          <w:tcPr>
            <w:tcW w:w="1112" w:type="dxa"/>
            <w:vMerge w:val="restart"/>
            <w:vAlign w:val="center"/>
          </w:tcPr>
          <w:p w:rsidR="00013EC7" w:rsidRDefault="00575CDB">
            <w:pPr>
              <w:jc w:val="left"/>
              <w:rPr>
                <w:rFonts w:ascii="仿宋" w:eastAsia="仿宋" w:hAnsi="仿宋" w:cs="仿宋"/>
                <w:color w:val="000000"/>
                <w:kern w:val="0"/>
                <w:sz w:val="24"/>
              </w:rPr>
            </w:pPr>
            <w:r>
              <w:rPr>
                <w:rFonts w:ascii="仿宋" w:eastAsia="仿宋" w:hAnsi="仿宋" w:cs="仿宋" w:hint="eastAsia"/>
                <w:color w:val="000000"/>
                <w:kern w:val="0"/>
                <w:sz w:val="24"/>
              </w:rPr>
              <w:t>提供有形动产融资租赁服务纳税人提交</w:t>
            </w:r>
          </w:p>
        </w:tc>
        <w:tc>
          <w:tcPr>
            <w:tcW w:w="2390" w:type="dxa"/>
            <w:vAlign w:val="center"/>
          </w:tcPr>
          <w:p w:rsidR="00013EC7" w:rsidRDefault="00575CDB">
            <w:pPr>
              <w:jc w:val="left"/>
              <w:rPr>
                <w:rFonts w:ascii="仿宋" w:eastAsia="仿宋" w:hAnsi="仿宋" w:cs="仿宋"/>
                <w:kern w:val="1"/>
                <w:sz w:val="24"/>
              </w:rPr>
            </w:pPr>
            <w:r>
              <w:rPr>
                <w:rFonts w:ascii="仿宋" w:eastAsia="仿宋" w:hAnsi="仿宋" w:cs="仿宋" w:hint="eastAsia"/>
                <w:kern w:val="1"/>
                <w:sz w:val="24"/>
              </w:rPr>
              <w:t>（十四）中华人民共和国人民银行、银监会、商务部及授权部门批准经营融资租赁业务证明复印件（注明与原件一致，并加盖公章)。</w:t>
            </w:r>
          </w:p>
          <w:p w:rsidR="00013EC7" w:rsidRDefault="00013EC7">
            <w:pPr>
              <w:jc w:val="left"/>
              <w:rPr>
                <w:rFonts w:ascii="仿宋" w:eastAsia="仿宋" w:hAnsi="仿宋" w:cs="仿宋"/>
                <w:kern w:val="1"/>
                <w:sz w:val="24"/>
              </w:rPr>
            </w:pPr>
          </w:p>
        </w:tc>
        <w:tc>
          <w:tcPr>
            <w:tcW w:w="1189"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color w:val="000000"/>
                <w:kern w:val="0"/>
                <w:sz w:val="24"/>
              </w:rPr>
              <w:t>提供有形动产融资租赁服务纳税人提交</w:t>
            </w:r>
          </w:p>
        </w:tc>
        <w:tc>
          <w:tcPr>
            <w:tcW w:w="3300" w:type="dxa"/>
            <w:vMerge/>
            <w:vAlign w:val="center"/>
          </w:tcPr>
          <w:p w:rsidR="00013EC7" w:rsidRDefault="00013EC7">
            <w:pPr>
              <w:spacing w:line="300" w:lineRule="exact"/>
              <w:jc w:val="left"/>
              <w:rPr>
                <w:rFonts w:ascii="仿宋" w:eastAsia="仿宋" w:hAnsi="仿宋" w:cs="仿宋"/>
                <w:sz w:val="24"/>
              </w:rPr>
            </w:pPr>
          </w:p>
        </w:tc>
        <w:tc>
          <w:tcPr>
            <w:tcW w:w="863" w:type="dxa"/>
            <w:vMerge/>
            <w:vAlign w:val="center"/>
          </w:tcPr>
          <w:p w:rsidR="00013EC7" w:rsidRDefault="00013EC7">
            <w:pPr>
              <w:jc w:val="left"/>
              <w:rPr>
                <w:rFonts w:ascii="仿宋" w:eastAsia="仿宋" w:hAnsi="仿宋" w:cs="仿宋"/>
                <w:sz w:val="24"/>
              </w:rPr>
            </w:pPr>
          </w:p>
        </w:tc>
        <w:tc>
          <w:tcPr>
            <w:tcW w:w="873" w:type="dxa"/>
            <w:gridSpan w:val="2"/>
            <w:vMerge/>
            <w:vAlign w:val="center"/>
          </w:tcPr>
          <w:p w:rsidR="00013EC7" w:rsidRDefault="00013EC7">
            <w:pPr>
              <w:jc w:val="left"/>
              <w:rPr>
                <w:rFonts w:ascii="仿宋" w:eastAsia="仿宋" w:hAnsi="仿宋" w:cs="仿宋"/>
                <w:sz w:val="24"/>
              </w:rPr>
            </w:pPr>
          </w:p>
        </w:tc>
        <w:tc>
          <w:tcPr>
            <w:tcW w:w="874" w:type="dxa"/>
            <w:vMerge/>
            <w:vAlign w:val="center"/>
          </w:tcPr>
          <w:p w:rsidR="00013EC7" w:rsidRDefault="00013EC7">
            <w:pPr>
              <w:jc w:val="left"/>
              <w:rPr>
                <w:rFonts w:ascii="仿宋" w:eastAsia="仿宋" w:hAnsi="仿宋" w:cs="仿宋"/>
                <w:sz w:val="24"/>
              </w:rPr>
            </w:pPr>
          </w:p>
        </w:tc>
        <w:tc>
          <w:tcPr>
            <w:tcW w:w="1098" w:type="dxa"/>
            <w:vMerge/>
            <w:vAlign w:val="center"/>
          </w:tcPr>
          <w:p w:rsidR="00013EC7" w:rsidRDefault="00013EC7">
            <w:pPr>
              <w:jc w:val="left"/>
              <w:rPr>
                <w:rFonts w:ascii="仿宋" w:eastAsia="仿宋" w:hAnsi="仿宋" w:cs="仿宋"/>
                <w:sz w:val="24"/>
              </w:rPr>
            </w:pPr>
          </w:p>
        </w:tc>
        <w:tc>
          <w:tcPr>
            <w:tcW w:w="1468" w:type="dxa"/>
            <w:vMerge/>
            <w:vAlign w:val="center"/>
          </w:tcPr>
          <w:p w:rsidR="00013EC7" w:rsidRDefault="00013EC7">
            <w:pPr>
              <w:jc w:val="left"/>
              <w:rPr>
                <w:rFonts w:ascii="仿宋" w:eastAsia="仿宋" w:hAnsi="仿宋" w:cs="仿宋"/>
                <w:sz w:val="24"/>
              </w:rPr>
            </w:pPr>
          </w:p>
        </w:tc>
      </w:tr>
      <w:tr w:rsidR="00013EC7">
        <w:trPr>
          <w:trHeight w:val="4328"/>
          <w:jc w:val="center"/>
        </w:trPr>
        <w:tc>
          <w:tcPr>
            <w:tcW w:w="1243" w:type="dxa"/>
            <w:vMerge/>
            <w:vAlign w:val="center"/>
          </w:tcPr>
          <w:p w:rsidR="00013EC7" w:rsidRDefault="00013EC7">
            <w:pPr>
              <w:jc w:val="left"/>
              <w:rPr>
                <w:rFonts w:ascii="仿宋" w:eastAsia="仿宋" w:hAnsi="仿宋" w:cs="仿宋"/>
                <w:sz w:val="24"/>
              </w:rPr>
            </w:pPr>
          </w:p>
        </w:tc>
        <w:tc>
          <w:tcPr>
            <w:tcW w:w="1309" w:type="dxa"/>
            <w:vMerge/>
            <w:vAlign w:val="center"/>
          </w:tcPr>
          <w:p w:rsidR="00013EC7" w:rsidRDefault="00013EC7">
            <w:pPr>
              <w:jc w:val="left"/>
              <w:rPr>
                <w:rFonts w:ascii="仿宋" w:eastAsia="仿宋" w:hAnsi="仿宋" w:cs="仿宋"/>
                <w:sz w:val="24"/>
              </w:rPr>
            </w:pPr>
          </w:p>
        </w:tc>
        <w:tc>
          <w:tcPr>
            <w:tcW w:w="2102" w:type="dxa"/>
            <w:vMerge/>
            <w:vAlign w:val="center"/>
          </w:tcPr>
          <w:p w:rsidR="00013EC7" w:rsidRDefault="00013EC7">
            <w:pPr>
              <w:jc w:val="left"/>
              <w:rPr>
                <w:rFonts w:ascii="仿宋" w:eastAsia="仿宋" w:hAnsi="仿宋" w:cs="仿宋"/>
                <w:sz w:val="24"/>
              </w:rPr>
            </w:pPr>
          </w:p>
        </w:tc>
        <w:tc>
          <w:tcPr>
            <w:tcW w:w="2770" w:type="dxa"/>
            <w:vAlign w:val="center"/>
          </w:tcPr>
          <w:p w:rsidR="00013EC7" w:rsidRDefault="00575CDB">
            <w:pPr>
              <w:numPr>
                <w:ilvl w:val="0"/>
                <w:numId w:val="2"/>
              </w:numPr>
              <w:jc w:val="left"/>
              <w:rPr>
                <w:rFonts w:ascii="仿宋" w:eastAsia="仿宋" w:hAnsi="仿宋" w:cs="仿宋"/>
                <w:color w:val="000000"/>
                <w:kern w:val="0"/>
                <w:sz w:val="24"/>
              </w:rPr>
            </w:pPr>
            <w:r>
              <w:rPr>
                <w:rFonts w:ascii="仿宋" w:eastAsia="仿宋" w:hAnsi="仿宋" w:cs="仿宋" w:hint="eastAsia"/>
                <w:color w:val="000000"/>
                <w:kern w:val="0"/>
                <w:sz w:val="24"/>
              </w:rPr>
              <w:t>有形动产融资租赁服务业务合同</w:t>
            </w:r>
            <w:r>
              <w:rPr>
                <w:rFonts w:ascii="仿宋" w:eastAsia="仿宋" w:hAnsi="仿宋" w:cs="仿宋" w:hint="eastAsia"/>
                <w:color w:val="000000"/>
                <w:kern w:val="0"/>
                <w:sz w:val="24"/>
                <w:shd w:val="clear" w:color="FFFFFF" w:fill="D9D9D9"/>
              </w:rPr>
              <w:t>原件及</w:t>
            </w:r>
            <w:r>
              <w:rPr>
                <w:rFonts w:ascii="仿宋" w:eastAsia="仿宋" w:hAnsi="仿宋" w:cs="仿宋" w:hint="eastAsia"/>
                <w:color w:val="000000"/>
                <w:kern w:val="0"/>
                <w:sz w:val="24"/>
              </w:rPr>
              <w:t>复印件。</w:t>
            </w:r>
          </w:p>
          <w:p w:rsidR="00013EC7" w:rsidRDefault="00013EC7">
            <w:pPr>
              <w:jc w:val="left"/>
              <w:rPr>
                <w:rFonts w:ascii="仿宋" w:eastAsia="仿宋" w:hAnsi="仿宋" w:cs="仿宋"/>
                <w:color w:val="000000"/>
                <w:kern w:val="0"/>
                <w:sz w:val="24"/>
              </w:rPr>
            </w:pPr>
          </w:p>
        </w:tc>
        <w:tc>
          <w:tcPr>
            <w:tcW w:w="1112" w:type="dxa"/>
            <w:vMerge/>
            <w:vAlign w:val="center"/>
          </w:tcPr>
          <w:p w:rsidR="00013EC7" w:rsidRDefault="00013EC7">
            <w:pPr>
              <w:jc w:val="left"/>
              <w:rPr>
                <w:rFonts w:ascii="仿宋" w:eastAsia="仿宋" w:hAnsi="仿宋" w:cs="仿宋"/>
                <w:color w:val="000000"/>
                <w:kern w:val="0"/>
                <w:sz w:val="24"/>
              </w:rPr>
            </w:pPr>
          </w:p>
        </w:tc>
        <w:tc>
          <w:tcPr>
            <w:tcW w:w="2390" w:type="dxa"/>
            <w:vAlign w:val="center"/>
          </w:tcPr>
          <w:p w:rsidR="00013EC7" w:rsidRDefault="00575CDB">
            <w:pPr>
              <w:jc w:val="left"/>
              <w:rPr>
                <w:rFonts w:ascii="仿宋" w:eastAsia="仿宋" w:hAnsi="仿宋" w:cs="仿宋"/>
                <w:kern w:val="1"/>
                <w:sz w:val="24"/>
              </w:rPr>
            </w:pPr>
            <w:r>
              <w:rPr>
                <w:rFonts w:ascii="仿宋" w:eastAsia="仿宋" w:hAnsi="仿宋" w:cs="仿宋" w:hint="eastAsia"/>
                <w:kern w:val="1"/>
                <w:sz w:val="24"/>
              </w:rPr>
              <w:t>（十五）有形动产融资租赁服务业务合同复印件（注明与原件一致，并加盖公章)。</w:t>
            </w:r>
          </w:p>
          <w:p w:rsidR="00013EC7" w:rsidRDefault="00013EC7">
            <w:pPr>
              <w:jc w:val="left"/>
              <w:rPr>
                <w:rFonts w:ascii="仿宋" w:eastAsia="仿宋" w:hAnsi="仿宋" w:cs="仿宋"/>
                <w:kern w:val="1"/>
                <w:sz w:val="24"/>
              </w:rPr>
            </w:pPr>
          </w:p>
        </w:tc>
        <w:tc>
          <w:tcPr>
            <w:tcW w:w="1189" w:type="dxa"/>
            <w:vMerge/>
            <w:vAlign w:val="center"/>
          </w:tcPr>
          <w:p w:rsidR="00013EC7" w:rsidRDefault="00013EC7">
            <w:pPr>
              <w:spacing w:line="300" w:lineRule="exact"/>
              <w:jc w:val="left"/>
              <w:rPr>
                <w:rFonts w:ascii="仿宋" w:eastAsia="仿宋" w:hAnsi="仿宋" w:cs="仿宋"/>
                <w:sz w:val="24"/>
              </w:rPr>
            </w:pPr>
          </w:p>
        </w:tc>
        <w:tc>
          <w:tcPr>
            <w:tcW w:w="3300" w:type="dxa"/>
            <w:vMerge/>
            <w:vAlign w:val="center"/>
          </w:tcPr>
          <w:p w:rsidR="00013EC7" w:rsidRDefault="00013EC7">
            <w:pPr>
              <w:spacing w:line="300" w:lineRule="exact"/>
              <w:jc w:val="left"/>
              <w:rPr>
                <w:rFonts w:ascii="仿宋" w:eastAsia="仿宋" w:hAnsi="仿宋" w:cs="仿宋"/>
                <w:sz w:val="24"/>
              </w:rPr>
            </w:pPr>
          </w:p>
        </w:tc>
        <w:tc>
          <w:tcPr>
            <w:tcW w:w="863" w:type="dxa"/>
            <w:vMerge/>
            <w:vAlign w:val="center"/>
          </w:tcPr>
          <w:p w:rsidR="00013EC7" w:rsidRDefault="00013EC7">
            <w:pPr>
              <w:jc w:val="left"/>
              <w:rPr>
                <w:rFonts w:ascii="仿宋" w:eastAsia="仿宋" w:hAnsi="仿宋" w:cs="仿宋"/>
                <w:sz w:val="24"/>
              </w:rPr>
            </w:pPr>
          </w:p>
        </w:tc>
        <w:tc>
          <w:tcPr>
            <w:tcW w:w="873" w:type="dxa"/>
            <w:gridSpan w:val="2"/>
            <w:vMerge/>
            <w:vAlign w:val="center"/>
          </w:tcPr>
          <w:p w:rsidR="00013EC7" w:rsidRDefault="00013EC7">
            <w:pPr>
              <w:jc w:val="left"/>
              <w:rPr>
                <w:rFonts w:ascii="仿宋" w:eastAsia="仿宋" w:hAnsi="仿宋" w:cs="仿宋"/>
                <w:sz w:val="24"/>
              </w:rPr>
            </w:pPr>
          </w:p>
        </w:tc>
        <w:tc>
          <w:tcPr>
            <w:tcW w:w="874" w:type="dxa"/>
            <w:vMerge/>
            <w:vAlign w:val="center"/>
          </w:tcPr>
          <w:p w:rsidR="00013EC7" w:rsidRDefault="00013EC7">
            <w:pPr>
              <w:jc w:val="left"/>
              <w:rPr>
                <w:rFonts w:ascii="仿宋" w:eastAsia="仿宋" w:hAnsi="仿宋" w:cs="仿宋"/>
                <w:sz w:val="24"/>
              </w:rPr>
            </w:pPr>
          </w:p>
        </w:tc>
        <w:tc>
          <w:tcPr>
            <w:tcW w:w="1098" w:type="dxa"/>
            <w:vMerge/>
            <w:vAlign w:val="center"/>
          </w:tcPr>
          <w:p w:rsidR="00013EC7" w:rsidRDefault="00013EC7">
            <w:pPr>
              <w:jc w:val="left"/>
              <w:rPr>
                <w:rFonts w:ascii="仿宋" w:eastAsia="仿宋" w:hAnsi="仿宋" w:cs="仿宋"/>
                <w:sz w:val="24"/>
              </w:rPr>
            </w:pPr>
          </w:p>
        </w:tc>
        <w:tc>
          <w:tcPr>
            <w:tcW w:w="1468" w:type="dxa"/>
            <w:vMerge/>
            <w:vAlign w:val="center"/>
          </w:tcPr>
          <w:p w:rsidR="00013EC7" w:rsidRDefault="00013EC7">
            <w:pPr>
              <w:jc w:val="left"/>
              <w:rPr>
                <w:rFonts w:ascii="仿宋" w:eastAsia="仿宋" w:hAnsi="仿宋" w:cs="仿宋"/>
                <w:sz w:val="24"/>
              </w:rPr>
            </w:pPr>
          </w:p>
        </w:tc>
      </w:tr>
      <w:tr w:rsidR="00013EC7">
        <w:trPr>
          <w:trHeight w:val="1870"/>
          <w:jc w:val="center"/>
        </w:trPr>
        <w:tc>
          <w:tcPr>
            <w:tcW w:w="1243" w:type="dxa"/>
            <w:vMerge/>
            <w:vAlign w:val="center"/>
          </w:tcPr>
          <w:p w:rsidR="00013EC7" w:rsidRDefault="00013EC7">
            <w:pPr>
              <w:jc w:val="left"/>
              <w:rPr>
                <w:rFonts w:ascii="仿宋" w:eastAsia="仿宋" w:hAnsi="仿宋" w:cs="仿宋"/>
                <w:sz w:val="24"/>
              </w:rPr>
            </w:pPr>
          </w:p>
        </w:tc>
        <w:tc>
          <w:tcPr>
            <w:tcW w:w="1309" w:type="dxa"/>
            <w:vMerge/>
            <w:vAlign w:val="center"/>
          </w:tcPr>
          <w:p w:rsidR="00013EC7" w:rsidRDefault="00013EC7">
            <w:pPr>
              <w:jc w:val="left"/>
              <w:rPr>
                <w:rFonts w:ascii="仿宋" w:eastAsia="仿宋" w:hAnsi="仿宋" w:cs="仿宋"/>
                <w:sz w:val="24"/>
              </w:rPr>
            </w:pPr>
          </w:p>
        </w:tc>
        <w:tc>
          <w:tcPr>
            <w:tcW w:w="2102" w:type="dxa"/>
            <w:vMerge/>
            <w:vAlign w:val="center"/>
          </w:tcPr>
          <w:p w:rsidR="00013EC7" w:rsidRDefault="00013EC7">
            <w:pPr>
              <w:jc w:val="left"/>
              <w:rPr>
                <w:rFonts w:ascii="仿宋" w:eastAsia="仿宋" w:hAnsi="仿宋" w:cs="仿宋"/>
                <w:sz w:val="24"/>
              </w:rPr>
            </w:pPr>
          </w:p>
        </w:tc>
        <w:tc>
          <w:tcPr>
            <w:tcW w:w="2770" w:type="dxa"/>
            <w:vAlign w:val="center"/>
          </w:tcPr>
          <w:p w:rsidR="00013EC7" w:rsidRDefault="00575CDB">
            <w:pPr>
              <w:jc w:val="left"/>
              <w:rPr>
                <w:rFonts w:ascii="仿宋" w:eastAsia="仿宋" w:hAnsi="仿宋" w:cs="仿宋"/>
                <w:kern w:val="0"/>
                <w:sz w:val="24"/>
              </w:rPr>
            </w:pPr>
            <w:r>
              <w:rPr>
                <w:rFonts w:ascii="仿宋" w:eastAsia="仿宋" w:hAnsi="仿宋" w:cs="仿宋" w:hint="eastAsia"/>
                <w:color w:val="000000"/>
                <w:kern w:val="0"/>
                <w:sz w:val="24"/>
              </w:rPr>
              <w:t>（十六）国内生产企业自产自销铂金的证明材料（国内自产自销铂金企业提供）。</w:t>
            </w:r>
          </w:p>
        </w:tc>
        <w:tc>
          <w:tcPr>
            <w:tcW w:w="1112" w:type="dxa"/>
            <w:vMerge w:val="restart"/>
            <w:vAlign w:val="center"/>
          </w:tcPr>
          <w:p w:rsidR="00013EC7" w:rsidRDefault="00575CDB">
            <w:pPr>
              <w:jc w:val="left"/>
              <w:rPr>
                <w:rFonts w:ascii="仿宋" w:eastAsia="仿宋" w:hAnsi="仿宋" w:cs="仿宋"/>
                <w:color w:val="000000"/>
                <w:kern w:val="0"/>
                <w:sz w:val="24"/>
              </w:rPr>
            </w:pPr>
            <w:r>
              <w:rPr>
                <w:rFonts w:ascii="仿宋" w:eastAsia="仿宋" w:hAnsi="仿宋" w:cs="仿宋" w:hint="eastAsia"/>
                <w:color w:val="000000"/>
                <w:kern w:val="0"/>
                <w:sz w:val="24"/>
              </w:rPr>
              <w:t>国内自产自销铂金企业</w:t>
            </w:r>
            <w:r>
              <w:rPr>
                <w:rFonts w:ascii="仿宋" w:eastAsia="仿宋" w:hAnsi="仿宋" w:cs="仿宋" w:hint="eastAsia"/>
                <w:sz w:val="24"/>
              </w:rPr>
              <w:t>提交</w:t>
            </w:r>
          </w:p>
        </w:tc>
        <w:tc>
          <w:tcPr>
            <w:tcW w:w="2390" w:type="dxa"/>
            <w:vAlign w:val="center"/>
          </w:tcPr>
          <w:p w:rsidR="00013EC7" w:rsidRDefault="00575CDB">
            <w:pPr>
              <w:jc w:val="left"/>
              <w:rPr>
                <w:rFonts w:ascii="仿宋" w:eastAsia="仿宋" w:hAnsi="仿宋" w:cs="仿宋"/>
                <w:kern w:val="1"/>
                <w:sz w:val="24"/>
              </w:rPr>
            </w:pPr>
            <w:r>
              <w:rPr>
                <w:rFonts w:ascii="仿宋" w:eastAsia="仿宋" w:hAnsi="仿宋" w:cs="仿宋" w:hint="eastAsia"/>
                <w:kern w:val="1"/>
                <w:sz w:val="24"/>
              </w:rPr>
              <w:t>（十六）国内生产企业自产自销铂金的证明材料（国内自产自销铂金企业提供）。</w:t>
            </w:r>
          </w:p>
          <w:p w:rsidR="00013EC7" w:rsidRDefault="00013EC7">
            <w:pPr>
              <w:jc w:val="left"/>
              <w:rPr>
                <w:rFonts w:ascii="仿宋" w:eastAsia="仿宋" w:hAnsi="仿宋" w:cs="仿宋"/>
                <w:kern w:val="1"/>
                <w:sz w:val="24"/>
              </w:rPr>
            </w:pPr>
          </w:p>
        </w:tc>
        <w:tc>
          <w:tcPr>
            <w:tcW w:w="1189"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color w:val="000000"/>
                <w:kern w:val="0"/>
                <w:sz w:val="24"/>
              </w:rPr>
              <w:t>国内自产自销铂金企业</w:t>
            </w:r>
            <w:r>
              <w:rPr>
                <w:rFonts w:ascii="仿宋" w:eastAsia="仿宋" w:hAnsi="仿宋" w:cs="仿宋" w:hint="eastAsia"/>
                <w:sz w:val="24"/>
              </w:rPr>
              <w:t>提交</w:t>
            </w:r>
          </w:p>
        </w:tc>
        <w:tc>
          <w:tcPr>
            <w:tcW w:w="3300" w:type="dxa"/>
            <w:vMerge/>
            <w:vAlign w:val="center"/>
          </w:tcPr>
          <w:p w:rsidR="00013EC7" w:rsidRDefault="00013EC7">
            <w:pPr>
              <w:spacing w:line="300" w:lineRule="exact"/>
              <w:jc w:val="left"/>
              <w:rPr>
                <w:rFonts w:ascii="仿宋" w:eastAsia="仿宋" w:hAnsi="仿宋" w:cs="仿宋"/>
                <w:sz w:val="24"/>
              </w:rPr>
            </w:pPr>
          </w:p>
        </w:tc>
        <w:tc>
          <w:tcPr>
            <w:tcW w:w="863" w:type="dxa"/>
            <w:vMerge/>
            <w:vAlign w:val="center"/>
          </w:tcPr>
          <w:p w:rsidR="00013EC7" w:rsidRDefault="00013EC7">
            <w:pPr>
              <w:jc w:val="left"/>
              <w:rPr>
                <w:rFonts w:ascii="仿宋" w:eastAsia="仿宋" w:hAnsi="仿宋" w:cs="仿宋"/>
                <w:sz w:val="24"/>
              </w:rPr>
            </w:pPr>
          </w:p>
        </w:tc>
        <w:tc>
          <w:tcPr>
            <w:tcW w:w="873" w:type="dxa"/>
            <w:gridSpan w:val="2"/>
            <w:vMerge/>
            <w:vAlign w:val="center"/>
          </w:tcPr>
          <w:p w:rsidR="00013EC7" w:rsidRDefault="00013EC7">
            <w:pPr>
              <w:jc w:val="left"/>
              <w:rPr>
                <w:rFonts w:ascii="仿宋" w:eastAsia="仿宋" w:hAnsi="仿宋" w:cs="仿宋"/>
                <w:sz w:val="24"/>
              </w:rPr>
            </w:pPr>
          </w:p>
        </w:tc>
        <w:tc>
          <w:tcPr>
            <w:tcW w:w="874" w:type="dxa"/>
            <w:vMerge/>
            <w:vAlign w:val="center"/>
          </w:tcPr>
          <w:p w:rsidR="00013EC7" w:rsidRDefault="00013EC7">
            <w:pPr>
              <w:jc w:val="left"/>
              <w:rPr>
                <w:rFonts w:ascii="仿宋" w:eastAsia="仿宋" w:hAnsi="仿宋" w:cs="仿宋"/>
                <w:sz w:val="24"/>
              </w:rPr>
            </w:pPr>
          </w:p>
        </w:tc>
        <w:tc>
          <w:tcPr>
            <w:tcW w:w="1098" w:type="dxa"/>
            <w:vMerge/>
            <w:vAlign w:val="center"/>
          </w:tcPr>
          <w:p w:rsidR="00013EC7" w:rsidRDefault="00013EC7">
            <w:pPr>
              <w:jc w:val="left"/>
              <w:rPr>
                <w:rFonts w:ascii="仿宋" w:eastAsia="仿宋" w:hAnsi="仿宋" w:cs="仿宋"/>
                <w:sz w:val="24"/>
              </w:rPr>
            </w:pPr>
          </w:p>
        </w:tc>
        <w:tc>
          <w:tcPr>
            <w:tcW w:w="1468" w:type="dxa"/>
            <w:vMerge/>
            <w:vAlign w:val="center"/>
          </w:tcPr>
          <w:p w:rsidR="00013EC7" w:rsidRDefault="00013EC7">
            <w:pPr>
              <w:jc w:val="left"/>
              <w:rPr>
                <w:rFonts w:ascii="仿宋" w:eastAsia="仿宋" w:hAnsi="仿宋" w:cs="仿宋"/>
                <w:sz w:val="24"/>
              </w:rPr>
            </w:pPr>
          </w:p>
        </w:tc>
      </w:tr>
      <w:tr w:rsidR="00013EC7">
        <w:trPr>
          <w:trHeight w:val="1626"/>
          <w:jc w:val="center"/>
        </w:trPr>
        <w:tc>
          <w:tcPr>
            <w:tcW w:w="1243" w:type="dxa"/>
            <w:vMerge/>
            <w:vAlign w:val="center"/>
          </w:tcPr>
          <w:p w:rsidR="00013EC7" w:rsidRDefault="00013EC7">
            <w:pPr>
              <w:jc w:val="left"/>
              <w:rPr>
                <w:rFonts w:ascii="仿宋" w:eastAsia="仿宋" w:hAnsi="仿宋" w:cs="仿宋"/>
                <w:sz w:val="24"/>
              </w:rPr>
            </w:pPr>
          </w:p>
        </w:tc>
        <w:tc>
          <w:tcPr>
            <w:tcW w:w="1309" w:type="dxa"/>
            <w:vMerge/>
            <w:vAlign w:val="center"/>
          </w:tcPr>
          <w:p w:rsidR="00013EC7" w:rsidRDefault="00013EC7">
            <w:pPr>
              <w:jc w:val="left"/>
              <w:rPr>
                <w:rFonts w:ascii="仿宋" w:eastAsia="仿宋" w:hAnsi="仿宋" w:cs="仿宋"/>
                <w:sz w:val="24"/>
              </w:rPr>
            </w:pPr>
          </w:p>
        </w:tc>
        <w:tc>
          <w:tcPr>
            <w:tcW w:w="2102" w:type="dxa"/>
            <w:vMerge/>
            <w:vAlign w:val="center"/>
          </w:tcPr>
          <w:p w:rsidR="00013EC7" w:rsidRDefault="00013EC7">
            <w:pPr>
              <w:jc w:val="left"/>
              <w:rPr>
                <w:rFonts w:ascii="仿宋" w:eastAsia="仿宋" w:hAnsi="仿宋" w:cs="仿宋"/>
                <w:sz w:val="24"/>
              </w:rPr>
            </w:pPr>
          </w:p>
        </w:tc>
        <w:tc>
          <w:tcPr>
            <w:tcW w:w="2770" w:type="dxa"/>
            <w:vAlign w:val="center"/>
          </w:tcPr>
          <w:p w:rsidR="00013EC7" w:rsidRDefault="00575CDB">
            <w:pPr>
              <w:jc w:val="left"/>
              <w:rPr>
                <w:rFonts w:ascii="仿宋" w:eastAsia="仿宋" w:hAnsi="仿宋" w:cs="仿宋"/>
                <w:kern w:val="0"/>
                <w:sz w:val="24"/>
              </w:rPr>
            </w:pPr>
            <w:r>
              <w:rPr>
                <w:rFonts w:ascii="仿宋" w:eastAsia="仿宋" w:hAnsi="仿宋" w:cs="仿宋" w:hint="eastAsia"/>
                <w:color w:val="000000"/>
                <w:kern w:val="0"/>
                <w:sz w:val="24"/>
              </w:rPr>
              <w:t>（十七）上海黄金交易所开具的《上海黄金交易所发票》结算联。</w:t>
            </w:r>
          </w:p>
        </w:tc>
        <w:tc>
          <w:tcPr>
            <w:tcW w:w="1112" w:type="dxa"/>
            <w:vMerge/>
            <w:vAlign w:val="center"/>
          </w:tcPr>
          <w:p w:rsidR="00013EC7" w:rsidRDefault="00013EC7">
            <w:pPr>
              <w:jc w:val="left"/>
              <w:rPr>
                <w:rFonts w:ascii="仿宋" w:eastAsia="仿宋" w:hAnsi="仿宋" w:cs="仿宋"/>
                <w:color w:val="000000"/>
                <w:kern w:val="0"/>
                <w:sz w:val="24"/>
              </w:rPr>
            </w:pPr>
          </w:p>
        </w:tc>
        <w:tc>
          <w:tcPr>
            <w:tcW w:w="2390" w:type="dxa"/>
            <w:vAlign w:val="center"/>
          </w:tcPr>
          <w:p w:rsidR="00013EC7" w:rsidRDefault="00575CDB">
            <w:pPr>
              <w:jc w:val="left"/>
              <w:rPr>
                <w:rFonts w:ascii="仿宋" w:eastAsia="仿宋" w:hAnsi="仿宋" w:cs="仿宋"/>
                <w:kern w:val="1"/>
                <w:sz w:val="24"/>
              </w:rPr>
            </w:pPr>
            <w:r>
              <w:rPr>
                <w:rFonts w:ascii="仿宋" w:eastAsia="仿宋" w:hAnsi="仿宋" w:cs="仿宋" w:hint="eastAsia"/>
                <w:kern w:val="1"/>
                <w:sz w:val="24"/>
              </w:rPr>
              <w:t>（十七）上海黄金交易所开具的《上海黄金交易所发票》结算联（中博世金科贸有限责任公司通过上海黄金交易所销售进口铂金时提供）。</w:t>
            </w:r>
          </w:p>
        </w:tc>
        <w:tc>
          <w:tcPr>
            <w:tcW w:w="1189"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color w:val="000000"/>
                <w:kern w:val="0"/>
                <w:sz w:val="24"/>
              </w:rPr>
              <w:t>中博世金科贸有限责任公司通过上海黄金交易所销售进口铂金时</w:t>
            </w:r>
            <w:r>
              <w:rPr>
                <w:rFonts w:ascii="仿宋" w:eastAsia="仿宋" w:hAnsi="仿宋" w:cs="仿宋" w:hint="eastAsia"/>
                <w:sz w:val="24"/>
              </w:rPr>
              <w:t>提交</w:t>
            </w:r>
          </w:p>
        </w:tc>
        <w:tc>
          <w:tcPr>
            <w:tcW w:w="3300" w:type="dxa"/>
            <w:vMerge/>
            <w:vAlign w:val="center"/>
          </w:tcPr>
          <w:p w:rsidR="00013EC7" w:rsidRDefault="00013EC7">
            <w:pPr>
              <w:spacing w:line="300" w:lineRule="exact"/>
              <w:jc w:val="left"/>
              <w:rPr>
                <w:rFonts w:ascii="仿宋" w:eastAsia="仿宋" w:hAnsi="仿宋" w:cs="仿宋"/>
                <w:sz w:val="24"/>
              </w:rPr>
            </w:pPr>
          </w:p>
        </w:tc>
        <w:tc>
          <w:tcPr>
            <w:tcW w:w="863" w:type="dxa"/>
            <w:vMerge/>
            <w:vAlign w:val="center"/>
          </w:tcPr>
          <w:p w:rsidR="00013EC7" w:rsidRDefault="00013EC7">
            <w:pPr>
              <w:jc w:val="left"/>
              <w:rPr>
                <w:rFonts w:ascii="仿宋" w:eastAsia="仿宋" w:hAnsi="仿宋" w:cs="仿宋"/>
                <w:sz w:val="24"/>
              </w:rPr>
            </w:pPr>
          </w:p>
        </w:tc>
        <w:tc>
          <w:tcPr>
            <w:tcW w:w="873" w:type="dxa"/>
            <w:gridSpan w:val="2"/>
            <w:vMerge/>
            <w:vAlign w:val="center"/>
          </w:tcPr>
          <w:p w:rsidR="00013EC7" w:rsidRDefault="00013EC7">
            <w:pPr>
              <w:jc w:val="left"/>
              <w:rPr>
                <w:rFonts w:ascii="仿宋" w:eastAsia="仿宋" w:hAnsi="仿宋" w:cs="仿宋"/>
                <w:sz w:val="24"/>
              </w:rPr>
            </w:pPr>
          </w:p>
        </w:tc>
        <w:tc>
          <w:tcPr>
            <w:tcW w:w="874" w:type="dxa"/>
            <w:vMerge/>
            <w:vAlign w:val="center"/>
          </w:tcPr>
          <w:p w:rsidR="00013EC7" w:rsidRDefault="00013EC7">
            <w:pPr>
              <w:jc w:val="left"/>
              <w:rPr>
                <w:rFonts w:ascii="仿宋" w:eastAsia="仿宋" w:hAnsi="仿宋" w:cs="仿宋"/>
                <w:sz w:val="24"/>
              </w:rPr>
            </w:pPr>
          </w:p>
        </w:tc>
        <w:tc>
          <w:tcPr>
            <w:tcW w:w="1098" w:type="dxa"/>
            <w:vMerge/>
            <w:vAlign w:val="center"/>
          </w:tcPr>
          <w:p w:rsidR="00013EC7" w:rsidRDefault="00013EC7">
            <w:pPr>
              <w:jc w:val="left"/>
              <w:rPr>
                <w:rFonts w:ascii="仿宋" w:eastAsia="仿宋" w:hAnsi="仿宋" w:cs="仿宋"/>
                <w:sz w:val="24"/>
              </w:rPr>
            </w:pPr>
          </w:p>
        </w:tc>
        <w:tc>
          <w:tcPr>
            <w:tcW w:w="1468" w:type="dxa"/>
            <w:vMerge/>
            <w:vAlign w:val="center"/>
          </w:tcPr>
          <w:p w:rsidR="00013EC7" w:rsidRDefault="00013EC7">
            <w:pPr>
              <w:jc w:val="left"/>
              <w:rPr>
                <w:rFonts w:ascii="仿宋" w:eastAsia="仿宋" w:hAnsi="仿宋" w:cs="仿宋"/>
                <w:sz w:val="24"/>
              </w:rPr>
            </w:pPr>
          </w:p>
        </w:tc>
      </w:tr>
      <w:tr w:rsidR="00013EC7">
        <w:trPr>
          <w:trHeight w:val="3178"/>
          <w:jc w:val="center"/>
        </w:trPr>
        <w:tc>
          <w:tcPr>
            <w:tcW w:w="1243" w:type="dxa"/>
            <w:vMerge/>
            <w:vAlign w:val="center"/>
          </w:tcPr>
          <w:p w:rsidR="00013EC7" w:rsidRDefault="00013EC7">
            <w:pPr>
              <w:jc w:val="left"/>
              <w:rPr>
                <w:rFonts w:ascii="仿宋" w:eastAsia="仿宋" w:hAnsi="仿宋" w:cs="仿宋"/>
                <w:sz w:val="24"/>
              </w:rPr>
            </w:pPr>
          </w:p>
        </w:tc>
        <w:tc>
          <w:tcPr>
            <w:tcW w:w="1309" w:type="dxa"/>
            <w:vMerge/>
            <w:vAlign w:val="center"/>
          </w:tcPr>
          <w:p w:rsidR="00013EC7" w:rsidRDefault="00013EC7">
            <w:pPr>
              <w:jc w:val="left"/>
              <w:rPr>
                <w:rFonts w:ascii="仿宋" w:eastAsia="仿宋" w:hAnsi="仿宋" w:cs="仿宋"/>
                <w:sz w:val="24"/>
              </w:rPr>
            </w:pPr>
          </w:p>
        </w:tc>
        <w:tc>
          <w:tcPr>
            <w:tcW w:w="2102" w:type="dxa"/>
            <w:vMerge/>
            <w:vAlign w:val="center"/>
          </w:tcPr>
          <w:p w:rsidR="00013EC7" w:rsidRDefault="00013EC7">
            <w:pPr>
              <w:jc w:val="left"/>
              <w:rPr>
                <w:rFonts w:ascii="仿宋" w:eastAsia="仿宋" w:hAnsi="仿宋" w:cs="仿宋"/>
                <w:sz w:val="24"/>
              </w:rPr>
            </w:pPr>
          </w:p>
        </w:tc>
        <w:tc>
          <w:tcPr>
            <w:tcW w:w="2770" w:type="dxa"/>
            <w:vAlign w:val="center"/>
          </w:tcPr>
          <w:p w:rsidR="00013EC7" w:rsidRDefault="00575CDB">
            <w:pPr>
              <w:jc w:val="left"/>
              <w:rPr>
                <w:rFonts w:ascii="仿宋" w:eastAsia="仿宋" w:hAnsi="仿宋" w:cs="仿宋"/>
                <w:kern w:val="0"/>
                <w:sz w:val="24"/>
              </w:rPr>
            </w:pPr>
            <w:r>
              <w:rPr>
                <w:rFonts w:ascii="仿宋" w:eastAsia="仿宋" w:hAnsi="仿宋" w:cs="仿宋" w:hint="eastAsia"/>
                <w:color w:val="000000"/>
                <w:kern w:val="0"/>
                <w:sz w:val="24"/>
              </w:rPr>
              <w:t>（十八）国家发展和改革委员会《产业结构调整指导目录》中的非禁止类、非限制类项目的证明材料。</w:t>
            </w:r>
          </w:p>
        </w:tc>
        <w:tc>
          <w:tcPr>
            <w:tcW w:w="1112" w:type="dxa"/>
            <w:vMerge w:val="restart"/>
            <w:vAlign w:val="center"/>
          </w:tcPr>
          <w:p w:rsidR="00013EC7" w:rsidRDefault="00575CDB">
            <w:pPr>
              <w:jc w:val="left"/>
              <w:rPr>
                <w:rFonts w:ascii="仿宋" w:eastAsia="仿宋" w:hAnsi="仿宋" w:cs="仿宋"/>
                <w:color w:val="000000"/>
                <w:kern w:val="0"/>
                <w:sz w:val="24"/>
              </w:rPr>
            </w:pPr>
            <w:r>
              <w:rPr>
                <w:rFonts w:ascii="仿宋" w:eastAsia="仿宋" w:hAnsi="仿宋" w:cs="仿宋" w:hint="eastAsia"/>
                <w:color w:val="000000"/>
                <w:kern w:val="0"/>
                <w:sz w:val="24"/>
              </w:rPr>
              <w:t>销售自产新型墙体材料纳税人提交</w:t>
            </w:r>
          </w:p>
        </w:tc>
        <w:tc>
          <w:tcPr>
            <w:tcW w:w="2390" w:type="dxa"/>
            <w:vAlign w:val="center"/>
          </w:tcPr>
          <w:p w:rsidR="00013EC7" w:rsidRDefault="00575CDB">
            <w:pPr>
              <w:jc w:val="left"/>
              <w:rPr>
                <w:rFonts w:ascii="仿宋" w:eastAsia="仿宋" w:hAnsi="仿宋" w:cs="仿宋"/>
                <w:kern w:val="1"/>
                <w:sz w:val="24"/>
              </w:rPr>
            </w:pPr>
            <w:r>
              <w:rPr>
                <w:rFonts w:ascii="仿宋" w:eastAsia="仿宋" w:hAnsi="仿宋" w:cs="仿宋" w:hint="eastAsia"/>
                <w:kern w:val="1"/>
                <w:sz w:val="24"/>
              </w:rPr>
              <w:t>（十八）国家发展和改革委员会《产业结构调整指导目录》中的非禁止类、非限制类项目的证明材料。</w:t>
            </w:r>
          </w:p>
          <w:p w:rsidR="00013EC7" w:rsidRDefault="00013EC7">
            <w:pPr>
              <w:jc w:val="left"/>
              <w:rPr>
                <w:rFonts w:ascii="仿宋" w:eastAsia="仿宋" w:hAnsi="仿宋" w:cs="仿宋"/>
                <w:kern w:val="1"/>
                <w:sz w:val="24"/>
              </w:rPr>
            </w:pPr>
          </w:p>
        </w:tc>
        <w:tc>
          <w:tcPr>
            <w:tcW w:w="1189" w:type="dxa"/>
            <w:vMerge w:val="restart"/>
            <w:vAlign w:val="center"/>
          </w:tcPr>
          <w:p w:rsidR="00013EC7" w:rsidRDefault="00575CDB">
            <w:pPr>
              <w:spacing w:line="300" w:lineRule="exact"/>
              <w:jc w:val="left"/>
              <w:rPr>
                <w:rFonts w:ascii="仿宋" w:eastAsia="仿宋" w:hAnsi="仿宋" w:cs="仿宋"/>
                <w:color w:val="000000"/>
                <w:kern w:val="0"/>
                <w:sz w:val="24"/>
              </w:rPr>
            </w:pPr>
            <w:r>
              <w:rPr>
                <w:rFonts w:ascii="仿宋" w:eastAsia="仿宋" w:hAnsi="仿宋" w:cs="仿宋" w:hint="eastAsia"/>
                <w:color w:val="000000"/>
                <w:kern w:val="0"/>
                <w:sz w:val="24"/>
              </w:rPr>
              <w:t>销售自产新型墙体材料纳税人提交</w:t>
            </w:r>
          </w:p>
        </w:tc>
        <w:tc>
          <w:tcPr>
            <w:tcW w:w="3300" w:type="dxa"/>
            <w:vMerge/>
            <w:vAlign w:val="center"/>
          </w:tcPr>
          <w:p w:rsidR="00013EC7" w:rsidRDefault="00013EC7">
            <w:pPr>
              <w:spacing w:line="300" w:lineRule="exact"/>
              <w:jc w:val="left"/>
              <w:rPr>
                <w:rFonts w:ascii="仿宋" w:eastAsia="仿宋" w:hAnsi="仿宋" w:cs="仿宋"/>
                <w:sz w:val="24"/>
              </w:rPr>
            </w:pPr>
          </w:p>
        </w:tc>
        <w:tc>
          <w:tcPr>
            <w:tcW w:w="863" w:type="dxa"/>
            <w:vMerge/>
            <w:vAlign w:val="center"/>
          </w:tcPr>
          <w:p w:rsidR="00013EC7" w:rsidRDefault="00013EC7">
            <w:pPr>
              <w:jc w:val="left"/>
              <w:rPr>
                <w:rFonts w:ascii="仿宋" w:eastAsia="仿宋" w:hAnsi="仿宋" w:cs="仿宋"/>
                <w:sz w:val="24"/>
              </w:rPr>
            </w:pPr>
          </w:p>
        </w:tc>
        <w:tc>
          <w:tcPr>
            <w:tcW w:w="794" w:type="dxa"/>
            <w:vMerge w:val="restart"/>
            <w:vAlign w:val="center"/>
          </w:tcPr>
          <w:p w:rsidR="00013EC7" w:rsidRDefault="00013EC7">
            <w:pPr>
              <w:jc w:val="left"/>
              <w:rPr>
                <w:rFonts w:ascii="仿宋" w:eastAsia="仿宋" w:hAnsi="仿宋" w:cs="仿宋"/>
                <w:sz w:val="24"/>
              </w:rPr>
            </w:pPr>
          </w:p>
        </w:tc>
        <w:tc>
          <w:tcPr>
            <w:tcW w:w="953" w:type="dxa"/>
            <w:gridSpan w:val="2"/>
            <w:vMerge w:val="restart"/>
            <w:vAlign w:val="center"/>
          </w:tcPr>
          <w:p w:rsidR="00013EC7" w:rsidRDefault="00013EC7">
            <w:pPr>
              <w:jc w:val="left"/>
              <w:rPr>
                <w:rFonts w:ascii="仿宋" w:eastAsia="仿宋" w:hAnsi="仿宋" w:cs="仿宋"/>
                <w:sz w:val="24"/>
              </w:rPr>
            </w:pPr>
          </w:p>
        </w:tc>
        <w:tc>
          <w:tcPr>
            <w:tcW w:w="1098" w:type="dxa"/>
            <w:vMerge/>
            <w:vAlign w:val="center"/>
          </w:tcPr>
          <w:p w:rsidR="00013EC7" w:rsidRDefault="00013EC7">
            <w:pPr>
              <w:jc w:val="left"/>
              <w:rPr>
                <w:rFonts w:ascii="仿宋" w:eastAsia="仿宋" w:hAnsi="仿宋" w:cs="仿宋"/>
                <w:sz w:val="24"/>
              </w:rPr>
            </w:pPr>
          </w:p>
        </w:tc>
        <w:tc>
          <w:tcPr>
            <w:tcW w:w="1468" w:type="dxa"/>
            <w:vMerge/>
            <w:vAlign w:val="center"/>
          </w:tcPr>
          <w:p w:rsidR="00013EC7" w:rsidRDefault="00013EC7">
            <w:pPr>
              <w:jc w:val="left"/>
              <w:rPr>
                <w:rFonts w:ascii="仿宋" w:eastAsia="仿宋" w:hAnsi="仿宋" w:cs="仿宋"/>
                <w:sz w:val="24"/>
              </w:rPr>
            </w:pPr>
          </w:p>
        </w:tc>
      </w:tr>
      <w:tr w:rsidR="00013EC7">
        <w:trPr>
          <w:trHeight w:val="4123"/>
          <w:jc w:val="center"/>
        </w:trPr>
        <w:tc>
          <w:tcPr>
            <w:tcW w:w="1243" w:type="dxa"/>
            <w:vMerge/>
            <w:vAlign w:val="center"/>
          </w:tcPr>
          <w:p w:rsidR="00013EC7" w:rsidRDefault="00013EC7">
            <w:pPr>
              <w:jc w:val="left"/>
              <w:rPr>
                <w:rFonts w:ascii="仿宋" w:eastAsia="仿宋" w:hAnsi="仿宋" w:cs="仿宋"/>
                <w:sz w:val="24"/>
              </w:rPr>
            </w:pPr>
          </w:p>
        </w:tc>
        <w:tc>
          <w:tcPr>
            <w:tcW w:w="1309" w:type="dxa"/>
            <w:vMerge/>
            <w:vAlign w:val="center"/>
          </w:tcPr>
          <w:p w:rsidR="00013EC7" w:rsidRDefault="00013EC7">
            <w:pPr>
              <w:jc w:val="left"/>
              <w:rPr>
                <w:rFonts w:ascii="仿宋" w:eastAsia="仿宋" w:hAnsi="仿宋" w:cs="仿宋"/>
                <w:sz w:val="24"/>
              </w:rPr>
            </w:pPr>
          </w:p>
        </w:tc>
        <w:tc>
          <w:tcPr>
            <w:tcW w:w="2102" w:type="dxa"/>
            <w:vMerge/>
            <w:vAlign w:val="center"/>
          </w:tcPr>
          <w:p w:rsidR="00013EC7" w:rsidRDefault="00013EC7">
            <w:pPr>
              <w:jc w:val="left"/>
              <w:rPr>
                <w:rFonts w:ascii="仿宋" w:eastAsia="仿宋" w:hAnsi="仿宋" w:cs="仿宋"/>
                <w:sz w:val="24"/>
              </w:rPr>
            </w:pPr>
          </w:p>
        </w:tc>
        <w:tc>
          <w:tcPr>
            <w:tcW w:w="2770" w:type="dxa"/>
            <w:vAlign w:val="center"/>
          </w:tcPr>
          <w:p w:rsidR="00013EC7" w:rsidRDefault="00575CDB">
            <w:pPr>
              <w:jc w:val="left"/>
              <w:rPr>
                <w:rFonts w:ascii="仿宋" w:eastAsia="仿宋" w:hAnsi="仿宋" w:cs="仿宋"/>
                <w:kern w:val="0"/>
                <w:sz w:val="24"/>
              </w:rPr>
            </w:pPr>
            <w:r>
              <w:rPr>
                <w:rFonts w:ascii="仿宋" w:eastAsia="仿宋" w:hAnsi="仿宋" w:cs="仿宋" w:hint="eastAsia"/>
                <w:color w:val="000000"/>
                <w:kern w:val="0"/>
                <w:sz w:val="24"/>
              </w:rPr>
              <w:t>（十九）环境保护部《环境保护综合名录》中的非“高污染、高环境风险”产品或者非重污染工艺的证明材料。</w:t>
            </w:r>
          </w:p>
        </w:tc>
        <w:tc>
          <w:tcPr>
            <w:tcW w:w="1112" w:type="dxa"/>
            <w:vMerge/>
            <w:vAlign w:val="center"/>
          </w:tcPr>
          <w:p w:rsidR="00013EC7" w:rsidRDefault="00013EC7">
            <w:pPr>
              <w:jc w:val="left"/>
              <w:rPr>
                <w:rFonts w:ascii="仿宋" w:eastAsia="仿宋" w:hAnsi="仿宋" w:cs="仿宋"/>
                <w:color w:val="000000"/>
                <w:kern w:val="0"/>
                <w:sz w:val="24"/>
              </w:rPr>
            </w:pPr>
          </w:p>
        </w:tc>
        <w:tc>
          <w:tcPr>
            <w:tcW w:w="2390" w:type="dxa"/>
            <w:vAlign w:val="center"/>
          </w:tcPr>
          <w:p w:rsidR="00013EC7" w:rsidRDefault="00575CDB">
            <w:pPr>
              <w:numPr>
                <w:ilvl w:val="0"/>
                <w:numId w:val="3"/>
              </w:numPr>
              <w:jc w:val="left"/>
              <w:rPr>
                <w:rFonts w:ascii="仿宋" w:eastAsia="仿宋" w:hAnsi="仿宋" w:cs="仿宋"/>
                <w:kern w:val="1"/>
                <w:sz w:val="24"/>
              </w:rPr>
            </w:pPr>
            <w:r>
              <w:rPr>
                <w:rFonts w:ascii="仿宋" w:eastAsia="仿宋" w:hAnsi="仿宋" w:cs="仿宋" w:hint="eastAsia"/>
                <w:kern w:val="1"/>
                <w:sz w:val="24"/>
              </w:rPr>
              <w:t>环境保护部《环境保护综合名录》中的非“高污染、高环境风险”产品或者非重污染工艺的证明材料。</w:t>
            </w:r>
          </w:p>
        </w:tc>
        <w:tc>
          <w:tcPr>
            <w:tcW w:w="1189" w:type="dxa"/>
            <w:vMerge/>
            <w:vAlign w:val="center"/>
          </w:tcPr>
          <w:p w:rsidR="00013EC7" w:rsidRDefault="00013EC7">
            <w:pPr>
              <w:spacing w:line="300" w:lineRule="exact"/>
              <w:jc w:val="left"/>
              <w:rPr>
                <w:rFonts w:ascii="仿宋" w:eastAsia="仿宋" w:hAnsi="仿宋" w:cs="仿宋"/>
                <w:sz w:val="24"/>
              </w:rPr>
            </w:pPr>
          </w:p>
        </w:tc>
        <w:tc>
          <w:tcPr>
            <w:tcW w:w="3300" w:type="dxa"/>
            <w:vMerge/>
            <w:vAlign w:val="center"/>
          </w:tcPr>
          <w:p w:rsidR="00013EC7" w:rsidRDefault="00013EC7">
            <w:pPr>
              <w:spacing w:line="300" w:lineRule="exact"/>
              <w:jc w:val="left"/>
              <w:rPr>
                <w:rFonts w:ascii="仿宋" w:eastAsia="仿宋" w:hAnsi="仿宋" w:cs="仿宋"/>
                <w:sz w:val="24"/>
              </w:rPr>
            </w:pPr>
          </w:p>
        </w:tc>
        <w:tc>
          <w:tcPr>
            <w:tcW w:w="863" w:type="dxa"/>
            <w:vMerge/>
            <w:vAlign w:val="center"/>
          </w:tcPr>
          <w:p w:rsidR="00013EC7" w:rsidRDefault="00013EC7">
            <w:pPr>
              <w:jc w:val="left"/>
              <w:rPr>
                <w:rFonts w:ascii="仿宋" w:eastAsia="仿宋" w:hAnsi="仿宋" w:cs="仿宋"/>
                <w:sz w:val="24"/>
              </w:rPr>
            </w:pPr>
          </w:p>
        </w:tc>
        <w:tc>
          <w:tcPr>
            <w:tcW w:w="794" w:type="dxa"/>
            <w:vMerge/>
            <w:vAlign w:val="center"/>
          </w:tcPr>
          <w:p w:rsidR="00013EC7" w:rsidRDefault="00013EC7">
            <w:pPr>
              <w:jc w:val="left"/>
              <w:rPr>
                <w:rFonts w:ascii="仿宋" w:eastAsia="仿宋" w:hAnsi="仿宋" w:cs="仿宋"/>
                <w:sz w:val="24"/>
              </w:rPr>
            </w:pPr>
          </w:p>
        </w:tc>
        <w:tc>
          <w:tcPr>
            <w:tcW w:w="953" w:type="dxa"/>
            <w:gridSpan w:val="2"/>
            <w:vMerge/>
            <w:vAlign w:val="center"/>
          </w:tcPr>
          <w:p w:rsidR="00013EC7" w:rsidRDefault="00013EC7">
            <w:pPr>
              <w:jc w:val="left"/>
              <w:rPr>
                <w:rFonts w:ascii="仿宋" w:eastAsia="仿宋" w:hAnsi="仿宋" w:cs="仿宋"/>
                <w:sz w:val="24"/>
              </w:rPr>
            </w:pPr>
          </w:p>
        </w:tc>
        <w:tc>
          <w:tcPr>
            <w:tcW w:w="1098" w:type="dxa"/>
            <w:vMerge/>
            <w:vAlign w:val="center"/>
          </w:tcPr>
          <w:p w:rsidR="00013EC7" w:rsidRDefault="00013EC7">
            <w:pPr>
              <w:jc w:val="left"/>
              <w:rPr>
                <w:rFonts w:ascii="仿宋" w:eastAsia="仿宋" w:hAnsi="仿宋" w:cs="仿宋"/>
                <w:sz w:val="24"/>
              </w:rPr>
            </w:pPr>
          </w:p>
        </w:tc>
        <w:tc>
          <w:tcPr>
            <w:tcW w:w="1468" w:type="dxa"/>
            <w:vMerge/>
            <w:vAlign w:val="center"/>
          </w:tcPr>
          <w:p w:rsidR="00013EC7" w:rsidRDefault="00013EC7">
            <w:pPr>
              <w:jc w:val="left"/>
              <w:rPr>
                <w:rFonts w:ascii="仿宋" w:eastAsia="仿宋" w:hAnsi="仿宋" w:cs="仿宋"/>
                <w:sz w:val="24"/>
              </w:rPr>
            </w:pPr>
          </w:p>
        </w:tc>
      </w:tr>
    </w:tbl>
    <w:p w:rsidR="00013EC7" w:rsidRDefault="005262E6">
      <w:pPr>
        <w:jc w:val="left"/>
      </w:pPr>
      <w:r>
        <w:rPr>
          <w:rFonts w:ascii="宋体"/>
          <w:kern w:val="1"/>
          <w:sz w:val="28"/>
          <w:szCs w:val="28"/>
        </w:rPr>
        <w:lastRenderedPageBreak/>
        <w:object w:dxaOrig="1440" w:dyaOrig="1440">
          <v:shape id="_x0000_s1401" type="#_x0000_t75" style="position:absolute;margin-left:34.65pt;margin-top:102.9pt;width:414.6pt;height:539.4pt;z-index:251728896;mso-wrap-distance-top:0;mso-wrap-distance-bottom:0;mso-position-horizontal-relative:text;mso-position-vertical-relative:page;mso-width-relative:page;mso-height-relative:page">
            <v:imagedata r:id="rId421" o:title=""/>
            <o:lock v:ext="edit" aspectratio="f"/>
            <w10:wrap type="topAndBottom" anchory="page"/>
          </v:shape>
          <o:OLEObject Type="Embed" ProgID="Visio.Drawing.11" ShapeID="_x0000_s1401" DrawAspect="Content" ObjectID="_1577296291" r:id="rId422"/>
        </w:object>
      </w:r>
      <w:r>
        <w:rPr>
          <w:rFonts w:ascii="宋体" w:hAnsi="宋体" w:cs="宋体"/>
          <w:kern w:val="1"/>
        </w:rPr>
        <w:object w:dxaOrig="1440" w:dyaOrig="1440">
          <v:shape id="_x0000_s1400" type="#_x0000_t75" style="position:absolute;margin-left:589.65pt;margin-top:86.2pt;width:409.8pt;height:518.4pt;z-index:251727872;mso-wrap-distance-top:0;mso-wrap-distance-bottom:0;mso-position-horizontal-relative:text;mso-position-vertical-relative:page;mso-width-relative:page;mso-height-relative:page">
            <v:imagedata r:id="rId423" o:title=""/>
            <o:lock v:ext="edit" aspectratio="f"/>
            <w10:wrap type="topAndBottom" anchory="page"/>
          </v:shape>
          <o:OLEObject Type="Embed" ProgID="Visio.Drawing.11" ShapeID="_x0000_s1400" DrawAspect="Content" ObjectID="_1577296292" r:id="rId424"/>
        </w:object>
      </w:r>
    </w:p>
    <w:p w:rsidR="00013EC7" w:rsidRDefault="00013EC7">
      <w:pPr>
        <w:jc w:val="left"/>
      </w:pPr>
    </w:p>
    <w:p w:rsidR="00013EC7" w:rsidRDefault="00013EC7">
      <w:pPr>
        <w:jc w:val="left"/>
      </w:pPr>
    </w:p>
    <w:p w:rsidR="00013EC7" w:rsidRDefault="00013EC7">
      <w:pPr>
        <w:jc w:val="left"/>
      </w:pPr>
    </w:p>
    <w:p w:rsidR="00013EC7" w:rsidRDefault="00013EC7">
      <w:pPr>
        <w:jc w:val="left"/>
      </w:pPr>
    </w:p>
    <w:bookmarkEnd w:id="486"/>
    <w:p w:rsidR="00013EC7" w:rsidRDefault="00013EC7">
      <w:pPr>
        <w:pStyle w:val="1"/>
        <w:rPr>
          <w:rFonts w:ascii="宋体" w:hAnsi="宋体" w:cs="宋体"/>
        </w:rPr>
        <w:sectPr w:rsidR="00013EC7">
          <w:pgSz w:w="23814" w:h="16840" w:orient="landscape"/>
          <w:pgMar w:top="1701" w:right="1843" w:bottom="1985" w:left="1843" w:header="851" w:footer="1701" w:gutter="0"/>
          <w:pgNumType w:fmt="numberInDash"/>
          <w:cols w:space="720"/>
          <w:docGrid w:type="lines" w:linePitch="312"/>
        </w:sectPr>
      </w:pPr>
    </w:p>
    <w:p w:rsidR="00013EC7" w:rsidRDefault="00575CDB">
      <w:pPr>
        <w:pStyle w:val="2"/>
      </w:pPr>
      <w:bookmarkStart w:id="489" w:name="_Toc18393"/>
      <w:bookmarkStart w:id="490" w:name="_Toc7018"/>
      <w:bookmarkStart w:id="491" w:name="_Toc11368"/>
      <w:bookmarkStart w:id="492" w:name="_Toc503467466"/>
      <w:r>
        <w:rPr>
          <w:rFonts w:hint="eastAsia"/>
        </w:rPr>
        <w:lastRenderedPageBreak/>
        <w:t>24.3</w:t>
      </w:r>
      <w:r>
        <w:rPr>
          <w:rFonts w:hint="eastAsia"/>
        </w:rPr>
        <w:t>消费税优惠备案</w:t>
      </w:r>
      <w:bookmarkEnd w:id="489"/>
      <w:bookmarkEnd w:id="490"/>
      <w:bookmarkEnd w:id="491"/>
      <w:bookmarkEnd w:id="492"/>
    </w:p>
    <w:p w:rsidR="00013EC7" w:rsidRDefault="00575CDB">
      <w:pPr>
        <w:jc w:val="center"/>
        <w:rPr>
          <w:rFonts w:ascii="宋体" w:hAnsi="宋体"/>
          <w:b/>
        </w:rPr>
      </w:pPr>
      <w:r>
        <w:rPr>
          <w:rFonts w:ascii="宋体" w:hAnsi="宋体"/>
          <w:b/>
          <w:sz w:val="52"/>
          <w:szCs w:val="52"/>
        </w:rPr>
        <w:t>全省“最多跑一次”事项“</w:t>
      </w:r>
      <w:r>
        <w:rPr>
          <w:rFonts w:ascii="宋体" w:hAnsi="宋体" w:hint="eastAsia"/>
          <w:b/>
          <w:sz w:val="52"/>
          <w:szCs w:val="52"/>
        </w:rPr>
        <w:t>八统一</w:t>
      </w:r>
      <w:r>
        <w:rPr>
          <w:rFonts w:ascii="宋体" w:hAnsi="宋体"/>
          <w:b/>
          <w:sz w:val="52"/>
          <w:szCs w:val="52"/>
        </w:rPr>
        <w:t>”</w:t>
      </w:r>
      <w:r>
        <w:rPr>
          <w:rFonts w:ascii="宋体" w:hAnsi="宋体" w:hint="eastAsia"/>
          <w:b/>
          <w:sz w:val="52"/>
          <w:szCs w:val="52"/>
        </w:rPr>
        <w:t>梳理</w:t>
      </w:r>
      <w:r>
        <w:rPr>
          <w:rFonts w:ascii="宋体" w:hAnsi="宋体"/>
          <w:b/>
          <w:sz w:val="52"/>
          <w:szCs w:val="52"/>
        </w:rPr>
        <w:t>表</w:t>
      </w:r>
    </w:p>
    <w:tbl>
      <w:tblPr>
        <w:tblW w:w="201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left w:w="15" w:type="dxa"/>
          <w:bottom w:w="15" w:type="dxa"/>
          <w:right w:w="15" w:type="dxa"/>
        </w:tblCellMar>
        <w:tblLook w:val="04A0" w:firstRow="1" w:lastRow="0" w:firstColumn="1" w:lastColumn="0" w:noHBand="0" w:noVBand="1"/>
      </w:tblPr>
      <w:tblGrid>
        <w:gridCol w:w="736"/>
        <w:gridCol w:w="735"/>
        <w:gridCol w:w="3207"/>
        <w:gridCol w:w="3577"/>
        <w:gridCol w:w="1232"/>
        <w:gridCol w:w="3577"/>
        <w:gridCol w:w="1283"/>
        <w:gridCol w:w="2613"/>
        <w:gridCol w:w="750"/>
        <w:gridCol w:w="532"/>
        <w:gridCol w:w="462"/>
        <w:gridCol w:w="693"/>
        <w:gridCol w:w="761"/>
      </w:tblGrid>
      <w:tr w:rsidR="00013EC7">
        <w:trPr>
          <w:trHeight w:val="780"/>
          <w:tblHeader/>
        </w:trPr>
        <w:tc>
          <w:tcPr>
            <w:tcW w:w="736" w:type="dxa"/>
            <w:vMerge w:val="restart"/>
            <w:shd w:val="clear" w:color="auto" w:fill="auto"/>
            <w:vAlign w:val="center"/>
          </w:tcPr>
          <w:p w:rsidR="00013EC7" w:rsidRDefault="00575CDB">
            <w:pPr>
              <w:widowControl/>
              <w:jc w:val="center"/>
              <w:textAlignment w:val="center"/>
              <w:rPr>
                <w:rFonts w:ascii="黑体" w:eastAsia="黑体" w:hAnsi="黑体" w:cs="黑体"/>
                <w:color w:val="000000"/>
                <w:sz w:val="24"/>
              </w:rPr>
            </w:pPr>
            <w:r>
              <w:rPr>
                <w:rFonts w:ascii="黑体" w:eastAsia="黑体" w:hAnsi="黑体" w:cs="黑体" w:hint="eastAsia"/>
                <w:color w:val="000000"/>
                <w:kern w:val="0"/>
                <w:sz w:val="24"/>
              </w:rPr>
              <w:t>主项名称</w:t>
            </w:r>
          </w:p>
        </w:tc>
        <w:tc>
          <w:tcPr>
            <w:tcW w:w="735" w:type="dxa"/>
            <w:vMerge w:val="restart"/>
            <w:shd w:val="clear" w:color="auto" w:fill="auto"/>
            <w:vAlign w:val="center"/>
          </w:tcPr>
          <w:p w:rsidR="00013EC7" w:rsidRDefault="00575CDB">
            <w:pPr>
              <w:widowControl/>
              <w:jc w:val="center"/>
              <w:textAlignment w:val="center"/>
              <w:rPr>
                <w:rFonts w:ascii="黑体" w:eastAsia="黑体" w:hAnsi="黑体" w:cs="黑体"/>
                <w:color w:val="000000"/>
                <w:sz w:val="24"/>
              </w:rPr>
            </w:pPr>
            <w:r>
              <w:rPr>
                <w:rFonts w:ascii="黑体" w:eastAsia="黑体" w:hAnsi="黑体" w:cs="黑体" w:hint="eastAsia"/>
                <w:color w:val="000000"/>
                <w:kern w:val="0"/>
                <w:sz w:val="24"/>
              </w:rPr>
              <w:t>子项名称</w:t>
            </w:r>
          </w:p>
        </w:tc>
        <w:tc>
          <w:tcPr>
            <w:tcW w:w="3207" w:type="dxa"/>
            <w:vMerge w:val="restart"/>
            <w:shd w:val="clear" w:color="auto" w:fill="auto"/>
            <w:vAlign w:val="center"/>
          </w:tcPr>
          <w:p w:rsidR="00013EC7" w:rsidRDefault="00575CDB">
            <w:pPr>
              <w:widowControl/>
              <w:jc w:val="center"/>
              <w:textAlignment w:val="center"/>
              <w:rPr>
                <w:rFonts w:ascii="黑体" w:eastAsia="黑体" w:hAnsi="黑体" w:cs="黑体"/>
                <w:color w:val="000000"/>
                <w:sz w:val="24"/>
              </w:rPr>
            </w:pPr>
            <w:r>
              <w:rPr>
                <w:rFonts w:ascii="黑体" w:eastAsia="黑体" w:hAnsi="黑体" w:cs="黑体" w:hint="eastAsia"/>
                <w:color w:val="000000"/>
                <w:kern w:val="0"/>
                <w:sz w:val="24"/>
              </w:rPr>
              <w:t>经办依据</w:t>
            </w:r>
          </w:p>
        </w:tc>
        <w:tc>
          <w:tcPr>
            <w:tcW w:w="4809" w:type="dxa"/>
            <w:gridSpan w:val="2"/>
            <w:shd w:val="clear" w:color="auto" w:fill="auto"/>
            <w:vAlign w:val="center"/>
          </w:tcPr>
          <w:p w:rsidR="00013EC7" w:rsidRDefault="00575CDB">
            <w:pPr>
              <w:widowControl/>
              <w:jc w:val="center"/>
              <w:textAlignment w:val="center"/>
              <w:rPr>
                <w:rFonts w:ascii="黑体" w:eastAsia="黑体" w:hAnsi="黑体" w:cs="黑体"/>
                <w:color w:val="000000"/>
                <w:sz w:val="24"/>
              </w:rPr>
            </w:pPr>
            <w:r>
              <w:rPr>
                <w:rFonts w:ascii="黑体" w:eastAsia="黑体" w:hAnsi="黑体" w:cs="黑体" w:hint="eastAsia"/>
                <w:color w:val="000000"/>
                <w:kern w:val="0"/>
                <w:sz w:val="24"/>
              </w:rPr>
              <w:t>原经办所需材料</w:t>
            </w:r>
          </w:p>
        </w:tc>
        <w:tc>
          <w:tcPr>
            <w:tcW w:w="7473" w:type="dxa"/>
            <w:gridSpan w:val="3"/>
            <w:shd w:val="clear" w:color="auto" w:fill="FFFFFF"/>
            <w:vAlign w:val="center"/>
          </w:tcPr>
          <w:p w:rsidR="00013EC7" w:rsidRDefault="00575CDB">
            <w:pPr>
              <w:widowControl/>
              <w:jc w:val="center"/>
              <w:textAlignment w:val="center"/>
              <w:rPr>
                <w:rFonts w:ascii="黑体" w:eastAsia="黑体" w:hAnsi="黑体" w:cs="黑体"/>
                <w:color w:val="000000"/>
                <w:sz w:val="24"/>
              </w:rPr>
            </w:pPr>
            <w:r>
              <w:rPr>
                <w:rFonts w:ascii="黑体" w:eastAsia="黑体" w:hAnsi="黑体" w:cs="黑体" w:hint="eastAsia"/>
                <w:color w:val="000000"/>
                <w:kern w:val="0"/>
                <w:sz w:val="24"/>
              </w:rPr>
              <w:t>精简后经办所需材料</w:t>
            </w:r>
          </w:p>
        </w:tc>
        <w:tc>
          <w:tcPr>
            <w:tcW w:w="1282" w:type="dxa"/>
            <w:gridSpan w:val="2"/>
            <w:vMerge w:val="restart"/>
            <w:vAlign w:val="center"/>
          </w:tcPr>
          <w:p w:rsidR="00013EC7" w:rsidRDefault="00575CDB">
            <w:pPr>
              <w:widowControl/>
              <w:jc w:val="center"/>
              <w:textAlignment w:val="center"/>
              <w:rPr>
                <w:rFonts w:ascii="黑体" w:eastAsia="黑体" w:hAnsi="黑体" w:cs="黑体"/>
                <w:color w:val="000000"/>
                <w:sz w:val="24"/>
              </w:rPr>
            </w:pPr>
            <w:r>
              <w:rPr>
                <w:rFonts w:ascii="黑体" w:eastAsia="黑体" w:hAnsi="黑体" w:cs="黑体" w:hint="eastAsia"/>
                <w:color w:val="000000"/>
                <w:kern w:val="0"/>
                <w:sz w:val="24"/>
              </w:rPr>
              <w:t>办理时限</w:t>
            </w:r>
          </w:p>
        </w:tc>
        <w:tc>
          <w:tcPr>
            <w:tcW w:w="462" w:type="dxa"/>
            <w:vMerge w:val="restart"/>
            <w:vAlign w:val="center"/>
          </w:tcPr>
          <w:p w:rsidR="00013EC7" w:rsidRDefault="00575CDB">
            <w:pPr>
              <w:widowControl/>
              <w:jc w:val="center"/>
              <w:textAlignment w:val="center"/>
              <w:rPr>
                <w:rFonts w:ascii="黑体" w:eastAsia="黑体" w:hAnsi="黑体" w:cs="黑体"/>
                <w:color w:val="000000"/>
                <w:sz w:val="24"/>
              </w:rPr>
            </w:pPr>
            <w:r>
              <w:rPr>
                <w:rFonts w:ascii="黑体" w:eastAsia="黑体" w:hAnsi="黑体" w:cs="黑体" w:hint="eastAsia"/>
                <w:color w:val="000000"/>
                <w:kern w:val="0"/>
                <w:sz w:val="24"/>
              </w:rPr>
              <w:t>是否实现跑零次</w:t>
            </w:r>
          </w:p>
        </w:tc>
        <w:tc>
          <w:tcPr>
            <w:tcW w:w="693" w:type="dxa"/>
            <w:vMerge w:val="restart"/>
            <w:vAlign w:val="center"/>
          </w:tcPr>
          <w:p w:rsidR="00013EC7" w:rsidRDefault="00575CDB">
            <w:pPr>
              <w:widowControl/>
              <w:jc w:val="center"/>
              <w:textAlignment w:val="center"/>
              <w:rPr>
                <w:rFonts w:ascii="黑体" w:eastAsia="黑体" w:hAnsi="黑体" w:cs="黑体"/>
                <w:color w:val="000000"/>
                <w:sz w:val="24"/>
              </w:rPr>
            </w:pPr>
            <w:r>
              <w:rPr>
                <w:rFonts w:ascii="黑体" w:eastAsia="黑体" w:hAnsi="黑体" w:cs="黑体" w:hint="eastAsia"/>
                <w:color w:val="000000"/>
                <w:kern w:val="0"/>
                <w:sz w:val="24"/>
              </w:rPr>
              <w:t>责任处室（单位）</w:t>
            </w:r>
          </w:p>
        </w:tc>
        <w:tc>
          <w:tcPr>
            <w:tcW w:w="761" w:type="dxa"/>
            <w:vMerge w:val="restart"/>
            <w:vAlign w:val="center"/>
          </w:tcPr>
          <w:p w:rsidR="00013EC7" w:rsidRDefault="00575CDB">
            <w:pPr>
              <w:widowControl/>
              <w:jc w:val="center"/>
              <w:textAlignment w:val="center"/>
              <w:rPr>
                <w:rFonts w:ascii="黑体" w:eastAsia="黑体" w:hAnsi="黑体" w:cs="黑体"/>
                <w:color w:val="000000"/>
                <w:sz w:val="24"/>
              </w:rPr>
            </w:pPr>
            <w:r>
              <w:rPr>
                <w:rFonts w:ascii="黑体" w:eastAsia="黑体" w:hAnsi="黑体" w:cs="黑体" w:hint="eastAsia"/>
                <w:color w:val="000000"/>
                <w:kern w:val="0"/>
                <w:sz w:val="24"/>
              </w:rPr>
              <w:t>进一步精简、规范建议</w:t>
            </w:r>
          </w:p>
        </w:tc>
      </w:tr>
      <w:tr w:rsidR="00013EC7">
        <w:trPr>
          <w:trHeight w:val="435"/>
          <w:tblHeader/>
        </w:trPr>
        <w:tc>
          <w:tcPr>
            <w:tcW w:w="736" w:type="dxa"/>
            <w:vMerge/>
            <w:shd w:val="clear" w:color="auto" w:fill="auto"/>
            <w:vAlign w:val="center"/>
          </w:tcPr>
          <w:p w:rsidR="00013EC7" w:rsidRDefault="00013EC7">
            <w:pPr>
              <w:jc w:val="center"/>
              <w:rPr>
                <w:rFonts w:ascii="黑体" w:eastAsia="黑体" w:hAnsi="黑体" w:cs="黑体"/>
                <w:color w:val="000000"/>
                <w:sz w:val="24"/>
              </w:rPr>
            </w:pPr>
          </w:p>
        </w:tc>
        <w:tc>
          <w:tcPr>
            <w:tcW w:w="735" w:type="dxa"/>
            <w:vMerge/>
            <w:shd w:val="clear" w:color="auto" w:fill="auto"/>
            <w:vAlign w:val="center"/>
          </w:tcPr>
          <w:p w:rsidR="00013EC7" w:rsidRDefault="00013EC7">
            <w:pPr>
              <w:jc w:val="center"/>
              <w:rPr>
                <w:rFonts w:ascii="黑体" w:eastAsia="黑体" w:hAnsi="黑体" w:cs="黑体"/>
                <w:color w:val="000000"/>
                <w:sz w:val="24"/>
              </w:rPr>
            </w:pPr>
          </w:p>
        </w:tc>
        <w:tc>
          <w:tcPr>
            <w:tcW w:w="3207" w:type="dxa"/>
            <w:vMerge/>
            <w:shd w:val="clear" w:color="auto" w:fill="auto"/>
            <w:vAlign w:val="center"/>
          </w:tcPr>
          <w:p w:rsidR="00013EC7" w:rsidRDefault="00013EC7">
            <w:pPr>
              <w:jc w:val="center"/>
              <w:rPr>
                <w:rFonts w:ascii="黑体" w:eastAsia="黑体" w:hAnsi="黑体" w:cs="黑体"/>
                <w:color w:val="000000"/>
                <w:sz w:val="24"/>
              </w:rPr>
            </w:pPr>
          </w:p>
        </w:tc>
        <w:tc>
          <w:tcPr>
            <w:tcW w:w="3577" w:type="dxa"/>
            <w:vMerge w:val="restart"/>
            <w:shd w:val="clear" w:color="auto" w:fill="auto"/>
            <w:vAlign w:val="center"/>
          </w:tcPr>
          <w:p w:rsidR="00013EC7" w:rsidRDefault="00575CDB">
            <w:pPr>
              <w:widowControl/>
              <w:jc w:val="center"/>
              <w:textAlignment w:val="center"/>
              <w:rPr>
                <w:rFonts w:ascii="黑体" w:eastAsia="黑体" w:hAnsi="黑体" w:cs="黑体"/>
                <w:color w:val="000000"/>
                <w:sz w:val="24"/>
              </w:rPr>
            </w:pPr>
            <w:r>
              <w:rPr>
                <w:rFonts w:ascii="黑体" w:eastAsia="黑体" w:hAnsi="黑体" w:cs="黑体" w:hint="eastAsia"/>
                <w:color w:val="000000"/>
                <w:kern w:val="0"/>
                <w:sz w:val="24"/>
              </w:rPr>
              <w:t>材料明细</w:t>
            </w:r>
          </w:p>
        </w:tc>
        <w:tc>
          <w:tcPr>
            <w:tcW w:w="1232" w:type="dxa"/>
            <w:vMerge w:val="restart"/>
            <w:shd w:val="clear" w:color="auto" w:fill="auto"/>
            <w:vAlign w:val="center"/>
          </w:tcPr>
          <w:p w:rsidR="00013EC7" w:rsidRDefault="00575CDB">
            <w:pPr>
              <w:widowControl/>
              <w:jc w:val="center"/>
              <w:textAlignment w:val="center"/>
              <w:rPr>
                <w:rFonts w:ascii="黑体" w:eastAsia="黑体" w:hAnsi="黑体" w:cs="黑体"/>
                <w:color w:val="000000"/>
                <w:sz w:val="24"/>
              </w:rPr>
            </w:pPr>
            <w:r>
              <w:rPr>
                <w:rFonts w:ascii="黑体" w:eastAsia="黑体" w:hAnsi="黑体" w:cs="黑体" w:hint="eastAsia"/>
                <w:color w:val="000000"/>
                <w:kern w:val="0"/>
                <w:sz w:val="24"/>
              </w:rPr>
              <w:t>材料来源</w:t>
            </w:r>
          </w:p>
        </w:tc>
        <w:tc>
          <w:tcPr>
            <w:tcW w:w="3577" w:type="dxa"/>
            <w:vMerge w:val="restart"/>
            <w:shd w:val="clear" w:color="auto" w:fill="FFFFFF"/>
            <w:vAlign w:val="center"/>
          </w:tcPr>
          <w:p w:rsidR="00013EC7" w:rsidRDefault="00575CDB">
            <w:pPr>
              <w:widowControl/>
              <w:jc w:val="center"/>
              <w:textAlignment w:val="center"/>
              <w:rPr>
                <w:rFonts w:ascii="黑体" w:eastAsia="黑体" w:hAnsi="黑体" w:cs="黑体"/>
                <w:color w:val="000000"/>
                <w:sz w:val="24"/>
              </w:rPr>
            </w:pPr>
            <w:r>
              <w:rPr>
                <w:rFonts w:ascii="黑体" w:eastAsia="黑体" w:hAnsi="黑体" w:cs="黑体" w:hint="eastAsia"/>
                <w:color w:val="000000"/>
                <w:kern w:val="0"/>
                <w:sz w:val="24"/>
              </w:rPr>
              <w:t>材料明细</w:t>
            </w:r>
          </w:p>
        </w:tc>
        <w:tc>
          <w:tcPr>
            <w:tcW w:w="1283" w:type="dxa"/>
            <w:vMerge w:val="restart"/>
            <w:vAlign w:val="center"/>
          </w:tcPr>
          <w:p w:rsidR="00013EC7" w:rsidRDefault="00575CDB">
            <w:pPr>
              <w:widowControl/>
              <w:jc w:val="center"/>
              <w:textAlignment w:val="center"/>
              <w:rPr>
                <w:rFonts w:ascii="黑体" w:eastAsia="黑体" w:hAnsi="黑体" w:cs="黑体"/>
                <w:color w:val="000000"/>
                <w:sz w:val="24"/>
              </w:rPr>
            </w:pPr>
            <w:r>
              <w:rPr>
                <w:rFonts w:ascii="黑体" w:eastAsia="黑体" w:hAnsi="黑体" w:cs="黑体" w:hint="eastAsia"/>
                <w:color w:val="000000"/>
                <w:kern w:val="0"/>
                <w:sz w:val="24"/>
              </w:rPr>
              <w:t>材料来源</w:t>
            </w:r>
          </w:p>
        </w:tc>
        <w:tc>
          <w:tcPr>
            <w:tcW w:w="2613" w:type="dxa"/>
            <w:vMerge w:val="restart"/>
            <w:vAlign w:val="center"/>
          </w:tcPr>
          <w:p w:rsidR="00013EC7" w:rsidRDefault="00575CDB">
            <w:pPr>
              <w:widowControl/>
              <w:jc w:val="center"/>
              <w:textAlignment w:val="center"/>
              <w:rPr>
                <w:rFonts w:ascii="黑体" w:eastAsia="黑体" w:hAnsi="黑体" w:cs="黑体"/>
                <w:color w:val="000000"/>
                <w:sz w:val="24"/>
              </w:rPr>
            </w:pPr>
            <w:r>
              <w:rPr>
                <w:rFonts w:ascii="黑体" w:eastAsia="黑体" w:hAnsi="黑体" w:cs="黑体" w:hint="eastAsia"/>
                <w:color w:val="000000"/>
                <w:kern w:val="0"/>
                <w:sz w:val="24"/>
              </w:rPr>
              <w:t>办理方式及材料</w:t>
            </w:r>
          </w:p>
          <w:p w:rsidR="00013EC7" w:rsidRDefault="00575CDB">
            <w:pPr>
              <w:jc w:val="center"/>
              <w:textAlignment w:val="center"/>
              <w:rPr>
                <w:rFonts w:ascii="黑体" w:eastAsia="黑体" w:hAnsi="黑体" w:cs="黑体"/>
                <w:color w:val="000000"/>
                <w:sz w:val="24"/>
              </w:rPr>
            </w:pPr>
            <w:r>
              <w:rPr>
                <w:rFonts w:ascii="黑体" w:eastAsia="黑体" w:hAnsi="黑体" w:cs="黑体" w:hint="eastAsia"/>
                <w:kern w:val="0"/>
                <w:sz w:val="24"/>
              </w:rPr>
              <w:t>信息获取方式说明</w:t>
            </w:r>
          </w:p>
        </w:tc>
        <w:tc>
          <w:tcPr>
            <w:tcW w:w="1282" w:type="dxa"/>
            <w:gridSpan w:val="2"/>
            <w:vMerge/>
            <w:vAlign w:val="center"/>
          </w:tcPr>
          <w:p w:rsidR="00013EC7" w:rsidRDefault="00013EC7">
            <w:pPr>
              <w:jc w:val="center"/>
              <w:rPr>
                <w:rFonts w:ascii="黑体" w:eastAsia="黑体" w:hAnsi="黑体" w:cs="黑体"/>
                <w:color w:val="000000"/>
                <w:sz w:val="24"/>
              </w:rPr>
            </w:pPr>
          </w:p>
        </w:tc>
        <w:tc>
          <w:tcPr>
            <w:tcW w:w="462" w:type="dxa"/>
            <w:vMerge/>
            <w:vAlign w:val="center"/>
          </w:tcPr>
          <w:p w:rsidR="00013EC7" w:rsidRDefault="00013EC7">
            <w:pPr>
              <w:jc w:val="center"/>
              <w:rPr>
                <w:rFonts w:ascii="黑体" w:eastAsia="黑体" w:hAnsi="黑体" w:cs="黑体"/>
                <w:color w:val="000000"/>
                <w:sz w:val="24"/>
              </w:rPr>
            </w:pPr>
          </w:p>
        </w:tc>
        <w:tc>
          <w:tcPr>
            <w:tcW w:w="693" w:type="dxa"/>
            <w:vMerge/>
            <w:vAlign w:val="center"/>
          </w:tcPr>
          <w:p w:rsidR="00013EC7" w:rsidRDefault="00013EC7">
            <w:pPr>
              <w:jc w:val="center"/>
              <w:rPr>
                <w:rFonts w:ascii="黑体" w:eastAsia="黑体" w:hAnsi="黑体" w:cs="黑体"/>
                <w:color w:val="000000"/>
                <w:sz w:val="24"/>
              </w:rPr>
            </w:pPr>
          </w:p>
        </w:tc>
        <w:tc>
          <w:tcPr>
            <w:tcW w:w="761" w:type="dxa"/>
            <w:vMerge/>
            <w:vAlign w:val="center"/>
          </w:tcPr>
          <w:p w:rsidR="00013EC7" w:rsidRDefault="00013EC7">
            <w:pPr>
              <w:jc w:val="center"/>
              <w:rPr>
                <w:rFonts w:ascii="黑体" w:eastAsia="黑体" w:hAnsi="黑体" w:cs="黑体"/>
                <w:color w:val="000000"/>
                <w:sz w:val="24"/>
              </w:rPr>
            </w:pPr>
          </w:p>
        </w:tc>
      </w:tr>
      <w:tr w:rsidR="00013EC7">
        <w:trPr>
          <w:trHeight w:val="285"/>
          <w:tblHeader/>
        </w:trPr>
        <w:tc>
          <w:tcPr>
            <w:tcW w:w="736" w:type="dxa"/>
            <w:vMerge/>
            <w:shd w:val="clear" w:color="auto" w:fill="auto"/>
            <w:vAlign w:val="center"/>
          </w:tcPr>
          <w:p w:rsidR="00013EC7" w:rsidRDefault="00013EC7">
            <w:pPr>
              <w:jc w:val="center"/>
              <w:rPr>
                <w:rFonts w:ascii="黑体" w:eastAsia="黑体" w:hAnsi="黑体" w:cs="黑体"/>
                <w:color w:val="000000"/>
                <w:sz w:val="24"/>
              </w:rPr>
            </w:pPr>
          </w:p>
        </w:tc>
        <w:tc>
          <w:tcPr>
            <w:tcW w:w="735" w:type="dxa"/>
            <w:vMerge/>
            <w:shd w:val="clear" w:color="auto" w:fill="auto"/>
            <w:vAlign w:val="center"/>
          </w:tcPr>
          <w:p w:rsidR="00013EC7" w:rsidRDefault="00013EC7">
            <w:pPr>
              <w:jc w:val="center"/>
              <w:rPr>
                <w:rFonts w:ascii="黑体" w:eastAsia="黑体" w:hAnsi="黑体" w:cs="黑体"/>
                <w:color w:val="000000"/>
                <w:sz w:val="24"/>
              </w:rPr>
            </w:pPr>
          </w:p>
        </w:tc>
        <w:tc>
          <w:tcPr>
            <w:tcW w:w="3207" w:type="dxa"/>
            <w:vMerge/>
            <w:shd w:val="clear" w:color="auto" w:fill="auto"/>
            <w:vAlign w:val="center"/>
          </w:tcPr>
          <w:p w:rsidR="00013EC7" w:rsidRDefault="00013EC7">
            <w:pPr>
              <w:jc w:val="center"/>
              <w:rPr>
                <w:rFonts w:ascii="黑体" w:eastAsia="黑体" w:hAnsi="黑体" w:cs="黑体"/>
                <w:color w:val="000000"/>
                <w:sz w:val="24"/>
              </w:rPr>
            </w:pPr>
          </w:p>
        </w:tc>
        <w:tc>
          <w:tcPr>
            <w:tcW w:w="3577" w:type="dxa"/>
            <w:vMerge/>
            <w:shd w:val="clear" w:color="auto" w:fill="auto"/>
            <w:vAlign w:val="center"/>
          </w:tcPr>
          <w:p w:rsidR="00013EC7" w:rsidRDefault="00013EC7">
            <w:pPr>
              <w:jc w:val="center"/>
              <w:rPr>
                <w:rFonts w:ascii="黑体" w:eastAsia="黑体" w:hAnsi="黑体" w:cs="黑体"/>
                <w:sz w:val="24"/>
              </w:rPr>
            </w:pPr>
          </w:p>
        </w:tc>
        <w:tc>
          <w:tcPr>
            <w:tcW w:w="1232" w:type="dxa"/>
            <w:vMerge/>
            <w:shd w:val="clear" w:color="auto" w:fill="auto"/>
            <w:vAlign w:val="center"/>
          </w:tcPr>
          <w:p w:rsidR="00013EC7" w:rsidRDefault="00013EC7">
            <w:pPr>
              <w:jc w:val="center"/>
              <w:rPr>
                <w:rFonts w:ascii="黑体" w:eastAsia="黑体" w:hAnsi="黑体" w:cs="黑体"/>
                <w:sz w:val="24"/>
              </w:rPr>
            </w:pPr>
          </w:p>
        </w:tc>
        <w:tc>
          <w:tcPr>
            <w:tcW w:w="3577" w:type="dxa"/>
            <w:vMerge/>
            <w:shd w:val="clear" w:color="auto" w:fill="FFFFFF"/>
            <w:vAlign w:val="center"/>
          </w:tcPr>
          <w:p w:rsidR="00013EC7" w:rsidRDefault="00013EC7">
            <w:pPr>
              <w:jc w:val="center"/>
              <w:rPr>
                <w:rFonts w:ascii="黑体" w:eastAsia="黑体" w:hAnsi="黑体" w:cs="黑体"/>
                <w:sz w:val="24"/>
              </w:rPr>
            </w:pPr>
          </w:p>
        </w:tc>
        <w:tc>
          <w:tcPr>
            <w:tcW w:w="1283" w:type="dxa"/>
            <w:vMerge/>
            <w:vAlign w:val="center"/>
          </w:tcPr>
          <w:p w:rsidR="00013EC7" w:rsidRDefault="00013EC7">
            <w:pPr>
              <w:jc w:val="center"/>
              <w:rPr>
                <w:rFonts w:ascii="黑体" w:eastAsia="黑体" w:hAnsi="黑体" w:cs="黑体"/>
                <w:sz w:val="24"/>
              </w:rPr>
            </w:pPr>
          </w:p>
        </w:tc>
        <w:tc>
          <w:tcPr>
            <w:tcW w:w="2613" w:type="dxa"/>
            <w:vMerge/>
            <w:vAlign w:val="center"/>
          </w:tcPr>
          <w:p w:rsidR="00013EC7" w:rsidRDefault="00013EC7">
            <w:pPr>
              <w:widowControl/>
              <w:jc w:val="center"/>
              <w:textAlignment w:val="center"/>
              <w:rPr>
                <w:rFonts w:ascii="黑体" w:eastAsia="黑体" w:hAnsi="黑体" w:cs="黑体"/>
                <w:sz w:val="24"/>
              </w:rPr>
            </w:pPr>
          </w:p>
        </w:tc>
        <w:tc>
          <w:tcPr>
            <w:tcW w:w="750" w:type="dxa"/>
            <w:vAlign w:val="center"/>
          </w:tcPr>
          <w:p w:rsidR="00013EC7" w:rsidRDefault="00575CDB">
            <w:pPr>
              <w:widowControl/>
              <w:jc w:val="center"/>
              <w:textAlignment w:val="center"/>
              <w:rPr>
                <w:rFonts w:ascii="黑体" w:eastAsia="黑体" w:hAnsi="黑体" w:cs="黑体"/>
                <w:color w:val="000000"/>
                <w:sz w:val="24"/>
              </w:rPr>
            </w:pPr>
            <w:r>
              <w:rPr>
                <w:rFonts w:ascii="黑体" w:eastAsia="黑体" w:hAnsi="黑体" w:cs="黑体" w:hint="eastAsia"/>
                <w:color w:val="000000"/>
                <w:kern w:val="0"/>
                <w:sz w:val="24"/>
              </w:rPr>
              <w:t>优化前</w:t>
            </w:r>
          </w:p>
        </w:tc>
        <w:tc>
          <w:tcPr>
            <w:tcW w:w="532" w:type="dxa"/>
            <w:vAlign w:val="center"/>
          </w:tcPr>
          <w:p w:rsidR="00013EC7" w:rsidRDefault="00575CDB">
            <w:pPr>
              <w:widowControl/>
              <w:jc w:val="center"/>
              <w:textAlignment w:val="center"/>
              <w:rPr>
                <w:rFonts w:ascii="黑体" w:eastAsia="黑体" w:hAnsi="黑体" w:cs="黑体"/>
                <w:color w:val="000000"/>
                <w:sz w:val="24"/>
              </w:rPr>
            </w:pPr>
            <w:r>
              <w:rPr>
                <w:rFonts w:ascii="黑体" w:eastAsia="黑体" w:hAnsi="黑体" w:cs="黑体" w:hint="eastAsia"/>
                <w:color w:val="000000"/>
                <w:kern w:val="0"/>
                <w:sz w:val="24"/>
              </w:rPr>
              <w:t>优化后</w:t>
            </w:r>
          </w:p>
        </w:tc>
        <w:tc>
          <w:tcPr>
            <w:tcW w:w="462" w:type="dxa"/>
            <w:vMerge/>
            <w:vAlign w:val="center"/>
          </w:tcPr>
          <w:p w:rsidR="00013EC7" w:rsidRDefault="00013EC7">
            <w:pPr>
              <w:jc w:val="center"/>
              <w:rPr>
                <w:rFonts w:ascii="黑体" w:eastAsia="黑体" w:hAnsi="黑体" w:cs="黑体"/>
                <w:color w:val="000000"/>
                <w:sz w:val="24"/>
              </w:rPr>
            </w:pPr>
          </w:p>
        </w:tc>
        <w:tc>
          <w:tcPr>
            <w:tcW w:w="693" w:type="dxa"/>
            <w:vMerge/>
            <w:vAlign w:val="center"/>
          </w:tcPr>
          <w:p w:rsidR="00013EC7" w:rsidRDefault="00013EC7">
            <w:pPr>
              <w:jc w:val="center"/>
              <w:rPr>
                <w:rFonts w:ascii="黑体" w:eastAsia="黑体" w:hAnsi="黑体" w:cs="黑体"/>
                <w:color w:val="000000"/>
                <w:sz w:val="24"/>
              </w:rPr>
            </w:pPr>
          </w:p>
        </w:tc>
        <w:tc>
          <w:tcPr>
            <w:tcW w:w="761" w:type="dxa"/>
            <w:vMerge/>
            <w:vAlign w:val="center"/>
          </w:tcPr>
          <w:p w:rsidR="00013EC7" w:rsidRDefault="00013EC7">
            <w:pPr>
              <w:jc w:val="center"/>
              <w:rPr>
                <w:rFonts w:ascii="黑体" w:eastAsia="黑体" w:hAnsi="黑体" w:cs="黑体"/>
                <w:color w:val="000000"/>
                <w:sz w:val="24"/>
              </w:rPr>
            </w:pPr>
          </w:p>
        </w:tc>
      </w:tr>
      <w:tr w:rsidR="00013EC7">
        <w:trPr>
          <w:trHeight w:val="1201"/>
        </w:trPr>
        <w:tc>
          <w:tcPr>
            <w:tcW w:w="736" w:type="dxa"/>
            <w:vMerge w:val="restart"/>
            <w:shd w:val="clear" w:color="auto" w:fill="auto"/>
            <w:vAlign w:val="center"/>
          </w:tcPr>
          <w:p w:rsidR="00013EC7" w:rsidRDefault="00731DCE">
            <w:pPr>
              <w:widowControl/>
              <w:textAlignment w:val="center"/>
              <w:rPr>
                <w:rFonts w:ascii="仿宋" w:eastAsia="仿宋" w:hAnsi="仿宋" w:cs="方正书宋简体"/>
                <w:color w:val="000000"/>
                <w:sz w:val="24"/>
              </w:rPr>
            </w:pPr>
            <w:r>
              <w:rPr>
                <w:rFonts w:ascii="仿宋" w:eastAsia="仿宋" w:hAnsi="仿宋" w:cs="仿宋" w:hint="eastAsia"/>
                <w:color w:val="000000"/>
                <w:kern w:val="0"/>
                <w:sz w:val="24"/>
              </w:rPr>
              <w:t>24.常见税收优惠办理</w:t>
            </w:r>
          </w:p>
        </w:tc>
        <w:tc>
          <w:tcPr>
            <w:tcW w:w="735" w:type="dxa"/>
            <w:vMerge w:val="restart"/>
            <w:shd w:val="clear" w:color="auto" w:fill="auto"/>
            <w:vAlign w:val="center"/>
          </w:tcPr>
          <w:p w:rsidR="00013EC7" w:rsidRDefault="00575CDB">
            <w:pPr>
              <w:widowControl/>
              <w:textAlignment w:val="center"/>
              <w:rPr>
                <w:rFonts w:ascii="仿宋" w:eastAsia="仿宋" w:hAnsi="仿宋" w:cs="方正书宋简体"/>
                <w:color w:val="000000"/>
                <w:sz w:val="24"/>
              </w:rPr>
            </w:pPr>
            <w:r>
              <w:rPr>
                <w:rFonts w:ascii="仿宋" w:eastAsia="仿宋" w:hAnsi="仿宋" w:cs="方正书宋简体" w:hint="eastAsia"/>
                <w:color w:val="000000"/>
                <w:kern w:val="0"/>
                <w:sz w:val="24"/>
              </w:rPr>
              <w:t>24.3</w:t>
            </w:r>
            <w:r>
              <w:rPr>
                <w:rFonts w:ascii="仿宋" w:eastAsia="仿宋" w:hAnsi="仿宋" w:cs="方正书宋简体"/>
                <w:color w:val="000000"/>
                <w:kern w:val="0"/>
                <w:sz w:val="24"/>
              </w:rPr>
              <w:t>消费税优惠备案</w:t>
            </w:r>
          </w:p>
        </w:tc>
        <w:tc>
          <w:tcPr>
            <w:tcW w:w="3207" w:type="dxa"/>
            <w:vMerge w:val="restart"/>
            <w:shd w:val="clear" w:color="auto" w:fill="auto"/>
            <w:vAlign w:val="center"/>
          </w:tcPr>
          <w:p w:rsidR="00013EC7" w:rsidRDefault="00575CDB">
            <w:pPr>
              <w:widowControl/>
              <w:textAlignment w:val="top"/>
              <w:rPr>
                <w:rFonts w:ascii="仿宋" w:eastAsia="仿宋" w:hAnsi="仿宋" w:cs="宋体"/>
                <w:color w:val="000000"/>
                <w:sz w:val="24"/>
              </w:rPr>
            </w:pPr>
            <w:r>
              <w:rPr>
                <w:rFonts w:ascii="仿宋" w:eastAsia="仿宋" w:hAnsi="仿宋" w:cs="宋体"/>
                <w:color w:val="000000"/>
                <w:sz w:val="24"/>
              </w:rPr>
              <w:t>（</w:t>
            </w:r>
            <w:r>
              <w:rPr>
                <w:rFonts w:ascii="仿宋" w:eastAsia="仿宋" w:hAnsi="仿宋" w:cs="宋体" w:hint="eastAsia"/>
                <w:color w:val="000000"/>
                <w:sz w:val="24"/>
              </w:rPr>
              <w:t>一</w:t>
            </w:r>
            <w:r>
              <w:rPr>
                <w:rFonts w:ascii="仿宋" w:eastAsia="仿宋" w:hAnsi="仿宋" w:cs="宋体"/>
                <w:color w:val="000000"/>
                <w:sz w:val="24"/>
              </w:rPr>
              <w:t>）《财政部国家税务总局关于提高成品油消费税税率后相关成品油消费税政策的通知》（财税〔2008〕168号）</w:t>
            </w:r>
            <w:r>
              <w:rPr>
                <w:rFonts w:ascii="仿宋" w:eastAsia="仿宋" w:hAnsi="仿宋" w:cs="宋体" w:hint="eastAsia"/>
                <w:color w:val="000000"/>
                <w:sz w:val="24"/>
              </w:rPr>
              <w:t>全文</w:t>
            </w:r>
            <w:r>
              <w:rPr>
                <w:rFonts w:ascii="仿宋" w:eastAsia="仿宋" w:hAnsi="仿宋" w:cs="宋体"/>
                <w:color w:val="000000"/>
                <w:sz w:val="24"/>
              </w:rPr>
              <w:t>。</w:t>
            </w:r>
          </w:p>
          <w:p w:rsidR="00013EC7" w:rsidRDefault="00575CDB">
            <w:pPr>
              <w:widowControl/>
              <w:textAlignment w:val="top"/>
              <w:rPr>
                <w:rFonts w:ascii="仿宋" w:eastAsia="仿宋" w:hAnsi="仿宋" w:cs="宋体"/>
                <w:color w:val="000000"/>
                <w:sz w:val="24"/>
              </w:rPr>
            </w:pPr>
            <w:r>
              <w:rPr>
                <w:rFonts w:ascii="仿宋" w:eastAsia="仿宋" w:hAnsi="仿宋" w:cs="宋体"/>
                <w:color w:val="000000"/>
                <w:sz w:val="24"/>
              </w:rPr>
              <w:t>（</w:t>
            </w:r>
            <w:r>
              <w:rPr>
                <w:rFonts w:ascii="仿宋" w:eastAsia="仿宋" w:hAnsi="仿宋" w:cs="宋体" w:hint="eastAsia"/>
                <w:color w:val="000000"/>
                <w:sz w:val="24"/>
              </w:rPr>
              <w:t>二</w:t>
            </w:r>
            <w:r>
              <w:rPr>
                <w:rFonts w:ascii="仿宋" w:eastAsia="仿宋" w:hAnsi="仿宋" w:cs="宋体"/>
                <w:color w:val="000000"/>
                <w:sz w:val="24"/>
              </w:rPr>
              <w:t>）《财政部国家税务总局关于对利用废弃的动植物油生产纯生物柴油免征消费税的通知》（财税〔2010〕118号）</w:t>
            </w:r>
            <w:r>
              <w:rPr>
                <w:rFonts w:ascii="仿宋" w:eastAsia="仿宋" w:hAnsi="仿宋" w:cs="宋体" w:hint="eastAsia"/>
                <w:color w:val="000000"/>
                <w:sz w:val="24"/>
              </w:rPr>
              <w:t>全文</w:t>
            </w:r>
            <w:r>
              <w:rPr>
                <w:rFonts w:ascii="仿宋" w:eastAsia="仿宋" w:hAnsi="仿宋" w:cs="宋体"/>
                <w:color w:val="000000"/>
                <w:sz w:val="24"/>
              </w:rPr>
              <w:t>。</w:t>
            </w:r>
          </w:p>
          <w:p w:rsidR="00013EC7" w:rsidRDefault="00575CDB">
            <w:pPr>
              <w:widowControl/>
              <w:textAlignment w:val="top"/>
              <w:rPr>
                <w:rFonts w:ascii="仿宋" w:eastAsia="仿宋" w:hAnsi="仿宋" w:cs="宋体"/>
                <w:color w:val="000000"/>
                <w:sz w:val="24"/>
              </w:rPr>
            </w:pPr>
            <w:r>
              <w:rPr>
                <w:rFonts w:ascii="仿宋" w:eastAsia="仿宋" w:hAnsi="仿宋" w:cs="宋体"/>
                <w:color w:val="000000"/>
                <w:sz w:val="24"/>
              </w:rPr>
              <w:t>（</w:t>
            </w:r>
            <w:r>
              <w:rPr>
                <w:rFonts w:ascii="仿宋" w:eastAsia="仿宋" w:hAnsi="仿宋" w:cs="宋体" w:hint="eastAsia"/>
                <w:color w:val="000000"/>
                <w:sz w:val="24"/>
              </w:rPr>
              <w:t>三</w:t>
            </w:r>
            <w:r>
              <w:rPr>
                <w:rFonts w:ascii="仿宋" w:eastAsia="仿宋" w:hAnsi="仿宋" w:cs="宋体"/>
                <w:color w:val="000000"/>
                <w:sz w:val="24"/>
              </w:rPr>
              <w:t>）《财政部国家税务总局关于明确废弃动植物油生产纯生物柴油免征消费税适用范围的通知》（财税〔2011〕46号）</w:t>
            </w:r>
            <w:r>
              <w:rPr>
                <w:rFonts w:ascii="仿宋" w:eastAsia="仿宋" w:hAnsi="仿宋" w:cs="宋体" w:hint="eastAsia"/>
                <w:color w:val="000000"/>
                <w:sz w:val="24"/>
              </w:rPr>
              <w:t>全文</w:t>
            </w:r>
            <w:r>
              <w:rPr>
                <w:rFonts w:ascii="仿宋" w:eastAsia="仿宋" w:hAnsi="仿宋" w:cs="宋体"/>
                <w:color w:val="000000"/>
                <w:sz w:val="24"/>
              </w:rPr>
              <w:t>。</w:t>
            </w:r>
          </w:p>
          <w:p w:rsidR="00013EC7" w:rsidRDefault="00575CDB">
            <w:pPr>
              <w:widowControl/>
              <w:textAlignment w:val="top"/>
              <w:rPr>
                <w:rFonts w:ascii="仿宋" w:eastAsia="仿宋" w:hAnsi="仿宋" w:cs="宋体"/>
                <w:color w:val="000000"/>
                <w:sz w:val="24"/>
              </w:rPr>
            </w:pPr>
            <w:r>
              <w:rPr>
                <w:rFonts w:ascii="仿宋" w:eastAsia="仿宋" w:hAnsi="仿宋" w:cs="宋体"/>
                <w:color w:val="000000"/>
                <w:sz w:val="24"/>
              </w:rPr>
              <w:t>（</w:t>
            </w:r>
            <w:r>
              <w:rPr>
                <w:rFonts w:ascii="仿宋" w:eastAsia="仿宋" w:hAnsi="仿宋" w:cs="宋体" w:hint="eastAsia"/>
                <w:color w:val="000000"/>
                <w:sz w:val="24"/>
              </w:rPr>
              <w:t>四</w:t>
            </w:r>
            <w:r>
              <w:rPr>
                <w:rFonts w:ascii="仿宋" w:eastAsia="仿宋" w:hAnsi="仿宋" w:cs="宋体"/>
                <w:color w:val="000000"/>
                <w:sz w:val="24"/>
              </w:rPr>
              <w:t>）《财政部国家税务总局关于对电池涂料征收消费税的通知》（财税〔2015〕16号）</w:t>
            </w:r>
            <w:r>
              <w:rPr>
                <w:rFonts w:ascii="仿宋" w:eastAsia="仿宋" w:hAnsi="仿宋" w:cs="宋体" w:hint="eastAsia"/>
                <w:color w:val="000000"/>
                <w:sz w:val="24"/>
              </w:rPr>
              <w:t>全文</w:t>
            </w:r>
            <w:r>
              <w:rPr>
                <w:rFonts w:ascii="仿宋" w:eastAsia="仿宋" w:hAnsi="仿宋" w:cs="宋体"/>
                <w:color w:val="000000"/>
                <w:sz w:val="24"/>
              </w:rPr>
              <w:t>。</w:t>
            </w:r>
          </w:p>
          <w:p w:rsidR="00013EC7" w:rsidRDefault="00575CDB">
            <w:pPr>
              <w:widowControl/>
              <w:textAlignment w:val="top"/>
              <w:rPr>
                <w:rFonts w:ascii="仿宋" w:eastAsia="仿宋" w:hAnsi="仿宋" w:cs="宋体"/>
                <w:color w:val="000000"/>
                <w:sz w:val="24"/>
              </w:rPr>
            </w:pPr>
            <w:r>
              <w:rPr>
                <w:rFonts w:ascii="仿宋" w:eastAsia="仿宋" w:hAnsi="仿宋" w:cs="宋体"/>
                <w:color w:val="000000"/>
                <w:sz w:val="24"/>
              </w:rPr>
              <w:t>（</w:t>
            </w:r>
            <w:r>
              <w:rPr>
                <w:rFonts w:ascii="仿宋" w:eastAsia="仿宋" w:hAnsi="仿宋" w:cs="宋体" w:hint="eastAsia"/>
                <w:color w:val="000000"/>
                <w:sz w:val="24"/>
              </w:rPr>
              <w:t>五</w:t>
            </w:r>
            <w:r>
              <w:rPr>
                <w:rFonts w:ascii="仿宋" w:eastAsia="仿宋" w:hAnsi="仿宋" w:cs="宋体"/>
                <w:color w:val="000000"/>
                <w:sz w:val="24"/>
              </w:rPr>
              <w:t>）《国家税务总局关于电池涂料消费税征收管理有关问题的公告》（国家税务总局公告2015</w:t>
            </w:r>
            <w:r>
              <w:rPr>
                <w:rFonts w:ascii="仿宋" w:eastAsia="仿宋" w:hAnsi="仿宋" w:cs="宋体" w:hint="eastAsia"/>
                <w:color w:val="000000"/>
                <w:sz w:val="24"/>
              </w:rPr>
              <w:t>年</w:t>
            </w:r>
            <w:r>
              <w:rPr>
                <w:rFonts w:ascii="仿宋" w:eastAsia="仿宋" w:hAnsi="仿宋" w:cs="宋体"/>
                <w:color w:val="000000"/>
                <w:sz w:val="24"/>
              </w:rPr>
              <w:t>第5号）</w:t>
            </w:r>
            <w:r>
              <w:rPr>
                <w:rFonts w:ascii="仿宋" w:eastAsia="仿宋" w:hAnsi="仿宋" w:cs="宋体" w:hint="eastAsia"/>
                <w:color w:val="000000"/>
                <w:sz w:val="24"/>
              </w:rPr>
              <w:t>全文</w:t>
            </w:r>
            <w:r>
              <w:rPr>
                <w:rFonts w:ascii="仿宋" w:eastAsia="仿宋" w:hAnsi="仿宋" w:cs="宋体"/>
                <w:color w:val="000000"/>
                <w:sz w:val="24"/>
              </w:rPr>
              <w:t>。</w:t>
            </w:r>
          </w:p>
          <w:p w:rsidR="00013EC7" w:rsidRDefault="00575CDB">
            <w:pPr>
              <w:widowControl/>
              <w:textAlignment w:val="top"/>
              <w:rPr>
                <w:rFonts w:ascii="仿宋" w:eastAsia="仿宋" w:hAnsi="仿宋" w:cs="宋体"/>
                <w:color w:val="000000"/>
                <w:sz w:val="24"/>
              </w:rPr>
            </w:pPr>
            <w:r>
              <w:rPr>
                <w:rFonts w:ascii="仿宋" w:eastAsia="仿宋" w:hAnsi="仿宋" w:cs="宋体"/>
                <w:color w:val="000000"/>
                <w:sz w:val="24"/>
              </w:rPr>
              <w:t>（</w:t>
            </w:r>
            <w:r>
              <w:rPr>
                <w:rFonts w:ascii="仿宋" w:eastAsia="仿宋" w:hAnsi="仿宋" w:cs="宋体" w:hint="eastAsia"/>
                <w:color w:val="000000"/>
                <w:sz w:val="24"/>
              </w:rPr>
              <w:t>六</w:t>
            </w:r>
            <w:r>
              <w:rPr>
                <w:rFonts w:ascii="仿宋" w:eastAsia="仿宋" w:hAnsi="仿宋" w:cs="宋体"/>
                <w:color w:val="000000"/>
                <w:sz w:val="24"/>
              </w:rPr>
              <w:t>）《财政部国家税务总局关于对成品油生产企业生产自用</w:t>
            </w:r>
            <w:r>
              <w:rPr>
                <w:rFonts w:ascii="仿宋" w:eastAsia="仿宋" w:hAnsi="仿宋" w:cs="宋体"/>
                <w:color w:val="000000"/>
                <w:sz w:val="24"/>
              </w:rPr>
              <w:lastRenderedPageBreak/>
              <w:t>油免征消费税的通知》（财税〔2010〕98号）</w:t>
            </w:r>
            <w:r>
              <w:rPr>
                <w:rFonts w:ascii="仿宋" w:eastAsia="仿宋" w:hAnsi="仿宋" w:cs="宋体" w:hint="eastAsia"/>
                <w:color w:val="000000"/>
                <w:sz w:val="24"/>
              </w:rPr>
              <w:t>全文</w:t>
            </w:r>
            <w:r>
              <w:rPr>
                <w:rFonts w:ascii="仿宋" w:eastAsia="仿宋" w:hAnsi="仿宋" w:cs="宋体"/>
                <w:color w:val="000000"/>
                <w:sz w:val="24"/>
              </w:rPr>
              <w:t>。</w:t>
            </w:r>
          </w:p>
          <w:p w:rsidR="00013EC7" w:rsidRDefault="00575CDB">
            <w:pPr>
              <w:widowControl/>
              <w:textAlignment w:val="top"/>
              <w:rPr>
                <w:rFonts w:ascii="仿宋" w:eastAsia="仿宋" w:hAnsi="仿宋" w:cs="宋体"/>
                <w:color w:val="000000"/>
                <w:sz w:val="24"/>
              </w:rPr>
            </w:pPr>
            <w:r>
              <w:rPr>
                <w:rFonts w:ascii="仿宋" w:eastAsia="仿宋" w:hAnsi="仿宋" w:cs="宋体"/>
                <w:color w:val="000000"/>
                <w:sz w:val="24"/>
              </w:rPr>
              <w:t>（</w:t>
            </w:r>
            <w:r>
              <w:rPr>
                <w:rFonts w:ascii="仿宋" w:eastAsia="仿宋" w:hAnsi="仿宋" w:cs="宋体" w:hint="eastAsia"/>
                <w:color w:val="000000"/>
                <w:sz w:val="24"/>
              </w:rPr>
              <w:t>七</w:t>
            </w:r>
            <w:r>
              <w:rPr>
                <w:rFonts w:ascii="仿宋" w:eastAsia="仿宋" w:hAnsi="仿宋" w:cs="宋体"/>
                <w:color w:val="000000"/>
                <w:sz w:val="24"/>
              </w:rPr>
              <w:t>）《财政部国家税务总局关于对废矿物油再生油品免征消费税的通知》（财税〔2013〕105号）</w:t>
            </w:r>
            <w:r>
              <w:rPr>
                <w:rFonts w:ascii="仿宋" w:eastAsia="仿宋" w:hAnsi="仿宋" w:cs="宋体" w:hint="eastAsia"/>
                <w:color w:val="000000"/>
                <w:sz w:val="24"/>
              </w:rPr>
              <w:t>全文</w:t>
            </w:r>
            <w:r>
              <w:rPr>
                <w:rFonts w:ascii="仿宋" w:eastAsia="仿宋" w:hAnsi="仿宋" w:cs="宋体"/>
                <w:color w:val="000000"/>
                <w:sz w:val="24"/>
              </w:rPr>
              <w:t>。</w:t>
            </w:r>
          </w:p>
          <w:p w:rsidR="00013EC7" w:rsidRDefault="00575CDB">
            <w:pPr>
              <w:widowControl/>
              <w:textAlignment w:val="top"/>
              <w:rPr>
                <w:rFonts w:ascii="仿宋" w:eastAsia="仿宋" w:hAnsi="仿宋" w:cs="宋体"/>
                <w:color w:val="000000"/>
                <w:sz w:val="24"/>
              </w:rPr>
            </w:pPr>
            <w:r>
              <w:rPr>
                <w:rFonts w:ascii="仿宋" w:eastAsia="仿宋" w:hAnsi="仿宋" w:cs="宋体"/>
                <w:color w:val="000000"/>
                <w:sz w:val="24"/>
              </w:rPr>
              <w:t>（</w:t>
            </w:r>
            <w:r>
              <w:rPr>
                <w:rFonts w:ascii="仿宋" w:eastAsia="仿宋" w:hAnsi="仿宋" w:cs="宋体" w:hint="eastAsia"/>
                <w:color w:val="000000"/>
                <w:sz w:val="24"/>
              </w:rPr>
              <w:t>八</w:t>
            </w:r>
            <w:r>
              <w:rPr>
                <w:rFonts w:ascii="仿宋" w:eastAsia="仿宋" w:hAnsi="仿宋" w:cs="宋体"/>
                <w:color w:val="000000"/>
                <w:sz w:val="24"/>
              </w:rPr>
              <w:t>）《财政部国家税务总局关于延续执行部分石脑油燃料油消费税政策的通知》（财税〔2011〕87号）</w:t>
            </w:r>
            <w:r>
              <w:rPr>
                <w:rFonts w:ascii="仿宋" w:eastAsia="仿宋" w:hAnsi="仿宋" w:cs="宋体" w:hint="eastAsia"/>
                <w:color w:val="000000"/>
                <w:sz w:val="24"/>
              </w:rPr>
              <w:t>全文</w:t>
            </w:r>
            <w:r>
              <w:rPr>
                <w:rFonts w:ascii="仿宋" w:eastAsia="仿宋" w:hAnsi="仿宋" w:cs="宋体"/>
                <w:color w:val="000000"/>
                <w:sz w:val="24"/>
              </w:rPr>
              <w:t>。</w:t>
            </w:r>
          </w:p>
          <w:p w:rsidR="00013EC7" w:rsidRDefault="00575CDB">
            <w:pPr>
              <w:widowControl/>
              <w:textAlignment w:val="top"/>
              <w:rPr>
                <w:rFonts w:ascii="仿宋" w:eastAsia="仿宋" w:hAnsi="仿宋" w:cs="宋体"/>
                <w:color w:val="000000"/>
                <w:sz w:val="24"/>
              </w:rPr>
            </w:pPr>
            <w:r>
              <w:rPr>
                <w:rFonts w:ascii="仿宋" w:eastAsia="仿宋" w:hAnsi="仿宋" w:cs="宋体"/>
                <w:color w:val="000000"/>
                <w:sz w:val="24"/>
              </w:rPr>
              <w:t>（</w:t>
            </w:r>
            <w:r>
              <w:rPr>
                <w:rFonts w:ascii="仿宋" w:eastAsia="仿宋" w:hAnsi="仿宋" w:cs="宋体" w:hint="eastAsia"/>
                <w:color w:val="000000"/>
                <w:sz w:val="24"/>
              </w:rPr>
              <w:t>九</w:t>
            </w:r>
            <w:r>
              <w:rPr>
                <w:rFonts w:ascii="仿宋" w:eastAsia="仿宋" w:hAnsi="仿宋" w:cs="宋体"/>
                <w:color w:val="000000"/>
                <w:sz w:val="24"/>
              </w:rPr>
              <w:t>）</w:t>
            </w:r>
            <w:r>
              <w:rPr>
                <w:rFonts w:ascii="仿宋" w:eastAsia="仿宋" w:hAnsi="仿宋" w:cs="宋体" w:hint="eastAsia"/>
                <w:color w:val="000000"/>
                <w:sz w:val="24"/>
              </w:rPr>
              <w:t>《</w:t>
            </w:r>
            <w:r>
              <w:rPr>
                <w:rFonts w:ascii="仿宋" w:eastAsia="仿宋" w:hAnsi="仿宋" w:cs="宋体"/>
                <w:color w:val="000000"/>
                <w:sz w:val="24"/>
              </w:rPr>
              <w:t>国家税务总局关于发布&lt;用于生产乙烯、芳烃类化工产品的石脑油、燃料油退（免）消费税暂行办法&gt;的公告》（国家税务总局公告2012年第36号）</w:t>
            </w:r>
            <w:r>
              <w:rPr>
                <w:rFonts w:ascii="仿宋" w:eastAsia="仿宋" w:hAnsi="仿宋" w:cs="宋体" w:hint="eastAsia"/>
                <w:color w:val="000000"/>
                <w:sz w:val="24"/>
              </w:rPr>
              <w:t>全文</w:t>
            </w:r>
            <w:r>
              <w:rPr>
                <w:rFonts w:ascii="仿宋" w:eastAsia="仿宋" w:hAnsi="仿宋" w:cs="宋体"/>
                <w:color w:val="000000"/>
                <w:sz w:val="24"/>
              </w:rPr>
              <w:t>。</w:t>
            </w:r>
          </w:p>
          <w:p w:rsidR="00013EC7" w:rsidRDefault="00575CDB">
            <w:pPr>
              <w:widowControl/>
              <w:textAlignment w:val="top"/>
              <w:rPr>
                <w:rFonts w:ascii="仿宋" w:eastAsia="仿宋" w:hAnsi="仿宋" w:cs="宋体"/>
                <w:color w:val="000000"/>
                <w:sz w:val="24"/>
              </w:rPr>
            </w:pPr>
            <w:r>
              <w:rPr>
                <w:rFonts w:ascii="仿宋" w:eastAsia="仿宋" w:hAnsi="仿宋" w:cs="宋体"/>
                <w:color w:val="000000"/>
                <w:sz w:val="24"/>
              </w:rPr>
              <w:t>（</w:t>
            </w:r>
            <w:r>
              <w:rPr>
                <w:rFonts w:ascii="仿宋" w:eastAsia="仿宋" w:hAnsi="仿宋" w:cs="宋体" w:hint="eastAsia"/>
                <w:color w:val="000000"/>
                <w:sz w:val="24"/>
              </w:rPr>
              <w:t>十</w:t>
            </w:r>
            <w:r>
              <w:rPr>
                <w:rFonts w:ascii="仿宋" w:eastAsia="仿宋" w:hAnsi="仿宋" w:cs="宋体"/>
                <w:color w:val="000000"/>
                <w:sz w:val="24"/>
              </w:rPr>
              <w:t>）《财政部海关总署国家税务总局关于横琴平潭开发有关增值税和消费税政策的通知》（财税〔2014〕51号）</w:t>
            </w:r>
            <w:r>
              <w:rPr>
                <w:rFonts w:ascii="仿宋" w:eastAsia="仿宋" w:hAnsi="仿宋" w:cs="宋体" w:hint="eastAsia"/>
                <w:color w:val="000000"/>
                <w:sz w:val="24"/>
              </w:rPr>
              <w:t>全文</w:t>
            </w:r>
            <w:r>
              <w:rPr>
                <w:rFonts w:ascii="仿宋" w:eastAsia="仿宋" w:hAnsi="仿宋" w:cs="宋体"/>
                <w:color w:val="000000"/>
                <w:sz w:val="24"/>
              </w:rPr>
              <w:t>。</w:t>
            </w:r>
          </w:p>
          <w:p w:rsidR="00013EC7" w:rsidRDefault="00575CDB">
            <w:pPr>
              <w:widowControl/>
              <w:textAlignment w:val="top"/>
              <w:rPr>
                <w:rFonts w:ascii="仿宋" w:eastAsia="仿宋" w:hAnsi="仿宋" w:cs="宋体"/>
                <w:color w:val="000000"/>
                <w:sz w:val="24"/>
              </w:rPr>
            </w:pPr>
            <w:r>
              <w:rPr>
                <w:rFonts w:ascii="仿宋" w:eastAsia="仿宋" w:hAnsi="仿宋" w:cs="宋体"/>
                <w:color w:val="000000"/>
                <w:sz w:val="24"/>
              </w:rPr>
              <w:t>（</w:t>
            </w:r>
            <w:r>
              <w:rPr>
                <w:rFonts w:ascii="仿宋" w:eastAsia="仿宋" w:hAnsi="仿宋" w:cs="宋体" w:hint="eastAsia"/>
                <w:color w:val="000000"/>
                <w:sz w:val="24"/>
              </w:rPr>
              <w:t>十一</w:t>
            </w:r>
            <w:r>
              <w:rPr>
                <w:rFonts w:ascii="仿宋" w:eastAsia="仿宋" w:hAnsi="仿宋" w:cs="宋体"/>
                <w:color w:val="000000"/>
                <w:sz w:val="24"/>
              </w:rPr>
              <w:t>）《财政部中国人民银行国家税务总局关于延续执行部分石脑油燃料油消费税政策的通知》（财税〔2011〕87号）</w:t>
            </w:r>
            <w:r>
              <w:rPr>
                <w:rFonts w:ascii="仿宋" w:eastAsia="仿宋" w:hAnsi="仿宋" w:cs="宋体" w:hint="eastAsia"/>
                <w:color w:val="000000"/>
                <w:sz w:val="24"/>
              </w:rPr>
              <w:t>全文</w:t>
            </w:r>
            <w:r>
              <w:rPr>
                <w:rFonts w:ascii="仿宋" w:eastAsia="仿宋" w:hAnsi="仿宋" w:cs="宋体"/>
                <w:color w:val="000000"/>
                <w:sz w:val="24"/>
              </w:rPr>
              <w:t>。</w:t>
            </w:r>
          </w:p>
          <w:p w:rsidR="00013EC7" w:rsidRDefault="00575CDB">
            <w:pPr>
              <w:widowControl/>
              <w:textAlignment w:val="top"/>
              <w:rPr>
                <w:rFonts w:ascii="仿宋" w:eastAsia="仿宋" w:hAnsi="仿宋" w:cs="宋体"/>
                <w:color w:val="000000"/>
                <w:sz w:val="24"/>
              </w:rPr>
            </w:pPr>
            <w:r>
              <w:rPr>
                <w:rFonts w:ascii="仿宋" w:eastAsia="仿宋" w:hAnsi="仿宋" w:cs="宋体"/>
                <w:color w:val="000000"/>
                <w:sz w:val="24"/>
              </w:rPr>
              <w:t>（</w:t>
            </w:r>
            <w:r>
              <w:rPr>
                <w:rFonts w:ascii="仿宋" w:eastAsia="仿宋" w:hAnsi="仿宋" w:cs="宋体" w:hint="eastAsia"/>
                <w:color w:val="000000"/>
                <w:sz w:val="24"/>
              </w:rPr>
              <w:t>十二</w:t>
            </w:r>
            <w:r>
              <w:rPr>
                <w:rFonts w:ascii="仿宋" w:eastAsia="仿宋" w:hAnsi="仿宋" w:cs="宋体"/>
                <w:color w:val="000000"/>
                <w:sz w:val="24"/>
              </w:rPr>
              <w:t>）《国家税务总局　海关总署关于石脑油燃料油生产乙烯芳烃类化工产品消费税退税问题的公告》（国家税务总局　海关总署公告2013年第29号）</w:t>
            </w:r>
            <w:r>
              <w:rPr>
                <w:rFonts w:ascii="仿宋" w:eastAsia="仿宋" w:hAnsi="仿宋" w:cs="宋体" w:hint="eastAsia"/>
                <w:color w:val="000000"/>
                <w:sz w:val="24"/>
              </w:rPr>
              <w:t>全文</w:t>
            </w:r>
            <w:r>
              <w:rPr>
                <w:rFonts w:ascii="仿宋" w:eastAsia="仿宋" w:hAnsi="仿宋" w:cs="宋体"/>
                <w:color w:val="000000"/>
                <w:sz w:val="24"/>
              </w:rPr>
              <w:t>。</w:t>
            </w:r>
          </w:p>
          <w:p w:rsidR="00013EC7" w:rsidRDefault="00575CDB">
            <w:pPr>
              <w:widowControl/>
              <w:textAlignment w:val="top"/>
              <w:rPr>
                <w:rFonts w:ascii="仿宋" w:eastAsia="仿宋" w:hAnsi="仿宋" w:cs="宋体"/>
                <w:color w:val="000000"/>
                <w:sz w:val="24"/>
              </w:rPr>
            </w:pPr>
            <w:r>
              <w:rPr>
                <w:rFonts w:ascii="仿宋" w:eastAsia="仿宋" w:hAnsi="仿宋" w:cs="宋体"/>
                <w:color w:val="000000"/>
                <w:sz w:val="24"/>
              </w:rPr>
              <w:lastRenderedPageBreak/>
              <w:t>（</w:t>
            </w:r>
            <w:r>
              <w:rPr>
                <w:rFonts w:ascii="仿宋" w:eastAsia="仿宋" w:hAnsi="仿宋" w:cs="宋体" w:hint="eastAsia"/>
                <w:color w:val="000000"/>
                <w:sz w:val="24"/>
              </w:rPr>
              <w:t>十三</w:t>
            </w:r>
            <w:r>
              <w:rPr>
                <w:rFonts w:ascii="仿宋" w:eastAsia="仿宋" w:hAnsi="仿宋" w:cs="宋体"/>
                <w:color w:val="000000"/>
                <w:sz w:val="24"/>
              </w:rPr>
              <w:t>）《国家税务总局关于印发〈石脑油、燃料油退（免）消费税管理操作规程（试行）〉的通知》（税总函〔2014〕412号）</w:t>
            </w:r>
            <w:r>
              <w:rPr>
                <w:rFonts w:ascii="仿宋" w:eastAsia="仿宋" w:hAnsi="仿宋" w:cs="宋体" w:hint="eastAsia"/>
                <w:color w:val="000000"/>
                <w:sz w:val="24"/>
              </w:rPr>
              <w:t>全文</w:t>
            </w:r>
            <w:r>
              <w:rPr>
                <w:rFonts w:ascii="仿宋" w:eastAsia="仿宋" w:hAnsi="仿宋" w:cs="宋体"/>
                <w:color w:val="000000"/>
                <w:sz w:val="24"/>
              </w:rPr>
              <w:t>。</w:t>
            </w:r>
          </w:p>
          <w:p w:rsidR="00013EC7" w:rsidRDefault="00575CDB">
            <w:pPr>
              <w:widowControl/>
              <w:textAlignment w:val="top"/>
              <w:rPr>
                <w:rFonts w:ascii="仿宋" w:eastAsia="仿宋" w:hAnsi="仿宋" w:cs="宋体"/>
                <w:color w:val="000000"/>
                <w:sz w:val="24"/>
              </w:rPr>
            </w:pPr>
            <w:r>
              <w:rPr>
                <w:rFonts w:ascii="仿宋" w:eastAsia="仿宋" w:hAnsi="仿宋" w:cs="宋体"/>
                <w:color w:val="000000"/>
                <w:sz w:val="24"/>
              </w:rPr>
              <w:t>（</w:t>
            </w:r>
            <w:r>
              <w:rPr>
                <w:rFonts w:ascii="仿宋" w:eastAsia="仿宋" w:hAnsi="仿宋" w:cs="宋体" w:hint="eastAsia"/>
                <w:color w:val="000000"/>
                <w:sz w:val="24"/>
              </w:rPr>
              <w:t>十四</w:t>
            </w:r>
            <w:r>
              <w:rPr>
                <w:rFonts w:ascii="仿宋" w:eastAsia="仿宋" w:hAnsi="仿宋" w:cs="宋体"/>
                <w:color w:val="000000"/>
                <w:sz w:val="24"/>
              </w:rPr>
              <w:t>）《国务院关于取消非行政许可审批事项的决定》（国发〔2015〕27号）</w:t>
            </w:r>
            <w:r>
              <w:rPr>
                <w:rFonts w:ascii="仿宋" w:eastAsia="仿宋" w:hAnsi="仿宋" w:cs="宋体" w:hint="eastAsia"/>
                <w:color w:val="000000"/>
                <w:sz w:val="24"/>
              </w:rPr>
              <w:t>附件1第44项</w:t>
            </w:r>
            <w:r>
              <w:rPr>
                <w:rFonts w:ascii="仿宋" w:eastAsia="仿宋" w:hAnsi="仿宋" w:cs="宋体"/>
                <w:color w:val="000000"/>
                <w:sz w:val="24"/>
              </w:rPr>
              <w:t>。</w:t>
            </w:r>
          </w:p>
          <w:p w:rsidR="00013EC7" w:rsidRDefault="00575CDB">
            <w:pPr>
              <w:widowControl/>
              <w:textAlignment w:val="top"/>
              <w:rPr>
                <w:rFonts w:ascii="仿宋" w:eastAsia="仿宋" w:hAnsi="仿宋" w:cs="宋体"/>
                <w:color w:val="000000"/>
                <w:sz w:val="24"/>
              </w:rPr>
            </w:pPr>
            <w:r>
              <w:rPr>
                <w:rFonts w:ascii="仿宋" w:eastAsia="仿宋" w:hAnsi="仿宋" w:cs="宋体"/>
                <w:color w:val="000000"/>
                <w:sz w:val="24"/>
              </w:rPr>
              <w:t>（</w:t>
            </w:r>
            <w:r>
              <w:rPr>
                <w:rFonts w:ascii="仿宋" w:eastAsia="仿宋" w:hAnsi="仿宋" w:cs="宋体" w:hint="eastAsia"/>
                <w:color w:val="000000"/>
                <w:sz w:val="24"/>
              </w:rPr>
              <w:t>十五</w:t>
            </w:r>
            <w:r>
              <w:rPr>
                <w:rFonts w:ascii="仿宋" w:eastAsia="仿宋" w:hAnsi="仿宋" w:cs="宋体"/>
                <w:color w:val="000000"/>
                <w:sz w:val="24"/>
              </w:rPr>
              <w:t>）《国家税务总局关于贯彻落实&lt;国务院关于取消非行政许可审批事项的决定&gt;的通知》附件1（税总发〔2015〕74号）</w:t>
            </w:r>
            <w:r>
              <w:rPr>
                <w:rFonts w:ascii="仿宋" w:eastAsia="仿宋" w:hAnsi="仿宋" w:cs="宋体" w:hint="eastAsia"/>
                <w:color w:val="000000"/>
                <w:sz w:val="24"/>
              </w:rPr>
              <w:t>第13项</w:t>
            </w:r>
            <w:r>
              <w:rPr>
                <w:rFonts w:ascii="仿宋" w:eastAsia="仿宋" w:hAnsi="仿宋" w:cs="宋体"/>
                <w:color w:val="000000"/>
                <w:sz w:val="24"/>
              </w:rPr>
              <w:t>。</w:t>
            </w:r>
          </w:p>
          <w:p w:rsidR="00013EC7" w:rsidRDefault="00575CDB">
            <w:pPr>
              <w:widowControl/>
              <w:textAlignment w:val="top"/>
              <w:rPr>
                <w:rFonts w:ascii="仿宋" w:eastAsia="仿宋" w:hAnsi="仿宋" w:cs="宋体"/>
                <w:color w:val="000000"/>
                <w:sz w:val="24"/>
              </w:rPr>
            </w:pPr>
            <w:r>
              <w:rPr>
                <w:rFonts w:ascii="仿宋" w:eastAsia="仿宋" w:hAnsi="仿宋" w:cs="宋体"/>
                <w:color w:val="000000"/>
                <w:sz w:val="24"/>
              </w:rPr>
              <w:t>（</w:t>
            </w:r>
            <w:r>
              <w:rPr>
                <w:rFonts w:ascii="仿宋" w:eastAsia="仿宋" w:hAnsi="仿宋" w:cs="宋体" w:hint="eastAsia"/>
                <w:color w:val="000000"/>
                <w:sz w:val="24"/>
              </w:rPr>
              <w:t>十六</w:t>
            </w:r>
            <w:r>
              <w:rPr>
                <w:rFonts w:ascii="仿宋" w:eastAsia="仿宋" w:hAnsi="仿宋" w:cs="宋体"/>
                <w:color w:val="000000"/>
                <w:sz w:val="24"/>
              </w:rPr>
              <w:t>）《国家税务总局关于取消乙烯芳烃生产企业退税资格认定审批事项有关管理问题的公告》（国家税务总局公告2015年第54号）</w:t>
            </w:r>
            <w:r>
              <w:rPr>
                <w:rFonts w:ascii="仿宋" w:eastAsia="仿宋" w:hAnsi="仿宋" w:cs="宋体" w:hint="eastAsia"/>
                <w:color w:val="000000"/>
                <w:sz w:val="24"/>
              </w:rPr>
              <w:t>全文</w:t>
            </w:r>
            <w:r>
              <w:rPr>
                <w:rFonts w:ascii="仿宋" w:eastAsia="仿宋" w:hAnsi="仿宋" w:cs="宋体"/>
                <w:color w:val="000000"/>
                <w:sz w:val="24"/>
              </w:rPr>
              <w:t>。</w:t>
            </w:r>
          </w:p>
          <w:p w:rsidR="00013EC7" w:rsidRDefault="00575CDB">
            <w:pPr>
              <w:widowControl/>
              <w:textAlignment w:val="top"/>
              <w:rPr>
                <w:rFonts w:ascii="仿宋" w:eastAsia="仿宋" w:hAnsi="仿宋" w:cs="宋体"/>
                <w:color w:val="000000"/>
                <w:sz w:val="24"/>
              </w:rPr>
            </w:pPr>
            <w:r>
              <w:rPr>
                <w:rFonts w:ascii="仿宋" w:eastAsia="仿宋" w:hAnsi="仿宋" w:cs="宋体"/>
                <w:color w:val="000000"/>
                <w:sz w:val="24"/>
              </w:rPr>
              <w:t>（</w:t>
            </w:r>
            <w:r>
              <w:rPr>
                <w:rFonts w:ascii="仿宋" w:eastAsia="仿宋" w:hAnsi="仿宋" w:cs="宋体" w:hint="eastAsia"/>
                <w:color w:val="000000"/>
                <w:sz w:val="24"/>
              </w:rPr>
              <w:t>十七</w:t>
            </w:r>
            <w:r>
              <w:rPr>
                <w:rFonts w:ascii="仿宋" w:eastAsia="仿宋" w:hAnsi="仿宋" w:cs="宋体"/>
                <w:color w:val="000000"/>
                <w:sz w:val="24"/>
              </w:rPr>
              <w:t>）《 财政部 国家税务总局关于提高成品油消费税税率后相关成品油消费税政策的通知 》（财税〔2008〕168号）</w:t>
            </w:r>
            <w:r>
              <w:rPr>
                <w:rFonts w:ascii="仿宋" w:eastAsia="仿宋" w:hAnsi="仿宋" w:cs="宋体" w:hint="eastAsia"/>
                <w:color w:val="000000"/>
                <w:sz w:val="24"/>
              </w:rPr>
              <w:t>全文</w:t>
            </w:r>
            <w:r>
              <w:rPr>
                <w:rFonts w:ascii="仿宋" w:eastAsia="仿宋" w:hAnsi="仿宋" w:cs="宋体"/>
                <w:color w:val="000000"/>
                <w:sz w:val="24"/>
              </w:rPr>
              <w:t>。</w:t>
            </w:r>
          </w:p>
        </w:tc>
        <w:tc>
          <w:tcPr>
            <w:tcW w:w="3577" w:type="dxa"/>
            <w:shd w:val="clear" w:color="auto" w:fill="FFFFFF"/>
            <w:vAlign w:val="center"/>
          </w:tcPr>
          <w:p w:rsidR="00013EC7" w:rsidRDefault="00575CDB">
            <w:pPr>
              <w:widowControl/>
              <w:textAlignment w:val="center"/>
              <w:rPr>
                <w:rFonts w:ascii="仿宋" w:eastAsia="仿宋" w:hAnsi="仿宋" w:cs="宋体"/>
                <w:sz w:val="24"/>
              </w:rPr>
            </w:pPr>
            <w:r>
              <w:rPr>
                <w:rFonts w:ascii="仿宋" w:eastAsia="仿宋" w:hAnsi="仿宋" w:cs="宋体"/>
                <w:kern w:val="0"/>
                <w:sz w:val="24"/>
              </w:rPr>
              <w:lastRenderedPageBreak/>
              <w:t>（</w:t>
            </w:r>
            <w:r>
              <w:rPr>
                <w:rFonts w:ascii="仿宋" w:eastAsia="仿宋" w:hAnsi="仿宋" w:cs="宋体" w:hint="eastAsia"/>
                <w:kern w:val="0"/>
                <w:sz w:val="24"/>
              </w:rPr>
              <w:t>一</w:t>
            </w:r>
            <w:r>
              <w:rPr>
                <w:rFonts w:ascii="仿宋" w:eastAsia="仿宋" w:hAnsi="仿宋" w:cs="宋体"/>
                <w:kern w:val="0"/>
                <w:sz w:val="24"/>
              </w:rPr>
              <w:t>）</w:t>
            </w:r>
            <w:r>
              <w:rPr>
                <w:rFonts w:ascii="仿宋" w:eastAsia="仿宋" w:hAnsi="仿宋" w:hint="eastAsia"/>
                <w:sz w:val="24"/>
              </w:rPr>
              <w:t>(A03007)</w:t>
            </w:r>
            <w:r>
              <w:rPr>
                <w:rFonts w:ascii="仿宋" w:eastAsia="仿宋" w:hAnsi="仿宋" w:cs="宋体" w:hint="eastAsia"/>
                <w:kern w:val="0"/>
                <w:sz w:val="24"/>
              </w:rPr>
              <w:t>《纳税人减免税备案登记表》2份。</w:t>
            </w:r>
          </w:p>
        </w:tc>
        <w:tc>
          <w:tcPr>
            <w:tcW w:w="1232" w:type="dxa"/>
            <w:shd w:val="clear" w:color="auto" w:fill="auto"/>
            <w:vAlign w:val="center"/>
          </w:tcPr>
          <w:p w:rsidR="00013EC7" w:rsidRDefault="00575CDB">
            <w:pPr>
              <w:widowControl/>
              <w:textAlignment w:val="center"/>
              <w:rPr>
                <w:rFonts w:ascii="仿宋" w:eastAsia="仿宋" w:hAnsi="仿宋" w:cs="方正书宋简体"/>
                <w:sz w:val="24"/>
              </w:rPr>
            </w:pPr>
            <w:r>
              <w:rPr>
                <w:rFonts w:ascii="仿宋" w:eastAsia="仿宋" w:hAnsi="仿宋" w:cs="方正书宋简体" w:hint="eastAsia"/>
                <w:kern w:val="0"/>
                <w:sz w:val="24"/>
              </w:rPr>
              <w:t>纳税人</w:t>
            </w:r>
            <w:r>
              <w:rPr>
                <w:rFonts w:ascii="仿宋" w:eastAsia="仿宋" w:hAnsi="仿宋" w:cs="方正书宋简体"/>
                <w:kern w:val="0"/>
                <w:sz w:val="24"/>
              </w:rPr>
              <w:t>提交</w:t>
            </w:r>
          </w:p>
        </w:tc>
        <w:tc>
          <w:tcPr>
            <w:tcW w:w="3577" w:type="dxa"/>
            <w:shd w:val="clear" w:color="auto" w:fill="FFFFFF"/>
            <w:vAlign w:val="center"/>
          </w:tcPr>
          <w:p w:rsidR="00013EC7" w:rsidRDefault="00575CDB">
            <w:pPr>
              <w:widowControl/>
              <w:textAlignment w:val="center"/>
              <w:rPr>
                <w:rFonts w:ascii="仿宋" w:eastAsia="仿宋" w:hAnsi="仿宋" w:cs="宋体"/>
                <w:kern w:val="0"/>
                <w:sz w:val="24"/>
              </w:rPr>
            </w:pPr>
            <w:r>
              <w:rPr>
                <w:rFonts w:ascii="仿宋" w:eastAsia="仿宋" w:hAnsi="仿宋" w:cs="宋体"/>
                <w:kern w:val="0"/>
                <w:sz w:val="24"/>
              </w:rPr>
              <w:t>（</w:t>
            </w:r>
            <w:r>
              <w:rPr>
                <w:rFonts w:ascii="仿宋" w:eastAsia="仿宋" w:hAnsi="仿宋" w:cs="宋体" w:hint="eastAsia"/>
                <w:kern w:val="0"/>
                <w:sz w:val="24"/>
              </w:rPr>
              <w:t>一</w:t>
            </w:r>
            <w:r>
              <w:rPr>
                <w:rFonts w:ascii="仿宋" w:eastAsia="仿宋" w:hAnsi="仿宋" w:cs="宋体"/>
                <w:kern w:val="0"/>
                <w:sz w:val="24"/>
              </w:rPr>
              <w:t>）</w:t>
            </w:r>
            <w:r>
              <w:rPr>
                <w:rFonts w:ascii="仿宋" w:eastAsia="仿宋" w:hAnsi="仿宋" w:hint="eastAsia"/>
                <w:sz w:val="24"/>
              </w:rPr>
              <w:t>(A03007)</w:t>
            </w:r>
            <w:r>
              <w:rPr>
                <w:rFonts w:ascii="仿宋" w:eastAsia="仿宋" w:hAnsi="仿宋" w:cs="宋体" w:hint="eastAsia"/>
                <w:kern w:val="0"/>
                <w:sz w:val="24"/>
              </w:rPr>
              <w:t>《纳税人减免税备案登记表》2份。</w:t>
            </w:r>
          </w:p>
        </w:tc>
        <w:tc>
          <w:tcPr>
            <w:tcW w:w="1283" w:type="dxa"/>
            <w:vAlign w:val="center"/>
          </w:tcPr>
          <w:p w:rsidR="00013EC7" w:rsidRDefault="00575CDB">
            <w:pPr>
              <w:widowControl/>
              <w:textAlignment w:val="center"/>
              <w:rPr>
                <w:rFonts w:ascii="仿宋" w:eastAsia="仿宋" w:hAnsi="仿宋" w:cs="方正书宋简体"/>
                <w:sz w:val="24"/>
              </w:rPr>
            </w:pPr>
            <w:r>
              <w:rPr>
                <w:rFonts w:ascii="仿宋" w:eastAsia="仿宋" w:hAnsi="仿宋" w:cs="仿宋" w:hint="eastAsia"/>
                <w:sz w:val="24"/>
              </w:rPr>
              <w:t>纳税人提交</w:t>
            </w:r>
          </w:p>
        </w:tc>
        <w:tc>
          <w:tcPr>
            <w:tcW w:w="2613" w:type="dxa"/>
            <w:vMerge w:val="restart"/>
            <w:vAlign w:val="center"/>
          </w:tcPr>
          <w:p w:rsidR="00013EC7" w:rsidRDefault="00013EC7">
            <w:pPr>
              <w:spacing w:line="300" w:lineRule="exact"/>
              <w:rPr>
                <w:rFonts w:ascii="仿宋" w:eastAsia="仿宋" w:hAnsi="仿宋" w:cs="仿宋"/>
                <w:b/>
                <w:sz w:val="24"/>
              </w:rPr>
            </w:pPr>
          </w:p>
          <w:p w:rsidR="00013EC7" w:rsidRDefault="00013EC7">
            <w:pPr>
              <w:spacing w:line="300" w:lineRule="exact"/>
              <w:rPr>
                <w:rFonts w:ascii="仿宋" w:eastAsia="仿宋" w:hAnsi="仿宋" w:cs="仿宋"/>
                <w:b/>
                <w:sz w:val="24"/>
              </w:rPr>
            </w:pPr>
          </w:p>
          <w:p w:rsidR="00013EC7" w:rsidRDefault="00013EC7">
            <w:pPr>
              <w:spacing w:line="300" w:lineRule="exact"/>
              <w:rPr>
                <w:rFonts w:ascii="仿宋" w:eastAsia="仿宋" w:hAnsi="仿宋" w:cs="仿宋"/>
                <w:b/>
                <w:sz w:val="24"/>
              </w:rPr>
            </w:pPr>
          </w:p>
          <w:p w:rsidR="00013EC7" w:rsidRDefault="00013EC7">
            <w:pPr>
              <w:spacing w:line="300" w:lineRule="exact"/>
              <w:rPr>
                <w:rFonts w:ascii="仿宋" w:eastAsia="仿宋" w:hAnsi="仿宋" w:cs="仿宋"/>
                <w:b/>
                <w:sz w:val="24"/>
              </w:rPr>
            </w:pPr>
          </w:p>
          <w:p w:rsidR="00013EC7" w:rsidRDefault="00013EC7">
            <w:pPr>
              <w:spacing w:line="300" w:lineRule="exact"/>
              <w:rPr>
                <w:rFonts w:ascii="仿宋" w:eastAsia="仿宋" w:hAnsi="仿宋" w:cs="仿宋"/>
                <w:b/>
                <w:sz w:val="24"/>
              </w:rPr>
            </w:pPr>
          </w:p>
          <w:p w:rsidR="00013EC7" w:rsidRDefault="00013EC7">
            <w:pPr>
              <w:spacing w:line="300" w:lineRule="exact"/>
              <w:rPr>
                <w:rFonts w:ascii="仿宋" w:eastAsia="仿宋" w:hAnsi="仿宋" w:cs="仿宋"/>
                <w:b/>
                <w:sz w:val="24"/>
              </w:rPr>
            </w:pPr>
          </w:p>
          <w:p w:rsidR="00013EC7" w:rsidRDefault="00013EC7">
            <w:pPr>
              <w:spacing w:line="300" w:lineRule="exact"/>
              <w:rPr>
                <w:rFonts w:ascii="仿宋" w:eastAsia="仿宋" w:hAnsi="仿宋" w:cs="仿宋"/>
                <w:b/>
                <w:sz w:val="24"/>
              </w:rPr>
            </w:pPr>
          </w:p>
          <w:p w:rsidR="00013EC7" w:rsidRDefault="00013EC7">
            <w:pPr>
              <w:spacing w:line="300" w:lineRule="exact"/>
              <w:rPr>
                <w:rFonts w:ascii="仿宋" w:eastAsia="仿宋" w:hAnsi="仿宋" w:cs="仿宋"/>
                <w:b/>
                <w:sz w:val="24"/>
              </w:rPr>
            </w:pPr>
          </w:p>
          <w:p w:rsidR="00013EC7" w:rsidRDefault="00013EC7">
            <w:pPr>
              <w:spacing w:line="300" w:lineRule="exact"/>
              <w:rPr>
                <w:rFonts w:ascii="仿宋" w:eastAsia="仿宋" w:hAnsi="仿宋" w:cs="仿宋"/>
                <w:b/>
                <w:sz w:val="24"/>
              </w:rPr>
            </w:pPr>
          </w:p>
          <w:p w:rsidR="00013EC7" w:rsidRDefault="00013EC7">
            <w:pPr>
              <w:spacing w:line="300" w:lineRule="exact"/>
              <w:rPr>
                <w:rFonts w:ascii="仿宋" w:eastAsia="仿宋" w:hAnsi="仿宋" w:cs="仿宋"/>
                <w:b/>
                <w:sz w:val="24"/>
              </w:rPr>
            </w:pPr>
          </w:p>
          <w:p w:rsidR="00013EC7" w:rsidRDefault="00013EC7">
            <w:pPr>
              <w:spacing w:line="300" w:lineRule="exact"/>
              <w:rPr>
                <w:rFonts w:ascii="仿宋" w:eastAsia="仿宋" w:hAnsi="仿宋" w:cs="仿宋"/>
                <w:b/>
                <w:sz w:val="24"/>
              </w:rPr>
            </w:pPr>
          </w:p>
          <w:p w:rsidR="00013EC7" w:rsidRDefault="00013EC7">
            <w:pPr>
              <w:spacing w:line="300" w:lineRule="exact"/>
              <w:rPr>
                <w:rFonts w:ascii="仿宋" w:eastAsia="仿宋" w:hAnsi="仿宋" w:cs="仿宋"/>
                <w:b/>
                <w:sz w:val="24"/>
              </w:rPr>
            </w:pPr>
          </w:p>
          <w:p w:rsidR="00013EC7" w:rsidRDefault="00575CDB">
            <w:pPr>
              <w:widowControl/>
              <w:textAlignment w:val="center"/>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纳税人提交书面材料。</w:t>
            </w:r>
          </w:p>
          <w:p w:rsidR="00013EC7" w:rsidRDefault="00575CDB">
            <w:pPr>
              <w:spacing w:line="300" w:lineRule="exact"/>
              <w:rPr>
                <w:rFonts w:ascii="仿宋" w:eastAsia="仿宋" w:hAnsi="仿宋" w:cs="仿宋"/>
                <w:sz w:val="24"/>
              </w:rPr>
            </w:pPr>
            <w:r>
              <w:rPr>
                <w:rFonts w:ascii="仿宋" w:eastAsia="仿宋" w:hAnsi="仿宋" w:cs="仿宋" w:hint="eastAsia"/>
                <w:b/>
                <w:sz w:val="24"/>
              </w:rPr>
              <w:t>网上办理：</w:t>
            </w:r>
            <w:r>
              <w:rPr>
                <w:rFonts w:ascii="仿宋" w:eastAsia="仿宋" w:hAnsi="仿宋" w:cs="仿宋" w:hint="eastAsia"/>
                <w:sz w:val="24"/>
              </w:rPr>
              <w:t>登录浙江国税电子税务局（网址：</w:t>
            </w:r>
            <w:hyperlink r:id="rId425" w:tgtFrame="https://wx.qq.com/_blank" w:history="1">
              <w:r>
                <w:rPr>
                  <w:rFonts w:ascii="仿宋" w:eastAsia="仿宋" w:hAnsi="仿宋" w:cs="仿宋" w:hint="eastAsia"/>
                  <w:sz w:val="24"/>
                </w:rPr>
                <w:t>http://etax.zjtax.gov.cn/</w:t>
              </w:r>
            </w:hyperlink>
            <w:r>
              <w:rPr>
                <w:rFonts w:ascii="仿宋" w:eastAsia="仿宋" w:hAnsi="仿宋" w:cs="仿宋" w:hint="eastAsia"/>
                <w:sz w:val="24"/>
              </w:rPr>
              <w:t>）提交申请。</w:t>
            </w:r>
          </w:p>
          <w:p w:rsidR="00013EC7" w:rsidRDefault="00575CDB">
            <w:pPr>
              <w:widowControl/>
              <w:textAlignment w:val="center"/>
              <w:rPr>
                <w:rFonts w:ascii="仿宋" w:eastAsia="仿宋" w:hAnsi="仿宋" w:cs="仿宋"/>
                <w:sz w:val="24"/>
              </w:rPr>
            </w:pPr>
            <w:r>
              <w:rPr>
                <w:rFonts w:ascii="仿宋" w:eastAsia="仿宋" w:hAnsi="仿宋" w:hint="eastAsia"/>
                <w:b/>
                <w:sz w:val="24"/>
              </w:rPr>
              <w:t>APP办理：</w:t>
            </w:r>
            <w:r>
              <w:rPr>
                <w:rFonts w:ascii="仿宋" w:eastAsia="仿宋" w:hAnsi="仿宋" w:hint="eastAsia"/>
                <w:sz w:val="24"/>
              </w:rPr>
              <w:t>登录浙江国税APP提交申请。</w:t>
            </w:r>
          </w:p>
          <w:p w:rsidR="00013EC7" w:rsidRDefault="00013EC7">
            <w:pPr>
              <w:widowControl/>
              <w:textAlignment w:val="center"/>
              <w:rPr>
                <w:rFonts w:ascii="仿宋" w:eastAsia="仿宋" w:hAnsi="仿宋" w:cs="仿宋"/>
                <w:sz w:val="24"/>
              </w:rPr>
            </w:pPr>
          </w:p>
          <w:p w:rsidR="00013EC7" w:rsidRDefault="00013EC7">
            <w:pPr>
              <w:widowControl/>
              <w:textAlignment w:val="center"/>
              <w:rPr>
                <w:rFonts w:ascii="仿宋" w:eastAsia="仿宋" w:hAnsi="仿宋" w:cs="仿宋"/>
                <w:sz w:val="24"/>
              </w:rPr>
            </w:pPr>
          </w:p>
          <w:p w:rsidR="00013EC7" w:rsidRDefault="00013EC7">
            <w:pPr>
              <w:widowControl/>
              <w:textAlignment w:val="center"/>
              <w:rPr>
                <w:rFonts w:ascii="仿宋" w:eastAsia="仿宋" w:hAnsi="仿宋" w:cs="仿宋"/>
                <w:sz w:val="24"/>
              </w:rPr>
            </w:pPr>
          </w:p>
          <w:p w:rsidR="00013EC7" w:rsidRDefault="00013EC7">
            <w:pPr>
              <w:widowControl/>
              <w:textAlignment w:val="center"/>
              <w:rPr>
                <w:rFonts w:ascii="仿宋" w:eastAsia="仿宋" w:hAnsi="仿宋" w:cs="仿宋"/>
                <w:sz w:val="24"/>
              </w:rPr>
            </w:pPr>
          </w:p>
          <w:p w:rsidR="00013EC7" w:rsidRDefault="00013EC7">
            <w:pPr>
              <w:widowControl/>
              <w:textAlignment w:val="center"/>
              <w:rPr>
                <w:rFonts w:ascii="仿宋" w:eastAsia="仿宋" w:hAnsi="仿宋" w:cs="仿宋"/>
                <w:sz w:val="24"/>
              </w:rPr>
            </w:pPr>
          </w:p>
          <w:p w:rsidR="00013EC7" w:rsidRDefault="00013EC7">
            <w:pPr>
              <w:widowControl/>
              <w:textAlignment w:val="center"/>
              <w:rPr>
                <w:rFonts w:ascii="仿宋" w:eastAsia="仿宋" w:hAnsi="仿宋" w:cs="仿宋"/>
                <w:sz w:val="24"/>
              </w:rPr>
            </w:pPr>
          </w:p>
          <w:p w:rsidR="00013EC7" w:rsidRDefault="00013EC7">
            <w:pPr>
              <w:widowControl/>
              <w:textAlignment w:val="center"/>
              <w:rPr>
                <w:rFonts w:ascii="仿宋" w:eastAsia="仿宋" w:hAnsi="仿宋" w:cs="仿宋"/>
                <w:sz w:val="24"/>
              </w:rPr>
            </w:pPr>
          </w:p>
          <w:p w:rsidR="00013EC7" w:rsidRDefault="00013EC7">
            <w:pPr>
              <w:widowControl/>
              <w:textAlignment w:val="center"/>
              <w:rPr>
                <w:rFonts w:ascii="仿宋" w:eastAsia="仿宋" w:hAnsi="仿宋" w:cs="仿宋"/>
                <w:sz w:val="24"/>
              </w:rPr>
            </w:pPr>
          </w:p>
          <w:p w:rsidR="00013EC7" w:rsidRDefault="00013EC7">
            <w:pPr>
              <w:widowControl/>
              <w:textAlignment w:val="center"/>
              <w:rPr>
                <w:rFonts w:ascii="仿宋" w:eastAsia="仿宋" w:hAnsi="仿宋" w:cs="仿宋"/>
                <w:sz w:val="24"/>
              </w:rPr>
            </w:pPr>
          </w:p>
          <w:p w:rsidR="00013EC7" w:rsidRDefault="00013EC7">
            <w:pPr>
              <w:widowControl/>
              <w:textAlignment w:val="center"/>
              <w:rPr>
                <w:rFonts w:ascii="仿宋" w:eastAsia="仿宋" w:hAnsi="仿宋" w:cs="仿宋"/>
                <w:sz w:val="24"/>
              </w:rPr>
            </w:pPr>
          </w:p>
          <w:p w:rsidR="00013EC7" w:rsidRDefault="00013EC7">
            <w:pPr>
              <w:widowControl/>
              <w:textAlignment w:val="center"/>
              <w:rPr>
                <w:rFonts w:ascii="仿宋" w:eastAsia="仿宋" w:hAnsi="仿宋" w:cs="仿宋"/>
                <w:sz w:val="24"/>
              </w:rPr>
            </w:pPr>
          </w:p>
          <w:p w:rsidR="00013EC7" w:rsidRDefault="00013EC7">
            <w:pPr>
              <w:widowControl/>
              <w:textAlignment w:val="center"/>
              <w:rPr>
                <w:rFonts w:ascii="仿宋" w:eastAsia="仿宋" w:hAnsi="仿宋" w:cs="仿宋"/>
                <w:sz w:val="24"/>
              </w:rPr>
            </w:pPr>
          </w:p>
          <w:p w:rsidR="00013EC7" w:rsidRDefault="00013EC7">
            <w:pPr>
              <w:widowControl/>
              <w:textAlignment w:val="center"/>
              <w:rPr>
                <w:rFonts w:ascii="仿宋" w:eastAsia="仿宋" w:hAnsi="仿宋" w:cs="仿宋"/>
                <w:sz w:val="24"/>
              </w:rPr>
            </w:pPr>
          </w:p>
          <w:p w:rsidR="00013EC7" w:rsidRDefault="00013EC7">
            <w:pPr>
              <w:widowControl/>
              <w:textAlignment w:val="center"/>
              <w:rPr>
                <w:rFonts w:ascii="仿宋" w:eastAsia="仿宋" w:hAnsi="仿宋" w:cs="仿宋"/>
                <w:sz w:val="24"/>
              </w:rPr>
            </w:pPr>
          </w:p>
          <w:p w:rsidR="00013EC7" w:rsidRDefault="00013EC7">
            <w:pPr>
              <w:widowControl/>
              <w:textAlignment w:val="center"/>
              <w:rPr>
                <w:rFonts w:ascii="仿宋" w:eastAsia="仿宋" w:hAnsi="仿宋" w:cs="仿宋"/>
                <w:sz w:val="24"/>
              </w:rPr>
            </w:pPr>
          </w:p>
          <w:p w:rsidR="00013EC7" w:rsidRDefault="00013EC7">
            <w:pPr>
              <w:widowControl/>
              <w:textAlignment w:val="center"/>
              <w:rPr>
                <w:rFonts w:ascii="仿宋" w:eastAsia="仿宋" w:hAnsi="仿宋" w:cs="仿宋"/>
                <w:sz w:val="24"/>
              </w:rPr>
            </w:pPr>
          </w:p>
          <w:p w:rsidR="00013EC7" w:rsidRDefault="00013EC7">
            <w:pPr>
              <w:widowControl/>
              <w:textAlignment w:val="center"/>
              <w:rPr>
                <w:rFonts w:ascii="仿宋" w:eastAsia="仿宋" w:hAnsi="仿宋" w:cs="仿宋"/>
                <w:sz w:val="24"/>
              </w:rPr>
            </w:pPr>
          </w:p>
          <w:p w:rsidR="00013EC7" w:rsidRDefault="00013EC7">
            <w:pPr>
              <w:widowControl/>
              <w:textAlignment w:val="center"/>
              <w:rPr>
                <w:rFonts w:ascii="仿宋" w:eastAsia="仿宋" w:hAnsi="仿宋" w:cs="仿宋"/>
                <w:sz w:val="24"/>
              </w:rPr>
            </w:pPr>
          </w:p>
          <w:p w:rsidR="00013EC7" w:rsidRDefault="00013EC7">
            <w:pPr>
              <w:widowControl/>
              <w:textAlignment w:val="center"/>
              <w:rPr>
                <w:rFonts w:ascii="仿宋" w:eastAsia="仿宋" w:hAnsi="仿宋" w:cs="仿宋"/>
                <w:sz w:val="24"/>
              </w:rPr>
            </w:pPr>
          </w:p>
          <w:p w:rsidR="00013EC7" w:rsidRDefault="00013EC7">
            <w:pPr>
              <w:widowControl/>
              <w:textAlignment w:val="center"/>
              <w:rPr>
                <w:rFonts w:ascii="仿宋" w:eastAsia="仿宋" w:hAnsi="仿宋" w:cs="仿宋"/>
                <w:sz w:val="24"/>
              </w:rPr>
            </w:pPr>
          </w:p>
          <w:p w:rsidR="00013EC7" w:rsidRDefault="00013EC7">
            <w:pPr>
              <w:widowControl/>
              <w:textAlignment w:val="center"/>
              <w:rPr>
                <w:rFonts w:ascii="仿宋" w:eastAsia="仿宋" w:hAnsi="仿宋" w:cs="仿宋"/>
                <w:sz w:val="24"/>
              </w:rPr>
            </w:pPr>
          </w:p>
          <w:p w:rsidR="00013EC7" w:rsidRDefault="00013EC7">
            <w:pPr>
              <w:widowControl/>
              <w:textAlignment w:val="center"/>
              <w:rPr>
                <w:rFonts w:ascii="仿宋" w:eastAsia="仿宋" w:hAnsi="仿宋" w:cs="仿宋"/>
                <w:sz w:val="24"/>
              </w:rPr>
            </w:pPr>
          </w:p>
          <w:p w:rsidR="00013EC7" w:rsidRDefault="00013EC7">
            <w:pPr>
              <w:widowControl/>
              <w:textAlignment w:val="center"/>
              <w:rPr>
                <w:rFonts w:ascii="仿宋" w:eastAsia="仿宋" w:hAnsi="仿宋" w:cs="仿宋"/>
                <w:sz w:val="24"/>
              </w:rPr>
            </w:pPr>
          </w:p>
          <w:p w:rsidR="00013EC7" w:rsidRDefault="00013EC7">
            <w:pPr>
              <w:widowControl/>
              <w:textAlignment w:val="center"/>
              <w:rPr>
                <w:rFonts w:ascii="仿宋" w:eastAsia="仿宋" w:hAnsi="仿宋" w:cs="仿宋"/>
                <w:sz w:val="24"/>
              </w:rPr>
            </w:pPr>
          </w:p>
          <w:p w:rsidR="00013EC7" w:rsidRDefault="00013EC7">
            <w:pPr>
              <w:widowControl/>
              <w:textAlignment w:val="center"/>
              <w:rPr>
                <w:rFonts w:ascii="仿宋" w:eastAsia="仿宋" w:hAnsi="仿宋" w:cs="仿宋"/>
                <w:sz w:val="24"/>
              </w:rPr>
            </w:pPr>
          </w:p>
          <w:p w:rsidR="00013EC7" w:rsidRDefault="00013EC7">
            <w:pPr>
              <w:widowControl/>
              <w:textAlignment w:val="center"/>
              <w:rPr>
                <w:rFonts w:ascii="仿宋" w:eastAsia="仿宋" w:hAnsi="仿宋" w:cs="仿宋"/>
                <w:sz w:val="24"/>
              </w:rPr>
            </w:pPr>
          </w:p>
          <w:p w:rsidR="00013EC7" w:rsidRDefault="00013EC7">
            <w:pPr>
              <w:widowControl/>
              <w:textAlignment w:val="center"/>
              <w:rPr>
                <w:rFonts w:ascii="仿宋" w:eastAsia="仿宋" w:hAnsi="仿宋" w:cs="方正书宋简体"/>
                <w:sz w:val="24"/>
              </w:rPr>
            </w:pPr>
          </w:p>
        </w:tc>
        <w:tc>
          <w:tcPr>
            <w:tcW w:w="750" w:type="dxa"/>
            <w:vMerge w:val="restart"/>
            <w:vAlign w:val="center"/>
          </w:tcPr>
          <w:p w:rsidR="00013EC7" w:rsidRDefault="00575CDB">
            <w:pPr>
              <w:widowControl/>
              <w:textAlignment w:val="center"/>
              <w:rPr>
                <w:rFonts w:ascii="仿宋" w:eastAsia="仿宋" w:hAnsi="仿宋" w:cs="方正书宋简体"/>
                <w:color w:val="000000"/>
                <w:sz w:val="24"/>
              </w:rPr>
            </w:pPr>
            <w:r>
              <w:rPr>
                <w:rFonts w:ascii="仿宋" w:eastAsia="仿宋" w:hAnsi="仿宋" w:cs="方正书宋简体"/>
                <w:color w:val="000000"/>
                <w:kern w:val="0"/>
                <w:sz w:val="24"/>
              </w:rPr>
              <w:lastRenderedPageBreak/>
              <w:t>即时办结</w:t>
            </w:r>
          </w:p>
        </w:tc>
        <w:tc>
          <w:tcPr>
            <w:tcW w:w="532" w:type="dxa"/>
            <w:vMerge w:val="restart"/>
            <w:vAlign w:val="center"/>
          </w:tcPr>
          <w:p w:rsidR="00013EC7" w:rsidRDefault="00575CDB">
            <w:pPr>
              <w:widowControl/>
              <w:textAlignment w:val="center"/>
              <w:rPr>
                <w:rFonts w:ascii="仿宋" w:eastAsia="仿宋" w:hAnsi="仿宋" w:cs="方正书宋简体"/>
                <w:color w:val="000000"/>
                <w:sz w:val="24"/>
              </w:rPr>
            </w:pPr>
            <w:r>
              <w:rPr>
                <w:rFonts w:ascii="仿宋" w:eastAsia="仿宋" w:hAnsi="仿宋" w:cs="方正书宋简体"/>
                <w:color w:val="000000"/>
                <w:kern w:val="0"/>
                <w:sz w:val="24"/>
              </w:rPr>
              <w:t>即时办结</w:t>
            </w:r>
          </w:p>
        </w:tc>
        <w:tc>
          <w:tcPr>
            <w:tcW w:w="462" w:type="dxa"/>
            <w:vMerge w:val="restart"/>
            <w:vAlign w:val="center"/>
          </w:tcPr>
          <w:p w:rsidR="00013EC7" w:rsidRDefault="00575CDB">
            <w:pPr>
              <w:widowControl/>
              <w:textAlignment w:val="center"/>
              <w:rPr>
                <w:rFonts w:ascii="仿宋" w:eastAsia="仿宋" w:hAnsi="仿宋" w:cs="方正书宋简体"/>
                <w:color w:val="000000"/>
                <w:sz w:val="24"/>
              </w:rPr>
            </w:pPr>
            <w:r>
              <w:rPr>
                <w:rFonts w:ascii="仿宋" w:eastAsia="仿宋" w:hAnsi="仿宋" w:cs="方正书宋简体"/>
                <w:color w:val="000000"/>
                <w:kern w:val="0"/>
                <w:sz w:val="24"/>
              </w:rPr>
              <w:t>是</w:t>
            </w:r>
          </w:p>
        </w:tc>
        <w:tc>
          <w:tcPr>
            <w:tcW w:w="693" w:type="dxa"/>
            <w:vMerge w:val="restart"/>
            <w:vAlign w:val="center"/>
          </w:tcPr>
          <w:p w:rsidR="00013EC7" w:rsidRDefault="00575CDB">
            <w:pPr>
              <w:widowControl/>
              <w:textAlignment w:val="center"/>
              <w:rPr>
                <w:rFonts w:ascii="仿宋" w:eastAsia="仿宋" w:hAnsi="仿宋" w:cs="宋体"/>
                <w:color w:val="000000"/>
                <w:sz w:val="24"/>
              </w:rPr>
            </w:pPr>
            <w:r>
              <w:rPr>
                <w:rFonts w:ascii="仿宋" w:eastAsia="仿宋" w:hAnsi="仿宋" w:cs="宋体" w:hint="eastAsia"/>
                <w:color w:val="000000"/>
                <w:kern w:val="0"/>
                <w:sz w:val="24"/>
              </w:rPr>
              <w:t>货物和劳务税处</w:t>
            </w:r>
          </w:p>
        </w:tc>
        <w:tc>
          <w:tcPr>
            <w:tcW w:w="761" w:type="dxa"/>
            <w:vMerge w:val="restart"/>
            <w:vAlign w:val="center"/>
          </w:tcPr>
          <w:p w:rsidR="00013EC7" w:rsidRDefault="00013EC7">
            <w:pPr>
              <w:rPr>
                <w:rFonts w:ascii="仿宋" w:eastAsia="仿宋" w:hAnsi="仿宋" w:cs="Calibri"/>
                <w:color w:val="000000"/>
                <w:sz w:val="24"/>
              </w:rPr>
            </w:pPr>
          </w:p>
        </w:tc>
      </w:tr>
      <w:tr w:rsidR="00013EC7">
        <w:trPr>
          <w:trHeight w:val="90"/>
        </w:trPr>
        <w:tc>
          <w:tcPr>
            <w:tcW w:w="736" w:type="dxa"/>
            <w:vMerge/>
            <w:shd w:val="clear" w:color="auto" w:fill="auto"/>
            <w:vAlign w:val="center"/>
          </w:tcPr>
          <w:p w:rsidR="00013EC7" w:rsidRDefault="00013EC7">
            <w:pPr>
              <w:widowControl/>
              <w:textAlignment w:val="center"/>
            </w:pPr>
          </w:p>
        </w:tc>
        <w:tc>
          <w:tcPr>
            <w:tcW w:w="735" w:type="dxa"/>
            <w:vMerge/>
            <w:shd w:val="clear" w:color="auto" w:fill="auto"/>
            <w:vAlign w:val="center"/>
          </w:tcPr>
          <w:p w:rsidR="00013EC7" w:rsidRDefault="00013EC7">
            <w:pPr>
              <w:widowControl/>
              <w:textAlignment w:val="center"/>
            </w:pPr>
          </w:p>
        </w:tc>
        <w:tc>
          <w:tcPr>
            <w:tcW w:w="3207" w:type="dxa"/>
            <w:vMerge/>
            <w:shd w:val="clear" w:color="auto" w:fill="auto"/>
            <w:vAlign w:val="center"/>
          </w:tcPr>
          <w:p w:rsidR="00013EC7" w:rsidRDefault="00013EC7">
            <w:pPr>
              <w:widowControl/>
              <w:textAlignment w:val="center"/>
            </w:pPr>
          </w:p>
        </w:tc>
        <w:tc>
          <w:tcPr>
            <w:tcW w:w="3577" w:type="dxa"/>
            <w:shd w:val="clear" w:color="auto" w:fill="auto"/>
            <w:vAlign w:val="center"/>
          </w:tcPr>
          <w:p w:rsidR="00013EC7" w:rsidRDefault="00575CDB">
            <w:pPr>
              <w:widowControl/>
              <w:textAlignment w:val="center"/>
              <w:rPr>
                <w:rFonts w:ascii="仿宋" w:eastAsia="仿宋" w:hAnsi="仿宋" w:cs="宋体"/>
                <w:kern w:val="0"/>
                <w:sz w:val="24"/>
              </w:rPr>
            </w:pPr>
            <w:r>
              <w:rPr>
                <w:rFonts w:ascii="仿宋" w:eastAsia="仿宋" w:hAnsi="仿宋" w:cs="方正书宋简体"/>
                <w:sz w:val="24"/>
              </w:rPr>
              <w:t>（</w:t>
            </w:r>
            <w:r>
              <w:rPr>
                <w:rFonts w:ascii="仿宋" w:eastAsia="仿宋" w:hAnsi="仿宋" w:cs="方正书宋简体" w:hint="eastAsia"/>
                <w:sz w:val="24"/>
              </w:rPr>
              <w:t>二</w:t>
            </w:r>
            <w:r>
              <w:rPr>
                <w:rFonts w:ascii="仿宋" w:eastAsia="仿宋" w:hAnsi="仿宋" w:cs="方正书宋简体"/>
                <w:sz w:val="24"/>
              </w:rPr>
              <w:t>）</w:t>
            </w:r>
            <w:r>
              <w:rPr>
                <w:rFonts w:ascii="仿宋" w:eastAsia="仿宋" w:hAnsi="仿宋" w:cs="方正书宋简体" w:hint="eastAsia"/>
                <w:sz w:val="24"/>
              </w:rPr>
              <w:t>取得</w:t>
            </w:r>
            <w:r>
              <w:rPr>
                <w:rStyle w:val="font21"/>
                <w:rFonts w:ascii="仿宋" w:eastAsia="仿宋" w:hAnsi="仿宋" w:hint="eastAsia"/>
                <w:b w:val="0"/>
                <w:sz w:val="24"/>
              </w:rPr>
              <w:t>有关部门资格、证明、检测报告的，提供资格证书、证明或检测报告原件及复印件。</w:t>
            </w:r>
          </w:p>
        </w:tc>
        <w:tc>
          <w:tcPr>
            <w:tcW w:w="1232" w:type="dxa"/>
            <w:shd w:val="clear" w:color="auto" w:fill="auto"/>
            <w:vAlign w:val="center"/>
          </w:tcPr>
          <w:p w:rsidR="00013EC7" w:rsidRDefault="00575CDB">
            <w:pPr>
              <w:widowControl/>
              <w:textAlignment w:val="center"/>
              <w:rPr>
                <w:rFonts w:ascii="仿宋" w:eastAsia="仿宋" w:hAnsi="仿宋" w:cs="宋体"/>
                <w:kern w:val="0"/>
                <w:sz w:val="24"/>
              </w:rPr>
            </w:pPr>
            <w:r>
              <w:rPr>
                <w:rFonts w:ascii="仿宋" w:eastAsia="仿宋" w:hAnsi="仿宋" w:cs="宋体" w:hint="eastAsia"/>
                <w:kern w:val="0"/>
                <w:sz w:val="24"/>
              </w:rPr>
              <w:t>乙醇汽油生产企业、</w:t>
            </w:r>
          </w:p>
          <w:p w:rsidR="00013EC7" w:rsidRDefault="00575CDB">
            <w:pPr>
              <w:textAlignment w:val="center"/>
              <w:rPr>
                <w:rFonts w:ascii="仿宋" w:eastAsia="仿宋" w:hAnsi="仿宋" w:cs="宋体"/>
                <w:kern w:val="0"/>
                <w:sz w:val="24"/>
              </w:rPr>
            </w:pPr>
            <w:r>
              <w:rPr>
                <w:rFonts w:ascii="仿宋" w:eastAsia="仿宋" w:hAnsi="仿宋" w:cs="方正书宋简体" w:hint="eastAsia"/>
                <w:sz w:val="24"/>
              </w:rPr>
              <w:t>废弃动植物油生产纯生物柴油企业、</w:t>
            </w:r>
            <w:r>
              <w:rPr>
                <w:rFonts w:ascii="仿宋" w:eastAsia="仿宋" w:hAnsi="仿宋" w:cs="Calibri" w:hint="eastAsia"/>
                <w:sz w:val="24"/>
              </w:rPr>
              <w:t>航空煤油生产企业</w:t>
            </w:r>
            <w:r>
              <w:rPr>
                <w:rFonts w:ascii="仿宋" w:eastAsia="仿宋" w:hAnsi="仿宋" w:cs="方正书宋简体" w:hint="eastAsia"/>
                <w:sz w:val="24"/>
              </w:rPr>
              <w:t>提交</w:t>
            </w:r>
          </w:p>
        </w:tc>
        <w:tc>
          <w:tcPr>
            <w:tcW w:w="3577" w:type="dxa"/>
            <w:shd w:val="clear" w:color="auto" w:fill="FFFFFF"/>
            <w:vAlign w:val="center"/>
          </w:tcPr>
          <w:p w:rsidR="00013EC7" w:rsidRDefault="00575CDB">
            <w:pPr>
              <w:widowControl/>
              <w:textAlignment w:val="center"/>
              <w:rPr>
                <w:rFonts w:ascii="仿宋" w:eastAsia="仿宋" w:hAnsi="仿宋" w:cs="宋体"/>
                <w:kern w:val="0"/>
                <w:sz w:val="24"/>
              </w:rPr>
            </w:pPr>
            <w:r>
              <w:rPr>
                <w:rFonts w:ascii="仿宋" w:eastAsia="仿宋" w:hAnsi="仿宋" w:cs="方正书宋简体"/>
                <w:sz w:val="24"/>
              </w:rPr>
              <w:t>（</w:t>
            </w:r>
            <w:r>
              <w:rPr>
                <w:rFonts w:ascii="仿宋" w:eastAsia="仿宋" w:hAnsi="仿宋" w:cs="方正书宋简体" w:hint="eastAsia"/>
                <w:sz w:val="24"/>
              </w:rPr>
              <w:t>二</w:t>
            </w:r>
            <w:r>
              <w:rPr>
                <w:rFonts w:ascii="仿宋" w:eastAsia="仿宋" w:hAnsi="仿宋" w:cs="方正书宋简体"/>
                <w:sz w:val="24"/>
              </w:rPr>
              <w:t>）</w:t>
            </w:r>
            <w:r>
              <w:rPr>
                <w:rFonts w:ascii="仿宋" w:eastAsia="仿宋" w:hAnsi="仿宋" w:cs="方正书宋简体" w:hint="eastAsia"/>
                <w:sz w:val="24"/>
              </w:rPr>
              <w:t>取得省级环保部门资格、证明、检测报告的，提供资格证书、证明或检测报告复印件（注明与原件一致，并加盖公章）。</w:t>
            </w:r>
          </w:p>
        </w:tc>
        <w:tc>
          <w:tcPr>
            <w:tcW w:w="1283" w:type="dxa"/>
            <w:vAlign w:val="center"/>
          </w:tcPr>
          <w:p w:rsidR="00013EC7" w:rsidRDefault="00575CDB">
            <w:pPr>
              <w:widowControl/>
              <w:textAlignment w:val="center"/>
              <w:rPr>
                <w:rFonts w:ascii="仿宋" w:eastAsia="仿宋" w:hAnsi="仿宋" w:cs="宋体"/>
                <w:kern w:val="0"/>
                <w:sz w:val="24"/>
              </w:rPr>
            </w:pPr>
            <w:r>
              <w:rPr>
                <w:rFonts w:ascii="仿宋" w:eastAsia="仿宋" w:hAnsi="仿宋" w:cs="宋体" w:hint="eastAsia"/>
                <w:kern w:val="0"/>
                <w:sz w:val="24"/>
              </w:rPr>
              <w:t>乙醇汽油生产企业、</w:t>
            </w:r>
          </w:p>
          <w:p w:rsidR="00013EC7" w:rsidRDefault="00575CDB">
            <w:pPr>
              <w:widowControl/>
              <w:textAlignment w:val="center"/>
              <w:rPr>
                <w:rFonts w:ascii="仿宋" w:eastAsia="仿宋" w:hAnsi="仿宋" w:cs="宋体"/>
                <w:kern w:val="0"/>
                <w:sz w:val="24"/>
              </w:rPr>
            </w:pPr>
            <w:r>
              <w:rPr>
                <w:rFonts w:ascii="仿宋" w:eastAsia="仿宋" w:hAnsi="仿宋" w:cs="方正书宋简体" w:hint="eastAsia"/>
                <w:sz w:val="24"/>
              </w:rPr>
              <w:t>废弃动植物油生产纯生物柴油企业提交</w:t>
            </w:r>
          </w:p>
        </w:tc>
        <w:tc>
          <w:tcPr>
            <w:tcW w:w="2613" w:type="dxa"/>
            <w:vMerge/>
            <w:vAlign w:val="center"/>
          </w:tcPr>
          <w:p w:rsidR="00013EC7" w:rsidRDefault="00013EC7">
            <w:pPr>
              <w:widowControl/>
              <w:textAlignment w:val="center"/>
              <w:rPr>
                <w:rFonts w:ascii="仿宋" w:eastAsia="仿宋" w:hAnsi="仿宋" w:cs="宋体"/>
                <w:kern w:val="0"/>
                <w:sz w:val="24"/>
              </w:rPr>
            </w:pPr>
          </w:p>
        </w:tc>
        <w:tc>
          <w:tcPr>
            <w:tcW w:w="750" w:type="dxa"/>
            <w:vMerge/>
            <w:vAlign w:val="center"/>
          </w:tcPr>
          <w:p w:rsidR="00013EC7" w:rsidRDefault="00013EC7">
            <w:pPr>
              <w:widowControl/>
              <w:textAlignment w:val="center"/>
              <w:rPr>
                <w:rFonts w:ascii="仿宋" w:eastAsia="仿宋" w:hAnsi="仿宋" w:cs="宋体"/>
                <w:kern w:val="0"/>
                <w:sz w:val="24"/>
              </w:rPr>
            </w:pPr>
          </w:p>
        </w:tc>
        <w:tc>
          <w:tcPr>
            <w:tcW w:w="532" w:type="dxa"/>
            <w:vMerge/>
            <w:vAlign w:val="center"/>
          </w:tcPr>
          <w:p w:rsidR="00013EC7" w:rsidRDefault="00013EC7">
            <w:pPr>
              <w:widowControl/>
              <w:textAlignment w:val="center"/>
              <w:rPr>
                <w:rFonts w:ascii="仿宋" w:eastAsia="仿宋" w:hAnsi="仿宋" w:cs="宋体"/>
                <w:kern w:val="0"/>
                <w:sz w:val="24"/>
              </w:rPr>
            </w:pPr>
          </w:p>
        </w:tc>
        <w:tc>
          <w:tcPr>
            <w:tcW w:w="462" w:type="dxa"/>
            <w:vMerge/>
            <w:vAlign w:val="center"/>
          </w:tcPr>
          <w:p w:rsidR="00013EC7" w:rsidRDefault="00013EC7">
            <w:pPr>
              <w:widowControl/>
              <w:textAlignment w:val="center"/>
              <w:rPr>
                <w:rFonts w:ascii="仿宋" w:eastAsia="仿宋" w:hAnsi="仿宋" w:cs="宋体"/>
                <w:kern w:val="0"/>
                <w:sz w:val="24"/>
              </w:rPr>
            </w:pPr>
          </w:p>
        </w:tc>
        <w:tc>
          <w:tcPr>
            <w:tcW w:w="693" w:type="dxa"/>
            <w:vMerge/>
            <w:vAlign w:val="center"/>
          </w:tcPr>
          <w:p w:rsidR="00013EC7" w:rsidRDefault="00013EC7">
            <w:pPr>
              <w:widowControl/>
              <w:textAlignment w:val="center"/>
              <w:rPr>
                <w:rFonts w:ascii="仿宋" w:eastAsia="仿宋" w:hAnsi="仿宋" w:cs="宋体"/>
                <w:kern w:val="0"/>
                <w:sz w:val="24"/>
              </w:rPr>
            </w:pPr>
          </w:p>
        </w:tc>
        <w:tc>
          <w:tcPr>
            <w:tcW w:w="761" w:type="dxa"/>
            <w:vMerge/>
            <w:vAlign w:val="center"/>
          </w:tcPr>
          <w:p w:rsidR="00013EC7" w:rsidRDefault="00013EC7">
            <w:pPr>
              <w:widowControl/>
              <w:textAlignment w:val="center"/>
              <w:rPr>
                <w:rFonts w:ascii="仿宋" w:eastAsia="仿宋" w:hAnsi="仿宋" w:cs="宋体"/>
                <w:kern w:val="0"/>
                <w:sz w:val="24"/>
              </w:rPr>
            </w:pPr>
          </w:p>
        </w:tc>
      </w:tr>
      <w:tr w:rsidR="00013EC7">
        <w:trPr>
          <w:trHeight w:val="1701"/>
        </w:trPr>
        <w:tc>
          <w:tcPr>
            <w:tcW w:w="736" w:type="dxa"/>
            <w:vMerge/>
            <w:shd w:val="clear" w:color="auto" w:fill="auto"/>
            <w:vAlign w:val="center"/>
          </w:tcPr>
          <w:p w:rsidR="00013EC7" w:rsidRDefault="00013EC7">
            <w:pPr>
              <w:widowControl/>
              <w:textAlignment w:val="center"/>
            </w:pPr>
          </w:p>
        </w:tc>
        <w:tc>
          <w:tcPr>
            <w:tcW w:w="735" w:type="dxa"/>
            <w:vMerge/>
            <w:shd w:val="clear" w:color="auto" w:fill="auto"/>
            <w:vAlign w:val="center"/>
          </w:tcPr>
          <w:p w:rsidR="00013EC7" w:rsidRDefault="00013EC7">
            <w:pPr>
              <w:widowControl/>
              <w:textAlignment w:val="center"/>
            </w:pPr>
          </w:p>
        </w:tc>
        <w:tc>
          <w:tcPr>
            <w:tcW w:w="3207" w:type="dxa"/>
            <w:vMerge/>
            <w:shd w:val="clear" w:color="auto" w:fill="auto"/>
            <w:vAlign w:val="center"/>
          </w:tcPr>
          <w:p w:rsidR="00013EC7" w:rsidRDefault="00013EC7">
            <w:pPr>
              <w:widowControl/>
              <w:textAlignment w:val="center"/>
            </w:pPr>
          </w:p>
        </w:tc>
        <w:tc>
          <w:tcPr>
            <w:tcW w:w="3577" w:type="dxa"/>
            <w:shd w:val="clear" w:color="auto" w:fill="auto"/>
            <w:vAlign w:val="center"/>
          </w:tcPr>
          <w:p w:rsidR="00013EC7" w:rsidRDefault="00575CDB">
            <w:pPr>
              <w:widowControl/>
              <w:textAlignment w:val="center"/>
              <w:rPr>
                <w:rStyle w:val="font21"/>
                <w:rFonts w:ascii="仿宋" w:eastAsia="仿宋" w:hAnsi="仿宋"/>
                <w:b w:val="0"/>
                <w:sz w:val="24"/>
              </w:rPr>
            </w:pPr>
            <w:r>
              <w:rPr>
                <w:rFonts w:ascii="仿宋" w:eastAsia="仿宋" w:hAnsi="仿宋" w:cs="方正书宋简体"/>
                <w:sz w:val="24"/>
              </w:rPr>
              <w:t>（</w:t>
            </w:r>
            <w:r>
              <w:rPr>
                <w:rFonts w:ascii="仿宋" w:eastAsia="仿宋" w:hAnsi="仿宋" w:cs="方正书宋简体" w:hint="eastAsia"/>
                <w:sz w:val="24"/>
              </w:rPr>
              <w:t>三</w:t>
            </w:r>
            <w:r>
              <w:rPr>
                <w:rFonts w:ascii="仿宋" w:eastAsia="仿宋" w:hAnsi="仿宋" w:cs="方正书宋简体"/>
                <w:sz w:val="24"/>
              </w:rPr>
              <w:t>）</w:t>
            </w:r>
            <w:r>
              <w:rPr>
                <w:rFonts w:ascii="仿宋" w:eastAsia="仿宋" w:hAnsi="仿宋" w:cs="方正书宋简体" w:hint="eastAsia"/>
                <w:sz w:val="24"/>
              </w:rPr>
              <w:t>取得</w:t>
            </w:r>
            <w:r>
              <w:rPr>
                <w:rStyle w:val="font21"/>
                <w:rFonts w:ascii="仿宋" w:eastAsia="仿宋" w:hAnsi="仿宋" w:hint="eastAsia"/>
                <w:b w:val="0"/>
                <w:sz w:val="24"/>
              </w:rPr>
              <w:t>有关部门资格、证明、检测报告的，提供资格证书、证明或检测报告原件及复印件。</w:t>
            </w:r>
          </w:p>
        </w:tc>
        <w:tc>
          <w:tcPr>
            <w:tcW w:w="1232" w:type="dxa"/>
            <w:shd w:val="clear" w:color="auto" w:fill="auto"/>
            <w:vAlign w:val="center"/>
          </w:tcPr>
          <w:p w:rsidR="00013EC7" w:rsidRDefault="00575CDB">
            <w:pPr>
              <w:widowControl/>
              <w:textAlignment w:val="center"/>
              <w:rPr>
                <w:rStyle w:val="font21"/>
                <w:rFonts w:ascii="仿宋" w:eastAsia="仿宋" w:hAnsi="仿宋"/>
                <w:b w:val="0"/>
                <w:sz w:val="24"/>
              </w:rPr>
            </w:pPr>
            <w:r>
              <w:rPr>
                <w:rFonts w:ascii="仿宋" w:eastAsia="仿宋" w:hAnsi="仿宋" w:cs="方正书宋简体" w:hint="eastAsia"/>
                <w:sz w:val="24"/>
              </w:rPr>
              <w:t>节能环保电池生产企业、节能环保涂料生产企业提交</w:t>
            </w:r>
          </w:p>
        </w:tc>
        <w:tc>
          <w:tcPr>
            <w:tcW w:w="3577" w:type="dxa"/>
            <w:shd w:val="clear" w:color="auto" w:fill="FFFFFF"/>
            <w:vAlign w:val="center"/>
          </w:tcPr>
          <w:p w:rsidR="00013EC7" w:rsidRDefault="00575CDB">
            <w:pPr>
              <w:widowControl/>
              <w:textAlignment w:val="center"/>
              <w:rPr>
                <w:rStyle w:val="font21"/>
                <w:rFonts w:ascii="仿宋" w:eastAsia="仿宋" w:hAnsi="仿宋"/>
                <w:b w:val="0"/>
                <w:sz w:val="24"/>
              </w:rPr>
            </w:pPr>
            <w:r>
              <w:rPr>
                <w:rFonts w:ascii="仿宋" w:eastAsia="仿宋" w:hAnsi="仿宋" w:cs="方正书宋简体"/>
                <w:sz w:val="24"/>
              </w:rPr>
              <w:t>（三）</w:t>
            </w:r>
            <w:r>
              <w:rPr>
                <w:rFonts w:ascii="仿宋" w:eastAsia="仿宋" w:hAnsi="仿宋" w:cs="方正书宋简体" w:hint="eastAsia"/>
                <w:sz w:val="24"/>
              </w:rPr>
              <w:t>省级以上质量技术监督部门认定的检测机构资格、证明、检测报告的，提供资格证书、证明或检测报告复印件（注明与原件一致，并加盖公章）</w:t>
            </w:r>
            <w:r>
              <w:rPr>
                <w:rStyle w:val="font21"/>
                <w:rFonts w:ascii="仿宋" w:eastAsia="仿宋" w:hAnsi="仿宋" w:hint="eastAsia"/>
                <w:b w:val="0"/>
                <w:sz w:val="24"/>
              </w:rPr>
              <w:t>。</w:t>
            </w:r>
          </w:p>
        </w:tc>
        <w:tc>
          <w:tcPr>
            <w:tcW w:w="1283" w:type="dxa"/>
            <w:vAlign w:val="center"/>
          </w:tcPr>
          <w:p w:rsidR="00013EC7" w:rsidRDefault="00575CDB">
            <w:pPr>
              <w:widowControl/>
              <w:textAlignment w:val="center"/>
              <w:rPr>
                <w:rStyle w:val="font21"/>
                <w:rFonts w:ascii="仿宋" w:eastAsia="仿宋" w:hAnsi="仿宋"/>
                <w:sz w:val="24"/>
              </w:rPr>
            </w:pPr>
            <w:r>
              <w:rPr>
                <w:rFonts w:ascii="仿宋" w:eastAsia="仿宋" w:hAnsi="仿宋" w:cs="方正书宋简体" w:hint="eastAsia"/>
                <w:sz w:val="24"/>
              </w:rPr>
              <w:t>节能环保电池生产企业、节能环保涂料生产企业提交</w:t>
            </w:r>
          </w:p>
        </w:tc>
        <w:tc>
          <w:tcPr>
            <w:tcW w:w="2613" w:type="dxa"/>
            <w:vMerge/>
            <w:vAlign w:val="center"/>
          </w:tcPr>
          <w:p w:rsidR="00013EC7" w:rsidRDefault="00013EC7">
            <w:pPr>
              <w:widowControl/>
              <w:textAlignment w:val="center"/>
              <w:rPr>
                <w:rStyle w:val="font21"/>
                <w:rFonts w:ascii="仿宋" w:eastAsia="仿宋" w:hAnsi="仿宋"/>
                <w:sz w:val="24"/>
              </w:rPr>
            </w:pPr>
          </w:p>
        </w:tc>
        <w:tc>
          <w:tcPr>
            <w:tcW w:w="750" w:type="dxa"/>
            <w:vMerge/>
            <w:vAlign w:val="center"/>
          </w:tcPr>
          <w:p w:rsidR="00013EC7" w:rsidRDefault="00013EC7">
            <w:pPr>
              <w:widowControl/>
              <w:textAlignment w:val="center"/>
              <w:rPr>
                <w:rStyle w:val="font21"/>
                <w:rFonts w:ascii="仿宋" w:eastAsia="仿宋" w:hAnsi="仿宋"/>
                <w:sz w:val="24"/>
              </w:rPr>
            </w:pPr>
          </w:p>
        </w:tc>
        <w:tc>
          <w:tcPr>
            <w:tcW w:w="532" w:type="dxa"/>
            <w:vMerge/>
            <w:vAlign w:val="center"/>
          </w:tcPr>
          <w:p w:rsidR="00013EC7" w:rsidRDefault="00013EC7">
            <w:pPr>
              <w:widowControl/>
              <w:textAlignment w:val="center"/>
              <w:rPr>
                <w:rStyle w:val="font21"/>
                <w:rFonts w:ascii="仿宋" w:eastAsia="仿宋" w:hAnsi="仿宋"/>
                <w:sz w:val="24"/>
              </w:rPr>
            </w:pPr>
          </w:p>
        </w:tc>
        <w:tc>
          <w:tcPr>
            <w:tcW w:w="462" w:type="dxa"/>
            <w:vMerge/>
            <w:vAlign w:val="center"/>
          </w:tcPr>
          <w:p w:rsidR="00013EC7" w:rsidRDefault="00013EC7">
            <w:pPr>
              <w:widowControl/>
              <w:textAlignment w:val="center"/>
              <w:rPr>
                <w:rStyle w:val="font21"/>
                <w:rFonts w:ascii="仿宋" w:eastAsia="仿宋" w:hAnsi="仿宋"/>
                <w:sz w:val="24"/>
              </w:rPr>
            </w:pPr>
          </w:p>
        </w:tc>
        <w:tc>
          <w:tcPr>
            <w:tcW w:w="693" w:type="dxa"/>
            <w:vMerge/>
            <w:vAlign w:val="center"/>
          </w:tcPr>
          <w:p w:rsidR="00013EC7" w:rsidRDefault="00013EC7">
            <w:pPr>
              <w:widowControl/>
              <w:textAlignment w:val="center"/>
              <w:rPr>
                <w:rStyle w:val="font21"/>
                <w:rFonts w:ascii="仿宋" w:eastAsia="仿宋" w:hAnsi="仿宋"/>
                <w:sz w:val="24"/>
              </w:rPr>
            </w:pPr>
          </w:p>
        </w:tc>
        <w:tc>
          <w:tcPr>
            <w:tcW w:w="761" w:type="dxa"/>
            <w:vMerge/>
            <w:vAlign w:val="center"/>
          </w:tcPr>
          <w:p w:rsidR="00013EC7" w:rsidRDefault="00013EC7">
            <w:pPr>
              <w:widowControl/>
              <w:textAlignment w:val="center"/>
              <w:rPr>
                <w:rStyle w:val="font21"/>
                <w:rFonts w:ascii="仿宋" w:eastAsia="仿宋" w:hAnsi="仿宋"/>
                <w:sz w:val="24"/>
              </w:rPr>
            </w:pPr>
          </w:p>
        </w:tc>
      </w:tr>
      <w:tr w:rsidR="00013EC7">
        <w:trPr>
          <w:trHeight w:val="90"/>
        </w:trPr>
        <w:tc>
          <w:tcPr>
            <w:tcW w:w="736" w:type="dxa"/>
            <w:vMerge/>
            <w:shd w:val="clear" w:color="auto" w:fill="auto"/>
            <w:vAlign w:val="center"/>
          </w:tcPr>
          <w:p w:rsidR="00013EC7" w:rsidRDefault="00013EC7">
            <w:pPr>
              <w:widowControl/>
              <w:textAlignment w:val="center"/>
              <w:rPr>
                <w:rFonts w:ascii="仿宋" w:eastAsia="仿宋" w:hAnsi="仿宋" w:cs="宋体"/>
                <w:kern w:val="0"/>
                <w:sz w:val="24"/>
              </w:rPr>
            </w:pPr>
          </w:p>
        </w:tc>
        <w:tc>
          <w:tcPr>
            <w:tcW w:w="735" w:type="dxa"/>
            <w:vMerge/>
            <w:shd w:val="clear" w:color="auto" w:fill="auto"/>
            <w:vAlign w:val="center"/>
          </w:tcPr>
          <w:p w:rsidR="00013EC7" w:rsidRDefault="00013EC7">
            <w:pPr>
              <w:widowControl/>
              <w:textAlignment w:val="center"/>
              <w:rPr>
                <w:rFonts w:ascii="仿宋" w:eastAsia="仿宋" w:hAnsi="仿宋" w:cs="宋体"/>
                <w:kern w:val="0"/>
                <w:sz w:val="24"/>
              </w:rPr>
            </w:pPr>
          </w:p>
        </w:tc>
        <w:tc>
          <w:tcPr>
            <w:tcW w:w="3207" w:type="dxa"/>
            <w:vMerge/>
            <w:shd w:val="clear" w:color="auto" w:fill="auto"/>
            <w:vAlign w:val="center"/>
          </w:tcPr>
          <w:p w:rsidR="00013EC7" w:rsidRDefault="00013EC7">
            <w:pPr>
              <w:widowControl/>
              <w:textAlignment w:val="center"/>
              <w:rPr>
                <w:rFonts w:ascii="仿宋" w:eastAsia="仿宋" w:hAnsi="仿宋" w:cs="宋体"/>
                <w:kern w:val="0"/>
                <w:sz w:val="24"/>
              </w:rPr>
            </w:pPr>
          </w:p>
        </w:tc>
        <w:tc>
          <w:tcPr>
            <w:tcW w:w="3577" w:type="dxa"/>
            <w:shd w:val="clear" w:color="auto" w:fill="auto"/>
            <w:vAlign w:val="center"/>
          </w:tcPr>
          <w:p w:rsidR="00013EC7" w:rsidRDefault="00575CDB">
            <w:pPr>
              <w:widowControl/>
              <w:tabs>
                <w:tab w:val="left" w:pos="312"/>
              </w:tabs>
              <w:textAlignment w:val="center"/>
              <w:rPr>
                <w:rStyle w:val="font21"/>
                <w:rFonts w:ascii="仿宋" w:eastAsia="仿宋" w:hAnsi="仿宋"/>
                <w:b w:val="0"/>
                <w:sz w:val="24"/>
              </w:rPr>
            </w:pPr>
            <w:r>
              <w:rPr>
                <w:rFonts w:ascii="仿宋" w:eastAsia="仿宋" w:hAnsi="仿宋" w:cs="宋体"/>
                <w:color w:val="000000"/>
                <w:sz w:val="24"/>
              </w:rPr>
              <w:t>（</w:t>
            </w:r>
            <w:r>
              <w:rPr>
                <w:rFonts w:ascii="仿宋" w:eastAsia="仿宋" w:hAnsi="仿宋" w:cs="宋体" w:hint="eastAsia"/>
                <w:color w:val="000000"/>
                <w:sz w:val="24"/>
              </w:rPr>
              <w:t>四</w:t>
            </w:r>
            <w:r>
              <w:rPr>
                <w:rFonts w:ascii="仿宋" w:eastAsia="仿宋" w:hAnsi="仿宋" w:cs="宋体"/>
                <w:color w:val="000000"/>
                <w:sz w:val="24"/>
              </w:rPr>
              <w:t>）</w:t>
            </w:r>
            <w:r>
              <w:rPr>
                <w:rFonts w:ascii="仿宋" w:eastAsia="仿宋" w:hAnsi="仿宋" w:cs="方正书宋简体" w:hint="eastAsia"/>
                <w:sz w:val="24"/>
              </w:rPr>
              <w:t>成品油生产企业在生产成品油过程中，作为燃料、动力及原料消耗掉的自产成品油相关证明材料</w:t>
            </w:r>
            <w:r>
              <w:rPr>
                <w:rStyle w:val="font21"/>
                <w:rFonts w:ascii="仿宋" w:eastAsia="仿宋" w:hAnsi="仿宋" w:hint="eastAsia"/>
                <w:b w:val="0"/>
                <w:sz w:val="24"/>
              </w:rPr>
              <w:t>。</w:t>
            </w:r>
          </w:p>
        </w:tc>
        <w:tc>
          <w:tcPr>
            <w:tcW w:w="1232" w:type="dxa"/>
            <w:shd w:val="clear" w:color="auto" w:fill="FFFFFF"/>
            <w:vAlign w:val="center"/>
          </w:tcPr>
          <w:p w:rsidR="00013EC7" w:rsidRDefault="00575CDB">
            <w:pPr>
              <w:widowControl/>
              <w:textAlignment w:val="center"/>
              <w:rPr>
                <w:rFonts w:ascii="仿宋" w:eastAsia="仿宋" w:hAnsi="仿宋" w:cs="宋体"/>
                <w:kern w:val="0"/>
                <w:sz w:val="24"/>
              </w:rPr>
            </w:pPr>
            <w:r>
              <w:rPr>
                <w:rFonts w:ascii="仿宋" w:eastAsia="仿宋" w:hAnsi="仿宋" w:cs="Calibri" w:hint="eastAsia"/>
                <w:sz w:val="24"/>
              </w:rPr>
              <w:t>成品油生产企业提交</w:t>
            </w:r>
          </w:p>
        </w:tc>
        <w:tc>
          <w:tcPr>
            <w:tcW w:w="3577" w:type="dxa"/>
            <w:shd w:val="clear" w:color="auto" w:fill="FFFFFF"/>
            <w:vAlign w:val="center"/>
          </w:tcPr>
          <w:p w:rsidR="00013EC7" w:rsidRDefault="00575CDB">
            <w:pPr>
              <w:widowControl/>
              <w:textAlignment w:val="center"/>
              <w:rPr>
                <w:rFonts w:ascii="仿宋" w:eastAsia="仿宋" w:hAnsi="仿宋" w:cs="宋体"/>
                <w:kern w:val="0"/>
                <w:sz w:val="24"/>
              </w:rPr>
            </w:pPr>
            <w:r>
              <w:rPr>
                <w:rFonts w:ascii="仿宋" w:eastAsia="仿宋" w:hAnsi="仿宋" w:cs="方正书宋简体"/>
                <w:sz w:val="24"/>
              </w:rPr>
              <w:t>（</w:t>
            </w:r>
            <w:r>
              <w:rPr>
                <w:rFonts w:ascii="仿宋" w:eastAsia="仿宋" w:hAnsi="仿宋" w:cs="方正书宋简体" w:hint="eastAsia"/>
                <w:sz w:val="24"/>
              </w:rPr>
              <w:t>四</w:t>
            </w:r>
            <w:r>
              <w:rPr>
                <w:rFonts w:ascii="仿宋" w:eastAsia="仿宋" w:hAnsi="仿宋" w:cs="方正书宋简体"/>
                <w:sz w:val="24"/>
              </w:rPr>
              <w:t>）</w:t>
            </w:r>
            <w:r>
              <w:rPr>
                <w:rFonts w:ascii="仿宋" w:eastAsia="仿宋" w:hAnsi="仿宋" w:cs="方正书宋简体" w:hint="eastAsia"/>
                <w:sz w:val="24"/>
              </w:rPr>
              <w:t>成品油生产企业在生产成品油过程中，作为燃料、动力及原料消耗掉的自产成品油相关证明材料</w:t>
            </w:r>
            <w:r>
              <w:rPr>
                <w:rStyle w:val="font21"/>
                <w:rFonts w:ascii="仿宋" w:eastAsia="仿宋" w:hAnsi="仿宋" w:hint="eastAsia"/>
                <w:b w:val="0"/>
                <w:sz w:val="24"/>
              </w:rPr>
              <w:t>。</w:t>
            </w:r>
          </w:p>
        </w:tc>
        <w:tc>
          <w:tcPr>
            <w:tcW w:w="1283" w:type="dxa"/>
            <w:vAlign w:val="center"/>
          </w:tcPr>
          <w:p w:rsidR="00013EC7" w:rsidRDefault="00575CDB">
            <w:pPr>
              <w:widowControl/>
              <w:textAlignment w:val="center"/>
              <w:rPr>
                <w:rFonts w:ascii="仿宋" w:eastAsia="仿宋" w:hAnsi="仿宋" w:cs="宋体"/>
                <w:kern w:val="0"/>
                <w:sz w:val="24"/>
              </w:rPr>
            </w:pPr>
            <w:r>
              <w:rPr>
                <w:rFonts w:ascii="仿宋" w:eastAsia="仿宋" w:hAnsi="仿宋" w:cs="Calibri" w:hint="eastAsia"/>
                <w:sz w:val="24"/>
              </w:rPr>
              <w:t>成品油生产企业提交</w:t>
            </w:r>
          </w:p>
        </w:tc>
        <w:tc>
          <w:tcPr>
            <w:tcW w:w="2613" w:type="dxa"/>
            <w:vMerge/>
            <w:vAlign w:val="center"/>
          </w:tcPr>
          <w:p w:rsidR="00013EC7" w:rsidRDefault="00013EC7">
            <w:pPr>
              <w:widowControl/>
              <w:textAlignment w:val="center"/>
              <w:rPr>
                <w:rFonts w:ascii="仿宋" w:eastAsia="仿宋" w:hAnsi="仿宋" w:cs="宋体"/>
                <w:kern w:val="0"/>
                <w:sz w:val="24"/>
              </w:rPr>
            </w:pPr>
          </w:p>
        </w:tc>
        <w:tc>
          <w:tcPr>
            <w:tcW w:w="750" w:type="dxa"/>
            <w:vMerge/>
            <w:vAlign w:val="center"/>
          </w:tcPr>
          <w:p w:rsidR="00013EC7" w:rsidRDefault="00013EC7">
            <w:pPr>
              <w:widowControl/>
              <w:textAlignment w:val="center"/>
              <w:rPr>
                <w:rFonts w:ascii="仿宋" w:eastAsia="仿宋" w:hAnsi="仿宋" w:cs="宋体"/>
                <w:kern w:val="0"/>
                <w:sz w:val="24"/>
              </w:rPr>
            </w:pPr>
          </w:p>
        </w:tc>
        <w:tc>
          <w:tcPr>
            <w:tcW w:w="532" w:type="dxa"/>
            <w:vMerge/>
            <w:vAlign w:val="center"/>
          </w:tcPr>
          <w:p w:rsidR="00013EC7" w:rsidRDefault="00013EC7">
            <w:pPr>
              <w:widowControl/>
              <w:textAlignment w:val="center"/>
              <w:rPr>
                <w:rFonts w:ascii="仿宋" w:eastAsia="仿宋" w:hAnsi="仿宋" w:cs="宋体"/>
                <w:kern w:val="0"/>
                <w:sz w:val="24"/>
              </w:rPr>
            </w:pPr>
          </w:p>
        </w:tc>
        <w:tc>
          <w:tcPr>
            <w:tcW w:w="462" w:type="dxa"/>
            <w:vMerge/>
            <w:vAlign w:val="center"/>
          </w:tcPr>
          <w:p w:rsidR="00013EC7" w:rsidRDefault="00013EC7">
            <w:pPr>
              <w:widowControl/>
              <w:textAlignment w:val="center"/>
              <w:rPr>
                <w:rFonts w:ascii="仿宋" w:eastAsia="仿宋" w:hAnsi="仿宋" w:cs="宋体"/>
                <w:kern w:val="0"/>
                <w:sz w:val="24"/>
              </w:rPr>
            </w:pPr>
          </w:p>
        </w:tc>
        <w:tc>
          <w:tcPr>
            <w:tcW w:w="693" w:type="dxa"/>
            <w:vMerge/>
            <w:vAlign w:val="center"/>
          </w:tcPr>
          <w:p w:rsidR="00013EC7" w:rsidRDefault="00013EC7">
            <w:pPr>
              <w:widowControl/>
              <w:textAlignment w:val="center"/>
              <w:rPr>
                <w:rFonts w:ascii="仿宋" w:eastAsia="仿宋" w:hAnsi="仿宋" w:cs="宋体"/>
                <w:kern w:val="0"/>
                <w:sz w:val="24"/>
              </w:rPr>
            </w:pPr>
          </w:p>
        </w:tc>
        <w:tc>
          <w:tcPr>
            <w:tcW w:w="761" w:type="dxa"/>
            <w:vMerge/>
            <w:vAlign w:val="center"/>
          </w:tcPr>
          <w:p w:rsidR="00013EC7" w:rsidRDefault="00013EC7">
            <w:pPr>
              <w:widowControl/>
              <w:textAlignment w:val="center"/>
              <w:rPr>
                <w:rFonts w:ascii="仿宋" w:eastAsia="仿宋" w:hAnsi="仿宋" w:cs="宋体"/>
                <w:kern w:val="0"/>
                <w:sz w:val="24"/>
              </w:rPr>
            </w:pPr>
          </w:p>
        </w:tc>
      </w:tr>
      <w:tr w:rsidR="00013EC7">
        <w:trPr>
          <w:trHeight w:val="1243"/>
        </w:trPr>
        <w:tc>
          <w:tcPr>
            <w:tcW w:w="736" w:type="dxa"/>
            <w:vMerge/>
            <w:shd w:val="clear" w:color="auto" w:fill="auto"/>
            <w:vAlign w:val="center"/>
          </w:tcPr>
          <w:p w:rsidR="00013EC7" w:rsidRDefault="00013EC7">
            <w:pPr>
              <w:widowControl/>
              <w:textAlignment w:val="center"/>
            </w:pPr>
          </w:p>
        </w:tc>
        <w:tc>
          <w:tcPr>
            <w:tcW w:w="735" w:type="dxa"/>
            <w:vMerge/>
            <w:shd w:val="clear" w:color="auto" w:fill="auto"/>
            <w:vAlign w:val="center"/>
          </w:tcPr>
          <w:p w:rsidR="00013EC7" w:rsidRDefault="00013EC7">
            <w:pPr>
              <w:widowControl/>
              <w:textAlignment w:val="center"/>
            </w:pPr>
          </w:p>
        </w:tc>
        <w:tc>
          <w:tcPr>
            <w:tcW w:w="3207" w:type="dxa"/>
            <w:vMerge/>
            <w:shd w:val="clear" w:color="auto" w:fill="auto"/>
            <w:vAlign w:val="center"/>
          </w:tcPr>
          <w:p w:rsidR="00013EC7" w:rsidRDefault="00013EC7">
            <w:pPr>
              <w:widowControl/>
              <w:textAlignment w:val="center"/>
            </w:pPr>
          </w:p>
        </w:tc>
        <w:tc>
          <w:tcPr>
            <w:tcW w:w="3577" w:type="dxa"/>
            <w:shd w:val="clear" w:color="auto" w:fill="auto"/>
            <w:vAlign w:val="center"/>
          </w:tcPr>
          <w:p w:rsidR="00013EC7" w:rsidRDefault="00575CDB">
            <w:pPr>
              <w:widowControl/>
              <w:textAlignment w:val="center"/>
              <w:rPr>
                <w:rStyle w:val="font21"/>
                <w:rFonts w:ascii="仿宋" w:eastAsia="仿宋" w:hAnsi="仿宋"/>
                <w:b w:val="0"/>
                <w:sz w:val="24"/>
              </w:rPr>
            </w:pPr>
            <w:r>
              <w:rPr>
                <w:rFonts w:ascii="仿宋" w:eastAsia="仿宋" w:hAnsi="仿宋" w:cs="方正书宋简体"/>
                <w:sz w:val="24"/>
              </w:rPr>
              <w:t>（</w:t>
            </w:r>
            <w:r>
              <w:rPr>
                <w:rFonts w:ascii="仿宋" w:eastAsia="仿宋" w:hAnsi="仿宋" w:cs="方正书宋简体" w:hint="eastAsia"/>
                <w:sz w:val="24"/>
              </w:rPr>
              <w:t>五</w:t>
            </w:r>
            <w:r>
              <w:rPr>
                <w:rFonts w:ascii="仿宋" w:eastAsia="仿宋" w:hAnsi="仿宋" w:cs="方正书宋简体"/>
                <w:sz w:val="24"/>
              </w:rPr>
              <w:t>）</w:t>
            </w:r>
            <w:r>
              <w:rPr>
                <w:rStyle w:val="font21"/>
                <w:rFonts w:ascii="仿宋" w:eastAsia="仿宋" w:hAnsi="仿宋" w:hint="eastAsia"/>
                <w:b w:val="0"/>
                <w:sz w:val="24"/>
              </w:rPr>
              <w:t>产品质量检测报告复印件。</w:t>
            </w:r>
          </w:p>
        </w:tc>
        <w:tc>
          <w:tcPr>
            <w:tcW w:w="1232" w:type="dxa"/>
            <w:vMerge w:val="restart"/>
            <w:shd w:val="clear" w:color="auto" w:fill="FFFFFF"/>
            <w:vAlign w:val="center"/>
          </w:tcPr>
          <w:p w:rsidR="00013EC7" w:rsidRDefault="00013EC7">
            <w:pPr>
              <w:widowControl/>
              <w:textAlignment w:val="center"/>
              <w:rPr>
                <w:rFonts w:ascii="仿宋" w:eastAsia="仿宋" w:hAnsi="仿宋" w:cs="方正书宋简体"/>
                <w:sz w:val="24"/>
              </w:rPr>
            </w:pPr>
          </w:p>
          <w:p w:rsidR="00013EC7" w:rsidRDefault="00575CDB">
            <w:pPr>
              <w:widowControl/>
              <w:textAlignment w:val="center"/>
              <w:rPr>
                <w:rStyle w:val="font21"/>
                <w:rFonts w:ascii="仿宋" w:eastAsia="仿宋" w:hAnsi="仿宋"/>
                <w:b w:val="0"/>
                <w:sz w:val="24"/>
              </w:rPr>
            </w:pPr>
            <w:r>
              <w:rPr>
                <w:rFonts w:ascii="仿宋" w:eastAsia="仿宋" w:hAnsi="仿宋" w:cs="方正书宋简体" w:hint="eastAsia"/>
                <w:sz w:val="24"/>
              </w:rPr>
              <w:lastRenderedPageBreak/>
              <w:t>以废矿物油生产工业油料企业提交</w:t>
            </w:r>
          </w:p>
        </w:tc>
        <w:tc>
          <w:tcPr>
            <w:tcW w:w="3577" w:type="dxa"/>
            <w:shd w:val="clear" w:color="auto" w:fill="FFFFFF"/>
            <w:vAlign w:val="center"/>
          </w:tcPr>
          <w:p w:rsidR="00013EC7" w:rsidRDefault="00575CDB">
            <w:pPr>
              <w:widowControl/>
              <w:textAlignment w:val="center"/>
              <w:rPr>
                <w:rStyle w:val="font21"/>
                <w:rFonts w:ascii="仿宋" w:eastAsia="仿宋" w:hAnsi="仿宋"/>
                <w:b w:val="0"/>
                <w:sz w:val="24"/>
              </w:rPr>
            </w:pPr>
            <w:r>
              <w:rPr>
                <w:rFonts w:ascii="仿宋" w:eastAsia="仿宋" w:hAnsi="仿宋" w:cs="方正书宋简体"/>
                <w:sz w:val="24"/>
              </w:rPr>
              <w:lastRenderedPageBreak/>
              <w:t>（</w:t>
            </w:r>
            <w:r>
              <w:rPr>
                <w:rFonts w:ascii="仿宋" w:eastAsia="仿宋" w:hAnsi="仿宋" w:cs="方正书宋简体" w:hint="eastAsia"/>
                <w:sz w:val="24"/>
              </w:rPr>
              <w:t>五</w:t>
            </w:r>
            <w:r>
              <w:rPr>
                <w:rFonts w:ascii="仿宋" w:eastAsia="仿宋" w:hAnsi="仿宋" w:cs="方正书宋简体"/>
                <w:sz w:val="24"/>
              </w:rPr>
              <w:t>）</w:t>
            </w:r>
            <w:r>
              <w:rPr>
                <w:rStyle w:val="font21"/>
                <w:rFonts w:ascii="仿宋" w:eastAsia="仿宋" w:hAnsi="仿宋" w:hint="eastAsia"/>
                <w:b w:val="0"/>
                <w:sz w:val="24"/>
              </w:rPr>
              <w:t>产品质量检测报告复印件</w:t>
            </w:r>
            <w:r>
              <w:rPr>
                <w:rFonts w:ascii="仿宋" w:eastAsia="仿宋" w:hAnsi="仿宋" w:cs="方正书宋简体" w:hint="eastAsia"/>
                <w:sz w:val="24"/>
              </w:rPr>
              <w:t>（注明与原件一致，并加盖公章）</w:t>
            </w:r>
            <w:r>
              <w:rPr>
                <w:rStyle w:val="font21"/>
                <w:rFonts w:ascii="仿宋" w:eastAsia="仿宋" w:hAnsi="仿宋" w:hint="eastAsia"/>
                <w:b w:val="0"/>
                <w:sz w:val="24"/>
              </w:rPr>
              <w:t>。</w:t>
            </w:r>
          </w:p>
        </w:tc>
        <w:tc>
          <w:tcPr>
            <w:tcW w:w="1283" w:type="dxa"/>
            <w:vMerge w:val="restart"/>
            <w:vAlign w:val="center"/>
          </w:tcPr>
          <w:p w:rsidR="00013EC7" w:rsidRDefault="00013EC7">
            <w:pPr>
              <w:widowControl/>
              <w:textAlignment w:val="center"/>
              <w:rPr>
                <w:rFonts w:ascii="仿宋" w:eastAsia="仿宋" w:hAnsi="仿宋" w:cs="方正书宋简体"/>
                <w:sz w:val="24"/>
              </w:rPr>
            </w:pPr>
          </w:p>
          <w:p w:rsidR="00013EC7" w:rsidRDefault="00575CDB">
            <w:pPr>
              <w:widowControl/>
              <w:textAlignment w:val="center"/>
              <w:rPr>
                <w:rStyle w:val="font21"/>
                <w:rFonts w:ascii="仿宋" w:eastAsia="仿宋" w:hAnsi="仿宋"/>
                <w:sz w:val="24"/>
              </w:rPr>
            </w:pPr>
            <w:r>
              <w:rPr>
                <w:rFonts w:ascii="仿宋" w:eastAsia="仿宋" w:hAnsi="仿宋" w:cs="方正书宋简体" w:hint="eastAsia"/>
                <w:sz w:val="24"/>
              </w:rPr>
              <w:lastRenderedPageBreak/>
              <w:t>以废矿物油生产工业油料企业提交</w:t>
            </w:r>
          </w:p>
        </w:tc>
        <w:tc>
          <w:tcPr>
            <w:tcW w:w="2613" w:type="dxa"/>
            <w:vMerge/>
            <w:vAlign w:val="center"/>
          </w:tcPr>
          <w:p w:rsidR="00013EC7" w:rsidRDefault="00013EC7">
            <w:pPr>
              <w:widowControl/>
              <w:textAlignment w:val="center"/>
              <w:rPr>
                <w:rStyle w:val="font21"/>
                <w:rFonts w:ascii="仿宋" w:eastAsia="仿宋" w:hAnsi="仿宋"/>
                <w:sz w:val="24"/>
              </w:rPr>
            </w:pPr>
          </w:p>
        </w:tc>
        <w:tc>
          <w:tcPr>
            <w:tcW w:w="750" w:type="dxa"/>
            <w:vMerge/>
            <w:vAlign w:val="center"/>
          </w:tcPr>
          <w:p w:rsidR="00013EC7" w:rsidRDefault="00013EC7">
            <w:pPr>
              <w:widowControl/>
              <w:textAlignment w:val="center"/>
              <w:rPr>
                <w:rStyle w:val="font21"/>
                <w:rFonts w:ascii="仿宋" w:eastAsia="仿宋" w:hAnsi="仿宋"/>
                <w:sz w:val="24"/>
              </w:rPr>
            </w:pPr>
          </w:p>
        </w:tc>
        <w:tc>
          <w:tcPr>
            <w:tcW w:w="532" w:type="dxa"/>
            <w:vMerge/>
            <w:vAlign w:val="center"/>
          </w:tcPr>
          <w:p w:rsidR="00013EC7" w:rsidRDefault="00013EC7">
            <w:pPr>
              <w:widowControl/>
              <w:textAlignment w:val="center"/>
              <w:rPr>
                <w:rStyle w:val="font21"/>
                <w:rFonts w:ascii="仿宋" w:eastAsia="仿宋" w:hAnsi="仿宋"/>
                <w:sz w:val="24"/>
              </w:rPr>
            </w:pPr>
          </w:p>
        </w:tc>
        <w:tc>
          <w:tcPr>
            <w:tcW w:w="462" w:type="dxa"/>
            <w:vMerge/>
            <w:vAlign w:val="center"/>
          </w:tcPr>
          <w:p w:rsidR="00013EC7" w:rsidRDefault="00013EC7">
            <w:pPr>
              <w:widowControl/>
              <w:textAlignment w:val="center"/>
              <w:rPr>
                <w:rStyle w:val="font21"/>
                <w:rFonts w:ascii="仿宋" w:eastAsia="仿宋" w:hAnsi="仿宋"/>
                <w:sz w:val="24"/>
              </w:rPr>
            </w:pPr>
          </w:p>
        </w:tc>
        <w:tc>
          <w:tcPr>
            <w:tcW w:w="693" w:type="dxa"/>
            <w:vMerge/>
            <w:vAlign w:val="center"/>
          </w:tcPr>
          <w:p w:rsidR="00013EC7" w:rsidRDefault="00013EC7">
            <w:pPr>
              <w:widowControl/>
              <w:textAlignment w:val="center"/>
              <w:rPr>
                <w:rStyle w:val="font21"/>
                <w:rFonts w:ascii="仿宋" w:eastAsia="仿宋" w:hAnsi="仿宋"/>
                <w:sz w:val="24"/>
              </w:rPr>
            </w:pPr>
          </w:p>
        </w:tc>
        <w:tc>
          <w:tcPr>
            <w:tcW w:w="761" w:type="dxa"/>
            <w:vMerge/>
            <w:vAlign w:val="center"/>
          </w:tcPr>
          <w:p w:rsidR="00013EC7" w:rsidRDefault="00013EC7">
            <w:pPr>
              <w:widowControl/>
              <w:textAlignment w:val="center"/>
              <w:rPr>
                <w:rStyle w:val="font21"/>
                <w:rFonts w:ascii="仿宋" w:eastAsia="仿宋" w:hAnsi="仿宋"/>
                <w:sz w:val="24"/>
              </w:rPr>
            </w:pPr>
          </w:p>
        </w:tc>
      </w:tr>
      <w:tr w:rsidR="00013EC7">
        <w:trPr>
          <w:trHeight w:val="1936"/>
        </w:trPr>
        <w:tc>
          <w:tcPr>
            <w:tcW w:w="736" w:type="dxa"/>
            <w:vMerge/>
            <w:shd w:val="clear" w:color="auto" w:fill="auto"/>
            <w:vAlign w:val="center"/>
          </w:tcPr>
          <w:p w:rsidR="00013EC7" w:rsidRDefault="00013EC7">
            <w:pPr>
              <w:widowControl/>
              <w:textAlignment w:val="center"/>
              <w:rPr>
                <w:rStyle w:val="font21"/>
                <w:rFonts w:ascii="仿宋" w:eastAsia="仿宋" w:hAnsi="仿宋"/>
                <w:sz w:val="24"/>
              </w:rPr>
            </w:pPr>
          </w:p>
        </w:tc>
        <w:tc>
          <w:tcPr>
            <w:tcW w:w="735" w:type="dxa"/>
            <w:vMerge/>
            <w:shd w:val="clear" w:color="auto" w:fill="auto"/>
            <w:vAlign w:val="center"/>
          </w:tcPr>
          <w:p w:rsidR="00013EC7" w:rsidRDefault="00013EC7">
            <w:pPr>
              <w:widowControl/>
              <w:textAlignment w:val="center"/>
              <w:rPr>
                <w:rStyle w:val="font21"/>
                <w:rFonts w:ascii="仿宋" w:eastAsia="仿宋" w:hAnsi="仿宋"/>
                <w:sz w:val="24"/>
              </w:rPr>
            </w:pPr>
          </w:p>
        </w:tc>
        <w:tc>
          <w:tcPr>
            <w:tcW w:w="3207" w:type="dxa"/>
            <w:vMerge/>
            <w:shd w:val="clear" w:color="auto" w:fill="auto"/>
            <w:vAlign w:val="center"/>
          </w:tcPr>
          <w:p w:rsidR="00013EC7" w:rsidRDefault="00013EC7">
            <w:pPr>
              <w:widowControl/>
              <w:textAlignment w:val="center"/>
              <w:rPr>
                <w:rStyle w:val="font21"/>
                <w:rFonts w:ascii="仿宋" w:eastAsia="仿宋" w:hAnsi="仿宋"/>
                <w:sz w:val="24"/>
              </w:rPr>
            </w:pPr>
          </w:p>
        </w:tc>
        <w:tc>
          <w:tcPr>
            <w:tcW w:w="3577" w:type="dxa"/>
            <w:shd w:val="clear" w:color="auto" w:fill="auto"/>
            <w:vAlign w:val="center"/>
          </w:tcPr>
          <w:p w:rsidR="00013EC7" w:rsidRDefault="00575CDB">
            <w:pPr>
              <w:widowControl/>
              <w:textAlignment w:val="center"/>
              <w:rPr>
                <w:rStyle w:val="font21"/>
                <w:rFonts w:ascii="仿宋" w:eastAsia="仿宋" w:hAnsi="仿宋"/>
                <w:b w:val="0"/>
                <w:sz w:val="24"/>
              </w:rPr>
            </w:pPr>
            <w:r>
              <w:rPr>
                <w:rFonts w:ascii="仿宋" w:eastAsia="仿宋" w:hAnsi="仿宋" w:cs="方正书宋简体"/>
                <w:sz w:val="24"/>
              </w:rPr>
              <w:t>（</w:t>
            </w:r>
            <w:r>
              <w:rPr>
                <w:rFonts w:ascii="仿宋" w:eastAsia="仿宋" w:hAnsi="仿宋" w:cs="方正书宋简体" w:hint="eastAsia"/>
                <w:sz w:val="24"/>
              </w:rPr>
              <w:t>六</w:t>
            </w:r>
            <w:r>
              <w:rPr>
                <w:rFonts w:ascii="仿宋" w:eastAsia="仿宋" w:hAnsi="仿宋" w:cs="方正书宋简体"/>
                <w:sz w:val="24"/>
              </w:rPr>
              <w:t>）</w:t>
            </w:r>
            <w:r>
              <w:rPr>
                <w:rStyle w:val="font21"/>
                <w:rFonts w:ascii="仿宋" w:eastAsia="仿宋" w:hAnsi="仿宋" w:hint="eastAsia"/>
                <w:b w:val="0"/>
                <w:sz w:val="24"/>
              </w:rPr>
              <w:t>省级以上（含省级）环境保护部门颁发的《危险废物（综合）经营许可证》（该证件上核准生产经营范围应包括“利用”或“综合经营”字样）。</w:t>
            </w:r>
          </w:p>
        </w:tc>
        <w:tc>
          <w:tcPr>
            <w:tcW w:w="1232" w:type="dxa"/>
            <w:vMerge/>
            <w:shd w:val="clear" w:color="auto" w:fill="FFFFFF"/>
            <w:vAlign w:val="center"/>
          </w:tcPr>
          <w:p w:rsidR="00013EC7" w:rsidRDefault="00013EC7">
            <w:pPr>
              <w:widowControl/>
              <w:textAlignment w:val="center"/>
              <w:rPr>
                <w:rStyle w:val="font21"/>
                <w:rFonts w:ascii="仿宋" w:eastAsia="仿宋" w:hAnsi="仿宋"/>
                <w:b w:val="0"/>
                <w:sz w:val="24"/>
              </w:rPr>
            </w:pPr>
          </w:p>
        </w:tc>
        <w:tc>
          <w:tcPr>
            <w:tcW w:w="3577" w:type="dxa"/>
            <w:shd w:val="clear" w:color="auto" w:fill="FFFFFF"/>
            <w:vAlign w:val="center"/>
          </w:tcPr>
          <w:p w:rsidR="00013EC7" w:rsidRDefault="00575CDB">
            <w:pPr>
              <w:widowControl/>
              <w:textAlignment w:val="center"/>
              <w:rPr>
                <w:rStyle w:val="font21"/>
                <w:rFonts w:ascii="仿宋" w:eastAsia="仿宋" w:hAnsi="仿宋"/>
                <w:b w:val="0"/>
                <w:sz w:val="24"/>
              </w:rPr>
            </w:pPr>
            <w:r>
              <w:rPr>
                <w:rFonts w:ascii="仿宋" w:eastAsia="仿宋" w:hAnsi="仿宋" w:cs="方正书宋简体"/>
                <w:sz w:val="24"/>
              </w:rPr>
              <w:t>（</w:t>
            </w:r>
            <w:r>
              <w:rPr>
                <w:rFonts w:ascii="仿宋" w:eastAsia="仿宋" w:hAnsi="仿宋" w:cs="方正书宋简体" w:hint="eastAsia"/>
                <w:sz w:val="24"/>
              </w:rPr>
              <w:t>六</w:t>
            </w:r>
            <w:r>
              <w:rPr>
                <w:rFonts w:ascii="仿宋" w:eastAsia="仿宋" w:hAnsi="仿宋" w:cs="方正书宋简体"/>
                <w:sz w:val="24"/>
              </w:rPr>
              <w:t>）</w:t>
            </w:r>
            <w:r>
              <w:rPr>
                <w:rStyle w:val="font21"/>
                <w:rFonts w:ascii="仿宋" w:eastAsia="仿宋" w:hAnsi="仿宋" w:hint="eastAsia"/>
                <w:b w:val="0"/>
                <w:sz w:val="24"/>
              </w:rPr>
              <w:t>省级以上（含省级）环境保护部门颁发的《危险废物（综合）经营许可证》（该证件上核准生产经营范围应包括“利用”或“综合经营”字样）复印件。</w:t>
            </w:r>
          </w:p>
        </w:tc>
        <w:tc>
          <w:tcPr>
            <w:tcW w:w="1283" w:type="dxa"/>
            <w:vMerge/>
            <w:vAlign w:val="center"/>
          </w:tcPr>
          <w:p w:rsidR="00013EC7" w:rsidRDefault="00013EC7">
            <w:pPr>
              <w:widowControl/>
              <w:textAlignment w:val="center"/>
              <w:rPr>
                <w:rStyle w:val="font21"/>
                <w:rFonts w:ascii="仿宋" w:eastAsia="仿宋" w:hAnsi="仿宋"/>
                <w:sz w:val="24"/>
              </w:rPr>
            </w:pPr>
          </w:p>
        </w:tc>
        <w:tc>
          <w:tcPr>
            <w:tcW w:w="2613" w:type="dxa"/>
            <w:vMerge/>
            <w:vAlign w:val="center"/>
          </w:tcPr>
          <w:p w:rsidR="00013EC7" w:rsidRDefault="00013EC7">
            <w:pPr>
              <w:widowControl/>
              <w:textAlignment w:val="center"/>
              <w:rPr>
                <w:rStyle w:val="font21"/>
                <w:rFonts w:ascii="仿宋" w:eastAsia="仿宋" w:hAnsi="仿宋"/>
                <w:sz w:val="24"/>
              </w:rPr>
            </w:pPr>
          </w:p>
        </w:tc>
        <w:tc>
          <w:tcPr>
            <w:tcW w:w="750" w:type="dxa"/>
            <w:vMerge/>
            <w:vAlign w:val="center"/>
          </w:tcPr>
          <w:p w:rsidR="00013EC7" w:rsidRDefault="00013EC7">
            <w:pPr>
              <w:widowControl/>
              <w:textAlignment w:val="center"/>
              <w:rPr>
                <w:rStyle w:val="font21"/>
                <w:rFonts w:ascii="仿宋" w:eastAsia="仿宋" w:hAnsi="仿宋"/>
                <w:sz w:val="24"/>
              </w:rPr>
            </w:pPr>
          </w:p>
        </w:tc>
        <w:tc>
          <w:tcPr>
            <w:tcW w:w="532" w:type="dxa"/>
            <w:vMerge/>
            <w:vAlign w:val="center"/>
          </w:tcPr>
          <w:p w:rsidR="00013EC7" w:rsidRDefault="00013EC7">
            <w:pPr>
              <w:widowControl/>
              <w:textAlignment w:val="center"/>
              <w:rPr>
                <w:rStyle w:val="font21"/>
                <w:rFonts w:ascii="仿宋" w:eastAsia="仿宋" w:hAnsi="仿宋"/>
                <w:sz w:val="24"/>
              </w:rPr>
            </w:pPr>
          </w:p>
        </w:tc>
        <w:tc>
          <w:tcPr>
            <w:tcW w:w="462" w:type="dxa"/>
            <w:vMerge/>
            <w:vAlign w:val="center"/>
          </w:tcPr>
          <w:p w:rsidR="00013EC7" w:rsidRDefault="00013EC7">
            <w:pPr>
              <w:widowControl/>
              <w:textAlignment w:val="center"/>
              <w:rPr>
                <w:rStyle w:val="font21"/>
                <w:rFonts w:ascii="仿宋" w:eastAsia="仿宋" w:hAnsi="仿宋"/>
                <w:sz w:val="24"/>
              </w:rPr>
            </w:pPr>
          </w:p>
        </w:tc>
        <w:tc>
          <w:tcPr>
            <w:tcW w:w="693" w:type="dxa"/>
            <w:vMerge/>
            <w:vAlign w:val="center"/>
          </w:tcPr>
          <w:p w:rsidR="00013EC7" w:rsidRDefault="00013EC7">
            <w:pPr>
              <w:widowControl/>
              <w:textAlignment w:val="center"/>
              <w:rPr>
                <w:rStyle w:val="font21"/>
                <w:rFonts w:ascii="仿宋" w:eastAsia="仿宋" w:hAnsi="仿宋"/>
                <w:sz w:val="24"/>
              </w:rPr>
            </w:pPr>
          </w:p>
        </w:tc>
        <w:tc>
          <w:tcPr>
            <w:tcW w:w="761" w:type="dxa"/>
            <w:vMerge/>
            <w:vAlign w:val="center"/>
          </w:tcPr>
          <w:p w:rsidR="00013EC7" w:rsidRDefault="00013EC7">
            <w:pPr>
              <w:widowControl/>
              <w:textAlignment w:val="center"/>
              <w:rPr>
                <w:rStyle w:val="font21"/>
                <w:rFonts w:ascii="仿宋" w:eastAsia="仿宋" w:hAnsi="仿宋"/>
                <w:sz w:val="24"/>
              </w:rPr>
            </w:pPr>
          </w:p>
        </w:tc>
      </w:tr>
      <w:tr w:rsidR="00013EC7">
        <w:trPr>
          <w:trHeight w:val="1861"/>
        </w:trPr>
        <w:tc>
          <w:tcPr>
            <w:tcW w:w="736" w:type="dxa"/>
            <w:vMerge/>
            <w:shd w:val="clear" w:color="auto" w:fill="auto"/>
            <w:vAlign w:val="center"/>
          </w:tcPr>
          <w:p w:rsidR="00013EC7" w:rsidRDefault="00013EC7">
            <w:pPr>
              <w:widowControl/>
              <w:textAlignment w:val="center"/>
              <w:rPr>
                <w:rStyle w:val="font21"/>
                <w:rFonts w:ascii="仿宋" w:eastAsia="仿宋" w:hAnsi="仿宋"/>
                <w:sz w:val="24"/>
              </w:rPr>
            </w:pPr>
          </w:p>
        </w:tc>
        <w:tc>
          <w:tcPr>
            <w:tcW w:w="735" w:type="dxa"/>
            <w:vMerge/>
            <w:shd w:val="clear" w:color="auto" w:fill="auto"/>
            <w:vAlign w:val="center"/>
          </w:tcPr>
          <w:p w:rsidR="00013EC7" w:rsidRDefault="00013EC7">
            <w:pPr>
              <w:widowControl/>
              <w:textAlignment w:val="center"/>
              <w:rPr>
                <w:rStyle w:val="font21"/>
                <w:rFonts w:ascii="仿宋" w:eastAsia="仿宋" w:hAnsi="仿宋"/>
                <w:sz w:val="24"/>
              </w:rPr>
            </w:pPr>
          </w:p>
        </w:tc>
        <w:tc>
          <w:tcPr>
            <w:tcW w:w="3207" w:type="dxa"/>
            <w:vMerge/>
            <w:shd w:val="clear" w:color="auto" w:fill="auto"/>
            <w:vAlign w:val="center"/>
          </w:tcPr>
          <w:p w:rsidR="00013EC7" w:rsidRDefault="00013EC7">
            <w:pPr>
              <w:widowControl/>
              <w:textAlignment w:val="center"/>
              <w:rPr>
                <w:rStyle w:val="font21"/>
                <w:rFonts w:ascii="仿宋" w:eastAsia="仿宋" w:hAnsi="仿宋"/>
                <w:sz w:val="24"/>
              </w:rPr>
            </w:pPr>
          </w:p>
        </w:tc>
        <w:tc>
          <w:tcPr>
            <w:tcW w:w="3577" w:type="dxa"/>
            <w:shd w:val="clear" w:color="auto" w:fill="auto"/>
            <w:vAlign w:val="center"/>
          </w:tcPr>
          <w:p w:rsidR="00013EC7" w:rsidRDefault="00575CDB">
            <w:pPr>
              <w:widowControl/>
              <w:textAlignment w:val="center"/>
              <w:rPr>
                <w:rStyle w:val="font21"/>
                <w:rFonts w:ascii="仿宋" w:eastAsia="仿宋" w:hAnsi="仿宋"/>
                <w:b w:val="0"/>
                <w:sz w:val="24"/>
              </w:rPr>
            </w:pPr>
            <w:r>
              <w:rPr>
                <w:rFonts w:ascii="仿宋" w:eastAsia="仿宋" w:hAnsi="仿宋" w:cs="方正书宋简体"/>
                <w:sz w:val="24"/>
              </w:rPr>
              <w:t>（</w:t>
            </w:r>
            <w:r>
              <w:rPr>
                <w:rFonts w:ascii="仿宋" w:eastAsia="仿宋" w:hAnsi="仿宋" w:cs="方正书宋简体" w:hint="eastAsia"/>
                <w:sz w:val="24"/>
              </w:rPr>
              <w:t>七</w:t>
            </w:r>
            <w:r>
              <w:rPr>
                <w:rFonts w:ascii="仿宋" w:eastAsia="仿宋" w:hAnsi="仿宋" w:cs="方正书宋简体"/>
                <w:sz w:val="24"/>
              </w:rPr>
              <w:t>）</w:t>
            </w:r>
            <w:r>
              <w:rPr>
                <w:rStyle w:val="font21"/>
                <w:rFonts w:ascii="仿宋" w:eastAsia="仿宋" w:hAnsi="仿宋" w:hint="eastAsia"/>
                <w:b w:val="0"/>
                <w:sz w:val="24"/>
              </w:rPr>
              <w:t>生产经营范围为“综合经营”的纳税人，还应同时提供颁发《危险废物（综合）经营许可证》的环境保护部门出具的能证明其生产经营范围包括“利用”的材料。</w:t>
            </w:r>
          </w:p>
        </w:tc>
        <w:tc>
          <w:tcPr>
            <w:tcW w:w="1232" w:type="dxa"/>
            <w:vMerge/>
            <w:shd w:val="clear" w:color="auto" w:fill="FFFFFF"/>
            <w:vAlign w:val="center"/>
          </w:tcPr>
          <w:p w:rsidR="00013EC7" w:rsidRDefault="00013EC7">
            <w:pPr>
              <w:widowControl/>
              <w:textAlignment w:val="center"/>
              <w:rPr>
                <w:rStyle w:val="font21"/>
                <w:rFonts w:ascii="仿宋" w:eastAsia="仿宋" w:hAnsi="仿宋"/>
                <w:b w:val="0"/>
                <w:sz w:val="24"/>
              </w:rPr>
            </w:pPr>
          </w:p>
        </w:tc>
        <w:tc>
          <w:tcPr>
            <w:tcW w:w="3577" w:type="dxa"/>
            <w:shd w:val="clear" w:color="auto" w:fill="FFFFFF"/>
            <w:vAlign w:val="center"/>
          </w:tcPr>
          <w:p w:rsidR="00013EC7" w:rsidRDefault="00575CDB">
            <w:pPr>
              <w:widowControl/>
              <w:textAlignment w:val="center"/>
              <w:rPr>
                <w:rStyle w:val="font21"/>
                <w:rFonts w:ascii="仿宋" w:eastAsia="仿宋" w:hAnsi="仿宋"/>
                <w:b w:val="0"/>
                <w:sz w:val="24"/>
              </w:rPr>
            </w:pPr>
            <w:r>
              <w:rPr>
                <w:rFonts w:ascii="仿宋" w:eastAsia="仿宋" w:hAnsi="仿宋" w:cs="方正书宋简体"/>
                <w:sz w:val="24"/>
              </w:rPr>
              <w:t>（</w:t>
            </w:r>
            <w:r>
              <w:rPr>
                <w:rFonts w:ascii="仿宋" w:eastAsia="仿宋" w:hAnsi="仿宋" w:cs="方正书宋简体" w:hint="eastAsia"/>
                <w:sz w:val="24"/>
              </w:rPr>
              <w:t>七</w:t>
            </w:r>
            <w:r>
              <w:rPr>
                <w:rFonts w:ascii="仿宋" w:eastAsia="仿宋" w:hAnsi="仿宋" w:cs="方正书宋简体"/>
                <w:sz w:val="24"/>
              </w:rPr>
              <w:t>）</w:t>
            </w:r>
            <w:r>
              <w:rPr>
                <w:rStyle w:val="font21"/>
                <w:rFonts w:ascii="仿宋" w:eastAsia="仿宋" w:hAnsi="仿宋" w:hint="eastAsia"/>
                <w:b w:val="0"/>
                <w:sz w:val="24"/>
              </w:rPr>
              <w:t>生产经营范围为“综合经营”的纳税人，还应同时提供颁发《危险废物（综合）经营许可证》的环境保护部门出具的能证明其生产经营范围包括“利用”的材料。</w:t>
            </w:r>
          </w:p>
        </w:tc>
        <w:tc>
          <w:tcPr>
            <w:tcW w:w="1283" w:type="dxa"/>
            <w:vMerge/>
            <w:vAlign w:val="center"/>
          </w:tcPr>
          <w:p w:rsidR="00013EC7" w:rsidRDefault="00013EC7">
            <w:pPr>
              <w:widowControl/>
              <w:textAlignment w:val="center"/>
              <w:rPr>
                <w:rStyle w:val="font21"/>
                <w:rFonts w:ascii="仿宋" w:eastAsia="仿宋" w:hAnsi="仿宋"/>
                <w:sz w:val="24"/>
              </w:rPr>
            </w:pPr>
          </w:p>
        </w:tc>
        <w:tc>
          <w:tcPr>
            <w:tcW w:w="2613" w:type="dxa"/>
            <w:vMerge/>
            <w:vAlign w:val="center"/>
          </w:tcPr>
          <w:p w:rsidR="00013EC7" w:rsidRDefault="00013EC7">
            <w:pPr>
              <w:widowControl/>
              <w:textAlignment w:val="center"/>
              <w:rPr>
                <w:rStyle w:val="font21"/>
                <w:rFonts w:ascii="仿宋" w:eastAsia="仿宋" w:hAnsi="仿宋"/>
                <w:sz w:val="24"/>
              </w:rPr>
            </w:pPr>
          </w:p>
        </w:tc>
        <w:tc>
          <w:tcPr>
            <w:tcW w:w="750" w:type="dxa"/>
            <w:vMerge/>
            <w:vAlign w:val="center"/>
          </w:tcPr>
          <w:p w:rsidR="00013EC7" w:rsidRDefault="00013EC7">
            <w:pPr>
              <w:widowControl/>
              <w:textAlignment w:val="center"/>
              <w:rPr>
                <w:rStyle w:val="font21"/>
                <w:rFonts w:ascii="仿宋" w:eastAsia="仿宋" w:hAnsi="仿宋"/>
                <w:sz w:val="24"/>
              </w:rPr>
            </w:pPr>
          </w:p>
        </w:tc>
        <w:tc>
          <w:tcPr>
            <w:tcW w:w="532" w:type="dxa"/>
            <w:vMerge/>
            <w:vAlign w:val="center"/>
          </w:tcPr>
          <w:p w:rsidR="00013EC7" w:rsidRDefault="00013EC7">
            <w:pPr>
              <w:widowControl/>
              <w:textAlignment w:val="center"/>
              <w:rPr>
                <w:rStyle w:val="font21"/>
                <w:rFonts w:ascii="仿宋" w:eastAsia="仿宋" w:hAnsi="仿宋"/>
                <w:sz w:val="24"/>
              </w:rPr>
            </w:pPr>
          </w:p>
        </w:tc>
        <w:tc>
          <w:tcPr>
            <w:tcW w:w="462" w:type="dxa"/>
            <w:vMerge/>
            <w:vAlign w:val="center"/>
          </w:tcPr>
          <w:p w:rsidR="00013EC7" w:rsidRDefault="00013EC7">
            <w:pPr>
              <w:widowControl/>
              <w:textAlignment w:val="center"/>
              <w:rPr>
                <w:rStyle w:val="font21"/>
                <w:rFonts w:ascii="仿宋" w:eastAsia="仿宋" w:hAnsi="仿宋"/>
                <w:sz w:val="24"/>
              </w:rPr>
            </w:pPr>
          </w:p>
        </w:tc>
        <w:tc>
          <w:tcPr>
            <w:tcW w:w="693" w:type="dxa"/>
            <w:vMerge/>
            <w:vAlign w:val="center"/>
          </w:tcPr>
          <w:p w:rsidR="00013EC7" w:rsidRDefault="00013EC7">
            <w:pPr>
              <w:widowControl/>
              <w:textAlignment w:val="center"/>
              <w:rPr>
                <w:rStyle w:val="font21"/>
                <w:rFonts w:ascii="仿宋" w:eastAsia="仿宋" w:hAnsi="仿宋"/>
                <w:sz w:val="24"/>
              </w:rPr>
            </w:pPr>
          </w:p>
        </w:tc>
        <w:tc>
          <w:tcPr>
            <w:tcW w:w="761" w:type="dxa"/>
            <w:vMerge/>
            <w:vAlign w:val="center"/>
          </w:tcPr>
          <w:p w:rsidR="00013EC7" w:rsidRDefault="00013EC7">
            <w:pPr>
              <w:widowControl/>
              <w:textAlignment w:val="center"/>
              <w:rPr>
                <w:rStyle w:val="font21"/>
                <w:rFonts w:ascii="仿宋" w:eastAsia="仿宋" w:hAnsi="仿宋"/>
                <w:sz w:val="24"/>
              </w:rPr>
            </w:pPr>
          </w:p>
        </w:tc>
      </w:tr>
      <w:tr w:rsidR="00013EC7">
        <w:trPr>
          <w:trHeight w:val="2342"/>
        </w:trPr>
        <w:tc>
          <w:tcPr>
            <w:tcW w:w="736" w:type="dxa"/>
            <w:vMerge/>
            <w:shd w:val="clear" w:color="auto" w:fill="auto"/>
            <w:vAlign w:val="center"/>
          </w:tcPr>
          <w:p w:rsidR="00013EC7" w:rsidRDefault="00013EC7">
            <w:pPr>
              <w:widowControl/>
              <w:textAlignment w:val="center"/>
              <w:rPr>
                <w:rStyle w:val="font21"/>
                <w:rFonts w:ascii="仿宋" w:eastAsia="仿宋" w:hAnsi="仿宋"/>
                <w:sz w:val="24"/>
              </w:rPr>
            </w:pPr>
          </w:p>
        </w:tc>
        <w:tc>
          <w:tcPr>
            <w:tcW w:w="735" w:type="dxa"/>
            <w:vMerge/>
            <w:shd w:val="clear" w:color="auto" w:fill="auto"/>
            <w:vAlign w:val="center"/>
          </w:tcPr>
          <w:p w:rsidR="00013EC7" w:rsidRDefault="00013EC7">
            <w:pPr>
              <w:widowControl/>
              <w:textAlignment w:val="center"/>
              <w:rPr>
                <w:rStyle w:val="font21"/>
                <w:rFonts w:ascii="仿宋" w:eastAsia="仿宋" w:hAnsi="仿宋"/>
                <w:sz w:val="24"/>
              </w:rPr>
            </w:pPr>
          </w:p>
        </w:tc>
        <w:tc>
          <w:tcPr>
            <w:tcW w:w="3207" w:type="dxa"/>
            <w:vMerge/>
            <w:shd w:val="clear" w:color="auto" w:fill="auto"/>
            <w:vAlign w:val="center"/>
          </w:tcPr>
          <w:p w:rsidR="00013EC7" w:rsidRDefault="00013EC7">
            <w:pPr>
              <w:widowControl/>
              <w:textAlignment w:val="center"/>
              <w:rPr>
                <w:rStyle w:val="font21"/>
                <w:rFonts w:ascii="仿宋" w:eastAsia="仿宋" w:hAnsi="仿宋"/>
                <w:sz w:val="24"/>
              </w:rPr>
            </w:pPr>
          </w:p>
        </w:tc>
        <w:tc>
          <w:tcPr>
            <w:tcW w:w="3577" w:type="dxa"/>
            <w:shd w:val="clear" w:color="auto" w:fill="auto"/>
            <w:vAlign w:val="center"/>
          </w:tcPr>
          <w:p w:rsidR="00013EC7" w:rsidRDefault="00575CDB">
            <w:pPr>
              <w:widowControl/>
              <w:textAlignment w:val="center"/>
              <w:rPr>
                <w:rStyle w:val="font21"/>
                <w:rFonts w:ascii="仿宋" w:eastAsia="仿宋" w:hAnsi="仿宋"/>
                <w:b w:val="0"/>
                <w:sz w:val="24"/>
              </w:rPr>
            </w:pPr>
            <w:r>
              <w:rPr>
                <w:rFonts w:ascii="仿宋" w:eastAsia="仿宋" w:hAnsi="仿宋" w:cs="方正书宋简体"/>
                <w:sz w:val="24"/>
              </w:rPr>
              <w:t>（</w:t>
            </w:r>
            <w:r>
              <w:rPr>
                <w:rFonts w:ascii="仿宋" w:eastAsia="仿宋" w:hAnsi="仿宋" w:cs="方正书宋简体" w:hint="eastAsia"/>
                <w:sz w:val="24"/>
              </w:rPr>
              <w:t>八</w:t>
            </w:r>
            <w:r>
              <w:rPr>
                <w:rFonts w:ascii="仿宋" w:eastAsia="仿宋" w:hAnsi="仿宋" w:cs="方正书宋简体"/>
                <w:sz w:val="24"/>
              </w:rPr>
              <w:t>）</w:t>
            </w:r>
            <w:r>
              <w:rPr>
                <w:rStyle w:val="font21"/>
                <w:rFonts w:ascii="仿宋" w:eastAsia="仿宋" w:hAnsi="仿宋" w:hint="eastAsia"/>
                <w:b w:val="0"/>
                <w:sz w:val="24"/>
              </w:rPr>
              <w:t>污染物排放地环境保护部门确定的该纳税人应予执行的污染物排放标准，以及污染物排放地环境保护部门在此前6个月以内出具的该纳税人的污染物排放符合上述标准的证明材料。</w:t>
            </w:r>
          </w:p>
        </w:tc>
        <w:tc>
          <w:tcPr>
            <w:tcW w:w="1232" w:type="dxa"/>
            <w:vMerge/>
            <w:shd w:val="clear" w:color="auto" w:fill="FFFFFF"/>
            <w:vAlign w:val="center"/>
          </w:tcPr>
          <w:p w:rsidR="00013EC7" w:rsidRDefault="00013EC7">
            <w:pPr>
              <w:widowControl/>
              <w:textAlignment w:val="center"/>
              <w:rPr>
                <w:rStyle w:val="font21"/>
                <w:rFonts w:ascii="仿宋" w:eastAsia="仿宋" w:hAnsi="仿宋"/>
                <w:b w:val="0"/>
                <w:sz w:val="24"/>
              </w:rPr>
            </w:pPr>
          </w:p>
        </w:tc>
        <w:tc>
          <w:tcPr>
            <w:tcW w:w="3577" w:type="dxa"/>
            <w:shd w:val="clear" w:color="auto" w:fill="FFFFFF"/>
            <w:vAlign w:val="center"/>
          </w:tcPr>
          <w:p w:rsidR="00013EC7" w:rsidRDefault="00575CDB">
            <w:pPr>
              <w:widowControl/>
              <w:textAlignment w:val="center"/>
              <w:rPr>
                <w:rStyle w:val="font21"/>
                <w:rFonts w:ascii="仿宋" w:eastAsia="仿宋" w:hAnsi="仿宋"/>
                <w:b w:val="0"/>
                <w:sz w:val="24"/>
              </w:rPr>
            </w:pPr>
            <w:r>
              <w:rPr>
                <w:rFonts w:ascii="仿宋" w:eastAsia="仿宋" w:hAnsi="仿宋" w:cs="方正书宋简体"/>
                <w:sz w:val="24"/>
              </w:rPr>
              <w:t>（</w:t>
            </w:r>
            <w:r>
              <w:rPr>
                <w:rFonts w:ascii="仿宋" w:eastAsia="仿宋" w:hAnsi="仿宋" w:cs="方正书宋简体" w:hint="eastAsia"/>
                <w:sz w:val="24"/>
              </w:rPr>
              <w:t>八</w:t>
            </w:r>
            <w:r>
              <w:rPr>
                <w:rFonts w:ascii="仿宋" w:eastAsia="仿宋" w:hAnsi="仿宋" w:cs="方正书宋简体"/>
                <w:sz w:val="24"/>
              </w:rPr>
              <w:t>）</w:t>
            </w:r>
            <w:r>
              <w:rPr>
                <w:rStyle w:val="font21"/>
                <w:rFonts w:ascii="仿宋" w:eastAsia="仿宋" w:hAnsi="仿宋" w:hint="eastAsia"/>
                <w:b w:val="0"/>
                <w:sz w:val="24"/>
              </w:rPr>
              <w:t>污染物排放地环境保护部门确定的该纳税人应予执行的污染物排放标准，以及污染物排放地环境保护部门在此前6个月以内出具的该纳税人的污染物排放符合上述标准的证明材料。</w:t>
            </w:r>
          </w:p>
        </w:tc>
        <w:tc>
          <w:tcPr>
            <w:tcW w:w="1283" w:type="dxa"/>
            <w:vMerge/>
            <w:vAlign w:val="center"/>
          </w:tcPr>
          <w:p w:rsidR="00013EC7" w:rsidRDefault="00013EC7">
            <w:pPr>
              <w:widowControl/>
              <w:textAlignment w:val="center"/>
              <w:rPr>
                <w:rStyle w:val="font21"/>
                <w:rFonts w:ascii="仿宋" w:eastAsia="仿宋" w:hAnsi="仿宋"/>
                <w:sz w:val="24"/>
              </w:rPr>
            </w:pPr>
          </w:p>
        </w:tc>
        <w:tc>
          <w:tcPr>
            <w:tcW w:w="2613" w:type="dxa"/>
            <w:vMerge/>
            <w:vAlign w:val="center"/>
          </w:tcPr>
          <w:p w:rsidR="00013EC7" w:rsidRDefault="00013EC7">
            <w:pPr>
              <w:widowControl/>
              <w:textAlignment w:val="center"/>
              <w:rPr>
                <w:rStyle w:val="font21"/>
                <w:rFonts w:ascii="仿宋" w:eastAsia="仿宋" w:hAnsi="仿宋"/>
                <w:sz w:val="24"/>
              </w:rPr>
            </w:pPr>
          </w:p>
        </w:tc>
        <w:tc>
          <w:tcPr>
            <w:tcW w:w="750" w:type="dxa"/>
            <w:vMerge/>
            <w:vAlign w:val="center"/>
          </w:tcPr>
          <w:p w:rsidR="00013EC7" w:rsidRDefault="00013EC7">
            <w:pPr>
              <w:widowControl/>
              <w:textAlignment w:val="center"/>
              <w:rPr>
                <w:rStyle w:val="font21"/>
                <w:rFonts w:ascii="仿宋" w:eastAsia="仿宋" w:hAnsi="仿宋"/>
                <w:sz w:val="24"/>
              </w:rPr>
            </w:pPr>
          </w:p>
        </w:tc>
        <w:tc>
          <w:tcPr>
            <w:tcW w:w="532" w:type="dxa"/>
            <w:vMerge/>
            <w:vAlign w:val="center"/>
          </w:tcPr>
          <w:p w:rsidR="00013EC7" w:rsidRDefault="00013EC7">
            <w:pPr>
              <w:widowControl/>
              <w:textAlignment w:val="center"/>
              <w:rPr>
                <w:rStyle w:val="font21"/>
                <w:rFonts w:ascii="仿宋" w:eastAsia="仿宋" w:hAnsi="仿宋"/>
                <w:sz w:val="24"/>
              </w:rPr>
            </w:pPr>
          </w:p>
        </w:tc>
        <w:tc>
          <w:tcPr>
            <w:tcW w:w="462" w:type="dxa"/>
            <w:vMerge/>
            <w:vAlign w:val="center"/>
          </w:tcPr>
          <w:p w:rsidR="00013EC7" w:rsidRDefault="00013EC7">
            <w:pPr>
              <w:widowControl/>
              <w:textAlignment w:val="center"/>
              <w:rPr>
                <w:rStyle w:val="font21"/>
                <w:rFonts w:ascii="仿宋" w:eastAsia="仿宋" w:hAnsi="仿宋"/>
                <w:sz w:val="24"/>
              </w:rPr>
            </w:pPr>
          </w:p>
        </w:tc>
        <w:tc>
          <w:tcPr>
            <w:tcW w:w="693" w:type="dxa"/>
            <w:vMerge/>
            <w:vAlign w:val="center"/>
          </w:tcPr>
          <w:p w:rsidR="00013EC7" w:rsidRDefault="00013EC7">
            <w:pPr>
              <w:widowControl/>
              <w:textAlignment w:val="center"/>
              <w:rPr>
                <w:rStyle w:val="font21"/>
                <w:rFonts w:ascii="仿宋" w:eastAsia="仿宋" w:hAnsi="仿宋"/>
                <w:sz w:val="24"/>
              </w:rPr>
            </w:pPr>
          </w:p>
        </w:tc>
        <w:tc>
          <w:tcPr>
            <w:tcW w:w="761" w:type="dxa"/>
            <w:vMerge/>
            <w:vAlign w:val="center"/>
          </w:tcPr>
          <w:p w:rsidR="00013EC7" w:rsidRDefault="00013EC7">
            <w:pPr>
              <w:widowControl/>
              <w:textAlignment w:val="center"/>
              <w:rPr>
                <w:rStyle w:val="font21"/>
                <w:rFonts w:ascii="仿宋" w:eastAsia="仿宋" w:hAnsi="仿宋"/>
                <w:sz w:val="24"/>
              </w:rPr>
            </w:pPr>
          </w:p>
        </w:tc>
      </w:tr>
      <w:tr w:rsidR="00013EC7">
        <w:trPr>
          <w:trHeight w:val="1561"/>
        </w:trPr>
        <w:tc>
          <w:tcPr>
            <w:tcW w:w="736" w:type="dxa"/>
            <w:vMerge/>
            <w:shd w:val="clear" w:color="auto" w:fill="auto"/>
            <w:vAlign w:val="center"/>
          </w:tcPr>
          <w:p w:rsidR="00013EC7" w:rsidRDefault="00013EC7">
            <w:pPr>
              <w:rPr>
                <w:rFonts w:ascii="仿宋" w:eastAsia="仿宋" w:hAnsi="仿宋" w:cs="方正书宋简体"/>
                <w:color w:val="000000"/>
                <w:sz w:val="24"/>
              </w:rPr>
            </w:pPr>
          </w:p>
        </w:tc>
        <w:tc>
          <w:tcPr>
            <w:tcW w:w="735" w:type="dxa"/>
            <w:vMerge/>
            <w:shd w:val="clear" w:color="auto" w:fill="auto"/>
            <w:vAlign w:val="center"/>
          </w:tcPr>
          <w:p w:rsidR="00013EC7" w:rsidRDefault="00013EC7">
            <w:pPr>
              <w:rPr>
                <w:rFonts w:ascii="仿宋" w:eastAsia="仿宋" w:hAnsi="仿宋" w:cs="方正书宋简体"/>
                <w:color w:val="000000"/>
                <w:sz w:val="24"/>
              </w:rPr>
            </w:pPr>
          </w:p>
        </w:tc>
        <w:tc>
          <w:tcPr>
            <w:tcW w:w="3207" w:type="dxa"/>
            <w:vMerge/>
            <w:shd w:val="clear" w:color="auto" w:fill="auto"/>
            <w:vAlign w:val="center"/>
          </w:tcPr>
          <w:p w:rsidR="00013EC7" w:rsidRDefault="00013EC7">
            <w:pPr>
              <w:rPr>
                <w:rFonts w:ascii="仿宋" w:eastAsia="仿宋" w:hAnsi="仿宋" w:cs="宋体"/>
                <w:color w:val="000000"/>
                <w:sz w:val="24"/>
              </w:rPr>
            </w:pPr>
          </w:p>
        </w:tc>
        <w:tc>
          <w:tcPr>
            <w:tcW w:w="3577" w:type="dxa"/>
            <w:shd w:val="clear" w:color="auto" w:fill="auto"/>
            <w:vAlign w:val="center"/>
          </w:tcPr>
          <w:p w:rsidR="00013EC7" w:rsidRDefault="00575CDB">
            <w:pPr>
              <w:widowControl/>
              <w:textAlignment w:val="center"/>
              <w:rPr>
                <w:rFonts w:ascii="仿宋" w:eastAsia="仿宋" w:hAnsi="仿宋" w:cs="宋体"/>
                <w:sz w:val="24"/>
              </w:rPr>
            </w:pPr>
            <w:r>
              <w:rPr>
                <w:rFonts w:ascii="仿宋" w:eastAsia="仿宋" w:hAnsi="仿宋" w:cs="宋体"/>
                <w:sz w:val="24"/>
              </w:rPr>
              <w:t>（</w:t>
            </w:r>
            <w:r>
              <w:rPr>
                <w:rFonts w:ascii="仿宋" w:eastAsia="仿宋" w:hAnsi="仿宋" w:cs="宋体" w:hint="eastAsia"/>
                <w:sz w:val="24"/>
              </w:rPr>
              <w:t>九</w:t>
            </w:r>
            <w:r>
              <w:rPr>
                <w:rFonts w:ascii="仿宋" w:eastAsia="仿宋" w:hAnsi="仿宋" w:cs="宋体"/>
                <w:sz w:val="24"/>
              </w:rPr>
              <w:t>）</w:t>
            </w:r>
            <w:r>
              <w:rPr>
                <w:rFonts w:ascii="仿宋" w:eastAsia="仿宋" w:hAnsi="仿宋" w:cs="宋体" w:hint="eastAsia"/>
                <w:sz w:val="24"/>
              </w:rPr>
              <w:t>《危险废物转移联单》（列明纳税人回收的废矿物油名称、特性、数量、接受日期等项目）。</w:t>
            </w:r>
          </w:p>
        </w:tc>
        <w:tc>
          <w:tcPr>
            <w:tcW w:w="1232" w:type="dxa"/>
            <w:vMerge/>
            <w:shd w:val="clear" w:color="auto" w:fill="auto"/>
            <w:vAlign w:val="center"/>
          </w:tcPr>
          <w:p w:rsidR="00013EC7" w:rsidRDefault="00013EC7">
            <w:pPr>
              <w:rPr>
                <w:rFonts w:ascii="仿宋" w:eastAsia="仿宋" w:hAnsi="仿宋" w:cs="方正书宋简体"/>
                <w:sz w:val="24"/>
              </w:rPr>
            </w:pPr>
          </w:p>
        </w:tc>
        <w:tc>
          <w:tcPr>
            <w:tcW w:w="3577" w:type="dxa"/>
            <w:shd w:val="clear" w:color="auto" w:fill="FFFFFF"/>
            <w:vAlign w:val="center"/>
          </w:tcPr>
          <w:p w:rsidR="00013EC7" w:rsidRDefault="00575CDB">
            <w:pPr>
              <w:widowControl/>
              <w:textAlignment w:val="center"/>
              <w:rPr>
                <w:rFonts w:ascii="仿宋" w:eastAsia="仿宋" w:hAnsi="仿宋" w:cs="宋体"/>
                <w:sz w:val="24"/>
              </w:rPr>
            </w:pPr>
            <w:r>
              <w:rPr>
                <w:rFonts w:ascii="仿宋" w:eastAsia="仿宋" w:hAnsi="仿宋" w:cs="宋体"/>
                <w:sz w:val="24"/>
              </w:rPr>
              <w:t>（</w:t>
            </w:r>
            <w:r>
              <w:rPr>
                <w:rFonts w:ascii="仿宋" w:eastAsia="仿宋" w:hAnsi="仿宋" w:cs="宋体" w:hint="eastAsia"/>
                <w:sz w:val="24"/>
              </w:rPr>
              <w:t>九</w:t>
            </w:r>
            <w:r>
              <w:rPr>
                <w:rFonts w:ascii="仿宋" w:eastAsia="仿宋" w:hAnsi="仿宋" w:cs="宋体"/>
                <w:sz w:val="24"/>
              </w:rPr>
              <w:t>）</w:t>
            </w:r>
            <w:r>
              <w:rPr>
                <w:rFonts w:ascii="仿宋" w:eastAsia="仿宋" w:hAnsi="仿宋" w:cs="宋体" w:hint="eastAsia"/>
                <w:sz w:val="24"/>
              </w:rPr>
              <w:t>《危险废物转移联单》（列明纳税人回收的废矿物油名称、特性、数量、接受日期等项目）。</w:t>
            </w:r>
          </w:p>
        </w:tc>
        <w:tc>
          <w:tcPr>
            <w:tcW w:w="1283" w:type="dxa"/>
            <w:vMerge/>
            <w:vAlign w:val="center"/>
          </w:tcPr>
          <w:p w:rsidR="00013EC7" w:rsidRDefault="00013EC7">
            <w:pPr>
              <w:widowControl/>
              <w:textAlignment w:val="center"/>
              <w:rPr>
                <w:rFonts w:ascii="仿宋" w:eastAsia="仿宋" w:hAnsi="仿宋" w:cs="宋体"/>
                <w:sz w:val="24"/>
              </w:rPr>
            </w:pPr>
          </w:p>
        </w:tc>
        <w:tc>
          <w:tcPr>
            <w:tcW w:w="2613" w:type="dxa"/>
            <w:vMerge/>
            <w:vAlign w:val="center"/>
          </w:tcPr>
          <w:p w:rsidR="00013EC7" w:rsidRDefault="00013EC7">
            <w:pPr>
              <w:widowControl/>
              <w:textAlignment w:val="center"/>
              <w:rPr>
                <w:rFonts w:ascii="仿宋" w:eastAsia="仿宋" w:hAnsi="仿宋" w:cs="方正书宋简体"/>
                <w:sz w:val="24"/>
              </w:rPr>
            </w:pPr>
          </w:p>
        </w:tc>
        <w:tc>
          <w:tcPr>
            <w:tcW w:w="750" w:type="dxa"/>
            <w:vMerge/>
            <w:vAlign w:val="center"/>
          </w:tcPr>
          <w:p w:rsidR="00013EC7" w:rsidRDefault="00013EC7">
            <w:pPr>
              <w:rPr>
                <w:rFonts w:ascii="仿宋" w:eastAsia="仿宋" w:hAnsi="仿宋" w:cs="方正书宋简体"/>
                <w:sz w:val="24"/>
              </w:rPr>
            </w:pPr>
          </w:p>
        </w:tc>
        <w:tc>
          <w:tcPr>
            <w:tcW w:w="532" w:type="dxa"/>
            <w:vMerge/>
            <w:vAlign w:val="center"/>
          </w:tcPr>
          <w:p w:rsidR="00013EC7" w:rsidRDefault="00013EC7">
            <w:pPr>
              <w:rPr>
                <w:rFonts w:ascii="仿宋" w:eastAsia="仿宋" w:hAnsi="仿宋" w:cs="方正书宋简体"/>
                <w:color w:val="000000"/>
                <w:sz w:val="24"/>
              </w:rPr>
            </w:pPr>
          </w:p>
        </w:tc>
        <w:tc>
          <w:tcPr>
            <w:tcW w:w="462" w:type="dxa"/>
            <w:vMerge/>
            <w:vAlign w:val="center"/>
          </w:tcPr>
          <w:p w:rsidR="00013EC7" w:rsidRDefault="00013EC7">
            <w:pPr>
              <w:rPr>
                <w:rFonts w:ascii="仿宋" w:eastAsia="仿宋" w:hAnsi="仿宋" w:cs="方正书宋简体"/>
                <w:color w:val="000000"/>
                <w:sz w:val="24"/>
              </w:rPr>
            </w:pPr>
          </w:p>
        </w:tc>
        <w:tc>
          <w:tcPr>
            <w:tcW w:w="693" w:type="dxa"/>
            <w:vMerge/>
            <w:vAlign w:val="center"/>
          </w:tcPr>
          <w:p w:rsidR="00013EC7" w:rsidRDefault="00013EC7">
            <w:pPr>
              <w:rPr>
                <w:rFonts w:ascii="仿宋" w:eastAsia="仿宋" w:hAnsi="仿宋" w:cs="宋体"/>
                <w:color w:val="000000"/>
                <w:sz w:val="24"/>
              </w:rPr>
            </w:pPr>
          </w:p>
        </w:tc>
        <w:tc>
          <w:tcPr>
            <w:tcW w:w="761" w:type="dxa"/>
            <w:vMerge/>
            <w:vAlign w:val="center"/>
          </w:tcPr>
          <w:p w:rsidR="00013EC7" w:rsidRDefault="00013EC7">
            <w:pPr>
              <w:rPr>
                <w:rFonts w:ascii="仿宋" w:eastAsia="仿宋" w:hAnsi="仿宋" w:cs="宋体"/>
                <w:color w:val="000000"/>
                <w:sz w:val="24"/>
              </w:rPr>
            </w:pPr>
          </w:p>
        </w:tc>
      </w:tr>
      <w:tr w:rsidR="00013EC7">
        <w:trPr>
          <w:trHeight w:val="1842"/>
        </w:trPr>
        <w:tc>
          <w:tcPr>
            <w:tcW w:w="736" w:type="dxa"/>
            <w:vMerge/>
            <w:shd w:val="clear" w:color="auto" w:fill="auto"/>
            <w:vAlign w:val="center"/>
          </w:tcPr>
          <w:p w:rsidR="00013EC7" w:rsidRDefault="00013EC7">
            <w:pPr>
              <w:rPr>
                <w:rFonts w:ascii="仿宋" w:eastAsia="仿宋" w:hAnsi="仿宋" w:cs="方正书宋简体"/>
                <w:color w:val="000000"/>
                <w:sz w:val="24"/>
              </w:rPr>
            </w:pPr>
          </w:p>
        </w:tc>
        <w:tc>
          <w:tcPr>
            <w:tcW w:w="735" w:type="dxa"/>
            <w:vMerge/>
            <w:shd w:val="clear" w:color="auto" w:fill="auto"/>
            <w:vAlign w:val="center"/>
          </w:tcPr>
          <w:p w:rsidR="00013EC7" w:rsidRDefault="00013EC7">
            <w:pPr>
              <w:rPr>
                <w:rFonts w:ascii="仿宋" w:eastAsia="仿宋" w:hAnsi="仿宋" w:cs="方正书宋简体"/>
                <w:color w:val="000000"/>
                <w:sz w:val="24"/>
              </w:rPr>
            </w:pPr>
          </w:p>
        </w:tc>
        <w:tc>
          <w:tcPr>
            <w:tcW w:w="3207" w:type="dxa"/>
            <w:vMerge/>
            <w:shd w:val="clear" w:color="auto" w:fill="auto"/>
            <w:vAlign w:val="center"/>
          </w:tcPr>
          <w:p w:rsidR="00013EC7" w:rsidRDefault="00013EC7">
            <w:pPr>
              <w:rPr>
                <w:rFonts w:ascii="仿宋" w:eastAsia="仿宋" w:hAnsi="仿宋" w:cs="宋体"/>
                <w:color w:val="000000"/>
                <w:sz w:val="24"/>
              </w:rPr>
            </w:pPr>
          </w:p>
        </w:tc>
        <w:tc>
          <w:tcPr>
            <w:tcW w:w="3577" w:type="dxa"/>
            <w:shd w:val="clear" w:color="auto" w:fill="auto"/>
            <w:vAlign w:val="center"/>
          </w:tcPr>
          <w:p w:rsidR="00013EC7" w:rsidRDefault="00575CDB">
            <w:pPr>
              <w:widowControl/>
              <w:textAlignment w:val="center"/>
              <w:rPr>
                <w:rFonts w:ascii="仿宋" w:eastAsia="仿宋" w:hAnsi="仿宋" w:cs="宋体"/>
                <w:sz w:val="24"/>
              </w:rPr>
            </w:pPr>
            <w:r>
              <w:rPr>
                <w:rFonts w:ascii="仿宋" w:eastAsia="仿宋" w:hAnsi="仿宋" w:cs="宋体"/>
                <w:sz w:val="24"/>
              </w:rPr>
              <w:t>（</w:t>
            </w:r>
            <w:r>
              <w:rPr>
                <w:rFonts w:ascii="仿宋" w:eastAsia="仿宋" w:hAnsi="仿宋" w:cs="宋体" w:hint="eastAsia"/>
                <w:sz w:val="24"/>
              </w:rPr>
              <w:t>十</w:t>
            </w:r>
            <w:r>
              <w:rPr>
                <w:rFonts w:ascii="仿宋" w:eastAsia="仿宋" w:hAnsi="仿宋" w:cs="宋体"/>
                <w:sz w:val="24"/>
              </w:rPr>
              <w:t>）</w:t>
            </w:r>
            <w:r>
              <w:rPr>
                <w:rFonts w:ascii="仿宋" w:eastAsia="仿宋" w:hAnsi="仿宋" w:cs="宋体" w:hint="eastAsia"/>
                <w:sz w:val="24"/>
              </w:rPr>
              <w:t>省级或以上安全生产监督管理部门颁发的危险化学品《安全生产许可证》原件及复印件（加盖公章）。</w:t>
            </w:r>
          </w:p>
        </w:tc>
        <w:tc>
          <w:tcPr>
            <w:tcW w:w="1232" w:type="dxa"/>
            <w:vMerge w:val="restart"/>
            <w:shd w:val="clear" w:color="auto" w:fill="auto"/>
            <w:vAlign w:val="center"/>
          </w:tcPr>
          <w:p w:rsidR="00013EC7" w:rsidRDefault="00013EC7">
            <w:pPr>
              <w:rPr>
                <w:rFonts w:ascii="仿宋" w:eastAsia="仿宋" w:hAnsi="仿宋" w:cs="方正书宋简体"/>
                <w:sz w:val="24"/>
              </w:rPr>
            </w:pPr>
          </w:p>
          <w:p w:rsidR="00013EC7" w:rsidRDefault="00575CDB">
            <w:pPr>
              <w:rPr>
                <w:rFonts w:ascii="仿宋" w:eastAsia="仿宋" w:hAnsi="仿宋" w:cs="方正书宋简体"/>
                <w:sz w:val="24"/>
              </w:rPr>
            </w:pPr>
            <w:r>
              <w:rPr>
                <w:rFonts w:ascii="仿宋" w:eastAsia="仿宋" w:hAnsi="仿宋" w:cs="方正书宋简体" w:hint="eastAsia"/>
                <w:sz w:val="24"/>
              </w:rPr>
              <w:t>用自产石脑油、燃料油生产乙烯、芳烃产生产</w:t>
            </w:r>
            <w:r>
              <w:rPr>
                <w:rFonts w:ascii="仿宋" w:eastAsia="仿宋" w:hAnsi="仿宋" w:cs="方正书宋简体" w:hint="eastAsia"/>
                <w:sz w:val="24"/>
              </w:rPr>
              <w:lastRenderedPageBreak/>
              <w:t>企业提交</w:t>
            </w:r>
          </w:p>
        </w:tc>
        <w:tc>
          <w:tcPr>
            <w:tcW w:w="3577" w:type="dxa"/>
            <w:shd w:val="clear" w:color="auto" w:fill="FFFFFF"/>
            <w:vAlign w:val="center"/>
          </w:tcPr>
          <w:p w:rsidR="00013EC7" w:rsidRDefault="00575CDB">
            <w:pPr>
              <w:widowControl/>
              <w:textAlignment w:val="center"/>
              <w:rPr>
                <w:rFonts w:ascii="仿宋" w:eastAsia="仿宋" w:hAnsi="仿宋" w:cs="宋体"/>
                <w:sz w:val="24"/>
              </w:rPr>
            </w:pPr>
            <w:r>
              <w:rPr>
                <w:rFonts w:ascii="仿宋" w:eastAsia="仿宋" w:hAnsi="仿宋" w:cs="宋体"/>
                <w:sz w:val="24"/>
              </w:rPr>
              <w:lastRenderedPageBreak/>
              <w:t>（</w:t>
            </w:r>
            <w:r>
              <w:rPr>
                <w:rFonts w:ascii="仿宋" w:eastAsia="仿宋" w:hAnsi="仿宋" w:cs="宋体" w:hint="eastAsia"/>
                <w:sz w:val="24"/>
              </w:rPr>
              <w:t>十</w:t>
            </w:r>
            <w:r>
              <w:rPr>
                <w:rFonts w:ascii="仿宋" w:eastAsia="仿宋" w:hAnsi="仿宋" w:cs="宋体"/>
                <w:sz w:val="24"/>
              </w:rPr>
              <w:t>）</w:t>
            </w:r>
            <w:r>
              <w:rPr>
                <w:rFonts w:ascii="仿宋" w:eastAsia="仿宋" w:hAnsi="仿宋" w:cs="宋体" w:hint="eastAsia"/>
                <w:sz w:val="24"/>
              </w:rPr>
              <w:t>省级或以上安全生产监督管理部门颁发的危险化学品《安全生产许可证》复印件（加盖公章）。</w:t>
            </w:r>
          </w:p>
        </w:tc>
        <w:tc>
          <w:tcPr>
            <w:tcW w:w="1283" w:type="dxa"/>
            <w:vMerge w:val="restart"/>
            <w:vAlign w:val="center"/>
          </w:tcPr>
          <w:p w:rsidR="00013EC7" w:rsidRDefault="00013EC7">
            <w:pPr>
              <w:widowControl/>
              <w:textAlignment w:val="center"/>
              <w:rPr>
                <w:rFonts w:ascii="仿宋" w:eastAsia="仿宋" w:hAnsi="仿宋" w:cs="方正书宋简体"/>
                <w:sz w:val="24"/>
              </w:rPr>
            </w:pPr>
          </w:p>
          <w:p w:rsidR="00013EC7" w:rsidRDefault="00575CDB">
            <w:pPr>
              <w:widowControl/>
              <w:textAlignment w:val="center"/>
              <w:rPr>
                <w:rFonts w:ascii="仿宋" w:eastAsia="仿宋" w:hAnsi="仿宋" w:cs="宋体"/>
                <w:sz w:val="24"/>
              </w:rPr>
            </w:pPr>
            <w:r>
              <w:rPr>
                <w:rFonts w:ascii="仿宋" w:eastAsia="仿宋" w:hAnsi="仿宋" w:cs="方正书宋简体" w:hint="eastAsia"/>
                <w:sz w:val="24"/>
              </w:rPr>
              <w:t>用自产石脑油、燃料油生产乙烯、</w:t>
            </w:r>
            <w:r>
              <w:rPr>
                <w:rFonts w:ascii="仿宋" w:eastAsia="仿宋" w:hAnsi="仿宋" w:cs="方正书宋简体" w:hint="eastAsia"/>
                <w:sz w:val="24"/>
              </w:rPr>
              <w:lastRenderedPageBreak/>
              <w:t>芳烃产生产企业提交</w:t>
            </w:r>
          </w:p>
        </w:tc>
        <w:tc>
          <w:tcPr>
            <w:tcW w:w="2613" w:type="dxa"/>
            <w:vMerge/>
            <w:vAlign w:val="center"/>
          </w:tcPr>
          <w:p w:rsidR="00013EC7" w:rsidRDefault="00013EC7">
            <w:pPr>
              <w:widowControl/>
              <w:textAlignment w:val="center"/>
              <w:rPr>
                <w:rFonts w:ascii="仿宋" w:eastAsia="仿宋" w:hAnsi="仿宋" w:cs="方正书宋简体"/>
                <w:sz w:val="24"/>
              </w:rPr>
            </w:pPr>
          </w:p>
        </w:tc>
        <w:tc>
          <w:tcPr>
            <w:tcW w:w="750" w:type="dxa"/>
            <w:vMerge/>
            <w:vAlign w:val="center"/>
          </w:tcPr>
          <w:p w:rsidR="00013EC7" w:rsidRDefault="00013EC7">
            <w:pPr>
              <w:rPr>
                <w:rFonts w:ascii="仿宋" w:eastAsia="仿宋" w:hAnsi="仿宋" w:cs="方正书宋简体"/>
                <w:sz w:val="24"/>
              </w:rPr>
            </w:pPr>
          </w:p>
        </w:tc>
        <w:tc>
          <w:tcPr>
            <w:tcW w:w="532" w:type="dxa"/>
            <w:vMerge/>
            <w:vAlign w:val="center"/>
          </w:tcPr>
          <w:p w:rsidR="00013EC7" w:rsidRDefault="00013EC7">
            <w:pPr>
              <w:rPr>
                <w:rFonts w:ascii="仿宋" w:eastAsia="仿宋" w:hAnsi="仿宋" w:cs="方正书宋简体"/>
                <w:color w:val="000000"/>
                <w:sz w:val="24"/>
              </w:rPr>
            </w:pPr>
          </w:p>
        </w:tc>
        <w:tc>
          <w:tcPr>
            <w:tcW w:w="462" w:type="dxa"/>
            <w:vMerge/>
            <w:vAlign w:val="center"/>
          </w:tcPr>
          <w:p w:rsidR="00013EC7" w:rsidRDefault="00013EC7">
            <w:pPr>
              <w:rPr>
                <w:rFonts w:ascii="仿宋" w:eastAsia="仿宋" w:hAnsi="仿宋" w:cs="方正书宋简体"/>
                <w:color w:val="000000"/>
                <w:sz w:val="24"/>
              </w:rPr>
            </w:pPr>
          </w:p>
        </w:tc>
        <w:tc>
          <w:tcPr>
            <w:tcW w:w="693" w:type="dxa"/>
            <w:vMerge/>
            <w:vAlign w:val="center"/>
          </w:tcPr>
          <w:p w:rsidR="00013EC7" w:rsidRDefault="00013EC7">
            <w:pPr>
              <w:rPr>
                <w:rFonts w:ascii="仿宋" w:eastAsia="仿宋" w:hAnsi="仿宋" w:cs="宋体"/>
                <w:color w:val="000000"/>
                <w:sz w:val="24"/>
              </w:rPr>
            </w:pPr>
          </w:p>
        </w:tc>
        <w:tc>
          <w:tcPr>
            <w:tcW w:w="761" w:type="dxa"/>
            <w:vMerge/>
            <w:vAlign w:val="center"/>
          </w:tcPr>
          <w:p w:rsidR="00013EC7" w:rsidRDefault="00013EC7">
            <w:pPr>
              <w:rPr>
                <w:rFonts w:ascii="仿宋" w:eastAsia="仿宋" w:hAnsi="仿宋" w:cs="宋体"/>
                <w:color w:val="000000"/>
                <w:sz w:val="24"/>
              </w:rPr>
            </w:pPr>
          </w:p>
        </w:tc>
      </w:tr>
      <w:tr w:rsidR="00013EC7">
        <w:trPr>
          <w:trHeight w:val="1362"/>
        </w:trPr>
        <w:tc>
          <w:tcPr>
            <w:tcW w:w="736" w:type="dxa"/>
            <w:vMerge/>
            <w:shd w:val="clear" w:color="auto" w:fill="auto"/>
            <w:vAlign w:val="center"/>
          </w:tcPr>
          <w:p w:rsidR="00013EC7" w:rsidRDefault="00013EC7">
            <w:pPr>
              <w:rPr>
                <w:rFonts w:ascii="仿宋" w:eastAsia="仿宋" w:hAnsi="仿宋" w:cs="方正书宋简体"/>
                <w:color w:val="000000"/>
                <w:sz w:val="24"/>
              </w:rPr>
            </w:pPr>
          </w:p>
        </w:tc>
        <w:tc>
          <w:tcPr>
            <w:tcW w:w="735" w:type="dxa"/>
            <w:vMerge/>
            <w:shd w:val="clear" w:color="auto" w:fill="auto"/>
            <w:vAlign w:val="center"/>
          </w:tcPr>
          <w:p w:rsidR="00013EC7" w:rsidRDefault="00013EC7">
            <w:pPr>
              <w:rPr>
                <w:rFonts w:ascii="仿宋" w:eastAsia="仿宋" w:hAnsi="仿宋" w:cs="方正书宋简体"/>
                <w:color w:val="000000"/>
                <w:sz w:val="24"/>
              </w:rPr>
            </w:pPr>
          </w:p>
        </w:tc>
        <w:tc>
          <w:tcPr>
            <w:tcW w:w="3207" w:type="dxa"/>
            <w:vMerge/>
            <w:shd w:val="clear" w:color="auto" w:fill="auto"/>
            <w:vAlign w:val="center"/>
          </w:tcPr>
          <w:p w:rsidR="00013EC7" w:rsidRDefault="00013EC7">
            <w:pPr>
              <w:rPr>
                <w:rFonts w:ascii="仿宋" w:eastAsia="仿宋" w:hAnsi="仿宋" w:cs="宋体"/>
                <w:color w:val="000000"/>
                <w:sz w:val="24"/>
              </w:rPr>
            </w:pPr>
          </w:p>
        </w:tc>
        <w:tc>
          <w:tcPr>
            <w:tcW w:w="3577" w:type="dxa"/>
            <w:shd w:val="clear" w:color="auto" w:fill="auto"/>
            <w:vAlign w:val="center"/>
          </w:tcPr>
          <w:p w:rsidR="00013EC7" w:rsidRDefault="00575CDB">
            <w:pPr>
              <w:widowControl/>
              <w:textAlignment w:val="center"/>
              <w:rPr>
                <w:rStyle w:val="font21"/>
                <w:rFonts w:ascii="仿宋" w:eastAsia="仿宋" w:hAnsi="仿宋"/>
                <w:b w:val="0"/>
                <w:sz w:val="24"/>
              </w:rPr>
            </w:pPr>
            <w:r>
              <w:rPr>
                <w:rFonts w:ascii="仿宋" w:eastAsia="仿宋" w:hAnsi="仿宋" w:cs="方正书宋简体"/>
                <w:sz w:val="24"/>
              </w:rPr>
              <w:t>（</w:t>
            </w:r>
            <w:r>
              <w:rPr>
                <w:rFonts w:ascii="仿宋" w:eastAsia="仿宋" w:hAnsi="仿宋" w:cs="方正书宋简体" w:hint="eastAsia"/>
                <w:sz w:val="24"/>
              </w:rPr>
              <w:t>十一</w:t>
            </w:r>
            <w:r>
              <w:rPr>
                <w:rFonts w:ascii="仿宋" w:eastAsia="仿宋" w:hAnsi="仿宋" w:cs="方正书宋简体"/>
                <w:sz w:val="24"/>
              </w:rPr>
              <w:t>）</w:t>
            </w:r>
            <w:r>
              <w:rPr>
                <w:rStyle w:val="font21"/>
                <w:rFonts w:ascii="仿宋" w:eastAsia="仿宋" w:hAnsi="仿宋" w:hint="eastAsia"/>
                <w:b w:val="0"/>
                <w:sz w:val="24"/>
              </w:rPr>
              <w:t>石脑油、燃料油用于生产乙烯、芳烃类化工产品的工艺设计方案、装置工艺流程以及相关生产设备情况。</w:t>
            </w:r>
          </w:p>
        </w:tc>
        <w:tc>
          <w:tcPr>
            <w:tcW w:w="1232" w:type="dxa"/>
            <w:vMerge/>
            <w:shd w:val="clear" w:color="auto" w:fill="auto"/>
            <w:vAlign w:val="center"/>
          </w:tcPr>
          <w:p w:rsidR="00013EC7" w:rsidRDefault="00013EC7">
            <w:pPr>
              <w:rPr>
                <w:rStyle w:val="font41"/>
                <w:rFonts w:ascii="仿宋" w:eastAsia="仿宋" w:hAnsi="仿宋"/>
                <w:sz w:val="24"/>
              </w:rPr>
            </w:pPr>
          </w:p>
        </w:tc>
        <w:tc>
          <w:tcPr>
            <w:tcW w:w="3577" w:type="dxa"/>
            <w:shd w:val="clear" w:color="auto" w:fill="FFFFFF"/>
            <w:vAlign w:val="center"/>
          </w:tcPr>
          <w:p w:rsidR="00013EC7" w:rsidRDefault="00575CDB">
            <w:pPr>
              <w:widowControl/>
              <w:textAlignment w:val="center"/>
              <w:rPr>
                <w:rStyle w:val="font21"/>
                <w:rFonts w:ascii="仿宋" w:eastAsia="仿宋" w:hAnsi="仿宋"/>
                <w:b w:val="0"/>
                <w:sz w:val="24"/>
              </w:rPr>
            </w:pPr>
            <w:r>
              <w:rPr>
                <w:rFonts w:ascii="仿宋" w:eastAsia="仿宋" w:hAnsi="仿宋" w:cs="方正书宋简体"/>
                <w:sz w:val="24"/>
              </w:rPr>
              <w:t>（</w:t>
            </w:r>
            <w:r>
              <w:rPr>
                <w:rFonts w:ascii="仿宋" w:eastAsia="仿宋" w:hAnsi="仿宋" w:cs="方正书宋简体" w:hint="eastAsia"/>
                <w:sz w:val="24"/>
              </w:rPr>
              <w:t>十一</w:t>
            </w:r>
            <w:r>
              <w:rPr>
                <w:rFonts w:ascii="仿宋" w:eastAsia="仿宋" w:hAnsi="仿宋" w:cs="方正书宋简体"/>
                <w:sz w:val="24"/>
              </w:rPr>
              <w:t>）</w:t>
            </w:r>
            <w:r>
              <w:rPr>
                <w:rStyle w:val="font21"/>
                <w:rFonts w:ascii="仿宋" w:eastAsia="仿宋" w:hAnsi="仿宋" w:hint="eastAsia"/>
                <w:b w:val="0"/>
                <w:sz w:val="24"/>
              </w:rPr>
              <w:t>石脑油、燃料油用于生产乙烯、芳烃类化工产品的工艺设计方案、装置工艺流程以及相关生产设备情况。</w:t>
            </w:r>
          </w:p>
        </w:tc>
        <w:tc>
          <w:tcPr>
            <w:tcW w:w="1283" w:type="dxa"/>
            <w:vMerge/>
            <w:vAlign w:val="center"/>
          </w:tcPr>
          <w:p w:rsidR="00013EC7" w:rsidRDefault="00013EC7">
            <w:pPr>
              <w:widowControl/>
              <w:textAlignment w:val="center"/>
              <w:rPr>
                <w:rFonts w:ascii="仿宋" w:eastAsia="仿宋" w:hAnsi="仿宋" w:cs="宋体"/>
                <w:sz w:val="24"/>
              </w:rPr>
            </w:pPr>
          </w:p>
        </w:tc>
        <w:tc>
          <w:tcPr>
            <w:tcW w:w="2613" w:type="dxa"/>
            <w:vMerge/>
            <w:vAlign w:val="center"/>
          </w:tcPr>
          <w:p w:rsidR="00013EC7" w:rsidRDefault="00013EC7">
            <w:pPr>
              <w:widowControl/>
              <w:textAlignment w:val="center"/>
              <w:rPr>
                <w:rFonts w:ascii="仿宋" w:eastAsia="仿宋" w:hAnsi="仿宋" w:cs="方正书宋简体"/>
                <w:sz w:val="24"/>
              </w:rPr>
            </w:pPr>
          </w:p>
        </w:tc>
        <w:tc>
          <w:tcPr>
            <w:tcW w:w="750" w:type="dxa"/>
            <w:vMerge/>
            <w:vAlign w:val="center"/>
          </w:tcPr>
          <w:p w:rsidR="00013EC7" w:rsidRDefault="00013EC7">
            <w:pPr>
              <w:rPr>
                <w:rFonts w:ascii="仿宋" w:eastAsia="仿宋" w:hAnsi="仿宋" w:cs="方正书宋简体"/>
                <w:sz w:val="24"/>
              </w:rPr>
            </w:pPr>
          </w:p>
        </w:tc>
        <w:tc>
          <w:tcPr>
            <w:tcW w:w="532" w:type="dxa"/>
            <w:vMerge/>
            <w:vAlign w:val="center"/>
          </w:tcPr>
          <w:p w:rsidR="00013EC7" w:rsidRDefault="00013EC7">
            <w:pPr>
              <w:rPr>
                <w:rFonts w:ascii="仿宋" w:eastAsia="仿宋" w:hAnsi="仿宋" w:cs="方正书宋简体"/>
                <w:color w:val="000000"/>
                <w:sz w:val="24"/>
              </w:rPr>
            </w:pPr>
          </w:p>
        </w:tc>
        <w:tc>
          <w:tcPr>
            <w:tcW w:w="462" w:type="dxa"/>
            <w:vMerge/>
            <w:vAlign w:val="center"/>
          </w:tcPr>
          <w:p w:rsidR="00013EC7" w:rsidRDefault="00013EC7">
            <w:pPr>
              <w:rPr>
                <w:rFonts w:ascii="仿宋" w:eastAsia="仿宋" w:hAnsi="仿宋" w:cs="方正书宋简体"/>
                <w:color w:val="000000"/>
                <w:sz w:val="24"/>
              </w:rPr>
            </w:pPr>
          </w:p>
        </w:tc>
        <w:tc>
          <w:tcPr>
            <w:tcW w:w="693" w:type="dxa"/>
            <w:vMerge/>
            <w:vAlign w:val="center"/>
          </w:tcPr>
          <w:p w:rsidR="00013EC7" w:rsidRDefault="00013EC7">
            <w:pPr>
              <w:rPr>
                <w:rFonts w:ascii="仿宋" w:eastAsia="仿宋" w:hAnsi="仿宋" w:cs="宋体"/>
                <w:color w:val="000000"/>
                <w:sz w:val="24"/>
              </w:rPr>
            </w:pPr>
          </w:p>
        </w:tc>
        <w:tc>
          <w:tcPr>
            <w:tcW w:w="761" w:type="dxa"/>
            <w:vMerge/>
            <w:vAlign w:val="center"/>
          </w:tcPr>
          <w:p w:rsidR="00013EC7" w:rsidRDefault="00013EC7">
            <w:pPr>
              <w:rPr>
                <w:rFonts w:ascii="仿宋" w:eastAsia="仿宋" w:hAnsi="仿宋" w:cs="宋体"/>
                <w:color w:val="000000"/>
                <w:sz w:val="24"/>
              </w:rPr>
            </w:pPr>
          </w:p>
        </w:tc>
      </w:tr>
      <w:tr w:rsidR="00013EC7">
        <w:trPr>
          <w:trHeight w:val="2105"/>
        </w:trPr>
        <w:tc>
          <w:tcPr>
            <w:tcW w:w="736" w:type="dxa"/>
            <w:vMerge/>
            <w:shd w:val="clear" w:color="auto" w:fill="auto"/>
            <w:vAlign w:val="center"/>
          </w:tcPr>
          <w:p w:rsidR="00013EC7" w:rsidRDefault="00013EC7">
            <w:pPr>
              <w:rPr>
                <w:rFonts w:ascii="仿宋" w:eastAsia="仿宋" w:hAnsi="仿宋" w:cs="方正书宋简体"/>
                <w:color w:val="000000"/>
                <w:sz w:val="24"/>
              </w:rPr>
            </w:pPr>
          </w:p>
        </w:tc>
        <w:tc>
          <w:tcPr>
            <w:tcW w:w="735" w:type="dxa"/>
            <w:vMerge/>
            <w:shd w:val="clear" w:color="auto" w:fill="auto"/>
            <w:vAlign w:val="center"/>
          </w:tcPr>
          <w:p w:rsidR="00013EC7" w:rsidRDefault="00013EC7">
            <w:pPr>
              <w:rPr>
                <w:rFonts w:ascii="仿宋" w:eastAsia="仿宋" w:hAnsi="仿宋" w:cs="方正书宋简体"/>
                <w:color w:val="000000"/>
                <w:sz w:val="24"/>
              </w:rPr>
            </w:pPr>
          </w:p>
        </w:tc>
        <w:tc>
          <w:tcPr>
            <w:tcW w:w="3207" w:type="dxa"/>
            <w:vMerge/>
            <w:shd w:val="clear" w:color="auto" w:fill="auto"/>
            <w:vAlign w:val="center"/>
          </w:tcPr>
          <w:p w:rsidR="00013EC7" w:rsidRDefault="00013EC7">
            <w:pPr>
              <w:rPr>
                <w:rFonts w:ascii="仿宋" w:eastAsia="仿宋" w:hAnsi="仿宋" w:cs="宋体"/>
                <w:color w:val="000000"/>
                <w:sz w:val="24"/>
              </w:rPr>
            </w:pPr>
          </w:p>
        </w:tc>
        <w:tc>
          <w:tcPr>
            <w:tcW w:w="3577" w:type="dxa"/>
            <w:shd w:val="clear" w:color="auto" w:fill="auto"/>
            <w:vAlign w:val="center"/>
          </w:tcPr>
          <w:p w:rsidR="00013EC7" w:rsidRDefault="00575CDB">
            <w:pPr>
              <w:widowControl/>
              <w:textAlignment w:val="center"/>
              <w:rPr>
                <w:rStyle w:val="font21"/>
                <w:rFonts w:ascii="仿宋" w:eastAsia="仿宋" w:hAnsi="仿宋"/>
                <w:b w:val="0"/>
                <w:sz w:val="24"/>
              </w:rPr>
            </w:pPr>
            <w:r>
              <w:rPr>
                <w:rFonts w:ascii="仿宋" w:eastAsia="仿宋" w:hAnsi="仿宋" w:cs="方正书宋简体"/>
                <w:sz w:val="24"/>
              </w:rPr>
              <w:t>（</w:t>
            </w:r>
            <w:r>
              <w:rPr>
                <w:rFonts w:ascii="仿宋" w:eastAsia="仿宋" w:hAnsi="仿宋" w:cs="方正书宋简体" w:hint="eastAsia"/>
                <w:sz w:val="24"/>
              </w:rPr>
              <w:t>十二</w:t>
            </w:r>
            <w:r>
              <w:rPr>
                <w:rFonts w:ascii="仿宋" w:eastAsia="仿宋" w:hAnsi="仿宋" w:cs="方正书宋简体"/>
                <w:sz w:val="24"/>
              </w:rPr>
              <w:t>）</w:t>
            </w:r>
            <w:r>
              <w:rPr>
                <w:rStyle w:val="font21"/>
                <w:rFonts w:ascii="仿宋" w:eastAsia="仿宋" w:hAnsi="仿宋" w:hint="eastAsia"/>
                <w:b w:val="0"/>
                <w:sz w:val="24"/>
              </w:rPr>
              <w:t>石脑油、燃料油用于生产乙烯、芳烃类化工产品的物料平衡图，要求标注每套生产装置的投入产出比例及年处理能力。</w:t>
            </w:r>
          </w:p>
        </w:tc>
        <w:tc>
          <w:tcPr>
            <w:tcW w:w="1232" w:type="dxa"/>
            <w:vMerge/>
            <w:shd w:val="clear" w:color="auto" w:fill="auto"/>
            <w:vAlign w:val="center"/>
          </w:tcPr>
          <w:p w:rsidR="00013EC7" w:rsidRDefault="00013EC7">
            <w:pPr>
              <w:rPr>
                <w:rStyle w:val="font41"/>
                <w:rFonts w:ascii="仿宋" w:eastAsia="仿宋" w:hAnsi="仿宋"/>
                <w:sz w:val="24"/>
              </w:rPr>
            </w:pPr>
          </w:p>
        </w:tc>
        <w:tc>
          <w:tcPr>
            <w:tcW w:w="3577" w:type="dxa"/>
            <w:shd w:val="clear" w:color="auto" w:fill="FFFFFF"/>
            <w:vAlign w:val="center"/>
          </w:tcPr>
          <w:p w:rsidR="00013EC7" w:rsidRDefault="00575CDB">
            <w:pPr>
              <w:widowControl/>
              <w:textAlignment w:val="center"/>
              <w:rPr>
                <w:rStyle w:val="font21"/>
                <w:rFonts w:ascii="仿宋" w:eastAsia="仿宋" w:hAnsi="仿宋"/>
                <w:b w:val="0"/>
                <w:sz w:val="24"/>
              </w:rPr>
            </w:pPr>
            <w:r>
              <w:rPr>
                <w:rFonts w:ascii="仿宋" w:eastAsia="仿宋" w:hAnsi="仿宋" w:cs="方正书宋简体"/>
                <w:sz w:val="24"/>
              </w:rPr>
              <w:t>（</w:t>
            </w:r>
            <w:r>
              <w:rPr>
                <w:rFonts w:ascii="仿宋" w:eastAsia="仿宋" w:hAnsi="仿宋" w:cs="方正书宋简体" w:hint="eastAsia"/>
                <w:sz w:val="24"/>
              </w:rPr>
              <w:t>十二</w:t>
            </w:r>
            <w:r>
              <w:rPr>
                <w:rFonts w:ascii="仿宋" w:eastAsia="仿宋" w:hAnsi="仿宋" w:cs="方正书宋简体"/>
                <w:sz w:val="24"/>
              </w:rPr>
              <w:t>）</w:t>
            </w:r>
            <w:r>
              <w:rPr>
                <w:rFonts w:ascii="仿宋" w:eastAsia="仿宋" w:hAnsi="仿宋" w:cs="方正书宋简体" w:hint="eastAsia"/>
                <w:sz w:val="24"/>
              </w:rPr>
              <w:t>石脑油、燃料油用于生产乙烯、芳烃类化工产品的物料平衡图，要求标注每套生产装置的投入产出比例及年处理能力。</w:t>
            </w:r>
          </w:p>
        </w:tc>
        <w:tc>
          <w:tcPr>
            <w:tcW w:w="1283" w:type="dxa"/>
            <w:vMerge/>
            <w:vAlign w:val="center"/>
          </w:tcPr>
          <w:p w:rsidR="00013EC7" w:rsidRDefault="00013EC7">
            <w:pPr>
              <w:widowControl/>
              <w:textAlignment w:val="center"/>
              <w:rPr>
                <w:rFonts w:ascii="仿宋" w:eastAsia="仿宋" w:hAnsi="仿宋" w:cs="宋体"/>
                <w:sz w:val="24"/>
              </w:rPr>
            </w:pPr>
          </w:p>
        </w:tc>
        <w:tc>
          <w:tcPr>
            <w:tcW w:w="2613" w:type="dxa"/>
            <w:vMerge/>
            <w:vAlign w:val="center"/>
          </w:tcPr>
          <w:p w:rsidR="00013EC7" w:rsidRDefault="00013EC7">
            <w:pPr>
              <w:widowControl/>
              <w:textAlignment w:val="center"/>
              <w:rPr>
                <w:rFonts w:ascii="仿宋" w:eastAsia="仿宋" w:hAnsi="仿宋" w:cs="方正书宋简体"/>
                <w:sz w:val="24"/>
              </w:rPr>
            </w:pPr>
          </w:p>
        </w:tc>
        <w:tc>
          <w:tcPr>
            <w:tcW w:w="750" w:type="dxa"/>
            <w:vMerge/>
            <w:vAlign w:val="center"/>
          </w:tcPr>
          <w:p w:rsidR="00013EC7" w:rsidRDefault="00013EC7">
            <w:pPr>
              <w:rPr>
                <w:rFonts w:ascii="仿宋" w:eastAsia="仿宋" w:hAnsi="仿宋" w:cs="方正书宋简体"/>
                <w:sz w:val="24"/>
              </w:rPr>
            </w:pPr>
          </w:p>
        </w:tc>
        <w:tc>
          <w:tcPr>
            <w:tcW w:w="532" w:type="dxa"/>
            <w:vMerge/>
            <w:vAlign w:val="center"/>
          </w:tcPr>
          <w:p w:rsidR="00013EC7" w:rsidRDefault="00013EC7">
            <w:pPr>
              <w:rPr>
                <w:rFonts w:ascii="仿宋" w:eastAsia="仿宋" w:hAnsi="仿宋" w:cs="方正书宋简体"/>
                <w:color w:val="000000"/>
                <w:sz w:val="24"/>
              </w:rPr>
            </w:pPr>
          </w:p>
        </w:tc>
        <w:tc>
          <w:tcPr>
            <w:tcW w:w="462" w:type="dxa"/>
            <w:vMerge/>
            <w:vAlign w:val="center"/>
          </w:tcPr>
          <w:p w:rsidR="00013EC7" w:rsidRDefault="00013EC7">
            <w:pPr>
              <w:rPr>
                <w:rFonts w:ascii="仿宋" w:eastAsia="仿宋" w:hAnsi="仿宋" w:cs="方正书宋简体"/>
                <w:color w:val="000000"/>
                <w:sz w:val="24"/>
              </w:rPr>
            </w:pPr>
          </w:p>
        </w:tc>
        <w:tc>
          <w:tcPr>
            <w:tcW w:w="693" w:type="dxa"/>
            <w:vMerge/>
            <w:vAlign w:val="center"/>
          </w:tcPr>
          <w:p w:rsidR="00013EC7" w:rsidRDefault="00013EC7">
            <w:pPr>
              <w:rPr>
                <w:rFonts w:ascii="仿宋" w:eastAsia="仿宋" w:hAnsi="仿宋" w:cs="宋体"/>
                <w:color w:val="000000"/>
                <w:sz w:val="24"/>
              </w:rPr>
            </w:pPr>
          </w:p>
        </w:tc>
        <w:tc>
          <w:tcPr>
            <w:tcW w:w="761" w:type="dxa"/>
            <w:vMerge/>
            <w:vAlign w:val="center"/>
          </w:tcPr>
          <w:p w:rsidR="00013EC7" w:rsidRDefault="00013EC7">
            <w:pPr>
              <w:rPr>
                <w:rFonts w:ascii="仿宋" w:eastAsia="仿宋" w:hAnsi="仿宋" w:cs="宋体"/>
                <w:color w:val="000000"/>
                <w:sz w:val="24"/>
              </w:rPr>
            </w:pPr>
          </w:p>
        </w:tc>
      </w:tr>
      <w:tr w:rsidR="00013EC7">
        <w:trPr>
          <w:trHeight w:val="1595"/>
        </w:trPr>
        <w:tc>
          <w:tcPr>
            <w:tcW w:w="736" w:type="dxa"/>
            <w:vMerge/>
            <w:shd w:val="clear" w:color="auto" w:fill="auto"/>
            <w:vAlign w:val="center"/>
          </w:tcPr>
          <w:p w:rsidR="00013EC7" w:rsidRDefault="00013EC7">
            <w:pPr>
              <w:rPr>
                <w:rFonts w:ascii="仿宋" w:eastAsia="仿宋" w:hAnsi="仿宋" w:cs="方正书宋简体"/>
                <w:color w:val="000000"/>
                <w:sz w:val="24"/>
              </w:rPr>
            </w:pPr>
          </w:p>
        </w:tc>
        <w:tc>
          <w:tcPr>
            <w:tcW w:w="735" w:type="dxa"/>
            <w:vMerge/>
            <w:shd w:val="clear" w:color="auto" w:fill="auto"/>
            <w:vAlign w:val="center"/>
          </w:tcPr>
          <w:p w:rsidR="00013EC7" w:rsidRDefault="00013EC7">
            <w:pPr>
              <w:rPr>
                <w:rFonts w:ascii="仿宋" w:eastAsia="仿宋" w:hAnsi="仿宋" w:cs="方正书宋简体"/>
                <w:color w:val="000000"/>
                <w:sz w:val="24"/>
              </w:rPr>
            </w:pPr>
          </w:p>
        </w:tc>
        <w:tc>
          <w:tcPr>
            <w:tcW w:w="3207" w:type="dxa"/>
            <w:vMerge/>
            <w:shd w:val="clear" w:color="auto" w:fill="auto"/>
            <w:vAlign w:val="center"/>
          </w:tcPr>
          <w:p w:rsidR="00013EC7" w:rsidRDefault="00013EC7">
            <w:pPr>
              <w:rPr>
                <w:rFonts w:ascii="仿宋" w:eastAsia="仿宋" w:hAnsi="仿宋" w:cs="宋体"/>
                <w:color w:val="000000"/>
                <w:sz w:val="24"/>
              </w:rPr>
            </w:pPr>
          </w:p>
        </w:tc>
        <w:tc>
          <w:tcPr>
            <w:tcW w:w="3577" w:type="dxa"/>
            <w:shd w:val="clear" w:color="auto" w:fill="auto"/>
            <w:vAlign w:val="center"/>
          </w:tcPr>
          <w:p w:rsidR="00013EC7" w:rsidRDefault="00575CDB">
            <w:pPr>
              <w:widowControl/>
              <w:textAlignment w:val="center"/>
              <w:rPr>
                <w:rStyle w:val="font21"/>
                <w:rFonts w:ascii="仿宋" w:eastAsia="仿宋" w:hAnsi="仿宋"/>
                <w:b w:val="0"/>
                <w:sz w:val="24"/>
              </w:rPr>
            </w:pPr>
            <w:r>
              <w:rPr>
                <w:rFonts w:ascii="仿宋" w:eastAsia="仿宋" w:hAnsi="仿宋" w:cs="方正书宋简体"/>
                <w:sz w:val="24"/>
              </w:rPr>
              <w:t>（</w:t>
            </w:r>
            <w:r>
              <w:rPr>
                <w:rFonts w:ascii="仿宋" w:eastAsia="仿宋" w:hAnsi="仿宋" w:cs="方正书宋简体" w:hint="eastAsia"/>
                <w:sz w:val="24"/>
              </w:rPr>
              <w:t>十三</w:t>
            </w:r>
            <w:r>
              <w:rPr>
                <w:rFonts w:ascii="仿宋" w:eastAsia="仿宋" w:hAnsi="仿宋" w:cs="方正书宋简体"/>
                <w:sz w:val="24"/>
              </w:rPr>
              <w:t>）</w:t>
            </w:r>
            <w:r>
              <w:rPr>
                <w:rStyle w:val="font21"/>
                <w:rFonts w:ascii="仿宋" w:eastAsia="仿宋" w:hAnsi="仿宋" w:hint="eastAsia"/>
                <w:b w:val="0"/>
                <w:sz w:val="24"/>
              </w:rPr>
              <w:t>原料储罐、产成品储罐和产成品仓库的分布图、用途、储存容量的相关资料。</w:t>
            </w:r>
          </w:p>
        </w:tc>
        <w:tc>
          <w:tcPr>
            <w:tcW w:w="1232" w:type="dxa"/>
            <w:vMerge/>
            <w:shd w:val="clear" w:color="auto" w:fill="auto"/>
            <w:vAlign w:val="center"/>
          </w:tcPr>
          <w:p w:rsidR="00013EC7" w:rsidRDefault="00013EC7">
            <w:pPr>
              <w:rPr>
                <w:rStyle w:val="font41"/>
                <w:rFonts w:ascii="仿宋" w:eastAsia="仿宋" w:hAnsi="仿宋"/>
                <w:sz w:val="24"/>
              </w:rPr>
            </w:pPr>
          </w:p>
        </w:tc>
        <w:tc>
          <w:tcPr>
            <w:tcW w:w="3577" w:type="dxa"/>
            <w:shd w:val="clear" w:color="auto" w:fill="FFFFFF"/>
            <w:vAlign w:val="center"/>
          </w:tcPr>
          <w:p w:rsidR="00013EC7" w:rsidRDefault="00575CDB">
            <w:pPr>
              <w:widowControl/>
              <w:textAlignment w:val="center"/>
              <w:rPr>
                <w:rFonts w:ascii="仿宋" w:eastAsia="仿宋" w:hAnsi="仿宋" w:cs="方正书宋简体"/>
                <w:sz w:val="24"/>
              </w:rPr>
            </w:pPr>
            <w:r>
              <w:rPr>
                <w:rFonts w:ascii="仿宋" w:eastAsia="仿宋" w:hAnsi="仿宋" w:cs="方正书宋简体"/>
                <w:sz w:val="24"/>
              </w:rPr>
              <w:t>（</w:t>
            </w:r>
            <w:r>
              <w:rPr>
                <w:rFonts w:ascii="仿宋" w:eastAsia="仿宋" w:hAnsi="仿宋" w:cs="方正书宋简体" w:hint="eastAsia"/>
                <w:sz w:val="24"/>
              </w:rPr>
              <w:t>十三</w:t>
            </w:r>
            <w:r>
              <w:rPr>
                <w:rFonts w:ascii="仿宋" w:eastAsia="仿宋" w:hAnsi="仿宋" w:cs="方正书宋简体"/>
                <w:sz w:val="24"/>
              </w:rPr>
              <w:t>）</w:t>
            </w:r>
            <w:r>
              <w:rPr>
                <w:rFonts w:ascii="仿宋" w:eastAsia="仿宋" w:hAnsi="仿宋" w:cs="方正书宋简体" w:hint="eastAsia"/>
                <w:sz w:val="24"/>
              </w:rPr>
              <w:t>原料储罐、产成品储罐和产成品仓库的分布图、用途、储存容量的相关资料。</w:t>
            </w:r>
          </w:p>
        </w:tc>
        <w:tc>
          <w:tcPr>
            <w:tcW w:w="1283" w:type="dxa"/>
            <w:vMerge/>
            <w:vAlign w:val="center"/>
          </w:tcPr>
          <w:p w:rsidR="00013EC7" w:rsidRDefault="00013EC7">
            <w:pPr>
              <w:widowControl/>
              <w:textAlignment w:val="center"/>
              <w:rPr>
                <w:rFonts w:ascii="仿宋" w:eastAsia="仿宋" w:hAnsi="仿宋" w:cs="宋体"/>
                <w:sz w:val="24"/>
              </w:rPr>
            </w:pPr>
          </w:p>
        </w:tc>
        <w:tc>
          <w:tcPr>
            <w:tcW w:w="2613" w:type="dxa"/>
            <w:vMerge/>
            <w:vAlign w:val="center"/>
          </w:tcPr>
          <w:p w:rsidR="00013EC7" w:rsidRDefault="00013EC7">
            <w:pPr>
              <w:widowControl/>
              <w:textAlignment w:val="center"/>
              <w:rPr>
                <w:rFonts w:ascii="仿宋" w:eastAsia="仿宋" w:hAnsi="仿宋" w:cs="方正书宋简体"/>
                <w:sz w:val="24"/>
              </w:rPr>
            </w:pPr>
          </w:p>
        </w:tc>
        <w:tc>
          <w:tcPr>
            <w:tcW w:w="750" w:type="dxa"/>
            <w:vMerge/>
            <w:vAlign w:val="center"/>
          </w:tcPr>
          <w:p w:rsidR="00013EC7" w:rsidRDefault="00013EC7">
            <w:pPr>
              <w:rPr>
                <w:rFonts w:ascii="仿宋" w:eastAsia="仿宋" w:hAnsi="仿宋" w:cs="方正书宋简体"/>
                <w:sz w:val="24"/>
              </w:rPr>
            </w:pPr>
          </w:p>
        </w:tc>
        <w:tc>
          <w:tcPr>
            <w:tcW w:w="532" w:type="dxa"/>
            <w:vMerge/>
            <w:vAlign w:val="center"/>
          </w:tcPr>
          <w:p w:rsidR="00013EC7" w:rsidRDefault="00013EC7">
            <w:pPr>
              <w:rPr>
                <w:rFonts w:ascii="仿宋" w:eastAsia="仿宋" w:hAnsi="仿宋" w:cs="方正书宋简体"/>
                <w:color w:val="000000"/>
                <w:sz w:val="24"/>
              </w:rPr>
            </w:pPr>
          </w:p>
        </w:tc>
        <w:tc>
          <w:tcPr>
            <w:tcW w:w="462" w:type="dxa"/>
            <w:vMerge/>
            <w:vAlign w:val="center"/>
          </w:tcPr>
          <w:p w:rsidR="00013EC7" w:rsidRDefault="00013EC7">
            <w:pPr>
              <w:rPr>
                <w:rFonts w:ascii="仿宋" w:eastAsia="仿宋" w:hAnsi="仿宋" w:cs="方正书宋简体"/>
                <w:color w:val="000000"/>
                <w:sz w:val="24"/>
              </w:rPr>
            </w:pPr>
          </w:p>
        </w:tc>
        <w:tc>
          <w:tcPr>
            <w:tcW w:w="693" w:type="dxa"/>
            <w:vMerge/>
            <w:vAlign w:val="center"/>
          </w:tcPr>
          <w:p w:rsidR="00013EC7" w:rsidRDefault="00013EC7">
            <w:pPr>
              <w:rPr>
                <w:rFonts w:ascii="仿宋" w:eastAsia="仿宋" w:hAnsi="仿宋" w:cs="宋体"/>
                <w:color w:val="000000"/>
                <w:sz w:val="24"/>
              </w:rPr>
            </w:pPr>
          </w:p>
        </w:tc>
        <w:tc>
          <w:tcPr>
            <w:tcW w:w="761" w:type="dxa"/>
            <w:vMerge/>
            <w:vAlign w:val="center"/>
          </w:tcPr>
          <w:p w:rsidR="00013EC7" w:rsidRDefault="00013EC7">
            <w:pPr>
              <w:rPr>
                <w:rFonts w:ascii="仿宋" w:eastAsia="仿宋" w:hAnsi="仿宋" w:cs="宋体"/>
                <w:color w:val="000000"/>
                <w:sz w:val="24"/>
              </w:rPr>
            </w:pPr>
          </w:p>
        </w:tc>
      </w:tr>
      <w:tr w:rsidR="00013EC7">
        <w:trPr>
          <w:trHeight w:val="1991"/>
        </w:trPr>
        <w:tc>
          <w:tcPr>
            <w:tcW w:w="736" w:type="dxa"/>
            <w:vMerge/>
            <w:shd w:val="clear" w:color="auto" w:fill="auto"/>
            <w:vAlign w:val="center"/>
          </w:tcPr>
          <w:p w:rsidR="00013EC7" w:rsidRDefault="00013EC7">
            <w:pPr>
              <w:rPr>
                <w:rFonts w:ascii="仿宋" w:eastAsia="仿宋" w:hAnsi="仿宋" w:cs="方正书宋简体"/>
                <w:color w:val="000000"/>
                <w:sz w:val="24"/>
              </w:rPr>
            </w:pPr>
          </w:p>
        </w:tc>
        <w:tc>
          <w:tcPr>
            <w:tcW w:w="735" w:type="dxa"/>
            <w:vMerge/>
            <w:shd w:val="clear" w:color="auto" w:fill="auto"/>
            <w:vAlign w:val="center"/>
          </w:tcPr>
          <w:p w:rsidR="00013EC7" w:rsidRDefault="00013EC7">
            <w:pPr>
              <w:rPr>
                <w:rFonts w:ascii="仿宋" w:eastAsia="仿宋" w:hAnsi="仿宋" w:cs="方正书宋简体"/>
                <w:color w:val="000000"/>
                <w:sz w:val="24"/>
              </w:rPr>
            </w:pPr>
          </w:p>
        </w:tc>
        <w:tc>
          <w:tcPr>
            <w:tcW w:w="3207" w:type="dxa"/>
            <w:vMerge/>
            <w:shd w:val="clear" w:color="auto" w:fill="auto"/>
            <w:vAlign w:val="center"/>
          </w:tcPr>
          <w:p w:rsidR="00013EC7" w:rsidRDefault="00013EC7">
            <w:pPr>
              <w:rPr>
                <w:rFonts w:ascii="仿宋" w:eastAsia="仿宋" w:hAnsi="仿宋" w:cs="宋体"/>
                <w:color w:val="000000"/>
                <w:sz w:val="24"/>
              </w:rPr>
            </w:pPr>
          </w:p>
        </w:tc>
        <w:tc>
          <w:tcPr>
            <w:tcW w:w="3577" w:type="dxa"/>
            <w:shd w:val="clear" w:color="auto" w:fill="auto"/>
            <w:vAlign w:val="center"/>
          </w:tcPr>
          <w:p w:rsidR="00013EC7" w:rsidRDefault="00575CDB">
            <w:pPr>
              <w:widowControl/>
              <w:textAlignment w:val="center"/>
              <w:rPr>
                <w:rStyle w:val="font21"/>
                <w:rFonts w:ascii="仿宋" w:eastAsia="仿宋" w:hAnsi="仿宋"/>
                <w:b w:val="0"/>
                <w:sz w:val="24"/>
              </w:rPr>
            </w:pPr>
            <w:r>
              <w:rPr>
                <w:rFonts w:ascii="仿宋" w:eastAsia="仿宋" w:hAnsi="仿宋" w:cs="方正书宋简体"/>
                <w:sz w:val="24"/>
              </w:rPr>
              <w:t>（</w:t>
            </w:r>
            <w:r>
              <w:rPr>
                <w:rFonts w:ascii="仿宋" w:eastAsia="仿宋" w:hAnsi="仿宋" w:cs="方正书宋简体" w:hint="eastAsia"/>
                <w:sz w:val="24"/>
              </w:rPr>
              <w:t>十四</w:t>
            </w:r>
            <w:r>
              <w:rPr>
                <w:rFonts w:ascii="仿宋" w:eastAsia="仿宋" w:hAnsi="仿宋" w:cs="方正书宋简体"/>
                <w:sz w:val="24"/>
              </w:rPr>
              <w:t>）</w:t>
            </w:r>
            <w:r>
              <w:rPr>
                <w:rStyle w:val="font21"/>
                <w:rFonts w:ascii="仿宋" w:eastAsia="仿宋" w:hAnsi="仿宋" w:hint="eastAsia"/>
                <w:b w:val="0"/>
                <w:sz w:val="24"/>
              </w:rPr>
              <w:t>乙烯、芳烃类化工产品生产装置的全部流量计的安装位置图和计量方法说明，及原材料密度的测量和计算方法说明。</w:t>
            </w:r>
          </w:p>
        </w:tc>
        <w:tc>
          <w:tcPr>
            <w:tcW w:w="1232" w:type="dxa"/>
            <w:vMerge/>
            <w:shd w:val="clear" w:color="auto" w:fill="auto"/>
            <w:vAlign w:val="center"/>
          </w:tcPr>
          <w:p w:rsidR="00013EC7" w:rsidRDefault="00013EC7">
            <w:pPr>
              <w:rPr>
                <w:rStyle w:val="font41"/>
                <w:rFonts w:ascii="仿宋" w:eastAsia="仿宋" w:hAnsi="仿宋"/>
                <w:sz w:val="24"/>
              </w:rPr>
            </w:pPr>
          </w:p>
        </w:tc>
        <w:tc>
          <w:tcPr>
            <w:tcW w:w="3577" w:type="dxa"/>
            <w:shd w:val="clear" w:color="auto" w:fill="FFFFFF"/>
            <w:vAlign w:val="center"/>
          </w:tcPr>
          <w:p w:rsidR="00013EC7" w:rsidRDefault="00575CDB">
            <w:pPr>
              <w:widowControl/>
              <w:textAlignment w:val="center"/>
              <w:rPr>
                <w:rFonts w:ascii="仿宋" w:eastAsia="仿宋" w:hAnsi="仿宋" w:cs="方正书宋简体"/>
                <w:sz w:val="24"/>
              </w:rPr>
            </w:pPr>
            <w:r>
              <w:rPr>
                <w:rFonts w:ascii="仿宋" w:eastAsia="仿宋" w:hAnsi="仿宋" w:cs="方正书宋简体"/>
                <w:sz w:val="24"/>
              </w:rPr>
              <w:t>（</w:t>
            </w:r>
            <w:r>
              <w:rPr>
                <w:rFonts w:ascii="仿宋" w:eastAsia="仿宋" w:hAnsi="仿宋" w:cs="方正书宋简体" w:hint="eastAsia"/>
                <w:sz w:val="24"/>
              </w:rPr>
              <w:t>十四</w:t>
            </w:r>
            <w:r>
              <w:rPr>
                <w:rFonts w:ascii="仿宋" w:eastAsia="仿宋" w:hAnsi="仿宋" w:cs="方正书宋简体"/>
                <w:sz w:val="24"/>
              </w:rPr>
              <w:t>）</w:t>
            </w:r>
            <w:r>
              <w:rPr>
                <w:rFonts w:ascii="仿宋" w:eastAsia="仿宋" w:hAnsi="仿宋" w:cs="方正书宋简体" w:hint="eastAsia"/>
                <w:sz w:val="24"/>
              </w:rPr>
              <w:t>乙烯、芳烃类化工产品生产装置的全部流量计的安装位置图和计量方法说明，及原材料密度的测量和计算方法说明。</w:t>
            </w:r>
          </w:p>
        </w:tc>
        <w:tc>
          <w:tcPr>
            <w:tcW w:w="1283" w:type="dxa"/>
            <w:vMerge/>
            <w:vAlign w:val="center"/>
          </w:tcPr>
          <w:p w:rsidR="00013EC7" w:rsidRDefault="00013EC7">
            <w:pPr>
              <w:widowControl/>
              <w:textAlignment w:val="center"/>
              <w:rPr>
                <w:rFonts w:ascii="仿宋" w:eastAsia="仿宋" w:hAnsi="仿宋" w:cs="宋体"/>
                <w:sz w:val="24"/>
              </w:rPr>
            </w:pPr>
          </w:p>
        </w:tc>
        <w:tc>
          <w:tcPr>
            <w:tcW w:w="2613" w:type="dxa"/>
            <w:vMerge/>
            <w:vAlign w:val="center"/>
          </w:tcPr>
          <w:p w:rsidR="00013EC7" w:rsidRDefault="00013EC7">
            <w:pPr>
              <w:widowControl/>
              <w:textAlignment w:val="center"/>
              <w:rPr>
                <w:rFonts w:ascii="仿宋" w:eastAsia="仿宋" w:hAnsi="仿宋" w:cs="方正书宋简体"/>
                <w:sz w:val="24"/>
              </w:rPr>
            </w:pPr>
          </w:p>
        </w:tc>
        <w:tc>
          <w:tcPr>
            <w:tcW w:w="750" w:type="dxa"/>
            <w:vMerge/>
            <w:vAlign w:val="center"/>
          </w:tcPr>
          <w:p w:rsidR="00013EC7" w:rsidRDefault="00013EC7">
            <w:pPr>
              <w:rPr>
                <w:rFonts w:ascii="仿宋" w:eastAsia="仿宋" w:hAnsi="仿宋" w:cs="方正书宋简体"/>
                <w:sz w:val="24"/>
              </w:rPr>
            </w:pPr>
          </w:p>
        </w:tc>
        <w:tc>
          <w:tcPr>
            <w:tcW w:w="532" w:type="dxa"/>
            <w:vMerge/>
            <w:vAlign w:val="center"/>
          </w:tcPr>
          <w:p w:rsidR="00013EC7" w:rsidRDefault="00013EC7">
            <w:pPr>
              <w:rPr>
                <w:rFonts w:ascii="仿宋" w:eastAsia="仿宋" w:hAnsi="仿宋" w:cs="方正书宋简体"/>
                <w:color w:val="000000"/>
                <w:sz w:val="24"/>
              </w:rPr>
            </w:pPr>
          </w:p>
        </w:tc>
        <w:tc>
          <w:tcPr>
            <w:tcW w:w="462" w:type="dxa"/>
            <w:vMerge/>
            <w:vAlign w:val="center"/>
          </w:tcPr>
          <w:p w:rsidR="00013EC7" w:rsidRDefault="00013EC7">
            <w:pPr>
              <w:rPr>
                <w:rFonts w:ascii="仿宋" w:eastAsia="仿宋" w:hAnsi="仿宋" w:cs="方正书宋简体"/>
                <w:color w:val="000000"/>
                <w:sz w:val="24"/>
              </w:rPr>
            </w:pPr>
          </w:p>
        </w:tc>
        <w:tc>
          <w:tcPr>
            <w:tcW w:w="693" w:type="dxa"/>
            <w:vMerge/>
            <w:vAlign w:val="center"/>
          </w:tcPr>
          <w:p w:rsidR="00013EC7" w:rsidRDefault="00013EC7">
            <w:pPr>
              <w:rPr>
                <w:rFonts w:ascii="仿宋" w:eastAsia="仿宋" w:hAnsi="仿宋" w:cs="宋体"/>
                <w:color w:val="000000"/>
                <w:sz w:val="24"/>
              </w:rPr>
            </w:pPr>
          </w:p>
        </w:tc>
        <w:tc>
          <w:tcPr>
            <w:tcW w:w="761" w:type="dxa"/>
            <w:vMerge/>
            <w:vAlign w:val="center"/>
          </w:tcPr>
          <w:p w:rsidR="00013EC7" w:rsidRDefault="00013EC7">
            <w:pPr>
              <w:rPr>
                <w:rFonts w:ascii="仿宋" w:eastAsia="仿宋" w:hAnsi="仿宋" w:cs="宋体"/>
                <w:color w:val="000000"/>
                <w:sz w:val="24"/>
              </w:rPr>
            </w:pPr>
          </w:p>
        </w:tc>
      </w:tr>
      <w:tr w:rsidR="00013EC7">
        <w:trPr>
          <w:trHeight w:val="1498"/>
        </w:trPr>
        <w:tc>
          <w:tcPr>
            <w:tcW w:w="736" w:type="dxa"/>
            <w:vMerge/>
            <w:shd w:val="clear" w:color="auto" w:fill="auto"/>
            <w:vAlign w:val="center"/>
          </w:tcPr>
          <w:p w:rsidR="00013EC7" w:rsidRDefault="00013EC7">
            <w:pPr>
              <w:rPr>
                <w:rFonts w:ascii="仿宋" w:eastAsia="仿宋" w:hAnsi="仿宋" w:cs="方正书宋简体"/>
                <w:color w:val="000000"/>
                <w:sz w:val="24"/>
              </w:rPr>
            </w:pPr>
          </w:p>
        </w:tc>
        <w:tc>
          <w:tcPr>
            <w:tcW w:w="735" w:type="dxa"/>
            <w:vMerge/>
            <w:shd w:val="clear" w:color="auto" w:fill="auto"/>
            <w:vAlign w:val="center"/>
          </w:tcPr>
          <w:p w:rsidR="00013EC7" w:rsidRDefault="00013EC7">
            <w:pPr>
              <w:rPr>
                <w:rFonts w:ascii="仿宋" w:eastAsia="仿宋" w:hAnsi="仿宋" w:cs="方正书宋简体"/>
                <w:color w:val="000000"/>
                <w:sz w:val="24"/>
              </w:rPr>
            </w:pPr>
          </w:p>
        </w:tc>
        <w:tc>
          <w:tcPr>
            <w:tcW w:w="3207" w:type="dxa"/>
            <w:vMerge/>
            <w:shd w:val="clear" w:color="auto" w:fill="auto"/>
            <w:vAlign w:val="center"/>
          </w:tcPr>
          <w:p w:rsidR="00013EC7" w:rsidRDefault="00013EC7">
            <w:pPr>
              <w:rPr>
                <w:rFonts w:ascii="仿宋" w:eastAsia="仿宋" w:hAnsi="仿宋" w:cs="宋体"/>
                <w:color w:val="000000"/>
                <w:sz w:val="24"/>
              </w:rPr>
            </w:pPr>
          </w:p>
        </w:tc>
        <w:tc>
          <w:tcPr>
            <w:tcW w:w="3577" w:type="dxa"/>
            <w:shd w:val="clear" w:color="auto" w:fill="auto"/>
            <w:vAlign w:val="center"/>
          </w:tcPr>
          <w:p w:rsidR="00013EC7" w:rsidRDefault="00575CDB">
            <w:pPr>
              <w:widowControl/>
              <w:textAlignment w:val="center"/>
              <w:rPr>
                <w:rStyle w:val="font21"/>
                <w:rFonts w:ascii="仿宋" w:eastAsia="仿宋" w:hAnsi="仿宋"/>
                <w:b w:val="0"/>
                <w:sz w:val="24"/>
              </w:rPr>
            </w:pPr>
            <w:r>
              <w:rPr>
                <w:rFonts w:ascii="仿宋" w:eastAsia="仿宋" w:hAnsi="仿宋" w:cs="方正书宋简体"/>
                <w:sz w:val="24"/>
              </w:rPr>
              <w:t>（</w:t>
            </w:r>
            <w:r>
              <w:rPr>
                <w:rFonts w:ascii="仿宋" w:eastAsia="仿宋" w:hAnsi="仿宋" w:cs="方正书宋简体" w:hint="eastAsia"/>
                <w:sz w:val="24"/>
              </w:rPr>
              <w:t>十五</w:t>
            </w:r>
            <w:r>
              <w:rPr>
                <w:rFonts w:ascii="仿宋" w:eastAsia="仿宋" w:hAnsi="仿宋" w:cs="方正书宋简体"/>
                <w:sz w:val="24"/>
              </w:rPr>
              <w:t>）</w:t>
            </w:r>
            <w:r>
              <w:rPr>
                <w:rStyle w:val="font21"/>
                <w:rFonts w:ascii="仿宋" w:eastAsia="仿宋" w:hAnsi="仿宋" w:hint="eastAsia"/>
                <w:b w:val="0"/>
                <w:sz w:val="24"/>
              </w:rPr>
              <w:t>上一年度用石脑油、燃料油生产乙烯、芳烃类化工产品的分品种的销售明细表。</w:t>
            </w:r>
          </w:p>
        </w:tc>
        <w:tc>
          <w:tcPr>
            <w:tcW w:w="1232" w:type="dxa"/>
            <w:vMerge/>
            <w:shd w:val="clear" w:color="auto" w:fill="auto"/>
            <w:vAlign w:val="center"/>
          </w:tcPr>
          <w:p w:rsidR="00013EC7" w:rsidRDefault="00013EC7">
            <w:pPr>
              <w:rPr>
                <w:rStyle w:val="font41"/>
                <w:rFonts w:ascii="仿宋" w:eastAsia="仿宋" w:hAnsi="仿宋"/>
                <w:sz w:val="24"/>
              </w:rPr>
            </w:pPr>
          </w:p>
        </w:tc>
        <w:tc>
          <w:tcPr>
            <w:tcW w:w="3577" w:type="dxa"/>
            <w:shd w:val="clear" w:color="auto" w:fill="FFFFFF"/>
            <w:vAlign w:val="center"/>
          </w:tcPr>
          <w:p w:rsidR="00013EC7" w:rsidRDefault="00575CDB">
            <w:pPr>
              <w:widowControl/>
              <w:textAlignment w:val="center"/>
              <w:rPr>
                <w:rFonts w:ascii="仿宋" w:eastAsia="仿宋" w:hAnsi="仿宋" w:cs="方正书宋简体"/>
                <w:sz w:val="24"/>
              </w:rPr>
            </w:pPr>
            <w:r>
              <w:rPr>
                <w:rFonts w:ascii="仿宋" w:eastAsia="仿宋" w:hAnsi="仿宋" w:cs="方正书宋简体"/>
                <w:sz w:val="24"/>
              </w:rPr>
              <w:t>（</w:t>
            </w:r>
            <w:r>
              <w:rPr>
                <w:rFonts w:ascii="仿宋" w:eastAsia="仿宋" w:hAnsi="仿宋" w:cs="方正书宋简体" w:hint="eastAsia"/>
                <w:sz w:val="24"/>
              </w:rPr>
              <w:t>十五</w:t>
            </w:r>
            <w:r>
              <w:rPr>
                <w:rFonts w:ascii="仿宋" w:eastAsia="仿宋" w:hAnsi="仿宋" w:cs="方正书宋简体"/>
                <w:sz w:val="24"/>
              </w:rPr>
              <w:t>）</w:t>
            </w:r>
            <w:r>
              <w:rPr>
                <w:rFonts w:ascii="仿宋" w:eastAsia="仿宋" w:hAnsi="仿宋" w:cs="方正书宋简体" w:hint="eastAsia"/>
                <w:sz w:val="24"/>
              </w:rPr>
              <w:t>上一年度用石脑油、燃料油生产乙烯、芳烃类化工产品的分品种的销售明细表。</w:t>
            </w:r>
          </w:p>
        </w:tc>
        <w:tc>
          <w:tcPr>
            <w:tcW w:w="1283" w:type="dxa"/>
            <w:vMerge/>
            <w:vAlign w:val="center"/>
          </w:tcPr>
          <w:p w:rsidR="00013EC7" w:rsidRDefault="00013EC7">
            <w:pPr>
              <w:widowControl/>
              <w:textAlignment w:val="center"/>
              <w:rPr>
                <w:rFonts w:ascii="仿宋" w:eastAsia="仿宋" w:hAnsi="仿宋" w:cs="宋体"/>
                <w:sz w:val="24"/>
              </w:rPr>
            </w:pPr>
          </w:p>
        </w:tc>
        <w:tc>
          <w:tcPr>
            <w:tcW w:w="2613" w:type="dxa"/>
            <w:vMerge/>
            <w:vAlign w:val="center"/>
          </w:tcPr>
          <w:p w:rsidR="00013EC7" w:rsidRDefault="00013EC7">
            <w:pPr>
              <w:widowControl/>
              <w:textAlignment w:val="center"/>
              <w:rPr>
                <w:rFonts w:ascii="仿宋" w:eastAsia="仿宋" w:hAnsi="仿宋" w:cs="方正书宋简体"/>
                <w:sz w:val="24"/>
              </w:rPr>
            </w:pPr>
          </w:p>
        </w:tc>
        <w:tc>
          <w:tcPr>
            <w:tcW w:w="750" w:type="dxa"/>
            <w:vMerge/>
            <w:vAlign w:val="center"/>
          </w:tcPr>
          <w:p w:rsidR="00013EC7" w:rsidRDefault="00013EC7">
            <w:pPr>
              <w:rPr>
                <w:rFonts w:ascii="仿宋" w:eastAsia="仿宋" w:hAnsi="仿宋" w:cs="方正书宋简体"/>
                <w:sz w:val="24"/>
              </w:rPr>
            </w:pPr>
          </w:p>
        </w:tc>
        <w:tc>
          <w:tcPr>
            <w:tcW w:w="532" w:type="dxa"/>
            <w:vMerge/>
            <w:vAlign w:val="center"/>
          </w:tcPr>
          <w:p w:rsidR="00013EC7" w:rsidRDefault="00013EC7">
            <w:pPr>
              <w:rPr>
                <w:rFonts w:ascii="仿宋" w:eastAsia="仿宋" w:hAnsi="仿宋" w:cs="方正书宋简体"/>
                <w:color w:val="000000"/>
                <w:sz w:val="24"/>
              </w:rPr>
            </w:pPr>
          </w:p>
        </w:tc>
        <w:tc>
          <w:tcPr>
            <w:tcW w:w="462" w:type="dxa"/>
            <w:vMerge/>
            <w:vAlign w:val="center"/>
          </w:tcPr>
          <w:p w:rsidR="00013EC7" w:rsidRDefault="00013EC7">
            <w:pPr>
              <w:rPr>
                <w:rFonts w:ascii="仿宋" w:eastAsia="仿宋" w:hAnsi="仿宋" w:cs="方正书宋简体"/>
                <w:color w:val="000000"/>
                <w:sz w:val="24"/>
              </w:rPr>
            </w:pPr>
          </w:p>
        </w:tc>
        <w:tc>
          <w:tcPr>
            <w:tcW w:w="693" w:type="dxa"/>
            <w:vMerge/>
            <w:vAlign w:val="center"/>
          </w:tcPr>
          <w:p w:rsidR="00013EC7" w:rsidRDefault="00013EC7">
            <w:pPr>
              <w:rPr>
                <w:rFonts w:ascii="仿宋" w:eastAsia="仿宋" w:hAnsi="仿宋" w:cs="宋体"/>
                <w:color w:val="000000"/>
                <w:sz w:val="24"/>
              </w:rPr>
            </w:pPr>
          </w:p>
        </w:tc>
        <w:tc>
          <w:tcPr>
            <w:tcW w:w="761" w:type="dxa"/>
            <w:vMerge/>
            <w:vAlign w:val="center"/>
          </w:tcPr>
          <w:p w:rsidR="00013EC7" w:rsidRDefault="00013EC7">
            <w:pPr>
              <w:rPr>
                <w:rFonts w:ascii="仿宋" w:eastAsia="仿宋" w:hAnsi="仿宋" w:cs="宋体"/>
                <w:color w:val="000000"/>
                <w:sz w:val="24"/>
              </w:rPr>
            </w:pPr>
          </w:p>
        </w:tc>
      </w:tr>
    </w:tbl>
    <w:p w:rsidR="00013EC7" w:rsidRDefault="00013EC7">
      <w:pPr>
        <w:rPr>
          <w:rFonts w:ascii="仿宋" w:eastAsia="仿宋" w:hAnsi="仿宋"/>
          <w:sz w:val="24"/>
        </w:rPr>
      </w:pPr>
    </w:p>
    <w:p w:rsidR="00013EC7" w:rsidRDefault="00013EC7"/>
    <w:p w:rsidR="00013EC7" w:rsidRDefault="00013EC7"/>
    <w:p w:rsidR="00013EC7" w:rsidRDefault="00013EC7"/>
    <w:p w:rsidR="00013EC7" w:rsidRDefault="00013EC7"/>
    <w:p w:rsidR="00013EC7" w:rsidRDefault="00013EC7"/>
    <w:p w:rsidR="00013EC7" w:rsidRDefault="00013EC7"/>
    <w:p w:rsidR="00013EC7" w:rsidRDefault="00013EC7"/>
    <w:p w:rsidR="00013EC7" w:rsidRDefault="00013EC7"/>
    <w:p w:rsidR="00013EC7" w:rsidRDefault="00013EC7"/>
    <w:p w:rsidR="00013EC7" w:rsidRDefault="005262E6">
      <w:r>
        <w:object w:dxaOrig="1440" w:dyaOrig="1440">
          <v:shape id="_x0000_s1403" type="#_x0000_t75" style="position:absolute;left:0;text-align:left;margin-left:550.75pt;margin-top:138.95pt;width:435.65pt;height:529.6pt;z-index:251730944;mso-wrap-distance-top:0;mso-wrap-distance-bottom:0;mso-position-vertical-relative:page;mso-width-relative:page;mso-height-relative:page">
            <v:imagedata r:id="rId426" o:title=""/>
            <w10:wrap type="topAndBottom" anchory="page"/>
          </v:shape>
          <o:OLEObject Type="Embed" ProgID="Visio.Drawing.11" ShapeID="_x0000_s1403" DrawAspect="Content" ObjectID="_1577296293" r:id="rId427"/>
        </w:object>
      </w:r>
      <w:r>
        <w:object w:dxaOrig="1440" w:dyaOrig="1440">
          <v:shape id="_x0000_s1402" type="#_x0000_t75" style="position:absolute;left:0;text-align:left;margin-left:12.2pt;margin-top:134.55pt;width:356.1pt;height:431.85pt;z-index:251729920;mso-wrap-distance-top:0;mso-wrap-distance-bottom:0;mso-position-vertical-relative:page;mso-width-relative:page;mso-height-relative:page">
            <v:imagedata r:id="rId428" o:title=""/>
            <w10:wrap type="topAndBottom" anchory="page"/>
          </v:shape>
          <o:OLEObject Type="Embed" ProgID="Visio.Drawing.11" ShapeID="_x0000_s1402" DrawAspect="Content" ObjectID="_1577296294" r:id="rId429"/>
        </w:object>
      </w:r>
    </w:p>
    <w:p w:rsidR="00013EC7" w:rsidRDefault="00013EC7"/>
    <w:p w:rsidR="00013EC7" w:rsidRDefault="00013EC7"/>
    <w:p w:rsidR="00013EC7" w:rsidRDefault="00013EC7">
      <w:pPr>
        <w:pStyle w:val="1"/>
        <w:rPr>
          <w:rFonts w:ascii="宋体" w:hAnsi="宋体" w:cs="宋体"/>
        </w:rPr>
        <w:sectPr w:rsidR="00013EC7">
          <w:pgSz w:w="23814" w:h="16840" w:orient="landscape"/>
          <w:pgMar w:top="1701" w:right="1843" w:bottom="1985" w:left="1843" w:header="851" w:footer="1701" w:gutter="0"/>
          <w:pgNumType w:fmt="numberInDash"/>
          <w:cols w:space="720"/>
          <w:docGrid w:type="lines" w:linePitch="312"/>
        </w:sectPr>
      </w:pPr>
    </w:p>
    <w:p w:rsidR="00013EC7" w:rsidRDefault="00575CDB">
      <w:pPr>
        <w:pStyle w:val="2"/>
      </w:pPr>
      <w:bookmarkStart w:id="493" w:name="_Toc26518"/>
      <w:bookmarkStart w:id="494" w:name="_Toc30220"/>
      <w:bookmarkStart w:id="495" w:name="_Toc22768"/>
      <w:bookmarkStart w:id="496" w:name="_Toc503467467"/>
      <w:r>
        <w:rPr>
          <w:rFonts w:hint="eastAsia"/>
        </w:rPr>
        <w:lastRenderedPageBreak/>
        <w:t>24.4</w:t>
      </w:r>
      <w:r>
        <w:rPr>
          <w:rFonts w:hint="eastAsia"/>
        </w:rPr>
        <w:t>消费税退税优惠资格备案</w:t>
      </w:r>
      <w:bookmarkEnd w:id="493"/>
      <w:bookmarkEnd w:id="494"/>
      <w:bookmarkEnd w:id="495"/>
      <w:bookmarkEnd w:id="496"/>
    </w:p>
    <w:p w:rsidR="00013EC7" w:rsidRDefault="00575CDB">
      <w:pPr>
        <w:jc w:val="center"/>
        <w:rPr>
          <w:rFonts w:ascii="宋体" w:hAnsi="宋体"/>
          <w:b/>
          <w:szCs w:val="21"/>
        </w:rPr>
      </w:pPr>
      <w:r>
        <w:rPr>
          <w:rFonts w:ascii="宋体" w:hAnsi="宋体"/>
          <w:b/>
          <w:sz w:val="52"/>
          <w:szCs w:val="52"/>
        </w:rPr>
        <w:t>全省“最多跑一次”事项“</w:t>
      </w:r>
      <w:r>
        <w:rPr>
          <w:rFonts w:ascii="宋体" w:hAnsi="宋体" w:hint="eastAsia"/>
          <w:b/>
          <w:sz w:val="52"/>
          <w:szCs w:val="52"/>
        </w:rPr>
        <w:t>八统一</w:t>
      </w:r>
      <w:r>
        <w:rPr>
          <w:rFonts w:ascii="宋体" w:hAnsi="宋体"/>
          <w:b/>
          <w:sz w:val="52"/>
          <w:szCs w:val="52"/>
        </w:rPr>
        <w:t>”</w:t>
      </w:r>
      <w:r>
        <w:rPr>
          <w:rFonts w:ascii="宋体" w:hAnsi="宋体" w:hint="eastAsia"/>
          <w:b/>
          <w:sz w:val="52"/>
          <w:szCs w:val="52"/>
        </w:rPr>
        <w:t>梳理</w:t>
      </w:r>
      <w:r>
        <w:rPr>
          <w:rFonts w:ascii="宋体" w:hAnsi="宋体"/>
          <w:b/>
          <w:sz w:val="52"/>
          <w:szCs w:val="52"/>
        </w:rPr>
        <w:t>表</w:t>
      </w:r>
    </w:p>
    <w:tbl>
      <w:tblPr>
        <w:tblW w:w="20862"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1101"/>
        <w:gridCol w:w="906"/>
        <w:gridCol w:w="2234"/>
        <w:gridCol w:w="4022"/>
        <w:gridCol w:w="788"/>
        <w:gridCol w:w="4205"/>
        <w:gridCol w:w="1078"/>
        <w:gridCol w:w="1324"/>
        <w:gridCol w:w="868"/>
        <w:gridCol w:w="798"/>
        <w:gridCol w:w="958"/>
        <w:gridCol w:w="1104"/>
        <w:gridCol w:w="1476"/>
      </w:tblGrid>
      <w:tr w:rsidR="00013EC7">
        <w:trPr>
          <w:trHeight w:val="340"/>
          <w:tblHeader/>
          <w:jc w:val="center"/>
        </w:trPr>
        <w:tc>
          <w:tcPr>
            <w:tcW w:w="1101" w:type="dxa"/>
            <w:vMerge w:val="restart"/>
            <w:vAlign w:val="center"/>
          </w:tcPr>
          <w:p w:rsidR="00013EC7" w:rsidRDefault="00575CDB">
            <w:pPr>
              <w:spacing w:line="280" w:lineRule="exact"/>
              <w:jc w:val="center"/>
              <w:rPr>
                <w:rFonts w:ascii="黑体" w:eastAsia="黑体" w:hAnsi="黑体" w:cs="黑体"/>
                <w:b/>
                <w:sz w:val="24"/>
              </w:rPr>
            </w:pPr>
            <w:r>
              <w:rPr>
                <w:rFonts w:ascii="黑体" w:eastAsia="黑体" w:hAnsi="黑体" w:cs="黑体" w:hint="eastAsia"/>
                <w:b/>
                <w:sz w:val="24"/>
              </w:rPr>
              <w:t>主项名称</w:t>
            </w:r>
          </w:p>
        </w:tc>
        <w:tc>
          <w:tcPr>
            <w:tcW w:w="906" w:type="dxa"/>
            <w:vMerge w:val="restart"/>
            <w:vAlign w:val="center"/>
          </w:tcPr>
          <w:p w:rsidR="00013EC7" w:rsidRDefault="00575CDB">
            <w:pPr>
              <w:spacing w:line="280" w:lineRule="exact"/>
              <w:jc w:val="center"/>
              <w:rPr>
                <w:rFonts w:ascii="黑体" w:eastAsia="黑体" w:hAnsi="黑体" w:cs="黑体"/>
                <w:b/>
                <w:sz w:val="24"/>
              </w:rPr>
            </w:pPr>
            <w:r>
              <w:rPr>
                <w:rFonts w:ascii="黑体" w:eastAsia="黑体" w:hAnsi="黑体" w:cs="黑体" w:hint="eastAsia"/>
                <w:b/>
                <w:sz w:val="24"/>
              </w:rPr>
              <w:t>子项名称</w:t>
            </w:r>
          </w:p>
        </w:tc>
        <w:tc>
          <w:tcPr>
            <w:tcW w:w="2234" w:type="dxa"/>
            <w:vMerge w:val="restart"/>
            <w:vAlign w:val="center"/>
          </w:tcPr>
          <w:p w:rsidR="00013EC7" w:rsidRDefault="00575CDB">
            <w:pPr>
              <w:spacing w:line="280" w:lineRule="exact"/>
              <w:jc w:val="center"/>
              <w:rPr>
                <w:rFonts w:ascii="黑体" w:eastAsia="黑体" w:hAnsi="黑体" w:cs="黑体"/>
                <w:b/>
                <w:sz w:val="24"/>
              </w:rPr>
            </w:pPr>
            <w:r>
              <w:rPr>
                <w:rFonts w:ascii="黑体" w:eastAsia="黑体" w:hAnsi="黑体" w:cs="黑体" w:hint="eastAsia"/>
                <w:b/>
                <w:sz w:val="24"/>
              </w:rPr>
              <w:t>经办依据</w:t>
            </w:r>
          </w:p>
        </w:tc>
        <w:tc>
          <w:tcPr>
            <w:tcW w:w="4810" w:type="dxa"/>
            <w:gridSpan w:val="2"/>
            <w:vAlign w:val="center"/>
          </w:tcPr>
          <w:p w:rsidR="00013EC7" w:rsidRDefault="00575CDB">
            <w:pPr>
              <w:spacing w:line="280" w:lineRule="exact"/>
              <w:jc w:val="center"/>
              <w:rPr>
                <w:rFonts w:ascii="黑体" w:eastAsia="黑体" w:hAnsi="黑体" w:cs="黑体"/>
                <w:b/>
                <w:sz w:val="24"/>
              </w:rPr>
            </w:pPr>
            <w:r>
              <w:rPr>
                <w:rFonts w:ascii="黑体" w:eastAsia="黑体" w:hAnsi="黑体" w:cs="黑体" w:hint="eastAsia"/>
                <w:b/>
                <w:sz w:val="24"/>
              </w:rPr>
              <w:t>原经办所需材料</w:t>
            </w:r>
          </w:p>
        </w:tc>
        <w:tc>
          <w:tcPr>
            <w:tcW w:w="6607" w:type="dxa"/>
            <w:gridSpan w:val="3"/>
            <w:vAlign w:val="center"/>
          </w:tcPr>
          <w:p w:rsidR="00013EC7" w:rsidRDefault="00575CDB">
            <w:pPr>
              <w:spacing w:line="280" w:lineRule="exact"/>
              <w:jc w:val="center"/>
              <w:rPr>
                <w:rFonts w:ascii="黑体" w:eastAsia="黑体" w:hAnsi="黑体" w:cs="黑体"/>
                <w:b/>
                <w:sz w:val="24"/>
              </w:rPr>
            </w:pPr>
            <w:r>
              <w:rPr>
                <w:rFonts w:ascii="黑体" w:eastAsia="黑体" w:hAnsi="黑体" w:cs="黑体" w:hint="eastAsia"/>
                <w:b/>
                <w:sz w:val="24"/>
              </w:rPr>
              <w:t>精简后经办所需材料</w:t>
            </w:r>
          </w:p>
        </w:tc>
        <w:tc>
          <w:tcPr>
            <w:tcW w:w="1666" w:type="dxa"/>
            <w:gridSpan w:val="2"/>
            <w:vAlign w:val="center"/>
          </w:tcPr>
          <w:p w:rsidR="00013EC7" w:rsidRDefault="00575CDB">
            <w:pPr>
              <w:spacing w:line="280" w:lineRule="exact"/>
              <w:jc w:val="center"/>
              <w:rPr>
                <w:rFonts w:ascii="黑体" w:eastAsia="黑体" w:hAnsi="黑体" w:cs="黑体"/>
                <w:b/>
                <w:sz w:val="24"/>
              </w:rPr>
            </w:pPr>
            <w:r>
              <w:rPr>
                <w:rFonts w:ascii="黑体" w:eastAsia="黑体" w:hAnsi="黑体" w:cs="黑体" w:hint="eastAsia"/>
                <w:b/>
                <w:sz w:val="24"/>
              </w:rPr>
              <w:t>办理时限</w:t>
            </w:r>
          </w:p>
        </w:tc>
        <w:tc>
          <w:tcPr>
            <w:tcW w:w="958" w:type="dxa"/>
            <w:vMerge w:val="restart"/>
            <w:vAlign w:val="center"/>
          </w:tcPr>
          <w:p w:rsidR="00013EC7" w:rsidRDefault="00575CDB">
            <w:pPr>
              <w:spacing w:line="280" w:lineRule="exact"/>
              <w:jc w:val="center"/>
              <w:rPr>
                <w:rFonts w:ascii="黑体" w:eastAsia="黑体" w:hAnsi="黑体" w:cs="黑体"/>
                <w:b/>
                <w:sz w:val="24"/>
              </w:rPr>
            </w:pPr>
            <w:r>
              <w:rPr>
                <w:rFonts w:ascii="黑体" w:eastAsia="黑体" w:hAnsi="黑体" w:cs="黑体" w:hint="eastAsia"/>
                <w:b/>
                <w:sz w:val="24"/>
              </w:rPr>
              <w:t>是否实现跑零次</w:t>
            </w:r>
          </w:p>
        </w:tc>
        <w:tc>
          <w:tcPr>
            <w:tcW w:w="1104" w:type="dxa"/>
            <w:vMerge w:val="restart"/>
            <w:vAlign w:val="center"/>
          </w:tcPr>
          <w:p w:rsidR="00013EC7" w:rsidRDefault="00575CDB">
            <w:pPr>
              <w:spacing w:line="280" w:lineRule="exact"/>
              <w:jc w:val="center"/>
              <w:rPr>
                <w:rFonts w:ascii="黑体" w:eastAsia="黑体" w:hAnsi="黑体" w:cs="黑体"/>
                <w:b/>
                <w:sz w:val="24"/>
              </w:rPr>
            </w:pPr>
            <w:r>
              <w:rPr>
                <w:rFonts w:ascii="黑体" w:eastAsia="黑体" w:hAnsi="黑体" w:cs="黑体" w:hint="eastAsia"/>
                <w:b/>
                <w:sz w:val="24"/>
              </w:rPr>
              <w:t>省厅对口</w:t>
            </w:r>
          </w:p>
          <w:p w:rsidR="00013EC7" w:rsidRDefault="00575CDB">
            <w:pPr>
              <w:spacing w:line="280" w:lineRule="exact"/>
              <w:jc w:val="center"/>
              <w:rPr>
                <w:rFonts w:ascii="黑体" w:eastAsia="黑体" w:hAnsi="黑体" w:cs="黑体"/>
                <w:b/>
                <w:sz w:val="24"/>
              </w:rPr>
            </w:pPr>
            <w:r>
              <w:rPr>
                <w:rFonts w:ascii="黑体" w:eastAsia="黑体" w:hAnsi="黑体" w:cs="黑体" w:hint="eastAsia"/>
                <w:b/>
                <w:sz w:val="24"/>
              </w:rPr>
              <w:t>指导处室</w:t>
            </w:r>
          </w:p>
          <w:p w:rsidR="00013EC7" w:rsidRDefault="00575CDB">
            <w:pPr>
              <w:spacing w:line="280" w:lineRule="exact"/>
              <w:jc w:val="center"/>
              <w:rPr>
                <w:rFonts w:ascii="黑体" w:eastAsia="黑体" w:hAnsi="黑体" w:cs="黑体"/>
                <w:b/>
                <w:sz w:val="24"/>
              </w:rPr>
            </w:pPr>
            <w:r>
              <w:rPr>
                <w:rFonts w:ascii="黑体" w:eastAsia="黑体" w:hAnsi="黑体" w:cs="黑体" w:hint="eastAsia"/>
                <w:b/>
                <w:sz w:val="24"/>
              </w:rPr>
              <w:t>（单位）</w:t>
            </w:r>
          </w:p>
        </w:tc>
        <w:tc>
          <w:tcPr>
            <w:tcW w:w="1476" w:type="dxa"/>
            <w:vMerge w:val="restart"/>
            <w:vAlign w:val="center"/>
          </w:tcPr>
          <w:p w:rsidR="00013EC7" w:rsidRDefault="00575CDB">
            <w:pPr>
              <w:spacing w:line="280" w:lineRule="exact"/>
              <w:jc w:val="center"/>
              <w:rPr>
                <w:rFonts w:ascii="黑体" w:eastAsia="黑体" w:hAnsi="黑体" w:cs="黑体"/>
                <w:b/>
                <w:sz w:val="24"/>
              </w:rPr>
            </w:pPr>
            <w:r>
              <w:rPr>
                <w:rFonts w:ascii="黑体" w:eastAsia="黑体" w:hAnsi="黑体" w:cs="黑体" w:hint="eastAsia"/>
                <w:b/>
                <w:sz w:val="24"/>
              </w:rPr>
              <w:t>进一步精简、</w:t>
            </w:r>
          </w:p>
          <w:p w:rsidR="00013EC7" w:rsidRDefault="00575CDB">
            <w:pPr>
              <w:spacing w:line="280" w:lineRule="exact"/>
              <w:jc w:val="center"/>
              <w:rPr>
                <w:rFonts w:ascii="黑体" w:eastAsia="黑体" w:hAnsi="黑体" w:cs="黑体"/>
                <w:b/>
                <w:sz w:val="24"/>
              </w:rPr>
            </w:pPr>
            <w:r>
              <w:rPr>
                <w:rFonts w:ascii="黑体" w:eastAsia="黑体" w:hAnsi="黑体" w:cs="黑体" w:hint="eastAsia"/>
                <w:b/>
                <w:sz w:val="24"/>
              </w:rPr>
              <w:t>规范建议</w:t>
            </w:r>
          </w:p>
        </w:tc>
      </w:tr>
      <w:tr w:rsidR="00013EC7">
        <w:trPr>
          <w:trHeight w:val="340"/>
          <w:tblHeader/>
          <w:jc w:val="center"/>
        </w:trPr>
        <w:tc>
          <w:tcPr>
            <w:tcW w:w="1101" w:type="dxa"/>
            <w:vMerge/>
            <w:vAlign w:val="center"/>
          </w:tcPr>
          <w:p w:rsidR="00013EC7" w:rsidRDefault="00013EC7">
            <w:pPr>
              <w:jc w:val="center"/>
              <w:rPr>
                <w:rFonts w:ascii="黑体" w:eastAsia="黑体" w:hAnsi="黑体" w:cs="黑体"/>
                <w:b/>
                <w:sz w:val="24"/>
              </w:rPr>
            </w:pPr>
          </w:p>
        </w:tc>
        <w:tc>
          <w:tcPr>
            <w:tcW w:w="906" w:type="dxa"/>
            <w:vMerge/>
            <w:vAlign w:val="center"/>
          </w:tcPr>
          <w:p w:rsidR="00013EC7" w:rsidRDefault="00013EC7">
            <w:pPr>
              <w:jc w:val="center"/>
              <w:rPr>
                <w:rFonts w:ascii="黑体" w:eastAsia="黑体" w:hAnsi="黑体" w:cs="黑体"/>
                <w:b/>
                <w:sz w:val="24"/>
              </w:rPr>
            </w:pPr>
          </w:p>
        </w:tc>
        <w:tc>
          <w:tcPr>
            <w:tcW w:w="2234" w:type="dxa"/>
            <w:vMerge/>
            <w:vAlign w:val="center"/>
          </w:tcPr>
          <w:p w:rsidR="00013EC7" w:rsidRDefault="00013EC7">
            <w:pPr>
              <w:jc w:val="center"/>
              <w:rPr>
                <w:rFonts w:ascii="黑体" w:eastAsia="黑体" w:hAnsi="黑体" w:cs="黑体"/>
                <w:b/>
                <w:sz w:val="24"/>
              </w:rPr>
            </w:pPr>
          </w:p>
        </w:tc>
        <w:tc>
          <w:tcPr>
            <w:tcW w:w="4022" w:type="dxa"/>
            <w:tcBorders>
              <w:bottom w:val="single" w:sz="4" w:space="0" w:color="auto"/>
            </w:tcBorders>
            <w:vAlign w:val="center"/>
          </w:tcPr>
          <w:p w:rsidR="00013EC7" w:rsidRDefault="00575CDB">
            <w:pPr>
              <w:spacing w:line="280" w:lineRule="exact"/>
              <w:jc w:val="center"/>
              <w:rPr>
                <w:rFonts w:ascii="黑体" w:eastAsia="黑体" w:hAnsi="黑体" w:cs="黑体"/>
                <w:b/>
                <w:sz w:val="24"/>
              </w:rPr>
            </w:pPr>
            <w:r>
              <w:rPr>
                <w:rFonts w:ascii="黑体" w:eastAsia="黑体" w:hAnsi="黑体" w:cs="黑体" w:hint="eastAsia"/>
                <w:b/>
                <w:sz w:val="24"/>
              </w:rPr>
              <w:t>材料明细</w:t>
            </w:r>
          </w:p>
        </w:tc>
        <w:tc>
          <w:tcPr>
            <w:tcW w:w="788" w:type="dxa"/>
            <w:vAlign w:val="center"/>
          </w:tcPr>
          <w:p w:rsidR="00013EC7" w:rsidRDefault="00575CDB">
            <w:pPr>
              <w:spacing w:line="280" w:lineRule="exact"/>
              <w:jc w:val="center"/>
              <w:rPr>
                <w:rFonts w:ascii="黑体" w:eastAsia="黑体" w:hAnsi="黑体" w:cs="黑体"/>
                <w:b/>
                <w:sz w:val="24"/>
              </w:rPr>
            </w:pPr>
            <w:r>
              <w:rPr>
                <w:rFonts w:ascii="黑体" w:eastAsia="黑体" w:hAnsi="黑体" w:cs="黑体" w:hint="eastAsia"/>
                <w:b/>
                <w:sz w:val="24"/>
              </w:rPr>
              <w:t>材料来源</w:t>
            </w:r>
          </w:p>
        </w:tc>
        <w:tc>
          <w:tcPr>
            <w:tcW w:w="4205" w:type="dxa"/>
            <w:vAlign w:val="center"/>
          </w:tcPr>
          <w:p w:rsidR="00013EC7" w:rsidRDefault="00575CDB">
            <w:pPr>
              <w:spacing w:line="280" w:lineRule="exact"/>
              <w:jc w:val="center"/>
              <w:rPr>
                <w:rFonts w:ascii="黑体" w:eastAsia="黑体" w:hAnsi="黑体" w:cs="黑体"/>
                <w:b/>
                <w:sz w:val="24"/>
              </w:rPr>
            </w:pPr>
            <w:r>
              <w:rPr>
                <w:rFonts w:ascii="黑体" w:eastAsia="黑体" w:hAnsi="黑体" w:cs="黑体" w:hint="eastAsia"/>
                <w:b/>
                <w:sz w:val="24"/>
              </w:rPr>
              <w:t>材料明细</w:t>
            </w:r>
          </w:p>
        </w:tc>
        <w:tc>
          <w:tcPr>
            <w:tcW w:w="1078" w:type="dxa"/>
            <w:vAlign w:val="center"/>
          </w:tcPr>
          <w:p w:rsidR="00013EC7" w:rsidRDefault="00575CDB">
            <w:pPr>
              <w:spacing w:line="280" w:lineRule="exact"/>
              <w:jc w:val="center"/>
              <w:rPr>
                <w:rFonts w:ascii="黑体" w:eastAsia="黑体" w:hAnsi="黑体" w:cs="黑体"/>
                <w:b/>
                <w:sz w:val="24"/>
              </w:rPr>
            </w:pPr>
            <w:r>
              <w:rPr>
                <w:rFonts w:ascii="黑体" w:eastAsia="黑体" w:hAnsi="黑体" w:cs="黑体" w:hint="eastAsia"/>
                <w:b/>
                <w:sz w:val="24"/>
              </w:rPr>
              <w:t>材料来源</w:t>
            </w:r>
          </w:p>
        </w:tc>
        <w:tc>
          <w:tcPr>
            <w:tcW w:w="1324" w:type="dxa"/>
            <w:vAlign w:val="center"/>
          </w:tcPr>
          <w:p w:rsidR="00013EC7" w:rsidRDefault="00575CDB">
            <w:pPr>
              <w:spacing w:line="280" w:lineRule="exact"/>
              <w:jc w:val="center"/>
              <w:rPr>
                <w:rFonts w:ascii="黑体" w:eastAsia="黑体" w:hAnsi="黑体" w:cs="黑体"/>
                <w:b/>
                <w:sz w:val="24"/>
              </w:rPr>
            </w:pPr>
            <w:r>
              <w:rPr>
                <w:rFonts w:ascii="黑体" w:eastAsia="黑体" w:hAnsi="黑体" w:cs="黑体" w:hint="eastAsia"/>
                <w:b/>
                <w:sz w:val="24"/>
              </w:rPr>
              <w:t>办理方式及材料信息获取方式说明</w:t>
            </w:r>
          </w:p>
        </w:tc>
        <w:tc>
          <w:tcPr>
            <w:tcW w:w="868" w:type="dxa"/>
            <w:vAlign w:val="center"/>
          </w:tcPr>
          <w:p w:rsidR="00013EC7" w:rsidRDefault="00575CDB">
            <w:pPr>
              <w:spacing w:line="280" w:lineRule="exact"/>
              <w:jc w:val="center"/>
              <w:rPr>
                <w:rFonts w:ascii="黑体" w:eastAsia="黑体" w:hAnsi="黑体" w:cs="黑体"/>
                <w:b/>
                <w:sz w:val="24"/>
              </w:rPr>
            </w:pPr>
            <w:r>
              <w:rPr>
                <w:rFonts w:ascii="黑体" w:eastAsia="黑体" w:hAnsi="黑体" w:cs="黑体" w:hint="eastAsia"/>
                <w:b/>
                <w:sz w:val="24"/>
              </w:rPr>
              <w:t>优化前</w:t>
            </w:r>
          </w:p>
        </w:tc>
        <w:tc>
          <w:tcPr>
            <w:tcW w:w="798" w:type="dxa"/>
            <w:vAlign w:val="center"/>
          </w:tcPr>
          <w:p w:rsidR="00013EC7" w:rsidRDefault="00575CDB">
            <w:pPr>
              <w:spacing w:line="280" w:lineRule="exact"/>
              <w:jc w:val="center"/>
              <w:rPr>
                <w:rFonts w:ascii="黑体" w:eastAsia="黑体" w:hAnsi="黑体" w:cs="黑体"/>
                <w:b/>
                <w:sz w:val="24"/>
              </w:rPr>
            </w:pPr>
            <w:r>
              <w:rPr>
                <w:rFonts w:ascii="黑体" w:eastAsia="黑体" w:hAnsi="黑体" w:cs="黑体" w:hint="eastAsia"/>
                <w:b/>
                <w:sz w:val="24"/>
              </w:rPr>
              <w:t>优化后</w:t>
            </w:r>
          </w:p>
        </w:tc>
        <w:tc>
          <w:tcPr>
            <w:tcW w:w="958" w:type="dxa"/>
            <w:vMerge/>
            <w:vAlign w:val="center"/>
          </w:tcPr>
          <w:p w:rsidR="00013EC7" w:rsidRDefault="00013EC7">
            <w:pPr>
              <w:jc w:val="center"/>
              <w:rPr>
                <w:rFonts w:ascii="黑体" w:eastAsia="黑体" w:hAnsi="黑体" w:cs="黑体"/>
                <w:sz w:val="24"/>
              </w:rPr>
            </w:pPr>
          </w:p>
        </w:tc>
        <w:tc>
          <w:tcPr>
            <w:tcW w:w="1104" w:type="dxa"/>
            <w:vMerge/>
            <w:vAlign w:val="center"/>
          </w:tcPr>
          <w:p w:rsidR="00013EC7" w:rsidRDefault="00013EC7">
            <w:pPr>
              <w:jc w:val="center"/>
              <w:rPr>
                <w:rFonts w:ascii="黑体" w:eastAsia="黑体" w:hAnsi="黑体" w:cs="黑体"/>
                <w:sz w:val="24"/>
              </w:rPr>
            </w:pPr>
          </w:p>
        </w:tc>
        <w:tc>
          <w:tcPr>
            <w:tcW w:w="1476" w:type="dxa"/>
            <w:vMerge/>
            <w:vAlign w:val="center"/>
          </w:tcPr>
          <w:p w:rsidR="00013EC7" w:rsidRDefault="00013EC7">
            <w:pPr>
              <w:jc w:val="center"/>
              <w:rPr>
                <w:rFonts w:ascii="黑体" w:eastAsia="黑体" w:hAnsi="黑体" w:cs="黑体"/>
                <w:sz w:val="24"/>
              </w:rPr>
            </w:pPr>
          </w:p>
        </w:tc>
      </w:tr>
      <w:tr w:rsidR="00013EC7">
        <w:trPr>
          <w:trHeight w:val="918"/>
          <w:jc w:val="center"/>
        </w:trPr>
        <w:tc>
          <w:tcPr>
            <w:tcW w:w="1101" w:type="dxa"/>
            <w:vMerge w:val="restart"/>
            <w:shd w:val="clear" w:color="auto" w:fill="auto"/>
            <w:vAlign w:val="center"/>
          </w:tcPr>
          <w:p w:rsidR="00013EC7" w:rsidRDefault="00731DCE">
            <w:pPr>
              <w:widowControl/>
              <w:textAlignment w:val="center"/>
              <w:rPr>
                <w:rFonts w:ascii="仿宋" w:eastAsia="仿宋" w:hAnsi="仿宋"/>
                <w:sz w:val="24"/>
              </w:rPr>
            </w:pPr>
            <w:r>
              <w:rPr>
                <w:rFonts w:ascii="仿宋" w:eastAsia="仿宋" w:hAnsi="仿宋" w:cs="仿宋" w:hint="eastAsia"/>
                <w:color w:val="000000"/>
                <w:kern w:val="0"/>
                <w:sz w:val="24"/>
              </w:rPr>
              <w:t>24.常见税收优惠办理</w:t>
            </w:r>
          </w:p>
        </w:tc>
        <w:tc>
          <w:tcPr>
            <w:tcW w:w="906" w:type="dxa"/>
            <w:vMerge w:val="restart"/>
            <w:shd w:val="clear" w:color="auto" w:fill="auto"/>
            <w:vAlign w:val="center"/>
          </w:tcPr>
          <w:p w:rsidR="00013EC7" w:rsidRDefault="00575CDB">
            <w:pPr>
              <w:widowControl/>
              <w:textAlignment w:val="center"/>
              <w:rPr>
                <w:rFonts w:ascii="仿宋" w:eastAsia="仿宋" w:hAnsi="仿宋"/>
                <w:sz w:val="24"/>
              </w:rPr>
            </w:pPr>
            <w:r>
              <w:rPr>
                <w:rFonts w:ascii="仿宋" w:eastAsia="仿宋" w:hAnsi="仿宋" w:cs="方正书宋简体" w:hint="eastAsia"/>
                <w:color w:val="000000"/>
                <w:kern w:val="0"/>
                <w:sz w:val="24"/>
              </w:rPr>
              <w:t>24.4消费税退税优惠资格备案</w:t>
            </w:r>
          </w:p>
        </w:tc>
        <w:tc>
          <w:tcPr>
            <w:tcW w:w="2234" w:type="dxa"/>
            <w:vMerge w:val="restart"/>
            <w:shd w:val="clear" w:color="auto" w:fill="auto"/>
            <w:vAlign w:val="center"/>
          </w:tcPr>
          <w:p w:rsidR="00013EC7" w:rsidRDefault="00575CDB">
            <w:pPr>
              <w:spacing w:line="310" w:lineRule="exact"/>
              <w:rPr>
                <w:rFonts w:ascii="仿宋" w:eastAsia="仿宋" w:hAnsi="仿宋"/>
                <w:sz w:val="24"/>
              </w:rPr>
            </w:pPr>
            <w:r>
              <w:rPr>
                <w:rFonts w:ascii="仿宋" w:eastAsia="仿宋" w:hAnsi="仿宋" w:hint="eastAsia"/>
                <w:sz w:val="24"/>
              </w:rPr>
              <w:t>（一）</w:t>
            </w:r>
            <w:r>
              <w:rPr>
                <w:rFonts w:ascii="仿宋" w:eastAsia="仿宋" w:hAnsi="仿宋"/>
                <w:sz w:val="24"/>
              </w:rPr>
              <w:t>《国家税务总局关于发布&lt;用于生产乙烯、芳烃类化工产品的石脑油、燃料油退（免）消费税暂行办法&gt; 的公告》（国家税务总局公告2012年第36号） 全文</w:t>
            </w:r>
            <w:r>
              <w:rPr>
                <w:rFonts w:ascii="仿宋" w:eastAsia="仿宋" w:hAnsi="仿宋" w:hint="eastAsia"/>
                <w:sz w:val="24"/>
              </w:rPr>
              <w:t>。</w:t>
            </w:r>
          </w:p>
          <w:p w:rsidR="00013EC7" w:rsidRDefault="00575CDB">
            <w:pPr>
              <w:spacing w:line="310" w:lineRule="exact"/>
              <w:rPr>
                <w:rFonts w:ascii="仿宋" w:eastAsia="仿宋" w:hAnsi="仿宋"/>
                <w:sz w:val="24"/>
              </w:rPr>
            </w:pPr>
            <w:r>
              <w:rPr>
                <w:rFonts w:ascii="仿宋" w:eastAsia="仿宋" w:hAnsi="仿宋" w:hint="eastAsia"/>
                <w:sz w:val="24"/>
              </w:rPr>
              <w:t>（二）</w:t>
            </w:r>
            <w:r>
              <w:rPr>
                <w:rFonts w:ascii="仿宋" w:eastAsia="仿宋" w:hAnsi="仿宋"/>
                <w:sz w:val="24"/>
              </w:rPr>
              <w:t>《国家税务总局 海关总署关于石脑油、燃料油、生产乙烯、芳烃类化工产品消费税退税问题的公告》（国家税务总局、海关总署公告2013年第29号）第一条、第二条</w:t>
            </w:r>
            <w:r>
              <w:rPr>
                <w:rFonts w:ascii="仿宋" w:eastAsia="仿宋" w:hAnsi="仿宋" w:hint="eastAsia"/>
                <w:sz w:val="24"/>
              </w:rPr>
              <w:t>。</w:t>
            </w:r>
          </w:p>
          <w:p w:rsidR="00013EC7" w:rsidRDefault="00575CDB">
            <w:pPr>
              <w:spacing w:line="310" w:lineRule="exact"/>
              <w:rPr>
                <w:rFonts w:ascii="仿宋" w:eastAsia="仿宋" w:hAnsi="仿宋"/>
                <w:sz w:val="24"/>
              </w:rPr>
            </w:pPr>
            <w:r>
              <w:rPr>
                <w:rFonts w:ascii="仿宋" w:eastAsia="仿宋" w:hAnsi="仿宋" w:hint="eastAsia"/>
                <w:sz w:val="24"/>
              </w:rPr>
              <w:t>（三）</w:t>
            </w:r>
            <w:r>
              <w:rPr>
                <w:rFonts w:ascii="仿宋" w:eastAsia="仿宋" w:hAnsi="仿宋"/>
                <w:sz w:val="24"/>
              </w:rPr>
              <w:t>《国家税务总局关于发布&lt;税收减免管理办法&gt;的公告》（国家税务总局公告2015年第43号）第十四条、第十五条、第十六条、第十七条、第十八条、第十九条、第二十条</w:t>
            </w:r>
            <w:r>
              <w:rPr>
                <w:rFonts w:ascii="仿宋" w:eastAsia="仿宋" w:hAnsi="仿宋" w:hint="eastAsia"/>
                <w:sz w:val="24"/>
              </w:rPr>
              <w:t>。</w:t>
            </w:r>
          </w:p>
          <w:p w:rsidR="00013EC7" w:rsidRDefault="00575CDB">
            <w:pPr>
              <w:spacing w:line="310" w:lineRule="exact"/>
              <w:rPr>
                <w:rFonts w:ascii="仿宋" w:eastAsia="仿宋" w:hAnsi="仿宋"/>
                <w:sz w:val="24"/>
              </w:rPr>
            </w:pPr>
            <w:r>
              <w:rPr>
                <w:rFonts w:ascii="仿宋" w:eastAsia="仿宋" w:hAnsi="仿宋" w:hint="eastAsia"/>
                <w:sz w:val="24"/>
              </w:rPr>
              <w:t>（四）</w:t>
            </w:r>
            <w:r>
              <w:rPr>
                <w:rFonts w:ascii="仿宋" w:eastAsia="仿宋" w:hAnsi="仿宋"/>
                <w:sz w:val="24"/>
              </w:rPr>
              <w:t>《国家税务总局关于取消乙烯、芳</w:t>
            </w:r>
            <w:r>
              <w:rPr>
                <w:rFonts w:ascii="仿宋" w:eastAsia="仿宋" w:hAnsi="仿宋"/>
                <w:sz w:val="24"/>
              </w:rPr>
              <w:lastRenderedPageBreak/>
              <w:t>烃生产企业退税资格认定审批事项有关管理问题的公告》（国家税务总局公告2015年第54号）全文</w:t>
            </w:r>
            <w:r>
              <w:rPr>
                <w:rFonts w:ascii="仿宋" w:eastAsia="仿宋" w:hAnsi="仿宋" w:hint="eastAsia"/>
                <w:sz w:val="24"/>
              </w:rPr>
              <w:t>。</w:t>
            </w:r>
          </w:p>
          <w:p w:rsidR="00013EC7" w:rsidRDefault="00013EC7">
            <w:pPr>
              <w:spacing w:line="310" w:lineRule="exact"/>
              <w:rPr>
                <w:rFonts w:ascii="仿宋" w:eastAsia="仿宋" w:hAnsi="仿宋"/>
                <w:sz w:val="24"/>
              </w:rPr>
            </w:pPr>
          </w:p>
        </w:tc>
        <w:tc>
          <w:tcPr>
            <w:tcW w:w="4022" w:type="dxa"/>
            <w:tcBorders>
              <w:top w:val="single" w:sz="4" w:space="0" w:color="auto"/>
              <w:bottom w:val="single" w:sz="4" w:space="0" w:color="C00000"/>
            </w:tcBorders>
            <w:shd w:val="clear" w:color="auto" w:fill="FFFFFF"/>
            <w:vAlign w:val="center"/>
          </w:tcPr>
          <w:p w:rsidR="00013EC7" w:rsidRDefault="00575CDB">
            <w:pPr>
              <w:spacing w:line="300" w:lineRule="exact"/>
              <w:rPr>
                <w:rFonts w:ascii="仿宋" w:eastAsia="仿宋" w:hAnsi="仿宋"/>
                <w:sz w:val="24"/>
              </w:rPr>
            </w:pPr>
            <w:r>
              <w:rPr>
                <w:rFonts w:ascii="仿宋" w:eastAsia="仿宋" w:hAnsi="仿宋" w:hint="eastAsia"/>
                <w:sz w:val="24"/>
              </w:rPr>
              <w:lastRenderedPageBreak/>
              <w:t>（一）(A03037)《石脑油、燃料油消费税退税资格备案表》2份。</w:t>
            </w:r>
          </w:p>
        </w:tc>
        <w:tc>
          <w:tcPr>
            <w:tcW w:w="788" w:type="dxa"/>
            <w:vMerge w:val="restart"/>
            <w:shd w:val="clear" w:color="auto" w:fill="auto"/>
            <w:vAlign w:val="center"/>
          </w:tcPr>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575CDB">
            <w:pPr>
              <w:spacing w:line="300" w:lineRule="exact"/>
              <w:rPr>
                <w:rFonts w:ascii="仿宋" w:eastAsia="仿宋" w:hAnsi="仿宋"/>
                <w:sz w:val="24"/>
              </w:rPr>
            </w:pPr>
            <w:r>
              <w:rPr>
                <w:rFonts w:ascii="仿宋" w:eastAsia="仿宋" w:hAnsi="仿宋" w:hint="eastAsia"/>
                <w:sz w:val="24"/>
              </w:rPr>
              <w:t>石脑油、燃料油消费税退税资格纳税人</w:t>
            </w:r>
            <w:r>
              <w:rPr>
                <w:rFonts w:ascii="仿宋" w:eastAsia="仿宋" w:hAnsi="仿宋"/>
                <w:sz w:val="24"/>
              </w:rPr>
              <w:t>提交</w:t>
            </w: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tc>
        <w:tc>
          <w:tcPr>
            <w:tcW w:w="4205" w:type="dxa"/>
            <w:shd w:val="clear" w:color="auto" w:fill="FFFFFF"/>
            <w:vAlign w:val="center"/>
          </w:tcPr>
          <w:p w:rsidR="00013EC7" w:rsidRDefault="00575CDB">
            <w:pPr>
              <w:spacing w:line="300" w:lineRule="exact"/>
              <w:rPr>
                <w:rFonts w:ascii="仿宋" w:eastAsia="仿宋" w:hAnsi="仿宋"/>
                <w:sz w:val="24"/>
              </w:rPr>
            </w:pPr>
            <w:r>
              <w:rPr>
                <w:rFonts w:ascii="仿宋" w:eastAsia="仿宋" w:hAnsi="仿宋" w:hint="eastAsia"/>
                <w:sz w:val="24"/>
              </w:rPr>
              <w:lastRenderedPageBreak/>
              <w:t>（一）(A03037)《石脑油、燃料油消费税退税资格备案表》2份。</w:t>
            </w:r>
          </w:p>
        </w:tc>
        <w:tc>
          <w:tcPr>
            <w:tcW w:w="1078" w:type="dxa"/>
            <w:vMerge w:val="restart"/>
            <w:shd w:val="clear" w:color="auto" w:fill="FFFFFF"/>
            <w:vAlign w:val="center"/>
          </w:tcPr>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575CDB">
            <w:pPr>
              <w:spacing w:line="300" w:lineRule="exact"/>
              <w:rPr>
                <w:rFonts w:ascii="仿宋" w:eastAsia="仿宋" w:hAnsi="仿宋"/>
                <w:sz w:val="24"/>
              </w:rPr>
            </w:pPr>
            <w:r>
              <w:rPr>
                <w:rFonts w:ascii="仿宋" w:eastAsia="仿宋" w:hAnsi="仿宋" w:hint="eastAsia"/>
                <w:sz w:val="24"/>
              </w:rPr>
              <w:t>石脑油、燃料油消费税退税资格纳税人</w:t>
            </w:r>
            <w:r>
              <w:rPr>
                <w:rFonts w:ascii="仿宋" w:eastAsia="仿宋" w:hAnsi="仿宋"/>
                <w:sz w:val="24"/>
              </w:rPr>
              <w:t>提交</w:t>
            </w: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p w:rsidR="00013EC7" w:rsidRDefault="00013EC7">
            <w:pPr>
              <w:spacing w:line="300" w:lineRule="exact"/>
              <w:rPr>
                <w:rFonts w:ascii="仿宋" w:eastAsia="仿宋" w:hAnsi="仿宋"/>
                <w:sz w:val="24"/>
              </w:rPr>
            </w:pPr>
          </w:p>
        </w:tc>
        <w:tc>
          <w:tcPr>
            <w:tcW w:w="1324" w:type="dxa"/>
            <w:vMerge w:val="restart"/>
            <w:shd w:val="clear" w:color="auto" w:fill="FFFFFF"/>
            <w:vAlign w:val="center"/>
          </w:tcPr>
          <w:p w:rsidR="00013EC7" w:rsidRDefault="00575CDB">
            <w:pPr>
              <w:spacing w:line="300" w:lineRule="exact"/>
              <w:rPr>
                <w:rFonts w:ascii="仿宋" w:eastAsia="仿宋" w:hAnsi="仿宋" w:cs="仿宋"/>
                <w:sz w:val="24"/>
              </w:rPr>
            </w:pPr>
            <w:r>
              <w:rPr>
                <w:rFonts w:ascii="仿宋" w:eastAsia="仿宋" w:hAnsi="仿宋" w:cs="仿宋" w:hint="eastAsia"/>
                <w:b/>
                <w:sz w:val="24"/>
              </w:rPr>
              <w:lastRenderedPageBreak/>
              <w:t>现场办理：</w:t>
            </w:r>
            <w:r>
              <w:rPr>
                <w:rFonts w:ascii="仿宋" w:eastAsia="仿宋" w:hAnsi="仿宋" w:cs="仿宋" w:hint="eastAsia"/>
                <w:sz w:val="24"/>
              </w:rPr>
              <w:t>纳税人提交书面材料。</w:t>
            </w:r>
            <w:r>
              <w:rPr>
                <w:rFonts w:ascii="仿宋" w:eastAsia="仿宋" w:hAnsi="仿宋" w:cs="仿宋" w:hint="eastAsia"/>
                <w:b/>
                <w:sz w:val="24"/>
              </w:rPr>
              <w:t>网上办理：</w:t>
            </w:r>
            <w:r>
              <w:rPr>
                <w:rFonts w:ascii="仿宋" w:eastAsia="仿宋" w:hAnsi="仿宋" w:cs="仿宋" w:hint="eastAsia"/>
                <w:sz w:val="24"/>
              </w:rPr>
              <w:t>登录浙江国税电子税务局（网址：</w:t>
            </w:r>
            <w:hyperlink r:id="rId430" w:tgtFrame="https://wx.qq.com/_blank" w:history="1">
              <w:r>
                <w:rPr>
                  <w:rFonts w:ascii="仿宋" w:eastAsia="仿宋" w:hAnsi="仿宋" w:cs="仿宋" w:hint="eastAsia"/>
                  <w:sz w:val="24"/>
                </w:rPr>
                <w:t>http://etax.zjtax.gov.cn/</w:t>
              </w:r>
            </w:hyperlink>
            <w:r>
              <w:rPr>
                <w:rFonts w:ascii="仿宋" w:eastAsia="仿宋" w:hAnsi="仿宋" w:cs="仿宋" w:hint="eastAsia"/>
                <w:sz w:val="24"/>
              </w:rPr>
              <w:t>）提交申请。</w:t>
            </w:r>
          </w:p>
          <w:p w:rsidR="00013EC7" w:rsidRDefault="00013EC7">
            <w:pPr>
              <w:spacing w:line="300" w:lineRule="exact"/>
              <w:rPr>
                <w:rFonts w:ascii="仿宋" w:eastAsia="仿宋" w:hAnsi="仿宋"/>
                <w:sz w:val="24"/>
              </w:rPr>
            </w:pPr>
          </w:p>
        </w:tc>
        <w:tc>
          <w:tcPr>
            <w:tcW w:w="868" w:type="dxa"/>
            <w:vMerge w:val="restart"/>
            <w:vAlign w:val="center"/>
          </w:tcPr>
          <w:p w:rsidR="00013EC7" w:rsidRDefault="00575CDB">
            <w:pPr>
              <w:spacing w:line="300" w:lineRule="exact"/>
              <w:rPr>
                <w:rFonts w:ascii="仿宋" w:eastAsia="仿宋" w:hAnsi="仿宋"/>
                <w:sz w:val="24"/>
              </w:rPr>
            </w:pPr>
            <w:r>
              <w:rPr>
                <w:rFonts w:ascii="仿宋" w:eastAsia="仿宋" w:hAnsi="仿宋" w:hint="eastAsia"/>
                <w:sz w:val="24"/>
              </w:rPr>
              <w:t>即时办结</w:t>
            </w:r>
          </w:p>
        </w:tc>
        <w:tc>
          <w:tcPr>
            <w:tcW w:w="798" w:type="dxa"/>
            <w:vMerge w:val="restart"/>
            <w:vAlign w:val="center"/>
          </w:tcPr>
          <w:p w:rsidR="00013EC7" w:rsidRDefault="00575CDB">
            <w:pPr>
              <w:spacing w:line="300" w:lineRule="exact"/>
              <w:rPr>
                <w:rFonts w:ascii="仿宋" w:eastAsia="仿宋" w:hAnsi="仿宋"/>
                <w:sz w:val="24"/>
              </w:rPr>
            </w:pPr>
            <w:r>
              <w:rPr>
                <w:rFonts w:ascii="仿宋" w:eastAsia="仿宋" w:hAnsi="仿宋" w:hint="eastAsia"/>
                <w:sz w:val="24"/>
              </w:rPr>
              <w:t>即时办结</w:t>
            </w:r>
          </w:p>
        </w:tc>
        <w:tc>
          <w:tcPr>
            <w:tcW w:w="958" w:type="dxa"/>
            <w:vMerge w:val="restart"/>
            <w:vAlign w:val="center"/>
          </w:tcPr>
          <w:p w:rsidR="00013EC7" w:rsidRDefault="00575CDB">
            <w:pPr>
              <w:spacing w:line="300" w:lineRule="exact"/>
              <w:rPr>
                <w:rFonts w:ascii="仿宋" w:eastAsia="仿宋" w:hAnsi="仿宋"/>
                <w:sz w:val="24"/>
              </w:rPr>
            </w:pPr>
            <w:r>
              <w:rPr>
                <w:rFonts w:ascii="仿宋" w:eastAsia="仿宋" w:hAnsi="仿宋" w:hint="eastAsia"/>
                <w:sz w:val="24"/>
              </w:rPr>
              <w:t>是</w:t>
            </w:r>
          </w:p>
        </w:tc>
        <w:tc>
          <w:tcPr>
            <w:tcW w:w="1104" w:type="dxa"/>
            <w:vMerge w:val="restart"/>
            <w:vAlign w:val="center"/>
          </w:tcPr>
          <w:p w:rsidR="00013EC7" w:rsidRDefault="00575CDB">
            <w:pPr>
              <w:spacing w:line="300" w:lineRule="exact"/>
              <w:rPr>
                <w:rFonts w:ascii="仿宋" w:eastAsia="仿宋" w:hAnsi="仿宋"/>
                <w:sz w:val="24"/>
              </w:rPr>
            </w:pPr>
            <w:r>
              <w:rPr>
                <w:rFonts w:ascii="仿宋" w:eastAsia="仿宋" w:hAnsi="仿宋" w:hint="eastAsia"/>
                <w:sz w:val="24"/>
              </w:rPr>
              <w:t>收入规划核算处、</w:t>
            </w:r>
          </w:p>
          <w:p w:rsidR="00013EC7" w:rsidRDefault="00575CDB">
            <w:pPr>
              <w:spacing w:line="300" w:lineRule="exact"/>
              <w:rPr>
                <w:rFonts w:ascii="仿宋" w:eastAsia="仿宋" w:hAnsi="仿宋"/>
                <w:sz w:val="24"/>
              </w:rPr>
            </w:pPr>
            <w:r>
              <w:rPr>
                <w:rFonts w:ascii="仿宋" w:eastAsia="仿宋" w:hAnsi="仿宋" w:hint="eastAsia"/>
                <w:sz w:val="24"/>
              </w:rPr>
              <w:t>货物和劳务税处</w:t>
            </w:r>
          </w:p>
        </w:tc>
        <w:tc>
          <w:tcPr>
            <w:tcW w:w="1476" w:type="dxa"/>
            <w:vMerge w:val="restart"/>
            <w:vAlign w:val="center"/>
          </w:tcPr>
          <w:p w:rsidR="00013EC7" w:rsidRDefault="00013EC7">
            <w:pPr>
              <w:spacing w:line="300" w:lineRule="exact"/>
              <w:rPr>
                <w:rFonts w:ascii="仿宋" w:eastAsia="仿宋" w:hAnsi="仿宋"/>
                <w:sz w:val="24"/>
              </w:rPr>
            </w:pPr>
          </w:p>
        </w:tc>
      </w:tr>
      <w:tr w:rsidR="00013EC7">
        <w:trPr>
          <w:trHeight w:val="1658"/>
          <w:jc w:val="center"/>
        </w:trPr>
        <w:tc>
          <w:tcPr>
            <w:tcW w:w="1101" w:type="dxa"/>
            <w:vMerge/>
            <w:shd w:val="clear" w:color="auto" w:fill="auto"/>
            <w:vAlign w:val="center"/>
          </w:tcPr>
          <w:p w:rsidR="00013EC7" w:rsidRDefault="00013EC7">
            <w:pPr>
              <w:spacing w:line="300" w:lineRule="exact"/>
            </w:pPr>
          </w:p>
        </w:tc>
        <w:tc>
          <w:tcPr>
            <w:tcW w:w="906" w:type="dxa"/>
            <w:vMerge/>
            <w:shd w:val="clear" w:color="auto" w:fill="auto"/>
            <w:vAlign w:val="center"/>
          </w:tcPr>
          <w:p w:rsidR="00013EC7" w:rsidRDefault="00013EC7">
            <w:pPr>
              <w:spacing w:line="300" w:lineRule="exact"/>
            </w:pPr>
          </w:p>
        </w:tc>
        <w:tc>
          <w:tcPr>
            <w:tcW w:w="2234" w:type="dxa"/>
            <w:vMerge/>
            <w:shd w:val="clear" w:color="auto" w:fill="auto"/>
            <w:vAlign w:val="center"/>
          </w:tcPr>
          <w:p w:rsidR="00013EC7" w:rsidRDefault="00013EC7">
            <w:pPr>
              <w:spacing w:line="300" w:lineRule="exact"/>
            </w:pPr>
          </w:p>
        </w:tc>
        <w:tc>
          <w:tcPr>
            <w:tcW w:w="4022" w:type="dxa"/>
            <w:tcBorders>
              <w:top w:val="single" w:sz="4" w:space="0" w:color="auto"/>
              <w:bottom w:val="single" w:sz="4" w:space="0" w:color="C00000"/>
            </w:tcBorders>
            <w:shd w:val="clear" w:color="auto" w:fill="FFFFFF"/>
            <w:vAlign w:val="center"/>
          </w:tcPr>
          <w:p w:rsidR="00013EC7" w:rsidRDefault="00575CDB">
            <w:pPr>
              <w:spacing w:line="300" w:lineRule="exact"/>
              <w:rPr>
                <w:rFonts w:ascii="仿宋" w:eastAsia="仿宋" w:hAnsi="仿宋"/>
                <w:sz w:val="24"/>
              </w:rPr>
            </w:pPr>
            <w:r>
              <w:rPr>
                <w:rFonts w:ascii="仿宋" w:eastAsia="仿宋" w:hAnsi="仿宋" w:hint="eastAsia"/>
                <w:sz w:val="24"/>
              </w:rPr>
              <w:t>（二）石脑油、燃料油用于生产乙烯、芳烃类化工产品的工艺设计方案、装置工艺流程以及相关生产设备情况（首次办理或条件发生变化时提供）。</w:t>
            </w:r>
          </w:p>
        </w:tc>
        <w:tc>
          <w:tcPr>
            <w:tcW w:w="788" w:type="dxa"/>
            <w:vMerge/>
            <w:shd w:val="clear" w:color="auto" w:fill="auto"/>
            <w:vAlign w:val="center"/>
          </w:tcPr>
          <w:p w:rsidR="00013EC7" w:rsidRDefault="00013EC7">
            <w:pPr>
              <w:spacing w:line="300" w:lineRule="exact"/>
              <w:rPr>
                <w:rFonts w:ascii="仿宋" w:eastAsia="仿宋" w:hAnsi="仿宋"/>
                <w:sz w:val="24"/>
              </w:rPr>
            </w:pPr>
          </w:p>
        </w:tc>
        <w:tc>
          <w:tcPr>
            <w:tcW w:w="4205" w:type="dxa"/>
            <w:shd w:val="clear" w:color="auto" w:fill="FFFFFF"/>
            <w:vAlign w:val="center"/>
          </w:tcPr>
          <w:p w:rsidR="00013EC7" w:rsidRDefault="00575CDB">
            <w:pPr>
              <w:spacing w:line="300" w:lineRule="exact"/>
              <w:rPr>
                <w:rFonts w:ascii="仿宋" w:eastAsia="仿宋" w:hAnsi="仿宋"/>
                <w:sz w:val="24"/>
              </w:rPr>
            </w:pPr>
            <w:r>
              <w:rPr>
                <w:rFonts w:ascii="仿宋" w:eastAsia="仿宋" w:hAnsi="仿宋" w:hint="eastAsia"/>
                <w:sz w:val="24"/>
              </w:rPr>
              <w:t>（二）石脑油、燃料油用于生产乙烯、芳烃类化工产品的工艺设计方案、装置工艺流程以及相关生产设备情况（首次办理或条件发生变化时提供）。</w:t>
            </w:r>
          </w:p>
        </w:tc>
        <w:tc>
          <w:tcPr>
            <w:tcW w:w="1078" w:type="dxa"/>
            <w:vMerge/>
            <w:shd w:val="clear" w:color="auto" w:fill="FFFFFF"/>
            <w:vAlign w:val="center"/>
          </w:tcPr>
          <w:p w:rsidR="00013EC7" w:rsidRDefault="00013EC7">
            <w:pPr>
              <w:spacing w:line="300" w:lineRule="exact"/>
              <w:rPr>
                <w:rFonts w:ascii="仿宋" w:eastAsia="仿宋" w:hAnsi="仿宋"/>
                <w:sz w:val="24"/>
              </w:rPr>
            </w:pPr>
          </w:p>
        </w:tc>
        <w:tc>
          <w:tcPr>
            <w:tcW w:w="1324" w:type="dxa"/>
            <w:vMerge/>
            <w:shd w:val="clear" w:color="auto" w:fill="FFFFFF"/>
            <w:vAlign w:val="center"/>
          </w:tcPr>
          <w:p w:rsidR="00013EC7" w:rsidRDefault="00013EC7">
            <w:pPr>
              <w:spacing w:line="300" w:lineRule="exact"/>
              <w:rPr>
                <w:rFonts w:ascii="仿宋" w:eastAsia="仿宋" w:hAnsi="仿宋"/>
                <w:sz w:val="24"/>
              </w:rPr>
            </w:pPr>
          </w:p>
        </w:tc>
        <w:tc>
          <w:tcPr>
            <w:tcW w:w="868" w:type="dxa"/>
            <w:vMerge/>
            <w:vAlign w:val="center"/>
          </w:tcPr>
          <w:p w:rsidR="00013EC7" w:rsidRDefault="00013EC7">
            <w:pPr>
              <w:spacing w:line="300" w:lineRule="exact"/>
              <w:rPr>
                <w:rFonts w:ascii="仿宋" w:eastAsia="仿宋" w:hAnsi="仿宋"/>
                <w:sz w:val="24"/>
              </w:rPr>
            </w:pPr>
          </w:p>
        </w:tc>
        <w:tc>
          <w:tcPr>
            <w:tcW w:w="798" w:type="dxa"/>
            <w:vMerge/>
            <w:vAlign w:val="center"/>
          </w:tcPr>
          <w:p w:rsidR="00013EC7" w:rsidRDefault="00013EC7">
            <w:pPr>
              <w:spacing w:line="300" w:lineRule="exact"/>
              <w:rPr>
                <w:rFonts w:ascii="仿宋" w:eastAsia="仿宋" w:hAnsi="仿宋"/>
                <w:sz w:val="24"/>
              </w:rPr>
            </w:pPr>
          </w:p>
        </w:tc>
        <w:tc>
          <w:tcPr>
            <w:tcW w:w="958" w:type="dxa"/>
            <w:vMerge/>
            <w:vAlign w:val="center"/>
          </w:tcPr>
          <w:p w:rsidR="00013EC7" w:rsidRDefault="00013EC7">
            <w:pPr>
              <w:spacing w:line="300" w:lineRule="exact"/>
              <w:rPr>
                <w:rFonts w:ascii="仿宋" w:eastAsia="仿宋" w:hAnsi="仿宋"/>
                <w:sz w:val="24"/>
              </w:rPr>
            </w:pPr>
          </w:p>
        </w:tc>
        <w:tc>
          <w:tcPr>
            <w:tcW w:w="1104" w:type="dxa"/>
            <w:vMerge/>
            <w:vAlign w:val="center"/>
          </w:tcPr>
          <w:p w:rsidR="00013EC7" w:rsidRDefault="00013EC7">
            <w:pPr>
              <w:spacing w:line="300" w:lineRule="exact"/>
              <w:rPr>
                <w:rFonts w:ascii="仿宋" w:eastAsia="仿宋" w:hAnsi="仿宋"/>
                <w:sz w:val="24"/>
              </w:rPr>
            </w:pPr>
          </w:p>
        </w:tc>
        <w:tc>
          <w:tcPr>
            <w:tcW w:w="1476" w:type="dxa"/>
            <w:vMerge/>
            <w:vAlign w:val="center"/>
          </w:tcPr>
          <w:p w:rsidR="00013EC7" w:rsidRDefault="00013EC7">
            <w:pPr>
              <w:spacing w:line="300" w:lineRule="exact"/>
              <w:rPr>
                <w:rFonts w:ascii="仿宋" w:eastAsia="仿宋" w:hAnsi="仿宋"/>
                <w:sz w:val="24"/>
              </w:rPr>
            </w:pPr>
          </w:p>
        </w:tc>
      </w:tr>
      <w:tr w:rsidR="00013EC7">
        <w:trPr>
          <w:trHeight w:val="1809"/>
          <w:jc w:val="center"/>
        </w:trPr>
        <w:tc>
          <w:tcPr>
            <w:tcW w:w="1101" w:type="dxa"/>
            <w:vMerge/>
            <w:shd w:val="clear" w:color="auto" w:fill="auto"/>
            <w:vAlign w:val="center"/>
          </w:tcPr>
          <w:p w:rsidR="00013EC7" w:rsidRDefault="00013EC7">
            <w:pPr>
              <w:spacing w:line="300" w:lineRule="exact"/>
              <w:rPr>
                <w:rFonts w:ascii="仿宋" w:eastAsia="仿宋" w:hAnsi="仿宋"/>
                <w:sz w:val="24"/>
              </w:rPr>
            </w:pPr>
          </w:p>
        </w:tc>
        <w:tc>
          <w:tcPr>
            <w:tcW w:w="906" w:type="dxa"/>
            <w:vMerge/>
            <w:shd w:val="clear" w:color="auto" w:fill="auto"/>
            <w:vAlign w:val="center"/>
          </w:tcPr>
          <w:p w:rsidR="00013EC7" w:rsidRDefault="00013EC7">
            <w:pPr>
              <w:spacing w:line="300" w:lineRule="exact"/>
              <w:rPr>
                <w:rFonts w:ascii="仿宋" w:eastAsia="仿宋" w:hAnsi="仿宋"/>
                <w:sz w:val="24"/>
              </w:rPr>
            </w:pPr>
          </w:p>
        </w:tc>
        <w:tc>
          <w:tcPr>
            <w:tcW w:w="2234" w:type="dxa"/>
            <w:vMerge/>
            <w:shd w:val="clear" w:color="auto" w:fill="auto"/>
            <w:vAlign w:val="center"/>
          </w:tcPr>
          <w:p w:rsidR="00013EC7" w:rsidRDefault="00013EC7">
            <w:pPr>
              <w:spacing w:line="300" w:lineRule="exact"/>
              <w:rPr>
                <w:rFonts w:ascii="仿宋" w:eastAsia="仿宋" w:hAnsi="仿宋"/>
                <w:sz w:val="24"/>
              </w:rPr>
            </w:pPr>
          </w:p>
        </w:tc>
        <w:tc>
          <w:tcPr>
            <w:tcW w:w="4022" w:type="dxa"/>
            <w:tcBorders>
              <w:top w:val="single" w:sz="4" w:space="0" w:color="auto"/>
              <w:bottom w:val="single" w:sz="4" w:space="0" w:color="C00000"/>
            </w:tcBorders>
            <w:shd w:val="clear" w:color="auto" w:fill="FFFFFF"/>
            <w:vAlign w:val="center"/>
          </w:tcPr>
          <w:p w:rsidR="00013EC7" w:rsidRDefault="00575CDB">
            <w:pPr>
              <w:spacing w:line="300" w:lineRule="exact"/>
              <w:rPr>
                <w:rFonts w:ascii="仿宋" w:eastAsia="仿宋" w:hAnsi="仿宋"/>
                <w:sz w:val="24"/>
              </w:rPr>
            </w:pPr>
            <w:r>
              <w:rPr>
                <w:rFonts w:ascii="仿宋" w:eastAsia="仿宋" w:hAnsi="仿宋" w:hint="eastAsia"/>
                <w:sz w:val="24"/>
              </w:rPr>
              <w:t>（三）石脑油、燃料油用于生产乙烯、芳烃类化工产品的物料平衡图，要求标注每套生产装置的投入产出比例及年处理能力（首次办理或条件发生变化时提供）。</w:t>
            </w:r>
          </w:p>
        </w:tc>
        <w:tc>
          <w:tcPr>
            <w:tcW w:w="788" w:type="dxa"/>
            <w:vMerge/>
            <w:shd w:val="clear" w:color="auto" w:fill="auto"/>
            <w:vAlign w:val="center"/>
          </w:tcPr>
          <w:p w:rsidR="00013EC7" w:rsidRDefault="00013EC7">
            <w:pPr>
              <w:spacing w:line="300" w:lineRule="exact"/>
              <w:rPr>
                <w:rFonts w:ascii="仿宋" w:eastAsia="仿宋" w:hAnsi="仿宋"/>
                <w:sz w:val="24"/>
              </w:rPr>
            </w:pPr>
          </w:p>
        </w:tc>
        <w:tc>
          <w:tcPr>
            <w:tcW w:w="4205" w:type="dxa"/>
            <w:shd w:val="clear" w:color="auto" w:fill="FFFFFF"/>
            <w:vAlign w:val="center"/>
          </w:tcPr>
          <w:p w:rsidR="00013EC7" w:rsidRDefault="00575CDB">
            <w:pPr>
              <w:spacing w:line="300" w:lineRule="exact"/>
              <w:rPr>
                <w:rFonts w:ascii="仿宋" w:eastAsia="仿宋" w:hAnsi="仿宋"/>
                <w:sz w:val="24"/>
              </w:rPr>
            </w:pPr>
            <w:r>
              <w:rPr>
                <w:rFonts w:ascii="仿宋" w:eastAsia="仿宋" w:hAnsi="仿宋" w:hint="eastAsia"/>
                <w:sz w:val="24"/>
              </w:rPr>
              <w:t>（三）石脑油、燃料油用于生产乙烯、芳烃类化工产品的物料平衡图，要求标注每套生产装置的投入产出比例及年处理能力（首次办理或条件发生变化时提供）。</w:t>
            </w:r>
          </w:p>
        </w:tc>
        <w:tc>
          <w:tcPr>
            <w:tcW w:w="1078" w:type="dxa"/>
            <w:vMerge/>
            <w:shd w:val="clear" w:color="auto" w:fill="FFFFFF"/>
            <w:vAlign w:val="center"/>
          </w:tcPr>
          <w:p w:rsidR="00013EC7" w:rsidRDefault="00013EC7">
            <w:pPr>
              <w:spacing w:line="300" w:lineRule="exact"/>
              <w:rPr>
                <w:rFonts w:ascii="仿宋" w:eastAsia="仿宋" w:hAnsi="仿宋"/>
                <w:sz w:val="24"/>
              </w:rPr>
            </w:pPr>
          </w:p>
        </w:tc>
        <w:tc>
          <w:tcPr>
            <w:tcW w:w="1324" w:type="dxa"/>
            <w:vMerge/>
            <w:shd w:val="clear" w:color="auto" w:fill="FFFFFF"/>
            <w:vAlign w:val="center"/>
          </w:tcPr>
          <w:p w:rsidR="00013EC7" w:rsidRDefault="00013EC7">
            <w:pPr>
              <w:spacing w:line="300" w:lineRule="exact"/>
              <w:rPr>
                <w:rFonts w:ascii="仿宋" w:eastAsia="仿宋" w:hAnsi="仿宋"/>
                <w:sz w:val="24"/>
              </w:rPr>
            </w:pPr>
          </w:p>
        </w:tc>
        <w:tc>
          <w:tcPr>
            <w:tcW w:w="868" w:type="dxa"/>
            <w:vMerge/>
            <w:vAlign w:val="center"/>
          </w:tcPr>
          <w:p w:rsidR="00013EC7" w:rsidRDefault="00013EC7">
            <w:pPr>
              <w:spacing w:line="300" w:lineRule="exact"/>
              <w:rPr>
                <w:rFonts w:ascii="仿宋" w:eastAsia="仿宋" w:hAnsi="仿宋"/>
                <w:sz w:val="24"/>
              </w:rPr>
            </w:pPr>
          </w:p>
        </w:tc>
        <w:tc>
          <w:tcPr>
            <w:tcW w:w="798" w:type="dxa"/>
            <w:vMerge/>
            <w:vAlign w:val="center"/>
          </w:tcPr>
          <w:p w:rsidR="00013EC7" w:rsidRDefault="00013EC7">
            <w:pPr>
              <w:spacing w:line="300" w:lineRule="exact"/>
              <w:rPr>
                <w:rFonts w:ascii="仿宋" w:eastAsia="仿宋" w:hAnsi="仿宋"/>
                <w:sz w:val="24"/>
              </w:rPr>
            </w:pPr>
          </w:p>
        </w:tc>
        <w:tc>
          <w:tcPr>
            <w:tcW w:w="958" w:type="dxa"/>
            <w:vMerge/>
            <w:vAlign w:val="center"/>
          </w:tcPr>
          <w:p w:rsidR="00013EC7" w:rsidRDefault="00013EC7">
            <w:pPr>
              <w:spacing w:line="300" w:lineRule="exact"/>
              <w:rPr>
                <w:rFonts w:ascii="仿宋" w:eastAsia="仿宋" w:hAnsi="仿宋"/>
                <w:sz w:val="24"/>
              </w:rPr>
            </w:pPr>
          </w:p>
        </w:tc>
        <w:tc>
          <w:tcPr>
            <w:tcW w:w="1104" w:type="dxa"/>
            <w:vMerge/>
            <w:vAlign w:val="center"/>
          </w:tcPr>
          <w:p w:rsidR="00013EC7" w:rsidRDefault="00013EC7">
            <w:pPr>
              <w:spacing w:line="300" w:lineRule="exact"/>
              <w:rPr>
                <w:rFonts w:ascii="仿宋" w:eastAsia="仿宋" w:hAnsi="仿宋"/>
                <w:sz w:val="24"/>
              </w:rPr>
            </w:pPr>
          </w:p>
        </w:tc>
        <w:tc>
          <w:tcPr>
            <w:tcW w:w="1476" w:type="dxa"/>
            <w:vMerge/>
            <w:vAlign w:val="center"/>
          </w:tcPr>
          <w:p w:rsidR="00013EC7" w:rsidRDefault="00013EC7">
            <w:pPr>
              <w:spacing w:line="300" w:lineRule="exact"/>
              <w:rPr>
                <w:rFonts w:ascii="仿宋" w:eastAsia="仿宋" w:hAnsi="仿宋"/>
                <w:sz w:val="24"/>
              </w:rPr>
            </w:pPr>
          </w:p>
        </w:tc>
      </w:tr>
      <w:tr w:rsidR="00013EC7">
        <w:trPr>
          <w:trHeight w:val="1527"/>
          <w:jc w:val="center"/>
        </w:trPr>
        <w:tc>
          <w:tcPr>
            <w:tcW w:w="1101" w:type="dxa"/>
            <w:vMerge/>
            <w:shd w:val="clear" w:color="auto" w:fill="auto"/>
            <w:vAlign w:val="center"/>
          </w:tcPr>
          <w:p w:rsidR="00013EC7" w:rsidRDefault="00013EC7">
            <w:pPr>
              <w:spacing w:line="300" w:lineRule="exact"/>
              <w:rPr>
                <w:rFonts w:ascii="仿宋" w:eastAsia="仿宋" w:hAnsi="仿宋"/>
                <w:sz w:val="24"/>
              </w:rPr>
            </w:pPr>
          </w:p>
        </w:tc>
        <w:tc>
          <w:tcPr>
            <w:tcW w:w="906" w:type="dxa"/>
            <w:vMerge/>
            <w:shd w:val="clear" w:color="auto" w:fill="auto"/>
            <w:vAlign w:val="center"/>
          </w:tcPr>
          <w:p w:rsidR="00013EC7" w:rsidRDefault="00013EC7">
            <w:pPr>
              <w:spacing w:line="300" w:lineRule="exact"/>
              <w:rPr>
                <w:rFonts w:ascii="仿宋" w:eastAsia="仿宋" w:hAnsi="仿宋"/>
                <w:sz w:val="24"/>
              </w:rPr>
            </w:pPr>
          </w:p>
        </w:tc>
        <w:tc>
          <w:tcPr>
            <w:tcW w:w="2234" w:type="dxa"/>
            <w:vMerge/>
            <w:shd w:val="clear" w:color="auto" w:fill="auto"/>
            <w:vAlign w:val="center"/>
          </w:tcPr>
          <w:p w:rsidR="00013EC7" w:rsidRDefault="00013EC7">
            <w:pPr>
              <w:spacing w:line="300" w:lineRule="exact"/>
              <w:rPr>
                <w:rFonts w:ascii="仿宋" w:eastAsia="仿宋" w:hAnsi="仿宋"/>
                <w:sz w:val="24"/>
              </w:rPr>
            </w:pPr>
          </w:p>
        </w:tc>
        <w:tc>
          <w:tcPr>
            <w:tcW w:w="4022" w:type="dxa"/>
            <w:tcBorders>
              <w:top w:val="single" w:sz="4" w:space="0" w:color="auto"/>
              <w:bottom w:val="single" w:sz="4" w:space="0" w:color="C00000"/>
            </w:tcBorders>
            <w:shd w:val="clear" w:color="auto" w:fill="FFFFFF"/>
            <w:vAlign w:val="center"/>
          </w:tcPr>
          <w:p w:rsidR="00013EC7" w:rsidRDefault="00575CDB">
            <w:pPr>
              <w:spacing w:line="300" w:lineRule="exact"/>
              <w:rPr>
                <w:rFonts w:ascii="仿宋" w:eastAsia="仿宋" w:hAnsi="仿宋"/>
                <w:sz w:val="24"/>
              </w:rPr>
            </w:pPr>
            <w:r>
              <w:rPr>
                <w:rFonts w:ascii="仿宋" w:eastAsia="仿宋" w:hAnsi="仿宋" w:hint="eastAsia"/>
                <w:sz w:val="24"/>
              </w:rPr>
              <w:t>（四）原料储罐、产成品储罐和产成品仓库的分布图、用途、储存容量的相关资料（首次办理或条件发生变化时提供）。</w:t>
            </w:r>
          </w:p>
        </w:tc>
        <w:tc>
          <w:tcPr>
            <w:tcW w:w="788" w:type="dxa"/>
            <w:vMerge/>
            <w:shd w:val="clear" w:color="auto" w:fill="auto"/>
            <w:vAlign w:val="center"/>
          </w:tcPr>
          <w:p w:rsidR="00013EC7" w:rsidRDefault="00013EC7">
            <w:pPr>
              <w:spacing w:line="300" w:lineRule="exact"/>
              <w:rPr>
                <w:rFonts w:ascii="仿宋" w:eastAsia="仿宋" w:hAnsi="仿宋"/>
                <w:sz w:val="24"/>
              </w:rPr>
            </w:pPr>
          </w:p>
        </w:tc>
        <w:tc>
          <w:tcPr>
            <w:tcW w:w="4205" w:type="dxa"/>
            <w:shd w:val="clear" w:color="auto" w:fill="FFFFFF"/>
            <w:vAlign w:val="center"/>
          </w:tcPr>
          <w:p w:rsidR="00013EC7" w:rsidRDefault="00575CDB">
            <w:pPr>
              <w:spacing w:line="300" w:lineRule="exact"/>
              <w:rPr>
                <w:rFonts w:ascii="仿宋" w:eastAsia="仿宋" w:hAnsi="仿宋"/>
                <w:sz w:val="24"/>
              </w:rPr>
            </w:pPr>
            <w:r>
              <w:rPr>
                <w:rFonts w:ascii="仿宋" w:eastAsia="仿宋" w:hAnsi="仿宋" w:hint="eastAsia"/>
                <w:sz w:val="24"/>
              </w:rPr>
              <w:t>（四）原料储罐、产成品储罐和产成品仓库的分布图、用途、储存容量的相关资料（首次办理或条件发生变化时提供）。</w:t>
            </w:r>
          </w:p>
        </w:tc>
        <w:tc>
          <w:tcPr>
            <w:tcW w:w="1078" w:type="dxa"/>
            <w:vMerge/>
            <w:shd w:val="clear" w:color="auto" w:fill="FFFFFF"/>
            <w:vAlign w:val="center"/>
          </w:tcPr>
          <w:p w:rsidR="00013EC7" w:rsidRDefault="00013EC7">
            <w:pPr>
              <w:spacing w:line="300" w:lineRule="exact"/>
              <w:rPr>
                <w:rFonts w:ascii="仿宋" w:eastAsia="仿宋" w:hAnsi="仿宋"/>
                <w:sz w:val="24"/>
              </w:rPr>
            </w:pPr>
          </w:p>
        </w:tc>
        <w:tc>
          <w:tcPr>
            <w:tcW w:w="1324" w:type="dxa"/>
            <w:vMerge/>
            <w:shd w:val="clear" w:color="auto" w:fill="FFFFFF"/>
            <w:vAlign w:val="center"/>
          </w:tcPr>
          <w:p w:rsidR="00013EC7" w:rsidRDefault="00013EC7">
            <w:pPr>
              <w:spacing w:line="300" w:lineRule="exact"/>
              <w:rPr>
                <w:rFonts w:ascii="仿宋" w:eastAsia="仿宋" w:hAnsi="仿宋"/>
                <w:sz w:val="24"/>
              </w:rPr>
            </w:pPr>
          </w:p>
        </w:tc>
        <w:tc>
          <w:tcPr>
            <w:tcW w:w="868" w:type="dxa"/>
            <w:vMerge/>
            <w:vAlign w:val="center"/>
          </w:tcPr>
          <w:p w:rsidR="00013EC7" w:rsidRDefault="00013EC7">
            <w:pPr>
              <w:spacing w:line="300" w:lineRule="exact"/>
              <w:rPr>
                <w:rFonts w:ascii="仿宋" w:eastAsia="仿宋" w:hAnsi="仿宋"/>
                <w:sz w:val="24"/>
              </w:rPr>
            </w:pPr>
          </w:p>
        </w:tc>
        <w:tc>
          <w:tcPr>
            <w:tcW w:w="798" w:type="dxa"/>
            <w:vMerge/>
            <w:vAlign w:val="center"/>
          </w:tcPr>
          <w:p w:rsidR="00013EC7" w:rsidRDefault="00013EC7">
            <w:pPr>
              <w:spacing w:line="300" w:lineRule="exact"/>
              <w:rPr>
                <w:rFonts w:ascii="仿宋" w:eastAsia="仿宋" w:hAnsi="仿宋"/>
                <w:sz w:val="24"/>
              </w:rPr>
            </w:pPr>
          </w:p>
        </w:tc>
        <w:tc>
          <w:tcPr>
            <w:tcW w:w="958" w:type="dxa"/>
            <w:vMerge/>
            <w:vAlign w:val="center"/>
          </w:tcPr>
          <w:p w:rsidR="00013EC7" w:rsidRDefault="00013EC7">
            <w:pPr>
              <w:spacing w:line="300" w:lineRule="exact"/>
              <w:rPr>
                <w:rFonts w:ascii="仿宋" w:eastAsia="仿宋" w:hAnsi="仿宋"/>
                <w:sz w:val="24"/>
              </w:rPr>
            </w:pPr>
          </w:p>
        </w:tc>
        <w:tc>
          <w:tcPr>
            <w:tcW w:w="1104" w:type="dxa"/>
            <w:vMerge/>
            <w:vAlign w:val="center"/>
          </w:tcPr>
          <w:p w:rsidR="00013EC7" w:rsidRDefault="00013EC7">
            <w:pPr>
              <w:spacing w:line="300" w:lineRule="exact"/>
              <w:rPr>
                <w:rFonts w:ascii="仿宋" w:eastAsia="仿宋" w:hAnsi="仿宋"/>
                <w:sz w:val="24"/>
              </w:rPr>
            </w:pPr>
          </w:p>
        </w:tc>
        <w:tc>
          <w:tcPr>
            <w:tcW w:w="1476" w:type="dxa"/>
            <w:vMerge/>
            <w:vAlign w:val="center"/>
          </w:tcPr>
          <w:p w:rsidR="00013EC7" w:rsidRDefault="00013EC7">
            <w:pPr>
              <w:spacing w:line="300" w:lineRule="exact"/>
              <w:rPr>
                <w:rFonts w:ascii="仿宋" w:eastAsia="仿宋" w:hAnsi="仿宋"/>
                <w:sz w:val="24"/>
              </w:rPr>
            </w:pPr>
          </w:p>
        </w:tc>
      </w:tr>
      <w:tr w:rsidR="00013EC7">
        <w:trPr>
          <w:trHeight w:val="1910"/>
          <w:jc w:val="center"/>
        </w:trPr>
        <w:tc>
          <w:tcPr>
            <w:tcW w:w="1101" w:type="dxa"/>
            <w:vMerge/>
            <w:shd w:val="clear" w:color="auto" w:fill="auto"/>
            <w:vAlign w:val="center"/>
          </w:tcPr>
          <w:p w:rsidR="00013EC7" w:rsidRDefault="00013EC7">
            <w:pPr>
              <w:spacing w:line="300" w:lineRule="exact"/>
              <w:rPr>
                <w:rFonts w:ascii="仿宋" w:eastAsia="仿宋" w:hAnsi="仿宋"/>
                <w:sz w:val="24"/>
              </w:rPr>
            </w:pPr>
          </w:p>
        </w:tc>
        <w:tc>
          <w:tcPr>
            <w:tcW w:w="906" w:type="dxa"/>
            <w:vMerge/>
            <w:shd w:val="clear" w:color="auto" w:fill="auto"/>
            <w:vAlign w:val="center"/>
          </w:tcPr>
          <w:p w:rsidR="00013EC7" w:rsidRDefault="00013EC7">
            <w:pPr>
              <w:spacing w:line="300" w:lineRule="exact"/>
              <w:rPr>
                <w:rFonts w:ascii="仿宋" w:eastAsia="仿宋" w:hAnsi="仿宋"/>
                <w:sz w:val="24"/>
              </w:rPr>
            </w:pPr>
          </w:p>
        </w:tc>
        <w:tc>
          <w:tcPr>
            <w:tcW w:w="2234" w:type="dxa"/>
            <w:vMerge/>
            <w:shd w:val="clear" w:color="auto" w:fill="auto"/>
            <w:vAlign w:val="center"/>
          </w:tcPr>
          <w:p w:rsidR="00013EC7" w:rsidRDefault="00013EC7">
            <w:pPr>
              <w:spacing w:line="300" w:lineRule="exact"/>
              <w:rPr>
                <w:rFonts w:ascii="仿宋" w:eastAsia="仿宋" w:hAnsi="仿宋"/>
                <w:sz w:val="24"/>
              </w:rPr>
            </w:pPr>
          </w:p>
        </w:tc>
        <w:tc>
          <w:tcPr>
            <w:tcW w:w="4022" w:type="dxa"/>
            <w:tcBorders>
              <w:top w:val="single" w:sz="4" w:space="0" w:color="auto"/>
              <w:bottom w:val="single" w:sz="4" w:space="0" w:color="auto"/>
            </w:tcBorders>
            <w:shd w:val="clear" w:color="auto" w:fill="FFFFFF"/>
            <w:vAlign w:val="center"/>
          </w:tcPr>
          <w:p w:rsidR="00013EC7" w:rsidRDefault="00575CDB">
            <w:pPr>
              <w:spacing w:line="300" w:lineRule="exact"/>
              <w:rPr>
                <w:rFonts w:ascii="仿宋" w:eastAsia="仿宋" w:hAnsi="仿宋"/>
                <w:sz w:val="24"/>
              </w:rPr>
            </w:pPr>
            <w:r>
              <w:rPr>
                <w:rFonts w:ascii="仿宋" w:eastAsia="仿宋" w:hAnsi="仿宋" w:hint="eastAsia"/>
                <w:sz w:val="24"/>
              </w:rPr>
              <w:t>（五）乙烯、芳烃类化工产品生产装置的全部流量计的安装位置图和计量方法说明，以及原材料密度的测量和计算方法说明（首次办理或条件发生变化时提供）。</w:t>
            </w:r>
          </w:p>
        </w:tc>
        <w:tc>
          <w:tcPr>
            <w:tcW w:w="788" w:type="dxa"/>
            <w:vMerge/>
            <w:shd w:val="clear" w:color="auto" w:fill="auto"/>
            <w:vAlign w:val="center"/>
          </w:tcPr>
          <w:p w:rsidR="00013EC7" w:rsidRDefault="00013EC7">
            <w:pPr>
              <w:spacing w:line="300" w:lineRule="exact"/>
              <w:rPr>
                <w:rFonts w:ascii="仿宋" w:eastAsia="仿宋" w:hAnsi="仿宋"/>
                <w:sz w:val="24"/>
              </w:rPr>
            </w:pPr>
          </w:p>
        </w:tc>
        <w:tc>
          <w:tcPr>
            <w:tcW w:w="4205" w:type="dxa"/>
            <w:shd w:val="clear" w:color="auto" w:fill="FFFFFF"/>
            <w:vAlign w:val="center"/>
          </w:tcPr>
          <w:p w:rsidR="00013EC7" w:rsidRDefault="00575CDB">
            <w:pPr>
              <w:spacing w:line="300" w:lineRule="exact"/>
              <w:rPr>
                <w:rFonts w:ascii="仿宋" w:eastAsia="仿宋" w:hAnsi="仿宋"/>
                <w:sz w:val="24"/>
              </w:rPr>
            </w:pPr>
            <w:r>
              <w:rPr>
                <w:rFonts w:ascii="仿宋" w:eastAsia="仿宋" w:hAnsi="仿宋" w:hint="eastAsia"/>
                <w:sz w:val="24"/>
              </w:rPr>
              <w:t>（五）乙烯、芳烃类化工产品生产装置的全部流量计的安装位置图和计量方法说明，以及原材料密度的测量和计算方法说明（首次办理或条件发生变化时提供）。</w:t>
            </w:r>
          </w:p>
        </w:tc>
        <w:tc>
          <w:tcPr>
            <w:tcW w:w="1078" w:type="dxa"/>
            <w:vMerge/>
            <w:shd w:val="clear" w:color="auto" w:fill="FFFFFF"/>
            <w:vAlign w:val="center"/>
          </w:tcPr>
          <w:p w:rsidR="00013EC7" w:rsidRDefault="00013EC7">
            <w:pPr>
              <w:spacing w:line="300" w:lineRule="exact"/>
              <w:rPr>
                <w:rFonts w:ascii="仿宋" w:eastAsia="仿宋" w:hAnsi="仿宋"/>
                <w:sz w:val="24"/>
              </w:rPr>
            </w:pPr>
          </w:p>
        </w:tc>
        <w:tc>
          <w:tcPr>
            <w:tcW w:w="1324" w:type="dxa"/>
            <w:vMerge/>
            <w:shd w:val="clear" w:color="auto" w:fill="FFFFFF"/>
            <w:vAlign w:val="center"/>
          </w:tcPr>
          <w:p w:rsidR="00013EC7" w:rsidRDefault="00013EC7">
            <w:pPr>
              <w:spacing w:line="300" w:lineRule="exact"/>
              <w:rPr>
                <w:rFonts w:ascii="仿宋" w:eastAsia="仿宋" w:hAnsi="仿宋"/>
                <w:sz w:val="24"/>
              </w:rPr>
            </w:pPr>
          </w:p>
        </w:tc>
        <w:tc>
          <w:tcPr>
            <w:tcW w:w="868" w:type="dxa"/>
            <w:vMerge/>
            <w:vAlign w:val="center"/>
          </w:tcPr>
          <w:p w:rsidR="00013EC7" w:rsidRDefault="00013EC7">
            <w:pPr>
              <w:spacing w:line="300" w:lineRule="exact"/>
              <w:rPr>
                <w:rFonts w:ascii="仿宋" w:eastAsia="仿宋" w:hAnsi="仿宋"/>
                <w:sz w:val="24"/>
              </w:rPr>
            </w:pPr>
          </w:p>
        </w:tc>
        <w:tc>
          <w:tcPr>
            <w:tcW w:w="798" w:type="dxa"/>
            <w:vMerge/>
            <w:vAlign w:val="center"/>
          </w:tcPr>
          <w:p w:rsidR="00013EC7" w:rsidRDefault="00013EC7">
            <w:pPr>
              <w:spacing w:line="300" w:lineRule="exact"/>
              <w:rPr>
                <w:rFonts w:ascii="仿宋" w:eastAsia="仿宋" w:hAnsi="仿宋"/>
                <w:sz w:val="24"/>
              </w:rPr>
            </w:pPr>
          </w:p>
        </w:tc>
        <w:tc>
          <w:tcPr>
            <w:tcW w:w="958" w:type="dxa"/>
            <w:vMerge/>
            <w:vAlign w:val="center"/>
          </w:tcPr>
          <w:p w:rsidR="00013EC7" w:rsidRDefault="00013EC7">
            <w:pPr>
              <w:spacing w:line="300" w:lineRule="exact"/>
              <w:rPr>
                <w:rFonts w:ascii="仿宋" w:eastAsia="仿宋" w:hAnsi="仿宋"/>
                <w:sz w:val="24"/>
              </w:rPr>
            </w:pPr>
          </w:p>
        </w:tc>
        <w:tc>
          <w:tcPr>
            <w:tcW w:w="1104" w:type="dxa"/>
            <w:vMerge/>
            <w:vAlign w:val="center"/>
          </w:tcPr>
          <w:p w:rsidR="00013EC7" w:rsidRDefault="00013EC7">
            <w:pPr>
              <w:spacing w:line="300" w:lineRule="exact"/>
              <w:rPr>
                <w:rFonts w:ascii="仿宋" w:eastAsia="仿宋" w:hAnsi="仿宋"/>
                <w:sz w:val="24"/>
              </w:rPr>
            </w:pPr>
          </w:p>
        </w:tc>
        <w:tc>
          <w:tcPr>
            <w:tcW w:w="1476" w:type="dxa"/>
            <w:vMerge/>
            <w:vAlign w:val="center"/>
          </w:tcPr>
          <w:p w:rsidR="00013EC7" w:rsidRDefault="00013EC7">
            <w:pPr>
              <w:spacing w:line="300" w:lineRule="exact"/>
              <w:rPr>
                <w:rFonts w:ascii="仿宋" w:eastAsia="仿宋" w:hAnsi="仿宋"/>
                <w:sz w:val="24"/>
              </w:rPr>
            </w:pPr>
          </w:p>
        </w:tc>
      </w:tr>
      <w:tr w:rsidR="00013EC7">
        <w:trPr>
          <w:trHeight w:val="90"/>
          <w:jc w:val="center"/>
        </w:trPr>
        <w:tc>
          <w:tcPr>
            <w:tcW w:w="1101" w:type="dxa"/>
            <w:vMerge/>
            <w:shd w:val="clear" w:color="auto" w:fill="auto"/>
            <w:vAlign w:val="center"/>
          </w:tcPr>
          <w:p w:rsidR="00013EC7" w:rsidRDefault="00013EC7">
            <w:pPr>
              <w:spacing w:line="300" w:lineRule="exact"/>
              <w:rPr>
                <w:rFonts w:ascii="仿宋" w:eastAsia="仿宋" w:hAnsi="仿宋"/>
                <w:sz w:val="24"/>
              </w:rPr>
            </w:pPr>
          </w:p>
        </w:tc>
        <w:tc>
          <w:tcPr>
            <w:tcW w:w="906" w:type="dxa"/>
            <w:vMerge/>
            <w:shd w:val="clear" w:color="auto" w:fill="auto"/>
            <w:vAlign w:val="center"/>
          </w:tcPr>
          <w:p w:rsidR="00013EC7" w:rsidRDefault="00013EC7">
            <w:pPr>
              <w:spacing w:line="300" w:lineRule="exact"/>
              <w:rPr>
                <w:rFonts w:ascii="仿宋" w:eastAsia="仿宋" w:hAnsi="仿宋"/>
                <w:sz w:val="24"/>
              </w:rPr>
            </w:pPr>
          </w:p>
        </w:tc>
        <w:tc>
          <w:tcPr>
            <w:tcW w:w="2234" w:type="dxa"/>
            <w:vMerge/>
            <w:shd w:val="clear" w:color="auto" w:fill="auto"/>
            <w:vAlign w:val="center"/>
          </w:tcPr>
          <w:p w:rsidR="00013EC7" w:rsidRDefault="00013EC7">
            <w:pPr>
              <w:spacing w:line="300" w:lineRule="exact"/>
              <w:rPr>
                <w:rFonts w:ascii="仿宋" w:eastAsia="仿宋" w:hAnsi="仿宋"/>
                <w:sz w:val="24"/>
              </w:rPr>
            </w:pPr>
          </w:p>
        </w:tc>
        <w:tc>
          <w:tcPr>
            <w:tcW w:w="4022" w:type="dxa"/>
            <w:tcBorders>
              <w:top w:val="single" w:sz="4" w:space="0" w:color="auto"/>
              <w:bottom w:val="single" w:sz="4" w:space="0" w:color="auto"/>
            </w:tcBorders>
            <w:shd w:val="clear" w:color="auto" w:fill="FFFFFF"/>
            <w:vAlign w:val="center"/>
          </w:tcPr>
          <w:p w:rsidR="00013EC7" w:rsidRDefault="00575CDB">
            <w:pPr>
              <w:spacing w:line="300" w:lineRule="exact"/>
              <w:rPr>
                <w:rFonts w:ascii="仿宋" w:eastAsia="仿宋" w:hAnsi="仿宋"/>
                <w:sz w:val="24"/>
              </w:rPr>
            </w:pPr>
            <w:r>
              <w:rPr>
                <w:rFonts w:ascii="仿宋" w:eastAsia="仿宋" w:hAnsi="仿宋" w:hint="eastAsia"/>
                <w:sz w:val="24"/>
              </w:rPr>
              <w:t>（六）上一年度用石脑油、燃料油生产乙烯、芳烃类化工产品的分品种的销售明细表（首次办理或条件发生变化时提供）。</w:t>
            </w:r>
          </w:p>
        </w:tc>
        <w:tc>
          <w:tcPr>
            <w:tcW w:w="788" w:type="dxa"/>
            <w:vMerge/>
            <w:shd w:val="clear" w:color="auto" w:fill="auto"/>
            <w:vAlign w:val="center"/>
          </w:tcPr>
          <w:p w:rsidR="00013EC7" w:rsidRDefault="00013EC7">
            <w:pPr>
              <w:spacing w:line="300" w:lineRule="exact"/>
              <w:rPr>
                <w:rFonts w:ascii="仿宋" w:eastAsia="仿宋" w:hAnsi="仿宋"/>
                <w:sz w:val="24"/>
              </w:rPr>
            </w:pPr>
          </w:p>
        </w:tc>
        <w:tc>
          <w:tcPr>
            <w:tcW w:w="4205" w:type="dxa"/>
            <w:shd w:val="clear" w:color="auto" w:fill="FFFFFF"/>
            <w:vAlign w:val="center"/>
          </w:tcPr>
          <w:p w:rsidR="00013EC7" w:rsidRDefault="00575CDB">
            <w:pPr>
              <w:spacing w:line="300" w:lineRule="exact"/>
              <w:rPr>
                <w:rFonts w:ascii="仿宋" w:eastAsia="仿宋" w:hAnsi="仿宋"/>
                <w:sz w:val="24"/>
              </w:rPr>
            </w:pPr>
            <w:r>
              <w:rPr>
                <w:rFonts w:ascii="仿宋" w:eastAsia="仿宋" w:hAnsi="仿宋" w:hint="eastAsia"/>
                <w:sz w:val="24"/>
              </w:rPr>
              <w:t>（六）上一年度用石脑油、燃料油生产乙烯、芳烃类化工产品的分品种的销售明细表（首次办理或条件发生变化时提供）。</w:t>
            </w:r>
          </w:p>
        </w:tc>
        <w:tc>
          <w:tcPr>
            <w:tcW w:w="1078" w:type="dxa"/>
            <w:vMerge/>
            <w:shd w:val="clear" w:color="auto" w:fill="FFFFFF"/>
            <w:vAlign w:val="center"/>
          </w:tcPr>
          <w:p w:rsidR="00013EC7" w:rsidRDefault="00013EC7">
            <w:pPr>
              <w:spacing w:line="300" w:lineRule="exact"/>
              <w:rPr>
                <w:rFonts w:ascii="仿宋" w:eastAsia="仿宋" w:hAnsi="仿宋"/>
                <w:sz w:val="24"/>
              </w:rPr>
            </w:pPr>
          </w:p>
        </w:tc>
        <w:tc>
          <w:tcPr>
            <w:tcW w:w="1324" w:type="dxa"/>
            <w:vMerge/>
            <w:shd w:val="clear" w:color="auto" w:fill="FFFFFF"/>
            <w:vAlign w:val="center"/>
          </w:tcPr>
          <w:p w:rsidR="00013EC7" w:rsidRDefault="00013EC7">
            <w:pPr>
              <w:spacing w:line="300" w:lineRule="exact"/>
              <w:rPr>
                <w:rFonts w:ascii="仿宋" w:eastAsia="仿宋" w:hAnsi="仿宋"/>
                <w:sz w:val="24"/>
              </w:rPr>
            </w:pPr>
          </w:p>
        </w:tc>
        <w:tc>
          <w:tcPr>
            <w:tcW w:w="868" w:type="dxa"/>
            <w:vMerge/>
            <w:vAlign w:val="center"/>
          </w:tcPr>
          <w:p w:rsidR="00013EC7" w:rsidRDefault="00013EC7">
            <w:pPr>
              <w:spacing w:line="300" w:lineRule="exact"/>
              <w:rPr>
                <w:rFonts w:ascii="仿宋" w:eastAsia="仿宋" w:hAnsi="仿宋"/>
                <w:sz w:val="24"/>
              </w:rPr>
            </w:pPr>
          </w:p>
        </w:tc>
        <w:tc>
          <w:tcPr>
            <w:tcW w:w="798" w:type="dxa"/>
            <w:vMerge/>
            <w:vAlign w:val="center"/>
          </w:tcPr>
          <w:p w:rsidR="00013EC7" w:rsidRDefault="00013EC7">
            <w:pPr>
              <w:spacing w:line="300" w:lineRule="exact"/>
              <w:rPr>
                <w:rFonts w:ascii="仿宋" w:eastAsia="仿宋" w:hAnsi="仿宋"/>
                <w:sz w:val="24"/>
              </w:rPr>
            </w:pPr>
          </w:p>
        </w:tc>
        <w:tc>
          <w:tcPr>
            <w:tcW w:w="958" w:type="dxa"/>
            <w:vMerge/>
            <w:vAlign w:val="center"/>
          </w:tcPr>
          <w:p w:rsidR="00013EC7" w:rsidRDefault="00013EC7">
            <w:pPr>
              <w:spacing w:line="300" w:lineRule="exact"/>
              <w:rPr>
                <w:rFonts w:ascii="仿宋" w:eastAsia="仿宋" w:hAnsi="仿宋"/>
                <w:sz w:val="24"/>
              </w:rPr>
            </w:pPr>
          </w:p>
        </w:tc>
        <w:tc>
          <w:tcPr>
            <w:tcW w:w="1104" w:type="dxa"/>
            <w:vMerge/>
            <w:vAlign w:val="center"/>
          </w:tcPr>
          <w:p w:rsidR="00013EC7" w:rsidRDefault="00013EC7">
            <w:pPr>
              <w:spacing w:line="300" w:lineRule="exact"/>
              <w:rPr>
                <w:rFonts w:ascii="仿宋" w:eastAsia="仿宋" w:hAnsi="仿宋"/>
                <w:sz w:val="24"/>
              </w:rPr>
            </w:pPr>
          </w:p>
        </w:tc>
        <w:tc>
          <w:tcPr>
            <w:tcW w:w="1476" w:type="dxa"/>
            <w:vMerge/>
            <w:vAlign w:val="center"/>
          </w:tcPr>
          <w:p w:rsidR="00013EC7" w:rsidRDefault="00013EC7">
            <w:pPr>
              <w:spacing w:line="300" w:lineRule="exact"/>
              <w:rPr>
                <w:rFonts w:ascii="仿宋" w:eastAsia="仿宋" w:hAnsi="仿宋"/>
                <w:sz w:val="24"/>
              </w:rPr>
            </w:pPr>
          </w:p>
        </w:tc>
      </w:tr>
      <w:tr w:rsidR="00013EC7">
        <w:trPr>
          <w:trHeight w:val="871"/>
          <w:jc w:val="center"/>
        </w:trPr>
        <w:tc>
          <w:tcPr>
            <w:tcW w:w="1101" w:type="dxa"/>
            <w:vMerge/>
            <w:shd w:val="clear" w:color="auto" w:fill="auto"/>
            <w:vAlign w:val="center"/>
          </w:tcPr>
          <w:p w:rsidR="00013EC7" w:rsidRDefault="00013EC7">
            <w:pPr>
              <w:spacing w:line="300" w:lineRule="exact"/>
              <w:rPr>
                <w:rFonts w:ascii="仿宋" w:eastAsia="仿宋" w:hAnsi="仿宋"/>
                <w:sz w:val="24"/>
              </w:rPr>
            </w:pPr>
          </w:p>
        </w:tc>
        <w:tc>
          <w:tcPr>
            <w:tcW w:w="906" w:type="dxa"/>
            <w:vMerge/>
            <w:shd w:val="clear" w:color="auto" w:fill="auto"/>
            <w:vAlign w:val="center"/>
          </w:tcPr>
          <w:p w:rsidR="00013EC7" w:rsidRDefault="00013EC7">
            <w:pPr>
              <w:spacing w:line="300" w:lineRule="exact"/>
              <w:rPr>
                <w:rFonts w:ascii="仿宋" w:eastAsia="仿宋" w:hAnsi="仿宋"/>
                <w:sz w:val="24"/>
              </w:rPr>
            </w:pPr>
          </w:p>
        </w:tc>
        <w:tc>
          <w:tcPr>
            <w:tcW w:w="2234" w:type="dxa"/>
            <w:vMerge/>
            <w:shd w:val="clear" w:color="auto" w:fill="auto"/>
            <w:vAlign w:val="center"/>
          </w:tcPr>
          <w:p w:rsidR="00013EC7" w:rsidRDefault="00013EC7">
            <w:pPr>
              <w:spacing w:line="300" w:lineRule="exact"/>
              <w:rPr>
                <w:rFonts w:ascii="仿宋" w:eastAsia="仿宋" w:hAnsi="仿宋"/>
                <w:sz w:val="24"/>
              </w:rPr>
            </w:pPr>
          </w:p>
        </w:tc>
        <w:tc>
          <w:tcPr>
            <w:tcW w:w="4022" w:type="dxa"/>
            <w:tcBorders>
              <w:top w:val="single" w:sz="4" w:space="0" w:color="auto"/>
              <w:bottom w:val="single" w:sz="4" w:space="0" w:color="auto"/>
            </w:tcBorders>
            <w:shd w:val="clear" w:color="auto" w:fill="FFFFFF"/>
            <w:vAlign w:val="center"/>
          </w:tcPr>
          <w:p w:rsidR="00013EC7" w:rsidRDefault="00575CDB">
            <w:pPr>
              <w:spacing w:line="300" w:lineRule="exact"/>
              <w:rPr>
                <w:rFonts w:ascii="仿宋" w:eastAsia="仿宋" w:hAnsi="仿宋"/>
                <w:sz w:val="24"/>
              </w:rPr>
            </w:pPr>
            <w:r>
              <w:rPr>
                <w:rFonts w:ascii="仿宋" w:eastAsia="仿宋" w:hAnsi="仿宋" w:hint="eastAsia"/>
                <w:sz w:val="24"/>
              </w:rPr>
              <w:t>（七）营业执照登记、省级以上安全生产监督管理部门颁发的危险化学品《安全生产许可证》、如使用企业处于试生产阶段，应提供省级以上安全生产监督管理部门出具的试生产备案意见书</w:t>
            </w:r>
            <w:r>
              <w:rPr>
                <w:rFonts w:ascii="仿宋" w:eastAsia="仿宋" w:hAnsi="仿宋" w:hint="eastAsia"/>
                <w:sz w:val="24"/>
                <w:shd w:val="clear" w:color="auto" w:fill="808080"/>
              </w:rPr>
              <w:t>原件</w:t>
            </w:r>
            <w:r>
              <w:rPr>
                <w:rFonts w:ascii="仿宋" w:eastAsia="仿宋" w:hAnsi="仿宋" w:hint="eastAsia"/>
                <w:sz w:val="24"/>
              </w:rPr>
              <w:t>及复印件（加盖公章）（首次办理或条件发生变化时提供）。</w:t>
            </w:r>
          </w:p>
        </w:tc>
        <w:tc>
          <w:tcPr>
            <w:tcW w:w="788" w:type="dxa"/>
            <w:vMerge/>
            <w:shd w:val="clear" w:color="auto" w:fill="auto"/>
            <w:vAlign w:val="center"/>
          </w:tcPr>
          <w:p w:rsidR="00013EC7" w:rsidRDefault="00013EC7">
            <w:pPr>
              <w:spacing w:line="300" w:lineRule="exact"/>
              <w:rPr>
                <w:rFonts w:ascii="仿宋" w:eastAsia="仿宋" w:hAnsi="仿宋"/>
                <w:sz w:val="24"/>
              </w:rPr>
            </w:pPr>
          </w:p>
        </w:tc>
        <w:tc>
          <w:tcPr>
            <w:tcW w:w="4205" w:type="dxa"/>
            <w:shd w:val="clear" w:color="auto" w:fill="FFFFFF"/>
            <w:vAlign w:val="center"/>
          </w:tcPr>
          <w:p w:rsidR="00013EC7" w:rsidRDefault="00575CDB">
            <w:pPr>
              <w:spacing w:line="300" w:lineRule="exact"/>
              <w:rPr>
                <w:rFonts w:ascii="仿宋" w:eastAsia="仿宋" w:hAnsi="仿宋"/>
                <w:sz w:val="24"/>
              </w:rPr>
            </w:pPr>
            <w:r>
              <w:rPr>
                <w:rFonts w:ascii="仿宋" w:eastAsia="仿宋" w:hAnsi="仿宋" w:hint="eastAsia"/>
                <w:sz w:val="24"/>
              </w:rPr>
              <w:t>（七）营业执照登记、省级以上安全生产监督管理部门颁发的危险化学品《安全生产许可证》、如使用企业处于试生产阶段，应提供省级以上安全生产监督管理部门出具的试生产备案意见书复印件（加盖公章）（首次办理或条件发生变化时提供）。</w:t>
            </w:r>
          </w:p>
        </w:tc>
        <w:tc>
          <w:tcPr>
            <w:tcW w:w="1078" w:type="dxa"/>
            <w:vMerge/>
            <w:shd w:val="clear" w:color="auto" w:fill="FFFFFF"/>
            <w:vAlign w:val="center"/>
          </w:tcPr>
          <w:p w:rsidR="00013EC7" w:rsidRDefault="00013EC7">
            <w:pPr>
              <w:spacing w:line="300" w:lineRule="exact"/>
              <w:rPr>
                <w:rFonts w:ascii="仿宋" w:eastAsia="仿宋" w:hAnsi="仿宋"/>
                <w:sz w:val="24"/>
              </w:rPr>
            </w:pPr>
          </w:p>
        </w:tc>
        <w:tc>
          <w:tcPr>
            <w:tcW w:w="1324" w:type="dxa"/>
            <w:vMerge/>
            <w:shd w:val="clear" w:color="auto" w:fill="FFFFFF"/>
            <w:vAlign w:val="center"/>
          </w:tcPr>
          <w:p w:rsidR="00013EC7" w:rsidRDefault="00013EC7">
            <w:pPr>
              <w:spacing w:line="300" w:lineRule="exact"/>
              <w:rPr>
                <w:rFonts w:ascii="仿宋" w:eastAsia="仿宋" w:hAnsi="仿宋"/>
                <w:sz w:val="24"/>
              </w:rPr>
            </w:pPr>
          </w:p>
        </w:tc>
        <w:tc>
          <w:tcPr>
            <w:tcW w:w="868" w:type="dxa"/>
            <w:vMerge/>
            <w:vAlign w:val="center"/>
          </w:tcPr>
          <w:p w:rsidR="00013EC7" w:rsidRDefault="00013EC7">
            <w:pPr>
              <w:spacing w:line="300" w:lineRule="exact"/>
              <w:rPr>
                <w:rFonts w:ascii="仿宋" w:eastAsia="仿宋" w:hAnsi="仿宋"/>
                <w:sz w:val="24"/>
              </w:rPr>
            </w:pPr>
          </w:p>
        </w:tc>
        <w:tc>
          <w:tcPr>
            <w:tcW w:w="798" w:type="dxa"/>
            <w:vMerge/>
            <w:vAlign w:val="center"/>
          </w:tcPr>
          <w:p w:rsidR="00013EC7" w:rsidRDefault="00013EC7">
            <w:pPr>
              <w:spacing w:line="300" w:lineRule="exact"/>
              <w:rPr>
                <w:rFonts w:ascii="仿宋" w:eastAsia="仿宋" w:hAnsi="仿宋"/>
                <w:sz w:val="24"/>
              </w:rPr>
            </w:pPr>
          </w:p>
        </w:tc>
        <w:tc>
          <w:tcPr>
            <w:tcW w:w="958" w:type="dxa"/>
            <w:vMerge/>
            <w:vAlign w:val="center"/>
          </w:tcPr>
          <w:p w:rsidR="00013EC7" w:rsidRDefault="00013EC7">
            <w:pPr>
              <w:spacing w:line="300" w:lineRule="exact"/>
              <w:rPr>
                <w:rFonts w:ascii="仿宋" w:eastAsia="仿宋" w:hAnsi="仿宋"/>
                <w:sz w:val="24"/>
              </w:rPr>
            </w:pPr>
          </w:p>
        </w:tc>
        <w:tc>
          <w:tcPr>
            <w:tcW w:w="1104" w:type="dxa"/>
            <w:vMerge/>
            <w:vAlign w:val="center"/>
          </w:tcPr>
          <w:p w:rsidR="00013EC7" w:rsidRDefault="00013EC7">
            <w:pPr>
              <w:spacing w:line="300" w:lineRule="exact"/>
              <w:rPr>
                <w:rFonts w:ascii="仿宋" w:eastAsia="仿宋" w:hAnsi="仿宋"/>
                <w:sz w:val="24"/>
              </w:rPr>
            </w:pPr>
          </w:p>
        </w:tc>
        <w:tc>
          <w:tcPr>
            <w:tcW w:w="1476" w:type="dxa"/>
            <w:vMerge/>
            <w:vAlign w:val="center"/>
          </w:tcPr>
          <w:p w:rsidR="00013EC7" w:rsidRDefault="00013EC7">
            <w:pPr>
              <w:spacing w:line="300" w:lineRule="exact"/>
              <w:rPr>
                <w:rFonts w:ascii="仿宋" w:eastAsia="仿宋" w:hAnsi="仿宋"/>
                <w:sz w:val="24"/>
              </w:rPr>
            </w:pPr>
          </w:p>
        </w:tc>
      </w:tr>
      <w:tr w:rsidR="00013EC7">
        <w:trPr>
          <w:trHeight w:val="90"/>
          <w:jc w:val="center"/>
        </w:trPr>
        <w:tc>
          <w:tcPr>
            <w:tcW w:w="1101" w:type="dxa"/>
            <w:vMerge/>
            <w:shd w:val="clear" w:color="auto" w:fill="auto"/>
            <w:vAlign w:val="center"/>
          </w:tcPr>
          <w:p w:rsidR="00013EC7" w:rsidRDefault="00013EC7">
            <w:pPr>
              <w:spacing w:line="300" w:lineRule="exact"/>
              <w:rPr>
                <w:rFonts w:ascii="仿宋" w:eastAsia="仿宋" w:hAnsi="仿宋"/>
                <w:sz w:val="24"/>
              </w:rPr>
            </w:pPr>
          </w:p>
        </w:tc>
        <w:tc>
          <w:tcPr>
            <w:tcW w:w="906" w:type="dxa"/>
            <w:vMerge/>
            <w:shd w:val="clear" w:color="auto" w:fill="auto"/>
            <w:vAlign w:val="center"/>
          </w:tcPr>
          <w:p w:rsidR="00013EC7" w:rsidRDefault="00013EC7">
            <w:pPr>
              <w:spacing w:line="300" w:lineRule="exact"/>
              <w:rPr>
                <w:rFonts w:ascii="仿宋" w:eastAsia="仿宋" w:hAnsi="仿宋"/>
                <w:sz w:val="24"/>
              </w:rPr>
            </w:pPr>
          </w:p>
        </w:tc>
        <w:tc>
          <w:tcPr>
            <w:tcW w:w="2234" w:type="dxa"/>
            <w:vMerge/>
            <w:shd w:val="clear" w:color="auto" w:fill="auto"/>
            <w:vAlign w:val="center"/>
          </w:tcPr>
          <w:p w:rsidR="00013EC7" w:rsidRDefault="00013EC7">
            <w:pPr>
              <w:spacing w:line="300" w:lineRule="exact"/>
              <w:rPr>
                <w:rFonts w:ascii="仿宋" w:eastAsia="仿宋" w:hAnsi="仿宋"/>
                <w:sz w:val="24"/>
              </w:rPr>
            </w:pPr>
          </w:p>
        </w:tc>
        <w:tc>
          <w:tcPr>
            <w:tcW w:w="4022" w:type="dxa"/>
            <w:tcBorders>
              <w:top w:val="single" w:sz="4" w:space="0" w:color="auto"/>
              <w:bottom w:val="single" w:sz="4" w:space="0" w:color="auto"/>
            </w:tcBorders>
            <w:shd w:val="clear" w:color="auto" w:fill="FFFFFF"/>
            <w:vAlign w:val="center"/>
          </w:tcPr>
          <w:p w:rsidR="00013EC7" w:rsidRDefault="00575CDB">
            <w:pPr>
              <w:spacing w:line="300" w:lineRule="exact"/>
              <w:rPr>
                <w:rFonts w:ascii="仿宋" w:eastAsia="仿宋" w:hAnsi="仿宋"/>
                <w:sz w:val="24"/>
              </w:rPr>
            </w:pPr>
            <w:r>
              <w:rPr>
                <w:rFonts w:ascii="仿宋" w:eastAsia="仿宋" w:hAnsi="仿宋" w:hint="eastAsia"/>
                <w:sz w:val="24"/>
              </w:rPr>
              <w:t>（八）接受税务机关和海关对产品抽检的书面承诺（首次办理或条件发生变化时提供）。</w:t>
            </w:r>
          </w:p>
        </w:tc>
        <w:tc>
          <w:tcPr>
            <w:tcW w:w="788" w:type="dxa"/>
            <w:vMerge/>
            <w:shd w:val="clear" w:color="auto" w:fill="auto"/>
            <w:vAlign w:val="center"/>
          </w:tcPr>
          <w:p w:rsidR="00013EC7" w:rsidRDefault="00013EC7">
            <w:pPr>
              <w:spacing w:line="300" w:lineRule="exact"/>
              <w:rPr>
                <w:rFonts w:ascii="仿宋" w:eastAsia="仿宋" w:hAnsi="仿宋"/>
                <w:sz w:val="24"/>
              </w:rPr>
            </w:pPr>
          </w:p>
        </w:tc>
        <w:tc>
          <w:tcPr>
            <w:tcW w:w="4205" w:type="dxa"/>
            <w:shd w:val="clear" w:color="auto" w:fill="FFFFFF"/>
            <w:vAlign w:val="center"/>
          </w:tcPr>
          <w:p w:rsidR="00013EC7" w:rsidRDefault="00013EC7">
            <w:pPr>
              <w:spacing w:line="300" w:lineRule="exact"/>
              <w:rPr>
                <w:rFonts w:ascii="仿宋" w:eastAsia="仿宋" w:hAnsi="仿宋"/>
                <w:sz w:val="24"/>
              </w:rPr>
            </w:pPr>
          </w:p>
        </w:tc>
        <w:tc>
          <w:tcPr>
            <w:tcW w:w="1078" w:type="dxa"/>
            <w:shd w:val="clear" w:color="auto" w:fill="FFFFFF"/>
            <w:vAlign w:val="center"/>
          </w:tcPr>
          <w:p w:rsidR="00013EC7" w:rsidRDefault="00575CDB">
            <w:pPr>
              <w:spacing w:line="300" w:lineRule="exact"/>
              <w:rPr>
                <w:rFonts w:ascii="仿宋" w:eastAsia="仿宋" w:hAnsi="仿宋"/>
                <w:sz w:val="24"/>
              </w:rPr>
            </w:pPr>
            <w:r>
              <w:rPr>
                <w:rFonts w:ascii="仿宋" w:eastAsia="仿宋" w:hAnsi="仿宋" w:hint="eastAsia"/>
                <w:b/>
                <w:bCs/>
                <w:i/>
                <w:iCs/>
                <w:sz w:val="24"/>
              </w:rPr>
              <w:t>取消</w:t>
            </w:r>
          </w:p>
        </w:tc>
        <w:tc>
          <w:tcPr>
            <w:tcW w:w="1324" w:type="dxa"/>
            <w:vMerge/>
            <w:shd w:val="clear" w:color="auto" w:fill="FFFFFF"/>
            <w:vAlign w:val="center"/>
          </w:tcPr>
          <w:p w:rsidR="00013EC7" w:rsidRDefault="00013EC7">
            <w:pPr>
              <w:spacing w:line="300" w:lineRule="exact"/>
              <w:rPr>
                <w:rFonts w:ascii="仿宋" w:eastAsia="仿宋" w:hAnsi="仿宋"/>
                <w:sz w:val="24"/>
              </w:rPr>
            </w:pPr>
          </w:p>
        </w:tc>
        <w:tc>
          <w:tcPr>
            <w:tcW w:w="868" w:type="dxa"/>
            <w:vMerge/>
            <w:vAlign w:val="center"/>
          </w:tcPr>
          <w:p w:rsidR="00013EC7" w:rsidRDefault="00013EC7">
            <w:pPr>
              <w:spacing w:line="300" w:lineRule="exact"/>
              <w:rPr>
                <w:rFonts w:ascii="仿宋" w:eastAsia="仿宋" w:hAnsi="仿宋"/>
                <w:sz w:val="24"/>
              </w:rPr>
            </w:pPr>
          </w:p>
        </w:tc>
        <w:tc>
          <w:tcPr>
            <w:tcW w:w="798" w:type="dxa"/>
            <w:vMerge/>
            <w:vAlign w:val="center"/>
          </w:tcPr>
          <w:p w:rsidR="00013EC7" w:rsidRDefault="00013EC7">
            <w:pPr>
              <w:spacing w:line="300" w:lineRule="exact"/>
              <w:rPr>
                <w:rFonts w:ascii="仿宋" w:eastAsia="仿宋" w:hAnsi="仿宋"/>
                <w:sz w:val="24"/>
              </w:rPr>
            </w:pPr>
          </w:p>
        </w:tc>
        <w:tc>
          <w:tcPr>
            <w:tcW w:w="958" w:type="dxa"/>
            <w:vMerge/>
            <w:vAlign w:val="center"/>
          </w:tcPr>
          <w:p w:rsidR="00013EC7" w:rsidRDefault="00013EC7">
            <w:pPr>
              <w:spacing w:line="300" w:lineRule="exact"/>
              <w:rPr>
                <w:rFonts w:ascii="仿宋" w:eastAsia="仿宋" w:hAnsi="仿宋"/>
                <w:sz w:val="24"/>
              </w:rPr>
            </w:pPr>
          </w:p>
        </w:tc>
        <w:tc>
          <w:tcPr>
            <w:tcW w:w="1104" w:type="dxa"/>
            <w:vMerge/>
            <w:vAlign w:val="center"/>
          </w:tcPr>
          <w:p w:rsidR="00013EC7" w:rsidRDefault="00013EC7">
            <w:pPr>
              <w:spacing w:line="300" w:lineRule="exact"/>
              <w:rPr>
                <w:rFonts w:ascii="仿宋" w:eastAsia="仿宋" w:hAnsi="仿宋"/>
                <w:sz w:val="24"/>
              </w:rPr>
            </w:pPr>
          </w:p>
        </w:tc>
        <w:tc>
          <w:tcPr>
            <w:tcW w:w="1476" w:type="dxa"/>
            <w:vMerge/>
            <w:vAlign w:val="center"/>
          </w:tcPr>
          <w:p w:rsidR="00013EC7" w:rsidRDefault="00013EC7">
            <w:pPr>
              <w:spacing w:line="300" w:lineRule="exact"/>
              <w:rPr>
                <w:rFonts w:ascii="仿宋" w:eastAsia="仿宋" w:hAnsi="仿宋"/>
                <w:sz w:val="24"/>
              </w:rPr>
            </w:pPr>
          </w:p>
        </w:tc>
      </w:tr>
    </w:tbl>
    <w:p w:rsidR="00013EC7" w:rsidRDefault="00013EC7"/>
    <w:p w:rsidR="00013EC7" w:rsidRDefault="00013EC7"/>
    <w:p w:rsidR="00013EC7" w:rsidRDefault="00013EC7"/>
    <w:p w:rsidR="00013EC7" w:rsidRDefault="00013EC7"/>
    <w:p w:rsidR="00013EC7" w:rsidRDefault="00013EC7"/>
    <w:p w:rsidR="00013EC7" w:rsidRDefault="00013EC7"/>
    <w:p w:rsidR="00013EC7" w:rsidRDefault="00013EC7"/>
    <w:p w:rsidR="00013EC7" w:rsidRDefault="00013EC7"/>
    <w:p w:rsidR="00013EC7" w:rsidRDefault="00013EC7"/>
    <w:p w:rsidR="00013EC7" w:rsidRDefault="00013EC7"/>
    <w:p w:rsidR="00013EC7" w:rsidRDefault="00013EC7"/>
    <w:p w:rsidR="00013EC7" w:rsidRDefault="00013EC7"/>
    <w:p w:rsidR="00013EC7" w:rsidRDefault="00013EC7"/>
    <w:p w:rsidR="00013EC7" w:rsidRDefault="00013EC7">
      <w:bookmarkStart w:id="497" w:name="_Toc498705771"/>
    </w:p>
    <w:p w:rsidR="00013EC7" w:rsidRDefault="005262E6">
      <w:pPr>
        <w:rPr>
          <w:kern w:val="0"/>
        </w:rPr>
      </w:pPr>
      <w:r>
        <w:lastRenderedPageBreak/>
        <w:object w:dxaOrig="1440" w:dyaOrig="1440">
          <v:shape id="_x0000_s1404" type="#_x0000_t75" style="position:absolute;left:0;text-align:left;margin-left:528.75pt;margin-top:68.25pt;width:484.1pt;height:673.3pt;z-index:251731968;mso-wrap-distance-top:0;mso-wrap-distance-bottom:0;mso-position-vertical-relative:page;mso-width-relative:page;mso-height-relative:page">
            <v:imagedata r:id="rId431" o:title=""/>
            <w10:wrap type="topAndBottom" anchory="page"/>
          </v:shape>
          <o:OLEObject Type="Embed" ProgID="Visio.Drawing.11" ShapeID="_x0000_s1404" DrawAspect="Content" ObjectID="_1577296295" r:id="rId432"/>
        </w:object>
      </w:r>
      <w:r>
        <w:rPr>
          <w:kern w:val="0"/>
        </w:rPr>
        <w:object w:dxaOrig="1440" w:dyaOrig="1440">
          <v:shape id="对象 101" o:spid="_x0000_s1180" type="#_x0000_t75" style="position:absolute;left:0;text-align:left;margin-left:35.6pt;margin-top:107.7pt;width:373.55pt;height:525.8pt;z-index:251573248;mso-wrap-distance-top:0;mso-wrap-distance-bottom:0;mso-position-vertical-relative:page;mso-width-relative:page;mso-height-relative:page">
            <v:imagedata r:id="rId433" o:title=""/>
            <w10:wrap type="topAndBottom" anchory="page"/>
          </v:shape>
          <o:OLEObject Type="Embed" ProgID="Visio.Drawing.11" ShapeID="对象 101" DrawAspect="Content" ObjectID="_1577296296" r:id="rId434"/>
        </w:object>
      </w:r>
    </w:p>
    <w:p w:rsidR="00013EC7" w:rsidRDefault="00013EC7">
      <w:pPr>
        <w:pStyle w:val="1"/>
        <w:rPr>
          <w:rFonts w:ascii="宋体" w:hAnsi="宋体" w:cs="宋体"/>
          <w:color w:val="FF0000"/>
        </w:rPr>
        <w:sectPr w:rsidR="00013EC7">
          <w:pgSz w:w="23814" w:h="16840" w:orient="landscape"/>
          <w:pgMar w:top="1701" w:right="1843" w:bottom="1985" w:left="1843" w:header="851" w:footer="1701" w:gutter="0"/>
          <w:pgNumType w:fmt="numberInDash"/>
          <w:cols w:space="720"/>
          <w:docGrid w:type="lines" w:linePitch="312"/>
        </w:sectPr>
      </w:pPr>
      <w:bookmarkStart w:id="498" w:name="_Toc498705772"/>
      <w:bookmarkEnd w:id="497"/>
    </w:p>
    <w:p w:rsidR="00013EC7" w:rsidRDefault="00575CDB">
      <w:pPr>
        <w:pStyle w:val="2"/>
      </w:pPr>
      <w:bookmarkStart w:id="499" w:name="_Toc3831"/>
      <w:bookmarkStart w:id="500" w:name="_Toc9232"/>
      <w:bookmarkStart w:id="501" w:name="_Toc13383"/>
      <w:bookmarkStart w:id="502" w:name="_Toc503467468"/>
      <w:r>
        <w:rPr>
          <w:rFonts w:hint="eastAsia"/>
        </w:rPr>
        <w:lastRenderedPageBreak/>
        <w:t>24.5</w:t>
      </w:r>
      <w:r>
        <w:rPr>
          <w:rFonts w:hint="eastAsia"/>
        </w:rPr>
        <w:t>跨境应税行为增值税免税备案</w:t>
      </w:r>
      <w:bookmarkEnd w:id="499"/>
      <w:bookmarkEnd w:id="500"/>
      <w:bookmarkEnd w:id="501"/>
      <w:bookmarkEnd w:id="502"/>
    </w:p>
    <w:p w:rsidR="00013EC7" w:rsidRDefault="00575CDB">
      <w:pPr>
        <w:jc w:val="center"/>
        <w:rPr>
          <w:rFonts w:ascii="宋体" w:hAnsi="宋体" w:cs="宋体"/>
          <w:b/>
          <w:bCs/>
          <w:sz w:val="52"/>
          <w:szCs w:val="52"/>
        </w:rPr>
      </w:pPr>
      <w:r>
        <w:rPr>
          <w:rFonts w:ascii="宋体" w:hAnsi="宋体" w:cs="宋体" w:hint="eastAsia"/>
          <w:b/>
          <w:bCs/>
          <w:sz w:val="52"/>
          <w:szCs w:val="52"/>
        </w:rPr>
        <w:t>全省“最多跑一次”事项“八统一”梳理表</w:t>
      </w:r>
    </w:p>
    <w:tbl>
      <w:tblPr>
        <w:tblW w:w="20092" w:type="dxa"/>
        <w:tblInd w:w="-510" w:type="dxa"/>
        <w:tblLayout w:type="fixed"/>
        <w:tblCellMar>
          <w:top w:w="15" w:type="dxa"/>
          <w:left w:w="15" w:type="dxa"/>
          <w:bottom w:w="15" w:type="dxa"/>
          <w:right w:w="15" w:type="dxa"/>
        </w:tblCellMar>
        <w:tblLook w:val="04A0" w:firstRow="1" w:lastRow="0" w:firstColumn="1" w:lastColumn="0" w:noHBand="0" w:noVBand="1"/>
      </w:tblPr>
      <w:tblGrid>
        <w:gridCol w:w="918"/>
        <w:gridCol w:w="579"/>
        <w:gridCol w:w="2890"/>
        <w:gridCol w:w="3367"/>
        <w:gridCol w:w="1911"/>
        <w:gridCol w:w="2073"/>
        <w:gridCol w:w="1720"/>
        <w:gridCol w:w="1037"/>
        <w:gridCol w:w="588"/>
        <w:gridCol w:w="866"/>
        <w:gridCol w:w="881"/>
        <w:gridCol w:w="992"/>
        <w:gridCol w:w="2270"/>
      </w:tblGrid>
      <w:tr w:rsidR="00013EC7">
        <w:trPr>
          <w:trHeight w:val="780"/>
          <w:tblHeader/>
        </w:trPr>
        <w:tc>
          <w:tcPr>
            <w:tcW w:w="918" w:type="dxa"/>
            <w:vMerge w:val="restart"/>
            <w:tcBorders>
              <w:top w:val="single" w:sz="4" w:space="0" w:color="auto"/>
              <w:left w:val="single" w:sz="4" w:space="0" w:color="auto"/>
              <w:bottom w:val="single" w:sz="4" w:space="0" w:color="auto"/>
              <w:right w:val="single" w:sz="4" w:space="0" w:color="auto"/>
            </w:tcBorders>
            <w:vAlign w:val="center"/>
          </w:tcPr>
          <w:p w:rsidR="00013EC7" w:rsidRDefault="00575CDB">
            <w:pPr>
              <w:widowControl/>
              <w:jc w:val="center"/>
              <w:textAlignment w:val="center"/>
              <w:rPr>
                <w:rFonts w:ascii="黑体" w:eastAsia="黑体" w:hAnsi="黑体" w:cs="黑体"/>
                <w:color w:val="000000"/>
                <w:sz w:val="24"/>
              </w:rPr>
            </w:pPr>
            <w:r>
              <w:rPr>
                <w:rFonts w:ascii="黑体" w:eastAsia="黑体" w:hAnsi="黑体" w:cs="黑体" w:hint="eastAsia"/>
                <w:color w:val="000000"/>
                <w:kern w:val="0"/>
                <w:sz w:val="24"/>
              </w:rPr>
              <w:t>主项名称</w:t>
            </w:r>
          </w:p>
        </w:tc>
        <w:tc>
          <w:tcPr>
            <w:tcW w:w="579" w:type="dxa"/>
            <w:vMerge w:val="restart"/>
            <w:tcBorders>
              <w:top w:val="single" w:sz="4" w:space="0" w:color="auto"/>
              <w:left w:val="single" w:sz="4" w:space="0" w:color="auto"/>
              <w:bottom w:val="single" w:sz="4" w:space="0" w:color="auto"/>
              <w:right w:val="single" w:sz="4" w:space="0" w:color="auto"/>
            </w:tcBorders>
            <w:vAlign w:val="center"/>
          </w:tcPr>
          <w:p w:rsidR="00013EC7" w:rsidRDefault="00575CDB">
            <w:pPr>
              <w:widowControl/>
              <w:jc w:val="center"/>
              <w:textAlignment w:val="center"/>
              <w:rPr>
                <w:rFonts w:ascii="黑体" w:eastAsia="黑体" w:hAnsi="黑体" w:cs="黑体"/>
                <w:color w:val="000000"/>
                <w:sz w:val="24"/>
              </w:rPr>
            </w:pPr>
            <w:r>
              <w:rPr>
                <w:rFonts w:ascii="黑体" w:eastAsia="黑体" w:hAnsi="黑体" w:cs="黑体" w:hint="eastAsia"/>
                <w:color w:val="000000"/>
                <w:kern w:val="0"/>
                <w:sz w:val="24"/>
              </w:rPr>
              <w:t>子项名称</w:t>
            </w:r>
          </w:p>
        </w:tc>
        <w:tc>
          <w:tcPr>
            <w:tcW w:w="2890" w:type="dxa"/>
            <w:vMerge w:val="restart"/>
            <w:tcBorders>
              <w:top w:val="single" w:sz="4" w:space="0" w:color="auto"/>
              <w:left w:val="single" w:sz="4" w:space="0" w:color="auto"/>
              <w:bottom w:val="single" w:sz="4" w:space="0" w:color="auto"/>
              <w:right w:val="single" w:sz="4" w:space="0" w:color="auto"/>
            </w:tcBorders>
            <w:vAlign w:val="center"/>
          </w:tcPr>
          <w:p w:rsidR="00013EC7" w:rsidRDefault="00575CDB">
            <w:pPr>
              <w:widowControl/>
              <w:jc w:val="center"/>
              <w:textAlignment w:val="center"/>
              <w:rPr>
                <w:rFonts w:ascii="黑体" w:eastAsia="黑体" w:hAnsi="黑体" w:cs="黑体"/>
                <w:color w:val="000000"/>
                <w:sz w:val="24"/>
              </w:rPr>
            </w:pPr>
            <w:r>
              <w:rPr>
                <w:rFonts w:ascii="黑体" w:eastAsia="黑体" w:hAnsi="黑体" w:cs="黑体" w:hint="eastAsia"/>
                <w:color w:val="000000"/>
                <w:kern w:val="0"/>
                <w:sz w:val="24"/>
              </w:rPr>
              <w:t>经办依据</w:t>
            </w:r>
          </w:p>
        </w:tc>
        <w:tc>
          <w:tcPr>
            <w:tcW w:w="5278" w:type="dxa"/>
            <w:gridSpan w:val="2"/>
            <w:tcBorders>
              <w:top w:val="single" w:sz="4" w:space="0" w:color="auto"/>
              <w:left w:val="single" w:sz="4" w:space="0" w:color="auto"/>
              <w:bottom w:val="single" w:sz="4" w:space="0" w:color="auto"/>
              <w:right w:val="single" w:sz="4" w:space="0" w:color="auto"/>
            </w:tcBorders>
            <w:vAlign w:val="center"/>
          </w:tcPr>
          <w:p w:rsidR="00013EC7" w:rsidRDefault="00575CDB">
            <w:pPr>
              <w:widowControl/>
              <w:jc w:val="center"/>
              <w:textAlignment w:val="center"/>
              <w:rPr>
                <w:rFonts w:ascii="黑体" w:eastAsia="黑体" w:hAnsi="黑体" w:cs="黑体"/>
                <w:color w:val="000000"/>
                <w:sz w:val="24"/>
              </w:rPr>
            </w:pPr>
            <w:r>
              <w:rPr>
                <w:rFonts w:ascii="黑体" w:eastAsia="黑体" w:hAnsi="黑体" w:cs="黑体" w:hint="eastAsia"/>
                <w:color w:val="000000"/>
                <w:kern w:val="0"/>
                <w:sz w:val="24"/>
              </w:rPr>
              <w:t>原经办所需材料</w:t>
            </w:r>
          </w:p>
        </w:tc>
        <w:tc>
          <w:tcPr>
            <w:tcW w:w="4830" w:type="dxa"/>
            <w:gridSpan w:val="3"/>
            <w:tcBorders>
              <w:top w:val="single" w:sz="4" w:space="0" w:color="auto"/>
              <w:left w:val="single" w:sz="4" w:space="0" w:color="auto"/>
              <w:bottom w:val="single" w:sz="4" w:space="0" w:color="auto"/>
              <w:right w:val="single" w:sz="4" w:space="0" w:color="auto"/>
            </w:tcBorders>
            <w:vAlign w:val="center"/>
          </w:tcPr>
          <w:p w:rsidR="00013EC7" w:rsidRDefault="00575CDB">
            <w:pPr>
              <w:widowControl/>
              <w:jc w:val="center"/>
              <w:textAlignment w:val="center"/>
              <w:rPr>
                <w:rFonts w:ascii="黑体" w:eastAsia="黑体" w:hAnsi="黑体" w:cs="黑体"/>
                <w:color w:val="000000"/>
                <w:sz w:val="24"/>
              </w:rPr>
            </w:pPr>
            <w:r>
              <w:rPr>
                <w:rFonts w:ascii="黑体" w:eastAsia="黑体" w:hAnsi="黑体" w:cs="黑体" w:hint="eastAsia"/>
                <w:color w:val="000000"/>
                <w:kern w:val="0"/>
                <w:sz w:val="24"/>
              </w:rPr>
              <w:t>精简后经办所需材料</w:t>
            </w:r>
          </w:p>
        </w:tc>
        <w:tc>
          <w:tcPr>
            <w:tcW w:w="1454" w:type="dxa"/>
            <w:gridSpan w:val="2"/>
            <w:vMerge w:val="restart"/>
            <w:tcBorders>
              <w:top w:val="single" w:sz="4" w:space="0" w:color="auto"/>
              <w:left w:val="single" w:sz="4" w:space="0" w:color="auto"/>
              <w:bottom w:val="single" w:sz="4" w:space="0" w:color="auto"/>
              <w:right w:val="single" w:sz="4" w:space="0" w:color="auto"/>
            </w:tcBorders>
            <w:vAlign w:val="center"/>
          </w:tcPr>
          <w:p w:rsidR="00013EC7" w:rsidRDefault="00575CDB">
            <w:pPr>
              <w:widowControl/>
              <w:jc w:val="center"/>
              <w:textAlignment w:val="center"/>
              <w:rPr>
                <w:rFonts w:ascii="黑体" w:eastAsia="黑体" w:hAnsi="黑体" w:cs="黑体"/>
                <w:color w:val="000000"/>
                <w:sz w:val="24"/>
              </w:rPr>
            </w:pPr>
            <w:r>
              <w:rPr>
                <w:rFonts w:ascii="黑体" w:eastAsia="黑体" w:hAnsi="黑体" w:cs="黑体" w:hint="eastAsia"/>
                <w:color w:val="000000"/>
                <w:kern w:val="0"/>
                <w:sz w:val="24"/>
              </w:rPr>
              <w:t>办理时限</w:t>
            </w:r>
          </w:p>
        </w:tc>
        <w:tc>
          <w:tcPr>
            <w:tcW w:w="881" w:type="dxa"/>
            <w:vMerge w:val="restart"/>
            <w:tcBorders>
              <w:top w:val="single" w:sz="4" w:space="0" w:color="auto"/>
              <w:left w:val="single" w:sz="4" w:space="0" w:color="auto"/>
              <w:bottom w:val="nil"/>
              <w:right w:val="single" w:sz="4" w:space="0" w:color="auto"/>
            </w:tcBorders>
            <w:vAlign w:val="center"/>
          </w:tcPr>
          <w:p w:rsidR="00013EC7" w:rsidRDefault="00575CDB">
            <w:pPr>
              <w:widowControl/>
              <w:jc w:val="center"/>
              <w:textAlignment w:val="center"/>
              <w:rPr>
                <w:rFonts w:ascii="黑体" w:eastAsia="黑体" w:hAnsi="黑体" w:cs="黑体"/>
                <w:color w:val="000000"/>
                <w:sz w:val="24"/>
              </w:rPr>
            </w:pPr>
            <w:r>
              <w:rPr>
                <w:rFonts w:ascii="黑体" w:eastAsia="黑体" w:hAnsi="黑体" w:cs="黑体" w:hint="eastAsia"/>
                <w:color w:val="000000"/>
                <w:kern w:val="0"/>
                <w:sz w:val="24"/>
              </w:rPr>
              <w:t>是否实现跑零次</w:t>
            </w:r>
          </w:p>
        </w:tc>
        <w:tc>
          <w:tcPr>
            <w:tcW w:w="992" w:type="dxa"/>
            <w:vMerge w:val="restart"/>
            <w:tcBorders>
              <w:top w:val="single" w:sz="4" w:space="0" w:color="auto"/>
              <w:left w:val="single" w:sz="4" w:space="0" w:color="auto"/>
              <w:bottom w:val="single" w:sz="4" w:space="0" w:color="auto"/>
              <w:right w:val="single" w:sz="4" w:space="0" w:color="auto"/>
            </w:tcBorders>
            <w:vAlign w:val="center"/>
          </w:tcPr>
          <w:p w:rsidR="00013EC7" w:rsidRDefault="00575CDB">
            <w:pPr>
              <w:widowControl/>
              <w:jc w:val="center"/>
              <w:textAlignment w:val="center"/>
              <w:rPr>
                <w:rFonts w:ascii="黑体" w:eastAsia="黑体" w:hAnsi="黑体" w:cs="黑体"/>
                <w:color w:val="000000"/>
                <w:sz w:val="24"/>
              </w:rPr>
            </w:pPr>
            <w:r>
              <w:rPr>
                <w:rFonts w:ascii="黑体" w:eastAsia="黑体" w:hAnsi="黑体" w:cs="黑体" w:hint="eastAsia"/>
                <w:color w:val="000000"/>
                <w:kern w:val="0"/>
                <w:sz w:val="24"/>
              </w:rPr>
              <w:t>责任处室（单位）</w:t>
            </w:r>
          </w:p>
        </w:tc>
        <w:tc>
          <w:tcPr>
            <w:tcW w:w="2270" w:type="dxa"/>
            <w:vMerge w:val="restart"/>
            <w:tcBorders>
              <w:top w:val="single" w:sz="4" w:space="0" w:color="auto"/>
              <w:left w:val="single" w:sz="4" w:space="0" w:color="auto"/>
              <w:bottom w:val="single" w:sz="4" w:space="0" w:color="auto"/>
              <w:right w:val="single" w:sz="4" w:space="0" w:color="auto"/>
            </w:tcBorders>
            <w:vAlign w:val="center"/>
          </w:tcPr>
          <w:p w:rsidR="00013EC7" w:rsidRDefault="00575CDB">
            <w:pPr>
              <w:widowControl/>
              <w:jc w:val="center"/>
              <w:textAlignment w:val="center"/>
              <w:rPr>
                <w:rFonts w:ascii="黑体" w:eastAsia="黑体" w:hAnsi="黑体" w:cs="黑体"/>
                <w:color w:val="000000"/>
                <w:sz w:val="24"/>
              </w:rPr>
            </w:pPr>
            <w:r>
              <w:rPr>
                <w:rFonts w:ascii="黑体" w:eastAsia="黑体" w:hAnsi="黑体" w:cs="黑体" w:hint="eastAsia"/>
                <w:color w:val="000000"/>
                <w:kern w:val="0"/>
                <w:sz w:val="24"/>
              </w:rPr>
              <w:t>进一步精简、规范建议</w:t>
            </w:r>
          </w:p>
        </w:tc>
      </w:tr>
      <w:tr w:rsidR="00013EC7">
        <w:trPr>
          <w:trHeight w:val="437"/>
          <w:tblHeader/>
        </w:trPr>
        <w:tc>
          <w:tcPr>
            <w:tcW w:w="918" w:type="dxa"/>
            <w:vMerge/>
            <w:tcBorders>
              <w:top w:val="single" w:sz="4" w:space="0" w:color="auto"/>
              <w:left w:val="single" w:sz="4" w:space="0" w:color="auto"/>
              <w:bottom w:val="single" w:sz="4" w:space="0" w:color="auto"/>
              <w:right w:val="single" w:sz="4" w:space="0" w:color="auto"/>
            </w:tcBorders>
            <w:vAlign w:val="center"/>
          </w:tcPr>
          <w:p w:rsidR="00013EC7" w:rsidRDefault="00013EC7">
            <w:pPr>
              <w:jc w:val="center"/>
              <w:rPr>
                <w:rFonts w:ascii="黑体" w:eastAsia="黑体" w:hAnsi="黑体" w:cs="黑体"/>
                <w:color w:val="000000"/>
                <w:sz w:val="24"/>
              </w:rPr>
            </w:pPr>
          </w:p>
        </w:tc>
        <w:tc>
          <w:tcPr>
            <w:tcW w:w="579" w:type="dxa"/>
            <w:vMerge/>
            <w:tcBorders>
              <w:top w:val="single" w:sz="4" w:space="0" w:color="auto"/>
              <w:left w:val="single" w:sz="4" w:space="0" w:color="auto"/>
              <w:bottom w:val="single" w:sz="4" w:space="0" w:color="auto"/>
              <w:right w:val="single" w:sz="4" w:space="0" w:color="auto"/>
            </w:tcBorders>
            <w:vAlign w:val="center"/>
          </w:tcPr>
          <w:p w:rsidR="00013EC7" w:rsidRDefault="00013EC7">
            <w:pPr>
              <w:jc w:val="center"/>
              <w:rPr>
                <w:rFonts w:ascii="黑体" w:eastAsia="黑体" w:hAnsi="黑体" w:cs="黑体"/>
                <w:color w:val="000000"/>
                <w:sz w:val="24"/>
              </w:rPr>
            </w:pPr>
          </w:p>
        </w:tc>
        <w:tc>
          <w:tcPr>
            <w:tcW w:w="2890" w:type="dxa"/>
            <w:vMerge/>
            <w:tcBorders>
              <w:top w:val="single" w:sz="4" w:space="0" w:color="auto"/>
              <w:left w:val="single" w:sz="4" w:space="0" w:color="auto"/>
              <w:bottom w:val="single" w:sz="4" w:space="0" w:color="auto"/>
              <w:right w:val="single" w:sz="4" w:space="0" w:color="auto"/>
            </w:tcBorders>
            <w:vAlign w:val="center"/>
          </w:tcPr>
          <w:p w:rsidR="00013EC7" w:rsidRDefault="00013EC7">
            <w:pPr>
              <w:jc w:val="center"/>
              <w:rPr>
                <w:rFonts w:ascii="黑体" w:eastAsia="黑体" w:hAnsi="黑体" w:cs="黑体"/>
                <w:color w:val="000000"/>
                <w:sz w:val="24"/>
              </w:rPr>
            </w:pPr>
          </w:p>
        </w:tc>
        <w:tc>
          <w:tcPr>
            <w:tcW w:w="3367" w:type="dxa"/>
            <w:vMerge w:val="restart"/>
            <w:tcBorders>
              <w:top w:val="single" w:sz="4" w:space="0" w:color="auto"/>
              <w:left w:val="single" w:sz="4" w:space="0" w:color="auto"/>
              <w:bottom w:val="single" w:sz="4" w:space="0" w:color="auto"/>
              <w:right w:val="single" w:sz="4" w:space="0" w:color="auto"/>
            </w:tcBorders>
            <w:vAlign w:val="center"/>
          </w:tcPr>
          <w:p w:rsidR="00013EC7" w:rsidRDefault="00575CDB">
            <w:pPr>
              <w:widowControl/>
              <w:jc w:val="center"/>
              <w:textAlignment w:val="center"/>
              <w:rPr>
                <w:rFonts w:ascii="黑体" w:eastAsia="黑体" w:hAnsi="黑体" w:cs="黑体"/>
                <w:color w:val="000000"/>
                <w:sz w:val="24"/>
              </w:rPr>
            </w:pPr>
            <w:r>
              <w:rPr>
                <w:rFonts w:ascii="黑体" w:eastAsia="黑体" w:hAnsi="黑体" w:cs="黑体" w:hint="eastAsia"/>
                <w:color w:val="000000"/>
                <w:kern w:val="0"/>
                <w:sz w:val="24"/>
              </w:rPr>
              <w:t>材料明细</w:t>
            </w:r>
          </w:p>
        </w:tc>
        <w:tc>
          <w:tcPr>
            <w:tcW w:w="1911" w:type="dxa"/>
            <w:vMerge w:val="restart"/>
            <w:tcBorders>
              <w:top w:val="single" w:sz="4" w:space="0" w:color="auto"/>
              <w:left w:val="single" w:sz="4" w:space="0" w:color="auto"/>
              <w:bottom w:val="single" w:sz="4" w:space="0" w:color="auto"/>
              <w:right w:val="single" w:sz="4" w:space="0" w:color="auto"/>
            </w:tcBorders>
            <w:vAlign w:val="center"/>
          </w:tcPr>
          <w:p w:rsidR="00013EC7" w:rsidRDefault="00575CDB">
            <w:pPr>
              <w:widowControl/>
              <w:jc w:val="center"/>
              <w:textAlignment w:val="center"/>
              <w:rPr>
                <w:rFonts w:ascii="黑体" w:eastAsia="黑体" w:hAnsi="黑体" w:cs="黑体"/>
                <w:color w:val="000000"/>
                <w:sz w:val="24"/>
              </w:rPr>
            </w:pPr>
            <w:r>
              <w:rPr>
                <w:rFonts w:ascii="黑体" w:eastAsia="黑体" w:hAnsi="黑体" w:cs="黑体" w:hint="eastAsia"/>
                <w:color w:val="000000"/>
                <w:kern w:val="0"/>
                <w:sz w:val="24"/>
              </w:rPr>
              <w:t>材料来源</w:t>
            </w:r>
          </w:p>
        </w:tc>
        <w:tc>
          <w:tcPr>
            <w:tcW w:w="2073" w:type="dxa"/>
            <w:vMerge w:val="restart"/>
            <w:tcBorders>
              <w:top w:val="single" w:sz="4" w:space="0" w:color="auto"/>
              <w:left w:val="single" w:sz="4" w:space="0" w:color="auto"/>
              <w:bottom w:val="single" w:sz="4" w:space="0" w:color="auto"/>
              <w:right w:val="single" w:sz="4" w:space="0" w:color="auto"/>
            </w:tcBorders>
            <w:vAlign w:val="center"/>
          </w:tcPr>
          <w:p w:rsidR="00013EC7" w:rsidRDefault="00575CDB">
            <w:pPr>
              <w:widowControl/>
              <w:jc w:val="center"/>
              <w:textAlignment w:val="center"/>
              <w:rPr>
                <w:rFonts w:ascii="黑体" w:eastAsia="黑体" w:hAnsi="黑体" w:cs="黑体"/>
                <w:color w:val="000000"/>
                <w:sz w:val="24"/>
              </w:rPr>
            </w:pPr>
            <w:r>
              <w:rPr>
                <w:rFonts w:ascii="黑体" w:eastAsia="黑体" w:hAnsi="黑体" w:cs="黑体" w:hint="eastAsia"/>
                <w:color w:val="000000"/>
                <w:kern w:val="0"/>
                <w:sz w:val="24"/>
              </w:rPr>
              <w:t>材料明细</w:t>
            </w:r>
          </w:p>
        </w:tc>
        <w:tc>
          <w:tcPr>
            <w:tcW w:w="1720" w:type="dxa"/>
            <w:vMerge w:val="restart"/>
            <w:tcBorders>
              <w:top w:val="single" w:sz="4" w:space="0" w:color="auto"/>
              <w:left w:val="single" w:sz="4" w:space="0" w:color="auto"/>
              <w:bottom w:val="single" w:sz="4" w:space="0" w:color="auto"/>
              <w:right w:val="single" w:sz="4" w:space="0" w:color="auto"/>
            </w:tcBorders>
            <w:vAlign w:val="center"/>
          </w:tcPr>
          <w:p w:rsidR="00013EC7" w:rsidRDefault="00575CDB">
            <w:pPr>
              <w:widowControl/>
              <w:jc w:val="center"/>
              <w:textAlignment w:val="center"/>
              <w:rPr>
                <w:rFonts w:ascii="黑体" w:eastAsia="黑体" w:hAnsi="黑体" w:cs="黑体"/>
                <w:color w:val="000000"/>
                <w:sz w:val="24"/>
              </w:rPr>
            </w:pPr>
            <w:r>
              <w:rPr>
                <w:rFonts w:ascii="黑体" w:eastAsia="黑体" w:hAnsi="黑体" w:cs="黑体" w:hint="eastAsia"/>
                <w:color w:val="000000"/>
                <w:kern w:val="0"/>
                <w:sz w:val="24"/>
              </w:rPr>
              <w:t>材料来源</w:t>
            </w:r>
          </w:p>
        </w:tc>
        <w:tc>
          <w:tcPr>
            <w:tcW w:w="1037" w:type="dxa"/>
            <w:tcBorders>
              <w:top w:val="single" w:sz="4" w:space="0" w:color="auto"/>
              <w:left w:val="single" w:sz="4" w:space="0" w:color="auto"/>
              <w:bottom w:val="single" w:sz="4" w:space="0" w:color="auto"/>
              <w:right w:val="single" w:sz="4" w:space="0" w:color="auto"/>
            </w:tcBorders>
            <w:vAlign w:val="center"/>
          </w:tcPr>
          <w:p w:rsidR="00013EC7" w:rsidRDefault="00575CDB">
            <w:pPr>
              <w:widowControl/>
              <w:jc w:val="center"/>
              <w:textAlignment w:val="center"/>
              <w:rPr>
                <w:rFonts w:ascii="黑体" w:eastAsia="黑体" w:hAnsi="黑体" w:cs="黑体"/>
                <w:color w:val="000000"/>
                <w:sz w:val="24"/>
              </w:rPr>
            </w:pPr>
            <w:r>
              <w:rPr>
                <w:rFonts w:ascii="黑体" w:eastAsia="黑体" w:hAnsi="黑体" w:cs="黑体" w:hint="eastAsia"/>
                <w:color w:val="000000"/>
                <w:kern w:val="0"/>
                <w:sz w:val="24"/>
              </w:rPr>
              <w:t>办理方式及材料</w:t>
            </w:r>
          </w:p>
        </w:tc>
        <w:tc>
          <w:tcPr>
            <w:tcW w:w="1454" w:type="dxa"/>
            <w:gridSpan w:val="2"/>
            <w:vMerge/>
            <w:tcBorders>
              <w:top w:val="single" w:sz="4" w:space="0" w:color="auto"/>
              <w:left w:val="single" w:sz="4" w:space="0" w:color="auto"/>
              <w:bottom w:val="single" w:sz="4" w:space="0" w:color="auto"/>
              <w:right w:val="single" w:sz="4" w:space="0" w:color="auto"/>
            </w:tcBorders>
            <w:vAlign w:val="center"/>
          </w:tcPr>
          <w:p w:rsidR="00013EC7" w:rsidRDefault="00013EC7">
            <w:pPr>
              <w:jc w:val="center"/>
              <w:rPr>
                <w:rFonts w:ascii="黑体" w:eastAsia="黑体" w:hAnsi="黑体" w:cs="黑体"/>
                <w:color w:val="000000"/>
                <w:sz w:val="24"/>
              </w:rPr>
            </w:pPr>
          </w:p>
        </w:tc>
        <w:tc>
          <w:tcPr>
            <w:tcW w:w="881" w:type="dxa"/>
            <w:vMerge/>
            <w:tcBorders>
              <w:top w:val="nil"/>
              <w:left w:val="single" w:sz="4" w:space="0" w:color="auto"/>
              <w:bottom w:val="single" w:sz="12" w:space="0" w:color="000000"/>
              <w:right w:val="single" w:sz="12" w:space="0" w:color="000000"/>
            </w:tcBorders>
            <w:vAlign w:val="center"/>
          </w:tcPr>
          <w:p w:rsidR="00013EC7" w:rsidRDefault="00013EC7">
            <w:pPr>
              <w:jc w:val="center"/>
              <w:rPr>
                <w:rFonts w:ascii="黑体" w:eastAsia="黑体" w:hAnsi="黑体" w:cs="黑体"/>
                <w:color w:val="000000"/>
                <w:sz w:val="24"/>
              </w:rPr>
            </w:pPr>
          </w:p>
        </w:tc>
        <w:tc>
          <w:tcPr>
            <w:tcW w:w="992" w:type="dxa"/>
            <w:vMerge/>
            <w:tcBorders>
              <w:top w:val="single" w:sz="4" w:space="0" w:color="auto"/>
              <w:left w:val="single" w:sz="12" w:space="0" w:color="000000"/>
              <w:right w:val="single" w:sz="12" w:space="0" w:color="000000"/>
            </w:tcBorders>
            <w:vAlign w:val="center"/>
          </w:tcPr>
          <w:p w:rsidR="00013EC7" w:rsidRDefault="00013EC7">
            <w:pPr>
              <w:jc w:val="center"/>
              <w:rPr>
                <w:rFonts w:ascii="黑体" w:eastAsia="黑体" w:hAnsi="黑体" w:cs="黑体"/>
                <w:color w:val="000000"/>
                <w:sz w:val="24"/>
              </w:rPr>
            </w:pPr>
          </w:p>
        </w:tc>
        <w:tc>
          <w:tcPr>
            <w:tcW w:w="2270" w:type="dxa"/>
            <w:vMerge/>
            <w:tcBorders>
              <w:top w:val="single" w:sz="4" w:space="0" w:color="auto"/>
              <w:left w:val="single" w:sz="12" w:space="0" w:color="000000"/>
              <w:right w:val="single" w:sz="4" w:space="0" w:color="auto"/>
            </w:tcBorders>
            <w:vAlign w:val="center"/>
          </w:tcPr>
          <w:p w:rsidR="00013EC7" w:rsidRDefault="00013EC7">
            <w:pPr>
              <w:jc w:val="center"/>
              <w:rPr>
                <w:rFonts w:ascii="黑体" w:eastAsia="黑体" w:hAnsi="黑体" w:cs="黑体"/>
                <w:color w:val="000000"/>
                <w:sz w:val="24"/>
              </w:rPr>
            </w:pPr>
          </w:p>
        </w:tc>
      </w:tr>
      <w:tr w:rsidR="00013EC7">
        <w:trPr>
          <w:trHeight w:val="435"/>
          <w:tblHeader/>
        </w:trPr>
        <w:tc>
          <w:tcPr>
            <w:tcW w:w="918" w:type="dxa"/>
            <w:vMerge/>
            <w:tcBorders>
              <w:top w:val="single" w:sz="4" w:space="0" w:color="auto"/>
              <w:left w:val="single" w:sz="4" w:space="0" w:color="auto"/>
              <w:bottom w:val="single" w:sz="4" w:space="0" w:color="auto"/>
              <w:right w:val="single" w:sz="4" w:space="0" w:color="auto"/>
            </w:tcBorders>
            <w:vAlign w:val="center"/>
          </w:tcPr>
          <w:p w:rsidR="00013EC7" w:rsidRDefault="00013EC7">
            <w:pPr>
              <w:jc w:val="center"/>
              <w:rPr>
                <w:rFonts w:ascii="黑体" w:eastAsia="黑体" w:hAnsi="黑体" w:cs="黑体"/>
                <w:color w:val="000000"/>
                <w:sz w:val="24"/>
              </w:rPr>
            </w:pPr>
          </w:p>
        </w:tc>
        <w:tc>
          <w:tcPr>
            <w:tcW w:w="579" w:type="dxa"/>
            <w:vMerge/>
            <w:tcBorders>
              <w:top w:val="single" w:sz="4" w:space="0" w:color="auto"/>
              <w:left w:val="single" w:sz="4" w:space="0" w:color="auto"/>
              <w:bottom w:val="single" w:sz="4" w:space="0" w:color="auto"/>
              <w:right w:val="single" w:sz="4" w:space="0" w:color="auto"/>
            </w:tcBorders>
            <w:vAlign w:val="center"/>
          </w:tcPr>
          <w:p w:rsidR="00013EC7" w:rsidRDefault="00013EC7">
            <w:pPr>
              <w:jc w:val="center"/>
              <w:rPr>
                <w:rFonts w:ascii="黑体" w:eastAsia="黑体" w:hAnsi="黑体" w:cs="黑体"/>
                <w:color w:val="000000"/>
                <w:sz w:val="24"/>
              </w:rPr>
            </w:pPr>
          </w:p>
        </w:tc>
        <w:tc>
          <w:tcPr>
            <w:tcW w:w="2890" w:type="dxa"/>
            <w:vMerge/>
            <w:tcBorders>
              <w:top w:val="single" w:sz="4" w:space="0" w:color="auto"/>
              <w:left w:val="single" w:sz="4" w:space="0" w:color="auto"/>
              <w:bottom w:val="single" w:sz="4" w:space="0" w:color="auto"/>
              <w:right w:val="single" w:sz="4" w:space="0" w:color="auto"/>
            </w:tcBorders>
            <w:vAlign w:val="center"/>
          </w:tcPr>
          <w:p w:rsidR="00013EC7" w:rsidRDefault="00013EC7">
            <w:pPr>
              <w:jc w:val="center"/>
              <w:rPr>
                <w:rFonts w:ascii="黑体" w:eastAsia="黑体" w:hAnsi="黑体" w:cs="黑体"/>
                <w:color w:val="000000"/>
                <w:sz w:val="24"/>
              </w:rPr>
            </w:pPr>
          </w:p>
        </w:tc>
        <w:tc>
          <w:tcPr>
            <w:tcW w:w="3367" w:type="dxa"/>
            <w:vMerge/>
            <w:tcBorders>
              <w:top w:val="single" w:sz="4" w:space="0" w:color="auto"/>
              <w:left w:val="single" w:sz="4" w:space="0" w:color="auto"/>
              <w:bottom w:val="single" w:sz="4" w:space="0" w:color="auto"/>
              <w:right w:val="single" w:sz="4" w:space="0" w:color="auto"/>
            </w:tcBorders>
            <w:vAlign w:val="center"/>
          </w:tcPr>
          <w:p w:rsidR="00013EC7" w:rsidRDefault="00013EC7">
            <w:pPr>
              <w:jc w:val="center"/>
              <w:rPr>
                <w:rFonts w:ascii="黑体" w:eastAsia="黑体" w:hAnsi="黑体" w:cs="黑体"/>
                <w:color w:val="000000"/>
                <w:sz w:val="24"/>
              </w:rPr>
            </w:pPr>
          </w:p>
        </w:tc>
        <w:tc>
          <w:tcPr>
            <w:tcW w:w="1911" w:type="dxa"/>
            <w:vMerge/>
            <w:tcBorders>
              <w:top w:val="single" w:sz="4" w:space="0" w:color="auto"/>
              <w:left w:val="single" w:sz="4" w:space="0" w:color="auto"/>
              <w:bottom w:val="single" w:sz="4" w:space="0" w:color="auto"/>
              <w:right w:val="single" w:sz="4" w:space="0" w:color="auto"/>
            </w:tcBorders>
            <w:vAlign w:val="center"/>
          </w:tcPr>
          <w:p w:rsidR="00013EC7" w:rsidRDefault="00013EC7">
            <w:pPr>
              <w:jc w:val="center"/>
              <w:rPr>
                <w:rFonts w:ascii="黑体" w:eastAsia="黑体" w:hAnsi="黑体" w:cs="黑体"/>
                <w:color w:val="000000"/>
                <w:sz w:val="24"/>
              </w:rPr>
            </w:pPr>
          </w:p>
        </w:tc>
        <w:tc>
          <w:tcPr>
            <w:tcW w:w="2073" w:type="dxa"/>
            <w:vMerge/>
            <w:tcBorders>
              <w:top w:val="single" w:sz="4" w:space="0" w:color="auto"/>
              <w:left w:val="single" w:sz="4" w:space="0" w:color="auto"/>
              <w:bottom w:val="single" w:sz="4" w:space="0" w:color="auto"/>
              <w:right w:val="single" w:sz="4" w:space="0" w:color="auto"/>
            </w:tcBorders>
            <w:vAlign w:val="center"/>
          </w:tcPr>
          <w:p w:rsidR="00013EC7" w:rsidRDefault="00013EC7">
            <w:pPr>
              <w:jc w:val="center"/>
              <w:rPr>
                <w:rFonts w:ascii="黑体" w:eastAsia="黑体" w:hAnsi="黑体" w:cs="黑体"/>
                <w:color w:val="000000"/>
                <w:sz w:val="24"/>
              </w:rPr>
            </w:pPr>
          </w:p>
        </w:tc>
        <w:tc>
          <w:tcPr>
            <w:tcW w:w="1720" w:type="dxa"/>
            <w:vMerge/>
            <w:tcBorders>
              <w:top w:val="single" w:sz="4" w:space="0" w:color="auto"/>
              <w:left w:val="single" w:sz="4" w:space="0" w:color="auto"/>
              <w:bottom w:val="single" w:sz="4" w:space="0" w:color="auto"/>
              <w:right w:val="single" w:sz="4" w:space="0" w:color="auto"/>
            </w:tcBorders>
            <w:vAlign w:val="center"/>
          </w:tcPr>
          <w:p w:rsidR="00013EC7" w:rsidRDefault="00013EC7">
            <w:pPr>
              <w:jc w:val="center"/>
              <w:rPr>
                <w:rFonts w:ascii="黑体" w:eastAsia="黑体" w:hAnsi="黑体" w:cs="黑体"/>
                <w:color w:val="000000"/>
                <w:sz w:val="24"/>
              </w:rPr>
            </w:pPr>
          </w:p>
        </w:tc>
        <w:tc>
          <w:tcPr>
            <w:tcW w:w="1037" w:type="dxa"/>
            <w:tcBorders>
              <w:top w:val="single" w:sz="4" w:space="0" w:color="auto"/>
              <w:left w:val="single" w:sz="4" w:space="0" w:color="auto"/>
              <w:bottom w:val="single" w:sz="4" w:space="0" w:color="auto"/>
              <w:right w:val="single" w:sz="4" w:space="0" w:color="auto"/>
            </w:tcBorders>
            <w:vAlign w:val="center"/>
          </w:tcPr>
          <w:p w:rsidR="00013EC7" w:rsidRDefault="00575CDB">
            <w:pPr>
              <w:widowControl/>
              <w:jc w:val="center"/>
              <w:textAlignment w:val="center"/>
              <w:rPr>
                <w:rFonts w:ascii="黑体" w:eastAsia="黑体" w:hAnsi="黑体" w:cs="黑体"/>
                <w:color w:val="000000"/>
                <w:sz w:val="24"/>
              </w:rPr>
            </w:pPr>
            <w:r>
              <w:rPr>
                <w:rFonts w:ascii="黑体" w:eastAsia="黑体" w:hAnsi="黑体" w:cs="黑体" w:hint="eastAsia"/>
                <w:color w:val="000000"/>
                <w:kern w:val="0"/>
                <w:sz w:val="24"/>
              </w:rPr>
              <w:t>信息获取方式说明</w:t>
            </w:r>
          </w:p>
        </w:tc>
        <w:tc>
          <w:tcPr>
            <w:tcW w:w="588" w:type="dxa"/>
            <w:tcBorders>
              <w:top w:val="single" w:sz="4" w:space="0" w:color="auto"/>
              <w:left w:val="single" w:sz="4" w:space="0" w:color="auto"/>
              <w:bottom w:val="single" w:sz="4" w:space="0" w:color="auto"/>
              <w:right w:val="single" w:sz="4" w:space="0" w:color="auto"/>
            </w:tcBorders>
            <w:vAlign w:val="center"/>
          </w:tcPr>
          <w:p w:rsidR="00013EC7" w:rsidRDefault="00575CDB">
            <w:pPr>
              <w:widowControl/>
              <w:jc w:val="center"/>
              <w:textAlignment w:val="center"/>
              <w:rPr>
                <w:rFonts w:ascii="黑体" w:eastAsia="黑体" w:hAnsi="黑体" w:cs="黑体"/>
                <w:color w:val="000000"/>
                <w:sz w:val="24"/>
              </w:rPr>
            </w:pPr>
            <w:r>
              <w:rPr>
                <w:rFonts w:ascii="黑体" w:eastAsia="黑体" w:hAnsi="黑体" w:cs="黑体" w:hint="eastAsia"/>
                <w:color w:val="000000"/>
                <w:kern w:val="0"/>
                <w:sz w:val="24"/>
              </w:rPr>
              <w:t>优化前</w:t>
            </w:r>
          </w:p>
        </w:tc>
        <w:tc>
          <w:tcPr>
            <w:tcW w:w="866" w:type="dxa"/>
            <w:tcBorders>
              <w:top w:val="single" w:sz="4" w:space="0" w:color="auto"/>
              <w:left w:val="single" w:sz="4" w:space="0" w:color="auto"/>
              <w:bottom w:val="single" w:sz="4" w:space="0" w:color="auto"/>
              <w:right w:val="single" w:sz="4" w:space="0" w:color="auto"/>
            </w:tcBorders>
            <w:vAlign w:val="center"/>
          </w:tcPr>
          <w:p w:rsidR="00013EC7" w:rsidRDefault="00575CDB">
            <w:pPr>
              <w:widowControl/>
              <w:jc w:val="center"/>
              <w:textAlignment w:val="center"/>
              <w:rPr>
                <w:rFonts w:ascii="黑体" w:eastAsia="黑体" w:hAnsi="黑体" w:cs="黑体"/>
                <w:color w:val="000000"/>
                <w:sz w:val="24"/>
              </w:rPr>
            </w:pPr>
            <w:r>
              <w:rPr>
                <w:rFonts w:ascii="黑体" w:eastAsia="黑体" w:hAnsi="黑体" w:cs="黑体" w:hint="eastAsia"/>
                <w:color w:val="000000"/>
                <w:kern w:val="0"/>
                <w:sz w:val="24"/>
              </w:rPr>
              <w:t>优化后</w:t>
            </w:r>
          </w:p>
        </w:tc>
        <w:tc>
          <w:tcPr>
            <w:tcW w:w="881" w:type="dxa"/>
            <w:vMerge/>
            <w:tcBorders>
              <w:top w:val="single" w:sz="12" w:space="0" w:color="000000"/>
              <w:left w:val="single" w:sz="4" w:space="0" w:color="auto"/>
              <w:bottom w:val="single" w:sz="12" w:space="0" w:color="000000"/>
              <w:right w:val="single" w:sz="12" w:space="0" w:color="000000"/>
            </w:tcBorders>
            <w:vAlign w:val="center"/>
          </w:tcPr>
          <w:p w:rsidR="00013EC7" w:rsidRDefault="00013EC7">
            <w:pPr>
              <w:jc w:val="center"/>
              <w:rPr>
                <w:rFonts w:ascii="黑体" w:eastAsia="黑体" w:hAnsi="黑体" w:cs="黑体"/>
                <w:color w:val="000000"/>
                <w:sz w:val="24"/>
              </w:rPr>
            </w:pPr>
          </w:p>
        </w:tc>
        <w:tc>
          <w:tcPr>
            <w:tcW w:w="992" w:type="dxa"/>
            <w:vMerge/>
            <w:tcBorders>
              <w:top w:val="single" w:sz="12" w:space="0" w:color="000000"/>
              <w:left w:val="single" w:sz="12" w:space="0" w:color="000000"/>
              <w:bottom w:val="single" w:sz="4" w:space="0" w:color="auto"/>
              <w:right w:val="single" w:sz="12" w:space="0" w:color="000000"/>
            </w:tcBorders>
            <w:vAlign w:val="center"/>
          </w:tcPr>
          <w:p w:rsidR="00013EC7" w:rsidRDefault="00013EC7">
            <w:pPr>
              <w:jc w:val="center"/>
              <w:rPr>
                <w:rFonts w:ascii="黑体" w:eastAsia="黑体" w:hAnsi="黑体" w:cs="黑体"/>
                <w:color w:val="000000"/>
                <w:sz w:val="24"/>
              </w:rPr>
            </w:pPr>
          </w:p>
        </w:tc>
        <w:tc>
          <w:tcPr>
            <w:tcW w:w="2270" w:type="dxa"/>
            <w:vMerge/>
            <w:tcBorders>
              <w:top w:val="single" w:sz="12" w:space="0" w:color="000000"/>
              <w:left w:val="single" w:sz="12" w:space="0" w:color="000000"/>
              <w:bottom w:val="single" w:sz="4" w:space="0" w:color="auto"/>
              <w:right w:val="single" w:sz="4" w:space="0" w:color="auto"/>
            </w:tcBorders>
            <w:vAlign w:val="center"/>
          </w:tcPr>
          <w:p w:rsidR="00013EC7" w:rsidRDefault="00013EC7">
            <w:pPr>
              <w:jc w:val="center"/>
              <w:rPr>
                <w:rFonts w:ascii="黑体" w:eastAsia="黑体" w:hAnsi="黑体" w:cs="黑体"/>
                <w:color w:val="000000"/>
                <w:sz w:val="24"/>
              </w:rPr>
            </w:pPr>
          </w:p>
        </w:tc>
      </w:tr>
      <w:tr w:rsidR="00013EC7">
        <w:trPr>
          <w:trHeight w:val="870"/>
        </w:trPr>
        <w:tc>
          <w:tcPr>
            <w:tcW w:w="91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13EC7" w:rsidRDefault="00731DCE">
            <w:pPr>
              <w:widowControl/>
              <w:textAlignment w:val="center"/>
              <w:rPr>
                <w:rFonts w:ascii="仿宋" w:eastAsia="仿宋" w:hAnsi="仿宋" w:cs="仿宋"/>
                <w:color w:val="000000"/>
                <w:sz w:val="24"/>
              </w:rPr>
            </w:pPr>
            <w:r>
              <w:rPr>
                <w:rFonts w:ascii="仿宋" w:eastAsia="仿宋" w:hAnsi="仿宋" w:cs="仿宋" w:hint="eastAsia"/>
                <w:color w:val="000000"/>
                <w:kern w:val="0"/>
                <w:sz w:val="24"/>
              </w:rPr>
              <w:t>24.常见税收优惠办理</w:t>
            </w:r>
          </w:p>
        </w:tc>
        <w:tc>
          <w:tcPr>
            <w:tcW w:w="579" w:type="dxa"/>
            <w:vMerge w:val="restart"/>
            <w:tcBorders>
              <w:top w:val="single" w:sz="4" w:space="0" w:color="auto"/>
              <w:left w:val="single" w:sz="4" w:space="0" w:color="auto"/>
              <w:bottom w:val="single" w:sz="4" w:space="0" w:color="000000"/>
              <w:right w:val="single" w:sz="4" w:space="0" w:color="000000"/>
            </w:tcBorders>
            <w:shd w:val="clear" w:color="auto" w:fill="auto"/>
            <w:vAlign w:val="center"/>
          </w:tcPr>
          <w:p w:rsidR="00013EC7" w:rsidRDefault="00575CDB">
            <w:pPr>
              <w:widowControl/>
              <w:textAlignment w:val="center"/>
              <w:rPr>
                <w:rFonts w:ascii="仿宋" w:eastAsia="仿宋" w:hAnsi="仿宋" w:cs="仿宋"/>
                <w:color w:val="000000"/>
                <w:sz w:val="24"/>
              </w:rPr>
            </w:pPr>
            <w:r>
              <w:rPr>
                <w:rFonts w:ascii="仿宋" w:eastAsia="仿宋" w:hAnsi="仿宋" w:cs="仿宋" w:hint="eastAsia"/>
                <w:color w:val="000000"/>
                <w:kern w:val="0"/>
                <w:sz w:val="24"/>
              </w:rPr>
              <w:t>24.5跨境应税行为增值税免税备案</w:t>
            </w:r>
          </w:p>
        </w:tc>
        <w:tc>
          <w:tcPr>
            <w:tcW w:w="2890" w:type="dxa"/>
            <w:vMerge w:val="restart"/>
            <w:tcBorders>
              <w:top w:val="single" w:sz="4" w:space="0" w:color="auto"/>
              <w:left w:val="single" w:sz="4" w:space="0" w:color="000000"/>
              <w:bottom w:val="single" w:sz="4" w:space="0" w:color="000000"/>
              <w:right w:val="single" w:sz="4" w:space="0" w:color="000000"/>
            </w:tcBorders>
            <w:shd w:val="clear" w:color="auto" w:fill="auto"/>
            <w:vAlign w:val="center"/>
          </w:tcPr>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color w:val="000000"/>
                <w:kern w:val="0"/>
                <w:sz w:val="24"/>
              </w:rPr>
              <w:t>（一）</w:t>
            </w:r>
            <w:r>
              <w:rPr>
                <w:rFonts w:ascii="仿宋" w:eastAsia="仿宋" w:hAnsi="仿宋" w:cs="仿宋"/>
                <w:color w:val="000000"/>
                <w:kern w:val="0"/>
                <w:sz w:val="24"/>
              </w:rPr>
              <w:t>《关于发布</w:t>
            </w:r>
            <w:r>
              <w:rPr>
                <w:rFonts w:ascii="仿宋" w:eastAsia="仿宋" w:hAnsi="仿宋" w:cs="仿宋" w:hint="eastAsia"/>
                <w:color w:val="000000"/>
                <w:kern w:val="0"/>
                <w:sz w:val="24"/>
              </w:rPr>
              <w:t>&lt;</w:t>
            </w:r>
            <w:r>
              <w:rPr>
                <w:rFonts w:ascii="仿宋" w:eastAsia="仿宋" w:hAnsi="仿宋" w:cs="仿宋"/>
                <w:color w:val="000000"/>
                <w:kern w:val="0"/>
                <w:sz w:val="24"/>
              </w:rPr>
              <w:t>营业税改征增值税跨境应税行为增值税免税管理办法（试行）</w:t>
            </w:r>
            <w:r>
              <w:rPr>
                <w:rFonts w:ascii="仿宋" w:eastAsia="仿宋" w:hAnsi="仿宋" w:cs="仿宋" w:hint="eastAsia"/>
                <w:color w:val="000000"/>
                <w:kern w:val="0"/>
                <w:sz w:val="24"/>
              </w:rPr>
              <w:t>&gt;</w:t>
            </w:r>
            <w:r>
              <w:rPr>
                <w:rFonts w:ascii="仿宋" w:eastAsia="仿宋" w:hAnsi="仿宋" w:cs="仿宋"/>
                <w:color w:val="000000"/>
                <w:kern w:val="0"/>
                <w:sz w:val="24"/>
              </w:rPr>
              <w:t>的公告》（国家税务总局公告2016年第29号）全文</w:t>
            </w:r>
            <w:r>
              <w:rPr>
                <w:rFonts w:ascii="仿宋" w:eastAsia="仿宋" w:hAnsi="仿宋" w:cs="仿宋" w:hint="eastAsia"/>
                <w:color w:val="000000"/>
                <w:kern w:val="0"/>
                <w:sz w:val="24"/>
              </w:rPr>
              <w:t>。</w:t>
            </w:r>
          </w:p>
          <w:p w:rsidR="00013EC7" w:rsidRDefault="00575CDB">
            <w:pPr>
              <w:widowControl/>
              <w:textAlignment w:val="center"/>
              <w:rPr>
                <w:rFonts w:ascii="仿宋" w:eastAsia="仿宋" w:hAnsi="仿宋" w:cs="仿宋"/>
                <w:color w:val="000000"/>
                <w:kern w:val="0"/>
                <w:sz w:val="24"/>
              </w:rPr>
            </w:pPr>
            <w:r>
              <w:rPr>
                <w:rFonts w:ascii="仿宋" w:eastAsia="仿宋" w:hAnsi="仿宋" w:cs="仿宋" w:hint="eastAsia"/>
                <w:color w:val="000000"/>
                <w:kern w:val="0"/>
                <w:sz w:val="24"/>
              </w:rPr>
              <w:t>（二）</w:t>
            </w:r>
            <w:r>
              <w:rPr>
                <w:rFonts w:ascii="仿宋" w:eastAsia="仿宋" w:hAnsi="仿宋" w:cs="仿宋"/>
                <w:color w:val="000000"/>
                <w:kern w:val="0"/>
                <w:sz w:val="24"/>
              </w:rPr>
              <w:t>《财政部 国家税务总局关于影视等出口服务适用增值税零税率政策的通知》（财税〔2015〕118号）全文。</w:t>
            </w:r>
          </w:p>
          <w:p w:rsidR="00013EC7" w:rsidRDefault="00013EC7">
            <w:pPr>
              <w:widowControl/>
              <w:textAlignment w:val="center"/>
              <w:rPr>
                <w:rFonts w:ascii="仿宋" w:eastAsia="仿宋" w:hAnsi="仿宋" w:cs="仿宋"/>
                <w:color w:val="000000"/>
                <w:sz w:val="24"/>
              </w:rPr>
            </w:pPr>
          </w:p>
        </w:tc>
        <w:tc>
          <w:tcPr>
            <w:tcW w:w="3367" w:type="dxa"/>
            <w:tcBorders>
              <w:top w:val="single" w:sz="4" w:space="0" w:color="auto"/>
              <w:left w:val="single" w:sz="4" w:space="0" w:color="000000"/>
              <w:bottom w:val="single" w:sz="4" w:space="0" w:color="000000"/>
              <w:right w:val="single" w:sz="4" w:space="0" w:color="000000"/>
            </w:tcBorders>
            <w:shd w:val="clear" w:color="auto" w:fill="FFFFFF"/>
            <w:vAlign w:val="center"/>
          </w:tcPr>
          <w:p w:rsidR="00013EC7" w:rsidRDefault="00575CDB">
            <w:pPr>
              <w:widowControl/>
              <w:textAlignment w:val="center"/>
              <w:rPr>
                <w:rFonts w:ascii="仿宋" w:eastAsia="仿宋" w:hAnsi="仿宋" w:cs="仿宋"/>
                <w:color w:val="000000"/>
                <w:sz w:val="24"/>
              </w:rPr>
            </w:pPr>
            <w:r>
              <w:rPr>
                <w:rStyle w:val="font41"/>
                <w:rFonts w:ascii="仿宋" w:eastAsia="仿宋" w:hAnsi="仿宋" w:cs="仿宋" w:hint="eastAsia"/>
                <w:sz w:val="24"/>
                <w:szCs w:val="24"/>
              </w:rPr>
              <w:t>（一）《跨境应税行为免税备案表》（A03068）。</w:t>
            </w:r>
          </w:p>
        </w:tc>
        <w:tc>
          <w:tcPr>
            <w:tcW w:w="1911" w:type="dxa"/>
            <w:vMerge w:val="restart"/>
            <w:tcBorders>
              <w:top w:val="single" w:sz="4" w:space="0" w:color="auto"/>
              <w:left w:val="single" w:sz="4" w:space="0" w:color="000000"/>
              <w:right w:val="single" w:sz="4" w:space="0" w:color="000000"/>
            </w:tcBorders>
            <w:shd w:val="clear" w:color="auto" w:fill="FFFFFF"/>
            <w:vAlign w:val="center"/>
          </w:tcPr>
          <w:p w:rsidR="00013EC7" w:rsidRDefault="00575CDB">
            <w:pPr>
              <w:widowControl/>
              <w:textAlignment w:val="center"/>
              <w:rPr>
                <w:rFonts w:ascii="仿宋" w:eastAsia="仿宋" w:hAnsi="仿宋" w:cs="仿宋"/>
                <w:color w:val="000000"/>
                <w:sz w:val="24"/>
              </w:rPr>
            </w:pPr>
            <w:r>
              <w:rPr>
                <w:rFonts w:ascii="仿宋" w:eastAsia="仿宋" w:hAnsi="仿宋" w:cs="仿宋" w:hint="eastAsia"/>
                <w:color w:val="000000"/>
                <w:sz w:val="24"/>
              </w:rPr>
              <w:t>纳税人提交</w:t>
            </w:r>
          </w:p>
        </w:tc>
        <w:tc>
          <w:tcPr>
            <w:tcW w:w="2073" w:type="dxa"/>
            <w:tcBorders>
              <w:top w:val="single" w:sz="4" w:space="0" w:color="auto"/>
              <w:left w:val="single" w:sz="4" w:space="0" w:color="000000"/>
              <w:bottom w:val="single" w:sz="4" w:space="0" w:color="000000"/>
              <w:right w:val="single" w:sz="4" w:space="0" w:color="000000"/>
            </w:tcBorders>
            <w:shd w:val="clear" w:color="auto" w:fill="FFFFFF"/>
            <w:vAlign w:val="center"/>
          </w:tcPr>
          <w:p w:rsidR="00013EC7" w:rsidRDefault="00575CDB">
            <w:pPr>
              <w:widowControl/>
              <w:textAlignment w:val="center"/>
              <w:rPr>
                <w:rFonts w:ascii="仿宋" w:eastAsia="仿宋" w:hAnsi="仿宋" w:cs="仿宋"/>
                <w:color w:val="000000"/>
                <w:sz w:val="24"/>
              </w:rPr>
            </w:pPr>
            <w:r>
              <w:rPr>
                <w:rStyle w:val="font41"/>
                <w:rFonts w:ascii="仿宋" w:eastAsia="仿宋" w:hAnsi="仿宋" w:cs="仿宋" w:hint="eastAsia"/>
                <w:sz w:val="24"/>
                <w:szCs w:val="24"/>
              </w:rPr>
              <w:t>（一）《跨境应税行为免税备案表》（A03068）2份。</w:t>
            </w:r>
          </w:p>
        </w:tc>
        <w:tc>
          <w:tcPr>
            <w:tcW w:w="1720" w:type="dxa"/>
            <w:vMerge w:val="restart"/>
            <w:tcBorders>
              <w:top w:val="single" w:sz="4" w:space="0" w:color="auto"/>
              <w:left w:val="single" w:sz="4" w:space="0" w:color="000000"/>
              <w:right w:val="single" w:sz="4" w:space="0" w:color="000000"/>
            </w:tcBorders>
            <w:vAlign w:val="center"/>
          </w:tcPr>
          <w:p w:rsidR="00013EC7" w:rsidRDefault="00575CDB">
            <w:pPr>
              <w:widowControl/>
              <w:textAlignment w:val="center"/>
              <w:rPr>
                <w:rFonts w:ascii="仿宋" w:eastAsia="仿宋" w:hAnsi="仿宋" w:cs="仿宋"/>
                <w:color w:val="000000"/>
                <w:sz w:val="24"/>
              </w:rPr>
            </w:pPr>
            <w:r>
              <w:rPr>
                <w:rFonts w:ascii="仿宋" w:eastAsia="仿宋" w:hAnsi="仿宋" w:cs="仿宋" w:hint="eastAsia"/>
                <w:color w:val="000000"/>
                <w:sz w:val="24"/>
              </w:rPr>
              <w:t>纳税人提交</w:t>
            </w:r>
          </w:p>
        </w:tc>
        <w:tc>
          <w:tcPr>
            <w:tcW w:w="1037" w:type="dxa"/>
            <w:vMerge w:val="restart"/>
            <w:tcBorders>
              <w:top w:val="single" w:sz="4" w:space="0" w:color="auto"/>
              <w:left w:val="single" w:sz="4" w:space="0" w:color="000000"/>
              <w:bottom w:val="single" w:sz="4" w:space="0" w:color="000000"/>
              <w:right w:val="single" w:sz="4" w:space="0" w:color="000000"/>
            </w:tcBorders>
            <w:vAlign w:val="center"/>
          </w:tcPr>
          <w:p w:rsidR="00013EC7" w:rsidRDefault="00575CDB">
            <w:pPr>
              <w:spacing w:line="300" w:lineRule="exac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申报单位提交书面材料。</w:t>
            </w:r>
          </w:p>
          <w:p w:rsidR="00013EC7" w:rsidRDefault="00575CDB">
            <w:pPr>
              <w:spacing w:line="300" w:lineRule="exact"/>
              <w:rPr>
                <w:rFonts w:ascii="仿宋" w:eastAsia="仿宋" w:hAnsi="仿宋" w:cs="仿宋"/>
                <w:sz w:val="24"/>
              </w:rPr>
            </w:pPr>
            <w:r>
              <w:rPr>
                <w:rFonts w:ascii="仿宋" w:eastAsia="仿宋" w:hAnsi="仿宋" w:cs="仿宋" w:hint="eastAsia"/>
                <w:b/>
                <w:sz w:val="24"/>
              </w:rPr>
              <w:t>网上办理：</w:t>
            </w:r>
            <w:r>
              <w:rPr>
                <w:rFonts w:ascii="仿宋" w:eastAsia="仿宋" w:hAnsi="仿宋" w:cs="仿宋" w:hint="eastAsia"/>
                <w:sz w:val="24"/>
              </w:rPr>
              <w:t>登录浙江国税电子税务局（网址：http://etax.zjtax.gov.cn/</w:t>
            </w:r>
          </w:p>
          <w:p w:rsidR="00013EC7" w:rsidRDefault="00575CDB">
            <w:pPr>
              <w:spacing w:line="300" w:lineRule="exact"/>
              <w:rPr>
                <w:rFonts w:ascii="仿宋" w:eastAsia="仿宋" w:hAnsi="仿宋" w:cs="仿宋"/>
                <w:sz w:val="24"/>
              </w:rPr>
            </w:pPr>
            <w:r>
              <w:rPr>
                <w:rFonts w:ascii="仿宋" w:eastAsia="仿宋" w:hAnsi="仿宋" w:cs="仿宋" w:hint="eastAsia"/>
                <w:sz w:val="24"/>
              </w:rPr>
              <w:t>）提交申请。</w:t>
            </w:r>
          </w:p>
          <w:p w:rsidR="00013EC7" w:rsidRDefault="00575CDB">
            <w:pPr>
              <w:spacing w:line="300" w:lineRule="exact"/>
              <w:rPr>
                <w:rFonts w:ascii="仿宋" w:eastAsia="仿宋" w:hAnsi="仿宋" w:cs="仿宋"/>
                <w:color w:val="000000"/>
                <w:sz w:val="24"/>
              </w:rPr>
            </w:pPr>
            <w:r>
              <w:rPr>
                <w:rFonts w:ascii="仿宋" w:eastAsia="仿宋" w:hAnsi="仿宋" w:hint="eastAsia"/>
                <w:b/>
                <w:sz w:val="24"/>
              </w:rPr>
              <w:t>APP办理：</w:t>
            </w:r>
            <w:r>
              <w:rPr>
                <w:rFonts w:ascii="仿宋" w:eastAsia="仿宋" w:hAnsi="仿宋" w:hint="eastAsia"/>
                <w:sz w:val="24"/>
              </w:rPr>
              <w:t>登录浙江国税APP提交申请。</w:t>
            </w:r>
          </w:p>
        </w:tc>
        <w:tc>
          <w:tcPr>
            <w:tcW w:w="588" w:type="dxa"/>
            <w:vMerge w:val="restart"/>
            <w:tcBorders>
              <w:top w:val="single" w:sz="4" w:space="0" w:color="auto"/>
              <w:left w:val="single" w:sz="4" w:space="0" w:color="000000"/>
              <w:bottom w:val="single" w:sz="4" w:space="0" w:color="000000"/>
              <w:right w:val="single" w:sz="4" w:space="0" w:color="000000"/>
            </w:tcBorders>
            <w:vAlign w:val="center"/>
          </w:tcPr>
          <w:p w:rsidR="00013EC7" w:rsidRDefault="00575CDB">
            <w:pPr>
              <w:widowControl/>
              <w:textAlignment w:val="center"/>
              <w:rPr>
                <w:rFonts w:ascii="仿宋" w:eastAsia="仿宋" w:hAnsi="仿宋" w:cs="仿宋"/>
                <w:color w:val="000000"/>
                <w:sz w:val="24"/>
              </w:rPr>
            </w:pPr>
            <w:r>
              <w:rPr>
                <w:rFonts w:ascii="仿宋" w:eastAsia="仿宋" w:hAnsi="仿宋" w:cs="仿宋" w:hint="eastAsia"/>
                <w:color w:val="000000"/>
                <w:kern w:val="0"/>
                <w:sz w:val="24"/>
              </w:rPr>
              <w:t>即时办结</w:t>
            </w:r>
          </w:p>
        </w:tc>
        <w:tc>
          <w:tcPr>
            <w:tcW w:w="866" w:type="dxa"/>
            <w:vMerge w:val="restart"/>
            <w:tcBorders>
              <w:top w:val="single" w:sz="4" w:space="0" w:color="auto"/>
              <w:left w:val="single" w:sz="4" w:space="0" w:color="000000"/>
              <w:bottom w:val="single" w:sz="4" w:space="0" w:color="000000"/>
              <w:right w:val="single" w:sz="4" w:space="0" w:color="000000"/>
            </w:tcBorders>
            <w:vAlign w:val="center"/>
          </w:tcPr>
          <w:p w:rsidR="00013EC7" w:rsidRDefault="00575CDB">
            <w:pPr>
              <w:widowControl/>
              <w:textAlignment w:val="center"/>
              <w:rPr>
                <w:rFonts w:ascii="仿宋" w:eastAsia="仿宋" w:hAnsi="仿宋" w:cs="仿宋"/>
                <w:color w:val="000000"/>
                <w:sz w:val="24"/>
              </w:rPr>
            </w:pPr>
            <w:r>
              <w:rPr>
                <w:rFonts w:ascii="仿宋" w:eastAsia="仿宋" w:hAnsi="仿宋" w:cs="仿宋" w:hint="eastAsia"/>
                <w:color w:val="000000"/>
                <w:kern w:val="0"/>
                <w:sz w:val="24"/>
              </w:rPr>
              <w:t>即时办结</w:t>
            </w:r>
          </w:p>
        </w:tc>
        <w:tc>
          <w:tcPr>
            <w:tcW w:w="881" w:type="dxa"/>
            <w:vMerge w:val="restart"/>
            <w:tcBorders>
              <w:top w:val="single" w:sz="4" w:space="0" w:color="000000"/>
              <w:left w:val="single" w:sz="4" w:space="0" w:color="000000"/>
              <w:bottom w:val="single" w:sz="4" w:space="0" w:color="000000"/>
              <w:right w:val="single" w:sz="4" w:space="0" w:color="auto"/>
            </w:tcBorders>
            <w:vAlign w:val="center"/>
          </w:tcPr>
          <w:p w:rsidR="00013EC7" w:rsidRDefault="00575CDB">
            <w:pPr>
              <w:widowControl/>
              <w:textAlignment w:val="center"/>
              <w:rPr>
                <w:rFonts w:ascii="仿宋" w:eastAsia="仿宋" w:hAnsi="仿宋" w:cs="仿宋"/>
                <w:color w:val="000000"/>
                <w:sz w:val="24"/>
              </w:rPr>
            </w:pPr>
            <w:r>
              <w:rPr>
                <w:rFonts w:ascii="仿宋" w:eastAsia="仿宋" w:hAnsi="仿宋" w:cs="仿宋" w:hint="eastAsia"/>
                <w:kern w:val="0"/>
                <w:sz w:val="24"/>
              </w:rPr>
              <w:t>是</w:t>
            </w:r>
          </w:p>
        </w:tc>
        <w:tc>
          <w:tcPr>
            <w:tcW w:w="992" w:type="dxa"/>
            <w:vMerge w:val="restart"/>
            <w:tcBorders>
              <w:top w:val="single" w:sz="4" w:space="0" w:color="auto"/>
              <w:left w:val="single" w:sz="4" w:space="0" w:color="auto"/>
              <w:bottom w:val="single" w:sz="4" w:space="0" w:color="auto"/>
              <w:right w:val="single" w:sz="4" w:space="0" w:color="000000"/>
            </w:tcBorders>
            <w:vAlign w:val="center"/>
          </w:tcPr>
          <w:p w:rsidR="00013EC7" w:rsidRDefault="00575CDB">
            <w:pPr>
              <w:widowControl/>
              <w:textAlignment w:val="center"/>
              <w:rPr>
                <w:rFonts w:ascii="仿宋" w:eastAsia="仿宋" w:hAnsi="仿宋" w:cs="仿宋"/>
                <w:color w:val="000000"/>
                <w:sz w:val="24"/>
              </w:rPr>
            </w:pPr>
            <w:r>
              <w:rPr>
                <w:rFonts w:ascii="仿宋" w:eastAsia="仿宋" w:hAnsi="仿宋" w:cs="仿宋" w:hint="eastAsia"/>
                <w:color w:val="000000"/>
                <w:kern w:val="0"/>
                <w:sz w:val="24"/>
              </w:rPr>
              <w:t>货物和劳务税处</w:t>
            </w:r>
          </w:p>
        </w:tc>
        <w:tc>
          <w:tcPr>
            <w:tcW w:w="2270" w:type="dxa"/>
            <w:vMerge w:val="restart"/>
            <w:tcBorders>
              <w:top w:val="single" w:sz="4" w:space="0" w:color="auto"/>
              <w:left w:val="single" w:sz="4" w:space="0" w:color="000000"/>
              <w:bottom w:val="single" w:sz="4" w:space="0" w:color="auto"/>
              <w:right w:val="single" w:sz="4" w:space="0" w:color="auto"/>
            </w:tcBorders>
            <w:vAlign w:val="center"/>
          </w:tcPr>
          <w:p w:rsidR="00013EC7" w:rsidRDefault="00013EC7">
            <w:pPr>
              <w:rPr>
                <w:rFonts w:ascii="仿宋" w:eastAsia="仿宋" w:hAnsi="仿宋" w:cs="仿宋"/>
                <w:color w:val="000000"/>
                <w:sz w:val="24"/>
              </w:rPr>
            </w:pPr>
          </w:p>
        </w:tc>
      </w:tr>
      <w:tr w:rsidR="00013EC7">
        <w:trPr>
          <w:trHeight w:val="860"/>
        </w:trPr>
        <w:tc>
          <w:tcPr>
            <w:tcW w:w="918" w:type="dxa"/>
            <w:vMerge/>
            <w:tcBorders>
              <w:top w:val="single" w:sz="4" w:space="0" w:color="auto"/>
              <w:left w:val="single" w:sz="4" w:space="0" w:color="auto"/>
              <w:bottom w:val="single" w:sz="4" w:space="0" w:color="auto"/>
              <w:right w:val="single" w:sz="4" w:space="0" w:color="auto"/>
            </w:tcBorders>
            <w:shd w:val="clear" w:color="auto" w:fill="auto"/>
            <w:vAlign w:val="center"/>
          </w:tcPr>
          <w:p w:rsidR="00013EC7" w:rsidRDefault="00013EC7">
            <w:pPr>
              <w:rPr>
                <w:rFonts w:ascii="仿宋" w:eastAsia="仿宋" w:hAnsi="仿宋" w:cs="仿宋"/>
                <w:color w:val="000000"/>
                <w:sz w:val="24"/>
              </w:rPr>
            </w:pPr>
          </w:p>
        </w:tc>
        <w:tc>
          <w:tcPr>
            <w:tcW w:w="579" w:type="dxa"/>
            <w:vMerge/>
            <w:tcBorders>
              <w:top w:val="single" w:sz="4" w:space="0" w:color="000000"/>
              <w:left w:val="single" w:sz="4" w:space="0" w:color="auto"/>
              <w:bottom w:val="single" w:sz="4" w:space="0" w:color="auto"/>
              <w:right w:val="single" w:sz="4" w:space="0" w:color="000000"/>
            </w:tcBorders>
            <w:shd w:val="clear" w:color="auto" w:fill="auto"/>
            <w:vAlign w:val="center"/>
          </w:tcPr>
          <w:p w:rsidR="00013EC7" w:rsidRDefault="00013EC7">
            <w:pPr>
              <w:rPr>
                <w:rFonts w:ascii="仿宋" w:eastAsia="仿宋" w:hAnsi="仿宋" w:cs="仿宋"/>
                <w:color w:val="000000"/>
                <w:sz w:val="24"/>
              </w:rPr>
            </w:pPr>
          </w:p>
        </w:tc>
        <w:tc>
          <w:tcPr>
            <w:tcW w:w="2890" w:type="dxa"/>
            <w:vMerge/>
            <w:tcBorders>
              <w:top w:val="single" w:sz="4" w:space="0" w:color="000000"/>
              <w:left w:val="single" w:sz="4" w:space="0" w:color="000000"/>
              <w:bottom w:val="single" w:sz="4" w:space="0" w:color="auto"/>
              <w:right w:val="single" w:sz="4" w:space="0" w:color="000000"/>
            </w:tcBorders>
            <w:shd w:val="clear" w:color="auto" w:fill="auto"/>
            <w:vAlign w:val="center"/>
          </w:tcPr>
          <w:p w:rsidR="00013EC7" w:rsidRDefault="00013EC7">
            <w:pPr>
              <w:rPr>
                <w:rFonts w:ascii="仿宋" w:eastAsia="仿宋" w:hAnsi="仿宋" w:cs="仿宋"/>
                <w:color w:val="000000"/>
                <w:sz w:val="24"/>
              </w:rPr>
            </w:pPr>
          </w:p>
        </w:tc>
        <w:tc>
          <w:tcPr>
            <w:tcW w:w="3367" w:type="dxa"/>
            <w:tcBorders>
              <w:top w:val="single" w:sz="4" w:space="0" w:color="000000"/>
              <w:left w:val="single" w:sz="4" w:space="0" w:color="000000"/>
              <w:bottom w:val="single" w:sz="4" w:space="0" w:color="auto"/>
              <w:right w:val="single" w:sz="4" w:space="0" w:color="000000"/>
            </w:tcBorders>
            <w:shd w:val="clear" w:color="auto" w:fill="FFFFFF"/>
            <w:vAlign w:val="center"/>
          </w:tcPr>
          <w:p w:rsidR="00013EC7" w:rsidRDefault="00575CDB">
            <w:pPr>
              <w:rPr>
                <w:rFonts w:ascii="仿宋" w:eastAsia="仿宋" w:hAnsi="仿宋" w:cs="仿宋"/>
                <w:color w:val="000000"/>
                <w:sz w:val="24"/>
              </w:rPr>
            </w:pPr>
            <w:r>
              <w:rPr>
                <w:rStyle w:val="font41"/>
                <w:rFonts w:ascii="仿宋" w:eastAsia="仿宋" w:hAnsi="仿宋" w:cs="仿宋" w:hint="eastAsia"/>
                <w:sz w:val="24"/>
                <w:szCs w:val="24"/>
              </w:rPr>
              <w:t>（二）跨境销售服务或无形资产的合同</w:t>
            </w:r>
            <w:r>
              <w:rPr>
                <w:rStyle w:val="font21"/>
                <w:rFonts w:ascii="仿宋" w:eastAsia="仿宋" w:hAnsi="仿宋" w:cs="仿宋" w:hint="eastAsia"/>
                <w:b w:val="0"/>
                <w:sz w:val="24"/>
                <w:szCs w:val="24"/>
              </w:rPr>
              <w:t>原件</w:t>
            </w:r>
            <w:r>
              <w:rPr>
                <w:rStyle w:val="font41"/>
                <w:rFonts w:ascii="仿宋" w:eastAsia="仿宋" w:hAnsi="仿宋" w:cs="仿宋" w:hint="eastAsia"/>
                <w:sz w:val="24"/>
                <w:szCs w:val="24"/>
              </w:rPr>
              <w:t>及复印件（加盖公章）,跨境销售服务或无形资产合同原件为外文的，应提供中文翻译件并由法定代表人（负责人）签字或者单位盖章。</w:t>
            </w:r>
          </w:p>
        </w:tc>
        <w:tc>
          <w:tcPr>
            <w:tcW w:w="1911" w:type="dxa"/>
            <w:vMerge/>
            <w:tcBorders>
              <w:left w:val="single" w:sz="4" w:space="0" w:color="000000"/>
              <w:bottom w:val="single" w:sz="4" w:space="0" w:color="auto"/>
              <w:right w:val="single" w:sz="4" w:space="0" w:color="000000"/>
            </w:tcBorders>
            <w:shd w:val="clear" w:color="auto" w:fill="FFFFFF"/>
            <w:vAlign w:val="center"/>
          </w:tcPr>
          <w:p w:rsidR="00013EC7" w:rsidRDefault="00013EC7">
            <w:pPr>
              <w:rPr>
                <w:rFonts w:ascii="仿宋" w:eastAsia="仿宋" w:hAnsi="仿宋" w:cs="仿宋"/>
                <w:color w:val="000000"/>
                <w:sz w:val="24"/>
              </w:rPr>
            </w:pPr>
          </w:p>
        </w:tc>
        <w:tc>
          <w:tcPr>
            <w:tcW w:w="2073" w:type="dxa"/>
            <w:tcBorders>
              <w:top w:val="single" w:sz="4" w:space="0" w:color="000000"/>
              <w:left w:val="single" w:sz="4" w:space="0" w:color="000000"/>
              <w:bottom w:val="single" w:sz="4" w:space="0" w:color="auto"/>
              <w:right w:val="single" w:sz="4" w:space="0" w:color="000000"/>
            </w:tcBorders>
            <w:shd w:val="clear" w:color="auto" w:fill="FFFFFF"/>
            <w:vAlign w:val="center"/>
          </w:tcPr>
          <w:p w:rsidR="00013EC7" w:rsidRDefault="00575CDB">
            <w:pPr>
              <w:rPr>
                <w:rFonts w:ascii="仿宋" w:eastAsia="仿宋" w:hAnsi="仿宋" w:cs="仿宋"/>
                <w:color w:val="000000"/>
                <w:sz w:val="24"/>
              </w:rPr>
            </w:pPr>
            <w:r>
              <w:rPr>
                <w:rStyle w:val="font41"/>
                <w:rFonts w:ascii="仿宋" w:eastAsia="仿宋" w:hAnsi="仿宋" w:cs="仿宋" w:hint="eastAsia"/>
                <w:sz w:val="24"/>
                <w:szCs w:val="24"/>
              </w:rPr>
              <w:t>（二）跨境销售服务或无形资产的合同</w:t>
            </w:r>
            <w:r>
              <w:rPr>
                <w:rStyle w:val="font21"/>
                <w:rFonts w:ascii="仿宋" w:eastAsia="仿宋" w:hAnsi="仿宋" w:cs="仿宋" w:hint="eastAsia"/>
                <w:b w:val="0"/>
                <w:sz w:val="24"/>
                <w:szCs w:val="24"/>
              </w:rPr>
              <w:t>原件</w:t>
            </w:r>
            <w:r>
              <w:rPr>
                <w:rStyle w:val="font41"/>
                <w:rFonts w:ascii="仿宋" w:eastAsia="仿宋" w:hAnsi="仿宋" w:cs="仿宋" w:hint="eastAsia"/>
                <w:sz w:val="24"/>
                <w:szCs w:val="24"/>
              </w:rPr>
              <w:t>及复印件（加盖公章）,跨境销售服务或无形资产合同原件为外文的，应提供中文翻译件并由法定代表人（负责人）签字者单位盖章;。</w:t>
            </w:r>
          </w:p>
        </w:tc>
        <w:tc>
          <w:tcPr>
            <w:tcW w:w="1720" w:type="dxa"/>
            <w:vMerge/>
            <w:tcBorders>
              <w:left w:val="single" w:sz="4" w:space="0" w:color="000000"/>
              <w:bottom w:val="single" w:sz="4" w:space="0" w:color="auto"/>
              <w:right w:val="single" w:sz="4" w:space="0" w:color="000000"/>
            </w:tcBorders>
            <w:vAlign w:val="center"/>
          </w:tcPr>
          <w:p w:rsidR="00013EC7" w:rsidRDefault="00013EC7">
            <w:pPr>
              <w:rPr>
                <w:rFonts w:ascii="仿宋" w:eastAsia="仿宋" w:hAnsi="仿宋" w:cs="仿宋"/>
                <w:color w:val="000000"/>
                <w:sz w:val="24"/>
              </w:rPr>
            </w:pPr>
          </w:p>
        </w:tc>
        <w:tc>
          <w:tcPr>
            <w:tcW w:w="1037" w:type="dxa"/>
            <w:vMerge/>
            <w:tcBorders>
              <w:top w:val="single" w:sz="4" w:space="0" w:color="000000"/>
              <w:left w:val="single" w:sz="4" w:space="0" w:color="000000"/>
              <w:bottom w:val="single" w:sz="4" w:space="0" w:color="auto"/>
              <w:right w:val="single" w:sz="4" w:space="0" w:color="000000"/>
            </w:tcBorders>
            <w:vAlign w:val="center"/>
          </w:tcPr>
          <w:p w:rsidR="00013EC7" w:rsidRDefault="00013EC7">
            <w:pPr>
              <w:rPr>
                <w:rFonts w:ascii="仿宋" w:eastAsia="仿宋" w:hAnsi="仿宋" w:cs="仿宋"/>
                <w:color w:val="000000"/>
                <w:sz w:val="24"/>
              </w:rPr>
            </w:pPr>
          </w:p>
        </w:tc>
        <w:tc>
          <w:tcPr>
            <w:tcW w:w="588" w:type="dxa"/>
            <w:vMerge/>
            <w:tcBorders>
              <w:top w:val="single" w:sz="4" w:space="0" w:color="000000"/>
              <w:left w:val="single" w:sz="4" w:space="0" w:color="000000"/>
              <w:bottom w:val="single" w:sz="4" w:space="0" w:color="auto"/>
              <w:right w:val="single" w:sz="4" w:space="0" w:color="000000"/>
            </w:tcBorders>
            <w:vAlign w:val="center"/>
          </w:tcPr>
          <w:p w:rsidR="00013EC7" w:rsidRDefault="00013EC7">
            <w:pPr>
              <w:rPr>
                <w:rFonts w:ascii="仿宋" w:eastAsia="仿宋" w:hAnsi="仿宋" w:cs="仿宋"/>
                <w:color w:val="000000"/>
                <w:sz w:val="24"/>
              </w:rPr>
            </w:pPr>
          </w:p>
        </w:tc>
        <w:tc>
          <w:tcPr>
            <w:tcW w:w="866" w:type="dxa"/>
            <w:vMerge/>
            <w:tcBorders>
              <w:top w:val="single" w:sz="4" w:space="0" w:color="000000"/>
              <w:left w:val="single" w:sz="4" w:space="0" w:color="000000"/>
              <w:bottom w:val="single" w:sz="4" w:space="0" w:color="auto"/>
              <w:right w:val="single" w:sz="4" w:space="0" w:color="000000"/>
            </w:tcBorders>
            <w:vAlign w:val="center"/>
          </w:tcPr>
          <w:p w:rsidR="00013EC7" w:rsidRDefault="00013EC7">
            <w:pPr>
              <w:rPr>
                <w:rFonts w:ascii="仿宋" w:eastAsia="仿宋" w:hAnsi="仿宋" w:cs="仿宋"/>
                <w:color w:val="000000"/>
                <w:sz w:val="24"/>
              </w:rPr>
            </w:pPr>
          </w:p>
        </w:tc>
        <w:tc>
          <w:tcPr>
            <w:tcW w:w="881" w:type="dxa"/>
            <w:vMerge/>
            <w:tcBorders>
              <w:top w:val="single" w:sz="4" w:space="0" w:color="000000"/>
              <w:left w:val="single" w:sz="4" w:space="0" w:color="000000"/>
              <w:bottom w:val="single" w:sz="4" w:space="0" w:color="auto"/>
              <w:right w:val="single" w:sz="4" w:space="0" w:color="auto"/>
            </w:tcBorders>
            <w:vAlign w:val="center"/>
          </w:tcPr>
          <w:p w:rsidR="00013EC7" w:rsidRDefault="00013EC7">
            <w:pPr>
              <w:rPr>
                <w:rFonts w:ascii="仿宋" w:eastAsia="仿宋" w:hAnsi="仿宋" w:cs="仿宋"/>
                <w:color w:val="000000"/>
                <w:sz w:val="24"/>
              </w:rPr>
            </w:pPr>
          </w:p>
        </w:tc>
        <w:tc>
          <w:tcPr>
            <w:tcW w:w="992" w:type="dxa"/>
            <w:vMerge/>
            <w:tcBorders>
              <w:top w:val="single" w:sz="4" w:space="0" w:color="auto"/>
              <w:left w:val="single" w:sz="4" w:space="0" w:color="auto"/>
              <w:bottom w:val="single" w:sz="4" w:space="0" w:color="auto"/>
              <w:right w:val="single" w:sz="4" w:space="0" w:color="000000"/>
            </w:tcBorders>
            <w:vAlign w:val="center"/>
          </w:tcPr>
          <w:p w:rsidR="00013EC7" w:rsidRDefault="00013EC7">
            <w:pPr>
              <w:rPr>
                <w:rFonts w:ascii="仿宋" w:eastAsia="仿宋" w:hAnsi="仿宋" w:cs="仿宋"/>
                <w:color w:val="000000"/>
                <w:sz w:val="24"/>
              </w:rPr>
            </w:pPr>
          </w:p>
        </w:tc>
        <w:tc>
          <w:tcPr>
            <w:tcW w:w="2270" w:type="dxa"/>
            <w:vMerge/>
            <w:tcBorders>
              <w:top w:val="single" w:sz="4" w:space="0" w:color="auto"/>
              <w:left w:val="single" w:sz="4" w:space="0" w:color="000000"/>
              <w:bottom w:val="single" w:sz="4" w:space="0" w:color="auto"/>
              <w:right w:val="single" w:sz="4" w:space="0" w:color="auto"/>
            </w:tcBorders>
            <w:vAlign w:val="center"/>
          </w:tcPr>
          <w:p w:rsidR="00013EC7" w:rsidRDefault="00013EC7">
            <w:pPr>
              <w:rPr>
                <w:rFonts w:ascii="仿宋" w:eastAsia="仿宋" w:hAnsi="仿宋" w:cs="仿宋"/>
                <w:color w:val="000000"/>
                <w:sz w:val="24"/>
              </w:rPr>
            </w:pPr>
          </w:p>
        </w:tc>
      </w:tr>
      <w:tr w:rsidR="00013EC7">
        <w:trPr>
          <w:trHeight w:val="1845"/>
        </w:trPr>
        <w:tc>
          <w:tcPr>
            <w:tcW w:w="918" w:type="dxa"/>
            <w:vMerge/>
            <w:tcBorders>
              <w:top w:val="single" w:sz="4" w:space="0" w:color="auto"/>
              <w:left w:val="single" w:sz="4" w:space="0" w:color="auto"/>
              <w:bottom w:val="single" w:sz="4" w:space="0" w:color="auto"/>
              <w:right w:val="single" w:sz="4" w:space="0" w:color="auto"/>
            </w:tcBorders>
            <w:shd w:val="clear" w:color="auto" w:fill="auto"/>
            <w:vAlign w:val="center"/>
          </w:tcPr>
          <w:p w:rsidR="00013EC7" w:rsidRDefault="00013EC7">
            <w:pPr>
              <w:rPr>
                <w:rFonts w:ascii="仿宋" w:eastAsia="仿宋" w:hAnsi="仿宋" w:cs="仿宋"/>
                <w:color w:val="000000"/>
                <w:sz w:val="24"/>
              </w:rPr>
            </w:pPr>
          </w:p>
        </w:tc>
        <w:tc>
          <w:tcPr>
            <w:tcW w:w="579" w:type="dxa"/>
            <w:vMerge/>
            <w:tcBorders>
              <w:top w:val="single" w:sz="4" w:space="0" w:color="auto"/>
              <w:left w:val="single" w:sz="4" w:space="0" w:color="auto"/>
              <w:bottom w:val="single" w:sz="4" w:space="0" w:color="000000"/>
              <w:right w:val="single" w:sz="4" w:space="0" w:color="000000"/>
            </w:tcBorders>
            <w:shd w:val="clear" w:color="auto" w:fill="auto"/>
            <w:vAlign w:val="center"/>
          </w:tcPr>
          <w:p w:rsidR="00013EC7" w:rsidRDefault="00013EC7">
            <w:pPr>
              <w:rPr>
                <w:rFonts w:ascii="仿宋" w:eastAsia="仿宋" w:hAnsi="仿宋" w:cs="仿宋"/>
                <w:color w:val="000000"/>
                <w:sz w:val="24"/>
              </w:rPr>
            </w:pPr>
          </w:p>
        </w:tc>
        <w:tc>
          <w:tcPr>
            <w:tcW w:w="2890" w:type="dxa"/>
            <w:vMerge/>
            <w:tcBorders>
              <w:top w:val="single" w:sz="4" w:space="0" w:color="auto"/>
              <w:left w:val="single" w:sz="4" w:space="0" w:color="000000"/>
              <w:bottom w:val="single" w:sz="4" w:space="0" w:color="000000"/>
              <w:right w:val="single" w:sz="4" w:space="0" w:color="000000"/>
            </w:tcBorders>
            <w:shd w:val="clear" w:color="auto" w:fill="auto"/>
            <w:vAlign w:val="center"/>
          </w:tcPr>
          <w:p w:rsidR="00013EC7" w:rsidRDefault="00013EC7">
            <w:pPr>
              <w:rPr>
                <w:rFonts w:ascii="仿宋" w:eastAsia="仿宋" w:hAnsi="仿宋" w:cs="仿宋"/>
                <w:color w:val="000000"/>
                <w:sz w:val="24"/>
              </w:rPr>
            </w:pPr>
          </w:p>
        </w:tc>
        <w:tc>
          <w:tcPr>
            <w:tcW w:w="3367" w:type="dxa"/>
            <w:tcBorders>
              <w:top w:val="single" w:sz="4" w:space="0" w:color="auto"/>
              <w:left w:val="single" w:sz="4" w:space="0" w:color="000000"/>
              <w:bottom w:val="single" w:sz="4" w:space="0" w:color="000000"/>
              <w:right w:val="single" w:sz="4" w:space="0" w:color="000000"/>
            </w:tcBorders>
            <w:shd w:val="clear" w:color="auto" w:fill="FFFFFF"/>
            <w:vAlign w:val="center"/>
          </w:tcPr>
          <w:p w:rsidR="00013EC7" w:rsidRDefault="00575CDB">
            <w:pPr>
              <w:rPr>
                <w:rFonts w:ascii="仿宋" w:eastAsia="仿宋" w:hAnsi="仿宋" w:cs="仿宋"/>
                <w:color w:val="000000"/>
                <w:sz w:val="24"/>
              </w:rPr>
            </w:pPr>
            <w:r>
              <w:rPr>
                <w:rStyle w:val="font41"/>
                <w:rFonts w:ascii="仿宋" w:eastAsia="仿宋" w:hAnsi="仿宋" w:cs="仿宋" w:hint="eastAsia"/>
                <w:sz w:val="24"/>
                <w:szCs w:val="24"/>
              </w:rPr>
              <w:t>（三）第（一）项至第（八）项和第（十六）项服务，应提交服务地点在境外的证明材料原件及复印件（加盖公章）。</w:t>
            </w:r>
          </w:p>
        </w:tc>
        <w:tc>
          <w:tcPr>
            <w:tcW w:w="1911" w:type="dxa"/>
            <w:tcBorders>
              <w:top w:val="single" w:sz="4" w:space="0" w:color="auto"/>
              <w:left w:val="single" w:sz="4" w:space="0" w:color="000000"/>
              <w:bottom w:val="single" w:sz="4" w:space="0" w:color="000000"/>
              <w:right w:val="single" w:sz="4" w:space="0" w:color="000000"/>
            </w:tcBorders>
            <w:shd w:val="clear" w:color="auto" w:fill="FFFFFF"/>
            <w:vAlign w:val="center"/>
          </w:tcPr>
          <w:p w:rsidR="00013EC7" w:rsidRDefault="00575CDB">
            <w:pPr>
              <w:rPr>
                <w:rStyle w:val="font41"/>
                <w:rFonts w:ascii="仿宋" w:eastAsia="仿宋" w:hAnsi="仿宋" w:cs="仿宋"/>
                <w:sz w:val="24"/>
                <w:szCs w:val="24"/>
              </w:rPr>
            </w:pPr>
            <w:r>
              <w:rPr>
                <w:rStyle w:val="font41"/>
                <w:rFonts w:ascii="仿宋" w:eastAsia="仿宋" w:hAnsi="仿宋" w:cs="仿宋" w:hint="eastAsia"/>
                <w:sz w:val="24"/>
                <w:szCs w:val="24"/>
              </w:rPr>
              <w:t>工程项目在境外的建筑服务</w:t>
            </w:r>
            <w:r>
              <w:rPr>
                <w:rStyle w:val="font41"/>
                <w:rFonts w:ascii="仿宋" w:eastAsia="仿宋" w:hAnsi="仿宋" w:cs="仿宋" w:hint="eastAsia"/>
                <w:sz w:val="24"/>
                <w:szCs w:val="24"/>
              </w:rPr>
              <w:br/>
              <w:t>。工程项目在境外的工程监理服务。工程、矿产资源在境外的工程勘察勘探服务。会议展览地点在境外的会议展览服务。存储地点在境外的仓储服务。标的物在境外使用的有形动产租赁服务。在境外提供的广播影视节目（作品）的播映服务。</w:t>
            </w:r>
            <w:r>
              <w:rPr>
                <w:rStyle w:val="font41"/>
                <w:rFonts w:ascii="仿宋" w:eastAsia="仿宋" w:hAnsi="仿宋" w:cs="仿宋" w:hint="eastAsia"/>
                <w:sz w:val="24"/>
                <w:szCs w:val="24"/>
              </w:rPr>
              <w:lastRenderedPageBreak/>
              <w:t>在境外提供的文化体育服务、教育医疗服务、旅游服务。向境外单位销售的广告投放地在境外的广告服务的纳税人提交</w:t>
            </w:r>
          </w:p>
        </w:tc>
        <w:tc>
          <w:tcPr>
            <w:tcW w:w="2073" w:type="dxa"/>
            <w:tcBorders>
              <w:top w:val="single" w:sz="4" w:space="0" w:color="auto"/>
              <w:left w:val="single" w:sz="4" w:space="0" w:color="000000"/>
              <w:bottom w:val="single" w:sz="4" w:space="0" w:color="000000"/>
              <w:right w:val="single" w:sz="4" w:space="0" w:color="000000"/>
            </w:tcBorders>
            <w:shd w:val="clear" w:color="auto" w:fill="FFFFFF"/>
            <w:vAlign w:val="center"/>
          </w:tcPr>
          <w:p w:rsidR="00013EC7" w:rsidRDefault="00575CDB">
            <w:pPr>
              <w:rPr>
                <w:rStyle w:val="font41"/>
                <w:rFonts w:ascii="仿宋" w:eastAsia="仿宋" w:hAnsi="仿宋" w:cs="仿宋"/>
                <w:sz w:val="24"/>
                <w:szCs w:val="24"/>
              </w:rPr>
            </w:pPr>
            <w:r>
              <w:rPr>
                <w:rStyle w:val="font41"/>
                <w:rFonts w:ascii="仿宋" w:eastAsia="仿宋" w:hAnsi="仿宋" w:cs="仿宋" w:hint="eastAsia"/>
                <w:sz w:val="24"/>
                <w:szCs w:val="24"/>
              </w:rPr>
              <w:lastRenderedPageBreak/>
              <w:t>（三）服务地点在境外的证明材料原件及复印件（注明与原件一致，并加盖公章）。</w:t>
            </w:r>
          </w:p>
        </w:tc>
        <w:tc>
          <w:tcPr>
            <w:tcW w:w="1720" w:type="dxa"/>
            <w:tcBorders>
              <w:top w:val="single" w:sz="4" w:space="0" w:color="auto"/>
              <w:left w:val="single" w:sz="4" w:space="0" w:color="000000"/>
              <w:bottom w:val="single" w:sz="4" w:space="0" w:color="000000"/>
              <w:right w:val="single" w:sz="4" w:space="0" w:color="000000"/>
            </w:tcBorders>
            <w:vAlign w:val="center"/>
          </w:tcPr>
          <w:p w:rsidR="00013EC7" w:rsidRDefault="00575CDB">
            <w:pPr>
              <w:rPr>
                <w:rStyle w:val="font41"/>
                <w:rFonts w:ascii="仿宋" w:eastAsia="仿宋" w:hAnsi="仿宋" w:cs="仿宋"/>
                <w:sz w:val="24"/>
                <w:szCs w:val="24"/>
              </w:rPr>
            </w:pPr>
            <w:r>
              <w:rPr>
                <w:rStyle w:val="font41"/>
                <w:rFonts w:ascii="仿宋" w:eastAsia="仿宋" w:hAnsi="仿宋" w:cs="仿宋" w:hint="eastAsia"/>
                <w:sz w:val="24"/>
                <w:szCs w:val="24"/>
              </w:rPr>
              <w:t>提供工程项目在境外的建筑服务</w:t>
            </w:r>
            <w:r>
              <w:rPr>
                <w:rStyle w:val="font41"/>
                <w:rFonts w:ascii="仿宋" w:eastAsia="仿宋" w:hAnsi="仿宋" w:cs="仿宋" w:hint="eastAsia"/>
                <w:sz w:val="24"/>
                <w:szCs w:val="24"/>
              </w:rPr>
              <w:br/>
              <w:t>。工程项目在境外的工程监理服务。工程、矿产资源在境外的工程勘察勘探服务。会议展览地点在境外的会议展览服务。存储地点在境外的仓储服务。标的物在境外使用的有形动产租赁服务。在境外提供的广播影视节目</w:t>
            </w:r>
            <w:r>
              <w:rPr>
                <w:rStyle w:val="font41"/>
                <w:rFonts w:ascii="仿宋" w:eastAsia="仿宋" w:hAnsi="仿宋" w:cs="仿宋" w:hint="eastAsia"/>
                <w:sz w:val="24"/>
                <w:szCs w:val="24"/>
              </w:rPr>
              <w:lastRenderedPageBreak/>
              <w:t>（作品）的播映服务。在境外提供的文化体育服务、教育医疗服务、旅游服务。向境外单位销售的广告投放地在境外的广告服务的纳税人提交</w:t>
            </w:r>
          </w:p>
        </w:tc>
        <w:tc>
          <w:tcPr>
            <w:tcW w:w="1037" w:type="dxa"/>
            <w:vMerge/>
            <w:tcBorders>
              <w:top w:val="single" w:sz="4" w:space="0" w:color="auto"/>
              <w:left w:val="single" w:sz="4" w:space="0" w:color="000000"/>
              <w:bottom w:val="single" w:sz="4" w:space="0" w:color="000000"/>
              <w:right w:val="single" w:sz="4" w:space="0" w:color="000000"/>
            </w:tcBorders>
            <w:vAlign w:val="center"/>
          </w:tcPr>
          <w:p w:rsidR="00013EC7" w:rsidRDefault="00013EC7">
            <w:pPr>
              <w:rPr>
                <w:rFonts w:ascii="仿宋" w:eastAsia="仿宋" w:hAnsi="仿宋" w:cs="仿宋"/>
                <w:color w:val="000000"/>
                <w:sz w:val="24"/>
              </w:rPr>
            </w:pPr>
          </w:p>
        </w:tc>
        <w:tc>
          <w:tcPr>
            <w:tcW w:w="588" w:type="dxa"/>
            <w:vMerge/>
            <w:tcBorders>
              <w:top w:val="single" w:sz="4" w:space="0" w:color="auto"/>
              <w:left w:val="single" w:sz="4" w:space="0" w:color="000000"/>
              <w:bottom w:val="single" w:sz="4" w:space="0" w:color="000000"/>
              <w:right w:val="single" w:sz="4" w:space="0" w:color="000000"/>
            </w:tcBorders>
            <w:vAlign w:val="center"/>
          </w:tcPr>
          <w:p w:rsidR="00013EC7" w:rsidRDefault="00013EC7">
            <w:pPr>
              <w:rPr>
                <w:rFonts w:ascii="仿宋" w:eastAsia="仿宋" w:hAnsi="仿宋" w:cs="仿宋"/>
                <w:color w:val="000000"/>
                <w:sz w:val="24"/>
              </w:rPr>
            </w:pPr>
          </w:p>
        </w:tc>
        <w:tc>
          <w:tcPr>
            <w:tcW w:w="866" w:type="dxa"/>
            <w:vMerge/>
            <w:tcBorders>
              <w:top w:val="single" w:sz="4" w:space="0" w:color="auto"/>
              <w:left w:val="single" w:sz="4" w:space="0" w:color="000000"/>
              <w:bottom w:val="single" w:sz="4" w:space="0" w:color="000000"/>
              <w:right w:val="single" w:sz="4" w:space="0" w:color="000000"/>
            </w:tcBorders>
            <w:vAlign w:val="center"/>
          </w:tcPr>
          <w:p w:rsidR="00013EC7" w:rsidRDefault="00013EC7">
            <w:pPr>
              <w:rPr>
                <w:rFonts w:ascii="仿宋" w:eastAsia="仿宋" w:hAnsi="仿宋" w:cs="仿宋"/>
                <w:color w:val="000000"/>
                <w:sz w:val="24"/>
              </w:rPr>
            </w:pPr>
          </w:p>
        </w:tc>
        <w:tc>
          <w:tcPr>
            <w:tcW w:w="881" w:type="dxa"/>
            <w:vMerge/>
            <w:tcBorders>
              <w:top w:val="single" w:sz="4" w:space="0" w:color="auto"/>
              <w:left w:val="single" w:sz="4" w:space="0" w:color="000000"/>
              <w:bottom w:val="single" w:sz="4" w:space="0" w:color="000000"/>
              <w:right w:val="single" w:sz="4" w:space="0" w:color="auto"/>
            </w:tcBorders>
            <w:vAlign w:val="center"/>
          </w:tcPr>
          <w:p w:rsidR="00013EC7" w:rsidRDefault="00013EC7">
            <w:pPr>
              <w:rPr>
                <w:rFonts w:ascii="仿宋" w:eastAsia="仿宋" w:hAnsi="仿宋" w:cs="仿宋"/>
                <w:color w:val="000000"/>
                <w:sz w:val="24"/>
              </w:rPr>
            </w:pPr>
          </w:p>
        </w:tc>
        <w:tc>
          <w:tcPr>
            <w:tcW w:w="992" w:type="dxa"/>
            <w:vMerge/>
            <w:tcBorders>
              <w:top w:val="single" w:sz="4" w:space="0" w:color="auto"/>
              <w:left w:val="single" w:sz="4" w:space="0" w:color="auto"/>
              <w:bottom w:val="single" w:sz="4" w:space="0" w:color="auto"/>
              <w:right w:val="single" w:sz="4" w:space="0" w:color="000000"/>
            </w:tcBorders>
            <w:vAlign w:val="center"/>
          </w:tcPr>
          <w:p w:rsidR="00013EC7" w:rsidRDefault="00013EC7">
            <w:pPr>
              <w:rPr>
                <w:rFonts w:ascii="仿宋" w:eastAsia="仿宋" w:hAnsi="仿宋" w:cs="仿宋"/>
                <w:color w:val="000000"/>
                <w:sz w:val="24"/>
              </w:rPr>
            </w:pPr>
          </w:p>
        </w:tc>
        <w:tc>
          <w:tcPr>
            <w:tcW w:w="2270" w:type="dxa"/>
            <w:vMerge/>
            <w:tcBorders>
              <w:top w:val="single" w:sz="4" w:space="0" w:color="auto"/>
              <w:left w:val="single" w:sz="4" w:space="0" w:color="000000"/>
              <w:bottom w:val="single" w:sz="4" w:space="0" w:color="auto"/>
              <w:right w:val="single" w:sz="4" w:space="0" w:color="auto"/>
            </w:tcBorders>
            <w:vAlign w:val="center"/>
          </w:tcPr>
          <w:p w:rsidR="00013EC7" w:rsidRDefault="00013EC7">
            <w:pPr>
              <w:rPr>
                <w:rFonts w:ascii="仿宋" w:eastAsia="仿宋" w:hAnsi="仿宋" w:cs="仿宋"/>
                <w:color w:val="000000"/>
                <w:sz w:val="24"/>
              </w:rPr>
            </w:pPr>
          </w:p>
        </w:tc>
      </w:tr>
      <w:tr w:rsidR="00013EC7">
        <w:trPr>
          <w:trHeight w:val="1353"/>
        </w:trPr>
        <w:tc>
          <w:tcPr>
            <w:tcW w:w="918" w:type="dxa"/>
            <w:vMerge/>
            <w:tcBorders>
              <w:top w:val="single" w:sz="4" w:space="0" w:color="auto"/>
              <w:left w:val="single" w:sz="4" w:space="0" w:color="auto"/>
              <w:bottom w:val="single" w:sz="4" w:space="0" w:color="auto"/>
              <w:right w:val="single" w:sz="4" w:space="0" w:color="auto"/>
            </w:tcBorders>
            <w:shd w:val="clear" w:color="auto" w:fill="auto"/>
            <w:vAlign w:val="center"/>
          </w:tcPr>
          <w:p w:rsidR="00013EC7" w:rsidRDefault="00013EC7">
            <w:pPr>
              <w:rPr>
                <w:rFonts w:ascii="仿宋" w:eastAsia="仿宋" w:hAnsi="仿宋" w:cs="仿宋"/>
                <w:color w:val="000000"/>
                <w:sz w:val="24"/>
              </w:rPr>
            </w:pPr>
          </w:p>
        </w:tc>
        <w:tc>
          <w:tcPr>
            <w:tcW w:w="579" w:type="dxa"/>
            <w:vMerge/>
            <w:tcBorders>
              <w:top w:val="single" w:sz="4" w:space="0" w:color="000000"/>
              <w:left w:val="single" w:sz="4" w:space="0" w:color="auto"/>
              <w:bottom w:val="single" w:sz="4" w:space="0" w:color="000000"/>
              <w:right w:val="single" w:sz="4" w:space="0" w:color="000000"/>
            </w:tcBorders>
            <w:shd w:val="clear" w:color="auto" w:fill="auto"/>
            <w:vAlign w:val="center"/>
          </w:tcPr>
          <w:p w:rsidR="00013EC7" w:rsidRDefault="00013EC7">
            <w:pPr>
              <w:rPr>
                <w:rFonts w:ascii="仿宋" w:eastAsia="仿宋" w:hAnsi="仿宋" w:cs="仿宋"/>
                <w:color w:val="000000"/>
                <w:sz w:val="24"/>
              </w:rPr>
            </w:pPr>
          </w:p>
        </w:tc>
        <w:tc>
          <w:tcPr>
            <w:tcW w:w="289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013EC7" w:rsidRDefault="00013EC7">
            <w:pPr>
              <w:rPr>
                <w:rFonts w:ascii="仿宋" w:eastAsia="仿宋" w:hAnsi="仿宋" w:cs="仿宋"/>
                <w:color w:val="000000"/>
                <w:sz w:val="24"/>
              </w:rPr>
            </w:pPr>
          </w:p>
        </w:tc>
        <w:tc>
          <w:tcPr>
            <w:tcW w:w="336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13EC7" w:rsidRDefault="00575CDB">
            <w:pPr>
              <w:rPr>
                <w:rFonts w:ascii="仿宋" w:eastAsia="仿宋" w:hAnsi="仿宋" w:cs="仿宋"/>
                <w:color w:val="000000"/>
                <w:sz w:val="24"/>
              </w:rPr>
            </w:pPr>
            <w:r>
              <w:rPr>
                <w:rStyle w:val="font41"/>
                <w:rFonts w:ascii="仿宋" w:eastAsia="仿宋" w:hAnsi="仿宋" w:cs="仿宋" w:hint="eastAsia"/>
                <w:sz w:val="24"/>
                <w:szCs w:val="24"/>
              </w:rPr>
              <w:t>（四）实际发生相关业务的证明材料。</w:t>
            </w:r>
          </w:p>
        </w:tc>
        <w:tc>
          <w:tcPr>
            <w:tcW w:w="191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13EC7" w:rsidRDefault="00575CDB">
            <w:pPr>
              <w:rPr>
                <w:rFonts w:ascii="仿宋" w:eastAsia="仿宋" w:hAnsi="仿宋" w:cs="仿宋"/>
                <w:color w:val="000000"/>
                <w:sz w:val="24"/>
              </w:rPr>
            </w:pPr>
            <w:r>
              <w:rPr>
                <w:rStyle w:val="font41"/>
                <w:rFonts w:ascii="仿宋" w:eastAsia="仿宋" w:hAnsi="仿宋" w:cs="仿宋" w:hint="eastAsia"/>
                <w:sz w:val="24"/>
                <w:szCs w:val="24"/>
              </w:rPr>
              <w:t>提供符合条件的国际运输服务的纳税人提交</w:t>
            </w:r>
          </w:p>
        </w:tc>
        <w:tc>
          <w:tcPr>
            <w:tcW w:w="2073" w:type="dxa"/>
            <w:tcBorders>
              <w:top w:val="single" w:sz="4" w:space="0" w:color="000000"/>
              <w:left w:val="single" w:sz="4" w:space="0" w:color="000000"/>
              <w:right w:val="single" w:sz="4" w:space="0" w:color="000000"/>
            </w:tcBorders>
            <w:shd w:val="clear" w:color="auto" w:fill="FFFFFF"/>
            <w:vAlign w:val="center"/>
          </w:tcPr>
          <w:p w:rsidR="00013EC7" w:rsidRDefault="00575CDB">
            <w:pPr>
              <w:rPr>
                <w:rFonts w:ascii="仿宋" w:eastAsia="仿宋" w:hAnsi="仿宋" w:cs="仿宋"/>
                <w:color w:val="000000"/>
                <w:sz w:val="24"/>
              </w:rPr>
            </w:pPr>
            <w:r>
              <w:rPr>
                <w:rStyle w:val="font41"/>
                <w:rFonts w:ascii="仿宋" w:eastAsia="仿宋" w:hAnsi="仿宋" w:cs="仿宋" w:hint="eastAsia"/>
                <w:sz w:val="24"/>
                <w:szCs w:val="24"/>
              </w:rPr>
              <w:t>（四）实际发生相关业务的证明材料。</w:t>
            </w:r>
          </w:p>
        </w:tc>
        <w:tc>
          <w:tcPr>
            <w:tcW w:w="1720" w:type="dxa"/>
            <w:tcBorders>
              <w:top w:val="single" w:sz="4" w:space="0" w:color="000000"/>
              <w:left w:val="single" w:sz="4" w:space="0" w:color="000000"/>
              <w:bottom w:val="single" w:sz="4" w:space="0" w:color="000000"/>
              <w:right w:val="single" w:sz="4" w:space="0" w:color="000000"/>
            </w:tcBorders>
            <w:vAlign w:val="center"/>
          </w:tcPr>
          <w:p w:rsidR="00013EC7" w:rsidRDefault="00575CDB">
            <w:pPr>
              <w:rPr>
                <w:rFonts w:ascii="仿宋" w:eastAsia="仿宋" w:hAnsi="仿宋" w:cs="仿宋"/>
                <w:color w:val="000000"/>
                <w:sz w:val="24"/>
              </w:rPr>
            </w:pPr>
            <w:r>
              <w:rPr>
                <w:rStyle w:val="font41"/>
                <w:rFonts w:ascii="仿宋" w:eastAsia="仿宋" w:hAnsi="仿宋" w:cs="仿宋" w:hint="eastAsia"/>
                <w:sz w:val="24"/>
                <w:szCs w:val="24"/>
              </w:rPr>
              <w:t>提供符合条件的国际运输服务的纳税人提交</w:t>
            </w:r>
          </w:p>
        </w:tc>
        <w:tc>
          <w:tcPr>
            <w:tcW w:w="1037" w:type="dxa"/>
            <w:vMerge/>
            <w:tcBorders>
              <w:top w:val="single" w:sz="4" w:space="0" w:color="000000"/>
              <w:left w:val="single" w:sz="4" w:space="0" w:color="000000"/>
              <w:bottom w:val="single" w:sz="4" w:space="0" w:color="000000"/>
              <w:right w:val="single" w:sz="4" w:space="0" w:color="000000"/>
            </w:tcBorders>
            <w:vAlign w:val="center"/>
          </w:tcPr>
          <w:p w:rsidR="00013EC7" w:rsidRDefault="00013EC7">
            <w:pPr>
              <w:rPr>
                <w:rFonts w:ascii="仿宋" w:eastAsia="仿宋" w:hAnsi="仿宋" w:cs="仿宋"/>
                <w:color w:val="000000"/>
                <w:sz w:val="24"/>
              </w:rPr>
            </w:pPr>
          </w:p>
        </w:tc>
        <w:tc>
          <w:tcPr>
            <w:tcW w:w="588" w:type="dxa"/>
            <w:vMerge/>
            <w:tcBorders>
              <w:top w:val="single" w:sz="4" w:space="0" w:color="000000"/>
              <w:left w:val="single" w:sz="4" w:space="0" w:color="000000"/>
              <w:bottom w:val="single" w:sz="4" w:space="0" w:color="000000"/>
              <w:right w:val="single" w:sz="4" w:space="0" w:color="000000"/>
            </w:tcBorders>
            <w:vAlign w:val="center"/>
          </w:tcPr>
          <w:p w:rsidR="00013EC7" w:rsidRDefault="00013EC7">
            <w:pPr>
              <w:rPr>
                <w:rFonts w:ascii="仿宋" w:eastAsia="仿宋" w:hAnsi="仿宋" w:cs="仿宋"/>
                <w:color w:val="000000"/>
                <w:sz w:val="24"/>
              </w:rPr>
            </w:pPr>
          </w:p>
        </w:tc>
        <w:tc>
          <w:tcPr>
            <w:tcW w:w="866" w:type="dxa"/>
            <w:vMerge/>
            <w:tcBorders>
              <w:top w:val="single" w:sz="4" w:space="0" w:color="000000"/>
              <w:left w:val="single" w:sz="4" w:space="0" w:color="000000"/>
              <w:bottom w:val="single" w:sz="4" w:space="0" w:color="000000"/>
              <w:right w:val="single" w:sz="4" w:space="0" w:color="000000"/>
            </w:tcBorders>
            <w:vAlign w:val="center"/>
          </w:tcPr>
          <w:p w:rsidR="00013EC7" w:rsidRDefault="00013EC7">
            <w:pPr>
              <w:rPr>
                <w:rFonts w:ascii="仿宋" w:eastAsia="仿宋" w:hAnsi="仿宋" w:cs="仿宋"/>
                <w:color w:val="000000"/>
                <w:sz w:val="24"/>
              </w:rPr>
            </w:pPr>
          </w:p>
        </w:tc>
        <w:tc>
          <w:tcPr>
            <w:tcW w:w="881" w:type="dxa"/>
            <w:vMerge/>
            <w:tcBorders>
              <w:top w:val="single" w:sz="4" w:space="0" w:color="000000"/>
              <w:left w:val="single" w:sz="4" w:space="0" w:color="000000"/>
              <w:bottom w:val="single" w:sz="4" w:space="0" w:color="000000"/>
              <w:right w:val="single" w:sz="4" w:space="0" w:color="auto"/>
            </w:tcBorders>
            <w:vAlign w:val="center"/>
          </w:tcPr>
          <w:p w:rsidR="00013EC7" w:rsidRDefault="00013EC7">
            <w:pPr>
              <w:rPr>
                <w:rFonts w:ascii="仿宋" w:eastAsia="仿宋" w:hAnsi="仿宋" w:cs="仿宋"/>
                <w:color w:val="000000"/>
                <w:sz w:val="24"/>
              </w:rPr>
            </w:pPr>
          </w:p>
        </w:tc>
        <w:tc>
          <w:tcPr>
            <w:tcW w:w="992" w:type="dxa"/>
            <w:vMerge/>
            <w:tcBorders>
              <w:top w:val="single" w:sz="4" w:space="0" w:color="auto"/>
              <w:left w:val="single" w:sz="4" w:space="0" w:color="auto"/>
              <w:bottom w:val="single" w:sz="4" w:space="0" w:color="auto"/>
              <w:right w:val="single" w:sz="4" w:space="0" w:color="000000"/>
            </w:tcBorders>
            <w:vAlign w:val="center"/>
          </w:tcPr>
          <w:p w:rsidR="00013EC7" w:rsidRDefault="00013EC7">
            <w:pPr>
              <w:rPr>
                <w:rFonts w:ascii="仿宋" w:eastAsia="仿宋" w:hAnsi="仿宋" w:cs="仿宋"/>
                <w:color w:val="000000"/>
                <w:sz w:val="24"/>
              </w:rPr>
            </w:pPr>
          </w:p>
        </w:tc>
        <w:tc>
          <w:tcPr>
            <w:tcW w:w="2270" w:type="dxa"/>
            <w:vMerge/>
            <w:tcBorders>
              <w:top w:val="single" w:sz="4" w:space="0" w:color="auto"/>
              <w:left w:val="single" w:sz="4" w:space="0" w:color="000000"/>
              <w:bottom w:val="single" w:sz="4" w:space="0" w:color="auto"/>
              <w:right w:val="single" w:sz="4" w:space="0" w:color="auto"/>
            </w:tcBorders>
            <w:vAlign w:val="center"/>
          </w:tcPr>
          <w:p w:rsidR="00013EC7" w:rsidRDefault="00013EC7">
            <w:pPr>
              <w:rPr>
                <w:rFonts w:ascii="仿宋" w:eastAsia="仿宋" w:hAnsi="仿宋" w:cs="仿宋"/>
                <w:color w:val="000000"/>
                <w:sz w:val="24"/>
              </w:rPr>
            </w:pPr>
          </w:p>
        </w:tc>
      </w:tr>
      <w:tr w:rsidR="00013EC7">
        <w:trPr>
          <w:trHeight w:val="1150"/>
        </w:trPr>
        <w:tc>
          <w:tcPr>
            <w:tcW w:w="918" w:type="dxa"/>
            <w:vMerge/>
            <w:tcBorders>
              <w:top w:val="single" w:sz="4" w:space="0" w:color="auto"/>
              <w:left w:val="single" w:sz="4" w:space="0" w:color="auto"/>
              <w:bottom w:val="single" w:sz="4" w:space="0" w:color="auto"/>
              <w:right w:val="single" w:sz="4" w:space="0" w:color="auto"/>
            </w:tcBorders>
            <w:shd w:val="clear" w:color="auto" w:fill="auto"/>
            <w:vAlign w:val="center"/>
          </w:tcPr>
          <w:p w:rsidR="00013EC7" w:rsidRDefault="00013EC7">
            <w:pPr>
              <w:rPr>
                <w:rFonts w:ascii="仿宋" w:eastAsia="仿宋" w:hAnsi="仿宋" w:cs="仿宋"/>
                <w:color w:val="000000"/>
                <w:sz w:val="24"/>
              </w:rPr>
            </w:pPr>
          </w:p>
        </w:tc>
        <w:tc>
          <w:tcPr>
            <w:tcW w:w="579" w:type="dxa"/>
            <w:vMerge/>
            <w:tcBorders>
              <w:top w:val="single" w:sz="4" w:space="0" w:color="000000"/>
              <w:left w:val="single" w:sz="4" w:space="0" w:color="auto"/>
              <w:bottom w:val="single" w:sz="4" w:space="0" w:color="000000"/>
              <w:right w:val="single" w:sz="4" w:space="0" w:color="000000"/>
            </w:tcBorders>
            <w:shd w:val="clear" w:color="auto" w:fill="auto"/>
            <w:vAlign w:val="center"/>
          </w:tcPr>
          <w:p w:rsidR="00013EC7" w:rsidRDefault="00013EC7">
            <w:pPr>
              <w:rPr>
                <w:rFonts w:ascii="仿宋" w:eastAsia="仿宋" w:hAnsi="仿宋" w:cs="仿宋"/>
                <w:color w:val="000000"/>
                <w:sz w:val="24"/>
              </w:rPr>
            </w:pPr>
          </w:p>
        </w:tc>
        <w:tc>
          <w:tcPr>
            <w:tcW w:w="289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013EC7" w:rsidRDefault="00013EC7">
            <w:pPr>
              <w:rPr>
                <w:rFonts w:ascii="仿宋" w:eastAsia="仿宋" w:hAnsi="仿宋" w:cs="仿宋"/>
                <w:color w:val="000000"/>
                <w:sz w:val="24"/>
              </w:rPr>
            </w:pPr>
          </w:p>
        </w:tc>
        <w:tc>
          <w:tcPr>
            <w:tcW w:w="336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13EC7" w:rsidRDefault="00575CDB">
            <w:pPr>
              <w:rPr>
                <w:rFonts w:ascii="仿宋" w:eastAsia="仿宋" w:hAnsi="仿宋" w:cs="仿宋"/>
                <w:color w:val="000000"/>
                <w:sz w:val="24"/>
              </w:rPr>
            </w:pPr>
            <w:r>
              <w:rPr>
                <w:rStyle w:val="font41"/>
                <w:rFonts w:ascii="仿宋" w:eastAsia="仿宋" w:hAnsi="仿宋" w:cs="仿宋" w:hint="eastAsia"/>
                <w:sz w:val="24"/>
                <w:szCs w:val="24"/>
              </w:rPr>
              <w:t>（五）提交服务或无形资产购买方的机构所在地在境外的证明材料。</w:t>
            </w:r>
          </w:p>
        </w:tc>
        <w:tc>
          <w:tcPr>
            <w:tcW w:w="191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13EC7" w:rsidRDefault="00575CDB">
            <w:pPr>
              <w:rPr>
                <w:rFonts w:ascii="仿宋" w:eastAsia="仿宋" w:hAnsi="仿宋" w:cs="仿宋"/>
                <w:color w:val="000000"/>
                <w:sz w:val="24"/>
              </w:rPr>
            </w:pPr>
            <w:r>
              <w:rPr>
                <w:rStyle w:val="font41"/>
                <w:rFonts w:ascii="仿宋" w:eastAsia="仿宋" w:hAnsi="仿宋" w:cs="仿宋" w:hint="eastAsia"/>
                <w:sz w:val="24"/>
                <w:szCs w:val="24"/>
              </w:rPr>
              <w:t>向境外单位销售服务或无形资产的纳税人提交</w:t>
            </w:r>
          </w:p>
        </w:tc>
        <w:tc>
          <w:tcPr>
            <w:tcW w:w="207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13EC7" w:rsidRDefault="00575CDB">
            <w:pPr>
              <w:rPr>
                <w:rFonts w:ascii="仿宋" w:eastAsia="仿宋" w:hAnsi="仿宋" w:cs="仿宋"/>
                <w:color w:val="000000"/>
                <w:sz w:val="24"/>
              </w:rPr>
            </w:pPr>
            <w:r>
              <w:rPr>
                <w:rStyle w:val="font41"/>
                <w:rFonts w:ascii="仿宋" w:eastAsia="仿宋" w:hAnsi="仿宋" w:cs="仿宋" w:hint="eastAsia"/>
                <w:sz w:val="24"/>
                <w:szCs w:val="24"/>
              </w:rPr>
              <w:t>（五）提交服务或无形资产购买方的机构所在地在境外的证明材料。</w:t>
            </w:r>
          </w:p>
        </w:tc>
        <w:tc>
          <w:tcPr>
            <w:tcW w:w="1720" w:type="dxa"/>
            <w:tcBorders>
              <w:top w:val="single" w:sz="4" w:space="0" w:color="000000"/>
              <w:left w:val="single" w:sz="4" w:space="0" w:color="000000"/>
              <w:bottom w:val="single" w:sz="4" w:space="0" w:color="000000"/>
              <w:right w:val="single" w:sz="4" w:space="0" w:color="000000"/>
            </w:tcBorders>
            <w:vAlign w:val="center"/>
          </w:tcPr>
          <w:p w:rsidR="00013EC7" w:rsidRDefault="00575CDB">
            <w:pPr>
              <w:rPr>
                <w:rFonts w:ascii="仿宋" w:eastAsia="仿宋" w:hAnsi="仿宋" w:cs="仿宋"/>
                <w:color w:val="000000"/>
                <w:sz w:val="24"/>
              </w:rPr>
            </w:pPr>
            <w:r>
              <w:rPr>
                <w:rStyle w:val="font41"/>
                <w:rFonts w:ascii="仿宋" w:eastAsia="仿宋" w:hAnsi="仿宋" w:cs="仿宋" w:hint="eastAsia"/>
                <w:sz w:val="24"/>
                <w:szCs w:val="24"/>
              </w:rPr>
              <w:t>向境外单位销售服务或无形资产的纳税人提交</w:t>
            </w:r>
          </w:p>
        </w:tc>
        <w:tc>
          <w:tcPr>
            <w:tcW w:w="1037" w:type="dxa"/>
            <w:vMerge/>
            <w:tcBorders>
              <w:top w:val="single" w:sz="4" w:space="0" w:color="000000"/>
              <w:left w:val="single" w:sz="4" w:space="0" w:color="000000"/>
              <w:bottom w:val="single" w:sz="4" w:space="0" w:color="000000"/>
              <w:right w:val="single" w:sz="4" w:space="0" w:color="000000"/>
            </w:tcBorders>
            <w:vAlign w:val="center"/>
          </w:tcPr>
          <w:p w:rsidR="00013EC7" w:rsidRDefault="00013EC7">
            <w:pPr>
              <w:rPr>
                <w:rFonts w:ascii="仿宋" w:eastAsia="仿宋" w:hAnsi="仿宋" w:cs="仿宋"/>
                <w:color w:val="000000"/>
                <w:sz w:val="24"/>
              </w:rPr>
            </w:pPr>
          </w:p>
        </w:tc>
        <w:tc>
          <w:tcPr>
            <w:tcW w:w="588" w:type="dxa"/>
            <w:vMerge/>
            <w:tcBorders>
              <w:top w:val="single" w:sz="4" w:space="0" w:color="000000"/>
              <w:left w:val="single" w:sz="4" w:space="0" w:color="000000"/>
              <w:bottom w:val="single" w:sz="4" w:space="0" w:color="000000"/>
              <w:right w:val="single" w:sz="4" w:space="0" w:color="000000"/>
            </w:tcBorders>
            <w:vAlign w:val="center"/>
          </w:tcPr>
          <w:p w:rsidR="00013EC7" w:rsidRDefault="00013EC7">
            <w:pPr>
              <w:rPr>
                <w:rFonts w:ascii="仿宋" w:eastAsia="仿宋" w:hAnsi="仿宋" w:cs="仿宋"/>
                <w:color w:val="000000"/>
                <w:sz w:val="24"/>
              </w:rPr>
            </w:pPr>
          </w:p>
        </w:tc>
        <w:tc>
          <w:tcPr>
            <w:tcW w:w="866" w:type="dxa"/>
            <w:vMerge/>
            <w:tcBorders>
              <w:top w:val="single" w:sz="4" w:space="0" w:color="000000"/>
              <w:left w:val="single" w:sz="4" w:space="0" w:color="000000"/>
              <w:bottom w:val="single" w:sz="4" w:space="0" w:color="000000"/>
              <w:right w:val="single" w:sz="4" w:space="0" w:color="000000"/>
            </w:tcBorders>
            <w:vAlign w:val="center"/>
          </w:tcPr>
          <w:p w:rsidR="00013EC7" w:rsidRDefault="00013EC7">
            <w:pPr>
              <w:rPr>
                <w:rFonts w:ascii="仿宋" w:eastAsia="仿宋" w:hAnsi="仿宋" w:cs="仿宋"/>
                <w:color w:val="000000"/>
                <w:sz w:val="24"/>
              </w:rPr>
            </w:pPr>
          </w:p>
        </w:tc>
        <w:tc>
          <w:tcPr>
            <w:tcW w:w="881" w:type="dxa"/>
            <w:vMerge/>
            <w:tcBorders>
              <w:top w:val="single" w:sz="4" w:space="0" w:color="000000"/>
              <w:left w:val="single" w:sz="4" w:space="0" w:color="000000"/>
              <w:bottom w:val="single" w:sz="4" w:space="0" w:color="000000"/>
              <w:right w:val="single" w:sz="4" w:space="0" w:color="auto"/>
            </w:tcBorders>
            <w:vAlign w:val="center"/>
          </w:tcPr>
          <w:p w:rsidR="00013EC7" w:rsidRDefault="00013EC7">
            <w:pPr>
              <w:rPr>
                <w:rFonts w:ascii="仿宋" w:eastAsia="仿宋" w:hAnsi="仿宋" w:cs="仿宋"/>
                <w:color w:val="000000"/>
                <w:sz w:val="24"/>
              </w:rPr>
            </w:pPr>
          </w:p>
        </w:tc>
        <w:tc>
          <w:tcPr>
            <w:tcW w:w="992" w:type="dxa"/>
            <w:vMerge/>
            <w:tcBorders>
              <w:top w:val="single" w:sz="4" w:space="0" w:color="auto"/>
              <w:left w:val="single" w:sz="4" w:space="0" w:color="auto"/>
              <w:bottom w:val="single" w:sz="4" w:space="0" w:color="auto"/>
              <w:right w:val="single" w:sz="4" w:space="0" w:color="000000"/>
            </w:tcBorders>
            <w:vAlign w:val="center"/>
          </w:tcPr>
          <w:p w:rsidR="00013EC7" w:rsidRDefault="00013EC7">
            <w:pPr>
              <w:rPr>
                <w:rFonts w:ascii="仿宋" w:eastAsia="仿宋" w:hAnsi="仿宋" w:cs="仿宋"/>
                <w:color w:val="000000"/>
                <w:sz w:val="24"/>
              </w:rPr>
            </w:pPr>
          </w:p>
        </w:tc>
        <w:tc>
          <w:tcPr>
            <w:tcW w:w="2270" w:type="dxa"/>
            <w:vMerge/>
            <w:tcBorders>
              <w:top w:val="single" w:sz="4" w:space="0" w:color="auto"/>
              <w:left w:val="single" w:sz="4" w:space="0" w:color="000000"/>
              <w:bottom w:val="single" w:sz="4" w:space="0" w:color="auto"/>
              <w:right w:val="single" w:sz="4" w:space="0" w:color="auto"/>
            </w:tcBorders>
            <w:vAlign w:val="center"/>
          </w:tcPr>
          <w:p w:rsidR="00013EC7" w:rsidRDefault="00013EC7">
            <w:pPr>
              <w:rPr>
                <w:rFonts w:ascii="仿宋" w:eastAsia="仿宋" w:hAnsi="仿宋" w:cs="仿宋"/>
                <w:color w:val="000000"/>
                <w:sz w:val="24"/>
              </w:rPr>
            </w:pPr>
          </w:p>
        </w:tc>
      </w:tr>
      <w:tr w:rsidR="00013EC7">
        <w:trPr>
          <w:trHeight w:val="2010"/>
        </w:trPr>
        <w:tc>
          <w:tcPr>
            <w:tcW w:w="918" w:type="dxa"/>
            <w:vMerge/>
            <w:tcBorders>
              <w:top w:val="single" w:sz="4" w:space="0" w:color="auto"/>
              <w:left w:val="single" w:sz="4" w:space="0" w:color="auto"/>
              <w:bottom w:val="single" w:sz="4" w:space="0" w:color="auto"/>
              <w:right w:val="single" w:sz="4" w:space="0" w:color="auto"/>
            </w:tcBorders>
            <w:shd w:val="clear" w:color="auto" w:fill="auto"/>
            <w:vAlign w:val="center"/>
          </w:tcPr>
          <w:p w:rsidR="00013EC7" w:rsidRDefault="00013EC7">
            <w:pPr>
              <w:rPr>
                <w:rFonts w:ascii="仿宋" w:eastAsia="仿宋" w:hAnsi="仿宋" w:cs="仿宋"/>
                <w:color w:val="000000"/>
                <w:sz w:val="24"/>
              </w:rPr>
            </w:pPr>
          </w:p>
        </w:tc>
        <w:tc>
          <w:tcPr>
            <w:tcW w:w="579" w:type="dxa"/>
            <w:vMerge/>
            <w:tcBorders>
              <w:top w:val="single" w:sz="4" w:space="0" w:color="000000"/>
              <w:left w:val="single" w:sz="4" w:space="0" w:color="auto"/>
              <w:bottom w:val="single" w:sz="4" w:space="0" w:color="000000"/>
              <w:right w:val="single" w:sz="4" w:space="0" w:color="000000"/>
            </w:tcBorders>
            <w:shd w:val="clear" w:color="auto" w:fill="auto"/>
            <w:vAlign w:val="center"/>
          </w:tcPr>
          <w:p w:rsidR="00013EC7" w:rsidRDefault="00013EC7">
            <w:pPr>
              <w:rPr>
                <w:rFonts w:ascii="仿宋" w:eastAsia="仿宋" w:hAnsi="仿宋" w:cs="仿宋"/>
                <w:color w:val="000000"/>
                <w:sz w:val="24"/>
              </w:rPr>
            </w:pPr>
          </w:p>
        </w:tc>
        <w:tc>
          <w:tcPr>
            <w:tcW w:w="289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013EC7" w:rsidRDefault="00013EC7">
            <w:pPr>
              <w:rPr>
                <w:rFonts w:ascii="仿宋" w:eastAsia="仿宋" w:hAnsi="仿宋" w:cs="仿宋"/>
                <w:color w:val="000000"/>
                <w:sz w:val="24"/>
              </w:rPr>
            </w:pPr>
          </w:p>
        </w:tc>
        <w:tc>
          <w:tcPr>
            <w:tcW w:w="336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13EC7" w:rsidRDefault="00575CDB">
            <w:pPr>
              <w:rPr>
                <w:rFonts w:ascii="仿宋" w:eastAsia="仿宋" w:hAnsi="仿宋" w:cs="仿宋"/>
                <w:color w:val="000000"/>
                <w:sz w:val="24"/>
              </w:rPr>
            </w:pPr>
            <w:r>
              <w:rPr>
                <w:rStyle w:val="font41"/>
                <w:rFonts w:ascii="仿宋" w:eastAsia="仿宋" w:hAnsi="仿宋" w:cs="仿宋" w:hint="eastAsia"/>
                <w:sz w:val="24"/>
                <w:szCs w:val="24"/>
              </w:rPr>
              <w:t>（六）已向办理增值税免抵退税或免退税的主管税务机关备案的《放弃适用增值税零税率声明》（A08001）。</w:t>
            </w:r>
          </w:p>
        </w:tc>
        <w:tc>
          <w:tcPr>
            <w:tcW w:w="1911" w:type="dxa"/>
            <w:vMerge w:val="restart"/>
            <w:tcBorders>
              <w:top w:val="single" w:sz="4" w:space="0" w:color="000000"/>
              <w:left w:val="single" w:sz="4" w:space="0" w:color="000000"/>
              <w:right w:val="single" w:sz="4" w:space="0" w:color="000000"/>
            </w:tcBorders>
            <w:shd w:val="clear" w:color="auto" w:fill="FFFFFF"/>
            <w:vAlign w:val="center"/>
          </w:tcPr>
          <w:p w:rsidR="00013EC7" w:rsidRDefault="00575CDB">
            <w:pPr>
              <w:rPr>
                <w:rFonts w:ascii="仿宋" w:eastAsia="仿宋" w:hAnsi="仿宋" w:cs="仿宋"/>
                <w:color w:val="000000"/>
                <w:sz w:val="24"/>
              </w:rPr>
            </w:pPr>
            <w:r>
              <w:rPr>
                <w:rStyle w:val="font41"/>
                <w:rFonts w:ascii="仿宋" w:eastAsia="仿宋" w:hAnsi="仿宋" w:cs="仿宋" w:hint="eastAsia"/>
                <w:sz w:val="24"/>
                <w:szCs w:val="24"/>
              </w:rPr>
              <w:t>发生符合零税率政策但适用简易计税方法或声明放弃适用零税率选择免税的下列应税行为应税行为的纳税人提交</w:t>
            </w:r>
          </w:p>
        </w:tc>
        <w:tc>
          <w:tcPr>
            <w:tcW w:w="207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13EC7" w:rsidRDefault="00575CDB">
            <w:pPr>
              <w:rPr>
                <w:rFonts w:ascii="仿宋" w:eastAsia="仿宋" w:hAnsi="仿宋" w:cs="仿宋"/>
                <w:color w:val="000000"/>
                <w:sz w:val="24"/>
              </w:rPr>
            </w:pPr>
            <w:r>
              <w:rPr>
                <w:rStyle w:val="font41"/>
                <w:rFonts w:ascii="仿宋" w:eastAsia="仿宋" w:hAnsi="仿宋" w:cs="仿宋" w:hint="eastAsia"/>
                <w:sz w:val="24"/>
                <w:szCs w:val="24"/>
              </w:rPr>
              <w:t>（六）已向办理增值税免抵退税或免退税的主管税务机关备案的《放弃适用增值税零税率声明》（A08001）。</w:t>
            </w:r>
          </w:p>
        </w:tc>
        <w:tc>
          <w:tcPr>
            <w:tcW w:w="1720" w:type="dxa"/>
            <w:vMerge w:val="restart"/>
            <w:tcBorders>
              <w:top w:val="single" w:sz="4" w:space="0" w:color="000000"/>
              <w:left w:val="single" w:sz="4" w:space="0" w:color="000000"/>
              <w:right w:val="single" w:sz="4" w:space="0" w:color="000000"/>
            </w:tcBorders>
            <w:vAlign w:val="center"/>
          </w:tcPr>
          <w:p w:rsidR="00013EC7" w:rsidRDefault="00575CDB">
            <w:pPr>
              <w:rPr>
                <w:rFonts w:ascii="仿宋" w:eastAsia="仿宋" w:hAnsi="仿宋" w:cs="仿宋"/>
                <w:color w:val="000000"/>
                <w:sz w:val="24"/>
              </w:rPr>
            </w:pPr>
            <w:r>
              <w:rPr>
                <w:rStyle w:val="font41"/>
                <w:rFonts w:ascii="仿宋" w:eastAsia="仿宋" w:hAnsi="仿宋" w:cs="仿宋" w:hint="eastAsia"/>
                <w:sz w:val="24"/>
                <w:szCs w:val="24"/>
              </w:rPr>
              <w:t>发生符合零税率政策但适用简易计税方法或声明放弃适用零税率选择免税的下列应税行为应税行为的纳税人提交</w:t>
            </w:r>
          </w:p>
        </w:tc>
        <w:tc>
          <w:tcPr>
            <w:tcW w:w="1037" w:type="dxa"/>
            <w:vMerge/>
            <w:tcBorders>
              <w:top w:val="single" w:sz="4" w:space="0" w:color="000000"/>
              <w:left w:val="single" w:sz="4" w:space="0" w:color="000000"/>
              <w:bottom w:val="single" w:sz="4" w:space="0" w:color="000000"/>
              <w:right w:val="single" w:sz="4" w:space="0" w:color="000000"/>
            </w:tcBorders>
            <w:vAlign w:val="center"/>
          </w:tcPr>
          <w:p w:rsidR="00013EC7" w:rsidRDefault="00013EC7">
            <w:pPr>
              <w:rPr>
                <w:rFonts w:ascii="仿宋" w:eastAsia="仿宋" w:hAnsi="仿宋" w:cs="仿宋"/>
                <w:color w:val="000000"/>
                <w:sz w:val="24"/>
              </w:rPr>
            </w:pPr>
          </w:p>
        </w:tc>
        <w:tc>
          <w:tcPr>
            <w:tcW w:w="588" w:type="dxa"/>
            <w:vMerge/>
            <w:tcBorders>
              <w:top w:val="single" w:sz="4" w:space="0" w:color="000000"/>
              <w:left w:val="single" w:sz="4" w:space="0" w:color="000000"/>
              <w:bottom w:val="single" w:sz="4" w:space="0" w:color="000000"/>
              <w:right w:val="single" w:sz="4" w:space="0" w:color="000000"/>
            </w:tcBorders>
            <w:vAlign w:val="center"/>
          </w:tcPr>
          <w:p w:rsidR="00013EC7" w:rsidRDefault="00013EC7">
            <w:pPr>
              <w:rPr>
                <w:rFonts w:ascii="仿宋" w:eastAsia="仿宋" w:hAnsi="仿宋" w:cs="仿宋"/>
                <w:color w:val="000000"/>
                <w:sz w:val="24"/>
              </w:rPr>
            </w:pPr>
          </w:p>
        </w:tc>
        <w:tc>
          <w:tcPr>
            <w:tcW w:w="866" w:type="dxa"/>
            <w:vMerge/>
            <w:tcBorders>
              <w:top w:val="single" w:sz="4" w:space="0" w:color="000000"/>
              <w:left w:val="single" w:sz="4" w:space="0" w:color="000000"/>
              <w:bottom w:val="single" w:sz="4" w:space="0" w:color="000000"/>
              <w:right w:val="single" w:sz="4" w:space="0" w:color="000000"/>
            </w:tcBorders>
            <w:vAlign w:val="center"/>
          </w:tcPr>
          <w:p w:rsidR="00013EC7" w:rsidRDefault="00013EC7">
            <w:pPr>
              <w:rPr>
                <w:rFonts w:ascii="仿宋" w:eastAsia="仿宋" w:hAnsi="仿宋" w:cs="仿宋"/>
                <w:color w:val="000000"/>
                <w:sz w:val="24"/>
              </w:rPr>
            </w:pPr>
          </w:p>
        </w:tc>
        <w:tc>
          <w:tcPr>
            <w:tcW w:w="881" w:type="dxa"/>
            <w:vMerge/>
            <w:tcBorders>
              <w:top w:val="single" w:sz="4" w:space="0" w:color="000000"/>
              <w:left w:val="single" w:sz="4" w:space="0" w:color="000000"/>
              <w:bottom w:val="single" w:sz="4" w:space="0" w:color="000000"/>
              <w:right w:val="single" w:sz="4" w:space="0" w:color="auto"/>
            </w:tcBorders>
            <w:vAlign w:val="center"/>
          </w:tcPr>
          <w:p w:rsidR="00013EC7" w:rsidRDefault="00013EC7">
            <w:pPr>
              <w:rPr>
                <w:rFonts w:ascii="仿宋" w:eastAsia="仿宋" w:hAnsi="仿宋" w:cs="仿宋"/>
                <w:color w:val="000000"/>
                <w:sz w:val="24"/>
              </w:rPr>
            </w:pPr>
          </w:p>
        </w:tc>
        <w:tc>
          <w:tcPr>
            <w:tcW w:w="992" w:type="dxa"/>
            <w:vMerge/>
            <w:tcBorders>
              <w:top w:val="single" w:sz="4" w:space="0" w:color="auto"/>
              <w:left w:val="single" w:sz="4" w:space="0" w:color="auto"/>
              <w:bottom w:val="single" w:sz="4" w:space="0" w:color="auto"/>
              <w:right w:val="single" w:sz="4" w:space="0" w:color="000000"/>
            </w:tcBorders>
            <w:vAlign w:val="center"/>
          </w:tcPr>
          <w:p w:rsidR="00013EC7" w:rsidRDefault="00013EC7">
            <w:pPr>
              <w:rPr>
                <w:rFonts w:ascii="仿宋" w:eastAsia="仿宋" w:hAnsi="仿宋" w:cs="仿宋"/>
                <w:color w:val="000000"/>
                <w:sz w:val="24"/>
              </w:rPr>
            </w:pPr>
          </w:p>
        </w:tc>
        <w:tc>
          <w:tcPr>
            <w:tcW w:w="2270" w:type="dxa"/>
            <w:vMerge/>
            <w:tcBorders>
              <w:top w:val="single" w:sz="4" w:space="0" w:color="auto"/>
              <w:left w:val="single" w:sz="4" w:space="0" w:color="000000"/>
              <w:bottom w:val="single" w:sz="4" w:space="0" w:color="auto"/>
              <w:right w:val="single" w:sz="4" w:space="0" w:color="auto"/>
            </w:tcBorders>
            <w:vAlign w:val="center"/>
          </w:tcPr>
          <w:p w:rsidR="00013EC7" w:rsidRDefault="00013EC7">
            <w:pPr>
              <w:rPr>
                <w:rFonts w:ascii="仿宋" w:eastAsia="仿宋" w:hAnsi="仿宋" w:cs="仿宋"/>
                <w:color w:val="000000"/>
                <w:sz w:val="24"/>
              </w:rPr>
            </w:pPr>
          </w:p>
        </w:tc>
      </w:tr>
      <w:tr w:rsidR="00013EC7">
        <w:trPr>
          <w:trHeight w:val="1150"/>
        </w:trPr>
        <w:tc>
          <w:tcPr>
            <w:tcW w:w="918" w:type="dxa"/>
            <w:vMerge/>
            <w:tcBorders>
              <w:top w:val="single" w:sz="4" w:space="0" w:color="auto"/>
              <w:left w:val="single" w:sz="4" w:space="0" w:color="auto"/>
              <w:bottom w:val="single" w:sz="4" w:space="0" w:color="auto"/>
              <w:right w:val="single" w:sz="4" w:space="0" w:color="auto"/>
            </w:tcBorders>
            <w:shd w:val="clear" w:color="auto" w:fill="auto"/>
            <w:vAlign w:val="center"/>
          </w:tcPr>
          <w:p w:rsidR="00013EC7" w:rsidRDefault="00013EC7">
            <w:pPr>
              <w:rPr>
                <w:rFonts w:ascii="仿宋" w:eastAsia="仿宋" w:hAnsi="仿宋" w:cs="仿宋"/>
                <w:color w:val="000000"/>
                <w:sz w:val="24"/>
              </w:rPr>
            </w:pPr>
          </w:p>
        </w:tc>
        <w:tc>
          <w:tcPr>
            <w:tcW w:w="579" w:type="dxa"/>
            <w:vMerge/>
            <w:tcBorders>
              <w:top w:val="single" w:sz="4" w:space="0" w:color="000000"/>
              <w:left w:val="single" w:sz="4" w:space="0" w:color="auto"/>
              <w:bottom w:val="single" w:sz="4" w:space="0" w:color="000000"/>
              <w:right w:val="single" w:sz="4" w:space="0" w:color="000000"/>
            </w:tcBorders>
            <w:shd w:val="clear" w:color="auto" w:fill="auto"/>
            <w:vAlign w:val="center"/>
          </w:tcPr>
          <w:p w:rsidR="00013EC7" w:rsidRDefault="00013EC7">
            <w:pPr>
              <w:rPr>
                <w:rFonts w:ascii="仿宋" w:eastAsia="仿宋" w:hAnsi="仿宋" w:cs="仿宋"/>
                <w:color w:val="000000"/>
                <w:sz w:val="24"/>
              </w:rPr>
            </w:pPr>
          </w:p>
        </w:tc>
        <w:tc>
          <w:tcPr>
            <w:tcW w:w="289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013EC7" w:rsidRDefault="00013EC7">
            <w:pPr>
              <w:rPr>
                <w:rFonts w:ascii="仿宋" w:eastAsia="仿宋" w:hAnsi="仿宋" w:cs="仿宋"/>
                <w:color w:val="000000"/>
                <w:sz w:val="24"/>
              </w:rPr>
            </w:pPr>
          </w:p>
        </w:tc>
        <w:tc>
          <w:tcPr>
            <w:tcW w:w="336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13EC7" w:rsidRDefault="00575CDB">
            <w:pPr>
              <w:rPr>
                <w:rFonts w:ascii="仿宋" w:eastAsia="仿宋" w:hAnsi="仿宋" w:cs="仿宋"/>
                <w:color w:val="000000"/>
                <w:sz w:val="24"/>
              </w:rPr>
            </w:pPr>
            <w:r>
              <w:rPr>
                <w:rStyle w:val="font41"/>
                <w:rFonts w:ascii="仿宋" w:eastAsia="仿宋" w:hAnsi="仿宋" w:cs="仿宋" w:hint="eastAsia"/>
                <w:sz w:val="24"/>
                <w:szCs w:val="24"/>
              </w:rPr>
              <w:t>（七）该项应税行为享受零税率到主管税务机关办理增值税免抵退税或免退税申报时需报送的材料和原始凭证。</w:t>
            </w:r>
          </w:p>
        </w:tc>
        <w:tc>
          <w:tcPr>
            <w:tcW w:w="1911" w:type="dxa"/>
            <w:vMerge/>
            <w:tcBorders>
              <w:left w:val="single" w:sz="4" w:space="0" w:color="000000"/>
              <w:bottom w:val="single" w:sz="4" w:space="0" w:color="000000"/>
              <w:right w:val="single" w:sz="4" w:space="0" w:color="000000"/>
            </w:tcBorders>
            <w:shd w:val="clear" w:color="auto" w:fill="FFFFFF"/>
            <w:vAlign w:val="center"/>
          </w:tcPr>
          <w:p w:rsidR="00013EC7" w:rsidRDefault="00013EC7">
            <w:pPr>
              <w:rPr>
                <w:rFonts w:ascii="仿宋" w:eastAsia="仿宋" w:hAnsi="仿宋" w:cs="仿宋"/>
                <w:color w:val="000000"/>
                <w:sz w:val="24"/>
              </w:rPr>
            </w:pPr>
          </w:p>
        </w:tc>
        <w:tc>
          <w:tcPr>
            <w:tcW w:w="207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13EC7" w:rsidRDefault="00575CDB">
            <w:pPr>
              <w:rPr>
                <w:rFonts w:ascii="仿宋" w:eastAsia="仿宋" w:hAnsi="仿宋" w:cs="仿宋"/>
                <w:color w:val="000000"/>
                <w:sz w:val="24"/>
              </w:rPr>
            </w:pPr>
            <w:r>
              <w:rPr>
                <w:rStyle w:val="font41"/>
                <w:rFonts w:ascii="仿宋" w:eastAsia="仿宋" w:hAnsi="仿宋" w:cs="仿宋" w:hint="eastAsia"/>
                <w:sz w:val="24"/>
                <w:szCs w:val="24"/>
              </w:rPr>
              <w:t>（七）该项应税行为享受零税率到主管税务机关办理增值税免抵退税或免退税申报时需报送的材料和原始凭证。</w:t>
            </w:r>
          </w:p>
        </w:tc>
        <w:tc>
          <w:tcPr>
            <w:tcW w:w="1720" w:type="dxa"/>
            <w:vMerge/>
            <w:tcBorders>
              <w:left w:val="single" w:sz="4" w:space="0" w:color="000000"/>
              <w:bottom w:val="single" w:sz="4" w:space="0" w:color="000000"/>
              <w:right w:val="single" w:sz="4" w:space="0" w:color="000000"/>
            </w:tcBorders>
            <w:vAlign w:val="center"/>
          </w:tcPr>
          <w:p w:rsidR="00013EC7" w:rsidRDefault="00013EC7">
            <w:pPr>
              <w:rPr>
                <w:rFonts w:ascii="仿宋" w:eastAsia="仿宋" w:hAnsi="仿宋" w:cs="仿宋"/>
                <w:color w:val="000000"/>
                <w:sz w:val="24"/>
              </w:rPr>
            </w:pPr>
          </w:p>
        </w:tc>
        <w:tc>
          <w:tcPr>
            <w:tcW w:w="1037" w:type="dxa"/>
            <w:vMerge/>
            <w:tcBorders>
              <w:top w:val="single" w:sz="4" w:space="0" w:color="000000"/>
              <w:left w:val="single" w:sz="4" w:space="0" w:color="000000"/>
              <w:bottom w:val="single" w:sz="4" w:space="0" w:color="000000"/>
              <w:right w:val="single" w:sz="4" w:space="0" w:color="000000"/>
            </w:tcBorders>
            <w:vAlign w:val="center"/>
          </w:tcPr>
          <w:p w:rsidR="00013EC7" w:rsidRDefault="00013EC7">
            <w:pPr>
              <w:rPr>
                <w:rFonts w:ascii="仿宋" w:eastAsia="仿宋" w:hAnsi="仿宋" w:cs="仿宋"/>
                <w:color w:val="000000"/>
                <w:sz w:val="24"/>
              </w:rPr>
            </w:pPr>
          </w:p>
        </w:tc>
        <w:tc>
          <w:tcPr>
            <w:tcW w:w="588" w:type="dxa"/>
            <w:vMerge/>
            <w:tcBorders>
              <w:top w:val="single" w:sz="4" w:space="0" w:color="000000"/>
              <w:left w:val="single" w:sz="4" w:space="0" w:color="000000"/>
              <w:bottom w:val="single" w:sz="4" w:space="0" w:color="000000"/>
              <w:right w:val="single" w:sz="4" w:space="0" w:color="000000"/>
            </w:tcBorders>
            <w:vAlign w:val="center"/>
          </w:tcPr>
          <w:p w:rsidR="00013EC7" w:rsidRDefault="00013EC7">
            <w:pPr>
              <w:rPr>
                <w:rFonts w:ascii="仿宋" w:eastAsia="仿宋" w:hAnsi="仿宋" w:cs="仿宋"/>
                <w:color w:val="000000"/>
                <w:sz w:val="24"/>
              </w:rPr>
            </w:pPr>
          </w:p>
        </w:tc>
        <w:tc>
          <w:tcPr>
            <w:tcW w:w="866" w:type="dxa"/>
            <w:vMerge/>
            <w:tcBorders>
              <w:top w:val="single" w:sz="4" w:space="0" w:color="000000"/>
              <w:left w:val="single" w:sz="4" w:space="0" w:color="000000"/>
              <w:bottom w:val="single" w:sz="4" w:space="0" w:color="000000"/>
              <w:right w:val="single" w:sz="4" w:space="0" w:color="000000"/>
            </w:tcBorders>
            <w:vAlign w:val="center"/>
          </w:tcPr>
          <w:p w:rsidR="00013EC7" w:rsidRDefault="00013EC7">
            <w:pPr>
              <w:rPr>
                <w:rFonts w:ascii="仿宋" w:eastAsia="仿宋" w:hAnsi="仿宋" w:cs="仿宋"/>
                <w:color w:val="000000"/>
                <w:sz w:val="24"/>
              </w:rPr>
            </w:pPr>
          </w:p>
        </w:tc>
        <w:tc>
          <w:tcPr>
            <w:tcW w:w="881" w:type="dxa"/>
            <w:vMerge/>
            <w:tcBorders>
              <w:top w:val="single" w:sz="4" w:space="0" w:color="000000"/>
              <w:left w:val="single" w:sz="4" w:space="0" w:color="000000"/>
              <w:bottom w:val="single" w:sz="4" w:space="0" w:color="000000"/>
              <w:right w:val="single" w:sz="4" w:space="0" w:color="auto"/>
            </w:tcBorders>
            <w:vAlign w:val="center"/>
          </w:tcPr>
          <w:p w:rsidR="00013EC7" w:rsidRDefault="00013EC7">
            <w:pPr>
              <w:rPr>
                <w:rFonts w:ascii="仿宋" w:eastAsia="仿宋" w:hAnsi="仿宋" w:cs="仿宋"/>
                <w:color w:val="000000"/>
                <w:sz w:val="24"/>
              </w:rPr>
            </w:pPr>
          </w:p>
        </w:tc>
        <w:tc>
          <w:tcPr>
            <w:tcW w:w="992" w:type="dxa"/>
            <w:vMerge/>
            <w:tcBorders>
              <w:top w:val="single" w:sz="4" w:space="0" w:color="auto"/>
              <w:left w:val="single" w:sz="4" w:space="0" w:color="auto"/>
              <w:bottom w:val="single" w:sz="4" w:space="0" w:color="auto"/>
              <w:right w:val="single" w:sz="4" w:space="0" w:color="000000"/>
            </w:tcBorders>
            <w:vAlign w:val="center"/>
          </w:tcPr>
          <w:p w:rsidR="00013EC7" w:rsidRDefault="00013EC7">
            <w:pPr>
              <w:rPr>
                <w:rFonts w:ascii="仿宋" w:eastAsia="仿宋" w:hAnsi="仿宋" w:cs="仿宋"/>
                <w:color w:val="000000"/>
                <w:sz w:val="24"/>
              </w:rPr>
            </w:pPr>
          </w:p>
        </w:tc>
        <w:tc>
          <w:tcPr>
            <w:tcW w:w="2270" w:type="dxa"/>
            <w:vMerge/>
            <w:tcBorders>
              <w:top w:val="single" w:sz="4" w:space="0" w:color="auto"/>
              <w:left w:val="single" w:sz="4" w:space="0" w:color="000000"/>
              <w:bottom w:val="single" w:sz="4" w:space="0" w:color="auto"/>
              <w:right w:val="single" w:sz="4" w:space="0" w:color="auto"/>
            </w:tcBorders>
            <w:vAlign w:val="center"/>
          </w:tcPr>
          <w:p w:rsidR="00013EC7" w:rsidRDefault="00013EC7">
            <w:pPr>
              <w:rPr>
                <w:rFonts w:ascii="仿宋" w:eastAsia="仿宋" w:hAnsi="仿宋" w:cs="仿宋"/>
                <w:color w:val="000000"/>
                <w:sz w:val="24"/>
              </w:rPr>
            </w:pPr>
          </w:p>
        </w:tc>
      </w:tr>
    </w:tbl>
    <w:p w:rsidR="00013EC7" w:rsidRDefault="00013EC7">
      <w:pPr>
        <w:rPr>
          <w:rFonts w:eastAsia="仿宋_GB2312"/>
          <w:szCs w:val="21"/>
        </w:rPr>
      </w:pPr>
    </w:p>
    <w:p w:rsidR="00013EC7" w:rsidRDefault="00013EC7"/>
    <w:p w:rsidR="00013EC7" w:rsidRDefault="00013EC7"/>
    <w:p w:rsidR="00013EC7" w:rsidRDefault="005262E6">
      <w:r>
        <w:lastRenderedPageBreak/>
        <w:object w:dxaOrig="1440" w:dyaOrig="1440">
          <v:shape id="_x0000_s1405" type="#_x0000_t75" style="position:absolute;left:0;text-align:left;margin-left:547.15pt;margin-top:87.05pt;width:505.55pt;height:614.9pt;z-index:251732992;mso-wrap-distance-top:0;mso-wrap-distance-bottom:0;mso-position-vertical-relative:page;mso-width-relative:page;mso-height-relative:page">
            <v:imagedata r:id="rId435" o:title=""/>
            <w10:wrap type="topAndBottom" anchory="page"/>
          </v:shape>
          <o:OLEObject Type="Embed" ProgID="Visio.Drawing.11" ShapeID="_x0000_s1405" DrawAspect="Content" ObjectID="_1577296297" r:id="rId436"/>
        </w:object>
      </w:r>
      <w:r>
        <w:object w:dxaOrig="1440" w:dyaOrig="1440">
          <v:shape id="_x0000_s1406" type="#_x0000_t75" style="position:absolute;left:0;text-align:left;margin-left:20.6pt;margin-top:97.9pt;width:424pt;height:509.7pt;z-index:251734016;mso-wrap-distance-top:0;mso-wrap-distance-bottom:0;mso-position-vertical-relative:page;mso-width-relative:page;mso-height-relative:page">
            <v:imagedata r:id="rId437" o:title=""/>
            <w10:wrap type="topAndBottom" anchory="page"/>
          </v:shape>
          <o:OLEObject Type="Embed" ProgID="Visio.Drawing.11" ShapeID="_x0000_s1406" DrawAspect="Content" ObjectID="_1577296298" r:id="rId438"/>
        </w:object>
      </w:r>
    </w:p>
    <w:bookmarkEnd w:id="498"/>
    <w:p w:rsidR="00013EC7" w:rsidRDefault="00013EC7">
      <w:pPr>
        <w:pStyle w:val="1"/>
        <w:rPr>
          <w:rFonts w:ascii="宋体" w:hAnsi="宋体" w:cs="宋体"/>
          <w:color w:val="FF0000"/>
        </w:rPr>
        <w:sectPr w:rsidR="00013EC7">
          <w:pgSz w:w="23814" w:h="16840" w:orient="landscape"/>
          <w:pgMar w:top="1701" w:right="1843" w:bottom="1985" w:left="1843" w:header="851" w:footer="1701" w:gutter="0"/>
          <w:pgNumType w:fmt="numberInDash"/>
          <w:cols w:space="720"/>
          <w:docGrid w:type="lines" w:linePitch="312"/>
        </w:sectPr>
      </w:pPr>
    </w:p>
    <w:p w:rsidR="00013EC7" w:rsidRDefault="00575CDB">
      <w:pPr>
        <w:pStyle w:val="2"/>
      </w:pPr>
      <w:bookmarkStart w:id="503" w:name="_Toc16073"/>
      <w:bookmarkStart w:id="504" w:name="_Toc503467469"/>
      <w:bookmarkStart w:id="505" w:name="_Toc15712"/>
      <w:bookmarkStart w:id="506" w:name="_Toc27764"/>
      <w:r>
        <w:rPr>
          <w:rFonts w:hint="eastAsia"/>
        </w:rPr>
        <w:lastRenderedPageBreak/>
        <w:t>24.6</w:t>
      </w:r>
      <w:r>
        <w:rPr>
          <w:rFonts w:hint="eastAsia"/>
        </w:rPr>
        <w:t>非居民企业享受税收协定待遇办理</w:t>
      </w:r>
      <w:bookmarkEnd w:id="503"/>
      <w:bookmarkEnd w:id="504"/>
      <w:bookmarkEnd w:id="505"/>
      <w:bookmarkEnd w:id="506"/>
    </w:p>
    <w:p w:rsidR="00013EC7" w:rsidRDefault="00575CDB">
      <w:pPr>
        <w:jc w:val="center"/>
        <w:rPr>
          <w:rFonts w:eastAsia="仿宋_GB2312"/>
          <w:szCs w:val="21"/>
        </w:rPr>
      </w:pPr>
      <w:r>
        <w:rPr>
          <w:rFonts w:ascii="宋体" w:hAnsi="宋体" w:cs="宋体" w:hint="eastAsia"/>
          <w:b/>
          <w:bCs/>
          <w:sz w:val="52"/>
          <w:szCs w:val="52"/>
        </w:rPr>
        <w:t>全省“最多跑一次”事项“八统一”梳理表</w:t>
      </w:r>
    </w:p>
    <w:tbl>
      <w:tblPr>
        <w:tblW w:w="20242"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858"/>
        <w:gridCol w:w="876"/>
        <w:gridCol w:w="3170"/>
        <w:gridCol w:w="3445"/>
        <w:gridCol w:w="1222"/>
        <w:gridCol w:w="3480"/>
        <w:gridCol w:w="1245"/>
        <w:gridCol w:w="3342"/>
        <w:gridCol w:w="410"/>
        <w:gridCol w:w="410"/>
        <w:gridCol w:w="466"/>
        <w:gridCol w:w="650"/>
        <w:gridCol w:w="668"/>
      </w:tblGrid>
      <w:tr w:rsidR="00013EC7">
        <w:trPr>
          <w:trHeight w:val="340"/>
          <w:tblHeader/>
          <w:jc w:val="center"/>
        </w:trPr>
        <w:tc>
          <w:tcPr>
            <w:tcW w:w="858" w:type="dxa"/>
            <w:vMerge w:val="restart"/>
            <w:tcBorders>
              <w:top w:val="single" w:sz="8" w:space="0" w:color="auto"/>
              <w:left w:val="single" w:sz="8"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主项名称</w:t>
            </w:r>
          </w:p>
        </w:tc>
        <w:tc>
          <w:tcPr>
            <w:tcW w:w="876" w:type="dxa"/>
            <w:vMerge w:val="restart"/>
            <w:tcBorders>
              <w:top w:val="single" w:sz="8"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子项名称</w:t>
            </w:r>
          </w:p>
        </w:tc>
        <w:tc>
          <w:tcPr>
            <w:tcW w:w="3170" w:type="dxa"/>
            <w:vMerge w:val="restart"/>
            <w:tcBorders>
              <w:top w:val="single" w:sz="8"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经办依据</w:t>
            </w:r>
          </w:p>
        </w:tc>
        <w:tc>
          <w:tcPr>
            <w:tcW w:w="4667" w:type="dxa"/>
            <w:gridSpan w:val="2"/>
            <w:tcBorders>
              <w:top w:val="single" w:sz="8"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原经办所需材料</w:t>
            </w:r>
          </w:p>
        </w:tc>
        <w:tc>
          <w:tcPr>
            <w:tcW w:w="8067" w:type="dxa"/>
            <w:gridSpan w:val="3"/>
            <w:tcBorders>
              <w:top w:val="single" w:sz="8"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精简后经办所需材料</w:t>
            </w:r>
          </w:p>
        </w:tc>
        <w:tc>
          <w:tcPr>
            <w:tcW w:w="820" w:type="dxa"/>
            <w:gridSpan w:val="2"/>
            <w:tcBorders>
              <w:top w:val="single" w:sz="8"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办理时限</w:t>
            </w:r>
          </w:p>
        </w:tc>
        <w:tc>
          <w:tcPr>
            <w:tcW w:w="466" w:type="dxa"/>
            <w:vMerge w:val="restart"/>
            <w:tcBorders>
              <w:top w:val="single" w:sz="8"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是否实现跑零次</w:t>
            </w:r>
          </w:p>
        </w:tc>
        <w:tc>
          <w:tcPr>
            <w:tcW w:w="650" w:type="dxa"/>
            <w:vMerge w:val="restart"/>
            <w:tcBorders>
              <w:top w:val="single" w:sz="8"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省厅对口</w:t>
            </w:r>
          </w:p>
          <w:p w:rsidR="00013EC7" w:rsidRDefault="00575CDB">
            <w:pPr>
              <w:spacing w:line="280" w:lineRule="exact"/>
              <w:jc w:val="center"/>
              <w:rPr>
                <w:rFonts w:ascii="黑体" w:eastAsia="黑体"/>
                <w:sz w:val="24"/>
              </w:rPr>
            </w:pPr>
            <w:r>
              <w:rPr>
                <w:rFonts w:ascii="黑体" w:eastAsia="黑体" w:hint="eastAsia"/>
                <w:sz w:val="24"/>
              </w:rPr>
              <w:t>指导处室</w:t>
            </w:r>
          </w:p>
          <w:p w:rsidR="00013EC7" w:rsidRDefault="00575CDB">
            <w:pPr>
              <w:spacing w:line="280" w:lineRule="exact"/>
              <w:jc w:val="center"/>
              <w:rPr>
                <w:rFonts w:ascii="黑体" w:eastAsia="黑体"/>
                <w:sz w:val="24"/>
              </w:rPr>
            </w:pPr>
            <w:r>
              <w:rPr>
                <w:rFonts w:ascii="黑体" w:eastAsia="黑体" w:hint="eastAsia"/>
                <w:sz w:val="24"/>
              </w:rPr>
              <w:t>（单位）</w:t>
            </w:r>
          </w:p>
        </w:tc>
        <w:tc>
          <w:tcPr>
            <w:tcW w:w="668" w:type="dxa"/>
            <w:vMerge w:val="restart"/>
            <w:tcBorders>
              <w:top w:val="single" w:sz="8" w:space="0" w:color="auto"/>
              <w:left w:val="single" w:sz="4" w:space="0" w:color="auto"/>
              <w:bottom w:val="single" w:sz="4" w:space="0" w:color="auto"/>
              <w:right w:val="single" w:sz="8"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进一步精简、</w:t>
            </w:r>
          </w:p>
          <w:p w:rsidR="00013EC7" w:rsidRDefault="00575CDB">
            <w:pPr>
              <w:spacing w:line="280" w:lineRule="exact"/>
              <w:jc w:val="center"/>
              <w:rPr>
                <w:rFonts w:ascii="黑体" w:eastAsia="黑体"/>
                <w:sz w:val="24"/>
              </w:rPr>
            </w:pPr>
            <w:r>
              <w:rPr>
                <w:rFonts w:ascii="黑体" w:eastAsia="黑体" w:hint="eastAsia"/>
                <w:sz w:val="24"/>
              </w:rPr>
              <w:t>规范建议</w:t>
            </w:r>
          </w:p>
        </w:tc>
      </w:tr>
      <w:tr w:rsidR="00013EC7">
        <w:trPr>
          <w:trHeight w:val="340"/>
          <w:tblHeader/>
          <w:jc w:val="center"/>
        </w:trPr>
        <w:tc>
          <w:tcPr>
            <w:tcW w:w="858" w:type="dxa"/>
            <w:vMerge/>
            <w:tcBorders>
              <w:top w:val="single" w:sz="8" w:space="0" w:color="auto"/>
              <w:left w:val="single" w:sz="8" w:space="0" w:color="auto"/>
              <w:bottom w:val="single" w:sz="4" w:space="0" w:color="auto"/>
              <w:right w:val="single" w:sz="4" w:space="0" w:color="auto"/>
            </w:tcBorders>
            <w:vAlign w:val="center"/>
          </w:tcPr>
          <w:p w:rsidR="00013EC7" w:rsidRDefault="00013EC7">
            <w:pPr>
              <w:widowControl/>
              <w:jc w:val="left"/>
              <w:rPr>
                <w:rFonts w:ascii="黑体" w:eastAsia="黑体"/>
                <w:sz w:val="24"/>
              </w:rPr>
            </w:pPr>
          </w:p>
        </w:tc>
        <w:tc>
          <w:tcPr>
            <w:tcW w:w="876" w:type="dxa"/>
            <w:vMerge/>
            <w:tcBorders>
              <w:top w:val="single" w:sz="8" w:space="0" w:color="auto"/>
              <w:left w:val="single" w:sz="4" w:space="0" w:color="auto"/>
              <w:bottom w:val="single" w:sz="4" w:space="0" w:color="auto"/>
              <w:right w:val="single" w:sz="4" w:space="0" w:color="auto"/>
            </w:tcBorders>
            <w:vAlign w:val="center"/>
          </w:tcPr>
          <w:p w:rsidR="00013EC7" w:rsidRDefault="00013EC7">
            <w:pPr>
              <w:widowControl/>
              <w:jc w:val="left"/>
              <w:rPr>
                <w:rFonts w:ascii="黑体" w:eastAsia="黑体"/>
                <w:sz w:val="24"/>
              </w:rPr>
            </w:pPr>
          </w:p>
        </w:tc>
        <w:tc>
          <w:tcPr>
            <w:tcW w:w="3170" w:type="dxa"/>
            <w:vMerge/>
            <w:tcBorders>
              <w:top w:val="single" w:sz="8" w:space="0" w:color="auto"/>
              <w:left w:val="single" w:sz="4" w:space="0" w:color="auto"/>
              <w:bottom w:val="single" w:sz="4" w:space="0" w:color="auto"/>
              <w:right w:val="single" w:sz="4" w:space="0" w:color="auto"/>
            </w:tcBorders>
            <w:vAlign w:val="center"/>
          </w:tcPr>
          <w:p w:rsidR="00013EC7" w:rsidRDefault="00013EC7">
            <w:pPr>
              <w:widowControl/>
              <w:jc w:val="left"/>
              <w:rPr>
                <w:rFonts w:ascii="黑体" w:eastAsia="黑体"/>
                <w:sz w:val="24"/>
              </w:rPr>
            </w:pPr>
          </w:p>
        </w:tc>
        <w:tc>
          <w:tcPr>
            <w:tcW w:w="3445"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222"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3480"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245"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3342"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办理方式及材料</w:t>
            </w:r>
          </w:p>
          <w:p w:rsidR="00013EC7" w:rsidRDefault="00575CDB">
            <w:pPr>
              <w:spacing w:line="280" w:lineRule="exact"/>
              <w:jc w:val="center"/>
              <w:rPr>
                <w:rFonts w:ascii="黑体" w:eastAsia="黑体"/>
                <w:sz w:val="24"/>
              </w:rPr>
            </w:pPr>
            <w:r>
              <w:rPr>
                <w:rFonts w:ascii="黑体" w:eastAsia="黑体" w:hint="eastAsia"/>
                <w:sz w:val="24"/>
              </w:rPr>
              <w:t>信息获取方式说明</w:t>
            </w:r>
          </w:p>
        </w:tc>
        <w:tc>
          <w:tcPr>
            <w:tcW w:w="410"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优化前</w:t>
            </w:r>
          </w:p>
        </w:tc>
        <w:tc>
          <w:tcPr>
            <w:tcW w:w="410"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优化后</w:t>
            </w:r>
          </w:p>
        </w:tc>
        <w:tc>
          <w:tcPr>
            <w:tcW w:w="466" w:type="dxa"/>
            <w:vMerge/>
            <w:tcBorders>
              <w:top w:val="single" w:sz="8" w:space="0" w:color="auto"/>
              <w:left w:val="single" w:sz="4" w:space="0" w:color="auto"/>
              <w:bottom w:val="single" w:sz="4" w:space="0" w:color="auto"/>
              <w:right w:val="single" w:sz="4" w:space="0" w:color="auto"/>
            </w:tcBorders>
            <w:vAlign w:val="center"/>
          </w:tcPr>
          <w:p w:rsidR="00013EC7" w:rsidRDefault="00013EC7">
            <w:pPr>
              <w:widowControl/>
              <w:jc w:val="left"/>
              <w:rPr>
                <w:rFonts w:ascii="黑体" w:eastAsia="黑体"/>
                <w:sz w:val="24"/>
              </w:rPr>
            </w:pPr>
          </w:p>
        </w:tc>
        <w:tc>
          <w:tcPr>
            <w:tcW w:w="650" w:type="dxa"/>
            <w:vMerge/>
            <w:tcBorders>
              <w:top w:val="single" w:sz="8" w:space="0" w:color="auto"/>
              <w:left w:val="single" w:sz="4" w:space="0" w:color="auto"/>
              <w:bottom w:val="single" w:sz="4" w:space="0" w:color="auto"/>
              <w:right w:val="single" w:sz="4" w:space="0" w:color="auto"/>
            </w:tcBorders>
            <w:vAlign w:val="center"/>
          </w:tcPr>
          <w:p w:rsidR="00013EC7" w:rsidRDefault="00013EC7">
            <w:pPr>
              <w:widowControl/>
              <w:jc w:val="left"/>
              <w:rPr>
                <w:rFonts w:ascii="黑体" w:eastAsia="黑体"/>
                <w:sz w:val="24"/>
              </w:rPr>
            </w:pPr>
          </w:p>
        </w:tc>
        <w:tc>
          <w:tcPr>
            <w:tcW w:w="668" w:type="dxa"/>
            <w:vMerge/>
            <w:tcBorders>
              <w:top w:val="single" w:sz="8" w:space="0" w:color="auto"/>
              <w:left w:val="single" w:sz="4" w:space="0" w:color="auto"/>
              <w:bottom w:val="single" w:sz="4" w:space="0" w:color="auto"/>
              <w:right w:val="single" w:sz="8" w:space="0" w:color="auto"/>
            </w:tcBorders>
            <w:vAlign w:val="center"/>
          </w:tcPr>
          <w:p w:rsidR="00013EC7" w:rsidRDefault="00013EC7">
            <w:pPr>
              <w:widowControl/>
              <w:jc w:val="left"/>
              <w:rPr>
                <w:rFonts w:ascii="黑体" w:eastAsia="黑体"/>
                <w:sz w:val="24"/>
              </w:rPr>
            </w:pPr>
          </w:p>
        </w:tc>
      </w:tr>
      <w:tr w:rsidR="00013EC7">
        <w:trPr>
          <w:trHeight w:val="1040"/>
          <w:jc w:val="center"/>
        </w:trPr>
        <w:tc>
          <w:tcPr>
            <w:tcW w:w="858" w:type="dxa"/>
            <w:vMerge w:val="restart"/>
            <w:tcBorders>
              <w:top w:val="single" w:sz="4" w:space="0" w:color="auto"/>
              <w:left w:val="single" w:sz="8" w:space="0" w:color="auto"/>
              <w:bottom w:val="single" w:sz="8" w:space="0" w:color="auto"/>
              <w:right w:val="single" w:sz="4" w:space="0" w:color="auto"/>
            </w:tcBorders>
            <w:vAlign w:val="center"/>
          </w:tcPr>
          <w:p w:rsidR="00013EC7" w:rsidRDefault="00731DCE">
            <w:pPr>
              <w:spacing w:line="300" w:lineRule="exact"/>
              <w:jc w:val="left"/>
              <w:rPr>
                <w:rFonts w:ascii="仿宋" w:eastAsia="仿宋" w:hAnsi="仿宋"/>
                <w:sz w:val="24"/>
              </w:rPr>
            </w:pPr>
            <w:r>
              <w:rPr>
                <w:rFonts w:ascii="仿宋" w:eastAsia="仿宋" w:hAnsi="仿宋" w:cs="仿宋" w:hint="eastAsia"/>
                <w:color w:val="000000"/>
                <w:kern w:val="0"/>
                <w:sz w:val="24"/>
              </w:rPr>
              <w:t>24.常见税收优惠办理</w:t>
            </w:r>
          </w:p>
        </w:tc>
        <w:tc>
          <w:tcPr>
            <w:tcW w:w="876" w:type="dxa"/>
            <w:vMerge w:val="restart"/>
            <w:tcBorders>
              <w:top w:val="single" w:sz="4" w:space="0" w:color="auto"/>
              <w:left w:val="single" w:sz="4" w:space="0" w:color="auto"/>
              <w:bottom w:val="single" w:sz="8" w:space="0" w:color="auto"/>
              <w:right w:val="single" w:sz="4" w:space="0" w:color="auto"/>
            </w:tcBorders>
            <w:vAlign w:val="center"/>
          </w:tcPr>
          <w:p w:rsidR="00013EC7" w:rsidRDefault="00575CDB">
            <w:pPr>
              <w:spacing w:line="310" w:lineRule="exact"/>
              <w:jc w:val="left"/>
              <w:rPr>
                <w:rFonts w:ascii="仿宋" w:eastAsia="仿宋" w:hAnsi="仿宋"/>
                <w:sz w:val="24"/>
              </w:rPr>
            </w:pPr>
            <w:r>
              <w:rPr>
                <w:rFonts w:ascii="仿宋" w:eastAsia="仿宋" w:hAnsi="仿宋" w:cs="方正书宋简体" w:hint="eastAsia"/>
                <w:color w:val="000000"/>
                <w:kern w:val="0"/>
                <w:sz w:val="24"/>
              </w:rPr>
              <w:t>24.6非居民企业享受税收协定待遇办理</w:t>
            </w:r>
          </w:p>
        </w:tc>
        <w:tc>
          <w:tcPr>
            <w:tcW w:w="3170" w:type="dxa"/>
            <w:vMerge w:val="restart"/>
            <w:tcBorders>
              <w:top w:val="single" w:sz="4" w:space="0" w:color="auto"/>
              <w:left w:val="single" w:sz="4" w:space="0" w:color="auto"/>
              <w:bottom w:val="single" w:sz="8" w:space="0" w:color="auto"/>
              <w:right w:val="single" w:sz="4" w:space="0" w:color="auto"/>
            </w:tcBorders>
            <w:vAlign w:val="center"/>
          </w:tcPr>
          <w:p w:rsidR="00013EC7" w:rsidRDefault="00575CDB">
            <w:pPr>
              <w:widowControl/>
              <w:numPr>
                <w:ilvl w:val="0"/>
                <w:numId w:val="4"/>
              </w:numPr>
              <w:spacing w:after="210"/>
              <w:textAlignment w:val="center"/>
              <w:rPr>
                <w:rFonts w:ascii="仿宋" w:eastAsia="仿宋" w:hAnsi="仿宋" w:cs="宋体"/>
                <w:color w:val="000000"/>
                <w:kern w:val="0"/>
                <w:sz w:val="24"/>
              </w:rPr>
            </w:pPr>
            <w:r>
              <w:rPr>
                <w:rFonts w:ascii="仿宋" w:eastAsia="仿宋" w:hAnsi="仿宋" w:cs="宋体" w:hint="eastAsia"/>
                <w:color w:val="000000"/>
                <w:kern w:val="0"/>
                <w:sz w:val="24"/>
              </w:rPr>
              <w:t>《国务院关于取消非行政许可审批事项的决定》（国发〔2015〕27号）附件1第45项。</w:t>
            </w:r>
          </w:p>
          <w:p w:rsidR="00013EC7" w:rsidRDefault="00575CDB">
            <w:pPr>
              <w:widowControl/>
              <w:spacing w:after="210"/>
              <w:textAlignment w:val="center"/>
              <w:rPr>
                <w:rFonts w:ascii="仿宋" w:eastAsia="仿宋" w:hAnsi="仿宋" w:cs="宋体"/>
                <w:color w:val="000000"/>
                <w:kern w:val="0"/>
                <w:sz w:val="24"/>
              </w:rPr>
            </w:pPr>
            <w:r>
              <w:rPr>
                <w:rFonts w:ascii="仿宋" w:eastAsia="仿宋" w:hAnsi="仿宋" w:cs="宋体" w:hint="eastAsia"/>
                <w:color w:val="000000"/>
                <w:kern w:val="0"/>
                <w:sz w:val="24"/>
              </w:rPr>
              <w:t>（二）《国家税务总局关于〈内地和澳门特别行政区关于对所得避免双重征税和防止偷漏税的安排〉 有关条文解释和执行问题的通知》（国税函〔2005〕1081 号）全文。</w:t>
            </w:r>
          </w:p>
          <w:p w:rsidR="00013EC7" w:rsidRDefault="00575CDB">
            <w:pPr>
              <w:widowControl/>
              <w:spacing w:after="210"/>
              <w:textAlignment w:val="center"/>
              <w:rPr>
                <w:rFonts w:ascii="仿宋" w:eastAsia="仿宋" w:hAnsi="仿宋" w:cs="宋体"/>
                <w:color w:val="000000"/>
                <w:kern w:val="0"/>
                <w:sz w:val="24"/>
              </w:rPr>
            </w:pPr>
            <w:r>
              <w:rPr>
                <w:rFonts w:ascii="仿宋" w:eastAsia="仿宋" w:hAnsi="仿宋" w:cs="宋体" w:hint="eastAsia"/>
                <w:color w:val="000000"/>
                <w:kern w:val="0"/>
                <w:sz w:val="24"/>
              </w:rPr>
              <w:t>（三）《国家税务总局关于执行税收协定教师和研究人员条款有关问题的公告》（国家税务总局公告2011第42号）全文。</w:t>
            </w:r>
          </w:p>
          <w:p w:rsidR="00013EC7" w:rsidRDefault="00575CDB">
            <w:pPr>
              <w:widowControl/>
              <w:spacing w:after="210"/>
              <w:textAlignment w:val="center"/>
              <w:rPr>
                <w:rFonts w:ascii="仿宋" w:eastAsia="仿宋" w:hAnsi="仿宋" w:cs="宋体"/>
                <w:color w:val="000000"/>
                <w:kern w:val="0"/>
                <w:sz w:val="24"/>
              </w:rPr>
            </w:pPr>
            <w:r>
              <w:rPr>
                <w:rFonts w:ascii="仿宋" w:eastAsia="仿宋" w:hAnsi="仿宋" w:cs="宋体" w:hint="eastAsia"/>
                <w:color w:val="000000"/>
                <w:kern w:val="0"/>
                <w:sz w:val="24"/>
              </w:rPr>
              <w:t>（四）《国家税务总局关于如何理解和认定税收协定中“受益所有人”的通知》（国税函〔2009〕601号）全文。</w:t>
            </w:r>
          </w:p>
          <w:p w:rsidR="00013EC7" w:rsidRDefault="00575CDB">
            <w:pPr>
              <w:widowControl/>
              <w:spacing w:after="210"/>
              <w:textAlignment w:val="center"/>
              <w:rPr>
                <w:rFonts w:ascii="仿宋" w:eastAsia="仿宋" w:hAnsi="仿宋" w:cs="宋体"/>
                <w:color w:val="000000"/>
                <w:kern w:val="0"/>
                <w:sz w:val="24"/>
              </w:rPr>
            </w:pPr>
            <w:r>
              <w:rPr>
                <w:rFonts w:ascii="仿宋" w:eastAsia="仿宋" w:hAnsi="仿宋" w:cs="宋体" w:hint="eastAsia"/>
                <w:color w:val="000000"/>
                <w:kern w:val="0"/>
                <w:sz w:val="24"/>
              </w:rPr>
              <w:t>（五）《国家税务总局关于认定税收协定中“受益所有人”的公告》（国家税务总局公告2012年第30号）全文。</w:t>
            </w:r>
          </w:p>
          <w:p w:rsidR="00013EC7" w:rsidRDefault="00575CDB">
            <w:pPr>
              <w:widowControl/>
              <w:spacing w:after="210"/>
              <w:textAlignment w:val="center"/>
              <w:rPr>
                <w:rFonts w:ascii="仿宋" w:eastAsia="仿宋" w:hAnsi="仿宋" w:cs="宋体"/>
                <w:color w:val="000000"/>
                <w:kern w:val="0"/>
                <w:sz w:val="24"/>
              </w:rPr>
            </w:pPr>
            <w:r>
              <w:rPr>
                <w:rFonts w:ascii="仿宋" w:eastAsia="仿宋" w:hAnsi="仿宋" w:cs="宋体" w:hint="eastAsia"/>
                <w:color w:val="000000"/>
                <w:kern w:val="0"/>
                <w:sz w:val="24"/>
              </w:rPr>
              <w:t>（六）《国家税务总局 关于委托投资情况下认定受益所有</w:t>
            </w:r>
            <w:r>
              <w:rPr>
                <w:rFonts w:ascii="仿宋" w:eastAsia="仿宋" w:hAnsi="仿宋" w:cs="宋体" w:hint="eastAsia"/>
                <w:color w:val="000000"/>
                <w:kern w:val="0"/>
                <w:sz w:val="24"/>
              </w:rPr>
              <w:lastRenderedPageBreak/>
              <w:t>人问题的公告》（国家税务总局公告2014年第24号）全文。</w:t>
            </w:r>
          </w:p>
          <w:p w:rsidR="00013EC7" w:rsidRDefault="00575CDB">
            <w:pPr>
              <w:widowControl/>
              <w:spacing w:after="210"/>
              <w:textAlignment w:val="center"/>
              <w:rPr>
                <w:rFonts w:ascii="仿宋" w:eastAsia="仿宋" w:hAnsi="仿宋" w:cs="宋体"/>
                <w:color w:val="000000"/>
                <w:kern w:val="0"/>
                <w:sz w:val="24"/>
              </w:rPr>
            </w:pPr>
            <w:r>
              <w:rPr>
                <w:rFonts w:ascii="仿宋" w:eastAsia="仿宋" w:hAnsi="仿宋" w:cs="宋体" w:hint="eastAsia"/>
                <w:color w:val="000000"/>
                <w:kern w:val="0"/>
                <w:sz w:val="24"/>
              </w:rPr>
              <w:t>（七）《国家税务总局关于发布&lt;非居民纳税人享受税收协定待遇管理办法&gt;的公告》（国家税务总局公告2015年第60号）全文。</w:t>
            </w:r>
          </w:p>
          <w:p w:rsidR="00013EC7" w:rsidRDefault="00013EC7">
            <w:pPr>
              <w:spacing w:line="310" w:lineRule="exact"/>
              <w:jc w:val="left"/>
              <w:rPr>
                <w:rFonts w:ascii="仿宋" w:eastAsia="仿宋" w:hAnsi="仿宋"/>
                <w:sz w:val="24"/>
              </w:rPr>
            </w:pPr>
          </w:p>
        </w:tc>
        <w:tc>
          <w:tcPr>
            <w:tcW w:w="3445"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310" w:lineRule="exact"/>
              <w:jc w:val="left"/>
              <w:rPr>
                <w:rFonts w:ascii="仿宋" w:eastAsia="仿宋" w:hAnsi="仿宋" w:cs="宋体"/>
                <w:sz w:val="24"/>
              </w:rPr>
            </w:pPr>
            <w:r>
              <w:rPr>
                <w:rFonts w:ascii="仿宋" w:eastAsia="仿宋" w:hAnsi="仿宋" w:cs="宋体" w:hint="eastAsia"/>
                <w:color w:val="000000"/>
                <w:kern w:val="0"/>
                <w:sz w:val="24"/>
              </w:rPr>
              <w:lastRenderedPageBreak/>
              <w:t>（一）</w:t>
            </w:r>
            <w:r>
              <w:rPr>
                <w:rFonts w:ascii="仿宋" w:eastAsia="仿宋" w:hAnsi="仿宋" w:hint="eastAsia"/>
                <w:sz w:val="24"/>
              </w:rPr>
              <w:t xml:space="preserve"> (A03055)</w:t>
            </w:r>
            <w:r>
              <w:rPr>
                <w:rFonts w:ascii="仿宋" w:eastAsia="仿宋" w:hAnsi="仿宋" w:cs="宋体" w:hint="eastAsia"/>
                <w:color w:val="000000"/>
                <w:kern w:val="0"/>
                <w:sz w:val="24"/>
              </w:rPr>
              <w:t>《非居民纳税人税收居民身份信息报告表》（自行申报2份，扣缴义务人扣缴申报3份）。</w:t>
            </w:r>
          </w:p>
        </w:tc>
        <w:tc>
          <w:tcPr>
            <w:tcW w:w="1222"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300" w:lineRule="exact"/>
              <w:jc w:val="left"/>
              <w:rPr>
                <w:rFonts w:ascii="仿宋" w:eastAsia="仿宋" w:hAnsi="仿宋"/>
                <w:sz w:val="24"/>
              </w:rPr>
            </w:pPr>
            <w:r>
              <w:rPr>
                <w:rFonts w:ascii="仿宋" w:eastAsia="仿宋" w:hAnsi="仿宋" w:hint="eastAsia"/>
                <w:sz w:val="24"/>
              </w:rPr>
              <w:t>纳税人提交</w:t>
            </w:r>
          </w:p>
        </w:tc>
        <w:tc>
          <w:tcPr>
            <w:tcW w:w="3480"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310" w:lineRule="exact"/>
              <w:jc w:val="left"/>
              <w:rPr>
                <w:rFonts w:ascii="仿宋" w:eastAsia="仿宋" w:hAnsi="仿宋" w:cs="宋体"/>
                <w:sz w:val="24"/>
              </w:rPr>
            </w:pPr>
            <w:r>
              <w:rPr>
                <w:rFonts w:ascii="仿宋" w:eastAsia="仿宋" w:hAnsi="仿宋" w:cs="宋体" w:hint="eastAsia"/>
                <w:color w:val="000000"/>
                <w:kern w:val="0"/>
                <w:sz w:val="24"/>
              </w:rPr>
              <w:t>（一）</w:t>
            </w:r>
            <w:r>
              <w:rPr>
                <w:rFonts w:ascii="仿宋" w:eastAsia="仿宋" w:hAnsi="仿宋" w:hint="eastAsia"/>
                <w:sz w:val="24"/>
              </w:rPr>
              <w:t xml:space="preserve"> (A03055)</w:t>
            </w:r>
            <w:r>
              <w:rPr>
                <w:rFonts w:ascii="仿宋" w:eastAsia="仿宋" w:hAnsi="仿宋" w:cs="宋体" w:hint="eastAsia"/>
                <w:color w:val="000000"/>
                <w:kern w:val="0"/>
                <w:sz w:val="24"/>
              </w:rPr>
              <w:t>《非居民纳税人税收居民身份信息报告表》（自行申报2份，扣缴义务人扣缴申报3份）。</w:t>
            </w:r>
          </w:p>
        </w:tc>
        <w:tc>
          <w:tcPr>
            <w:tcW w:w="1245"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310" w:lineRule="exact"/>
              <w:jc w:val="left"/>
              <w:rPr>
                <w:rFonts w:ascii="仿宋" w:eastAsia="仿宋" w:hAnsi="仿宋"/>
                <w:sz w:val="24"/>
              </w:rPr>
            </w:pPr>
            <w:r>
              <w:rPr>
                <w:rFonts w:ascii="仿宋" w:eastAsia="仿宋" w:hAnsi="仿宋" w:hint="eastAsia"/>
                <w:sz w:val="24"/>
              </w:rPr>
              <w:t>纳税人提交</w:t>
            </w:r>
          </w:p>
        </w:tc>
        <w:tc>
          <w:tcPr>
            <w:tcW w:w="3342" w:type="dxa"/>
            <w:vMerge w:val="restart"/>
            <w:tcBorders>
              <w:top w:val="single" w:sz="4" w:space="0" w:color="auto"/>
              <w:left w:val="single" w:sz="4" w:space="0" w:color="auto"/>
              <w:bottom w:val="single" w:sz="8" w:space="0" w:color="auto"/>
              <w:right w:val="single" w:sz="4" w:space="0" w:color="auto"/>
            </w:tcBorders>
            <w:vAlign w:val="center"/>
          </w:tcPr>
          <w:p w:rsidR="00013EC7" w:rsidRDefault="00575CDB">
            <w:pPr>
              <w:spacing w:line="300" w:lineRule="exact"/>
              <w:rPr>
                <w:rStyle w:val="font61"/>
                <w:rFonts w:ascii="仿宋" w:eastAsia="仿宋" w:hAnsi="仿宋" w:hint="default"/>
                <w:bCs/>
                <w:sz w:val="24"/>
              </w:rPr>
            </w:pPr>
            <w:r>
              <w:rPr>
                <w:rFonts w:ascii="仿宋" w:eastAsia="仿宋" w:hAnsi="仿宋" w:cs="方正书宋简体" w:hint="eastAsia"/>
                <w:b/>
                <w:bCs/>
                <w:color w:val="000000"/>
                <w:kern w:val="0"/>
                <w:sz w:val="24"/>
              </w:rPr>
              <w:t>现场办理</w:t>
            </w:r>
            <w:r>
              <w:rPr>
                <w:rStyle w:val="font61"/>
                <w:rFonts w:ascii="仿宋" w:eastAsia="仿宋" w:hAnsi="仿宋" w:hint="default"/>
                <w:b/>
                <w:bCs/>
                <w:sz w:val="24"/>
              </w:rPr>
              <w:t>：</w:t>
            </w:r>
            <w:r>
              <w:rPr>
                <w:rStyle w:val="font61"/>
                <w:rFonts w:ascii="仿宋" w:eastAsia="仿宋" w:hAnsi="仿宋" w:hint="default"/>
                <w:bCs/>
                <w:sz w:val="24"/>
              </w:rPr>
              <w:t>纳税人提交书面表格，窗口即时办结</w:t>
            </w:r>
          </w:p>
          <w:p w:rsidR="00013EC7" w:rsidRDefault="00575CDB">
            <w:pPr>
              <w:spacing w:line="310" w:lineRule="exact"/>
              <w:jc w:val="left"/>
              <w:rPr>
                <w:rFonts w:ascii="仿宋" w:eastAsia="仿宋" w:hAnsi="仿宋"/>
                <w:sz w:val="24"/>
              </w:rPr>
            </w:pPr>
            <w:r>
              <w:rPr>
                <w:rFonts w:ascii="仿宋" w:eastAsia="仿宋" w:hAnsi="仿宋" w:cs="宋体" w:hint="eastAsia"/>
                <w:b/>
                <w:bCs/>
                <w:color w:val="000000"/>
                <w:sz w:val="24"/>
              </w:rPr>
              <w:t>网上办理</w:t>
            </w:r>
            <w:r>
              <w:rPr>
                <w:rFonts w:ascii="仿宋" w:eastAsia="仿宋" w:hAnsi="仿宋" w:hint="eastAsia"/>
                <w:sz w:val="24"/>
              </w:rPr>
              <w:t>：</w:t>
            </w:r>
          </w:p>
          <w:p w:rsidR="00013EC7" w:rsidRDefault="00575CDB">
            <w:pPr>
              <w:spacing w:line="310" w:lineRule="exact"/>
              <w:jc w:val="left"/>
              <w:rPr>
                <w:rFonts w:ascii="仿宋" w:eastAsia="仿宋" w:hAnsi="仿宋"/>
                <w:sz w:val="24"/>
              </w:rPr>
            </w:pPr>
            <w:r>
              <w:rPr>
                <w:rFonts w:ascii="仿宋" w:eastAsia="仿宋" w:hAnsi="仿宋"/>
                <w:sz w:val="24"/>
              </w:rPr>
              <w:t>登</w:t>
            </w:r>
            <w:r>
              <w:rPr>
                <w:rFonts w:ascii="仿宋" w:eastAsia="仿宋" w:hAnsi="仿宋" w:hint="eastAsia"/>
                <w:sz w:val="24"/>
              </w:rPr>
              <w:t>录浙江国税电子税务局（网址：</w:t>
            </w:r>
            <w:hyperlink r:id="rId439" w:tgtFrame="https://wx.qq.com/_blank" w:history="1">
              <w:r>
                <w:rPr>
                  <w:rFonts w:ascii="仿宋" w:eastAsia="仿宋" w:hAnsi="仿宋" w:hint="eastAsia"/>
                  <w:sz w:val="24"/>
                </w:rPr>
                <w:t>http://etax.zjtax.gov.cn/</w:t>
              </w:r>
            </w:hyperlink>
            <w:r>
              <w:rPr>
                <w:rFonts w:ascii="仿宋" w:eastAsia="仿宋" w:hAnsi="仿宋" w:hint="eastAsia"/>
                <w:sz w:val="24"/>
              </w:rPr>
              <w:t>）提交申请。</w:t>
            </w:r>
          </w:p>
          <w:p w:rsidR="00013EC7" w:rsidRDefault="00013EC7">
            <w:pPr>
              <w:spacing w:line="310" w:lineRule="exact"/>
              <w:jc w:val="left"/>
              <w:rPr>
                <w:rFonts w:ascii="仿宋" w:eastAsia="仿宋" w:hAnsi="仿宋"/>
                <w:sz w:val="24"/>
              </w:rPr>
            </w:pPr>
          </w:p>
          <w:p w:rsidR="00013EC7" w:rsidRDefault="00013EC7">
            <w:pPr>
              <w:spacing w:line="360" w:lineRule="auto"/>
              <w:ind w:firstLineChars="200" w:firstLine="480"/>
              <w:jc w:val="left"/>
              <w:rPr>
                <w:rFonts w:ascii="仿宋" w:eastAsia="仿宋" w:hAnsi="仿宋"/>
                <w:sz w:val="24"/>
              </w:rPr>
            </w:pPr>
          </w:p>
        </w:tc>
        <w:tc>
          <w:tcPr>
            <w:tcW w:w="410" w:type="dxa"/>
            <w:vMerge w:val="restart"/>
            <w:tcBorders>
              <w:top w:val="single" w:sz="4" w:space="0" w:color="auto"/>
              <w:left w:val="single" w:sz="4" w:space="0" w:color="auto"/>
              <w:bottom w:val="single" w:sz="8" w:space="0" w:color="auto"/>
              <w:right w:val="single" w:sz="4" w:space="0" w:color="auto"/>
            </w:tcBorders>
            <w:vAlign w:val="center"/>
          </w:tcPr>
          <w:p w:rsidR="00013EC7" w:rsidRDefault="00575CDB">
            <w:pPr>
              <w:spacing w:line="300" w:lineRule="exact"/>
              <w:jc w:val="left"/>
              <w:rPr>
                <w:rFonts w:ascii="仿宋" w:eastAsia="仿宋" w:hAnsi="仿宋"/>
                <w:color w:val="FF0000"/>
                <w:sz w:val="24"/>
              </w:rPr>
            </w:pPr>
            <w:r>
              <w:rPr>
                <w:rFonts w:ascii="仿宋" w:eastAsia="仿宋" w:hAnsi="仿宋" w:cs="方正书宋简体" w:hint="eastAsia"/>
                <w:color w:val="000000"/>
                <w:kern w:val="0"/>
                <w:sz w:val="24"/>
              </w:rPr>
              <w:t>即时办结</w:t>
            </w:r>
          </w:p>
        </w:tc>
        <w:tc>
          <w:tcPr>
            <w:tcW w:w="410" w:type="dxa"/>
            <w:vMerge w:val="restart"/>
            <w:tcBorders>
              <w:top w:val="single" w:sz="4" w:space="0" w:color="auto"/>
              <w:left w:val="single" w:sz="4" w:space="0" w:color="auto"/>
              <w:bottom w:val="single" w:sz="8" w:space="0" w:color="auto"/>
              <w:right w:val="single" w:sz="4" w:space="0" w:color="auto"/>
            </w:tcBorders>
            <w:vAlign w:val="center"/>
          </w:tcPr>
          <w:p w:rsidR="00013EC7" w:rsidRDefault="00575CDB">
            <w:pPr>
              <w:spacing w:line="300" w:lineRule="exact"/>
              <w:jc w:val="left"/>
              <w:rPr>
                <w:rFonts w:ascii="仿宋" w:eastAsia="仿宋" w:hAnsi="仿宋"/>
                <w:sz w:val="24"/>
              </w:rPr>
            </w:pPr>
            <w:r>
              <w:rPr>
                <w:rFonts w:ascii="仿宋" w:eastAsia="仿宋" w:hAnsi="仿宋" w:cs="方正书宋简体" w:hint="eastAsia"/>
                <w:color w:val="000000"/>
                <w:kern w:val="0"/>
                <w:sz w:val="24"/>
              </w:rPr>
              <w:t>即时办结</w:t>
            </w:r>
          </w:p>
        </w:tc>
        <w:tc>
          <w:tcPr>
            <w:tcW w:w="466" w:type="dxa"/>
            <w:vMerge w:val="restart"/>
            <w:tcBorders>
              <w:top w:val="single" w:sz="4" w:space="0" w:color="auto"/>
              <w:left w:val="single" w:sz="4" w:space="0" w:color="auto"/>
              <w:bottom w:val="single" w:sz="8" w:space="0" w:color="auto"/>
              <w:right w:val="single" w:sz="4" w:space="0" w:color="auto"/>
            </w:tcBorders>
            <w:vAlign w:val="center"/>
          </w:tcPr>
          <w:p w:rsidR="00013EC7" w:rsidRDefault="00575CDB">
            <w:pPr>
              <w:spacing w:line="300" w:lineRule="exact"/>
              <w:jc w:val="left"/>
              <w:rPr>
                <w:rFonts w:ascii="仿宋" w:eastAsia="仿宋" w:hAnsi="仿宋"/>
                <w:sz w:val="24"/>
              </w:rPr>
            </w:pPr>
            <w:r>
              <w:rPr>
                <w:rFonts w:ascii="仿宋" w:eastAsia="仿宋" w:hAnsi="仿宋" w:hint="eastAsia"/>
                <w:sz w:val="24"/>
              </w:rPr>
              <w:t>是</w:t>
            </w:r>
          </w:p>
        </w:tc>
        <w:tc>
          <w:tcPr>
            <w:tcW w:w="650" w:type="dxa"/>
            <w:vMerge w:val="restart"/>
            <w:tcBorders>
              <w:top w:val="single" w:sz="4" w:space="0" w:color="auto"/>
              <w:left w:val="single" w:sz="4" w:space="0" w:color="auto"/>
              <w:bottom w:val="single" w:sz="8" w:space="0" w:color="auto"/>
              <w:right w:val="single" w:sz="4" w:space="0" w:color="auto"/>
            </w:tcBorders>
            <w:vAlign w:val="center"/>
          </w:tcPr>
          <w:p w:rsidR="00013EC7" w:rsidRDefault="00575CDB">
            <w:pPr>
              <w:spacing w:line="280" w:lineRule="exact"/>
              <w:jc w:val="left"/>
              <w:rPr>
                <w:rFonts w:ascii="仿宋" w:eastAsia="仿宋" w:hAnsi="仿宋"/>
                <w:sz w:val="24"/>
              </w:rPr>
            </w:pPr>
            <w:r>
              <w:rPr>
                <w:rFonts w:ascii="仿宋" w:eastAsia="仿宋" w:hAnsi="仿宋" w:hint="eastAsia"/>
                <w:sz w:val="24"/>
              </w:rPr>
              <w:t>国际税务处</w:t>
            </w:r>
          </w:p>
        </w:tc>
        <w:tc>
          <w:tcPr>
            <w:tcW w:w="668" w:type="dxa"/>
            <w:vMerge w:val="restart"/>
            <w:tcBorders>
              <w:top w:val="single" w:sz="4" w:space="0" w:color="auto"/>
              <w:left w:val="single" w:sz="4" w:space="0" w:color="auto"/>
              <w:bottom w:val="single" w:sz="8" w:space="0" w:color="auto"/>
              <w:right w:val="single" w:sz="8" w:space="0" w:color="auto"/>
            </w:tcBorders>
            <w:vAlign w:val="center"/>
          </w:tcPr>
          <w:p w:rsidR="00013EC7" w:rsidRDefault="00013EC7">
            <w:pPr>
              <w:spacing w:line="300" w:lineRule="exact"/>
              <w:jc w:val="left"/>
              <w:rPr>
                <w:rFonts w:ascii="仿宋" w:eastAsia="仿宋" w:hAnsi="仿宋"/>
                <w:sz w:val="24"/>
              </w:rPr>
            </w:pPr>
          </w:p>
        </w:tc>
      </w:tr>
      <w:tr w:rsidR="00013EC7">
        <w:trPr>
          <w:trHeight w:val="90"/>
          <w:jc w:val="center"/>
        </w:trPr>
        <w:tc>
          <w:tcPr>
            <w:tcW w:w="858" w:type="dxa"/>
            <w:vMerge/>
            <w:tcBorders>
              <w:top w:val="single" w:sz="4" w:space="0" w:color="auto"/>
              <w:left w:val="single" w:sz="8" w:space="0" w:color="auto"/>
              <w:bottom w:val="single" w:sz="8" w:space="0" w:color="auto"/>
              <w:right w:val="single" w:sz="4" w:space="0" w:color="auto"/>
            </w:tcBorders>
            <w:vAlign w:val="center"/>
          </w:tcPr>
          <w:p w:rsidR="00013EC7" w:rsidRDefault="00013EC7">
            <w:pPr>
              <w:widowControl/>
              <w:jc w:val="left"/>
              <w:rPr>
                <w:rFonts w:ascii="仿宋" w:eastAsia="仿宋" w:hAnsi="仿宋"/>
                <w:sz w:val="24"/>
              </w:rPr>
            </w:pPr>
          </w:p>
        </w:tc>
        <w:tc>
          <w:tcPr>
            <w:tcW w:w="876"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sz w:val="24"/>
              </w:rPr>
            </w:pPr>
          </w:p>
        </w:tc>
        <w:tc>
          <w:tcPr>
            <w:tcW w:w="3170"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sz w:val="24"/>
              </w:rPr>
            </w:pPr>
          </w:p>
        </w:tc>
        <w:tc>
          <w:tcPr>
            <w:tcW w:w="3445"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310" w:lineRule="exact"/>
              <w:jc w:val="left"/>
              <w:rPr>
                <w:rFonts w:ascii="仿宋" w:eastAsia="仿宋" w:hAnsi="仿宋" w:cs="宋体"/>
                <w:sz w:val="24"/>
              </w:rPr>
            </w:pPr>
            <w:r>
              <w:rPr>
                <w:rFonts w:ascii="仿宋" w:eastAsia="仿宋" w:hAnsi="仿宋" w:cs="宋体" w:hint="eastAsia"/>
                <w:color w:val="000000"/>
                <w:kern w:val="0"/>
                <w:sz w:val="24"/>
              </w:rPr>
              <w:t>（二）</w:t>
            </w:r>
            <w:r>
              <w:rPr>
                <w:rFonts w:ascii="仿宋" w:eastAsia="仿宋" w:hAnsi="仿宋" w:hint="eastAsia"/>
                <w:sz w:val="24"/>
              </w:rPr>
              <w:t>(A03060)《非居民纳税人享受税收协定待遇情况报告表（企业所得税A表）》（自行申报2份，扣缴义务人扣缴申报3份）。</w:t>
            </w:r>
          </w:p>
        </w:tc>
        <w:tc>
          <w:tcPr>
            <w:tcW w:w="1222"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300" w:lineRule="exact"/>
              <w:jc w:val="left"/>
              <w:rPr>
                <w:rFonts w:ascii="仿宋" w:eastAsia="仿宋" w:hAnsi="仿宋"/>
                <w:sz w:val="24"/>
              </w:rPr>
            </w:pPr>
            <w:r>
              <w:rPr>
                <w:rFonts w:ascii="仿宋" w:eastAsia="仿宋" w:hAnsi="仿宋" w:hint="eastAsia"/>
                <w:sz w:val="24"/>
              </w:rPr>
              <w:t>享受税收协定股息、利息、特许权使用费条款待遇纳税人提交</w:t>
            </w:r>
          </w:p>
        </w:tc>
        <w:tc>
          <w:tcPr>
            <w:tcW w:w="3480"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310" w:lineRule="exact"/>
              <w:jc w:val="left"/>
              <w:rPr>
                <w:rFonts w:ascii="仿宋" w:eastAsia="仿宋" w:hAnsi="仿宋" w:cs="宋体"/>
                <w:color w:val="FF0000"/>
                <w:sz w:val="24"/>
              </w:rPr>
            </w:pPr>
            <w:r>
              <w:rPr>
                <w:rFonts w:ascii="仿宋" w:eastAsia="仿宋" w:hAnsi="仿宋" w:cs="宋体" w:hint="eastAsia"/>
                <w:color w:val="000000"/>
                <w:kern w:val="0"/>
                <w:sz w:val="24"/>
              </w:rPr>
              <w:t>（二）</w:t>
            </w:r>
            <w:r>
              <w:rPr>
                <w:rFonts w:ascii="仿宋" w:eastAsia="仿宋" w:hAnsi="仿宋" w:hint="eastAsia"/>
                <w:sz w:val="24"/>
              </w:rPr>
              <w:t>(A03060)《非居民纳税人享受税收协定待遇情况报告表（企业所得税A表）》（自行申报2份，扣缴义务人扣缴申报3份）。</w:t>
            </w:r>
          </w:p>
        </w:tc>
        <w:tc>
          <w:tcPr>
            <w:tcW w:w="1245"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300" w:lineRule="exact"/>
              <w:jc w:val="left"/>
              <w:rPr>
                <w:rFonts w:ascii="仿宋" w:eastAsia="仿宋" w:hAnsi="仿宋"/>
                <w:sz w:val="24"/>
              </w:rPr>
            </w:pPr>
            <w:r>
              <w:rPr>
                <w:rFonts w:ascii="仿宋" w:eastAsia="仿宋" w:hAnsi="仿宋" w:hint="eastAsia"/>
                <w:sz w:val="24"/>
              </w:rPr>
              <w:t>享受税收协定股息、利息、特许权使用费条款待遇纳税人提交</w:t>
            </w:r>
          </w:p>
        </w:tc>
        <w:tc>
          <w:tcPr>
            <w:tcW w:w="3342"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sz w:val="24"/>
              </w:rPr>
            </w:pPr>
          </w:p>
        </w:tc>
        <w:tc>
          <w:tcPr>
            <w:tcW w:w="410"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color w:val="FF0000"/>
                <w:sz w:val="24"/>
              </w:rPr>
            </w:pPr>
          </w:p>
        </w:tc>
        <w:tc>
          <w:tcPr>
            <w:tcW w:w="410"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sz w:val="24"/>
              </w:rPr>
            </w:pPr>
          </w:p>
        </w:tc>
        <w:tc>
          <w:tcPr>
            <w:tcW w:w="466"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sz w:val="24"/>
              </w:rPr>
            </w:pPr>
          </w:p>
        </w:tc>
        <w:tc>
          <w:tcPr>
            <w:tcW w:w="650"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sz w:val="24"/>
              </w:rPr>
            </w:pPr>
          </w:p>
        </w:tc>
        <w:tc>
          <w:tcPr>
            <w:tcW w:w="668" w:type="dxa"/>
            <w:vMerge/>
            <w:tcBorders>
              <w:top w:val="single" w:sz="4" w:space="0" w:color="auto"/>
              <w:left w:val="single" w:sz="4" w:space="0" w:color="auto"/>
              <w:bottom w:val="single" w:sz="8" w:space="0" w:color="auto"/>
              <w:right w:val="single" w:sz="8" w:space="0" w:color="auto"/>
            </w:tcBorders>
            <w:vAlign w:val="center"/>
          </w:tcPr>
          <w:p w:rsidR="00013EC7" w:rsidRDefault="00013EC7">
            <w:pPr>
              <w:widowControl/>
              <w:jc w:val="left"/>
              <w:rPr>
                <w:rFonts w:ascii="仿宋" w:eastAsia="仿宋" w:hAnsi="仿宋"/>
                <w:sz w:val="24"/>
              </w:rPr>
            </w:pPr>
          </w:p>
        </w:tc>
      </w:tr>
      <w:tr w:rsidR="00013EC7">
        <w:trPr>
          <w:trHeight w:val="1040"/>
          <w:jc w:val="center"/>
        </w:trPr>
        <w:tc>
          <w:tcPr>
            <w:tcW w:w="858" w:type="dxa"/>
            <w:vMerge/>
            <w:tcBorders>
              <w:top w:val="single" w:sz="4" w:space="0" w:color="auto"/>
              <w:left w:val="single" w:sz="8" w:space="0" w:color="auto"/>
              <w:bottom w:val="single" w:sz="8" w:space="0" w:color="auto"/>
              <w:right w:val="single" w:sz="4" w:space="0" w:color="auto"/>
            </w:tcBorders>
            <w:vAlign w:val="center"/>
          </w:tcPr>
          <w:p w:rsidR="00013EC7" w:rsidRDefault="00013EC7">
            <w:pPr>
              <w:widowControl/>
              <w:jc w:val="left"/>
              <w:rPr>
                <w:rFonts w:ascii="仿宋" w:eastAsia="仿宋" w:hAnsi="仿宋"/>
                <w:sz w:val="24"/>
              </w:rPr>
            </w:pPr>
          </w:p>
        </w:tc>
        <w:tc>
          <w:tcPr>
            <w:tcW w:w="876"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sz w:val="24"/>
              </w:rPr>
            </w:pPr>
          </w:p>
        </w:tc>
        <w:tc>
          <w:tcPr>
            <w:tcW w:w="3170"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sz w:val="24"/>
              </w:rPr>
            </w:pPr>
          </w:p>
        </w:tc>
        <w:tc>
          <w:tcPr>
            <w:tcW w:w="3445"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310" w:lineRule="exact"/>
              <w:jc w:val="left"/>
              <w:rPr>
                <w:rFonts w:ascii="仿宋" w:eastAsia="仿宋" w:hAnsi="仿宋"/>
                <w:sz w:val="24"/>
              </w:rPr>
            </w:pPr>
            <w:r>
              <w:rPr>
                <w:rFonts w:ascii="仿宋" w:eastAsia="仿宋" w:hAnsi="仿宋" w:cs="宋体" w:hint="eastAsia"/>
                <w:color w:val="000000"/>
                <w:kern w:val="0"/>
                <w:sz w:val="24"/>
              </w:rPr>
              <w:t>（三）</w:t>
            </w:r>
            <w:r>
              <w:rPr>
                <w:rFonts w:ascii="仿宋" w:eastAsia="仿宋" w:hAnsi="仿宋" w:hint="eastAsia"/>
                <w:sz w:val="24"/>
              </w:rPr>
              <w:t>(A03061)《非居民纳税人享受税收协定待遇情况报告表（企业所得税B表）》（自行申报2份，扣缴义务人扣缴申报3份）。</w:t>
            </w:r>
          </w:p>
        </w:tc>
        <w:tc>
          <w:tcPr>
            <w:tcW w:w="1222"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300" w:lineRule="exact"/>
              <w:jc w:val="left"/>
              <w:rPr>
                <w:rFonts w:ascii="仿宋" w:eastAsia="仿宋" w:hAnsi="仿宋"/>
                <w:sz w:val="24"/>
              </w:rPr>
            </w:pPr>
            <w:r>
              <w:rPr>
                <w:rFonts w:ascii="仿宋" w:eastAsia="仿宋" w:hAnsi="仿宋" w:hint="eastAsia"/>
                <w:sz w:val="24"/>
              </w:rPr>
              <w:t>享受税收协定常设机构和营业利润条款待遇纳税人提交</w:t>
            </w:r>
          </w:p>
        </w:tc>
        <w:tc>
          <w:tcPr>
            <w:tcW w:w="3480"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310" w:lineRule="exact"/>
              <w:jc w:val="left"/>
              <w:rPr>
                <w:rFonts w:ascii="仿宋" w:eastAsia="仿宋" w:hAnsi="仿宋"/>
                <w:sz w:val="24"/>
              </w:rPr>
            </w:pPr>
            <w:r>
              <w:rPr>
                <w:rFonts w:ascii="仿宋" w:eastAsia="仿宋" w:hAnsi="仿宋" w:cs="宋体" w:hint="eastAsia"/>
                <w:color w:val="000000"/>
                <w:kern w:val="0"/>
                <w:sz w:val="24"/>
              </w:rPr>
              <w:t>（三）</w:t>
            </w:r>
            <w:r>
              <w:rPr>
                <w:rFonts w:ascii="仿宋" w:eastAsia="仿宋" w:hAnsi="仿宋" w:hint="eastAsia"/>
                <w:sz w:val="24"/>
              </w:rPr>
              <w:t>(A03061)《非居民纳税人享受税收协定待遇情况报告表（企业所得税B表）》（自行申报2份，扣缴义务人扣缴申报3份）。</w:t>
            </w:r>
          </w:p>
        </w:tc>
        <w:tc>
          <w:tcPr>
            <w:tcW w:w="1245"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300" w:lineRule="exact"/>
              <w:jc w:val="left"/>
              <w:rPr>
                <w:rFonts w:ascii="仿宋" w:eastAsia="仿宋" w:hAnsi="仿宋"/>
                <w:sz w:val="24"/>
              </w:rPr>
            </w:pPr>
            <w:r>
              <w:rPr>
                <w:rFonts w:ascii="仿宋" w:eastAsia="仿宋" w:hAnsi="仿宋" w:hint="eastAsia"/>
                <w:sz w:val="24"/>
              </w:rPr>
              <w:t>享受税收协定常设机构和营业利润条款待遇纳税人提交</w:t>
            </w:r>
          </w:p>
        </w:tc>
        <w:tc>
          <w:tcPr>
            <w:tcW w:w="3342"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sz w:val="24"/>
              </w:rPr>
            </w:pPr>
          </w:p>
        </w:tc>
        <w:tc>
          <w:tcPr>
            <w:tcW w:w="410"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color w:val="FF0000"/>
                <w:sz w:val="24"/>
              </w:rPr>
            </w:pPr>
          </w:p>
        </w:tc>
        <w:tc>
          <w:tcPr>
            <w:tcW w:w="410"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sz w:val="24"/>
              </w:rPr>
            </w:pPr>
          </w:p>
        </w:tc>
        <w:tc>
          <w:tcPr>
            <w:tcW w:w="466"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sz w:val="24"/>
              </w:rPr>
            </w:pPr>
          </w:p>
        </w:tc>
        <w:tc>
          <w:tcPr>
            <w:tcW w:w="650"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sz w:val="24"/>
              </w:rPr>
            </w:pPr>
          </w:p>
        </w:tc>
        <w:tc>
          <w:tcPr>
            <w:tcW w:w="668" w:type="dxa"/>
            <w:vMerge/>
            <w:tcBorders>
              <w:top w:val="single" w:sz="4" w:space="0" w:color="auto"/>
              <w:left w:val="single" w:sz="4" w:space="0" w:color="auto"/>
              <w:bottom w:val="single" w:sz="8" w:space="0" w:color="auto"/>
              <w:right w:val="single" w:sz="8" w:space="0" w:color="auto"/>
            </w:tcBorders>
            <w:vAlign w:val="center"/>
          </w:tcPr>
          <w:p w:rsidR="00013EC7" w:rsidRDefault="00013EC7">
            <w:pPr>
              <w:widowControl/>
              <w:jc w:val="left"/>
              <w:rPr>
                <w:rFonts w:ascii="仿宋" w:eastAsia="仿宋" w:hAnsi="仿宋"/>
                <w:sz w:val="24"/>
              </w:rPr>
            </w:pPr>
          </w:p>
        </w:tc>
      </w:tr>
      <w:tr w:rsidR="00013EC7">
        <w:trPr>
          <w:trHeight w:val="216"/>
          <w:jc w:val="center"/>
        </w:trPr>
        <w:tc>
          <w:tcPr>
            <w:tcW w:w="858" w:type="dxa"/>
            <w:vMerge/>
            <w:tcBorders>
              <w:top w:val="single" w:sz="4" w:space="0" w:color="auto"/>
              <w:left w:val="single" w:sz="8" w:space="0" w:color="auto"/>
              <w:bottom w:val="single" w:sz="8" w:space="0" w:color="auto"/>
              <w:right w:val="single" w:sz="4" w:space="0" w:color="auto"/>
            </w:tcBorders>
            <w:vAlign w:val="center"/>
          </w:tcPr>
          <w:p w:rsidR="00013EC7" w:rsidRDefault="00013EC7">
            <w:pPr>
              <w:widowControl/>
              <w:jc w:val="left"/>
              <w:rPr>
                <w:rFonts w:ascii="仿宋" w:eastAsia="仿宋" w:hAnsi="仿宋"/>
                <w:sz w:val="24"/>
              </w:rPr>
            </w:pPr>
          </w:p>
        </w:tc>
        <w:tc>
          <w:tcPr>
            <w:tcW w:w="876"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sz w:val="24"/>
              </w:rPr>
            </w:pPr>
          </w:p>
        </w:tc>
        <w:tc>
          <w:tcPr>
            <w:tcW w:w="3170"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sz w:val="24"/>
              </w:rPr>
            </w:pPr>
          </w:p>
        </w:tc>
        <w:tc>
          <w:tcPr>
            <w:tcW w:w="3445" w:type="dxa"/>
            <w:tcBorders>
              <w:top w:val="single" w:sz="4" w:space="0" w:color="auto"/>
              <w:left w:val="single" w:sz="4" w:space="0" w:color="auto"/>
              <w:bottom w:val="single" w:sz="4" w:space="0" w:color="auto"/>
              <w:right w:val="single" w:sz="4" w:space="0" w:color="auto"/>
            </w:tcBorders>
            <w:vAlign w:val="center"/>
          </w:tcPr>
          <w:p w:rsidR="00013EC7" w:rsidRDefault="00013EC7">
            <w:pPr>
              <w:spacing w:line="310" w:lineRule="exact"/>
              <w:jc w:val="left"/>
              <w:rPr>
                <w:rFonts w:ascii="仿宋" w:eastAsia="仿宋" w:hAnsi="仿宋" w:cs="宋体"/>
                <w:color w:val="000000"/>
                <w:kern w:val="0"/>
                <w:sz w:val="24"/>
              </w:rPr>
            </w:pPr>
          </w:p>
          <w:p w:rsidR="00013EC7" w:rsidRDefault="00575CDB">
            <w:pPr>
              <w:numPr>
                <w:ilvl w:val="0"/>
                <w:numId w:val="5"/>
              </w:numPr>
              <w:spacing w:line="310" w:lineRule="exact"/>
              <w:jc w:val="left"/>
              <w:rPr>
                <w:rFonts w:ascii="仿宋" w:eastAsia="仿宋" w:hAnsi="仿宋"/>
                <w:sz w:val="24"/>
              </w:rPr>
            </w:pPr>
            <w:r>
              <w:rPr>
                <w:rFonts w:ascii="仿宋" w:eastAsia="仿宋" w:hAnsi="仿宋" w:hint="eastAsia"/>
                <w:sz w:val="24"/>
              </w:rPr>
              <w:t>(A03062)《非居民纳税人享受税收协定待遇情况报告表（企业所得税C表）》（自行申报2份，扣缴义务人扣缴申报3份）。</w:t>
            </w:r>
          </w:p>
        </w:tc>
        <w:tc>
          <w:tcPr>
            <w:tcW w:w="1222"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300" w:lineRule="exact"/>
              <w:jc w:val="left"/>
              <w:rPr>
                <w:rFonts w:ascii="仿宋" w:eastAsia="仿宋" w:hAnsi="仿宋"/>
                <w:sz w:val="24"/>
              </w:rPr>
            </w:pPr>
            <w:r>
              <w:rPr>
                <w:rFonts w:ascii="仿宋" w:eastAsia="仿宋" w:hAnsi="仿宋" w:hint="eastAsia"/>
                <w:sz w:val="24"/>
              </w:rPr>
              <w:t>享受税收协定财产收益、其他所得条款待遇纳税人提交</w:t>
            </w:r>
          </w:p>
        </w:tc>
        <w:tc>
          <w:tcPr>
            <w:tcW w:w="3480"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310" w:lineRule="exact"/>
              <w:jc w:val="left"/>
              <w:rPr>
                <w:rFonts w:ascii="仿宋" w:eastAsia="仿宋" w:hAnsi="仿宋" w:cs="宋体"/>
                <w:sz w:val="24"/>
              </w:rPr>
            </w:pPr>
            <w:r>
              <w:rPr>
                <w:rFonts w:ascii="仿宋" w:eastAsia="仿宋" w:hAnsi="仿宋" w:cs="宋体" w:hint="eastAsia"/>
                <w:color w:val="000000"/>
                <w:kern w:val="0"/>
                <w:sz w:val="24"/>
              </w:rPr>
              <w:t>（四）</w:t>
            </w:r>
            <w:r>
              <w:rPr>
                <w:rFonts w:ascii="仿宋" w:eastAsia="仿宋" w:hAnsi="仿宋" w:hint="eastAsia"/>
                <w:sz w:val="24"/>
              </w:rPr>
              <w:t>(A03062)《非居民纳税人享受税收协定待遇情况报告表（企业所得税C表）》（自行申报2份，扣缴义务人扣缴申报3份）。</w:t>
            </w:r>
          </w:p>
        </w:tc>
        <w:tc>
          <w:tcPr>
            <w:tcW w:w="1245"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310" w:lineRule="exact"/>
              <w:jc w:val="left"/>
              <w:rPr>
                <w:rFonts w:ascii="仿宋" w:eastAsia="仿宋" w:hAnsi="仿宋"/>
                <w:sz w:val="24"/>
              </w:rPr>
            </w:pPr>
            <w:r>
              <w:rPr>
                <w:rFonts w:ascii="仿宋" w:eastAsia="仿宋" w:hAnsi="仿宋" w:hint="eastAsia"/>
                <w:sz w:val="24"/>
              </w:rPr>
              <w:t>享受税收协定财产收益、其他所得条款待遇纳税人提交</w:t>
            </w:r>
          </w:p>
        </w:tc>
        <w:tc>
          <w:tcPr>
            <w:tcW w:w="3342"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sz w:val="24"/>
              </w:rPr>
            </w:pPr>
          </w:p>
        </w:tc>
        <w:tc>
          <w:tcPr>
            <w:tcW w:w="410"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color w:val="FF0000"/>
                <w:sz w:val="24"/>
              </w:rPr>
            </w:pPr>
          </w:p>
        </w:tc>
        <w:tc>
          <w:tcPr>
            <w:tcW w:w="410"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sz w:val="24"/>
              </w:rPr>
            </w:pPr>
          </w:p>
        </w:tc>
        <w:tc>
          <w:tcPr>
            <w:tcW w:w="466"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sz w:val="24"/>
              </w:rPr>
            </w:pPr>
          </w:p>
        </w:tc>
        <w:tc>
          <w:tcPr>
            <w:tcW w:w="650"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sz w:val="24"/>
              </w:rPr>
            </w:pPr>
          </w:p>
        </w:tc>
        <w:tc>
          <w:tcPr>
            <w:tcW w:w="668" w:type="dxa"/>
            <w:vMerge/>
            <w:tcBorders>
              <w:top w:val="single" w:sz="4" w:space="0" w:color="auto"/>
              <w:left w:val="single" w:sz="4" w:space="0" w:color="auto"/>
              <w:bottom w:val="single" w:sz="8" w:space="0" w:color="auto"/>
              <w:right w:val="single" w:sz="8" w:space="0" w:color="auto"/>
            </w:tcBorders>
            <w:vAlign w:val="center"/>
          </w:tcPr>
          <w:p w:rsidR="00013EC7" w:rsidRDefault="00013EC7">
            <w:pPr>
              <w:widowControl/>
              <w:jc w:val="left"/>
              <w:rPr>
                <w:rFonts w:ascii="仿宋" w:eastAsia="仿宋" w:hAnsi="仿宋"/>
                <w:sz w:val="24"/>
              </w:rPr>
            </w:pPr>
          </w:p>
        </w:tc>
      </w:tr>
      <w:tr w:rsidR="00013EC7">
        <w:trPr>
          <w:trHeight w:val="913"/>
          <w:jc w:val="center"/>
        </w:trPr>
        <w:tc>
          <w:tcPr>
            <w:tcW w:w="858" w:type="dxa"/>
            <w:vMerge/>
            <w:tcBorders>
              <w:top w:val="single" w:sz="4" w:space="0" w:color="auto"/>
              <w:left w:val="single" w:sz="8" w:space="0" w:color="auto"/>
              <w:bottom w:val="single" w:sz="8" w:space="0" w:color="auto"/>
              <w:right w:val="single" w:sz="4" w:space="0" w:color="auto"/>
            </w:tcBorders>
            <w:vAlign w:val="center"/>
          </w:tcPr>
          <w:p w:rsidR="00013EC7" w:rsidRDefault="00013EC7">
            <w:pPr>
              <w:widowControl/>
              <w:jc w:val="left"/>
              <w:rPr>
                <w:rFonts w:ascii="仿宋" w:eastAsia="仿宋" w:hAnsi="仿宋"/>
                <w:sz w:val="24"/>
              </w:rPr>
            </w:pPr>
          </w:p>
        </w:tc>
        <w:tc>
          <w:tcPr>
            <w:tcW w:w="876"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sz w:val="24"/>
              </w:rPr>
            </w:pPr>
          </w:p>
        </w:tc>
        <w:tc>
          <w:tcPr>
            <w:tcW w:w="3170"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sz w:val="24"/>
              </w:rPr>
            </w:pPr>
          </w:p>
        </w:tc>
        <w:tc>
          <w:tcPr>
            <w:tcW w:w="3445"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310" w:lineRule="exact"/>
              <w:jc w:val="left"/>
              <w:rPr>
                <w:rFonts w:ascii="仿宋" w:eastAsia="仿宋" w:hAnsi="仿宋"/>
                <w:sz w:val="24"/>
              </w:rPr>
            </w:pPr>
            <w:r>
              <w:rPr>
                <w:rFonts w:ascii="仿宋" w:eastAsia="仿宋" w:hAnsi="仿宋" w:hint="eastAsia"/>
                <w:sz w:val="24"/>
              </w:rPr>
              <w:t>（五）(A03063)《非居民纳税人享受税收协定待遇情况报告表（企业所得税D表）》（自行申报2份，扣缴义务人扣缴申报3份）。</w:t>
            </w:r>
          </w:p>
        </w:tc>
        <w:tc>
          <w:tcPr>
            <w:tcW w:w="1222"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300" w:lineRule="exact"/>
              <w:jc w:val="left"/>
              <w:rPr>
                <w:rFonts w:ascii="仿宋" w:eastAsia="仿宋" w:hAnsi="仿宋"/>
                <w:sz w:val="24"/>
              </w:rPr>
            </w:pPr>
            <w:r>
              <w:rPr>
                <w:rFonts w:ascii="仿宋" w:eastAsia="仿宋" w:hAnsi="仿宋" w:hint="eastAsia"/>
                <w:sz w:val="24"/>
              </w:rPr>
              <w:t>享受国际运输相关协定待遇纳税人提交</w:t>
            </w:r>
          </w:p>
        </w:tc>
        <w:tc>
          <w:tcPr>
            <w:tcW w:w="3480"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310" w:lineRule="exact"/>
              <w:jc w:val="left"/>
              <w:rPr>
                <w:rFonts w:ascii="仿宋" w:eastAsia="仿宋" w:hAnsi="仿宋"/>
                <w:sz w:val="24"/>
              </w:rPr>
            </w:pPr>
            <w:r>
              <w:rPr>
                <w:rFonts w:ascii="仿宋" w:eastAsia="仿宋" w:hAnsi="仿宋" w:hint="eastAsia"/>
                <w:sz w:val="24"/>
              </w:rPr>
              <w:t>（五）(A03063)《非居民纳税人享受税收协定待遇情况报告表（企业所得税D表）》（自行申报2份，扣缴义务人扣缴申报3份）。</w:t>
            </w:r>
          </w:p>
        </w:tc>
        <w:tc>
          <w:tcPr>
            <w:tcW w:w="1245"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310" w:lineRule="exact"/>
              <w:jc w:val="left"/>
              <w:rPr>
                <w:rFonts w:ascii="仿宋" w:eastAsia="仿宋" w:hAnsi="仿宋"/>
                <w:sz w:val="24"/>
              </w:rPr>
            </w:pPr>
            <w:r>
              <w:rPr>
                <w:rFonts w:ascii="仿宋" w:eastAsia="仿宋" w:hAnsi="仿宋" w:hint="eastAsia"/>
                <w:sz w:val="24"/>
              </w:rPr>
              <w:t>享受国际运输相关协定待遇纳税人提交</w:t>
            </w:r>
          </w:p>
        </w:tc>
        <w:tc>
          <w:tcPr>
            <w:tcW w:w="3342"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sz w:val="24"/>
              </w:rPr>
            </w:pPr>
          </w:p>
        </w:tc>
        <w:tc>
          <w:tcPr>
            <w:tcW w:w="410"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color w:val="FF0000"/>
                <w:sz w:val="24"/>
              </w:rPr>
            </w:pPr>
          </w:p>
        </w:tc>
        <w:tc>
          <w:tcPr>
            <w:tcW w:w="410"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sz w:val="24"/>
              </w:rPr>
            </w:pPr>
          </w:p>
        </w:tc>
        <w:tc>
          <w:tcPr>
            <w:tcW w:w="466"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sz w:val="24"/>
              </w:rPr>
            </w:pPr>
          </w:p>
        </w:tc>
        <w:tc>
          <w:tcPr>
            <w:tcW w:w="650"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sz w:val="24"/>
              </w:rPr>
            </w:pPr>
          </w:p>
        </w:tc>
        <w:tc>
          <w:tcPr>
            <w:tcW w:w="668" w:type="dxa"/>
            <w:vMerge/>
            <w:tcBorders>
              <w:top w:val="single" w:sz="4" w:space="0" w:color="auto"/>
              <w:left w:val="single" w:sz="4" w:space="0" w:color="auto"/>
              <w:bottom w:val="single" w:sz="8" w:space="0" w:color="auto"/>
              <w:right w:val="single" w:sz="8" w:space="0" w:color="auto"/>
            </w:tcBorders>
            <w:vAlign w:val="center"/>
          </w:tcPr>
          <w:p w:rsidR="00013EC7" w:rsidRDefault="00013EC7">
            <w:pPr>
              <w:widowControl/>
              <w:jc w:val="left"/>
              <w:rPr>
                <w:rFonts w:ascii="仿宋" w:eastAsia="仿宋" w:hAnsi="仿宋"/>
                <w:sz w:val="24"/>
              </w:rPr>
            </w:pPr>
          </w:p>
        </w:tc>
      </w:tr>
      <w:tr w:rsidR="00013EC7">
        <w:trPr>
          <w:trHeight w:val="2707"/>
          <w:jc w:val="center"/>
        </w:trPr>
        <w:tc>
          <w:tcPr>
            <w:tcW w:w="858" w:type="dxa"/>
            <w:vMerge/>
            <w:tcBorders>
              <w:top w:val="single" w:sz="4" w:space="0" w:color="auto"/>
              <w:left w:val="single" w:sz="8" w:space="0" w:color="auto"/>
              <w:bottom w:val="single" w:sz="8" w:space="0" w:color="auto"/>
              <w:right w:val="single" w:sz="4" w:space="0" w:color="auto"/>
            </w:tcBorders>
            <w:vAlign w:val="center"/>
          </w:tcPr>
          <w:p w:rsidR="00013EC7" w:rsidRDefault="00013EC7">
            <w:pPr>
              <w:widowControl/>
              <w:jc w:val="left"/>
              <w:rPr>
                <w:rFonts w:ascii="仿宋" w:eastAsia="仿宋" w:hAnsi="仿宋"/>
                <w:sz w:val="24"/>
              </w:rPr>
            </w:pPr>
          </w:p>
        </w:tc>
        <w:tc>
          <w:tcPr>
            <w:tcW w:w="876"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sz w:val="24"/>
              </w:rPr>
            </w:pPr>
          </w:p>
        </w:tc>
        <w:tc>
          <w:tcPr>
            <w:tcW w:w="3170"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sz w:val="24"/>
              </w:rPr>
            </w:pPr>
          </w:p>
        </w:tc>
        <w:tc>
          <w:tcPr>
            <w:tcW w:w="3445"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310" w:lineRule="exact"/>
              <w:jc w:val="left"/>
              <w:rPr>
                <w:rFonts w:ascii="仿宋" w:eastAsia="仿宋" w:hAnsi="仿宋"/>
                <w:sz w:val="24"/>
              </w:rPr>
            </w:pPr>
            <w:r>
              <w:rPr>
                <w:rFonts w:ascii="仿宋" w:eastAsia="仿宋" w:hAnsi="仿宋" w:hint="eastAsia"/>
                <w:sz w:val="24"/>
              </w:rPr>
              <w:t>（六）</w:t>
            </w:r>
            <w:r>
              <w:rPr>
                <w:rFonts w:ascii="仿宋" w:eastAsia="仿宋" w:hAnsi="仿宋" w:cs="宋体" w:hint="eastAsia"/>
                <w:color w:val="000000"/>
                <w:kern w:val="0"/>
                <w:sz w:val="24"/>
              </w:rPr>
              <w:t>由协定缔约对方税务主管当局在纳税申报或扣缴申报前一个公历年度开始以后出具的税收居民身份证明（享受税收协定国际</w:t>
            </w:r>
            <w:r>
              <w:rPr>
                <w:rFonts w:ascii="仿宋" w:eastAsia="仿宋" w:hAnsi="仿宋" w:hint="eastAsia"/>
                <w:sz w:val="24"/>
              </w:rPr>
              <w:t>运输</w:t>
            </w:r>
            <w:r>
              <w:rPr>
                <w:rFonts w:ascii="仿宋" w:eastAsia="仿宋" w:hAnsi="仿宋" w:cs="宋体" w:hint="eastAsia"/>
                <w:color w:val="000000"/>
                <w:kern w:val="0"/>
                <w:sz w:val="24"/>
              </w:rPr>
              <w:t>条款待遇或国际运输协定待遇的企业，可以缔约对方运输主管部门在纳税申报或扣缴申报前一个公历年度开始以后出具的法人证明代替税收居民身份证明。）</w:t>
            </w:r>
          </w:p>
        </w:tc>
        <w:tc>
          <w:tcPr>
            <w:tcW w:w="1222" w:type="dxa"/>
            <w:vMerge w:val="restart"/>
            <w:tcBorders>
              <w:top w:val="single" w:sz="4" w:space="0" w:color="auto"/>
              <w:left w:val="single" w:sz="4" w:space="0" w:color="auto"/>
              <w:bottom w:val="single" w:sz="8" w:space="0" w:color="auto"/>
              <w:right w:val="single" w:sz="4" w:space="0" w:color="auto"/>
            </w:tcBorders>
            <w:vAlign w:val="center"/>
          </w:tcPr>
          <w:p w:rsidR="00013EC7" w:rsidRDefault="00575CDB">
            <w:pPr>
              <w:spacing w:line="300" w:lineRule="exact"/>
              <w:jc w:val="left"/>
              <w:rPr>
                <w:rFonts w:ascii="仿宋" w:eastAsia="仿宋" w:hAnsi="仿宋"/>
                <w:sz w:val="24"/>
              </w:rPr>
            </w:pPr>
            <w:r>
              <w:rPr>
                <w:rFonts w:ascii="仿宋" w:eastAsia="仿宋" w:hAnsi="仿宋" w:hint="eastAsia"/>
                <w:sz w:val="24"/>
              </w:rPr>
              <w:t>纳税人提交</w:t>
            </w:r>
          </w:p>
        </w:tc>
        <w:tc>
          <w:tcPr>
            <w:tcW w:w="3480"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310" w:lineRule="exact"/>
              <w:jc w:val="left"/>
              <w:rPr>
                <w:rFonts w:ascii="仿宋" w:eastAsia="仿宋" w:hAnsi="仿宋"/>
                <w:sz w:val="24"/>
              </w:rPr>
            </w:pPr>
            <w:r>
              <w:rPr>
                <w:rFonts w:ascii="仿宋" w:eastAsia="仿宋" w:hAnsi="仿宋" w:hint="eastAsia"/>
                <w:sz w:val="24"/>
              </w:rPr>
              <w:t>（六）</w:t>
            </w:r>
            <w:r>
              <w:rPr>
                <w:rFonts w:ascii="仿宋" w:eastAsia="仿宋" w:hAnsi="仿宋" w:cs="宋体" w:hint="eastAsia"/>
                <w:color w:val="000000"/>
                <w:kern w:val="0"/>
                <w:sz w:val="24"/>
              </w:rPr>
              <w:t>由协定缔约对方税务主管当局在纳税申报或扣缴申报前一个公历年度开始以后出具的税收居民身份证明（享受税收协定国际运输条款待遇或国际运输协定待遇的企业，可以缔约对方运输主管部门在纳税申报或扣缴申报前一个公历年度开始以后出具的法人证明代替税收居民身份证明。）</w:t>
            </w:r>
          </w:p>
        </w:tc>
        <w:tc>
          <w:tcPr>
            <w:tcW w:w="1245" w:type="dxa"/>
            <w:vMerge w:val="restart"/>
            <w:tcBorders>
              <w:top w:val="single" w:sz="4" w:space="0" w:color="auto"/>
              <w:left w:val="single" w:sz="4" w:space="0" w:color="auto"/>
              <w:right w:val="single" w:sz="4" w:space="0" w:color="auto"/>
            </w:tcBorders>
            <w:vAlign w:val="center"/>
          </w:tcPr>
          <w:p w:rsidR="00013EC7" w:rsidRDefault="00575CDB">
            <w:pPr>
              <w:spacing w:line="310" w:lineRule="exact"/>
              <w:jc w:val="left"/>
              <w:rPr>
                <w:rFonts w:ascii="仿宋" w:eastAsia="仿宋" w:hAnsi="仿宋"/>
                <w:sz w:val="24"/>
              </w:rPr>
            </w:pPr>
            <w:r>
              <w:rPr>
                <w:rFonts w:ascii="仿宋" w:eastAsia="仿宋" w:hAnsi="仿宋" w:hint="eastAsia"/>
                <w:sz w:val="24"/>
              </w:rPr>
              <w:t>纳税人提交</w:t>
            </w:r>
          </w:p>
        </w:tc>
        <w:tc>
          <w:tcPr>
            <w:tcW w:w="3342"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sz w:val="24"/>
              </w:rPr>
            </w:pPr>
          </w:p>
        </w:tc>
        <w:tc>
          <w:tcPr>
            <w:tcW w:w="410"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color w:val="FF0000"/>
                <w:sz w:val="24"/>
              </w:rPr>
            </w:pPr>
          </w:p>
        </w:tc>
        <w:tc>
          <w:tcPr>
            <w:tcW w:w="410"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sz w:val="24"/>
              </w:rPr>
            </w:pPr>
          </w:p>
        </w:tc>
        <w:tc>
          <w:tcPr>
            <w:tcW w:w="466"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sz w:val="24"/>
              </w:rPr>
            </w:pPr>
          </w:p>
        </w:tc>
        <w:tc>
          <w:tcPr>
            <w:tcW w:w="650"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sz w:val="24"/>
              </w:rPr>
            </w:pPr>
          </w:p>
        </w:tc>
        <w:tc>
          <w:tcPr>
            <w:tcW w:w="668" w:type="dxa"/>
            <w:vMerge/>
            <w:tcBorders>
              <w:top w:val="single" w:sz="4" w:space="0" w:color="auto"/>
              <w:left w:val="single" w:sz="4" w:space="0" w:color="auto"/>
              <w:bottom w:val="single" w:sz="8" w:space="0" w:color="auto"/>
              <w:right w:val="single" w:sz="8" w:space="0" w:color="auto"/>
            </w:tcBorders>
            <w:vAlign w:val="center"/>
          </w:tcPr>
          <w:p w:rsidR="00013EC7" w:rsidRDefault="00013EC7">
            <w:pPr>
              <w:widowControl/>
              <w:jc w:val="left"/>
              <w:rPr>
                <w:rFonts w:ascii="仿宋" w:eastAsia="仿宋" w:hAnsi="仿宋"/>
                <w:sz w:val="24"/>
              </w:rPr>
            </w:pPr>
          </w:p>
        </w:tc>
      </w:tr>
      <w:tr w:rsidR="00013EC7">
        <w:trPr>
          <w:trHeight w:val="606"/>
          <w:jc w:val="center"/>
        </w:trPr>
        <w:tc>
          <w:tcPr>
            <w:tcW w:w="858" w:type="dxa"/>
            <w:vMerge/>
            <w:tcBorders>
              <w:top w:val="single" w:sz="4" w:space="0" w:color="auto"/>
              <w:left w:val="single" w:sz="8" w:space="0" w:color="auto"/>
              <w:bottom w:val="single" w:sz="8" w:space="0" w:color="auto"/>
              <w:right w:val="single" w:sz="4" w:space="0" w:color="auto"/>
            </w:tcBorders>
            <w:vAlign w:val="center"/>
          </w:tcPr>
          <w:p w:rsidR="00013EC7" w:rsidRDefault="00013EC7">
            <w:pPr>
              <w:widowControl/>
              <w:jc w:val="left"/>
              <w:rPr>
                <w:rFonts w:ascii="仿宋" w:eastAsia="仿宋" w:hAnsi="仿宋"/>
                <w:sz w:val="24"/>
              </w:rPr>
            </w:pPr>
          </w:p>
        </w:tc>
        <w:tc>
          <w:tcPr>
            <w:tcW w:w="876"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sz w:val="24"/>
              </w:rPr>
            </w:pPr>
          </w:p>
        </w:tc>
        <w:tc>
          <w:tcPr>
            <w:tcW w:w="3170"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sz w:val="24"/>
              </w:rPr>
            </w:pPr>
          </w:p>
        </w:tc>
        <w:tc>
          <w:tcPr>
            <w:tcW w:w="3445"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310" w:lineRule="exact"/>
              <w:jc w:val="left"/>
              <w:rPr>
                <w:rFonts w:ascii="仿宋" w:eastAsia="仿宋" w:hAnsi="仿宋" w:cs="宋体"/>
                <w:color w:val="000000"/>
                <w:kern w:val="0"/>
                <w:sz w:val="24"/>
              </w:rPr>
            </w:pPr>
            <w:r>
              <w:rPr>
                <w:rFonts w:ascii="仿宋" w:eastAsia="仿宋" w:hAnsi="仿宋" w:hint="eastAsia"/>
                <w:sz w:val="24"/>
              </w:rPr>
              <w:t>（七）</w:t>
            </w:r>
            <w:r>
              <w:rPr>
                <w:rFonts w:ascii="仿宋" w:eastAsia="仿宋" w:hAnsi="仿宋" w:cs="宋体" w:hint="eastAsia"/>
                <w:color w:val="000000"/>
                <w:kern w:val="0"/>
                <w:sz w:val="24"/>
              </w:rPr>
              <w:t>与取得相关所得有关的合同、协议、董事会或股东会决议、支付凭证等权属证明资料，主要包括非居民纳税人从中国境内取得营业利润、国际运输所得、利息、特许权</w:t>
            </w:r>
            <w:r>
              <w:rPr>
                <w:rFonts w:ascii="仿宋" w:eastAsia="仿宋" w:hAnsi="仿宋" w:hint="eastAsia"/>
                <w:sz w:val="24"/>
              </w:rPr>
              <w:t>使用费</w:t>
            </w:r>
            <w:r>
              <w:rPr>
                <w:rFonts w:ascii="仿宋" w:eastAsia="仿宋" w:hAnsi="仿宋" w:cs="宋体" w:hint="eastAsia"/>
                <w:color w:val="000000"/>
                <w:kern w:val="0"/>
                <w:sz w:val="24"/>
              </w:rPr>
              <w:t>、财产收益、各类劳务所得等，与所得支付方签署的合同或协议；非居民纳税人从中国境内取得股息，由股息支付方做出股息分配决定的董事会或股东会决议。</w:t>
            </w:r>
          </w:p>
        </w:tc>
        <w:tc>
          <w:tcPr>
            <w:tcW w:w="1222"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sz w:val="24"/>
              </w:rPr>
            </w:pPr>
          </w:p>
        </w:tc>
        <w:tc>
          <w:tcPr>
            <w:tcW w:w="3480"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310" w:lineRule="exact"/>
              <w:jc w:val="left"/>
              <w:rPr>
                <w:rFonts w:ascii="仿宋" w:eastAsia="仿宋" w:hAnsi="仿宋"/>
                <w:sz w:val="24"/>
              </w:rPr>
            </w:pPr>
            <w:r>
              <w:rPr>
                <w:rFonts w:ascii="仿宋" w:eastAsia="仿宋" w:hAnsi="仿宋" w:hint="eastAsia"/>
                <w:sz w:val="24"/>
              </w:rPr>
              <w:t>（七）</w:t>
            </w:r>
            <w:r>
              <w:rPr>
                <w:rFonts w:ascii="仿宋" w:eastAsia="仿宋" w:hAnsi="仿宋" w:cs="宋体" w:hint="eastAsia"/>
                <w:color w:val="000000"/>
                <w:kern w:val="0"/>
                <w:sz w:val="24"/>
              </w:rPr>
              <w:t>与取得相关所得有关的合同、协议、董事会或股东会决议、支付凭证等权属证明资料，主要包括非居民纳税人从中国境内取得营业利润、国际运输所得、利息、特许权使用费、财产收益、各类劳务所得等，与所得支付方签署的合同或协议；非居民纳税人从中国境内取得股息，由股息支付方做出股息分配决定的董事会或股东会决议。</w:t>
            </w:r>
          </w:p>
        </w:tc>
        <w:tc>
          <w:tcPr>
            <w:tcW w:w="1245" w:type="dxa"/>
            <w:vMerge/>
            <w:tcBorders>
              <w:left w:val="single" w:sz="4" w:space="0" w:color="auto"/>
              <w:bottom w:val="single" w:sz="4" w:space="0" w:color="auto"/>
              <w:right w:val="single" w:sz="4" w:space="0" w:color="auto"/>
            </w:tcBorders>
            <w:vAlign w:val="center"/>
          </w:tcPr>
          <w:p w:rsidR="00013EC7" w:rsidRDefault="00013EC7">
            <w:pPr>
              <w:spacing w:line="310" w:lineRule="exact"/>
              <w:jc w:val="left"/>
              <w:rPr>
                <w:rFonts w:ascii="仿宋" w:eastAsia="仿宋" w:hAnsi="仿宋"/>
                <w:sz w:val="24"/>
              </w:rPr>
            </w:pPr>
          </w:p>
        </w:tc>
        <w:tc>
          <w:tcPr>
            <w:tcW w:w="3342"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sz w:val="24"/>
              </w:rPr>
            </w:pPr>
          </w:p>
        </w:tc>
        <w:tc>
          <w:tcPr>
            <w:tcW w:w="410"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color w:val="FF0000"/>
                <w:sz w:val="24"/>
              </w:rPr>
            </w:pPr>
          </w:p>
        </w:tc>
        <w:tc>
          <w:tcPr>
            <w:tcW w:w="410"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sz w:val="24"/>
              </w:rPr>
            </w:pPr>
          </w:p>
        </w:tc>
        <w:tc>
          <w:tcPr>
            <w:tcW w:w="466"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sz w:val="24"/>
              </w:rPr>
            </w:pPr>
          </w:p>
        </w:tc>
        <w:tc>
          <w:tcPr>
            <w:tcW w:w="650"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sz w:val="24"/>
              </w:rPr>
            </w:pPr>
          </w:p>
        </w:tc>
        <w:tc>
          <w:tcPr>
            <w:tcW w:w="668" w:type="dxa"/>
            <w:vMerge/>
            <w:tcBorders>
              <w:top w:val="single" w:sz="4" w:space="0" w:color="auto"/>
              <w:left w:val="single" w:sz="4" w:space="0" w:color="auto"/>
              <w:bottom w:val="single" w:sz="8" w:space="0" w:color="auto"/>
              <w:right w:val="single" w:sz="8" w:space="0" w:color="auto"/>
            </w:tcBorders>
            <w:vAlign w:val="center"/>
          </w:tcPr>
          <w:p w:rsidR="00013EC7" w:rsidRDefault="00013EC7">
            <w:pPr>
              <w:widowControl/>
              <w:jc w:val="left"/>
              <w:rPr>
                <w:rFonts w:ascii="仿宋" w:eastAsia="仿宋" w:hAnsi="仿宋"/>
                <w:sz w:val="24"/>
              </w:rPr>
            </w:pPr>
          </w:p>
        </w:tc>
      </w:tr>
      <w:tr w:rsidR="00013EC7">
        <w:trPr>
          <w:trHeight w:val="90"/>
          <w:jc w:val="center"/>
        </w:trPr>
        <w:tc>
          <w:tcPr>
            <w:tcW w:w="858" w:type="dxa"/>
            <w:vMerge/>
            <w:tcBorders>
              <w:top w:val="single" w:sz="4" w:space="0" w:color="auto"/>
              <w:left w:val="single" w:sz="8" w:space="0" w:color="auto"/>
              <w:bottom w:val="single" w:sz="8" w:space="0" w:color="auto"/>
              <w:right w:val="single" w:sz="4" w:space="0" w:color="auto"/>
            </w:tcBorders>
            <w:vAlign w:val="center"/>
          </w:tcPr>
          <w:p w:rsidR="00013EC7" w:rsidRDefault="00013EC7">
            <w:pPr>
              <w:widowControl/>
              <w:jc w:val="left"/>
              <w:rPr>
                <w:rFonts w:ascii="仿宋" w:eastAsia="仿宋" w:hAnsi="仿宋"/>
                <w:sz w:val="24"/>
              </w:rPr>
            </w:pPr>
          </w:p>
        </w:tc>
        <w:tc>
          <w:tcPr>
            <w:tcW w:w="876"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sz w:val="24"/>
              </w:rPr>
            </w:pPr>
          </w:p>
        </w:tc>
        <w:tc>
          <w:tcPr>
            <w:tcW w:w="3170"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sz w:val="24"/>
              </w:rPr>
            </w:pPr>
          </w:p>
        </w:tc>
        <w:tc>
          <w:tcPr>
            <w:tcW w:w="3445" w:type="dxa"/>
            <w:tcBorders>
              <w:top w:val="single" w:sz="4" w:space="0" w:color="auto"/>
              <w:left w:val="single" w:sz="4" w:space="0" w:color="auto"/>
              <w:bottom w:val="single" w:sz="4" w:space="0" w:color="auto"/>
              <w:right w:val="single" w:sz="4" w:space="0" w:color="auto"/>
            </w:tcBorders>
            <w:vAlign w:val="center"/>
          </w:tcPr>
          <w:p w:rsidR="00013EC7" w:rsidRDefault="00575CDB">
            <w:pPr>
              <w:widowControl/>
              <w:jc w:val="left"/>
              <w:rPr>
                <w:rFonts w:ascii="仿宋" w:eastAsia="仿宋" w:hAnsi="仿宋" w:cs="宋体"/>
                <w:color w:val="000000"/>
                <w:kern w:val="0"/>
                <w:sz w:val="24"/>
              </w:rPr>
            </w:pPr>
            <w:r>
              <w:rPr>
                <w:rFonts w:ascii="仿宋" w:eastAsia="仿宋" w:hAnsi="仿宋" w:cs="宋体" w:hint="eastAsia"/>
                <w:color w:val="000000"/>
                <w:kern w:val="0"/>
                <w:sz w:val="24"/>
              </w:rPr>
              <w:t>（八）</w:t>
            </w:r>
            <w:r>
              <w:rPr>
                <w:rFonts w:ascii="仿宋" w:eastAsia="仿宋" w:hAnsi="仿宋" w:hint="eastAsia"/>
                <w:sz w:val="24"/>
                <w:highlight w:val="lightGray"/>
              </w:rPr>
              <w:t>其他税收规范性文件规定非居民纳税人享受特定条款税收协定待遇或 国际运输协定待遇应当提交的证明资料</w:t>
            </w:r>
            <w:r>
              <w:rPr>
                <w:rFonts w:ascii="仿宋" w:eastAsia="仿宋" w:hAnsi="仿宋" w:cs="宋体" w:hint="eastAsia"/>
                <w:color w:val="000000"/>
                <w:kern w:val="0"/>
                <w:sz w:val="24"/>
              </w:rPr>
              <w:t>。</w:t>
            </w:r>
          </w:p>
        </w:tc>
        <w:tc>
          <w:tcPr>
            <w:tcW w:w="1222"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sz w:val="24"/>
              </w:rPr>
            </w:pPr>
          </w:p>
        </w:tc>
        <w:tc>
          <w:tcPr>
            <w:tcW w:w="3480" w:type="dxa"/>
            <w:tcBorders>
              <w:top w:val="single" w:sz="4" w:space="0" w:color="auto"/>
              <w:left w:val="single" w:sz="4" w:space="0" w:color="auto"/>
              <w:bottom w:val="single" w:sz="4" w:space="0" w:color="auto"/>
              <w:right w:val="single" w:sz="4" w:space="0" w:color="auto"/>
            </w:tcBorders>
            <w:vAlign w:val="center"/>
          </w:tcPr>
          <w:p w:rsidR="00013EC7" w:rsidRDefault="00013EC7">
            <w:pPr>
              <w:widowControl/>
              <w:spacing w:line="360" w:lineRule="auto"/>
              <w:jc w:val="left"/>
              <w:rPr>
                <w:rFonts w:ascii="仿宋" w:eastAsia="仿宋" w:hAnsi="仿宋"/>
                <w:sz w:val="24"/>
              </w:rPr>
            </w:pPr>
          </w:p>
        </w:tc>
        <w:tc>
          <w:tcPr>
            <w:tcW w:w="1245"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310" w:lineRule="exact"/>
              <w:jc w:val="left"/>
              <w:rPr>
                <w:rFonts w:ascii="仿宋" w:eastAsia="仿宋" w:hAnsi="仿宋"/>
                <w:sz w:val="24"/>
              </w:rPr>
            </w:pPr>
            <w:r>
              <w:rPr>
                <w:rFonts w:ascii="仿宋" w:eastAsia="仿宋" w:hAnsi="仿宋" w:hint="eastAsia"/>
                <w:b/>
                <w:i/>
                <w:iCs/>
                <w:sz w:val="24"/>
              </w:rPr>
              <w:t>取消</w:t>
            </w:r>
          </w:p>
        </w:tc>
        <w:tc>
          <w:tcPr>
            <w:tcW w:w="3342"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sz w:val="24"/>
              </w:rPr>
            </w:pPr>
          </w:p>
        </w:tc>
        <w:tc>
          <w:tcPr>
            <w:tcW w:w="410"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color w:val="FF0000"/>
                <w:sz w:val="24"/>
              </w:rPr>
            </w:pPr>
          </w:p>
        </w:tc>
        <w:tc>
          <w:tcPr>
            <w:tcW w:w="410"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sz w:val="24"/>
              </w:rPr>
            </w:pPr>
          </w:p>
        </w:tc>
        <w:tc>
          <w:tcPr>
            <w:tcW w:w="466"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sz w:val="24"/>
              </w:rPr>
            </w:pPr>
          </w:p>
        </w:tc>
        <w:tc>
          <w:tcPr>
            <w:tcW w:w="650"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sz w:val="24"/>
              </w:rPr>
            </w:pPr>
          </w:p>
        </w:tc>
        <w:tc>
          <w:tcPr>
            <w:tcW w:w="668" w:type="dxa"/>
            <w:vMerge/>
            <w:tcBorders>
              <w:top w:val="single" w:sz="4" w:space="0" w:color="auto"/>
              <w:left w:val="single" w:sz="4" w:space="0" w:color="auto"/>
              <w:bottom w:val="single" w:sz="8" w:space="0" w:color="auto"/>
              <w:right w:val="single" w:sz="8" w:space="0" w:color="auto"/>
            </w:tcBorders>
            <w:vAlign w:val="center"/>
          </w:tcPr>
          <w:p w:rsidR="00013EC7" w:rsidRDefault="00013EC7">
            <w:pPr>
              <w:widowControl/>
              <w:jc w:val="left"/>
              <w:rPr>
                <w:rFonts w:ascii="仿宋" w:eastAsia="仿宋" w:hAnsi="仿宋"/>
                <w:sz w:val="24"/>
              </w:rPr>
            </w:pPr>
          </w:p>
        </w:tc>
      </w:tr>
      <w:tr w:rsidR="00013EC7">
        <w:trPr>
          <w:trHeight w:val="4680"/>
          <w:jc w:val="center"/>
        </w:trPr>
        <w:tc>
          <w:tcPr>
            <w:tcW w:w="858" w:type="dxa"/>
            <w:vMerge/>
            <w:tcBorders>
              <w:top w:val="single" w:sz="4" w:space="0" w:color="auto"/>
              <w:left w:val="single" w:sz="8" w:space="0" w:color="auto"/>
              <w:bottom w:val="single" w:sz="8" w:space="0" w:color="auto"/>
              <w:right w:val="single" w:sz="4" w:space="0" w:color="auto"/>
            </w:tcBorders>
            <w:vAlign w:val="center"/>
          </w:tcPr>
          <w:p w:rsidR="00013EC7" w:rsidRDefault="00013EC7">
            <w:pPr>
              <w:widowControl/>
              <w:jc w:val="left"/>
              <w:rPr>
                <w:rFonts w:ascii="仿宋" w:eastAsia="仿宋" w:hAnsi="仿宋"/>
                <w:sz w:val="24"/>
              </w:rPr>
            </w:pPr>
          </w:p>
        </w:tc>
        <w:tc>
          <w:tcPr>
            <w:tcW w:w="876"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sz w:val="24"/>
              </w:rPr>
            </w:pPr>
          </w:p>
        </w:tc>
        <w:tc>
          <w:tcPr>
            <w:tcW w:w="3170"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sz w:val="24"/>
              </w:rPr>
            </w:pPr>
          </w:p>
        </w:tc>
        <w:tc>
          <w:tcPr>
            <w:tcW w:w="3445" w:type="dxa"/>
            <w:tcBorders>
              <w:top w:val="single" w:sz="4" w:space="0" w:color="auto"/>
              <w:left w:val="single" w:sz="4" w:space="0" w:color="auto"/>
              <w:bottom w:val="single" w:sz="8" w:space="0" w:color="auto"/>
              <w:right w:val="single" w:sz="4" w:space="0" w:color="auto"/>
            </w:tcBorders>
            <w:vAlign w:val="center"/>
          </w:tcPr>
          <w:p w:rsidR="00013EC7" w:rsidRDefault="00575CDB">
            <w:pPr>
              <w:spacing w:line="310" w:lineRule="exact"/>
              <w:jc w:val="left"/>
              <w:rPr>
                <w:rFonts w:ascii="仿宋" w:eastAsia="仿宋" w:hAnsi="仿宋"/>
                <w:sz w:val="24"/>
              </w:rPr>
            </w:pPr>
            <w:r>
              <w:rPr>
                <w:rFonts w:ascii="仿宋" w:eastAsia="仿宋" w:hAnsi="仿宋" w:cs="宋体" w:hint="eastAsia"/>
                <w:color w:val="000000"/>
                <w:kern w:val="0"/>
                <w:sz w:val="24"/>
              </w:rPr>
              <w:t>（九）非居民纳税人可以自行提供能够证明其符合享受协定待遇条件的其他资料。</w:t>
            </w:r>
            <w:r>
              <w:rPr>
                <w:rFonts w:ascii="仿宋" w:eastAsia="仿宋" w:hAnsi="仿宋" w:hint="eastAsia"/>
                <w:sz w:val="24"/>
              </w:rPr>
              <w:t>主要</w:t>
            </w:r>
            <w:r>
              <w:rPr>
                <w:rFonts w:ascii="仿宋" w:eastAsia="仿宋" w:hAnsi="仿宋" w:cs="宋体" w:hint="eastAsia"/>
                <w:color w:val="000000"/>
                <w:kern w:val="0"/>
                <w:sz w:val="24"/>
              </w:rPr>
              <w:t>包括：享受股息、利息、特许权使用费、财产收益条款待遇的，可提供公司章程、公司财务报表、集团股权结构等；享受特许权使用费条款待遇的，还可提供专利注册证书、版权所属证明等。非居民纳税人选择提供其他资料的，有利于主管税务机关了解和判断非居民纳税人是否符合享受协定待遇条件；非居民纳税人不提供其他资料的，不影响非居民纳税人申报享受协定待遇。</w:t>
            </w:r>
          </w:p>
        </w:tc>
        <w:tc>
          <w:tcPr>
            <w:tcW w:w="1222" w:type="dxa"/>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sz w:val="24"/>
              </w:rPr>
            </w:pPr>
          </w:p>
        </w:tc>
        <w:tc>
          <w:tcPr>
            <w:tcW w:w="3480" w:type="dxa"/>
            <w:tcBorders>
              <w:top w:val="single" w:sz="4" w:space="0" w:color="auto"/>
              <w:left w:val="single" w:sz="4" w:space="0" w:color="auto"/>
              <w:bottom w:val="single" w:sz="8" w:space="0" w:color="auto"/>
              <w:right w:val="single" w:sz="4" w:space="0" w:color="auto"/>
            </w:tcBorders>
            <w:vAlign w:val="center"/>
          </w:tcPr>
          <w:p w:rsidR="00013EC7" w:rsidRDefault="00575CDB">
            <w:pPr>
              <w:spacing w:line="310" w:lineRule="exact"/>
              <w:jc w:val="left"/>
              <w:rPr>
                <w:rFonts w:ascii="仿宋" w:eastAsia="仿宋" w:hAnsi="仿宋"/>
                <w:sz w:val="24"/>
              </w:rPr>
            </w:pPr>
            <w:r>
              <w:rPr>
                <w:rFonts w:ascii="仿宋" w:eastAsia="仿宋" w:hAnsi="仿宋" w:cs="宋体" w:hint="eastAsia"/>
                <w:color w:val="000000"/>
                <w:kern w:val="0"/>
                <w:sz w:val="24"/>
              </w:rPr>
              <w:t>（八）非居民纳税人可以自行提供能够证明其符合享受协定待遇条件的其他资料。主要包括：享受股息、利息、特许权使用费、财产收益条款待遇的，可提供公司章程、公司财务报表、集团股权结构等；享受特许权使用费条款待遇的，还可提供专利注册证书、版权所属证明等。非居民纳税人选择提供其他资料的，有利于主管税务机关了解和判断非居民纳税人是否符合享受协定待遇条件；非居民纳税人不提供其他资料的，不影响非居民纳税人申报享受协定待遇。</w:t>
            </w:r>
          </w:p>
        </w:tc>
        <w:tc>
          <w:tcPr>
            <w:tcW w:w="1245" w:type="dxa"/>
            <w:tcBorders>
              <w:top w:val="single" w:sz="4" w:space="0" w:color="auto"/>
              <w:left w:val="single" w:sz="4" w:space="0" w:color="auto"/>
              <w:bottom w:val="single" w:sz="8" w:space="0" w:color="auto"/>
              <w:right w:val="single" w:sz="4" w:space="0" w:color="auto"/>
            </w:tcBorders>
            <w:vAlign w:val="center"/>
          </w:tcPr>
          <w:p w:rsidR="00013EC7" w:rsidRDefault="00575CDB">
            <w:pPr>
              <w:spacing w:line="310" w:lineRule="exact"/>
              <w:jc w:val="left"/>
              <w:rPr>
                <w:rFonts w:ascii="仿宋" w:eastAsia="仿宋" w:hAnsi="仿宋" w:cs="宋体"/>
                <w:sz w:val="24"/>
              </w:rPr>
            </w:pPr>
            <w:r>
              <w:rPr>
                <w:rFonts w:ascii="仿宋" w:eastAsia="仿宋" w:hAnsi="仿宋" w:hint="eastAsia"/>
                <w:sz w:val="24"/>
              </w:rPr>
              <w:t>纳税人提交</w:t>
            </w:r>
          </w:p>
        </w:tc>
        <w:tc>
          <w:tcPr>
            <w:tcW w:w="3342" w:type="dxa"/>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sz w:val="24"/>
              </w:rPr>
            </w:pPr>
          </w:p>
        </w:tc>
        <w:tc>
          <w:tcPr>
            <w:tcW w:w="410"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color w:val="FF0000"/>
                <w:sz w:val="24"/>
              </w:rPr>
            </w:pPr>
          </w:p>
        </w:tc>
        <w:tc>
          <w:tcPr>
            <w:tcW w:w="410"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sz w:val="24"/>
              </w:rPr>
            </w:pPr>
          </w:p>
        </w:tc>
        <w:tc>
          <w:tcPr>
            <w:tcW w:w="466"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sz w:val="24"/>
              </w:rPr>
            </w:pPr>
          </w:p>
        </w:tc>
        <w:tc>
          <w:tcPr>
            <w:tcW w:w="650"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sz w:val="24"/>
              </w:rPr>
            </w:pPr>
          </w:p>
        </w:tc>
        <w:tc>
          <w:tcPr>
            <w:tcW w:w="668" w:type="dxa"/>
            <w:vMerge/>
            <w:tcBorders>
              <w:top w:val="single" w:sz="4" w:space="0" w:color="auto"/>
              <w:left w:val="single" w:sz="4" w:space="0" w:color="auto"/>
              <w:bottom w:val="single" w:sz="8" w:space="0" w:color="auto"/>
              <w:right w:val="single" w:sz="8" w:space="0" w:color="auto"/>
            </w:tcBorders>
            <w:vAlign w:val="center"/>
          </w:tcPr>
          <w:p w:rsidR="00013EC7" w:rsidRDefault="00013EC7">
            <w:pPr>
              <w:widowControl/>
              <w:jc w:val="left"/>
              <w:rPr>
                <w:rFonts w:ascii="仿宋" w:eastAsia="仿宋" w:hAnsi="仿宋"/>
                <w:sz w:val="24"/>
              </w:rPr>
            </w:pPr>
          </w:p>
        </w:tc>
      </w:tr>
    </w:tbl>
    <w:p w:rsidR="00013EC7" w:rsidRDefault="00013EC7">
      <w:pPr>
        <w:rPr>
          <w:rFonts w:ascii="仿宋" w:eastAsia="仿宋" w:hAnsi="仿宋"/>
          <w:sz w:val="24"/>
        </w:rPr>
      </w:pPr>
    </w:p>
    <w:p w:rsidR="00013EC7" w:rsidRDefault="00013EC7"/>
    <w:p w:rsidR="00013EC7" w:rsidRDefault="00013EC7">
      <w:pPr>
        <w:tabs>
          <w:tab w:val="left" w:pos="11971"/>
        </w:tabs>
        <w:jc w:val="left"/>
      </w:pPr>
    </w:p>
    <w:p w:rsidR="00013EC7" w:rsidRDefault="00575CDB">
      <w:r>
        <w:rPr>
          <w:noProof/>
        </w:rPr>
        <w:lastRenderedPageBreak/>
        <w:drawing>
          <wp:anchor distT="0" distB="0" distL="114300" distR="114300" simplePos="0" relativeHeight="251561984" behindDoc="0" locked="0" layoutInCell="1" allowOverlap="1">
            <wp:simplePos x="0" y="0"/>
            <wp:positionH relativeFrom="column">
              <wp:posOffset>-205740</wp:posOffset>
            </wp:positionH>
            <wp:positionV relativeFrom="page">
              <wp:posOffset>1456055</wp:posOffset>
            </wp:positionV>
            <wp:extent cx="6120130" cy="6007735"/>
            <wp:effectExtent l="0" t="0" r="0" b="0"/>
            <wp:wrapTopAndBottom/>
            <wp:docPr id="277" name="对象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对象 105"/>
                    <pic:cNvPicPr>
                      <a:picLocks noChangeAspect="1" noChangeArrowheads="1"/>
                    </pic:cNvPicPr>
                  </pic:nvPicPr>
                  <pic:blipFill>
                    <a:blip r:embed="rId440">
                      <a:extLst>
                        <a:ext uri="{28A0092B-C50C-407E-A947-70E740481C1C}">
                          <a14:useLocalDpi xmlns:a14="http://schemas.microsoft.com/office/drawing/2010/main" val="0"/>
                        </a:ext>
                      </a:extLst>
                    </a:blip>
                    <a:srcRect/>
                    <a:stretch>
                      <a:fillRect/>
                    </a:stretch>
                  </pic:blipFill>
                  <pic:spPr>
                    <a:xfrm>
                      <a:off x="0" y="0"/>
                      <a:ext cx="6120130" cy="6007735"/>
                    </a:xfrm>
                    <a:prstGeom prst="rect">
                      <a:avLst/>
                    </a:prstGeom>
                    <a:noFill/>
                    <a:ln>
                      <a:noFill/>
                    </a:ln>
                  </pic:spPr>
                </pic:pic>
              </a:graphicData>
            </a:graphic>
          </wp:anchor>
        </w:drawing>
      </w:r>
      <w:r w:rsidR="005262E6">
        <w:object w:dxaOrig="1440" w:dyaOrig="1440">
          <v:shape id="对象 104" o:spid="_x0000_s1302" type="#_x0000_t75" style="position:absolute;left:0;text-align:left;margin-left:561.4pt;margin-top:114.65pt;width:400.3pt;height:588.4pt;z-index:251631616;mso-wrap-distance-top:0;mso-wrap-distance-bottom:0;mso-position-horizontal-relative:text;mso-position-vertical-relative:page;mso-width-relative:page;mso-height-relative:page">
            <v:imagedata r:id="rId441" o:title=""/>
            <o:lock v:ext="edit" aspectratio="f"/>
            <w10:wrap type="topAndBottom" anchory="page"/>
          </v:shape>
          <o:OLEObject Type="Embed" ProgID="Visio.Drawing.11" ShapeID="对象 104" DrawAspect="Content" ObjectID="_1577296299" r:id="rId442"/>
        </w:object>
      </w:r>
    </w:p>
    <w:p w:rsidR="00013EC7" w:rsidRDefault="00575CDB">
      <w:pPr>
        <w:pStyle w:val="2"/>
      </w:pPr>
      <w:bookmarkStart w:id="507" w:name="_Toc503467470"/>
      <w:bookmarkStart w:id="508" w:name="_Toc30356"/>
      <w:bookmarkStart w:id="509" w:name="_Toc242"/>
      <w:bookmarkStart w:id="510" w:name="_Toc26417"/>
      <w:r>
        <w:rPr>
          <w:rFonts w:hint="eastAsia"/>
        </w:rPr>
        <w:lastRenderedPageBreak/>
        <w:t>24.7</w:t>
      </w:r>
      <w:r>
        <w:rPr>
          <w:rFonts w:hint="eastAsia"/>
        </w:rPr>
        <w:t>企业所得税优惠备案</w:t>
      </w:r>
      <w:bookmarkEnd w:id="507"/>
      <w:bookmarkEnd w:id="508"/>
      <w:bookmarkEnd w:id="509"/>
      <w:bookmarkEnd w:id="510"/>
    </w:p>
    <w:p w:rsidR="00013EC7" w:rsidRDefault="00575CDB">
      <w:pPr>
        <w:jc w:val="center"/>
        <w:rPr>
          <w:rFonts w:ascii="宋体" w:hAnsi="宋体" w:cs="宋体"/>
          <w:b/>
          <w:bCs/>
          <w:sz w:val="52"/>
          <w:szCs w:val="52"/>
        </w:rPr>
      </w:pPr>
      <w:r>
        <w:rPr>
          <w:rFonts w:ascii="宋体" w:hAnsi="宋体" w:cs="宋体" w:hint="eastAsia"/>
          <w:b/>
          <w:bCs/>
          <w:sz w:val="52"/>
          <w:szCs w:val="52"/>
        </w:rPr>
        <w:t>全省“最多跑一次”事项“八统一”梳理表</w:t>
      </w:r>
    </w:p>
    <w:tbl>
      <w:tblPr>
        <w:tblW w:w="21666"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28" w:type="dxa"/>
        </w:tblCellMar>
        <w:tblLook w:val="04A0" w:firstRow="1" w:lastRow="0" w:firstColumn="1" w:lastColumn="0" w:noHBand="0" w:noVBand="1"/>
      </w:tblPr>
      <w:tblGrid>
        <w:gridCol w:w="609"/>
        <w:gridCol w:w="625"/>
        <w:gridCol w:w="4371"/>
        <w:gridCol w:w="2646"/>
        <w:gridCol w:w="2368"/>
        <w:gridCol w:w="2358"/>
        <w:gridCol w:w="2550"/>
        <w:gridCol w:w="2132"/>
        <w:gridCol w:w="700"/>
        <w:gridCol w:w="675"/>
        <w:gridCol w:w="700"/>
        <w:gridCol w:w="775"/>
        <w:gridCol w:w="1157"/>
      </w:tblGrid>
      <w:tr w:rsidR="00013EC7">
        <w:trPr>
          <w:trHeight w:val="340"/>
          <w:tblHeader/>
          <w:jc w:val="center"/>
        </w:trPr>
        <w:tc>
          <w:tcPr>
            <w:tcW w:w="609" w:type="dxa"/>
            <w:vMerge w:val="restart"/>
            <w:tcMar>
              <w:right w:w="57" w:type="dxa"/>
            </w:tcMar>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主项名称</w:t>
            </w:r>
          </w:p>
        </w:tc>
        <w:tc>
          <w:tcPr>
            <w:tcW w:w="625" w:type="dxa"/>
            <w:vMerge w:val="restart"/>
            <w:tcMar>
              <w:right w:w="57" w:type="dxa"/>
            </w:tcMar>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子项名称</w:t>
            </w:r>
          </w:p>
        </w:tc>
        <w:tc>
          <w:tcPr>
            <w:tcW w:w="4371" w:type="dxa"/>
            <w:vMerge w:val="restart"/>
            <w:tcMar>
              <w:right w:w="57" w:type="dxa"/>
            </w:tcMar>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经办依据</w:t>
            </w:r>
          </w:p>
        </w:tc>
        <w:tc>
          <w:tcPr>
            <w:tcW w:w="5014" w:type="dxa"/>
            <w:gridSpan w:val="2"/>
            <w:tcMar>
              <w:right w:w="57" w:type="dxa"/>
            </w:tcMar>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原经办所需材料</w:t>
            </w:r>
          </w:p>
        </w:tc>
        <w:tc>
          <w:tcPr>
            <w:tcW w:w="7040" w:type="dxa"/>
            <w:gridSpan w:val="3"/>
            <w:tcMar>
              <w:right w:w="57" w:type="dxa"/>
            </w:tcMar>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精简后经办所需材料</w:t>
            </w:r>
          </w:p>
        </w:tc>
        <w:tc>
          <w:tcPr>
            <w:tcW w:w="1375" w:type="dxa"/>
            <w:gridSpan w:val="2"/>
            <w:tcMar>
              <w:right w:w="57" w:type="dxa"/>
            </w:tcMar>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办理时限</w:t>
            </w:r>
          </w:p>
        </w:tc>
        <w:tc>
          <w:tcPr>
            <w:tcW w:w="700" w:type="dxa"/>
            <w:vMerge w:val="restart"/>
            <w:tcMar>
              <w:right w:w="57" w:type="dxa"/>
            </w:tcMar>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是否实现跑零次</w:t>
            </w:r>
          </w:p>
        </w:tc>
        <w:tc>
          <w:tcPr>
            <w:tcW w:w="775" w:type="dxa"/>
            <w:vMerge w:val="restart"/>
            <w:tcMar>
              <w:right w:w="57" w:type="dxa"/>
            </w:tcMar>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省厅对口</w:t>
            </w:r>
          </w:p>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指导处室</w:t>
            </w:r>
          </w:p>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（单位）</w:t>
            </w:r>
          </w:p>
        </w:tc>
        <w:tc>
          <w:tcPr>
            <w:tcW w:w="1157" w:type="dxa"/>
            <w:vMerge w:val="restart"/>
            <w:tcMar>
              <w:right w:w="57" w:type="dxa"/>
            </w:tcMar>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进一步精简、</w:t>
            </w:r>
          </w:p>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规范建议</w:t>
            </w:r>
          </w:p>
        </w:tc>
      </w:tr>
      <w:tr w:rsidR="00013EC7">
        <w:trPr>
          <w:trHeight w:val="90"/>
          <w:tblHeader/>
          <w:jc w:val="center"/>
        </w:trPr>
        <w:tc>
          <w:tcPr>
            <w:tcW w:w="609" w:type="dxa"/>
            <w:vMerge/>
            <w:tcMar>
              <w:right w:w="57" w:type="dxa"/>
            </w:tcMar>
            <w:vAlign w:val="center"/>
          </w:tcPr>
          <w:p w:rsidR="00013EC7" w:rsidRDefault="00013EC7">
            <w:pPr>
              <w:jc w:val="center"/>
              <w:rPr>
                <w:rFonts w:ascii="黑体" w:eastAsia="黑体" w:hAnsi="黑体" w:cs="黑体"/>
                <w:sz w:val="24"/>
              </w:rPr>
            </w:pPr>
          </w:p>
        </w:tc>
        <w:tc>
          <w:tcPr>
            <w:tcW w:w="625" w:type="dxa"/>
            <w:vMerge/>
            <w:tcMar>
              <w:right w:w="57" w:type="dxa"/>
            </w:tcMar>
          </w:tcPr>
          <w:p w:rsidR="00013EC7" w:rsidRDefault="00013EC7">
            <w:pPr>
              <w:jc w:val="center"/>
              <w:rPr>
                <w:rFonts w:ascii="黑体" w:eastAsia="黑体" w:hAnsi="黑体" w:cs="黑体"/>
                <w:sz w:val="24"/>
              </w:rPr>
            </w:pPr>
          </w:p>
        </w:tc>
        <w:tc>
          <w:tcPr>
            <w:tcW w:w="4371" w:type="dxa"/>
            <w:vMerge/>
            <w:tcMar>
              <w:right w:w="57" w:type="dxa"/>
            </w:tcMar>
          </w:tcPr>
          <w:p w:rsidR="00013EC7" w:rsidRDefault="00013EC7">
            <w:pPr>
              <w:jc w:val="center"/>
              <w:rPr>
                <w:rFonts w:ascii="黑体" w:eastAsia="黑体" w:hAnsi="黑体" w:cs="黑体"/>
                <w:sz w:val="24"/>
              </w:rPr>
            </w:pPr>
          </w:p>
        </w:tc>
        <w:tc>
          <w:tcPr>
            <w:tcW w:w="2646" w:type="dxa"/>
            <w:tcBorders>
              <w:bottom w:val="single" w:sz="4" w:space="0" w:color="auto"/>
            </w:tcBorders>
            <w:tcMar>
              <w:right w:w="57" w:type="dxa"/>
            </w:tcMar>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材料明细</w:t>
            </w:r>
          </w:p>
        </w:tc>
        <w:tc>
          <w:tcPr>
            <w:tcW w:w="2368" w:type="dxa"/>
            <w:tcBorders>
              <w:bottom w:val="single" w:sz="4" w:space="0" w:color="auto"/>
            </w:tcBorders>
            <w:tcMar>
              <w:right w:w="57" w:type="dxa"/>
            </w:tcMar>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材料来源</w:t>
            </w:r>
          </w:p>
        </w:tc>
        <w:tc>
          <w:tcPr>
            <w:tcW w:w="2358" w:type="dxa"/>
            <w:tcMar>
              <w:right w:w="57" w:type="dxa"/>
            </w:tcMar>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材料明细</w:t>
            </w:r>
          </w:p>
        </w:tc>
        <w:tc>
          <w:tcPr>
            <w:tcW w:w="2550" w:type="dxa"/>
            <w:tcMar>
              <w:right w:w="57" w:type="dxa"/>
            </w:tcMar>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材料来源</w:t>
            </w:r>
          </w:p>
        </w:tc>
        <w:tc>
          <w:tcPr>
            <w:tcW w:w="2132" w:type="dxa"/>
            <w:tcMar>
              <w:right w:w="57" w:type="dxa"/>
            </w:tcMar>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办理方式及材料</w:t>
            </w:r>
          </w:p>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信息获取方式说明</w:t>
            </w:r>
          </w:p>
        </w:tc>
        <w:tc>
          <w:tcPr>
            <w:tcW w:w="700" w:type="dxa"/>
            <w:tcMar>
              <w:right w:w="57" w:type="dxa"/>
            </w:tcMar>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优化前</w:t>
            </w:r>
          </w:p>
        </w:tc>
        <w:tc>
          <w:tcPr>
            <w:tcW w:w="675" w:type="dxa"/>
            <w:tcMar>
              <w:right w:w="57" w:type="dxa"/>
            </w:tcMar>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优化后</w:t>
            </w:r>
          </w:p>
        </w:tc>
        <w:tc>
          <w:tcPr>
            <w:tcW w:w="700" w:type="dxa"/>
            <w:vMerge/>
            <w:tcMar>
              <w:right w:w="57" w:type="dxa"/>
            </w:tcMar>
            <w:vAlign w:val="center"/>
          </w:tcPr>
          <w:p w:rsidR="00013EC7" w:rsidRDefault="00013EC7">
            <w:pPr>
              <w:jc w:val="center"/>
              <w:rPr>
                <w:rFonts w:ascii="黑体" w:eastAsia="黑体" w:hAnsi="黑体" w:cs="黑体"/>
                <w:sz w:val="24"/>
              </w:rPr>
            </w:pPr>
          </w:p>
        </w:tc>
        <w:tc>
          <w:tcPr>
            <w:tcW w:w="775" w:type="dxa"/>
            <w:vMerge/>
            <w:tcMar>
              <w:right w:w="57" w:type="dxa"/>
            </w:tcMar>
            <w:vAlign w:val="center"/>
          </w:tcPr>
          <w:p w:rsidR="00013EC7" w:rsidRDefault="00013EC7">
            <w:pPr>
              <w:jc w:val="center"/>
              <w:rPr>
                <w:rFonts w:ascii="黑体" w:eastAsia="黑体" w:hAnsi="黑体" w:cs="黑体"/>
                <w:sz w:val="24"/>
              </w:rPr>
            </w:pPr>
          </w:p>
        </w:tc>
        <w:tc>
          <w:tcPr>
            <w:tcW w:w="1157" w:type="dxa"/>
            <w:vMerge/>
            <w:tcMar>
              <w:right w:w="57" w:type="dxa"/>
            </w:tcMar>
            <w:vAlign w:val="center"/>
          </w:tcPr>
          <w:p w:rsidR="00013EC7" w:rsidRDefault="00013EC7">
            <w:pPr>
              <w:jc w:val="center"/>
              <w:rPr>
                <w:rFonts w:ascii="黑体" w:eastAsia="黑体" w:hAnsi="黑体" w:cs="黑体"/>
                <w:sz w:val="24"/>
              </w:rPr>
            </w:pPr>
          </w:p>
        </w:tc>
      </w:tr>
      <w:tr w:rsidR="00013EC7">
        <w:trPr>
          <w:trHeight w:val="2033"/>
          <w:jc w:val="center"/>
        </w:trPr>
        <w:tc>
          <w:tcPr>
            <w:tcW w:w="609" w:type="dxa"/>
            <w:vMerge w:val="restart"/>
            <w:shd w:val="clear" w:color="auto" w:fill="auto"/>
            <w:tcMar>
              <w:right w:w="57" w:type="dxa"/>
            </w:tcMar>
            <w:vAlign w:val="center"/>
          </w:tcPr>
          <w:p w:rsidR="00013EC7" w:rsidRDefault="00731DCE">
            <w:pPr>
              <w:spacing w:line="300" w:lineRule="exact"/>
              <w:jc w:val="left"/>
              <w:rPr>
                <w:rFonts w:ascii="仿宋" w:eastAsia="仿宋" w:hAnsi="仿宋" w:cs="仿宋"/>
                <w:sz w:val="24"/>
              </w:rPr>
            </w:pPr>
            <w:r>
              <w:rPr>
                <w:rFonts w:ascii="仿宋" w:eastAsia="仿宋" w:hAnsi="仿宋" w:cs="仿宋" w:hint="eastAsia"/>
                <w:color w:val="000000"/>
                <w:kern w:val="0"/>
                <w:sz w:val="24"/>
              </w:rPr>
              <w:t>24.常见税收优惠办理</w:t>
            </w:r>
          </w:p>
        </w:tc>
        <w:tc>
          <w:tcPr>
            <w:tcW w:w="625" w:type="dxa"/>
            <w:vMerge w:val="restart"/>
            <w:shd w:val="clear" w:color="auto" w:fill="auto"/>
            <w:tcMar>
              <w:right w:w="57" w:type="dxa"/>
            </w:tcMar>
            <w:vAlign w:val="center"/>
          </w:tcPr>
          <w:p w:rsidR="00013EC7" w:rsidRDefault="00575CDB">
            <w:pPr>
              <w:spacing w:line="310" w:lineRule="exact"/>
              <w:jc w:val="left"/>
              <w:rPr>
                <w:rFonts w:ascii="仿宋" w:eastAsia="仿宋" w:hAnsi="仿宋" w:cs="仿宋"/>
                <w:sz w:val="24"/>
              </w:rPr>
            </w:pPr>
            <w:r>
              <w:rPr>
                <w:rFonts w:ascii="仿宋" w:eastAsia="仿宋" w:hAnsi="仿宋" w:cs="仿宋" w:hint="eastAsia"/>
                <w:sz w:val="24"/>
              </w:rPr>
              <w:t>24.7企业所得税优惠备案</w:t>
            </w:r>
          </w:p>
        </w:tc>
        <w:tc>
          <w:tcPr>
            <w:tcW w:w="4371" w:type="dxa"/>
            <w:vMerge w:val="restart"/>
            <w:shd w:val="clear" w:color="auto" w:fill="auto"/>
            <w:tcMar>
              <w:right w:w="57" w:type="dxa"/>
            </w:tcMar>
            <w:vAlign w:val="center"/>
          </w:tcPr>
          <w:p w:rsidR="00013EC7" w:rsidRDefault="00575CDB">
            <w:pPr>
              <w:jc w:val="left"/>
              <w:rPr>
                <w:rFonts w:ascii="仿宋" w:eastAsia="仿宋" w:hAnsi="仿宋" w:cs="仿宋"/>
                <w:sz w:val="24"/>
              </w:rPr>
            </w:pPr>
            <w:r>
              <w:rPr>
                <w:rFonts w:ascii="仿宋" w:eastAsia="仿宋" w:hAnsi="仿宋" w:cs="宋体" w:hint="eastAsia"/>
                <w:sz w:val="24"/>
              </w:rPr>
              <w:t>（一）</w:t>
            </w:r>
            <w:r>
              <w:rPr>
                <w:rFonts w:ascii="仿宋" w:eastAsia="仿宋" w:hAnsi="仿宋" w:cs="仿宋" w:hint="eastAsia"/>
                <w:sz w:val="24"/>
              </w:rPr>
              <w:t>《中华人民共和国企业所得税法》（中华人民共和国主席令第63号）第二十五条、二十六条、二十七条、二十八条、二十九条、三十条、三十一条、三十二条、三十三条、三十四条、三十五条、五十七条。</w:t>
            </w:r>
          </w:p>
          <w:p w:rsidR="00013EC7" w:rsidRDefault="00575CDB">
            <w:pPr>
              <w:jc w:val="left"/>
              <w:rPr>
                <w:rFonts w:ascii="仿宋" w:eastAsia="仿宋" w:hAnsi="仿宋" w:cs="仿宋"/>
                <w:sz w:val="24"/>
              </w:rPr>
            </w:pPr>
            <w:r>
              <w:rPr>
                <w:rFonts w:ascii="仿宋" w:eastAsia="仿宋" w:hAnsi="仿宋" w:cs="宋体" w:hint="eastAsia"/>
                <w:sz w:val="24"/>
              </w:rPr>
              <w:t>（二）</w:t>
            </w:r>
            <w:r>
              <w:rPr>
                <w:rFonts w:ascii="仿宋" w:eastAsia="仿宋" w:hAnsi="仿宋" w:cs="仿宋" w:hint="eastAsia"/>
                <w:sz w:val="24"/>
              </w:rPr>
              <w:t>《中华人民共和国企业所得税法实施条例》（中华人民共和国国务院令第512号）第四章。</w:t>
            </w:r>
          </w:p>
          <w:p w:rsidR="00013EC7" w:rsidRDefault="00575CDB">
            <w:pPr>
              <w:jc w:val="left"/>
              <w:rPr>
                <w:rFonts w:ascii="仿宋" w:eastAsia="仿宋" w:hAnsi="仿宋" w:cs="仿宋"/>
                <w:sz w:val="24"/>
              </w:rPr>
            </w:pPr>
            <w:r>
              <w:rPr>
                <w:rFonts w:ascii="仿宋" w:eastAsia="仿宋" w:hAnsi="仿宋" w:cs="宋体" w:hint="eastAsia"/>
                <w:sz w:val="24"/>
              </w:rPr>
              <w:t>（三）</w:t>
            </w:r>
            <w:r>
              <w:rPr>
                <w:rFonts w:ascii="仿宋" w:eastAsia="仿宋" w:hAnsi="仿宋" w:cs="仿宋" w:hint="eastAsia"/>
                <w:sz w:val="24"/>
              </w:rPr>
              <w:t>《国家税务总局关于发布&lt;企业所得税优惠政策事项办理办法&gt;的公告》（国家税务总局公告2015年第76号）全文。</w:t>
            </w:r>
          </w:p>
          <w:p w:rsidR="00013EC7" w:rsidRDefault="00575CDB">
            <w:pPr>
              <w:jc w:val="left"/>
              <w:rPr>
                <w:rFonts w:ascii="仿宋" w:eastAsia="仿宋" w:hAnsi="仿宋" w:cs="仿宋"/>
                <w:sz w:val="24"/>
              </w:rPr>
            </w:pPr>
            <w:r>
              <w:rPr>
                <w:rFonts w:ascii="仿宋" w:eastAsia="仿宋" w:hAnsi="仿宋" w:cs="宋体" w:hint="eastAsia"/>
                <w:sz w:val="24"/>
              </w:rPr>
              <w:t>（四）</w:t>
            </w:r>
            <w:r>
              <w:rPr>
                <w:rFonts w:ascii="仿宋" w:eastAsia="仿宋" w:hAnsi="仿宋" w:cs="仿宋" w:hint="eastAsia"/>
                <w:sz w:val="24"/>
              </w:rPr>
              <w:t>《国家税务总局关于企业国债投资业务企业所得税处理问题的公告》（国家税务总局公告2011年第36号）全文。</w:t>
            </w:r>
          </w:p>
          <w:p w:rsidR="00013EC7" w:rsidRDefault="00575CDB">
            <w:pPr>
              <w:jc w:val="left"/>
              <w:rPr>
                <w:rFonts w:ascii="仿宋" w:eastAsia="仿宋" w:hAnsi="仿宋" w:cs="仿宋"/>
                <w:sz w:val="24"/>
              </w:rPr>
            </w:pPr>
            <w:r>
              <w:rPr>
                <w:rFonts w:ascii="仿宋" w:eastAsia="仿宋" w:hAnsi="仿宋" w:cs="宋体" w:hint="eastAsia"/>
                <w:sz w:val="24"/>
              </w:rPr>
              <w:t>（五）</w:t>
            </w:r>
            <w:r>
              <w:rPr>
                <w:rFonts w:ascii="仿宋" w:eastAsia="仿宋" w:hAnsi="仿宋" w:cs="仿宋" w:hint="eastAsia"/>
                <w:sz w:val="24"/>
              </w:rPr>
              <w:t>《财政部国家税务总局关于地方政府债券利息所得免征所得税问题的通知》（财税〔2011〕76号）全文。</w:t>
            </w:r>
          </w:p>
          <w:p w:rsidR="00013EC7" w:rsidRDefault="00575CDB">
            <w:pPr>
              <w:jc w:val="left"/>
              <w:rPr>
                <w:rFonts w:ascii="仿宋" w:eastAsia="仿宋" w:hAnsi="仿宋" w:cs="仿宋"/>
                <w:sz w:val="24"/>
              </w:rPr>
            </w:pPr>
            <w:r>
              <w:rPr>
                <w:rFonts w:ascii="仿宋" w:eastAsia="仿宋" w:hAnsi="仿宋" w:cs="宋体" w:hint="eastAsia"/>
                <w:sz w:val="24"/>
              </w:rPr>
              <w:t>（六）</w:t>
            </w:r>
            <w:r>
              <w:rPr>
                <w:rFonts w:ascii="仿宋" w:eastAsia="仿宋" w:hAnsi="仿宋" w:cs="仿宋" w:hint="eastAsia"/>
                <w:sz w:val="24"/>
              </w:rPr>
              <w:t>《财政部国家税务总局关于地方政府债券利息免征所得税问题的通知》（财税〔2013〕5号）全文</w:t>
            </w:r>
          </w:p>
          <w:p w:rsidR="00013EC7" w:rsidRDefault="00575CDB">
            <w:pPr>
              <w:jc w:val="left"/>
              <w:rPr>
                <w:rFonts w:ascii="仿宋" w:eastAsia="仿宋" w:hAnsi="仿宋" w:cs="仿宋"/>
                <w:sz w:val="24"/>
              </w:rPr>
            </w:pPr>
            <w:r>
              <w:rPr>
                <w:rFonts w:ascii="仿宋" w:eastAsia="仿宋" w:hAnsi="仿宋" w:cs="宋体" w:hint="eastAsia"/>
                <w:sz w:val="24"/>
              </w:rPr>
              <w:t>（七）</w:t>
            </w:r>
            <w:r>
              <w:rPr>
                <w:rFonts w:ascii="仿宋" w:eastAsia="仿宋" w:hAnsi="仿宋" w:cs="仿宋" w:hint="eastAsia"/>
                <w:sz w:val="24"/>
              </w:rPr>
              <w:t>《财政部国家税务总局关于执行企业所得税优惠政策若干问题的通知》</w:t>
            </w:r>
            <w:r>
              <w:rPr>
                <w:rFonts w:ascii="仿宋" w:eastAsia="仿宋" w:hAnsi="仿宋" w:cs="仿宋" w:hint="eastAsia"/>
                <w:sz w:val="24"/>
              </w:rPr>
              <w:lastRenderedPageBreak/>
              <w:t>（财税〔2009〕69号）全文。</w:t>
            </w:r>
          </w:p>
          <w:p w:rsidR="00013EC7" w:rsidRDefault="00575CDB">
            <w:pPr>
              <w:jc w:val="left"/>
              <w:rPr>
                <w:rFonts w:ascii="仿宋" w:eastAsia="仿宋" w:hAnsi="仿宋" w:cs="仿宋"/>
                <w:sz w:val="24"/>
              </w:rPr>
            </w:pPr>
            <w:r>
              <w:rPr>
                <w:rFonts w:ascii="仿宋" w:eastAsia="仿宋" w:hAnsi="仿宋" w:cs="宋体" w:hint="eastAsia"/>
                <w:sz w:val="24"/>
              </w:rPr>
              <w:t>（八）</w:t>
            </w:r>
            <w:r>
              <w:rPr>
                <w:rFonts w:ascii="仿宋" w:eastAsia="仿宋" w:hAnsi="仿宋" w:cs="仿宋" w:hint="eastAsia"/>
                <w:sz w:val="24"/>
              </w:rPr>
              <w:t>《国家税务总局关于贯彻落实企业所得税法若干税收问题的通知》（国税函〔2010〕79号）第六条。</w:t>
            </w:r>
          </w:p>
          <w:p w:rsidR="00013EC7" w:rsidRDefault="00575CDB">
            <w:pPr>
              <w:jc w:val="left"/>
              <w:rPr>
                <w:rFonts w:ascii="仿宋" w:eastAsia="仿宋" w:hAnsi="仿宋" w:cs="仿宋"/>
                <w:sz w:val="24"/>
              </w:rPr>
            </w:pPr>
            <w:r>
              <w:rPr>
                <w:rFonts w:ascii="仿宋" w:eastAsia="仿宋" w:hAnsi="仿宋" w:cs="宋体" w:hint="eastAsia"/>
                <w:sz w:val="24"/>
              </w:rPr>
              <w:t>（九）</w:t>
            </w:r>
            <w:r>
              <w:rPr>
                <w:rFonts w:ascii="仿宋" w:eastAsia="仿宋" w:hAnsi="仿宋" w:cs="仿宋" w:hint="eastAsia"/>
                <w:sz w:val="24"/>
              </w:rPr>
              <w:t>《财政部国家税务总局关于非营利组织企业所得税免税收入问题的通知》（财税〔2009〕122号）全文。</w:t>
            </w:r>
          </w:p>
          <w:p w:rsidR="00013EC7" w:rsidRDefault="00575CDB">
            <w:pPr>
              <w:jc w:val="left"/>
              <w:rPr>
                <w:rFonts w:ascii="仿宋" w:eastAsia="仿宋" w:hAnsi="仿宋" w:cs="仿宋"/>
                <w:sz w:val="24"/>
              </w:rPr>
            </w:pPr>
            <w:r>
              <w:rPr>
                <w:rFonts w:ascii="仿宋" w:eastAsia="仿宋" w:hAnsi="仿宋" w:cs="宋体" w:hint="eastAsia"/>
                <w:sz w:val="24"/>
              </w:rPr>
              <w:t>（十）</w:t>
            </w:r>
            <w:r>
              <w:rPr>
                <w:rFonts w:ascii="仿宋" w:eastAsia="仿宋" w:hAnsi="仿宋" w:cs="仿宋" w:hint="eastAsia"/>
                <w:sz w:val="24"/>
              </w:rPr>
              <w:t>《财政部国家税务总局关于非营利组织免税资格认定管理有关问题的通知》（财税〔2014〕13号）全文。</w:t>
            </w:r>
          </w:p>
          <w:p w:rsidR="00013EC7" w:rsidRDefault="00575CDB">
            <w:pPr>
              <w:jc w:val="left"/>
              <w:rPr>
                <w:rFonts w:ascii="仿宋" w:eastAsia="仿宋" w:hAnsi="仿宋" w:cs="仿宋"/>
                <w:sz w:val="24"/>
              </w:rPr>
            </w:pPr>
            <w:r>
              <w:rPr>
                <w:rFonts w:ascii="仿宋" w:eastAsia="仿宋" w:hAnsi="仿宋" w:cs="宋体" w:hint="eastAsia"/>
                <w:sz w:val="24"/>
              </w:rPr>
              <w:t>（十一）</w:t>
            </w:r>
            <w:r>
              <w:rPr>
                <w:rFonts w:ascii="仿宋" w:eastAsia="仿宋" w:hAnsi="仿宋" w:cs="仿宋" w:hint="eastAsia"/>
                <w:sz w:val="24"/>
              </w:rPr>
              <w:t>《浙江省财政厅 浙江省国家税务局 浙江省地方税务局转发财政部 国家税务总局关于非营利组织免税资格认定管理有关问题的通知》（浙财税政〔2014〕4号）全文。</w:t>
            </w:r>
          </w:p>
          <w:p w:rsidR="00013EC7" w:rsidRDefault="00575CDB">
            <w:pPr>
              <w:jc w:val="left"/>
              <w:rPr>
                <w:rFonts w:ascii="仿宋" w:eastAsia="仿宋" w:hAnsi="仿宋" w:cs="仿宋"/>
                <w:sz w:val="24"/>
              </w:rPr>
            </w:pPr>
            <w:r>
              <w:rPr>
                <w:rFonts w:ascii="仿宋" w:eastAsia="仿宋" w:hAnsi="仿宋" w:cs="宋体" w:hint="eastAsia"/>
                <w:sz w:val="24"/>
              </w:rPr>
              <w:t>（十二）</w:t>
            </w:r>
            <w:r>
              <w:rPr>
                <w:rFonts w:ascii="仿宋" w:eastAsia="仿宋" w:hAnsi="仿宋" w:cs="仿宋" w:hint="eastAsia"/>
                <w:sz w:val="24"/>
              </w:rPr>
              <w:t>《浙江省财政厅 浙江省国家税务局 浙江省地方税务局关于下放非营利组织免征企业所得税资格认定管理权限的通知》（浙财税政〔2017〕3号）全文。</w:t>
            </w:r>
          </w:p>
          <w:p w:rsidR="00013EC7" w:rsidRDefault="00575CDB">
            <w:pPr>
              <w:jc w:val="left"/>
              <w:rPr>
                <w:rFonts w:ascii="仿宋" w:eastAsia="仿宋" w:hAnsi="仿宋" w:cs="仿宋"/>
                <w:sz w:val="24"/>
              </w:rPr>
            </w:pPr>
            <w:r>
              <w:rPr>
                <w:rFonts w:ascii="仿宋" w:eastAsia="仿宋" w:hAnsi="仿宋" w:cs="宋体" w:hint="eastAsia"/>
                <w:sz w:val="24"/>
              </w:rPr>
              <w:t>（十三）</w:t>
            </w:r>
            <w:r>
              <w:rPr>
                <w:rFonts w:ascii="仿宋" w:eastAsia="仿宋" w:hAnsi="仿宋" w:cs="仿宋" w:hint="eastAsia"/>
                <w:sz w:val="24"/>
              </w:rPr>
              <w:t>《财政部 国家税务总局关于中国清洁发展机制基金及清洁发展机制项目实施企业有关企业所得税政策问题的通知》（财税〔2009〕30号）全文。</w:t>
            </w:r>
          </w:p>
          <w:p w:rsidR="00013EC7" w:rsidRDefault="00575CDB">
            <w:pPr>
              <w:jc w:val="left"/>
              <w:rPr>
                <w:rFonts w:ascii="仿宋" w:eastAsia="仿宋" w:hAnsi="仿宋" w:cs="仿宋"/>
                <w:sz w:val="24"/>
              </w:rPr>
            </w:pPr>
            <w:r>
              <w:rPr>
                <w:rFonts w:ascii="仿宋" w:eastAsia="仿宋" w:hAnsi="仿宋" w:cs="宋体" w:hint="eastAsia"/>
                <w:sz w:val="24"/>
              </w:rPr>
              <w:t>（十四）</w:t>
            </w:r>
            <w:r>
              <w:rPr>
                <w:rFonts w:ascii="仿宋" w:eastAsia="仿宋" w:hAnsi="仿宋" w:cs="仿宋" w:hint="eastAsia"/>
                <w:sz w:val="24"/>
              </w:rPr>
              <w:t>《财政部 国家税务总局关于企业所得税若干优惠政策的通知》（财税〔2008〕1号）全文。</w:t>
            </w:r>
          </w:p>
          <w:p w:rsidR="00013EC7" w:rsidRDefault="00575CDB">
            <w:pPr>
              <w:jc w:val="left"/>
              <w:rPr>
                <w:rFonts w:ascii="仿宋" w:eastAsia="仿宋" w:hAnsi="仿宋" w:cs="仿宋"/>
                <w:sz w:val="24"/>
              </w:rPr>
            </w:pPr>
            <w:r>
              <w:rPr>
                <w:rFonts w:ascii="仿宋" w:eastAsia="仿宋" w:hAnsi="仿宋" w:cs="宋体" w:hint="eastAsia"/>
                <w:sz w:val="24"/>
              </w:rPr>
              <w:t>（十五）</w:t>
            </w:r>
            <w:r>
              <w:rPr>
                <w:rFonts w:ascii="仿宋" w:eastAsia="仿宋" w:hAnsi="仿宋" w:cs="仿宋" w:hint="eastAsia"/>
                <w:sz w:val="24"/>
              </w:rPr>
              <w:t>《财政部 国家税务总局国家发展改革委关于公布资源综合利用企业所得税优惠目录（2008年版）的通知》（财税〔2008〕117号）全文。</w:t>
            </w:r>
          </w:p>
          <w:p w:rsidR="00013EC7" w:rsidRDefault="00575CDB">
            <w:pPr>
              <w:jc w:val="left"/>
              <w:rPr>
                <w:rFonts w:ascii="仿宋" w:eastAsia="仿宋" w:hAnsi="仿宋" w:cs="仿宋"/>
                <w:sz w:val="24"/>
              </w:rPr>
            </w:pPr>
            <w:r>
              <w:rPr>
                <w:rFonts w:ascii="仿宋" w:eastAsia="仿宋" w:hAnsi="仿宋" w:cs="宋体" w:hint="eastAsia"/>
                <w:sz w:val="24"/>
              </w:rPr>
              <w:t>（十六）</w:t>
            </w:r>
            <w:r>
              <w:rPr>
                <w:rFonts w:ascii="仿宋" w:eastAsia="仿宋" w:hAnsi="仿宋" w:cs="仿宋" w:hint="eastAsia"/>
                <w:sz w:val="24"/>
              </w:rPr>
              <w:t>《财政部 国家税务总局关于执行资源综合利用企业所得税优惠目录有关问题的通知》（财税〔2008〕47号）全文。</w:t>
            </w:r>
          </w:p>
          <w:p w:rsidR="00013EC7" w:rsidRDefault="00575CDB">
            <w:pPr>
              <w:jc w:val="left"/>
              <w:rPr>
                <w:rFonts w:ascii="仿宋" w:eastAsia="仿宋" w:hAnsi="仿宋" w:cs="仿宋"/>
                <w:sz w:val="24"/>
              </w:rPr>
            </w:pPr>
            <w:r>
              <w:rPr>
                <w:rFonts w:ascii="仿宋" w:eastAsia="仿宋" w:hAnsi="仿宋" w:cs="宋体" w:hint="eastAsia"/>
                <w:sz w:val="24"/>
              </w:rPr>
              <w:lastRenderedPageBreak/>
              <w:t>（十七）</w:t>
            </w:r>
            <w:r>
              <w:rPr>
                <w:rFonts w:ascii="仿宋" w:eastAsia="仿宋" w:hAnsi="仿宋" w:cs="仿宋" w:hint="eastAsia"/>
                <w:sz w:val="24"/>
              </w:rPr>
              <w:t>《财政部 国家税务总局关于中国扶贫基金会小额信贷试点项目税收政策的通知》（财税〔2010〕35号）全文。</w:t>
            </w:r>
          </w:p>
          <w:p w:rsidR="00013EC7" w:rsidRDefault="00575CDB">
            <w:pPr>
              <w:jc w:val="left"/>
              <w:rPr>
                <w:rFonts w:ascii="仿宋" w:eastAsia="仿宋" w:hAnsi="仿宋" w:cs="仿宋"/>
                <w:sz w:val="24"/>
              </w:rPr>
            </w:pPr>
            <w:r>
              <w:rPr>
                <w:rFonts w:ascii="仿宋" w:eastAsia="仿宋" w:hAnsi="仿宋" w:cs="宋体" w:hint="eastAsia"/>
                <w:sz w:val="24"/>
              </w:rPr>
              <w:t>（十八）</w:t>
            </w:r>
            <w:r>
              <w:rPr>
                <w:rFonts w:ascii="仿宋" w:eastAsia="仿宋" w:hAnsi="仿宋" w:cs="仿宋" w:hint="eastAsia"/>
                <w:sz w:val="24"/>
              </w:rPr>
              <w:t>《财政部 国家税务总局关于中国扶贫基金会所属小额贷款公司享受有关税收优惠政策的通知》（财税〔2012〕33号）全文。</w:t>
            </w:r>
          </w:p>
          <w:p w:rsidR="00013EC7" w:rsidRDefault="00575CDB">
            <w:pPr>
              <w:jc w:val="left"/>
              <w:rPr>
                <w:rFonts w:ascii="仿宋" w:eastAsia="仿宋" w:hAnsi="仿宋" w:cs="仿宋"/>
                <w:sz w:val="24"/>
              </w:rPr>
            </w:pPr>
            <w:r>
              <w:rPr>
                <w:rFonts w:ascii="仿宋" w:eastAsia="仿宋" w:hAnsi="仿宋" w:cs="宋体" w:hint="eastAsia"/>
                <w:sz w:val="24"/>
              </w:rPr>
              <w:t>（十九）</w:t>
            </w:r>
            <w:r>
              <w:rPr>
                <w:rFonts w:ascii="仿宋" w:eastAsia="仿宋" w:hAnsi="仿宋" w:cs="仿宋" w:hint="eastAsia"/>
                <w:sz w:val="24"/>
              </w:rPr>
              <w:t>《财政部 国家税务总局关于铁路建设债券利息收入企业所得税政策的通知》（财税〔2011〕99号）全文。</w:t>
            </w:r>
          </w:p>
          <w:p w:rsidR="00013EC7" w:rsidRDefault="00575CDB">
            <w:pPr>
              <w:jc w:val="left"/>
              <w:rPr>
                <w:rFonts w:ascii="仿宋" w:eastAsia="仿宋" w:hAnsi="仿宋" w:cs="仿宋"/>
                <w:sz w:val="24"/>
              </w:rPr>
            </w:pPr>
            <w:r>
              <w:rPr>
                <w:rFonts w:ascii="仿宋" w:eastAsia="仿宋" w:hAnsi="仿宋" w:cs="宋体" w:hint="eastAsia"/>
                <w:sz w:val="24"/>
              </w:rPr>
              <w:t>（二十）</w:t>
            </w:r>
            <w:r>
              <w:rPr>
                <w:rFonts w:ascii="仿宋" w:eastAsia="仿宋" w:hAnsi="仿宋" w:cs="仿宋" w:hint="eastAsia"/>
                <w:sz w:val="24"/>
              </w:rPr>
              <w:t>《财政部 国家税务总局关于2014 2015年铁路建设债券利息收入企业所得税政策的通知》（财税〔2014〕2号）全文。</w:t>
            </w:r>
          </w:p>
          <w:p w:rsidR="00013EC7" w:rsidRDefault="00575CDB">
            <w:pPr>
              <w:jc w:val="left"/>
              <w:rPr>
                <w:rFonts w:ascii="仿宋" w:eastAsia="仿宋" w:hAnsi="仿宋" w:cs="仿宋"/>
                <w:sz w:val="24"/>
              </w:rPr>
            </w:pPr>
            <w:r>
              <w:rPr>
                <w:rFonts w:ascii="仿宋" w:eastAsia="仿宋" w:hAnsi="仿宋" w:cs="宋体" w:hint="eastAsia"/>
                <w:sz w:val="24"/>
              </w:rPr>
              <w:t>（二十一）</w:t>
            </w:r>
            <w:r>
              <w:rPr>
                <w:rFonts w:ascii="仿宋" w:eastAsia="仿宋" w:hAnsi="仿宋" w:cs="仿宋" w:hint="eastAsia"/>
                <w:sz w:val="24"/>
              </w:rPr>
              <w:t>《财政部 国家税务总局关于铁路债券利息收入所得税政策问题的通知》（财税〔2016〕30 号）全文。</w:t>
            </w:r>
          </w:p>
          <w:p w:rsidR="00013EC7" w:rsidRDefault="00575CDB">
            <w:pPr>
              <w:jc w:val="left"/>
              <w:rPr>
                <w:rFonts w:ascii="仿宋" w:eastAsia="仿宋" w:hAnsi="仿宋" w:cs="仿宋"/>
                <w:sz w:val="24"/>
              </w:rPr>
            </w:pPr>
            <w:r>
              <w:rPr>
                <w:rFonts w:ascii="仿宋" w:eastAsia="仿宋" w:hAnsi="仿宋" w:cs="宋体" w:hint="eastAsia"/>
                <w:sz w:val="24"/>
              </w:rPr>
              <w:t>（二十二）</w:t>
            </w:r>
            <w:r>
              <w:rPr>
                <w:rFonts w:ascii="仿宋" w:eastAsia="仿宋" w:hAnsi="仿宋" w:cs="仿宋" w:hint="eastAsia"/>
                <w:sz w:val="24"/>
              </w:rPr>
              <w:t>《国家税务总局关于实施高新技术企业所得税优惠有关问题的通知》（国税函〔2009〕203号）全文。</w:t>
            </w:r>
          </w:p>
          <w:p w:rsidR="00013EC7" w:rsidRDefault="00575CDB">
            <w:pPr>
              <w:jc w:val="left"/>
              <w:rPr>
                <w:rFonts w:ascii="仿宋" w:eastAsia="仿宋" w:hAnsi="仿宋" w:cs="仿宋"/>
                <w:sz w:val="24"/>
              </w:rPr>
            </w:pPr>
            <w:r>
              <w:rPr>
                <w:rFonts w:ascii="仿宋" w:eastAsia="仿宋" w:hAnsi="仿宋" w:cs="宋体" w:hint="eastAsia"/>
                <w:sz w:val="24"/>
              </w:rPr>
              <w:t>（二十三）</w:t>
            </w:r>
            <w:r>
              <w:rPr>
                <w:rFonts w:ascii="仿宋" w:eastAsia="仿宋" w:hAnsi="仿宋" w:cs="仿宋" w:hint="eastAsia"/>
                <w:sz w:val="24"/>
              </w:rPr>
              <w:t>《财政部 国家税务总局关于高新技术企业境外所得适用税率及税收抵免问题的通知》（财税〔2011〕47号）全文。</w:t>
            </w:r>
          </w:p>
          <w:p w:rsidR="00013EC7" w:rsidRDefault="00575CDB">
            <w:pPr>
              <w:jc w:val="left"/>
              <w:rPr>
                <w:rFonts w:ascii="仿宋" w:eastAsia="仿宋" w:hAnsi="仿宋" w:cs="仿宋"/>
                <w:sz w:val="24"/>
              </w:rPr>
            </w:pPr>
            <w:r>
              <w:rPr>
                <w:rFonts w:ascii="仿宋" w:eastAsia="仿宋" w:hAnsi="仿宋" w:cs="宋体" w:hint="eastAsia"/>
                <w:sz w:val="24"/>
              </w:rPr>
              <w:t>（二十四）</w:t>
            </w:r>
            <w:r>
              <w:rPr>
                <w:rFonts w:ascii="仿宋" w:eastAsia="仿宋" w:hAnsi="仿宋" w:cs="仿宋" w:hint="eastAsia"/>
                <w:sz w:val="24"/>
              </w:rPr>
              <w:t>《科技部 财政部 国家税务总局关于修订印发〈高新技术企业认定管理办法〉的通知》（国科发火〔2016〕32号）全文。</w:t>
            </w:r>
          </w:p>
          <w:p w:rsidR="00013EC7" w:rsidRDefault="00575CDB">
            <w:pPr>
              <w:jc w:val="left"/>
              <w:rPr>
                <w:rFonts w:ascii="仿宋" w:eastAsia="仿宋" w:hAnsi="仿宋" w:cs="仿宋"/>
                <w:sz w:val="24"/>
              </w:rPr>
            </w:pPr>
            <w:r>
              <w:rPr>
                <w:rFonts w:ascii="仿宋" w:eastAsia="仿宋" w:hAnsi="仿宋" w:cs="宋体" w:hint="eastAsia"/>
                <w:sz w:val="24"/>
              </w:rPr>
              <w:t>（二十五）</w:t>
            </w:r>
            <w:r>
              <w:rPr>
                <w:rFonts w:ascii="仿宋" w:eastAsia="仿宋" w:hAnsi="仿宋" w:cs="仿宋" w:hint="eastAsia"/>
                <w:sz w:val="24"/>
              </w:rPr>
              <w:t>《财政部 国家税务总局 科技部关于完善研究开发费用税前加计扣除政策的通知》（财税〔2015〕119号）全文。</w:t>
            </w:r>
          </w:p>
          <w:p w:rsidR="00013EC7" w:rsidRDefault="00575CDB">
            <w:pPr>
              <w:jc w:val="left"/>
              <w:rPr>
                <w:rFonts w:ascii="仿宋" w:eastAsia="仿宋" w:hAnsi="仿宋" w:cs="仿宋"/>
                <w:sz w:val="24"/>
              </w:rPr>
            </w:pPr>
            <w:r>
              <w:rPr>
                <w:rFonts w:ascii="仿宋" w:eastAsia="仿宋" w:hAnsi="仿宋" w:cs="宋体" w:hint="eastAsia"/>
                <w:sz w:val="24"/>
              </w:rPr>
              <w:t>（二十六）</w:t>
            </w:r>
            <w:r>
              <w:rPr>
                <w:rFonts w:ascii="仿宋" w:eastAsia="仿宋" w:hAnsi="仿宋" w:cs="仿宋" w:hint="eastAsia"/>
                <w:sz w:val="24"/>
              </w:rPr>
              <w:t>《国家税务总局关于企业研</w:t>
            </w:r>
            <w:r>
              <w:rPr>
                <w:rFonts w:ascii="仿宋" w:eastAsia="仿宋" w:hAnsi="仿宋" w:cs="仿宋" w:hint="eastAsia"/>
                <w:sz w:val="24"/>
              </w:rPr>
              <w:lastRenderedPageBreak/>
              <w:t>究开发费用税前加计扣除政策有关问题的公告》（国家税务总局公告2015年第97号）全文。</w:t>
            </w:r>
          </w:p>
          <w:p w:rsidR="00013EC7" w:rsidRDefault="00575CDB">
            <w:pPr>
              <w:jc w:val="left"/>
              <w:rPr>
                <w:rFonts w:ascii="仿宋" w:eastAsia="仿宋" w:hAnsi="仿宋" w:cs="仿宋"/>
                <w:sz w:val="24"/>
              </w:rPr>
            </w:pPr>
            <w:r>
              <w:rPr>
                <w:rFonts w:ascii="仿宋" w:eastAsia="仿宋" w:hAnsi="仿宋" w:cs="宋体" w:hint="eastAsia"/>
                <w:sz w:val="24"/>
              </w:rPr>
              <w:t>（二十七）</w:t>
            </w:r>
            <w:r>
              <w:rPr>
                <w:rFonts w:ascii="仿宋" w:eastAsia="仿宋" w:hAnsi="仿宋" w:cs="仿宋" w:hint="eastAsia"/>
                <w:sz w:val="24"/>
              </w:rPr>
              <w:t>财政部 税务总局 科技部关于提高科技型中小企业研究开发费用税前加计扣除比例的通知》（财税〔2017〕34号）全文。</w:t>
            </w:r>
          </w:p>
          <w:p w:rsidR="00013EC7" w:rsidRDefault="00575CDB">
            <w:pPr>
              <w:jc w:val="left"/>
              <w:rPr>
                <w:rFonts w:ascii="仿宋" w:eastAsia="仿宋" w:hAnsi="仿宋" w:cs="仿宋"/>
                <w:sz w:val="24"/>
              </w:rPr>
            </w:pPr>
            <w:r>
              <w:rPr>
                <w:rFonts w:ascii="仿宋" w:eastAsia="仿宋" w:hAnsi="仿宋" w:cs="宋体" w:hint="eastAsia"/>
                <w:sz w:val="24"/>
              </w:rPr>
              <w:t>（二十八）</w:t>
            </w:r>
            <w:r>
              <w:rPr>
                <w:rFonts w:ascii="仿宋" w:eastAsia="仿宋" w:hAnsi="仿宋" w:cs="仿宋" w:hint="eastAsia"/>
                <w:sz w:val="24"/>
              </w:rPr>
              <w:t>《科技部 财政部 国家税务总局关于印发〈科技型中小企业评价办法〉的通知》（国科发政〔2017〕115号）全文。</w:t>
            </w:r>
          </w:p>
          <w:p w:rsidR="00013EC7" w:rsidRDefault="00575CDB">
            <w:pPr>
              <w:jc w:val="left"/>
              <w:rPr>
                <w:rFonts w:ascii="仿宋" w:eastAsia="仿宋" w:hAnsi="仿宋" w:cs="仿宋"/>
                <w:sz w:val="24"/>
              </w:rPr>
            </w:pPr>
            <w:r>
              <w:rPr>
                <w:rFonts w:ascii="仿宋" w:eastAsia="仿宋" w:hAnsi="仿宋" w:cs="宋体" w:hint="eastAsia"/>
                <w:sz w:val="24"/>
              </w:rPr>
              <w:t>（二十九）</w:t>
            </w:r>
            <w:r>
              <w:rPr>
                <w:rFonts w:ascii="仿宋" w:eastAsia="仿宋" w:hAnsi="仿宋" w:cs="仿宋" w:hint="eastAsia"/>
                <w:sz w:val="24"/>
              </w:rPr>
              <w:t>《财政部 海关总署 国家税务总局关于继续实施支持文化企业发展若干税收政策的通知》（财税〔2014〕85号）第四条。</w:t>
            </w:r>
          </w:p>
          <w:p w:rsidR="00013EC7" w:rsidRDefault="00575CDB">
            <w:pPr>
              <w:jc w:val="left"/>
              <w:rPr>
                <w:rFonts w:ascii="仿宋" w:eastAsia="仿宋" w:hAnsi="仿宋" w:cs="仿宋"/>
                <w:sz w:val="24"/>
              </w:rPr>
            </w:pPr>
            <w:r>
              <w:rPr>
                <w:rFonts w:ascii="仿宋" w:eastAsia="仿宋" w:hAnsi="仿宋" w:cs="宋体" w:hint="eastAsia"/>
                <w:sz w:val="24"/>
              </w:rPr>
              <w:t>（三十）</w:t>
            </w:r>
            <w:r>
              <w:rPr>
                <w:rFonts w:ascii="仿宋" w:eastAsia="仿宋" w:hAnsi="仿宋" w:cs="仿宋" w:hint="eastAsia"/>
                <w:sz w:val="24"/>
              </w:rPr>
              <w:t>《财政部 国家税务总局关于安置残疾人员就业有关企业所得税优惠政策问题的通知》（财税〔2009〕70号）全文。</w:t>
            </w:r>
          </w:p>
          <w:p w:rsidR="00013EC7" w:rsidRDefault="00575CDB">
            <w:pPr>
              <w:jc w:val="left"/>
              <w:rPr>
                <w:rFonts w:ascii="仿宋" w:eastAsia="仿宋" w:hAnsi="仿宋" w:cs="仿宋"/>
                <w:sz w:val="24"/>
              </w:rPr>
            </w:pPr>
            <w:r>
              <w:rPr>
                <w:rFonts w:ascii="仿宋" w:eastAsia="仿宋" w:hAnsi="仿宋" w:cs="宋体" w:hint="eastAsia"/>
                <w:sz w:val="24"/>
              </w:rPr>
              <w:t>（三十一）</w:t>
            </w:r>
            <w:r>
              <w:rPr>
                <w:rFonts w:ascii="仿宋" w:eastAsia="仿宋" w:hAnsi="仿宋" w:cs="仿宋" w:hint="eastAsia"/>
                <w:sz w:val="24"/>
              </w:rPr>
              <w:t>《国家税务总局关于促进残疾人就业税收优惠政策有关问题的公告》（国家税务总局公告2013年第78号）全文。</w:t>
            </w:r>
          </w:p>
          <w:p w:rsidR="00013EC7" w:rsidRDefault="00575CDB">
            <w:pPr>
              <w:jc w:val="left"/>
              <w:rPr>
                <w:rFonts w:ascii="仿宋" w:eastAsia="仿宋" w:hAnsi="仿宋" w:cs="仿宋"/>
                <w:sz w:val="24"/>
              </w:rPr>
            </w:pPr>
            <w:r>
              <w:rPr>
                <w:rFonts w:ascii="仿宋" w:eastAsia="仿宋" w:hAnsi="仿宋" w:cs="宋体" w:hint="eastAsia"/>
                <w:sz w:val="24"/>
              </w:rPr>
              <w:t>（三十二）</w:t>
            </w:r>
            <w:r>
              <w:rPr>
                <w:rFonts w:ascii="仿宋" w:eastAsia="仿宋" w:hAnsi="仿宋" w:cs="仿宋" w:hint="eastAsia"/>
                <w:sz w:val="24"/>
              </w:rPr>
              <w:t>《国家税务总局关于促进残疾人就业税收优惠政策相关问题的公告》（国家税务总局公告2015年第55号）全文。</w:t>
            </w:r>
          </w:p>
          <w:p w:rsidR="00013EC7" w:rsidRDefault="00575CDB">
            <w:pPr>
              <w:jc w:val="left"/>
              <w:rPr>
                <w:rFonts w:ascii="仿宋" w:eastAsia="仿宋" w:hAnsi="仿宋" w:cs="仿宋"/>
                <w:sz w:val="24"/>
              </w:rPr>
            </w:pPr>
            <w:r>
              <w:rPr>
                <w:rFonts w:ascii="仿宋" w:eastAsia="仿宋" w:hAnsi="仿宋" w:cs="宋体" w:hint="eastAsia"/>
                <w:sz w:val="24"/>
              </w:rPr>
              <w:t>（三十三）</w:t>
            </w:r>
            <w:r>
              <w:rPr>
                <w:rFonts w:ascii="仿宋" w:eastAsia="仿宋" w:hAnsi="仿宋" w:cs="仿宋" w:hint="eastAsia"/>
                <w:sz w:val="24"/>
              </w:rPr>
              <w:t>《国家税务总局关于实施农林牧渔业项目企业所得税优惠问题的公告》（国家税务总局公告2011年第48号）全文。</w:t>
            </w:r>
          </w:p>
          <w:p w:rsidR="00013EC7" w:rsidRDefault="00575CDB">
            <w:pPr>
              <w:jc w:val="left"/>
              <w:rPr>
                <w:rFonts w:ascii="仿宋" w:eastAsia="仿宋" w:hAnsi="仿宋" w:cs="仿宋"/>
                <w:sz w:val="24"/>
              </w:rPr>
            </w:pPr>
            <w:r>
              <w:rPr>
                <w:rFonts w:ascii="仿宋" w:eastAsia="仿宋" w:hAnsi="仿宋" w:cs="宋体" w:hint="eastAsia"/>
                <w:sz w:val="24"/>
              </w:rPr>
              <w:t>（三十四）</w:t>
            </w:r>
            <w:r>
              <w:rPr>
                <w:rFonts w:ascii="仿宋" w:eastAsia="仿宋" w:hAnsi="仿宋" w:cs="仿宋" w:hint="eastAsia"/>
                <w:sz w:val="24"/>
              </w:rPr>
              <w:t>《财政部 国家税务总局关于发布享受企业所得税优惠政策的农产品初加工范围（试行）的通知》（财税〔2008〕149号）全文。</w:t>
            </w:r>
          </w:p>
          <w:p w:rsidR="00013EC7" w:rsidRDefault="00575CDB">
            <w:pPr>
              <w:jc w:val="left"/>
              <w:rPr>
                <w:rFonts w:ascii="仿宋" w:eastAsia="仿宋" w:hAnsi="仿宋" w:cs="仿宋"/>
                <w:sz w:val="24"/>
              </w:rPr>
            </w:pPr>
            <w:r>
              <w:rPr>
                <w:rFonts w:ascii="仿宋" w:eastAsia="仿宋" w:hAnsi="仿宋" w:cs="宋体" w:hint="eastAsia"/>
                <w:sz w:val="24"/>
              </w:rPr>
              <w:lastRenderedPageBreak/>
              <w:t>（三十五）</w:t>
            </w:r>
            <w:r>
              <w:rPr>
                <w:rFonts w:ascii="仿宋" w:eastAsia="仿宋" w:hAnsi="仿宋" w:cs="仿宋" w:hint="eastAsia"/>
                <w:sz w:val="24"/>
              </w:rPr>
              <w:t>《国家税务总局关于黑龙江垦区国有农场土地承包费缴纳企业所得税问题的批复》（国税函〔2009〕779号）全文。</w:t>
            </w:r>
          </w:p>
          <w:p w:rsidR="00013EC7" w:rsidRDefault="00575CDB">
            <w:pPr>
              <w:jc w:val="left"/>
              <w:rPr>
                <w:rFonts w:ascii="仿宋" w:eastAsia="仿宋" w:hAnsi="仿宋" w:cs="仿宋"/>
                <w:sz w:val="24"/>
              </w:rPr>
            </w:pPr>
            <w:r>
              <w:rPr>
                <w:rFonts w:ascii="仿宋" w:eastAsia="仿宋" w:hAnsi="仿宋" w:cs="宋体" w:hint="eastAsia"/>
                <w:sz w:val="24"/>
              </w:rPr>
              <w:t>（三十六）</w:t>
            </w:r>
            <w:r>
              <w:rPr>
                <w:rFonts w:ascii="仿宋" w:eastAsia="仿宋" w:hAnsi="仿宋" w:cs="仿宋" w:hint="eastAsia"/>
                <w:sz w:val="24"/>
              </w:rPr>
              <w:t>《财政部 国家税务总局关于享受企业所得税优惠的农产品初加工有关范围的补充通知》（财税〔2011〕26号）全文。</w:t>
            </w:r>
          </w:p>
          <w:p w:rsidR="00013EC7" w:rsidRDefault="00575CDB">
            <w:pPr>
              <w:jc w:val="left"/>
              <w:rPr>
                <w:rFonts w:ascii="仿宋" w:eastAsia="仿宋" w:hAnsi="仿宋" w:cs="仿宋"/>
                <w:sz w:val="24"/>
              </w:rPr>
            </w:pPr>
            <w:r>
              <w:rPr>
                <w:rFonts w:ascii="仿宋" w:eastAsia="仿宋" w:hAnsi="仿宋" w:cs="宋体" w:hint="eastAsia"/>
                <w:sz w:val="24"/>
              </w:rPr>
              <w:t>（三十七）</w:t>
            </w:r>
            <w:r>
              <w:rPr>
                <w:rFonts w:ascii="仿宋" w:eastAsia="仿宋" w:hAnsi="仿宋" w:cs="仿宋" w:hint="eastAsia"/>
                <w:sz w:val="24"/>
              </w:rPr>
              <w:t>《国家税务总局关于“公司+农户”经营模式企业所得税优惠问题的公告》（国家税务总局公告2010年第2号）全文。</w:t>
            </w:r>
          </w:p>
          <w:p w:rsidR="00013EC7" w:rsidRDefault="00575CDB">
            <w:pPr>
              <w:jc w:val="left"/>
              <w:rPr>
                <w:rFonts w:ascii="仿宋" w:eastAsia="仿宋" w:hAnsi="仿宋" w:cs="仿宋"/>
                <w:sz w:val="24"/>
              </w:rPr>
            </w:pPr>
            <w:r>
              <w:rPr>
                <w:rFonts w:ascii="仿宋" w:eastAsia="仿宋" w:hAnsi="仿宋" w:cs="宋体" w:hint="eastAsia"/>
                <w:sz w:val="24"/>
              </w:rPr>
              <w:t>（三十八）</w:t>
            </w:r>
            <w:r>
              <w:rPr>
                <w:rFonts w:ascii="仿宋" w:eastAsia="仿宋" w:hAnsi="仿宋" w:cs="仿宋" w:hint="eastAsia"/>
                <w:sz w:val="24"/>
              </w:rPr>
              <w:t>《财政部 国家税务总局关于执行公共基础设施项目企业所得税优惠目录有关问题的通知》（财税〔2008〕46号）全文。</w:t>
            </w:r>
          </w:p>
          <w:p w:rsidR="00013EC7" w:rsidRDefault="00575CDB">
            <w:pPr>
              <w:jc w:val="left"/>
              <w:rPr>
                <w:rFonts w:ascii="仿宋" w:eastAsia="仿宋" w:hAnsi="仿宋" w:cs="仿宋"/>
                <w:sz w:val="24"/>
              </w:rPr>
            </w:pPr>
            <w:r>
              <w:rPr>
                <w:rFonts w:ascii="仿宋" w:eastAsia="仿宋" w:hAnsi="仿宋" w:cs="宋体" w:hint="eastAsia"/>
                <w:sz w:val="24"/>
              </w:rPr>
              <w:t>（三十九）</w:t>
            </w:r>
            <w:r>
              <w:rPr>
                <w:rFonts w:ascii="仿宋" w:eastAsia="仿宋" w:hAnsi="仿宋" w:cs="仿宋" w:hint="eastAsia"/>
                <w:sz w:val="24"/>
              </w:rPr>
              <w:t>《财政部 国家税务总局 国家发展改革委关于公布公共基础设施项目企业所得税优惠目录（2008年版）的通知》（财税〔2008〕116号）全文。</w:t>
            </w:r>
          </w:p>
          <w:p w:rsidR="00013EC7" w:rsidRDefault="00575CDB">
            <w:pPr>
              <w:jc w:val="left"/>
              <w:rPr>
                <w:rFonts w:ascii="仿宋" w:eastAsia="仿宋" w:hAnsi="仿宋" w:cs="仿宋"/>
                <w:sz w:val="24"/>
              </w:rPr>
            </w:pPr>
            <w:r>
              <w:rPr>
                <w:rFonts w:ascii="仿宋" w:eastAsia="仿宋" w:hAnsi="仿宋" w:cs="宋体" w:hint="eastAsia"/>
                <w:sz w:val="24"/>
              </w:rPr>
              <w:t>（四十）</w:t>
            </w:r>
            <w:r>
              <w:rPr>
                <w:rFonts w:ascii="仿宋" w:eastAsia="仿宋" w:hAnsi="仿宋" w:cs="仿宋" w:hint="eastAsia"/>
                <w:sz w:val="24"/>
              </w:rPr>
              <w:t>《国家税务总局关于实施国家重点扶持的公共基础设施项目企业所得税优惠问题的通知》（国税发〔2009〕80号）第一条到第六条、第八条到第十二条。</w:t>
            </w:r>
          </w:p>
          <w:p w:rsidR="00013EC7" w:rsidRDefault="00575CDB">
            <w:pPr>
              <w:jc w:val="left"/>
              <w:rPr>
                <w:rFonts w:ascii="仿宋" w:eastAsia="仿宋" w:hAnsi="仿宋" w:cs="仿宋"/>
                <w:sz w:val="24"/>
              </w:rPr>
            </w:pPr>
            <w:r>
              <w:rPr>
                <w:rFonts w:ascii="仿宋" w:eastAsia="仿宋" w:hAnsi="仿宋" w:cs="仿宋" w:hint="eastAsia"/>
                <w:sz w:val="24"/>
              </w:rPr>
              <w:t>（四十一）《财政部 国家税务总局关于继续实行农村饮水安全工程建设运营税收优惠政策的通知》（财税〔2016〕19号）第五条、第六条第一款。</w:t>
            </w:r>
          </w:p>
          <w:p w:rsidR="00013EC7" w:rsidRDefault="00575CDB">
            <w:pPr>
              <w:jc w:val="left"/>
              <w:rPr>
                <w:rFonts w:ascii="仿宋" w:eastAsia="仿宋" w:hAnsi="仿宋" w:cs="仿宋"/>
                <w:sz w:val="24"/>
              </w:rPr>
            </w:pPr>
            <w:r>
              <w:rPr>
                <w:rFonts w:ascii="仿宋" w:eastAsia="仿宋" w:hAnsi="仿宋" w:cs="仿宋" w:hint="eastAsia"/>
                <w:sz w:val="24"/>
              </w:rPr>
              <w:t>（四十二）《国家税务总局关于电网企业电网新建项目享受所得税优惠政策问题的公告》（国家税务总局公告2013年第26号）第一条、第三条。</w:t>
            </w:r>
          </w:p>
          <w:p w:rsidR="00013EC7" w:rsidRDefault="00575CDB">
            <w:pPr>
              <w:jc w:val="left"/>
              <w:rPr>
                <w:rFonts w:ascii="仿宋" w:eastAsia="仿宋" w:hAnsi="仿宋" w:cs="仿宋"/>
                <w:sz w:val="24"/>
              </w:rPr>
            </w:pPr>
            <w:r>
              <w:rPr>
                <w:rFonts w:ascii="仿宋" w:eastAsia="仿宋" w:hAnsi="仿宋" w:cs="宋体" w:hint="eastAsia"/>
                <w:sz w:val="24"/>
              </w:rPr>
              <w:t>（四十三）</w:t>
            </w:r>
            <w:r>
              <w:rPr>
                <w:rFonts w:ascii="仿宋" w:eastAsia="仿宋" w:hAnsi="仿宋" w:cs="仿宋" w:hint="eastAsia"/>
                <w:sz w:val="24"/>
              </w:rPr>
              <w:t>《财政部 国家税务总局关于公共基础设施项目享受企业所得税优惠</w:t>
            </w:r>
            <w:r>
              <w:rPr>
                <w:rFonts w:ascii="仿宋" w:eastAsia="仿宋" w:hAnsi="仿宋" w:cs="仿宋" w:hint="eastAsia"/>
                <w:sz w:val="24"/>
              </w:rPr>
              <w:lastRenderedPageBreak/>
              <w:t>政策问题的补充通知》（财税〔2014〕55号）全文。</w:t>
            </w:r>
          </w:p>
          <w:p w:rsidR="00013EC7" w:rsidRDefault="00575CDB">
            <w:pPr>
              <w:jc w:val="left"/>
              <w:rPr>
                <w:rFonts w:ascii="仿宋" w:eastAsia="仿宋" w:hAnsi="仿宋" w:cs="仿宋"/>
                <w:sz w:val="24"/>
              </w:rPr>
            </w:pPr>
            <w:r>
              <w:rPr>
                <w:rFonts w:ascii="仿宋" w:eastAsia="仿宋" w:hAnsi="仿宋" w:cs="宋体" w:hint="eastAsia"/>
                <w:sz w:val="24"/>
              </w:rPr>
              <w:t>（四十四）</w:t>
            </w:r>
            <w:r>
              <w:rPr>
                <w:rFonts w:ascii="仿宋" w:eastAsia="仿宋" w:hAnsi="仿宋" w:cs="仿宋" w:hint="eastAsia"/>
                <w:sz w:val="24"/>
              </w:rPr>
              <w:t>《财政部 国家税务总局关于公共基础设施项目和环境保护节能节水项目企业所得税优惠政策问题的通知》（财税〔2012〕10号）全文。</w:t>
            </w:r>
          </w:p>
          <w:p w:rsidR="00013EC7" w:rsidRDefault="00575CDB">
            <w:pPr>
              <w:jc w:val="left"/>
              <w:rPr>
                <w:rFonts w:ascii="仿宋" w:eastAsia="仿宋" w:hAnsi="仿宋" w:cs="仿宋"/>
                <w:sz w:val="24"/>
              </w:rPr>
            </w:pPr>
            <w:r>
              <w:rPr>
                <w:rFonts w:ascii="仿宋" w:eastAsia="仿宋" w:hAnsi="仿宋" w:cs="宋体" w:hint="eastAsia"/>
                <w:sz w:val="24"/>
              </w:rPr>
              <w:t>（四十五）</w:t>
            </w:r>
            <w:r>
              <w:rPr>
                <w:rFonts w:ascii="仿宋" w:eastAsia="仿宋" w:hAnsi="仿宋" w:cs="仿宋" w:hint="eastAsia"/>
                <w:sz w:val="24"/>
              </w:rPr>
              <w:t>《财政部 国家税务总局国家发展改革委关于公布环境保护节能节水项目企业所得税优惠目录（试行）的通知》（财税〔2009〕166号）全文。</w:t>
            </w:r>
          </w:p>
          <w:p w:rsidR="00013EC7" w:rsidRDefault="00575CDB">
            <w:pPr>
              <w:jc w:val="left"/>
              <w:rPr>
                <w:rFonts w:ascii="仿宋" w:eastAsia="仿宋" w:hAnsi="仿宋" w:cs="仿宋"/>
                <w:sz w:val="24"/>
              </w:rPr>
            </w:pPr>
            <w:r>
              <w:rPr>
                <w:rFonts w:ascii="仿宋" w:eastAsia="仿宋" w:hAnsi="仿宋" w:cs="宋体" w:hint="eastAsia"/>
                <w:sz w:val="24"/>
              </w:rPr>
              <w:t>（四十六）</w:t>
            </w:r>
            <w:r>
              <w:rPr>
                <w:rFonts w:ascii="仿宋" w:eastAsia="仿宋" w:hAnsi="仿宋" w:cs="仿宋" w:hint="eastAsia"/>
                <w:sz w:val="24"/>
              </w:rPr>
              <w:t>《财政部 国家税务总局 国家发展改革委关于公布环境保护节能节水项目企业所得税优惠目录（试行）的通知》（财税〔2016〕131号）全文。</w:t>
            </w:r>
          </w:p>
          <w:p w:rsidR="00013EC7" w:rsidRDefault="00575CDB">
            <w:pPr>
              <w:jc w:val="left"/>
              <w:rPr>
                <w:rFonts w:ascii="仿宋" w:eastAsia="仿宋" w:hAnsi="仿宋" w:cs="仿宋"/>
                <w:sz w:val="24"/>
              </w:rPr>
            </w:pPr>
            <w:r>
              <w:rPr>
                <w:rFonts w:ascii="仿宋" w:eastAsia="仿宋" w:hAnsi="仿宋" w:cs="宋体" w:hint="eastAsia"/>
                <w:sz w:val="24"/>
              </w:rPr>
              <w:t>（四十七）</w:t>
            </w:r>
            <w:r>
              <w:rPr>
                <w:rFonts w:ascii="仿宋" w:eastAsia="仿宋" w:hAnsi="仿宋" w:cs="仿宋" w:hint="eastAsia"/>
                <w:sz w:val="24"/>
              </w:rPr>
              <w:t>《国家税务总局关于技术转让所得减免企业所得税有关问题的通知》（国税函〔2009〕212号）第一条到第三条、第五条。</w:t>
            </w:r>
          </w:p>
          <w:p w:rsidR="00013EC7" w:rsidRDefault="00575CDB">
            <w:pPr>
              <w:jc w:val="left"/>
              <w:rPr>
                <w:rFonts w:ascii="仿宋" w:eastAsia="仿宋" w:hAnsi="仿宋" w:cs="仿宋"/>
                <w:sz w:val="24"/>
              </w:rPr>
            </w:pPr>
            <w:r>
              <w:rPr>
                <w:rFonts w:ascii="仿宋" w:eastAsia="仿宋" w:hAnsi="仿宋" w:cs="仿宋" w:hint="eastAsia"/>
                <w:sz w:val="24"/>
              </w:rPr>
              <w:t>（四十八）《财政部 国家税务总局关于居民企业技术转让有关企业所得税政策问题的通知》（财税〔2010〕111号）全文。</w:t>
            </w:r>
          </w:p>
          <w:p w:rsidR="00013EC7" w:rsidRDefault="00575CDB">
            <w:pPr>
              <w:jc w:val="left"/>
              <w:rPr>
                <w:rFonts w:ascii="仿宋" w:eastAsia="仿宋" w:hAnsi="仿宋" w:cs="仿宋"/>
                <w:sz w:val="24"/>
              </w:rPr>
            </w:pPr>
            <w:r>
              <w:rPr>
                <w:rFonts w:ascii="仿宋" w:eastAsia="仿宋" w:hAnsi="仿宋" w:cs="宋体" w:hint="eastAsia"/>
                <w:sz w:val="24"/>
              </w:rPr>
              <w:t>（四十九）</w:t>
            </w:r>
            <w:r>
              <w:rPr>
                <w:rFonts w:ascii="仿宋" w:eastAsia="仿宋" w:hAnsi="仿宋" w:cs="仿宋" w:hint="eastAsia"/>
                <w:sz w:val="24"/>
              </w:rPr>
              <w:t>《国家税务总局关于技术转让所得减免企业所得税有关问题的公告》（国家税务总局公告2013年第62号）全文。</w:t>
            </w:r>
          </w:p>
          <w:p w:rsidR="00013EC7" w:rsidRDefault="00575CDB">
            <w:pPr>
              <w:jc w:val="left"/>
              <w:rPr>
                <w:rFonts w:ascii="仿宋" w:eastAsia="仿宋" w:hAnsi="仿宋" w:cs="仿宋"/>
                <w:sz w:val="24"/>
              </w:rPr>
            </w:pPr>
            <w:r>
              <w:rPr>
                <w:rFonts w:ascii="仿宋" w:eastAsia="仿宋" w:hAnsi="仿宋" w:cs="宋体" w:hint="eastAsia"/>
                <w:sz w:val="24"/>
              </w:rPr>
              <w:t>（五十）</w:t>
            </w:r>
            <w:r>
              <w:rPr>
                <w:rFonts w:ascii="仿宋" w:eastAsia="仿宋" w:hAnsi="仿宋" w:cs="仿宋" w:hint="eastAsia"/>
                <w:sz w:val="24"/>
              </w:rPr>
              <w:t>《国家税务总局关于许可使用权技术转让所得企业所得税有关问题的公告》（国家税务总局公告2015年第82号）全文。</w:t>
            </w:r>
          </w:p>
          <w:p w:rsidR="00013EC7" w:rsidRDefault="00575CDB">
            <w:pPr>
              <w:jc w:val="left"/>
              <w:rPr>
                <w:rFonts w:ascii="仿宋" w:eastAsia="仿宋" w:hAnsi="仿宋" w:cs="仿宋"/>
                <w:sz w:val="24"/>
              </w:rPr>
            </w:pPr>
            <w:r>
              <w:rPr>
                <w:rFonts w:ascii="仿宋" w:eastAsia="仿宋" w:hAnsi="仿宋" w:cs="宋体" w:hint="eastAsia"/>
                <w:sz w:val="24"/>
              </w:rPr>
              <w:t>（五十一）</w:t>
            </w:r>
            <w:r>
              <w:rPr>
                <w:rFonts w:ascii="仿宋" w:eastAsia="仿宋" w:hAnsi="仿宋" w:cs="仿宋" w:hint="eastAsia"/>
                <w:sz w:val="24"/>
              </w:rPr>
              <w:t>《国家税务总局 国家发展改革委关于落实节能服务企业合同能源管理项目企业所得税优惠政策有关征收管理问题的公告》（国家税务总局 国家发</w:t>
            </w:r>
            <w:r>
              <w:rPr>
                <w:rFonts w:ascii="仿宋" w:eastAsia="仿宋" w:hAnsi="仿宋" w:cs="仿宋" w:hint="eastAsia"/>
                <w:sz w:val="24"/>
              </w:rPr>
              <w:lastRenderedPageBreak/>
              <w:t>展改革委公告2013年第77号）第一条到第五条、第七条到第九条。</w:t>
            </w:r>
          </w:p>
          <w:p w:rsidR="00013EC7" w:rsidRDefault="00575CDB">
            <w:pPr>
              <w:jc w:val="left"/>
              <w:rPr>
                <w:rFonts w:ascii="仿宋" w:eastAsia="仿宋" w:hAnsi="仿宋" w:cs="仿宋"/>
                <w:sz w:val="24"/>
              </w:rPr>
            </w:pPr>
            <w:r>
              <w:rPr>
                <w:rFonts w:ascii="仿宋" w:eastAsia="仿宋" w:hAnsi="仿宋" w:cs="宋体" w:hint="eastAsia"/>
                <w:sz w:val="24"/>
              </w:rPr>
              <w:t>（五十二）</w:t>
            </w:r>
            <w:r>
              <w:rPr>
                <w:rFonts w:ascii="仿宋" w:eastAsia="仿宋" w:hAnsi="仿宋" w:cs="仿宋" w:hint="eastAsia"/>
                <w:sz w:val="24"/>
              </w:rPr>
              <w:t>《财政部 国家税务总局关于促进节能服务产业发展增值税营业税和企业所得税政策问题的通知》（财税〔2010〕110号）第二条。</w:t>
            </w:r>
          </w:p>
          <w:p w:rsidR="00013EC7" w:rsidRDefault="00575CDB">
            <w:pPr>
              <w:jc w:val="left"/>
              <w:rPr>
                <w:rFonts w:ascii="仿宋" w:eastAsia="仿宋" w:hAnsi="仿宋" w:cs="仿宋"/>
                <w:sz w:val="24"/>
              </w:rPr>
            </w:pPr>
            <w:r>
              <w:rPr>
                <w:rFonts w:ascii="仿宋" w:eastAsia="仿宋" w:hAnsi="仿宋" w:cs="宋体" w:hint="eastAsia"/>
                <w:sz w:val="24"/>
              </w:rPr>
              <w:t>（五十三）</w:t>
            </w:r>
            <w:r>
              <w:rPr>
                <w:rFonts w:ascii="仿宋" w:eastAsia="仿宋" w:hAnsi="仿宋" w:cs="仿宋" w:hint="eastAsia"/>
                <w:sz w:val="24"/>
              </w:rPr>
              <w:t>《科技部 财政部 国家税务总局关于修订印发〈高新技术企业认定管理工作指引〉的通知》（国科发火〔2016〕195号）全文。</w:t>
            </w:r>
          </w:p>
          <w:p w:rsidR="00013EC7" w:rsidRDefault="00575CDB">
            <w:pPr>
              <w:jc w:val="left"/>
              <w:rPr>
                <w:rFonts w:ascii="仿宋" w:eastAsia="仿宋" w:hAnsi="仿宋" w:cs="仿宋"/>
                <w:sz w:val="24"/>
              </w:rPr>
            </w:pPr>
            <w:r>
              <w:rPr>
                <w:rFonts w:ascii="仿宋" w:eastAsia="仿宋" w:hAnsi="仿宋" w:cs="宋体" w:hint="eastAsia"/>
                <w:sz w:val="24"/>
              </w:rPr>
              <w:t>（五十四）</w:t>
            </w:r>
            <w:r>
              <w:rPr>
                <w:rFonts w:ascii="仿宋" w:eastAsia="仿宋" w:hAnsi="仿宋" w:cs="仿宋" w:hint="eastAsia"/>
                <w:sz w:val="24"/>
              </w:rPr>
              <w:t>《财政部 国家税务总局 中宣部关于继续实施文化体制改革中经营性文化事业单位转制为企业若干税收政策的通知》（财税〔2014〕84号）第一条第（一）款、第一条第（五）款。</w:t>
            </w:r>
          </w:p>
          <w:p w:rsidR="00013EC7" w:rsidRDefault="00575CDB">
            <w:pPr>
              <w:jc w:val="left"/>
              <w:rPr>
                <w:rFonts w:ascii="仿宋" w:eastAsia="仿宋" w:hAnsi="仿宋" w:cs="仿宋"/>
                <w:sz w:val="24"/>
              </w:rPr>
            </w:pPr>
            <w:r>
              <w:rPr>
                <w:rFonts w:ascii="仿宋" w:eastAsia="仿宋" w:hAnsi="仿宋" w:cs="宋体" w:hint="eastAsia"/>
                <w:sz w:val="24"/>
              </w:rPr>
              <w:t>（五十五）</w:t>
            </w:r>
            <w:r>
              <w:rPr>
                <w:rFonts w:ascii="仿宋" w:eastAsia="仿宋" w:hAnsi="仿宋" w:cs="仿宋" w:hint="eastAsia"/>
                <w:sz w:val="24"/>
              </w:rPr>
              <w:t>《文化部 财政部 国家税务总局关于印发&lt;动漫企业认定管理办法（试行）&gt;的通知》（文市发〔2008〕51号）全文。</w:t>
            </w:r>
          </w:p>
          <w:p w:rsidR="00013EC7" w:rsidRDefault="00575CDB">
            <w:pPr>
              <w:jc w:val="left"/>
              <w:rPr>
                <w:rFonts w:ascii="仿宋" w:eastAsia="仿宋" w:hAnsi="仿宋" w:cs="仿宋"/>
                <w:sz w:val="24"/>
              </w:rPr>
            </w:pPr>
            <w:r>
              <w:rPr>
                <w:rFonts w:ascii="仿宋" w:eastAsia="仿宋" w:hAnsi="仿宋" w:cs="宋体" w:hint="eastAsia"/>
                <w:sz w:val="24"/>
              </w:rPr>
              <w:t>（五十六）</w:t>
            </w:r>
            <w:r>
              <w:rPr>
                <w:rFonts w:ascii="仿宋" w:eastAsia="仿宋" w:hAnsi="仿宋" w:cs="仿宋" w:hint="eastAsia"/>
                <w:sz w:val="24"/>
              </w:rPr>
              <w:t>《文化部 财政部 国家税务总局关于实施&lt;动漫企业认定管理办法（试行）&gt;有关问题的通知》（文产发〔2009〕18号）全文。</w:t>
            </w:r>
          </w:p>
          <w:p w:rsidR="00013EC7" w:rsidRDefault="00575CDB">
            <w:pPr>
              <w:jc w:val="left"/>
              <w:rPr>
                <w:rFonts w:ascii="仿宋" w:eastAsia="仿宋" w:hAnsi="仿宋" w:cs="仿宋"/>
                <w:sz w:val="24"/>
              </w:rPr>
            </w:pPr>
            <w:r>
              <w:rPr>
                <w:rFonts w:ascii="仿宋" w:eastAsia="仿宋" w:hAnsi="仿宋" w:cs="宋体" w:hint="eastAsia"/>
                <w:sz w:val="24"/>
              </w:rPr>
              <w:t>（五十七）</w:t>
            </w:r>
            <w:r>
              <w:rPr>
                <w:rFonts w:ascii="仿宋" w:eastAsia="仿宋" w:hAnsi="仿宋" w:cs="仿宋" w:hint="eastAsia"/>
                <w:sz w:val="24"/>
              </w:rPr>
              <w:t>《财政部 国家税务总局关于扶持动漫产业发展有关税收政策问题的通知》（财税〔2009〕65号）第二条。</w:t>
            </w:r>
          </w:p>
          <w:p w:rsidR="00013EC7" w:rsidRDefault="00575CDB">
            <w:pPr>
              <w:jc w:val="left"/>
              <w:rPr>
                <w:rFonts w:ascii="仿宋" w:eastAsia="仿宋" w:hAnsi="仿宋" w:cs="仿宋"/>
                <w:sz w:val="24"/>
              </w:rPr>
            </w:pPr>
            <w:r>
              <w:rPr>
                <w:rFonts w:ascii="仿宋" w:eastAsia="仿宋" w:hAnsi="仿宋" w:cs="宋体" w:hint="eastAsia"/>
                <w:sz w:val="24"/>
              </w:rPr>
              <w:t>（五十八）</w:t>
            </w:r>
            <w:r>
              <w:rPr>
                <w:rFonts w:ascii="仿宋" w:eastAsia="仿宋" w:hAnsi="仿宋" w:cs="仿宋" w:hint="eastAsia"/>
                <w:sz w:val="24"/>
              </w:rPr>
              <w:t>《财政部 国家税务总局 商务部 科技部 国家发展改革委关于完善技术先进型服务企业有关企业所得税政策问题的通知》（财税〔2014〕59号）全文。</w:t>
            </w:r>
          </w:p>
          <w:p w:rsidR="00013EC7" w:rsidRDefault="00575CDB">
            <w:pPr>
              <w:jc w:val="left"/>
              <w:rPr>
                <w:rFonts w:ascii="仿宋" w:eastAsia="仿宋" w:hAnsi="仿宋" w:cs="仿宋"/>
                <w:sz w:val="24"/>
              </w:rPr>
            </w:pPr>
            <w:r>
              <w:rPr>
                <w:rFonts w:ascii="仿宋" w:eastAsia="仿宋" w:hAnsi="仿宋" w:cs="宋体" w:hint="eastAsia"/>
                <w:sz w:val="24"/>
              </w:rPr>
              <w:t>（五十九）</w:t>
            </w:r>
            <w:r>
              <w:rPr>
                <w:rFonts w:ascii="仿宋" w:eastAsia="仿宋" w:hAnsi="仿宋" w:cs="仿宋" w:hint="eastAsia"/>
                <w:sz w:val="24"/>
              </w:rPr>
              <w:t>《财政部 国家税务总局 商务部 科技部 国家发展改革委关于在服务贸易创新发展试点地区推广技术先进型服务企业所得税优惠政策的通知》</w:t>
            </w:r>
            <w:r>
              <w:rPr>
                <w:rFonts w:ascii="仿宋" w:eastAsia="仿宋" w:hAnsi="仿宋" w:cs="仿宋" w:hint="eastAsia"/>
                <w:sz w:val="24"/>
              </w:rPr>
              <w:lastRenderedPageBreak/>
              <w:t>（财税〔2016〕122号）第二条到第四条。</w:t>
            </w:r>
          </w:p>
          <w:p w:rsidR="00013EC7" w:rsidRDefault="00575CDB">
            <w:pPr>
              <w:jc w:val="left"/>
              <w:rPr>
                <w:rFonts w:ascii="仿宋" w:eastAsia="仿宋" w:hAnsi="仿宋" w:cs="仿宋"/>
                <w:sz w:val="24"/>
              </w:rPr>
            </w:pPr>
            <w:r>
              <w:rPr>
                <w:rFonts w:ascii="仿宋" w:eastAsia="仿宋" w:hAnsi="仿宋" w:cs="宋体" w:hint="eastAsia"/>
                <w:sz w:val="24"/>
              </w:rPr>
              <w:t>（六十）</w:t>
            </w:r>
            <w:r>
              <w:rPr>
                <w:rFonts w:ascii="仿宋" w:eastAsia="仿宋" w:hAnsi="仿宋" w:cs="仿宋" w:hint="eastAsia"/>
                <w:sz w:val="24"/>
              </w:rPr>
              <w:t>《财政部 税务总局 科技部 国家发展改革委关于将技术先进型服务企业所得税政策推广至全国实施的通知》（财税〔2017〕79号）全文。</w:t>
            </w:r>
          </w:p>
          <w:p w:rsidR="00013EC7" w:rsidRDefault="00575CDB">
            <w:pPr>
              <w:jc w:val="left"/>
              <w:rPr>
                <w:rFonts w:ascii="仿宋" w:eastAsia="仿宋" w:hAnsi="仿宋" w:cs="仿宋"/>
                <w:sz w:val="24"/>
              </w:rPr>
            </w:pPr>
            <w:r>
              <w:rPr>
                <w:rFonts w:ascii="仿宋" w:eastAsia="仿宋" w:hAnsi="仿宋" w:cs="宋体" w:hint="eastAsia"/>
                <w:sz w:val="24"/>
              </w:rPr>
              <w:t>（六十一）</w:t>
            </w:r>
            <w:r>
              <w:rPr>
                <w:rFonts w:ascii="仿宋" w:eastAsia="仿宋" w:hAnsi="仿宋" w:cs="仿宋" w:hint="eastAsia"/>
                <w:sz w:val="24"/>
              </w:rPr>
              <w:t>《财政部 税务总局 民政部关于继续实施扶持自主就业退役士兵创业就业有关税收政策的通知》（财税〔2017〕46号）第二条。</w:t>
            </w:r>
          </w:p>
          <w:p w:rsidR="00013EC7" w:rsidRDefault="00575CDB">
            <w:pPr>
              <w:jc w:val="left"/>
              <w:rPr>
                <w:rFonts w:ascii="仿宋" w:eastAsia="仿宋" w:hAnsi="仿宋" w:cs="仿宋"/>
                <w:sz w:val="24"/>
              </w:rPr>
            </w:pPr>
            <w:r>
              <w:rPr>
                <w:rFonts w:ascii="仿宋" w:eastAsia="仿宋" w:hAnsi="仿宋" w:cs="宋体" w:hint="eastAsia"/>
                <w:sz w:val="24"/>
              </w:rPr>
              <w:t>（六十二）</w:t>
            </w:r>
            <w:r>
              <w:rPr>
                <w:rFonts w:ascii="仿宋" w:eastAsia="仿宋" w:hAnsi="仿宋" w:cs="仿宋" w:hint="eastAsia"/>
                <w:sz w:val="24"/>
              </w:rPr>
              <w:t>《浙江省财政厅等4部门转发财政部 税务总局 民政部关于继续实施扶持自主就业退役士兵创业就业有关税收政策的通知》（浙财税政〔2017〕18号）全文。</w:t>
            </w:r>
          </w:p>
          <w:p w:rsidR="00013EC7" w:rsidRDefault="00575CDB">
            <w:pPr>
              <w:jc w:val="left"/>
              <w:rPr>
                <w:rFonts w:ascii="仿宋" w:eastAsia="仿宋" w:hAnsi="仿宋" w:cs="仿宋"/>
                <w:sz w:val="24"/>
              </w:rPr>
            </w:pPr>
            <w:r>
              <w:rPr>
                <w:rFonts w:ascii="仿宋" w:eastAsia="仿宋" w:hAnsi="仿宋" w:cs="宋体" w:hint="eastAsia"/>
                <w:sz w:val="24"/>
              </w:rPr>
              <w:t>（六十三）</w:t>
            </w:r>
            <w:r>
              <w:rPr>
                <w:rFonts w:ascii="仿宋" w:eastAsia="仿宋" w:hAnsi="仿宋" w:cs="仿宋" w:hint="eastAsia"/>
                <w:sz w:val="24"/>
              </w:rPr>
              <w:t>《财政部 国家税务总局关于进一步鼓励软件产业和集成电路产业发展企业所得税政策的通知》（财税〔2012〕27号）全文。</w:t>
            </w:r>
          </w:p>
          <w:p w:rsidR="00013EC7" w:rsidRDefault="00575CDB">
            <w:pPr>
              <w:jc w:val="left"/>
              <w:rPr>
                <w:rFonts w:ascii="仿宋" w:eastAsia="仿宋" w:hAnsi="仿宋" w:cs="仿宋"/>
                <w:sz w:val="24"/>
              </w:rPr>
            </w:pPr>
            <w:r>
              <w:rPr>
                <w:rFonts w:ascii="仿宋" w:eastAsia="仿宋" w:hAnsi="仿宋" w:cs="宋体" w:hint="eastAsia"/>
                <w:sz w:val="24"/>
              </w:rPr>
              <w:t>（六十四）</w:t>
            </w:r>
            <w:r>
              <w:rPr>
                <w:rFonts w:ascii="仿宋" w:eastAsia="仿宋" w:hAnsi="仿宋" w:cs="仿宋" w:hint="eastAsia"/>
                <w:sz w:val="24"/>
              </w:rPr>
              <w:t>《国家税务总局关于执行软件企业所得税优惠政策有关问题的公告》（国家税务总局公告2013年第43号）全文（废止第一条“经认定并”及“所称经认定，是指经国家规定的软件企业认定机构按照软件企业认定管理的有关规定进行认定并取得软件企业认定证书”的内容，废止第四条、第五条）。</w:t>
            </w:r>
          </w:p>
          <w:p w:rsidR="00013EC7" w:rsidRDefault="00575CDB">
            <w:pPr>
              <w:jc w:val="left"/>
              <w:rPr>
                <w:rFonts w:ascii="仿宋" w:eastAsia="仿宋" w:hAnsi="仿宋" w:cs="仿宋"/>
                <w:sz w:val="24"/>
              </w:rPr>
            </w:pPr>
            <w:r>
              <w:rPr>
                <w:rFonts w:ascii="仿宋" w:eastAsia="仿宋" w:hAnsi="仿宋" w:cs="仿宋" w:hint="eastAsia"/>
                <w:sz w:val="24"/>
              </w:rPr>
              <w:t>（六十五）《财政部 国家税务总局 发展改革委 工业和信息化部关于软件和集成电路产业企业所得税优惠政策有关问题的通知》（财税〔2016〕49号）全文。</w:t>
            </w:r>
          </w:p>
          <w:p w:rsidR="00013EC7" w:rsidRDefault="00575CDB">
            <w:pPr>
              <w:jc w:val="left"/>
              <w:rPr>
                <w:rFonts w:ascii="仿宋" w:eastAsia="仿宋" w:hAnsi="仿宋" w:cs="仿宋"/>
                <w:sz w:val="24"/>
              </w:rPr>
            </w:pPr>
            <w:r>
              <w:rPr>
                <w:rFonts w:ascii="仿宋" w:eastAsia="仿宋" w:hAnsi="仿宋" w:cs="宋体" w:hint="eastAsia"/>
                <w:sz w:val="24"/>
              </w:rPr>
              <w:t>（六十六）</w:t>
            </w:r>
            <w:r>
              <w:rPr>
                <w:rFonts w:ascii="仿宋" w:eastAsia="仿宋" w:hAnsi="仿宋" w:cs="仿宋" w:hint="eastAsia"/>
                <w:sz w:val="24"/>
              </w:rPr>
              <w:t>《浙江省财政厅 浙江省国家税务局 浙江省地方税务局 浙江省发展</w:t>
            </w:r>
            <w:r>
              <w:rPr>
                <w:rFonts w:ascii="仿宋" w:eastAsia="仿宋" w:hAnsi="仿宋" w:cs="仿宋" w:hint="eastAsia"/>
                <w:sz w:val="24"/>
              </w:rPr>
              <w:lastRenderedPageBreak/>
              <w:t>和改革委员会 浙江省经济和信息化委员会转发财政部 国家税务总局 发展改革委 工业和信息化部关于软件和集成电路产业企业所得税优惠政策有关问题的通知》（浙财税政〔2016〕9号）全文。</w:t>
            </w:r>
          </w:p>
          <w:p w:rsidR="00013EC7" w:rsidRDefault="00575CDB">
            <w:pPr>
              <w:jc w:val="left"/>
              <w:rPr>
                <w:rFonts w:ascii="仿宋" w:eastAsia="仿宋" w:hAnsi="仿宋" w:cs="仿宋"/>
                <w:sz w:val="24"/>
              </w:rPr>
            </w:pPr>
            <w:r>
              <w:rPr>
                <w:rFonts w:ascii="仿宋" w:eastAsia="仿宋" w:hAnsi="仿宋" w:cs="宋体" w:hint="eastAsia"/>
                <w:sz w:val="24"/>
              </w:rPr>
              <w:t>（六十七）</w:t>
            </w:r>
            <w:r>
              <w:rPr>
                <w:rFonts w:ascii="仿宋" w:eastAsia="仿宋" w:hAnsi="仿宋" w:cs="仿宋" w:hint="eastAsia"/>
                <w:sz w:val="24"/>
              </w:rPr>
              <w:t>《关于印发国家规划布局内重点软件和集成电路设计领域的通知》（发改高技〔2016〕1056 号）全文。</w:t>
            </w:r>
          </w:p>
          <w:p w:rsidR="00013EC7" w:rsidRDefault="00575CDB">
            <w:pPr>
              <w:jc w:val="left"/>
              <w:rPr>
                <w:rFonts w:ascii="仿宋" w:eastAsia="仿宋" w:hAnsi="仿宋" w:cs="仿宋"/>
                <w:sz w:val="24"/>
              </w:rPr>
            </w:pPr>
            <w:r>
              <w:rPr>
                <w:rFonts w:ascii="仿宋" w:eastAsia="仿宋" w:hAnsi="仿宋" w:cs="宋体" w:hint="eastAsia"/>
                <w:sz w:val="24"/>
              </w:rPr>
              <w:t>（六十八）</w:t>
            </w:r>
            <w:r>
              <w:rPr>
                <w:rFonts w:ascii="仿宋" w:eastAsia="仿宋" w:hAnsi="仿宋" w:cs="仿宋" w:hint="eastAsia"/>
                <w:sz w:val="24"/>
              </w:rPr>
              <w:t>《财政部 国家税务总局 民政部关于生产和装配伤残人员专门用品企业免征企业所得税的通知》（财税〔2016〕111号）全文。</w:t>
            </w:r>
          </w:p>
          <w:p w:rsidR="00013EC7" w:rsidRDefault="00575CDB">
            <w:pPr>
              <w:jc w:val="left"/>
              <w:rPr>
                <w:rFonts w:ascii="仿宋" w:eastAsia="仿宋" w:hAnsi="仿宋" w:cs="仿宋"/>
                <w:sz w:val="24"/>
              </w:rPr>
            </w:pPr>
            <w:r>
              <w:rPr>
                <w:rFonts w:ascii="仿宋" w:eastAsia="仿宋" w:hAnsi="仿宋" w:cs="宋体" w:hint="eastAsia"/>
                <w:sz w:val="24"/>
              </w:rPr>
              <w:t>（六十九）</w:t>
            </w:r>
            <w:r>
              <w:rPr>
                <w:rFonts w:ascii="仿宋" w:eastAsia="仿宋" w:hAnsi="仿宋" w:cs="仿宋" w:hint="eastAsia"/>
                <w:sz w:val="24"/>
              </w:rPr>
              <w:t>《财政部 国家税务总局关于执行环境保护专用设备企业所得税优惠目录节能节水专用设备企业所得税优惠目录和安全生产专用设备企业所得税优惠目录有关问题的通知》（财税〔2008〕48号）全文。</w:t>
            </w:r>
          </w:p>
          <w:p w:rsidR="00013EC7" w:rsidRDefault="00575CDB">
            <w:pPr>
              <w:jc w:val="left"/>
              <w:rPr>
                <w:rFonts w:ascii="仿宋" w:eastAsia="仿宋" w:hAnsi="仿宋" w:cs="仿宋"/>
                <w:sz w:val="24"/>
              </w:rPr>
            </w:pPr>
            <w:r>
              <w:rPr>
                <w:rFonts w:ascii="仿宋" w:eastAsia="仿宋" w:hAnsi="仿宋" w:cs="宋体" w:hint="eastAsia"/>
                <w:sz w:val="24"/>
              </w:rPr>
              <w:t>（七十）</w:t>
            </w:r>
            <w:r>
              <w:rPr>
                <w:rFonts w:ascii="仿宋" w:eastAsia="仿宋" w:hAnsi="仿宋" w:cs="仿宋" w:hint="eastAsia"/>
                <w:sz w:val="24"/>
              </w:rPr>
              <w:t>《财政部 国家税务总局 国家发展改革委关于公布节能节水专用设备企业所得税优惠目录（2008年版）和环境保护专用设备企业所得税优惠目录（2008年版）的通知》（财税〔2008〕115号）全文。</w:t>
            </w:r>
          </w:p>
          <w:p w:rsidR="00013EC7" w:rsidRDefault="00575CDB">
            <w:pPr>
              <w:jc w:val="left"/>
              <w:rPr>
                <w:rFonts w:ascii="仿宋" w:eastAsia="仿宋" w:hAnsi="仿宋" w:cs="仿宋"/>
                <w:sz w:val="24"/>
              </w:rPr>
            </w:pPr>
            <w:r>
              <w:rPr>
                <w:rFonts w:ascii="仿宋" w:eastAsia="仿宋" w:hAnsi="仿宋" w:cs="宋体" w:hint="eastAsia"/>
                <w:sz w:val="24"/>
              </w:rPr>
              <w:t>（七十一）</w:t>
            </w:r>
            <w:r>
              <w:rPr>
                <w:rFonts w:ascii="仿宋" w:eastAsia="仿宋" w:hAnsi="仿宋" w:cs="仿宋" w:hint="eastAsia"/>
                <w:sz w:val="24"/>
              </w:rPr>
              <w:t>《国家税务总局关于环境保护 节能节水 安全生产等专用设备投资抵免企业所得税有关问题的通知》（国税函〔2010〕256号）全文。</w:t>
            </w:r>
          </w:p>
          <w:p w:rsidR="00013EC7" w:rsidRDefault="00575CDB">
            <w:pPr>
              <w:jc w:val="left"/>
              <w:rPr>
                <w:rFonts w:ascii="仿宋" w:eastAsia="仿宋" w:hAnsi="仿宋" w:cs="仿宋"/>
                <w:sz w:val="24"/>
              </w:rPr>
            </w:pPr>
            <w:r>
              <w:rPr>
                <w:rFonts w:ascii="仿宋" w:eastAsia="仿宋" w:hAnsi="仿宋" w:cs="宋体" w:hint="eastAsia"/>
                <w:sz w:val="24"/>
              </w:rPr>
              <w:t>（七十二）</w:t>
            </w:r>
            <w:r>
              <w:rPr>
                <w:rFonts w:ascii="仿宋" w:eastAsia="仿宋" w:hAnsi="仿宋" w:cs="仿宋" w:hint="eastAsia"/>
                <w:sz w:val="24"/>
              </w:rPr>
              <w:t>《财政部 税务总局 国家发展改革委 工业和信息化部 环境保护部关于印发节能节水和环境保护专用设备企业所得税优惠目录（2017年版）的通知》（财税〔2017〕71号）全文。</w:t>
            </w:r>
          </w:p>
          <w:p w:rsidR="00013EC7" w:rsidRDefault="00575CDB">
            <w:pPr>
              <w:jc w:val="left"/>
              <w:rPr>
                <w:rFonts w:ascii="仿宋" w:eastAsia="仿宋" w:hAnsi="仿宋" w:cs="仿宋"/>
                <w:sz w:val="24"/>
              </w:rPr>
            </w:pPr>
            <w:r>
              <w:rPr>
                <w:rFonts w:ascii="仿宋" w:eastAsia="仿宋" w:hAnsi="仿宋" w:cs="宋体" w:hint="eastAsia"/>
                <w:sz w:val="24"/>
              </w:rPr>
              <w:t>（七十三）</w:t>
            </w:r>
            <w:r>
              <w:rPr>
                <w:rFonts w:ascii="仿宋" w:eastAsia="仿宋" w:hAnsi="仿宋" w:cs="仿宋" w:hint="eastAsia"/>
                <w:sz w:val="24"/>
              </w:rPr>
              <w:t>《财政部 国家税务总局 安全监管总局关于公布安全生产专用设备</w:t>
            </w:r>
            <w:r>
              <w:rPr>
                <w:rFonts w:ascii="仿宋" w:eastAsia="仿宋" w:hAnsi="仿宋" w:cs="仿宋" w:hint="eastAsia"/>
                <w:sz w:val="24"/>
              </w:rPr>
              <w:lastRenderedPageBreak/>
              <w:t>企业所得税优惠目录（2008年版）的通知》（财税〔2008〕118号）全文。</w:t>
            </w:r>
          </w:p>
          <w:p w:rsidR="00013EC7" w:rsidRDefault="00575CDB">
            <w:pPr>
              <w:jc w:val="left"/>
              <w:rPr>
                <w:rFonts w:ascii="仿宋" w:eastAsia="仿宋" w:hAnsi="仿宋" w:cs="仿宋"/>
                <w:sz w:val="24"/>
              </w:rPr>
            </w:pPr>
            <w:r>
              <w:rPr>
                <w:rFonts w:ascii="仿宋" w:eastAsia="仿宋" w:hAnsi="仿宋" w:cs="宋体" w:hint="eastAsia"/>
                <w:sz w:val="24"/>
              </w:rPr>
              <w:t>（七十四）</w:t>
            </w:r>
            <w:r>
              <w:rPr>
                <w:rFonts w:ascii="仿宋" w:eastAsia="仿宋" w:hAnsi="仿宋" w:cs="仿宋" w:hint="eastAsia"/>
                <w:sz w:val="24"/>
              </w:rPr>
              <w:t>《国家税务总局关于环境保护节能节水安全生产等专用设备投资抵免企业所得税有关问题的通知》（国税函〔2010〕256号）全文。</w:t>
            </w:r>
          </w:p>
          <w:p w:rsidR="00013EC7" w:rsidRDefault="00575CDB">
            <w:pPr>
              <w:jc w:val="left"/>
              <w:rPr>
                <w:rFonts w:ascii="仿宋" w:eastAsia="仿宋" w:hAnsi="仿宋" w:cs="仿宋"/>
                <w:sz w:val="24"/>
              </w:rPr>
            </w:pPr>
            <w:r>
              <w:rPr>
                <w:rFonts w:ascii="仿宋" w:eastAsia="仿宋" w:hAnsi="仿宋" w:cs="宋体" w:hint="eastAsia"/>
                <w:sz w:val="24"/>
              </w:rPr>
              <w:t>（七十五）</w:t>
            </w:r>
            <w:r>
              <w:rPr>
                <w:rFonts w:ascii="仿宋" w:eastAsia="仿宋" w:hAnsi="仿宋" w:cs="仿宋" w:hint="eastAsia"/>
                <w:sz w:val="24"/>
              </w:rPr>
              <w:t>《国家税务总局关于企业固定资产加速折旧所得税处理有关问题的通知》（国税发〔2009〕81号）全文。</w:t>
            </w:r>
          </w:p>
          <w:p w:rsidR="00013EC7" w:rsidRDefault="00575CDB">
            <w:pPr>
              <w:jc w:val="left"/>
              <w:rPr>
                <w:rFonts w:ascii="仿宋" w:eastAsia="仿宋" w:hAnsi="仿宋" w:cs="仿宋"/>
                <w:sz w:val="24"/>
              </w:rPr>
            </w:pPr>
            <w:r>
              <w:rPr>
                <w:rFonts w:ascii="仿宋" w:eastAsia="仿宋" w:hAnsi="仿宋" w:cs="宋体" w:hint="eastAsia"/>
                <w:sz w:val="24"/>
              </w:rPr>
              <w:t>（七十六）</w:t>
            </w:r>
            <w:r>
              <w:rPr>
                <w:rFonts w:ascii="仿宋" w:eastAsia="仿宋" w:hAnsi="仿宋" w:cs="仿宋" w:hint="eastAsia"/>
                <w:sz w:val="24"/>
              </w:rPr>
              <w:t>《财政部 国家税务总局关于完善固定资产加速折旧企业所得税政策的通知》（财税〔2014〕75号）全文。</w:t>
            </w:r>
          </w:p>
          <w:p w:rsidR="00013EC7" w:rsidRDefault="00575CDB">
            <w:pPr>
              <w:jc w:val="left"/>
              <w:rPr>
                <w:rFonts w:ascii="仿宋" w:eastAsia="仿宋" w:hAnsi="仿宋" w:cs="仿宋"/>
                <w:sz w:val="24"/>
              </w:rPr>
            </w:pPr>
            <w:r>
              <w:rPr>
                <w:rFonts w:ascii="仿宋" w:eastAsia="仿宋" w:hAnsi="仿宋" w:cs="宋体" w:hint="eastAsia"/>
                <w:sz w:val="24"/>
              </w:rPr>
              <w:t>（七十七）</w:t>
            </w:r>
            <w:r>
              <w:rPr>
                <w:rFonts w:ascii="仿宋" w:eastAsia="仿宋" w:hAnsi="仿宋" w:cs="仿宋" w:hint="eastAsia"/>
                <w:sz w:val="24"/>
              </w:rPr>
              <w:t>《国家税务总局关于固定资产加速折旧税收政策有关问题的公告》（国家税务总局公告2014年第64号）全文。</w:t>
            </w:r>
          </w:p>
          <w:p w:rsidR="00013EC7" w:rsidRDefault="00575CDB">
            <w:pPr>
              <w:jc w:val="left"/>
              <w:rPr>
                <w:rFonts w:ascii="仿宋" w:eastAsia="仿宋" w:hAnsi="仿宋" w:cs="仿宋"/>
                <w:sz w:val="24"/>
              </w:rPr>
            </w:pPr>
            <w:r>
              <w:rPr>
                <w:rFonts w:ascii="仿宋" w:eastAsia="仿宋" w:hAnsi="仿宋" w:cs="宋体" w:hint="eastAsia"/>
                <w:sz w:val="24"/>
              </w:rPr>
              <w:t>（七十八）</w:t>
            </w:r>
            <w:r>
              <w:rPr>
                <w:rFonts w:ascii="仿宋" w:eastAsia="仿宋" w:hAnsi="仿宋" w:cs="仿宋" w:hint="eastAsia"/>
                <w:sz w:val="24"/>
              </w:rPr>
              <w:t>《财政部　国家税务总局关于进一步完善固定资产加速折旧企业所得税政策的通知》（财税〔2015〕106号）全文。</w:t>
            </w:r>
          </w:p>
          <w:p w:rsidR="00013EC7" w:rsidRDefault="00575CDB">
            <w:pPr>
              <w:jc w:val="left"/>
              <w:rPr>
                <w:rFonts w:ascii="仿宋" w:eastAsia="仿宋" w:hAnsi="仿宋" w:cs="仿宋"/>
                <w:sz w:val="24"/>
              </w:rPr>
            </w:pPr>
            <w:r>
              <w:rPr>
                <w:rFonts w:ascii="仿宋" w:eastAsia="仿宋" w:hAnsi="仿宋" w:cs="宋体" w:hint="eastAsia"/>
                <w:sz w:val="24"/>
              </w:rPr>
              <w:t>（七十九）</w:t>
            </w:r>
            <w:r>
              <w:rPr>
                <w:rFonts w:ascii="仿宋" w:eastAsia="仿宋" w:hAnsi="仿宋" w:cs="仿宋" w:hint="eastAsia"/>
                <w:sz w:val="24"/>
              </w:rPr>
              <w:t>《国家税务总局关于进一步完善固定资产加速折旧企业所得税政策有关问题的公告》（国家税务总局公告2015年第68号）全文。</w:t>
            </w:r>
          </w:p>
          <w:p w:rsidR="00013EC7" w:rsidRDefault="00575CDB">
            <w:pPr>
              <w:jc w:val="left"/>
              <w:rPr>
                <w:rFonts w:ascii="仿宋" w:eastAsia="仿宋" w:hAnsi="仿宋" w:cs="仿宋"/>
                <w:sz w:val="24"/>
              </w:rPr>
            </w:pPr>
            <w:r>
              <w:rPr>
                <w:rFonts w:ascii="仿宋" w:eastAsia="仿宋" w:hAnsi="仿宋" w:cs="宋体" w:hint="eastAsia"/>
                <w:sz w:val="24"/>
              </w:rPr>
              <w:t>（八十）</w:t>
            </w:r>
            <w:r>
              <w:rPr>
                <w:rFonts w:ascii="仿宋" w:eastAsia="仿宋" w:hAnsi="仿宋" w:cs="仿宋" w:hint="eastAsia"/>
                <w:sz w:val="24"/>
              </w:rPr>
              <w:t>《财政部 国家税务总局 证监会关于QFII和RQFII取得中国境内的股票等权益性投资资产转让所得暂免征收企业所得税问题的通知》（财税〔2014〕79号）全文。</w:t>
            </w:r>
          </w:p>
          <w:p w:rsidR="00013EC7" w:rsidRDefault="00575CDB">
            <w:pPr>
              <w:jc w:val="left"/>
              <w:rPr>
                <w:rFonts w:ascii="仿宋" w:eastAsia="仿宋" w:hAnsi="仿宋" w:cs="仿宋"/>
                <w:sz w:val="24"/>
              </w:rPr>
            </w:pPr>
            <w:r>
              <w:rPr>
                <w:rFonts w:ascii="仿宋" w:eastAsia="仿宋" w:hAnsi="仿宋" w:cs="宋体" w:hint="eastAsia"/>
                <w:sz w:val="24"/>
              </w:rPr>
              <w:t>（八十一）</w:t>
            </w:r>
            <w:r>
              <w:rPr>
                <w:rFonts w:ascii="仿宋" w:eastAsia="仿宋" w:hAnsi="仿宋" w:cs="仿宋" w:hint="eastAsia"/>
                <w:sz w:val="24"/>
              </w:rPr>
              <w:t>《财政部 国家税务总局 证监会关于沪港股票市场交易互联互通机制试点有关税收政策的通知》（财税〔2014〕81号）第一条、第二条。</w:t>
            </w:r>
          </w:p>
          <w:p w:rsidR="00013EC7" w:rsidRDefault="00575CDB">
            <w:pPr>
              <w:jc w:val="left"/>
              <w:rPr>
                <w:rFonts w:ascii="仿宋" w:eastAsia="仿宋" w:hAnsi="仿宋" w:cs="仿宋"/>
                <w:sz w:val="24"/>
              </w:rPr>
            </w:pPr>
            <w:r>
              <w:rPr>
                <w:rFonts w:ascii="仿宋" w:eastAsia="仿宋" w:hAnsi="仿宋" w:cs="宋体" w:hint="eastAsia"/>
                <w:sz w:val="24"/>
              </w:rPr>
              <w:t>（八十二）</w:t>
            </w:r>
            <w:r>
              <w:rPr>
                <w:rFonts w:ascii="仿宋" w:eastAsia="仿宋" w:hAnsi="仿宋" w:cs="仿宋" w:hint="eastAsia"/>
                <w:sz w:val="24"/>
              </w:rPr>
              <w:t>《国家税务总局关于民族自治地方减免地方分享企业所得税工作流程有关问题的通知》（税总函〔2015〕</w:t>
            </w:r>
            <w:r>
              <w:rPr>
                <w:rFonts w:ascii="仿宋" w:eastAsia="仿宋" w:hAnsi="仿宋" w:cs="仿宋" w:hint="eastAsia"/>
                <w:sz w:val="24"/>
              </w:rPr>
              <w:lastRenderedPageBreak/>
              <w:t>289号）全文。</w:t>
            </w:r>
          </w:p>
          <w:p w:rsidR="00013EC7" w:rsidRDefault="00575CDB">
            <w:pPr>
              <w:jc w:val="left"/>
              <w:rPr>
                <w:rFonts w:ascii="仿宋" w:eastAsia="仿宋" w:hAnsi="仿宋" w:cs="仿宋"/>
                <w:sz w:val="24"/>
              </w:rPr>
            </w:pPr>
            <w:r>
              <w:rPr>
                <w:rFonts w:ascii="仿宋" w:eastAsia="仿宋" w:hAnsi="仿宋" w:cs="宋体" w:hint="eastAsia"/>
                <w:sz w:val="24"/>
              </w:rPr>
              <w:t>（八十三）</w:t>
            </w:r>
            <w:r>
              <w:rPr>
                <w:rFonts w:ascii="仿宋" w:eastAsia="仿宋" w:hAnsi="仿宋" w:cs="仿宋" w:hint="eastAsia"/>
                <w:sz w:val="24"/>
              </w:rPr>
              <w:t>《浙江省人民政府办公厅关于景宁畲族自治县企业所得税优惠政策的复函》（浙政办函〔2015〕66号)全文。</w:t>
            </w:r>
          </w:p>
          <w:p w:rsidR="00013EC7" w:rsidRDefault="00575CDB">
            <w:pPr>
              <w:jc w:val="left"/>
              <w:rPr>
                <w:rFonts w:ascii="仿宋" w:eastAsia="仿宋" w:hAnsi="仿宋" w:cs="仿宋"/>
                <w:sz w:val="24"/>
              </w:rPr>
            </w:pPr>
            <w:r>
              <w:rPr>
                <w:rFonts w:ascii="仿宋" w:eastAsia="仿宋" w:hAnsi="仿宋" w:cs="宋体" w:hint="eastAsia"/>
                <w:sz w:val="24"/>
              </w:rPr>
              <w:t>（八十四）</w:t>
            </w:r>
            <w:r>
              <w:rPr>
                <w:rFonts w:ascii="仿宋" w:eastAsia="仿宋" w:hAnsi="仿宋" w:cs="仿宋" w:hint="eastAsia"/>
                <w:sz w:val="24"/>
              </w:rPr>
              <w:t>《财政部 国家税务总局关于将国家自主创新示范区有关税收试点政策推广到全国范围实施的通知》（财税〔2015〕116号）第一条、第二条。</w:t>
            </w:r>
          </w:p>
          <w:p w:rsidR="00013EC7" w:rsidRDefault="00575CDB">
            <w:pPr>
              <w:jc w:val="left"/>
              <w:rPr>
                <w:rFonts w:ascii="仿宋" w:eastAsia="仿宋" w:hAnsi="仿宋" w:cs="仿宋"/>
                <w:sz w:val="24"/>
              </w:rPr>
            </w:pPr>
            <w:r>
              <w:rPr>
                <w:rFonts w:ascii="仿宋" w:eastAsia="仿宋" w:hAnsi="仿宋" w:cs="宋体" w:hint="eastAsia"/>
                <w:sz w:val="24"/>
              </w:rPr>
              <w:t>（八十五）</w:t>
            </w:r>
            <w:r>
              <w:rPr>
                <w:rFonts w:ascii="仿宋" w:eastAsia="仿宋" w:hAnsi="仿宋" w:cs="仿宋" w:hint="eastAsia"/>
                <w:sz w:val="24"/>
              </w:rPr>
              <w:t>《国家税务总局关于有限合伙制创业投资企业法人合伙人企业所得税有关问题的公告》（国家税务总局公告〔2015〕81号）全文。</w:t>
            </w:r>
          </w:p>
          <w:p w:rsidR="00013EC7" w:rsidRDefault="00575CDB">
            <w:pPr>
              <w:jc w:val="left"/>
              <w:rPr>
                <w:rFonts w:ascii="仿宋" w:eastAsia="仿宋" w:hAnsi="仿宋" w:cs="仿宋"/>
                <w:sz w:val="24"/>
              </w:rPr>
            </w:pPr>
            <w:r>
              <w:rPr>
                <w:rFonts w:ascii="仿宋" w:eastAsia="仿宋" w:hAnsi="仿宋" w:cs="宋体" w:hint="eastAsia"/>
                <w:sz w:val="24"/>
              </w:rPr>
              <w:t>（八十六）</w:t>
            </w:r>
            <w:r>
              <w:rPr>
                <w:rFonts w:ascii="仿宋" w:eastAsia="仿宋" w:hAnsi="仿宋" w:cs="仿宋" w:hint="eastAsia"/>
                <w:sz w:val="24"/>
              </w:rPr>
              <w:t>《国家税务总局关于实施创业投资企业所得税优惠问题的通知》（国税发〔2009〕87号）第一条到第三条、第五条。</w:t>
            </w:r>
          </w:p>
          <w:p w:rsidR="00013EC7" w:rsidRDefault="00575CDB">
            <w:pPr>
              <w:jc w:val="left"/>
              <w:rPr>
                <w:rFonts w:ascii="仿宋" w:eastAsia="仿宋" w:hAnsi="仿宋" w:cs="仿宋"/>
                <w:sz w:val="24"/>
              </w:rPr>
            </w:pPr>
            <w:r>
              <w:rPr>
                <w:rFonts w:ascii="仿宋" w:eastAsia="仿宋" w:hAnsi="仿宋" w:cs="仿宋" w:hint="eastAsia"/>
                <w:sz w:val="24"/>
              </w:rPr>
              <w:t>（八十七）《财政部 国家税务总局发展改革委工业和信息化部关于进一步鼓励集成电路产业发展企业所得税政策的通知》（财税〔2015〕6号）全文。</w:t>
            </w:r>
          </w:p>
          <w:p w:rsidR="00013EC7" w:rsidRDefault="00575CDB">
            <w:pPr>
              <w:jc w:val="left"/>
              <w:rPr>
                <w:rFonts w:ascii="仿宋" w:eastAsia="仿宋" w:hAnsi="仿宋" w:cs="仿宋"/>
                <w:sz w:val="24"/>
              </w:rPr>
            </w:pPr>
            <w:r>
              <w:rPr>
                <w:rFonts w:ascii="仿宋" w:eastAsia="仿宋" w:hAnsi="仿宋" w:cs="宋体" w:hint="eastAsia"/>
                <w:sz w:val="24"/>
              </w:rPr>
              <w:t>（八十八）</w:t>
            </w:r>
            <w:r>
              <w:rPr>
                <w:rFonts w:ascii="仿宋" w:eastAsia="仿宋" w:hAnsi="仿宋" w:cs="仿宋" w:hint="eastAsia"/>
                <w:sz w:val="24"/>
              </w:rPr>
              <w:t>《财政部 税务总局 人力资源社会保障部关于继续实施支持和促进重点群体创业就业有关税收政策的通知》（财税〔2017〕49号)第二条。</w:t>
            </w:r>
          </w:p>
          <w:p w:rsidR="00013EC7" w:rsidRDefault="00575CDB">
            <w:pPr>
              <w:jc w:val="left"/>
              <w:rPr>
                <w:rFonts w:ascii="仿宋" w:eastAsia="仿宋" w:hAnsi="仿宋" w:cs="仿宋"/>
                <w:sz w:val="24"/>
              </w:rPr>
            </w:pPr>
            <w:r>
              <w:rPr>
                <w:rFonts w:ascii="仿宋" w:eastAsia="仿宋" w:hAnsi="仿宋" w:cs="宋体" w:hint="eastAsia"/>
                <w:sz w:val="24"/>
              </w:rPr>
              <w:t>（八十九）</w:t>
            </w:r>
            <w:r>
              <w:rPr>
                <w:rFonts w:ascii="仿宋" w:eastAsia="仿宋" w:hAnsi="仿宋" w:cs="仿宋" w:hint="eastAsia"/>
                <w:sz w:val="24"/>
              </w:rPr>
              <w:t>《国家税务总局 财政部 人力资源社会保障部 教育部 民政部关于继续实施支持和促进重点群体创业就业有关税收政策具体操作问题的公告》（国家税务总局公告2017年第27号）第二条。</w:t>
            </w:r>
          </w:p>
          <w:p w:rsidR="00013EC7" w:rsidRDefault="00575CDB">
            <w:pPr>
              <w:jc w:val="left"/>
              <w:rPr>
                <w:rFonts w:ascii="仿宋" w:eastAsia="仿宋" w:hAnsi="仿宋" w:cs="仿宋"/>
                <w:sz w:val="24"/>
              </w:rPr>
            </w:pPr>
            <w:r>
              <w:rPr>
                <w:rFonts w:ascii="仿宋" w:eastAsia="仿宋" w:hAnsi="仿宋" w:cs="宋体" w:hint="eastAsia"/>
                <w:sz w:val="24"/>
              </w:rPr>
              <w:t>（九十）</w:t>
            </w:r>
            <w:r>
              <w:rPr>
                <w:rFonts w:ascii="仿宋" w:eastAsia="仿宋" w:hAnsi="仿宋" w:cs="仿宋" w:hint="eastAsia"/>
                <w:sz w:val="24"/>
              </w:rPr>
              <w:t>《浙江省财政厅等四部门转发财政部 税务总局 人力资源社会保障部关于继续实施支持和促进重点群体创业就业有关税收政策的通知》（浙财税政〔2017〕19号）全文。</w:t>
            </w:r>
          </w:p>
          <w:p w:rsidR="00013EC7" w:rsidRDefault="00575CDB">
            <w:pPr>
              <w:jc w:val="left"/>
              <w:rPr>
                <w:rFonts w:ascii="仿宋" w:eastAsia="仿宋" w:hAnsi="仿宋" w:cs="仿宋"/>
                <w:sz w:val="24"/>
              </w:rPr>
            </w:pPr>
            <w:r>
              <w:rPr>
                <w:rFonts w:ascii="仿宋" w:eastAsia="仿宋" w:hAnsi="仿宋" w:cs="宋体" w:hint="eastAsia"/>
                <w:sz w:val="24"/>
              </w:rPr>
              <w:lastRenderedPageBreak/>
              <w:t>（九十一）</w:t>
            </w:r>
            <w:r>
              <w:rPr>
                <w:rFonts w:ascii="仿宋" w:eastAsia="仿宋" w:hAnsi="仿宋" w:cs="仿宋" w:hint="eastAsia"/>
                <w:sz w:val="24"/>
              </w:rPr>
              <w:t>《国家税务总局关于提高科技型中小企业研究开发费用税前加计扣除比例有关问题的公告》（国家税务总局公告2017年第18号）全文。</w:t>
            </w:r>
          </w:p>
          <w:p w:rsidR="00013EC7" w:rsidRDefault="00575CDB">
            <w:pPr>
              <w:jc w:val="left"/>
              <w:rPr>
                <w:rFonts w:ascii="仿宋" w:eastAsia="仿宋" w:hAnsi="仿宋" w:cs="仿宋"/>
                <w:sz w:val="24"/>
              </w:rPr>
            </w:pPr>
            <w:r>
              <w:rPr>
                <w:rFonts w:ascii="仿宋" w:eastAsia="仿宋" w:hAnsi="仿宋" w:cs="宋体" w:hint="eastAsia"/>
                <w:sz w:val="24"/>
              </w:rPr>
              <w:t>（九十二）</w:t>
            </w:r>
            <w:r>
              <w:rPr>
                <w:rFonts w:ascii="仿宋" w:eastAsia="仿宋" w:hAnsi="仿宋" w:cs="仿宋" w:hint="eastAsia"/>
                <w:sz w:val="24"/>
              </w:rPr>
              <w:t>《关于印发&lt;科技型中小企业评价工作指引（试行)的通知&gt;》（国科火字〔2017〕144号）全文。</w:t>
            </w:r>
          </w:p>
          <w:p w:rsidR="00013EC7" w:rsidRDefault="00575CDB">
            <w:pPr>
              <w:jc w:val="left"/>
              <w:rPr>
                <w:rFonts w:ascii="仿宋" w:eastAsia="仿宋" w:hAnsi="仿宋" w:cs="仿宋"/>
                <w:sz w:val="24"/>
              </w:rPr>
            </w:pPr>
            <w:r>
              <w:rPr>
                <w:rFonts w:ascii="仿宋" w:eastAsia="仿宋" w:hAnsi="仿宋" w:cs="宋体" w:hint="eastAsia"/>
                <w:sz w:val="24"/>
              </w:rPr>
              <w:t>（九十三）</w:t>
            </w:r>
            <w:r>
              <w:rPr>
                <w:rFonts w:ascii="仿宋" w:eastAsia="仿宋" w:hAnsi="仿宋" w:cs="仿宋" w:hint="eastAsia"/>
                <w:sz w:val="24"/>
              </w:rPr>
              <w:t>《科技部 财政部 国家税务总局关于印发〈科技型中小企业评价办法〉的通知》（国科发政〔2017〕115号）全文。</w:t>
            </w:r>
          </w:p>
          <w:p w:rsidR="00013EC7" w:rsidRDefault="00575CDB">
            <w:pPr>
              <w:jc w:val="left"/>
              <w:rPr>
                <w:rFonts w:ascii="仿宋" w:eastAsia="仿宋" w:hAnsi="仿宋" w:cs="仿宋"/>
                <w:sz w:val="24"/>
              </w:rPr>
            </w:pPr>
            <w:r>
              <w:rPr>
                <w:rFonts w:ascii="仿宋" w:eastAsia="仿宋" w:hAnsi="仿宋" w:cs="宋体" w:hint="eastAsia"/>
                <w:sz w:val="24"/>
              </w:rPr>
              <w:t>（九十四）</w:t>
            </w:r>
            <w:r>
              <w:rPr>
                <w:rFonts w:ascii="仿宋" w:eastAsia="仿宋" w:hAnsi="仿宋" w:cs="仿宋" w:hint="eastAsia"/>
                <w:sz w:val="24"/>
              </w:rPr>
              <w:t>《财政部 税务总局关于扩大小型微利企业所得税优惠政策范围的通知》（财税〔2017〕43号）全文。</w:t>
            </w:r>
          </w:p>
          <w:p w:rsidR="00013EC7" w:rsidRDefault="00575CDB">
            <w:pPr>
              <w:jc w:val="left"/>
              <w:rPr>
                <w:rFonts w:ascii="仿宋" w:eastAsia="仿宋" w:hAnsi="仿宋" w:cs="仿宋"/>
                <w:sz w:val="24"/>
              </w:rPr>
            </w:pPr>
            <w:r>
              <w:rPr>
                <w:rFonts w:ascii="仿宋" w:eastAsia="仿宋" w:hAnsi="仿宋" w:cs="宋体" w:hint="eastAsia"/>
                <w:sz w:val="24"/>
              </w:rPr>
              <w:t>（九十五）</w:t>
            </w:r>
            <w:r>
              <w:rPr>
                <w:rFonts w:ascii="仿宋" w:eastAsia="仿宋" w:hAnsi="仿宋" w:cs="仿宋" w:hint="eastAsia"/>
                <w:sz w:val="24"/>
              </w:rPr>
              <w:t>《国家税务总局关于贯彻落实扩大小型微利企业所得税优惠政策范围有关征管的公告》（国家税务总局公告2017年第23号）全文。</w:t>
            </w:r>
          </w:p>
          <w:p w:rsidR="00013EC7" w:rsidRDefault="00575CDB">
            <w:pPr>
              <w:jc w:val="left"/>
              <w:rPr>
                <w:rFonts w:ascii="仿宋" w:eastAsia="仿宋" w:hAnsi="仿宋" w:cs="仿宋"/>
                <w:sz w:val="24"/>
              </w:rPr>
            </w:pPr>
            <w:r>
              <w:rPr>
                <w:rFonts w:ascii="仿宋" w:eastAsia="仿宋" w:hAnsi="仿宋" w:cs="宋体" w:hint="eastAsia"/>
                <w:sz w:val="24"/>
              </w:rPr>
              <w:t>（九十六）</w:t>
            </w:r>
            <w:r>
              <w:rPr>
                <w:rFonts w:ascii="仿宋" w:eastAsia="仿宋" w:hAnsi="仿宋" w:cs="仿宋" w:hint="eastAsia"/>
                <w:sz w:val="24"/>
              </w:rPr>
              <w:t>《财政部 税务总局关于延续支持农村金融发展有关税收政策的通知》（财税〔2017〕44号）第二条、第三条。</w:t>
            </w:r>
          </w:p>
          <w:p w:rsidR="00013EC7" w:rsidRDefault="00575CDB">
            <w:pPr>
              <w:jc w:val="left"/>
              <w:rPr>
                <w:rFonts w:ascii="仿宋" w:eastAsia="仿宋" w:hAnsi="仿宋" w:cs="仿宋"/>
                <w:sz w:val="24"/>
              </w:rPr>
            </w:pPr>
            <w:r>
              <w:rPr>
                <w:rFonts w:ascii="仿宋" w:eastAsia="仿宋" w:hAnsi="仿宋" w:cs="宋体" w:hint="eastAsia"/>
                <w:sz w:val="24"/>
              </w:rPr>
              <w:t>（九十七）</w:t>
            </w:r>
            <w:r>
              <w:rPr>
                <w:rFonts w:ascii="仿宋" w:eastAsia="仿宋" w:hAnsi="仿宋" w:cs="仿宋" w:hint="eastAsia"/>
                <w:sz w:val="24"/>
              </w:rPr>
              <w:t>《财政部 税务总局关于小额贷款公司有关税收政策的通知》（财税〔2017〕48号）全文。</w:t>
            </w:r>
          </w:p>
          <w:p w:rsidR="00013EC7" w:rsidRDefault="00575CDB">
            <w:pPr>
              <w:jc w:val="left"/>
              <w:rPr>
                <w:rFonts w:ascii="仿宋" w:eastAsia="仿宋" w:hAnsi="仿宋" w:cs="仿宋"/>
                <w:sz w:val="24"/>
              </w:rPr>
            </w:pPr>
            <w:r>
              <w:rPr>
                <w:rFonts w:ascii="仿宋" w:eastAsia="仿宋" w:hAnsi="仿宋" w:cs="宋体" w:hint="eastAsia"/>
                <w:sz w:val="24"/>
              </w:rPr>
              <w:t>（九十八）</w:t>
            </w:r>
            <w:r>
              <w:rPr>
                <w:rFonts w:ascii="仿宋" w:eastAsia="仿宋" w:hAnsi="仿宋" w:cs="仿宋" w:hint="eastAsia"/>
                <w:sz w:val="24"/>
              </w:rPr>
              <w:t>《财政部 税务总局 科技部关于提高科技型中小企业研究开发费用税前加计扣除比例的通知》（财税〔2017〕34号）全文。</w:t>
            </w:r>
          </w:p>
          <w:p w:rsidR="00013EC7" w:rsidRDefault="00575CDB">
            <w:pPr>
              <w:jc w:val="left"/>
              <w:rPr>
                <w:rFonts w:ascii="仿宋" w:eastAsia="仿宋" w:hAnsi="仿宋" w:cs="仿宋"/>
                <w:sz w:val="24"/>
              </w:rPr>
            </w:pPr>
            <w:r>
              <w:rPr>
                <w:rFonts w:ascii="仿宋" w:eastAsia="仿宋" w:hAnsi="仿宋" w:cs="宋体" w:hint="eastAsia"/>
                <w:sz w:val="24"/>
              </w:rPr>
              <w:t>（九十九）</w:t>
            </w:r>
            <w:r>
              <w:rPr>
                <w:rFonts w:ascii="仿宋" w:eastAsia="仿宋" w:hAnsi="仿宋" w:cs="仿宋" w:hint="eastAsia"/>
                <w:sz w:val="24"/>
              </w:rPr>
              <w:t>《财政部 国家税务总局 证监会关于沪港股票市场交易互联互通机制试点有关税收政策的通知》（财税〔2014〕81号）第一条第四项。</w:t>
            </w:r>
          </w:p>
          <w:p w:rsidR="00013EC7" w:rsidRDefault="00575CDB">
            <w:pPr>
              <w:jc w:val="left"/>
              <w:rPr>
                <w:rFonts w:ascii="仿宋_GB2312" w:eastAsia="仿宋_GB2312" w:hAnsi="仿宋" w:cs="仿宋"/>
                <w:sz w:val="24"/>
              </w:rPr>
            </w:pPr>
            <w:r>
              <w:rPr>
                <w:rFonts w:ascii="仿宋_GB2312" w:eastAsia="仿宋_GB2312" w:hAnsi="仿宋" w:cs="仿宋" w:hint="eastAsia"/>
                <w:sz w:val="24"/>
              </w:rPr>
              <w:t>（一百）《国家税务总局关于实施高新技术企业所得税优惠政策有关问题的公告》（国家税务总局公告2017年第24</w:t>
            </w:r>
            <w:r>
              <w:rPr>
                <w:rFonts w:ascii="仿宋_GB2312" w:eastAsia="仿宋_GB2312" w:hAnsi="仿宋" w:cs="仿宋" w:hint="eastAsia"/>
                <w:sz w:val="24"/>
              </w:rPr>
              <w:lastRenderedPageBreak/>
              <w:t>号）全文。</w:t>
            </w:r>
          </w:p>
          <w:p w:rsidR="00013EC7" w:rsidRDefault="00575CDB">
            <w:pPr>
              <w:jc w:val="left"/>
              <w:rPr>
                <w:rFonts w:ascii="仿宋_GB2312" w:eastAsia="仿宋_GB2312" w:hAnsi="仿宋" w:cs="仿宋"/>
                <w:sz w:val="24"/>
              </w:rPr>
            </w:pPr>
            <w:r>
              <w:rPr>
                <w:rFonts w:ascii="仿宋_GB2312" w:eastAsia="仿宋_GB2312" w:hAnsi="仿宋" w:cs="仿宋" w:hint="eastAsia"/>
                <w:sz w:val="24"/>
              </w:rPr>
              <w:t>（一百零一）《国家税务总局关于研发费用税前加计扣除归集范围有关问题的公告》（国家税务总局公告2017年第40号）全文。</w:t>
            </w:r>
          </w:p>
        </w:tc>
        <w:tc>
          <w:tcPr>
            <w:tcW w:w="2646" w:type="dxa"/>
            <w:tcBorders>
              <w:top w:val="single" w:sz="4" w:space="0" w:color="auto"/>
            </w:tcBorders>
            <w:shd w:val="clear" w:color="auto" w:fill="FFFFFF"/>
            <w:tcMar>
              <w:right w:w="57" w:type="dxa"/>
            </w:tcMar>
            <w:vAlign w:val="center"/>
          </w:tcPr>
          <w:p w:rsidR="00013EC7" w:rsidRDefault="00575CDB">
            <w:pPr>
              <w:widowControl/>
              <w:spacing w:line="300" w:lineRule="exact"/>
              <w:jc w:val="left"/>
              <w:rPr>
                <w:rFonts w:ascii="仿宋" w:eastAsia="仿宋" w:hAnsi="仿宋" w:cs="仿宋"/>
                <w:kern w:val="1"/>
                <w:sz w:val="24"/>
              </w:rPr>
            </w:pPr>
            <w:r>
              <w:rPr>
                <w:rFonts w:ascii="仿宋" w:eastAsia="仿宋" w:hAnsi="仿宋" w:cs="宋体" w:hint="eastAsia"/>
                <w:sz w:val="24"/>
              </w:rPr>
              <w:lastRenderedPageBreak/>
              <w:t>（一）</w:t>
            </w:r>
            <w:r>
              <w:rPr>
                <w:rFonts w:ascii="仿宋" w:eastAsia="仿宋" w:hAnsi="仿宋" w:cs="仿宋" w:hint="eastAsia"/>
                <w:sz w:val="24"/>
              </w:rPr>
              <w:t>（A03051）《企业所得税优惠事项备案表》2份。</w:t>
            </w:r>
          </w:p>
        </w:tc>
        <w:tc>
          <w:tcPr>
            <w:tcW w:w="2368" w:type="dxa"/>
            <w:tcBorders>
              <w:top w:val="single" w:sz="4" w:space="0" w:color="auto"/>
            </w:tcBorders>
            <w:shd w:val="clear" w:color="auto" w:fill="FFFFFF"/>
            <w:tcMar>
              <w:right w:w="57" w:type="dxa"/>
            </w:tcMar>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纳税人提交（除</w:t>
            </w:r>
            <w:r>
              <w:rPr>
                <w:rFonts w:ascii="仿宋" w:eastAsia="仿宋" w:hAnsi="仿宋" w:cs="仿宋" w:hint="eastAsia"/>
                <w:kern w:val="1"/>
                <w:sz w:val="24"/>
              </w:rPr>
              <w:t>符合条件的小型微利企业减按20%的税率征收企业所得税（减低税率）、符合条件的小型微利企业减免企业所得税、固定资产或购入软件等可以加速折旧或摊销（技术进步等情况）、固定资产加速折旧或一次性扣除四个事项外，其他企业所得税优惠事项备案均需提供）</w:t>
            </w:r>
          </w:p>
        </w:tc>
        <w:tc>
          <w:tcPr>
            <w:tcW w:w="2358" w:type="dxa"/>
            <w:shd w:val="clear" w:color="auto" w:fill="FFFFFF"/>
            <w:tcMar>
              <w:right w:w="57" w:type="dxa"/>
            </w:tcMar>
            <w:vAlign w:val="center"/>
          </w:tcPr>
          <w:p w:rsidR="00013EC7" w:rsidRDefault="00575CDB">
            <w:pPr>
              <w:widowControl/>
              <w:spacing w:line="300" w:lineRule="exact"/>
              <w:jc w:val="left"/>
              <w:rPr>
                <w:rFonts w:ascii="仿宋" w:eastAsia="仿宋" w:hAnsi="仿宋" w:cs="仿宋"/>
                <w:kern w:val="1"/>
                <w:sz w:val="24"/>
              </w:rPr>
            </w:pPr>
            <w:r>
              <w:rPr>
                <w:rFonts w:ascii="仿宋" w:eastAsia="仿宋" w:hAnsi="仿宋" w:cs="宋体" w:hint="eastAsia"/>
                <w:sz w:val="24"/>
              </w:rPr>
              <w:t>（一）</w:t>
            </w:r>
            <w:r>
              <w:rPr>
                <w:rFonts w:ascii="仿宋" w:eastAsia="仿宋" w:hAnsi="仿宋" w:cs="仿宋" w:hint="eastAsia"/>
                <w:sz w:val="24"/>
              </w:rPr>
              <w:t>（A03051）《企业所得税优惠事项备案表》2份。</w:t>
            </w:r>
          </w:p>
        </w:tc>
        <w:tc>
          <w:tcPr>
            <w:tcW w:w="2550" w:type="dxa"/>
            <w:shd w:val="clear" w:color="auto" w:fill="FFFFFF"/>
            <w:tcMar>
              <w:right w:w="57" w:type="dxa"/>
            </w:tcMar>
            <w:vAlign w:val="center"/>
          </w:tcPr>
          <w:p w:rsidR="00013EC7" w:rsidRDefault="00575CDB">
            <w:pPr>
              <w:spacing w:line="300" w:lineRule="exact"/>
              <w:jc w:val="left"/>
              <w:rPr>
                <w:rFonts w:ascii="仿宋" w:eastAsia="仿宋" w:hAnsi="仿宋" w:cs="仿宋"/>
                <w:b/>
                <w:bCs/>
                <w:i/>
                <w:iCs/>
                <w:sz w:val="24"/>
              </w:rPr>
            </w:pPr>
            <w:r>
              <w:rPr>
                <w:rFonts w:ascii="仿宋" w:eastAsia="仿宋" w:hAnsi="仿宋" w:cs="仿宋" w:hint="eastAsia"/>
                <w:sz w:val="24"/>
              </w:rPr>
              <w:t>纳税人提交</w:t>
            </w:r>
          </w:p>
        </w:tc>
        <w:tc>
          <w:tcPr>
            <w:tcW w:w="2132" w:type="dxa"/>
            <w:shd w:val="clear" w:color="auto" w:fill="FFFFFF"/>
            <w:tcMar>
              <w:right w:w="57" w:type="dxa"/>
            </w:tcMar>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申报单位提交书面材料。</w:t>
            </w:r>
          </w:p>
          <w:p w:rsidR="00013EC7" w:rsidRDefault="00575CDB">
            <w:pPr>
              <w:spacing w:line="300" w:lineRule="exact"/>
              <w:jc w:val="left"/>
              <w:rPr>
                <w:rFonts w:ascii="仿宋" w:eastAsia="仿宋" w:hAnsi="仿宋" w:cs="仿宋"/>
                <w:sz w:val="24"/>
              </w:rPr>
            </w:pPr>
            <w:r>
              <w:rPr>
                <w:rFonts w:ascii="仿宋" w:eastAsia="仿宋" w:hAnsi="仿宋" w:cs="仿宋" w:hint="eastAsia"/>
                <w:b/>
                <w:sz w:val="24"/>
              </w:rPr>
              <w:t>网上办理：</w:t>
            </w:r>
            <w:r>
              <w:rPr>
                <w:rFonts w:ascii="仿宋" w:eastAsia="仿宋" w:hAnsi="仿宋" w:cs="仿宋" w:hint="eastAsia"/>
                <w:sz w:val="24"/>
              </w:rPr>
              <w:t>登录浙江国税电子税务局（网址：http://etax.zjtax.gov.cn/）提交申请。</w:t>
            </w:r>
          </w:p>
          <w:p w:rsidR="00013EC7" w:rsidRDefault="00575CDB">
            <w:pPr>
              <w:spacing w:line="300" w:lineRule="exact"/>
              <w:jc w:val="left"/>
              <w:rPr>
                <w:rFonts w:ascii="仿宋" w:eastAsia="仿宋" w:hAnsi="仿宋" w:cs="仿宋"/>
                <w:sz w:val="24"/>
              </w:rPr>
            </w:pPr>
            <w:r>
              <w:rPr>
                <w:rFonts w:ascii="仿宋" w:eastAsia="仿宋" w:hAnsi="仿宋" w:cs="仿宋" w:hint="eastAsia"/>
                <w:b/>
                <w:sz w:val="24"/>
              </w:rPr>
              <w:t>APP办理：</w:t>
            </w:r>
            <w:r>
              <w:rPr>
                <w:rFonts w:ascii="仿宋" w:eastAsia="仿宋" w:hAnsi="仿宋" w:cs="仿宋" w:hint="eastAsia"/>
                <w:sz w:val="24"/>
              </w:rPr>
              <w:t>登录浙江国税APP提交申请。</w:t>
            </w:r>
          </w:p>
        </w:tc>
        <w:tc>
          <w:tcPr>
            <w:tcW w:w="700" w:type="dxa"/>
            <w:vMerge w:val="restart"/>
            <w:shd w:val="clear" w:color="auto" w:fill="auto"/>
            <w:tcMar>
              <w:right w:w="57" w:type="dxa"/>
            </w:tcMar>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即时办结</w:t>
            </w:r>
          </w:p>
        </w:tc>
        <w:tc>
          <w:tcPr>
            <w:tcW w:w="675" w:type="dxa"/>
            <w:vMerge w:val="restart"/>
            <w:shd w:val="clear" w:color="auto" w:fill="auto"/>
            <w:tcMar>
              <w:right w:w="57" w:type="dxa"/>
            </w:tcMar>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即时办结</w:t>
            </w:r>
          </w:p>
        </w:tc>
        <w:tc>
          <w:tcPr>
            <w:tcW w:w="700" w:type="dxa"/>
            <w:vMerge w:val="restart"/>
            <w:shd w:val="clear" w:color="auto" w:fill="FFFFFF"/>
            <w:tcMar>
              <w:right w:w="57" w:type="dxa"/>
            </w:tcMar>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是</w:t>
            </w:r>
          </w:p>
        </w:tc>
        <w:tc>
          <w:tcPr>
            <w:tcW w:w="775" w:type="dxa"/>
            <w:vMerge w:val="restart"/>
            <w:tcMar>
              <w:right w:w="57" w:type="dxa"/>
            </w:tcMar>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所得税处</w:t>
            </w:r>
          </w:p>
        </w:tc>
        <w:tc>
          <w:tcPr>
            <w:tcW w:w="1157" w:type="dxa"/>
            <w:vMerge w:val="restart"/>
            <w:tcMar>
              <w:right w:w="57" w:type="dxa"/>
            </w:tcMar>
            <w:vAlign w:val="center"/>
          </w:tcPr>
          <w:p w:rsidR="00013EC7" w:rsidRDefault="00013EC7">
            <w:pPr>
              <w:spacing w:line="300" w:lineRule="exact"/>
              <w:jc w:val="left"/>
              <w:rPr>
                <w:rFonts w:ascii="仿宋" w:eastAsia="仿宋" w:hAnsi="仿宋" w:cs="仿宋"/>
                <w:sz w:val="24"/>
              </w:rPr>
            </w:pPr>
          </w:p>
        </w:tc>
      </w:tr>
      <w:tr w:rsidR="00013EC7">
        <w:trPr>
          <w:trHeight w:val="90"/>
          <w:jc w:val="center"/>
        </w:trPr>
        <w:tc>
          <w:tcPr>
            <w:tcW w:w="609" w:type="dxa"/>
            <w:vMerge/>
            <w:shd w:val="clear" w:color="auto" w:fill="auto"/>
            <w:tcMar>
              <w:right w:w="57" w:type="dxa"/>
            </w:tcMar>
            <w:vAlign w:val="center"/>
          </w:tcPr>
          <w:p w:rsidR="00013EC7" w:rsidRDefault="00013EC7">
            <w:pPr>
              <w:spacing w:line="300" w:lineRule="exact"/>
              <w:jc w:val="left"/>
              <w:rPr>
                <w:rFonts w:ascii="仿宋" w:eastAsia="仿宋" w:hAnsi="仿宋" w:cs="仿宋"/>
                <w:sz w:val="24"/>
              </w:rPr>
            </w:pPr>
          </w:p>
        </w:tc>
        <w:tc>
          <w:tcPr>
            <w:tcW w:w="625" w:type="dxa"/>
            <w:vMerge/>
            <w:shd w:val="clear" w:color="auto" w:fill="auto"/>
            <w:tcMar>
              <w:right w:w="57" w:type="dxa"/>
            </w:tcMar>
            <w:vAlign w:val="center"/>
          </w:tcPr>
          <w:p w:rsidR="00013EC7" w:rsidRDefault="00013EC7">
            <w:pPr>
              <w:spacing w:line="310" w:lineRule="exact"/>
              <w:jc w:val="left"/>
              <w:rPr>
                <w:rFonts w:ascii="仿宋" w:eastAsia="仿宋" w:hAnsi="仿宋" w:cs="仿宋"/>
                <w:sz w:val="24"/>
              </w:rPr>
            </w:pPr>
          </w:p>
        </w:tc>
        <w:tc>
          <w:tcPr>
            <w:tcW w:w="4371" w:type="dxa"/>
            <w:vMerge/>
            <w:shd w:val="clear" w:color="auto" w:fill="auto"/>
            <w:tcMar>
              <w:right w:w="57" w:type="dxa"/>
            </w:tcMar>
            <w:vAlign w:val="center"/>
          </w:tcPr>
          <w:p w:rsidR="00013EC7" w:rsidRDefault="00013EC7">
            <w:pPr>
              <w:spacing w:line="310" w:lineRule="exact"/>
              <w:jc w:val="left"/>
              <w:rPr>
                <w:rFonts w:ascii="仿宋" w:eastAsia="仿宋" w:hAnsi="仿宋" w:cs="仿宋"/>
                <w:sz w:val="24"/>
              </w:rPr>
            </w:pPr>
          </w:p>
        </w:tc>
        <w:tc>
          <w:tcPr>
            <w:tcW w:w="2646" w:type="dxa"/>
            <w:tcBorders>
              <w:top w:val="single" w:sz="4" w:space="0" w:color="auto"/>
            </w:tcBorders>
            <w:shd w:val="clear" w:color="auto" w:fill="FFFFFF"/>
            <w:tcMar>
              <w:right w:w="57" w:type="dxa"/>
            </w:tcMar>
            <w:vAlign w:val="center"/>
          </w:tcPr>
          <w:p w:rsidR="00013EC7" w:rsidRDefault="00575CDB">
            <w:pPr>
              <w:widowControl/>
              <w:spacing w:line="300" w:lineRule="exact"/>
              <w:jc w:val="left"/>
              <w:rPr>
                <w:rFonts w:ascii="仿宋" w:eastAsia="仿宋" w:hAnsi="仿宋" w:cs="仿宋"/>
                <w:sz w:val="24"/>
              </w:rPr>
            </w:pPr>
            <w:r>
              <w:rPr>
                <w:rFonts w:ascii="仿宋" w:eastAsia="仿宋" w:hAnsi="仿宋" w:cs="仿宋" w:hint="eastAsia"/>
                <w:kern w:val="1"/>
                <w:sz w:val="24"/>
                <w:shd w:val="clear" w:color="FFFFFF" w:fill="D9D9D9"/>
              </w:rPr>
              <w:t>（二）</w:t>
            </w:r>
            <w:r>
              <w:rPr>
                <w:rFonts w:ascii="仿宋" w:eastAsia="仿宋" w:hAnsi="仿宋" w:cs="仿宋" w:hint="eastAsia"/>
                <w:sz w:val="24"/>
                <w:shd w:val="clear" w:color="FFFFFF" w:fill="D9D9D9"/>
              </w:rPr>
              <w:t>非营利组织资格认定文件。</w:t>
            </w:r>
          </w:p>
        </w:tc>
        <w:tc>
          <w:tcPr>
            <w:tcW w:w="2368" w:type="dxa"/>
            <w:tcBorders>
              <w:top w:val="single" w:sz="4" w:space="0" w:color="auto"/>
            </w:tcBorders>
            <w:shd w:val="clear" w:color="auto" w:fill="FFFFFF"/>
            <w:tcMar>
              <w:right w:w="57" w:type="dxa"/>
            </w:tcMar>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kern w:val="1"/>
                <w:sz w:val="24"/>
              </w:rPr>
              <w:t>非营利组织的</w:t>
            </w:r>
            <w:r>
              <w:rPr>
                <w:rFonts w:ascii="仿宋" w:eastAsia="仿宋" w:hAnsi="仿宋" w:cs="仿宋" w:hint="eastAsia"/>
                <w:sz w:val="24"/>
              </w:rPr>
              <w:t>提交</w:t>
            </w:r>
          </w:p>
        </w:tc>
        <w:tc>
          <w:tcPr>
            <w:tcW w:w="2358" w:type="dxa"/>
            <w:shd w:val="clear" w:color="auto" w:fill="FFFFFF"/>
            <w:tcMar>
              <w:right w:w="57" w:type="dxa"/>
            </w:tcMar>
            <w:vAlign w:val="center"/>
          </w:tcPr>
          <w:p w:rsidR="00013EC7" w:rsidRDefault="00575CDB">
            <w:pPr>
              <w:jc w:val="left"/>
              <w:rPr>
                <w:rFonts w:ascii="仿宋" w:eastAsia="仿宋" w:hAnsi="仿宋" w:cs="仿宋"/>
                <w:sz w:val="24"/>
              </w:rPr>
            </w:pPr>
            <w:r>
              <w:rPr>
                <w:rFonts w:ascii="仿宋" w:eastAsia="仿宋" w:hAnsi="仿宋" w:cs="仿宋" w:hint="eastAsia"/>
                <w:kern w:val="1"/>
                <w:sz w:val="24"/>
              </w:rPr>
              <w:t>（二）</w:t>
            </w:r>
            <w:r>
              <w:rPr>
                <w:rFonts w:ascii="仿宋" w:eastAsia="仿宋" w:hAnsi="仿宋" w:cs="仿宋" w:hint="eastAsia"/>
                <w:sz w:val="24"/>
              </w:rPr>
              <w:t>非营利组织资格认定文件。</w:t>
            </w:r>
          </w:p>
        </w:tc>
        <w:tc>
          <w:tcPr>
            <w:tcW w:w="2550" w:type="dxa"/>
            <w:shd w:val="clear" w:color="auto" w:fill="FFFFFF"/>
            <w:tcMar>
              <w:right w:w="57" w:type="dxa"/>
            </w:tcMar>
            <w:vAlign w:val="center"/>
          </w:tcPr>
          <w:p w:rsidR="00013EC7" w:rsidRDefault="00575CDB">
            <w:pPr>
              <w:spacing w:line="300" w:lineRule="exact"/>
              <w:rPr>
                <w:rFonts w:ascii="仿宋" w:eastAsia="仿宋" w:hAnsi="仿宋" w:cs="仿宋"/>
                <w:sz w:val="24"/>
              </w:rPr>
            </w:pPr>
            <w:r>
              <w:rPr>
                <w:rFonts w:ascii="仿宋" w:eastAsia="仿宋" w:hAnsi="仿宋" w:cs="仿宋" w:hint="eastAsia"/>
                <w:b/>
                <w:bCs/>
                <w:i/>
                <w:iCs/>
                <w:sz w:val="24"/>
              </w:rPr>
              <w:t>经办机构自行获取</w:t>
            </w:r>
          </w:p>
        </w:tc>
        <w:tc>
          <w:tcPr>
            <w:tcW w:w="2132" w:type="dxa"/>
            <w:shd w:val="clear" w:color="auto" w:fill="FFFFFF"/>
            <w:tcMar>
              <w:right w:w="57" w:type="dxa"/>
            </w:tcMar>
            <w:vAlign w:val="center"/>
          </w:tcPr>
          <w:p w:rsidR="00013EC7" w:rsidRDefault="00575CDB">
            <w:pPr>
              <w:widowControl/>
              <w:spacing w:line="300" w:lineRule="exact"/>
              <w:jc w:val="left"/>
              <w:rPr>
                <w:rFonts w:ascii="仿宋" w:eastAsia="仿宋" w:hAnsi="仿宋" w:cs="仿宋"/>
                <w:sz w:val="24"/>
              </w:rPr>
            </w:pPr>
            <w:r>
              <w:rPr>
                <w:rFonts w:ascii="仿宋" w:eastAsia="仿宋" w:hAnsi="仿宋" w:cs="仿宋" w:hint="eastAsia"/>
                <w:b/>
                <w:sz w:val="24"/>
              </w:rPr>
              <w:t>内部共享：</w:t>
            </w:r>
            <w:r>
              <w:rPr>
                <w:rFonts w:ascii="仿宋" w:eastAsia="仿宋" w:hAnsi="仿宋" w:cs="仿宋" w:hint="eastAsia"/>
                <w:sz w:val="24"/>
              </w:rPr>
              <w:t>内部共享获取相关信息。</w:t>
            </w:r>
          </w:p>
        </w:tc>
        <w:tc>
          <w:tcPr>
            <w:tcW w:w="700" w:type="dxa"/>
            <w:vMerge/>
            <w:shd w:val="clear" w:color="auto" w:fill="auto"/>
            <w:tcMar>
              <w:right w:w="57" w:type="dxa"/>
            </w:tcMar>
            <w:vAlign w:val="center"/>
          </w:tcPr>
          <w:p w:rsidR="00013EC7" w:rsidRDefault="00013EC7">
            <w:pPr>
              <w:spacing w:line="300" w:lineRule="exact"/>
              <w:jc w:val="left"/>
              <w:rPr>
                <w:rFonts w:ascii="仿宋_GB2312" w:eastAsia="仿宋_GB2312" w:hAnsi="仿宋" w:cs="仿宋"/>
                <w:sz w:val="24"/>
              </w:rPr>
            </w:pPr>
          </w:p>
        </w:tc>
        <w:tc>
          <w:tcPr>
            <w:tcW w:w="675" w:type="dxa"/>
            <w:vMerge/>
            <w:shd w:val="clear" w:color="auto" w:fill="auto"/>
            <w:tcMar>
              <w:right w:w="57" w:type="dxa"/>
            </w:tcMar>
            <w:vAlign w:val="center"/>
          </w:tcPr>
          <w:p w:rsidR="00013EC7" w:rsidRDefault="00013EC7">
            <w:pPr>
              <w:spacing w:line="300" w:lineRule="exact"/>
              <w:jc w:val="left"/>
              <w:rPr>
                <w:rFonts w:ascii="仿宋_GB2312" w:eastAsia="仿宋_GB2312" w:hAnsi="仿宋" w:cs="仿宋"/>
                <w:sz w:val="24"/>
              </w:rPr>
            </w:pPr>
          </w:p>
        </w:tc>
        <w:tc>
          <w:tcPr>
            <w:tcW w:w="700" w:type="dxa"/>
            <w:vMerge/>
            <w:shd w:val="clear" w:color="auto" w:fill="FFFFFF"/>
            <w:tcMar>
              <w:right w:w="57" w:type="dxa"/>
            </w:tcMar>
            <w:vAlign w:val="center"/>
          </w:tcPr>
          <w:p w:rsidR="00013EC7" w:rsidRDefault="00013EC7">
            <w:pPr>
              <w:spacing w:line="300" w:lineRule="exact"/>
              <w:jc w:val="left"/>
              <w:rPr>
                <w:rFonts w:ascii="仿宋_GB2312" w:eastAsia="仿宋_GB2312" w:hAnsi="仿宋" w:cs="仿宋"/>
                <w:sz w:val="24"/>
              </w:rPr>
            </w:pPr>
          </w:p>
        </w:tc>
        <w:tc>
          <w:tcPr>
            <w:tcW w:w="775" w:type="dxa"/>
            <w:vMerge/>
            <w:tcMar>
              <w:right w:w="57" w:type="dxa"/>
            </w:tcMar>
            <w:vAlign w:val="center"/>
          </w:tcPr>
          <w:p w:rsidR="00013EC7" w:rsidRDefault="00013EC7">
            <w:pPr>
              <w:spacing w:line="300" w:lineRule="exact"/>
              <w:jc w:val="left"/>
              <w:rPr>
                <w:rFonts w:ascii="仿宋_GB2312" w:eastAsia="仿宋_GB2312" w:hAnsi="仿宋" w:cs="仿宋"/>
                <w:sz w:val="24"/>
              </w:rPr>
            </w:pPr>
          </w:p>
        </w:tc>
        <w:tc>
          <w:tcPr>
            <w:tcW w:w="1157" w:type="dxa"/>
            <w:vMerge/>
            <w:tcMar>
              <w:right w:w="57" w:type="dxa"/>
            </w:tcMar>
            <w:vAlign w:val="center"/>
          </w:tcPr>
          <w:p w:rsidR="00013EC7" w:rsidRDefault="00013EC7">
            <w:pPr>
              <w:spacing w:line="300" w:lineRule="exact"/>
              <w:jc w:val="left"/>
              <w:rPr>
                <w:rFonts w:ascii="仿宋_GB2312" w:eastAsia="仿宋_GB2312" w:hAnsi="仿宋" w:cs="仿宋"/>
                <w:sz w:val="24"/>
              </w:rPr>
            </w:pPr>
          </w:p>
        </w:tc>
      </w:tr>
      <w:tr w:rsidR="00013EC7">
        <w:trPr>
          <w:trHeight w:val="2925"/>
          <w:jc w:val="center"/>
        </w:trPr>
        <w:tc>
          <w:tcPr>
            <w:tcW w:w="609" w:type="dxa"/>
            <w:vMerge/>
            <w:shd w:val="clear" w:color="auto" w:fill="auto"/>
            <w:tcMar>
              <w:right w:w="57" w:type="dxa"/>
            </w:tcMar>
            <w:vAlign w:val="center"/>
          </w:tcPr>
          <w:p w:rsidR="00013EC7" w:rsidRDefault="00013EC7">
            <w:pPr>
              <w:spacing w:line="300" w:lineRule="exact"/>
              <w:jc w:val="left"/>
              <w:rPr>
                <w:rFonts w:ascii="仿宋" w:eastAsia="仿宋" w:hAnsi="仿宋" w:cs="仿宋"/>
                <w:sz w:val="24"/>
              </w:rPr>
            </w:pPr>
          </w:p>
        </w:tc>
        <w:tc>
          <w:tcPr>
            <w:tcW w:w="625" w:type="dxa"/>
            <w:vMerge/>
            <w:shd w:val="clear" w:color="auto" w:fill="auto"/>
            <w:tcMar>
              <w:right w:w="57" w:type="dxa"/>
            </w:tcMar>
            <w:vAlign w:val="center"/>
          </w:tcPr>
          <w:p w:rsidR="00013EC7" w:rsidRDefault="00013EC7">
            <w:pPr>
              <w:spacing w:line="310" w:lineRule="exact"/>
              <w:jc w:val="left"/>
              <w:rPr>
                <w:rFonts w:ascii="仿宋" w:eastAsia="仿宋" w:hAnsi="仿宋" w:cs="仿宋"/>
                <w:sz w:val="24"/>
              </w:rPr>
            </w:pPr>
          </w:p>
        </w:tc>
        <w:tc>
          <w:tcPr>
            <w:tcW w:w="4371" w:type="dxa"/>
            <w:vMerge/>
            <w:shd w:val="clear" w:color="auto" w:fill="auto"/>
            <w:tcMar>
              <w:right w:w="57" w:type="dxa"/>
            </w:tcMar>
            <w:vAlign w:val="center"/>
          </w:tcPr>
          <w:p w:rsidR="00013EC7" w:rsidRDefault="00013EC7">
            <w:pPr>
              <w:spacing w:line="310" w:lineRule="exact"/>
              <w:jc w:val="left"/>
              <w:rPr>
                <w:rFonts w:ascii="仿宋" w:eastAsia="仿宋" w:hAnsi="仿宋" w:cs="仿宋"/>
                <w:sz w:val="24"/>
              </w:rPr>
            </w:pPr>
          </w:p>
        </w:tc>
        <w:tc>
          <w:tcPr>
            <w:tcW w:w="2646" w:type="dxa"/>
            <w:tcBorders>
              <w:top w:val="single" w:sz="4" w:space="0" w:color="auto"/>
            </w:tcBorders>
            <w:shd w:val="clear" w:color="auto" w:fill="FFFFFF"/>
            <w:tcMar>
              <w:right w:w="57" w:type="dxa"/>
            </w:tcMar>
            <w:vAlign w:val="center"/>
          </w:tcPr>
          <w:p w:rsidR="00013EC7" w:rsidRDefault="00575CDB">
            <w:pPr>
              <w:widowControl/>
              <w:spacing w:line="300" w:lineRule="exact"/>
              <w:jc w:val="left"/>
              <w:rPr>
                <w:rFonts w:ascii="仿宋" w:eastAsia="仿宋" w:hAnsi="仿宋" w:cs="仿宋"/>
                <w:kern w:val="1"/>
                <w:sz w:val="24"/>
              </w:rPr>
            </w:pPr>
            <w:r>
              <w:rPr>
                <w:rFonts w:ascii="仿宋" w:eastAsia="仿宋" w:hAnsi="仿宋" w:cs="宋体" w:hint="eastAsia"/>
                <w:sz w:val="24"/>
              </w:rPr>
              <w:t>（三）</w:t>
            </w:r>
            <w:r>
              <w:rPr>
                <w:rFonts w:ascii="仿宋" w:eastAsia="仿宋" w:hAnsi="仿宋" w:cs="仿宋" w:hint="eastAsia"/>
                <w:sz w:val="24"/>
              </w:rPr>
              <w:t>资源综合利用认定证书复印件（已取得证书的提交）。</w:t>
            </w:r>
          </w:p>
        </w:tc>
        <w:tc>
          <w:tcPr>
            <w:tcW w:w="2368" w:type="dxa"/>
            <w:tcBorders>
              <w:top w:val="single" w:sz="4" w:space="0" w:color="auto"/>
            </w:tcBorders>
            <w:shd w:val="clear" w:color="auto" w:fill="FFFFFF"/>
            <w:tcMar>
              <w:right w:w="57" w:type="dxa"/>
            </w:tcMar>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kern w:val="1"/>
                <w:sz w:val="24"/>
              </w:rPr>
              <w:t>综合利用资源</w:t>
            </w:r>
            <w:r>
              <w:rPr>
                <w:rFonts w:ascii="仿宋" w:eastAsia="仿宋" w:hAnsi="仿宋" w:cs="仿宋" w:hint="eastAsia"/>
                <w:sz w:val="24"/>
              </w:rPr>
              <w:t>纳税人提交</w:t>
            </w:r>
          </w:p>
        </w:tc>
        <w:tc>
          <w:tcPr>
            <w:tcW w:w="2358" w:type="dxa"/>
            <w:shd w:val="clear" w:color="auto" w:fill="FFFFFF"/>
            <w:tcMar>
              <w:right w:w="57" w:type="dxa"/>
            </w:tcMar>
            <w:vAlign w:val="center"/>
          </w:tcPr>
          <w:p w:rsidR="00013EC7" w:rsidRDefault="00575CDB">
            <w:pPr>
              <w:widowControl/>
              <w:spacing w:line="300" w:lineRule="exact"/>
              <w:jc w:val="left"/>
              <w:rPr>
                <w:rFonts w:ascii="仿宋" w:eastAsia="仿宋" w:hAnsi="仿宋" w:cs="仿宋"/>
                <w:kern w:val="1"/>
                <w:sz w:val="24"/>
              </w:rPr>
            </w:pPr>
            <w:r>
              <w:rPr>
                <w:rFonts w:ascii="仿宋" w:eastAsia="仿宋" w:hAnsi="仿宋" w:cs="宋体" w:hint="eastAsia"/>
                <w:sz w:val="24"/>
              </w:rPr>
              <w:t>（三）</w:t>
            </w:r>
            <w:r>
              <w:rPr>
                <w:rFonts w:ascii="仿宋" w:eastAsia="仿宋" w:hAnsi="仿宋" w:cs="仿宋" w:hint="eastAsia"/>
                <w:sz w:val="24"/>
              </w:rPr>
              <w:t>资源综合利用认定证书复印件（已取得证书的提交）（注明与原件一致，并加盖公章）。</w:t>
            </w:r>
          </w:p>
        </w:tc>
        <w:tc>
          <w:tcPr>
            <w:tcW w:w="2550" w:type="dxa"/>
            <w:shd w:val="clear" w:color="auto" w:fill="FFFFFF"/>
            <w:tcMar>
              <w:right w:w="57" w:type="dxa"/>
            </w:tcMar>
            <w:vAlign w:val="center"/>
          </w:tcPr>
          <w:p w:rsidR="00013EC7" w:rsidRDefault="00575CDB">
            <w:pPr>
              <w:spacing w:line="300" w:lineRule="exact"/>
              <w:jc w:val="left"/>
              <w:rPr>
                <w:rFonts w:ascii="仿宋" w:eastAsia="仿宋" w:hAnsi="仿宋" w:cs="仿宋"/>
                <w:b/>
                <w:bCs/>
                <w:i/>
                <w:iCs/>
                <w:sz w:val="24"/>
              </w:rPr>
            </w:pPr>
            <w:r>
              <w:rPr>
                <w:rFonts w:ascii="仿宋" w:eastAsia="仿宋" w:hAnsi="仿宋" w:cs="仿宋" w:hint="eastAsia"/>
                <w:kern w:val="1"/>
                <w:sz w:val="24"/>
              </w:rPr>
              <w:t>综合利用资源</w:t>
            </w:r>
            <w:r>
              <w:rPr>
                <w:rFonts w:ascii="仿宋" w:eastAsia="仿宋" w:hAnsi="仿宋" w:cs="仿宋" w:hint="eastAsia"/>
                <w:sz w:val="24"/>
              </w:rPr>
              <w:t>纳税人提交</w:t>
            </w:r>
          </w:p>
        </w:tc>
        <w:tc>
          <w:tcPr>
            <w:tcW w:w="2132" w:type="dxa"/>
            <w:vMerge w:val="restart"/>
            <w:shd w:val="clear" w:color="auto" w:fill="FFFFFF"/>
            <w:tcMar>
              <w:right w:w="57" w:type="dxa"/>
            </w:tcMar>
            <w:vAlign w:val="center"/>
          </w:tcPr>
          <w:p w:rsidR="00013EC7" w:rsidRDefault="00575CDB">
            <w:pPr>
              <w:jc w:val="lef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申报单位提交书面材料。</w:t>
            </w:r>
          </w:p>
          <w:p w:rsidR="00013EC7" w:rsidRDefault="00575CDB">
            <w:pPr>
              <w:jc w:val="left"/>
              <w:rPr>
                <w:rFonts w:ascii="仿宋" w:eastAsia="仿宋" w:hAnsi="仿宋" w:cs="仿宋"/>
                <w:sz w:val="24"/>
              </w:rPr>
            </w:pPr>
            <w:r>
              <w:rPr>
                <w:rFonts w:ascii="仿宋" w:eastAsia="仿宋" w:hAnsi="仿宋" w:cs="仿宋" w:hint="eastAsia"/>
                <w:b/>
                <w:sz w:val="24"/>
              </w:rPr>
              <w:t>网上办理：</w:t>
            </w:r>
            <w:r>
              <w:rPr>
                <w:rFonts w:ascii="仿宋" w:eastAsia="仿宋" w:hAnsi="仿宋" w:cs="仿宋" w:hint="eastAsia"/>
                <w:sz w:val="24"/>
              </w:rPr>
              <w:t>登录浙江国税电子税务局（网址：http://etax.zjtax.gov.cn/）提交申请。</w:t>
            </w:r>
          </w:p>
          <w:p w:rsidR="00013EC7" w:rsidRDefault="00575CDB">
            <w:pPr>
              <w:widowControl/>
              <w:jc w:val="left"/>
              <w:rPr>
                <w:rFonts w:ascii="仿宋" w:eastAsia="仿宋" w:hAnsi="仿宋" w:cs="仿宋"/>
                <w:b/>
                <w:sz w:val="24"/>
              </w:rPr>
            </w:pPr>
            <w:r>
              <w:rPr>
                <w:rFonts w:ascii="仿宋" w:eastAsia="仿宋" w:hAnsi="仿宋" w:cs="仿宋" w:hint="eastAsia"/>
                <w:b/>
                <w:sz w:val="24"/>
              </w:rPr>
              <w:lastRenderedPageBreak/>
              <w:t>APP办理：</w:t>
            </w:r>
            <w:r>
              <w:rPr>
                <w:rFonts w:ascii="仿宋" w:eastAsia="仿宋" w:hAnsi="仿宋" w:cs="仿宋" w:hint="eastAsia"/>
                <w:sz w:val="24"/>
              </w:rPr>
              <w:t>登录浙江国税APP提交申请。</w:t>
            </w:r>
          </w:p>
        </w:tc>
        <w:tc>
          <w:tcPr>
            <w:tcW w:w="700" w:type="dxa"/>
            <w:vMerge/>
            <w:shd w:val="clear" w:color="auto" w:fill="auto"/>
            <w:tcMar>
              <w:right w:w="57" w:type="dxa"/>
            </w:tcMar>
            <w:vAlign w:val="center"/>
          </w:tcPr>
          <w:p w:rsidR="00013EC7" w:rsidRDefault="00013EC7">
            <w:pPr>
              <w:spacing w:line="300" w:lineRule="exact"/>
              <w:jc w:val="left"/>
              <w:rPr>
                <w:rFonts w:ascii="仿宋_GB2312" w:eastAsia="仿宋_GB2312" w:hAnsi="仿宋" w:cs="仿宋"/>
                <w:sz w:val="24"/>
              </w:rPr>
            </w:pPr>
          </w:p>
        </w:tc>
        <w:tc>
          <w:tcPr>
            <w:tcW w:w="675" w:type="dxa"/>
            <w:vMerge/>
            <w:shd w:val="clear" w:color="auto" w:fill="auto"/>
            <w:tcMar>
              <w:right w:w="57" w:type="dxa"/>
            </w:tcMar>
            <w:vAlign w:val="center"/>
          </w:tcPr>
          <w:p w:rsidR="00013EC7" w:rsidRDefault="00013EC7">
            <w:pPr>
              <w:spacing w:line="300" w:lineRule="exact"/>
              <w:jc w:val="left"/>
              <w:rPr>
                <w:rFonts w:ascii="仿宋_GB2312" w:eastAsia="仿宋_GB2312" w:hAnsi="仿宋" w:cs="仿宋"/>
                <w:sz w:val="24"/>
              </w:rPr>
            </w:pPr>
          </w:p>
        </w:tc>
        <w:tc>
          <w:tcPr>
            <w:tcW w:w="700" w:type="dxa"/>
            <w:vMerge/>
            <w:shd w:val="clear" w:color="auto" w:fill="FFFFFF"/>
            <w:tcMar>
              <w:right w:w="57" w:type="dxa"/>
            </w:tcMar>
            <w:vAlign w:val="center"/>
          </w:tcPr>
          <w:p w:rsidR="00013EC7" w:rsidRDefault="00013EC7">
            <w:pPr>
              <w:spacing w:line="300" w:lineRule="exact"/>
              <w:jc w:val="left"/>
              <w:rPr>
                <w:rFonts w:ascii="仿宋_GB2312" w:eastAsia="仿宋_GB2312" w:hAnsi="仿宋" w:cs="仿宋"/>
                <w:sz w:val="24"/>
              </w:rPr>
            </w:pPr>
          </w:p>
        </w:tc>
        <w:tc>
          <w:tcPr>
            <w:tcW w:w="775" w:type="dxa"/>
            <w:vMerge/>
            <w:tcMar>
              <w:right w:w="57" w:type="dxa"/>
            </w:tcMar>
            <w:vAlign w:val="center"/>
          </w:tcPr>
          <w:p w:rsidR="00013EC7" w:rsidRDefault="00013EC7">
            <w:pPr>
              <w:spacing w:line="300" w:lineRule="exact"/>
              <w:jc w:val="left"/>
              <w:rPr>
                <w:rFonts w:ascii="仿宋_GB2312" w:eastAsia="仿宋_GB2312" w:hAnsi="仿宋" w:cs="仿宋"/>
                <w:sz w:val="24"/>
              </w:rPr>
            </w:pPr>
          </w:p>
        </w:tc>
        <w:tc>
          <w:tcPr>
            <w:tcW w:w="1157" w:type="dxa"/>
            <w:vMerge/>
            <w:tcMar>
              <w:right w:w="57" w:type="dxa"/>
            </w:tcMar>
            <w:vAlign w:val="center"/>
          </w:tcPr>
          <w:p w:rsidR="00013EC7" w:rsidRDefault="00013EC7">
            <w:pPr>
              <w:spacing w:line="300" w:lineRule="exact"/>
              <w:jc w:val="left"/>
              <w:rPr>
                <w:rFonts w:ascii="仿宋_GB2312" w:eastAsia="仿宋_GB2312" w:hAnsi="仿宋" w:cs="仿宋"/>
                <w:sz w:val="24"/>
              </w:rPr>
            </w:pPr>
          </w:p>
        </w:tc>
      </w:tr>
      <w:tr w:rsidR="00013EC7">
        <w:trPr>
          <w:trHeight w:val="2908"/>
          <w:jc w:val="center"/>
        </w:trPr>
        <w:tc>
          <w:tcPr>
            <w:tcW w:w="609" w:type="dxa"/>
            <w:vMerge/>
            <w:shd w:val="clear" w:color="auto" w:fill="auto"/>
            <w:tcMar>
              <w:right w:w="57" w:type="dxa"/>
            </w:tcMar>
            <w:vAlign w:val="center"/>
          </w:tcPr>
          <w:p w:rsidR="00013EC7" w:rsidRDefault="00013EC7">
            <w:pPr>
              <w:spacing w:line="300" w:lineRule="exact"/>
              <w:jc w:val="left"/>
              <w:rPr>
                <w:rFonts w:ascii="仿宋" w:eastAsia="仿宋" w:hAnsi="仿宋" w:cs="仿宋"/>
                <w:sz w:val="24"/>
              </w:rPr>
            </w:pPr>
          </w:p>
        </w:tc>
        <w:tc>
          <w:tcPr>
            <w:tcW w:w="625" w:type="dxa"/>
            <w:vMerge/>
            <w:shd w:val="clear" w:color="auto" w:fill="auto"/>
            <w:tcMar>
              <w:right w:w="57" w:type="dxa"/>
            </w:tcMar>
            <w:vAlign w:val="center"/>
          </w:tcPr>
          <w:p w:rsidR="00013EC7" w:rsidRDefault="00013EC7">
            <w:pPr>
              <w:spacing w:line="310" w:lineRule="exact"/>
              <w:jc w:val="left"/>
              <w:rPr>
                <w:rFonts w:ascii="仿宋" w:eastAsia="仿宋" w:hAnsi="仿宋" w:cs="仿宋"/>
                <w:sz w:val="24"/>
              </w:rPr>
            </w:pPr>
          </w:p>
        </w:tc>
        <w:tc>
          <w:tcPr>
            <w:tcW w:w="4371" w:type="dxa"/>
            <w:vMerge/>
            <w:shd w:val="clear" w:color="auto" w:fill="auto"/>
            <w:tcMar>
              <w:right w:w="57" w:type="dxa"/>
            </w:tcMar>
            <w:vAlign w:val="center"/>
          </w:tcPr>
          <w:p w:rsidR="00013EC7" w:rsidRDefault="00013EC7">
            <w:pPr>
              <w:spacing w:line="310" w:lineRule="exact"/>
              <w:jc w:val="left"/>
              <w:rPr>
                <w:rFonts w:ascii="仿宋" w:eastAsia="仿宋" w:hAnsi="仿宋" w:cs="仿宋"/>
                <w:sz w:val="24"/>
              </w:rPr>
            </w:pPr>
          </w:p>
        </w:tc>
        <w:tc>
          <w:tcPr>
            <w:tcW w:w="2646" w:type="dxa"/>
            <w:tcBorders>
              <w:top w:val="single" w:sz="4" w:space="0" w:color="auto"/>
            </w:tcBorders>
            <w:shd w:val="clear" w:color="auto" w:fill="FFFFFF"/>
            <w:tcMar>
              <w:right w:w="57" w:type="dxa"/>
            </w:tcMar>
            <w:vAlign w:val="center"/>
          </w:tcPr>
          <w:p w:rsidR="00013EC7" w:rsidRDefault="00575CDB">
            <w:pPr>
              <w:widowControl/>
              <w:spacing w:line="300" w:lineRule="exact"/>
              <w:jc w:val="left"/>
              <w:rPr>
                <w:rFonts w:ascii="仿宋" w:eastAsia="仿宋" w:hAnsi="仿宋" w:cs="仿宋"/>
                <w:kern w:val="1"/>
                <w:sz w:val="24"/>
              </w:rPr>
            </w:pPr>
            <w:r>
              <w:rPr>
                <w:rFonts w:ascii="仿宋" w:eastAsia="仿宋" w:hAnsi="仿宋" w:cs="仿宋" w:hint="eastAsia"/>
                <w:kern w:val="1"/>
                <w:sz w:val="24"/>
              </w:rPr>
              <w:t>（四）研发项目文件。</w:t>
            </w:r>
          </w:p>
        </w:tc>
        <w:tc>
          <w:tcPr>
            <w:tcW w:w="2368" w:type="dxa"/>
            <w:tcBorders>
              <w:top w:val="single" w:sz="4" w:space="0" w:color="auto"/>
            </w:tcBorders>
            <w:shd w:val="clear" w:color="auto" w:fill="FFFFFF"/>
            <w:tcMar>
              <w:right w:w="57" w:type="dxa"/>
            </w:tcMar>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kern w:val="1"/>
                <w:sz w:val="24"/>
              </w:rPr>
              <w:t>研究开发费用加计扣除</w:t>
            </w:r>
            <w:r>
              <w:rPr>
                <w:rFonts w:ascii="仿宋" w:eastAsia="仿宋" w:hAnsi="仿宋" w:cs="仿宋" w:hint="eastAsia"/>
                <w:sz w:val="24"/>
              </w:rPr>
              <w:t>纳税人提交</w:t>
            </w:r>
          </w:p>
        </w:tc>
        <w:tc>
          <w:tcPr>
            <w:tcW w:w="2358" w:type="dxa"/>
            <w:shd w:val="clear" w:color="auto" w:fill="FFFFFF"/>
            <w:tcMar>
              <w:right w:w="57" w:type="dxa"/>
            </w:tcMar>
            <w:vAlign w:val="center"/>
          </w:tcPr>
          <w:p w:rsidR="00013EC7" w:rsidRDefault="00575CDB">
            <w:pPr>
              <w:widowControl/>
              <w:spacing w:line="300" w:lineRule="exact"/>
              <w:jc w:val="left"/>
              <w:rPr>
                <w:rFonts w:ascii="仿宋" w:eastAsia="仿宋" w:hAnsi="仿宋" w:cs="仿宋"/>
                <w:kern w:val="1"/>
                <w:sz w:val="24"/>
              </w:rPr>
            </w:pPr>
            <w:r>
              <w:rPr>
                <w:rFonts w:ascii="仿宋" w:eastAsia="仿宋" w:hAnsi="仿宋" w:cs="宋体" w:hint="eastAsia"/>
                <w:sz w:val="24"/>
              </w:rPr>
              <w:t>（四）</w:t>
            </w:r>
            <w:r>
              <w:rPr>
                <w:rFonts w:ascii="仿宋" w:eastAsia="仿宋" w:hAnsi="仿宋" w:cs="仿宋" w:hint="eastAsia"/>
                <w:sz w:val="24"/>
              </w:rPr>
              <w:t>研发项目文件复印件（注明与原件一致，并加盖公章）。</w:t>
            </w:r>
          </w:p>
        </w:tc>
        <w:tc>
          <w:tcPr>
            <w:tcW w:w="2550" w:type="dxa"/>
            <w:shd w:val="clear" w:color="auto" w:fill="FFFFFF"/>
            <w:tcMar>
              <w:right w:w="57" w:type="dxa"/>
            </w:tcMar>
            <w:vAlign w:val="center"/>
          </w:tcPr>
          <w:p w:rsidR="00013EC7" w:rsidRDefault="00575CDB">
            <w:pPr>
              <w:spacing w:line="300" w:lineRule="exact"/>
              <w:jc w:val="left"/>
              <w:rPr>
                <w:rFonts w:ascii="仿宋" w:eastAsia="仿宋" w:hAnsi="仿宋" w:cs="仿宋"/>
                <w:b/>
                <w:bCs/>
                <w:i/>
                <w:iCs/>
                <w:color w:val="7030A0"/>
                <w:sz w:val="24"/>
              </w:rPr>
            </w:pPr>
            <w:r>
              <w:rPr>
                <w:rFonts w:ascii="仿宋" w:eastAsia="仿宋" w:hAnsi="仿宋" w:cs="仿宋" w:hint="eastAsia"/>
                <w:kern w:val="1"/>
                <w:sz w:val="24"/>
              </w:rPr>
              <w:t>研究开发费用加计扣除</w:t>
            </w:r>
            <w:r>
              <w:rPr>
                <w:rFonts w:ascii="仿宋" w:eastAsia="仿宋" w:hAnsi="仿宋" w:cs="仿宋" w:hint="eastAsia"/>
                <w:sz w:val="24"/>
              </w:rPr>
              <w:t>纳税人提交</w:t>
            </w:r>
          </w:p>
        </w:tc>
        <w:tc>
          <w:tcPr>
            <w:tcW w:w="2132" w:type="dxa"/>
            <w:vMerge/>
            <w:shd w:val="clear" w:color="auto" w:fill="FFFFFF"/>
            <w:tcMar>
              <w:right w:w="57" w:type="dxa"/>
            </w:tcMar>
            <w:vAlign w:val="center"/>
          </w:tcPr>
          <w:p w:rsidR="00013EC7" w:rsidRDefault="00013EC7">
            <w:pPr>
              <w:widowControl/>
              <w:jc w:val="left"/>
              <w:rPr>
                <w:rFonts w:ascii="仿宋" w:eastAsia="仿宋" w:hAnsi="仿宋" w:cs="仿宋"/>
                <w:b/>
                <w:color w:val="7030A0"/>
                <w:sz w:val="24"/>
              </w:rPr>
            </w:pPr>
          </w:p>
        </w:tc>
        <w:tc>
          <w:tcPr>
            <w:tcW w:w="700" w:type="dxa"/>
            <w:vMerge/>
            <w:shd w:val="clear" w:color="auto" w:fill="auto"/>
            <w:tcMar>
              <w:right w:w="57" w:type="dxa"/>
            </w:tcMar>
            <w:vAlign w:val="center"/>
          </w:tcPr>
          <w:p w:rsidR="00013EC7" w:rsidRDefault="00013EC7">
            <w:pPr>
              <w:spacing w:line="300" w:lineRule="exact"/>
              <w:jc w:val="left"/>
              <w:rPr>
                <w:rFonts w:ascii="仿宋_GB2312" w:eastAsia="仿宋_GB2312" w:hAnsi="仿宋" w:cs="仿宋"/>
                <w:sz w:val="24"/>
              </w:rPr>
            </w:pPr>
          </w:p>
        </w:tc>
        <w:tc>
          <w:tcPr>
            <w:tcW w:w="675" w:type="dxa"/>
            <w:vMerge/>
            <w:shd w:val="clear" w:color="auto" w:fill="auto"/>
            <w:tcMar>
              <w:right w:w="57" w:type="dxa"/>
            </w:tcMar>
            <w:vAlign w:val="center"/>
          </w:tcPr>
          <w:p w:rsidR="00013EC7" w:rsidRDefault="00013EC7">
            <w:pPr>
              <w:spacing w:line="300" w:lineRule="exact"/>
              <w:jc w:val="left"/>
              <w:rPr>
                <w:rFonts w:ascii="仿宋_GB2312" w:eastAsia="仿宋_GB2312" w:hAnsi="仿宋" w:cs="仿宋"/>
                <w:sz w:val="24"/>
              </w:rPr>
            </w:pPr>
          </w:p>
        </w:tc>
        <w:tc>
          <w:tcPr>
            <w:tcW w:w="700" w:type="dxa"/>
            <w:vMerge/>
            <w:shd w:val="clear" w:color="auto" w:fill="FFFFFF"/>
            <w:tcMar>
              <w:right w:w="57" w:type="dxa"/>
            </w:tcMar>
            <w:vAlign w:val="center"/>
          </w:tcPr>
          <w:p w:rsidR="00013EC7" w:rsidRDefault="00013EC7">
            <w:pPr>
              <w:spacing w:line="300" w:lineRule="exact"/>
              <w:jc w:val="left"/>
              <w:rPr>
                <w:rFonts w:ascii="仿宋_GB2312" w:eastAsia="仿宋_GB2312" w:hAnsi="仿宋" w:cs="仿宋"/>
                <w:sz w:val="24"/>
              </w:rPr>
            </w:pPr>
          </w:p>
        </w:tc>
        <w:tc>
          <w:tcPr>
            <w:tcW w:w="775" w:type="dxa"/>
            <w:vMerge/>
            <w:tcMar>
              <w:right w:w="57" w:type="dxa"/>
            </w:tcMar>
            <w:vAlign w:val="center"/>
          </w:tcPr>
          <w:p w:rsidR="00013EC7" w:rsidRDefault="00013EC7">
            <w:pPr>
              <w:spacing w:line="300" w:lineRule="exact"/>
              <w:jc w:val="left"/>
              <w:rPr>
                <w:rFonts w:ascii="仿宋_GB2312" w:eastAsia="仿宋_GB2312" w:hAnsi="仿宋" w:cs="仿宋"/>
                <w:sz w:val="24"/>
              </w:rPr>
            </w:pPr>
          </w:p>
        </w:tc>
        <w:tc>
          <w:tcPr>
            <w:tcW w:w="1157" w:type="dxa"/>
            <w:vMerge/>
            <w:tcMar>
              <w:right w:w="57" w:type="dxa"/>
            </w:tcMar>
            <w:vAlign w:val="center"/>
          </w:tcPr>
          <w:p w:rsidR="00013EC7" w:rsidRDefault="00013EC7">
            <w:pPr>
              <w:spacing w:line="300" w:lineRule="exact"/>
              <w:jc w:val="left"/>
              <w:rPr>
                <w:rFonts w:ascii="仿宋_GB2312" w:eastAsia="仿宋_GB2312" w:hAnsi="仿宋" w:cs="仿宋"/>
                <w:sz w:val="24"/>
              </w:rPr>
            </w:pPr>
          </w:p>
        </w:tc>
      </w:tr>
      <w:tr w:rsidR="00013EC7">
        <w:trPr>
          <w:trHeight w:val="2298"/>
          <w:jc w:val="center"/>
        </w:trPr>
        <w:tc>
          <w:tcPr>
            <w:tcW w:w="609" w:type="dxa"/>
            <w:vMerge/>
            <w:shd w:val="clear" w:color="auto" w:fill="auto"/>
            <w:tcMar>
              <w:right w:w="57" w:type="dxa"/>
            </w:tcMar>
            <w:vAlign w:val="center"/>
          </w:tcPr>
          <w:p w:rsidR="00013EC7" w:rsidRDefault="00013EC7">
            <w:pPr>
              <w:spacing w:line="300" w:lineRule="exact"/>
              <w:jc w:val="left"/>
              <w:rPr>
                <w:rFonts w:ascii="仿宋" w:eastAsia="仿宋" w:hAnsi="仿宋" w:cs="仿宋"/>
                <w:sz w:val="24"/>
              </w:rPr>
            </w:pPr>
          </w:p>
        </w:tc>
        <w:tc>
          <w:tcPr>
            <w:tcW w:w="625" w:type="dxa"/>
            <w:vMerge/>
            <w:shd w:val="clear" w:color="auto" w:fill="auto"/>
            <w:tcMar>
              <w:right w:w="57" w:type="dxa"/>
            </w:tcMar>
            <w:vAlign w:val="center"/>
          </w:tcPr>
          <w:p w:rsidR="00013EC7" w:rsidRDefault="00013EC7">
            <w:pPr>
              <w:spacing w:line="310" w:lineRule="exact"/>
              <w:jc w:val="left"/>
              <w:rPr>
                <w:rFonts w:ascii="仿宋" w:eastAsia="仿宋" w:hAnsi="仿宋" w:cs="仿宋"/>
                <w:sz w:val="24"/>
              </w:rPr>
            </w:pPr>
          </w:p>
        </w:tc>
        <w:tc>
          <w:tcPr>
            <w:tcW w:w="4371" w:type="dxa"/>
            <w:vMerge/>
            <w:shd w:val="clear" w:color="auto" w:fill="auto"/>
            <w:tcMar>
              <w:right w:w="57" w:type="dxa"/>
            </w:tcMar>
            <w:vAlign w:val="center"/>
          </w:tcPr>
          <w:p w:rsidR="00013EC7" w:rsidRDefault="00013EC7">
            <w:pPr>
              <w:spacing w:line="310" w:lineRule="exact"/>
              <w:jc w:val="left"/>
              <w:rPr>
                <w:rFonts w:ascii="仿宋" w:eastAsia="仿宋" w:hAnsi="仿宋" w:cs="仿宋"/>
                <w:sz w:val="24"/>
              </w:rPr>
            </w:pPr>
          </w:p>
        </w:tc>
        <w:tc>
          <w:tcPr>
            <w:tcW w:w="2646" w:type="dxa"/>
            <w:tcBorders>
              <w:top w:val="single" w:sz="4" w:space="0" w:color="auto"/>
            </w:tcBorders>
            <w:shd w:val="clear" w:color="auto" w:fill="FFFFFF"/>
            <w:tcMar>
              <w:right w:w="57" w:type="dxa"/>
            </w:tcMar>
            <w:vAlign w:val="center"/>
          </w:tcPr>
          <w:p w:rsidR="00013EC7" w:rsidRDefault="00575CDB">
            <w:pPr>
              <w:widowControl/>
              <w:spacing w:line="300" w:lineRule="exact"/>
              <w:jc w:val="left"/>
              <w:rPr>
                <w:rFonts w:ascii="仿宋" w:eastAsia="仿宋" w:hAnsi="仿宋" w:cs="仿宋"/>
                <w:kern w:val="1"/>
                <w:sz w:val="24"/>
              </w:rPr>
            </w:pPr>
            <w:r>
              <w:rPr>
                <w:rFonts w:ascii="仿宋" w:eastAsia="仿宋" w:hAnsi="仿宋" w:cs="宋体" w:hint="eastAsia"/>
                <w:sz w:val="24"/>
              </w:rPr>
              <w:t>（五）</w:t>
            </w:r>
            <w:r>
              <w:rPr>
                <w:rFonts w:ascii="仿宋" w:eastAsia="仿宋" w:hAnsi="仿宋" w:cs="仿宋" w:hint="eastAsia"/>
                <w:kern w:val="1"/>
                <w:sz w:val="24"/>
              </w:rPr>
              <w:t>有效期内的远洋渔业企业资格证书复印件（从事远洋捕捞业务的提供）。</w:t>
            </w:r>
          </w:p>
        </w:tc>
        <w:tc>
          <w:tcPr>
            <w:tcW w:w="2368" w:type="dxa"/>
            <w:vMerge w:val="restart"/>
            <w:tcBorders>
              <w:top w:val="single" w:sz="4" w:space="0" w:color="auto"/>
            </w:tcBorders>
            <w:shd w:val="clear" w:color="auto" w:fill="FFFFFF"/>
            <w:tcMar>
              <w:right w:w="57" w:type="dxa"/>
            </w:tcMar>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kern w:val="1"/>
                <w:sz w:val="24"/>
              </w:rPr>
              <w:t>农、林、牧、渔业</w:t>
            </w:r>
            <w:r>
              <w:rPr>
                <w:rFonts w:ascii="仿宋" w:eastAsia="仿宋" w:hAnsi="仿宋" w:cs="仿宋" w:hint="eastAsia"/>
                <w:sz w:val="24"/>
              </w:rPr>
              <w:t>纳税人提交</w:t>
            </w:r>
          </w:p>
        </w:tc>
        <w:tc>
          <w:tcPr>
            <w:tcW w:w="2358" w:type="dxa"/>
            <w:shd w:val="clear" w:color="auto" w:fill="FFFFFF"/>
            <w:tcMar>
              <w:right w:w="57" w:type="dxa"/>
            </w:tcMar>
            <w:vAlign w:val="center"/>
          </w:tcPr>
          <w:p w:rsidR="00013EC7" w:rsidRDefault="00575CDB">
            <w:pPr>
              <w:widowControl/>
              <w:spacing w:line="300" w:lineRule="exact"/>
              <w:jc w:val="left"/>
              <w:rPr>
                <w:rFonts w:ascii="仿宋" w:eastAsia="仿宋" w:hAnsi="仿宋" w:cs="仿宋"/>
                <w:kern w:val="1"/>
                <w:sz w:val="24"/>
              </w:rPr>
            </w:pPr>
            <w:r>
              <w:rPr>
                <w:rFonts w:ascii="仿宋" w:eastAsia="仿宋" w:hAnsi="仿宋" w:cs="宋体" w:hint="eastAsia"/>
                <w:sz w:val="24"/>
              </w:rPr>
              <w:t>（五）</w:t>
            </w:r>
            <w:r>
              <w:rPr>
                <w:rFonts w:ascii="仿宋" w:eastAsia="仿宋" w:hAnsi="仿宋" w:cs="仿宋" w:hint="eastAsia"/>
                <w:kern w:val="1"/>
                <w:sz w:val="24"/>
              </w:rPr>
              <w:t>有效期内的远洋渔业企业资格证书复印件（从事远洋捕捞业务的提供）</w:t>
            </w:r>
            <w:r>
              <w:rPr>
                <w:rFonts w:ascii="仿宋" w:eastAsia="仿宋" w:hAnsi="仿宋" w:cs="仿宋" w:hint="eastAsia"/>
                <w:sz w:val="24"/>
              </w:rPr>
              <w:t>（注明与原件一致，并加盖公章）</w:t>
            </w:r>
            <w:r>
              <w:rPr>
                <w:rFonts w:ascii="仿宋" w:eastAsia="仿宋" w:hAnsi="仿宋" w:cs="仿宋" w:hint="eastAsia"/>
                <w:kern w:val="1"/>
                <w:sz w:val="24"/>
              </w:rPr>
              <w:t>。</w:t>
            </w:r>
          </w:p>
        </w:tc>
        <w:tc>
          <w:tcPr>
            <w:tcW w:w="2550" w:type="dxa"/>
            <w:vMerge w:val="restart"/>
            <w:shd w:val="clear" w:color="auto" w:fill="FFFFFF"/>
            <w:tcMar>
              <w:right w:w="57" w:type="dxa"/>
            </w:tcMar>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kern w:val="1"/>
                <w:sz w:val="24"/>
              </w:rPr>
              <w:t>农、林、牧、渔业</w:t>
            </w:r>
            <w:r>
              <w:rPr>
                <w:rFonts w:ascii="仿宋" w:eastAsia="仿宋" w:hAnsi="仿宋" w:cs="仿宋" w:hint="eastAsia"/>
                <w:sz w:val="24"/>
              </w:rPr>
              <w:t>纳税人提交</w:t>
            </w:r>
          </w:p>
        </w:tc>
        <w:tc>
          <w:tcPr>
            <w:tcW w:w="2132" w:type="dxa"/>
            <w:vMerge/>
            <w:shd w:val="clear" w:color="auto" w:fill="FFFFFF"/>
            <w:tcMar>
              <w:right w:w="57" w:type="dxa"/>
            </w:tcMar>
            <w:vAlign w:val="center"/>
          </w:tcPr>
          <w:p w:rsidR="00013EC7" w:rsidRDefault="00013EC7">
            <w:pPr>
              <w:widowControl/>
              <w:spacing w:line="300" w:lineRule="exact"/>
              <w:jc w:val="left"/>
              <w:rPr>
                <w:rFonts w:ascii="仿宋" w:eastAsia="仿宋" w:hAnsi="仿宋" w:cs="仿宋"/>
                <w:b/>
                <w:color w:val="7030A0"/>
                <w:sz w:val="24"/>
              </w:rPr>
            </w:pPr>
          </w:p>
        </w:tc>
        <w:tc>
          <w:tcPr>
            <w:tcW w:w="700" w:type="dxa"/>
            <w:vMerge/>
            <w:shd w:val="clear" w:color="auto" w:fill="auto"/>
            <w:tcMar>
              <w:right w:w="57" w:type="dxa"/>
            </w:tcMar>
            <w:vAlign w:val="center"/>
          </w:tcPr>
          <w:p w:rsidR="00013EC7" w:rsidRDefault="00013EC7">
            <w:pPr>
              <w:spacing w:line="300" w:lineRule="exact"/>
              <w:jc w:val="left"/>
              <w:rPr>
                <w:rFonts w:ascii="仿宋_GB2312" w:eastAsia="仿宋_GB2312" w:hAnsi="仿宋" w:cs="仿宋"/>
                <w:sz w:val="24"/>
              </w:rPr>
            </w:pPr>
          </w:p>
        </w:tc>
        <w:tc>
          <w:tcPr>
            <w:tcW w:w="675" w:type="dxa"/>
            <w:vMerge/>
            <w:shd w:val="clear" w:color="auto" w:fill="auto"/>
            <w:tcMar>
              <w:right w:w="57" w:type="dxa"/>
            </w:tcMar>
            <w:vAlign w:val="center"/>
          </w:tcPr>
          <w:p w:rsidR="00013EC7" w:rsidRDefault="00013EC7">
            <w:pPr>
              <w:spacing w:line="300" w:lineRule="exact"/>
              <w:jc w:val="left"/>
              <w:rPr>
                <w:rFonts w:ascii="仿宋_GB2312" w:eastAsia="仿宋_GB2312" w:hAnsi="仿宋" w:cs="仿宋"/>
                <w:sz w:val="24"/>
              </w:rPr>
            </w:pPr>
          </w:p>
        </w:tc>
        <w:tc>
          <w:tcPr>
            <w:tcW w:w="700" w:type="dxa"/>
            <w:vMerge/>
            <w:shd w:val="clear" w:color="auto" w:fill="FFFFFF"/>
            <w:tcMar>
              <w:right w:w="57" w:type="dxa"/>
            </w:tcMar>
            <w:vAlign w:val="center"/>
          </w:tcPr>
          <w:p w:rsidR="00013EC7" w:rsidRDefault="00013EC7">
            <w:pPr>
              <w:spacing w:line="300" w:lineRule="exact"/>
              <w:jc w:val="left"/>
              <w:rPr>
                <w:rFonts w:ascii="仿宋_GB2312" w:eastAsia="仿宋_GB2312" w:hAnsi="仿宋" w:cs="仿宋"/>
                <w:sz w:val="24"/>
              </w:rPr>
            </w:pPr>
          </w:p>
        </w:tc>
        <w:tc>
          <w:tcPr>
            <w:tcW w:w="775" w:type="dxa"/>
            <w:vMerge/>
            <w:tcMar>
              <w:right w:w="57" w:type="dxa"/>
            </w:tcMar>
            <w:vAlign w:val="center"/>
          </w:tcPr>
          <w:p w:rsidR="00013EC7" w:rsidRDefault="00013EC7">
            <w:pPr>
              <w:spacing w:line="300" w:lineRule="exact"/>
              <w:jc w:val="left"/>
              <w:rPr>
                <w:rFonts w:ascii="仿宋_GB2312" w:eastAsia="仿宋_GB2312" w:hAnsi="仿宋" w:cs="仿宋"/>
                <w:sz w:val="24"/>
              </w:rPr>
            </w:pPr>
          </w:p>
        </w:tc>
        <w:tc>
          <w:tcPr>
            <w:tcW w:w="1157" w:type="dxa"/>
            <w:vMerge/>
            <w:tcMar>
              <w:right w:w="57" w:type="dxa"/>
            </w:tcMar>
            <w:vAlign w:val="center"/>
          </w:tcPr>
          <w:p w:rsidR="00013EC7" w:rsidRDefault="00013EC7">
            <w:pPr>
              <w:spacing w:line="300" w:lineRule="exact"/>
              <w:jc w:val="left"/>
              <w:rPr>
                <w:rFonts w:ascii="仿宋_GB2312" w:eastAsia="仿宋_GB2312" w:hAnsi="仿宋" w:cs="仿宋"/>
                <w:sz w:val="24"/>
              </w:rPr>
            </w:pPr>
          </w:p>
        </w:tc>
      </w:tr>
      <w:tr w:rsidR="00013EC7">
        <w:trPr>
          <w:trHeight w:val="2001"/>
          <w:jc w:val="center"/>
        </w:trPr>
        <w:tc>
          <w:tcPr>
            <w:tcW w:w="609" w:type="dxa"/>
            <w:vMerge/>
            <w:shd w:val="clear" w:color="auto" w:fill="auto"/>
            <w:tcMar>
              <w:right w:w="57" w:type="dxa"/>
            </w:tcMar>
            <w:vAlign w:val="center"/>
          </w:tcPr>
          <w:p w:rsidR="00013EC7" w:rsidRDefault="00013EC7">
            <w:pPr>
              <w:widowControl/>
              <w:spacing w:line="300" w:lineRule="exact"/>
              <w:jc w:val="left"/>
            </w:pPr>
          </w:p>
        </w:tc>
        <w:tc>
          <w:tcPr>
            <w:tcW w:w="625" w:type="dxa"/>
            <w:vMerge/>
            <w:shd w:val="clear" w:color="auto" w:fill="auto"/>
            <w:tcMar>
              <w:right w:w="57" w:type="dxa"/>
            </w:tcMar>
            <w:vAlign w:val="center"/>
          </w:tcPr>
          <w:p w:rsidR="00013EC7" w:rsidRDefault="00013EC7">
            <w:pPr>
              <w:widowControl/>
              <w:spacing w:line="300" w:lineRule="exact"/>
              <w:jc w:val="left"/>
            </w:pPr>
          </w:p>
        </w:tc>
        <w:tc>
          <w:tcPr>
            <w:tcW w:w="4371" w:type="dxa"/>
            <w:vMerge/>
            <w:shd w:val="clear" w:color="auto" w:fill="auto"/>
            <w:tcMar>
              <w:right w:w="57" w:type="dxa"/>
            </w:tcMar>
            <w:vAlign w:val="center"/>
          </w:tcPr>
          <w:p w:rsidR="00013EC7" w:rsidRDefault="00013EC7">
            <w:pPr>
              <w:widowControl/>
              <w:spacing w:line="300" w:lineRule="exact"/>
              <w:jc w:val="left"/>
            </w:pPr>
          </w:p>
        </w:tc>
        <w:tc>
          <w:tcPr>
            <w:tcW w:w="2646" w:type="dxa"/>
            <w:tcBorders>
              <w:top w:val="single" w:sz="4" w:space="0" w:color="auto"/>
            </w:tcBorders>
            <w:shd w:val="clear" w:color="auto" w:fill="FFFFFF"/>
            <w:tcMar>
              <w:right w:w="57" w:type="dxa"/>
            </w:tcMar>
            <w:vAlign w:val="center"/>
          </w:tcPr>
          <w:p w:rsidR="00013EC7" w:rsidRDefault="00575CDB">
            <w:pPr>
              <w:widowControl/>
              <w:spacing w:line="300" w:lineRule="exact"/>
              <w:jc w:val="left"/>
              <w:rPr>
                <w:rFonts w:ascii="仿宋" w:eastAsia="仿宋" w:hAnsi="仿宋" w:cs="仿宋"/>
                <w:kern w:val="1"/>
                <w:sz w:val="24"/>
              </w:rPr>
            </w:pPr>
            <w:r>
              <w:rPr>
                <w:rFonts w:ascii="仿宋" w:eastAsia="仿宋" w:hAnsi="仿宋" w:cs="宋体" w:hint="eastAsia"/>
                <w:sz w:val="24"/>
              </w:rPr>
              <w:t>（六）</w:t>
            </w:r>
            <w:r>
              <w:rPr>
                <w:rFonts w:ascii="仿宋" w:eastAsia="仿宋" w:hAnsi="仿宋" w:cs="仿宋" w:hint="eastAsia"/>
                <w:kern w:val="1"/>
                <w:sz w:val="24"/>
              </w:rPr>
              <w:t>从事农作物新品种选育的认定证书复印件（从事农作物新品种选育的提供）。</w:t>
            </w:r>
          </w:p>
        </w:tc>
        <w:tc>
          <w:tcPr>
            <w:tcW w:w="2368" w:type="dxa"/>
            <w:vMerge/>
            <w:shd w:val="clear" w:color="auto" w:fill="FFFFFF"/>
            <w:tcMar>
              <w:right w:w="57" w:type="dxa"/>
            </w:tcMar>
            <w:vAlign w:val="center"/>
          </w:tcPr>
          <w:p w:rsidR="00013EC7" w:rsidRDefault="00013EC7">
            <w:pPr>
              <w:widowControl/>
              <w:spacing w:line="300" w:lineRule="exact"/>
              <w:jc w:val="left"/>
              <w:rPr>
                <w:rFonts w:ascii="仿宋" w:eastAsia="仿宋" w:hAnsi="仿宋" w:cs="仿宋"/>
                <w:kern w:val="1"/>
                <w:sz w:val="24"/>
              </w:rPr>
            </w:pPr>
          </w:p>
        </w:tc>
        <w:tc>
          <w:tcPr>
            <w:tcW w:w="2358" w:type="dxa"/>
            <w:shd w:val="clear" w:color="auto" w:fill="FFFFFF"/>
            <w:tcMar>
              <w:right w:w="57" w:type="dxa"/>
            </w:tcMar>
            <w:vAlign w:val="center"/>
          </w:tcPr>
          <w:p w:rsidR="00013EC7" w:rsidRDefault="00575CDB">
            <w:pPr>
              <w:widowControl/>
              <w:spacing w:line="300" w:lineRule="exact"/>
              <w:jc w:val="left"/>
              <w:rPr>
                <w:rFonts w:ascii="仿宋" w:eastAsia="仿宋" w:hAnsi="仿宋" w:cs="仿宋"/>
                <w:kern w:val="1"/>
                <w:sz w:val="24"/>
              </w:rPr>
            </w:pPr>
            <w:r>
              <w:rPr>
                <w:rFonts w:ascii="仿宋" w:eastAsia="仿宋" w:hAnsi="仿宋" w:cs="宋体" w:hint="eastAsia"/>
                <w:sz w:val="24"/>
              </w:rPr>
              <w:t>（六）</w:t>
            </w:r>
            <w:r>
              <w:rPr>
                <w:rFonts w:ascii="仿宋" w:eastAsia="仿宋" w:hAnsi="仿宋" w:cs="仿宋" w:hint="eastAsia"/>
                <w:kern w:val="1"/>
                <w:sz w:val="24"/>
              </w:rPr>
              <w:t>从事农作物新品种选育的认定证书复印件（从事农作物新品种选育的提供）</w:t>
            </w:r>
            <w:r>
              <w:rPr>
                <w:rFonts w:ascii="仿宋" w:eastAsia="仿宋" w:hAnsi="仿宋" w:cs="仿宋" w:hint="eastAsia"/>
                <w:sz w:val="24"/>
              </w:rPr>
              <w:t>（注明与原件一致，并加盖公章）</w:t>
            </w:r>
            <w:r>
              <w:rPr>
                <w:rFonts w:ascii="仿宋" w:eastAsia="仿宋" w:hAnsi="仿宋" w:cs="仿宋" w:hint="eastAsia"/>
                <w:kern w:val="1"/>
                <w:sz w:val="24"/>
              </w:rPr>
              <w:t>。</w:t>
            </w:r>
          </w:p>
        </w:tc>
        <w:tc>
          <w:tcPr>
            <w:tcW w:w="2550" w:type="dxa"/>
            <w:vMerge/>
            <w:shd w:val="clear" w:color="auto" w:fill="FFFFFF"/>
            <w:tcMar>
              <w:right w:w="57" w:type="dxa"/>
            </w:tcMar>
            <w:vAlign w:val="center"/>
          </w:tcPr>
          <w:p w:rsidR="00013EC7" w:rsidRDefault="00013EC7">
            <w:pPr>
              <w:widowControl/>
              <w:spacing w:line="300" w:lineRule="exact"/>
              <w:jc w:val="left"/>
              <w:rPr>
                <w:rFonts w:ascii="仿宋" w:eastAsia="仿宋" w:hAnsi="仿宋" w:cs="仿宋"/>
                <w:kern w:val="1"/>
                <w:sz w:val="24"/>
              </w:rPr>
            </w:pPr>
          </w:p>
        </w:tc>
        <w:tc>
          <w:tcPr>
            <w:tcW w:w="2132" w:type="dxa"/>
            <w:vMerge/>
            <w:shd w:val="clear" w:color="auto" w:fill="FFFFFF"/>
            <w:tcMar>
              <w:right w:w="57" w:type="dxa"/>
            </w:tcMar>
            <w:vAlign w:val="center"/>
          </w:tcPr>
          <w:p w:rsidR="00013EC7" w:rsidRDefault="00013EC7">
            <w:pPr>
              <w:widowControl/>
              <w:spacing w:line="300" w:lineRule="exact"/>
              <w:jc w:val="left"/>
              <w:rPr>
                <w:rFonts w:ascii="仿宋" w:eastAsia="仿宋" w:hAnsi="仿宋" w:cs="仿宋"/>
                <w:kern w:val="1"/>
                <w:sz w:val="24"/>
              </w:rPr>
            </w:pPr>
          </w:p>
        </w:tc>
        <w:tc>
          <w:tcPr>
            <w:tcW w:w="700" w:type="dxa"/>
            <w:vMerge/>
            <w:shd w:val="clear" w:color="auto" w:fill="auto"/>
            <w:tcMar>
              <w:right w:w="57" w:type="dxa"/>
            </w:tcMar>
            <w:vAlign w:val="center"/>
          </w:tcPr>
          <w:p w:rsidR="00013EC7" w:rsidRDefault="00013EC7">
            <w:pPr>
              <w:widowControl/>
              <w:spacing w:line="300" w:lineRule="exact"/>
              <w:jc w:val="left"/>
              <w:rPr>
                <w:rFonts w:ascii="仿宋_GB2312" w:eastAsia="仿宋_GB2312" w:hAnsi="仿宋" w:cs="仿宋"/>
                <w:kern w:val="1"/>
                <w:sz w:val="24"/>
              </w:rPr>
            </w:pPr>
          </w:p>
        </w:tc>
        <w:tc>
          <w:tcPr>
            <w:tcW w:w="675" w:type="dxa"/>
            <w:vMerge/>
            <w:shd w:val="clear" w:color="auto" w:fill="auto"/>
            <w:tcMar>
              <w:right w:w="57" w:type="dxa"/>
            </w:tcMar>
            <w:vAlign w:val="center"/>
          </w:tcPr>
          <w:p w:rsidR="00013EC7" w:rsidRDefault="00013EC7">
            <w:pPr>
              <w:widowControl/>
              <w:spacing w:line="300" w:lineRule="exact"/>
              <w:jc w:val="left"/>
              <w:rPr>
                <w:rFonts w:ascii="仿宋_GB2312" w:eastAsia="仿宋_GB2312" w:hAnsi="仿宋" w:cs="仿宋"/>
                <w:kern w:val="1"/>
                <w:sz w:val="24"/>
              </w:rPr>
            </w:pPr>
          </w:p>
        </w:tc>
        <w:tc>
          <w:tcPr>
            <w:tcW w:w="700" w:type="dxa"/>
            <w:vMerge/>
            <w:shd w:val="clear" w:color="auto" w:fill="FFFFFF"/>
            <w:tcMar>
              <w:right w:w="57" w:type="dxa"/>
            </w:tcMar>
            <w:vAlign w:val="center"/>
          </w:tcPr>
          <w:p w:rsidR="00013EC7" w:rsidRDefault="00013EC7">
            <w:pPr>
              <w:widowControl/>
              <w:spacing w:line="300" w:lineRule="exact"/>
              <w:jc w:val="left"/>
              <w:rPr>
                <w:rFonts w:ascii="仿宋_GB2312" w:eastAsia="仿宋_GB2312" w:hAnsi="仿宋" w:cs="仿宋"/>
                <w:kern w:val="1"/>
                <w:sz w:val="24"/>
              </w:rPr>
            </w:pPr>
          </w:p>
        </w:tc>
        <w:tc>
          <w:tcPr>
            <w:tcW w:w="775" w:type="dxa"/>
            <w:vMerge/>
            <w:tcMar>
              <w:right w:w="57" w:type="dxa"/>
            </w:tcMar>
            <w:vAlign w:val="center"/>
          </w:tcPr>
          <w:p w:rsidR="00013EC7" w:rsidRDefault="00013EC7">
            <w:pPr>
              <w:widowControl/>
              <w:spacing w:line="300" w:lineRule="exact"/>
              <w:jc w:val="left"/>
              <w:rPr>
                <w:rFonts w:ascii="仿宋_GB2312" w:eastAsia="仿宋_GB2312" w:hAnsi="仿宋" w:cs="仿宋"/>
                <w:kern w:val="1"/>
                <w:sz w:val="24"/>
              </w:rPr>
            </w:pPr>
          </w:p>
        </w:tc>
        <w:tc>
          <w:tcPr>
            <w:tcW w:w="1157" w:type="dxa"/>
            <w:vMerge/>
            <w:tcMar>
              <w:right w:w="57" w:type="dxa"/>
            </w:tcMar>
            <w:vAlign w:val="center"/>
          </w:tcPr>
          <w:p w:rsidR="00013EC7" w:rsidRDefault="00013EC7">
            <w:pPr>
              <w:widowControl/>
              <w:spacing w:line="300" w:lineRule="exact"/>
              <w:jc w:val="left"/>
              <w:rPr>
                <w:rFonts w:ascii="仿宋_GB2312" w:eastAsia="仿宋_GB2312" w:hAnsi="仿宋" w:cs="仿宋"/>
                <w:kern w:val="1"/>
                <w:sz w:val="24"/>
              </w:rPr>
            </w:pPr>
          </w:p>
        </w:tc>
      </w:tr>
      <w:tr w:rsidR="00013EC7">
        <w:trPr>
          <w:trHeight w:val="3634"/>
          <w:jc w:val="center"/>
        </w:trPr>
        <w:tc>
          <w:tcPr>
            <w:tcW w:w="609" w:type="dxa"/>
            <w:vMerge/>
            <w:shd w:val="clear" w:color="auto" w:fill="auto"/>
            <w:tcMar>
              <w:right w:w="57" w:type="dxa"/>
            </w:tcMar>
            <w:vAlign w:val="center"/>
          </w:tcPr>
          <w:p w:rsidR="00013EC7" w:rsidRDefault="00013EC7">
            <w:pPr>
              <w:spacing w:line="300" w:lineRule="exact"/>
              <w:jc w:val="left"/>
              <w:rPr>
                <w:rFonts w:ascii="仿宋" w:eastAsia="仿宋" w:hAnsi="仿宋" w:cs="仿宋"/>
                <w:sz w:val="24"/>
              </w:rPr>
            </w:pPr>
          </w:p>
        </w:tc>
        <w:tc>
          <w:tcPr>
            <w:tcW w:w="625" w:type="dxa"/>
            <w:vMerge/>
            <w:shd w:val="clear" w:color="auto" w:fill="auto"/>
            <w:tcMar>
              <w:right w:w="57" w:type="dxa"/>
            </w:tcMar>
            <w:vAlign w:val="center"/>
          </w:tcPr>
          <w:p w:rsidR="00013EC7" w:rsidRDefault="00013EC7">
            <w:pPr>
              <w:spacing w:line="310" w:lineRule="exact"/>
              <w:jc w:val="left"/>
              <w:rPr>
                <w:rFonts w:ascii="仿宋" w:eastAsia="仿宋" w:hAnsi="仿宋" w:cs="仿宋"/>
                <w:sz w:val="24"/>
              </w:rPr>
            </w:pPr>
          </w:p>
        </w:tc>
        <w:tc>
          <w:tcPr>
            <w:tcW w:w="4371" w:type="dxa"/>
            <w:vMerge/>
            <w:shd w:val="clear" w:color="auto" w:fill="auto"/>
            <w:tcMar>
              <w:right w:w="57" w:type="dxa"/>
            </w:tcMar>
            <w:vAlign w:val="center"/>
          </w:tcPr>
          <w:p w:rsidR="00013EC7" w:rsidRDefault="00013EC7">
            <w:pPr>
              <w:spacing w:line="310" w:lineRule="exact"/>
              <w:jc w:val="left"/>
              <w:rPr>
                <w:rFonts w:ascii="仿宋" w:eastAsia="仿宋" w:hAnsi="仿宋" w:cs="仿宋"/>
                <w:sz w:val="24"/>
              </w:rPr>
            </w:pPr>
          </w:p>
        </w:tc>
        <w:tc>
          <w:tcPr>
            <w:tcW w:w="2646" w:type="dxa"/>
            <w:tcBorders>
              <w:top w:val="single" w:sz="4" w:space="0" w:color="auto"/>
            </w:tcBorders>
            <w:shd w:val="clear" w:color="auto" w:fill="FFFFFF"/>
            <w:tcMar>
              <w:right w:w="57" w:type="dxa"/>
            </w:tcMar>
            <w:vAlign w:val="center"/>
          </w:tcPr>
          <w:p w:rsidR="00013EC7" w:rsidRDefault="00575CDB">
            <w:pPr>
              <w:widowControl/>
              <w:spacing w:line="300" w:lineRule="exact"/>
              <w:jc w:val="left"/>
              <w:rPr>
                <w:rFonts w:ascii="仿宋" w:eastAsia="仿宋" w:hAnsi="仿宋" w:cs="仿宋"/>
                <w:kern w:val="1"/>
                <w:sz w:val="24"/>
              </w:rPr>
            </w:pPr>
            <w:r>
              <w:rPr>
                <w:rFonts w:ascii="仿宋" w:eastAsia="仿宋" w:hAnsi="仿宋" w:cs="宋体" w:hint="eastAsia"/>
                <w:sz w:val="24"/>
                <w:highlight w:val="lightGray"/>
              </w:rPr>
              <w:t>（七）</w:t>
            </w:r>
            <w:r>
              <w:rPr>
                <w:rFonts w:ascii="仿宋" w:eastAsia="仿宋" w:hAnsi="仿宋" w:cs="仿宋" w:hint="eastAsia"/>
                <w:sz w:val="24"/>
                <w:highlight w:val="lightGray"/>
              </w:rPr>
              <w:t>有关部门批准该项目文件复印件。</w:t>
            </w:r>
          </w:p>
        </w:tc>
        <w:tc>
          <w:tcPr>
            <w:tcW w:w="2368" w:type="dxa"/>
            <w:tcBorders>
              <w:top w:val="single" w:sz="4" w:space="0" w:color="auto"/>
            </w:tcBorders>
            <w:shd w:val="clear" w:color="auto" w:fill="FFFFFF"/>
            <w:tcMar>
              <w:right w:w="57" w:type="dxa"/>
            </w:tcMar>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kern w:val="1"/>
                <w:sz w:val="24"/>
              </w:rPr>
              <w:t>国家重点扶持的公共基础设施项目投资经营</w:t>
            </w:r>
            <w:r>
              <w:rPr>
                <w:rFonts w:ascii="仿宋" w:eastAsia="仿宋" w:hAnsi="仿宋" w:cs="仿宋" w:hint="eastAsia"/>
                <w:sz w:val="24"/>
              </w:rPr>
              <w:t>纳税人提交</w:t>
            </w:r>
          </w:p>
        </w:tc>
        <w:tc>
          <w:tcPr>
            <w:tcW w:w="2358" w:type="dxa"/>
            <w:shd w:val="clear" w:color="auto" w:fill="FFFFFF"/>
            <w:tcMar>
              <w:right w:w="57" w:type="dxa"/>
            </w:tcMar>
            <w:vAlign w:val="center"/>
          </w:tcPr>
          <w:p w:rsidR="00013EC7" w:rsidRDefault="00013EC7">
            <w:pPr>
              <w:widowControl/>
              <w:spacing w:line="300" w:lineRule="exact"/>
              <w:jc w:val="left"/>
              <w:rPr>
                <w:rFonts w:ascii="仿宋" w:eastAsia="仿宋" w:hAnsi="仿宋" w:cs="仿宋"/>
                <w:kern w:val="1"/>
                <w:sz w:val="24"/>
              </w:rPr>
            </w:pPr>
          </w:p>
        </w:tc>
        <w:tc>
          <w:tcPr>
            <w:tcW w:w="2550" w:type="dxa"/>
            <w:shd w:val="clear" w:color="auto" w:fill="FFFFFF"/>
            <w:tcMar>
              <w:right w:w="57" w:type="dxa"/>
            </w:tcMar>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b/>
                <w:bCs/>
                <w:i/>
                <w:iCs/>
                <w:kern w:val="1"/>
                <w:sz w:val="24"/>
              </w:rPr>
              <w:t>取消</w:t>
            </w:r>
          </w:p>
        </w:tc>
        <w:tc>
          <w:tcPr>
            <w:tcW w:w="2132" w:type="dxa"/>
            <w:vMerge/>
            <w:shd w:val="clear" w:color="auto" w:fill="FFFFFF"/>
            <w:tcMar>
              <w:right w:w="57" w:type="dxa"/>
            </w:tcMar>
            <w:vAlign w:val="center"/>
          </w:tcPr>
          <w:p w:rsidR="00013EC7" w:rsidRDefault="00013EC7">
            <w:pPr>
              <w:widowControl/>
              <w:spacing w:line="300" w:lineRule="exact"/>
              <w:jc w:val="left"/>
              <w:rPr>
                <w:rFonts w:ascii="仿宋" w:eastAsia="仿宋" w:hAnsi="仿宋" w:cs="仿宋"/>
                <w:b/>
                <w:color w:val="7030A0"/>
                <w:sz w:val="24"/>
              </w:rPr>
            </w:pPr>
          </w:p>
        </w:tc>
        <w:tc>
          <w:tcPr>
            <w:tcW w:w="700" w:type="dxa"/>
            <w:vMerge/>
            <w:shd w:val="clear" w:color="auto" w:fill="auto"/>
            <w:tcMar>
              <w:right w:w="57" w:type="dxa"/>
            </w:tcMar>
            <w:vAlign w:val="center"/>
          </w:tcPr>
          <w:p w:rsidR="00013EC7" w:rsidRDefault="00013EC7">
            <w:pPr>
              <w:spacing w:line="300" w:lineRule="exact"/>
              <w:jc w:val="left"/>
              <w:rPr>
                <w:rFonts w:ascii="仿宋_GB2312" w:eastAsia="仿宋_GB2312" w:hAnsi="仿宋" w:cs="仿宋"/>
                <w:sz w:val="24"/>
              </w:rPr>
            </w:pPr>
          </w:p>
        </w:tc>
        <w:tc>
          <w:tcPr>
            <w:tcW w:w="675" w:type="dxa"/>
            <w:vMerge/>
            <w:shd w:val="clear" w:color="auto" w:fill="auto"/>
            <w:tcMar>
              <w:right w:w="57" w:type="dxa"/>
            </w:tcMar>
            <w:vAlign w:val="center"/>
          </w:tcPr>
          <w:p w:rsidR="00013EC7" w:rsidRDefault="00013EC7">
            <w:pPr>
              <w:spacing w:line="300" w:lineRule="exact"/>
              <w:jc w:val="left"/>
              <w:rPr>
                <w:rFonts w:ascii="仿宋_GB2312" w:eastAsia="仿宋_GB2312" w:hAnsi="仿宋" w:cs="仿宋"/>
                <w:sz w:val="24"/>
              </w:rPr>
            </w:pPr>
          </w:p>
        </w:tc>
        <w:tc>
          <w:tcPr>
            <w:tcW w:w="700" w:type="dxa"/>
            <w:vMerge/>
            <w:shd w:val="clear" w:color="auto" w:fill="FFFFFF"/>
            <w:tcMar>
              <w:right w:w="57" w:type="dxa"/>
            </w:tcMar>
            <w:vAlign w:val="center"/>
          </w:tcPr>
          <w:p w:rsidR="00013EC7" w:rsidRDefault="00013EC7">
            <w:pPr>
              <w:spacing w:line="300" w:lineRule="exact"/>
              <w:jc w:val="left"/>
              <w:rPr>
                <w:rFonts w:ascii="仿宋_GB2312" w:eastAsia="仿宋_GB2312" w:hAnsi="仿宋" w:cs="仿宋"/>
                <w:sz w:val="24"/>
              </w:rPr>
            </w:pPr>
          </w:p>
        </w:tc>
        <w:tc>
          <w:tcPr>
            <w:tcW w:w="775" w:type="dxa"/>
            <w:vMerge/>
            <w:tcMar>
              <w:right w:w="57" w:type="dxa"/>
            </w:tcMar>
            <w:vAlign w:val="center"/>
          </w:tcPr>
          <w:p w:rsidR="00013EC7" w:rsidRDefault="00013EC7">
            <w:pPr>
              <w:spacing w:line="300" w:lineRule="exact"/>
              <w:jc w:val="left"/>
              <w:rPr>
                <w:rFonts w:ascii="仿宋_GB2312" w:eastAsia="仿宋_GB2312" w:hAnsi="仿宋" w:cs="仿宋"/>
                <w:sz w:val="24"/>
              </w:rPr>
            </w:pPr>
          </w:p>
        </w:tc>
        <w:tc>
          <w:tcPr>
            <w:tcW w:w="1157" w:type="dxa"/>
            <w:vMerge/>
            <w:tcMar>
              <w:right w:w="57" w:type="dxa"/>
            </w:tcMar>
            <w:vAlign w:val="center"/>
          </w:tcPr>
          <w:p w:rsidR="00013EC7" w:rsidRDefault="00013EC7">
            <w:pPr>
              <w:spacing w:line="300" w:lineRule="exact"/>
              <w:jc w:val="left"/>
              <w:rPr>
                <w:rFonts w:ascii="仿宋_GB2312" w:eastAsia="仿宋_GB2312" w:hAnsi="仿宋" w:cs="仿宋"/>
                <w:sz w:val="24"/>
              </w:rPr>
            </w:pPr>
          </w:p>
        </w:tc>
      </w:tr>
      <w:tr w:rsidR="00013EC7">
        <w:trPr>
          <w:trHeight w:val="3738"/>
          <w:jc w:val="center"/>
        </w:trPr>
        <w:tc>
          <w:tcPr>
            <w:tcW w:w="609" w:type="dxa"/>
            <w:vMerge/>
            <w:shd w:val="clear" w:color="auto" w:fill="auto"/>
            <w:tcMar>
              <w:right w:w="57" w:type="dxa"/>
            </w:tcMar>
            <w:vAlign w:val="center"/>
          </w:tcPr>
          <w:p w:rsidR="00013EC7" w:rsidRDefault="00013EC7">
            <w:pPr>
              <w:spacing w:line="300" w:lineRule="exact"/>
              <w:jc w:val="left"/>
              <w:rPr>
                <w:rFonts w:ascii="仿宋" w:eastAsia="仿宋" w:hAnsi="仿宋" w:cs="仿宋"/>
                <w:sz w:val="24"/>
              </w:rPr>
            </w:pPr>
          </w:p>
        </w:tc>
        <w:tc>
          <w:tcPr>
            <w:tcW w:w="625" w:type="dxa"/>
            <w:vMerge/>
            <w:shd w:val="clear" w:color="auto" w:fill="auto"/>
            <w:tcMar>
              <w:right w:w="57" w:type="dxa"/>
            </w:tcMar>
            <w:vAlign w:val="center"/>
          </w:tcPr>
          <w:p w:rsidR="00013EC7" w:rsidRDefault="00013EC7">
            <w:pPr>
              <w:spacing w:line="310" w:lineRule="exact"/>
              <w:jc w:val="left"/>
              <w:rPr>
                <w:rFonts w:ascii="仿宋" w:eastAsia="仿宋" w:hAnsi="仿宋" w:cs="仿宋"/>
                <w:sz w:val="24"/>
              </w:rPr>
            </w:pPr>
          </w:p>
        </w:tc>
        <w:tc>
          <w:tcPr>
            <w:tcW w:w="4371" w:type="dxa"/>
            <w:vMerge/>
            <w:shd w:val="clear" w:color="auto" w:fill="auto"/>
            <w:tcMar>
              <w:right w:w="57" w:type="dxa"/>
            </w:tcMar>
            <w:vAlign w:val="center"/>
          </w:tcPr>
          <w:p w:rsidR="00013EC7" w:rsidRDefault="00013EC7">
            <w:pPr>
              <w:spacing w:line="310" w:lineRule="exact"/>
              <w:jc w:val="left"/>
              <w:rPr>
                <w:rFonts w:ascii="仿宋" w:eastAsia="仿宋" w:hAnsi="仿宋" w:cs="仿宋"/>
                <w:sz w:val="24"/>
              </w:rPr>
            </w:pPr>
          </w:p>
        </w:tc>
        <w:tc>
          <w:tcPr>
            <w:tcW w:w="2646" w:type="dxa"/>
            <w:tcBorders>
              <w:top w:val="single" w:sz="4" w:space="0" w:color="auto"/>
            </w:tcBorders>
            <w:shd w:val="clear" w:color="auto" w:fill="FFFFFF"/>
            <w:tcMar>
              <w:right w:w="57" w:type="dxa"/>
            </w:tcMar>
            <w:vAlign w:val="center"/>
          </w:tcPr>
          <w:p w:rsidR="00013EC7" w:rsidRDefault="00575CDB">
            <w:pPr>
              <w:widowControl/>
              <w:spacing w:line="300" w:lineRule="exact"/>
              <w:jc w:val="left"/>
              <w:rPr>
                <w:rFonts w:ascii="仿宋" w:eastAsia="仿宋" w:hAnsi="仿宋" w:cs="仿宋"/>
                <w:kern w:val="1"/>
                <w:sz w:val="24"/>
              </w:rPr>
            </w:pPr>
            <w:r>
              <w:rPr>
                <w:rFonts w:ascii="仿宋" w:eastAsia="仿宋" w:hAnsi="仿宋" w:cs="仿宋" w:hint="eastAsia"/>
                <w:sz w:val="24"/>
              </w:rPr>
              <w:t>（八）所转让技术产权证明。</w:t>
            </w:r>
          </w:p>
        </w:tc>
        <w:tc>
          <w:tcPr>
            <w:tcW w:w="2368" w:type="dxa"/>
            <w:tcBorders>
              <w:top w:val="single" w:sz="4" w:space="0" w:color="auto"/>
            </w:tcBorders>
            <w:shd w:val="clear" w:color="auto" w:fill="FFFFFF"/>
            <w:tcMar>
              <w:right w:w="57" w:type="dxa"/>
            </w:tcMar>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kern w:val="1"/>
                <w:sz w:val="24"/>
              </w:rPr>
              <w:t>技术转让</w:t>
            </w:r>
            <w:r>
              <w:rPr>
                <w:rFonts w:ascii="仿宋" w:eastAsia="仿宋" w:hAnsi="仿宋" w:cs="仿宋" w:hint="eastAsia"/>
                <w:sz w:val="24"/>
              </w:rPr>
              <w:t>纳税人提交</w:t>
            </w:r>
          </w:p>
        </w:tc>
        <w:tc>
          <w:tcPr>
            <w:tcW w:w="2358" w:type="dxa"/>
            <w:shd w:val="clear" w:color="auto" w:fill="FFFFFF"/>
            <w:tcMar>
              <w:right w:w="57" w:type="dxa"/>
            </w:tcMar>
            <w:vAlign w:val="center"/>
          </w:tcPr>
          <w:p w:rsidR="00013EC7" w:rsidRDefault="00575CDB">
            <w:pPr>
              <w:widowControl/>
              <w:spacing w:line="300" w:lineRule="exact"/>
              <w:jc w:val="left"/>
              <w:rPr>
                <w:rFonts w:ascii="仿宋" w:eastAsia="仿宋" w:hAnsi="仿宋" w:cs="仿宋"/>
                <w:kern w:val="1"/>
                <w:sz w:val="24"/>
              </w:rPr>
            </w:pPr>
            <w:r>
              <w:rPr>
                <w:rFonts w:ascii="仿宋" w:eastAsia="仿宋" w:hAnsi="仿宋" w:cs="仿宋" w:hint="eastAsia"/>
                <w:kern w:val="1"/>
                <w:sz w:val="24"/>
              </w:rPr>
              <w:t>（七）</w:t>
            </w:r>
            <w:r>
              <w:rPr>
                <w:rFonts w:ascii="仿宋" w:eastAsia="仿宋" w:hAnsi="仿宋" w:cs="仿宋" w:hint="eastAsia"/>
                <w:sz w:val="24"/>
              </w:rPr>
              <w:t>所转让技术产权证明复印件（注明与原件一致，并加盖公章）。</w:t>
            </w:r>
          </w:p>
        </w:tc>
        <w:tc>
          <w:tcPr>
            <w:tcW w:w="2550" w:type="dxa"/>
            <w:shd w:val="clear" w:color="auto" w:fill="FFFFFF"/>
            <w:tcMar>
              <w:right w:w="57" w:type="dxa"/>
            </w:tcMar>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kern w:val="1"/>
                <w:sz w:val="24"/>
              </w:rPr>
              <w:t>技术转让的</w:t>
            </w:r>
            <w:r>
              <w:rPr>
                <w:rFonts w:ascii="仿宋" w:eastAsia="仿宋" w:hAnsi="仿宋" w:cs="仿宋" w:hint="eastAsia"/>
                <w:sz w:val="24"/>
              </w:rPr>
              <w:t>纳税人提交</w:t>
            </w:r>
          </w:p>
        </w:tc>
        <w:tc>
          <w:tcPr>
            <w:tcW w:w="2132" w:type="dxa"/>
            <w:vMerge/>
            <w:shd w:val="clear" w:color="auto" w:fill="FFFFFF"/>
            <w:tcMar>
              <w:right w:w="57" w:type="dxa"/>
            </w:tcMar>
            <w:vAlign w:val="center"/>
          </w:tcPr>
          <w:p w:rsidR="00013EC7" w:rsidRDefault="00013EC7">
            <w:pPr>
              <w:widowControl/>
              <w:spacing w:line="300" w:lineRule="exact"/>
              <w:jc w:val="left"/>
              <w:rPr>
                <w:rFonts w:ascii="仿宋" w:eastAsia="仿宋" w:hAnsi="仿宋" w:cs="仿宋"/>
                <w:b/>
                <w:color w:val="7030A0"/>
                <w:sz w:val="24"/>
              </w:rPr>
            </w:pPr>
          </w:p>
        </w:tc>
        <w:tc>
          <w:tcPr>
            <w:tcW w:w="700" w:type="dxa"/>
            <w:vMerge/>
            <w:shd w:val="clear" w:color="auto" w:fill="auto"/>
            <w:tcMar>
              <w:right w:w="57" w:type="dxa"/>
            </w:tcMar>
            <w:vAlign w:val="center"/>
          </w:tcPr>
          <w:p w:rsidR="00013EC7" w:rsidRDefault="00013EC7">
            <w:pPr>
              <w:spacing w:line="300" w:lineRule="exact"/>
              <w:jc w:val="left"/>
              <w:rPr>
                <w:rFonts w:ascii="仿宋_GB2312" w:eastAsia="仿宋_GB2312" w:hAnsi="仿宋" w:cs="仿宋"/>
                <w:sz w:val="24"/>
              </w:rPr>
            </w:pPr>
          </w:p>
        </w:tc>
        <w:tc>
          <w:tcPr>
            <w:tcW w:w="675" w:type="dxa"/>
            <w:vMerge/>
            <w:shd w:val="clear" w:color="auto" w:fill="auto"/>
            <w:tcMar>
              <w:right w:w="57" w:type="dxa"/>
            </w:tcMar>
            <w:vAlign w:val="center"/>
          </w:tcPr>
          <w:p w:rsidR="00013EC7" w:rsidRDefault="00013EC7">
            <w:pPr>
              <w:spacing w:line="300" w:lineRule="exact"/>
              <w:jc w:val="left"/>
              <w:rPr>
                <w:rFonts w:ascii="仿宋_GB2312" w:eastAsia="仿宋_GB2312" w:hAnsi="仿宋" w:cs="仿宋"/>
                <w:sz w:val="24"/>
              </w:rPr>
            </w:pPr>
          </w:p>
        </w:tc>
        <w:tc>
          <w:tcPr>
            <w:tcW w:w="700" w:type="dxa"/>
            <w:vMerge/>
            <w:shd w:val="clear" w:color="auto" w:fill="FFFFFF"/>
            <w:tcMar>
              <w:right w:w="57" w:type="dxa"/>
            </w:tcMar>
            <w:vAlign w:val="center"/>
          </w:tcPr>
          <w:p w:rsidR="00013EC7" w:rsidRDefault="00013EC7">
            <w:pPr>
              <w:spacing w:line="300" w:lineRule="exact"/>
              <w:jc w:val="left"/>
              <w:rPr>
                <w:rFonts w:ascii="仿宋_GB2312" w:eastAsia="仿宋_GB2312" w:hAnsi="仿宋" w:cs="仿宋"/>
                <w:sz w:val="24"/>
              </w:rPr>
            </w:pPr>
          </w:p>
        </w:tc>
        <w:tc>
          <w:tcPr>
            <w:tcW w:w="775" w:type="dxa"/>
            <w:vMerge/>
            <w:tcMar>
              <w:right w:w="57" w:type="dxa"/>
            </w:tcMar>
            <w:vAlign w:val="center"/>
          </w:tcPr>
          <w:p w:rsidR="00013EC7" w:rsidRDefault="00013EC7">
            <w:pPr>
              <w:spacing w:line="300" w:lineRule="exact"/>
              <w:jc w:val="left"/>
              <w:rPr>
                <w:rFonts w:ascii="仿宋_GB2312" w:eastAsia="仿宋_GB2312" w:hAnsi="仿宋" w:cs="仿宋"/>
                <w:sz w:val="24"/>
              </w:rPr>
            </w:pPr>
          </w:p>
        </w:tc>
        <w:tc>
          <w:tcPr>
            <w:tcW w:w="1157" w:type="dxa"/>
            <w:vMerge/>
            <w:tcMar>
              <w:right w:w="57" w:type="dxa"/>
            </w:tcMar>
            <w:vAlign w:val="center"/>
          </w:tcPr>
          <w:p w:rsidR="00013EC7" w:rsidRDefault="00013EC7">
            <w:pPr>
              <w:spacing w:line="300" w:lineRule="exact"/>
              <w:jc w:val="left"/>
              <w:rPr>
                <w:rFonts w:ascii="仿宋_GB2312" w:eastAsia="仿宋_GB2312" w:hAnsi="仿宋" w:cs="仿宋"/>
                <w:sz w:val="24"/>
              </w:rPr>
            </w:pPr>
          </w:p>
        </w:tc>
      </w:tr>
      <w:tr w:rsidR="00013EC7">
        <w:trPr>
          <w:trHeight w:val="3738"/>
          <w:jc w:val="center"/>
        </w:trPr>
        <w:tc>
          <w:tcPr>
            <w:tcW w:w="609" w:type="dxa"/>
            <w:vMerge/>
            <w:shd w:val="clear" w:color="auto" w:fill="auto"/>
            <w:tcMar>
              <w:right w:w="57" w:type="dxa"/>
            </w:tcMar>
            <w:vAlign w:val="center"/>
          </w:tcPr>
          <w:p w:rsidR="00013EC7" w:rsidRDefault="00013EC7">
            <w:pPr>
              <w:spacing w:line="300" w:lineRule="exact"/>
              <w:jc w:val="left"/>
              <w:rPr>
                <w:rFonts w:ascii="仿宋" w:eastAsia="仿宋" w:hAnsi="仿宋" w:cs="仿宋"/>
                <w:sz w:val="24"/>
              </w:rPr>
            </w:pPr>
          </w:p>
        </w:tc>
        <w:tc>
          <w:tcPr>
            <w:tcW w:w="625" w:type="dxa"/>
            <w:vMerge/>
            <w:shd w:val="clear" w:color="auto" w:fill="auto"/>
            <w:tcMar>
              <w:right w:w="57" w:type="dxa"/>
            </w:tcMar>
            <w:vAlign w:val="center"/>
          </w:tcPr>
          <w:p w:rsidR="00013EC7" w:rsidRDefault="00013EC7">
            <w:pPr>
              <w:spacing w:line="310" w:lineRule="exact"/>
              <w:jc w:val="left"/>
              <w:rPr>
                <w:rFonts w:ascii="仿宋" w:eastAsia="仿宋" w:hAnsi="仿宋" w:cs="仿宋"/>
                <w:sz w:val="24"/>
              </w:rPr>
            </w:pPr>
          </w:p>
        </w:tc>
        <w:tc>
          <w:tcPr>
            <w:tcW w:w="4371" w:type="dxa"/>
            <w:vMerge/>
            <w:shd w:val="clear" w:color="auto" w:fill="auto"/>
            <w:tcMar>
              <w:right w:w="57" w:type="dxa"/>
            </w:tcMar>
            <w:vAlign w:val="center"/>
          </w:tcPr>
          <w:p w:rsidR="00013EC7" w:rsidRDefault="00013EC7">
            <w:pPr>
              <w:spacing w:line="310" w:lineRule="exact"/>
              <w:jc w:val="left"/>
              <w:rPr>
                <w:rFonts w:ascii="仿宋" w:eastAsia="仿宋" w:hAnsi="仿宋" w:cs="仿宋"/>
                <w:sz w:val="24"/>
              </w:rPr>
            </w:pPr>
          </w:p>
        </w:tc>
        <w:tc>
          <w:tcPr>
            <w:tcW w:w="2646" w:type="dxa"/>
            <w:tcBorders>
              <w:top w:val="single" w:sz="4" w:space="0" w:color="auto"/>
            </w:tcBorders>
            <w:shd w:val="clear" w:color="auto" w:fill="FFFFFF"/>
            <w:tcMar>
              <w:right w:w="57" w:type="dxa"/>
            </w:tcMar>
            <w:vAlign w:val="center"/>
          </w:tcPr>
          <w:p w:rsidR="00013EC7" w:rsidRDefault="00575CDB">
            <w:pPr>
              <w:widowControl/>
              <w:spacing w:line="300" w:lineRule="exact"/>
              <w:jc w:val="left"/>
              <w:rPr>
                <w:rFonts w:ascii="仿宋" w:eastAsia="仿宋" w:hAnsi="仿宋" w:cs="仿宋"/>
                <w:kern w:val="1"/>
                <w:sz w:val="24"/>
              </w:rPr>
            </w:pPr>
            <w:r>
              <w:rPr>
                <w:rFonts w:ascii="仿宋" w:eastAsia="仿宋" w:hAnsi="仿宋" w:cs="仿宋" w:hint="eastAsia"/>
                <w:kern w:val="1"/>
                <w:sz w:val="24"/>
              </w:rPr>
              <w:t>（九）</w:t>
            </w:r>
            <w:r>
              <w:rPr>
                <w:rFonts w:ascii="仿宋" w:eastAsia="仿宋" w:hAnsi="仿宋" w:cs="仿宋" w:hint="eastAsia"/>
                <w:sz w:val="24"/>
              </w:rPr>
              <w:t>清洁发展机制项目立项有关文件复印件。</w:t>
            </w:r>
          </w:p>
        </w:tc>
        <w:tc>
          <w:tcPr>
            <w:tcW w:w="2368" w:type="dxa"/>
            <w:tcBorders>
              <w:top w:val="single" w:sz="4" w:space="0" w:color="auto"/>
            </w:tcBorders>
            <w:shd w:val="clear" w:color="auto" w:fill="FFFFFF"/>
            <w:tcMar>
              <w:right w:w="57" w:type="dxa"/>
            </w:tcMar>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kern w:val="1"/>
                <w:sz w:val="24"/>
              </w:rPr>
              <w:t>实施清洁发展机制项目的</w:t>
            </w:r>
            <w:r>
              <w:rPr>
                <w:rFonts w:ascii="仿宋" w:eastAsia="仿宋" w:hAnsi="仿宋" w:cs="仿宋" w:hint="eastAsia"/>
                <w:sz w:val="24"/>
              </w:rPr>
              <w:t>纳税人提交</w:t>
            </w:r>
          </w:p>
        </w:tc>
        <w:tc>
          <w:tcPr>
            <w:tcW w:w="2358" w:type="dxa"/>
            <w:shd w:val="clear" w:color="auto" w:fill="FFFFFF"/>
            <w:tcMar>
              <w:right w:w="57" w:type="dxa"/>
            </w:tcMar>
            <w:vAlign w:val="center"/>
          </w:tcPr>
          <w:p w:rsidR="00013EC7" w:rsidRDefault="00575CDB">
            <w:pPr>
              <w:widowControl/>
              <w:spacing w:line="300" w:lineRule="exact"/>
              <w:jc w:val="left"/>
              <w:rPr>
                <w:rFonts w:ascii="仿宋" w:eastAsia="仿宋" w:hAnsi="仿宋" w:cs="仿宋"/>
                <w:kern w:val="1"/>
                <w:sz w:val="24"/>
              </w:rPr>
            </w:pPr>
            <w:r>
              <w:rPr>
                <w:rFonts w:ascii="仿宋" w:eastAsia="仿宋" w:hAnsi="仿宋" w:cs="仿宋" w:hint="eastAsia"/>
                <w:kern w:val="1"/>
                <w:sz w:val="24"/>
              </w:rPr>
              <w:t>（八）</w:t>
            </w:r>
            <w:r>
              <w:rPr>
                <w:rFonts w:ascii="仿宋" w:eastAsia="仿宋" w:hAnsi="仿宋" w:cs="仿宋" w:hint="eastAsia"/>
                <w:sz w:val="24"/>
              </w:rPr>
              <w:t>清洁发展机制项目立项有关文件复印件（注明与原件一致，并加盖公章）。</w:t>
            </w:r>
          </w:p>
        </w:tc>
        <w:tc>
          <w:tcPr>
            <w:tcW w:w="2550" w:type="dxa"/>
            <w:shd w:val="clear" w:color="auto" w:fill="FFFFFF"/>
            <w:tcMar>
              <w:right w:w="57" w:type="dxa"/>
            </w:tcMar>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kern w:val="1"/>
                <w:sz w:val="24"/>
              </w:rPr>
              <w:t>实施清洁发展机制项目的</w:t>
            </w:r>
            <w:r>
              <w:rPr>
                <w:rFonts w:ascii="仿宋" w:eastAsia="仿宋" w:hAnsi="仿宋" w:cs="仿宋" w:hint="eastAsia"/>
                <w:sz w:val="24"/>
              </w:rPr>
              <w:t>纳税人提交</w:t>
            </w:r>
          </w:p>
        </w:tc>
        <w:tc>
          <w:tcPr>
            <w:tcW w:w="2132" w:type="dxa"/>
            <w:vMerge/>
            <w:shd w:val="clear" w:color="auto" w:fill="FFFFFF"/>
            <w:tcMar>
              <w:right w:w="57" w:type="dxa"/>
            </w:tcMar>
            <w:vAlign w:val="center"/>
          </w:tcPr>
          <w:p w:rsidR="00013EC7" w:rsidRDefault="00013EC7">
            <w:pPr>
              <w:widowControl/>
              <w:spacing w:line="300" w:lineRule="exact"/>
              <w:jc w:val="left"/>
              <w:rPr>
                <w:rFonts w:ascii="仿宋" w:eastAsia="仿宋" w:hAnsi="仿宋" w:cs="仿宋"/>
                <w:b/>
                <w:color w:val="7030A0"/>
                <w:sz w:val="24"/>
              </w:rPr>
            </w:pPr>
          </w:p>
        </w:tc>
        <w:tc>
          <w:tcPr>
            <w:tcW w:w="700" w:type="dxa"/>
            <w:vMerge/>
            <w:shd w:val="clear" w:color="auto" w:fill="auto"/>
            <w:tcMar>
              <w:right w:w="57" w:type="dxa"/>
            </w:tcMar>
            <w:vAlign w:val="center"/>
          </w:tcPr>
          <w:p w:rsidR="00013EC7" w:rsidRDefault="00013EC7">
            <w:pPr>
              <w:spacing w:line="300" w:lineRule="exact"/>
              <w:jc w:val="left"/>
              <w:rPr>
                <w:rFonts w:ascii="仿宋_GB2312" w:eastAsia="仿宋_GB2312" w:hAnsi="仿宋" w:cs="仿宋"/>
                <w:sz w:val="24"/>
              </w:rPr>
            </w:pPr>
          </w:p>
        </w:tc>
        <w:tc>
          <w:tcPr>
            <w:tcW w:w="675" w:type="dxa"/>
            <w:vMerge/>
            <w:shd w:val="clear" w:color="auto" w:fill="auto"/>
            <w:tcMar>
              <w:right w:w="57" w:type="dxa"/>
            </w:tcMar>
            <w:vAlign w:val="center"/>
          </w:tcPr>
          <w:p w:rsidR="00013EC7" w:rsidRDefault="00013EC7">
            <w:pPr>
              <w:spacing w:line="300" w:lineRule="exact"/>
              <w:jc w:val="left"/>
              <w:rPr>
                <w:rFonts w:ascii="仿宋_GB2312" w:eastAsia="仿宋_GB2312" w:hAnsi="仿宋" w:cs="仿宋"/>
                <w:sz w:val="24"/>
              </w:rPr>
            </w:pPr>
          </w:p>
        </w:tc>
        <w:tc>
          <w:tcPr>
            <w:tcW w:w="700" w:type="dxa"/>
            <w:vMerge/>
            <w:shd w:val="clear" w:color="auto" w:fill="FFFFFF"/>
            <w:tcMar>
              <w:right w:w="57" w:type="dxa"/>
            </w:tcMar>
            <w:vAlign w:val="center"/>
          </w:tcPr>
          <w:p w:rsidR="00013EC7" w:rsidRDefault="00013EC7">
            <w:pPr>
              <w:spacing w:line="300" w:lineRule="exact"/>
              <w:jc w:val="left"/>
              <w:rPr>
                <w:rFonts w:ascii="仿宋_GB2312" w:eastAsia="仿宋_GB2312" w:hAnsi="仿宋" w:cs="仿宋"/>
                <w:sz w:val="24"/>
              </w:rPr>
            </w:pPr>
          </w:p>
        </w:tc>
        <w:tc>
          <w:tcPr>
            <w:tcW w:w="775" w:type="dxa"/>
            <w:vMerge/>
            <w:tcMar>
              <w:right w:w="57" w:type="dxa"/>
            </w:tcMar>
            <w:vAlign w:val="center"/>
          </w:tcPr>
          <w:p w:rsidR="00013EC7" w:rsidRDefault="00013EC7">
            <w:pPr>
              <w:spacing w:line="300" w:lineRule="exact"/>
              <w:jc w:val="left"/>
              <w:rPr>
                <w:rFonts w:ascii="仿宋_GB2312" w:eastAsia="仿宋_GB2312" w:hAnsi="仿宋" w:cs="仿宋"/>
                <w:sz w:val="24"/>
              </w:rPr>
            </w:pPr>
          </w:p>
        </w:tc>
        <w:tc>
          <w:tcPr>
            <w:tcW w:w="1157" w:type="dxa"/>
            <w:vMerge/>
            <w:tcMar>
              <w:right w:w="57" w:type="dxa"/>
            </w:tcMar>
            <w:vAlign w:val="center"/>
          </w:tcPr>
          <w:p w:rsidR="00013EC7" w:rsidRDefault="00013EC7">
            <w:pPr>
              <w:spacing w:line="300" w:lineRule="exact"/>
              <w:jc w:val="left"/>
              <w:rPr>
                <w:rFonts w:ascii="仿宋_GB2312" w:eastAsia="仿宋_GB2312" w:hAnsi="仿宋" w:cs="仿宋"/>
                <w:sz w:val="24"/>
              </w:rPr>
            </w:pPr>
          </w:p>
        </w:tc>
      </w:tr>
      <w:tr w:rsidR="00013EC7">
        <w:trPr>
          <w:trHeight w:val="3211"/>
          <w:jc w:val="center"/>
        </w:trPr>
        <w:tc>
          <w:tcPr>
            <w:tcW w:w="609" w:type="dxa"/>
            <w:vMerge/>
            <w:shd w:val="clear" w:color="auto" w:fill="auto"/>
            <w:tcMar>
              <w:right w:w="57" w:type="dxa"/>
            </w:tcMar>
            <w:vAlign w:val="center"/>
          </w:tcPr>
          <w:p w:rsidR="00013EC7" w:rsidRDefault="00013EC7">
            <w:pPr>
              <w:spacing w:line="300" w:lineRule="exact"/>
              <w:jc w:val="left"/>
              <w:rPr>
                <w:rFonts w:ascii="仿宋" w:eastAsia="仿宋" w:hAnsi="仿宋" w:cs="仿宋"/>
                <w:sz w:val="24"/>
              </w:rPr>
            </w:pPr>
          </w:p>
        </w:tc>
        <w:tc>
          <w:tcPr>
            <w:tcW w:w="625" w:type="dxa"/>
            <w:vMerge/>
            <w:shd w:val="clear" w:color="auto" w:fill="auto"/>
            <w:tcMar>
              <w:right w:w="57" w:type="dxa"/>
            </w:tcMar>
            <w:vAlign w:val="center"/>
          </w:tcPr>
          <w:p w:rsidR="00013EC7" w:rsidRDefault="00013EC7">
            <w:pPr>
              <w:spacing w:line="310" w:lineRule="exact"/>
              <w:jc w:val="left"/>
              <w:rPr>
                <w:rFonts w:ascii="仿宋" w:eastAsia="仿宋" w:hAnsi="仿宋" w:cs="仿宋"/>
                <w:sz w:val="24"/>
              </w:rPr>
            </w:pPr>
          </w:p>
        </w:tc>
        <w:tc>
          <w:tcPr>
            <w:tcW w:w="4371" w:type="dxa"/>
            <w:vMerge/>
            <w:shd w:val="clear" w:color="auto" w:fill="auto"/>
            <w:tcMar>
              <w:right w:w="57" w:type="dxa"/>
            </w:tcMar>
            <w:vAlign w:val="center"/>
          </w:tcPr>
          <w:p w:rsidR="00013EC7" w:rsidRDefault="00013EC7">
            <w:pPr>
              <w:spacing w:line="310" w:lineRule="exact"/>
              <w:jc w:val="left"/>
              <w:rPr>
                <w:rFonts w:ascii="仿宋" w:eastAsia="仿宋" w:hAnsi="仿宋" w:cs="仿宋"/>
                <w:sz w:val="24"/>
              </w:rPr>
            </w:pPr>
          </w:p>
        </w:tc>
        <w:tc>
          <w:tcPr>
            <w:tcW w:w="2646" w:type="dxa"/>
            <w:tcBorders>
              <w:top w:val="single" w:sz="4" w:space="0" w:color="auto"/>
            </w:tcBorders>
            <w:shd w:val="clear" w:color="auto" w:fill="FFFFFF"/>
            <w:tcMar>
              <w:right w:w="57" w:type="dxa"/>
            </w:tcMar>
            <w:vAlign w:val="center"/>
          </w:tcPr>
          <w:p w:rsidR="00013EC7" w:rsidRDefault="00575CDB">
            <w:pPr>
              <w:widowControl/>
              <w:spacing w:line="300" w:lineRule="exact"/>
              <w:jc w:val="left"/>
              <w:rPr>
                <w:rFonts w:ascii="仿宋" w:eastAsia="仿宋" w:hAnsi="仿宋" w:cs="仿宋"/>
                <w:kern w:val="1"/>
                <w:sz w:val="24"/>
              </w:rPr>
            </w:pPr>
            <w:r>
              <w:rPr>
                <w:rFonts w:ascii="仿宋" w:eastAsia="仿宋" w:hAnsi="仿宋" w:cs="仿宋" w:hint="eastAsia"/>
                <w:kern w:val="1"/>
                <w:sz w:val="24"/>
              </w:rPr>
              <w:t>（十）国家发展改革委、财政部公布的第三方机构出具的合同能源管理项目情况确认表，或者政府节能主管部门出具的合同能源管理项目确认意见。</w:t>
            </w:r>
          </w:p>
        </w:tc>
        <w:tc>
          <w:tcPr>
            <w:tcW w:w="2368" w:type="dxa"/>
            <w:tcBorders>
              <w:top w:val="single" w:sz="4" w:space="0" w:color="auto"/>
            </w:tcBorders>
            <w:shd w:val="clear" w:color="auto" w:fill="FFFFFF"/>
            <w:tcMar>
              <w:right w:w="57" w:type="dxa"/>
            </w:tcMar>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kern w:val="1"/>
                <w:sz w:val="24"/>
              </w:rPr>
              <w:t>办理符合条件的节能服务公司实施合同能源管理项目的所得定期减免征收企业所得税备案的</w:t>
            </w:r>
            <w:r>
              <w:rPr>
                <w:rFonts w:ascii="仿宋" w:eastAsia="仿宋" w:hAnsi="仿宋" w:cs="仿宋" w:hint="eastAsia"/>
                <w:sz w:val="24"/>
              </w:rPr>
              <w:t>纳税人提交</w:t>
            </w:r>
          </w:p>
        </w:tc>
        <w:tc>
          <w:tcPr>
            <w:tcW w:w="2358" w:type="dxa"/>
            <w:shd w:val="clear" w:color="auto" w:fill="FFFFFF"/>
            <w:tcMar>
              <w:right w:w="57" w:type="dxa"/>
            </w:tcMar>
            <w:vAlign w:val="center"/>
          </w:tcPr>
          <w:p w:rsidR="00013EC7" w:rsidRDefault="00575CDB">
            <w:pPr>
              <w:widowControl/>
              <w:spacing w:line="300" w:lineRule="exact"/>
              <w:jc w:val="left"/>
              <w:rPr>
                <w:rFonts w:ascii="仿宋" w:eastAsia="仿宋" w:hAnsi="仿宋" w:cs="仿宋"/>
                <w:kern w:val="1"/>
                <w:sz w:val="24"/>
              </w:rPr>
            </w:pPr>
            <w:r>
              <w:rPr>
                <w:rFonts w:ascii="仿宋" w:eastAsia="仿宋" w:hAnsi="仿宋" w:cs="仿宋" w:hint="eastAsia"/>
                <w:kern w:val="1"/>
                <w:sz w:val="24"/>
              </w:rPr>
              <w:t>（九）</w:t>
            </w:r>
            <w:r>
              <w:rPr>
                <w:rFonts w:ascii="仿宋" w:eastAsia="仿宋" w:hAnsi="仿宋" w:cs="仿宋" w:hint="eastAsia"/>
                <w:sz w:val="24"/>
              </w:rPr>
              <w:t>国家发展改革委、财政部公布的第三方机构出具的合同能源管理项目情况确认表，或者政府节能主管部门出具的合同能源管理项目确认意见复印件（注明与原件一致，并加盖公章）。</w:t>
            </w:r>
          </w:p>
        </w:tc>
        <w:tc>
          <w:tcPr>
            <w:tcW w:w="2550" w:type="dxa"/>
            <w:shd w:val="clear" w:color="auto" w:fill="FFFFFF"/>
            <w:tcMar>
              <w:right w:w="57" w:type="dxa"/>
            </w:tcMar>
            <w:vAlign w:val="center"/>
          </w:tcPr>
          <w:p w:rsidR="00013EC7" w:rsidRDefault="00575CDB">
            <w:pPr>
              <w:spacing w:line="300" w:lineRule="exact"/>
              <w:jc w:val="left"/>
              <w:rPr>
                <w:rFonts w:ascii="仿宋_GB2312" w:eastAsia="仿宋_GB2312" w:hAnsi="仿宋" w:cs="仿宋"/>
                <w:sz w:val="24"/>
              </w:rPr>
            </w:pPr>
            <w:r>
              <w:rPr>
                <w:rFonts w:ascii="仿宋_GB2312" w:eastAsia="仿宋_GB2312" w:hAnsi="仿宋" w:cs="仿宋" w:hint="eastAsia"/>
                <w:kern w:val="1"/>
                <w:sz w:val="24"/>
              </w:rPr>
              <w:t>节能服务公司</w:t>
            </w:r>
            <w:r>
              <w:rPr>
                <w:rFonts w:ascii="仿宋_GB2312" w:eastAsia="仿宋_GB2312" w:hAnsi="仿宋" w:cs="仿宋" w:hint="eastAsia"/>
                <w:sz w:val="24"/>
              </w:rPr>
              <w:t>提交</w:t>
            </w:r>
          </w:p>
        </w:tc>
        <w:tc>
          <w:tcPr>
            <w:tcW w:w="2132" w:type="dxa"/>
            <w:vMerge/>
            <w:shd w:val="clear" w:color="auto" w:fill="FFFFFF"/>
            <w:tcMar>
              <w:right w:w="57" w:type="dxa"/>
            </w:tcMar>
            <w:vAlign w:val="center"/>
          </w:tcPr>
          <w:p w:rsidR="00013EC7" w:rsidRDefault="00013EC7">
            <w:pPr>
              <w:widowControl/>
              <w:spacing w:line="300" w:lineRule="exact"/>
              <w:jc w:val="left"/>
              <w:rPr>
                <w:rFonts w:ascii="仿宋" w:eastAsia="仿宋" w:hAnsi="仿宋" w:cs="仿宋"/>
                <w:b/>
                <w:color w:val="7030A0"/>
                <w:sz w:val="24"/>
              </w:rPr>
            </w:pPr>
          </w:p>
        </w:tc>
        <w:tc>
          <w:tcPr>
            <w:tcW w:w="700" w:type="dxa"/>
            <w:vMerge/>
            <w:shd w:val="clear" w:color="auto" w:fill="auto"/>
            <w:tcMar>
              <w:right w:w="57" w:type="dxa"/>
            </w:tcMar>
            <w:vAlign w:val="center"/>
          </w:tcPr>
          <w:p w:rsidR="00013EC7" w:rsidRDefault="00013EC7">
            <w:pPr>
              <w:spacing w:line="300" w:lineRule="exact"/>
              <w:jc w:val="left"/>
              <w:rPr>
                <w:rFonts w:ascii="仿宋_GB2312" w:eastAsia="仿宋_GB2312" w:hAnsi="仿宋" w:cs="仿宋"/>
                <w:sz w:val="24"/>
              </w:rPr>
            </w:pPr>
          </w:p>
        </w:tc>
        <w:tc>
          <w:tcPr>
            <w:tcW w:w="675" w:type="dxa"/>
            <w:vMerge/>
            <w:shd w:val="clear" w:color="auto" w:fill="auto"/>
            <w:tcMar>
              <w:right w:w="57" w:type="dxa"/>
            </w:tcMar>
            <w:vAlign w:val="center"/>
          </w:tcPr>
          <w:p w:rsidR="00013EC7" w:rsidRDefault="00013EC7">
            <w:pPr>
              <w:spacing w:line="300" w:lineRule="exact"/>
              <w:jc w:val="left"/>
              <w:rPr>
                <w:rFonts w:ascii="仿宋_GB2312" w:eastAsia="仿宋_GB2312" w:hAnsi="仿宋" w:cs="仿宋"/>
                <w:sz w:val="24"/>
              </w:rPr>
            </w:pPr>
          </w:p>
        </w:tc>
        <w:tc>
          <w:tcPr>
            <w:tcW w:w="700" w:type="dxa"/>
            <w:vMerge/>
            <w:shd w:val="clear" w:color="auto" w:fill="FFFFFF"/>
            <w:tcMar>
              <w:right w:w="57" w:type="dxa"/>
            </w:tcMar>
            <w:vAlign w:val="center"/>
          </w:tcPr>
          <w:p w:rsidR="00013EC7" w:rsidRDefault="00013EC7">
            <w:pPr>
              <w:spacing w:line="300" w:lineRule="exact"/>
              <w:jc w:val="left"/>
              <w:rPr>
                <w:rFonts w:ascii="仿宋_GB2312" w:eastAsia="仿宋_GB2312" w:hAnsi="仿宋" w:cs="仿宋"/>
                <w:sz w:val="24"/>
              </w:rPr>
            </w:pPr>
          </w:p>
        </w:tc>
        <w:tc>
          <w:tcPr>
            <w:tcW w:w="775" w:type="dxa"/>
            <w:vMerge/>
            <w:tcMar>
              <w:right w:w="57" w:type="dxa"/>
            </w:tcMar>
            <w:vAlign w:val="center"/>
          </w:tcPr>
          <w:p w:rsidR="00013EC7" w:rsidRDefault="00013EC7">
            <w:pPr>
              <w:spacing w:line="300" w:lineRule="exact"/>
              <w:jc w:val="left"/>
              <w:rPr>
                <w:rFonts w:ascii="仿宋_GB2312" w:eastAsia="仿宋_GB2312" w:hAnsi="仿宋" w:cs="仿宋"/>
                <w:sz w:val="24"/>
              </w:rPr>
            </w:pPr>
          </w:p>
        </w:tc>
        <w:tc>
          <w:tcPr>
            <w:tcW w:w="1157" w:type="dxa"/>
            <w:vMerge/>
            <w:tcMar>
              <w:right w:w="57" w:type="dxa"/>
            </w:tcMar>
            <w:vAlign w:val="center"/>
          </w:tcPr>
          <w:p w:rsidR="00013EC7" w:rsidRDefault="00013EC7">
            <w:pPr>
              <w:spacing w:line="300" w:lineRule="exact"/>
              <w:jc w:val="left"/>
              <w:rPr>
                <w:rFonts w:ascii="仿宋_GB2312" w:eastAsia="仿宋_GB2312" w:hAnsi="仿宋" w:cs="仿宋"/>
                <w:sz w:val="24"/>
              </w:rPr>
            </w:pPr>
          </w:p>
        </w:tc>
      </w:tr>
      <w:tr w:rsidR="00013EC7">
        <w:trPr>
          <w:trHeight w:val="3423"/>
          <w:jc w:val="center"/>
        </w:trPr>
        <w:tc>
          <w:tcPr>
            <w:tcW w:w="609" w:type="dxa"/>
            <w:vMerge/>
            <w:shd w:val="clear" w:color="auto" w:fill="auto"/>
            <w:tcMar>
              <w:right w:w="57" w:type="dxa"/>
            </w:tcMar>
            <w:vAlign w:val="center"/>
          </w:tcPr>
          <w:p w:rsidR="00013EC7" w:rsidRDefault="00013EC7">
            <w:pPr>
              <w:spacing w:line="300" w:lineRule="exact"/>
              <w:jc w:val="left"/>
              <w:rPr>
                <w:rFonts w:ascii="仿宋" w:eastAsia="仿宋" w:hAnsi="仿宋" w:cs="仿宋"/>
                <w:sz w:val="24"/>
              </w:rPr>
            </w:pPr>
          </w:p>
        </w:tc>
        <w:tc>
          <w:tcPr>
            <w:tcW w:w="625" w:type="dxa"/>
            <w:vMerge/>
            <w:shd w:val="clear" w:color="auto" w:fill="auto"/>
            <w:tcMar>
              <w:right w:w="57" w:type="dxa"/>
            </w:tcMar>
            <w:vAlign w:val="center"/>
          </w:tcPr>
          <w:p w:rsidR="00013EC7" w:rsidRDefault="00013EC7">
            <w:pPr>
              <w:spacing w:line="310" w:lineRule="exact"/>
              <w:jc w:val="left"/>
              <w:rPr>
                <w:rFonts w:ascii="仿宋" w:eastAsia="仿宋" w:hAnsi="仿宋" w:cs="仿宋"/>
                <w:sz w:val="24"/>
              </w:rPr>
            </w:pPr>
          </w:p>
        </w:tc>
        <w:tc>
          <w:tcPr>
            <w:tcW w:w="4371" w:type="dxa"/>
            <w:vMerge/>
            <w:shd w:val="clear" w:color="auto" w:fill="auto"/>
            <w:tcMar>
              <w:right w:w="57" w:type="dxa"/>
            </w:tcMar>
            <w:vAlign w:val="center"/>
          </w:tcPr>
          <w:p w:rsidR="00013EC7" w:rsidRDefault="00013EC7">
            <w:pPr>
              <w:spacing w:line="310" w:lineRule="exact"/>
              <w:jc w:val="left"/>
              <w:rPr>
                <w:rFonts w:ascii="仿宋" w:eastAsia="仿宋" w:hAnsi="仿宋" w:cs="仿宋"/>
                <w:sz w:val="24"/>
              </w:rPr>
            </w:pPr>
          </w:p>
        </w:tc>
        <w:tc>
          <w:tcPr>
            <w:tcW w:w="2646" w:type="dxa"/>
            <w:tcBorders>
              <w:top w:val="single" w:sz="4" w:space="0" w:color="auto"/>
            </w:tcBorders>
            <w:shd w:val="clear" w:color="auto" w:fill="FFFFFF"/>
            <w:tcMar>
              <w:right w:w="57" w:type="dxa"/>
            </w:tcMar>
            <w:vAlign w:val="center"/>
          </w:tcPr>
          <w:p w:rsidR="00013EC7" w:rsidRDefault="00575CDB">
            <w:pPr>
              <w:widowControl/>
              <w:spacing w:line="300" w:lineRule="exact"/>
              <w:jc w:val="left"/>
              <w:rPr>
                <w:rFonts w:ascii="仿宋" w:eastAsia="仿宋" w:hAnsi="仿宋" w:cs="仿宋"/>
                <w:kern w:val="1"/>
                <w:sz w:val="24"/>
              </w:rPr>
            </w:pPr>
            <w:r>
              <w:rPr>
                <w:rFonts w:ascii="仿宋" w:eastAsia="仿宋" w:hAnsi="仿宋" w:cs="仿宋" w:hint="eastAsia"/>
                <w:kern w:val="1"/>
                <w:sz w:val="24"/>
              </w:rPr>
              <w:t>（十一）</w:t>
            </w:r>
            <w:r>
              <w:rPr>
                <w:rFonts w:ascii="仿宋" w:eastAsia="仿宋" w:hAnsi="仿宋" w:cs="仿宋" w:hint="eastAsia"/>
                <w:sz w:val="24"/>
              </w:rPr>
              <w:t>创业投资企业经备案管理部门核实后出具的年检合格通知书（副本）复印件。</w:t>
            </w:r>
          </w:p>
        </w:tc>
        <w:tc>
          <w:tcPr>
            <w:tcW w:w="2368" w:type="dxa"/>
            <w:tcBorders>
              <w:top w:val="single" w:sz="4" w:space="0" w:color="auto"/>
            </w:tcBorders>
            <w:shd w:val="clear" w:color="auto" w:fill="FFFFFF"/>
            <w:tcMar>
              <w:right w:w="57" w:type="dxa"/>
            </w:tcMar>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kern w:val="1"/>
                <w:sz w:val="24"/>
              </w:rPr>
              <w:t>办理创业投资企业按投资额的一定比例抵扣应纳税所得额备案的</w:t>
            </w:r>
            <w:r>
              <w:rPr>
                <w:rFonts w:ascii="仿宋" w:eastAsia="仿宋" w:hAnsi="仿宋" w:cs="仿宋" w:hint="eastAsia"/>
                <w:sz w:val="24"/>
              </w:rPr>
              <w:t>纳税人提交</w:t>
            </w:r>
          </w:p>
        </w:tc>
        <w:tc>
          <w:tcPr>
            <w:tcW w:w="2358" w:type="dxa"/>
            <w:shd w:val="clear" w:color="auto" w:fill="FFFFFF"/>
            <w:tcMar>
              <w:right w:w="57" w:type="dxa"/>
            </w:tcMar>
            <w:vAlign w:val="center"/>
          </w:tcPr>
          <w:p w:rsidR="00013EC7" w:rsidRDefault="00575CDB">
            <w:pPr>
              <w:widowControl/>
              <w:spacing w:line="300" w:lineRule="exact"/>
              <w:jc w:val="left"/>
              <w:rPr>
                <w:rFonts w:ascii="仿宋" w:eastAsia="仿宋" w:hAnsi="仿宋" w:cs="仿宋"/>
                <w:kern w:val="1"/>
                <w:sz w:val="24"/>
              </w:rPr>
            </w:pPr>
            <w:r>
              <w:rPr>
                <w:rFonts w:ascii="仿宋" w:eastAsia="仿宋" w:hAnsi="仿宋" w:cs="仿宋" w:hint="eastAsia"/>
                <w:kern w:val="1"/>
                <w:sz w:val="24"/>
              </w:rPr>
              <w:t>（十）</w:t>
            </w:r>
            <w:r>
              <w:rPr>
                <w:rFonts w:ascii="仿宋" w:eastAsia="仿宋" w:hAnsi="仿宋" w:cs="仿宋" w:hint="eastAsia"/>
                <w:sz w:val="24"/>
              </w:rPr>
              <w:t>创业投资企业经备案管理部门核实后出具的年检合格通知书（副本）复印件（注明与原件一致，并加盖公章）。</w:t>
            </w:r>
          </w:p>
        </w:tc>
        <w:tc>
          <w:tcPr>
            <w:tcW w:w="2550" w:type="dxa"/>
            <w:shd w:val="clear" w:color="auto" w:fill="FFFFFF"/>
            <w:tcMar>
              <w:right w:w="57" w:type="dxa"/>
            </w:tcMar>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kern w:val="1"/>
                <w:sz w:val="24"/>
              </w:rPr>
              <w:t>创业投资企业</w:t>
            </w:r>
            <w:r>
              <w:rPr>
                <w:rFonts w:ascii="仿宋" w:eastAsia="仿宋" w:hAnsi="仿宋" w:cs="仿宋" w:hint="eastAsia"/>
                <w:sz w:val="24"/>
              </w:rPr>
              <w:t>提交</w:t>
            </w:r>
          </w:p>
        </w:tc>
        <w:tc>
          <w:tcPr>
            <w:tcW w:w="2132" w:type="dxa"/>
            <w:vMerge/>
            <w:shd w:val="clear" w:color="auto" w:fill="FFFFFF"/>
            <w:tcMar>
              <w:right w:w="57" w:type="dxa"/>
            </w:tcMar>
            <w:vAlign w:val="center"/>
          </w:tcPr>
          <w:p w:rsidR="00013EC7" w:rsidRDefault="00013EC7">
            <w:pPr>
              <w:widowControl/>
              <w:spacing w:line="300" w:lineRule="exact"/>
              <w:jc w:val="left"/>
              <w:rPr>
                <w:rFonts w:ascii="仿宋" w:eastAsia="仿宋" w:hAnsi="仿宋" w:cs="仿宋"/>
                <w:sz w:val="24"/>
              </w:rPr>
            </w:pPr>
          </w:p>
        </w:tc>
        <w:tc>
          <w:tcPr>
            <w:tcW w:w="700" w:type="dxa"/>
            <w:vMerge/>
            <w:shd w:val="clear" w:color="auto" w:fill="auto"/>
            <w:tcMar>
              <w:right w:w="57" w:type="dxa"/>
            </w:tcMar>
            <w:vAlign w:val="center"/>
          </w:tcPr>
          <w:p w:rsidR="00013EC7" w:rsidRDefault="00013EC7">
            <w:pPr>
              <w:spacing w:line="300" w:lineRule="exact"/>
              <w:jc w:val="left"/>
              <w:rPr>
                <w:rFonts w:ascii="仿宋_GB2312" w:eastAsia="仿宋_GB2312" w:hAnsi="仿宋" w:cs="仿宋"/>
                <w:sz w:val="24"/>
              </w:rPr>
            </w:pPr>
          </w:p>
        </w:tc>
        <w:tc>
          <w:tcPr>
            <w:tcW w:w="675" w:type="dxa"/>
            <w:vMerge/>
            <w:shd w:val="clear" w:color="auto" w:fill="auto"/>
            <w:tcMar>
              <w:right w:w="57" w:type="dxa"/>
            </w:tcMar>
            <w:vAlign w:val="center"/>
          </w:tcPr>
          <w:p w:rsidR="00013EC7" w:rsidRDefault="00013EC7">
            <w:pPr>
              <w:spacing w:line="300" w:lineRule="exact"/>
              <w:jc w:val="left"/>
              <w:rPr>
                <w:rFonts w:ascii="仿宋_GB2312" w:eastAsia="仿宋_GB2312" w:hAnsi="仿宋" w:cs="仿宋"/>
                <w:sz w:val="24"/>
              </w:rPr>
            </w:pPr>
          </w:p>
        </w:tc>
        <w:tc>
          <w:tcPr>
            <w:tcW w:w="700" w:type="dxa"/>
            <w:vMerge/>
            <w:shd w:val="clear" w:color="auto" w:fill="FFFFFF"/>
            <w:tcMar>
              <w:right w:w="57" w:type="dxa"/>
            </w:tcMar>
            <w:vAlign w:val="center"/>
          </w:tcPr>
          <w:p w:rsidR="00013EC7" w:rsidRDefault="00013EC7">
            <w:pPr>
              <w:spacing w:line="300" w:lineRule="exact"/>
              <w:jc w:val="left"/>
              <w:rPr>
                <w:rFonts w:ascii="仿宋_GB2312" w:eastAsia="仿宋_GB2312" w:hAnsi="仿宋" w:cs="仿宋"/>
                <w:sz w:val="24"/>
              </w:rPr>
            </w:pPr>
          </w:p>
        </w:tc>
        <w:tc>
          <w:tcPr>
            <w:tcW w:w="775" w:type="dxa"/>
            <w:vMerge/>
            <w:tcMar>
              <w:right w:w="57" w:type="dxa"/>
            </w:tcMar>
            <w:vAlign w:val="center"/>
          </w:tcPr>
          <w:p w:rsidR="00013EC7" w:rsidRDefault="00013EC7">
            <w:pPr>
              <w:spacing w:line="300" w:lineRule="exact"/>
              <w:jc w:val="left"/>
              <w:rPr>
                <w:rFonts w:ascii="仿宋_GB2312" w:eastAsia="仿宋_GB2312" w:hAnsi="仿宋" w:cs="仿宋"/>
                <w:sz w:val="24"/>
              </w:rPr>
            </w:pPr>
          </w:p>
        </w:tc>
        <w:tc>
          <w:tcPr>
            <w:tcW w:w="1157" w:type="dxa"/>
            <w:vMerge/>
            <w:tcMar>
              <w:right w:w="57" w:type="dxa"/>
            </w:tcMar>
            <w:vAlign w:val="center"/>
          </w:tcPr>
          <w:p w:rsidR="00013EC7" w:rsidRDefault="00013EC7">
            <w:pPr>
              <w:spacing w:line="300" w:lineRule="exact"/>
              <w:jc w:val="left"/>
              <w:rPr>
                <w:rFonts w:ascii="仿宋_GB2312" w:eastAsia="仿宋_GB2312" w:hAnsi="仿宋" w:cs="仿宋"/>
                <w:sz w:val="24"/>
              </w:rPr>
            </w:pPr>
          </w:p>
        </w:tc>
      </w:tr>
      <w:tr w:rsidR="00013EC7">
        <w:trPr>
          <w:trHeight w:val="2723"/>
          <w:jc w:val="center"/>
        </w:trPr>
        <w:tc>
          <w:tcPr>
            <w:tcW w:w="609" w:type="dxa"/>
            <w:vMerge/>
            <w:shd w:val="clear" w:color="auto" w:fill="auto"/>
            <w:tcMar>
              <w:right w:w="57" w:type="dxa"/>
            </w:tcMar>
            <w:vAlign w:val="center"/>
          </w:tcPr>
          <w:p w:rsidR="00013EC7" w:rsidRDefault="00013EC7">
            <w:pPr>
              <w:spacing w:line="300" w:lineRule="exact"/>
              <w:jc w:val="left"/>
              <w:rPr>
                <w:rFonts w:ascii="仿宋" w:eastAsia="仿宋" w:hAnsi="仿宋" w:cs="仿宋"/>
                <w:sz w:val="24"/>
              </w:rPr>
            </w:pPr>
          </w:p>
        </w:tc>
        <w:tc>
          <w:tcPr>
            <w:tcW w:w="625" w:type="dxa"/>
            <w:vMerge/>
            <w:shd w:val="clear" w:color="auto" w:fill="auto"/>
            <w:tcMar>
              <w:right w:w="57" w:type="dxa"/>
            </w:tcMar>
            <w:vAlign w:val="center"/>
          </w:tcPr>
          <w:p w:rsidR="00013EC7" w:rsidRDefault="00013EC7">
            <w:pPr>
              <w:spacing w:line="310" w:lineRule="exact"/>
              <w:jc w:val="left"/>
              <w:rPr>
                <w:rFonts w:ascii="仿宋" w:eastAsia="仿宋" w:hAnsi="仿宋" w:cs="仿宋"/>
                <w:sz w:val="24"/>
              </w:rPr>
            </w:pPr>
          </w:p>
        </w:tc>
        <w:tc>
          <w:tcPr>
            <w:tcW w:w="4371" w:type="dxa"/>
            <w:vMerge/>
            <w:shd w:val="clear" w:color="auto" w:fill="auto"/>
            <w:tcMar>
              <w:right w:w="57" w:type="dxa"/>
            </w:tcMar>
            <w:vAlign w:val="center"/>
          </w:tcPr>
          <w:p w:rsidR="00013EC7" w:rsidRDefault="00013EC7">
            <w:pPr>
              <w:spacing w:line="310" w:lineRule="exact"/>
              <w:jc w:val="left"/>
              <w:rPr>
                <w:rFonts w:ascii="仿宋" w:eastAsia="仿宋" w:hAnsi="仿宋" w:cs="仿宋"/>
                <w:sz w:val="24"/>
              </w:rPr>
            </w:pPr>
          </w:p>
        </w:tc>
        <w:tc>
          <w:tcPr>
            <w:tcW w:w="2646" w:type="dxa"/>
            <w:tcBorders>
              <w:top w:val="single" w:sz="4" w:space="0" w:color="auto"/>
            </w:tcBorders>
            <w:shd w:val="clear" w:color="auto" w:fill="FFFFFF"/>
            <w:tcMar>
              <w:right w:w="57" w:type="dxa"/>
            </w:tcMar>
            <w:vAlign w:val="center"/>
          </w:tcPr>
          <w:p w:rsidR="00013EC7" w:rsidRDefault="00575CDB">
            <w:pPr>
              <w:widowControl/>
              <w:spacing w:line="300" w:lineRule="exact"/>
              <w:jc w:val="left"/>
              <w:rPr>
                <w:rFonts w:ascii="仿宋" w:eastAsia="仿宋" w:hAnsi="仿宋" w:cs="仿宋"/>
                <w:kern w:val="1"/>
                <w:sz w:val="24"/>
              </w:rPr>
            </w:pPr>
            <w:r>
              <w:rPr>
                <w:rFonts w:ascii="仿宋" w:eastAsia="仿宋" w:hAnsi="仿宋" w:cs="仿宋" w:hint="eastAsia"/>
                <w:kern w:val="1"/>
                <w:sz w:val="24"/>
              </w:rPr>
              <w:t>（十二）</w:t>
            </w:r>
            <w:r>
              <w:rPr>
                <w:rFonts w:ascii="仿宋" w:eastAsia="仿宋" w:hAnsi="仿宋" w:cs="仿宋" w:hint="eastAsia"/>
                <w:sz w:val="24"/>
              </w:rPr>
              <w:t>法人合伙人应纳税所得额抵扣情况明细表。</w:t>
            </w:r>
          </w:p>
        </w:tc>
        <w:tc>
          <w:tcPr>
            <w:tcW w:w="2368" w:type="dxa"/>
            <w:vMerge w:val="restart"/>
            <w:tcBorders>
              <w:top w:val="single" w:sz="4" w:space="0" w:color="auto"/>
            </w:tcBorders>
            <w:shd w:val="clear" w:color="auto" w:fill="FFFFFF"/>
            <w:tcMar>
              <w:right w:w="57" w:type="dxa"/>
            </w:tcMar>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kern w:val="1"/>
                <w:sz w:val="24"/>
              </w:rPr>
              <w:t>办理有限合伙制创业投资企业法人合伙人按投资额的一定比例抵扣应纳税所得额备案的</w:t>
            </w:r>
            <w:r>
              <w:rPr>
                <w:rFonts w:ascii="仿宋" w:eastAsia="仿宋" w:hAnsi="仿宋" w:cs="仿宋" w:hint="eastAsia"/>
                <w:sz w:val="24"/>
              </w:rPr>
              <w:t>纳税人提交</w:t>
            </w:r>
          </w:p>
        </w:tc>
        <w:tc>
          <w:tcPr>
            <w:tcW w:w="2358" w:type="dxa"/>
            <w:shd w:val="clear" w:color="auto" w:fill="FFFFFF"/>
            <w:tcMar>
              <w:right w:w="57" w:type="dxa"/>
            </w:tcMar>
            <w:vAlign w:val="center"/>
          </w:tcPr>
          <w:p w:rsidR="00013EC7" w:rsidRDefault="00575CDB">
            <w:pPr>
              <w:widowControl/>
              <w:spacing w:line="300" w:lineRule="exact"/>
              <w:jc w:val="left"/>
              <w:rPr>
                <w:rFonts w:ascii="仿宋" w:eastAsia="仿宋" w:hAnsi="仿宋" w:cs="仿宋"/>
                <w:kern w:val="1"/>
                <w:sz w:val="24"/>
              </w:rPr>
            </w:pPr>
            <w:r>
              <w:rPr>
                <w:rFonts w:ascii="仿宋" w:eastAsia="仿宋" w:hAnsi="仿宋" w:cs="仿宋" w:hint="eastAsia"/>
                <w:kern w:val="1"/>
                <w:sz w:val="24"/>
              </w:rPr>
              <w:t>（十一）</w:t>
            </w:r>
            <w:r>
              <w:rPr>
                <w:rFonts w:ascii="仿宋" w:eastAsia="仿宋" w:hAnsi="仿宋" w:cs="仿宋" w:hint="eastAsia"/>
                <w:sz w:val="24"/>
              </w:rPr>
              <w:t>法人合伙人应纳税所得额抵扣情况明细表。</w:t>
            </w:r>
          </w:p>
        </w:tc>
        <w:tc>
          <w:tcPr>
            <w:tcW w:w="2550" w:type="dxa"/>
            <w:vMerge w:val="restart"/>
            <w:shd w:val="clear" w:color="auto" w:fill="FFFFFF"/>
            <w:tcMar>
              <w:right w:w="57" w:type="dxa"/>
            </w:tcMar>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kern w:val="1"/>
                <w:sz w:val="24"/>
              </w:rPr>
              <w:t>有限合伙制创业投资企业</w:t>
            </w:r>
            <w:r>
              <w:rPr>
                <w:rFonts w:ascii="仿宋" w:eastAsia="仿宋" w:hAnsi="仿宋" w:cs="仿宋" w:hint="eastAsia"/>
                <w:sz w:val="24"/>
              </w:rPr>
              <w:t>提交</w:t>
            </w:r>
          </w:p>
        </w:tc>
        <w:tc>
          <w:tcPr>
            <w:tcW w:w="2132" w:type="dxa"/>
            <w:vMerge/>
            <w:shd w:val="clear" w:color="auto" w:fill="FFFFFF"/>
            <w:tcMar>
              <w:right w:w="57" w:type="dxa"/>
            </w:tcMar>
            <w:vAlign w:val="center"/>
          </w:tcPr>
          <w:p w:rsidR="00013EC7" w:rsidRDefault="00013EC7">
            <w:pPr>
              <w:widowControl/>
              <w:spacing w:line="300" w:lineRule="exact"/>
              <w:jc w:val="left"/>
              <w:rPr>
                <w:rFonts w:ascii="仿宋" w:eastAsia="仿宋" w:hAnsi="仿宋" w:cs="仿宋"/>
                <w:sz w:val="24"/>
              </w:rPr>
            </w:pPr>
          </w:p>
        </w:tc>
        <w:tc>
          <w:tcPr>
            <w:tcW w:w="700" w:type="dxa"/>
            <w:vMerge/>
            <w:shd w:val="clear" w:color="auto" w:fill="auto"/>
            <w:tcMar>
              <w:right w:w="57" w:type="dxa"/>
            </w:tcMar>
            <w:vAlign w:val="center"/>
          </w:tcPr>
          <w:p w:rsidR="00013EC7" w:rsidRDefault="00013EC7">
            <w:pPr>
              <w:spacing w:line="300" w:lineRule="exact"/>
              <w:jc w:val="left"/>
              <w:rPr>
                <w:rFonts w:ascii="仿宋_GB2312" w:eastAsia="仿宋_GB2312" w:hAnsi="仿宋" w:cs="仿宋"/>
                <w:sz w:val="24"/>
              </w:rPr>
            </w:pPr>
          </w:p>
        </w:tc>
        <w:tc>
          <w:tcPr>
            <w:tcW w:w="675" w:type="dxa"/>
            <w:vMerge/>
            <w:shd w:val="clear" w:color="auto" w:fill="auto"/>
            <w:tcMar>
              <w:right w:w="57" w:type="dxa"/>
            </w:tcMar>
            <w:vAlign w:val="center"/>
          </w:tcPr>
          <w:p w:rsidR="00013EC7" w:rsidRDefault="00013EC7">
            <w:pPr>
              <w:spacing w:line="300" w:lineRule="exact"/>
              <w:jc w:val="left"/>
              <w:rPr>
                <w:rFonts w:ascii="仿宋_GB2312" w:eastAsia="仿宋_GB2312" w:hAnsi="仿宋" w:cs="仿宋"/>
                <w:sz w:val="24"/>
              </w:rPr>
            </w:pPr>
          </w:p>
        </w:tc>
        <w:tc>
          <w:tcPr>
            <w:tcW w:w="700" w:type="dxa"/>
            <w:vMerge/>
            <w:shd w:val="clear" w:color="auto" w:fill="FFFFFF"/>
            <w:tcMar>
              <w:right w:w="57" w:type="dxa"/>
            </w:tcMar>
            <w:vAlign w:val="center"/>
          </w:tcPr>
          <w:p w:rsidR="00013EC7" w:rsidRDefault="00013EC7">
            <w:pPr>
              <w:spacing w:line="300" w:lineRule="exact"/>
              <w:jc w:val="left"/>
              <w:rPr>
                <w:rFonts w:ascii="仿宋_GB2312" w:eastAsia="仿宋_GB2312" w:hAnsi="仿宋" w:cs="仿宋"/>
                <w:sz w:val="24"/>
              </w:rPr>
            </w:pPr>
          </w:p>
        </w:tc>
        <w:tc>
          <w:tcPr>
            <w:tcW w:w="775" w:type="dxa"/>
            <w:vMerge/>
            <w:tcMar>
              <w:right w:w="57" w:type="dxa"/>
            </w:tcMar>
            <w:vAlign w:val="center"/>
          </w:tcPr>
          <w:p w:rsidR="00013EC7" w:rsidRDefault="00013EC7">
            <w:pPr>
              <w:spacing w:line="300" w:lineRule="exact"/>
              <w:jc w:val="left"/>
              <w:rPr>
                <w:rFonts w:ascii="仿宋_GB2312" w:eastAsia="仿宋_GB2312" w:hAnsi="仿宋" w:cs="仿宋"/>
                <w:sz w:val="24"/>
              </w:rPr>
            </w:pPr>
          </w:p>
        </w:tc>
        <w:tc>
          <w:tcPr>
            <w:tcW w:w="1157" w:type="dxa"/>
            <w:vMerge/>
            <w:tcMar>
              <w:right w:w="57" w:type="dxa"/>
            </w:tcMar>
            <w:vAlign w:val="center"/>
          </w:tcPr>
          <w:p w:rsidR="00013EC7" w:rsidRDefault="00013EC7">
            <w:pPr>
              <w:spacing w:line="300" w:lineRule="exact"/>
              <w:jc w:val="left"/>
              <w:rPr>
                <w:rFonts w:ascii="仿宋_GB2312" w:eastAsia="仿宋_GB2312" w:hAnsi="仿宋" w:cs="仿宋"/>
                <w:sz w:val="24"/>
              </w:rPr>
            </w:pPr>
          </w:p>
        </w:tc>
      </w:tr>
      <w:tr w:rsidR="00013EC7">
        <w:trPr>
          <w:trHeight w:val="2723"/>
          <w:jc w:val="center"/>
        </w:trPr>
        <w:tc>
          <w:tcPr>
            <w:tcW w:w="609" w:type="dxa"/>
            <w:vMerge/>
            <w:shd w:val="clear" w:color="auto" w:fill="auto"/>
            <w:tcMar>
              <w:right w:w="57" w:type="dxa"/>
            </w:tcMar>
            <w:vAlign w:val="center"/>
          </w:tcPr>
          <w:p w:rsidR="00013EC7" w:rsidRDefault="00013EC7">
            <w:pPr>
              <w:widowControl/>
              <w:spacing w:line="300" w:lineRule="exact"/>
              <w:jc w:val="left"/>
            </w:pPr>
          </w:p>
        </w:tc>
        <w:tc>
          <w:tcPr>
            <w:tcW w:w="625" w:type="dxa"/>
            <w:vMerge/>
            <w:shd w:val="clear" w:color="auto" w:fill="auto"/>
            <w:tcMar>
              <w:right w:w="57" w:type="dxa"/>
            </w:tcMar>
            <w:vAlign w:val="center"/>
          </w:tcPr>
          <w:p w:rsidR="00013EC7" w:rsidRDefault="00013EC7">
            <w:pPr>
              <w:widowControl/>
              <w:spacing w:line="300" w:lineRule="exact"/>
              <w:jc w:val="left"/>
            </w:pPr>
          </w:p>
        </w:tc>
        <w:tc>
          <w:tcPr>
            <w:tcW w:w="4371" w:type="dxa"/>
            <w:vMerge/>
            <w:shd w:val="clear" w:color="auto" w:fill="auto"/>
            <w:tcMar>
              <w:right w:w="57" w:type="dxa"/>
            </w:tcMar>
            <w:vAlign w:val="center"/>
          </w:tcPr>
          <w:p w:rsidR="00013EC7" w:rsidRDefault="00013EC7">
            <w:pPr>
              <w:widowControl/>
              <w:spacing w:line="300" w:lineRule="exact"/>
              <w:jc w:val="left"/>
            </w:pPr>
          </w:p>
        </w:tc>
        <w:tc>
          <w:tcPr>
            <w:tcW w:w="2646" w:type="dxa"/>
            <w:tcBorders>
              <w:top w:val="single" w:sz="4" w:space="0" w:color="auto"/>
            </w:tcBorders>
            <w:shd w:val="clear" w:color="auto" w:fill="FFFFFF"/>
            <w:tcMar>
              <w:right w:w="57" w:type="dxa"/>
            </w:tcMar>
            <w:vAlign w:val="center"/>
          </w:tcPr>
          <w:p w:rsidR="00013EC7" w:rsidRDefault="00575CDB">
            <w:pPr>
              <w:widowControl/>
              <w:spacing w:line="300" w:lineRule="exact"/>
              <w:jc w:val="left"/>
              <w:rPr>
                <w:rFonts w:ascii="仿宋" w:eastAsia="仿宋" w:hAnsi="仿宋" w:cs="仿宋"/>
                <w:sz w:val="24"/>
              </w:rPr>
            </w:pPr>
            <w:r>
              <w:rPr>
                <w:rFonts w:ascii="仿宋" w:eastAsia="仿宋" w:hAnsi="仿宋" w:cs="仿宋" w:hint="eastAsia"/>
                <w:kern w:val="1"/>
                <w:sz w:val="24"/>
              </w:rPr>
              <w:t>（十三）</w:t>
            </w:r>
            <w:r>
              <w:rPr>
                <w:rFonts w:ascii="仿宋" w:eastAsia="仿宋" w:hAnsi="仿宋" w:cs="仿宋" w:hint="eastAsia"/>
                <w:sz w:val="24"/>
              </w:rPr>
              <w:t>有限合伙制创业投资企业法人合伙人应纳税所得额分配情况明细表。</w:t>
            </w:r>
          </w:p>
        </w:tc>
        <w:tc>
          <w:tcPr>
            <w:tcW w:w="2368" w:type="dxa"/>
            <w:vMerge/>
            <w:shd w:val="clear" w:color="auto" w:fill="FFFFFF"/>
            <w:tcMar>
              <w:right w:w="57" w:type="dxa"/>
            </w:tcMar>
            <w:vAlign w:val="center"/>
          </w:tcPr>
          <w:p w:rsidR="00013EC7" w:rsidRDefault="00013EC7">
            <w:pPr>
              <w:widowControl/>
              <w:spacing w:line="300" w:lineRule="exact"/>
              <w:jc w:val="left"/>
              <w:rPr>
                <w:rFonts w:ascii="仿宋" w:eastAsia="仿宋" w:hAnsi="仿宋" w:cs="仿宋"/>
                <w:sz w:val="24"/>
              </w:rPr>
            </w:pPr>
          </w:p>
        </w:tc>
        <w:tc>
          <w:tcPr>
            <w:tcW w:w="2358" w:type="dxa"/>
            <w:shd w:val="clear" w:color="auto" w:fill="FFFFFF"/>
            <w:tcMar>
              <w:right w:w="57" w:type="dxa"/>
            </w:tcMar>
            <w:vAlign w:val="center"/>
          </w:tcPr>
          <w:p w:rsidR="00013EC7" w:rsidRDefault="00575CDB">
            <w:pPr>
              <w:widowControl/>
              <w:spacing w:line="300" w:lineRule="exact"/>
              <w:jc w:val="left"/>
              <w:rPr>
                <w:rFonts w:ascii="仿宋" w:eastAsia="仿宋" w:hAnsi="仿宋" w:cs="仿宋"/>
                <w:sz w:val="24"/>
              </w:rPr>
            </w:pPr>
            <w:r>
              <w:rPr>
                <w:rFonts w:ascii="仿宋" w:eastAsia="仿宋" w:hAnsi="仿宋" w:cs="仿宋" w:hint="eastAsia"/>
                <w:kern w:val="1"/>
                <w:sz w:val="24"/>
              </w:rPr>
              <w:t>（十二）</w:t>
            </w:r>
            <w:r>
              <w:rPr>
                <w:rFonts w:ascii="仿宋" w:eastAsia="仿宋" w:hAnsi="仿宋" w:cs="仿宋" w:hint="eastAsia"/>
                <w:sz w:val="24"/>
              </w:rPr>
              <w:t>有限合伙制创业投资企业法人合伙人应纳税所得额分配情况明细表。</w:t>
            </w:r>
          </w:p>
        </w:tc>
        <w:tc>
          <w:tcPr>
            <w:tcW w:w="2550" w:type="dxa"/>
            <w:vMerge/>
            <w:shd w:val="clear" w:color="auto" w:fill="FFFFFF"/>
            <w:tcMar>
              <w:right w:w="57" w:type="dxa"/>
            </w:tcMar>
            <w:vAlign w:val="center"/>
          </w:tcPr>
          <w:p w:rsidR="00013EC7" w:rsidRDefault="00013EC7">
            <w:pPr>
              <w:widowControl/>
              <w:spacing w:line="300" w:lineRule="exact"/>
              <w:jc w:val="left"/>
              <w:rPr>
                <w:rFonts w:ascii="仿宋" w:eastAsia="仿宋" w:hAnsi="仿宋" w:cs="仿宋"/>
                <w:sz w:val="24"/>
              </w:rPr>
            </w:pPr>
          </w:p>
        </w:tc>
        <w:tc>
          <w:tcPr>
            <w:tcW w:w="2132" w:type="dxa"/>
            <w:vMerge/>
            <w:shd w:val="clear" w:color="auto" w:fill="FFFFFF"/>
            <w:tcMar>
              <w:right w:w="57" w:type="dxa"/>
            </w:tcMar>
            <w:vAlign w:val="center"/>
          </w:tcPr>
          <w:p w:rsidR="00013EC7" w:rsidRDefault="00013EC7">
            <w:pPr>
              <w:widowControl/>
              <w:spacing w:line="300" w:lineRule="exact"/>
              <w:jc w:val="left"/>
              <w:rPr>
                <w:rFonts w:ascii="仿宋" w:eastAsia="仿宋" w:hAnsi="仿宋" w:cs="仿宋"/>
                <w:sz w:val="24"/>
              </w:rPr>
            </w:pPr>
          </w:p>
        </w:tc>
        <w:tc>
          <w:tcPr>
            <w:tcW w:w="700" w:type="dxa"/>
            <w:vMerge/>
            <w:shd w:val="clear" w:color="auto" w:fill="auto"/>
            <w:tcMar>
              <w:right w:w="57" w:type="dxa"/>
            </w:tcMar>
            <w:vAlign w:val="center"/>
          </w:tcPr>
          <w:p w:rsidR="00013EC7" w:rsidRDefault="00013EC7">
            <w:pPr>
              <w:widowControl/>
              <w:spacing w:line="300" w:lineRule="exact"/>
              <w:jc w:val="left"/>
              <w:rPr>
                <w:rFonts w:ascii="仿宋_GB2312" w:eastAsia="仿宋_GB2312" w:hAnsi="仿宋" w:cs="仿宋"/>
                <w:sz w:val="24"/>
              </w:rPr>
            </w:pPr>
          </w:p>
        </w:tc>
        <w:tc>
          <w:tcPr>
            <w:tcW w:w="675" w:type="dxa"/>
            <w:vMerge/>
            <w:shd w:val="clear" w:color="auto" w:fill="auto"/>
            <w:tcMar>
              <w:right w:w="57" w:type="dxa"/>
            </w:tcMar>
            <w:vAlign w:val="center"/>
          </w:tcPr>
          <w:p w:rsidR="00013EC7" w:rsidRDefault="00013EC7">
            <w:pPr>
              <w:widowControl/>
              <w:spacing w:line="300" w:lineRule="exact"/>
              <w:jc w:val="left"/>
              <w:rPr>
                <w:rFonts w:ascii="仿宋_GB2312" w:eastAsia="仿宋_GB2312" w:hAnsi="仿宋" w:cs="仿宋"/>
                <w:sz w:val="24"/>
              </w:rPr>
            </w:pPr>
          </w:p>
        </w:tc>
        <w:tc>
          <w:tcPr>
            <w:tcW w:w="700" w:type="dxa"/>
            <w:vMerge/>
            <w:shd w:val="clear" w:color="auto" w:fill="FFFFFF"/>
            <w:tcMar>
              <w:right w:w="57" w:type="dxa"/>
            </w:tcMar>
            <w:vAlign w:val="center"/>
          </w:tcPr>
          <w:p w:rsidR="00013EC7" w:rsidRDefault="00013EC7">
            <w:pPr>
              <w:widowControl/>
              <w:spacing w:line="300" w:lineRule="exact"/>
              <w:jc w:val="left"/>
              <w:rPr>
                <w:rFonts w:ascii="仿宋_GB2312" w:eastAsia="仿宋_GB2312" w:hAnsi="仿宋" w:cs="仿宋"/>
                <w:sz w:val="24"/>
              </w:rPr>
            </w:pPr>
          </w:p>
        </w:tc>
        <w:tc>
          <w:tcPr>
            <w:tcW w:w="775" w:type="dxa"/>
            <w:vMerge/>
            <w:tcMar>
              <w:right w:w="57" w:type="dxa"/>
            </w:tcMar>
            <w:vAlign w:val="center"/>
          </w:tcPr>
          <w:p w:rsidR="00013EC7" w:rsidRDefault="00013EC7">
            <w:pPr>
              <w:widowControl/>
              <w:spacing w:line="300" w:lineRule="exact"/>
              <w:jc w:val="left"/>
              <w:rPr>
                <w:rFonts w:ascii="仿宋_GB2312" w:eastAsia="仿宋_GB2312" w:hAnsi="仿宋" w:cs="仿宋"/>
                <w:sz w:val="24"/>
              </w:rPr>
            </w:pPr>
          </w:p>
        </w:tc>
        <w:tc>
          <w:tcPr>
            <w:tcW w:w="1157" w:type="dxa"/>
            <w:vMerge/>
            <w:tcMar>
              <w:right w:w="57" w:type="dxa"/>
            </w:tcMar>
            <w:vAlign w:val="center"/>
          </w:tcPr>
          <w:p w:rsidR="00013EC7" w:rsidRDefault="00013EC7">
            <w:pPr>
              <w:widowControl/>
              <w:spacing w:line="300" w:lineRule="exact"/>
              <w:jc w:val="left"/>
              <w:rPr>
                <w:rFonts w:ascii="仿宋_GB2312" w:eastAsia="仿宋_GB2312" w:hAnsi="仿宋" w:cs="仿宋"/>
                <w:sz w:val="24"/>
              </w:rPr>
            </w:pPr>
          </w:p>
        </w:tc>
      </w:tr>
      <w:tr w:rsidR="00013EC7">
        <w:trPr>
          <w:trHeight w:val="1927"/>
          <w:jc w:val="center"/>
        </w:trPr>
        <w:tc>
          <w:tcPr>
            <w:tcW w:w="609" w:type="dxa"/>
            <w:vMerge/>
            <w:shd w:val="clear" w:color="auto" w:fill="auto"/>
            <w:tcMar>
              <w:right w:w="57" w:type="dxa"/>
            </w:tcMar>
            <w:vAlign w:val="center"/>
          </w:tcPr>
          <w:p w:rsidR="00013EC7" w:rsidRDefault="00013EC7">
            <w:pPr>
              <w:spacing w:line="300" w:lineRule="exact"/>
              <w:jc w:val="left"/>
              <w:rPr>
                <w:rFonts w:ascii="仿宋" w:eastAsia="仿宋" w:hAnsi="仿宋" w:cs="仿宋"/>
                <w:sz w:val="24"/>
              </w:rPr>
            </w:pPr>
          </w:p>
        </w:tc>
        <w:tc>
          <w:tcPr>
            <w:tcW w:w="625" w:type="dxa"/>
            <w:vMerge/>
            <w:shd w:val="clear" w:color="auto" w:fill="auto"/>
            <w:tcMar>
              <w:right w:w="57" w:type="dxa"/>
            </w:tcMar>
            <w:vAlign w:val="center"/>
          </w:tcPr>
          <w:p w:rsidR="00013EC7" w:rsidRDefault="00013EC7">
            <w:pPr>
              <w:spacing w:line="310" w:lineRule="exact"/>
              <w:jc w:val="left"/>
              <w:rPr>
                <w:rFonts w:ascii="仿宋" w:eastAsia="仿宋" w:hAnsi="仿宋" w:cs="仿宋"/>
                <w:sz w:val="24"/>
              </w:rPr>
            </w:pPr>
          </w:p>
        </w:tc>
        <w:tc>
          <w:tcPr>
            <w:tcW w:w="4371" w:type="dxa"/>
            <w:vMerge/>
            <w:shd w:val="clear" w:color="auto" w:fill="auto"/>
            <w:tcMar>
              <w:right w:w="57" w:type="dxa"/>
            </w:tcMar>
            <w:vAlign w:val="center"/>
          </w:tcPr>
          <w:p w:rsidR="00013EC7" w:rsidRDefault="00013EC7">
            <w:pPr>
              <w:spacing w:line="310" w:lineRule="exact"/>
              <w:jc w:val="left"/>
              <w:rPr>
                <w:rFonts w:ascii="仿宋" w:eastAsia="仿宋" w:hAnsi="仿宋" w:cs="仿宋"/>
                <w:sz w:val="24"/>
              </w:rPr>
            </w:pPr>
          </w:p>
        </w:tc>
        <w:tc>
          <w:tcPr>
            <w:tcW w:w="2646" w:type="dxa"/>
            <w:tcBorders>
              <w:top w:val="single" w:sz="4" w:space="0" w:color="auto"/>
            </w:tcBorders>
            <w:shd w:val="clear" w:color="auto" w:fill="FFFFFF"/>
            <w:tcMar>
              <w:right w:w="57" w:type="dxa"/>
            </w:tcMar>
            <w:vAlign w:val="center"/>
          </w:tcPr>
          <w:p w:rsidR="00013EC7" w:rsidRDefault="00575CDB">
            <w:pPr>
              <w:widowControl/>
              <w:spacing w:line="300" w:lineRule="exact"/>
              <w:jc w:val="left"/>
              <w:rPr>
                <w:rFonts w:ascii="仿宋" w:eastAsia="仿宋" w:hAnsi="仿宋" w:cs="仿宋"/>
                <w:kern w:val="1"/>
                <w:sz w:val="24"/>
              </w:rPr>
            </w:pPr>
            <w:r>
              <w:rPr>
                <w:rFonts w:ascii="仿宋" w:eastAsia="仿宋" w:hAnsi="仿宋" w:cs="仿宋" w:hint="eastAsia"/>
                <w:sz w:val="24"/>
                <w:shd w:val="clear" w:color="FFFFFF" w:fill="D9D9D9"/>
              </w:rPr>
              <w:t>（十四）高新技术企业资格证书复印件。</w:t>
            </w:r>
          </w:p>
        </w:tc>
        <w:tc>
          <w:tcPr>
            <w:tcW w:w="2368" w:type="dxa"/>
            <w:tcBorders>
              <w:top w:val="single" w:sz="4" w:space="0" w:color="auto"/>
            </w:tcBorders>
            <w:shd w:val="clear" w:color="auto" w:fill="FFFFFF"/>
            <w:tcMar>
              <w:right w:w="57" w:type="dxa"/>
            </w:tcMar>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kern w:val="1"/>
                <w:sz w:val="24"/>
              </w:rPr>
              <w:t>办理国家需要重点扶持的高新技术企业减按15％的税率征收企业所得税备案的</w:t>
            </w:r>
            <w:r>
              <w:rPr>
                <w:rFonts w:ascii="仿宋" w:eastAsia="仿宋" w:hAnsi="仿宋" w:cs="仿宋" w:hint="eastAsia"/>
                <w:sz w:val="24"/>
              </w:rPr>
              <w:t>纳税人提交</w:t>
            </w:r>
          </w:p>
        </w:tc>
        <w:tc>
          <w:tcPr>
            <w:tcW w:w="2358" w:type="dxa"/>
            <w:shd w:val="clear" w:color="auto" w:fill="FFFFFF"/>
            <w:tcMar>
              <w:right w:w="57" w:type="dxa"/>
            </w:tcMar>
            <w:vAlign w:val="center"/>
          </w:tcPr>
          <w:p w:rsidR="00013EC7" w:rsidRDefault="00575CDB">
            <w:pPr>
              <w:widowControl/>
              <w:spacing w:line="300" w:lineRule="exact"/>
              <w:jc w:val="left"/>
              <w:rPr>
                <w:rFonts w:ascii="仿宋" w:eastAsia="仿宋" w:hAnsi="仿宋" w:cs="仿宋"/>
                <w:kern w:val="1"/>
                <w:sz w:val="24"/>
              </w:rPr>
            </w:pPr>
            <w:r>
              <w:rPr>
                <w:rFonts w:ascii="仿宋" w:eastAsia="仿宋" w:hAnsi="仿宋" w:cs="仿宋" w:hint="eastAsia"/>
                <w:kern w:val="1"/>
                <w:sz w:val="24"/>
              </w:rPr>
              <w:t>（十三）</w:t>
            </w:r>
            <w:r>
              <w:rPr>
                <w:rFonts w:ascii="仿宋" w:eastAsia="仿宋" w:hAnsi="仿宋" w:cs="仿宋" w:hint="eastAsia"/>
                <w:sz w:val="24"/>
              </w:rPr>
              <w:t>高新技术企业资格证书。</w:t>
            </w:r>
          </w:p>
        </w:tc>
        <w:tc>
          <w:tcPr>
            <w:tcW w:w="2550" w:type="dxa"/>
            <w:shd w:val="clear" w:color="auto" w:fill="FFFFFF"/>
            <w:tcMar>
              <w:right w:w="57" w:type="dxa"/>
            </w:tcMar>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b/>
                <w:bCs/>
                <w:i/>
                <w:iCs/>
                <w:sz w:val="24"/>
              </w:rPr>
              <w:t>经办机构自行获取</w:t>
            </w:r>
          </w:p>
        </w:tc>
        <w:tc>
          <w:tcPr>
            <w:tcW w:w="2132" w:type="dxa"/>
            <w:shd w:val="clear" w:color="auto" w:fill="FFFFFF"/>
            <w:tcMar>
              <w:right w:w="57" w:type="dxa"/>
            </w:tcMar>
            <w:vAlign w:val="center"/>
          </w:tcPr>
          <w:p w:rsidR="00013EC7" w:rsidRDefault="00575CDB">
            <w:pPr>
              <w:widowControl/>
              <w:spacing w:line="300" w:lineRule="exact"/>
              <w:jc w:val="left"/>
              <w:rPr>
                <w:rFonts w:ascii="仿宋" w:eastAsia="仿宋" w:hAnsi="仿宋" w:cs="仿宋"/>
                <w:sz w:val="24"/>
              </w:rPr>
            </w:pPr>
            <w:r>
              <w:rPr>
                <w:rFonts w:ascii="仿宋" w:eastAsia="仿宋" w:hAnsi="仿宋" w:cs="仿宋" w:hint="eastAsia"/>
                <w:b/>
                <w:sz w:val="24"/>
              </w:rPr>
              <w:t>内部共享：</w:t>
            </w:r>
            <w:r>
              <w:rPr>
                <w:rFonts w:ascii="仿宋" w:eastAsia="仿宋" w:hAnsi="仿宋" w:cs="仿宋" w:hint="eastAsia"/>
                <w:sz w:val="24"/>
              </w:rPr>
              <w:t>内部共享获取相关信息。</w:t>
            </w:r>
          </w:p>
        </w:tc>
        <w:tc>
          <w:tcPr>
            <w:tcW w:w="700" w:type="dxa"/>
            <w:vMerge/>
            <w:shd w:val="clear" w:color="auto" w:fill="auto"/>
            <w:tcMar>
              <w:right w:w="57" w:type="dxa"/>
            </w:tcMar>
            <w:vAlign w:val="center"/>
          </w:tcPr>
          <w:p w:rsidR="00013EC7" w:rsidRDefault="00013EC7">
            <w:pPr>
              <w:spacing w:line="300" w:lineRule="exact"/>
              <w:jc w:val="left"/>
              <w:rPr>
                <w:rFonts w:ascii="仿宋_GB2312" w:eastAsia="仿宋_GB2312" w:hAnsi="仿宋" w:cs="仿宋"/>
                <w:sz w:val="24"/>
              </w:rPr>
            </w:pPr>
          </w:p>
        </w:tc>
        <w:tc>
          <w:tcPr>
            <w:tcW w:w="675" w:type="dxa"/>
            <w:vMerge/>
            <w:shd w:val="clear" w:color="auto" w:fill="auto"/>
            <w:tcMar>
              <w:right w:w="57" w:type="dxa"/>
            </w:tcMar>
            <w:vAlign w:val="center"/>
          </w:tcPr>
          <w:p w:rsidR="00013EC7" w:rsidRDefault="00013EC7">
            <w:pPr>
              <w:spacing w:line="300" w:lineRule="exact"/>
              <w:jc w:val="left"/>
              <w:rPr>
                <w:rFonts w:ascii="仿宋_GB2312" w:eastAsia="仿宋_GB2312" w:hAnsi="仿宋" w:cs="仿宋"/>
                <w:sz w:val="24"/>
              </w:rPr>
            </w:pPr>
          </w:p>
        </w:tc>
        <w:tc>
          <w:tcPr>
            <w:tcW w:w="700" w:type="dxa"/>
            <w:vMerge/>
            <w:shd w:val="clear" w:color="auto" w:fill="FFFFFF"/>
            <w:tcMar>
              <w:right w:w="57" w:type="dxa"/>
            </w:tcMar>
            <w:vAlign w:val="center"/>
          </w:tcPr>
          <w:p w:rsidR="00013EC7" w:rsidRDefault="00013EC7">
            <w:pPr>
              <w:spacing w:line="300" w:lineRule="exact"/>
              <w:jc w:val="left"/>
              <w:rPr>
                <w:rFonts w:ascii="仿宋_GB2312" w:eastAsia="仿宋_GB2312" w:hAnsi="仿宋" w:cs="仿宋"/>
                <w:sz w:val="24"/>
              </w:rPr>
            </w:pPr>
          </w:p>
        </w:tc>
        <w:tc>
          <w:tcPr>
            <w:tcW w:w="775" w:type="dxa"/>
            <w:vMerge/>
            <w:tcMar>
              <w:right w:w="57" w:type="dxa"/>
            </w:tcMar>
            <w:vAlign w:val="center"/>
          </w:tcPr>
          <w:p w:rsidR="00013EC7" w:rsidRDefault="00013EC7">
            <w:pPr>
              <w:spacing w:line="300" w:lineRule="exact"/>
              <w:jc w:val="left"/>
              <w:rPr>
                <w:rFonts w:ascii="仿宋_GB2312" w:eastAsia="仿宋_GB2312" w:hAnsi="仿宋" w:cs="仿宋"/>
                <w:sz w:val="24"/>
              </w:rPr>
            </w:pPr>
          </w:p>
        </w:tc>
        <w:tc>
          <w:tcPr>
            <w:tcW w:w="1157" w:type="dxa"/>
            <w:vMerge/>
            <w:tcMar>
              <w:right w:w="57" w:type="dxa"/>
            </w:tcMar>
            <w:vAlign w:val="center"/>
          </w:tcPr>
          <w:p w:rsidR="00013EC7" w:rsidRDefault="00013EC7">
            <w:pPr>
              <w:spacing w:line="300" w:lineRule="exact"/>
              <w:jc w:val="left"/>
              <w:rPr>
                <w:rFonts w:ascii="仿宋_GB2312" w:eastAsia="仿宋_GB2312" w:hAnsi="仿宋" w:cs="仿宋"/>
                <w:sz w:val="24"/>
              </w:rPr>
            </w:pPr>
          </w:p>
        </w:tc>
      </w:tr>
      <w:tr w:rsidR="00013EC7">
        <w:trPr>
          <w:trHeight w:val="2143"/>
          <w:jc w:val="center"/>
        </w:trPr>
        <w:tc>
          <w:tcPr>
            <w:tcW w:w="609" w:type="dxa"/>
            <w:vMerge/>
            <w:shd w:val="clear" w:color="auto" w:fill="auto"/>
            <w:tcMar>
              <w:right w:w="57" w:type="dxa"/>
            </w:tcMar>
            <w:vAlign w:val="center"/>
          </w:tcPr>
          <w:p w:rsidR="00013EC7" w:rsidRDefault="00013EC7">
            <w:pPr>
              <w:spacing w:line="300" w:lineRule="exact"/>
              <w:jc w:val="left"/>
              <w:rPr>
                <w:rFonts w:ascii="仿宋" w:eastAsia="仿宋" w:hAnsi="仿宋" w:cs="仿宋"/>
                <w:sz w:val="24"/>
              </w:rPr>
            </w:pPr>
          </w:p>
        </w:tc>
        <w:tc>
          <w:tcPr>
            <w:tcW w:w="625" w:type="dxa"/>
            <w:vMerge/>
            <w:shd w:val="clear" w:color="auto" w:fill="auto"/>
            <w:tcMar>
              <w:right w:w="57" w:type="dxa"/>
            </w:tcMar>
            <w:vAlign w:val="center"/>
          </w:tcPr>
          <w:p w:rsidR="00013EC7" w:rsidRDefault="00013EC7">
            <w:pPr>
              <w:spacing w:line="310" w:lineRule="exact"/>
              <w:jc w:val="left"/>
              <w:rPr>
                <w:rFonts w:ascii="仿宋" w:eastAsia="仿宋" w:hAnsi="仿宋" w:cs="仿宋"/>
                <w:sz w:val="24"/>
              </w:rPr>
            </w:pPr>
          </w:p>
        </w:tc>
        <w:tc>
          <w:tcPr>
            <w:tcW w:w="4371" w:type="dxa"/>
            <w:vMerge/>
            <w:shd w:val="clear" w:color="auto" w:fill="auto"/>
            <w:tcMar>
              <w:right w:w="57" w:type="dxa"/>
            </w:tcMar>
            <w:vAlign w:val="center"/>
          </w:tcPr>
          <w:p w:rsidR="00013EC7" w:rsidRDefault="00013EC7">
            <w:pPr>
              <w:spacing w:line="310" w:lineRule="exact"/>
              <w:jc w:val="left"/>
              <w:rPr>
                <w:rFonts w:ascii="仿宋" w:eastAsia="仿宋" w:hAnsi="仿宋" w:cs="仿宋"/>
                <w:sz w:val="24"/>
              </w:rPr>
            </w:pPr>
          </w:p>
        </w:tc>
        <w:tc>
          <w:tcPr>
            <w:tcW w:w="2646" w:type="dxa"/>
            <w:tcBorders>
              <w:top w:val="single" w:sz="4" w:space="0" w:color="auto"/>
            </w:tcBorders>
            <w:shd w:val="clear" w:color="auto" w:fill="FFFFFF"/>
            <w:tcMar>
              <w:right w:w="57" w:type="dxa"/>
            </w:tcMar>
            <w:vAlign w:val="center"/>
          </w:tcPr>
          <w:p w:rsidR="00013EC7" w:rsidRDefault="00575CDB">
            <w:pPr>
              <w:widowControl/>
              <w:spacing w:line="300" w:lineRule="exact"/>
              <w:jc w:val="left"/>
              <w:rPr>
                <w:rFonts w:ascii="仿宋" w:eastAsia="仿宋" w:hAnsi="仿宋" w:cs="仿宋"/>
                <w:kern w:val="1"/>
                <w:sz w:val="24"/>
              </w:rPr>
            </w:pPr>
            <w:r>
              <w:rPr>
                <w:rFonts w:ascii="仿宋" w:eastAsia="仿宋" w:hAnsi="仿宋" w:cs="仿宋" w:hint="eastAsia"/>
                <w:sz w:val="24"/>
                <w:shd w:val="clear" w:color="FFFFFF" w:fill="D9D9D9"/>
              </w:rPr>
              <w:t>（十五）本企业享受优惠的文件（限个案批复企业提交）。</w:t>
            </w:r>
          </w:p>
        </w:tc>
        <w:tc>
          <w:tcPr>
            <w:tcW w:w="2368" w:type="dxa"/>
            <w:tcBorders>
              <w:top w:val="single" w:sz="4" w:space="0" w:color="auto"/>
            </w:tcBorders>
            <w:shd w:val="clear" w:color="auto" w:fill="FFFFFF"/>
            <w:tcMar>
              <w:right w:w="57" w:type="dxa"/>
            </w:tcMar>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kern w:val="1"/>
                <w:sz w:val="24"/>
              </w:rPr>
              <w:t>办理民族自治地区企业所得税优惠备案的</w:t>
            </w:r>
            <w:r>
              <w:rPr>
                <w:rFonts w:ascii="仿宋" w:eastAsia="仿宋" w:hAnsi="仿宋" w:cs="仿宋" w:hint="eastAsia"/>
                <w:sz w:val="24"/>
              </w:rPr>
              <w:t>纳税人提交</w:t>
            </w:r>
          </w:p>
        </w:tc>
        <w:tc>
          <w:tcPr>
            <w:tcW w:w="2358" w:type="dxa"/>
            <w:shd w:val="clear" w:color="auto" w:fill="FFFFFF"/>
            <w:tcMar>
              <w:right w:w="57" w:type="dxa"/>
            </w:tcMar>
            <w:vAlign w:val="center"/>
          </w:tcPr>
          <w:p w:rsidR="00013EC7" w:rsidRDefault="00575CDB">
            <w:pPr>
              <w:widowControl/>
              <w:spacing w:line="300" w:lineRule="exact"/>
              <w:jc w:val="left"/>
              <w:rPr>
                <w:rFonts w:ascii="仿宋" w:eastAsia="仿宋" w:hAnsi="仿宋" w:cs="仿宋"/>
                <w:kern w:val="1"/>
                <w:sz w:val="24"/>
              </w:rPr>
            </w:pPr>
            <w:r>
              <w:rPr>
                <w:rFonts w:ascii="仿宋" w:eastAsia="仿宋" w:hAnsi="仿宋" w:cs="仿宋" w:hint="eastAsia"/>
                <w:kern w:val="1"/>
                <w:sz w:val="24"/>
              </w:rPr>
              <w:t>（十四）</w:t>
            </w:r>
            <w:r>
              <w:rPr>
                <w:rFonts w:ascii="仿宋" w:eastAsia="仿宋" w:hAnsi="仿宋" w:cs="仿宋" w:hint="eastAsia"/>
                <w:sz w:val="24"/>
              </w:rPr>
              <w:t>本企业享受优惠的文件（限个案批复企业提交）。</w:t>
            </w:r>
          </w:p>
        </w:tc>
        <w:tc>
          <w:tcPr>
            <w:tcW w:w="2550" w:type="dxa"/>
            <w:shd w:val="clear" w:color="auto" w:fill="FFFFFF"/>
            <w:tcMar>
              <w:right w:w="57" w:type="dxa"/>
            </w:tcMar>
            <w:vAlign w:val="center"/>
          </w:tcPr>
          <w:p w:rsidR="00013EC7" w:rsidRDefault="00575CDB">
            <w:pPr>
              <w:spacing w:line="300" w:lineRule="exact"/>
              <w:jc w:val="center"/>
              <w:rPr>
                <w:rFonts w:ascii="仿宋" w:eastAsia="仿宋" w:hAnsi="仿宋" w:cs="仿宋"/>
                <w:b/>
                <w:bCs/>
                <w:i/>
                <w:iCs/>
                <w:sz w:val="24"/>
              </w:rPr>
            </w:pPr>
            <w:r>
              <w:rPr>
                <w:rFonts w:ascii="仿宋" w:eastAsia="仿宋" w:hAnsi="仿宋" w:cs="仿宋" w:hint="eastAsia"/>
                <w:b/>
                <w:bCs/>
                <w:i/>
                <w:iCs/>
                <w:sz w:val="24"/>
              </w:rPr>
              <w:t>经办机构自行获取</w:t>
            </w:r>
          </w:p>
        </w:tc>
        <w:tc>
          <w:tcPr>
            <w:tcW w:w="2132" w:type="dxa"/>
            <w:shd w:val="clear" w:color="auto" w:fill="FFFFFF"/>
            <w:tcMar>
              <w:right w:w="57" w:type="dxa"/>
            </w:tcMar>
            <w:vAlign w:val="center"/>
          </w:tcPr>
          <w:p w:rsidR="00013EC7" w:rsidRDefault="00575CDB">
            <w:pPr>
              <w:widowControl/>
              <w:spacing w:line="300" w:lineRule="exact"/>
              <w:jc w:val="left"/>
              <w:rPr>
                <w:rFonts w:ascii="仿宋" w:eastAsia="仿宋" w:hAnsi="仿宋" w:cs="仿宋"/>
                <w:sz w:val="24"/>
              </w:rPr>
            </w:pPr>
            <w:r>
              <w:rPr>
                <w:rFonts w:ascii="仿宋" w:eastAsia="仿宋" w:hAnsi="仿宋" w:cs="仿宋" w:hint="eastAsia"/>
                <w:b/>
                <w:sz w:val="24"/>
              </w:rPr>
              <w:t>内部共享：</w:t>
            </w:r>
            <w:r>
              <w:rPr>
                <w:rFonts w:ascii="仿宋" w:eastAsia="仿宋" w:hAnsi="仿宋" w:cs="仿宋" w:hint="eastAsia"/>
                <w:sz w:val="24"/>
              </w:rPr>
              <w:t>内部共享获取相关信息。</w:t>
            </w:r>
          </w:p>
        </w:tc>
        <w:tc>
          <w:tcPr>
            <w:tcW w:w="700" w:type="dxa"/>
            <w:vMerge/>
            <w:shd w:val="clear" w:color="auto" w:fill="auto"/>
            <w:tcMar>
              <w:right w:w="57" w:type="dxa"/>
            </w:tcMar>
            <w:vAlign w:val="center"/>
          </w:tcPr>
          <w:p w:rsidR="00013EC7" w:rsidRDefault="00013EC7">
            <w:pPr>
              <w:spacing w:line="300" w:lineRule="exact"/>
              <w:jc w:val="left"/>
              <w:rPr>
                <w:rFonts w:ascii="仿宋_GB2312" w:eastAsia="仿宋_GB2312" w:hAnsi="仿宋" w:cs="仿宋"/>
                <w:sz w:val="24"/>
              </w:rPr>
            </w:pPr>
          </w:p>
        </w:tc>
        <w:tc>
          <w:tcPr>
            <w:tcW w:w="675" w:type="dxa"/>
            <w:vMerge/>
            <w:shd w:val="clear" w:color="auto" w:fill="auto"/>
            <w:tcMar>
              <w:right w:w="57" w:type="dxa"/>
            </w:tcMar>
            <w:vAlign w:val="center"/>
          </w:tcPr>
          <w:p w:rsidR="00013EC7" w:rsidRDefault="00013EC7">
            <w:pPr>
              <w:spacing w:line="300" w:lineRule="exact"/>
              <w:jc w:val="left"/>
              <w:rPr>
                <w:rFonts w:ascii="仿宋_GB2312" w:eastAsia="仿宋_GB2312" w:hAnsi="仿宋" w:cs="仿宋"/>
                <w:sz w:val="24"/>
              </w:rPr>
            </w:pPr>
          </w:p>
        </w:tc>
        <w:tc>
          <w:tcPr>
            <w:tcW w:w="700" w:type="dxa"/>
            <w:vMerge/>
            <w:shd w:val="clear" w:color="auto" w:fill="FFFFFF"/>
            <w:tcMar>
              <w:right w:w="57" w:type="dxa"/>
            </w:tcMar>
            <w:vAlign w:val="center"/>
          </w:tcPr>
          <w:p w:rsidR="00013EC7" w:rsidRDefault="00013EC7">
            <w:pPr>
              <w:spacing w:line="300" w:lineRule="exact"/>
              <w:jc w:val="left"/>
              <w:rPr>
                <w:rFonts w:ascii="仿宋_GB2312" w:eastAsia="仿宋_GB2312" w:hAnsi="仿宋" w:cs="仿宋"/>
                <w:sz w:val="24"/>
              </w:rPr>
            </w:pPr>
          </w:p>
        </w:tc>
        <w:tc>
          <w:tcPr>
            <w:tcW w:w="775" w:type="dxa"/>
            <w:vMerge/>
            <w:tcMar>
              <w:right w:w="57" w:type="dxa"/>
            </w:tcMar>
            <w:vAlign w:val="center"/>
          </w:tcPr>
          <w:p w:rsidR="00013EC7" w:rsidRDefault="00013EC7">
            <w:pPr>
              <w:spacing w:line="300" w:lineRule="exact"/>
              <w:jc w:val="left"/>
              <w:rPr>
                <w:rFonts w:ascii="仿宋_GB2312" w:eastAsia="仿宋_GB2312" w:hAnsi="仿宋" w:cs="仿宋"/>
                <w:sz w:val="24"/>
              </w:rPr>
            </w:pPr>
          </w:p>
        </w:tc>
        <w:tc>
          <w:tcPr>
            <w:tcW w:w="1157" w:type="dxa"/>
            <w:vMerge/>
            <w:tcMar>
              <w:right w:w="57" w:type="dxa"/>
            </w:tcMar>
            <w:vAlign w:val="center"/>
          </w:tcPr>
          <w:p w:rsidR="00013EC7" w:rsidRDefault="00013EC7">
            <w:pPr>
              <w:spacing w:line="300" w:lineRule="exact"/>
              <w:jc w:val="left"/>
              <w:rPr>
                <w:rFonts w:ascii="仿宋_GB2312" w:eastAsia="仿宋_GB2312" w:hAnsi="仿宋" w:cs="仿宋"/>
                <w:sz w:val="24"/>
              </w:rPr>
            </w:pPr>
          </w:p>
        </w:tc>
      </w:tr>
      <w:tr w:rsidR="00013EC7">
        <w:trPr>
          <w:trHeight w:val="2195"/>
          <w:jc w:val="center"/>
        </w:trPr>
        <w:tc>
          <w:tcPr>
            <w:tcW w:w="609" w:type="dxa"/>
            <w:vMerge/>
            <w:shd w:val="clear" w:color="auto" w:fill="auto"/>
            <w:tcMar>
              <w:right w:w="57" w:type="dxa"/>
            </w:tcMar>
            <w:vAlign w:val="center"/>
          </w:tcPr>
          <w:p w:rsidR="00013EC7" w:rsidRDefault="00013EC7">
            <w:pPr>
              <w:spacing w:line="300" w:lineRule="exact"/>
              <w:jc w:val="left"/>
              <w:rPr>
                <w:rFonts w:ascii="仿宋" w:eastAsia="仿宋" w:hAnsi="仿宋" w:cs="仿宋"/>
                <w:sz w:val="24"/>
              </w:rPr>
            </w:pPr>
          </w:p>
        </w:tc>
        <w:tc>
          <w:tcPr>
            <w:tcW w:w="625" w:type="dxa"/>
            <w:vMerge/>
            <w:shd w:val="clear" w:color="auto" w:fill="auto"/>
            <w:tcMar>
              <w:right w:w="57" w:type="dxa"/>
            </w:tcMar>
            <w:vAlign w:val="center"/>
          </w:tcPr>
          <w:p w:rsidR="00013EC7" w:rsidRDefault="00013EC7">
            <w:pPr>
              <w:spacing w:line="310" w:lineRule="exact"/>
              <w:jc w:val="left"/>
              <w:rPr>
                <w:rFonts w:ascii="仿宋" w:eastAsia="仿宋" w:hAnsi="仿宋" w:cs="仿宋"/>
                <w:sz w:val="24"/>
              </w:rPr>
            </w:pPr>
          </w:p>
        </w:tc>
        <w:tc>
          <w:tcPr>
            <w:tcW w:w="4371" w:type="dxa"/>
            <w:vMerge/>
            <w:shd w:val="clear" w:color="auto" w:fill="auto"/>
            <w:tcMar>
              <w:right w:w="57" w:type="dxa"/>
            </w:tcMar>
            <w:vAlign w:val="center"/>
          </w:tcPr>
          <w:p w:rsidR="00013EC7" w:rsidRDefault="00013EC7">
            <w:pPr>
              <w:spacing w:line="310" w:lineRule="exact"/>
              <w:jc w:val="left"/>
              <w:rPr>
                <w:rFonts w:ascii="仿宋" w:eastAsia="仿宋" w:hAnsi="仿宋" w:cs="仿宋"/>
                <w:sz w:val="24"/>
              </w:rPr>
            </w:pPr>
          </w:p>
        </w:tc>
        <w:tc>
          <w:tcPr>
            <w:tcW w:w="2646" w:type="dxa"/>
            <w:tcBorders>
              <w:top w:val="single" w:sz="4" w:space="0" w:color="auto"/>
            </w:tcBorders>
            <w:shd w:val="clear" w:color="auto" w:fill="FFFFFF"/>
            <w:tcMar>
              <w:right w:w="57" w:type="dxa"/>
            </w:tcMar>
            <w:vAlign w:val="center"/>
          </w:tcPr>
          <w:p w:rsidR="00013EC7" w:rsidRDefault="00575CDB">
            <w:pPr>
              <w:widowControl/>
              <w:spacing w:line="300" w:lineRule="exact"/>
              <w:jc w:val="left"/>
              <w:rPr>
                <w:rFonts w:ascii="仿宋" w:eastAsia="仿宋" w:hAnsi="仿宋" w:cs="仿宋"/>
                <w:kern w:val="1"/>
                <w:sz w:val="24"/>
              </w:rPr>
            </w:pPr>
            <w:r>
              <w:rPr>
                <w:rFonts w:ascii="仿宋" w:eastAsia="仿宋" w:hAnsi="仿宋" w:cs="仿宋" w:hint="eastAsia"/>
                <w:sz w:val="24"/>
                <w:shd w:val="clear" w:color="FFFFFF" w:fill="D9D9D9"/>
              </w:rPr>
              <w:t>（十六）有关部门对文化体制改革单位转制方案批复文件复印件。</w:t>
            </w:r>
          </w:p>
        </w:tc>
        <w:tc>
          <w:tcPr>
            <w:tcW w:w="2368" w:type="dxa"/>
            <w:tcBorders>
              <w:top w:val="single" w:sz="4" w:space="0" w:color="auto"/>
            </w:tcBorders>
            <w:shd w:val="clear" w:color="auto" w:fill="FFFFFF"/>
            <w:tcMar>
              <w:right w:w="57" w:type="dxa"/>
            </w:tcMar>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kern w:val="1"/>
                <w:sz w:val="24"/>
              </w:rPr>
              <w:t>办理经营性文化事业单位转制为企业的免征企业所得税备案的</w:t>
            </w:r>
            <w:r>
              <w:rPr>
                <w:rFonts w:ascii="仿宋" w:eastAsia="仿宋" w:hAnsi="仿宋" w:cs="仿宋" w:hint="eastAsia"/>
                <w:sz w:val="24"/>
              </w:rPr>
              <w:t>纳税人提交</w:t>
            </w:r>
          </w:p>
        </w:tc>
        <w:tc>
          <w:tcPr>
            <w:tcW w:w="2358" w:type="dxa"/>
            <w:shd w:val="clear" w:color="auto" w:fill="FFFFFF"/>
            <w:tcMar>
              <w:right w:w="57" w:type="dxa"/>
            </w:tcMar>
            <w:vAlign w:val="center"/>
          </w:tcPr>
          <w:p w:rsidR="00013EC7" w:rsidRDefault="00575CDB">
            <w:pPr>
              <w:widowControl/>
              <w:spacing w:line="300" w:lineRule="exact"/>
              <w:jc w:val="left"/>
              <w:rPr>
                <w:rFonts w:ascii="仿宋" w:eastAsia="仿宋" w:hAnsi="仿宋" w:cs="仿宋"/>
                <w:kern w:val="1"/>
                <w:sz w:val="24"/>
              </w:rPr>
            </w:pPr>
            <w:r>
              <w:rPr>
                <w:rFonts w:ascii="仿宋" w:eastAsia="仿宋" w:hAnsi="仿宋" w:cs="仿宋" w:hint="eastAsia"/>
                <w:kern w:val="1"/>
                <w:sz w:val="24"/>
              </w:rPr>
              <w:t>（十五）</w:t>
            </w:r>
            <w:r>
              <w:rPr>
                <w:rFonts w:ascii="仿宋" w:eastAsia="仿宋" w:hAnsi="仿宋" w:cs="仿宋" w:hint="eastAsia"/>
                <w:sz w:val="24"/>
              </w:rPr>
              <w:t>有关部门对文化体制改革单位转制方案批复文件。</w:t>
            </w:r>
          </w:p>
        </w:tc>
        <w:tc>
          <w:tcPr>
            <w:tcW w:w="2550" w:type="dxa"/>
            <w:shd w:val="clear" w:color="auto" w:fill="FFFFFF"/>
            <w:tcMar>
              <w:right w:w="57" w:type="dxa"/>
            </w:tcMar>
            <w:vAlign w:val="center"/>
          </w:tcPr>
          <w:p w:rsidR="00013EC7" w:rsidRDefault="00575CDB">
            <w:pPr>
              <w:spacing w:line="300" w:lineRule="exact"/>
              <w:jc w:val="center"/>
              <w:rPr>
                <w:rFonts w:ascii="仿宋" w:eastAsia="仿宋" w:hAnsi="仿宋" w:cs="仿宋"/>
                <w:b/>
                <w:bCs/>
                <w:i/>
                <w:iCs/>
                <w:sz w:val="24"/>
              </w:rPr>
            </w:pPr>
            <w:r>
              <w:rPr>
                <w:rFonts w:ascii="仿宋" w:eastAsia="仿宋" w:hAnsi="仿宋" w:cs="仿宋" w:hint="eastAsia"/>
                <w:b/>
                <w:bCs/>
                <w:i/>
                <w:iCs/>
                <w:sz w:val="24"/>
              </w:rPr>
              <w:t>经办机构自行获取</w:t>
            </w:r>
          </w:p>
        </w:tc>
        <w:tc>
          <w:tcPr>
            <w:tcW w:w="2132" w:type="dxa"/>
            <w:shd w:val="clear" w:color="auto" w:fill="FFFFFF"/>
            <w:tcMar>
              <w:right w:w="57" w:type="dxa"/>
            </w:tcMar>
            <w:vAlign w:val="center"/>
          </w:tcPr>
          <w:p w:rsidR="00013EC7" w:rsidRDefault="00575CDB">
            <w:pPr>
              <w:widowControl/>
              <w:spacing w:line="300" w:lineRule="exact"/>
              <w:jc w:val="left"/>
              <w:rPr>
                <w:rFonts w:ascii="仿宋" w:eastAsia="仿宋" w:hAnsi="仿宋" w:cs="仿宋"/>
                <w:sz w:val="24"/>
              </w:rPr>
            </w:pPr>
            <w:r>
              <w:rPr>
                <w:rFonts w:ascii="仿宋" w:eastAsia="仿宋" w:hAnsi="仿宋" w:cs="仿宋" w:hint="eastAsia"/>
                <w:b/>
                <w:sz w:val="24"/>
              </w:rPr>
              <w:t>内部共享：</w:t>
            </w:r>
            <w:r>
              <w:rPr>
                <w:rFonts w:ascii="仿宋" w:eastAsia="仿宋" w:hAnsi="仿宋" w:cs="仿宋" w:hint="eastAsia"/>
                <w:sz w:val="24"/>
              </w:rPr>
              <w:t>内部共享获取相关信息。</w:t>
            </w:r>
          </w:p>
        </w:tc>
        <w:tc>
          <w:tcPr>
            <w:tcW w:w="700" w:type="dxa"/>
            <w:vMerge/>
            <w:shd w:val="clear" w:color="auto" w:fill="auto"/>
            <w:tcMar>
              <w:right w:w="57" w:type="dxa"/>
            </w:tcMar>
            <w:vAlign w:val="center"/>
          </w:tcPr>
          <w:p w:rsidR="00013EC7" w:rsidRDefault="00013EC7">
            <w:pPr>
              <w:spacing w:line="300" w:lineRule="exact"/>
              <w:jc w:val="left"/>
              <w:rPr>
                <w:rFonts w:ascii="仿宋_GB2312" w:eastAsia="仿宋_GB2312" w:hAnsi="仿宋" w:cs="仿宋"/>
                <w:sz w:val="24"/>
              </w:rPr>
            </w:pPr>
          </w:p>
        </w:tc>
        <w:tc>
          <w:tcPr>
            <w:tcW w:w="675" w:type="dxa"/>
            <w:vMerge/>
            <w:shd w:val="clear" w:color="auto" w:fill="auto"/>
            <w:tcMar>
              <w:right w:w="57" w:type="dxa"/>
            </w:tcMar>
            <w:vAlign w:val="center"/>
          </w:tcPr>
          <w:p w:rsidR="00013EC7" w:rsidRDefault="00013EC7">
            <w:pPr>
              <w:spacing w:line="300" w:lineRule="exact"/>
              <w:jc w:val="left"/>
              <w:rPr>
                <w:rFonts w:ascii="仿宋_GB2312" w:eastAsia="仿宋_GB2312" w:hAnsi="仿宋" w:cs="仿宋"/>
                <w:sz w:val="24"/>
              </w:rPr>
            </w:pPr>
          </w:p>
        </w:tc>
        <w:tc>
          <w:tcPr>
            <w:tcW w:w="700" w:type="dxa"/>
            <w:vMerge/>
            <w:shd w:val="clear" w:color="auto" w:fill="FFFFFF"/>
            <w:tcMar>
              <w:right w:w="57" w:type="dxa"/>
            </w:tcMar>
            <w:vAlign w:val="center"/>
          </w:tcPr>
          <w:p w:rsidR="00013EC7" w:rsidRDefault="00013EC7">
            <w:pPr>
              <w:spacing w:line="300" w:lineRule="exact"/>
              <w:jc w:val="left"/>
              <w:rPr>
                <w:rFonts w:ascii="仿宋_GB2312" w:eastAsia="仿宋_GB2312" w:hAnsi="仿宋" w:cs="仿宋"/>
                <w:sz w:val="24"/>
              </w:rPr>
            </w:pPr>
          </w:p>
        </w:tc>
        <w:tc>
          <w:tcPr>
            <w:tcW w:w="775" w:type="dxa"/>
            <w:vMerge/>
            <w:tcMar>
              <w:right w:w="57" w:type="dxa"/>
            </w:tcMar>
            <w:vAlign w:val="center"/>
          </w:tcPr>
          <w:p w:rsidR="00013EC7" w:rsidRDefault="00013EC7">
            <w:pPr>
              <w:spacing w:line="300" w:lineRule="exact"/>
              <w:jc w:val="left"/>
              <w:rPr>
                <w:rFonts w:ascii="仿宋_GB2312" w:eastAsia="仿宋_GB2312" w:hAnsi="仿宋" w:cs="仿宋"/>
                <w:sz w:val="24"/>
              </w:rPr>
            </w:pPr>
          </w:p>
        </w:tc>
        <w:tc>
          <w:tcPr>
            <w:tcW w:w="1157" w:type="dxa"/>
            <w:vMerge/>
            <w:tcMar>
              <w:right w:w="57" w:type="dxa"/>
            </w:tcMar>
            <w:vAlign w:val="center"/>
          </w:tcPr>
          <w:p w:rsidR="00013EC7" w:rsidRDefault="00013EC7">
            <w:pPr>
              <w:spacing w:line="300" w:lineRule="exact"/>
              <w:jc w:val="left"/>
              <w:rPr>
                <w:rFonts w:ascii="仿宋_GB2312" w:eastAsia="仿宋_GB2312" w:hAnsi="仿宋" w:cs="仿宋"/>
                <w:sz w:val="24"/>
              </w:rPr>
            </w:pPr>
          </w:p>
        </w:tc>
      </w:tr>
      <w:tr w:rsidR="00013EC7">
        <w:trPr>
          <w:trHeight w:val="2615"/>
          <w:jc w:val="center"/>
        </w:trPr>
        <w:tc>
          <w:tcPr>
            <w:tcW w:w="609" w:type="dxa"/>
            <w:vMerge/>
            <w:shd w:val="clear" w:color="auto" w:fill="auto"/>
            <w:tcMar>
              <w:right w:w="57" w:type="dxa"/>
            </w:tcMar>
            <w:vAlign w:val="center"/>
          </w:tcPr>
          <w:p w:rsidR="00013EC7" w:rsidRDefault="00013EC7">
            <w:pPr>
              <w:spacing w:line="300" w:lineRule="exact"/>
              <w:jc w:val="left"/>
              <w:rPr>
                <w:rFonts w:ascii="仿宋" w:eastAsia="仿宋" w:hAnsi="仿宋" w:cs="仿宋"/>
                <w:sz w:val="24"/>
              </w:rPr>
            </w:pPr>
          </w:p>
        </w:tc>
        <w:tc>
          <w:tcPr>
            <w:tcW w:w="625" w:type="dxa"/>
            <w:vMerge/>
            <w:shd w:val="clear" w:color="auto" w:fill="auto"/>
            <w:tcMar>
              <w:right w:w="57" w:type="dxa"/>
            </w:tcMar>
            <w:vAlign w:val="center"/>
          </w:tcPr>
          <w:p w:rsidR="00013EC7" w:rsidRDefault="00013EC7">
            <w:pPr>
              <w:spacing w:line="310" w:lineRule="exact"/>
              <w:jc w:val="left"/>
              <w:rPr>
                <w:rFonts w:ascii="仿宋" w:eastAsia="仿宋" w:hAnsi="仿宋" w:cs="仿宋"/>
                <w:sz w:val="24"/>
              </w:rPr>
            </w:pPr>
          </w:p>
        </w:tc>
        <w:tc>
          <w:tcPr>
            <w:tcW w:w="4371" w:type="dxa"/>
            <w:vMerge/>
            <w:shd w:val="clear" w:color="auto" w:fill="auto"/>
            <w:tcMar>
              <w:right w:w="57" w:type="dxa"/>
            </w:tcMar>
            <w:vAlign w:val="center"/>
          </w:tcPr>
          <w:p w:rsidR="00013EC7" w:rsidRDefault="00013EC7">
            <w:pPr>
              <w:spacing w:line="310" w:lineRule="exact"/>
              <w:jc w:val="left"/>
              <w:rPr>
                <w:rFonts w:ascii="仿宋" w:eastAsia="仿宋" w:hAnsi="仿宋" w:cs="仿宋"/>
                <w:sz w:val="24"/>
              </w:rPr>
            </w:pPr>
          </w:p>
        </w:tc>
        <w:tc>
          <w:tcPr>
            <w:tcW w:w="2646" w:type="dxa"/>
            <w:tcBorders>
              <w:top w:val="single" w:sz="4" w:space="0" w:color="auto"/>
            </w:tcBorders>
            <w:shd w:val="clear" w:color="auto" w:fill="FFFFFF"/>
            <w:tcMar>
              <w:right w:w="57" w:type="dxa"/>
            </w:tcMar>
            <w:vAlign w:val="center"/>
          </w:tcPr>
          <w:p w:rsidR="00013EC7" w:rsidRDefault="00575CDB">
            <w:pPr>
              <w:widowControl/>
              <w:spacing w:line="300" w:lineRule="exact"/>
              <w:jc w:val="left"/>
              <w:rPr>
                <w:rFonts w:ascii="仿宋" w:eastAsia="仿宋" w:hAnsi="仿宋" w:cs="仿宋"/>
                <w:kern w:val="1"/>
                <w:sz w:val="24"/>
              </w:rPr>
            </w:pPr>
            <w:r>
              <w:rPr>
                <w:rFonts w:ascii="仿宋" w:eastAsia="仿宋" w:hAnsi="仿宋" w:cs="仿宋" w:hint="eastAsia"/>
                <w:sz w:val="24"/>
                <w:shd w:val="clear" w:color="FFFFFF" w:fill="D9D9D9"/>
              </w:rPr>
              <w:t>（十七）动漫企业认定文件复印件。</w:t>
            </w:r>
          </w:p>
        </w:tc>
        <w:tc>
          <w:tcPr>
            <w:tcW w:w="2368" w:type="dxa"/>
            <w:tcBorders>
              <w:top w:val="single" w:sz="4" w:space="0" w:color="auto"/>
            </w:tcBorders>
            <w:shd w:val="clear" w:color="auto" w:fill="FFFFFF"/>
            <w:tcMar>
              <w:right w:w="57" w:type="dxa"/>
            </w:tcMar>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kern w:val="1"/>
                <w:sz w:val="24"/>
              </w:rPr>
              <w:t>办理动漫企业自主开发、生产动漫产品定期减免征收企业所得税备案的</w:t>
            </w:r>
            <w:r>
              <w:rPr>
                <w:rFonts w:ascii="仿宋" w:eastAsia="仿宋" w:hAnsi="仿宋" w:cs="仿宋" w:hint="eastAsia"/>
                <w:sz w:val="24"/>
              </w:rPr>
              <w:t>纳税人提交</w:t>
            </w:r>
          </w:p>
        </w:tc>
        <w:tc>
          <w:tcPr>
            <w:tcW w:w="2358" w:type="dxa"/>
            <w:shd w:val="clear" w:color="auto" w:fill="FFFFFF"/>
            <w:tcMar>
              <w:right w:w="57" w:type="dxa"/>
            </w:tcMar>
            <w:vAlign w:val="center"/>
          </w:tcPr>
          <w:p w:rsidR="00013EC7" w:rsidRDefault="00575CDB">
            <w:pPr>
              <w:widowControl/>
              <w:spacing w:line="300" w:lineRule="exact"/>
              <w:jc w:val="left"/>
              <w:rPr>
                <w:rFonts w:ascii="仿宋" w:eastAsia="仿宋" w:hAnsi="仿宋" w:cs="仿宋"/>
                <w:kern w:val="1"/>
                <w:sz w:val="24"/>
              </w:rPr>
            </w:pPr>
            <w:r>
              <w:rPr>
                <w:rFonts w:ascii="仿宋" w:eastAsia="仿宋" w:hAnsi="仿宋" w:cs="仿宋" w:hint="eastAsia"/>
                <w:kern w:val="1"/>
                <w:sz w:val="24"/>
              </w:rPr>
              <w:t>（十六）</w:t>
            </w:r>
            <w:r>
              <w:rPr>
                <w:rFonts w:ascii="仿宋" w:eastAsia="仿宋" w:hAnsi="仿宋" w:cs="仿宋" w:hint="eastAsia"/>
                <w:sz w:val="24"/>
              </w:rPr>
              <w:t>动漫企业认定文件。</w:t>
            </w:r>
          </w:p>
        </w:tc>
        <w:tc>
          <w:tcPr>
            <w:tcW w:w="2550" w:type="dxa"/>
            <w:shd w:val="clear" w:color="auto" w:fill="FFFFFF"/>
            <w:tcMar>
              <w:right w:w="57" w:type="dxa"/>
            </w:tcMar>
            <w:vAlign w:val="center"/>
          </w:tcPr>
          <w:p w:rsidR="00013EC7" w:rsidRDefault="00575CDB">
            <w:pPr>
              <w:spacing w:line="300" w:lineRule="exact"/>
              <w:jc w:val="center"/>
              <w:rPr>
                <w:rFonts w:ascii="仿宋" w:eastAsia="仿宋" w:hAnsi="仿宋" w:cs="仿宋"/>
                <w:b/>
                <w:bCs/>
                <w:i/>
                <w:iCs/>
                <w:sz w:val="24"/>
              </w:rPr>
            </w:pPr>
            <w:r>
              <w:rPr>
                <w:rFonts w:ascii="仿宋" w:eastAsia="仿宋" w:hAnsi="仿宋" w:cs="仿宋" w:hint="eastAsia"/>
                <w:b/>
                <w:bCs/>
                <w:i/>
                <w:iCs/>
                <w:sz w:val="24"/>
              </w:rPr>
              <w:t>经办机构自行获取</w:t>
            </w:r>
          </w:p>
        </w:tc>
        <w:tc>
          <w:tcPr>
            <w:tcW w:w="2132" w:type="dxa"/>
            <w:shd w:val="clear" w:color="auto" w:fill="FFFFFF"/>
            <w:tcMar>
              <w:right w:w="57" w:type="dxa"/>
            </w:tcMar>
            <w:vAlign w:val="center"/>
          </w:tcPr>
          <w:p w:rsidR="00013EC7" w:rsidRDefault="00575CDB">
            <w:pPr>
              <w:widowControl/>
              <w:spacing w:line="300" w:lineRule="exact"/>
              <w:jc w:val="left"/>
              <w:rPr>
                <w:rFonts w:ascii="仿宋" w:eastAsia="仿宋" w:hAnsi="仿宋" w:cs="仿宋"/>
                <w:sz w:val="24"/>
              </w:rPr>
            </w:pPr>
            <w:r>
              <w:rPr>
                <w:rFonts w:ascii="仿宋" w:eastAsia="仿宋" w:hAnsi="仿宋" w:cs="仿宋" w:hint="eastAsia"/>
                <w:b/>
                <w:sz w:val="24"/>
              </w:rPr>
              <w:t>内部共享：</w:t>
            </w:r>
            <w:r>
              <w:rPr>
                <w:rFonts w:ascii="仿宋" w:eastAsia="仿宋" w:hAnsi="仿宋" w:cs="仿宋" w:hint="eastAsia"/>
                <w:sz w:val="24"/>
              </w:rPr>
              <w:t>内部共享获取相关信息。</w:t>
            </w:r>
          </w:p>
        </w:tc>
        <w:tc>
          <w:tcPr>
            <w:tcW w:w="700" w:type="dxa"/>
            <w:vMerge/>
            <w:shd w:val="clear" w:color="auto" w:fill="auto"/>
            <w:tcMar>
              <w:right w:w="57" w:type="dxa"/>
            </w:tcMar>
            <w:vAlign w:val="center"/>
          </w:tcPr>
          <w:p w:rsidR="00013EC7" w:rsidRDefault="00013EC7">
            <w:pPr>
              <w:spacing w:line="300" w:lineRule="exact"/>
              <w:jc w:val="left"/>
              <w:rPr>
                <w:rFonts w:ascii="仿宋_GB2312" w:eastAsia="仿宋_GB2312" w:hAnsi="仿宋" w:cs="仿宋"/>
                <w:sz w:val="24"/>
              </w:rPr>
            </w:pPr>
          </w:p>
        </w:tc>
        <w:tc>
          <w:tcPr>
            <w:tcW w:w="675" w:type="dxa"/>
            <w:vMerge/>
            <w:shd w:val="clear" w:color="auto" w:fill="auto"/>
            <w:tcMar>
              <w:right w:w="57" w:type="dxa"/>
            </w:tcMar>
            <w:vAlign w:val="center"/>
          </w:tcPr>
          <w:p w:rsidR="00013EC7" w:rsidRDefault="00013EC7">
            <w:pPr>
              <w:spacing w:line="300" w:lineRule="exact"/>
              <w:jc w:val="left"/>
              <w:rPr>
                <w:rFonts w:ascii="仿宋_GB2312" w:eastAsia="仿宋_GB2312" w:hAnsi="仿宋" w:cs="仿宋"/>
                <w:sz w:val="24"/>
              </w:rPr>
            </w:pPr>
          </w:p>
        </w:tc>
        <w:tc>
          <w:tcPr>
            <w:tcW w:w="700" w:type="dxa"/>
            <w:vMerge/>
            <w:shd w:val="clear" w:color="auto" w:fill="FFFFFF"/>
            <w:tcMar>
              <w:right w:w="57" w:type="dxa"/>
            </w:tcMar>
            <w:vAlign w:val="center"/>
          </w:tcPr>
          <w:p w:rsidR="00013EC7" w:rsidRDefault="00013EC7">
            <w:pPr>
              <w:spacing w:line="300" w:lineRule="exact"/>
              <w:jc w:val="left"/>
              <w:rPr>
                <w:rFonts w:ascii="仿宋_GB2312" w:eastAsia="仿宋_GB2312" w:hAnsi="仿宋" w:cs="仿宋"/>
                <w:sz w:val="24"/>
              </w:rPr>
            </w:pPr>
          </w:p>
        </w:tc>
        <w:tc>
          <w:tcPr>
            <w:tcW w:w="775" w:type="dxa"/>
            <w:vMerge/>
            <w:tcMar>
              <w:right w:w="57" w:type="dxa"/>
            </w:tcMar>
            <w:vAlign w:val="center"/>
          </w:tcPr>
          <w:p w:rsidR="00013EC7" w:rsidRDefault="00013EC7">
            <w:pPr>
              <w:spacing w:line="300" w:lineRule="exact"/>
              <w:jc w:val="left"/>
              <w:rPr>
                <w:rFonts w:ascii="仿宋_GB2312" w:eastAsia="仿宋_GB2312" w:hAnsi="仿宋" w:cs="仿宋"/>
                <w:sz w:val="24"/>
              </w:rPr>
            </w:pPr>
          </w:p>
        </w:tc>
        <w:tc>
          <w:tcPr>
            <w:tcW w:w="1157" w:type="dxa"/>
            <w:vMerge/>
            <w:tcMar>
              <w:right w:w="57" w:type="dxa"/>
            </w:tcMar>
            <w:vAlign w:val="center"/>
          </w:tcPr>
          <w:p w:rsidR="00013EC7" w:rsidRDefault="00013EC7">
            <w:pPr>
              <w:spacing w:line="300" w:lineRule="exact"/>
              <w:jc w:val="left"/>
              <w:rPr>
                <w:rFonts w:ascii="仿宋_GB2312" w:eastAsia="仿宋_GB2312" w:hAnsi="仿宋" w:cs="仿宋"/>
                <w:sz w:val="24"/>
              </w:rPr>
            </w:pPr>
          </w:p>
        </w:tc>
      </w:tr>
      <w:tr w:rsidR="00013EC7">
        <w:trPr>
          <w:trHeight w:val="2979"/>
          <w:jc w:val="center"/>
        </w:trPr>
        <w:tc>
          <w:tcPr>
            <w:tcW w:w="609" w:type="dxa"/>
            <w:vMerge/>
            <w:shd w:val="clear" w:color="auto" w:fill="auto"/>
            <w:tcMar>
              <w:right w:w="57" w:type="dxa"/>
            </w:tcMar>
            <w:vAlign w:val="center"/>
          </w:tcPr>
          <w:p w:rsidR="00013EC7" w:rsidRDefault="00013EC7">
            <w:pPr>
              <w:spacing w:line="300" w:lineRule="exact"/>
              <w:jc w:val="left"/>
              <w:rPr>
                <w:rFonts w:ascii="仿宋" w:eastAsia="仿宋" w:hAnsi="仿宋" w:cs="仿宋"/>
                <w:sz w:val="24"/>
              </w:rPr>
            </w:pPr>
          </w:p>
        </w:tc>
        <w:tc>
          <w:tcPr>
            <w:tcW w:w="625" w:type="dxa"/>
            <w:vMerge/>
            <w:shd w:val="clear" w:color="auto" w:fill="auto"/>
            <w:tcMar>
              <w:right w:w="57" w:type="dxa"/>
            </w:tcMar>
            <w:vAlign w:val="center"/>
          </w:tcPr>
          <w:p w:rsidR="00013EC7" w:rsidRDefault="00013EC7">
            <w:pPr>
              <w:spacing w:line="310" w:lineRule="exact"/>
              <w:jc w:val="left"/>
              <w:rPr>
                <w:rFonts w:ascii="仿宋" w:eastAsia="仿宋" w:hAnsi="仿宋" w:cs="仿宋"/>
                <w:sz w:val="24"/>
              </w:rPr>
            </w:pPr>
          </w:p>
        </w:tc>
        <w:tc>
          <w:tcPr>
            <w:tcW w:w="4371" w:type="dxa"/>
            <w:vMerge/>
            <w:shd w:val="clear" w:color="auto" w:fill="auto"/>
            <w:tcMar>
              <w:right w:w="57" w:type="dxa"/>
            </w:tcMar>
            <w:vAlign w:val="center"/>
          </w:tcPr>
          <w:p w:rsidR="00013EC7" w:rsidRDefault="00013EC7">
            <w:pPr>
              <w:spacing w:line="310" w:lineRule="exact"/>
              <w:jc w:val="left"/>
              <w:rPr>
                <w:rFonts w:ascii="仿宋" w:eastAsia="仿宋" w:hAnsi="仿宋" w:cs="仿宋"/>
                <w:sz w:val="24"/>
              </w:rPr>
            </w:pPr>
          </w:p>
        </w:tc>
        <w:tc>
          <w:tcPr>
            <w:tcW w:w="2646" w:type="dxa"/>
            <w:tcBorders>
              <w:top w:val="single" w:sz="4" w:space="0" w:color="auto"/>
            </w:tcBorders>
            <w:shd w:val="clear" w:color="auto" w:fill="FFFFFF"/>
            <w:tcMar>
              <w:right w:w="57" w:type="dxa"/>
            </w:tcMar>
            <w:vAlign w:val="center"/>
          </w:tcPr>
          <w:p w:rsidR="00013EC7" w:rsidRDefault="00575CDB">
            <w:pPr>
              <w:widowControl/>
              <w:spacing w:line="300" w:lineRule="exact"/>
              <w:jc w:val="left"/>
              <w:rPr>
                <w:rFonts w:ascii="仿宋" w:eastAsia="仿宋" w:hAnsi="仿宋" w:cs="仿宋"/>
                <w:kern w:val="1"/>
                <w:sz w:val="24"/>
              </w:rPr>
            </w:pPr>
            <w:r>
              <w:rPr>
                <w:rFonts w:ascii="仿宋" w:eastAsia="仿宋" w:hAnsi="仿宋" w:cs="仿宋" w:hint="eastAsia"/>
                <w:sz w:val="24"/>
                <w:shd w:val="clear" w:color="FFFFFF" w:fill="D9D9D9"/>
              </w:rPr>
              <w:t>（十八）技术先进型服务企业资格证书复印件。</w:t>
            </w:r>
          </w:p>
        </w:tc>
        <w:tc>
          <w:tcPr>
            <w:tcW w:w="2368" w:type="dxa"/>
            <w:tcBorders>
              <w:top w:val="single" w:sz="4" w:space="0" w:color="auto"/>
            </w:tcBorders>
            <w:shd w:val="clear" w:color="auto" w:fill="FFFFFF"/>
            <w:tcMar>
              <w:right w:w="57" w:type="dxa"/>
            </w:tcMar>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kern w:val="1"/>
                <w:sz w:val="24"/>
              </w:rPr>
              <w:t>办理技术先进型服务企业减按15%的税率征收企业所得税备案的</w:t>
            </w:r>
            <w:r>
              <w:rPr>
                <w:rFonts w:ascii="仿宋" w:eastAsia="仿宋" w:hAnsi="仿宋" w:cs="仿宋" w:hint="eastAsia"/>
                <w:sz w:val="24"/>
              </w:rPr>
              <w:t>纳税人提交</w:t>
            </w:r>
          </w:p>
        </w:tc>
        <w:tc>
          <w:tcPr>
            <w:tcW w:w="2358" w:type="dxa"/>
            <w:shd w:val="clear" w:color="auto" w:fill="FFFFFF"/>
            <w:tcMar>
              <w:right w:w="57" w:type="dxa"/>
            </w:tcMar>
            <w:vAlign w:val="center"/>
          </w:tcPr>
          <w:p w:rsidR="00013EC7" w:rsidRDefault="00575CDB">
            <w:pPr>
              <w:widowControl/>
              <w:spacing w:line="300" w:lineRule="exact"/>
              <w:jc w:val="left"/>
              <w:rPr>
                <w:rFonts w:ascii="仿宋" w:eastAsia="仿宋" w:hAnsi="仿宋" w:cs="仿宋"/>
                <w:kern w:val="1"/>
                <w:sz w:val="24"/>
              </w:rPr>
            </w:pPr>
            <w:r>
              <w:rPr>
                <w:rFonts w:ascii="仿宋" w:eastAsia="仿宋" w:hAnsi="仿宋" w:cs="仿宋" w:hint="eastAsia"/>
                <w:kern w:val="1"/>
                <w:sz w:val="24"/>
              </w:rPr>
              <w:t>（十七）</w:t>
            </w:r>
            <w:r>
              <w:rPr>
                <w:rFonts w:ascii="仿宋" w:eastAsia="仿宋" w:hAnsi="仿宋" w:cs="仿宋" w:hint="eastAsia"/>
                <w:sz w:val="24"/>
              </w:rPr>
              <w:t>技术先进型服务企业资格证书。</w:t>
            </w:r>
          </w:p>
        </w:tc>
        <w:tc>
          <w:tcPr>
            <w:tcW w:w="2550" w:type="dxa"/>
            <w:shd w:val="clear" w:color="auto" w:fill="FFFFFF"/>
            <w:tcMar>
              <w:right w:w="57" w:type="dxa"/>
            </w:tcMar>
            <w:vAlign w:val="center"/>
          </w:tcPr>
          <w:p w:rsidR="00013EC7" w:rsidRDefault="00575CDB">
            <w:pPr>
              <w:spacing w:line="300" w:lineRule="exact"/>
              <w:jc w:val="center"/>
              <w:rPr>
                <w:rFonts w:ascii="仿宋" w:eastAsia="仿宋" w:hAnsi="仿宋" w:cs="仿宋"/>
                <w:b/>
                <w:bCs/>
                <w:i/>
                <w:iCs/>
                <w:sz w:val="24"/>
              </w:rPr>
            </w:pPr>
            <w:r>
              <w:rPr>
                <w:rFonts w:ascii="仿宋" w:eastAsia="仿宋" w:hAnsi="仿宋" w:cs="仿宋" w:hint="eastAsia"/>
                <w:b/>
                <w:bCs/>
                <w:i/>
                <w:iCs/>
                <w:sz w:val="24"/>
              </w:rPr>
              <w:t>经办机构自行获取</w:t>
            </w:r>
          </w:p>
        </w:tc>
        <w:tc>
          <w:tcPr>
            <w:tcW w:w="2132" w:type="dxa"/>
            <w:shd w:val="clear" w:color="auto" w:fill="FFFFFF"/>
            <w:tcMar>
              <w:right w:w="57" w:type="dxa"/>
            </w:tcMar>
            <w:vAlign w:val="center"/>
          </w:tcPr>
          <w:p w:rsidR="00013EC7" w:rsidRDefault="00575CDB">
            <w:pPr>
              <w:widowControl/>
              <w:spacing w:line="300" w:lineRule="exact"/>
              <w:jc w:val="left"/>
              <w:rPr>
                <w:rFonts w:ascii="仿宋" w:eastAsia="仿宋" w:hAnsi="仿宋" w:cs="仿宋"/>
                <w:sz w:val="24"/>
              </w:rPr>
            </w:pPr>
            <w:r>
              <w:rPr>
                <w:rFonts w:ascii="仿宋" w:eastAsia="仿宋" w:hAnsi="仿宋" w:cs="仿宋" w:hint="eastAsia"/>
                <w:b/>
                <w:sz w:val="24"/>
              </w:rPr>
              <w:t>内部共享：</w:t>
            </w:r>
            <w:r>
              <w:rPr>
                <w:rFonts w:ascii="仿宋" w:eastAsia="仿宋" w:hAnsi="仿宋" w:cs="仿宋" w:hint="eastAsia"/>
                <w:sz w:val="24"/>
              </w:rPr>
              <w:t>内部共享获取相关信息。</w:t>
            </w:r>
          </w:p>
        </w:tc>
        <w:tc>
          <w:tcPr>
            <w:tcW w:w="700" w:type="dxa"/>
            <w:vMerge/>
            <w:shd w:val="clear" w:color="auto" w:fill="auto"/>
            <w:tcMar>
              <w:right w:w="57" w:type="dxa"/>
            </w:tcMar>
            <w:vAlign w:val="center"/>
          </w:tcPr>
          <w:p w:rsidR="00013EC7" w:rsidRDefault="00013EC7">
            <w:pPr>
              <w:spacing w:line="300" w:lineRule="exact"/>
              <w:jc w:val="left"/>
              <w:rPr>
                <w:rFonts w:ascii="仿宋_GB2312" w:eastAsia="仿宋_GB2312" w:hAnsi="仿宋" w:cs="仿宋"/>
                <w:sz w:val="24"/>
              </w:rPr>
            </w:pPr>
          </w:p>
        </w:tc>
        <w:tc>
          <w:tcPr>
            <w:tcW w:w="675" w:type="dxa"/>
            <w:vMerge/>
            <w:shd w:val="clear" w:color="auto" w:fill="auto"/>
            <w:tcMar>
              <w:right w:w="57" w:type="dxa"/>
            </w:tcMar>
            <w:vAlign w:val="center"/>
          </w:tcPr>
          <w:p w:rsidR="00013EC7" w:rsidRDefault="00013EC7">
            <w:pPr>
              <w:spacing w:line="300" w:lineRule="exact"/>
              <w:jc w:val="left"/>
              <w:rPr>
                <w:rFonts w:ascii="仿宋_GB2312" w:eastAsia="仿宋_GB2312" w:hAnsi="仿宋" w:cs="仿宋"/>
                <w:sz w:val="24"/>
              </w:rPr>
            </w:pPr>
          </w:p>
        </w:tc>
        <w:tc>
          <w:tcPr>
            <w:tcW w:w="700" w:type="dxa"/>
            <w:vMerge/>
            <w:shd w:val="clear" w:color="auto" w:fill="FFFFFF"/>
            <w:tcMar>
              <w:right w:w="57" w:type="dxa"/>
            </w:tcMar>
            <w:vAlign w:val="center"/>
          </w:tcPr>
          <w:p w:rsidR="00013EC7" w:rsidRDefault="00013EC7">
            <w:pPr>
              <w:spacing w:line="300" w:lineRule="exact"/>
              <w:jc w:val="left"/>
              <w:rPr>
                <w:rFonts w:ascii="仿宋_GB2312" w:eastAsia="仿宋_GB2312" w:hAnsi="仿宋" w:cs="仿宋"/>
                <w:sz w:val="24"/>
              </w:rPr>
            </w:pPr>
          </w:p>
        </w:tc>
        <w:tc>
          <w:tcPr>
            <w:tcW w:w="775" w:type="dxa"/>
            <w:vMerge/>
            <w:tcMar>
              <w:right w:w="57" w:type="dxa"/>
            </w:tcMar>
            <w:vAlign w:val="center"/>
          </w:tcPr>
          <w:p w:rsidR="00013EC7" w:rsidRDefault="00013EC7">
            <w:pPr>
              <w:spacing w:line="300" w:lineRule="exact"/>
              <w:jc w:val="left"/>
              <w:rPr>
                <w:rFonts w:ascii="仿宋_GB2312" w:eastAsia="仿宋_GB2312" w:hAnsi="仿宋" w:cs="仿宋"/>
                <w:sz w:val="24"/>
              </w:rPr>
            </w:pPr>
          </w:p>
        </w:tc>
        <w:tc>
          <w:tcPr>
            <w:tcW w:w="1157" w:type="dxa"/>
            <w:vMerge/>
            <w:tcMar>
              <w:right w:w="57" w:type="dxa"/>
            </w:tcMar>
            <w:vAlign w:val="center"/>
          </w:tcPr>
          <w:p w:rsidR="00013EC7" w:rsidRDefault="00013EC7">
            <w:pPr>
              <w:spacing w:line="300" w:lineRule="exact"/>
              <w:jc w:val="left"/>
              <w:rPr>
                <w:rFonts w:ascii="仿宋_GB2312" w:eastAsia="仿宋_GB2312" w:hAnsi="仿宋" w:cs="仿宋"/>
                <w:sz w:val="24"/>
              </w:rPr>
            </w:pPr>
          </w:p>
        </w:tc>
      </w:tr>
      <w:tr w:rsidR="00013EC7">
        <w:trPr>
          <w:trHeight w:val="630"/>
          <w:jc w:val="center"/>
        </w:trPr>
        <w:tc>
          <w:tcPr>
            <w:tcW w:w="609" w:type="dxa"/>
            <w:vMerge/>
            <w:shd w:val="clear" w:color="auto" w:fill="auto"/>
            <w:tcMar>
              <w:right w:w="57" w:type="dxa"/>
            </w:tcMar>
            <w:vAlign w:val="center"/>
          </w:tcPr>
          <w:p w:rsidR="00013EC7" w:rsidRDefault="00013EC7">
            <w:pPr>
              <w:spacing w:line="300" w:lineRule="exact"/>
              <w:jc w:val="left"/>
              <w:rPr>
                <w:rFonts w:ascii="仿宋" w:eastAsia="仿宋" w:hAnsi="仿宋" w:cs="仿宋"/>
                <w:sz w:val="24"/>
              </w:rPr>
            </w:pPr>
          </w:p>
        </w:tc>
        <w:tc>
          <w:tcPr>
            <w:tcW w:w="625" w:type="dxa"/>
            <w:vMerge/>
            <w:shd w:val="clear" w:color="auto" w:fill="auto"/>
            <w:tcMar>
              <w:right w:w="57" w:type="dxa"/>
            </w:tcMar>
            <w:vAlign w:val="center"/>
          </w:tcPr>
          <w:p w:rsidR="00013EC7" w:rsidRDefault="00013EC7">
            <w:pPr>
              <w:spacing w:line="310" w:lineRule="exact"/>
              <w:jc w:val="left"/>
              <w:rPr>
                <w:rFonts w:ascii="仿宋" w:eastAsia="仿宋" w:hAnsi="仿宋" w:cs="仿宋"/>
                <w:sz w:val="24"/>
              </w:rPr>
            </w:pPr>
          </w:p>
        </w:tc>
        <w:tc>
          <w:tcPr>
            <w:tcW w:w="4371" w:type="dxa"/>
            <w:vMerge/>
            <w:shd w:val="clear" w:color="auto" w:fill="auto"/>
            <w:tcMar>
              <w:right w:w="57" w:type="dxa"/>
            </w:tcMar>
            <w:vAlign w:val="center"/>
          </w:tcPr>
          <w:p w:rsidR="00013EC7" w:rsidRDefault="00013EC7">
            <w:pPr>
              <w:spacing w:line="310" w:lineRule="exact"/>
              <w:jc w:val="left"/>
              <w:rPr>
                <w:rFonts w:ascii="仿宋" w:eastAsia="仿宋" w:hAnsi="仿宋" w:cs="仿宋"/>
                <w:sz w:val="24"/>
              </w:rPr>
            </w:pPr>
          </w:p>
        </w:tc>
        <w:tc>
          <w:tcPr>
            <w:tcW w:w="2646" w:type="dxa"/>
            <w:tcBorders>
              <w:top w:val="single" w:sz="4" w:space="0" w:color="auto"/>
            </w:tcBorders>
            <w:shd w:val="clear" w:color="auto" w:fill="FFFFFF"/>
            <w:tcMar>
              <w:right w:w="57" w:type="dxa"/>
            </w:tcMar>
            <w:vAlign w:val="center"/>
          </w:tcPr>
          <w:p w:rsidR="00013EC7" w:rsidRDefault="00575CDB">
            <w:pPr>
              <w:widowControl/>
              <w:spacing w:line="300" w:lineRule="exact"/>
              <w:jc w:val="left"/>
              <w:rPr>
                <w:rFonts w:ascii="仿宋" w:eastAsia="仿宋" w:hAnsi="仿宋" w:cs="仿宋"/>
                <w:kern w:val="1"/>
                <w:sz w:val="24"/>
              </w:rPr>
            </w:pPr>
            <w:r>
              <w:rPr>
                <w:rFonts w:ascii="仿宋" w:eastAsia="仿宋" w:hAnsi="仿宋" w:cs="仿宋" w:hint="eastAsia"/>
                <w:kern w:val="1"/>
                <w:sz w:val="24"/>
              </w:rPr>
              <w:t>（十九）</w:t>
            </w:r>
            <w:r>
              <w:rPr>
                <w:rFonts w:ascii="仿宋" w:eastAsia="仿宋" w:hAnsi="仿宋" w:cs="仿宋" w:hint="eastAsia"/>
                <w:sz w:val="24"/>
              </w:rPr>
              <w:t>在发展改革或工业和信息化部门立项的备案文件（应注明总</w:t>
            </w:r>
            <w:r>
              <w:rPr>
                <w:rFonts w:ascii="仿宋" w:eastAsia="仿宋" w:hAnsi="仿宋" w:cs="仿宋" w:hint="eastAsia"/>
                <w:sz w:val="24"/>
              </w:rPr>
              <w:lastRenderedPageBreak/>
              <w:t>投资额、工艺线宽标准）复印件。</w:t>
            </w:r>
          </w:p>
        </w:tc>
        <w:tc>
          <w:tcPr>
            <w:tcW w:w="2368" w:type="dxa"/>
            <w:vMerge w:val="restart"/>
            <w:tcBorders>
              <w:top w:val="single" w:sz="4" w:space="0" w:color="auto"/>
            </w:tcBorders>
            <w:shd w:val="clear" w:color="auto" w:fill="FFFFFF"/>
            <w:tcMar>
              <w:right w:w="57" w:type="dxa"/>
            </w:tcMar>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kern w:val="1"/>
                <w:sz w:val="24"/>
              </w:rPr>
              <w:lastRenderedPageBreak/>
              <w:t>办理集成电路线宽小于0.8微米（含）、集成电路线宽小于</w:t>
            </w:r>
            <w:r>
              <w:rPr>
                <w:rFonts w:ascii="仿宋" w:eastAsia="仿宋" w:hAnsi="仿宋" w:cs="仿宋" w:hint="eastAsia"/>
                <w:kern w:val="1"/>
                <w:sz w:val="24"/>
              </w:rPr>
              <w:lastRenderedPageBreak/>
              <w:t>0.25微米或投资额超过80亿元的集成电路生产企业定期减免征收企业所得税备案的、集成电路线宽小于0.25微米或投资额超过80亿元的集成电路生产企业减按15%税率征收企业所得税备案的</w:t>
            </w:r>
            <w:r>
              <w:rPr>
                <w:rFonts w:ascii="仿宋" w:eastAsia="仿宋" w:hAnsi="仿宋" w:cs="仿宋" w:hint="eastAsia"/>
                <w:sz w:val="24"/>
              </w:rPr>
              <w:t>纳税人提交</w:t>
            </w:r>
          </w:p>
        </w:tc>
        <w:tc>
          <w:tcPr>
            <w:tcW w:w="2358" w:type="dxa"/>
            <w:shd w:val="clear" w:color="auto" w:fill="FFFFFF"/>
            <w:tcMar>
              <w:right w:w="57" w:type="dxa"/>
            </w:tcMar>
            <w:vAlign w:val="center"/>
          </w:tcPr>
          <w:p w:rsidR="00013EC7" w:rsidRDefault="00575CDB">
            <w:pPr>
              <w:widowControl/>
              <w:spacing w:line="300" w:lineRule="exact"/>
              <w:jc w:val="left"/>
              <w:rPr>
                <w:rFonts w:ascii="仿宋" w:eastAsia="仿宋" w:hAnsi="仿宋" w:cs="仿宋"/>
                <w:kern w:val="1"/>
                <w:sz w:val="24"/>
              </w:rPr>
            </w:pPr>
            <w:r>
              <w:rPr>
                <w:rFonts w:ascii="仿宋" w:eastAsia="仿宋" w:hAnsi="仿宋" w:cs="仿宋" w:hint="eastAsia"/>
                <w:kern w:val="1"/>
                <w:sz w:val="24"/>
              </w:rPr>
              <w:lastRenderedPageBreak/>
              <w:t>（十八）</w:t>
            </w:r>
            <w:r>
              <w:rPr>
                <w:rFonts w:ascii="仿宋" w:eastAsia="仿宋" w:hAnsi="仿宋" w:cs="仿宋" w:hint="eastAsia"/>
                <w:sz w:val="24"/>
              </w:rPr>
              <w:t>在发展改革或工业和信息化部门立项的备案文件（应</w:t>
            </w:r>
            <w:r>
              <w:rPr>
                <w:rFonts w:ascii="仿宋" w:eastAsia="仿宋" w:hAnsi="仿宋" w:cs="仿宋" w:hint="eastAsia"/>
                <w:sz w:val="24"/>
              </w:rPr>
              <w:lastRenderedPageBreak/>
              <w:t>注明总投资额、工艺线宽标准）复印件（注明与原件一致，并加盖公章）。</w:t>
            </w:r>
          </w:p>
        </w:tc>
        <w:tc>
          <w:tcPr>
            <w:tcW w:w="2550" w:type="dxa"/>
            <w:vMerge w:val="restart"/>
            <w:shd w:val="clear" w:color="auto" w:fill="FFFFFF"/>
            <w:tcMar>
              <w:right w:w="57" w:type="dxa"/>
            </w:tcMar>
            <w:vAlign w:val="center"/>
          </w:tcPr>
          <w:p w:rsidR="00013EC7" w:rsidRDefault="00575CDB">
            <w:pPr>
              <w:spacing w:line="300" w:lineRule="exact"/>
              <w:jc w:val="left"/>
              <w:rPr>
                <w:rFonts w:ascii="仿宋" w:eastAsia="仿宋" w:hAnsi="仿宋" w:cs="仿宋"/>
                <w:b/>
                <w:bCs/>
                <w:i/>
                <w:iCs/>
                <w:sz w:val="24"/>
              </w:rPr>
            </w:pPr>
            <w:r>
              <w:rPr>
                <w:rFonts w:ascii="仿宋" w:eastAsia="仿宋" w:hAnsi="仿宋" w:cs="仿宋" w:hint="eastAsia"/>
                <w:kern w:val="1"/>
                <w:sz w:val="24"/>
              </w:rPr>
              <w:lastRenderedPageBreak/>
              <w:t>集成电路生产企业</w:t>
            </w:r>
            <w:r>
              <w:rPr>
                <w:rFonts w:ascii="仿宋" w:eastAsia="仿宋" w:hAnsi="仿宋" w:cs="仿宋" w:hint="eastAsia"/>
                <w:sz w:val="24"/>
              </w:rPr>
              <w:t>提交</w:t>
            </w:r>
          </w:p>
        </w:tc>
        <w:tc>
          <w:tcPr>
            <w:tcW w:w="2132" w:type="dxa"/>
            <w:vMerge w:val="restart"/>
            <w:shd w:val="clear" w:color="auto" w:fill="FFFFFF"/>
            <w:tcMar>
              <w:right w:w="57" w:type="dxa"/>
            </w:tcMar>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申报单位提交书面材料。</w:t>
            </w:r>
          </w:p>
          <w:p w:rsidR="00013EC7" w:rsidRDefault="00575CDB">
            <w:pPr>
              <w:spacing w:line="300" w:lineRule="exact"/>
              <w:jc w:val="left"/>
              <w:rPr>
                <w:rFonts w:ascii="仿宋" w:eastAsia="仿宋" w:hAnsi="仿宋" w:cs="仿宋"/>
                <w:sz w:val="24"/>
              </w:rPr>
            </w:pPr>
            <w:r>
              <w:rPr>
                <w:rFonts w:ascii="仿宋" w:eastAsia="仿宋" w:hAnsi="仿宋" w:cs="仿宋" w:hint="eastAsia"/>
                <w:b/>
                <w:sz w:val="24"/>
              </w:rPr>
              <w:t>网上办理：</w:t>
            </w:r>
            <w:r>
              <w:rPr>
                <w:rFonts w:ascii="仿宋" w:eastAsia="仿宋" w:hAnsi="仿宋" w:cs="仿宋" w:hint="eastAsia"/>
                <w:sz w:val="24"/>
              </w:rPr>
              <w:t>登录浙</w:t>
            </w:r>
            <w:r>
              <w:rPr>
                <w:rFonts w:ascii="仿宋" w:eastAsia="仿宋" w:hAnsi="仿宋" w:cs="仿宋" w:hint="eastAsia"/>
                <w:sz w:val="24"/>
              </w:rPr>
              <w:lastRenderedPageBreak/>
              <w:t>江国税电子税务局（网址：http://etax.zjtax.gov.cn/）提交申请。</w:t>
            </w:r>
          </w:p>
          <w:p w:rsidR="00013EC7" w:rsidRDefault="00575CDB">
            <w:pPr>
              <w:widowControl/>
              <w:spacing w:line="300" w:lineRule="exact"/>
              <w:jc w:val="left"/>
              <w:rPr>
                <w:rFonts w:ascii="仿宋" w:eastAsia="仿宋" w:hAnsi="仿宋" w:cs="仿宋"/>
                <w:sz w:val="24"/>
              </w:rPr>
            </w:pPr>
            <w:r>
              <w:rPr>
                <w:rFonts w:ascii="仿宋" w:eastAsia="仿宋" w:hAnsi="仿宋" w:cs="仿宋" w:hint="eastAsia"/>
                <w:b/>
                <w:sz w:val="24"/>
              </w:rPr>
              <w:t>APP办理：</w:t>
            </w:r>
            <w:r>
              <w:rPr>
                <w:rFonts w:ascii="仿宋" w:eastAsia="仿宋" w:hAnsi="仿宋" w:cs="仿宋" w:hint="eastAsia"/>
                <w:sz w:val="24"/>
              </w:rPr>
              <w:t>登录浙江国税APP提交申请。</w:t>
            </w:r>
          </w:p>
        </w:tc>
        <w:tc>
          <w:tcPr>
            <w:tcW w:w="700" w:type="dxa"/>
            <w:vMerge/>
            <w:shd w:val="clear" w:color="auto" w:fill="auto"/>
            <w:tcMar>
              <w:right w:w="57" w:type="dxa"/>
            </w:tcMar>
            <w:vAlign w:val="center"/>
          </w:tcPr>
          <w:p w:rsidR="00013EC7" w:rsidRDefault="00013EC7">
            <w:pPr>
              <w:spacing w:line="300" w:lineRule="exact"/>
              <w:jc w:val="left"/>
              <w:rPr>
                <w:rFonts w:ascii="仿宋_GB2312" w:eastAsia="仿宋_GB2312" w:hAnsi="仿宋" w:cs="仿宋"/>
                <w:sz w:val="24"/>
              </w:rPr>
            </w:pPr>
          </w:p>
        </w:tc>
        <w:tc>
          <w:tcPr>
            <w:tcW w:w="675" w:type="dxa"/>
            <w:vMerge/>
            <w:shd w:val="clear" w:color="auto" w:fill="auto"/>
            <w:tcMar>
              <w:right w:w="57" w:type="dxa"/>
            </w:tcMar>
            <w:vAlign w:val="center"/>
          </w:tcPr>
          <w:p w:rsidR="00013EC7" w:rsidRDefault="00013EC7">
            <w:pPr>
              <w:spacing w:line="300" w:lineRule="exact"/>
              <w:jc w:val="left"/>
              <w:rPr>
                <w:rFonts w:ascii="仿宋_GB2312" w:eastAsia="仿宋_GB2312" w:hAnsi="仿宋" w:cs="仿宋"/>
                <w:sz w:val="24"/>
              </w:rPr>
            </w:pPr>
          </w:p>
        </w:tc>
        <w:tc>
          <w:tcPr>
            <w:tcW w:w="700" w:type="dxa"/>
            <w:vMerge/>
            <w:shd w:val="clear" w:color="auto" w:fill="FFFFFF"/>
            <w:tcMar>
              <w:right w:w="57" w:type="dxa"/>
            </w:tcMar>
            <w:vAlign w:val="center"/>
          </w:tcPr>
          <w:p w:rsidR="00013EC7" w:rsidRDefault="00013EC7">
            <w:pPr>
              <w:spacing w:line="300" w:lineRule="exact"/>
              <w:jc w:val="left"/>
              <w:rPr>
                <w:rFonts w:ascii="仿宋_GB2312" w:eastAsia="仿宋_GB2312" w:hAnsi="仿宋" w:cs="仿宋"/>
                <w:sz w:val="24"/>
              </w:rPr>
            </w:pPr>
          </w:p>
        </w:tc>
        <w:tc>
          <w:tcPr>
            <w:tcW w:w="775" w:type="dxa"/>
            <w:vMerge/>
            <w:tcMar>
              <w:right w:w="57" w:type="dxa"/>
            </w:tcMar>
            <w:vAlign w:val="center"/>
          </w:tcPr>
          <w:p w:rsidR="00013EC7" w:rsidRDefault="00013EC7">
            <w:pPr>
              <w:spacing w:line="300" w:lineRule="exact"/>
              <w:jc w:val="left"/>
              <w:rPr>
                <w:rFonts w:ascii="仿宋_GB2312" w:eastAsia="仿宋_GB2312" w:hAnsi="仿宋" w:cs="仿宋"/>
                <w:sz w:val="24"/>
              </w:rPr>
            </w:pPr>
          </w:p>
        </w:tc>
        <w:tc>
          <w:tcPr>
            <w:tcW w:w="1157" w:type="dxa"/>
            <w:vMerge/>
            <w:tcMar>
              <w:right w:w="57" w:type="dxa"/>
            </w:tcMar>
            <w:vAlign w:val="center"/>
          </w:tcPr>
          <w:p w:rsidR="00013EC7" w:rsidRDefault="00013EC7">
            <w:pPr>
              <w:spacing w:line="300" w:lineRule="exact"/>
              <w:jc w:val="left"/>
              <w:rPr>
                <w:rFonts w:ascii="仿宋_GB2312" w:eastAsia="仿宋_GB2312" w:hAnsi="仿宋" w:cs="仿宋"/>
                <w:sz w:val="24"/>
              </w:rPr>
            </w:pPr>
          </w:p>
        </w:tc>
      </w:tr>
      <w:tr w:rsidR="00013EC7">
        <w:trPr>
          <w:trHeight w:val="630"/>
          <w:jc w:val="center"/>
        </w:trPr>
        <w:tc>
          <w:tcPr>
            <w:tcW w:w="609" w:type="dxa"/>
            <w:vMerge/>
            <w:shd w:val="clear" w:color="auto" w:fill="auto"/>
            <w:tcMar>
              <w:right w:w="57" w:type="dxa"/>
            </w:tcMar>
            <w:vAlign w:val="center"/>
          </w:tcPr>
          <w:p w:rsidR="00013EC7" w:rsidRDefault="00013EC7">
            <w:pPr>
              <w:widowControl/>
              <w:spacing w:line="300" w:lineRule="exact"/>
              <w:jc w:val="left"/>
            </w:pPr>
          </w:p>
        </w:tc>
        <w:tc>
          <w:tcPr>
            <w:tcW w:w="625" w:type="dxa"/>
            <w:vMerge/>
            <w:shd w:val="clear" w:color="auto" w:fill="auto"/>
            <w:tcMar>
              <w:right w:w="57" w:type="dxa"/>
            </w:tcMar>
            <w:vAlign w:val="center"/>
          </w:tcPr>
          <w:p w:rsidR="00013EC7" w:rsidRDefault="00013EC7">
            <w:pPr>
              <w:widowControl/>
              <w:spacing w:line="300" w:lineRule="exact"/>
              <w:jc w:val="left"/>
            </w:pPr>
          </w:p>
        </w:tc>
        <w:tc>
          <w:tcPr>
            <w:tcW w:w="4371" w:type="dxa"/>
            <w:vMerge/>
            <w:shd w:val="clear" w:color="auto" w:fill="auto"/>
            <w:tcMar>
              <w:right w:w="57" w:type="dxa"/>
            </w:tcMar>
            <w:vAlign w:val="center"/>
          </w:tcPr>
          <w:p w:rsidR="00013EC7" w:rsidRDefault="00013EC7">
            <w:pPr>
              <w:widowControl/>
              <w:spacing w:line="300" w:lineRule="exact"/>
              <w:jc w:val="left"/>
            </w:pPr>
          </w:p>
        </w:tc>
        <w:tc>
          <w:tcPr>
            <w:tcW w:w="2646" w:type="dxa"/>
            <w:tcBorders>
              <w:top w:val="single" w:sz="4" w:space="0" w:color="auto"/>
            </w:tcBorders>
            <w:shd w:val="clear" w:color="auto" w:fill="FFFFFF"/>
            <w:tcMar>
              <w:right w:w="57" w:type="dxa"/>
            </w:tcMar>
            <w:vAlign w:val="center"/>
          </w:tcPr>
          <w:p w:rsidR="00013EC7" w:rsidRDefault="00575CDB">
            <w:pPr>
              <w:widowControl/>
              <w:spacing w:line="300" w:lineRule="exact"/>
              <w:jc w:val="left"/>
              <w:rPr>
                <w:rFonts w:ascii="仿宋" w:eastAsia="仿宋" w:hAnsi="仿宋" w:cs="仿宋"/>
                <w:sz w:val="24"/>
              </w:rPr>
            </w:pPr>
            <w:r>
              <w:rPr>
                <w:rFonts w:ascii="仿宋" w:eastAsia="仿宋" w:hAnsi="仿宋" w:cs="仿宋" w:hint="eastAsia"/>
                <w:kern w:val="1"/>
                <w:sz w:val="24"/>
              </w:rPr>
              <w:t>（二十）</w:t>
            </w:r>
            <w:r>
              <w:rPr>
                <w:rFonts w:ascii="仿宋" w:eastAsia="仿宋" w:hAnsi="仿宋" w:cs="仿宋" w:hint="eastAsia"/>
                <w:sz w:val="24"/>
              </w:rPr>
              <w:t>企业职工人数、学历结构、研究开发人员情况及其占企业职工总数的比例说明，以及汇算清缴年度最后一个月社会保险缴纳证明等相关证明材料。</w:t>
            </w:r>
          </w:p>
        </w:tc>
        <w:tc>
          <w:tcPr>
            <w:tcW w:w="2368" w:type="dxa"/>
            <w:vMerge/>
            <w:shd w:val="clear" w:color="auto" w:fill="FFFFFF"/>
            <w:tcMar>
              <w:right w:w="57" w:type="dxa"/>
            </w:tcMar>
            <w:vAlign w:val="center"/>
          </w:tcPr>
          <w:p w:rsidR="00013EC7" w:rsidRDefault="00013EC7">
            <w:pPr>
              <w:widowControl/>
              <w:spacing w:line="300" w:lineRule="exact"/>
              <w:jc w:val="left"/>
              <w:rPr>
                <w:rFonts w:ascii="仿宋" w:eastAsia="仿宋" w:hAnsi="仿宋" w:cs="仿宋"/>
                <w:sz w:val="24"/>
              </w:rPr>
            </w:pPr>
          </w:p>
        </w:tc>
        <w:tc>
          <w:tcPr>
            <w:tcW w:w="2358" w:type="dxa"/>
            <w:shd w:val="clear" w:color="auto" w:fill="FFFFFF"/>
            <w:tcMar>
              <w:right w:w="57" w:type="dxa"/>
            </w:tcMar>
            <w:vAlign w:val="center"/>
          </w:tcPr>
          <w:p w:rsidR="00013EC7" w:rsidRDefault="00575CDB">
            <w:pPr>
              <w:widowControl/>
              <w:spacing w:line="300" w:lineRule="exact"/>
              <w:jc w:val="left"/>
              <w:rPr>
                <w:rFonts w:ascii="仿宋" w:eastAsia="仿宋" w:hAnsi="仿宋" w:cs="仿宋"/>
                <w:sz w:val="24"/>
              </w:rPr>
            </w:pPr>
            <w:r>
              <w:rPr>
                <w:rFonts w:ascii="仿宋" w:eastAsia="仿宋" w:hAnsi="仿宋" w:cs="仿宋" w:hint="eastAsia"/>
                <w:kern w:val="1"/>
                <w:sz w:val="24"/>
              </w:rPr>
              <w:t>（十九）</w:t>
            </w:r>
            <w:r>
              <w:rPr>
                <w:rFonts w:ascii="仿宋" w:eastAsia="仿宋" w:hAnsi="仿宋" w:cs="仿宋" w:hint="eastAsia"/>
                <w:sz w:val="24"/>
              </w:rPr>
              <w:t>企业职工人数、学历结构、研究开发人员情况及其占企业职工总数的比例说明，以及汇算清缴年度最后一个月社会保险缴纳证明等证明材料。</w:t>
            </w:r>
          </w:p>
        </w:tc>
        <w:tc>
          <w:tcPr>
            <w:tcW w:w="2550" w:type="dxa"/>
            <w:vMerge/>
            <w:shd w:val="clear" w:color="auto" w:fill="FFFFFF"/>
            <w:tcMar>
              <w:right w:w="57" w:type="dxa"/>
            </w:tcMar>
            <w:vAlign w:val="center"/>
          </w:tcPr>
          <w:p w:rsidR="00013EC7" w:rsidRDefault="00013EC7">
            <w:pPr>
              <w:widowControl/>
              <w:spacing w:line="300" w:lineRule="exact"/>
              <w:jc w:val="left"/>
              <w:rPr>
                <w:rFonts w:ascii="仿宋" w:eastAsia="仿宋" w:hAnsi="仿宋" w:cs="仿宋"/>
                <w:sz w:val="24"/>
              </w:rPr>
            </w:pPr>
          </w:p>
        </w:tc>
        <w:tc>
          <w:tcPr>
            <w:tcW w:w="2132" w:type="dxa"/>
            <w:vMerge/>
            <w:shd w:val="clear" w:color="auto" w:fill="FFFFFF"/>
            <w:tcMar>
              <w:right w:w="57" w:type="dxa"/>
            </w:tcMar>
            <w:vAlign w:val="center"/>
          </w:tcPr>
          <w:p w:rsidR="00013EC7" w:rsidRDefault="00013EC7">
            <w:pPr>
              <w:widowControl/>
              <w:spacing w:line="300" w:lineRule="exact"/>
              <w:jc w:val="left"/>
              <w:rPr>
                <w:rFonts w:ascii="仿宋_GB2312" w:eastAsia="仿宋_GB2312" w:hAnsi="仿宋" w:cs="仿宋"/>
                <w:sz w:val="24"/>
              </w:rPr>
            </w:pPr>
          </w:p>
        </w:tc>
        <w:tc>
          <w:tcPr>
            <w:tcW w:w="700" w:type="dxa"/>
            <w:vMerge/>
            <w:shd w:val="clear" w:color="auto" w:fill="auto"/>
            <w:tcMar>
              <w:right w:w="57" w:type="dxa"/>
            </w:tcMar>
            <w:vAlign w:val="center"/>
          </w:tcPr>
          <w:p w:rsidR="00013EC7" w:rsidRDefault="00013EC7">
            <w:pPr>
              <w:widowControl/>
              <w:spacing w:line="300" w:lineRule="exact"/>
              <w:jc w:val="left"/>
              <w:rPr>
                <w:rFonts w:ascii="仿宋_GB2312" w:eastAsia="仿宋_GB2312" w:hAnsi="仿宋" w:cs="仿宋"/>
                <w:sz w:val="24"/>
              </w:rPr>
            </w:pPr>
          </w:p>
        </w:tc>
        <w:tc>
          <w:tcPr>
            <w:tcW w:w="675" w:type="dxa"/>
            <w:vMerge/>
            <w:shd w:val="clear" w:color="auto" w:fill="auto"/>
            <w:tcMar>
              <w:right w:w="57" w:type="dxa"/>
            </w:tcMar>
            <w:vAlign w:val="center"/>
          </w:tcPr>
          <w:p w:rsidR="00013EC7" w:rsidRDefault="00013EC7">
            <w:pPr>
              <w:widowControl/>
              <w:spacing w:line="300" w:lineRule="exact"/>
              <w:jc w:val="left"/>
              <w:rPr>
                <w:rFonts w:ascii="仿宋_GB2312" w:eastAsia="仿宋_GB2312" w:hAnsi="仿宋" w:cs="仿宋"/>
                <w:sz w:val="24"/>
              </w:rPr>
            </w:pPr>
          </w:p>
        </w:tc>
        <w:tc>
          <w:tcPr>
            <w:tcW w:w="700" w:type="dxa"/>
            <w:vMerge/>
            <w:shd w:val="clear" w:color="auto" w:fill="FFFFFF"/>
            <w:tcMar>
              <w:right w:w="57" w:type="dxa"/>
            </w:tcMar>
            <w:vAlign w:val="center"/>
          </w:tcPr>
          <w:p w:rsidR="00013EC7" w:rsidRDefault="00013EC7">
            <w:pPr>
              <w:widowControl/>
              <w:spacing w:line="300" w:lineRule="exact"/>
              <w:jc w:val="left"/>
              <w:rPr>
                <w:rFonts w:ascii="仿宋_GB2312" w:eastAsia="仿宋_GB2312" w:hAnsi="仿宋" w:cs="仿宋"/>
                <w:sz w:val="24"/>
              </w:rPr>
            </w:pPr>
          </w:p>
        </w:tc>
        <w:tc>
          <w:tcPr>
            <w:tcW w:w="775" w:type="dxa"/>
            <w:vMerge/>
            <w:tcMar>
              <w:right w:w="57" w:type="dxa"/>
            </w:tcMar>
            <w:vAlign w:val="center"/>
          </w:tcPr>
          <w:p w:rsidR="00013EC7" w:rsidRDefault="00013EC7">
            <w:pPr>
              <w:widowControl/>
              <w:spacing w:line="300" w:lineRule="exact"/>
              <w:jc w:val="left"/>
              <w:rPr>
                <w:rFonts w:ascii="仿宋_GB2312" w:eastAsia="仿宋_GB2312" w:hAnsi="仿宋" w:cs="仿宋"/>
                <w:sz w:val="24"/>
              </w:rPr>
            </w:pPr>
          </w:p>
        </w:tc>
        <w:tc>
          <w:tcPr>
            <w:tcW w:w="1157" w:type="dxa"/>
            <w:vMerge/>
            <w:tcMar>
              <w:right w:w="57" w:type="dxa"/>
            </w:tcMar>
            <w:vAlign w:val="center"/>
          </w:tcPr>
          <w:p w:rsidR="00013EC7" w:rsidRDefault="00013EC7">
            <w:pPr>
              <w:widowControl/>
              <w:spacing w:line="300" w:lineRule="exact"/>
              <w:jc w:val="left"/>
              <w:rPr>
                <w:rFonts w:ascii="仿宋_GB2312" w:eastAsia="仿宋_GB2312" w:hAnsi="仿宋" w:cs="仿宋"/>
                <w:sz w:val="24"/>
              </w:rPr>
            </w:pPr>
          </w:p>
        </w:tc>
      </w:tr>
      <w:tr w:rsidR="00013EC7">
        <w:trPr>
          <w:trHeight w:val="630"/>
          <w:jc w:val="center"/>
        </w:trPr>
        <w:tc>
          <w:tcPr>
            <w:tcW w:w="609" w:type="dxa"/>
            <w:vMerge/>
            <w:shd w:val="clear" w:color="auto" w:fill="auto"/>
            <w:tcMar>
              <w:right w:w="57" w:type="dxa"/>
            </w:tcMar>
            <w:vAlign w:val="center"/>
          </w:tcPr>
          <w:p w:rsidR="00013EC7" w:rsidRDefault="00013EC7">
            <w:pPr>
              <w:widowControl/>
              <w:spacing w:line="300" w:lineRule="exact"/>
              <w:jc w:val="left"/>
              <w:rPr>
                <w:rFonts w:ascii="仿宋" w:eastAsia="仿宋" w:hAnsi="仿宋" w:cs="仿宋"/>
                <w:sz w:val="24"/>
              </w:rPr>
            </w:pPr>
          </w:p>
        </w:tc>
        <w:tc>
          <w:tcPr>
            <w:tcW w:w="625" w:type="dxa"/>
            <w:vMerge/>
            <w:shd w:val="clear" w:color="auto" w:fill="auto"/>
            <w:tcMar>
              <w:right w:w="57" w:type="dxa"/>
            </w:tcMar>
            <w:vAlign w:val="center"/>
          </w:tcPr>
          <w:p w:rsidR="00013EC7" w:rsidRDefault="00013EC7">
            <w:pPr>
              <w:widowControl/>
              <w:spacing w:line="300" w:lineRule="exact"/>
              <w:jc w:val="left"/>
              <w:rPr>
                <w:rFonts w:ascii="仿宋" w:eastAsia="仿宋" w:hAnsi="仿宋" w:cs="仿宋"/>
                <w:sz w:val="24"/>
              </w:rPr>
            </w:pPr>
          </w:p>
        </w:tc>
        <w:tc>
          <w:tcPr>
            <w:tcW w:w="4371" w:type="dxa"/>
            <w:vMerge/>
            <w:shd w:val="clear" w:color="auto" w:fill="auto"/>
            <w:tcMar>
              <w:right w:w="57" w:type="dxa"/>
            </w:tcMar>
            <w:vAlign w:val="center"/>
          </w:tcPr>
          <w:p w:rsidR="00013EC7" w:rsidRDefault="00013EC7">
            <w:pPr>
              <w:widowControl/>
              <w:spacing w:line="300" w:lineRule="exact"/>
              <w:jc w:val="left"/>
              <w:rPr>
                <w:rFonts w:ascii="仿宋" w:eastAsia="仿宋" w:hAnsi="仿宋" w:cs="仿宋"/>
                <w:sz w:val="24"/>
              </w:rPr>
            </w:pPr>
          </w:p>
        </w:tc>
        <w:tc>
          <w:tcPr>
            <w:tcW w:w="2646" w:type="dxa"/>
            <w:tcBorders>
              <w:top w:val="single" w:sz="4" w:space="0" w:color="auto"/>
            </w:tcBorders>
            <w:shd w:val="clear" w:color="auto" w:fill="FFFFFF"/>
            <w:tcMar>
              <w:right w:w="57" w:type="dxa"/>
            </w:tcMar>
            <w:vAlign w:val="center"/>
          </w:tcPr>
          <w:p w:rsidR="00013EC7" w:rsidRDefault="00575CDB">
            <w:pPr>
              <w:widowControl/>
              <w:spacing w:line="300" w:lineRule="exact"/>
              <w:jc w:val="left"/>
              <w:rPr>
                <w:rFonts w:ascii="仿宋" w:eastAsia="仿宋" w:hAnsi="仿宋" w:cs="仿宋"/>
                <w:sz w:val="24"/>
              </w:rPr>
            </w:pPr>
            <w:r>
              <w:rPr>
                <w:rFonts w:ascii="仿宋" w:eastAsia="仿宋" w:hAnsi="仿宋" w:cs="仿宋" w:hint="eastAsia"/>
                <w:kern w:val="1"/>
                <w:sz w:val="24"/>
              </w:rPr>
              <w:t>（二十一）</w:t>
            </w:r>
            <w:r>
              <w:rPr>
                <w:rFonts w:ascii="仿宋" w:eastAsia="仿宋" w:hAnsi="仿宋" w:cs="仿宋" w:hint="eastAsia"/>
                <w:sz w:val="24"/>
              </w:rPr>
              <w:t>加工集成电路产品主要列表及国家知识产权局（或国外知识产权相关主管机构）出具的企业自主开发或拥有的一至两份代表性知识产权（如专利、布图设计登记、软件著作权等）的证明材料。</w:t>
            </w:r>
          </w:p>
        </w:tc>
        <w:tc>
          <w:tcPr>
            <w:tcW w:w="2368" w:type="dxa"/>
            <w:vMerge/>
            <w:shd w:val="clear" w:color="auto" w:fill="FFFFFF"/>
            <w:tcMar>
              <w:right w:w="57" w:type="dxa"/>
            </w:tcMar>
            <w:vAlign w:val="center"/>
          </w:tcPr>
          <w:p w:rsidR="00013EC7" w:rsidRDefault="00013EC7">
            <w:pPr>
              <w:widowControl/>
              <w:spacing w:line="300" w:lineRule="exact"/>
              <w:jc w:val="left"/>
              <w:rPr>
                <w:rFonts w:ascii="仿宋" w:eastAsia="仿宋" w:hAnsi="仿宋" w:cs="仿宋"/>
                <w:sz w:val="24"/>
              </w:rPr>
            </w:pPr>
          </w:p>
        </w:tc>
        <w:tc>
          <w:tcPr>
            <w:tcW w:w="2358" w:type="dxa"/>
            <w:shd w:val="clear" w:color="auto" w:fill="FFFFFF"/>
            <w:tcMar>
              <w:right w:w="57" w:type="dxa"/>
            </w:tcMar>
            <w:vAlign w:val="center"/>
          </w:tcPr>
          <w:p w:rsidR="00013EC7" w:rsidRDefault="00575CDB">
            <w:pPr>
              <w:widowControl/>
              <w:spacing w:line="300" w:lineRule="exact"/>
              <w:jc w:val="left"/>
              <w:rPr>
                <w:rFonts w:ascii="仿宋" w:eastAsia="仿宋" w:hAnsi="仿宋" w:cs="仿宋"/>
                <w:sz w:val="24"/>
              </w:rPr>
            </w:pPr>
            <w:r>
              <w:rPr>
                <w:rFonts w:ascii="仿宋" w:eastAsia="仿宋" w:hAnsi="仿宋" w:cs="仿宋" w:hint="eastAsia"/>
                <w:kern w:val="1"/>
                <w:sz w:val="24"/>
              </w:rPr>
              <w:t>（二十）</w:t>
            </w:r>
            <w:r>
              <w:rPr>
                <w:rFonts w:ascii="仿宋" w:eastAsia="仿宋" w:hAnsi="仿宋" w:cs="仿宋" w:hint="eastAsia"/>
                <w:sz w:val="24"/>
              </w:rPr>
              <w:t>加工集成电路产品主要列表及国家知识产权局（或国外知识产权主管机构）出具的企业自主开发或拥有的一至两份代表性知识产权（如专利、布图设计登记、软件著作权等）的证明材料。</w:t>
            </w:r>
          </w:p>
        </w:tc>
        <w:tc>
          <w:tcPr>
            <w:tcW w:w="2550" w:type="dxa"/>
            <w:vMerge/>
            <w:shd w:val="clear" w:color="auto" w:fill="FFFFFF"/>
            <w:tcMar>
              <w:right w:w="57" w:type="dxa"/>
            </w:tcMar>
            <w:vAlign w:val="center"/>
          </w:tcPr>
          <w:p w:rsidR="00013EC7" w:rsidRDefault="00013EC7">
            <w:pPr>
              <w:widowControl/>
              <w:spacing w:line="300" w:lineRule="exact"/>
              <w:jc w:val="left"/>
              <w:rPr>
                <w:rFonts w:ascii="仿宋" w:eastAsia="仿宋" w:hAnsi="仿宋" w:cs="仿宋"/>
                <w:sz w:val="24"/>
              </w:rPr>
            </w:pPr>
          </w:p>
        </w:tc>
        <w:tc>
          <w:tcPr>
            <w:tcW w:w="2132" w:type="dxa"/>
            <w:vMerge/>
            <w:shd w:val="clear" w:color="auto" w:fill="FFFFFF"/>
            <w:tcMar>
              <w:right w:w="57" w:type="dxa"/>
            </w:tcMar>
            <w:vAlign w:val="center"/>
          </w:tcPr>
          <w:p w:rsidR="00013EC7" w:rsidRDefault="00013EC7">
            <w:pPr>
              <w:widowControl/>
              <w:spacing w:line="300" w:lineRule="exact"/>
              <w:jc w:val="left"/>
              <w:rPr>
                <w:rFonts w:ascii="仿宋_GB2312" w:eastAsia="仿宋_GB2312" w:hAnsi="仿宋" w:cs="仿宋"/>
                <w:sz w:val="24"/>
              </w:rPr>
            </w:pPr>
          </w:p>
        </w:tc>
        <w:tc>
          <w:tcPr>
            <w:tcW w:w="700" w:type="dxa"/>
            <w:vMerge/>
            <w:shd w:val="clear" w:color="auto" w:fill="auto"/>
            <w:tcMar>
              <w:right w:w="57" w:type="dxa"/>
            </w:tcMar>
            <w:vAlign w:val="center"/>
          </w:tcPr>
          <w:p w:rsidR="00013EC7" w:rsidRDefault="00013EC7">
            <w:pPr>
              <w:widowControl/>
              <w:spacing w:line="300" w:lineRule="exact"/>
              <w:jc w:val="left"/>
              <w:rPr>
                <w:rFonts w:ascii="仿宋_GB2312" w:eastAsia="仿宋_GB2312" w:hAnsi="仿宋" w:cs="仿宋"/>
                <w:sz w:val="24"/>
              </w:rPr>
            </w:pPr>
          </w:p>
        </w:tc>
        <w:tc>
          <w:tcPr>
            <w:tcW w:w="675" w:type="dxa"/>
            <w:vMerge/>
            <w:shd w:val="clear" w:color="auto" w:fill="auto"/>
            <w:tcMar>
              <w:right w:w="57" w:type="dxa"/>
            </w:tcMar>
            <w:vAlign w:val="center"/>
          </w:tcPr>
          <w:p w:rsidR="00013EC7" w:rsidRDefault="00013EC7">
            <w:pPr>
              <w:widowControl/>
              <w:spacing w:line="300" w:lineRule="exact"/>
              <w:jc w:val="left"/>
              <w:rPr>
                <w:rFonts w:ascii="仿宋_GB2312" w:eastAsia="仿宋_GB2312" w:hAnsi="仿宋" w:cs="仿宋"/>
                <w:sz w:val="24"/>
              </w:rPr>
            </w:pPr>
          </w:p>
        </w:tc>
        <w:tc>
          <w:tcPr>
            <w:tcW w:w="700" w:type="dxa"/>
            <w:vMerge/>
            <w:shd w:val="clear" w:color="auto" w:fill="FFFFFF"/>
            <w:tcMar>
              <w:right w:w="57" w:type="dxa"/>
            </w:tcMar>
            <w:vAlign w:val="center"/>
          </w:tcPr>
          <w:p w:rsidR="00013EC7" w:rsidRDefault="00013EC7">
            <w:pPr>
              <w:widowControl/>
              <w:spacing w:line="300" w:lineRule="exact"/>
              <w:jc w:val="left"/>
              <w:rPr>
                <w:rFonts w:ascii="仿宋_GB2312" w:eastAsia="仿宋_GB2312" w:hAnsi="仿宋" w:cs="仿宋"/>
                <w:sz w:val="24"/>
              </w:rPr>
            </w:pPr>
          </w:p>
        </w:tc>
        <w:tc>
          <w:tcPr>
            <w:tcW w:w="775" w:type="dxa"/>
            <w:vMerge/>
            <w:tcMar>
              <w:right w:w="57" w:type="dxa"/>
            </w:tcMar>
            <w:vAlign w:val="center"/>
          </w:tcPr>
          <w:p w:rsidR="00013EC7" w:rsidRDefault="00013EC7">
            <w:pPr>
              <w:widowControl/>
              <w:spacing w:line="300" w:lineRule="exact"/>
              <w:jc w:val="left"/>
              <w:rPr>
                <w:rFonts w:ascii="仿宋_GB2312" w:eastAsia="仿宋_GB2312" w:hAnsi="仿宋" w:cs="仿宋"/>
                <w:sz w:val="24"/>
              </w:rPr>
            </w:pPr>
          </w:p>
        </w:tc>
        <w:tc>
          <w:tcPr>
            <w:tcW w:w="1157" w:type="dxa"/>
            <w:vMerge/>
            <w:tcMar>
              <w:right w:w="57" w:type="dxa"/>
            </w:tcMar>
            <w:vAlign w:val="center"/>
          </w:tcPr>
          <w:p w:rsidR="00013EC7" w:rsidRDefault="00013EC7">
            <w:pPr>
              <w:widowControl/>
              <w:spacing w:line="300" w:lineRule="exact"/>
              <w:jc w:val="left"/>
              <w:rPr>
                <w:rFonts w:ascii="仿宋_GB2312" w:eastAsia="仿宋_GB2312" w:hAnsi="仿宋" w:cs="仿宋"/>
                <w:sz w:val="24"/>
              </w:rPr>
            </w:pPr>
          </w:p>
        </w:tc>
      </w:tr>
      <w:tr w:rsidR="00013EC7">
        <w:trPr>
          <w:trHeight w:val="630"/>
          <w:jc w:val="center"/>
        </w:trPr>
        <w:tc>
          <w:tcPr>
            <w:tcW w:w="609" w:type="dxa"/>
            <w:vMerge/>
            <w:shd w:val="clear" w:color="auto" w:fill="auto"/>
            <w:tcMar>
              <w:right w:w="57" w:type="dxa"/>
            </w:tcMar>
            <w:vAlign w:val="center"/>
          </w:tcPr>
          <w:p w:rsidR="00013EC7" w:rsidRDefault="00013EC7">
            <w:pPr>
              <w:widowControl/>
              <w:spacing w:line="300" w:lineRule="exact"/>
              <w:jc w:val="left"/>
              <w:rPr>
                <w:rFonts w:ascii="仿宋" w:eastAsia="仿宋" w:hAnsi="仿宋" w:cs="仿宋"/>
                <w:sz w:val="24"/>
              </w:rPr>
            </w:pPr>
          </w:p>
        </w:tc>
        <w:tc>
          <w:tcPr>
            <w:tcW w:w="625" w:type="dxa"/>
            <w:vMerge/>
            <w:shd w:val="clear" w:color="auto" w:fill="auto"/>
            <w:tcMar>
              <w:right w:w="57" w:type="dxa"/>
            </w:tcMar>
            <w:vAlign w:val="center"/>
          </w:tcPr>
          <w:p w:rsidR="00013EC7" w:rsidRDefault="00013EC7">
            <w:pPr>
              <w:widowControl/>
              <w:spacing w:line="300" w:lineRule="exact"/>
              <w:jc w:val="left"/>
              <w:rPr>
                <w:rFonts w:ascii="仿宋" w:eastAsia="仿宋" w:hAnsi="仿宋" w:cs="仿宋"/>
                <w:sz w:val="24"/>
              </w:rPr>
            </w:pPr>
          </w:p>
        </w:tc>
        <w:tc>
          <w:tcPr>
            <w:tcW w:w="4371" w:type="dxa"/>
            <w:vMerge/>
            <w:shd w:val="clear" w:color="auto" w:fill="auto"/>
            <w:tcMar>
              <w:right w:w="57" w:type="dxa"/>
            </w:tcMar>
            <w:vAlign w:val="center"/>
          </w:tcPr>
          <w:p w:rsidR="00013EC7" w:rsidRDefault="00013EC7">
            <w:pPr>
              <w:widowControl/>
              <w:spacing w:line="300" w:lineRule="exact"/>
              <w:jc w:val="left"/>
              <w:rPr>
                <w:rFonts w:ascii="仿宋" w:eastAsia="仿宋" w:hAnsi="仿宋" w:cs="仿宋"/>
                <w:sz w:val="24"/>
              </w:rPr>
            </w:pPr>
          </w:p>
        </w:tc>
        <w:tc>
          <w:tcPr>
            <w:tcW w:w="2646" w:type="dxa"/>
            <w:tcBorders>
              <w:top w:val="single" w:sz="4" w:space="0" w:color="auto"/>
            </w:tcBorders>
            <w:shd w:val="clear" w:color="auto" w:fill="FFFFFF"/>
            <w:tcMar>
              <w:right w:w="57" w:type="dxa"/>
            </w:tcMar>
            <w:vAlign w:val="center"/>
          </w:tcPr>
          <w:p w:rsidR="00013EC7" w:rsidRDefault="00575CDB">
            <w:pPr>
              <w:widowControl/>
              <w:spacing w:line="300" w:lineRule="exact"/>
              <w:jc w:val="left"/>
              <w:rPr>
                <w:rFonts w:ascii="仿宋" w:eastAsia="仿宋" w:hAnsi="仿宋" w:cs="仿宋"/>
                <w:sz w:val="24"/>
              </w:rPr>
            </w:pPr>
            <w:r>
              <w:rPr>
                <w:rFonts w:ascii="仿宋" w:eastAsia="仿宋" w:hAnsi="仿宋" w:cs="仿宋" w:hint="eastAsia"/>
                <w:kern w:val="1"/>
                <w:sz w:val="24"/>
              </w:rPr>
              <w:t>（二十二）</w:t>
            </w:r>
            <w:r>
              <w:rPr>
                <w:rFonts w:ascii="仿宋" w:eastAsia="仿宋" w:hAnsi="仿宋" w:cs="仿宋" w:hint="eastAsia"/>
                <w:sz w:val="24"/>
              </w:rPr>
              <w:t>经具有资质的中介机构鉴证的企业财务会计报告（包括会计报表、会计报表附注和财务情况说明书）以及集成电路制造销售（营业）收入、研究开发费用、境内研究开发费用等情况说明。</w:t>
            </w:r>
          </w:p>
        </w:tc>
        <w:tc>
          <w:tcPr>
            <w:tcW w:w="2368" w:type="dxa"/>
            <w:vMerge/>
            <w:shd w:val="clear" w:color="auto" w:fill="FFFFFF"/>
            <w:tcMar>
              <w:right w:w="57" w:type="dxa"/>
            </w:tcMar>
            <w:vAlign w:val="center"/>
          </w:tcPr>
          <w:p w:rsidR="00013EC7" w:rsidRDefault="00013EC7">
            <w:pPr>
              <w:widowControl/>
              <w:spacing w:line="300" w:lineRule="exact"/>
              <w:jc w:val="left"/>
              <w:rPr>
                <w:rFonts w:ascii="仿宋" w:eastAsia="仿宋" w:hAnsi="仿宋" w:cs="仿宋"/>
                <w:sz w:val="24"/>
              </w:rPr>
            </w:pPr>
          </w:p>
        </w:tc>
        <w:tc>
          <w:tcPr>
            <w:tcW w:w="2358" w:type="dxa"/>
            <w:shd w:val="clear" w:color="auto" w:fill="FFFFFF"/>
            <w:tcMar>
              <w:right w:w="57" w:type="dxa"/>
            </w:tcMar>
            <w:vAlign w:val="center"/>
          </w:tcPr>
          <w:p w:rsidR="00013EC7" w:rsidRDefault="00575CDB">
            <w:pPr>
              <w:widowControl/>
              <w:spacing w:line="300" w:lineRule="exact"/>
              <w:jc w:val="left"/>
              <w:rPr>
                <w:rFonts w:ascii="仿宋" w:eastAsia="仿宋" w:hAnsi="仿宋" w:cs="仿宋"/>
                <w:sz w:val="24"/>
              </w:rPr>
            </w:pPr>
            <w:r>
              <w:rPr>
                <w:rFonts w:ascii="仿宋" w:eastAsia="仿宋" w:hAnsi="仿宋" w:cs="仿宋" w:hint="eastAsia"/>
                <w:kern w:val="1"/>
                <w:sz w:val="24"/>
              </w:rPr>
              <w:t>（二十一）</w:t>
            </w:r>
            <w:r>
              <w:rPr>
                <w:rFonts w:ascii="仿宋" w:eastAsia="仿宋" w:hAnsi="仿宋" w:cs="仿宋" w:hint="eastAsia"/>
                <w:sz w:val="24"/>
              </w:rPr>
              <w:t>经具有资质的中介机构鉴证的企业财务会计报告（包括会计报表、会计报表附注和财务情况说明书）以及集成电路制造销售（营业）收入、研究开发费用、境内研究开发费用等情况说明。</w:t>
            </w:r>
          </w:p>
        </w:tc>
        <w:tc>
          <w:tcPr>
            <w:tcW w:w="2550" w:type="dxa"/>
            <w:vMerge/>
            <w:shd w:val="clear" w:color="auto" w:fill="FFFFFF"/>
            <w:tcMar>
              <w:right w:w="57" w:type="dxa"/>
            </w:tcMar>
            <w:vAlign w:val="center"/>
          </w:tcPr>
          <w:p w:rsidR="00013EC7" w:rsidRDefault="00013EC7">
            <w:pPr>
              <w:widowControl/>
              <w:spacing w:line="300" w:lineRule="exact"/>
              <w:jc w:val="left"/>
              <w:rPr>
                <w:rFonts w:ascii="仿宋" w:eastAsia="仿宋" w:hAnsi="仿宋" w:cs="仿宋"/>
                <w:sz w:val="24"/>
              </w:rPr>
            </w:pPr>
          </w:p>
        </w:tc>
        <w:tc>
          <w:tcPr>
            <w:tcW w:w="2132" w:type="dxa"/>
            <w:vMerge/>
            <w:shd w:val="clear" w:color="auto" w:fill="FFFFFF"/>
            <w:tcMar>
              <w:right w:w="57" w:type="dxa"/>
            </w:tcMar>
            <w:vAlign w:val="center"/>
          </w:tcPr>
          <w:p w:rsidR="00013EC7" w:rsidRDefault="00013EC7">
            <w:pPr>
              <w:widowControl/>
              <w:spacing w:line="300" w:lineRule="exact"/>
              <w:jc w:val="left"/>
              <w:rPr>
                <w:rFonts w:ascii="仿宋_GB2312" w:eastAsia="仿宋_GB2312" w:hAnsi="仿宋" w:cs="仿宋"/>
                <w:sz w:val="24"/>
              </w:rPr>
            </w:pPr>
          </w:p>
        </w:tc>
        <w:tc>
          <w:tcPr>
            <w:tcW w:w="700" w:type="dxa"/>
            <w:vMerge/>
            <w:shd w:val="clear" w:color="auto" w:fill="auto"/>
            <w:tcMar>
              <w:right w:w="57" w:type="dxa"/>
            </w:tcMar>
            <w:vAlign w:val="center"/>
          </w:tcPr>
          <w:p w:rsidR="00013EC7" w:rsidRDefault="00013EC7">
            <w:pPr>
              <w:widowControl/>
              <w:spacing w:line="300" w:lineRule="exact"/>
              <w:jc w:val="left"/>
              <w:rPr>
                <w:rFonts w:ascii="仿宋_GB2312" w:eastAsia="仿宋_GB2312" w:hAnsi="仿宋" w:cs="仿宋"/>
                <w:sz w:val="24"/>
              </w:rPr>
            </w:pPr>
          </w:p>
        </w:tc>
        <w:tc>
          <w:tcPr>
            <w:tcW w:w="675" w:type="dxa"/>
            <w:vMerge/>
            <w:shd w:val="clear" w:color="auto" w:fill="auto"/>
            <w:tcMar>
              <w:right w:w="57" w:type="dxa"/>
            </w:tcMar>
            <w:vAlign w:val="center"/>
          </w:tcPr>
          <w:p w:rsidR="00013EC7" w:rsidRDefault="00013EC7">
            <w:pPr>
              <w:widowControl/>
              <w:spacing w:line="300" w:lineRule="exact"/>
              <w:jc w:val="left"/>
              <w:rPr>
                <w:rFonts w:ascii="仿宋_GB2312" w:eastAsia="仿宋_GB2312" w:hAnsi="仿宋" w:cs="仿宋"/>
                <w:sz w:val="24"/>
              </w:rPr>
            </w:pPr>
          </w:p>
        </w:tc>
        <w:tc>
          <w:tcPr>
            <w:tcW w:w="700" w:type="dxa"/>
            <w:vMerge/>
            <w:shd w:val="clear" w:color="auto" w:fill="FFFFFF"/>
            <w:tcMar>
              <w:right w:w="57" w:type="dxa"/>
            </w:tcMar>
            <w:vAlign w:val="center"/>
          </w:tcPr>
          <w:p w:rsidR="00013EC7" w:rsidRDefault="00013EC7">
            <w:pPr>
              <w:widowControl/>
              <w:spacing w:line="300" w:lineRule="exact"/>
              <w:jc w:val="left"/>
              <w:rPr>
                <w:rFonts w:ascii="仿宋_GB2312" w:eastAsia="仿宋_GB2312" w:hAnsi="仿宋" w:cs="仿宋"/>
                <w:sz w:val="24"/>
              </w:rPr>
            </w:pPr>
          </w:p>
        </w:tc>
        <w:tc>
          <w:tcPr>
            <w:tcW w:w="775" w:type="dxa"/>
            <w:vMerge/>
            <w:tcMar>
              <w:right w:w="57" w:type="dxa"/>
            </w:tcMar>
            <w:vAlign w:val="center"/>
          </w:tcPr>
          <w:p w:rsidR="00013EC7" w:rsidRDefault="00013EC7">
            <w:pPr>
              <w:widowControl/>
              <w:spacing w:line="300" w:lineRule="exact"/>
              <w:jc w:val="left"/>
              <w:rPr>
                <w:rFonts w:ascii="仿宋_GB2312" w:eastAsia="仿宋_GB2312" w:hAnsi="仿宋" w:cs="仿宋"/>
                <w:sz w:val="24"/>
              </w:rPr>
            </w:pPr>
          </w:p>
        </w:tc>
        <w:tc>
          <w:tcPr>
            <w:tcW w:w="1157" w:type="dxa"/>
            <w:vMerge/>
            <w:tcMar>
              <w:right w:w="57" w:type="dxa"/>
            </w:tcMar>
            <w:vAlign w:val="center"/>
          </w:tcPr>
          <w:p w:rsidR="00013EC7" w:rsidRDefault="00013EC7">
            <w:pPr>
              <w:widowControl/>
              <w:spacing w:line="300" w:lineRule="exact"/>
              <w:jc w:val="left"/>
              <w:rPr>
                <w:rFonts w:ascii="仿宋_GB2312" w:eastAsia="仿宋_GB2312" w:hAnsi="仿宋" w:cs="仿宋"/>
                <w:sz w:val="24"/>
              </w:rPr>
            </w:pPr>
          </w:p>
        </w:tc>
      </w:tr>
      <w:tr w:rsidR="00013EC7">
        <w:trPr>
          <w:trHeight w:val="630"/>
          <w:jc w:val="center"/>
        </w:trPr>
        <w:tc>
          <w:tcPr>
            <w:tcW w:w="609" w:type="dxa"/>
            <w:vMerge/>
            <w:shd w:val="clear" w:color="auto" w:fill="auto"/>
            <w:tcMar>
              <w:right w:w="57" w:type="dxa"/>
            </w:tcMar>
            <w:vAlign w:val="center"/>
          </w:tcPr>
          <w:p w:rsidR="00013EC7" w:rsidRDefault="00013EC7">
            <w:pPr>
              <w:widowControl/>
              <w:spacing w:line="300" w:lineRule="exact"/>
              <w:jc w:val="left"/>
              <w:rPr>
                <w:rFonts w:ascii="仿宋" w:eastAsia="仿宋" w:hAnsi="仿宋" w:cs="仿宋"/>
                <w:sz w:val="24"/>
              </w:rPr>
            </w:pPr>
          </w:p>
        </w:tc>
        <w:tc>
          <w:tcPr>
            <w:tcW w:w="625" w:type="dxa"/>
            <w:vMerge/>
            <w:shd w:val="clear" w:color="auto" w:fill="auto"/>
            <w:tcMar>
              <w:right w:w="57" w:type="dxa"/>
            </w:tcMar>
            <w:vAlign w:val="center"/>
          </w:tcPr>
          <w:p w:rsidR="00013EC7" w:rsidRDefault="00013EC7">
            <w:pPr>
              <w:widowControl/>
              <w:spacing w:line="300" w:lineRule="exact"/>
              <w:jc w:val="left"/>
              <w:rPr>
                <w:rFonts w:ascii="仿宋" w:eastAsia="仿宋" w:hAnsi="仿宋" w:cs="仿宋"/>
                <w:sz w:val="24"/>
              </w:rPr>
            </w:pPr>
          </w:p>
        </w:tc>
        <w:tc>
          <w:tcPr>
            <w:tcW w:w="4371" w:type="dxa"/>
            <w:vMerge/>
            <w:shd w:val="clear" w:color="auto" w:fill="auto"/>
            <w:tcMar>
              <w:right w:w="57" w:type="dxa"/>
            </w:tcMar>
            <w:vAlign w:val="center"/>
          </w:tcPr>
          <w:p w:rsidR="00013EC7" w:rsidRDefault="00013EC7">
            <w:pPr>
              <w:widowControl/>
              <w:spacing w:line="300" w:lineRule="exact"/>
              <w:jc w:val="left"/>
              <w:rPr>
                <w:rFonts w:ascii="仿宋" w:eastAsia="仿宋" w:hAnsi="仿宋" w:cs="仿宋"/>
                <w:sz w:val="24"/>
              </w:rPr>
            </w:pPr>
          </w:p>
        </w:tc>
        <w:tc>
          <w:tcPr>
            <w:tcW w:w="2646" w:type="dxa"/>
            <w:tcBorders>
              <w:top w:val="single" w:sz="4" w:space="0" w:color="auto"/>
            </w:tcBorders>
            <w:shd w:val="clear" w:color="auto" w:fill="FFFFFF"/>
            <w:tcMar>
              <w:right w:w="57" w:type="dxa"/>
            </w:tcMar>
            <w:vAlign w:val="center"/>
          </w:tcPr>
          <w:p w:rsidR="00013EC7" w:rsidRDefault="00575CDB">
            <w:pPr>
              <w:widowControl/>
              <w:spacing w:line="300" w:lineRule="exact"/>
              <w:jc w:val="left"/>
              <w:rPr>
                <w:rFonts w:ascii="仿宋" w:eastAsia="仿宋" w:hAnsi="仿宋" w:cs="仿宋"/>
                <w:sz w:val="24"/>
              </w:rPr>
            </w:pPr>
            <w:r>
              <w:rPr>
                <w:rFonts w:ascii="仿宋" w:eastAsia="仿宋" w:hAnsi="仿宋" w:cs="仿宋" w:hint="eastAsia"/>
                <w:kern w:val="1"/>
                <w:sz w:val="24"/>
              </w:rPr>
              <w:t>（二十三）</w:t>
            </w:r>
            <w:r>
              <w:rPr>
                <w:rFonts w:ascii="仿宋" w:eastAsia="仿宋" w:hAnsi="仿宋" w:cs="仿宋" w:hint="eastAsia"/>
                <w:sz w:val="24"/>
              </w:rPr>
              <w:t>与主要客户签订的一至两份代表性销售合同复印件。</w:t>
            </w:r>
          </w:p>
        </w:tc>
        <w:tc>
          <w:tcPr>
            <w:tcW w:w="2368" w:type="dxa"/>
            <w:vMerge/>
            <w:shd w:val="clear" w:color="auto" w:fill="FFFFFF"/>
            <w:tcMar>
              <w:right w:w="57" w:type="dxa"/>
            </w:tcMar>
            <w:vAlign w:val="center"/>
          </w:tcPr>
          <w:p w:rsidR="00013EC7" w:rsidRDefault="00013EC7">
            <w:pPr>
              <w:widowControl/>
              <w:spacing w:line="300" w:lineRule="exact"/>
              <w:jc w:val="left"/>
              <w:rPr>
                <w:rFonts w:ascii="仿宋" w:eastAsia="仿宋" w:hAnsi="仿宋" w:cs="仿宋"/>
                <w:sz w:val="24"/>
              </w:rPr>
            </w:pPr>
          </w:p>
        </w:tc>
        <w:tc>
          <w:tcPr>
            <w:tcW w:w="2358" w:type="dxa"/>
            <w:shd w:val="clear" w:color="auto" w:fill="FFFFFF"/>
            <w:tcMar>
              <w:right w:w="57" w:type="dxa"/>
            </w:tcMar>
            <w:vAlign w:val="center"/>
          </w:tcPr>
          <w:p w:rsidR="00013EC7" w:rsidRDefault="00575CDB">
            <w:pPr>
              <w:widowControl/>
              <w:spacing w:line="300" w:lineRule="exact"/>
              <w:jc w:val="left"/>
              <w:rPr>
                <w:rFonts w:ascii="仿宋" w:eastAsia="仿宋" w:hAnsi="仿宋" w:cs="仿宋"/>
                <w:sz w:val="24"/>
              </w:rPr>
            </w:pPr>
            <w:r>
              <w:rPr>
                <w:rFonts w:ascii="仿宋" w:eastAsia="仿宋" w:hAnsi="仿宋" w:cs="仿宋" w:hint="eastAsia"/>
                <w:kern w:val="1"/>
                <w:sz w:val="24"/>
              </w:rPr>
              <w:t>（二十二）</w:t>
            </w:r>
            <w:r>
              <w:rPr>
                <w:rFonts w:ascii="仿宋" w:eastAsia="仿宋" w:hAnsi="仿宋" w:cs="仿宋" w:hint="eastAsia"/>
                <w:sz w:val="24"/>
              </w:rPr>
              <w:t>与主要客户签订的一至两份代表性销售合同复印件</w:t>
            </w:r>
            <w:r>
              <w:rPr>
                <w:rFonts w:ascii="仿宋" w:eastAsia="仿宋" w:hAnsi="仿宋" w:cs="仿宋" w:hint="eastAsia"/>
                <w:sz w:val="24"/>
              </w:rPr>
              <w:lastRenderedPageBreak/>
              <w:t>（注明与原件一致，并加盖公章）。</w:t>
            </w:r>
          </w:p>
        </w:tc>
        <w:tc>
          <w:tcPr>
            <w:tcW w:w="2550" w:type="dxa"/>
            <w:vMerge/>
            <w:shd w:val="clear" w:color="auto" w:fill="FFFFFF"/>
            <w:tcMar>
              <w:right w:w="57" w:type="dxa"/>
            </w:tcMar>
            <w:vAlign w:val="center"/>
          </w:tcPr>
          <w:p w:rsidR="00013EC7" w:rsidRDefault="00013EC7">
            <w:pPr>
              <w:widowControl/>
              <w:spacing w:line="300" w:lineRule="exact"/>
              <w:jc w:val="left"/>
              <w:rPr>
                <w:rFonts w:ascii="仿宋" w:eastAsia="仿宋" w:hAnsi="仿宋" w:cs="仿宋"/>
                <w:sz w:val="24"/>
              </w:rPr>
            </w:pPr>
          </w:p>
        </w:tc>
        <w:tc>
          <w:tcPr>
            <w:tcW w:w="2132" w:type="dxa"/>
            <w:vMerge/>
            <w:shd w:val="clear" w:color="auto" w:fill="FFFFFF"/>
            <w:tcMar>
              <w:right w:w="57" w:type="dxa"/>
            </w:tcMar>
            <w:vAlign w:val="center"/>
          </w:tcPr>
          <w:p w:rsidR="00013EC7" w:rsidRDefault="00013EC7">
            <w:pPr>
              <w:widowControl/>
              <w:spacing w:line="300" w:lineRule="exact"/>
              <w:jc w:val="left"/>
              <w:rPr>
                <w:rFonts w:ascii="仿宋_GB2312" w:eastAsia="仿宋_GB2312" w:hAnsi="仿宋" w:cs="仿宋"/>
                <w:sz w:val="24"/>
              </w:rPr>
            </w:pPr>
          </w:p>
        </w:tc>
        <w:tc>
          <w:tcPr>
            <w:tcW w:w="700" w:type="dxa"/>
            <w:vMerge/>
            <w:shd w:val="clear" w:color="auto" w:fill="auto"/>
            <w:tcMar>
              <w:right w:w="57" w:type="dxa"/>
            </w:tcMar>
            <w:vAlign w:val="center"/>
          </w:tcPr>
          <w:p w:rsidR="00013EC7" w:rsidRDefault="00013EC7">
            <w:pPr>
              <w:widowControl/>
              <w:spacing w:line="300" w:lineRule="exact"/>
              <w:jc w:val="left"/>
              <w:rPr>
                <w:rFonts w:ascii="仿宋_GB2312" w:eastAsia="仿宋_GB2312" w:hAnsi="仿宋" w:cs="仿宋"/>
                <w:sz w:val="24"/>
              </w:rPr>
            </w:pPr>
          </w:p>
        </w:tc>
        <w:tc>
          <w:tcPr>
            <w:tcW w:w="675" w:type="dxa"/>
            <w:vMerge/>
            <w:shd w:val="clear" w:color="auto" w:fill="auto"/>
            <w:tcMar>
              <w:right w:w="57" w:type="dxa"/>
            </w:tcMar>
            <w:vAlign w:val="center"/>
          </w:tcPr>
          <w:p w:rsidR="00013EC7" w:rsidRDefault="00013EC7">
            <w:pPr>
              <w:widowControl/>
              <w:spacing w:line="300" w:lineRule="exact"/>
              <w:jc w:val="left"/>
              <w:rPr>
                <w:rFonts w:ascii="仿宋_GB2312" w:eastAsia="仿宋_GB2312" w:hAnsi="仿宋" w:cs="仿宋"/>
                <w:sz w:val="24"/>
              </w:rPr>
            </w:pPr>
          </w:p>
        </w:tc>
        <w:tc>
          <w:tcPr>
            <w:tcW w:w="700" w:type="dxa"/>
            <w:vMerge/>
            <w:shd w:val="clear" w:color="auto" w:fill="FFFFFF"/>
            <w:tcMar>
              <w:right w:w="57" w:type="dxa"/>
            </w:tcMar>
            <w:vAlign w:val="center"/>
          </w:tcPr>
          <w:p w:rsidR="00013EC7" w:rsidRDefault="00013EC7">
            <w:pPr>
              <w:widowControl/>
              <w:spacing w:line="300" w:lineRule="exact"/>
              <w:jc w:val="left"/>
              <w:rPr>
                <w:rFonts w:ascii="仿宋_GB2312" w:eastAsia="仿宋_GB2312" w:hAnsi="仿宋" w:cs="仿宋"/>
                <w:sz w:val="24"/>
              </w:rPr>
            </w:pPr>
          </w:p>
        </w:tc>
        <w:tc>
          <w:tcPr>
            <w:tcW w:w="775" w:type="dxa"/>
            <w:vMerge/>
            <w:tcMar>
              <w:right w:w="57" w:type="dxa"/>
            </w:tcMar>
            <w:vAlign w:val="center"/>
          </w:tcPr>
          <w:p w:rsidR="00013EC7" w:rsidRDefault="00013EC7">
            <w:pPr>
              <w:widowControl/>
              <w:spacing w:line="300" w:lineRule="exact"/>
              <w:jc w:val="left"/>
              <w:rPr>
                <w:rFonts w:ascii="仿宋_GB2312" w:eastAsia="仿宋_GB2312" w:hAnsi="仿宋" w:cs="仿宋"/>
                <w:sz w:val="24"/>
              </w:rPr>
            </w:pPr>
          </w:p>
        </w:tc>
        <w:tc>
          <w:tcPr>
            <w:tcW w:w="1157" w:type="dxa"/>
            <w:vMerge/>
            <w:tcMar>
              <w:right w:w="57" w:type="dxa"/>
            </w:tcMar>
            <w:vAlign w:val="center"/>
          </w:tcPr>
          <w:p w:rsidR="00013EC7" w:rsidRDefault="00013EC7">
            <w:pPr>
              <w:widowControl/>
              <w:spacing w:line="300" w:lineRule="exact"/>
              <w:jc w:val="left"/>
              <w:rPr>
                <w:rFonts w:ascii="仿宋_GB2312" w:eastAsia="仿宋_GB2312" w:hAnsi="仿宋" w:cs="仿宋"/>
                <w:sz w:val="24"/>
              </w:rPr>
            </w:pPr>
          </w:p>
        </w:tc>
      </w:tr>
      <w:tr w:rsidR="00013EC7">
        <w:trPr>
          <w:trHeight w:val="630"/>
          <w:jc w:val="center"/>
        </w:trPr>
        <w:tc>
          <w:tcPr>
            <w:tcW w:w="609" w:type="dxa"/>
            <w:vMerge/>
            <w:shd w:val="clear" w:color="auto" w:fill="auto"/>
            <w:tcMar>
              <w:right w:w="57" w:type="dxa"/>
            </w:tcMar>
            <w:vAlign w:val="center"/>
          </w:tcPr>
          <w:p w:rsidR="00013EC7" w:rsidRDefault="00013EC7">
            <w:pPr>
              <w:widowControl/>
              <w:spacing w:line="300" w:lineRule="exact"/>
              <w:jc w:val="left"/>
              <w:rPr>
                <w:rFonts w:ascii="仿宋" w:eastAsia="仿宋" w:hAnsi="仿宋" w:cs="仿宋"/>
                <w:sz w:val="24"/>
              </w:rPr>
            </w:pPr>
          </w:p>
        </w:tc>
        <w:tc>
          <w:tcPr>
            <w:tcW w:w="625" w:type="dxa"/>
            <w:vMerge/>
            <w:shd w:val="clear" w:color="auto" w:fill="auto"/>
            <w:tcMar>
              <w:right w:w="57" w:type="dxa"/>
            </w:tcMar>
            <w:vAlign w:val="center"/>
          </w:tcPr>
          <w:p w:rsidR="00013EC7" w:rsidRDefault="00013EC7">
            <w:pPr>
              <w:widowControl/>
              <w:spacing w:line="300" w:lineRule="exact"/>
              <w:jc w:val="left"/>
              <w:rPr>
                <w:rFonts w:ascii="仿宋" w:eastAsia="仿宋" w:hAnsi="仿宋" w:cs="仿宋"/>
                <w:sz w:val="24"/>
              </w:rPr>
            </w:pPr>
          </w:p>
        </w:tc>
        <w:tc>
          <w:tcPr>
            <w:tcW w:w="4371" w:type="dxa"/>
            <w:vMerge/>
            <w:shd w:val="clear" w:color="auto" w:fill="auto"/>
            <w:tcMar>
              <w:right w:w="57" w:type="dxa"/>
            </w:tcMar>
            <w:vAlign w:val="center"/>
          </w:tcPr>
          <w:p w:rsidR="00013EC7" w:rsidRDefault="00013EC7">
            <w:pPr>
              <w:widowControl/>
              <w:spacing w:line="300" w:lineRule="exact"/>
              <w:jc w:val="left"/>
              <w:rPr>
                <w:rFonts w:ascii="仿宋" w:eastAsia="仿宋" w:hAnsi="仿宋" w:cs="仿宋"/>
                <w:sz w:val="24"/>
              </w:rPr>
            </w:pPr>
          </w:p>
        </w:tc>
        <w:tc>
          <w:tcPr>
            <w:tcW w:w="2646" w:type="dxa"/>
            <w:tcBorders>
              <w:top w:val="single" w:sz="4" w:space="0" w:color="auto"/>
            </w:tcBorders>
            <w:shd w:val="clear" w:color="auto" w:fill="FFFFFF"/>
            <w:tcMar>
              <w:right w:w="57" w:type="dxa"/>
            </w:tcMar>
            <w:vAlign w:val="center"/>
          </w:tcPr>
          <w:p w:rsidR="00013EC7" w:rsidRDefault="00575CDB">
            <w:pPr>
              <w:widowControl/>
              <w:spacing w:line="300" w:lineRule="exact"/>
              <w:jc w:val="left"/>
              <w:rPr>
                <w:rFonts w:ascii="仿宋" w:eastAsia="仿宋" w:hAnsi="仿宋" w:cs="仿宋"/>
                <w:sz w:val="24"/>
              </w:rPr>
            </w:pPr>
            <w:r>
              <w:rPr>
                <w:rFonts w:ascii="仿宋" w:eastAsia="仿宋" w:hAnsi="仿宋" w:cs="仿宋" w:hint="eastAsia"/>
                <w:kern w:val="1"/>
                <w:sz w:val="24"/>
              </w:rPr>
              <w:t>（二十四）</w:t>
            </w:r>
            <w:r>
              <w:rPr>
                <w:rFonts w:ascii="仿宋" w:eastAsia="仿宋" w:hAnsi="仿宋" w:cs="仿宋" w:hint="eastAsia"/>
                <w:sz w:val="24"/>
              </w:rPr>
              <w:t>保证产品质量的相关证明材料（如质量管理认证证书复印件等）。</w:t>
            </w:r>
          </w:p>
        </w:tc>
        <w:tc>
          <w:tcPr>
            <w:tcW w:w="2368" w:type="dxa"/>
            <w:vMerge/>
            <w:shd w:val="clear" w:color="auto" w:fill="FFFFFF"/>
            <w:tcMar>
              <w:right w:w="57" w:type="dxa"/>
            </w:tcMar>
            <w:vAlign w:val="center"/>
          </w:tcPr>
          <w:p w:rsidR="00013EC7" w:rsidRDefault="00013EC7">
            <w:pPr>
              <w:widowControl/>
              <w:spacing w:line="300" w:lineRule="exact"/>
              <w:jc w:val="left"/>
              <w:rPr>
                <w:rFonts w:ascii="仿宋" w:eastAsia="仿宋" w:hAnsi="仿宋" w:cs="仿宋"/>
                <w:sz w:val="24"/>
              </w:rPr>
            </w:pPr>
          </w:p>
        </w:tc>
        <w:tc>
          <w:tcPr>
            <w:tcW w:w="2358" w:type="dxa"/>
            <w:shd w:val="clear" w:color="auto" w:fill="FFFFFF"/>
            <w:tcMar>
              <w:right w:w="57" w:type="dxa"/>
            </w:tcMar>
            <w:vAlign w:val="center"/>
          </w:tcPr>
          <w:p w:rsidR="00013EC7" w:rsidRDefault="00575CDB">
            <w:pPr>
              <w:widowControl/>
              <w:spacing w:line="300" w:lineRule="exact"/>
              <w:jc w:val="left"/>
              <w:rPr>
                <w:rFonts w:ascii="仿宋" w:eastAsia="仿宋" w:hAnsi="仿宋" w:cs="仿宋"/>
                <w:sz w:val="24"/>
              </w:rPr>
            </w:pPr>
            <w:r>
              <w:rPr>
                <w:rFonts w:ascii="仿宋" w:eastAsia="仿宋" w:hAnsi="仿宋" w:cs="仿宋" w:hint="eastAsia"/>
                <w:kern w:val="1"/>
                <w:sz w:val="24"/>
              </w:rPr>
              <w:t>（二十三）</w:t>
            </w:r>
            <w:r>
              <w:rPr>
                <w:rFonts w:ascii="仿宋" w:eastAsia="仿宋" w:hAnsi="仿宋" w:cs="仿宋" w:hint="eastAsia"/>
                <w:sz w:val="24"/>
              </w:rPr>
              <w:t>保证产品质量的证明材料（如质量管理认证证书复印件等）（注明与原件一致，并加盖公章）。</w:t>
            </w:r>
          </w:p>
        </w:tc>
        <w:tc>
          <w:tcPr>
            <w:tcW w:w="2550" w:type="dxa"/>
            <w:vMerge/>
            <w:shd w:val="clear" w:color="auto" w:fill="FFFFFF"/>
            <w:tcMar>
              <w:right w:w="57" w:type="dxa"/>
            </w:tcMar>
            <w:vAlign w:val="center"/>
          </w:tcPr>
          <w:p w:rsidR="00013EC7" w:rsidRDefault="00013EC7">
            <w:pPr>
              <w:widowControl/>
              <w:spacing w:line="300" w:lineRule="exact"/>
              <w:jc w:val="left"/>
              <w:rPr>
                <w:rFonts w:ascii="仿宋" w:eastAsia="仿宋" w:hAnsi="仿宋" w:cs="仿宋"/>
                <w:sz w:val="24"/>
              </w:rPr>
            </w:pPr>
          </w:p>
        </w:tc>
        <w:tc>
          <w:tcPr>
            <w:tcW w:w="2132" w:type="dxa"/>
            <w:vMerge/>
            <w:shd w:val="clear" w:color="auto" w:fill="FFFFFF"/>
            <w:tcMar>
              <w:right w:w="57" w:type="dxa"/>
            </w:tcMar>
            <w:vAlign w:val="center"/>
          </w:tcPr>
          <w:p w:rsidR="00013EC7" w:rsidRDefault="00013EC7">
            <w:pPr>
              <w:widowControl/>
              <w:spacing w:line="300" w:lineRule="exact"/>
              <w:jc w:val="left"/>
              <w:rPr>
                <w:rFonts w:ascii="仿宋_GB2312" w:eastAsia="仿宋_GB2312" w:hAnsi="仿宋" w:cs="仿宋"/>
                <w:sz w:val="24"/>
              </w:rPr>
            </w:pPr>
          </w:p>
        </w:tc>
        <w:tc>
          <w:tcPr>
            <w:tcW w:w="700" w:type="dxa"/>
            <w:vMerge/>
            <w:shd w:val="clear" w:color="auto" w:fill="auto"/>
            <w:tcMar>
              <w:right w:w="57" w:type="dxa"/>
            </w:tcMar>
            <w:vAlign w:val="center"/>
          </w:tcPr>
          <w:p w:rsidR="00013EC7" w:rsidRDefault="00013EC7">
            <w:pPr>
              <w:widowControl/>
              <w:spacing w:line="300" w:lineRule="exact"/>
              <w:jc w:val="left"/>
              <w:rPr>
                <w:rFonts w:ascii="仿宋_GB2312" w:eastAsia="仿宋_GB2312" w:hAnsi="仿宋" w:cs="仿宋"/>
                <w:sz w:val="24"/>
              </w:rPr>
            </w:pPr>
          </w:p>
        </w:tc>
        <w:tc>
          <w:tcPr>
            <w:tcW w:w="675" w:type="dxa"/>
            <w:vMerge/>
            <w:shd w:val="clear" w:color="auto" w:fill="auto"/>
            <w:tcMar>
              <w:right w:w="57" w:type="dxa"/>
            </w:tcMar>
            <w:vAlign w:val="center"/>
          </w:tcPr>
          <w:p w:rsidR="00013EC7" w:rsidRDefault="00013EC7">
            <w:pPr>
              <w:widowControl/>
              <w:spacing w:line="300" w:lineRule="exact"/>
              <w:jc w:val="left"/>
              <w:rPr>
                <w:rFonts w:ascii="仿宋_GB2312" w:eastAsia="仿宋_GB2312" w:hAnsi="仿宋" w:cs="仿宋"/>
                <w:sz w:val="24"/>
              </w:rPr>
            </w:pPr>
          </w:p>
        </w:tc>
        <w:tc>
          <w:tcPr>
            <w:tcW w:w="700" w:type="dxa"/>
            <w:vMerge/>
            <w:shd w:val="clear" w:color="auto" w:fill="FFFFFF"/>
            <w:tcMar>
              <w:right w:w="57" w:type="dxa"/>
            </w:tcMar>
            <w:vAlign w:val="center"/>
          </w:tcPr>
          <w:p w:rsidR="00013EC7" w:rsidRDefault="00013EC7">
            <w:pPr>
              <w:widowControl/>
              <w:spacing w:line="300" w:lineRule="exact"/>
              <w:jc w:val="left"/>
              <w:rPr>
                <w:rFonts w:ascii="仿宋_GB2312" w:eastAsia="仿宋_GB2312" w:hAnsi="仿宋" w:cs="仿宋"/>
                <w:sz w:val="24"/>
              </w:rPr>
            </w:pPr>
          </w:p>
        </w:tc>
        <w:tc>
          <w:tcPr>
            <w:tcW w:w="775" w:type="dxa"/>
            <w:vMerge/>
            <w:tcMar>
              <w:right w:w="57" w:type="dxa"/>
            </w:tcMar>
            <w:vAlign w:val="center"/>
          </w:tcPr>
          <w:p w:rsidR="00013EC7" w:rsidRDefault="00013EC7">
            <w:pPr>
              <w:widowControl/>
              <w:spacing w:line="300" w:lineRule="exact"/>
              <w:jc w:val="left"/>
              <w:rPr>
                <w:rFonts w:ascii="仿宋_GB2312" w:eastAsia="仿宋_GB2312" w:hAnsi="仿宋" w:cs="仿宋"/>
                <w:sz w:val="24"/>
              </w:rPr>
            </w:pPr>
          </w:p>
        </w:tc>
        <w:tc>
          <w:tcPr>
            <w:tcW w:w="1157" w:type="dxa"/>
            <w:vMerge/>
            <w:tcMar>
              <w:right w:w="57" w:type="dxa"/>
            </w:tcMar>
            <w:vAlign w:val="center"/>
          </w:tcPr>
          <w:p w:rsidR="00013EC7" w:rsidRDefault="00013EC7">
            <w:pPr>
              <w:widowControl/>
              <w:spacing w:line="300" w:lineRule="exact"/>
              <w:jc w:val="left"/>
              <w:rPr>
                <w:rFonts w:ascii="仿宋_GB2312" w:eastAsia="仿宋_GB2312" w:hAnsi="仿宋" w:cs="仿宋"/>
                <w:sz w:val="24"/>
              </w:rPr>
            </w:pPr>
          </w:p>
        </w:tc>
      </w:tr>
      <w:tr w:rsidR="00013EC7">
        <w:trPr>
          <w:trHeight w:val="1707"/>
          <w:jc w:val="center"/>
        </w:trPr>
        <w:tc>
          <w:tcPr>
            <w:tcW w:w="609" w:type="dxa"/>
            <w:vMerge/>
            <w:shd w:val="clear" w:color="auto" w:fill="auto"/>
            <w:tcMar>
              <w:right w:w="57" w:type="dxa"/>
            </w:tcMar>
            <w:vAlign w:val="center"/>
          </w:tcPr>
          <w:p w:rsidR="00013EC7" w:rsidRDefault="00013EC7">
            <w:pPr>
              <w:spacing w:line="300" w:lineRule="exact"/>
              <w:jc w:val="left"/>
              <w:rPr>
                <w:rFonts w:ascii="仿宋" w:eastAsia="仿宋" w:hAnsi="仿宋" w:cs="仿宋"/>
                <w:sz w:val="24"/>
              </w:rPr>
            </w:pPr>
          </w:p>
        </w:tc>
        <w:tc>
          <w:tcPr>
            <w:tcW w:w="625" w:type="dxa"/>
            <w:vMerge/>
            <w:shd w:val="clear" w:color="auto" w:fill="auto"/>
            <w:tcMar>
              <w:right w:w="57" w:type="dxa"/>
            </w:tcMar>
            <w:vAlign w:val="center"/>
          </w:tcPr>
          <w:p w:rsidR="00013EC7" w:rsidRDefault="00013EC7">
            <w:pPr>
              <w:spacing w:line="310" w:lineRule="exact"/>
              <w:jc w:val="left"/>
              <w:rPr>
                <w:rFonts w:ascii="仿宋" w:eastAsia="仿宋" w:hAnsi="仿宋" w:cs="仿宋"/>
                <w:sz w:val="24"/>
              </w:rPr>
            </w:pPr>
          </w:p>
        </w:tc>
        <w:tc>
          <w:tcPr>
            <w:tcW w:w="4371" w:type="dxa"/>
            <w:vMerge/>
            <w:shd w:val="clear" w:color="auto" w:fill="auto"/>
            <w:tcMar>
              <w:right w:w="57" w:type="dxa"/>
            </w:tcMar>
            <w:vAlign w:val="center"/>
          </w:tcPr>
          <w:p w:rsidR="00013EC7" w:rsidRDefault="00013EC7">
            <w:pPr>
              <w:spacing w:line="310" w:lineRule="exact"/>
              <w:jc w:val="left"/>
              <w:rPr>
                <w:rFonts w:ascii="仿宋" w:eastAsia="仿宋" w:hAnsi="仿宋" w:cs="仿宋"/>
                <w:sz w:val="24"/>
              </w:rPr>
            </w:pPr>
          </w:p>
        </w:tc>
        <w:tc>
          <w:tcPr>
            <w:tcW w:w="2646" w:type="dxa"/>
            <w:shd w:val="clear" w:color="auto" w:fill="FFFFFF"/>
            <w:tcMar>
              <w:right w:w="57" w:type="dxa"/>
            </w:tcMar>
            <w:vAlign w:val="center"/>
          </w:tcPr>
          <w:p w:rsidR="00013EC7" w:rsidRDefault="00575CDB">
            <w:pPr>
              <w:widowControl/>
              <w:spacing w:line="300" w:lineRule="exact"/>
              <w:jc w:val="left"/>
              <w:rPr>
                <w:rFonts w:ascii="仿宋" w:eastAsia="仿宋" w:hAnsi="仿宋" w:cs="仿宋"/>
                <w:sz w:val="24"/>
              </w:rPr>
            </w:pPr>
            <w:r>
              <w:rPr>
                <w:rFonts w:ascii="仿宋" w:eastAsia="仿宋" w:hAnsi="仿宋" w:cs="仿宋" w:hint="eastAsia"/>
                <w:kern w:val="1"/>
                <w:sz w:val="24"/>
              </w:rPr>
              <w:t>（二十五）</w:t>
            </w:r>
            <w:r>
              <w:rPr>
                <w:rFonts w:ascii="仿宋" w:eastAsia="仿宋" w:hAnsi="仿宋" w:cs="仿宋" w:hint="eastAsia"/>
                <w:sz w:val="24"/>
              </w:rPr>
              <w:t>企业职工人数、学历结构、研究开发人员情况及其占企业职工总数的比例说明，以及汇算清缴年度最后一个月社会保险缴纳证明等相关证明材料。</w:t>
            </w:r>
          </w:p>
        </w:tc>
        <w:tc>
          <w:tcPr>
            <w:tcW w:w="2368" w:type="dxa"/>
            <w:vMerge w:val="restart"/>
            <w:shd w:val="clear" w:color="auto" w:fill="FFFFFF"/>
            <w:tcMar>
              <w:right w:w="57" w:type="dxa"/>
            </w:tcMar>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kern w:val="1"/>
                <w:sz w:val="24"/>
              </w:rPr>
              <w:t>办理新办集成电路设计企业定期减免征收企业所得税备案的</w:t>
            </w:r>
            <w:r>
              <w:rPr>
                <w:rFonts w:ascii="仿宋" w:eastAsia="仿宋" w:hAnsi="仿宋" w:cs="仿宋" w:hint="eastAsia"/>
                <w:sz w:val="24"/>
              </w:rPr>
              <w:t>纳税人提交</w:t>
            </w:r>
          </w:p>
        </w:tc>
        <w:tc>
          <w:tcPr>
            <w:tcW w:w="2358" w:type="dxa"/>
            <w:shd w:val="clear" w:color="auto" w:fill="FFFFFF"/>
            <w:tcMar>
              <w:right w:w="57" w:type="dxa"/>
            </w:tcMar>
            <w:vAlign w:val="center"/>
          </w:tcPr>
          <w:p w:rsidR="00013EC7" w:rsidRDefault="00575CDB">
            <w:pPr>
              <w:widowControl/>
              <w:spacing w:line="300" w:lineRule="exact"/>
              <w:jc w:val="left"/>
              <w:rPr>
                <w:rFonts w:ascii="仿宋" w:eastAsia="仿宋" w:hAnsi="仿宋" w:cs="仿宋"/>
                <w:sz w:val="24"/>
              </w:rPr>
            </w:pPr>
            <w:r>
              <w:rPr>
                <w:rFonts w:ascii="仿宋" w:eastAsia="仿宋" w:hAnsi="仿宋" w:cs="仿宋" w:hint="eastAsia"/>
                <w:kern w:val="1"/>
                <w:sz w:val="24"/>
              </w:rPr>
              <w:t>（十九）</w:t>
            </w:r>
            <w:r>
              <w:rPr>
                <w:rFonts w:ascii="仿宋" w:eastAsia="仿宋" w:hAnsi="仿宋" w:cs="仿宋" w:hint="eastAsia"/>
                <w:sz w:val="24"/>
              </w:rPr>
              <w:t>企业职工人数、学历结构、研究开发人员情况及其占企业职工总数的比例说明，以及汇算清缴年度最后一个月社会保险缴纳证明等证明材料。</w:t>
            </w:r>
          </w:p>
        </w:tc>
        <w:tc>
          <w:tcPr>
            <w:tcW w:w="2550" w:type="dxa"/>
            <w:vMerge w:val="restart"/>
            <w:shd w:val="clear" w:color="auto" w:fill="FFFFFF"/>
            <w:tcMar>
              <w:right w:w="57" w:type="dxa"/>
            </w:tcMar>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kern w:val="1"/>
                <w:sz w:val="24"/>
              </w:rPr>
              <w:t>新办集成电路设计企业</w:t>
            </w:r>
            <w:r>
              <w:rPr>
                <w:rFonts w:ascii="仿宋" w:eastAsia="仿宋" w:hAnsi="仿宋" w:cs="仿宋" w:hint="eastAsia"/>
                <w:sz w:val="24"/>
              </w:rPr>
              <w:t>提交</w:t>
            </w:r>
          </w:p>
        </w:tc>
        <w:tc>
          <w:tcPr>
            <w:tcW w:w="2132" w:type="dxa"/>
            <w:vMerge/>
            <w:shd w:val="clear" w:color="auto" w:fill="FFFFFF"/>
            <w:tcMar>
              <w:right w:w="57" w:type="dxa"/>
            </w:tcMar>
            <w:vAlign w:val="center"/>
          </w:tcPr>
          <w:p w:rsidR="00013EC7" w:rsidRDefault="00013EC7">
            <w:pPr>
              <w:shd w:val="clear" w:color="auto" w:fill="FFFFFF"/>
              <w:spacing w:line="300" w:lineRule="exact"/>
              <w:jc w:val="left"/>
              <w:rPr>
                <w:rFonts w:ascii="仿宋_GB2312" w:eastAsia="仿宋_GB2312" w:hAnsi="仿宋" w:cs="仿宋"/>
                <w:sz w:val="24"/>
              </w:rPr>
            </w:pPr>
          </w:p>
        </w:tc>
        <w:tc>
          <w:tcPr>
            <w:tcW w:w="700" w:type="dxa"/>
            <w:vMerge/>
            <w:shd w:val="clear" w:color="auto" w:fill="auto"/>
            <w:tcMar>
              <w:right w:w="57" w:type="dxa"/>
            </w:tcMar>
            <w:vAlign w:val="center"/>
          </w:tcPr>
          <w:p w:rsidR="00013EC7" w:rsidRDefault="00013EC7">
            <w:pPr>
              <w:spacing w:line="300" w:lineRule="exact"/>
              <w:jc w:val="left"/>
              <w:rPr>
                <w:rFonts w:ascii="仿宋_GB2312" w:eastAsia="仿宋_GB2312" w:hAnsi="仿宋" w:cs="仿宋"/>
                <w:sz w:val="24"/>
              </w:rPr>
            </w:pPr>
          </w:p>
        </w:tc>
        <w:tc>
          <w:tcPr>
            <w:tcW w:w="675" w:type="dxa"/>
            <w:vMerge/>
            <w:shd w:val="clear" w:color="auto" w:fill="auto"/>
            <w:tcMar>
              <w:right w:w="57" w:type="dxa"/>
            </w:tcMar>
            <w:vAlign w:val="center"/>
          </w:tcPr>
          <w:p w:rsidR="00013EC7" w:rsidRDefault="00013EC7">
            <w:pPr>
              <w:spacing w:line="300" w:lineRule="exact"/>
              <w:jc w:val="left"/>
              <w:rPr>
                <w:rFonts w:ascii="仿宋_GB2312" w:eastAsia="仿宋_GB2312" w:hAnsi="仿宋" w:cs="仿宋"/>
                <w:sz w:val="24"/>
              </w:rPr>
            </w:pPr>
          </w:p>
        </w:tc>
        <w:tc>
          <w:tcPr>
            <w:tcW w:w="700" w:type="dxa"/>
            <w:vMerge/>
            <w:shd w:val="clear" w:color="auto" w:fill="FFFFFF"/>
            <w:tcMar>
              <w:right w:w="57" w:type="dxa"/>
            </w:tcMar>
            <w:vAlign w:val="center"/>
          </w:tcPr>
          <w:p w:rsidR="00013EC7" w:rsidRDefault="00013EC7">
            <w:pPr>
              <w:spacing w:line="300" w:lineRule="exact"/>
              <w:jc w:val="left"/>
              <w:rPr>
                <w:rFonts w:ascii="仿宋_GB2312" w:eastAsia="仿宋_GB2312" w:hAnsi="仿宋" w:cs="仿宋"/>
                <w:sz w:val="24"/>
              </w:rPr>
            </w:pPr>
          </w:p>
        </w:tc>
        <w:tc>
          <w:tcPr>
            <w:tcW w:w="775" w:type="dxa"/>
            <w:vMerge/>
            <w:tcMar>
              <w:right w:w="57" w:type="dxa"/>
            </w:tcMar>
            <w:vAlign w:val="center"/>
          </w:tcPr>
          <w:p w:rsidR="00013EC7" w:rsidRDefault="00013EC7">
            <w:pPr>
              <w:spacing w:line="300" w:lineRule="exact"/>
              <w:jc w:val="left"/>
              <w:rPr>
                <w:rFonts w:ascii="仿宋_GB2312" w:eastAsia="仿宋_GB2312" w:hAnsi="仿宋" w:cs="仿宋"/>
                <w:sz w:val="24"/>
              </w:rPr>
            </w:pPr>
          </w:p>
        </w:tc>
        <w:tc>
          <w:tcPr>
            <w:tcW w:w="1157" w:type="dxa"/>
            <w:vMerge/>
            <w:tcMar>
              <w:right w:w="57" w:type="dxa"/>
            </w:tcMar>
            <w:vAlign w:val="center"/>
          </w:tcPr>
          <w:p w:rsidR="00013EC7" w:rsidRDefault="00013EC7">
            <w:pPr>
              <w:spacing w:line="300" w:lineRule="exact"/>
              <w:jc w:val="left"/>
              <w:rPr>
                <w:rFonts w:ascii="仿宋_GB2312" w:eastAsia="仿宋_GB2312" w:hAnsi="仿宋" w:cs="仿宋"/>
                <w:sz w:val="24"/>
              </w:rPr>
            </w:pPr>
          </w:p>
        </w:tc>
      </w:tr>
      <w:tr w:rsidR="00013EC7">
        <w:trPr>
          <w:trHeight w:val="1707"/>
          <w:jc w:val="center"/>
        </w:trPr>
        <w:tc>
          <w:tcPr>
            <w:tcW w:w="609" w:type="dxa"/>
            <w:vMerge/>
            <w:shd w:val="clear" w:color="auto" w:fill="auto"/>
            <w:tcMar>
              <w:right w:w="57" w:type="dxa"/>
            </w:tcMar>
            <w:vAlign w:val="center"/>
          </w:tcPr>
          <w:p w:rsidR="00013EC7" w:rsidRDefault="00013EC7">
            <w:pPr>
              <w:widowControl/>
              <w:spacing w:line="300" w:lineRule="exact"/>
              <w:jc w:val="left"/>
            </w:pPr>
          </w:p>
        </w:tc>
        <w:tc>
          <w:tcPr>
            <w:tcW w:w="625" w:type="dxa"/>
            <w:vMerge/>
            <w:shd w:val="clear" w:color="auto" w:fill="auto"/>
            <w:tcMar>
              <w:right w:w="57" w:type="dxa"/>
            </w:tcMar>
            <w:vAlign w:val="center"/>
          </w:tcPr>
          <w:p w:rsidR="00013EC7" w:rsidRDefault="00013EC7">
            <w:pPr>
              <w:widowControl/>
              <w:spacing w:line="300" w:lineRule="exact"/>
              <w:jc w:val="left"/>
            </w:pPr>
          </w:p>
        </w:tc>
        <w:tc>
          <w:tcPr>
            <w:tcW w:w="4371" w:type="dxa"/>
            <w:vMerge/>
            <w:shd w:val="clear" w:color="auto" w:fill="auto"/>
            <w:tcMar>
              <w:right w:w="57" w:type="dxa"/>
            </w:tcMar>
            <w:vAlign w:val="center"/>
          </w:tcPr>
          <w:p w:rsidR="00013EC7" w:rsidRDefault="00013EC7">
            <w:pPr>
              <w:widowControl/>
              <w:spacing w:line="300" w:lineRule="exact"/>
              <w:jc w:val="left"/>
            </w:pPr>
          </w:p>
        </w:tc>
        <w:tc>
          <w:tcPr>
            <w:tcW w:w="2646" w:type="dxa"/>
            <w:shd w:val="clear" w:color="auto" w:fill="FFFFFF"/>
            <w:tcMar>
              <w:right w:w="57" w:type="dxa"/>
            </w:tcMar>
            <w:vAlign w:val="center"/>
          </w:tcPr>
          <w:p w:rsidR="00013EC7" w:rsidRDefault="00575CDB">
            <w:pPr>
              <w:widowControl/>
              <w:spacing w:line="300" w:lineRule="exact"/>
              <w:jc w:val="left"/>
              <w:rPr>
                <w:rFonts w:ascii="仿宋" w:eastAsia="仿宋" w:hAnsi="仿宋" w:cs="仿宋"/>
                <w:sz w:val="24"/>
              </w:rPr>
            </w:pPr>
            <w:r>
              <w:rPr>
                <w:rFonts w:ascii="仿宋" w:eastAsia="仿宋" w:hAnsi="仿宋" w:cs="仿宋" w:hint="eastAsia"/>
                <w:kern w:val="1"/>
                <w:sz w:val="24"/>
              </w:rPr>
              <w:t>（二十六）</w:t>
            </w:r>
            <w:r>
              <w:rPr>
                <w:rFonts w:ascii="仿宋" w:eastAsia="仿宋" w:hAnsi="仿宋" w:cs="仿宋" w:hint="eastAsia"/>
                <w:sz w:val="24"/>
              </w:rPr>
              <w:t>企业开发销售的主要集成电路产品列表，以及国家知识产权局（或国外知识产权相关主管机构）出具的企业自主开发或拥有的一至两份代表性知识产权（如专利、布图设计登记、软件著作权等）的证明材料。</w:t>
            </w:r>
          </w:p>
        </w:tc>
        <w:tc>
          <w:tcPr>
            <w:tcW w:w="2368" w:type="dxa"/>
            <w:vMerge/>
            <w:shd w:val="clear" w:color="auto" w:fill="FFFFFF"/>
            <w:tcMar>
              <w:right w:w="57" w:type="dxa"/>
            </w:tcMar>
            <w:vAlign w:val="center"/>
          </w:tcPr>
          <w:p w:rsidR="00013EC7" w:rsidRDefault="00013EC7">
            <w:pPr>
              <w:widowControl/>
              <w:spacing w:line="300" w:lineRule="exact"/>
              <w:jc w:val="left"/>
              <w:rPr>
                <w:rFonts w:ascii="仿宋" w:eastAsia="仿宋" w:hAnsi="仿宋" w:cs="仿宋"/>
                <w:sz w:val="24"/>
              </w:rPr>
            </w:pPr>
          </w:p>
        </w:tc>
        <w:tc>
          <w:tcPr>
            <w:tcW w:w="2358" w:type="dxa"/>
            <w:shd w:val="clear" w:color="auto" w:fill="FFFFFF"/>
            <w:tcMar>
              <w:right w:w="57" w:type="dxa"/>
            </w:tcMar>
            <w:vAlign w:val="center"/>
          </w:tcPr>
          <w:p w:rsidR="00013EC7" w:rsidRDefault="00575CDB">
            <w:pPr>
              <w:widowControl/>
              <w:spacing w:line="300" w:lineRule="exact"/>
              <w:jc w:val="left"/>
              <w:rPr>
                <w:rFonts w:ascii="仿宋" w:eastAsia="仿宋" w:hAnsi="仿宋" w:cs="仿宋"/>
                <w:sz w:val="24"/>
              </w:rPr>
            </w:pPr>
            <w:r>
              <w:rPr>
                <w:rFonts w:ascii="仿宋" w:eastAsia="仿宋" w:hAnsi="仿宋" w:cs="仿宋" w:hint="eastAsia"/>
                <w:kern w:val="1"/>
                <w:sz w:val="24"/>
              </w:rPr>
              <w:t>（二十四）</w:t>
            </w:r>
            <w:r>
              <w:rPr>
                <w:rFonts w:ascii="仿宋" w:eastAsia="仿宋" w:hAnsi="仿宋" w:cs="仿宋" w:hint="eastAsia"/>
                <w:sz w:val="24"/>
              </w:rPr>
              <w:t>企业开发销售的主要集成电路产品列表，以及国家知识产权局（或国外知识产权主管机构）出具的企业自主开发或拥有的一至两份代表性知识产权（如专利、布图设计登记、软件著作权等）的证明材料。</w:t>
            </w:r>
          </w:p>
        </w:tc>
        <w:tc>
          <w:tcPr>
            <w:tcW w:w="2550" w:type="dxa"/>
            <w:vMerge/>
            <w:shd w:val="clear" w:color="auto" w:fill="FFFFFF"/>
            <w:tcMar>
              <w:right w:w="57" w:type="dxa"/>
            </w:tcMar>
            <w:vAlign w:val="center"/>
          </w:tcPr>
          <w:p w:rsidR="00013EC7" w:rsidRDefault="00013EC7">
            <w:pPr>
              <w:widowControl/>
              <w:spacing w:line="300" w:lineRule="exact"/>
              <w:jc w:val="left"/>
              <w:rPr>
                <w:rFonts w:ascii="仿宋" w:eastAsia="仿宋" w:hAnsi="仿宋" w:cs="仿宋"/>
                <w:sz w:val="24"/>
              </w:rPr>
            </w:pPr>
          </w:p>
        </w:tc>
        <w:tc>
          <w:tcPr>
            <w:tcW w:w="2132" w:type="dxa"/>
            <w:vMerge/>
            <w:shd w:val="clear" w:color="auto" w:fill="FFFFFF"/>
            <w:tcMar>
              <w:right w:w="57" w:type="dxa"/>
            </w:tcMar>
            <w:vAlign w:val="center"/>
          </w:tcPr>
          <w:p w:rsidR="00013EC7" w:rsidRDefault="00013EC7">
            <w:pPr>
              <w:widowControl/>
              <w:spacing w:line="300" w:lineRule="exact"/>
              <w:jc w:val="left"/>
              <w:rPr>
                <w:rFonts w:ascii="仿宋_GB2312" w:eastAsia="仿宋_GB2312" w:hAnsi="仿宋" w:cs="仿宋"/>
                <w:sz w:val="24"/>
              </w:rPr>
            </w:pPr>
          </w:p>
        </w:tc>
        <w:tc>
          <w:tcPr>
            <w:tcW w:w="700" w:type="dxa"/>
            <w:vMerge/>
            <w:shd w:val="clear" w:color="auto" w:fill="auto"/>
            <w:tcMar>
              <w:right w:w="57" w:type="dxa"/>
            </w:tcMar>
            <w:vAlign w:val="center"/>
          </w:tcPr>
          <w:p w:rsidR="00013EC7" w:rsidRDefault="00013EC7">
            <w:pPr>
              <w:widowControl/>
              <w:spacing w:line="300" w:lineRule="exact"/>
              <w:jc w:val="left"/>
              <w:rPr>
                <w:rFonts w:ascii="仿宋_GB2312" w:eastAsia="仿宋_GB2312" w:hAnsi="仿宋" w:cs="仿宋"/>
                <w:sz w:val="24"/>
              </w:rPr>
            </w:pPr>
          </w:p>
        </w:tc>
        <w:tc>
          <w:tcPr>
            <w:tcW w:w="675" w:type="dxa"/>
            <w:vMerge/>
            <w:shd w:val="clear" w:color="auto" w:fill="auto"/>
            <w:tcMar>
              <w:right w:w="57" w:type="dxa"/>
            </w:tcMar>
            <w:vAlign w:val="center"/>
          </w:tcPr>
          <w:p w:rsidR="00013EC7" w:rsidRDefault="00013EC7">
            <w:pPr>
              <w:widowControl/>
              <w:spacing w:line="300" w:lineRule="exact"/>
              <w:jc w:val="left"/>
              <w:rPr>
                <w:rFonts w:ascii="仿宋_GB2312" w:eastAsia="仿宋_GB2312" w:hAnsi="仿宋" w:cs="仿宋"/>
                <w:sz w:val="24"/>
              </w:rPr>
            </w:pPr>
          </w:p>
        </w:tc>
        <w:tc>
          <w:tcPr>
            <w:tcW w:w="700" w:type="dxa"/>
            <w:vMerge/>
            <w:shd w:val="clear" w:color="auto" w:fill="FFFFFF"/>
            <w:tcMar>
              <w:right w:w="57" w:type="dxa"/>
            </w:tcMar>
            <w:vAlign w:val="center"/>
          </w:tcPr>
          <w:p w:rsidR="00013EC7" w:rsidRDefault="00013EC7">
            <w:pPr>
              <w:widowControl/>
              <w:spacing w:line="300" w:lineRule="exact"/>
              <w:jc w:val="left"/>
              <w:rPr>
                <w:rFonts w:ascii="仿宋_GB2312" w:eastAsia="仿宋_GB2312" w:hAnsi="仿宋" w:cs="仿宋"/>
                <w:sz w:val="24"/>
              </w:rPr>
            </w:pPr>
          </w:p>
        </w:tc>
        <w:tc>
          <w:tcPr>
            <w:tcW w:w="775" w:type="dxa"/>
            <w:vMerge/>
            <w:tcMar>
              <w:right w:w="57" w:type="dxa"/>
            </w:tcMar>
            <w:vAlign w:val="center"/>
          </w:tcPr>
          <w:p w:rsidR="00013EC7" w:rsidRDefault="00013EC7">
            <w:pPr>
              <w:widowControl/>
              <w:spacing w:line="300" w:lineRule="exact"/>
              <w:jc w:val="left"/>
              <w:rPr>
                <w:rFonts w:ascii="仿宋_GB2312" w:eastAsia="仿宋_GB2312" w:hAnsi="仿宋" w:cs="仿宋"/>
                <w:sz w:val="24"/>
              </w:rPr>
            </w:pPr>
          </w:p>
        </w:tc>
        <w:tc>
          <w:tcPr>
            <w:tcW w:w="1157" w:type="dxa"/>
            <w:vMerge/>
            <w:tcMar>
              <w:right w:w="57" w:type="dxa"/>
            </w:tcMar>
            <w:vAlign w:val="center"/>
          </w:tcPr>
          <w:p w:rsidR="00013EC7" w:rsidRDefault="00013EC7">
            <w:pPr>
              <w:widowControl/>
              <w:spacing w:line="300" w:lineRule="exact"/>
              <w:jc w:val="left"/>
              <w:rPr>
                <w:rFonts w:ascii="仿宋_GB2312" w:eastAsia="仿宋_GB2312" w:hAnsi="仿宋" w:cs="仿宋"/>
                <w:sz w:val="24"/>
              </w:rPr>
            </w:pPr>
          </w:p>
        </w:tc>
      </w:tr>
      <w:tr w:rsidR="00013EC7">
        <w:trPr>
          <w:trHeight w:val="1707"/>
          <w:jc w:val="center"/>
        </w:trPr>
        <w:tc>
          <w:tcPr>
            <w:tcW w:w="609" w:type="dxa"/>
            <w:vMerge/>
            <w:shd w:val="clear" w:color="auto" w:fill="auto"/>
            <w:tcMar>
              <w:right w:w="57" w:type="dxa"/>
            </w:tcMar>
            <w:vAlign w:val="center"/>
          </w:tcPr>
          <w:p w:rsidR="00013EC7" w:rsidRDefault="00013EC7">
            <w:pPr>
              <w:widowControl/>
              <w:spacing w:line="300" w:lineRule="exact"/>
              <w:jc w:val="left"/>
              <w:rPr>
                <w:rFonts w:ascii="仿宋" w:eastAsia="仿宋" w:hAnsi="仿宋" w:cs="仿宋"/>
                <w:sz w:val="24"/>
              </w:rPr>
            </w:pPr>
          </w:p>
        </w:tc>
        <w:tc>
          <w:tcPr>
            <w:tcW w:w="625" w:type="dxa"/>
            <w:vMerge/>
            <w:shd w:val="clear" w:color="auto" w:fill="auto"/>
            <w:tcMar>
              <w:right w:w="57" w:type="dxa"/>
            </w:tcMar>
            <w:vAlign w:val="center"/>
          </w:tcPr>
          <w:p w:rsidR="00013EC7" w:rsidRDefault="00013EC7">
            <w:pPr>
              <w:widowControl/>
              <w:spacing w:line="300" w:lineRule="exact"/>
              <w:jc w:val="left"/>
              <w:rPr>
                <w:rFonts w:ascii="仿宋" w:eastAsia="仿宋" w:hAnsi="仿宋" w:cs="仿宋"/>
                <w:sz w:val="24"/>
              </w:rPr>
            </w:pPr>
          </w:p>
        </w:tc>
        <w:tc>
          <w:tcPr>
            <w:tcW w:w="4371" w:type="dxa"/>
            <w:vMerge/>
            <w:shd w:val="clear" w:color="auto" w:fill="auto"/>
            <w:tcMar>
              <w:right w:w="57" w:type="dxa"/>
            </w:tcMar>
            <w:vAlign w:val="center"/>
          </w:tcPr>
          <w:p w:rsidR="00013EC7" w:rsidRDefault="00013EC7">
            <w:pPr>
              <w:widowControl/>
              <w:spacing w:line="300" w:lineRule="exact"/>
              <w:jc w:val="left"/>
              <w:rPr>
                <w:rFonts w:ascii="仿宋" w:eastAsia="仿宋" w:hAnsi="仿宋" w:cs="仿宋"/>
                <w:sz w:val="24"/>
              </w:rPr>
            </w:pPr>
          </w:p>
        </w:tc>
        <w:tc>
          <w:tcPr>
            <w:tcW w:w="2646" w:type="dxa"/>
            <w:shd w:val="clear" w:color="auto" w:fill="FFFFFF"/>
            <w:tcMar>
              <w:right w:w="57" w:type="dxa"/>
            </w:tcMar>
            <w:vAlign w:val="center"/>
          </w:tcPr>
          <w:p w:rsidR="00013EC7" w:rsidRDefault="00575CDB">
            <w:pPr>
              <w:widowControl/>
              <w:spacing w:line="300" w:lineRule="exact"/>
              <w:jc w:val="left"/>
              <w:rPr>
                <w:rFonts w:ascii="仿宋" w:eastAsia="仿宋" w:hAnsi="仿宋" w:cs="仿宋"/>
                <w:sz w:val="24"/>
              </w:rPr>
            </w:pPr>
            <w:r>
              <w:rPr>
                <w:rFonts w:ascii="仿宋" w:eastAsia="仿宋" w:hAnsi="仿宋" w:cs="仿宋" w:hint="eastAsia"/>
                <w:kern w:val="1"/>
                <w:sz w:val="24"/>
              </w:rPr>
              <w:t>（二十七）</w:t>
            </w:r>
            <w:r>
              <w:rPr>
                <w:rFonts w:ascii="仿宋" w:eastAsia="仿宋" w:hAnsi="仿宋" w:cs="仿宋" w:hint="eastAsia"/>
                <w:sz w:val="24"/>
              </w:rPr>
              <w:t>经具有资质的中介机构鉴证的企业财务会计报告（包括会计报表、会计报表附注和财务情况说明书）以及集成电路设计销售（营业）收入、集成电路自主设计销售（营业）收入、研究开发费</w:t>
            </w:r>
            <w:r>
              <w:rPr>
                <w:rFonts w:ascii="仿宋" w:eastAsia="仿宋" w:hAnsi="仿宋" w:cs="仿宋" w:hint="eastAsia"/>
                <w:sz w:val="24"/>
              </w:rPr>
              <w:lastRenderedPageBreak/>
              <w:t>用、境内研究开发费用等情况表。</w:t>
            </w:r>
          </w:p>
        </w:tc>
        <w:tc>
          <w:tcPr>
            <w:tcW w:w="2368" w:type="dxa"/>
            <w:vMerge/>
            <w:shd w:val="clear" w:color="auto" w:fill="FFFFFF"/>
            <w:tcMar>
              <w:right w:w="57" w:type="dxa"/>
            </w:tcMar>
            <w:vAlign w:val="center"/>
          </w:tcPr>
          <w:p w:rsidR="00013EC7" w:rsidRDefault="00013EC7">
            <w:pPr>
              <w:widowControl/>
              <w:spacing w:line="300" w:lineRule="exact"/>
              <w:jc w:val="left"/>
              <w:rPr>
                <w:rFonts w:ascii="仿宋" w:eastAsia="仿宋" w:hAnsi="仿宋" w:cs="仿宋"/>
                <w:sz w:val="24"/>
              </w:rPr>
            </w:pPr>
          </w:p>
        </w:tc>
        <w:tc>
          <w:tcPr>
            <w:tcW w:w="2358" w:type="dxa"/>
            <w:shd w:val="clear" w:color="auto" w:fill="FFFFFF"/>
            <w:tcMar>
              <w:right w:w="57" w:type="dxa"/>
            </w:tcMar>
            <w:vAlign w:val="center"/>
          </w:tcPr>
          <w:p w:rsidR="00013EC7" w:rsidRDefault="00575CDB">
            <w:pPr>
              <w:widowControl/>
              <w:spacing w:line="300" w:lineRule="exact"/>
              <w:jc w:val="left"/>
              <w:rPr>
                <w:rFonts w:ascii="仿宋" w:eastAsia="仿宋" w:hAnsi="仿宋" w:cs="仿宋"/>
                <w:sz w:val="24"/>
              </w:rPr>
            </w:pPr>
            <w:r>
              <w:rPr>
                <w:rFonts w:ascii="仿宋" w:eastAsia="仿宋" w:hAnsi="仿宋" w:cs="仿宋" w:hint="eastAsia"/>
                <w:kern w:val="1"/>
                <w:sz w:val="24"/>
              </w:rPr>
              <w:t>（二十五）</w:t>
            </w:r>
            <w:r>
              <w:rPr>
                <w:rFonts w:ascii="仿宋" w:eastAsia="仿宋" w:hAnsi="仿宋" w:cs="仿宋" w:hint="eastAsia"/>
                <w:sz w:val="24"/>
              </w:rPr>
              <w:t>经具有资质的中介机构鉴证的企业财务会计报告（包括会计报表、会计报表附注和财务情况说明书）以及集成电路设计销售（营业）收入、集成电路自主设计销售（营</w:t>
            </w:r>
            <w:r>
              <w:rPr>
                <w:rFonts w:ascii="仿宋" w:eastAsia="仿宋" w:hAnsi="仿宋" w:cs="仿宋" w:hint="eastAsia"/>
                <w:sz w:val="24"/>
              </w:rPr>
              <w:lastRenderedPageBreak/>
              <w:t>业）收入、研究开发费用、境内研究开发费用等情况表。</w:t>
            </w:r>
          </w:p>
        </w:tc>
        <w:tc>
          <w:tcPr>
            <w:tcW w:w="2550" w:type="dxa"/>
            <w:vMerge/>
            <w:shd w:val="clear" w:color="auto" w:fill="FFFFFF"/>
            <w:tcMar>
              <w:right w:w="57" w:type="dxa"/>
            </w:tcMar>
            <w:vAlign w:val="center"/>
          </w:tcPr>
          <w:p w:rsidR="00013EC7" w:rsidRDefault="00013EC7">
            <w:pPr>
              <w:widowControl/>
              <w:spacing w:line="300" w:lineRule="exact"/>
              <w:jc w:val="left"/>
              <w:rPr>
                <w:rFonts w:ascii="仿宋" w:eastAsia="仿宋" w:hAnsi="仿宋" w:cs="仿宋"/>
                <w:sz w:val="24"/>
              </w:rPr>
            </w:pPr>
          </w:p>
        </w:tc>
        <w:tc>
          <w:tcPr>
            <w:tcW w:w="2132" w:type="dxa"/>
            <w:vMerge/>
            <w:shd w:val="clear" w:color="auto" w:fill="FFFFFF"/>
            <w:tcMar>
              <w:right w:w="57" w:type="dxa"/>
            </w:tcMar>
            <w:vAlign w:val="center"/>
          </w:tcPr>
          <w:p w:rsidR="00013EC7" w:rsidRDefault="00013EC7">
            <w:pPr>
              <w:widowControl/>
              <w:spacing w:line="300" w:lineRule="exact"/>
              <w:jc w:val="left"/>
              <w:rPr>
                <w:rFonts w:ascii="仿宋_GB2312" w:eastAsia="仿宋_GB2312" w:hAnsi="仿宋" w:cs="仿宋"/>
                <w:sz w:val="24"/>
              </w:rPr>
            </w:pPr>
          </w:p>
        </w:tc>
        <w:tc>
          <w:tcPr>
            <w:tcW w:w="700" w:type="dxa"/>
            <w:vMerge/>
            <w:shd w:val="clear" w:color="auto" w:fill="auto"/>
            <w:tcMar>
              <w:right w:w="57" w:type="dxa"/>
            </w:tcMar>
            <w:vAlign w:val="center"/>
          </w:tcPr>
          <w:p w:rsidR="00013EC7" w:rsidRDefault="00013EC7">
            <w:pPr>
              <w:widowControl/>
              <w:spacing w:line="300" w:lineRule="exact"/>
              <w:jc w:val="left"/>
              <w:rPr>
                <w:rFonts w:ascii="仿宋_GB2312" w:eastAsia="仿宋_GB2312" w:hAnsi="仿宋" w:cs="仿宋"/>
                <w:sz w:val="24"/>
              </w:rPr>
            </w:pPr>
          </w:p>
        </w:tc>
        <w:tc>
          <w:tcPr>
            <w:tcW w:w="675" w:type="dxa"/>
            <w:vMerge/>
            <w:shd w:val="clear" w:color="auto" w:fill="auto"/>
            <w:tcMar>
              <w:right w:w="57" w:type="dxa"/>
            </w:tcMar>
            <w:vAlign w:val="center"/>
          </w:tcPr>
          <w:p w:rsidR="00013EC7" w:rsidRDefault="00013EC7">
            <w:pPr>
              <w:widowControl/>
              <w:spacing w:line="300" w:lineRule="exact"/>
              <w:jc w:val="left"/>
              <w:rPr>
                <w:rFonts w:ascii="仿宋_GB2312" w:eastAsia="仿宋_GB2312" w:hAnsi="仿宋" w:cs="仿宋"/>
                <w:sz w:val="24"/>
              </w:rPr>
            </w:pPr>
          </w:p>
        </w:tc>
        <w:tc>
          <w:tcPr>
            <w:tcW w:w="700" w:type="dxa"/>
            <w:vMerge/>
            <w:shd w:val="clear" w:color="auto" w:fill="FFFFFF"/>
            <w:tcMar>
              <w:right w:w="57" w:type="dxa"/>
            </w:tcMar>
            <w:vAlign w:val="center"/>
          </w:tcPr>
          <w:p w:rsidR="00013EC7" w:rsidRDefault="00013EC7">
            <w:pPr>
              <w:widowControl/>
              <w:spacing w:line="300" w:lineRule="exact"/>
              <w:jc w:val="left"/>
              <w:rPr>
                <w:rFonts w:ascii="仿宋_GB2312" w:eastAsia="仿宋_GB2312" w:hAnsi="仿宋" w:cs="仿宋"/>
                <w:sz w:val="24"/>
              </w:rPr>
            </w:pPr>
          </w:p>
        </w:tc>
        <w:tc>
          <w:tcPr>
            <w:tcW w:w="775" w:type="dxa"/>
            <w:vMerge/>
            <w:tcMar>
              <w:right w:w="57" w:type="dxa"/>
            </w:tcMar>
            <w:vAlign w:val="center"/>
          </w:tcPr>
          <w:p w:rsidR="00013EC7" w:rsidRDefault="00013EC7">
            <w:pPr>
              <w:widowControl/>
              <w:spacing w:line="300" w:lineRule="exact"/>
              <w:jc w:val="left"/>
              <w:rPr>
                <w:rFonts w:ascii="仿宋_GB2312" w:eastAsia="仿宋_GB2312" w:hAnsi="仿宋" w:cs="仿宋"/>
                <w:sz w:val="24"/>
              </w:rPr>
            </w:pPr>
          </w:p>
        </w:tc>
        <w:tc>
          <w:tcPr>
            <w:tcW w:w="1157" w:type="dxa"/>
            <w:vMerge/>
            <w:tcMar>
              <w:right w:w="57" w:type="dxa"/>
            </w:tcMar>
            <w:vAlign w:val="center"/>
          </w:tcPr>
          <w:p w:rsidR="00013EC7" w:rsidRDefault="00013EC7">
            <w:pPr>
              <w:widowControl/>
              <w:spacing w:line="300" w:lineRule="exact"/>
              <w:jc w:val="left"/>
              <w:rPr>
                <w:rFonts w:ascii="仿宋_GB2312" w:eastAsia="仿宋_GB2312" w:hAnsi="仿宋" w:cs="仿宋"/>
                <w:sz w:val="24"/>
              </w:rPr>
            </w:pPr>
          </w:p>
        </w:tc>
      </w:tr>
      <w:tr w:rsidR="00013EC7">
        <w:trPr>
          <w:trHeight w:val="1707"/>
          <w:jc w:val="center"/>
        </w:trPr>
        <w:tc>
          <w:tcPr>
            <w:tcW w:w="609" w:type="dxa"/>
            <w:vMerge/>
            <w:shd w:val="clear" w:color="auto" w:fill="auto"/>
            <w:tcMar>
              <w:right w:w="57" w:type="dxa"/>
            </w:tcMar>
            <w:vAlign w:val="center"/>
          </w:tcPr>
          <w:p w:rsidR="00013EC7" w:rsidRDefault="00013EC7">
            <w:pPr>
              <w:widowControl/>
              <w:spacing w:line="300" w:lineRule="exact"/>
              <w:jc w:val="left"/>
              <w:rPr>
                <w:rFonts w:ascii="仿宋" w:eastAsia="仿宋" w:hAnsi="仿宋" w:cs="仿宋"/>
                <w:sz w:val="24"/>
              </w:rPr>
            </w:pPr>
          </w:p>
        </w:tc>
        <w:tc>
          <w:tcPr>
            <w:tcW w:w="625" w:type="dxa"/>
            <w:vMerge/>
            <w:shd w:val="clear" w:color="auto" w:fill="auto"/>
            <w:tcMar>
              <w:right w:w="57" w:type="dxa"/>
            </w:tcMar>
            <w:vAlign w:val="center"/>
          </w:tcPr>
          <w:p w:rsidR="00013EC7" w:rsidRDefault="00013EC7">
            <w:pPr>
              <w:widowControl/>
              <w:spacing w:line="300" w:lineRule="exact"/>
              <w:jc w:val="left"/>
              <w:rPr>
                <w:rFonts w:ascii="仿宋" w:eastAsia="仿宋" w:hAnsi="仿宋" w:cs="仿宋"/>
                <w:sz w:val="24"/>
              </w:rPr>
            </w:pPr>
          </w:p>
        </w:tc>
        <w:tc>
          <w:tcPr>
            <w:tcW w:w="4371" w:type="dxa"/>
            <w:vMerge/>
            <w:shd w:val="clear" w:color="auto" w:fill="auto"/>
            <w:tcMar>
              <w:right w:w="57" w:type="dxa"/>
            </w:tcMar>
            <w:vAlign w:val="center"/>
          </w:tcPr>
          <w:p w:rsidR="00013EC7" w:rsidRDefault="00013EC7">
            <w:pPr>
              <w:widowControl/>
              <w:spacing w:line="300" w:lineRule="exact"/>
              <w:jc w:val="left"/>
              <w:rPr>
                <w:rFonts w:ascii="仿宋" w:eastAsia="仿宋" w:hAnsi="仿宋" w:cs="仿宋"/>
                <w:sz w:val="24"/>
              </w:rPr>
            </w:pPr>
          </w:p>
        </w:tc>
        <w:tc>
          <w:tcPr>
            <w:tcW w:w="2646" w:type="dxa"/>
            <w:shd w:val="clear" w:color="auto" w:fill="FFFFFF"/>
            <w:tcMar>
              <w:right w:w="57" w:type="dxa"/>
            </w:tcMar>
            <w:vAlign w:val="center"/>
          </w:tcPr>
          <w:p w:rsidR="00013EC7" w:rsidRDefault="00575CDB">
            <w:pPr>
              <w:widowControl/>
              <w:spacing w:line="300" w:lineRule="exact"/>
              <w:jc w:val="left"/>
              <w:rPr>
                <w:rFonts w:ascii="仿宋" w:eastAsia="仿宋" w:hAnsi="仿宋" w:cs="仿宋"/>
                <w:sz w:val="24"/>
              </w:rPr>
            </w:pPr>
            <w:r>
              <w:rPr>
                <w:rFonts w:ascii="仿宋" w:eastAsia="仿宋" w:hAnsi="仿宋" w:cs="仿宋" w:hint="eastAsia"/>
                <w:kern w:val="1"/>
                <w:sz w:val="24"/>
              </w:rPr>
              <w:t>（二十八）</w:t>
            </w:r>
            <w:r>
              <w:rPr>
                <w:rFonts w:ascii="仿宋" w:eastAsia="仿宋" w:hAnsi="仿宋" w:cs="仿宋" w:hint="eastAsia"/>
                <w:sz w:val="24"/>
              </w:rPr>
              <w:t>第三方检测机构提供的集成电路产品测试报告或用户报告，以及与主要客户签订的一至两份代表性销售合同复印件。</w:t>
            </w:r>
          </w:p>
        </w:tc>
        <w:tc>
          <w:tcPr>
            <w:tcW w:w="2368" w:type="dxa"/>
            <w:vMerge/>
            <w:shd w:val="clear" w:color="auto" w:fill="FFFFFF"/>
            <w:tcMar>
              <w:right w:w="57" w:type="dxa"/>
            </w:tcMar>
            <w:vAlign w:val="center"/>
          </w:tcPr>
          <w:p w:rsidR="00013EC7" w:rsidRDefault="00013EC7">
            <w:pPr>
              <w:widowControl/>
              <w:spacing w:line="300" w:lineRule="exact"/>
              <w:jc w:val="left"/>
              <w:rPr>
                <w:rFonts w:ascii="仿宋" w:eastAsia="仿宋" w:hAnsi="仿宋" w:cs="仿宋"/>
                <w:sz w:val="24"/>
              </w:rPr>
            </w:pPr>
          </w:p>
        </w:tc>
        <w:tc>
          <w:tcPr>
            <w:tcW w:w="2358" w:type="dxa"/>
            <w:shd w:val="clear" w:color="auto" w:fill="FFFFFF"/>
            <w:tcMar>
              <w:right w:w="57" w:type="dxa"/>
            </w:tcMar>
            <w:vAlign w:val="center"/>
          </w:tcPr>
          <w:p w:rsidR="00013EC7" w:rsidRDefault="00575CDB">
            <w:pPr>
              <w:widowControl/>
              <w:spacing w:line="300" w:lineRule="exact"/>
              <w:jc w:val="left"/>
              <w:rPr>
                <w:rFonts w:ascii="仿宋" w:eastAsia="仿宋" w:hAnsi="仿宋" w:cs="仿宋"/>
                <w:sz w:val="24"/>
              </w:rPr>
            </w:pPr>
            <w:r>
              <w:rPr>
                <w:rFonts w:ascii="仿宋" w:eastAsia="仿宋" w:hAnsi="仿宋" w:cs="仿宋" w:hint="eastAsia"/>
                <w:kern w:val="1"/>
                <w:sz w:val="24"/>
              </w:rPr>
              <w:t>（二十六）</w:t>
            </w:r>
            <w:r>
              <w:rPr>
                <w:rFonts w:ascii="仿宋" w:eastAsia="仿宋" w:hAnsi="仿宋" w:cs="仿宋" w:hint="eastAsia"/>
                <w:sz w:val="24"/>
              </w:rPr>
              <w:t>第三方检测机构提供的集成电路产品测试报告或用户报告，以及与主要客户签订的一至两份代表性销售合同复印件（注明与原件一致，并加盖公章）。</w:t>
            </w:r>
          </w:p>
        </w:tc>
        <w:tc>
          <w:tcPr>
            <w:tcW w:w="2550" w:type="dxa"/>
            <w:vMerge/>
            <w:shd w:val="clear" w:color="auto" w:fill="FFFFFF"/>
            <w:tcMar>
              <w:right w:w="57" w:type="dxa"/>
            </w:tcMar>
            <w:vAlign w:val="center"/>
          </w:tcPr>
          <w:p w:rsidR="00013EC7" w:rsidRDefault="00013EC7">
            <w:pPr>
              <w:widowControl/>
              <w:spacing w:line="300" w:lineRule="exact"/>
              <w:jc w:val="left"/>
              <w:rPr>
                <w:rFonts w:ascii="仿宋" w:eastAsia="仿宋" w:hAnsi="仿宋" w:cs="仿宋"/>
                <w:sz w:val="24"/>
              </w:rPr>
            </w:pPr>
          </w:p>
        </w:tc>
        <w:tc>
          <w:tcPr>
            <w:tcW w:w="2132" w:type="dxa"/>
            <w:vMerge/>
            <w:shd w:val="clear" w:color="auto" w:fill="FFFFFF"/>
            <w:tcMar>
              <w:right w:w="57" w:type="dxa"/>
            </w:tcMar>
            <w:vAlign w:val="center"/>
          </w:tcPr>
          <w:p w:rsidR="00013EC7" w:rsidRDefault="00013EC7">
            <w:pPr>
              <w:widowControl/>
              <w:spacing w:line="300" w:lineRule="exact"/>
              <w:jc w:val="left"/>
              <w:rPr>
                <w:rFonts w:ascii="仿宋_GB2312" w:eastAsia="仿宋_GB2312" w:hAnsi="仿宋" w:cs="仿宋"/>
                <w:sz w:val="24"/>
              </w:rPr>
            </w:pPr>
          </w:p>
        </w:tc>
        <w:tc>
          <w:tcPr>
            <w:tcW w:w="700" w:type="dxa"/>
            <w:vMerge/>
            <w:shd w:val="clear" w:color="auto" w:fill="auto"/>
            <w:tcMar>
              <w:right w:w="57" w:type="dxa"/>
            </w:tcMar>
            <w:vAlign w:val="center"/>
          </w:tcPr>
          <w:p w:rsidR="00013EC7" w:rsidRDefault="00013EC7">
            <w:pPr>
              <w:widowControl/>
              <w:spacing w:line="300" w:lineRule="exact"/>
              <w:jc w:val="left"/>
              <w:rPr>
                <w:rFonts w:ascii="仿宋_GB2312" w:eastAsia="仿宋_GB2312" w:hAnsi="仿宋" w:cs="仿宋"/>
                <w:sz w:val="24"/>
              </w:rPr>
            </w:pPr>
          </w:p>
        </w:tc>
        <w:tc>
          <w:tcPr>
            <w:tcW w:w="675" w:type="dxa"/>
            <w:vMerge/>
            <w:shd w:val="clear" w:color="auto" w:fill="auto"/>
            <w:tcMar>
              <w:right w:w="57" w:type="dxa"/>
            </w:tcMar>
            <w:vAlign w:val="center"/>
          </w:tcPr>
          <w:p w:rsidR="00013EC7" w:rsidRDefault="00013EC7">
            <w:pPr>
              <w:widowControl/>
              <w:spacing w:line="300" w:lineRule="exact"/>
              <w:jc w:val="left"/>
              <w:rPr>
                <w:rFonts w:ascii="仿宋_GB2312" w:eastAsia="仿宋_GB2312" w:hAnsi="仿宋" w:cs="仿宋"/>
                <w:sz w:val="24"/>
              </w:rPr>
            </w:pPr>
          </w:p>
        </w:tc>
        <w:tc>
          <w:tcPr>
            <w:tcW w:w="700" w:type="dxa"/>
            <w:vMerge/>
            <w:shd w:val="clear" w:color="auto" w:fill="FFFFFF"/>
            <w:tcMar>
              <w:right w:w="57" w:type="dxa"/>
            </w:tcMar>
            <w:vAlign w:val="center"/>
          </w:tcPr>
          <w:p w:rsidR="00013EC7" w:rsidRDefault="00013EC7">
            <w:pPr>
              <w:widowControl/>
              <w:spacing w:line="300" w:lineRule="exact"/>
              <w:jc w:val="left"/>
              <w:rPr>
                <w:rFonts w:ascii="仿宋_GB2312" w:eastAsia="仿宋_GB2312" w:hAnsi="仿宋" w:cs="仿宋"/>
                <w:sz w:val="24"/>
              </w:rPr>
            </w:pPr>
          </w:p>
        </w:tc>
        <w:tc>
          <w:tcPr>
            <w:tcW w:w="775" w:type="dxa"/>
            <w:vMerge/>
            <w:tcMar>
              <w:right w:w="57" w:type="dxa"/>
            </w:tcMar>
            <w:vAlign w:val="center"/>
          </w:tcPr>
          <w:p w:rsidR="00013EC7" w:rsidRDefault="00013EC7">
            <w:pPr>
              <w:widowControl/>
              <w:spacing w:line="300" w:lineRule="exact"/>
              <w:jc w:val="left"/>
              <w:rPr>
                <w:rFonts w:ascii="仿宋_GB2312" w:eastAsia="仿宋_GB2312" w:hAnsi="仿宋" w:cs="仿宋"/>
                <w:sz w:val="24"/>
              </w:rPr>
            </w:pPr>
          </w:p>
        </w:tc>
        <w:tc>
          <w:tcPr>
            <w:tcW w:w="1157" w:type="dxa"/>
            <w:vMerge/>
            <w:tcMar>
              <w:right w:w="57" w:type="dxa"/>
            </w:tcMar>
            <w:vAlign w:val="center"/>
          </w:tcPr>
          <w:p w:rsidR="00013EC7" w:rsidRDefault="00013EC7">
            <w:pPr>
              <w:widowControl/>
              <w:spacing w:line="300" w:lineRule="exact"/>
              <w:jc w:val="left"/>
              <w:rPr>
                <w:rFonts w:ascii="仿宋_GB2312" w:eastAsia="仿宋_GB2312" w:hAnsi="仿宋" w:cs="仿宋"/>
                <w:sz w:val="24"/>
              </w:rPr>
            </w:pPr>
          </w:p>
        </w:tc>
      </w:tr>
      <w:tr w:rsidR="00013EC7">
        <w:trPr>
          <w:trHeight w:val="90"/>
          <w:jc w:val="center"/>
        </w:trPr>
        <w:tc>
          <w:tcPr>
            <w:tcW w:w="609" w:type="dxa"/>
            <w:vMerge/>
            <w:shd w:val="clear" w:color="auto" w:fill="auto"/>
            <w:tcMar>
              <w:right w:w="57" w:type="dxa"/>
            </w:tcMar>
            <w:vAlign w:val="center"/>
          </w:tcPr>
          <w:p w:rsidR="00013EC7" w:rsidRDefault="00013EC7">
            <w:pPr>
              <w:widowControl/>
              <w:spacing w:line="300" w:lineRule="exact"/>
              <w:jc w:val="left"/>
              <w:rPr>
                <w:rFonts w:ascii="仿宋" w:eastAsia="仿宋" w:hAnsi="仿宋" w:cs="仿宋"/>
                <w:sz w:val="24"/>
              </w:rPr>
            </w:pPr>
          </w:p>
        </w:tc>
        <w:tc>
          <w:tcPr>
            <w:tcW w:w="625" w:type="dxa"/>
            <w:vMerge/>
            <w:shd w:val="clear" w:color="auto" w:fill="auto"/>
            <w:tcMar>
              <w:right w:w="57" w:type="dxa"/>
            </w:tcMar>
            <w:vAlign w:val="center"/>
          </w:tcPr>
          <w:p w:rsidR="00013EC7" w:rsidRDefault="00013EC7">
            <w:pPr>
              <w:widowControl/>
              <w:spacing w:line="300" w:lineRule="exact"/>
              <w:jc w:val="left"/>
              <w:rPr>
                <w:rFonts w:ascii="仿宋" w:eastAsia="仿宋" w:hAnsi="仿宋" w:cs="仿宋"/>
                <w:sz w:val="24"/>
              </w:rPr>
            </w:pPr>
          </w:p>
        </w:tc>
        <w:tc>
          <w:tcPr>
            <w:tcW w:w="4371" w:type="dxa"/>
            <w:vMerge/>
            <w:shd w:val="clear" w:color="auto" w:fill="auto"/>
            <w:tcMar>
              <w:right w:w="57" w:type="dxa"/>
            </w:tcMar>
            <w:vAlign w:val="center"/>
          </w:tcPr>
          <w:p w:rsidR="00013EC7" w:rsidRDefault="00013EC7">
            <w:pPr>
              <w:widowControl/>
              <w:spacing w:line="300" w:lineRule="exact"/>
              <w:jc w:val="left"/>
              <w:rPr>
                <w:rFonts w:ascii="仿宋" w:eastAsia="仿宋" w:hAnsi="仿宋" w:cs="仿宋"/>
                <w:sz w:val="24"/>
              </w:rPr>
            </w:pPr>
          </w:p>
        </w:tc>
        <w:tc>
          <w:tcPr>
            <w:tcW w:w="2646" w:type="dxa"/>
            <w:shd w:val="clear" w:color="auto" w:fill="FFFFFF"/>
            <w:tcMar>
              <w:right w:w="57" w:type="dxa"/>
            </w:tcMar>
            <w:vAlign w:val="center"/>
          </w:tcPr>
          <w:p w:rsidR="00013EC7" w:rsidRDefault="00575CDB">
            <w:pPr>
              <w:widowControl/>
              <w:spacing w:line="300" w:lineRule="exact"/>
              <w:jc w:val="left"/>
              <w:rPr>
                <w:rFonts w:ascii="仿宋" w:eastAsia="仿宋" w:hAnsi="仿宋" w:cs="仿宋"/>
                <w:sz w:val="24"/>
              </w:rPr>
            </w:pPr>
            <w:r>
              <w:rPr>
                <w:rFonts w:ascii="仿宋" w:eastAsia="仿宋" w:hAnsi="仿宋" w:cs="仿宋" w:hint="eastAsia"/>
                <w:kern w:val="1"/>
                <w:sz w:val="24"/>
              </w:rPr>
              <w:t>（二十九）</w:t>
            </w:r>
            <w:r>
              <w:rPr>
                <w:rFonts w:ascii="仿宋" w:eastAsia="仿宋" w:hAnsi="仿宋" w:cs="仿宋" w:hint="eastAsia"/>
                <w:sz w:val="24"/>
              </w:rPr>
              <w:t>企业开发环境等相关证明材料。</w:t>
            </w:r>
          </w:p>
        </w:tc>
        <w:tc>
          <w:tcPr>
            <w:tcW w:w="2368" w:type="dxa"/>
            <w:vMerge/>
            <w:shd w:val="clear" w:color="auto" w:fill="FFFFFF"/>
            <w:tcMar>
              <w:right w:w="57" w:type="dxa"/>
            </w:tcMar>
            <w:vAlign w:val="center"/>
          </w:tcPr>
          <w:p w:rsidR="00013EC7" w:rsidRDefault="00013EC7">
            <w:pPr>
              <w:widowControl/>
              <w:spacing w:line="300" w:lineRule="exact"/>
              <w:jc w:val="left"/>
              <w:rPr>
                <w:rFonts w:ascii="仿宋" w:eastAsia="仿宋" w:hAnsi="仿宋" w:cs="仿宋"/>
                <w:sz w:val="24"/>
              </w:rPr>
            </w:pPr>
          </w:p>
        </w:tc>
        <w:tc>
          <w:tcPr>
            <w:tcW w:w="2358" w:type="dxa"/>
            <w:shd w:val="clear" w:color="auto" w:fill="FFFFFF"/>
            <w:tcMar>
              <w:right w:w="57" w:type="dxa"/>
            </w:tcMar>
            <w:vAlign w:val="center"/>
          </w:tcPr>
          <w:p w:rsidR="00013EC7" w:rsidRDefault="00575CDB">
            <w:pPr>
              <w:widowControl/>
              <w:spacing w:line="300" w:lineRule="exact"/>
              <w:jc w:val="left"/>
              <w:rPr>
                <w:rFonts w:ascii="仿宋" w:eastAsia="仿宋" w:hAnsi="仿宋" w:cs="仿宋"/>
                <w:sz w:val="24"/>
              </w:rPr>
            </w:pPr>
            <w:r>
              <w:rPr>
                <w:rFonts w:ascii="仿宋" w:eastAsia="仿宋" w:hAnsi="仿宋" w:cs="仿宋" w:hint="eastAsia"/>
                <w:kern w:val="1"/>
                <w:sz w:val="24"/>
              </w:rPr>
              <w:t>（二十七）</w:t>
            </w:r>
            <w:r>
              <w:rPr>
                <w:rFonts w:ascii="仿宋" w:eastAsia="仿宋" w:hAnsi="仿宋" w:cs="仿宋" w:hint="eastAsia"/>
                <w:sz w:val="24"/>
              </w:rPr>
              <w:t>企业开发环境等证明材料。</w:t>
            </w:r>
          </w:p>
        </w:tc>
        <w:tc>
          <w:tcPr>
            <w:tcW w:w="2550" w:type="dxa"/>
            <w:vMerge/>
            <w:shd w:val="clear" w:color="auto" w:fill="FFFFFF"/>
            <w:tcMar>
              <w:right w:w="57" w:type="dxa"/>
            </w:tcMar>
            <w:vAlign w:val="center"/>
          </w:tcPr>
          <w:p w:rsidR="00013EC7" w:rsidRDefault="00013EC7">
            <w:pPr>
              <w:widowControl/>
              <w:spacing w:line="300" w:lineRule="exact"/>
              <w:jc w:val="left"/>
              <w:rPr>
                <w:rFonts w:ascii="仿宋" w:eastAsia="仿宋" w:hAnsi="仿宋" w:cs="仿宋"/>
                <w:sz w:val="24"/>
              </w:rPr>
            </w:pPr>
          </w:p>
        </w:tc>
        <w:tc>
          <w:tcPr>
            <w:tcW w:w="2132" w:type="dxa"/>
            <w:vMerge/>
            <w:shd w:val="clear" w:color="auto" w:fill="FFFFFF"/>
            <w:tcMar>
              <w:right w:w="57" w:type="dxa"/>
            </w:tcMar>
            <w:vAlign w:val="center"/>
          </w:tcPr>
          <w:p w:rsidR="00013EC7" w:rsidRDefault="00013EC7">
            <w:pPr>
              <w:widowControl/>
              <w:spacing w:line="300" w:lineRule="exact"/>
              <w:jc w:val="left"/>
              <w:rPr>
                <w:rFonts w:ascii="仿宋_GB2312" w:eastAsia="仿宋_GB2312" w:hAnsi="仿宋" w:cs="仿宋"/>
                <w:sz w:val="24"/>
              </w:rPr>
            </w:pPr>
          </w:p>
        </w:tc>
        <w:tc>
          <w:tcPr>
            <w:tcW w:w="700" w:type="dxa"/>
            <w:vMerge/>
            <w:shd w:val="clear" w:color="auto" w:fill="auto"/>
            <w:tcMar>
              <w:right w:w="57" w:type="dxa"/>
            </w:tcMar>
            <w:vAlign w:val="center"/>
          </w:tcPr>
          <w:p w:rsidR="00013EC7" w:rsidRDefault="00013EC7">
            <w:pPr>
              <w:widowControl/>
              <w:spacing w:line="300" w:lineRule="exact"/>
              <w:jc w:val="left"/>
              <w:rPr>
                <w:rFonts w:ascii="仿宋_GB2312" w:eastAsia="仿宋_GB2312" w:hAnsi="仿宋" w:cs="仿宋"/>
                <w:sz w:val="24"/>
              </w:rPr>
            </w:pPr>
          </w:p>
        </w:tc>
        <w:tc>
          <w:tcPr>
            <w:tcW w:w="675" w:type="dxa"/>
            <w:vMerge/>
            <w:shd w:val="clear" w:color="auto" w:fill="auto"/>
            <w:tcMar>
              <w:right w:w="57" w:type="dxa"/>
            </w:tcMar>
            <w:vAlign w:val="center"/>
          </w:tcPr>
          <w:p w:rsidR="00013EC7" w:rsidRDefault="00013EC7">
            <w:pPr>
              <w:widowControl/>
              <w:spacing w:line="300" w:lineRule="exact"/>
              <w:jc w:val="left"/>
              <w:rPr>
                <w:rFonts w:ascii="仿宋_GB2312" w:eastAsia="仿宋_GB2312" w:hAnsi="仿宋" w:cs="仿宋"/>
                <w:sz w:val="24"/>
              </w:rPr>
            </w:pPr>
          </w:p>
        </w:tc>
        <w:tc>
          <w:tcPr>
            <w:tcW w:w="700" w:type="dxa"/>
            <w:vMerge/>
            <w:shd w:val="clear" w:color="auto" w:fill="FFFFFF"/>
            <w:tcMar>
              <w:right w:w="57" w:type="dxa"/>
            </w:tcMar>
            <w:vAlign w:val="center"/>
          </w:tcPr>
          <w:p w:rsidR="00013EC7" w:rsidRDefault="00013EC7">
            <w:pPr>
              <w:widowControl/>
              <w:spacing w:line="300" w:lineRule="exact"/>
              <w:jc w:val="left"/>
              <w:rPr>
                <w:rFonts w:ascii="仿宋_GB2312" w:eastAsia="仿宋_GB2312" w:hAnsi="仿宋" w:cs="仿宋"/>
                <w:sz w:val="24"/>
              </w:rPr>
            </w:pPr>
          </w:p>
        </w:tc>
        <w:tc>
          <w:tcPr>
            <w:tcW w:w="775" w:type="dxa"/>
            <w:vMerge/>
            <w:tcMar>
              <w:right w:w="57" w:type="dxa"/>
            </w:tcMar>
            <w:vAlign w:val="center"/>
          </w:tcPr>
          <w:p w:rsidR="00013EC7" w:rsidRDefault="00013EC7">
            <w:pPr>
              <w:widowControl/>
              <w:spacing w:line="300" w:lineRule="exact"/>
              <w:jc w:val="left"/>
              <w:rPr>
                <w:rFonts w:ascii="仿宋_GB2312" w:eastAsia="仿宋_GB2312" w:hAnsi="仿宋" w:cs="仿宋"/>
                <w:sz w:val="24"/>
              </w:rPr>
            </w:pPr>
          </w:p>
        </w:tc>
        <w:tc>
          <w:tcPr>
            <w:tcW w:w="1157" w:type="dxa"/>
            <w:vMerge/>
            <w:tcMar>
              <w:right w:w="57" w:type="dxa"/>
            </w:tcMar>
            <w:vAlign w:val="center"/>
          </w:tcPr>
          <w:p w:rsidR="00013EC7" w:rsidRDefault="00013EC7">
            <w:pPr>
              <w:widowControl/>
              <w:spacing w:line="300" w:lineRule="exact"/>
              <w:jc w:val="left"/>
              <w:rPr>
                <w:rFonts w:ascii="仿宋_GB2312" w:eastAsia="仿宋_GB2312" w:hAnsi="仿宋" w:cs="仿宋"/>
                <w:sz w:val="24"/>
              </w:rPr>
            </w:pPr>
          </w:p>
        </w:tc>
      </w:tr>
      <w:tr w:rsidR="00013EC7">
        <w:trPr>
          <w:trHeight w:val="1060"/>
          <w:jc w:val="center"/>
        </w:trPr>
        <w:tc>
          <w:tcPr>
            <w:tcW w:w="609" w:type="dxa"/>
            <w:vMerge/>
            <w:shd w:val="clear" w:color="auto" w:fill="auto"/>
            <w:tcMar>
              <w:right w:w="57" w:type="dxa"/>
            </w:tcMar>
            <w:vAlign w:val="center"/>
          </w:tcPr>
          <w:p w:rsidR="00013EC7" w:rsidRDefault="00013EC7">
            <w:pPr>
              <w:spacing w:line="300" w:lineRule="exact"/>
              <w:jc w:val="left"/>
              <w:rPr>
                <w:rFonts w:ascii="仿宋" w:eastAsia="仿宋" w:hAnsi="仿宋" w:cs="仿宋"/>
                <w:sz w:val="24"/>
              </w:rPr>
            </w:pPr>
          </w:p>
        </w:tc>
        <w:tc>
          <w:tcPr>
            <w:tcW w:w="625" w:type="dxa"/>
            <w:vMerge/>
            <w:shd w:val="clear" w:color="auto" w:fill="auto"/>
            <w:tcMar>
              <w:right w:w="57" w:type="dxa"/>
            </w:tcMar>
            <w:vAlign w:val="center"/>
          </w:tcPr>
          <w:p w:rsidR="00013EC7" w:rsidRDefault="00013EC7">
            <w:pPr>
              <w:spacing w:line="310" w:lineRule="exact"/>
              <w:jc w:val="left"/>
              <w:rPr>
                <w:rFonts w:ascii="仿宋" w:eastAsia="仿宋" w:hAnsi="仿宋" w:cs="仿宋"/>
                <w:sz w:val="24"/>
              </w:rPr>
            </w:pPr>
          </w:p>
        </w:tc>
        <w:tc>
          <w:tcPr>
            <w:tcW w:w="4371" w:type="dxa"/>
            <w:vMerge/>
            <w:shd w:val="clear" w:color="auto" w:fill="auto"/>
            <w:tcMar>
              <w:right w:w="57" w:type="dxa"/>
            </w:tcMar>
            <w:vAlign w:val="center"/>
          </w:tcPr>
          <w:p w:rsidR="00013EC7" w:rsidRDefault="00013EC7">
            <w:pPr>
              <w:spacing w:line="310" w:lineRule="exact"/>
              <w:jc w:val="left"/>
              <w:rPr>
                <w:rFonts w:ascii="仿宋" w:eastAsia="仿宋" w:hAnsi="仿宋" w:cs="仿宋"/>
                <w:sz w:val="24"/>
              </w:rPr>
            </w:pPr>
          </w:p>
        </w:tc>
        <w:tc>
          <w:tcPr>
            <w:tcW w:w="2646" w:type="dxa"/>
            <w:shd w:val="clear" w:color="auto" w:fill="FFFFFF"/>
            <w:tcMar>
              <w:right w:w="57" w:type="dxa"/>
            </w:tcMar>
            <w:vAlign w:val="center"/>
          </w:tcPr>
          <w:p w:rsidR="00013EC7" w:rsidRDefault="00575CDB">
            <w:pPr>
              <w:widowControl/>
              <w:spacing w:line="300" w:lineRule="exact"/>
              <w:jc w:val="left"/>
              <w:rPr>
                <w:rFonts w:ascii="仿宋" w:eastAsia="仿宋" w:hAnsi="仿宋" w:cs="仿宋"/>
                <w:sz w:val="24"/>
              </w:rPr>
            </w:pPr>
            <w:r>
              <w:rPr>
                <w:rFonts w:ascii="仿宋" w:eastAsia="仿宋" w:hAnsi="仿宋" w:cs="仿宋" w:hint="eastAsia"/>
                <w:kern w:val="1"/>
                <w:sz w:val="24"/>
              </w:rPr>
              <w:t>（三十）</w:t>
            </w:r>
            <w:r>
              <w:rPr>
                <w:rFonts w:ascii="仿宋" w:eastAsia="仿宋" w:hAnsi="仿宋" w:cs="仿宋" w:hint="eastAsia"/>
                <w:sz w:val="24"/>
              </w:rPr>
              <w:t>企业开发销售的主要软件产品列表或技术服务列表。</w:t>
            </w:r>
          </w:p>
        </w:tc>
        <w:tc>
          <w:tcPr>
            <w:tcW w:w="2368" w:type="dxa"/>
            <w:vMerge w:val="restart"/>
            <w:shd w:val="clear" w:color="auto" w:fill="FFFFFF"/>
            <w:tcMar>
              <w:right w:w="57" w:type="dxa"/>
            </w:tcMar>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kern w:val="1"/>
                <w:sz w:val="24"/>
              </w:rPr>
              <w:t>办理符合条件的软件企业定期减免企业所得税备案的</w:t>
            </w:r>
            <w:r>
              <w:rPr>
                <w:rFonts w:ascii="仿宋" w:eastAsia="仿宋" w:hAnsi="仿宋" w:cs="仿宋" w:hint="eastAsia"/>
                <w:sz w:val="24"/>
              </w:rPr>
              <w:t>纳税人提交</w:t>
            </w:r>
          </w:p>
        </w:tc>
        <w:tc>
          <w:tcPr>
            <w:tcW w:w="2358" w:type="dxa"/>
            <w:shd w:val="clear" w:color="auto" w:fill="FFFFFF"/>
            <w:tcMar>
              <w:right w:w="57" w:type="dxa"/>
            </w:tcMar>
            <w:vAlign w:val="center"/>
          </w:tcPr>
          <w:p w:rsidR="00013EC7" w:rsidRDefault="00575CDB">
            <w:pPr>
              <w:widowControl/>
              <w:spacing w:line="300" w:lineRule="exact"/>
              <w:jc w:val="left"/>
              <w:rPr>
                <w:rFonts w:ascii="仿宋" w:eastAsia="仿宋" w:hAnsi="仿宋" w:cs="仿宋"/>
                <w:sz w:val="24"/>
              </w:rPr>
            </w:pPr>
            <w:r>
              <w:rPr>
                <w:rFonts w:ascii="仿宋" w:eastAsia="仿宋" w:hAnsi="仿宋" w:cs="仿宋" w:hint="eastAsia"/>
                <w:kern w:val="1"/>
                <w:sz w:val="24"/>
              </w:rPr>
              <w:t>（二十八）</w:t>
            </w:r>
            <w:r>
              <w:rPr>
                <w:rFonts w:ascii="仿宋" w:eastAsia="仿宋" w:hAnsi="仿宋" w:cs="仿宋" w:hint="eastAsia"/>
                <w:sz w:val="24"/>
              </w:rPr>
              <w:t>企业开发销售的主要软件产品列表或技术服务列表。</w:t>
            </w:r>
          </w:p>
        </w:tc>
        <w:tc>
          <w:tcPr>
            <w:tcW w:w="2550" w:type="dxa"/>
            <w:vMerge w:val="restart"/>
            <w:shd w:val="clear" w:color="auto" w:fill="FFFFFF"/>
            <w:tcMar>
              <w:right w:w="57" w:type="dxa"/>
            </w:tcMar>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kern w:val="1"/>
                <w:sz w:val="24"/>
              </w:rPr>
              <w:t>软件企业</w:t>
            </w:r>
            <w:r>
              <w:rPr>
                <w:rFonts w:ascii="仿宋" w:eastAsia="仿宋" w:hAnsi="仿宋" w:cs="仿宋" w:hint="eastAsia"/>
                <w:sz w:val="24"/>
              </w:rPr>
              <w:t>提交</w:t>
            </w:r>
          </w:p>
        </w:tc>
        <w:tc>
          <w:tcPr>
            <w:tcW w:w="2132" w:type="dxa"/>
            <w:vMerge/>
            <w:shd w:val="clear" w:color="auto" w:fill="FFFFFF"/>
            <w:tcMar>
              <w:right w:w="57" w:type="dxa"/>
            </w:tcMar>
            <w:vAlign w:val="center"/>
          </w:tcPr>
          <w:p w:rsidR="00013EC7" w:rsidRDefault="00013EC7">
            <w:pPr>
              <w:shd w:val="clear" w:color="auto" w:fill="FFFFFF"/>
              <w:spacing w:line="300" w:lineRule="exact"/>
              <w:jc w:val="left"/>
              <w:rPr>
                <w:rFonts w:ascii="仿宋_GB2312" w:eastAsia="仿宋_GB2312" w:hAnsi="仿宋" w:cs="仿宋"/>
                <w:sz w:val="24"/>
              </w:rPr>
            </w:pPr>
          </w:p>
        </w:tc>
        <w:tc>
          <w:tcPr>
            <w:tcW w:w="700" w:type="dxa"/>
            <w:vMerge/>
            <w:shd w:val="clear" w:color="auto" w:fill="auto"/>
            <w:tcMar>
              <w:right w:w="57" w:type="dxa"/>
            </w:tcMar>
            <w:vAlign w:val="center"/>
          </w:tcPr>
          <w:p w:rsidR="00013EC7" w:rsidRDefault="00013EC7">
            <w:pPr>
              <w:spacing w:line="300" w:lineRule="exact"/>
              <w:jc w:val="left"/>
              <w:rPr>
                <w:rFonts w:ascii="仿宋_GB2312" w:eastAsia="仿宋_GB2312" w:hAnsi="仿宋" w:cs="仿宋"/>
                <w:sz w:val="24"/>
              </w:rPr>
            </w:pPr>
          </w:p>
        </w:tc>
        <w:tc>
          <w:tcPr>
            <w:tcW w:w="675" w:type="dxa"/>
            <w:vMerge/>
            <w:shd w:val="clear" w:color="auto" w:fill="auto"/>
            <w:tcMar>
              <w:right w:w="57" w:type="dxa"/>
            </w:tcMar>
            <w:vAlign w:val="center"/>
          </w:tcPr>
          <w:p w:rsidR="00013EC7" w:rsidRDefault="00013EC7">
            <w:pPr>
              <w:spacing w:line="300" w:lineRule="exact"/>
              <w:jc w:val="left"/>
              <w:rPr>
                <w:rFonts w:ascii="仿宋_GB2312" w:eastAsia="仿宋_GB2312" w:hAnsi="仿宋" w:cs="仿宋"/>
                <w:sz w:val="24"/>
              </w:rPr>
            </w:pPr>
          </w:p>
        </w:tc>
        <w:tc>
          <w:tcPr>
            <w:tcW w:w="700" w:type="dxa"/>
            <w:vMerge/>
            <w:shd w:val="clear" w:color="auto" w:fill="FFFFFF"/>
            <w:tcMar>
              <w:right w:w="57" w:type="dxa"/>
            </w:tcMar>
            <w:vAlign w:val="center"/>
          </w:tcPr>
          <w:p w:rsidR="00013EC7" w:rsidRDefault="00013EC7">
            <w:pPr>
              <w:spacing w:line="300" w:lineRule="exact"/>
              <w:jc w:val="left"/>
              <w:rPr>
                <w:rFonts w:ascii="仿宋_GB2312" w:eastAsia="仿宋_GB2312" w:hAnsi="仿宋" w:cs="仿宋"/>
                <w:sz w:val="24"/>
              </w:rPr>
            </w:pPr>
          </w:p>
        </w:tc>
        <w:tc>
          <w:tcPr>
            <w:tcW w:w="775" w:type="dxa"/>
            <w:vMerge/>
            <w:tcMar>
              <w:right w:w="57" w:type="dxa"/>
            </w:tcMar>
            <w:vAlign w:val="center"/>
          </w:tcPr>
          <w:p w:rsidR="00013EC7" w:rsidRDefault="00013EC7">
            <w:pPr>
              <w:spacing w:line="300" w:lineRule="exact"/>
              <w:jc w:val="left"/>
              <w:rPr>
                <w:rFonts w:ascii="仿宋_GB2312" w:eastAsia="仿宋_GB2312" w:hAnsi="仿宋" w:cs="仿宋"/>
                <w:sz w:val="24"/>
              </w:rPr>
            </w:pPr>
          </w:p>
        </w:tc>
        <w:tc>
          <w:tcPr>
            <w:tcW w:w="1157" w:type="dxa"/>
            <w:vMerge/>
            <w:tcMar>
              <w:right w:w="57" w:type="dxa"/>
            </w:tcMar>
            <w:vAlign w:val="center"/>
          </w:tcPr>
          <w:p w:rsidR="00013EC7" w:rsidRDefault="00013EC7">
            <w:pPr>
              <w:spacing w:line="300" w:lineRule="exact"/>
              <w:jc w:val="left"/>
              <w:rPr>
                <w:rFonts w:ascii="仿宋_GB2312" w:eastAsia="仿宋_GB2312" w:hAnsi="仿宋" w:cs="仿宋"/>
                <w:sz w:val="24"/>
              </w:rPr>
            </w:pPr>
          </w:p>
        </w:tc>
      </w:tr>
      <w:tr w:rsidR="00013EC7">
        <w:trPr>
          <w:trHeight w:val="1057"/>
          <w:jc w:val="center"/>
        </w:trPr>
        <w:tc>
          <w:tcPr>
            <w:tcW w:w="609" w:type="dxa"/>
            <w:vMerge/>
            <w:shd w:val="clear" w:color="auto" w:fill="auto"/>
            <w:tcMar>
              <w:right w:w="57" w:type="dxa"/>
            </w:tcMar>
            <w:vAlign w:val="center"/>
          </w:tcPr>
          <w:p w:rsidR="00013EC7" w:rsidRDefault="00013EC7">
            <w:pPr>
              <w:spacing w:line="300" w:lineRule="exact"/>
              <w:jc w:val="left"/>
            </w:pPr>
          </w:p>
        </w:tc>
        <w:tc>
          <w:tcPr>
            <w:tcW w:w="625" w:type="dxa"/>
            <w:vMerge/>
            <w:shd w:val="clear" w:color="auto" w:fill="auto"/>
            <w:tcMar>
              <w:right w:w="57" w:type="dxa"/>
            </w:tcMar>
            <w:vAlign w:val="center"/>
          </w:tcPr>
          <w:p w:rsidR="00013EC7" w:rsidRDefault="00013EC7">
            <w:pPr>
              <w:spacing w:line="300" w:lineRule="exact"/>
              <w:jc w:val="left"/>
            </w:pPr>
          </w:p>
        </w:tc>
        <w:tc>
          <w:tcPr>
            <w:tcW w:w="4371" w:type="dxa"/>
            <w:vMerge/>
            <w:shd w:val="clear" w:color="auto" w:fill="auto"/>
            <w:tcMar>
              <w:right w:w="57" w:type="dxa"/>
            </w:tcMar>
            <w:vAlign w:val="center"/>
          </w:tcPr>
          <w:p w:rsidR="00013EC7" w:rsidRDefault="00013EC7">
            <w:pPr>
              <w:spacing w:line="300" w:lineRule="exact"/>
              <w:jc w:val="left"/>
            </w:pPr>
          </w:p>
        </w:tc>
        <w:tc>
          <w:tcPr>
            <w:tcW w:w="2646" w:type="dxa"/>
            <w:shd w:val="clear" w:color="auto" w:fill="FFFFFF"/>
            <w:tcMar>
              <w:right w:w="57" w:type="dxa"/>
            </w:tcMar>
            <w:vAlign w:val="center"/>
          </w:tcPr>
          <w:p w:rsidR="00013EC7" w:rsidRDefault="00575CDB">
            <w:pPr>
              <w:widowControl/>
              <w:spacing w:line="300" w:lineRule="exact"/>
              <w:jc w:val="left"/>
              <w:rPr>
                <w:rFonts w:ascii="仿宋" w:eastAsia="仿宋" w:hAnsi="仿宋" w:cs="仿宋"/>
                <w:sz w:val="24"/>
              </w:rPr>
            </w:pPr>
            <w:r>
              <w:rPr>
                <w:rFonts w:ascii="仿宋" w:eastAsia="仿宋" w:hAnsi="仿宋" w:cs="仿宋" w:hint="eastAsia"/>
                <w:kern w:val="1"/>
                <w:sz w:val="24"/>
              </w:rPr>
              <w:t>（三十一）</w:t>
            </w:r>
            <w:r>
              <w:rPr>
                <w:rFonts w:ascii="仿宋" w:eastAsia="仿宋" w:hAnsi="仿宋" w:cs="仿宋" w:hint="eastAsia"/>
                <w:sz w:val="24"/>
              </w:rPr>
              <w:t>主营业务为软件产品开发的企业，提供至少1个主要产品的软件著作权或专利权等自主知识产权的有效证明文件，以及第三方检测机构提供的软件产品测试报告。主营业务仅为技术服务的企业提供核心技术说明。</w:t>
            </w:r>
          </w:p>
        </w:tc>
        <w:tc>
          <w:tcPr>
            <w:tcW w:w="2368" w:type="dxa"/>
            <w:vMerge/>
            <w:shd w:val="clear" w:color="auto" w:fill="FFFFFF"/>
            <w:tcMar>
              <w:right w:w="57" w:type="dxa"/>
            </w:tcMar>
            <w:vAlign w:val="center"/>
          </w:tcPr>
          <w:p w:rsidR="00013EC7" w:rsidRDefault="00013EC7">
            <w:pPr>
              <w:spacing w:line="300" w:lineRule="exact"/>
              <w:jc w:val="left"/>
              <w:rPr>
                <w:rFonts w:ascii="仿宋" w:eastAsia="仿宋" w:hAnsi="仿宋" w:cs="仿宋"/>
                <w:sz w:val="24"/>
              </w:rPr>
            </w:pPr>
          </w:p>
        </w:tc>
        <w:tc>
          <w:tcPr>
            <w:tcW w:w="2358" w:type="dxa"/>
            <w:shd w:val="clear" w:color="auto" w:fill="FFFFFF"/>
            <w:tcMar>
              <w:right w:w="57" w:type="dxa"/>
            </w:tcMar>
            <w:vAlign w:val="center"/>
          </w:tcPr>
          <w:p w:rsidR="00013EC7" w:rsidRDefault="00575CDB">
            <w:pPr>
              <w:widowControl/>
              <w:spacing w:line="300" w:lineRule="exact"/>
              <w:jc w:val="left"/>
              <w:rPr>
                <w:rFonts w:ascii="仿宋" w:eastAsia="仿宋" w:hAnsi="仿宋" w:cs="仿宋"/>
                <w:sz w:val="24"/>
              </w:rPr>
            </w:pPr>
            <w:r>
              <w:rPr>
                <w:rFonts w:ascii="仿宋" w:eastAsia="仿宋" w:hAnsi="仿宋" w:cs="仿宋" w:hint="eastAsia"/>
                <w:kern w:val="1"/>
                <w:sz w:val="24"/>
              </w:rPr>
              <w:t>（二十九）</w:t>
            </w:r>
            <w:r>
              <w:rPr>
                <w:rFonts w:ascii="仿宋" w:eastAsia="仿宋" w:hAnsi="仿宋" w:cs="仿宋" w:hint="eastAsia"/>
                <w:sz w:val="24"/>
              </w:rPr>
              <w:t>主营业务为软件产品开发的企业，提供至少1个主要产品的软件著作权或专利权等自主知识产权的有效证明文件，以及第三方检测机构提供的软件产品测试报告。主营业务仅为技术服务的企业提供核心技术说明。</w:t>
            </w:r>
          </w:p>
        </w:tc>
        <w:tc>
          <w:tcPr>
            <w:tcW w:w="2550" w:type="dxa"/>
            <w:vMerge/>
            <w:shd w:val="clear" w:color="auto" w:fill="FFFFFF"/>
            <w:tcMar>
              <w:right w:w="57" w:type="dxa"/>
            </w:tcMar>
            <w:vAlign w:val="center"/>
          </w:tcPr>
          <w:p w:rsidR="00013EC7" w:rsidRDefault="00013EC7">
            <w:pPr>
              <w:spacing w:line="300" w:lineRule="exact"/>
              <w:jc w:val="left"/>
              <w:rPr>
                <w:rFonts w:ascii="仿宋" w:eastAsia="仿宋" w:hAnsi="仿宋" w:cs="仿宋"/>
                <w:sz w:val="24"/>
              </w:rPr>
            </w:pPr>
          </w:p>
        </w:tc>
        <w:tc>
          <w:tcPr>
            <w:tcW w:w="2132" w:type="dxa"/>
            <w:vMerge/>
            <w:shd w:val="clear" w:color="auto" w:fill="FFFFFF"/>
            <w:tcMar>
              <w:right w:w="57" w:type="dxa"/>
            </w:tcMar>
            <w:vAlign w:val="center"/>
          </w:tcPr>
          <w:p w:rsidR="00013EC7" w:rsidRDefault="00013EC7">
            <w:pPr>
              <w:spacing w:line="300" w:lineRule="exact"/>
              <w:jc w:val="left"/>
              <w:rPr>
                <w:rFonts w:ascii="仿宋_GB2312" w:eastAsia="仿宋_GB2312" w:hAnsi="仿宋" w:cs="仿宋"/>
                <w:sz w:val="24"/>
              </w:rPr>
            </w:pPr>
          </w:p>
        </w:tc>
        <w:tc>
          <w:tcPr>
            <w:tcW w:w="700" w:type="dxa"/>
            <w:vMerge/>
            <w:shd w:val="clear" w:color="auto" w:fill="auto"/>
            <w:tcMar>
              <w:right w:w="57" w:type="dxa"/>
            </w:tcMar>
            <w:vAlign w:val="center"/>
          </w:tcPr>
          <w:p w:rsidR="00013EC7" w:rsidRDefault="00013EC7">
            <w:pPr>
              <w:spacing w:line="300" w:lineRule="exact"/>
              <w:jc w:val="left"/>
              <w:rPr>
                <w:rFonts w:ascii="仿宋_GB2312" w:eastAsia="仿宋_GB2312" w:hAnsi="仿宋" w:cs="仿宋"/>
                <w:sz w:val="24"/>
              </w:rPr>
            </w:pPr>
          </w:p>
        </w:tc>
        <w:tc>
          <w:tcPr>
            <w:tcW w:w="675" w:type="dxa"/>
            <w:vMerge/>
            <w:shd w:val="clear" w:color="auto" w:fill="auto"/>
            <w:tcMar>
              <w:right w:w="57" w:type="dxa"/>
            </w:tcMar>
            <w:vAlign w:val="center"/>
          </w:tcPr>
          <w:p w:rsidR="00013EC7" w:rsidRDefault="00013EC7">
            <w:pPr>
              <w:spacing w:line="300" w:lineRule="exact"/>
              <w:jc w:val="left"/>
              <w:rPr>
                <w:rFonts w:ascii="仿宋_GB2312" w:eastAsia="仿宋_GB2312" w:hAnsi="仿宋" w:cs="仿宋"/>
                <w:sz w:val="24"/>
              </w:rPr>
            </w:pPr>
          </w:p>
        </w:tc>
        <w:tc>
          <w:tcPr>
            <w:tcW w:w="700" w:type="dxa"/>
            <w:vMerge/>
            <w:shd w:val="clear" w:color="auto" w:fill="FFFFFF"/>
            <w:tcMar>
              <w:right w:w="57" w:type="dxa"/>
            </w:tcMar>
            <w:vAlign w:val="center"/>
          </w:tcPr>
          <w:p w:rsidR="00013EC7" w:rsidRDefault="00013EC7">
            <w:pPr>
              <w:spacing w:line="300" w:lineRule="exact"/>
              <w:jc w:val="left"/>
              <w:rPr>
                <w:rFonts w:ascii="仿宋_GB2312" w:eastAsia="仿宋_GB2312" w:hAnsi="仿宋" w:cs="仿宋"/>
                <w:sz w:val="24"/>
              </w:rPr>
            </w:pPr>
          </w:p>
        </w:tc>
        <w:tc>
          <w:tcPr>
            <w:tcW w:w="775" w:type="dxa"/>
            <w:vMerge/>
            <w:tcMar>
              <w:right w:w="57" w:type="dxa"/>
            </w:tcMar>
            <w:vAlign w:val="center"/>
          </w:tcPr>
          <w:p w:rsidR="00013EC7" w:rsidRDefault="00013EC7">
            <w:pPr>
              <w:spacing w:line="300" w:lineRule="exact"/>
              <w:jc w:val="left"/>
              <w:rPr>
                <w:rFonts w:ascii="仿宋_GB2312" w:eastAsia="仿宋_GB2312" w:hAnsi="仿宋" w:cs="仿宋"/>
                <w:sz w:val="24"/>
              </w:rPr>
            </w:pPr>
          </w:p>
        </w:tc>
        <w:tc>
          <w:tcPr>
            <w:tcW w:w="1157" w:type="dxa"/>
            <w:vMerge/>
            <w:tcMar>
              <w:right w:w="57" w:type="dxa"/>
            </w:tcMar>
            <w:vAlign w:val="center"/>
          </w:tcPr>
          <w:p w:rsidR="00013EC7" w:rsidRDefault="00013EC7">
            <w:pPr>
              <w:spacing w:line="300" w:lineRule="exact"/>
              <w:jc w:val="left"/>
              <w:rPr>
                <w:rFonts w:ascii="仿宋_GB2312" w:eastAsia="仿宋_GB2312" w:hAnsi="仿宋" w:cs="仿宋"/>
                <w:sz w:val="24"/>
              </w:rPr>
            </w:pPr>
          </w:p>
        </w:tc>
      </w:tr>
      <w:tr w:rsidR="00013EC7">
        <w:trPr>
          <w:trHeight w:val="1057"/>
          <w:jc w:val="center"/>
        </w:trPr>
        <w:tc>
          <w:tcPr>
            <w:tcW w:w="609" w:type="dxa"/>
            <w:vMerge/>
            <w:shd w:val="clear" w:color="auto" w:fill="auto"/>
            <w:tcMar>
              <w:right w:w="57" w:type="dxa"/>
            </w:tcMar>
            <w:vAlign w:val="center"/>
          </w:tcPr>
          <w:p w:rsidR="00013EC7" w:rsidRDefault="00013EC7">
            <w:pPr>
              <w:spacing w:line="300" w:lineRule="exact"/>
              <w:jc w:val="left"/>
              <w:rPr>
                <w:rFonts w:ascii="仿宋" w:eastAsia="仿宋" w:hAnsi="仿宋" w:cs="仿宋"/>
                <w:sz w:val="24"/>
              </w:rPr>
            </w:pPr>
          </w:p>
        </w:tc>
        <w:tc>
          <w:tcPr>
            <w:tcW w:w="625" w:type="dxa"/>
            <w:vMerge/>
            <w:shd w:val="clear" w:color="auto" w:fill="auto"/>
            <w:tcMar>
              <w:right w:w="57" w:type="dxa"/>
            </w:tcMar>
            <w:vAlign w:val="center"/>
          </w:tcPr>
          <w:p w:rsidR="00013EC7" w:rsidRDefault="00013EC7">
            <w:pPr>
              <w:spacing w:line="300" w:lineRule="exact"/>
              <w:jc w:val="left"/>
              <w:rPr>
                <w:rFonts w:ascii="仿宋" w:eastAsia="仿宋" w:hAnsi="仿宋" w:cs="仿宋"/>
                <w:sz w:val="24"/>
              </w:rPr>
            </w:pPr>
          </w:p>
        </w:tc>
        <w:tc>
          <w:tcPr>
            <w:tcW w:w="4371" w:type="dxa"/>
            <w:vMerge/>
            <w:shd w:val="clear" w:color="auto" w:fill="auto"/>
            <w:tcMar>
              <w:right w:w="57" w:type="dxa"/>
            </w:tcMar>
            <w:vAlign w:val="center"/>
          </w:tcPr>
          <w:p w:rsidR="00013EC7" w:rsidRDefault="00013EC7">
            <w:pPr>
              <w:spacing w:line="300" w:lineRule="exact"/>
              <w:jc w:val="left"/>
              <w:rPr>
                <w:rFonts w:ascii="仿宋" w:eastAsia="仿宋" w:hAnsi="仿宋" w:cs="仿宋"/>
                <w:sz w:val="24"/>
              </w:rPr>
            </w:pPr>
          </w:p>
        </w:tc>
        <w:tc>
          <w:tcPr>
            <w:tcW w:w="2646" w:type="dxa"/>
            <w:shd w:val="clear" w:color="auto" w:fill="FFFFFF"/>
            <w:tcMar>
              <w:right w:w="57" w:type="dxa"/>
            </w:tcMar>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kern w:val="1"/>
                <w:sz w:val="24"/>
              </w:rPr>
              <w:t>（三十二）</w:t>
            </w:r>
            <w:r>
              <w:rPr>
                <w:rFonts w:ascii="仿宋" w:eastAsia="仿宋" w:hAnsi="仿宋" w:cs="仿宋" w:hint="eastAsia"/>
                <w:sz w:val="24"/>
              </w:rPr>
              <w:t>企业职工人数、学历结构、研究开发人员及其占企业职工总数的比例说明，以及</w:t>
            </w:r>
            <w:r>
              <w:rPr>
                <w:rFonts w:ascii="仿宋" w:eastAsia="仿宋" w:hAnsi="仿宋" w:cs="仿宋" w:hint="eastAsia"/>
                <w:sz w:val="24"/>
                <w:shd w:val="clear" w:color="auto" w:fill="FFFFFF"/>
              </w:rPr>
              <w:t>汇算清缴年度最后一个</w:t>
            </w:r>
            <w:r>
              <w:rPr>
                <w:rFonts w:ascii="仿宋" w:eastAsia="仿宋" w:hAnsi="仿宋" w:cs="仿宋" w:hint="eastAsia"/>
                <w:sz w:val="24"/>
                <w:shd w:val="clear" w:color="auto" w:fill="FFFFFF"/>
              </w:rPr>
              <w:lastRenderedPageBreak/>
              <w:t>月社会保险缴纳证明等相关证明材料</w:t>
            </w:r>
            <w:r>
              <w:rPr>
                <w:rFonts w:ascii="仿宋" w:eastAsia="仿宋" w:hAnsi="仿宋" w:cs="仿宋" w:hint="eastAsia"/>
                <w:sz w:val="24"/>
              </w:rPr>
              <w:t>。</w:t>
            </w:r>
          </w:p>
        </w:tc>
        <w:tc>
          <w:tcPr>
            <w:tcW w:w="2368" w:type="dxa"/>
            <w:vMerge/>
            <w:shd w:val="clear" w:color="auto" w:fill="FFFFFF"/>
            <w:tcMar>
              <w:right w:w="57" w:type="dxa"/>
            </w:tcMar>
            <w:vAlign w:val="center"/>
          </w:tcPr>
          <w:p w:rsidR="00013EC7" w:rsidRDefault="00013EC7">
            <w:pPr>
              <w:spacing w:line="300" w:lineRule="exact"/>
              <w:jc w:val="left"/>
              <w:rPr>
                <w:rFonts w:ascii="仿宋" w:eastAsia="仿宋" w:hAnsi="仿宋" w:cs="仿宋"/>
                <w:sz w:val="24"/>
              </w:rPr>
            </w:pPr>
          </w:p>
        </w:tc>
        <w:tc>
          <w:tcPr>
            <w:tcW w:w="2358" w:type="dxa"/>
            <w:shd w:val="clear" w:color="auto" w:fill="FFFFFF"/>
            <w:tcMar>
              <w:right w:w="57" w:type="dxa"/>
            </w:tcMar>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kern w:val="1"/>
                <w:sz w:val="24"/>
              </w:rPr>
              <w:t>（十九）</w:t>
            </w:r>
            <w:r>
              <w:rPr>
                <w:rFonts w:ascii="仿宋" w:eastAsia="仿宋" w:hAnsi="仿宋" w:cs="仿宋" w:hint="eastAsia"/>
                <w:sz w:val="24"/>
              </w:rPr>
              <w:t>企业职工人数、学历结构、研究开发人员情况及其占企业职工总数的比例说明，以及汇算清缴</w:t>
            </w:r>
            <w:r>
              <w:rPr>
                <w:rFonts w:ascii="仿宋" w:eastAsia="仿宋" w:hAnsi="仿宋" w:cs="仿宋" w:hint="eastAsia"/>
                <w:sz w:val="24"/>
              </w:rPr>
              <w:lastRenderedPageBreak/>
              <w:t>年度最后一个月社会保险缴纳证明等证明材料。</w:t>
            </w:r>
          </w:p>
        </w:tc>
        <w:tc>
          <w:tcPr>
            <w:tcW w:w="2550" w:type="dxa"/>
            <w:vMerge/>
            <w:shd w:val="clear" w:color="auto" w:fill="FFFFFF"/>
            <w:tcMar>
              <w:right w:w="57" w:type="dxa"/>
            </w:tcMar>
            <w:vAlign w:val="center"/>
          </w:tcPr>
          <w:p w:rsidR="00013EC7" w:rsidRDefault="00013EC7">
            <w:pPr>
              <w:spacing w:line="300" w:lineRule="exact"/>
              <w:jc w:val="left"/>
              <w:rPr>
                <w:rFonts w:ascii="仿宋" w:eastAsia="仿宋" w:hAnsi="仿宋" w:cs="仿宋"/>
                <w:sz w:val="24"/>
              </w:rPr>
            </w:pPr>
          </w:p>
        </w:tc>
        <w:tc>
          <w:tcPr>
            <w:tcW w:w="2132" w:type="dxa"/>
            <w:vMerge/>
            <w:shd w:val="clear" w:color="auto" w:fill="FFFFFF"/>
            <w:tcMar>
              <w:right w:w="57" w:type="dxa"/>
            </w:tcMar>
            <w:vAlign w:val="center"/>
          </w:tcPr>
          <w:p w:rsidR="00013EC7" w:rsidRDefault="00013EC7">
            <w:pPr>
              <w:spacing w:line="300" w:lineRule="exact"/>
              <w:jc w:val="left"/>
              <w:rPr>
                <w:rFonts w:ascii="仿宋_GB2312" w:eastAsia="仿宋_GB2312" w:hAnsi="仿宋" w:cs="仿宋"/>
                <w:sz w:val="24"/>
              </w:rPr>
            </w:pPr>
          </w:p>
        </w:tc>
        <w:tc>
          <w:tcPr>
            <w:tcW w:w="700" w:type="dxa"/>
            <w:vMerge/>
            <w:shd w:val="clear" w:color="auto" w:fill="auto"/>
            <w:tcMar>
              <w:right w:w="57" w:type="dxa"/>
            </w:tcMar>
            <w:vAlign w:val="center"/>
          </w:tcPr>
          <w:p w:rsidR="00013EC7" w:rsidRDefault="00013EC7">
            <w:pPr>
              <w:spacing w:line="300" w:lineRule="exact"/>
              <w:jc w:val="left"/>
              <w:rPr>
                <w:rFonts w:ascii="仿宋_GB2312" w:eastAsia="仿宋_GB2312" w:hAnsi="仿宋" w:cs="仿宋"/>
                <w:sz w:val="24"/>
              </w:rPr>
            </w:pPr>
          </w:p>
        </w:tc>
        <w:tc>
          <w:tcPr>
            <w:tcW w:w="675" w:type="dxa"/>
            <w:vMerge/>
            <w:shd w:val="clear" w:color="auto" w:fill="auto"/>
            <w:tcMar>
              <w:right w:w="57" w:type="dxa"/>
            </w:tcMar>
            <w:vAlign w:val="center"/>
          </w:tcPr>
          <w:p w:rsidR="00013EC7" w:rsidRDefault="00013EC7">
            <w:pPr>
              <w:spacing w:line="300" w:lineRule="exact"/>
              <w:jc w:val="left"/>
              <w:rPr>
                <w:rFonts w:ascii="仿宋_GB2312" w:eastAsia="仿宋_GB2312" w:hAnsi="仿宋" w:cs="仿宋"/>
                <w:sz w:val="24"/>
              </w:rPr>
            </w:pPr>
          </w:p>
        </w:tc>
        <w:tc>
          <w:tcPr>
            <w:tcW w:w="700" w:type="dxa"/>
            <w:vMerge/>
            <w:shd w:val="clear" w:color="auto" w:fill="FFFFFF"/>
            <w:tcMar>
              <w:right w:w="57" w:type="dxa"/>
            </w:tcMar>
            <w:vAlign w:val="center"/>
          </w:tcPr>
          <w:p w:rsidR="00013EC7" w:rsidRDefault="00013EC7">
            <w:pPr>
              <w:spacing w:line="300" w:lineRule="exact"/>
              <w:jc w:val="left"/>
              <w:rPr>
                <w:rFonts w:ascii="仿宋_GB2312" w:eastAsia="仿宋_GB2312" w:hAnsi="仿宋" w:cs="仿宋"/>
                <w:sz w:val="24"/>
              </w:rPr>
            </w:pPr>
          </w:p>
        </w:tc>
        <w:tc>
          <w:tcPr>
            <w:tcW w:w="775" w:type="dxa"/>
            <w:vMerge/>
            <w:tcMar>
              <w:right w:w="57" w:type="dxa"/>
            </w:tcMar>
            <w:vAlign w:val="center"/>
          </w:tcPr>
          <w:p w:rsidR="00013EC7" w:rsidRDefault="00013EC7">
            <w:pPr>
              <w:spacing w:line="300" w:lineRule="exact"/>
              <w:jc w:val="left"/>
              <w:rPr>
                <w:rFonts w:ascii="仿宋_GB2312" w:eastAsia="仿宋_GB2312" w:hAnsi="仿宋" w:cs="仿宋"/>
                <w:sz w:val="24"/>
              </w:rPr>
            </w:pPr>
          </w:p>
        </w:tc>
        <w:tc>
          <w:tcPr>
            <w:tcW w:w="1157" w:type="dxa"/>
            <w:vMerge/>
            <w:tcMar>
              <w:right w:w="57" w:type="dxa"/>
            </w:tcMar>
            <w:vAlign w:val="center"/>
          </w:tcPr>
          <w:p w:rsidR="00013EC7" w:rsidRDefault="00013EC7">
            <w:pPr>
              <w:spacing w:line="300" w:lineRule="exact"/>
              <w:jc w:val="left"/>
              <w:rPr>
                <w:rFonts w:ascii="仿宋_GB2312" w:eastAsia="仿宋_GB2312" w:hAnsi="仿宋" w:cs="仿宋"/>
                <w:sz w:val="24"/>
              </w:rPr>
            </w:pPr>
          </w:p>
        </w:tc>
      </w:tr>
      <w:tr w:rsidR="00013EC7">
        <w:trPr>
          <w:trHeight w:val="4685"/>
          <w:jc w:val="center"/>
        </w:trPr>
        <w:tc>
          <w:tcPr>
            <w:tcW w:w="609" w:type="dxa"/>
            <w:vMerge/>
            <w:shd w:val="clear" w:color="auto" w:fill="auto"/>
            <w:tcMar>
              <w:right w:w="57" w:type="dxa"/>
            </w:tcMar>
            <w:vAlign w:val="center"/>
          </w:tcPr>
          <w:p w:rsidR="00013EC7" w:rsidRDefault="00013EC7">
            <w:pPr>
              <w:spacing w:line="300" w:lineRule="exact"/>
              <w:jc w:val="left"/>
              <w:rPr>
                <w:rFonts w:ascii="仿宋" w:eastAsia="仿宋" w:hAnsi="仿宋" w:cs="仿宋"/>
                <w:sz w:val="24"/>
              </w:rPr>
            </w:pPr>
          </w:p>
        </w:tc>
        <w:tc>
          <w:tcPr>
            <w:tcW w:w="625" w:type="dxa"/>
            <w:vMerge/>
            <w:shd w:val="clear" w:color="auto" w:fill="auto"/>
            <w:tcMar>
              <w:right w:w="57" w:type="dxa"/>
            </w:tcMar>
            <w:vAlign w:val="center"/>
          </w:tcPr>
          <w:p w:rsidR="00013EC7" w:rsidRDefault="00013EC7">
            <w:pPr>
              <w:spacing w:line="300" w:lineRule="exact"/>
              <w:jc w:val="left"/>
              <w:rPr>
                <w:rFonts w:ascii="仿宋" w:eastAsia="仿宋" w:hAnsi="仿宋" w:cs="仿宋"/>
                <w:sz w:val="24"/>
              </w:rPr>
            </w:pPr>
          </w:p>
        </w:tc>
        <w:tc>
          <w:tcPr>
            <w:tcW w:w="4371" w:type="dxa"/>
            <w:vMerge/>
            <w:shd w:val="clear" w:color="auto" w:fill="auto"/>
            <w:tcMar>
              <w:right w:w="57" w:type="dxa"/>
            </w:tcMar>
            <w:vAlign w:val="center"/>
          </w:tcPr>
          <w:p w:rsidR="00013EC7" w:rsidRDefault="00013EC7">
            <w:pPr>
              <w:spacing w:line="300" w:lineRule="exact"/>
              <w:jc w:val="left"/>
              <w:rPr>
                <w:rFonts w:ascii="仿宋" w:eastAsia="仿宋" w:hAnsi="仿宋" w:cs="仿宋"/>
                <w:sz w:val="24"/>
              </w:rPr>
            </w:pPr>
          </w:p>
        </w:tc>
        <w:tc>
          <w:tcPr>
            <w:tcW w:w="2646" w:type="dxa"/>
            <w:shd w:val="clear" w:color="auto" w:fill="FFFFFF"/>
            <w:tcMar>
              <w:right w:w="57" w:type="dxa"/>
            </w:tcMar>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kern w:val="1"/>
                <w:sz w:val="24"/>
              </w:rPr>
              <w:t>（三十三）</w:t>
            </w:r>
            <w:r>
              <w:rPr>
                <w:rFonts w:ascii="仿宋" w:eastAsia="仿宋" w:hAnsi="仿宋" w:cs="仿宋" w:hint="eastAsia"/>
                <w:sz w:val="24"/>
              </w:rPr>
              <w:t>经具有资质的中介机构鉴证的企业财务会计报告（包括会计报表、会计报表附注和财务情况说明书）以及软件产品开发销售（营业）收入、软件产品自主开发销售（营业）收入、研究开发费用、境内研究开发费用等情况说明。</w:t>
            </w:r>
          </w:p>
        </w:tc>
        <w:tc>
          <w:tcPr>
            <w:tcW w:w="2368" w:type="dxa"/>
            <w:vMerge/>
            <w:shd w:val="clear" w:color="auto" w:fill="FFFFFF"/>
            <w:tcMar>
              <w:right w:w="57" w:type="dxa"/>
            </w:tcMar>
            <w:vAlign w:val="center"/>
          </w:tcPr>
          <w:p w:rsidR="00013EC7" w:rsidRDefault="00013EC7">
            <w:pPr>
              <w:spacing w:line="300" w:lineRule="exact"/>
              <w:jc w:val="left"/>
              <w:rPr>
                <w:rFonts w:ascii="仿宋" w:eastAsia="仿宋" w:hAnsi="仿宋" w:cs="仿宋"/>
                <w:sz w:val="24"/>
              </w:rPr>
            </w:pPr>
          </w:p>
        </w:tc>
        <w:tc>
          <w:tcPr>
            <w:tcW w:w="2358" w:type="dxa"/>
            <w:shd w:val="clear" w:color="auto" w:fill="FFFFFF"/>
            <w:tcMar>
              <w:right w:w="57" w:type="dxa"/>
            </w:tcMar>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kern w:val="1"/>
                <w:sz w:val="24"/>
              </w:rPr>
              <w:t>（三十）</w:t>
            </w:r>
            <w:r>
              <w:rPr>
                <w:rFonts w:ascii="仿宋" w:eastAsia="仿宋" w:hAnsi="仿宋" w:cs="仿宋" w:hint="eastAsia"/>
                <w:sz w:val="24"/>
              </w:rPr>
              <w:t>经具有资质的中介机构鉴证的企业财务会计报告（包括会计报表、会计报表附注和财务情况说明书）以及软件产品开发销售（营业）收入、软件产品自主开发销售（营业）收入、研究开发费用、境内研究开发费用等情况说明。</w:t>
            </w:r>
          </w:p>
        </w:tc>
        <w:tc>
          <w:tcPr>
            <w:tcW w:w="2550" w:type="dxa"/>
            <w:vMerge/>
            <w:shd w:val="clear" w:color="auto" w:fill="FFFFFF"/>
            <w:tcMar>
              <w:right w:w="57" w:type="dxa"/>
            </w:tcMar>
            <w:vAlign w:val="center"/>
          </w:tcPr>
          <w:p w:rsidR="00013EC7" w:rsidRDefault="00013EC7">
            <w:pPr>
              <w:spacing w:line="300" w:lineRule="exact"/>
              <w:jc w:val="left"/>
              <w:rPr>
                <w:rFonts w:ascii="仿宋" w:eastAsia="仿宋" w:hAnsi="仿宋" w:cs="仿宋"/>
                <w:sz w:val="24"/>
              </w:rPr>
            </w:pPr>
          </w:p>
        </w:tc>
        <w:tc>
          <w:tcPr>
            <w:tcW w:w="2132" w:type="dxa"/>
            <w:vMerge/>
            <w:shd w:val="clear" w:color="auto" w:fill="FFFFFF"/>
            <w:tcMar>
              <w:right w:w="57" w:type="dxa"/>
            </w:tcMar>
            <w:vAlign w:val="center"/>
          </w:tcPr>
          <w:p w:rsidR="00013EC7" w:rsidRDefault="00013EC7">
            <w:pPr>
              <w:spacing w:line="300" w:lineRule="exact"/>
              <w:jc w:val="left"/>
              <w:rPr>
                <w:rFonts w:ascii="仿宋_GB2312" w:eastAsia="仿宋_GB2312" w:hAnsi="仿宋" w:cs="仿宋"/>
                <w:sz w:val="24"/>
              </w:rPr>
            </w:pPr>
          </w:p>
        </w:tc>
        <w:tc>
          <w:tcPr>
            <w:tcW w:w="700" w:type="dxa"/>
            <w:vMerge/>
            <w:shd w:val="clear" w:color="auto" w:fill="auto"/>
            <w:tcMar>
              <w:right w:w="57" w:type="dxa"/>
            </w:tcMar>
            <w:vAlign w:val="center"/>
          </w:tcPr>
          <w:p w:rsidR="00013EC7" w:rsidRDefault="00013EC7">
            <w:pPr>
              <w:spacing w:line="300" w:lineRule="exact"/>
              <w:jc w:val="left"/>
              <w:rPr>
                <w:rFonts w:ascii="仿宋_GB2312" w:eastAsia="仿宋_GB2312" w:hAnsi="仿宋" w:cs="仿宋"/>
                <w:sz w:val="24"/>
              </w:rPr>
            </w:pPr>
          </w:p>
        </w:tc>
        <w:tc>
          <w:tcPr>
            <w:tcW w:w="675" w:type="dxa"/>
            <w:vMerge/>
            <w:shd w:val="clear" w:color="auto" w:fill="auto"/>
            <w:tcMar>
              <w:right w:w="57" w:type="dxa"/>
            </w:tcMar>
            <w:vAlign w:val="center"/>
          </w:tcPr>
          <w:p w:rsidR="00013EC7" w:rsidRDefault="00013EC7">
            <w:pPr>
              <w:spacing w:line="300" w:lineRule="exact"/>
              <w:jc w:val="left"/>
              <w:rPr>
                <w:rFonts w:ascii="仿宋_GB2312" w:eastAsia="仿宋_GB2312" w:hAnsi="仿宋" w:cs="仿宋"/>
                <w:sz w:val="24"/>
              </w:rPr>
            </w:pPr>
          </w:p>
        </w:tc>
        <w:tc>
          <w:tcPr>
            <w:tcW w:w="700" w:type="dxa"/>
            <w:vMerge/>
            <w:shd w:val="clear" w:color="auto" w:fill="FFFFFF"/>
            <w:tcMar>
              <w:right w:w="57" w:type="dxa"/>
            </w:tcMar>
            <w:vAlign w:val="center"/>
          </w:tcPr>
          <w:p w:rsidR="00013EC7" w:rsidRDefault="00013EC7">
            <w:pPr>
              <w:spacing w:line="300" w:lineRule="exact"/>
              <w:jc w:val="left"/>
              <w:rPr>
                <w:rFonts w:ascii="仿宋_GB2312" w:eastAsia="仿宋_GB2312" w:hAnsi="仿宋" w:cs="仿宋"/>
                <w:sz w:val="24"/>
              </w:rPr>
            </w:pPr>
          </w:p>
        </w:tc>
        <w:tc>
          <w:tcPr>
            <w:tcW w:w="775" w:type="dxa"/>
            <w:vMerge/>
            <w:tcMar>
              <w:right w:w="57" w:type="dxa"/>
            </w:tcMar>
            <w:vAlign w:val="center"/>
          </w:tcPr>
          <w:p w:rsidR="00013EC7" w:rsidRDefault="00013EC7">
            <w:pPr>
              <w:spacing w:line="300" w:lineRule="exact"/>
              <w:jc w:val="left"/>
              <w:rPr>
                <w:rFonts w:ascii="仿宋_GB2312" w:eastAsia="仿宋_GB2312" w:hAnsi="仿宋" w:cs="仿宋"/>
                <w:sz w:val="24"/>
              </w:rPr>
            </w:pPr>
          </w:p>
        </w:tc>
        <w:tc>
          <w:tcPr>
            <w:tcW w:w="1157" w:type="dxa"/>
            <w:vMerge/>
            <w:tcMar>
              <w:right w:w="57" w:type="dxa"/>
            </w:tcMar>
            <w:vAlign w:val="center"/>
          </w:tcPr>
          <w:p w:rsidR="00013EC7" w:rsidRDefault="00013EC7">
            <w:pPr>
              <w:spacing w:line="300" w:lineRule="exact"/>
              <w:jc w:val="left"/>
              <w:rPr>
                <w:rFonts w:ascii="仿宋_GB2312" w:eastAsia="仿宋_GB2312" w:hAnsi="仿宋" w:cs="仿宋"/>
                <w:sz w:val="24"/>
              </w:rPr>
            </w:pPr>
          </w:p>
        </w:tc>
      </w:tr>
      <w:tr w:rsidR="00013EC7">
        <w:trPr>
          <w:trHeight w:val="1739"/>
          <w:jc w:val="center"/>
        </w:trPr>
        <w:tc>
          <w:tcPr>
            <w:tcW w:w="609" w:type="dxa"/>
            <w:vMerge/>
            <w:shd w:val="clear" w:color="auto" w:fill="auto"/>
            <w:tcMar>
              <w:right w:w="57" w:type="dxa"/>
            </w:tcMar>
            <w:vAlign w:val="center"/>
          </w:tcPr>
          <w:p w:rsidR="00013EC7" w:rsidRDefault="00013EC7">
            <w:pPr>
              <w:spacing w:line="300" w:lineRule="exact"/>
              <w:jc w:val="left"/>
              <w:rPr>
                <w:rFonts w:ascii="仿宋" w:eastAsia="仿宋" w:hAnsi="仿宋" w:cs="仿宋"/>
                <w:sz w:val="24"/>
              </w:rPr>
            </w:pPr>
          </w:p>
        </w:tc>
        <w:tc>
          <w:tcPr>
            <w:tcW w:w="625" w:type="dxa"/>
            <w:vMerge/>
            <w:shd w:val="clear" w:color="auto" w:fill="auto"/>
            <w:tcMar>
              <w:right w:w="57" w:type="dxa"/>
            </w:tcMar>
            <w:vAlign w:val="center"/>
          </w:tcPr>
          <w:p w:rsidR="00013EC7" w:rsidRDefault="00013EC7">
            <w:pPr>
              <w:spacing w:line="300" w:lineRule="exact"/>
              <w:jc w:val="left"/>
              <w:rPr>
                <w:rFonts w:ascii="仿宋" w:eastAsia="仿宋" w:hAnsi="仿宋" w:cs="仿宋"/>
                <w:sz w:val="24"/>
              </w:rPr>
            </w:pPr>
          </w:p>
        </w:tc>
        <w:tc>
          <w:tcPr>
            <w:tcW w:w="4371" w:type="dxa"/>
            <w:vMerge/>
            <w:shd w:val="clear" w:color="auto" w:fill="auto"/>
            <w:tcMar>
              <w:right w:w="57" w:type="dxa"/>
            </w:tcMar>
            <w:vAlign w:val="center"/>
          </w:tcPr>
          <w:p w:rsidR="00013EC7" w:rsidRDefault="00013EC7">
            <w:pPr>
              <w:spacing w:line="300" w:lineRule="exact"/>
              <w:jc w:val="left"/>
              <w:rPr>
                <w:rFonts w:ascii="仿宋" w:eastAsia="仿宋" w:hAnsi="仿宋" w:cs="仿宋"/>
                <w:sz w:val="24"/>
              </w:rPr>
            </w:pPr>
          </w:p>
        </w:tc>
        <w:tc>
          <w:tcPr>
            <w:tcW w:w="2646" w:type="dxa"/>
            <w:shd w:val="clear" w:color="auto" w:fill="FFFFFF"/>
            <w:tcMar>
              <w:right w:w="57" w:type="dxa"/>
            </w:tcMar>
            <w:vAlign w:val="center"/>
          </w:tcPr>
          <w:p w:rsidR="00013EC7" w:rsidRDefault="00575CDB">
            <w:pPr>
              <w:widowControl/>
              <w:spacing w:line="300" w:lineRule="exact"/>
              <w:jc w:val="left"/>
              <w:rPr>
                <w:rFonts w:ascii="仿宋" w:eastAsia="仿宋" w:hAnsi="仿宋" w:cs="仿宋"/>
                <w:sz w:val="24"/>
              </w:rPr>
            </w:pPr>
            <w:r>
              <w:rPr>
                <w:rFonts w:ascii="仿宋" w:eastAsia="仿宋" w:hAnsi="仿宋" w:cs="仿宋" w:hint="eastAsia"/>
                <w:kern w:val="1"/>
                <w:sz w:val="24"/>
              </w:rPr>
              <w:t>（三十四）</w:t>
            </w:r>
            <w:r>
              <w:rPr>
                <w:rFonts w:ascii="仿宋" w:eastAsia="仿宋" w:hAnsi="仿宋" w:cs="仿宋" w:hint="eastAsia"/>
                <w:sz w:val="24"/>
              </w:rPr>
              <w:t>与主要客户签订的一至两份代表性的软件产品销售合同或技术服务合同复印件。</w:t>
            </w:r>
          </w:p>
        </w:tc>
        <w:tc>
          <w:tcPr>
            <w:tcW w:w="2368" w:type="dxa"/>
            <w:vMerge/>
            <w:shd w:val="clear" w:color="auto" w:fill="FFFFFF"/>
            <w:tcMar>
              <w:right w:w="57" w:type="dxa"/>
            </w:tcMar>
            <w:vAlign w:val="center"/>
          </w:tcPr>
          <w:p w:rsidR="00013EC7" w:rsidRDefault="00013EC7">
            <w:pPr>
              <w:spacing w:line="300" w:lineRule="exact"/>
              <w:jc w:val="left"/>
              <w:rPr>
                <w:rFonts w:ascii="仿宋" w:eastAsia="仿宋" w:hAnsi="仿宋" w:cs="仿宋"/>
                <w:sz w:val="24"/>
              </w:rPr>
            </w:pPr>
          </w:p>
        </w:tc>
        <w:tc>
          <w:tcPr>
            <w:tcW w:w="2358" w:type="dxa"/>
            <w:shd w:val="clear" w:color="auto" w:fill="FFFFFF"/>
            <w:tcMar>
              <w:right w:w="57" w:type="dxa"/>
            </w:tcMar>
            <w:vAlign w:val="center"/>
          </w:tcPr>
          <w:p w:rsidR="00013EC7" w:rsidRDefault="00575CDB">
            <w:pPr>
              <w:widowControl/>
              <w:spacing w:line="300" w:lineRule="exact"/>
              <w:jc w:val="left"/>
              <w:rPr>
                <w:rFonts w:ascii="仿宋" w:eastAsia="仿宋" w:hAnsi="仿宋" w:cs="仿宋"/>
                <w:sz w:val="24"/>
              </w:rPr>
            </w:pPr>
            <w:r>
              <w:rPr>
                <w:rFonts w:ascii="仿宋" w:eastAsia="仿宋" w:hAnsi="仿宋" w:cs="仿宋" w:hint="eastAsia"/>
                <w:kern w:val="1"/>
                <w:sz w:val="24"/>
              </w:rPr>
              <w:t>（三十一）</w:t>
            </w:r>
            <w:r>
              <w:rPr>
                <w:rFonts w:ascii="仿宋" w:eastAsia="仿宋" w:hAnsi="仿宋" w:cs="仿宋" w:hint="eastAsia"/>
                <w:sz w:val="24"/>
              </w:rPr>
              <w:t>与主要客户签订的一至两份代表性的软件产品销售合同或技术服务合同复印件（注明与原件一致，并加盖公章）。</w:t>
            </w:r>
          </w:p>
        </w:tc>
        <w:tc>
          <w:tcPr>
            <w:tcW w:w="2550" w:type="dxa"/>
            <w:vMerge/>
            <w:shd w:val="clear" w:color="auto" w:fill="FFFFFF"/>
            <w:tcMar>
              <w:right w:w="57" w:type="dxa"/>
            </w:tcMar>
            <w:vAlign w:val="center"/>
          </w:tcPr>
          <w:p w:rsidR="00013EC7" w:rsidRDefault="00013EC7">
            <w:pPr>
              <w:spacing w:line="300" w:lineRule="exact"/>
              <w:jc w:val="left"/>
              <w:rPr>
                <w:rFonts w:ascii="仿宋" w:eastAsia="仿宋" w:hAnsi="仿宋" w:cs="仿宋"/>
                <w:sz w:val="24"/>
              </w:rPr>
            </w:pPr>
          </w:p>
        </w:tc>
        <w:tc>
          <w:tcPr>
            <w:tcW w:w="2132" w:type="dxa"/>
            <w:vMerge/>
            <w:shd w:val="clear" w:color="auto" w:fill="FFFFFF"/>
            <w:tcMar>
              <w:right w:w="57" w:type="dxa"/>
            </w:tcMar>
            <w:vAlign w:val="center"/>
          </w:tcPr>
          <w:p w:rsidR="00013EC7" w:rsidRDefault="00013EC7">
            <w:pPr>
              <w:spacing w:line="300" w:lineRule="exact"/>
              <w:jc w:val="left"/>
              <w:rPr>
                <w:rFonts w:ascii="仿宋_GB2312" w:eastAsia="仿宋_GB2312" w:hAnsi="仿宋" w:cs="仿宋"/>
                <w:sz w:val="24"/>
              </w:rPr>
            </w:pPr>
          </w:p>
        </w:tc>
        <w:tc>
          <w:tcPr>
            <w:tcW w:w="700" w:type="dxa"/>
            <w:vMerge/>
            <w:shd w:val="clear" w:color="auto" w:fill="auto"/>
            <w:tcMar>
              <w:right w:w="57" w:type="dxa"/>
            </w:tcMar>
            <w:vAlign w:val="center"/>
          </w:tcPr>
          <w:p w:rsidR="00013EC7" w:rsidRDefault="00013EC7">
            <w:pPr>
              <w:spacing w:line="300" w:lineRule="exact"/>
              <w:jc w:val="left"/>
              <w:rPr>
                <w:rFonts w:ascii="仿宋_GB2312" w:eastAsia="仿宋_GB2312" w:hAnsi="仿宋" w:cs="仿宋"/>
                <w:sz w:val="24"/>
              </w:rPr>
            </w:pPr>
          </w:p>
        </w:tc>
        <w:tc>
          <w:tcPr>
            <w:tcW w:w="675" w:type="dxa"/>
            <w:vMerge/>
            <w:shd w:val="clear" w:color="auto" w:fill="auto"/>
            <w:tcMar>
              <w:right w:w="57" w:type="dxa"/>
            </w:tcMar>
            <w:vAlign w:val="center"/>
          </w:tcPr>
          <w:p w:rsidR="00013EC7" w:rsidRDefault="00013EC7">
            <w:pPr>
              <w:spacing w:line="300" w:lineRule="exact"/>
              <w:jc w:val="left"/>
              <w:rPr>
                <w:rFonts w:ascii="仿宋_GB2312" w:eastAsia="仿宋_GB2312" w:hAnsi="仿宋" w:cs="仿宋"/>
                <w:sz w:val="24"/>
              </w:rPr>
            </w:pPr>
          </w:p>
        </w:tc>
        <w:tc>
          <w:tcPr>
            <w:tcW w:w="700" w:type="dxa"/>
            <w:vMerge/>
            <w:shd w:val="clear" w:color="auto" w:fill="FFFFFF"/>
            <w:tcMar>
              <w:right w:w="57" w:type="dxa"/>
            </w:tcMar>
            <w:vAlign w:val="center"/>
          </w:tcPr>
          <w:p w:rsidR="00013EC7" w:rsidRDefault="00013EC7">
            <w:pPr>
              <w:spacing w:line="300" w:lineRule="exact"/>
              <w:jc w:val="left"/>
              <w:rPr>
                <w:rFonts w:ascii="仿宋_GB2312" w:eastAsia="仿宋_GB2312" w:hAnsi="仿宋" w:cs="仿宋"/>
                <w:sz w:val="24"/>
              </w:rPr>
            </w:pPr>
          </w:p>
        </w:tc>
        <w:tc>
          <w:tcPr>
            <w:tcW w:w="775" w:type="dxa"/>
            <w:vMerge/>
            <w:tcMar>
              <w:right w:w="57" w:type="dxa"/>
            </w:tcMar>
            <w:vAlign w:val="center"/>
          </w:tcPr>
          <w:p w:rsidR="00013EC7" w:rsidRDefault="00013EC7">
            <w:pPr>
              <w:spacing w:line="300" w:lineRule="exact"/>
              <w:jc w:val="left"/>
              <w:rPr>
                <w:rFonts w:ascii="仿宋_GB2312" w:eastAsia="仿宋_GB2312" w:hAnsi="仿宋" w:cs="仿宋"/>
                <w:sz w:val="24"/>
              </w:rPr>
            </w:pPr>
          </w:p>
        </w:tc>
        <w:tc>
          <w:tcPr>
            <w:tcW w:w="1157" w:type="dxa"/>
            <w:vMerge/>
            <w:tcMar>
              <w:right w:w="57" w:type="dxa"/>
            </w:tcMar>
            <w:vAlign w:val="center"/>
          </w:tcPr>
          <w:p w:rsidR="00013EC7" w:rsidRDefault="00013EC7">
            <w:pPr>
              <w:spacing w:line="300" w:lineRule="exact"/>
              <w:jc w:val="left"/>
              <w:rPr>
                <w:rFonts w:ascii="仿宋_GB2312" w:eastAsia="仿宋_GB2312" w:hAnsi="仿宋" w:cs="仿宋"/>
                <w:sz w:val="24"/>
              </w:rPr>
            </w:pPr>
          </w:p>
        </w:tc>
      </w:tr>
      <w:tr w:rsidR="00013EC7">
        <w:trPr>
          <w:trHeight w:val="1922"/>
          <w:jc w:val="center"/>
        </w:trPr>
        <w:tc>
          <w:tcPr>
            <w:tcW w:w="609" w:type="dxa"/>
            <w:vMerge/>
            <w:shd w:val="clear" w:color="auto" w:fill="auto"/>
            <w:tcMar>
              <w:right w:w="57" w:type="dxa"/>
            </w:tcMar>
            <w:vAlign w:val="center"/>
          </w:tcPr>
          <w:p w:rsidR="00013EC7" w:rsidRDefault="00013EC7">
            <w:pPr>
              <w:spacing w:line="300" w:lineRule="exact"/>
              <w:jc w:val="left"/>
              <w:rPr>
                <w:rFonts w:ascii="仿宋" w:eastAsia="仿宋" w:hAnsi="仿宋" w:cs="仿宋"/>
                <w:sz w:val="24"/>
              </w:rPr>
            </w:pPr>
          </w:p>
        </w:tc>
        <w:tc>
          <w:tcPr>
            <w:tcW w:w="625" w:type="dxa"/>
            <w:vMerge/>
            <w:shd w:val="clear" w:color="auto" w:fill="auto"/>
            <w:tcMar>
              <w:right w:w="57" w:type="dxa"/>
            </w:tcMar>
            <w:vAlign w:val="center"/>
          </w:tcPr>
          <w:p w:rsidR="00013EC7" w:rsidRDefault="00013EC7">
            <w:pPr>
              <w:spacing w:line="300" w:lineRule="exact"/>
              <w:jc w:val="left"/>
              <w:rPr>
                <w:rFonts w:ascii="仿宋" w:eastAsia="仿宋" w:hAnsi="仿宋" w:cs="仿宋"/>
                <w:sz w:val="24"/>
              </w:rPr>
            </w:pPr>
          </w:p>
        </w:tc>
        <w:tc>
          <w:tcPr>
            <w:tcW w:w="4371" w:type="dxa"/>
            <w:vMerge/>
            <w:shd w:val="clear" w:color="auto" w:fill="auto"/>
            <w:tcMar>
              <w:right w:w="57" w:type="dxa"/>
            </w:tcMar>
            <w:vAlign w:val="center"/>
          </w:tcPr>
          <w:p w:rsidR="00013EC7" w:rsidRDefault="00013EC7">
            <w:pPr>
              <w:spacing w:line="300" w:lineRule="exact"/>
              <w:jc w:val="left"/>
              <w:rPr>
                <w:rFonts w:ascii="仿宋" w:eastAsia="仿宋" w:hAnsi="仿宋" w:cs="仿宋"/>
                <w:sz w:val="24"/>
              </w:rPr>
            </w:pPr>
          </w:p>
        </w:tc>
        <w:tc>
          <w:tcPr>
            <w:tcW w:w="2646" w:type="dxa"/>
            <w:shd w:val="clear" w:color="auto" w:fill="FFFFFF"/>
            <w:tcMar>
              <w:right w:w="57" w:type="dxa"/>
            </w:tcMar>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kern w:val="1"/>
                <w:sz w:val="24"/>
              </w:rPr>
              <w:t>（三十五）</w:t>
            </w:r>
            <w:r>
              <w:rPr>
                <w:rFonts w:ascii="仿宋" w:eastAsia="仿宋" w:hAnsi="仿宋" w:cs="仿宋" w:hint="eastAsia"/>
                <w:sz w:val="24"/>
              </w:rPr>
              <w:t>开发环境相关证明材料。</w:t>
            </w:r>
          </w:p>
        </w:tc>
        <w:tc>
          <w:tcPr>
            <w:tcW w:w="2368" w:type="dxa"/>
            <w:vMerge/>
            <w:shd w:val="clear" w:color="auto" w:fill="FFFFFF"/>
            <w:tcMar>
              <w:right w:w="57" w:type="dxa"/>
            </w:tcMar>
            <w:vAlign w:val="center"/>
          </w:tcPr>
          <w:p w:rsidR="00013EC7" w:rsidRDefault="00013EC7">
            <w:pPr>
              <w:spacing w:line="300" w:lineRule="exact"/>
              <w:jc w:val="left"/>
              <w:rPr>
                <w:rFonts w:ascii="仿宋" w:eastAsia="仿宋" w:hAnsi="仿宋" w:cs="仿宋"/>
                <w:sz w:val="24"/>
              </w:rPr>
            </w:pPr>
          </w:p>
        </w:tc>
        <w:tc>
          <w:tcPr>
            <w:tcW w:w="2358" w:type="dxa"/>
            <w:shd w:val="clear" w:color="auto" w:fill="FFFFFF"/>
            <w:tcMar>
              <w:right w:w="57" w:type="dxa"/>
            </w:tcMar>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kern w:val="1"/>
                <w:sz w:val="24"/>
              </w:rPr>
              <w:t>（二十七）</w:t>
            </w:r>
            <w:r>
              <w:rPr>
                <w:rFonts w:ascii="仿宋" w:eastAsia="仿宋" w:hAnsi="仿宋" w:cs="仿宋" w:hint="eastAsia"/>
                <w:sz w:val="24"/>
              </w:rPr>
              <w:t>企业开发环境等证明材料。</w:t>
            </w:r>
          </w:p>
        </w:tc>
        <w:tc>
          <w:tcPr>
            <w:tcW w:w="2550" w:type="dxa"/>
            <w:vMerge/>
            <w:shd w:val="clear" w:color="auto" w:fill="FFFFFF"/>
            <w:tcMar>
              <w:right w:w="57" w:type="dxa"/>
            </w:tcMar>
            <w:vAlign w:val="center"/>
          </w:tcPr>
          <w:p w:rsidR="00013EC7" w:rsidRDefault="00013EC7">
            <w:pPr>
              <w:spacing w:line="300" w:lineRule="exact"/>
              <w:jc w:val="left"/>
              <w:rPr>
                <w:rFonts w:ascii="仿宋" w:eastAsia="仿宋" w:hAnsi="仿宋" w:cs="仿宋"/>
                <w:sz w:val="24"/>
              </w:rPr>
            </w:pPr>
          </w:p>
        </w:tc>
        <w:tc>
          <w:tcPr>
            <w:tcW w:w="2132" w:type="dxa"/>
            <w:vMerge/>
            <w:shd w:val="clear" w:color="auto" w:fill="FFFFFF"/>
            <w:tcMar>
              <w:right w:w="57" w:type="dxa"/>
            </w:tcMar>
            <w:vAlign w:val="center"/>
          </w:tcPr>
          <w:p w:rsidR="00013EC7" w:rsidRDefault="00013EC7">
            <w:pPr>
              <w:spacing w:line="300" w:lineRule="exact"/>
              <w:jc w:val="left"/>
              <w:rPr>
                <w:rFonts w:ascii="仿宋_GB2312" w:eastAsia="仿宋_GB2312" w:hAnsi="仿宋" w:cs="仿宋"/>
                <w:sz w:val="24"/>
              </w:rPr>
            </w:pPr>
          </w:p>
        </w:tc>
        <w:tc>
          <w:tcPr>
            <w:tcW w:w="700" w:type="dxa"/>
            <w:vMerge/>
            <w:shd w:val="clear" w:color="auto" w:fill="auto"/>
            <w:tcMar>
              <w:right w:w="57" w:type="dxa"/>
            </w:tcMar>
            <w:vAlign w:val="center"/>
          </w:tcPr>
          <w:p w:rsidR="00013EC7" w:rsidRDefault="00013EC7">
            <w:pPr>
              <w:spacing w:line="300" w:lineRule="exact"/>
              <w:jc w:val="left"/>
              <w:rPr>
                <w:rFonts w:ascii="仿宋_GB2312" w:eastAsia="仿宋_GB2312" w:hAnsi="仿宋" w:cs="仿宋"/>
                <w:sz w:val="24"/>
              </w:rPr>
            </w:pPr>
          </w:p>
        </w:tc>
        <w:tc>
          <w:tcPr>
            <w:tcW w:w="675" w:type="dxa"/>
            <w:vMerge/>
            <w:shd w:val="clear" w:color="auto" w:fill="auto"/>
            <w:tcMar>
              <w:right w:w="57" w:type="dxa"/>
            </w:tcMar>
            <w:vAlign w:val="center"/>
          </w:tcPr>
          <w:p w:rsidR="00013EC7" w:rsidRDefault="00013EC7">
            <w:pPr>
              <w:spacing w:line="300" w:lineRule="exact"/>
              <w:jc w:val="left"/>
              <w:rPr>
                <w:rFonts w:ascii="仿宋_GB2312" w:eastAsia="仿宋_GB2312" w:hAnsi="仿宋" w:cs="仿宋"/>
                <w:sz w:val="24"/>
              </w:rPr>
            </w:pPr>
          </w:p>
        </w:tc>
        <w:tc>
          <w:tcPr>
            <w:tcW w:w="700" w:type="dxa"/>
            <w:vMerge/>
            <w:shd w:val="clear" w:color="auto" w:fill="FFFFFF"/>
            <w:tcMar>
              <w:right w:w="57" w:type="dxa"/>
            </w:tcMar>
            <w:vAlign w:val="center"/>
          </w:tcPr>
          <w:p w:rsidR="00013EC7" w:rsidRDefault="00013EC7">
            <w:pPr>
              <w:spacing w:line="300" w:lineRule="exact"/>
              <w:jc w:val="left"/>
              <w:rPr>
                <w:rFonts w:ascii="仿宋_GB2312" w:eastAsia="仿宋_GB2312" w:hAnsi="仿宋" w:cs="仿宋"/>
                <w:sz w:val="24"/>
              </w:rPr>
            </w:pPr>
          </w:p>
        </w:tc>
        <w:tc>
          <w:tcPr>
            <w:tcW w:w="775" w:type="dxa"/>
            <w:vMerge/>
            <w:tcMar>
              <w:right w:w="57" w:type="dxa"/>
            </w:tcMar>
            <w:vAlign w:val="center"/>
          </w:tcPr>
          <w:p w:rsidR="00013EC7" w:rsidRDefault="00013EC7">
            <w:pPr>
              <w:spacing w:line="300" w:lineRule="exact"/>
              <w:jc w:val="left"/>
              <w:rPr>
                <w:rFonts w:ascii="仿宋_GB2312" w:eastAsia="仿宋_GB2312" w:hAnsi="仿宋" w:cs="仿宋"/>
                <w:sz w:val="24"/>
              </w:rPr>
            </w:pPr>
          </w:p>
        </w:tc>
        <w:tc>
          <w:tcPr>
            <w:tcW w:w="1157" w:type="dxa"/>
            <w:vMerge/>
            <w:tcMar>
              <w:right w:w="57" w:type="dxa"/>
            </w:tcMar>
            <w:vAlign w:val="center"/>
          </w:tcPr>
          <w:p w:rsidR="00013EC7" w:rsidRDefault="00013EC7">
            <w:pPr>
              <w:spacing w:line="300" w:lineRule="exact"/>
              <w:jc w:val="left"/>
              <w:rPr>
                <w:rFonts w:ascii="仿宋_GB2312" w:eastAsia="仿宋_GB2312" w:hAnsi="仿宋" w:cs="仿宋"/>
                <w:sz w:val="24"/>
              </w:rPr>
            </w:pPr>
          </w:p>
        </w:tc>
      </w:tr>
      <w:tr w:rsidR="00013EC7">
        <w:trPr>
          <w:trHeight w:val="90"/>
          <w:jc w:val="center"/>
        </w:trPr>
        <w:tc>
          <w:tcPr>
            <w:tcW w:w="609" w:type="dxa"/>
            <w:vMerge/>
            <w:shd w:val="clear" w:color="auto" w:fill="auto"/>
            <w:tcMar>
              <w:right w:w="57" w:type="dxa"/>
            </w:tcMar>
            <w:vAlign w:val="center"/>
          </w:tcPr>
          <w:p w:rsidR="00013EC7" w:rsidRDefault="00013EC7">
            <w:pPr>
              <w:spacing w:line="300" w:lineRule="exact"/>
              <w:jc w:val="left"/>
              <w:rPr>
                <w:rFonts w:ascii="仿宋" w:eastAsia="仿宋" w:hAnsi="仿宋" w:cs="仿宋"/>
                <w:sz w:val="24"/>
              </w:rPr>
            </w:pPr>
          </w:p>
        </w:tc>
        <w:tc>
          <w:tcPr>
            <w:tcW w:w="625" w:type="dxa"/>
            <w:vMerge/>
            <w:shd w:val="clear" w:color="auto" w:fill="auto"/>
            <w:tcMar>
              <w:right w:w="57" w:type="dxa"/>
            </w:tcMar>
            <w:vAlign w:val="center"/>
          </w:tcPr>
          <w:p w:rsidR="00013EC7" w:rsidRDefault="00013EC7">
            <w:pPr>
              <w:spacing w:line="310" w:lineRule="exact"/>
              <w:jc w:val="left"/>
              <w:rPr>
                <w:rFonts w:ascii="仿宋" w:eastAsia="仿宋" w:hAnsi="仿宋" w:cs="仿宋"/>
                <w:sz w:val="24"/>
              </w:rPr>
            </w:pPr>
          </w:p>
        </w:tc>
        <w:tc>
          <w:tcPr>
            <w:tcW w:w="4371" w:type="dxa"/>
            <w:vMerge/>
            <w:shd w:val="clear" w:color="auto" w:fill="auto"/>
            <w:tcMar>
              <w:right w:w="57" w:type="dxa"/>
            </w:tcMar>
            <w:vAlign w:val="center"/>
          </w:tcPr>
          <w:p w:rsidR="00013EC7" w:rsidRDefault="00013EC7">
            <w:pPr>
              <w:spacing w:line="310" w:lineRule="exact"/>
              <w:jc w:val="left"/>
              <w:rPr>
                <w:rFonts w:ascii="仿宋" w:eastAsia="仿宋" w:hAnsi="仿宋" w:cs="仿宋"/>
                <w:sz w:val="24"/>
              </w:rPr>
            </w:pPr>
          </w:p>
        </w:tc>
        <w:tc>
          <w:tcPr>
            <w:tcW w:w="2646" w:type="dxa"/>
            <w:shd w:val="clear" w:color="auto" w:fill="FFFFFF"/>
            <w:tcMar>
              <w:right w:w="57" w:type="dxa"/>
            </w:tcMar>
            <w:vAlign w:val="center"/>
          </w:tcPr>
          <w:p w:rsidR="00013EC7" w:rsidRDefault="00575CDB">
            <w:pPr>
              <w:widowControl/>
              <w:spacing w:line="300" w:lineRule="exact"/>
              <w:jc w:val="left"/>
              <w:rPr>
                <w:rFonts w:ascii="仿宋" w:eastAsia="仿宋" w:hAnsi="仿宋" w:cs="仿宋"/>
                <w:sz w:val="24"/>
              </w:rPr>
            </w:pPr>
            <w:r>
              <w:rPr>
                <w:rFonts w:ascii="仿宋" w:eastAsia="仿宋" w:hAnsi="仿宋" w:cs="仿宋" w:hint="eastAsia"/>
                <w:kern w:val="1"/>
                <w:sz w:val="24"/>
              </w:rPr>
              <w:t>（三十六）</w:t>
            </w:r>
            <w:r>
              <w:rPr>
                <w:rFonts w:ascii="仿宋" w:eastAsia="仿宋" w:hAnsi="仿宋" w:cs="仿宋" w:hint="eastAsia"/>
                <w:sz w:val="24"/>
              </w:rPr>
              <w:t>企业享受软件企业所得税优惠政策需要报送的备案资料。</w:t>
            </w:r>
          </w:p>
        </w:tc>
        <w:tc>
          <w:tcPr>
            <w:tcW w:w="2368" w:type="dxa"/>
            <w:vMerge w:val="restart"/>
            <w:shd w:val="clear" w:color="auto" w:fill="FFFFFF"/>
            <w:tcMar>
              <w:right w:w="57" w:type="dxa"/>
            </w:tcMar>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kern w:val="1"/>
                <w:sz w:val="24"/>
              </w:rPr>
              <w:t>办理国家规划布局内重点软件企业可减按10%的税率征收企业所得税备案的</w:t>
            </w:r>
            <w:r>
              <w:rPr>
                <w:rFonts w:ascii="仿宋" w:eastAsia="仿宋" w:hAnsi="仿宋" w:cs="仿宋" w:hint="eastAsia"/>
                <w:sz w:val="24"/>
              </w:rPr>
              <w:t>纳税人</w:t>
            </w:r>
            <w:r>
              <w:rPr>
                <w:rFonts w:ascii="仿宋" w:eastAsia="仿宋" w:hAnsi="仿宋" w:cs="仿宋" w:hint="eastAsia"/>
                <w:sz w:val="24"/>
              </w:rPr>
              <w:lastRenderedPageBreak/>
              <w:t>提交</w:t>
            </w:r>
          </w:p>
        </w:tc>
        <w:tc>
          <w:tcPr>
            <w:tcW w:w="2358" w:type="dxa"/>
            <w:shd w:val="clear" w:color="auto" w:fill="FFFFFF"/>
            <w:tcMar>
              <w:right w:w="57" w:type="dxa"/>
            </w:tcMar>
            <w:vAlign w:val="center"/>
          </w:tcPr>
          <w:p w:rsidR="00013EC7" w:rsidRDefault="00575CDB">
            <w:pPr>
              <w:widowControl/>
              <w:spacing w:line="300" w:lineRule="exact"/>
              <w:jc w:val="left"/>
              <w:rPr>
                <w:rFonts w:ascii="仿宋" w:eastAsia="仿宋" w:hAnsi="仿宋" w:cs="仿宋"/>
                <w:sz w:val="24"/>
              </w:rPr>
            </w:pPr>
            <w:r>
              <w:rPr>
                <w:rFonts w:ascii="仿宋" w:eastAsia="仿宋" w:hAnsi="仿宋" w:cs="仿宋" w:hint="eastAsia"/>
                <w:kern w:val="1"/>
                <w:sz w:val="24"/>
              </w:rPr>
              <w:lastRenderedPageBreak/>
              <w:t>（三十二）</w:t>
            </w:r>
            <w:r>
              <w:rPr>
                <w:rFonts w:ascii="仿宋" w:eastAsia="仿宋" w:hAnsi="仿宋" w:cs="仿宋" w:hint="eastAsia"/>
                <w:sz w:val="24"/>
              </w:rPr>
              <w:t>企业享受软件企业所得税优惠政策需要报送的备案资料。</w:t>
            </w:r>
          </w:p>
        </w:tc>
        <w:tc>
          <w:tcPr>
            <w:tcW w:w="2550" w:type="dxa"/>
            <w:vMerge w:val="restart"/>
            <w:shd w:val="clear" w:color="auto" w:fill="FFFFFF"/>
            <w:tcMar>
              <w:right w:w="57" w:type="dxa"/>
            </w:tcMar>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kern w:val="1"/>
                <w:sz w:val="24"/>
              </w:rPr>
              <w:t>国家规划布局内重点软件企业</w:t>
            </w:r>
            <w:r>
              <w:rPr>
                <w:rFonts w:ascii="仿宋" w:eastAsia="仿宋" w:hAnsi="仿宋" w:cs="仿宋" w:hint="eastAsia"/>
                <w:sz w:val="24"/>
              </w:rPr>
              <w:t>提交</w:t>
            </w:r>
          </w:p>
        </w:tc>
        <w:tc>
          <w:tcPr>
            <w:tcW w:w="2132" w:type="dxa"/>
            <w:vMerge/>
            <w:shd w:val="clear" w:color="auto" w:fill="FFFFFF"/>
            <w:tcMar>
              <w:right w:w="57" w:type="dxa"/>
            </w:tcMar>
            <w:vAlign w:val="center"/>
          </w:tcPr>
          <w:p w:rsidR="00013EC7" w:rsidRDefault="00013EC7">
            <w:pPr>
              <w:shd w:val="clear" w:color="auto" w:fill="FFFFFF"/>
              <w:spacing w:line="300" w:lineRule="exact"/>
              <w:jc w:val="left"/>
              <w:rPr>
                <w:rFonts w:ascii="仿宋_GB2312" w:eastAsia="仿宋_GB2312" w:hAnsi="仿宋" w:cs="仿宋"/>
                <w:sz w:val="24"/>
              </w:rPr>
            </w:pPr>
          </w:p>
        </w:tc>
        <w:tc>
          <w:tcPr>
            <w:tcW w:w="700" w:type="dxa"/>
            <w:vMerge/>
            <w:shd w:val="clear" w:color="auto" w:fill="auto"/>
            <w:tcMar>
              <w:right w:w="57" w:type="dxa"/>
            </w:tcMar>
            <w:vAlign w:val="center"/>
          </w:tcPr>
          <w:p w:rsidR="00013EC7" w:rsidRDefault="00013EC7">
            <w:pPr>
              <w:spacing w:line="300" w:lineRule="exact"/>
              <w:jc w:val="left"/>
              <w:rPr>
                <w:rFonts w:ascii="仿宋_GB2312" w:eastAsia="仿宋_GB2312" w:hAnsi="仿宋" w:cs="仿宋"/>
                <w:sz w:val="24"/>
              </w:rPr>
            </w:pPr>
          </w:p>
        </w:tc>
        <w:tc>
          <w:tcPr>
            <w:tcW w:w="675" w:type="dxa"/>
            <w:vMerge/>
            <w:shd w:val="clear" w:color="auto" w:fill="auto"/>
            <w:tcMar>
              <w:right w:w="57" w:type="dxa"/>
            </w:tcMar>
            <w:vAlign w:val="center"/>
          </w:tcPr>
          <w:p w:rsidR="00013EC7" w:rsidRDefault="00013EC7">
            <w:pPr>
              <w:spacing w:line="300" w:lineRule="exact"/>
              <w:jc w:val="left"/>
              <w:rPr>
                <w:rFonts w:ascii="仿宋_GB2312" w:eastAsia="仿宋_GB2312" w:hAnsi="仿宋" w:cs="仿宋"/>
                <w:sz w:val="24"/>
              </w:rPr>
            </w:pPr>
          </w:p>
        </w:tc>
        <w:tc>
          <w:tcPr>
            <w:tcW w:w="700" w:type="dxa"/>
            <w:vMerge/>
            <w:shd w:val="clear" w:color="auto" w:fill="FFFFFF"/>
            <w:tcMar>
              <w:right w:w="57" w:type="dxa"/>
            </w:tcMar>
            <w:vAlign w:val="center"/>
          </w:tcPr>
          <w:p w:rsidR="00013EC7" w:rsidRDefault="00013EC7">
            <w:pPr>
              <w:spacing w:line="300" w:lineRule="exact"/>
              <w:jc w:val="left"/>
              <w:rPr>
                <w:rFonts w:ascii="仿宋_GB2312" w:eastAsia="仿宋_GB2312" w:hAnsi="仿宋" w:cs="仿宋"/>
                <w:sz w:val="24"/>
              </w:rPr>
            </w:pPr>
          </w:p>
        </w:tc>
        <w:tc>
          <w:tcPr>
            <w:tcW w:w="775" w:type="dxa"/>
            <w:vMerge/>
            <w:tcMar>
              <w:right w:w="57" w:type="dxa"/>
            </w:tcMar>
            <w:vAlign w:val="center"/>
          </w:tcPr>
          <w:p w:rsidR="00013EC7" w:rsidRDefault="00013EC7">
            <w:pPr>
              <w:spacing w:line="300" w:lineRule="exact"/>
              <w:jc w:val="left"/>
              <w:rPr>
                <w:rFonts w:ascii="仿宋_GB2312" w:eastAsia="仿宋_GB2312" w:hAnsi="仿宋" w:cs="仿宋"/>
                <w:sz w:val="24"/>
              </w:rPr>
            </w:pPr>
          </w:p>
        </w:tc>
        <w:tc>
          <w:tcPr>
            <w:tcW w:w="1157" w:type="dxa"/>
            <w:vMerge/>
            <w:tcMar>
              <w:right w:w="57" w:type="dxa"/>
            </w:tcMar>
            <w:vAlign w:val="center"/>
          </w:tcPr>
          <w:p w:rsidR="00013EC7" w:rsidRDefault="00013EC7">
            <w:pPr>
              <w:spacing w:line="300" w:lineRule="exact"/>
              <w:jc w:val="left"/>
              <w:rPr>
                <w:rFonts w:ascii="仿宋_GB2312" w:eastAsia="仿宋_GB2312" w:hAnsi="仿宋" w:cs="仿宋"/>
                <w:sz w:val="24"/>
              </w:rPr>
            </w:pPr>
          </w:p>
        </w:tc>
      </w:tr>
      <w:tr w:rsidR="00013EC7">
        <w:trPr>
          <w:trHeight w:val="1042"/>
          <w:jc w:val="center"/>
        </w:trPr>
        <w:tc>
          <w:tcPr>
            <w:tcW w:w="609" w:type="dxa"/>
            <w:vMerge/>
            <w:shd w:val="clear" w:color="auto" w:fill="auto"/>
            <w:tcMar>
              <w:right w:w="57" w:type="dxa"/>
            </w:tcMar>
            <w:vAlign w:val="center"/>
          </w:tcPr>
          <w:p w:rsidR="00013EC7" w:rsidRDefault="00013EC7">
            <w:pPr>
              <w:spacing w:line="300" w:lineRule="exact"/>
              <w:jc w:val="left"/>
            </w:pPr>
          </w:p>
        </w:tc>
        <w:tc>
          <w:tcPr>
            <w:tcW w:w="625" w:type="dxa"/>
            <w:vMerge/>
            <w:shd w:val="clear" w:color="auto" w:fill="auto"/>
            <w:tcMar>
              <w:right w:w="57" w:type="dxa"/>
            </w:tcMar>
            <w:vAlign w:val="center"/>
          </w:tcPr>
          <w:p w:rsidR="00013EC7" w:rsidRDefault="00013EC7">
            <w:pPr>
              <w:spacing w:line="300" w:lineRule="exact"/>
              <w:jc w:val="left"/>
            </w:pPr>
          </w:p>
        </w:tc>
        <w:tc>
          <w:tcPr>
            <w:tcW w:w="4371" w:type="dxa"/>
            <w:vMerge/>
            <w:shd w:val="clear" w:color="auto" w:fill="auto"/>
            <w:tcMar>
              <w:right w:w="57" w:type="dxa"/>
            </w:tcMar>
            <w:vAlign w:val="center"/>
          </w:tcPr>
          <w:p w:rsidR="00013EC7" w:rsidRDefault="00013EC7">
            <w:pPr>
              <w:spacing w:line="300" w:lineRule="exact"/>
              <w:jc w:val="left"/>
            </w:pPr>
          </w:p>
        </w:tc>
        <w:tc>
          <w:tcPr>
            <w:tcW w:w="2646" w:type="dxa"/>
            <w:shd w:val="clear" w:color="auto" w:fill="FFFFFF"/>
            <w:tcMar>
              <w:right w:w="57" w:type="dxa"/>
            </w:tcMar>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kern w:val="1"/>
                <w:sz w:val="24"/>
              </w:rPr>
              <w:t>（三十七）</w:t>
            </w:r>
            <w:r>
              <w:rPr>
                <w:rFonts w:ascii="仿宋" w:eastAsia="仿宋" w:hAnsi="仿宋" w:cs="仿宋" w:hint="eastAsia"/>
                <w:sz w:val="24"/>
              </w:rPr>
              <w:t>符合第二类条件的，应提供在国家规定的重点软件领域内销售（营业）情况说明。</w:t>
            </w:r>
          </w:p>
        </w:tc>
        <w:tc>
          <w:tcPr>
            <w:tcW w:w="2368" w:type="dxa"/>
            <w:vMerge/>
            <w:shd w:val="clear" w:color="auto" w:fill="FFFFFF"/>
            <w:tcMar>
              <w:right w:w="57" w:type="dxa"/>
            </w:tcMar>
            <w:vAlign w:val="center"/>
          </w:tcPr>
          <w:p w:rsidR="00013EC7" w:rsidRDefault="00013EC7">
            <w:pPr>
              <w:spacing w:line="300" w:lineRule="exact"/>
              <w:jc w:val="left"/>
              <w:rPr>
                <w:rFonts w:ascii="仿宋" w:eastAsia="仿宋" w:hAnsi="仿宋" w:cs="仿宋"/>
                <w:sz w:val="24"/>
              </w:rPr>
            </w:pPr>
          </w:p>
        </w:tc>
        <w:tc>
          <w:tcPr>
            <w:tcW w:w="2358" w:type="dxa"/>
            <w:shd w:val="clear" w:color="auto" w:fill="FFFFFF"/>
            <w:tcMar>
              <w:right w:w="57" w:type="dxa"/>
            </w:tcMar>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kern w:val="1"/>
                <w:sz w:val="24"/>
              </w:rPr>
              <w:t>（三十三）</w:t>
            </w:r>
            <w:r>
              <w:rPr>
                <w:rFonts w:ascii="仿宋" w:eastAsia="仿宋" w:hAnsi="仿宋" w:cs="仿宋" w:hint="eastAsia"/>
                <w:sz w:val="24"/>
              </w:rPr>
              <w:t>符合第二类条件的，应提供在国家规定的重点软件领域内销售（营业）情况说明。</w:t>
            </w:r>
          </w:p>
        </w:tc>
        <w:tc>
          <w:tcPr>
            <w:tcW w:w="2550" w:type="dxa"/>
            <w:vMerge/>
            <w:shd w:val="clear" w:color="auto" w:fill="FFFFFF"/>
            <w:tcMar>
              <w:right w:w="57" w:type="dxa"/>
            </w:tcMar>
            <w:vAlign w:val="center"/>
          </w:tcPr>
          <w:p w:rsidR="00013EC7" w:rsidRDefault="00013EC7">
            <w:pPr>
              <w:spacing w:line="300" w:lineRule="exact"/>
              <w:jc w:val="left"/>
              <w:rPr>
                <w:rFonts w:ascii="仿宋_GB2312" w:eastAsia="仿宋_GB2312" w:hAnsi="仿宋" w:cs="仿宋"/>
                <w:sz w:val="24"/>
              </w:rPr>
            </w:pPr>
          </w:p>
        </w:tc>
        <w:tc>
          <w:tcPr>
            <w:tcW w:w="2132" w:type="dxa"/>
            <w:vMerge/>
            <w:shd w:val="clear" w:color="auto" w:fill="FFFFFF"/>
            <w:tcMar>
              <w:right w:w="57" w:type="dxa"/>
            </w:tcMar>
            <w:vAlign w:val="center"/>
          </w:tcPr>
          <w:p w:rsidR="00013EC7" w:rsidRDefault="00013EC7">
            <w:pPr>
              <w:spacing w:line="300" w:lineRule="exact"/>
              <w:jc w:val="left"/>
              <w:rPr>
                <w:rFonts w:ascii="仿宋_GB2312" w:eastAsia="仿宋_GB2312" w:hAnsi="仿宋" w:cs="仿宋"/>
                <w:sz w:val="24"/>
              </w:rPr>
            </w:pPr>
          </w:p>
        </w:tc>
        <w:tc>
          <w:tcPr>
            <w:tcW w:w="700" w:type="dxa"/>
            <w:vMerge/>
            <w:shd w:val="clear" w:color="auto" w:fill="auto"/>
            <w:tcMar>
              <w:right w:w="57" w:type="dxa"/>
            </w:tcMar>
            <w:vAlign w:val="center"/>
          </w:tcPr>
          <w:p w:rsidR="00013EC7" w:rsidRDefault="00013EC7">
            <w:pPr>
              <w:spacing w:line="300" w:lineRule="exact"/>
              <w:jc w:val="left"/>
              <w:rPr>
                <w:rFonts w:ascii="仿宋_GB2312" w:eastAsia="仿宋_GB2312" w:hAnsi="仿宋" w:cs="仿宋"/>
                <w:sz w:val="24"/>
              </w:rPr>
            </w:pPr>
          </w:p>
        </w:tc>
        <w:tc>
          <w:tcPr>
            <w:tcW w:w="675" w:type="dxa"/>
            <w:vMerge/>
            <w:shd w:val="clear" w:color="auto" w:fill="auto"/>
            <w:tcMar>
              <w:right w:w="57" w:type="dxa"/>
            </w:tcMar>
            <w:vAlign w:val="center"/>
          </w:tcPr>
          <w:p w:rsidR="00013EC7" w:rsidRDefault="00013EC7">
            <w:pPr>
              <w:spacing w:line="300" w:lineRule="exact"/>
              <w:jc w:val="left"/>
              <w:rPr>
                <w:rFonts w:ascii="仿宋_GB2312" w:eastAsia="仿宋_GB2312" w:hAnsi="仿宋" w:cs="仿宋"/>
                <w:sz w:val="24"/>
              </w:rPr>
            </w:pPr>
          </w:p>
        </w:tc>
        <w:tc>
          <w:tcPr>
            <w:tcW w:w="700" w:type="dxa"/>
            <w:vMerge/>
            <w:shd w:val="clear" w:color="auto" w:fill="FFFFFF"/>
            <w:tcMar>
              <w:right w:w="57" w:type="dxa"/>
            </w:tcMar>
            <w:vAlign w:val="center"/>
          </w:tcPr>
          <w:p w:rsidR="00013EC7" w:rsidRDefault="00013EC7">
            <w:pPr>
              <w:spacing w:line="300" w:lineRule="exact"/>
              <w:jc w:val="left"/>
              <w:rPr>
                <w:rFonts w:ascii="仿宋_GB2312" w:eastAsia="仿宋_GB2312" w:hAnsi="仿宋" w:cs="仿宋"/>
                <w:sz w:val="24"/>
              </w:rPr>
            </w:pPr>
          </w:p>
        </w:tc>
        <w:tc>
          <w:tcPr>
            <w:tcW w:w="775" w:type="dxa"/>
            <w:vMerge/>
            <w:tcMar>
              <w:right w:w="57" w:type="dxa"/>
            </w:tcMar>
            <w:vAlign w:val="center"/>
          </w:tcPr>
          <w:p w:rsidR="00013EC7" w:rsidRDefault="00013EC7">
            <w:pPr>
              <w:spacing w:line="300" w:lineRule="exact"/>
              <w:jc w:val="left"/>
              <w:rPr>
                <w:rFonts w:ascii="仿宋_GB2312" w:eastAsia="仿宋_GB2312" w:hAnsi="仿宋" w:cs="仿宋"/>
                <w:sz w:val="24"/>
              </w:rPr>
            </w:pPr>
          </w:p>
        </w:tc>
        <w:tc>
          <w:tcPr>
            <w:tcW w:w="1157" w:type="dxa"/>
            <w:vMerge/>
            <w:tcMar>
              <w:right w:w="57" w:type="dxa"/>
            </w:tcMar>
            <w:vAlign w:val="center"/>
          </w:tcPr>
          <w:p w:rsidR="00013EC7" w:rsidRDefault="00013EC7">
            <w:pPr>
              <w:spacing w:line="300" w:lineRule="exact"/>
              <w:jc w:val="left"/>
              <w:rPr>
                <w:rFonts w:ascii="仿宋_GB2312" w:eastAsia="仿宋_GB2312" w:hAnsi="仿宋" w:cs="仿宋"/>
                <w:sz w:val="24"/>
              </w:rPr>
            </w:pPr>
          </w:p>
        </w:tc>
      </w:tr>
      <w:tr w:rsidR="00013EC7">
        <w:trPr>
          <w:trHeight w:val="2170"/>
          <w:jc w:val="center"/>
        </w:trPr>
        <w:tc>
          <w:tcPr>
            <w:tcW w:w="609" w:type="dxa"/>
            <w:vMerge/>
            <w:shd w:val="clear" w:color="auto" w:fill="auto"/>
            <w:tcMar>
              <w:right w:w="57" w:type="dxa"/>
            </w:tcMar>
            <w:vAlign w:val="center"/>
          </w:tcPr>
          <w:p w:rsidR="00013EC7" w:rsidRDefault="00013EC7">
            <w:pPr>
              <w:spacing w:line="300" w:lineRule="exact"/>
              <w:jc w:val="left"/>
              <w:rPr>
                <w:rFonts w:ascii="仿宋" w:eastAsia="仿宋" w:hAnsi="仿宋" w:cs="仿宋"/>
                <w:sz w:val="24"/>
              </w:rPr>
            </w:pPr>
          </w:p>
        </w:tc>
        <w:tc>
          <w:tcPr>
            <w:tcW w:w="625" w:type="dxa"/>
            <w:vMerge/>
            <w:shd w:val="clear" w:color="auto" w:fill="auto"/>
            <w:tcMar>
              <w:right w:w="57" w:type="dxa"/>
            </w:tcMar>
            <w:vAlign w:val="center"/>
          </w:tcPr>
          <w:p w:rsidR="00013EC7" w:rsidRDefault="00013EC7">
            <w:pPr>
              <w:spacing w:line="300" w:lineRule="exact"/>
              <w:jc w:val="left"/>
              <w:rPr>
                <w:rFonts w:ascii="仿宋" w:eastAsia="仿宋" w:hAnsi="仿宋" w:cs="仿宋"/>
                <w:sz w:val="24"/>
              </w:rPr>
            </w:pPr>
          </w:p>
        </w:tc>
        <w:tc>
          <w:tcPr>
            <w:tcW w:w="4371" w:type="dxa"/>
            <w:vMerge/>
            <w:shd w:val="clear" w:color="auto" w:fill="auto"/>
            <w:tcMar>
              <w:right w:w="57" w:type="dxa"/>
            </w:tcMar>
            <w:vAlign w:val="center"/>
          </w:tcPr>
          <w:p w:rsidR="00013EC7" w:rsidRDefault="00013EC7">
            <w:pPr>
              <w:spacing w:line="300" w:lineRule="exact"/>
              <w:jc w:val="left"/>
              <w:rPr>
                <w:rFonts w:ascii="仿宋" w:eastAsia="仿宋" w:hAnsi="仿宋" w:cs="仿宋"/>
                <w:sz w:val="24"/>
              </w:rPr>
            </w:pPr>
          </w:p>
        </w:tc>
        <w:tc>
          <w:tcPr>
            <w:tcW w:w="2646" w:type="dxa"/>
            <w:shd w:val="clear" w:color="auto" w:fill="FFFFFF"/>
            <w:tcMar>
              <w:right w:w="57" w:type="dxa"/>
            </w:tcMar>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kern w:val="1"/>
                <w:sz w:val="24"/>
              </w:rPr>
              <w:t>（三十八）</w:t>
            </w:r>
            <w:r>
              <w:rPr>
                <w:rFonts w:ascii="仿宋" w:eastAsia="仿宋" w:hAnsi="仿宋" w:cs="仿宋" w:hint="eastAsia"/>
                <w:sz w:val="24"/>
              </w:rPr>
              <w:t>符合第三类条件的，应提供商务主管部门核发的软件出口合同登记证书，以及有效出口合同和结汇证明等材料。</w:t>
            </w:r>
          </w:p>
        </w:tc>
        <w:tc>
          <w:tcPr>
            <w:tcW w:w="2368" w:type="dxa"/>
            <w:vMerge/>
            <w:shd w:val="clear" w:color="auto" w:fill="FFFFFF"/>
            <w:tcMar>
              <w:right w:w="57" w:type="dxa"/>
            </w:tcMar>
            <w:vAlign w:val="center"/>
          </w:tcPr>
          <w:p w:rsidR="00013EC7" w:rsidRDefault="00013EC7">
            <w:pPr>
              <w:spacing w:line="300" w:lineRule="exact"/>
              <w:jc w:val="left"/>
              <w:rPr>
                <w:rFonts w:ascii="仿宋" w:eastAsia="仿宋" w:hAnsi="仿宋" w:cs="仿宋"/>
                <w:sz w:val="24"/>
              </w:rPr>
            </w:pPr>
          </w:p>
        </w:tc>
        <w:tc>
          <w:tcPr>
            <w:tcW w:w="2358" w:type="dxa"/>
            <w:shd w:val="clear" w:color="auto" w:fill="FFFFFF"/>
            <w:tcMar>
              <w:right w:w="57" w:type="dxa"/>
            </w:tcMar>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kern w:val="1"/>
                <w:sz w:val="24"/>
              </w:rPr>
              <w:t>（三十四）</w:t>
            </w:r>
            <w:r>
              <w:rPr>
                <w:rFonts w:ascii="仿宋" w:eastAsia="仿宋" w:hAnsi="仿宋" w:cs="仿宋" w:hint="eastAsia"/>
                <w:sz w:val="24"/>
              </w:rPr>
              <w:t>符合第三类条件的，应提供商务主管部门核发的软件出口合同登记证书，以及有效出口合同和结汇证明等材料。</w:t>
            </w:r>
          </w:p>
        </w:tc>
        <w:tc>
          <w:tcPr>
            <w:tcW w:w="2550" w:type="dxa"/>
            <w:vMerge/>
            <w:shd w:val="clear" w:color="auto" w:fill="FFFFFF"/>
            <w:tcMar>
              <w:right w:w="57" w:type="dxa"/>
            </w:tcMar>
            <w:vAlign w:val="center"/>
          </w:tcPr>
          <w:p w:rsidR="00013EC7" w:rsidRDefault="00013EC7">
            <w:pPr>
              <w:spacing w:line="300" w:lineRule="exact"/>
              <w:jc w:val="left"/>
              <w:rPr>
                <w:rFonts w:ascii="仿宋_GB2312" w:eastAsia="仿宋_GB2312" w:hAnsi="仿宋" w:cs="仿宋"/>
                <w:sz w:val="24"/>
              </w:rPr>
            </w:pPr>
          </w:p>
        </w:tc>
        <w:tc>
          <w:tcPr>
            <w:tcW w:w="2132" w:type="dxa"/>
            <w:vMerge/>
            <w:shd w:val="clear" w:color="auto" w:fill="FFFFFF"/>
            <w:tcMar>
              <w:right w:w="57" w:type="dxa"/>
            </w:tcMar>
            <w:vAlign w:val="center"/>
          </w:tcPr>
          <w:p w:rsidR="00013EC7" w:rsidRDefault="00013EC7">
            <w:pPr>
              <w:spacing w:line="300" w:lineRule="exact"/>
              <w:jc w:val="left"/>
              <w:rPr>
                <w:rFonts w:ascii="仿宋_GB2312" w:eastAsia="仿宋_GB2312" w:hAnsi="仿宋" w:cs="仿宋"/>
                <w:sz w:val="24"/>
              </w:rPr>
            </w:pPr>
          </w:p>
        </w:tc>
        <w:tc>
          <w:tcPr>
            <w:tcW w:w="700" w:type="dxa"/>
            <w:vMerge/>
            <w:shd w:val="clear" w:color="auto" w:fill="auto"/>
            <w:tcMar>
              <w:right w:w="57" w:type="dxa"/>
            </w:tcMar>
            <w:vAlign w:val="center"/>
          </w:tcPr>
          <w:p w:rsidR="00013EC7" w:rsidRDefault="00013EC7">
            <w:pPr>
              <w:spacing w:line="300" w:lineRule="exact"/>
              <w:jc w:val="left"/>
              <w:rPr>
                <w:rFonts w:ascii="仿宋_GB2312" w:eastAsia="仿宋_GB2312" w:hAnsi="仿宋" w:cs="仿宋"/>
                <w:sz w:val="24"/>
              </w:rPr>
            </w:pPr>
          </w:p>
        </w:tc>
        <w:tc>
          <w:tcPr>
            <w:tcW w:w="675" w:type="dxa"/>
            <w:vMerge/>
            <w:shd w:val="clear" w:color="auto" w:fill="auto"/>
            <w:tcMar>
              <w:right w:w="57" w:type="dxa"/>
            </w:tcMar>
            <w:vAlign w:val="center"/>
          </w:tcPr>
          <w:p w:rsidR="00013EC7" w:rsidRDefault="00013EC7">
            <w:pPr>
              <w:spacing w:line="300" w:lineRule="exact"/>
              <w:jc w:val="left"/>
              <w:rPr>
                <w:rFonts w:ascii="仿宋_GB2312" w:eastAsia="仿宋_GB2312" w:hAnsi="仿宋" w:cs="仿宋"/>
                <w:sz w:val="24"/>
              </w:rPr>
            </w:pPr>
          </w:p>
        </w:tc>
        <w:tc>
          <w:tcPr>
            <w:tcW w:w="700" w:type="dxa"/>
            <w:vMerge/>
            <w:shd w:val="clear" w:color="auto" w:fill="FFFFFF"/>
            <w:tcMar>
              <w:right w:w="57" w:type="dxa"/>
            </w:tcMar>
            <w:vAlign w:val="center"/>
          </w:tcPr>
          <w:p w:rsidR="00013EC7" w:rsidRDefault="00013EC7">
            <w:pPr>
              <w:spacing w:line="300" w:lineRule="exact"/>
              <w:jc w:val="left"/>
              <w:rPr>
                <w:rFonts w:ascii="仿宋_GB2312" w:eastAsia="仿宋_GB2312" w:hAnsi="仿宋" w:cs="仿宋"/>
                <w:sz w:val="24"/>
              </w:rPr>
            </w:pPr>
          </w:p>
        </w:tc>
        <w:tc>
          <w:tcPr>
            <w:tcW w:w="775" w:type="dxa"/>
            <w:vMerge/>
            <w:tcMar>
              <w:right w:w="57" w:type="dxa"/>
            </w:tcMar>
            <w:vAlign w:val="center"/>
          </w:tcPr>
          <w:p w:rsidR="00013EC7" w:rsidRDefault="00013EC7">
            <w:pPr>
              <w:spacing w:line="300" w:lineRule="exact"/>
              <w:jc w:val="left"/>
              <w:rPr>
                <w:rFonts w:ascii="仿宋_GB2312" w:eastAsia="仿宋_GB2312" w:hAnsi="仿宋" w:cs="仿宋"/>
                <w:sz w:val="24"/>
              </w:rPr>
            </w:pPr>
          </w:p>
        </w:tc>
        <w:tc>
          <w:tcPr>
            <w:tcW w:w="1157" w:type="dxa"/>
            <w:vMerge/>
            <w:tcMar>
              <w:right w:w="57" w:type="dxa"/>
            </w:tcMar>
            <w:vAlign w:val="center"/>
          </w:tcPr>
          <w:p w:rsidR="00013EC7" w:rsidRDefault="00013EC7">
            <w:pPr>
              <w:spacing w:line="300" w:lineRule="exact"/>
              <w:jc w:val="left"/>
              <w:rPr>
                <w:rFonts w:ascii="仿宋_GB2312" w:eastAsia="仿宋_GB2312" w:hAnsi="仿宋" w:cs="仿宋"/>
                <w:sz w:val="24"/>
              </w:rPr>
            </w:pPr>
          </w:p>
        </w:tc>
      </w:tr>
      <w:tr w:rsidR="00013EC7">
        <w:trPr>
          <w:trHeight w:val="2371"/>
          <w:jc w:val="center"/>
        </w:trPr>
        <w:tc>
          <w:tcPr>
            <w:tcW w:w="609" w:type="dxa"/>
            <w:vMerge/>
            <w:shd w:val="clear" w:color="auto" w:fill="auto"/>
            <w:tcMar>
              <w:right w:w="57" w:type="dxa"/>
            </w:tcMar>
            <w:vAlign w:val="center"/>
          </w:tcPr>
          <w:p w:rsidR="00013EC7" w:rsidRDefault="00013EC7">
            <w:pPr>
              <w:spacing w:line="300" w:lineRule="exact"/>
              <w:jc w:val="left"/>
              <w:rPr>
                <w:rFonts w:ascii="仿宋" w:eastAsia="仿宋" w:hAnsi="仿宋" w:cs="仿宋"/>
                <w:sz w:val="24"/>
              </w:rPr>
            </w:pPr>
          </w:p>
        </w:tc>
        <w:tc>
          <w:tcPr>
            <w:tcW w:w="625" w:type="dxa"/>
            <w:vMerge/>
            <w:shd w:val="clear" w:color="auto" w:fill="auto"/>
            <w:tcMar>
              <w:right w:w="57" w:type="dxa"/>
            </w:tcMar>
            <w:vAlign w:val="center"/>
          </w:tcPr>
          <w:p w:rsidR="00013EC7" w:rsidRDefault="00013EC7">
            <w:pPr>
              <w:spacing w:line="310" w:lineRule="exact"/>
              <w:jc w:val="left"/>
              <w:rPr>
                <w:rFonts w:ascii="仿宋" w:eastAsia="仿宋" w:hAnsi="仿宋" w:cs="仿宋"/>
                <w:sz w:val="24"/>
              </w:rPr>
            </w:pPr>
          </w:p>
        </w:tc>
        <w:tc>
          <w:tcPr>
            <w:tcW w:w="4371" w:type="dxa"/>
            <w:vMerge/>
            <w:shd w:val="clear" w:color="auto" w:fill="auto"/>
            <w:tcMar>
              <w:right w:w="57" w:type="dxa"/>
            </w:tcMar>
            <w:vAlign w:val="center"/>
          </w:tcPr>
          <w:p w:rsidR="00013EC7" w:rsidRDefault="00013EC7">
            <w:pPr>
              <w:spacing w:line="310" w:lineRule="exact"/>
              <w:jc w:val="left"/>
              <w:rPr>
                <w:rFonts w:ascii="仿宋" w:eastAsia="仿宋" w:hAnsi="仿宋" w:cs="仿宋"/>
                <w:sz w:val="24"/>
              </w:rPr>
            </w:pPr>
          </w:p>
        </w:tc>
        <w:tc>
          <w:tcPr>
            <w:tcW w:w="2646" w:type="dxa"/>
            <w:shd w:val="clear" w:color="auto" w:fill="FFFFFF"/>
            <w:tcMar>
              <w:right w:w="57" w:type="dxa"/>
            </w:tcMar>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kern w:val="1"/>
                <w:sz w:val="24"/>
              </w:rPr>
              <w:t>（三十九）企业享受集成电路设计企业所得税优惠政策需要报送的备案资料。</w:t>
            </w:r>
          </w:p>
        </w:tc>
        <w:tc>
          <w:tcPr>
            <w:tcW w:w="2368" w:type="dxa"/>
            <w:vMerge w:val="restart"/>
            <w:shd w:val="clear" w:color="auto" w:fill="FFFFFF"/>
            <w:tcMar>
              <w:right w:w="57" w:type="dxa"/>
            </w:tcMar>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kern w:val="1"/>
                <w:sz w:val="24"/>
              </w:rPr>
              <w:t>办理国家规划布局内集成电路设计企业可减按10%的税率征收企业所得税备案的</w:t>
            </w:r>
            <w:r>
              <w:rPr>
                <w:rFonts w:ascii="仿宋" w:eastAsia="仿宋" w:hAnsi="仿宋" w:cs="仿宋" w:hint="eastAsia"/>
                <w:sz w:val="24"/>
              </w:rPr>
              <w:t>纳税人提交</w:t>
            </w:r>
          </w:p>
        </w:tc>
        <w:tc>
          <w:tcPr>
            <w:tcW w:w="2358" w:type="dxa"/>
            <w:shd w:val="clear" w:color="auto" w:fill="FFFFFF"/>
            <w:tcMar>
              <w:right w:w="57" w:type="dxa"/>
            </w:tcMar>
            <w:vAlign w:val="center"/>
          </w:tcPr>
          <w:p w:rsidR="00013EC7" w:rsidRDefault="00575CDB">
            <w:pPr>
              <w:spacing w:line="300" w:lineRule="exact"/>
              <w:jc w:val="left"/>
              <w:rPr>
                <w:rFonts w:ascii="仿宋" w:eastAsia="仿宋" w:hAnsi="仿宋" w:cs="仿宋"/>
                <w:kern w:val="1"/>
                <w:sz w:val="24"/>
              </w:rPr>
            </w:pPr>
            <w:r>
              <w:rPr>
                <w:rFonts w:ascii="仿宋" w:eastAsia="仿宋" w:hAnsi="仿宋" w:cs="仿宋" w:hint="eastAsia"/>
                <w:kern w:val="1"/>
                <w:sz w:val="24"/>
              </w:rPr>
              <w:t>（三十五）企业享受集成电路设计企业所得税优惠政策需要报送的备案资料。</w:t>
            </w:r>
          </w:p>
        </w:tc>
        <w:tc>
          <w:tcPr>
            <w:tcW w:w="2550" w:type="dxa"/>
            <w:vMerge w:val="restart"/>
            <w:shd w:val="clear" w:color="auto" w:fill="FFFFFF"/>
            <w:tcMar>
              <w:right w:w="57" w:type="dxa"/>
            </w:tcMar>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kern w:val="1"/>
                <w:sz w:val="24"/>
              </w:rPr>
              <w:t>国家规划布局内集成电路设计企业</w:t>
            </w:r>
            <w:r>
              <w:rPr>
                <w:rFonts w:ascii="仿宋" w:eastAsia="仿宋" w:hAnsi="仿宋" w:cs="仿宋" w:hint="eastAsia"/>
                <w:sz w:val="24"/>
              </w:rPr>
              <w:t>提交</w:t>
            </w:r>
          </w:p>
        </w:tc>
        <w:tc>
          <w:tcPr>
            <w:tcW w:w="2132" w:type="dxa"/>
            <w:vMerge/>
            <w:shd w:val="clear" w:color="auto" w:fill="FFFFFF"/>
            <w:tcMar>
              <w:right w:w="57" w:type="dxa"/>
            </w:tcMar>
            <w:vAlign w:val="center"/>
          </w:tcPr>
          <w:p w:rsidR="00013EC7" w:rsidRDefault="00013EC7">
            <w:pPr>
              <w:shd w:val="clear" w:color="auto" w:fill="FFFFFF"/>
              <w:spacing w:line="300" w:lineRule="exact"/>
              <w:jc w:val="left"/>
              <w:rPr>
                <w:rFonts w:ascii="仿宋_GB2312" w:eastAsia="仿宋_GB2312" w:hAnsi="仿宋" w:cs="仿宋"/>
                <w:sz w:val="24"/>
              </w:rPr>
            </w:pPr>
          </w:p>
        </w:tc>
        <w:tc>
          <w:tcPr>
            <w:tcW w:w="700" w:type="dxa"/>
            <w:vMerge/>
            <w:shd w:val="clear" w:color="auto" w:fill="auto"/>
            <w:tcMar>
              <w:right w:w="57" w:type="dxa"/>
            </w:tcMar>
            <w:vAlign w:val="center"/>
          </w:tcPr>
          <w:p w:rsidR="00013EC7" w:rsidRDefault="00013EC7">
            <w:pPr>
              <w:spacing w:line="300" w:lineRule="exact"/>
              <w:jc w:val="left"/>
              <w:rPr>
                <w:rFonts w:ascii="仿宋_GB2312" w:eastAsia="仿宋_GB2312" w:hAnsi="仿宋" w:cs="仿宋"/>
                <w:sz w:val="24"/>
              </w:rPr>
            </w:pPr>
          </w:p>
        </w:tc>
        <w:tc>
          <w:tcPr>
            <w:tcW w:w="675" w:type="dxa"/>
            <w:vMerge/>
            <w:shd w:val="clear" w:color="auto" w:fill="auto"/>
            <w:tcMar>
              <w:right w:w="57" w:type="dxa"/>
            </w:tcMar>
            <w:vAlign w:val="center"/>
          </w:tcPr>
          <w:p w:rsidR="00013EC7" w:rsidRDefault="00013EC7">
            <w:pPr>
              <w:spacing w:line="300" w:lineRule="exact"/>
              <w:jc w:val="left"/>
              <w:rPr>
                <w:rFonts w:ascii="仿宋_GB2312" w:eastAsia="仿宋_GB2312" w:hAnsi="仿宋" w:cs="仿宋"/>
                <w:sz w:val="24"/>
              </w:rPr>
            </w:pPr>
          </w:p>
        </w:tc>
        <w:tc>
          <w:tcPr>
            <w:tcW w:w="700" w:type="dxa"/>
            <w:vMerge/>
            <w:shd w:val="clear" w:color="auto" w:fill="FFFFFF"/>
            <w:tcMar>
              <w:right w:w="57" w:type="dxa"/>
            </w:tcMar>
            <w:vAlign w:val="center"/>
          </w:tcPr>
          <w:p w:rsidR="00013EC7" w:rsidRDefault="00013EC7">
            <w:pPr>
              <w:spacing w:line="300" w:lineRule="exact"/>
              <w:jc w:val="left"/>
              <w:rPr>
                <w:rFonts w:ascii="仿宋_GB2312" w:eastAsia="仿宋_GB2312" w:hAnsi="仿宋" w:cs="仿宋"/>
                <w:sz w:val="24"/>
              </w:rPr>
            </w:pPr>
          </w:p>
        </w:tc>
        <w:tc>
          <w:tcPr>
            <w:tcW w:w="775" w:type="dxa"/>
            <w:vMerge/>
            <w:tcMar>
              <w:right w:w="57" w:type="dxa"/>
            </w:tcMar>
            <w:vAlign w:val="center"/>
          </w:tcPr>
          <w:p w:rsidR="00013EC7" w:rsidRDefault="00013EC7">
            <w:pPr>
              <w:spacing w:line="300" w:lineRule="exact"/>
              <w:jc w:val="left"/>
              <w:rPr>
                <w:rFonts w:ascii="仿宋_GB2312" w:eastAsia="仿宋_GB2312" w:hAnsi="仿宋" w:cs="仿宋"/>
                <w:sz w:val="24"/>
              </w:rPr>
            </w:pPr>
          </w:p>
        </w:tc>
        <w:tc>
          <w:tcPr>
            <w:tcW w:w="1157" w:type="dxa"/>
            <w:vMerge/>
            <w:tcMar>
              <w:right w:w="57" w:type="dxa"/>
            </w:tcMar>
            <w:vAlign w:val="center"/>
          </w:tcPr>
          <w:p w:rsidR="00013EC7" w:rsidRDefault="00013EC7">
            <w:pPr>
              <w:spacing w:line="300" w:lineRule="exact"/>
              <w:jc w:val="left"/>
              <w:rPr>
                <w:rFonts w:ascii="仿宋_GB2312" w:eastAsia="仿宋_GB2312" w:hAnsi="仿宋" w:cs="仿宋"/>
                <w:sz w:val="24"/>
              </w:rPr>
            </w:pPr>
          </w:p>
        </w:tc>
      </w:tr>
      <w:tr w:rsidR="00013EC7">
        <w:trPr>
          <w:trHeight w:val="1378"/>
          <w:jc w:val="center"/>
        </w:trPr>
        <w:tc>
          <w:tcPr>
            <w:tcW w:w="609" w:type="dxa"/>
            <w:vMerge/>
            <w:shd w:val="clear" w:color="auto" w:fill="auto"/>
            <w:tcMar>
              <w:right w:w="57" w:type="dxa"/>
            </w:tcMar>
            <w:vAlign w:val="center"/>
          </w:tcPr>
          <w:p w:rsidR="00013EC7" w:rsidRDefault="00013EC7">
            <w:pPr>
              <w:spacing w:line="300" w:lineRule="exact"/>
              <w:jc w:val="left"/>
            </w:pPr>
          </w:p>
        </w:tc>
        <w:tc>
          <w:tcPr>
            <w:tcW w:w="625" w:type="dxa"/>
            <w:vMerge/>
            <w:shd w:val="clear" w:color="auto" w:fill="auto"/>
            <w:tcMar>
              <w:right w:w="57" w:type="dxa"/>
            </w:tcMar>
            <w:vAlign w:val="center"/>
          </w:tcPr>
          <w:p w:rsidR="00013EC7" w:rsidRDefault="00013EC7">
            <w:pPr>
              <w:spacing w:line="300" w:lineRule="exact"/>
              <w:jc w:val="left"/>
            </w:pPr>
          </w:p>
        </w:tc>
        <w:tc>
          <w:tcPr>
            <w:tcW w:w="4371" w:type="dxa"/>
            <w:vMerge/>
            <w:shd w:val="clear" w:color="auto" w:fill="auto"/>
            <w:tcMar>
              <w:right w:w="57" w:type="dxa"/>
            </w:tcMar>
            <w:vAlign w:val="center"/>
          </w:tcPr>
          <w:p w:rsidR="00013EC7" w:rsidRDefault="00013EC7">
            <w:pPr>
              <w:spacing w:line="300" w:lineRule="exact"/>
              <w:jc w:val="left"/>
            </w:pPr>
          </w:p>
        </w:tc>
        <w:tc>
          <w:tcPr>
            <w:tcW w:w="2646" w:type="dxa"/>
            <w:shd w:val="clear" w:color="auto" w:fill="FFFFFF"/>
            <w:tcMar>
              <w:right w:w="57" w:type="dxa"/>
            </w:tcMar>
            <w:vAlign w:val="center"/>
          </w:tcPr>
          <w:p w:rsidR="00013EC7" w:rsidRDefault="00575CDB">
            <w:pPr>
              <w:spacing w:line="300" w:lineRule="exact"/>
              <w:jc w:val="left"/>
              <w:rPr>
                <w:rFonts w:ascii="仿宋" w:eastAsia="仿宋" w:hAnsi="仿宋" w:cs="仿宋"/>
                <w:kern w:val="1"/>
                <w:sz w:val="24"/>
              </w:rPr>
            </w:pPr>
            <w:r>
              <w:rPr>
                <w:rFonts w:ascii="仿宋" w:eastAsia="仿宋" w:hAnsi="仿宋" w:cs="仿宋" w:hint="eastAsia"/>
                <w:kern w:val="1"/>
                <w:sz w:val="24"/>
              </w:rPr>
              <w:t>（四十）符合第二类条件的，应提供在国家规定的重点集成电路设计领域内销售（营业）情况说明。</w:t>
            </w:r>
          </w:p>
        </w:tc>
        <w:tc>
          <w:tcPr>
            <w:tcW w:w="2368" w:type="dxa"/>
            <w:vMerge/>
            <w:shd w:val="clear" w:color="auto" w:fill="FFFFFF"/>
            <w:tcMar>
              <w:right w:w="57" w:type="dxa"/>
            </w:tcMar>
            <w:vAlign w:val="center"/>
          </w:tcPr>
          <w:p w:rsidR="00013EC7" w:rsidRDefault="00013EC7">
            <w:pPr>
              <w:spacing w:line="300" w:lineRule="exact"/>
              <w:jc w:val="left"/>
              <w:rPr>
                <w:rFonts w:ascii="仿宋" w:eastAsia="仿宋" w:hAnsi="仿宋" w:cs="仿宋"/>
                <w:kern w:val="1"/>
                <w:sz w:val="24"/>
              </w:rPr>
            </w:pPr>
          </w:p>
        </w:tc>
        <w:tc>
          <w:tcPr>
            <w:tcW w:w="2358" w:type="dxa"/>
            <w:shd w:val="clear" w:color="auto" w:fill="FFFFFF"/>
            <w:tcMar>
              <w:right w:w="57" w:type="dxa"/>
            </w:tcMar>
            <w:vAlign w:val="center"/>
          </w:tcPr>
          <w:p w:rsidR="00013EC7" w:rsidRDefault="00575CDB">
            <w:pPr>
              <w:spacing w:line="300" w:lineRule="exact"/>
              <w:jc w:val="left"/>
              <w:rPr>
                <w:rFonts w:ascii="仿宋" w:eastAsia="仿宋" w:hAnsi="仿宋" w:cs="仿宋"/>
                <w:kern w:val="1"/>
                <w:sz w:val="24"/>
              </w:rPr>
            </w:pPr>
            <w:r>
              <w:rPr>
                <w:rFonts w:ascii="仿宋" w:eastAsia="仿宋" w:hAnsi="仿宋" w:cs="仿宋" w:hint="eastAsia"/>
                <w:kern w:val="1"/>
                <w:sz w:val="24"/>
              </w:rPr>
              <w:t>（三十六）符合第二类条件的，应提供在国家规定的重点集成电路设计领域内销售（营业）情况说明。</w:t>
            </w:r>
          </w:p>
        </w:tc>
        <w:tc>
          <w:tcPr>
            <w:tcW w:w="2550" w:type="dxa"/>
            <w:vMerge/>
            <w:shd w:val="clear" w:color="auto" w:fill="FFFFFF"/>
            <w:tcMar>
              <w:right w:w="57" w:type="dxa"/>
            </w:tcMar>
            <w:vAlign w:val="center"/>
          </w:tcPr>
          <w:p w:rsidR="00013EC7" w:rsidRDefault="00013EC7">
            <w:pPr>
              <w:spacing w:line="300" w:lineRule="exact"/>
              <w:jc w:val="left"/>
              <w:rPr>
                <w:rFonts w:ascii="仿宋_GB2312" w:eastAsia="仿宋_GB2312" w:hAnsi="仿宋" w:cs="仿宋"/>
                <w:kern w:val="1"/>
                <w:sz w:val="24"/>
              </w:rPr>
            </w:pPr>
          </w:p>
        </w:tc>
        <w:tc>
          <w:tcPr>
            <w:tcW w:w="2132" w:type="dxa"/>
            <w:vMerge/>
            <w:shd w:val="clear" w:color="auto" w:fill="FFFFFF"/>
            <w:tcMar>
              <w:right w:w="57" w:type="dxa"/>
            </w:tcMar>
            <w:vAlign w:val="center"/>
          </w:tcPr>
          <w:p w:rsidR="00013EC7" w:rsidRDefault="00013EC7">
            <w:pPr>
              <w:spacing w:line="300" w:lineRule="exact"/>
              <w:jc w:val="left"/>
              <w:rPr>
                <w:rFonts w:ascii="仿宋_GB2312" w:eastAsia="仿宋_GB2312" w:hAnsi="仿宋" w:cs="仿宋"/>
                <w:kern w:val="1"/>
                <w:sz w:val="24"/>
              </w:rPr>
            </w:pPr>
          </w:p>
        </w:tc>
        <w:tc>
          <w:tcPr>
            <w:tcW w:w="700" w:type="dxa"/>
            <w:vMerge/>
            <w:shd w:val="clear" w:color="auto" w:fill="auto"/>
            <w:tcMar>
              <w:right w:w="57" w:type="dxa"/>
            </w:tcMar>
            <w:vAlign w:val="center"/>
          </w:tcPr>
          <w:p w:rsidR="00013EC7" w:rsidRDefault="00013EC7">
            <w:pPr>
              <w:spacing w:line="300" w:lineRule="exact"/>
              <w:jc w:val="left"/>
              <w:rPr>
                <w:rFonts w:ascii="仿宋_GB2312" w:eastAsia="仿宋_GB2312" w:hAnsi="仿宋" w:cs="仿宋"/>
                <w:kern w:val="1"/>
                <w:sz w:val="24"/>
              </w:rPr>
            </w:pPr>
          </w:p>
        </w:tc>
        <w:tc>
          <w:tcPr>
            <w:tcW w:w="675" w:type="dxa"/>
            <w:vMerge/>
            <w:shd w:val="clear" w:color="auto" w:fill="auto"/>
            <w:tcMar>
              <w:right w:w="57" w:type="dxa"/>
            </w:tcMar>
            <w:vAlign w:val="center"/>
          </w:tcPr>
          <w:p w:rsidR="00013EC7" w:rsidRDefault="00013EC7">
            <w:pPr>
              <w:spacing w:line="300" w:lineRule="exact"/>
              <w:jc w:val="left"/>
              <w:rPr>
                <w:rFonts w:ascii="仿宋_GB2312" w:eastAsia="仿宋_GB2312" w:hAnsi="仿宋" w:cs="仿宋"/>
                <w:kern w:val="1"/>
                <w:sz w:val="24"/>
              </w:rPr>
            </w:pPr>
          </w:p>
        </w:tc>
        <w:tc>
          <w:tcPr>
            <w:tcW w:w="700" w:type="dxa"/>
            <w:vMerge/>
            <w:shd w:val="clear" w:color="auto" w:fill="FFFFFF"/>
            <w:tcMar>
              <w:right w:w="57" w:type="dxa"/>
            </w:tcMar>
            <w:vAlign w:val="center"/>
          </w:tcPr>
          <w:p w:rsidR="00013EC7" w:rsidRDefault="00013EC7">
            <w:pPr>
              <w:spacing w:line="300" w:lineRule="exact"/>
              <w:jc w:val="left"/>
              <w:rPr>
                <w:rFonts w:ascii="仿宋_GB2312" w:eastAsia="仿宋_GB2312" w:hAnsi="仿宋" w:cs="仿宋"/>
                <w:kern w:val="1"/>
                <w:sz w:val="24"/>
              </w:rPr>
            </w:pPr>
          </w:p>
        </w:tc>
        <w:tc>
          <w:tcPr>
            <w:tcW w:w="775" w:type="dxa"/>
            <w:vMerge/>
            <w:tcMar>
              <w:right w:w="57" w:type="dxa"/>
            </w:tcMar>
            <w:vAlign w:val="center"/>
          </w:tcPr>
          <w:p w:rsidR="00013EC7" w:rsidRDefault="00013EC7">
            <w:pPr>
              <w:spacing w:line="300" w:lineRule="exact"/>
              <w:jc w:val="left"/>
              <w:rPr>
                <w:rFonts w:ascii="仿宋_GB2312" w:eastAsia="仿宋_GB2312" w:hAnsi="仿宋" w:cs="仿宋"/>
                <w:kern w:val="1"/>
                <w:sz w:val="24"/>
              </w:rPr>
            </w:pPr>
          </w:p>
        </w:tc>
        <w:tc>
          <w:tcPr>
            <w:tcW w:w="1157" w:type="dxa"/>
            <w:vMerge/>
            <w:tcMar>
              <w:right w:w="57" w:type="dxa"/>
            </w:tcMar>
            <w:vAlign w:val="center"/>
          </w:tcPr>
          <w:p w:rsidR="00013EC7" w:rsidRDefault="00013EC7">
            <w:pPr>
              <w:spacing w:line="300" w:lineRule="exact"/>
              <w:jc w:val="left"/>
              <w:rPr>
                <w:rFonts w:ascii="仿宋_GB2312" w:eastAsia="仿宋_GB2312" w:hAnsi="仿宋" w:cs="仿宋"/>
                <w:kern w:val="1"/>
                <w:sz w:val="24"/>
              </w:rPr>
            </w:pPr>
          </w:p>
        </w:tc>
      </w:tr>
    </w:tbl>
    <w:p w:rsidR="00013EC7" w:rsidRDefault="00013EC7"/>
    <w:p w:rsidR="00013EC7" w:rsidRDefault="005262E6">
      <w:r>
        <w:lastRenderedPageBreak/>
        <w:object w:dxaOrig="1440" w:dyaOrig="1440">
          <v:shape id="_x0000_s1407" type="#_x0000_t75" style="position:absolute;left:0;text-align:left;margin-left:-10.3pt;margin-top:85.05pt;width:551pt;height:502.5pt;z-index:251735040;mso-wrap-distance-top:0;mso-wrap-distance-bottom:0;mso-position-vertical-relative:page;mso-width-relative:page;mso-height-relative:page">
            <v:imagedata r:id="rId443" o:title=""/>
            <w10:wrap type="topAndBottom" anchory="page"/>
          </v:shape>
          <o:OLEObject Type="Embed" ProgID="Visio.Drawing.11" ShapeID="_x0000_s1407" DrawAspect="Content" ObjectID="_1577296300" r:id="rId444"/>
        </w:object>
      </w:r>
      <w:r>
        <w:rPr>
          <w:rFonts w:eastAsia="方正书宋简体"/>
        </w:rPr>
        <w:object w:dxaOrig="1440" w:dyaOrig="1440">
          <v:shape id="_x0000_s1408" type="#_x0000_t75" style="position:absolute;left:0;text-align:left;margin-left:583.15pt;margin-top:91.85pt;width:468pt;height:575.4pt;z-index:251736064;mso-wrap-distance-top:0;mso-wrap-distance-bottom:0;mso-position-vertical-relative:page;mso-width-relative:page;mso-height-relative:page">
            <v:imagedata r:id="rId445" o:title=""/>
            <o:lock v:ext="edit" aspectratio="f"/>
            <w10:wrap type="topAndBottom" anchory="page"/>
          </v:shape>
          <o:OLEObject Type="Embed" ProgID="Visio.Drawing.11" ShapeID="_x0000_s1408" DrawAspect="Content" ObjectID="_1577296301" r:id="rId446"/>
        </w:object>
      </w:r>
    </w:p>
    <w:p w:rsidR="00013EC7" w:rsidRDefault="00013EC7"/>
    <w:p w:rsidR="00013EC7" w:rsidRDefault="00013EC7"/>
    <w:p w:rsidR="00013EC7" w:rsidRDefault="00013EC7"/>
    <w:p w:rsidR="00013EC7" w:rsidRDefault="00013EC7"/>
    <w:p w:rsidR="00013EC7" w:rsidRDefault="00575CDB">
      <w:pPr>
        <w:pStyle w:val="1"/>
      </w:pPr>
      <w:bookmarkStart w:id="511" w:name="_Toc11742"/>
      <w:bookmarkStart w:id="512" w:name="_Toc503467471"/>
      <w:bookmarkStart w:id="513" w:name="_Toc18353"/>
      <w:bookmarkStart w:id="514" w:name="_Toc15132"/>
      <w:bookmarkStart w:id="515" w:name="_Toc498705775"/>
      <w:r>
        <w:rPr>
          <w:rFonts w:hint="eastAsia"/>
        </w:rPr>
        <w:t>二十五、完税证明办理</w:t>
      </w:r>
      <w:bookmarkEnd w:id="511"/>
      <w:bookmarkEnd w:id="512"/>
      <w:bookmarkEnd w:id="513"/>
      <w:bookmarkEnd w:id="514"/>
    </w:p>
    <w:p w:rsidR="00013EC7" w:rsidRDefault="00575CDB">
      <w:pPr>
        <w:pStyle w:val="2"/>
      </w:pPr>
      <w:bookmarkStart w:id="516" w:name="_Toc503467472"/>
      <w:bookmarkStart w:id="517" w:name="_Toc3778"/>
      <w:bookmarkStart w:id="518" w:name="_Toc22937"/>
      <w:bookmarkStart w:id="519" w:name="_Toc3772"/>
      <w:r>
        <w:rPr>
          <w:rFonts w:hint="eastAsia"/>
        </w:rPr>
        <w:t>25.1</w:t>
      </w:r>
      <w:r>
        <w:rPr>
          <w:rFonts w:hint="eastAsia"/>
        </w:rPr>
        <w:t>纳税证明开具</w:t>
      </w:r>
      <w:bookmarkEnd w:id="515"/>
      <w:bookmarkEnd w:id="516"/>
      <w:bookmarkEnd w:id="517"/>
      <w:bookmarkEnd w:id="518"/>
      <w:bookmarkEnd w:id="519"/>
    </w:p>
    <w:p w:rsidR="00013EC7" w:rsidRDefault="00575CDB">
      <w:pPr>
        <w:jc w:val="center"/>
        <w:rPr>
          <w:rFonts w:ascii="宋体" w:hAnsi="宋体" w:cs="宋体"/>
          <w:b/>
          <w:bCs/>
          <w:sz w:val="44"/>
          <w:szCs w:val="44"/>
        </w:rPr>
      </w:pPr>
      <w:r>
        <w:rPr>
          <w:rFonts w:ascii="宋体" w:hAnsi="宋体" w:cs="宋体" w:hint="eastAsia"/>
          <w:b/>
          <w:bCs/>
          <w:sz w:val="52"/>
          <w:szCs w:val="52"/>
        </w:rPr>
        <w:t>全省“最多跑一次”事项“八统一”梳理表</w:t>
      </w:r>
    </w:p>
    <w:tbl>
      <w:tblPr>
        <w:tblW w:w="20704"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1250"/>
        <w:gridCol w:w="1316"/>
        <w:gridCol w:w="2114"/>
        <w:gridCol w:w="2785"/>
        <w:gridCol w:w="1118"/>
        <w:gridCol w:w="2403"/>
        <w:gridCol w:w="1196"/>
        <w:gridCol w:w="3318"/>
        <w:gridCol w:w="868"/>
        <w:gridCol w:w="798"/>
        <w:gridCol w:w="958"/>
        <w:gridCol w:w="1104"/>
        <w:gridCol w:w="1476"/>
      </w:tblGrid>
      <w:tr w:rsidR="00013EC7">
        <w:trPr>
          <w:trHeight w:val="340"/>
          <w:tblHeader/>
          <w:jc w:val="center"/>
        </w:trPr>
        <w:tc>
          <w:tcPr>
            <w:tcW w:w="1250"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主项名称</w:t>
            </w:r>
          </w:p>
        </w:tc>
        <w:tc>
          <w:tcPr>
            <w:tcW w:w="1316"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子项名称</w:t>
            </w:r>
          </w:p>
        </w:tc>
        <w:tc>
          <w:tcPr>
            <w:tcW w:w="2114"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经办依据</w:t>
            </w:r>
          </w:p>
        </w:tc>
        <w:tc>
          <w:tcPr>
            <w:tcW w:w="3903"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原经办所需材料</w:t>
            </w:r>
          </w:p>
        </w:tc>
        <w:tc>
          <w:tcPr>
            <w:tcW w:w="6917" w:type="dxa"/>
            <w:gridSpan w:val="3"/>
            <w:vAlign w:val="center"/>
          </w:tcPr>
          <w:p w:rsidR="00013EC7" w:rsidRDefault="00575CDB">
            <w:pPr>
              <w:spacing w:line="280" w:lineRule="exact"/>
              <w:jc w:val="center"/>
              <w:rPr>
                <w:rFonts w:ascii="黑体" w:eastAsia="黑体"/>
                <w:sz w:val="24"/>
              </w:rPr>
            </w:pPr>
            <w:r>
              <w:rPr>
                <w:rFonts w:ascii="黑体" w:eastAsia="黑体" w:hint="eastAsia"/>
                <w:sz w:val="24"/>
              </w:rPr>
              <w:t>梳理后经办所需材料</w:t>
            </w:r>
          </w:p>
        </w:tc>
        <w:tc>
          <w:tcPr>
            <w:tcW w:w="1666"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办理时限</w:t>
            </w:r>
          </w:p>
        </w:tc>
        <w:tc>
          <w:tcPr>
            <w:tcW w:w="958"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是否实现跑零次</w:t>
            </w:r>
          </w:p>
        </w:tc>
        <w:tc>
          <w:tcPr>
            <w:tcW w:w="1104"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省厅对口</w:t>
            </w:r>
          </w:p>
          <w:p w:rsidR="00013EC7" w:rsidRDefault="00575CDB">
            <w:pPr>
              <w:spacing w:line="280" w:lineRule="exact"/>
              <w:jc w:val="center"/>
              <w:rPr>
                <w:rFonts w:ascii="黑体" w:eastAsia="黑体"/>
                <w:sz w:val="24"/>
              </w:rPr>
            </w:pPr>
            <w:r>
              <w:rPr>
                <w:rFonts w:ascii="黑体" w:eastAsia="黑体" w:hint="eastAsia"/>
                <w:sz w:val="24"/>
              </w:rPr>
              <w:t>指导处室</w:t>
            </w:r>
          </w:p>
          <w:p w:rsidR="00013EC7" w:rsidRDefault="00575CDB">
            <w:pPr>
              <w:spacing w:line="280" w:lineRule="exact"/>
              <w:jc w:val="center"/>
              <w:rPr>
                <w:rFonts w:ascii="黑体" w:eastAsia="黑体"/>
                <w:sz w:val="24"/>
              </w:rPr>
            </w:pPr>
            <w:r>
              <w:rPr>
                <w:rFonts w:ascii="黑体" w:eastAsia="黑体" w:hint="eastAsia"/>
                <w:sz w:val="24"/>
              </w:rPr>
              <w:t>（单位）</w:t>
            </w:r>
          </w:p>
        </w:tc>
        <w:tc>
          <w:tcPr>
            <w:tcW w:w="1476"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进一步精简、</w:t>
            </w:r>
          </w:p>
          <w:p w:rsidR="00013EC7" w:rsidRDefault="00575CDB">
            <w:pPr>
              <w:spacing w:line="280" w:lineRule="exact"/>
              <w:jc w:val="center"/>
              <w:rPr>
                <w:rFonts w:ascii="黑体" w:eastAsia="黑体"/>
                <w:sz w:val="24"/>
              </w:rPr>
            </w:pPr>
            <w:r>
              <w:rPr>
                <w:rFonts w:ascii="黑体" w:eastAsia="黑体" w:hint="eastAsia"/>
                <w:sz w:val="24"/>
              </w:rPr>
              <w:t>规范建议</w:t>
            </w:r>
          </w:p>
        </w:tc>
      </w:tr>
      <w:tr w:rsidR="00013EC7">
        <w:trPr>
          <w:trHeight w:val="340"/>
          <w:tblHeader/>
          <w:jc w:val="center"/>
        </w:trPr>
        <w:tc>
          <w:tcPr>
            <w:tcW w:w="1250" w:type="dxa"/>
            <w:vMerge/>
            <w:vAlign w:val="center"/>
          </w:tcPr>
          <w:p w:rsidR="00013EC7" w:rsidRDefault="00013EC7">
            <w:pPr>
              <w:rPr>
                <w:sz w:val="24"/>
              </w:rPr>
            </w:pPr>
          </w:p>
        </w:tc>
        <w:tc>
          <w:tcPr>
            <w:tcW w:w="1316" w:type="dxa"/>
            <w:vMerge/>
          </w:tcPr>
          <w:p w:rsidR="00013EC7" w:rsidRDefault="00013EC7">
            <w:pPr>
              <w:rPr>
                <w:sz w:val="24"/>
              </w:rPr>
            </w:pPr>
          </w:p>
        </w:tc>
        <w:tc>
          <w:tcPr>
            <w:tcW w:w="2114" w:type="dxa"/>
            <w:vMerge/>
          </w:tcPr>
          <w:p w:rsidR="00013EC7" w:rsidRDefault="00013EC7">
            <w:pPr>
              <w:rPr>
                <w:sz w:val="24"/>
              </w:rPr>
            </w:pPr>
          </w:p>
        </w:tc>
        <w:tc>
          <w:tcPr>
            <w:tcW w:w="2785" w:type="dxa"/>
            <w:tcBorders>
              <w:bottom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118"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2403" w:type="dxa"/>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196"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3318" w:type="dxa"/>
            <w:vAlign w:val="center"/>
          </w:tcPr>
          <w:p w:rsidR="00013EC7" w:rsidRDefault="00575CDB">
            <w:pPr>
              <w:spacing w:line="280" w:lineRule="exact"/>
              <w:jc w:val="center"/>
              <w:rPr>
                <w:rFonts w:ascii="黑体" w:eastAsia="黑体"/>
                <w:sz w:val="24"/>
              </w:rPr>
            </w:pPr>
            <w:r>
              <w:rPr>
                <w:rFonts w:ascii="黑体" w:eastAsia="黑体" w:hint="eastAsia"/>
                <w:sz w:val="24"/>
              </w:rPr>
              <w:t>办理方式及材料</w:t>
            </w:r>
          </w:p>
          <w:p w:rsidR="00013EC7" w:rsidRDefault="00575CDB">
            <w:pPr>
              <w:spacing w:line="280" w:lineRule="exact"/>
              <w:jc w:val="center"/>
              <w:rPr>
                <w:rFonts w:ascii="黑体" w:eastAsia="黑体"/>
                <w:sz w:val="24"/>
              </w:rPr>
            </w:pPr>
            <w:r>
              <w:rPr>
                <w:rFonts w:ascii="黑体" w:eastAsia="黑体" w:hint="eastAsia"/>
                <w:sz w:val="24"/>
              </w:rPr>
              <w:t>信息获取方式说明</w:t>
            </w:r>
          </w:p>
        </w:tc>
        <w:tc>
          <w:tcPr>
            <w:tcW w:w="868" w:type="dxa"/>
            <w:vAlign w:val="center"/>
          </w:tcPr>
          <w:p w:rsidR="00013EC7" w:rsidRDefault="00575CDB">
            <w:pPr>
              <w:spacing w:line="280" w:lineRule="exact"/>
              <w:jc w:val="center"/>
              <w:rPr>
                <w:rFonts w:ascii="黑体" w:eastAsia="黑体"/>
                <w:sz w:val="24"/>
              </w:rPr>
            </w:pPr>
            <w:r>
              <w:rPr>
                <w:rFonts w:ascii="黑体" w:eastAsia="黑体" w:hint="eastAsia"/>
                <w:sz w:val="24"/>
              </w:rPr>
              <w:t>优化前</w:t>
            </w:r>
          </w:p>
        </w:tc>
        <w:tc>
          <w:tcPr>
            <w:tcW w:w="798" w:type="dxa"/>
            <w:vAlign w:val="center"/>
          </w:tcPr>
          <w:p w:rsidR="00013EC7" w:rsidRDefault="00575CDB">
            <w:pPr>
              <w:spacing w:line="280" w:lineRule="exact"/>
              <w:jc w:val="center"/>
              <w:rPr>
                <w:rFonts w:ascii="黑体" w:eastAsia="黑体"/>
                <w:sz w:val="24"/>
              </w:rPr>
            </w:pPr>
            <w:r>
              <w:rPr>
                <w:rFonts w:ascii="黑体" w:eastAsia="黑体" w:hint="eastAsia"/>
                <w:sz w:val="24"/>
              </w:rPr>
              <w:t>优化后</w:t>
            </w:r>
          </w:p>
        </w:tc>
        <w:tc>
          <w:tcPr>
            <w:tcW w:w="958" w:type="dxa"/>
            <w:vMerge/>
            <w:vAlign w:val="center"/>
          </w:tcPr>
          <w:p w:rsidR="00013EC7" w:rsidRDefault="00013EC7">
            <w:pPr>
              <w:rPr>
                <w:sz w:val="24"/>
              </w:rPr>
            </w:pPr>
          </w:p>
        </w:tc>
        <w:tc>
          <w:tcPr>
            <w:tcW w:w="1104" w:type="dxa"/>
            <w:vMerge/>
            <w:vAlign w:val="center"/>
          </w:tcPr>
          <w:p w:rsidR="00013EC7" w:rsidRDefault="00013EC7">
            <w:pPr>
              <w:rPr>
                <w:sz w:val="24"/>
              </w:rPr>
            </w:pPr>
          </w:p>
        </w:tc>
        <w:tc>
          <w:tcPr>
            <w:tcW w:w="1476" w:type="dxa"/>
            <w:vMerge/>
            <w:vAlign w:val="center"/>
          </w:tcPr>
          <w:p w:rsidR="00013EC7" w:rsidRDefault="00013EC7">
            <w:pPr>
              <w:rPr>
                <w:sz w:val="24"/>
              </w:rPr>
            </w:pPr>
          </w:p>
        </w:tc>
      </w:tr>
      <w:tr w:rsidR="00013EC7">
        <w:trPr>
          <w:trHeight w:val="1475"/>
          <w:jc w:val="center"/>
        </w:trPr>
        <w:tc>
          <w:tcPr>
            <w:tcW w:w="1250"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25.完税证明办理</w:t>
            </w:r>
          </w:p>
        </w:tc>
        <w:tc>
          <w:tcPr>
            <w:tcW w:w="1316" w:type="dxa"/>
            <w:vAlign w:val="center"/>
          </w:tcPr>
          <w:p w:rsidR="00013EC7" w:rsidRDefault="00575CDB">
            <w:pPr>
              <w:spacing w:line="310" w:lineRule="exact"/>
              <w:jc w:val="left"/>
              <w:rPr>
                <w:rFonts w:ascii="仿宋" w:eastAsia="仿宋" w:hAnsi="仿宋" w:cs="仿宋"/>
                <w:sz w:val="24"/>
              </w:rPr>
            </w:pPr>
            <w:r>
              <w:rPr>
                <w:rFonts w:ascii="仿宋" w:eastAsia="仿宋" w:hAnsi="仿宋" w:cs="仿宋" w:hint="eastAsia"/>
                <w:sz w:val="24"/>
              </w:rPr>
              <w:t>25.1纳税证明开具</w:t>
            </w:r>
          </w:p>
        </w:tc>
        <w:tc>
          <w:tcPr>
            <w:tcW w:w="2114" w:type="dxa"/>
            <w:vAlign w:val="center"/>
          </w:tcPr>
          <w:p w:rsidR="00013EC7" w:rsidRDefault="00575CDB">
            <w:pPr>
              <w:spacing w:line="310" w:lineRule="exact"/>
              <w:jc w:val="left"/>
              <w:rPr>
                <w:rFonts w:ascii="仿宋" w:eastAsia="仿宋" w:hAnsi="仿宋" w:cs="仿宋"/>
                <w:sz w:val="24"/>
              </w:rPr>
            </w:pPr>
            <w:r>
              <w:rPr>
                <w:rFonts w:ascii="仿宋" w:eastAsia="仿宋" w:hAnsi="仿宋" w:cs="仿宋" w:hint="eastAsia"/>
                <w:sz w:val="24"/>
              </w:rPr>
              <w:t>(一)《税收票证管理办法》（2013年国家税务总局令第28号）全文。</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(二)《国家税务总局关于明确〈税收票证管理办法〉若干问题的通知》（税总函〔2013〕339号）附件2。</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(三)《国家税务总局关于实施&lt;税收票证管理办法&gt;若干问题的公告》（国家税务总局公告2013年第34号）第二条第三款。</w:t>
            </w:r>
          </w:p>
          <w:p w:rsidR="00013EC7" w:rsidRDefault="00013EC7">
            <w:pPr>
              <w:spacing w:line="310" w:lineRule="exact"/>
              <w:jc w:val="left"/>
              <w:rPr>
                <w:rFonts w:ascii="仿宋" w:eastAsia="仿宋" w:hAnsi="仿宋" w:cs="仿宋"/>
                <w:sz w:val="24"/>
              </w:rPr>
            </w:pPr>
          </w:p>
        </w:tc>
        <w:tc>
          <w:tcPr>
            <w:tcW w:w="2785" w:type="dxa"/>
            <w:tcBorders>
              <w:top w:val="single" w:sz="4" w:space="0" w:color="auto"/>
              <w:bottom w:val="single" w:sz="4" w:space="0" w:color="auto"/>
            </w:tcBorders>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（一）加载统一信用代码的营业执照或税务登记证副本（自然人提供本人身份证明）原件及复印件（加盖公章）（事后开具提供）。</w:t>
            </w:r>
          </w:p>
        </w:tc>
        <w:tc>
          <w:tcPr>
            <w:tcW w:w="1118"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纳税人提交</w:t>
            </w:r>
          </w:p>
        </w:tc>
        <w:tc>
          <w:tcPr>
            <w:tcW w:w="2403"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(一)经办人身份证明（自然人提供本人身份证明）（经办人为已完成实名采集人员）。</w:t>
            </w:r>
          </w:p>
          <w:p w:rsidR="00013EC7" w:rsidRDefault="00013EC7">
            <w:pPr>
              <w:spacing w:line="300" w:lineRule="exact"/>
              <w:jc w:val="left"/>
              <w:rPr>
                <w:rFonts w:ascii="仿宋" w:eastAsia="仿宋" w:hAnsi="仿宋" w:cs="仿宋"/>
                <w:sz w:val="24"/>
              </w:rPr>
            </w:pPr>
          </w:p>
        </w:tc>
        <w:tc>
          <w:tcPr>
            <w:tcW w:w="1196" w:type="dxa"/>
            <w:vAlign w:val="center"/>
          </w:tcPr>
          <w:p w:rsidR="00013EC7" w:rsidRDefault="00575CDB">
            <w:pPr>
              <w:spacing w:line="300" w:lineRule="exact"/>
              <w:jc w:val="left"/>
              <w:rPr>
                <w:rFonts w:ascii="仿宋" w:eastAsia="仿宋" w:hAnsi="仿宋" w:cs="仿宋"/>
                <w:b/>
                <w:bCs/>
                <w:i/>
                <w:iCs/>
                <w:sz w:val="24"/>
              </w:rPr>
            </w:pPr>
            <w:r>
              <w:rPr>
                <w:rFonts w:ascii="仿宋" w:eastAsia="仿宋" w:hAnsi="仿宋" w:cs="仿宋" w:hint="eastAsia"/>
                <w:sz w:val="24"/>
              </w:rPr>
              <w:t>纳税人提交</w:t>
            </w:r>
          </w:p>
        </w:tc>
        <w:tc>
          <w:tcPr>
            <w:tcW w:w="3318"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纳税人提交书面材料。</w:t>
            </w:r>
          </w:p>
          <w:p w:rsidR="00013EC7" w:rsidRDefault="00575CDB">
            <w:pPr>
              <w:spacing w:line="300" w:lineRule="exact"/>
              <w:jc w:val="left"/>
              <w:rPr>
                <w:rFonts w:ascii="仿宋" w:eastAsia="仿宋" w:hAnsi="仿宋" w:cs="仿宋"/>
                <w:sz w:val="24"/>
              </w:rPr>
            </w:pPr>
            <w:r>
              <w:rPr>
                <w:rFonts w:ascii="仿宋" w:eastAsia="仿宋" w:hAnsi="仿宋" w:cs="仿宋" w:hint="eastAsia"/>
                <w:b/>
                <w:sz w:val="24"/>
              </w:rPr>
              <w:t>网上办理：</w:t>
            </w:r>
            <w:r>
              <w:rPr>
                <w:rFonts w:ascii="仿宋" w:eastAsia="仿宋" w:hAnsi="仿宋" w:cs="仿宋" w:hint="eastAsia"/>
                <w:sz w:val="24"/>
              </w:rPr>
              <w:t>登录浙江国税电子税务局（网址：</w:t>
            </w:r>
            <w:hyperlink r:id="rId447" w:tgtFrame="https://wx.qq.com/_blank" w:history="1">
              <w:r>
                <w:rPr>
                  <w:rFonts w:ascii="仿宋" w:eastAsia="仿宋" w:hAnsi="仿宋" w:cs="仿宋" w:hint="eastAsia"/>
                  <w:sz w:val="24"/>
                </w:rPr>
                <w:t>http://etax.zjtax.gov.cn/</w:t>
              </w:r>
            </w:hyperlink>
          </w:p>
          <w:p w:rsidR="00013EC7" w:rsidRDefault="00575CDB">
            <w:pPr>
              <w:spacing w:line="300" w:lineRule="exact"/>
              <w:jc w:val="left"/>
              <w:rPr>
                <w:rFonts w:ascii="仿宋" w:eastAsia="仿宋" w:hAnsi="仿宋" w:cs="仿宋"/>
                <w:b/>
                <w:sz w:val="24"/>
              </w:rPr>
            </w:pPr>
            <w:r>
              <w:rPr>
                <w:rFonts w:ascii="仿宋" w:eastAsia="仿宋" w:hAnsi="仿宋" w:cs="仿宋" w:hint="eastAsia"/>
                <w:sz w:val="24"/>
              </w:rPr>
              <w:t>）提交申请。</w:t>
            </w:r>
          </w:p>
          <w:p w:rsidR="00013EC7" w:rsidRDefault="00575CDB">
            <w:pPr>
              <w:spacing w:line="300" w:lineRule="exact"/>
              <w:jc w:val="left"/>
              <w:rPr>
                <w:rFonts w:ascii="仿宋" w:eastAsia="仿宋" w:hAnsi="仿宋" w:cs="仿宋"/>
                <w:sz w:val="24"/>
              </w:rPr>
            </w:pPr>
            <w:r>
              <w:rPr>
                <w:rFonts w:ascii="仿宋" w:eastAsia="仿宋" w:hAnsi="仿宋" w:cs="仿宋" w:hint="eastAsia"/>
                <w:b/>
                <w:bCs/>
                <w:sz w:val="24"/>
              </w:rPr>
              <w:t>APP办理：</w:t>
            </w:r>
            <w:r w:rsidR="006776D1">
              <w:rPr>
                <w:rFonts w:ascii="仿宋" w:eastAsia="仿宋" w:hAnsi="仿宋" w:cs="仿宋" w:hint="eastAsia"/>
                <w:sz w:val="24"/>
              </w:rPr>
              <w:t>登录浙江国税APP提交申请。</w:t>
            </w:r>
          </w:p>
        </w:tc>
        <w:tc>
          <w:tcPr>
            <w:tcW w:w="868"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即时办结</w:t>
            </w:r>
          </w:p>
        </w:tc>
        <w:tc>
          <w:tcPr>
            <w:tcW w:w="798"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即时办结</w:t>
            </w:r>
          </w:p>
        </w:tc>
        <w:tc>
          <w:tcPr>
            <w:tcW w:w="958"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是</w:t>
            </w:r>
          </w:p>
        </w:tc>
        <w:tc>
          <w:tcPr>
            <w:tcW w:w="1104"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纳税服务处和征管科技处</w:t>
            </w:r>
          </w:p>
        </w:tc>
        <w:tc>
          <w:tcPr>
            <w:tcW w:w="1476"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建议删除该事项，与25.2 完税证明开具合并。</w:t>
            </w:r>
          </w:p>
          <w:p w:rsidR="00013EC7" w:rsidRDefault="00575CDB">
            <w:pPr>
              <w:spacing w:line="300" w:lineRule="exact"/>
              <w:jc w:val="left"/>
              <w:rPr>
                <w:rFonts w:ascii="仿宋" w:eastAsia="仿宋" w:hAnsi="仿宋" w:cs="仿宋"/>
                <w:sz w:val="24"/>
              </w:rPr>
            </w:pPr>
            <w:r>
              <w:rPr>
                <w:rFonts w:ascii="仿宋" w:eastAsia="仿宋" w:hAnsi="仿宋" w:cs="仿宋" w:hint="eastAsia"/>
                <w:sz w:val="24"/>
              </w:rPr>
              <w:t>建议app取消现场领取和现场领取功能。</w:t>
            </w:r>
          </w:p>
        </w:tc>
      </w:tr>
    </w:tbl>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5262E6">
      <w:r>
        <w:object w:dxaOrig="1440" w:dyaOrig="1440">
          <v:shape id="_x0000_s1200" type="#_x0000_t75" style="position:absolute;left:0;text-align:left;margin-left:0;margin-top:135.5pt;width:420pt;height:620.95pt;z-index:251581440;mso-wrap-distance-top:0;mso-wrap-distance-bottom:0;mso-position-vertical-relative:page;mso-width-relative:page;mso-height-relative:page">
            <v:imagedata r:id="rId448" o:title=""/>
            <o:lock v:ext="edit" aspectratio="f"/>
            <w10:wrap type="topAndBottom" anchory="page"/>
          </v:shape>
          <o:OLEObject Type="Embed" ProgID="Visio.Drawing.11" ShapeID="_x0000_s1200" DrawAspect="Content" ObjectID="_1577296302" r:id="rId449"/>
        </w:object>
      </w:r>
    </w:p>
    <w:p w:rsidR="00013EC7" w:rsidRDefault="005262E6">
      <w:pPr>
        <w:rPr>
          <w:rFonts w:eastAsia="方正书宋简体"/>
          <w:szCs w:val="21"/>
        </w:rPr>
      </w:pPr>
      <w:r>
        <w:lastRenderedPageBreak/>
        <w:object w:dxaOrig="1440" w:dyaOrig="1440">
          <v:shape id="_x0000_s1409" type="#_x0000_t75" style="position:absolute;left:0;text-align:left;margin-left:536.25pt;margin-top:151.7pt;width:477pt;height:642.45pt;z-index:251737088;mso-wrap-distance-top:0;mso-wrap-distance-bottom:0;mso-position-vertical-relative:page;mso-width-relative:page;mso-height-relative:page">
            <v:imagedata r:id="rId450" o:title=""/>
            <o:lock v:ext="edit" aspectratio="f"/>
            <w10:wrap type="topAndBottom" anchory="page"/>
          </v:shape>
          <o:OLEObject Type="Embed" ProgID="Visio.Drawing.11" ShapeID="_x0000_s1409" DrawAspect="Content" ObjectID="_1577296303" r:id="rId451"/>
        </w:object>
      </w:r>
    </w:p>
    <w:p w:rsidR="00013EC7" w:rsidRDefault="00575CDB">
      <w:pPr>
        <w:pStyle w:val="2"/>
      </w:pPr>
      <w:bookmarkStart w:id="520" w:name="_Toc2435"/>
      <w:bookmarkStart w:id="521" w:name="_Toc27233"/>
      <w:bookmarkStart w:id="522" w:name="_Toc498705776"/>
      <w:bookmarkStart w:id="523" w:name="_Toc503467473"/>
      <w:bookmarkStart w:id="524" w:name="_Toc12263"/>
      <w:r>
        <w:rPr>
          <w:rFonts w:hint="eastAsia"/>
        </w:rPr>
        <w:lastRenderedPageBreak/>
        <w:t>25.2</w:t>
      </w:r>
      <w:r>
        <w:rPr>
          <w:rFonts w:hint="eastAsia"/>
        </w:rPr>
        <w:t>完税证明开具</w:t>
      </w:r>
      <w:bookmarkEnd w:id="520"/>
      <w:bookmarkEnd w:id="521"/>
      <w:bookmarkEnd w:id="522"/>
      <w:bookmarkEnd w:id="523"/>
      <w:bookmarkEnd w:id="524"/>
    </w:p>
    <w:p w:rsidR="00013EC7" w:rsidRDefault="00575CDB">
      <w:pPr>
        <w:jc w:val="center"/>
        <w:rPr>
          <w:rFonts w:ascii="宋体" w:hAnsi="宋体" w:cs="宋体"/>
          <w:b/>
          <w:bCs/>
          <w:sz w:val="44"/>
          <w:szCs w:val="44"/>
        </w:rPr>
      </w:pPr>
      <w:r>
        <w:rPr>
          <w:rFonts w:ascii="宋体" w:hAnsi="宋体" w:cs="宋体" w:hint="eastAsia"/>
          <w:b/>
          <w:bCs/>
          <w:sz w:val="52"/>
          <w:szCs w:val="52"/>
        </w:rPr>
        <w:t>全省“最多跑一次”事项“八统一”梳理表</w:t>
      </w:r>
    </w:p>
    <w:tbl>
      <w:tblPr>
        <w:tblW w:w="20704"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1250"/>
        <w:gridCol w:w="1316"/>
        <w:gridCol w:w="2114"/>
        <w:gridCol w:w="2785"/>
        <w:gridCol w:w="1118"/>
        <w:gridCol w:w="2403"/>
        <w:gridCol w:w="1196"/>
        <w:gridCol w:w="3318"/>
        <w:gridCol w:w="868"/>
        <w:gridCol w:w="798"/>
        <w:gridCol w:w="958"/>
        <w:gridCol w:w="1104"/>
        <w:gridCol w:w="1476"/>
      </w:tblGrid>
      <w:tr w:rsidR="00013EC7">
        <w:trPr>
          <w:trHeight w:val="340"/>
          <w:tblHeader/>
          <w:jc w:val="center"/>
        </w:trPr>
        <w:tc>
          <w:tcPr>
            <w:tcW w:w="1250"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主项名称</w:t>
            </w:r>
          </w:p>
        </w:tc>
        <w:tc>
          <w:tcPr>
            <w:tcW w:w="1316"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子项名称</w:t>
            </w:r>
          </w:p>
        </w:tc>
        <w:tc>
          <w:tcPr>
            <w:tcW w:w="2114"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经办依据</w:t>
            </w:r>
          </w:p>
        </w:tc>
        <w:tc>
          <w:tcPr>
            <w:tcW w:w="3903"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原经办所需材料</w:t>
            </w:r>
          </w:p>
        </w:tc>
        <w:tc>
          <w:tcPr>
            <w:tcW w:w="6917" w:type="dxa"/>
            <w:gridSpan w:val="3"/>
            <w:vAlign w:val="center"/>
          </w:tcPr>
          <w:p w:rsidR="00013EC7" w:rsidRDefault="00575CDB">
            <w:pPr>
              <w:spacing w:line="280" w:lineRule="exact"/>
              <w:jc w:val="center"/>
              <w:rPr>
                <w:rFonts w:ascii="黑体" w:eastAsia="黑体"/>
                <w:sz w:val="24"/>
              </w:rPr>
            </w:pPr>
            <w:r>
              <w:rPr>
                <w:rFonts w:ascii="黑体" w:eastAsia="黑体" w:hint="eastAsia"/>
                <w:sz w:val="24"/>
              </w:rPr>
              <w:t>梳理后经办所需材料</w:t>
            </w:r>
          </w:p>
        </w:tc>
        <w:tc>
          <w:tcPr>
            <w:tcW w:w="1666"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办理时限</w:t>
            </w:r>
          </w:p>
        </w:tc>
        <w:tc>
          <w:tcPr>
            <w:tcW w:w="958"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是否实现跑零次</w:t>
            </w:r>
          </w:p>
        </w:tc>
        <w:tc>
          <w:tcPr>
            <w:tcW w:w="1104"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省厅对口</w:t>
            </w:r>
          </w:p>
          <w:p w:rsidR="00013EC7" w:rsidRDefault="00575CDB">
            <w:pPr>
              <w:spacing w:line="280" w:lineRule="exact"/>
              <w:jc w:val="center"/>
              <w:rPr>
                <w:rFonts w:ascii="黑体" w:eastAsia="黑体"/>
                <w:sz w:val="24"/>
              </w:rPr>
            </w:pPr>
            <w:r>
              <w:rPr>
                <w:rFonts w:ascii="黑体" w:eastAsia="黑体" w:hint="eastAsia"/>
                <w:sz w:val="24"/>
              </w:rPr>
              <w:t>指导处室</w:t>
            </w:r>
          </w:p>
          <w:p w:rsidR="00013EC7" w:rsidRDefault="00575CDB">
            <w:pPr>
              <w:spacing w:line="280" w:lineRule="exact"/>
              <w:jc w:val="center"/>
              <w:rPr>
                <w:rFonts w:ascii="黑体" w:eastAsia="黑体"/>
                <w:sz w:val="24"/>
              </w:rPr>
            </w:pPr>
            <w:r>
              <w:rPr>
                <w:rFonts w:ascii="黑体" w:eastAsia="黑体" w:hint="eastAsia"/>
                <w:sz w:val="24"/>
              </w:rPr>
              <w:t>（单位）</w:t>
            </w:r>
          </w:p>
        </w:tc>
        <w:tc>
          <w:tcPr>
            <w:tcW w:w="1476"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进一步精简、</w:t>
            </w:r>
          </w:p>
          <w:p w:rsidR="00013EC7" w:rsidRDefault="00575CDB">
            <w:pPr>
              <w:spacing w:line="280" w:lineRule="exact"/>
              <w:jc w:val="center"/>
              <w:rPr>
                <w:rFonts w:ascii="黑体" w:eastAsia="黑体"/>
                <w:sz w:val="24"/>
              </w:rPr>
            </w:pPr>
            <w:r>
              <w:rPr>
                <w:rFonts w:ascii="黑体" w:eastAsia="黑体" w:hint="eastAsia"/>
                <w:sz w:val="24"/>
              </w:rPr>
              <w:t>规范建议</w:t>
            </w:r>
          </w:p>
        </w:tc>
      </w:tr>
      <w:tr w:rsidR="00013EC7">
        <w:trPr>
          <w:trHeight w:val="340"/>
          <w:tblHeader/>
          <w:jc w:val="center"/>
        </w:trPr>
        <w:tc>
          <w:tcPr>
            <w:tcW w:w="1250" w:type="dxa"/>
            <w:vMerge/>
            <w:vAlign w:val="center"/>
          </w:tcPr>
          <w:p w:rsidR="00013EC7" w:rsidRDefault="00013EC7">
            <w:pPr>
              <w:rPr>
                <w:sz w:val="24"/>
              </w:rPr>
            </w:pPr>
          </w:p>
        </w:tc>
        <w:tc>
          <w:tcPr>
            <w:tcW w:w="1316" w:type="dxa"/>
            <w:vMerge/>
          </w:tcPr>
          <w:p w:rsidR="00013EC7" w:rsidRDefault="00013EC7">
            <w:pPr>
              <w:rPr>
                <w:sz w:val="24"/>
              </w:rPr>
            </w:pPr>
          </w:p>
        </w:tc>
        <w:tc>
          <w:tcPr>
            <w:tcW w:w="2114" w:type="dxa"/>
            <w:vMerge/>
          </w:tcPr>
          <w:p w:rsidR="00013EC7" w:rsidRDefault="00013EC7">
            <w:pPr>
              <w:rPr>
                <w:sz w:val="24"/>
              </w:rPr>
            </w:pPr>
          </w:p>
        </w:tc>
        <w:tc>
          <w:tcPr>
            <w:tcW w:w="2785" w:type="dxa"/>
            <w:tcBorders>
              <w:bottom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118"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2403" w:type="dxa"/>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196"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3318" w:type="dxa"/>
            <w:vAlign w:val="center"/>
          </w:tcPr>
          <w:p w:rsidR="00013EC7" w:rsidRDefault="00575CDB">
            <w:pPr>
              <w:spacing w:line="280" w:lineRule="exact"/>
              <w:jc w:val="center"/>
              <w:rPr>
                <w:rFonts w:ascii="黑体" w:eastAsia="黑体"/>
                <w:sz w:val="24"/>
              </w:rPr>
            </w:pPr>
            <w:r>
              <w:rPr>
                <w:rFonts w:ascii="黑体" w:eastAsia="黑体" w:hint="eastAsia"/>
                <w:sz w:val="24"/>
              </w:rPr>
              <w:t>办理方式及材料</w:t>
            </w:r>
          </w:p>
          <w:p w:rsidR="00013EC7" w:rsidRDefault="00575CDB">
            <w:pPr>
              <w:spacing w:line="280" w:lineRule="exact"/>
              <w:jc w:val="center"/>
              <w:rPr>
                <w:rFonts w:ascii="黑体" w:eastAsia="黑体"/>
                <w:sz w:val="24"/>
              </w:rPr>
            </w:pPr>
            <w:r>
              <w:rPr>
                <w:rFonts w:ascii="黑体" w:eastAsia="黑体" w:hint="eastAsia"/>
                <w:sz w:val="24"/>
              </w:rPr>
              <w:t>信息获取方式说明</w:t>
            </w:r>
          </w:p>
        </w:tc>
        <w:tc>
          <w:tcPr>
            <w:tcW w:w="868" w:type="dxa"/>
            <w:vAlign w:val="center"/>
          </w:tcPr>
          <w:p w:rsidR="00013EC7" w:rsidRDefault="00575CDB">
            <w:pPr>
              <w:spacing w:line="280" w:lineRule="exact"/>
              <w:jc w:val="center"/>
              <w:rPr>
                <w:rFonts w:ascii="黑体" w:eastAsia="黑体"/>
                <w:sz w:val="24"/>
              </w:rPr>
            </w:pPr>
            <w:r>
              <w:rPr>
                <w:rFonts w:ascii="黑体" w:eastAsia="黑体" w:hint="eastAsia"/>
                <w:sz w:val="24"/>
              </w:rPr>
              <w:t>优化前</w:t>
            </w:r>
          </w:p>
        </w:tc>
        <w:tc>
          <w:tcPr>
            <w:tcW w:w="798" w:type="dxa"/>
            <w:vAlign w:val="center"/>
          </w:tcPr>
          <w:p w:rsidR="00013EC7" w:rsidRDefault="00575CDB">
            <w:pPr>
              <w:spacing w:line="280" w:lineRule="exact"/>
              <w:jc w:val="center"/>
              <w:rPr>
                <w:rFonts w:ascii="黑体" w:eastAsia="黑体"/>
                <w:sz w:val="24"/>
              </w:rPr>
            </w:pPr>
            <w:r>
              <w:rPr>
                <w:rFonts w:ascii="黑体" w:eastAsia="黑体" w:hint="eastAsia"/>
                <w:sz w:val="24"/>
              </w:rPr>
              <w:t>优化后</w:t>
            </w:r>
          </w:p>
        </w:tc>
        <w:tc>
          <w:tcPr>
            <w:tcW w:w="958" w:type="dxa"/>
            <w:vMerge/>
            <w:vAlign w:val="center"/>
          </w:tcPr>
          <w:p w:rsidR="00013EC7" w:rsidRDefault="00013EC7">
            <w:pPr>
              <w:rPr>
                <w:sz w:val="24"/>
              </w:rPr>
            </w:pPr>
          </w:p>
        </w:tc>
        <w:tc>
          <w:tcPr>
            <w:tcW w:w="1104" w:type="dxa"/>
            <w:vMerge/>
            <w:vAlign w:val="center"/>
          </w:tcPr>
          <w:p w:rsidR="00013EC7" w:rsidRDefault="00013EC7">
            <w:pPr>
              <w:rPr>
                <w:sz w:val="24"/>
              </w:rPr>
            </w:pPr>
          </w:p>
        </w:tc>
        <w:tc>
          <w:tcPr>
            <w:tcW w:w="1476" w:type="dxa"/>
            <w:vMerge/>
            <w:vAlign w:val="center"/>
          </w:tcPr>
          <w:p w:rsidR="00013EC7" w:rsidRDefault="00013EC7">
            <w:pPr>
              <w:rPr>
                <w:sz w:val="24"/>
              </w:rPr>
            </w:pPr>
          </w:p>
        </w:tc>
      </w:tr>
      <w:tr w:rsidR="00013EC7">
        <w:trPr>
          <w:trHeight w:val="1475"/>
          <w:jc w:val="center"/>
        </w:trPr>
        <w:tc>
          <w:tcPr>
            <w:tcW w:w="1250"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25.完税证明办理</w:t>
            </w:r>
          </w:p>
        </w:tc>
        <w:tc>
          <w:tcPr>
            <w:tcW w:w="1316" w:type="dxa"/>
            <w:vAlign w:val="center"/>
          </w:tcPr>
          <w:p w:rsidR="00013EC7" w:rsidRDefault="00575CDB">
            <w:pPr>
              <w:spacing w:line="310" w:lineRule="exact"/>
              <w:jc w:val="left"/>
              <w:rPr>
                <w:rFonts w:ascii="仿宋" w:eastAsia="仿宋" w:hAnsi="仿宋" w:cs="仿宋"/>
                <w:sz w:val="24"/>
              </w:rPr>
            </w:pPr>
            <w:r>
              <w:rPr>
                <w:rFonts w:ascii="仿宋" w:eastAsia="仿宋" w:hAnsi="仿宋" w:cs="仿宋" w:hint="eastAsia"/>
                <w:sz w:val="24"/>
              </w:rPr>
              <w:t>25.2完税证明开具</w:t>
            </w:r>
          </w:p>
        </w:tc>
        <w:tc>
          <w:tcPr>
            <w:tcW w:w="2114" w:type="dxa"/>
            <w:vAlign w:val="center"/>
          </w:tcPr>
          <w:p w:rsidR="00013EC7" w:rsidRDefault="00575CDB">
            <w:pPr>
              <w:spacing w:line="310" w:lineRule="exact"/>
              <w:jc w:val="left"/>
              <w:rPr>
                <w:rFonts w:ascii="仿宋" w:eastAsia="仿宋" w:hAnsi="仿宋" w:cs="仿宋"/>
                <w:sz w:val="24"/>
              </w:rPr>
            </w:pPr>
            <w:r>
              <w:rPr>
                <w:rFonts w:ascii="仿宋" w:eastAsia="仿宋" w:hAnsi="仿宋" w:cs="仿宋" w:hint="eastAsia"/>
                <w:sz w:val="24"/>
              </w:rPr>
              <w:t>(一) 《税收票证管理办法》（2013年国家税务总局令第28号）全文。</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(二)《国家税务总局关于明确〈税收票证管理办法〉若干问题的通知》（税总函〔2013〕339号）附件2。</w:t>
            </w:r>
          </w:p>
          <w:p w:rsidR="00013EC7" w:rsidRDefault="00575CDB">
            <w:pPr>
              <w:spacing w:line="310" w:lineRule="exact"/>
              <w:jc w:val="left"/>
              <w:rPr>
                <w:rFonts w:ascii="仿宋" w:eastAsia="仿宋" w:hAnsi="仿宋" w:cs="仿宋"/>
                <w:sz w:val="24"/>
              </w:rPr>
            </w:pPr>
            <w:r>
              <w:rPr>
                <w:rFonts w:ascii="仿宋" w:eastAsia="仿宋" w:hAnsi="仿宋" w:cs="仿宋" w:hint="eastAsia"/>
                <w:sz w:val="24"/>
              </w:rPr>
              <w:t>(三)《国家税务总局关于实施&lt;税收票证管理办法&gt;若干问题的公告》（国家税务总局公告2013年第34号）第二条第三款。</w:t>
            </w:r>
          </w:p>
          <w:p w:rsidR="00013EC7" w:rsidRDefault="00013EC7">
            <w:pPr>
              <w:spacing w:line="310" w:lineRule="exact"/>
              <w:jc w:val="left"/>
              <w:rPr>
                <w:rFonts w:ascii="仿宋" w:eastAsia="仿宋" w:hAnsi="仿宋" w:cs="仿宋"/>
                <w:sz w:val="24"/>
              </w:rPr>
            </w:pPr>
          </w:p>
        </w:tc>
        <w:tc>
          <w:tcPr>
            <w:tcW w:w="2785" w:type="dxa"/>
            <w:tcBorders>
              <w:top w:val="single" w:sz="4" w:space="0" w:color="auto"/>
              <w:bottom w:val="single" w:sz="4" w:space="0" w:color="auto"/>
            </w:tcBorders>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（一）加载统一信用代码的营业执照或税务登记证副本（自然人提供本人身份证明）原件及复印件（加盖公章）（事后开具提供）。</w:t>
            </w:r>
          </w:p>
        </w:tc>
        <w:tc>
          <w:tcPr>
            <w:tcW w:w="1118"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纳税人提交</w:t>
            </w:r>
          </w:p>
        </w:tc>
        <w:tc>
          <w:tcPr>
            <w:tcW w:w="2403"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（一）经办人身份证明（自然人提供本人身份证明）（经办人为已完成实名采集人员）。</w:t>
            </w:r>
          </w:p>
        </w:tc>
        <w:tc>
          <w:tcPr>
            <w:tcW w:w="1196" w:type="dxa"/>
            <w:vAlign w:val="center"/>
          </w:tcPr>
          <w:p w:rsidR="00013EC7" w:rsidRDefault="00575CDB">
            <w:pPr>
              <w:spacing w:line="300" w:lineRule="exact"/>
              <w:jc w:val="left"/>
              <w:rPr>
                <w:rFonts w:ascii="仿宋" w:eastAsia="仿宋" w:hAnsi="仿宋" w:cs="仿宋"/>
                <w:b/>
                <w:bCs/>
                <w:i/>
                <w:iCs/>
                <w:sz w:val="24"/>
              </w:rPr>
            </w:pPr>
            <w:r>
              <w:rPr>
                <w:rFonts w:ascii="仿宋" w:eastAsia="仿宋" w:hAnsi="仿宋" w:cs="仿宋" w:hint="eastAsia"/>
                <w:sz w:val="24"/>
              </w:rPr>
              <w:t>纳税人提交</w:t>
            </w:r>
          </w:p>
        </w:tc>
        <w:tc>
          <w:tcPr>
            <w:tcW w:w="3318"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纳税人提交书面材料。</w:t>
            </w:r>
          </w:p>
        </w:tc>
        <w:tc>
          <w:tcPr>
            <w:tcW w:w="868"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即时办结</w:t>
            </w:r>
          </w:p>
        </w:tc>
        <w:tc>
          <w:tcPr>
            <w:tcW w:w="798"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即时办结</w:t>
            </w:r>
          </w:p>
        </w:tc>
        <w:tc>
          <w:tcPr>
            <w:tcW w:w="958"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否</w:t>
            </w:r>
          </w:p>
        </w:tc>
        <w:tc>
          <w:tcPr>
            <w:tcW w:w="1104"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收入规划核算处</w:t>
            </w:r>
          </w:p>
        </w:tc>
        <w:tc>
          <w:tcPr>
            <w:tcW w:w="1476"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建议进一步优化流程，实现网上申请，邮寄送达。</w:t>
            </w:r>
          </w:p>
        </w:tc>
      </w:tr>
    </w:tbl>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5262E6">
      <w:pPr>
        <w:jc w:val="center"/>
        <w:rPr>
          <w:rFonts w:eastAsia="方正书宋简体"/>
          <w:szCs w:val="21"/>
        </w:rPr>
      </w:pPr>
      <w:r>
        <w:lastRenderedPageBreak/>
        <w:object w:dxaOrig="1440" w:dyaOrig="1440">
          <v:shape id="_x0000_s1133" type="#_x0000_t75" style="position:absolute;left:0;text-align:left;margin-left:109.7pt;margin-top:96.3pt;width:323.05pt;height:575.9pt;z-index:251569152;mso-wrap-distance-top:0;mso-wrap-distance-bottom:0;mso-position-vertical-relative:page;mso-width-relative:page;mso-height-relative:page">
            <v:imagedata r:id="rId452" o:title=""/>
            <o:lock v:ext="edit" aspectratio="f"/>
            <w10:wrap type="topAndBottom" anchory="page"/>
          </v:shape>
          <o:OLEObject Type="Embed" ProgID="Visio.Drawing.11" ShapeID="_x0000_s1133" DrawAspect="Content" ObjectID="_1577296304" r:id="rId453"/>
        </w:object>
      </w:r>
    </w:p>
    <w:p w:rsidR="00013EC7" w:rsidRDefault="00575CDB">
      <w:pPr>
        <w:pStyle w:val="2"/>
      </w:pPr>
      <w:bookmarkStart w:id="525" w:name="_Toc27621"/>
      <w:bookmarkStart w:id="526" w:name="_Toc498705777"/>
      <w:bookmarkStart w:id="527" w:name="_Toc6572"/>
      <w:bookmarkStart w:id="528" w:name="_Toc14780"/>
      <w:bookmarkStart w:id="529" w:name="_Toc503467474"/>
      <w:r>
        <w:rPr>
          <w:rFonts w:hint="eastAsia"/>
        </w:rPr>
        <w:lastRenderedPageBreak/>
        <w:t>25.3</w:t>
      </w:r>
      <w:r>
        <w:rPr>
          <w:rFonts w:hint="eastAsia"/>
        </w:rPr>
        <w:t>完税凭证换开、重开</w:t>
      </w:r>
      <w:bookmarkEnd w:id="525"/>
      <w:bookmarkEnd w:id="526"/>
      <w:bookmarkEnd w:id="527"/>
      <w:bookmarkEnd w:id="528"/>
      <w:bookmarkEnd w:id="529"/>
    </w:p>
    <w:p w:rsidR="00013EC7" w:rsidRDefault="00575CDB">
      <w:pPr>
        <w:jc w:val="center"/>
        <w:rPr>
          <w:rFonts w:ascii="宋体" w:hAnsi="宋体" w:cs="宋体"/>
          <w:b/>
          <w:bCs/>
          <w:sz w:val="44"/>
          <w:szCs w:val="44"/>
        </w:rPr>
      </w:pPr>
      <w:r>
        <w:rPr>
          <w:rFonts w:ascii="宋体" w:hAnsi="宋体" w:cs="宋体" w:hint="eastAsia"/>
          <w:b/>
          <w:bCs/>
          <w:sz w:val="52"/>
          <w:szCs w:val="52"/>
        </w:rPr>
        <w:t>全省“最多跑一次”事项“八统一”梳理表</w:t>
      </w:r>
    </w:p>
    <w:tbl>
      <w:tblPr>
        <w:tblW w:w="20704"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1250"/>
        <w:gridCol w:w="1316"/>
        <w:gridCol w:w="2114"/>
        <w:gridCol w:w="2785"/>
        <w:gridCol w:w="1118"/>
        <w:gridCol w:w="2403"/>
        <w:gridCol w:w="1196"/>
        <w:gridCol w:w="3318"/>
        <w:gridCol w:w="868"/>
        <w:gridCol w:w="912"/>
        <w:gridCol w:w="844"/>
        <w:gridCol w:w="1104"/>
        <w:gridCol w:w="1476"/>
      </w:tblGrid>
      <w:tr w:rsidR="00013EC7">
        <w:trPr>
          <w:trHeight w:val="340"/>
          <w:tblHeader/>
          <w:jc w:val="center"/>
        </w:trPr>
        <w:tc>
          <w:tcPr>
            <w:tcW w:w="1250"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主项名称</w:t>
            </w:r>
          </w:p>
        </w:tc>
        <w:tc>
          <w:tcPr>
            <w:tcW w:w="1316"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子项名称</w:t>
            </w:r>
          </w:p>
        </w:tc>
        <w:tc>
          <w:tcPr>
            <w:tcW w:w="2114"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经办依据</w:t>
            </w:r>
          </w:p>
        </w:tc>
        <w:tc>
          <w:tcPr>
            <w:tcW w:w="3903"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原经办所需材料</w:t>
            </w:r>
          </w:p>
        </w:tc>
        <w:tc>
          <w:tcPr>
            <w:tcW w:w="6917" w:type="dxa"/>
            <w:gridSpan w:val="3"/>
            <w:vAlign w:val="center"/>
          </w:tcPr>
          <w:p w:rsidR="00013EC7" w:rsidRDefault="00575CDB">
            <w:pPr>
              <w:spacing w:line="280" w:lineRule="exact"/>
              <w:jc w:val="center"/>
              <w:rPr>
                <w:rFonts w:ascii="黑体" w:eastAsia="黑体"/>
                <w:sz w:val="24"/>
              </w:rPr>
            </w:pPr>
            <w:r>
              <w:rPr>
                <w:rFonts w:ascii="黑体" w:eastAsia="黑体" w:hint="eastAsia"/>
                <w:sz w:val="24"/>
              </w:rPr>
              <w:t>梳理后经办所需材料</w:t>
            </w:r>
          </w:p>
        </w:tc>
        <w:tc>
          <w:tcPr>
            <w:tcW w:w="1780"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办理时限</w:t>
            </w:r>
          </w:p>
        </w:tc>
        <w:tc>
          <w:tcPr>
            <w:tcW w:w="844"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是否实现跑零次</w:t>
            </w:r>
          </w:p>
        </w:tc>
        <w:tc>
          <w:tcPr>
            <w:tcW w:w="1104"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省厅对口</w:t>
            </w:r>
          </w:p>
          <w:p w:rsidR="00013EC7" w:rsidRDefault="00575CDB">
            <w:pPr>
              <w:spacing w:line="280" w:lineRule="exact"/>
              <w:jc w:val="center"/>
              <w:rPr>
                <w:rFonts w:ascii="黑体" w:eastAsia="黑体"/>
                <w:sz w:val="24"/>
              </w:rPr>
            </w:pPr>
            <w:r>
              <w:rPr>
                <w:rFonts w:ascii="黑体" w:eastAsia="黑体" w:hint="eastAsia"/>
                <w:sz w:val="24"/>
              </w:rPr>
              <w:t>指导处室</w:t>
            </w:r>
          </w:p>
          <w:p w:rsidR="00013EC7" w:rsidRDefault="00575CDB">
            <w:pPr>
              <w:spacing w:line="280" w:lineRule="exact"/>
              <w:jc w:val="center"/>
              <w:rPr>
                <w:rFonts w:ascii="黑体" w:eastAsia="黑体"/>
                <w:sz w:val="24"/>
              </w:rPr>
            </w:pPr>
            <w:r>
              <w:rPr>
                <w:rFonts w:ascii="黑体" w:eastAsia="黑体" w:hint="eastAsia"/>
                <w:sz w:val="24"/>
              </w:rPr>
              <w:t>（单位）</w:t>
            </w:r>
          </w:p>
        </w:tc>
        <w:tc>
          <w:tcPr>
            <w:tcW w:w="1476"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进一步精简、</w:t>
            </w:r>
          </w:p>
          <w:p w:rsidR="00013EC7" w:rsidRDefault="00575CDB">
            <w:pPr>
              <w:spacing w:line="280" w:lineRule="exact"/>
              <w:jc w:val="center"/>
              <w:rPr>
                <w:rFonts w:ascii="黑体" w:eastAsia="黑体"/>
                <w:sz w:val="24"/>
              </w:rPr>
            </w:pPr>
            <w:r>
              <w:rPr>
                <w:rFonts w:ascii="黑体" w:eastAsia="黑体" w:hint="eastAsia"/>
                <w:sz w:val="24"/>
              </w:rPr>
              <w:t>规范建议</w:t>
            </w:r>
          </w:p>
        </w:tc>
      </w:tr>
      <w:tr w:rsidR="00013EC7">
        <w:trPr>
          <w:trHeight w:val="340"/>
          <w:tblHeader/>
          <w:jc w:val="center"/>
        </w:trPr>
        <w:tc>
          <w:tcPr>
            <w:tcW w:w="1250" w:type="dxa"/>
            <w:vMerge/>
            <w:vAlign w:val="center"/>
          </w:tcPr>
          <w:p w:rsidR="00013EC7" w:rsidRDefault="00013EC7">
            <w:pPr>
              <w:jc w:val="center"/>
              <w:rPr>
                <w:sz w:val="24"/>
              </w:rPr>
            </w:pPr>
          </w:p>
        </w:tc>
        <w:tc>
          <w:tcPr>
            <w:tcW w:w="1316" w:type="dxa"/>
            <w:vMerge/>
            <w:vAlign w:val="center"/>
          </w:tcPr>
          <w:p w:rsidR="00013EC7" w:rsidRDefault="00013EC7">
            <w:pPr>
              <w:jc w:val="center"/>
              <w:rPr>
                <w:sz w:val="24"/>
              </w:rPr>
            </w:pPr>
          </w:p>
        </w:tc>
        <w:tc>
          <w:tcPr>
            <w:tcW w:w="2114" w:type="dxa"/>
            <w:vMerge/>
            <w:vAlign w:val="center"/>
          </w:tcPr>
          <w:p w:rsidR="00013EC7" w:rsidRDefault="00013EC7">
            <w:pPr>
              <w:jc w:val="center"/>
              <w:rPr>
                <w:sz w:val="24"/>
              </w:rPr>
            </w:pPr>
          </w:p>
        </w:tc>
        <w:tc>
          <w:tcPr>
            <w:tcW w:w="2785" w:type="dxa"/>
            <w:tcBorders>
              <w:bottom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118"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2403" w:type="dxa"/>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196"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3318" w:type="dxa"/>
            <w:vAlign w:val="center"/>
          </w:tcPr>
          <w:p w:rsidR="00013EC7" w:rsidRDefault="00575CDB">
            <w:pPr>
              <w:spacing w:line="280" w:lineRule="exact"/>
              <w:jc w:val="center"/>
              <w:rPr>
                <w:rFonts w:ascii="黑体" w:eastAsia="黑体"/>
                <w:sz w:val="24"/>
              </w:rPr>
            </w:pPr>
            <w:r>
              <w:rPr>
                <w:rFonts w:ascii="黑体" w:eastAsia="黑体" w:hint="eastAsia"/>
                <w:sz w:val="24"/>
              </w:rPr>
              <w:t>办理方式及材料</w:t>
            </w:r>
          </w:p>
          <w:p w:rsidR="00013EC7" w:rsidRDefault="00575CDB">
            <w:pPr>
              <w:spacing w:line="280" w:lineRule="exact"/>
              <w:jc w:val="center"/>
              <w:rPr>
                <w:rFonts w:ascii="黑体" w:eastAsia="黑体"/>
                <w:sz w:val="24"/>
              </w:rPr>
            </w:pPr>
            <w:r>
              <w:rPr>
                <w:rFonts w:ascii="黑体" w:eastAsia="黑体" w:hint="eastAsia"/>
                <w:sz w:val="24"/>
              </w:rPr>
              <w:t>信息获取方式说明</w:t>
            </w:r>
          </w:p>
        </w:tc>
        <w:tc>
          <w:tcPr>
            <w:tcW w:w="868" w:type="dxa"/>
            <w:vAlign w:val="center"/>
          </w:tcPr>
          <w:p w:rsidR="00013EC7" w:rsidRDefault="00575CDB">
            <w:pPr>
              <w:spacing w:line="280" w:lineRule="exact"/>
              <w:jc w:val="center"/>
              <w:rPr>
                <w:rFonts w:ascii="黑体" w:eastAsia="黑体"/>
                <w:sz w:val="24"/>
              </w:rPr>
            </w:pPr>
            <w:r>
              <w:rPr>
                <w:rFonts w:ascii="黑体" w:eastAsia="黑体" w:hint="eastAsia"/>
                <w:sz w:val="24"/>
              </w:rPr>
              <w:t>优化前</w:t>
            </w:r>
          </w:p>
        </w:tc>
        <w:tc>
          <w:tcPr>
            <w:tcW w:w="912" w:type="dxa"/>
            <w:vAlign w:val="center"/>
          </w:tcPr>
          <w:p w:rsidR="00013EC7" w:rsidRDefault="00575CDB">
            <w:pPr>
              <w:spacing w:line="280" w:lineRule="exact"/>
              <w:jc w:val="center"/>
              <w:rPr>
                <w:rFonts w:ascii="黑体" w:eastAsia="黑体"/>
                <w:sz w:val="24"/>
              </w:rPr>
            </w:pPr>
            <w:r>
              <w:rPr>
                <w:rFonts w:ascii="黑体" w:eastAsia="黑体" w:hint="eastAsia"/>
                <w:sz w:val="24"/>
              </w:rPr>
              <w:t>优化后</w:t>
            </w:r>
          </w:p>
        </w:tc>
        <w:tc>
          <w:tcPr>
            <w:tcW w:w="844" w:type="dxa"/>
            <w:vMerge/>
            <w:vAlign w:val="center"/>
          </w:tcPr>
          <w:p w:rsidR="00013EC7" w:rsidRDefault="00013EC7">
            <w:pPr>
              <w:jc w:val="center"/>
              <w:rPr>
                <w:sz w:val="24"/>
              </w:rPr>
            </w:pPr>
          </w:p>
        </w:tc>
        <w:tc>
          <w:tcPr>
            <w:tcW w:w="1104" w:type="dxa"/>
            <w:vMerge/>
            <w:vAlign w:val="center"/>
          </w:tcPr>
          <w:p w:rsidR="00013EC7" w:rsidRDefault="00013EC7">
            <w:pPr>
              <w:jc w:val="center"/>
              <w:rPr>
                <w:sz w:val="24"/>
              </w:rPr>
            </w:pPr>
          </w:p>
        </w:tc>
        <w:tc>
          <w:tcPr>
            <w:tcW w:w="1476" w:type="dxa"/>
            <w:vMerge/>
            <w:vAlign w:val="center"/>
          </w:tcPr>
          <w:p w:rsidR="00013EC7" w:rsidRDefault="00013EC7">
            <w:pPr>
              <w:jc w:val="center"/>
              <w:rPr>
                <w:sz w:val="24"/>
              </w:rPr>
            </w:pPr>
          </w:p>
        </w:tc>
      </w:tr>
      <w:tr w:rsidR="00013EC7">
        <w:trPr>
          <w:trHeight w:val="1475"/>
          <w:jc w:val="center"/>
        </w:trPr>
        <w:tc>
          <w:tcPr>
            <w:tcW w:w="1250" w:type="dxa"/>
            <w:vMerge w:val="restart"/>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25.完税证明办理</w:t>
            </w:r>
          </w:p>
        </w:tc>
        <w:tc>
          <w:tcPr>
            <w:tcW w:w="1316" w:type="dxa"/>
            <w:vMerge w:val="restart"/>
            <w:vAlign w:val="center"/>
          </w:tcPr>
          <w:p w:rsidR="00013EC7" w:rsidRDefault="00575CDB">
            <w:pPr>
              <w:spacing w:line="310" w:lineRule="exact"/>
              <w:rPr>
                <w:rFonts w:ascii="仿宋" w:eastAsia="仿宋" w:hAnsi="仿宋" w:cs="仿宋"/>
                <w:sz w:val="24"/>
              </w:rPr>
            </w:pPr>
            <w:r>
              <w:rPr>
                <w:rFonts w:ascii="仿宋" w:eastAsia="仿宋" w:hAnsi="仿宋" w:cs="仿宋" w:hint="eastAsia"/>
                <w:sz w:val="24"/>
              </w:rPr>
              <w:t>25.3完税凭证换开、重开</w:t>
            </w:r>
          </w:p>
        </w:tc>
        <w:tc>
          <w:tcPr>
            <w:tcW w:w="2114" w:type="dxa"/>
            <w:vMerge w:val="restart"/>
            <w:vAlign w:val="center"/>
          </w:tcPr>
          <w:p w:rsidR="00013EC7" w:rsidRDefault="00575CDB">
            <w:pPr>
              <w:spacing w:line="310" w:lineRule="exact"/>
              <w:rPr>
                <w:rFonts w:ascii="仿宋" w:eastAsia="仿宋" w:hAnsi="仿宋" w:cs="仿宋"/>
                <w:sz w:val="24"/>
              </w:rPr>
            </w:pPr>
            <w:r>
              <w:rPr>
                <w:rFonts w:ascii="仿宋" w:eastAsia="仿宋" w:hAnsi="仿宋" w:cs="仿宋" w:hint="eastAsia"/>
                <w:sz w:val="24"/>
              </w:rPr>
              <w:t>(一) 《税收票证管理办法》（2013年国家税务总局令第28号）全文。</w:t>
            </w:r>
          </w:p>
          <w:p w:rsidR="00013EC7" w:rsidRDefault="00013EC7">
            <w:pPr>
              <w:spacing w:line="310" w:lineRule="exact"/>
              <w:rPr>
                <w:rFonts w:ascii="仿宋" w:eastAsia="仿宋" w:hAnsi="仿宋" w:cs="仿宋"/>
                <w:sz w:val="24"/>
              </w:rPr>
            </w:pPr>
          </w:p>
        </w:tc>
        <w:tc>
          <w:tcPr>
            <w:tcW w:w="2785" w:type="dxa"/>
            <w:tcBorders>
              <w:top w:val="single" w:sz="4" w:space="0" w:color="auto"/>
              <w:bottom w:val="single" w:sz="4" w:space="0" w:color="auto"/>
            </w:tcBorders>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（一）换开完税凭证的资料：税法规定或国家税务总局认可的记载完税情况的其他凭证。</w:t>
            </w:r>
          </w:p>
        </w:tc>
        <w:tc>
          <w:tcPr>
            <w:tcW w:w="1118" w:type="dxa"/>
            <w:vMerge w:val="restart"/>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纳税人提交</w:t>
            </w:r>
          </w:p>
        </w:tc>
        <w:tc>
          <w:tcPr>
            <w:tcW w:w="2403" w:type="dxa"/>
            <w:vAlign w:val="center"/>
          </w:tcPr>
          <w:p w:rsidR="00013EC7" w:rsidRDefault="00013EC7">
            <w:pPr>
              <w:spacing w:line="300" w:lineRule="exact"/>
              <w:rPr>
                <w:rFonts w:ascii="仿宋" w:eastAsia="仿宋" w:hAnsi="仿宋" w:cs="仿宋"/>
                <w:sz w:val="24"/>
              </w:rPr>
            </w:pPr>
          </w:p>
          <w:p w:rsidR="00013EC7" w:rsidRDefault="00575CDB">
            <w:pPr>
              <w:numPr>
                <w:ilvl w:val="0"/>
                <w:numId w:val="6"/>
              </w:numPr>
              <w:spacing w:line="300" w:lineRule="exact"/>
              <w:rPr>
                <w:rFonts w:ascii="仿宋" w:eastAsia="仿宋" w:hAnsi="仿宋" w:cs="仿宋"/>
                <w:sz w:val="24"/>
              </w:rPr>
            </w:pPr>
            <w:r>
              <w:rPr>
                <w:rFonts w:ascii="仿宋" w:eastAsia="仿宋" w:hAnsi="仿宋" w:cs="仿宋" w:hint="eastAsia"/>
                <w:sz w:val="24"/>
              </w:rPr>
              <w:t>换开完税凭证的资料：税法规定或国家税务总局认可的记载完税情况的凭证材料。</w:t>
            </w:r>
          </w:p>
          <w:p w:rsidR="00013EC7" w:rsidRDefault="00013EC7">
            <w:pPr>
              <w:spacing w:line="300" w:lineRule="exact"/>
              <w:rPr>
                <w:rFonts w:ascii="仿宋" w:eastAsia="仿宋" w:hAnsi="仿宋" w:cs="仿宋"/>
                <w:sz w:val="24"/>
              </w:rPr>
            </w:pPr>
          </w:p>
        </w:tc>
        <w:tc>
          <w:tcPr>
            <w:tcW w:w="1196" w:type="dxa"/>
            <w:vMerge w:val="restart"/>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纳税人提交</w:t>
            </w:r>
          </w:p>
        </w:tc>
        <w:tc>
          <w:tcPr>
            <w:tcW w:w="3318" w:type="dxa"/>
            <w:vMerge w:val="restart"/>
            <w:vAlign w:val="center"/>
          </w:tcPr>
          <w:p w:rsidR="00013EC7" w:rsidRDefault="00575CDB">
            <w:pPr>
              <w:spacing w:line="300" w:lineRule="exac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 xml:space="preserve">纳税人提交书面材料。  </w:t>
            </w:r>
          </w:p>
          <w:p w:rsidR="00013EC7" w:rsidRDefault="00013EC7">
            <w:pPr>
              <w:spacing w:line="300" w:lineRule="exact"/>
              <w:rPr>
                <w:rFonts w:ascii="仿宋" w:eastAsia="仿宋" w:hAnsi="仿宋" w:cs="仿宋"/>
                <w:sz w:val="24"/>
              </w:rPr>
            </w:pPr>
          </w:p>
        </w:tc>
        <w:tc>
          <w:tcPr>
            <w:tcW w:w="868" w:type="dxa"/>
            <w:vMerge w:val="restart"/>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即时办结</w:t>
            </w:r>
          </w:p>
        </w:tc>
        <w:tc>
          <w:tcPr>
            <w:tcW w:w="912"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即时办结</w:t>
            </w:r>
          </w:p>
        </w:tc>
        <w:tc>
          <w:tcPr>
            <w:tcW w:w="844" w:type="dxa"/>
            <w:vMerge w:val="restart"/>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否</w:t>
            </w:r>
          </w:p>
        </w:tc>
        <w:tc>
          <w:tcPr>
            <w:tcW w:w="1104" w:type="dxa"/>
            <w:vMerge w:val="restart"/>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收入规划核算处</w:t>
            </w:r>
          </w:p>
        </w:tc>
        <w:tc>
          <w:tcPr>
            <w:tcW w:w="1476" w:type="dxa"/>
            <w:vMerge w:val="restart"/>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建议取消该事项、与25.2完税证明开具合并。</w:t>
            </w:r>
          </w:p>
          <w:p w:rsidR="00013EC7" w:rsidRDefault="00013EC7">
            <w:pPr>
              <w:spacing w:line="300" w:lineRule="exact"/>
              <w:rPr>
                <w:rFonts w:ascii="仿宋" w:eastAsia="仿宋" w:hAnsi="仿宋" w:cs="仿宋"/>
                <w:sz w:val="24"/>
              </w:rPr>
            </w:pPr>
          </w:p>
        </w:tc>
      </w:tr>
      <w:tr w:rsidR="00013EC7">
        <w:trPr>
          <w:trHeight w:val="1475"/>
          <w:jc w:val="center"/>
        </w:trPr>
        <w:tc>
          <w:tcPr>
            <w:tcW w:w="1250" w:type="dxa"/>
            <w:vMerge/>
            <w:vAlign w:val="center"/>
          </w:tcPr>
          <w:p w:rsidR="00013EC7" w:rsidRDefault="00013EC7">
            <w:pPr>
              <w:spacing w:line="300" w:lineRule="exact"/>
              <w:rPr>
                <w:rFonts w:ascii="仿宋" w:eastAsia="仿宋" w:hAnsi="仿宋" w:cs="仿宋"/>
                <w:sz w:val="24"/>
              </w:rPr>
            </w:pPr>
          </w:p>
        </w:tc>
        <w:tc>
          <w:tcPr>
            <w:tcW w:w="1316" w:type="dxa"/>
            <w:vMerge/>
            <w:vAlign w:val="center"/>
          </w:tcPr>
          <w:p w:rsidR="00013EC7" w:rsidRDefault="00013EC7">
            <w:pPr>
              <w:spacing w:line="310" w:lineRule="exact"/>
              <w:rPr>
                <w:rFonts w:ascii="仿宋" w:eastAsia="仿宋" w:hAnsi="仿宋" w:cs="仿宋"/>
                <w:sz w:val="24"/>
              </w:rPr>
            </w:pPr>
          </w:p>
        </w:tc>
        <w:tc>
          <w:tcPr>
            <w:tcW w:w="2114" w:type="dxa"/>
            <w:vMerge/>
            <w:vAlign w:val="center"/>
          </w:tcPr>
          <w:p w:rsidR="00013EC7" w:rsidRDefault="00013EC7">
            <w:pPr>
              <w:spacing w:line="310" w:lineRule="exact"/>
              <w:rPr>
                <w:rFonts w:ascii="仿宋" w:eastAsia="仿宋" w:hAnsi="仿宋" w:cs="仿宋"/>
                <w:sz w:val="24"/>
              </w:rPr>
            </w:pPr>
          </w:p>
        </w:tc>
        <w:tc>
          <w:tcPr>
            <w:tcW w:w="2785" w:type="dxa"/>
            <w:tcBorders>
              <w:top w:val="single" w:sz="4" w:space="0" w:color="auto"/>
              <w:bottom w:val="single" w:sz="4" w:space="0" w:color="auto"/>
            </w:tcBorders>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（二）重开完税凭证的资料：纳税人完税凭证持有联次遗失声明资料。</w:t>
            </w:r>
          </w:p>
        </w:tc>
        <w:tc>
          <w:tcPr>
            <w:tcW w:w="1118" w:type="dxa"/>
            <w:vMerge/>
            <w:vAlign w:val="center"/>
          </w:tcPr>
          <w:p w:rsidR="00013EC7" w:rsidRDefault="00013EC7">
            <w:pPr>
              <w:spacing w:line="300" w:lineRule="exact"/>
              <w:rPr>
                <w:rFonts w:ascii="仿宋" w:eastAsia="仿宋" w:hAnsi="仿宋" w:cs="仿宋"/>
                <w:sz w:val="24"/>
              </w:rPr>
            </w:pPr>
          </w:p>
        </w:tc>
        <w:tc>
          <w:tcPr>
            <w:tcW w:w="2403" w:type="dxa"/>
            <w:vAlign w:val="center"/>
          </w:tcPr>
          <w:p w:rsidR="00013EC7" w:rsidRDefault="00013EC7">
            <w:pPr>
              <w:spacing w:line="300" w:lineRule="exact"/>
              <w:rPr>
                <w:rFonts w:ascii="仿宋" w:eastAsia="仿宋" w:hAnsi="仿宋" w:cs="仿宋"/>
                <w:sz w:val="24"/>
              </w:rPr>
            </w:pPr>
          </w:p>
          <w:p w:rsidR="00013EC7" w:rsidRDefault="00575CDB">
            <w:pPr>
              <w:spacing w:line="300" w:lineRule="exact"/>
              <w:rPr>
                <w:rFonts w:ascii="仿宋" w:eastAsia="仿宋" w:hAnsi="仿宋" w:cs="仿宋"/>
                <w:sz w:val="24"/>
              </w:rPr>
            </w:pPr>
            <w:r>
              <w:rPr>
                <w:rFonts w:ascii="仿宋" w:eastAsia="仿宋" w:hAnsi="仿宋" w:cs="仿宋" w:hint="eastAsia"/>
                <w:sz w:val="24"/>
              </w:rPr>
              <w:t>（二）重开完税凭证的资料：纳税人完税凭证持有联次遗失声明资料。</w:t>
            </w:r>
          </w:p>
          <w:p w:rsidR="00013EC7" w:rsidRDefault="00013EC7">
            <w:pPr>
              <w:spacing w:line="300" w:lineRule="exact"/>
              <w:rPr>
                <w:rFonts w:ascii="仿宋" w:eastAsia="仿宋" w:hAnsi="仿宋" w:cs="仿宋"/>
                <w:sz w:val="24"/>
              </w:rPr>
            </w:pPr>
          </w:p>
        </w:tc>
        <w:tc>
          <w:tcPr>
            <w:tcW w:w="1196" w:type="dxa"/>
            <w:vMerge/>
            <w:vAlign w:val="center"/>
          </w:tcPr>
          <w:p w:rsidR="00013EC7" w:rsidRDefault="00013EC7">
            <w:pPr>
              <w:spacing w:line="300" w:lineRule="exact"/>
              <w:rPr>
                <w:rFonts w:ascii="仿宋" w:eastAsia="仿宋" w:hAnsi="仿宋" w:cs="仿宋"/>
                <w:sz w:val="24"/>
              </w:rPr>
            </w:pPr>
          </w:p>
        </w:tc>
        <w:tc>
          <w:tcPr>
            <w:tcW w:w="3318" w:type="dxa"/>
            <w:vMerge/>
            <w:vAlign w:val="center"/>
          </w:tcPr>
          <w:p w:rsidR="00013EC7" w:rsidRDefault="00013EC7">
            <w:pPr>
              <w:spacing w:line="300" w:lineRule="exact"/>
              <w:rPr>
                <w:rFonts w:ascii="仿宋" w:eastAsia="仿宋" w:hAnsi="仿宋" w:cs="仿宋"/>
                <w:sz w:val="24"/>
              </w:rPr>
            </w:pPr>
          </w:p>
        </w:tc>
        <w:tc>
          <w:tcPr>
            <w:tcW w:w="868" w:type="dxa"/>
            <w:vMerge/>
            <w:vAlign w:val="center"/>
          </w:tcPr>
          <w:p w:rsidR="00013EC7" w:rsidRDefault="00013EC7">
            <w:pPr>
              <w:spacing w:line="300" w:lineRule="exact"/>
              <w:rPr>
                <w:rFonts w:ascii="仿宋" w:eastAsia="仿宋" w:hAnsi="仿宋" w:cs="仿宋"/>
                <w:sz w:val="24"/>
              </w:rPr>
            </w:pPr>
          </w:p>
        </w:tc>
        <w:tc>
          <w:tcPr>
            <w:tcW w:w="912" w:type="dxa"/>
            <w:vMerge/>
            <w:vAlign w:val="center"/>
          </w:tcPr>
          <w:p w:rsidR="00013EC7" w:rsidRDefault="00013EC7">
            <w:pPr>
              <w:spacing w:line="300" w:lineRule="exact"/>
              <w:rPr>
                <w:rFonts w:ascii="仿宋" w:eastAsia="仿宋" w:hAnsi="仿宋" w:cs="仿宋"/>
                <w:sz w:val="24"/>
              </w:rPr>
            </w:pPr>
          </w:p>
        </w:tc>
        <w:tc>
          <w:tcPr>
            <w:tcW w:w="844" w:type="dxa"/>
            <w:vMerge/>
            <w:vAlign w:val="center"/>
          </w:tcPr>
          <w:p w:rsidR="00013EC7" w:rsidRDefault="00013EC7">
            <w:pPr>
              <w:spacing w:line="300" w:lineRule="exact"/>
              <w:rPr>
                <w:rFonts w:ascii="仿宋" w:eastAsia="仿宋" w:hAnsi="仿宋" w:cs="仿宋"/>
                <w:sz w:val="24"/>
              </w:rPr>
            </w:pPr>
          </w:p>
        </w:tc>
        <w:tc>
          <w:tcPr>
            <w:tcW w:w="1104" w:type="dxa"/>
            <w:vMerge/>
            <w:vAlign w:val="center"/>
          </w:tcPr>
          <w:p w:rsidR="00013EC7" w:rsidRDefault="00013EC7">
            <w:pPr>
              <w:spacing w:line="300" w:lineRule="exact"/>
              <w:rPr>
                <w:rFonts w:ascii="仿宋" w:eastAsia="仿宋" w:hAnsi="仿宋" w:cs="仿宋"/>
                <w:sz w:val="24"/>
              </w:rPr>
            </w:pPr>
          </w:p>
        </w:tc>
        <w:tc>
          <w:tcPr>
            <w:tcW w:w="1476" w:type="dxa"/>
            <w:vMerge/>
            <w:vAlign w:val="center"/>
          </w:tcPr>
          <w:p w:rsidR="00013EC7" w:rsidRDefault="00013EC7">
            <w:pPr>
              <w:spacing w:line="300" w:lineRule="exact"/>
              <w:rPr>
                <w:rFonts w:ascii="仿宋" w:eastAsia="仿宋" w:hAnsi="仿宋" w:cs="仿宋"/>
                <w:sz w:val="24"/>
              </w:rPr>
            </w:pPr>
          </w:p>
        </w:tc>
      </w:tr>
    </w:tbl>
    <w:p w:rsidR="00013EC7" w:rsidRDefault="00013EC7">
      <w:pPr>
        <w:rPr>
          <w:rFonts w:eastAsia="方正书宋简体"/>
          <w:szCs w:val="21"/>
        </w:rPr>
      </w:pPr>
    </w:p>
    <w:p w:rsidR="00013EC7" w:rsidRDefault="00575CDB">
      <w:r>
        <w:object w:dxaOrig="9638" w:dyaOrig="12504">
          <v:shape id="_x0000_i1193" type="#_x0000_t75" style="width:481.9pt;height:625.2pt" o:ole="">
            <v:imagedata r:id="rId454" o:title=""/>
            <o:lock v:ext="edit" aspectratio="f"/>
          </v:shape>
          <o:OLEObject Type="Embed" ProgID="Visio.Drawing.11" ShapeID="_x0000_i1193" DrawAspect="Content" ObjectID="_1577296122" r:id="rId455"/>
        </w:object>
      </w:r>
    </w:p>
    <w:p w:rsidR="00013EC7" w:rsidRDefault="00013EC7">
      <w:pPr>
        <w:tabs>
          <w:tab w:val="left" w:pos="187"/>
        </w:tabs>
        <w:rPr>
          <w:rFonts w:ascii="宋体" w:hAnsi="宋体" w:cs="宋体"/>
          <w:bCs/>
          <w:sz w:val="28"/>
          <w:szCs w:val="28"/>
        </w:rPr>
        <w:sectPr w:rsidR="00013EC7">
          <w:pgSz w:w="23814" w:h="16840" w:orient="landscape"/>
          <w:pgMar w:top="1701" w:right="1843" w:bottom="1985" w:left="1843" w:header="851" w:footer="1701" w:gutter="0"/>
          <w:pgNumType w:fmt="numberInDash"/>
          <w:cols w:space="720"/>
          <w:docGrid w:type="lines" w:linePitch="312"/>
        </w:sectPr>
      </w:pPr>
    </w:p>
    <w:p w:rsidR="00013EC7" w:rsidRDefault="00575CDB">
      <w:pPr>
        <w:pStyle w:val="1"/>
      </w:pPr>
      <w:bookmarkStart w:id="530" w:name="_Toc3070"/>
      <w:bookmarkStart w:id="531" w:name="_Toc9216"/>
      <w:bookmarkStart w:id="532" w:name="_Toc13121"/>
      <w:bookmarkStart w:id="533" w:name="_Toc503467475"/>
      <w:r>
        <w:rPr>
          <w:rFonts w:hint="eastAsia"/>
        </w:rPr>
        <w:lastRenderedPageBreak/>
        <w:t>二十六、服务贸易等项目对外支付税务备案</w:t>
      </w:r>
      <w:bookmarkEnd w:id="530"/>
      <w:bookmarkEnd w:id="531"/>
      <w:bookmarkEnd w:id="532"/>
      <w:bookmarkEnd w:id="533"/>
    </w:p>
    <w:p w:rsidR="00013EC7" w:rsidRDefault="00575CDB">
      <w:pPr>
        <w:pStyle w:val="2"/>
      </w:pPr>
      <w:bookmarkStart w:id="534" w:name="_Toc2530"/>
      <w:bookmarkStart w:id="535" w:name="_Toc503467476"/>
      <w:bookmarkStart w:id="536" w:name="_Toc22633"/>
      <w:bookmarkStart w:id="537" w:name="_Toc24530"/>
      <w:r>
        <w:t>26.1</w:t>
      </w:r>
      <w:r>
        <w:rPr>
          <w:rFonts w:hint="eastAsia"/>
        </w:rPr>
        <w:t>服务贸易等项目对外支付税务备案</w:t>
      </w:r>
      <w:bookmarkEnd w:id="534"/>
      <w:bookmarkEnd w:id="535"/>
      <w:bookmarkEnd w:id="536"/>
      <w:bookmarkEnd w:id="537"/>
    </w:p>
    <w:p w:rsidR="00013EC7" w:rsidRDefault="00575CDB">
      <w:pPr>
        <w:jc w:val="center"/>
        <w:rPr>
          <w:rFonts w:eastAsia="仿宋_GB2312"/>
          <w:szCs w:val="21"/>
        </w:rPr>
      </w:pPr>
      <w:r>
        <w:rPr>
          <w:rFonts w:ascii="宋体" w:hAnsi="宋体" w:cs="宋体" w:hint="eastAsia"/>
          <w:b/>
          <w:bCs/>
          <w:sz w:val="52"/>
          <w:szCs w:val="52"/>
        </w:rPr>
        <w:t>全省“最多跑一次”事项“八统一”梳理表</w:t>
      </w:r>
    </w:p>
    <w:tbl>
      <w:tblPr>
        <w:tblW w:w="19845"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2871"/>
        <w:gridCol w:w="2571"/>
        <w:gridCol w:w="1415"/>
        <w:gridCol w:w="2100"/>
        <w:gridCol w:w="1628"/>
        <w:gridCol w:w="2349"/>
        <w:gridCol w:w="868"/>
        <w:gridCol w:w="798"/>
        <w:gridCol w:w="958"/>
        <w:gridCol w:w="1104"/>
        <w:gridCol w:w="1476"/>
      </w:tblGrid>
      <w:tr w:rsidR="00013EC7">
        <w:trPr>
          <w:trHeight w:val="340"/>
          <w:tblHeader/>
          <w:jc w:val="center"/>
        </w:trPr>
        <w:tc>
          <w:tcPr>
            <w:tcW w:w="672"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主项名称</w:t>
            </w:r>
          </w:p>
        </w:tc>
        <w:tc>
          <w:tcPr>
            <w:tcW w:w="1035"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子项名称</w:t>
            </w:r>
          </w:p>
        </w:tc>
        <w:tc>
          <w:tcPr>
            <w:tcW w:w="2871"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经办依据</w:t>
            </w:r>
          </w:p>
        </w:tc>
        <w:tc>
          <w:tcPr>
            <w:tcW w:w="3986"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原经办所需材料</w:t>
            </w:r>
          </w:p>
        </w:tc>
        <w:tc>
          <w:tcPr>
            <w:tcW w:w="6077" w:type="dxa"/>
            <w:gridSpan w:val="3"/>
            <w:vAlign w:val="center"/>
          </w:tcPr>
          <w:p w:rsidR="00013EC7" w:rsidRDefault="00575CDB">
            <w:pPr>
              <w:spacing w:line="280" w:lineRule="exact"/>
              <w:jc w:val="center"/>
              <w:rPr>
                <w:rFonts w:ascii="黑体" w:eastAsia="黑体"/>
                <w:sz w:val="24"/>
              </w:rPr>
            </w:pPr>
            <w:r>
              <w:rPr>
                <w:rFonts w:ascii="黑体" w:eastAsia="黑体" w:hint="eastAsia"/>
                <w:sz w:val="24"/>
              </w:rPr>
              <w:t>精简后经办所需材料</w:t>
            </w:r>
          </w:p>
        </w:tc>
        <w:tc>
          <w:tcPr>
            <w:tcW w:w="1666"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办理时限</w:t>
            </w:r>
          </w:p>
        </w:tc>
        <w:tc>
          <w:tcPr>
            <w:tcW w:w="958"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是否实现跑零次</w:t>
            </w:r>
          </w:p>
        </w:tc>
        <w:tc>
          <w:tcPr>
            <w:tcW w:w="1104"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省厅对口</w:t>
            </w:r>
          </w:p>
          <w:p w:rsidR="00013EC7" w:rsidRDefault="00575CDB">
            <w:pPr>
              <w:spacing w:line="280" w:lineRule="exact"/>
              <w:jc w:val="center"/>
              <w:rPr>
                <w:rFonts w:ascii="黑体" w:eastAsia="黑体"/>
                <w:sz w:val="24"/>
              </w:rPr>
            </w:pPr>
            <w:r>
              <w:rPr>
                <w:rFonts w:ascii="黑体" w:eastAsia="黑体" w:hint="eastAsia"/>
                <w:sz w:val="24"/>
              </w:rPr>
              <w:t>指导处室</w:t>
            </w:r>
          </w:p>
          <w:p w:rsidR="00013EC7" w:rsidRDefault="00575CDB">
            <w:pPr>
              <w:spacing w:line="280" w:lineRule="exact"/>
              <w:jc w:val="center"/>
              <w:rPr>
                <w:rFonts w:ascii="黑体" w:eastAsia="黑体"/>
                <w:sz w:val="24"/>
              </w:rPr>
            </w:pPr>
            <w:r>
              <w:rPr>
                <w:rFonts w:ascii="黑体" w:eastAsia="黑体" w:hint="eastAsia"/>
                <w:sz w:val="24"/>
              </w:rPr>
              <w:t>（单位）</w:t>
            </w:r>
          </w:p>
        </w:tc>
        <w:tc>
          <w:tcPr>
            <w:tcW w:w="1476"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进一步精简、</w:t>
            </w:r>
          </w:p>
          <w:p w:rsidR="00013EC7" w:rsidRDefault="00575CDB">
            <w:pPr>
              <w:spacing w:line="280" w:lineRule="exact"/>
              <w:jc w:val="center"/>
              <w:rPr>
                <w:rFonts w:ascii="黑体" w:eastAsia="黑体"/>
                <w:sz w:val="24"/>
              </w:rPr>
            </w:pPr>
            <w:r>
              <w:rPr>
                <w:rFonts w:ascii="黑体" w:eastAsia="黑体" w:hint="eastAsia"/>
                <w:sz w:val="24"/>
              </w:rPr>
              <w:t>规范建议</w:t>
            </w:r>
          </w:p>
        </w:tc>
      </w:tr>
      <w:tr w:rsidR="00013EC7">
        <w:trPr>
          <w:trHeight w:val="340"/>
          <w:tblHeader/>
          <w:jc w:val="center"/>
        </w:trPr>
        <w:tc>
          <w:tcPr>
            <w:tcW w:w="672" w:type="dxa"/>
            <w:vMerge/>
            <w:vAlign w:val="center"/>
          </w:tcPr>
          <w:p w:rsidR="00013EC7" w:rsidRDefault="00013EC7"/>
        </w:tc>
        <w:tc>
          <w:tcPr>
            <w:tcW w:w="1035" w:type="dxa"/>
            <w:vMerge/>
          </w:tcPr>
          <w:p w:rsidR="00013EC7" w:rsidRDefault="00013EC7"/>
        </w:tc>
        <w:tc>
          <w:tcPr>
            <w:tcW w:w="2871" w:type="dxa"/>
            <w:vMerge/>
          </w:tcPr>
          <w:p w:rsidR="00013EC7" w:rsidRDefault="00013EC7"/>
        </w:tc>
        <w:tc>
          <w:tcPr>
            <w:tcW w:w="2571" w:type="dxa"/>
            <w:tcBorders>
              <w:bottom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415" w:type="dxa"/>
            <w:vAlign w:val="center"/>
          </w:tcPr>
          <w:p w:rsidR="00013EC7" w:rsidRDefault="00575CDB">
            <w:pPr>
              <w:spacing w:line="280" w:lineRule="exact"/>
              <w:jc w:val="center"/>
              <w:rPr>
                <w:rFonts w:ascii="黑体" w:eastAsia="黑体"/>
                <w:szCs w:val="21"/>
              </w:rPr>
            </w:pPr>
            <w:r>
              <w:rPr>
                <w:rFonts w:ascii="黑体" w:eastAsia="黑体" w:hint="eastAsia"/>
                <w:sz w:val="24"/>
              </w:rPr>
              <w:t>材料来源</w:t>
            </w:r>
          </w:p>
        </w:tc>
        <w:tc>
          <w:tcPr>
            <w:tcW w:w="2100" w:type="dxa"/>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628"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2349" w:type="dxa"/>
            <w:vAlign w:val="center"/>
          </w:tcPr>
          <w:p w:rsidR="00013EC7" w:rsidRDefault="00575CDB">
            <w:pPr>
              <w:spacing w:line="280" w:lineRule="exact"/>
              <w:jc w:val="center"/>
              <w:rPr>
                <w:rFonts w:ascii="黑体" w:eastAsia="黑体"/>
                <w:sz w:val="24"/>
              </w:rPr>
            </w:pPr>
            <w:r>
              <w:rPr>
                <w:rFonts w:ascii="黑体" w:eastAsia="黑体" w:hint="eastAsia"/>
                <w:sz w:val="24"/>
              </w:rPr>
              <w:t>办理方式及材料</w:t>
            </w:r>
          </w:p>
          <w:p w:rsidR="00013EC7" w:rsidRDefault="00575CDB">
            <w:pPr>
              <w:spacing w:line="280" w:lineRule="exact"/>
              <w:jc w:val="center"/>
              <w:rPr>
                <w:rFonts w:ascii="黑体" w:eastAsia="黑体"/>
                <w:sz w:val="24"/>
              </w:rPr>
            </w:pPr>
            <w:r>
              <w:rPr>
                <w:rFonts w:ascii="黑体" w:eastAsia="黑体" w:hint="eastAsia"/>
                <w:sz w:val="24"/>
              </w:rPr>
              <w:t>信息获取方式说明</w:t>
            </w:r>
          </w:p>
        </w:tc>
        <w:tc>
          <w:tcPr>
            <w:tcW w:w="868" w:type="dxa"/>
            <w:vAlign w:val="center"/>
          </w:tcPr>
          <w:p w:rsidR="00013EC7" w:rsidRDefault="00575CDB">
            <w:pPr>
              <w:spacing w:line="280" w:lineRule="exact"/>
              <w:jc w:val="center"/>
              <w:rPr>
                <w:rFonts w:ascii="黑体" w:eastAsia="黑体"/>
                <w:sz w:val="24"/>
              </w:rPr>
            </w:pPr>
            <w:r>
              <w:rPr>
                <w:rFonts w:ascii="黑体" w:eastAsia="黑体" w:hint="eastAsia"/>
                <w:sz w:val="24"/>
              </w:rPr>
              <w:t>优化前</w:t>
            </w:r>
          </w:p>
        </w:tc>
        <w:tc>
          <w:tcPr>
            <w:tcW w:w="798" w:type="dxa"/>
            <w:vAlign w:val="center"/>
          </w:tcPr>
          <w:p w:rsidR="00013EC7" w:rsidRDefault="00575CDB">
            <w:pPr>
              <w:spacing w:line="280" w:lineRule="exact"/>
              <w:jc w:val="center"/>
              <w:rPr>
                <w:rFonts w:ascii="黑体" w:eastAsia="黑体"/>
                <w:sz w:val="24"/>
              </w:rPr>
            </w:pPr>
            <w:r>
              <w:rPr>
                <w:rFonts w:ascii="黑体" w:eastAsia="黑体" w:hint="eastAsia"/>
                <w:sz w:val="24"/>
              </w:rPr>
              <w:t>优化后</w:t>
            </w:r>
          </w:p>
        </w:tc>
        <w:tc>
          <w:tcPr>
            <w:tcW w:w="958" w:type="dxa"/>
            <w:vMerge/>
            <w:vAlign w:val="center"/>
          </w:tcPr>
          <w:p w:rsidR="00013EC7" w:rsidRDefault="00013EC7">
            <w:pPr>
              <w:rPr>
                <w:rFonts w:ascii="黑体" w:eastAsia="黑体"/>
                <w:sz w:val="24"/>
              </w:rPr>
            </w:pPr>
          </w:p>
        </w:tc>
        <w:tc>
          <w:tcPr>
            <w:tcW w:w="1104" w:type="dxa"/>
            <w:vMerge/>
            <w:vAlign w:val="center"/>
          </w:tcPr>
          <w:p w:rsidR="00013EC7" w:rsidRDefault="00013EC7">
            <w:pPr>
              <w:rPr>
                <w:rFonts w:ascii="黑体" w:eastAsia="黑体"/>
                <w:sz w:val="24"/>
              </w:rPr>
            </w:pPr>
          </w:p>
        </w:tc>
        <w:tc>
          <w:tcPr>
            <w:tcW w:w="1476" w:type="dxa"/>
            <w:vMerge/>
            <w:vAlign w:val="center"/>
          </w:tcPr>
          <w:p w:rsidR="00013EC7" w:rsidRDefault="00013EC7">
            <w:pPr>
              <w:rPr>
                <w:rFonts w:ascii="黑体" w:eastAsia="黑体"/>
                <w:sz w:val="24"/>
              </w:rPr>
            </w:pPr>
          </w:p>
        </w:tc>
      </w:tr>
      <w:tr w:rsidR="00013EC7">
        <w:trPr>
          <w:trHeight w:val="4496"/>
          <w:jc w:val="center"/>
        </w:trPr>
        <w:tc>
          <w:tcPr>
            <w:tcW w:w="672" w:type="dxa"/>
            <w:vMerge w:val="restart"/>
            <w:vAlign w:val="center"/>
          </w:tcPr>
          <w:p w:rsidR="00013EC7" w:rsidRDefault="00575CDB">
            <w:pPr>
              <w:spacing w:line="300" w:lineRule="exact"/>
              <w:jc w:val="left"/>
              <w:rPr>
                <w:rFonts w:ascii="仿宋" w:eastAsia="仿宋" w:hAnsi="仿宋"/>
                <w:sz w:val="24"/>
              </w:rPr>
            </w:pPr>
            <w:r>
              <w:rPr>
                <w:rFonts w:ascii="仿宋" w:eastAsia="仿宋" w:hAnsi="仿宋" w:hint="eastAsia"/>
                <w:sz w:val="24"/>
              </w:rPr>
              <w:t>26</w:t>
            </w:r>
            <w:r>
              <w:rPr>
                <w:rFonts w:ascii="仿宋" w:eastAsia="仿宋" w:hAnsi="仿宋"/>
                <w:sz w:val="24"/>
              </w:rPr>
              <w:t>.</w:t>
            </w:r>
            <w:r>
              <w:rPr>
                <w:rFonts w:ascii="仿宋" w:eastAsia="仿宋" w:hAnsi="仿宋" w:hint="eastAsia"/>
                <w:sz w:val="24"/>
              </w:rPr>
              <w:t>服务贸易等项目对外支付税务备案</w:t>
            </w:r>
          </w:p>
        </w:tc>
        <w:tc>
          <w:tcPr>
            <w:tcW w:w="1035" w:type="dxa"/>
            <w:vMerge w:val="restart"/>
            <w:vAlign w:val="center"/>
          </w:tcPr>
          <w:p w:rsidR="00013EC7" w:rsidRDefault="00575CDB">
            <w:pPr>
              <w:spacing w:line="310" w:lineRule="exact"/>
              <w:jc w:val="left"/>
              <w:rPr>
                <w:rFonts w:ascii="仿宋" w:eastAsia="仿宋" w:hAnsi="仿宋"/>
                <w:sz w:val="24"/>
              </w:rPr>
            </w:pPr>
            <w:r>
              <w:rPr>
                <w:rFonts w:ascii="仿宋" w:eastAsia="仿宋" w:hAnsi="仿宋" w:hint="eastAsia"/>
                <w:sz w:val="24"/>
              </w:rPr>
              <w:t>26</w:t>
            </w:r>
            <w:r>
              <w:rPr>
                <w:rFonts w:ascii="仿宋" w:eastAsia="仿宋" w:hAnsi="仿宋"/>
                <w:sz w:val="24"/>
              </w:rPr>
              <w:t>.1</w:t>
            </w:r>
            <w:r>
              <w:rPr>
                <w:rFonts w:ascii="仿宋" w:eastAsia="仿宋" w:hAnsi="仿宋" w:hint="eastAsia"/>
                <w:sz w:val="24"/>
              </w:rPr>
              <w:t>服务贸易等项目对外支付税务备案</w:t>
            </w:r>
          </w:p>
        </w:tc>
        <w:tc>
          <w:tcPr>
            <w:tcW w:w="2871" w:type="dxa"/>
            <w:vMerge w:val="restart"/>
            <w:vAlign w:val="center"/>
          </w:tcPr>
          <w:p w:rsidR="00013EC7" w:rsidRDefault="00575CDB">
            <w:pPr>
              <w:numPr>
                <w:ilvl w:val="0"/>
                <w:numId w:val="7"/>
              </w:numPr>
              <w:spacing w:line="310" w:lineRule="exact"/>
              <w:jc w:val="left"/>
              <w:rPr>
                <w:rFonts w:ascii="仿宋" w:eastAsia="仿宋" w:hAnsi="仿宋"/>
                <w:sz w:val="24"/>
              </w:rPr>
            </w:pPr>
            <w:r>
              <w:rPr>
                <w:rFonts w:ascii="仿宋" w:eastAsia="仿宋" w:hAnsi="仿宋" w:hint="eastAsia"/>
                <w:sz w:val="24"/>
              </w:rPr>
              <w:t>《国家税务总局 国家外汇管理局关于服务贸易等项目对外支付税务备案有关问题的公告》（国家税务总局 国家外汇管理局公告2013年第40号）全文。</w:t>
            </w:r>
          </w:p>
          <w:p w:rsidR="00013EC7" w:rsidRDefault="00013EC7">
            <w:pPr>
              <w:spacing w:line="310" w:lineRule="exact"/>
              <w:jc w:val="left"/>
              <w:rPr>
                <w:rFonts w:ascii="仿宋" w:eastAsia="仿宋" w:hAnsi="仿宋"/>
                <w:sz w:val="24"/>
              </w:rPr>
            </w:pPr>
          </w:p>
          <w:p w:rsidR="00013EC7" w:rsidRDefault="00013EC7">
            <w:pPr>
              <w:spacing w:line="310" w:lineRule="exact"/>
              <w:jc w:val="left"/>
              <w:rPr>
                <w:rFonts w:ascii="仿宋" w:eastAsia="仿宋" w:hAnsi="仿宋"/>
                <w:sz w:val="24"/>
              </w:rPr>
            </w:pPr>
          </w:p>
        </w:tc>
        <w:tc>
          <w:tcPr>
            <w:tcW w:w="2571" w:type="dxa"/>
            <w:tcBorders>
              <w:top w:val="single" w:sz="4" w:space="0" w:color="auto"/>
              <w:bottom w:val="single" w:sz="4" w:space="0" w:color="auto"/>
            </w:tcBorders>
            <w:vAlign w:val="center"/>
          </w:tcPr>
          <w:p w:rsidR="00013EC7" w:rsidRDefault="00575CDB">
            <w:pPr>
              <w:spacing w:line="310" w:lineRule="exact"/>
              <w:jc w:val="left"/>
              <w:rPr>
                <w:rFonts w:ascii="仿宋" w:eastAsia="仿宋" w:hAnsi="仿宋"/>
                <w:sz w:val="24"/>
              </w:rPr>
            </w:pPr>
            <w:r>
              <w:rPr>
                <w:rFonts w:ascii="仿宋" w:eastAsia="仿宋" w:hAnsi="仿宋" w:hint="eastAsia"/>
                <w:sz w:val="24"/>
              </w:rPr>
              <w:t>（一）（A13085）《服务贸易等项目对外支付税务备案表》 3 份。</w:t>
            </w:r>
          </w:p>
        </w:tc>
        <w:tc>
          <w:tcPr>
            <w:tcW w:w="1415" w:type="dxa"/>
            <w:vMerge w:val="restart"/>
            <w:vAlign w:val="center"/>
          </w:tcPr>
          <w:p w:rsidR="00013EC7" w:rsidRDefault="00575CDB">
            <w:pPr>
              <w:spacing w:line="300" w:lineRule="exact"/>
              <w:jc w:val="left"/>
              <w:rPr>
                <w:rFonts w:ascii="仿宋" w:eastAsia="仿宋" w:hAnsi="仿宋"/>
                <w:sz w:val="24"/>
              </w:rPr>
            </w:pPr>
            <w:r>
              <w:rPr>
                <w:rFonts w:ascii="仿宋" w:eastAsia="仿宋" w:hAnsi="仿宋" w:hint="eastAsia"/>
                <w:sz w:val="24"/>
              </w:rPr>
              <w:t>纳税人</w:t>
            </w:r>
            <w:r>
              <w:rPr>
                <w:rFonts w:ascii="仿宋" w:eastAsia="仿宋" w:hAnsi="仿宋"/>
                <w:sz w:val="24"/>
              </w:rPr>
              <w:t>提交</w:t>
            </w:r>
          </w:p>
        </w:tc>
        <w:tc>
          <w:tcPr>
            <w:tcW w:w="2100" w:type="dxa"/>
            <w:vAlign w:val="center"/>
          </w:tcPr>
          <w:p w:rsidR="00013EC7" w:rsidRDefault="00575CDB">
            <w:pPr>
              <w:spacing w:line="300" w:lineRule="exact"/>
              <w:jc w:val="left"/>
              <w:rPr>
                <w:rFonts w:ascii="仿宋" w:eastAsia="仿宋" w:hAnsi="仿宋"/>
                <w:sz w:val="24"/>
              </w:rPr>
            </w:pPr>
            <w:r>
              <w:rPr>
                <w:rFonts w:ascii="仿宋" w:eastAsia="仿宋" w:hAnsi="仿宋" w:hint="eastAsia"/>
                <w:sz w:val="24"/>
              </w:rPr>
              <w:t>（一）（A13085）《服务贸易等项目对外支付税务备案表》 3 份。</w:t>
            </w:r>
          </w:p>
        </w:tc>
        <w:tc>
          <w:tcPr>
            <w:tcW w:w="1628" w:type="dxa"/>
            <w:vMerge w:val="restart"/>
            <w:vAlign w:val="center"/>
          </w:tcPr>
          <w:p w:rsidR="00013EC7" w:rsidRDefault="00575CDB">
            <w:pPr>
              <w:spacing w:line="310" w:lineRule="exact"/>
              <w:jc w:val="left"/>
              <w:rPr>
                <w:rFonts w:ascii="仿宋" w:eastAsia="仿宋" w:hAnsi="仿宋"/>
                <w:sz w:val="24"/>
              </w:rPr>
            </w:pPr>
            <w:r>
              <w:rPr>
                <w:rFonts w:ascii="仿宋" w:eastAsia="仿宋" w:hAnsi="仿宋" w:hint="eastAsia"/>
                <w:sz w:val="24"/>
              </w:rPr>
              <w:t>纳税人提交</w:t>
            </w:r>
          </w:p>
        </w:tc>
        <w:tc>
          <w:tcPr>
            <w:tcW w:w="2349" w:type="dxa"/>
            <w:vMerge w:val="restart"/>
            <w:vAlign w:val="center"/>
          </w:tcPr>
          <w:p w:rsidR="00013EC7" w:rsidRDefault="00575CDB">
            <w:pPr>
              <w:spacing w:line="310" w:lineRule="exact"/>
              <w:jc w:val="lef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备案单位提交书面材料。</w:t>
            </w:r>
          </w:p>
          <w:p w:rsidR="00013EC7" w:rsidRDefault="00575CDB">
            <w:pPr>
              <w:spacing w:line="300" w:lineRule="exact"/>
              <w:jc w:val="left"/>
              <w:rPr>
                <w:rFonts w:ascii="仿宋" w:eastAsia="仿宋" w:hAnsi="仿宋" w:cs="仿宋"/>
                <w:sz w:val="24"/>
              </w:rPr>
            </w:pPr>
            <w:r>
              <w:rPr>
                <w:rFonts w:ascii="仿宋" w:eastAsia="仿宋" w:hAnsi="仿宋" w:cs="仿宋" w:hint="eastAsia"/>
                <w:b/>
                <w:sz w:val="24"/>
              </w:rPr>
              <w:t>网上办理：</w:t>
            </w:r>
            <w:r>
              <w:rPr>
                <w:rFonts w:ascii="仿宋" w:eastAsia="仿宋" w:hAnsi="仿宋" w:cs="仿宋" w:hint="eastAsia"/>
                <w:sz w:val="24"/>
              </w:rPr>
              <w:t>登录浙江国税电子税务局（网址：http://etax.zjtax.gov.cn/</w:t>
            </w:r>
          </w:p>
          <w:p w:rsidR="00013EC7" w:rsidRDefault="00575CDB">
            <w:pPr>
              <w:spacing w:line="300" w:lineRule="exact"/>
              <w:jc w:val="left"/>
              <w:rPr>
                <w:rFonts w:ascii="仿宋" w:eastAsia="仿宋" w:hAnsi="仿宋" w:cs="仿宋"/>
                <w:sz w:val="24"/>
              </w:rPr>
            </w:pPr>
            <w:r>
              <w:rPr>
                <w:rFonts w:ascii="仿宋" w:eastAsia="仿宋" w:hAnsi="仿宋" w:cs="仿宋" w:hint="eastAsia"/>
                <w:sz w:val="24"/>
              </w:rPr>
              <w:t>）提交电子表格办理。</w:t>
            </w:r>
          </w:p>
          <w:p w:rsidR="00013EC7" w:rsidRDefault="00013EC7">
            <w:pPr>
              <w:spacing w:line="300" w:lineRule="exact"/>
              <w:jc w:val="left"/>
              <w:rPr>
                <w:rFonts w:ascii="仿宋" w:eastAsia="仿宋" w:hAnsi="仿宋"/>
                <w:sz w:val="24"/>
              </w:rPr>
            </w:pPr>
          </w:p>
        </w:tc>
        <w:tc>
          <w:tcPr>
            <w:tcW w:w="868" w:type="dxa"/>
            <w:vMerge w:val="restart"/>
            <w:vAlign w:val="center"/>
          </w:tcPr>
          <w:p w:rsidR="00013EC7" w:rsidRDefault="00575CDB">
            <w:pPr>
              <w:spacing w:line="300" w:lineRule="exact"/>
              <w:jc w:val="left"/>
              <w:rPr>
                <w:rFonts w:ascii="仿宋" w:eastAsia="仿宋" w:hAnsi="仿宋"/>
                <w:sz w:val="24"/>
              </w:rPr>
            </w:pPr>
            <w:r>
              <w:rPr>
                <w:rFonts w:ascii="仿宋" w:eastAsia="仿宋" w:hAnsi="仿宋" w:hint="eastAsia"/>
                <w:sz w:val="24"/>
              </w:rPr>
              <w:t>即时办结</w:t>
            </w:r>
          </w:p>
        </w:tc>
        <w:tc>
          <w:tcPr>
            <w:tcW w:w="798" w:type="dxa"/>
            <w:vMerge w:val="restart"/>
            <w:vAlign w:val="center"/>
          </w:tcPr>
          <w:p w:rsidR="00013EC7" w:rsidRDefault="00575CDB">
            <w:pPr>
              <w:spacing w:line="300" w:lineRule="exact"/>
              <w:jc w:val="left"/>
              <w:rPr>
                <w:rFonts w:ascii="仿宋" w:eastAsia="仿宋" w:hAnsi="仿宋"/>
                <w:sz w:val="24"/>
              </w:rPr>
            </w:pPr>
            <w:r>
              <w:rPr>
                <w:rFonts w:ascii="仿宋" w:eastAsia="仿宋" w:hAnsi="仿宋" w:hint="eastAsia"/>
                <w:sz w:val="24"/>
              </w:rPr>
              <w:t>即时办结</w:t>
            </w:r>
          </w:p>
        </w:tc>
        <w:tc>
          <w:tcPr>
            <w:tcW w:w="958" w:type="dxa"/>
            <w:vMerge w:val="restart"/>
            <w:vAlign w:val="center"/>
          </w:tcPr>
          <w:p w:rsidR="00013EC7" w:rsidRDefault="00575CDB">
            <w:pPr>
              <w:spacing w:line="300" w:lineRule="exact"/>
              <w:jc w:val="left"/>
              <w:rPr>
                <w:rFonts w:ascii="仿宋" w:eastAsia="仿宋" w:hAnsi="仿宋"/>
                <w:sz w:val="24"/>
              </w:rPr>
            </w:pPr>
            <w:r>
              <w:rPr>
                <w:rFonts w:ascii="仿宋" w:eastAsia="仿宋" w:hAnsi="仿宋" w:hint="eastAsia"/>
                <w:sz w:val="24"/>
              </w:rPr>
              <w:t>是</w:t>
            </w:r>
          </w:p>
        </w:tc>
        <w:tc>
          <w:tcPr>
            <w:tcW w:w="1104" w:type="dxa"/>
            <w:vMerge w:val="restart"/>
            <w:vAlign w:val="center"/>
          </w:tcPr>
          <w:p w:rsidR="00013EC7" w:rsidRDefault="00575CDB">
            <w:pPr>
              <w:spacing w:line="300" w:lineRule="exact"/>
              <w:jc w:val="left"/>
              <w:rPr>
                <w:rFonts w:ascii="仿宋" w:eastAsia="仿宋" w:hAnsi="仿宋"/>
                <w:sz w:val="24"/>
              </w:rPr>
            </w:pPr>
            <w:r>
              <w:rPr>
                <w:rFonts w:ascii="仿宋" w:eastAsia="仿宋" w:hAnsi="仿宋"/>
                <w:sz w:val="24"/>
              </w:rPr>
              <w:t>国际税务处</w:t>
            </w:r>
          </w:p>
        </w:tc>
        <w:tc>
          <w:tcPr>
            <w:tcW w:w="1476" w:type="dxa"/>
            <w:vMerge w:val="restart"/>
            <w:vAlign w:val="center"/>
          </w:tcPr>
          <w:p w:rsidR="00013EC7" w:rsidRDefault="00013EC7">
            <w:pPr>
              <w:spacing w:line="300" w:lineRule="exact"/>
              <w:jc w:val="left"/>
              <w:rPr>
                <w:rFonts w:ascii="仿宋" w:eastAsia="仿宋" w:hAnsi="仿宋"/>
                <w:sz w:val="24"/>
              </w:rPr>
            </w:pPr>
          </w:p>
        </w:tc>
      </w:tr>
      <w:tr w:rsidR="00013EC7">
        <w:trPr>
          <w:trHeight w:val="4205"/>
          <w:jc w:val="center"/>
        </w:trPr>
        <w:tc>
          <w:tcPr>
            <w:tcW w:w="672" w:type="dxa"/>
            <w:vMerge/>
            <w:tcBorders>
              <w:bottom w:val="single" w:sz="4" w:space="0" w:color="auto"/>
            </w:tcBorders>
            <w:vAlign w:val="center"/>
          </w:tcPr>
          <w:p w:rsidR="00013EC7" w:rsidRDefault="00013EC7">
            <w:pPr>
              <w:spacing w:line="300" w:lineRule="exact"/>
              <w:jc w:val="left"/>
              <w:rPr>
                <w:rFonts w:ascii="仿宋" w:eastAsia="仿宋" w:hAnsi="仿宋"/>
                <w:sz w:val="24"/>
              </w:rPr>
            </w:pPr>
          </w:p>
        </w:tc>
        <w:tc>
          <w:tcPr>
            <w:tcW w:w="1035" w:type="dxa"/>
            <w:vMerge/>
            <w:tcBorders>
              <w:bottom w:val="single" w:sz="4" w:space="0" w:color="auto"/>
            </w:tcBorders>
            <w:vAlign w:val="center"/>
          </w:tcPr>
          <w:p w:rsidR="00013EC7" w:rsidRDefault="00013EC7">
            <w:pPr>
              <w:spacing w:line="310" w:lineRule="exact"/>
              <w:jc w:val="left"/>
              <w:rPr>
                <w:rFonts w:ascii="仿宋" w:eastAsia="仿宋" w:hAnsi="仿宋"/>
                <w:sz w:val="24"/>
              </w:rPr>
            </w:pPr>
          </w:p>
        </w:tc>
        <w:tc>
          <w:tcPr>
            <w:tcW w:w="2871" w:type="dxa"/>
            <w:vMerge/>
            <w:tcBorders>
              <w:bottom w:val="single" w:sz="4" w:space="0" w:color="auto"/>
            </w:tcBorders>
            <w:vAlign w:val="center"/>
          </w:tcPr>
          <w:p w:rsidR="00013EC7" w:rsidRDefault="00013EC7">
            <w:pPr>
              <w:spacing w:line="310" w:lineRule="exact"/>
              <w:jc w:val="left"/>
              <w:rPr>
                <w:rFonts w:ascii="仿宋" w:eastAsia="仿宋" w:hAnsi="仿宋"/>
                <w:sz w:val="24"/>
              </w:rPr>
            </w:pPr>
          </w:p>
        </w:tc>
        <w:tc>
          <w:tcPr>
            <w:tcW w:w="2571" w:type="dxa"/>
            <w:tcBorders>
              <w:top w:val="single" w:sz="4" w:space="0" w:color="auto"/>
              <w:bottom w:val="single" w:sz="4" w:space="0" w:color="auto"/>
            </w:tcBorders>
            <w:vAlign w:val="center"/>
          </w:tcPr>
          <w:p w:rsidR="00013EC7" w:rsidRDefault="00575CDB">
            <w:pPr>
              <w:spacing w:line="310" w:lineRule="exact"/>
              <w:jc w:val="left"/>
              <w:rPr>
                <w:rFonts w:ascii="仿宋" w:eastAsia="仿宋" w:hAnsi="仿宋"/>
                <w:sz w:val="24"/>
              </w:rPr>
            </w:pPr>
            <w:r>
              <w:rPr>
                <w:rFonts w:ascii="仿宋" w:eastAsia="仿宋" w:hAnsi="仿宋" w:hint="eastAsia"/>
                <w:sz w:val="24"/>
              </w:rPr>
              <w:t>（二）加盖公章的合同（协议）或相关交易凭证复印件（注明与原件一致，并加盖公章。外文文本应同时附送中文译本，同一笔合同需要多次对外支付的，只在首次对外支付时提供）。</w:t>
            </w:r>
          </w:p>
        </w:tc>
        <w:tc>
          <w:tcPr>
            <w:tcW w:w="1415" w:type="dxa"/>
            <w:vMerge/>
            <w:tcBorders>
              <w:bottom w:val="single" w:sz="4" w:space="0" w:color="auto"/>
            </w:tcBorders>
            <w:vAlign w:val="center"/>
          </w:tcPr>
          <w:p w:rsidR="00013EC7" w:rsidRDefault="00013EC7">
            <w:pPr>
              <w:spacing w:line="300" w:lineRule="exact"/>
              <w:jc w:val="left"/>
              <w:rPr>
                <w:rFonts w:ascii="仿宋" w:eastAsia="仿宋" w:hAnsi="仿宋"/>
                <w:sz w:val="24"/>
              </w:rPr>
            </w:pPr>
          </w:p>
        </w:tc>
        <w:tc>
          <w:tcPr>
            <w:tcW w:w="2100" w:type="dxa"/>
            <w:tcBorders>
              <w:bottom w:val="single" w:sz="4" w:space="0" w:color="auto"/>
            </w:tcBorders>
            <w:vAlign w:val="center"/>
          </w:tcPr>
          <w:p w:rsidR="00013EC7" w:rsidRDefault="00575CDB">
            <w:pPr>
              <w:spacing w:line="300" w:lineRule="exact"/>
              <w:jc w:val="left"/>
              <w:rPr>
                <w:rFonts w:ascii="仿宋" w:eastAsia="仿宋" w:hAnsi="仿宋" w:cs="宋体"/>
                <w:sz w:val="24"/>
              </w:rPr>
            </w:pPr>
            <w:r>
              <w:rPr>
                <w:rFonts w:ascii="仿宋" w:eastAsia="仿宋" w:hAnsi="仿宋" w:hint="eastAsia"/>
                <w:sz w:val="24"/>
              </w:rPr>
              <w:t>（二）加盖公章的合同（协议）或相关交易凭证复印件（注明与原件一致，并加盖公章。外文文本应同时附送中文译本，同一笔合同需要多次对外支付的，只在首次对外支付时提供）。</w:t>
            </w:r>
          </w:p>
        </w:tc>
        <w:tc>
          <w:tcPr>
            <w:tcW w:w="1628" w:type="dxa"/>
            <w:vMerge/>
            <w:tcBorders>
              <w:bottom w:val="single" w:sz="4" w:space="0" w:color="auto"/>
            </w:tcBorders>
            <w:vAlign w:val="center"/>
          </w:tcPr>
          <w:p w:rsidR="00013EC7" w:rsidRDefault="00013EC7">
            <w:pPr>
              <w:spacing w:line="310" w:lineRule="exact"/>
              <w:jc w:val="left"/>
              <w:rPr>
                <w:rFonts w:ascii="仿宋" w:eastAsia="仿宋" w:hAnsi="仿宋"/>
                <w:sz w:val="24"/>
              </w:rPr>
            </w:pPr>
          </w:p>
        </w:tc>
        <w:tc>
          <w:tcPr>
            <w:tcW w:w="2349" w:type="dxa"/>
            <w:vMerge/>
            <w:tcBorders>
              <w:bottom w:val="single" w:sz="4" w:space="0" w:color="auto"/>
            </w:tcBorders>
            <w:vAlign w:val="center"/>
          </w:tcPr>
          <w:p w:rsidR="00013EC7" w:rsidRDefault="00013EC7">
            <w:pPr>
              <w:spacing w:line="360" w:lineRule="auto"/>
              <w:ind w:firstLineChars="200" w:firstLine="480"/>
              <w:jc w:val="left"/>
              <w:rPr>
                <w:rFonts w:ascii="仿宋" w:eastAsia="仿宋" w:hAnsi="仿宋"/>
                <w:color w:val="000000"/>
                <w:sz w:val="24"/>
              </w:rPr>
            </w:pPr>
          </w:p>
        </w:tc>
        <w:tc>
          <w:tcPr>
            <w:tcW w:w="868" w:type="dxa"/>
            <w:vMerge/>
            <w:tcBorders>
              <w:bottom w:val="single" w:sz="4" w:space="0" w:color="auto"/>
            </w:tcBorders>
            <w:vAlign w:val="center"/>
          </w:tcPr>
          <w:p w:rsidR="00013EC7" w:rsidRDefault="00013EC7">
            <w:pPr>
              <w:spacing w:line="300" w:lineRule="exact"/>
              <w:jc w:val="left"/>
              <w:rPr>
                <w:rFonts w:ascii="仿宋" w:eastAsia="仿宋" w:hAnsi="仿宋"/>
                <w:sz w:val="24"/>
              </w:rPr>
            </w:pPr>
          </w:p>
        </w:tc>
        <w:tc>
          <w:tcPr>
            <w:tcW w:w="798" w:type="dxa"/>
            <w:vMerge/>
            <w:tcBorders>
              <w:bottom w:val="single" w:sz="4" w:space="0" w:color="auto"/>
            </w:tcBorders>
            <w:vAlign w:val="center"/>
          </w:tcPr>
          <w:p w:rsidR="00013EC7" w:rsidRDefault="00013EC7">
            <w:pPr>
              <w:spacing w:line="300" w:lineRule="exact"/>
              <w:jc w:val="left"/>
              <w:rPr>
                <w:rFonts w:ascii="仿宋" w:eastAsia="仿宋" w:hAnsi="仿宋"/>
                <w:sz w:val="24"/>
              </w:rPr>
            </w:pPr>
          </w:p>
        </w:tc>
        <w:tc>
          <w:tcPr>
            <w:tcW w:w="958" w:type="dxa"/>
            <w:vMerge/>
            <w:tcBorders>
              <w:bottom w:val="single" w:sz="4" w:space="0" w:color="auto"/>
            </w:tcBorders>
            <w:vAlign w:val="center"/>
          </w:tcPr>
          <w:p w:rsidR="00013EC7" w:rsidRDefault="00013EC7">
            <w:pPr>
              <w:spacing w:line="300" w:lineRule="exact"/>
              <w:jc w:val="left"/>
              <w:rPr>
                <w:rFonts w:ascii="仿宋" w:eastAsia="仿宋" w:hAnsi="仿宋"/>
                <w:sz w:val="24"/>
              </w:rPr>
            </w:pPr>
          </w:p>
        </w:tc>
        <w:tc>
          <w:tcPr>
            <w:tcW w:w="1104" w:type="dxa"/>
            <w:vMerge/>
            <w:tcBorders>
              <w:bottom w:val="single" w:sz="4" w:space="0" w:color="auto"/>
            </w:tcBorders>
            <w:vAlign w:val="center"/>
          </w:tcPr>
          <w:p w:rsidR="00013EC7" w:rsidRDefault="00013EC7">
            <w:pPr>
              <w:spacing w:line="300" w:lineRule="exact"/>
              <w:jc w:val="left"/>
              <w:rPr>
                <w:rFonts w:ascii="仿宋" w:eastAsia="仿宋" w:hAnsi="仿宋"/>
                <w:sz w:val="24"/>
              </w:rPr>
            </w:pPr>
          </w:p>
        </w:tc>
        <w:tc>
          <w:tcPr>
            <w:tcW w:w="1476" w:type="dxa"/>
            <w:vMerge/>
            <w:tcBorders>
              <w:bottom w:val="single" w:sz="4" w:space="0" w:color="auto"/>
            </w:tcBorders>
            <w:vAlign w:val="center"/>
          </w:tcPr>
          <w:p w:rsidR="00013EC7" w:rsidRDefault="00013EC7">
            <w:pPr>
              <w:spacing w:line="300" w:lineRule="exact"/>
              <w:jc w:val="left"/>
              <w:rPr>
                <w:rFonts w:ascii="仿宋" w:eastAsia="仿宋" w:hAnsi="仿宋"/>
                <w:sz w:val="24"/>
              </w:rPr>
            </w:pPr>
          </w:p>
        </w:tc>
      </w:tr>
    </w:tbl>
    <w:p w:rsidR="00013EC7" w:rsidRDefault="005262E6">
      <w:r>
        <w:rPr>
          <w:rFonts w:ascii="Calibri" w:hAnsi="Calibri"/>
          <w:kern w:val="0"/>
          <w:szCs w:val="22"/>
        </w:rPr>
        <w:lastRenderedPageBreak/>
        <w:object w:dxaOrig="1440" w:dyaOrig="1440">
          <v:shape id="_x0000_s1411" type="#_x0000_t75" style="position:absolute;left:0;text-align:left;margin-left:557.5pt;margin-top:76.8pt;width:443.75pt;height:490.7pt;z-index:251739136;mso-wrap-distance-top:0;mso-wrap-distance-bottom:0;mso-position-horizontal-relative:text;mso-position-vertical-relative:page;mso-width-relative:page;mso-height-relative:page">
            <v:imagedata r:id="rId456" o:title=""/>
            <w10:wrap type="topAndBottom" anchory="page"/>
          </v:shape>
          <o:OLEObject Type="Embed" ProgID="Visio.Drawing.11" ShapeID="_x0000_s1411" DrawAspect="Content" ObjectID="_1577296305" r:id="rId457"/>
        </w:object>
      </w:r>
      <w:r>
        <w:rPr>
          <w:rFonts w:ascii="Calibri" w:hAnsi="Calibri"/>
          <w:kern w:val="0"/>
          <w:szCs w:val="22"/>
        </w:rPr>
        <w:object w:dxaOrig="1440" w:dyaOrig="1440">
          <v:shape id="_x0000_s1410" type="#_x0000_t75" style="position:absolute;left:0;text-align:left;margin-left:0;margin-top:92.25pt;width:396.5pt;height:438pt;z-index:251738112;mso-wrap-distance-top:0;mso-wrap-distance-bottom:0;mso-position-horizontal-relative:text;mso-position-vertical-relative:page;mso-width-relative:page;mso-height-relative:page">
            <v:imagedata r:id="rId458" o:title=""/>
            <w10:wrap type="topAndBottom" anchory="page"/>
          </v:shape>
          <o:OLEObject Type="Embed" ProgID="Visio.Drawing.11" ShapeID="_x0000_s1410" DrawAspect="Content" ObjectID="_1577296306" r:id="rId459"/>
        </w:object>
      </w:r>
    </w:p>
    <w:p w:rsidR="00013EC7" w:rsidRDefault="00013EC7"/>
    <w:p w:rsidR="00013EC7" w:rsidRDefault="00013EC7"/>
    <w:p w:rsidR="00013EC7" w:rsidRDefault="00013EC7"/>
    <w:p w:rsidR="00013EC7" w:rsidRDefault="00013EC7"/>
    <w:p w:rsidR="00013EC7" w:rsidRDefault="00013EC7"/>
    <w:p w:rsidR="00013EC7" w:rsidRDefault="00013EC7"/>
    <w:p w:rsidR="00013EC7" w:rsidRDefault="00013EC7"/>
    <w:p w:rsidR="00013EC7" w:rsidRDefault="00013EC7"/>
    <w:p w:rsidR="00013EC7" w:rsidRDefault="00013EC7"/>
    <w:p w:rsidR="00013EC7" w:rsidRDefault="00575CDB">
      <w:pPr>
        <w:pStyle w:val="1"/>
      </w:pPr>
      <w:bookmarkStart w:id="538" w:name="_Toc3746"/>
      <w:bookmarkStart w:id="539" w:name="_Toc9652"/>
      <w:bookmarkStart w:id="540" w:name="_Toc503467477"/>
      <w:bookmarkStart w:id="541" w:name="_Toc18146"/>
      <w:bookmarkStart w:id="542" w:name="_Toc498705780"/>
      <w:r>
        <w:rPr>
          <w:rFonts w:hint="eastAsia"/>
        </w:rPr>
        <w:lastRenderedPageBreak/>
        <w:t>二十七、丢失增值税</w:t>
      </w:r>
      <w:r>
        <w:t>专用发票已报税证明单开具</w:t>
      </w:r>
      <w:bookmarkEnd w:id="538"/>
      <w:bookmarkEnd w:id="539"/>
      <w:bookmarkEnd w:id="540"/>
      <w:bookmarkEnd w:id="541"/>
    </w:p>
    <w:p w:rsidR="00013EC7" w:rsidRDefault="00575CDB">
      <w:pPr>
        <w:pStyle w:val="2"/>
      </w:pPr>
      <w:bookmarkStart w:id="543" w:name="_Toc335"/>
      <w:bookmarkStart w:id="544" w:name="_Toc15390"/>
      <w:bookmarkStart w:id="545" w:name="_Toc12264"/>
      <w:bookmarkStart w:id="546" w:name="_Toc503467478"/>
      <w:r>
        <w:t>27.1.</w:t>
      </w:r>
      <w:r>
        <w:rPr>
          <w:rFonts w:hint="eastAsia"/>
        </w:rPr>
        <w:t>丢失增值税</w:t>
      </w:r>
      <w:r>
        <w:t>专用发票已报税证明单开具</w:t>
      </w:r>
      <w:bookmarkEnd w:id="542"/>
      <w:bookmarkEnd w:id="543"/>
      <w:bookmarkEnd w:id="544"/>
      <w:bookmarkEnd w:id="545"/>
      <w:bookmarkEnd w:id="546"/>
    </w:p>
    <w:p w:rsidR="00013EC7" w:rsidRDefault="00575CDB">
      <w:pPr>
        <w:jc w:val="center"/>
        <w:rPr>
          <w:rFonts w:ascii="宋体" w:cs="宋体"/>
          <w:b/>
          <w:bCs/>
          <w:sz w:val="52"/>
          <w:szCs w:val="52"/>
        </w:rPr>
      </w:pPr>
      <w:r>
        <w:rPr>
          <w:rFonts w:ascii="宋体" w:hAnsi="宋体" w:cs="宋体" w:hint="eastAsia"/>
          <w:b/>
          <w:bCs/>
          <w:sz w:val="52"/>
          <w:szCs w:val="52"/>
        </w:rPr>
        <w:t>全省“最多跑一次”事项“八统一”梳理表</w:t>
      </w:r>
    </w:p>
    <w:p w:rsidR="00013EC7" w:rsidRDefault="00013EC7">
      <w:pPr>
        <w:rPr>
          <w:rFonts w:ascii="宋体" w:cs="宋体"/>
          <w:b/>
          <w:bCs/>
          <w:sz w:val="44"/>
          <w:szCs w:val="44"/>
        </w:rPr>
      </w:pPr>
    </w:p>
    <w:tbl>
      <w:tblPr>
        <w:tblW w:w="20704"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1250"/>
        <w:gridCol w:w="1316"/>
        <w:gridCol w:w="2114"/>
        <w:gridCol w:w="2785"/>
        <w:gridCol w:w="1118"/>
        <w:gridCol w:w="2403"/>
        <w:gridCol w:w="1196"/>
        <w:gridCol w:w="2565"/>
        <w:gridCol w:w="1134"/>
        <w:gridCol w:w="1112"/>
        <w:gridCol w:w="1064"/>
        <w:gridCol w:w="1282"/>
        <w:gridCol w:w="1365"/>
      </w:tblGrid>
      <w:tr w:rsidR="00013EC7">
        <w:trPr>
          <w:trHeight w:val="340"/>
          <w:tblHeader/>
          <w:jc w:val="center"/>
        </w:trPr>
        <w:tc>
          <w:tcPr>
            <w:tcW w:w="1250" w:type="dxa"/>
            <w:vMerge w:val="restart"/>
            <w:tcBorders>
              <w:top w:val="single" w:sz="8" w:space="0" w:color="auto"/>
              <w:left w:val="single" w:sz="8"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主项名称</w:t>
            </w:r>
          </w:p>
        </w:tc>
        <w:tc>
          <w:tcPr>
            <w:tcW w:w="1316" w:type="dxa"/>
            <w:vMerge w:val="restart"/>
            <w:tcBorders>
              <w:top w:val="single" w:sz="8"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子项名称</w:t>
            </w:r>
          </w:p>
        </w:tc>
        <w:tc>
          <w:tcPr>
            <w:tcW w:w="2114" w:type="dxa"/>
            <w:vMerge w:val="restart"/>
            <w:tcBorders>
              <w:top w:val="single" w:sz="8"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经办依据</w:t>
            </w:r>
          </w:p>
        </w:tc>
        <w:tc>
          <w:tcPr>
            <w:tcW w:w="3903" w:type="dxa"/>
            <w:gridSpan w:val="2"/>
            <w:tcBorders>
              <w:top w:val="single" w:sz="8"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原经办所需材料</w:t>
            </w:r>
          </w:p>
        </w:tc>
        <w:tc>
          <w:tcPr>
            <w:tcW w:w="6164" w:type="dxa"/>
            <w:gridSpan w:val="3"/>
            <w:tcBorders>
              <w:top w:val="single" w:sz="8"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梳理后经办所需材料</w:t>
            </w:r>
          </w:p>
        </w:tc>
        <w:tc>
          <w:tcPr>
            <w:tcW w:w="2246" w:type="dxa"/>
            <w:gridSpan w:val="2"/>
            <w:tcBorders>
              <w:top w:val="single" w:sz="8"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办理时限</w:t>
            </w:r>
          </w:p>
        </w:tc>
        <w:tc>
          <w:tcPr>
            <w:tcW w:w="1064" w:type="dxa"/>
            <w:vMerge w:val="restart"/>
            <w:tcBorders>
              <w:top w:val="single" w:sz="8"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是否实现跑零次</w:t>
            </w:r>
          </w:p>
        </w:tc>
        <w:tc>
          <w:tcPr>
            <w:tcW w:w="1282" w:type="dxa"/>
            <w:vMerge w:val="restart"/>
            <w:tcBorders>
              <w:top w:val="single" w:sz="8"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省厅对口</w:t>
            </w:r>
          </w:p>
          <w:p w:rsidR="00013EC7" w:rsidRDefault="00575CDB">
            <w:pPr>
              <w:spacing w:line="280" w:lineRule="exact"/>
              <w:jc w:val="center"/>
              <w:rPr>
                <w:rFonts w:ascii="黑体" w:eastAsia="黑体"/>
                <w:sz w:val="24"/>
              </w:rPr>
            </w:pPr>
            <w:r>
              <w:rPr>
                <w:rFonts w:ascii="黑体" w:eastAsia="黑体" w:hint="eastAsia"/>
                <w:sz w:val="24"/>
              </w:rPr>
              <w:t>指导处室</w:t>
            </w:r>
          </w:p>
          <w:p w:rsidR="00013EC7" w:rsidRDefault="00575CDB">
            <w:pPr>
              <w:spacing w:line="280" w:lineRule="exact"/>
              <w:jc w:val="center"/>
              <w:rPr>
                <w:rFonts w:ascii="黑体" w:eastAsia="黑体" w:hAnsi="Calibri"/>
                <w:sz w:val="24"/>
              </w:rPr>
            </w:pPr>
            <w:r>
              <w:rPr>
                <w:rFonts w:ascii="黑体" w:eastAsia="黑体" w:hint="eastAsia"/>
                <w:sz w:val="24"/>
              </w:rPr>
              <w:t>（单位）</w:t>
            </w:r>
          </w:p>
        </w:tc>
        <w:tc>
          <w:tcPr>
            <w:tcW w:w="1365" w:type="dxa"/>
            <w:vMerge w:val="restart"/>
            <w:tcBorders>
              <w:top w:val="single" w:sz="8" w:space="0" w:color="auto"/>
              <w:left w:val="single" w:sz="4" w:space="0" w:color="auto"/>
              <w:bottom w:val="single" w:sz="4" w:space="0" w:color="auto"/>
              <w:right w:val="single" w:sz="8"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进一步精简、</w:t>
            </w:r>
          </w:p>
          <w:p w:rsidR="00013EC7" w:rsidRDefault="00575CDB">
            <w:pPr>
              <w:spacing w:line="280" w:lineRule="exact"/>
              <w:jc w:val="center"/>
              <w:rPr>
                <w:rFonts w:ascii="黑体" w:eastAsia="黑体" w:hAnsi="Calibri"/>
                <w:sz w:val="24"/>
              </w:rPr>
            </w:pPr>
            <w:r>
              <w:rPr>
                <w:rFonts w:ascii="黑体" w:eastAsia="黑体" w:hint="eastAsia"/>
                <w:sz w:val="24"/>
              </w:rPr>
              <w:t>规范建议</w:t>
            </w:r>
          </w:p>
        </w:tc>
      </w:tr>
      <w:tr w:rsidR="00013EC7">
        <w:trPr>
          <w:trHeight w:val="340"/>
          <w:tblHeader/>
          <w:jc w:val="center"/>
        </w:trPr>
        <w:tc>
          <w:tcPr>
            <w:tcW w:w="1250" w:type="dxa"/>
            <w:vMerge/>
            <w:tcBorders>
              <w:top w:val="single" w:sz="8" w:space="0" w:color="auto"/>
              <w:left w:val="single" w:sz="8" w:space="0" w:color="auto"/>
              <w:bottom w:val="single" w:sz="4" w:space="0" w:color="auto"/>
              <w:right w:val="single" w:sz="4" w:space="0" w:color="auto"/>
            </w:tcBorders>
            <w:vAlign w:val="center"/>
          </w:tcPr>
          <w:p w:rsidR="00013EC7" w:rsidRDefault="00013EC7">
            <w:pPr>
              <w:widowControl/>
              <w:jc w:val="left"/>
              <w:rPr>
                <w:rFonts w:ascii="黑体" w:eastAsia="黑体" w:hAnsi="Calibri"/>
                <w:sz w:val="24"/>
              </w:rPr>
            </w:pPr>
          </w:p>
        </w:tc>
        <w:tc>
          <w:tcPr>
            <w:tcW w:w="1316" w:type="dxa"/>
            <w:vMerge/>
            <w:tcBorders>
              <w:top w:val="single" w:sz="8" w:space="0" w:color="auto"/>
              <w:left w:val="single" w:sz="4" w:space="0" w:color="auto"/>
              <w:bottom w:val="single" w:sz="4" w:space="0" w:color="auto"/>
              <w:right w:val="single" w:sz="4" w:space="0" w:color="auto"/>
            </w:tcBorders>
            <w:vAlign w:val="center"/>
          </w:tcPr>
          <w:p w:rsidR="00013EC7" w:rsidRDefault="00013EC7">
            <w:pPr>
              <w:widowControl/>
              <w:jc w:val="left"/>
              <w:rPr>
                <w:rFonts w:ascii="黑体" w:eastAsia="黑体" w:hAnsi="Calibri"/>
                <w:sz w:val="24"/>
              </w:rPr>
            </w:pPr>
          </w:p>
        </w:tc>
        <w:tc>
          <w:tcPr>
            <w:tcW w:w="2114" w:type="dxa"/>
            <w:vMerge/>
            <w:tcBorders>
              <w:top w:val="single" w:sz="8" w:space="0" w:color="auto"/>
              <w:left w:val="single" w:sz="4" w:space="0" w:color="auto"/>
              <w:bottom w:val="single" w:sz="4" w:space="0" w:color="auto"/>
              <w:right w:val="single" w:sz="4" w:space="0" w:color="auto"/>
            </w:tcBorders>
            <w:vAlign w:val="center"/>
          </w:tcPr>
          <w:p w:rsidR="00013EC7" w:rsidRDefault="00013EC7">
            <w:pPr>
              <w:widowControl/>
              <w:jc w:val="left"/>
              <w:rPr>
                <w:rFonts w:ascii="黑体" w:eastAsia="黑体" w:hAnsi="Calibri"/>
                <w:sz w:val="24"/>
              </w:rPr>
            </w:pPr>
          </w:p>
        </w:tc>
        <w:tc>
          <w:tcPr>
            <w:tcW w:w="2785"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材料明细</w:t>
            </w:r>
          </w:p>
        </w:tc>
        <w:tc>
          <w:tcPr>
            <w:tcW w:w="1118"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材料来源</w:t>
            </w:r>
          </w:p>
        </w:tc>
        <w:tc>
          <w:tcPr>
            <w:tcW w:w="2403"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材料明细</w:t>
            </w:r>
          </w:p>
        </w:tc>
        <w:tc>
          <w:tcPr>
            <w:tcW w:w="1196"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材料来源</w:t>
            </w:r>
          </w:p>
        </w:tc>
        <w:tc>
          <w:tcPr>
            <w:tcW w:w="2565"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办理方式及材料</w:t>
            </w:r>
          </w:p>
          <w:p w:rsidR="00013EC7" w:rsidRDefault="00575CDB">
            <w:pPr>
              <w:spacing w:line="280" w:lineRule="exact"/>
              <w:jc w:val="center"/>
              <w:rPr>
                <w:rFonts w:ascii="黑体" w:eastAsia="黑体" w:hAnsi="Calibri"/>
                <w:sz w:val="24"/>
              </w:rPr>
            </w:pPr>
            <w:r>
              <w:rPr>
                <w:rFonts w:ascii="黑体" w:eastAsia="黑体" w:hint="eastAsia"/>
                <w:sz w:val="24"/>
              </w:rPr>
              <w:t>信息获取方式说明</w:t>
            </w:r>
          </w:p>
        </w:tc>
        <w:tc>
          <w:tcPr>
            <w:tcW w:w="1134"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优化前</w:t>
            </w:r>
          </w:p>
        </w:tc>
        <w:tc>
          <w:tcPr>
            <w:tcW w:w="1112"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优化后</w:t>
            </w:r>
          </w:p>
        </w:tc>
        <w:tc>
          <w:tcPr>
            <w:tcW w:w="1064" w:type="dxa"/>
            <w:vMerge/>
            <w:tcBorders>
              <w:top w:val="single" w:sz="8" w:space="0" w:color="auto"/>
              <w:left w:val="single" w:sz="4" w:space="0" w:color="auto"/>
              <w:bottom w:val="single" w:sz="4" w:space="0" w:color="auto"/>
              <w:right w:val="single" w:sz="4" w:space="0" w:color="auto"/>
            </w:tcBorders>
            <w:vAlign w:val="center"/>
          </w:tcPr>
          <w:p w:rsidR="00013EC7" w:rsidRDefault="00013EC7">
            <w:pPr>
              <w:widowControl/>
              <w:jc w:val="left"/>
              <w:rPr>
                <w:rFonts w:ascii="黑体" w:eastAsia="黑体" w:hAnsi="Calibri"/>
                <w:sz w:val="24"/>
              </w:rPr>
            </w:pPr>
          </w:p>
        </w:tc>
        <w:tc>
          <w:tcPr>
            <w:tcW w:w="1282" w:type="dxa"/>
            <w:vMerge/>
            <w:tcBorders>
              <w:top w:val="single" w:sz="8" w:space="0" w:color="auto"/>
              <w:left w:val="single" w:sz="4" w:space="0" w:color="auto"/>
              <w:bottom w:val="single" w:sz="4" w:space="0" w:color="auto"/>
              <w:right w:val="single" w:sz="4" w:space="0" w:color="auto"/>
            </w:tcBorders>
            <w:vAlign w:val="center"/>
          </w:tcPr>
          <w:p w:rsidR="00013EC7" w:rsidRDefault="00013EC7">
            <w:pPr>
              <w:widowControl/>
              <w:jc w:val="left"/>
              <w:rPr>
                <w:rFonts w:ascii="黑体" w:eastAsia="黑体" w:hAnsi="Calibri"/>
                <w:sz w:val="24"/>
              </w:rPr>
            </w:pPr>
          </w:p>
        </w:tc>
        <w:tc>
          <w:tcPr>
            <w:tcW w:w="1365" w:type="dxa"/>
            <w:vMerge/>
            <w:tcBorders>
              <w:top w:val="single" w:sz="8" w:space="0" w:color="auto"/>
              <w:left w:val="single" w:sz="4" w:space="0" w:color="auto"/>
              <w:bottom w:val="single" w:sz="4" w:space="0" w:color="auto"/>
              <w:right w:val="single" w:sz="8" w:space="0" w:color="auto"/>
            </w:tcBorders>
            <w:vAlign w:val="center"/>
          </w:tcPr>
          <w:p w:rsidR="00013EC7" w:rsidRDefault="00013EC7">
            <w:pPr>
              <w:widowControl/>
              <w:jc w:val="left"/>
              <w:rPr>
                <w:rFonts w:ascii="黑体" w:eastAsia="黑体" w:hAnsi="Calibri"/>
                <w:sz w:val="24"/>
              </w:rPr>
            </w:pPr>
          </w:p>
        </w:tc>
      </w:tr>
      <w:tr w:rsidR="00013EC7">
        <w:trPr>
          <w:trHeight w:val="3825"/>
          <w:jc w:val="center"/>
        </w:trPr>
        <w:tc>
          <w:tcPr>
            <w:tcW w:w="1250" w:type="dxa"/>
            <w:tcBorders>
              <w:top w:val="single" w:sz="4" w:space="0" w:color="auto"/>
              <w:left w:val="single" w:sz="8" w:space="0" w:color="auto"/>
              <w:bottom w:val="single" w:sz="8" w:space="0" w:color="auto"/>
              <w:right w:val="single" w:sz="4" w:space="0" w:color="auto"/>
            </w:tcBorders>
            <w:shd w:val="clear" w:color="auto" w:fill="FFFFFF"/>
            <w:vAlign w:val="center"/>
          </w:tcPr>
          <w:p w:rsidR="00013EC7" w:rsidRDefault="00575CDB">
            <w:pPr>
              <w:widowControl/>
              <w:jc w:val="left"/>
              <w:textAlignment w:val="center"/>
              <w:rPr>
                <w:rFonts w:ascii="仿宋" w:eastAsia="仿宋" w:hAnsi="仿宋" w:cs="仿宋"/>
                <w:color w:val="000000"/>
                <w:sz w:val="24"/>
              </w:rPr>
            </w:pPr>
            <w:r>
              <w:rPr>
                <w:rFonts w:ascii="仿宋" w:eastAsia="仿宋" w:hAnsi="仿宋" w:cs="仿宋" w:hint="eastAsia"/>
                <w:color w:val="000000"/>
                <w:kern w:val="0"/>
                <w:sz w:val="24"/>
              </w:rPr>
              <w:t>27丢失增值税</w:t>
            </w:r>
            <w:r>
              <w:rPr>
                <w:rStyle w:val="font01"/>
                <w:rFonts w:ascii="仿宋" w:eastAsia="仿宋" w:hAnsi="仿宋" w:cs="仿宋" w:hint="default"/>
                <w:color w:val="000000"/>
                <w:sz w:val="24"/>
              </w:rPr>
              <w:t>专用发票已报税证明单开具</w:t>
            </w:r>
          </w:p>
        </w:tc>
        <w:tc>
          <w:tcPr>
            <w:tcW w:w="1316" w:type="dxa"/>
            <w:tcBorders>
              <w:top w:val="single" w:sz="4" w:space="0" w:color="auto"/>
              <w:left w:val="single" w:sz="4" w:space="0" w:color="auto"/>
              <w:bottom w:val="single" w:sz="8" w:space="0" w:color="auto"/>
              <w:right w:val="single" w:sz="4" w:space="0" w:color="auto"/>
            </w:tcBorders>
            <w:shd w:val="clear" w:color="auto" w:fill="FFFFFF"/>
            <w:vAlign w:val="center"/>
          </w:tcPr>
          <w:p w:rsidR="00013EC7" w:rsidRDefault="00575CDB">
            <w:pPr>
              <w:widowControl/>
              <w:jc w:val="left"/>
              <w:textAlignment w:val="center"/>
              <w:rPr>
                <w:rFonts w:ascii="仿宋" w:eastAsia="仿宋" w:hAnsi="仿宋" w:cs="仿宋"/>
                <w:color w:val="000000"/>
                <w:sz w:val="24"/>
              </w:rPr>
            </w:pPr>
            <w:r>
              <w:rPr>
                <w:rFonts w:ascii="仿宋" w:eastAsia="仿宋" w:hAnsi="仿宋" w:cs="仿宋" w:hint="eastAsia"/>
                <w:color w:val="000000"/>
                <w:kern w:val="0"/>
                <w:sz w:val="24"/>
              </w:rPr>
              <w:t>27.1丢失增值税</w:t>
            </w:r>
            <w:r>
              <w:rPr>
                <w:rStyle w:val="font01"/>
                <w:rFonts w:ascii="仿宋" w:eastAsia="仿宋" w:hAnsi="仿宋" w:cs="仿宋" w:hint="default"/>
                <w:color w:val="000000"/>
                <w:sz w:val="24"/>
              </w:rPr>
              <w:t>专用发票已报税证明单开具</w:t>
            </w:r>
          </w:p>
        </w:tc>
        <w:tc>
          <w:tcPr>
            <w:tcW w:w="2114" w:type="dxa"/>
            <w:tcBorders>
              <w:top w:val="single" w:sz="4" w:space="0" w:color="auto"/>
              <w:left w:val="single" w:sz="4" w:space="0" w:color="auto"/>
              <w:bottom w:val="single" w:sz="8" w:space="0" w:color="auto"/>
              <w:right w:val="single" w:sz="4" w:space="0" w:color="auto"/>
            </w:tcBorders>
            <w:shd w:val="clear" w:color="auto" w:fill="FFFFFF"/>
            <w:vAlign w:val="center"/>
          </w:tcPr>
          <w:p w:rsidR="00013EC7" w:rsidRDefault="00575CDB">
            <w:pPr>
              <w:widowControl/>
              <w:jc w:val="left"/>
              <w:textAlignment w:val="center"/>
              <w:rPr>
                <w:rFonts w:ascii="仿宋" w:eastAsia="仿宋" w:hAnsi="仿宋" w:cs="仿宋"/>
                <w:color w:val="000000"/>
                <w:kern w:val="0"/>
                <w:sz w:val="24"/>
              </w:rPr>
            </w:pPr>
            <w:r>
              <w:rPr>
                <w:rFonts w:ascii="仿宋" w:eastAsia="仿宋" w:hAnsi="仿宋" w:cs="仿宋" w:hint="eastAsia"/>
                <w:color w:val="000000"/>
                <w:kern w:val="0"/>
                <w:sz w:val="24"/>
              </w:rPr>
              <w:t>(一)《国家税务总局关于简化增值税发票领用和使用程序有关问题的公告》（国家税务总局公告2014年第19号）第三条。</w:t>
            </w:r>
          </w:p>
        </w:tc>
        <w:tc>
          <w:tcPr>
            <w:tcW w:w="2785" w:type="dxa"/>
            <w:tcBorders>
              <w:top w:val="single" w:sz="4" w:space="0" w:color="auto"/>
              <w:left w:val="single" w:sz="4" w:space="0" w:color="auto"/>
              <w:bottom w:val="single" w:sz="4" w:space="0" w:color="auto"/>
              <w:right w:val="single" w:sz="4" w:space="0" w:color="auto"/>
            </w:tcBorders>
            <w:shd w:val="clear" w:color="auto" w:fill="FFFFFF"/>
            <w:vAlign w:val="center"/>
          </w:tcPr>
          <w:p w:rsidR="00013EC7" w:rsidRDefault="00575CDB">
            <w:pPr>
              <w:widowControl/>
              <w:jc w:val="left"/>
              <w:textAlignment w:val="center"/>
              <w:rPr>
                <w:rFonts w:ascii="仿宋" w:eastAsia="仿宋" w:hAnsi="仿宋" w:cs="仿宋"/>
                <w:color w:val="000000"/>
                <w:kern w:val="0"/>
                <w:sz w:val="24"/>
              </w:rPr>
            </w:pPr>
            <w:r>
              <w:rPr>
                <w:rFonts w:ascii="仿宋" w:eastAsia="仿宋" w:hAnsi="仿宋" w:cs="仿宋" w:hint="eastAsia"/>
                <w:color w:val="000000"/>
                <w:kern w:val="0"/>
                <w:sz w:val="24"/>
              </w:rPr>
              <w:t>（一）已丢失增值税专用发票、货物运输业增值税专用发票的记账联复印件。</w:t>
            </w:r>
          </w:p>
        </w:tc>
        <w:tc>
          <w:tcPr>
            <w:tcW w:w="1118" w:type="dxa"/>
            <w:tcBorders>
              <w:top w:val="single" w:sz="4" w:space="0" w:color="auto"/>
              <w:left w:val="single" w:sz="4" w:space="0" w:color="auto"/>
              <w:bottom w:val="single" w:sz="8" w:space="0" w:color="auto"/>
              <w:right w:val="single" w:sz="4" w:space="0" w:color="auto"/>
            </w:tcBorders>
            <w:shd w:val="clear" w:color="auto" w:fill="FFFFFF"/>
            <w:vAlign w:val="center"/>
          </w:tcPr>
          <w:p w:rsidR="00013EC7" w:rsidRDefault="00575CDB">
            <w:pPr>
              <w:widowControl/>
              <w:jc w:val="left"/>
              <w:textAlignment w:val="center"/>
              <w:rPr>
                <w:rFonts w:ascii="仿宋" w:eastAsia="仿宋" w:hAnsi="仿宋" w:cs="仿宋"/>
                <w:color w:val="000000"/>
                <w:kern w:val="0"/>
                <w:sz w:val="24"/>
              </w:rPr>
            </w:pPr>
            <w:r>
              <w:rPr>
                <w:rFonts w:ascii="仿宋" w:eastAsia="仿宋" w:hAnsi="仿宋" w:cs="仿宋" w:hint="eastAsia"/>
                <w:color w:val="000000"/>
                <w:kern w:val="0"/>
                <w:sz w:val="24"/>
              </w:rPr>
              <w:t>纳税人提交</w:t>
            </w:r>
          </w:p>
        </w:tc>
        <w:tc>
          <w:tcPr>
            <w:tcW w:w="2403" w:type="dxa"/>
            <w:tcBorders>
              <w:top w:val="single" w:sz="4" w:space="0" w:color="auto"/>
              <w:left w:val="single" w:sz="4" w:space="0" w:color="auto"/>
              <w:bottom w:val="single" w:sz="8" w:space="0" w:color="auto"/>
              <w:right w:val="single" w:sz="4" w:space="0" w:color="auto"/>
            </w:tcBorders>
            <w:shd w:val="clear" w:color="auto" w:fill="FFFFFF"/>
            <w:vAlign w:val="center"/>
          </w:tcPr>
          <w:p w:rsidR="00013EC7" w:rsidRDefault="00575CDB">
            <w:pPr>
              <w:widowControl/>
              <w:jc w:val="left"/>
              <w:textAlignment w:val="center"/>
              <w:rPr>
                <w:rFonts w:ascii="仿宋" w:eastAsia="仿宋" w:hAnsi="仿宋" w:cs="仿宋"/>
                <w:color w:val="000000"/>
                <w:kern w:val="0"/>
                <w:sz w:val="24"/>
              </w:rPr>
            </w:pPr>
            <w:r>
              <w:rPr>
                <w:rFonts w:ascii="仿宋" w:eastAsia="仿宋" w:hAnsi="仿宋" w:cs="仿宋" w:hint="eastAsia"/>
                <w:color w:val="000000"/>
                <w:kern w:val="0"/>
                <w:sz w:val="24"/>
              </w:rPr>
              <w:t>（一）已丢失增值税专用发票的记账联复印件（注明与原件一致，并加盖公章）。</w:t>
            </w:r>
          </w:p>
        </w:tc>
        <w:tc>
          <w:tcPr>
            <w:tcW w:w="1196" w:type="dxa"/>
            <w:tcBorders>
              <w:top w:val="single" w:sz="4" w:space="0" w:color="auto"/>
              <w:left w:val="single" w:sz="4" w:space="0" w:color="auto"/>
              <w:bottom w:val="single" w:sz="8" w:space="0" w:color="auto"/>
              <w:right w:val="single" w:sz="4" w:space="0" w:color="auto"/>
            </w:tcBorders>
            <w:shd w:val="clear" w:color="auto" w:fill="FFFFFF"/>
            <w:vAlign w:val="center"/>
          </w:tcPr>
          <w:p w:rsidR="00013EC7" w:rsidRDefault="00575CDB">
            <w:pPr>
              <w:widowControl/>
              <w:jc w:val="left"/>
              <w:textAlignment w:val="center"/>
              <w:rPr>
                <w:rFonts w:ascii="仿宋" w:eastAsia="仿宋" w:hAnsi="仿宋" w:cs="仿宋"/>
                <w:b/>
                <w:bCs/>
                <w:i/>
                <w:iCs/>
                <w:color w:val="000000"/>
                <w:sz w:val="24"/>
              </w:rPr>
            </w:pPr>
            <w:r>
              <w:rPr>
                <w:rFonts w:ascii="仿宋" w:eastAsia="仿宋" w:hAnsi="仿宋" w:cs="仿宋" w:hint="eastAsia"/>
                <w:color w:val="000000"/>
                <w:kern w:val="0"/>
                <w:sz w:val="24"/>
              </w:rPr>
              <w:t>纳税人提交</w:t>
            </w:r>
          </w:p>
        </w:tc>
        <w:tc>
          <w:tcPr>
            <w:tcW w:w="2565" w:type="dxa"/>
            <w:tcBorders>
              <w:top w:val="single" w:sz="4" w:space="0" w:color="auto"/>
              <w:left w:val="single" w:sz="4" w:space="0" w:color="auto"/>
              <w:bottom w:val="single" w:sz="8" w:space="0" w:color="auto"/>
              <w:right w:val="single" w:sz="4" w:space="0" w:color="auto"/>
            </w:tcBorders>
            <w:shd w:val="clear" w:color="auto" w:fill="FFFFFF"/>
            <w:vAlign w:val="center"/>
          </w:tcPr>
          <w:p w:rsidR="00013EC7" w:rsidRDefault="00575CDB">
            <w:pPr>
              <w:widowControl/>
              <w:jc w:val="left"/>
              <w:textAlignment w:val="center"/>
              <w:rPr>
                <w:rFonts w:ascii="仿宋" w:eastAsia="仿宋" w:hAnsi="仿宋" w:cs="仿宋"/>
                <w:color w:val="000000"/>
                <w:kern w:val="0"/>
                <w:sz w:val="24"/>
              </w:rPr>
            </w:pPr>
            <w:r>
              <w:rPr>
                <w:rFonts w:ascii="仿宋" w:eastAsia="仿宋" w:hAnsi="仿宋" w:cs="仿宋" w:hint="eastAsia"/>
                <w:b/>
                <w:bCs/>
                <w:color w:val="000000"/>
                <w:kern w:val="0"/>
                <w:sz w:val="24"/>
              </w:rPr>
              <w:t>现场办理：</w:t>
            </w:r>
            <w:r>
              <w:rPr>
                <w:rFonts w:ascii="仿宋" w:eastAsia="仿宋" w:hAnsi="仿宋" w:cs="仿宋" w:hint="eastAsia"/>
                <w:color w:val="000000"/>
                <w:kern w:val="0"/>
                <w:sz w:val="24"/>
              </w:rPr>
              <w:t xml:space="preserve">纳税人提交书面材料。   </w:t>
            </w:r>
          </w:p>
          <w:p w:rsidR="00013EC7" w:rsidRDefault="00575CDB">
            <w:pPr>
              <w:widowControl/>
              <w:jc w:val="left"/>
              <w:textAlignment w:val="center"/>
              <w:rPr>
                <w:rFonts w:ascii="仿宋" w:eastAsia="仿宋" w:hAnsi="仿宋" w:cs="仿宋"/>
                <w:color w:val="000000"/>
                <w:sz w:val="24"/>
              </w:rPr>
            </w:pPr>
            <w:r>
              <w:rPr>
                <w:rFonts w:ascii="仿宋" w:eastAsia="仿宋" w:hAnsi="仿宋" w:cs="仿宋" w:hint="eastAsia"/>
                <w:b/>
                <w:bCs/>
                <w:color w:val="000000"/>
                <w:kern w:val="0"/>
                <w:sz w:val="24"/>
              </w:rPr>
              <w:t>网上办理：</w:t>
            </w:r>
            <w:r>
              <w:rPr>
                <w:rFonts w:ascii="仿宋" w:eastAsia="仿宋" w:hAnsi="仿宋" w:cs="仿宋" w:hint="eastAsia"/>
                <w:color w:val="000000"/>
                <w:kern w:val="0"/>
                <w:sz w:val="24"/>
              </w:rPr>
              <w:t xml:space="preserve">登录浙江国税电子税务局（网址：http://etax.zjtax.gov.cn/）提交申请；                                         </w:t>
            </w:r>
          </w:p>
        </w:tc>
        <w:tc>
          <w:tcPr>
            <w:tcW w:w="1134" w:type="dxa"/>
            <w:tcBorders>
              <w:top w:val="single" w:sz="4" w:space="0" w:color="auto"/>
              <w:left w:val="single" w:sz="4" w:space="0" w:color="auto"/>
              <w:bottom w:val="single" w:sz="8" w:space="0" w:color="auto"/>
              <w:right w:val="single" w:sz="4" w:space="0" w:color="auto"/>
            </w:tcBorders>
            <w:shd w:val="clear" w:color="auto" w:fill="FFFFFF"/>
            <w:vAlign w:val="center"/>
          </w:tcPr>
          <w:p w:rsidR="00013EC7" w:rsidRDefault="00575CDB">
            <w:pPr>
              <w:widowControl/>
              <w:jc w:val="left"/>
              <w:textAlignment w:val="center"/>
              <w:rPr>
                <w:rFonts w:ascii="仿宋" w:eastAsia="仿宋" w:hAnsi="仿宋" w:cs="仿宋"/>
                <w:color w:val="000000"/>
                <w:sz w:val="24"/>
              </w:rPr>
            </w:pPr>
            <w:r>
              <w:rPr>
                <w:rFonts w:ascii="仿宋" w:eastAsia="仿宋" w:hAnsi="仿宋" w:cs="仿宋" w:hint="eastAsia"/>
                <w:color w:val="000000"/>
                <w:kern w:val="0"/>
                <w:sz w:val="24"/>
              </w:rPr>
              <w:t>即时办结</w:t>
            </w:r>
          </w:p>
        </w:tc>
        <w:tc>
          <w:tcPr>
            <w:tcW w:w="1112" w:type="dxa"/>
            <w:tcBorders>
              <w:top w:val="single" w:sz="4" w:space="0" w:color="auto"/>
              <w:left w:val="single" w:sz="4" w:space="0" w:color="auto"/>
              <w:bottom w:val="single" w:sz="8" w:space="0" w:color="auto"/>
              <w:right w:val="single" w:sz="4" w:space="0" w:color="auto"/>
            </w:tcBorders>
            <w:shd w:val="clear" w:color="auto" w:fill="FFFFFF"/>
            <w:vAlign w:val="center"/>
          </w:tcPr>
          <w:p w:rsidR="00013EC7" w:rsidRDefault="00575CDB">
            <w:pPr>
              <w:widowControl/>
              <w:jc w:val="left"/>
              <w:textAlignment w:val="center"/>
              <w:rPr>
                <w:rFonts w:ascii="仿宋" w:eastAsia="仿宋" w:hAnsi="仿宋" w:cs="仿宋"/>
                <w:color w:val="000000"/>
                <w:sz w:val="24"/>
              </w:rPr>
            </w:pPr>
            <w:r>
              <w:rPr>
                <w:rFonts w:ascii="仿宋" w:eastAsia="仿宋" w:hAnsi="仿宋" w:cs="仿宋" w:hint="eastAsia"/>
                <w:color w:val="000000"/>
                <w:kern w:val="0"/>
                <w:sz w:val="24"/>
              </w:rPr>
              <w:t>即时办结</w:t>
            </w:r>
          </w:p>
        </w:tc>
        <w:tc>
          <w:tcPr>
            <w:tcW w:w="1064" w:type="dxa"/>
            <w:tcBorders>
              <w:top w:val="single" w:sz="4" w:space="0" w:color="auto"/>
              <w:left w:val="single" w:sz="4" w:space="0" w:color="auto"/>
              <w:bottom w:val="single" w:sz="8" w:space="0" w:color="auto"/>
              <w:right w:val="single" w:sz="4" w:space="0" w:color="auto"/>
            </w:tcBorders>
            <w:shd w:val="clear" w:color="auto" w:fill="FFFFFF"/>
            <w:vAlign w:val="center"/>
          </w:tcPr>
          <w:p w:rsidR="00013EC7" w:rsidRDefault="00575CDB">
            <w:pPr>
              <w:widowControl/>
              <w:jc w:val="left"/>
              <w:textAlignment w:val="center"/>
              <w:rPr>
                <w:rFonts w:ascii="仿宋" w:eastAsia="仿宋" w:hAnsi="仿宋" w:cs="仿宋"/>
                <w:color w:val="000000"/>
                <w:sz w:val="24"/>
              </w:rPr>
            </w:pPr>
            <w:r>
              <w:rPr>
                <w:rFonts w:ascii="仿宋" w:eastAsia="仿宋" w:hAnsi="仿宋" w:cs="仿宋" w:hint="eastAsia"/>
                <w:color w:val="000000"/>
                <w:kern w:val="0"/>
                <w:sz w:val="24"/>
              </w:rPr>
              <w:t>是</w:t>
            </w:r>
          </w:p>
        </w:tc>
        <w:tc>
          <w:tcPr>
            <w:tcW w:w="1282" w:type="dxa"/>
            <w:tcBorders>
              <w:top w:val="single" w:sz="4" w:space="0" w:color="auto"/>
              <w:left w:val="single" w:sz="4" w:space="0" w:color="auto"/>
              <w:bottom w:val="single" w:sz="8" w:space="0" w:color="auto"/>
              <w:right w:val="single" w:sz="4" w:space="0" w:color="auto"/>
            </w:tcBorders>
            <w:shd w:val="clear" w:color="auto" w:fill="FFFFFF"/>
            <w:vAlign w:val="center"/>
          </w:tcPr>
          <w:p w:rsidR="00013EC7" w:rsidRDefault="00575CDB">
            <w:pPr>
              <w:widowControl/>
              <w:jc w:val="left"/>
              <w:textAlignment w:val="center"/>
              <w:rPr>
                <w:rFonts w:ascii="仿宋" w:eastAsia="仿宋" w:hAnsi="仿宋" w:cs="仿宋"/>
                <w:color w:val="000000"/>
                <w:sz w:val="24"/>
              </w:rPr>
            </w:pPr>
            <w:r>
              <w:rPr>
                <w:rFonts w:ascii="仿宋" w:eastAsia="仿宋" w:hAnsi="仿宋" w:cs="仿宋" w:hint="eastAsia"/>
                <w:color w:val="000000"/>
                <w:kern w:val="0"/>
                <w:sz w:val="24"/>
              </w:rPr>
              <w:t>货物和劳务税处</w:t>
            </w:r>
          </w:p>
        </w:tc>
        <w:tc>
          <w:tcPr>
            <w:tcW w:w="1365" w:type="dxa"/>
            <w:tcBorders>
              <w:top w:val="single" w:sz="4" w:space="0" w:color="auto"/>
              <w:left w:val="single" w:sz="4" w:space="0" w:color="auto"/>
              <w:bottom w:val="single" w:sz="8" w:space="0" w:color="auto"/>
              <w:right w:val="single" w:sz="8" w:space="0" w:color="auto"/>
            </w:tcBorders>
            <w:shd w:val="clear" w:color="auto" w:fill="FFFFFF"/>
            <w:vAlign w:val="center"/>
          </w:tcPr>
          <w:p w:rsidR="00013EC7" w:rsidRDefault="00013EC7">
            <w:pPr>
              <w:jc w:val="left"/>
              <w:rPr>
                <w:rFonts w:ascii="仿宋" w:eastAsia="仿宋" w:hAnsi="仿宋" w:cs="仿宋"/>
                <w:color w:val="000000"/>
                <w:sz w:val="24"/>
              </w:rPr>
            </w:pPr>
          </w:p>
        </w:tc>
      </w:tr>
    </w:tbl>
    <w:p w:rsidR="00013EC7" w:rsidRDefault="00575CDB">
      <w:r>
        <w:br w:type="page"/>
      </w:r>
      <w:r w:rsidR="005262E6">
        <w:lastRenderedPageBreak/>
        <w:object w:dxaOrig="1440" w:dyaOrig="1440">
          <v:shape id="对象 211" o:spid="_x0000_s1304" type="#_x0000_t75" style="position:absolute;left:0;text-align:left;margin-left:552.75pt;margin-top:60.75pt;width:409.85pt;height:538.55pt;z-index:251633664;mso-wrap-distance-top:0;mso-wrap-distance-bottom:0;mso-width-relative:page;mso-height-relative:page">
            <v:imagedata r:id="rId460" o:title=""/>
            <w10:wrap type="topAndBottom"/>
          </v:shape>
          <o:OLEObject Type="Embed" ProgID="Visio.Drawing.11" ShapeID="对象 211" DrawAspect="Content" ObjectID="_1577296307" r:id="rId461"/>
        </w:object>
      </w:r>
      <w:r w:rsidR="005262E6">
        <w:object w:dxaOrig="1440" w:dyaOrig="1440">
          <v:shape id="_x0000_s1303" type="#_x0000_t75" style="position:absolute;left:0;text-align:left;margin-left:43.35pt;margin-top:123.2pt;width:425.5pt;height:537.35pt;z-index:251632640;mso-wrap-distance-top:0;mso-wrap-distance-bottom:0;mso-position-vertical-relative:page;mso-width-relative:page;mso-height-relative:page">
            <v:imagedata r:id="rId462" o:title=""/>
            <o:lock v:ext="edit" aspectratio="f"/>
            <w10:wrap type="topAndBottom" anchory="page"/>
          </v:shape>
          <o:OLEObject Type="Embed" ProgID="Visio.Drawing.11" ShapeID="_x0000_s1303" DrawAspect="Content" ObjectID="_1577296308" r:id="rId463"/>
        </w:object>
      </w:r>
      <w:r>
        <w:br w:type="page"/>
      </w:r>
    </w:p>
    <w:p w:rsidR="00013EC7" w:rsidRDefault="00575CDB">
      <w:pPr>
        <w:pStyle w:val="1"/>
      </w:pPr>
      <w:bookmarkStart w:id="547" w:name="_Toc31794"/>
      <w:bookmarkStart w:id="548" w:name="_Toc8504"/>
      <w:bookmarkStart w:id="549" w:name="_Toc503467479"/>
      <w:bookmarkStart w:id="550" w:name="_Toc1438"/>
      <w:r>
        <w:rPr>
          <w:rFonts w:hint="eastAsia"/>
        </w:rPr>
        <w:lastRenderedPageBreak/>
        <w:t>二十八、《非居民企业汇总申报企业所得税证明》开具</w:t>
      </w:r>
      <w:bookmarkEnd w:id="547"/>
      <w:bookmarkEnd w:id="548"/>
      <w:bookmarkEnd w:id="549"/>
      <w:bookmarkEnd w:id="550"/>
    </w:p>
    <w:p w:rsidR="00013EC7" w:rsidRDefault="00575CDB">
      <w:pPr>
        <w:pStyle w:val="2"/>
      </w:pPr>
      <w:bookmarkStart w:id="551" w:name="_Toc5790"/>
      <w:bookmarkStart w:id="552" w:name="_Toc25302"/>
      <w:bookmarkStart w:id="553" w:name="_Toc30573"/>
      <w:bookmarkStart w:id="554" w:name="_Toc503467480"/>
      <w:r>
        <w:rPr>
          <w:rFonts w:hint="eastAsia"/>
        </w:rPr>
        <w:t>28.1</w:t>
      </w:r>
      <w:r>
        <w:rPr>
          <w:rFonts w:hint="eastAsia"/>
        </w:rPr>
        <w:t>《非居民企业汇总申报企业所得税证明》开具</w:t>
      </w:r>
      <w:bookmarkEnd w:id="551"/>
      <w:bookmarkEnd w:id="552"/>
      <w:bookmarkEnd w:id="553"/>
      <w:bookmarkEnd w:id="554"/>
    </w:p>
    <w:p w:rsidR="00013EC7" w:rsidRDefault="00575CDB">
      <w:pPr>
        <w:jc w:val="center"/>
        <w:rPr>
          <w:rFonts w:eastAsia="仿宋_GB2312"/>
          <w:szCs w:val="21"/>
        </w:rPr>
      </w:pPr>
      <w:r>
        <w:rPr>
          <w:rFonts w:ascii="宋体" w:hAnsi="宋体" w:cs="宋体" w:hint="eastAsia"/>
          <w:b/>
          <w:bCs/>
          <w:sz w:val="52"/>
          <w:szCs w:val="52"/>
        </w:rPr>
        <w:t>全省“最多跑一次”事项“八统一”梳理表</w:t>
      </w:r>
    </w:p>
    <w:tbl>
      <w:tblPr>
        <w:tblW w:w="19845"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2114"/>
        <w:gridCol w:w="2785"/>
        <w:gridCol w:w="1118"/>
        <w:gridCol w:w="2058"/>
        <w:gridCol w:w="2126"/>
        <w:gridCol w:w="2733"/>
        <w:gridCol w:w="868"/>
        <w:gridCol w:w="798"/>
        <w:gridCol w:w="958"/>
        <w:gridCol w:w="1104"/>
        <w:gridCol w:w="1476"/>
      </w:tblGrid>
      <w:tr w:rsidR="00013EC7">
        <w:trPr>
          <w:trHeight w:val="340"/>
          <w:tblHeader/>
          <w:jc w:val="center"/>
        </w:trPr>
        <w:tc>
          <w:tcPr>
            <w:tcW w:w="672"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主项名称</w:t>
            </w:r>
          </w:p>
        </w:tc>
        <w:tc>
          <w:tcPr>
            <w:tcW w:w="1035"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子项名称</w:t>
            </w:r>
          </w:p>
        </w:tc>
        <w:tc>
          <w:tcPr>
            <w:tcW w:w="2114"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经办依据</w:t>
            </w:r>
          </w:p>
        </w:tc>
        <w:tc>
          <w:tcPr>
            <w:tcW w:w="3903"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原经办所需材料</w:t>
            </w:r>
          </w:p>
        </w:tc>
        <w:tc>
          <w:tcPr>
            <w:tcW w:w="6917" w:type="dxa"/>
            <w:gridSpan w:val="3"/>
            <w:vAlign w:val="center"/>
          </w:tcPr>
          <w:p w:rsidR="00013EC7" w:rsidRDefault="00575CDB">
            <w:pPr>
              <w:spacing w:line="280" w:lineRule="exact"/>
              <w:jc w:val="center"/>
              <w:rPr>
                <w:rFonts w:ascii="黑体" w:eastAsia="黑体"/>
                <w:sz w:val="24"/>
              </w:rPr>
            </w:pPr>
            <w:r>
              <w:rPr>
                <w:rFonts w:ascii="黑体" w:eastAsia="黑体" w:hint="eastAsia"/>
                <w:sz w:val="24"/>
              </w:rPr>
              <w:t>精简后经办所需材料</w:t>
            </w:r>
          </w:p>
        </w:tc>
        <w:tc>
          <w:tcPr>
            <w:tcW w:w="1666"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办理时限</w:t>
            </w:r>
          </w:p>
        </w:tc>
        <w:tc>
          <w:tcPr>
            <w:tcW w:w="958"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是否实现跑零次</w:t>
            </w:r>
          </w:p>
        </w:tc>
        <w:tc>
          <w:tcPr>
            <w:tcW w:w="1104"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省厅对口</w:t>
            </w:r>
          </w:p>
          <w:p w:rsidR="00013EC7" w:rsidRDefault="00575CDB">
            <w:pPr>
              <w:spacing w:line="280" w:lineRule="exact"/>
              <w:jc w:val="center"/>
              <w:rPr>
                <w:rFonts w:ascii="黑体" w:eastAsia="黑体"/>
                <w:sz w:val="24"/>
              </w:rPr>
            </w:pPr>
            <w:r>
              <w:rPr>
                <w:rFonts w:ascii="黑体" w:eastAsia="黑体" w:hint="eastAsia"/>
                <w:sz w:val="24"/>
              </w:rPr>
              <w:t>指导处室</w:t>
            </w:r>
          </w:p>
          <w:p w:rsidR="00013EC7" w:rsidRDefault="00575CDB">
            <w:pPr>
              <w:spacing w:line="280" w:lineRule="exact"/>
              <w:jc w:val="center"/>
              <w:rPr>
                <w:rFonts w:ascii="黑体" w:eastAsia="黑体"/>
                <w:sz w:val="24"/>
              </w:rPr>
            </w:pPr>
            <w:r>
              <w:rPr>
                <w:rFonts w:ascii="黑体" w:eastAsia="黑体" w:hint="eastAsia"/>
                <w:sz w:val="24"/>
              </w:rPr>
              <w:t>（单位）</w:t>
            </w:r>
          </w:p>
        </w:tc>
        <w:tc>
          <w:tcPr>
            <w:tcW w:w="1476"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进一步精简、</w:t>
            </w:r>
          </w:p>
          <w:p w:rsidR="00013EC7" w:rsidRDefault="00575CDB">
            <w:pPr>
              <w:spacing w:line="280" w:lineRule="exact"/>
              <w:jc w:val="center"/>
              <w:rPr>
                <w:rFonts w:ascii="黑体" w:eastAsia="黑体"/>
                <w:sz w:val="24"/>
              </w:rPr>
            </w:pPr>
            <w:r>
              <w:rPr>
                <w:rFonts w:ascii="黑体" w:eastAsia="黑体" w:hint="eastAsia"/>
                <w:sz w:val="24"/>
              </w:rPr>
              <w:t>规范建议</w:t>
            </w:r>
          </w:p>
        </w:tc>
      </w:tr>
      <w:tr w:rsidR="00013EC7">
        <w:trPr>
          <w:trHeight w:val="340"/>
          <w:tblHeader/>
          <w:jc w:val="center"/>
        </w:trPr>
        <w:tc>
          <w:tcPr>
            <w:tcW w:w="672" w:type="dxa"/>
            <w:vMerge/>
            <w:vAlign w:val="center"/>
          </w:tcPr>
          <w:p w:rsidR="00013EC7" w:rsidRDefault="00013EC7">
            <w:pPr>
              <w:spacing w:line="280" w:lineRule="exact"/>
              <w:jc w:val="center"/>
              <w:rPr>
                <w:rFonts w:ascii="黑体" w:eastAsia="黑体"/>
                <w:sz w:val="24"/>
              </w:rPr>
            </w:pPr>
          </w:p>
        </w:tc>
        <w:tc>
          <w:tcPr>
            <w:tcW w:w="1035" w:type="dxa"/>
            <w:vMerge/>
          </w:tcPr>
          <w:p w:rsidR="00013EC7" w:rsidRDefault="00013EC7">
            <w:pPr>
              <w:spacing w:line="280" w:lineRule="exact"/>
              <w:jc w:val="center"/>
              <w:rPr>
                <w:rFonts w:ascii="黑体" w:eastAsia="黑体"/>
                <w:sz w:val="24"/>
              </w:rPr>
            </w:pPr>
          </w:p>
        </w:tc>
        <w:tc>
          <w:tcPr>
            <w:tcW w:w="2114" w:type="dxa"/>
            <w:vMerge/>
          </w:tcPr>
          <w:p w:rsidR="00013EC7" w:rsidRDefault="00013EC7">
            <w:pPr>
              <w:spacing w:line="280" w:lineRule="exact"/>
              <w:jc w:val="center"/>
              <w:rPr>
                <w:rFonts w:ascii="黑体" w:eastAsia="黑体"/>
                <w:sz w:val="24"/>
              </w:rPr>
            </w:pPr>
          </w:p>
        </w:tc>
        <w:tc>
          <w:tcPr>
            <w:tcW w:w="2785" w:type="dxa"/>
            <w:tcBorders>
              <w:bottom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118"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2058" w:type="dxa"/>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2126"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2733" w:type="dxa"/>
            <w:vAlign w:val="center"/>
          </w:tcPr>
          <w:p w:rsidR="00013EC7" w:rsidRDefault="00575CDB">
            <w:pPr>
              <w:spacing w:line="280" w:lineRule="exact"/>
              <w:jc w:val="center"/>
              <w:rPr>
                <w:rFonts w:ascii="黑体" w:eastAsia="黑体"/>
                <w:sz w:val="24"/>
              </w:rPr>
            </w:pPr>
            <w:r>
              <w:rPr>
                <w:rFonts w:ascii="黑体" w:eastAsia="黑体" w:hint="eastAsia"/>
                <w:sz w:val="24"/>
              </w:rPr>
              <w:t>办理方式及材料</w:t>
            </w:r>
          </w:p>
          <w:p w:rsidR="00013EC7" w:rsidRDefault="00575CDB">
            <w:pPr>
              <w:spacing w:line="280" w:lineRule="exact"/>
              <w:jc w:val="center"/>
              <w:rPr>
                <w:rFonts w:ascii="黑体" w:eastAsia="黑体"/>
                <w:sz w:val="24"/>
              </w:rPr>
            </w:pPr>
            <w:r>
              <w:rPr>
                <w:rFonts w:ascii="黑体" w:eastAsia="黑体" w:hint="eastAsia"/>
                <w:sz w:val="24"/>
              </w:rPr>
              <w:t>信息获取方式说明</w:t>
            </w:r>
          </w:p>
        </w:tc>
        <w:tc>
          <w:tcPr>
            <w:tcW w:w="868" w:type="dxa"/>
            <w:vAlign w:val="center"/>
          </w:tcPr>
          <w:p w:rsidR="00013EC7" w:rsidRDefault="00575CDB">
            <w:pPr>
              <w:spacing w:line="280" w:lineRule="exact"/>
              <w:jc w:val="center"/>
              <w:rPr>
                <w:rFonts w:ascii="黑体" w:eastAsia="黑体"/>
                <w:sz w:val="24"/>
              </w:rPr>
            </w:pPr>
            <w:r>
              <w:rPr>
                <w:rFonts w:ascii="黑体" w:eastAsia="黑体" w:hint="eastAsia"/>
                <w:sz w:val="24"/>
              </w:rPr>
              <w:t>优化前</w:t>
            </w:r>
          </w:p>
        </w:tc>
        <w:tc>
          <w:tcPr>
            <w:tcW w:w="798" w:type="dxa"/>
            <w:vAlign w:val="center"/>
          </w:tcPr>
          <w:p w:rsidR="00013EC7" w:rsidRDefault="00575CDB">
            <w:pPr>
              <w:spacing w:line="280" w:lineRule="exact"/>
              <w:jc w:val="center"/>
              <w:rPr>
                <w:rFonts w:ascii="黑体" w:eastAsia="黑体"/>
                <w:sz w:val="24"/>
              </w:rPr>
            </w:pPr>
            <w:r>
              <w:rPr>
                <w:rFonts w:ascii="黑体" w:eastAsia="黑体" w:hint="eastAsia"/>
                <w:sz w:val="24"/>
              </w:rPr>
              <w:t>优化后</w:t>
            </w:r>
          </w:p>
        </w:tc>
        <w:tc>
          <w:tcPr>
            <w:tcW w:w="958" w:type="dxa"/>
            <w:vMerge/>
            <w:vAlign w:val="center"/>
          </w:tcPr>
          <w:p w:rsidR="00013EC7" w:rsidRDefault="00013EC7">
            <w:pPr>
              <w:rPr>
                <w:rFonts w:ascii="黑体" w:eastAsia="黑体"/>
                <w:sz w:val="24"/>
              </w:rPr>
            </w:pPr>
          </w:p>
        </w:tc>
        <w:tc>
          <w:tcPr>
            <w:tcW w:w="1104" w:type="dxa"/>
            <w:vMerge/>
            <w:vAlign w:val="center"/>
          </w:tcPr>
          <w:p w:rsidR="00013EC7" w:rsidRDefault="00013EC7">
            <w:pPr>
              <w:rPr>
                <w:rFonts w:ascii="黑体" w:eastAsia="黑体"/>
                <w:sz w:val="24"/>
              </w:rPr>
            </w:pPr>
          </w:p>
        </w:tc>
        <w:tc>
          <w:tcPr>
            <w:tcW w:w="1476" w:type="dxa"/>
            <w:vMerge/>
            <w:vAlign w:val="center"/>
          </w:tcPr>
          <w:p w:rsidR="00013EC7" w:rsidRDefault="00013EC7">
            <w:pPr>
              <w:rPr>
                <w:rFonts w:ascii="黑体" w:eastAsia="黑体"/>
                <w:sz w:val="24"/>
              </w:rPr>
            </w:pPr>
          </w:p>
        </w:tc>
      </w:tr>
      <w:tr w:rsidR="00013EC7">
        <w:trPr>
          <w:trHeight w:val="7053"/>
          <w:jc w:val="center"/>
        </w:trPr>
        <w:tc>
          <w:tcPr>
            <w:tcW w:w="672" w:type="dxa"/>
            <w:vAlign w:val="center"/>
          </w:tcPr>
          <w:p w:rsidR="00013EC7" w:rsidRDefault="00575CDB">
            <w:pPr>
              <w:spacing w:line="300" w:lineRule="exact"/>
              <w:rPr>
                <w:rFonts w:ascii="仿宋" w:eastAsia="仿宋" w:hAnsi="仿宋"/>
                <w:sz w:val="24"/>
              </w:rPr>
            </w:pPr>
            <w:r>
              <w:rPr>
                <w:rFonts w:ascii="仿宋" w:eastAsia="仿宋" w:hAnsi="仿宋" w:hint="eastAsia"/>
                <w:sz w:val="24"/>
              </w:rPr>
              <w:t>28</w:t>
            </w:r>
            <w:r>
              <w:rPr>
                <w:rFonts w:ascii="仿宋" w:eastAsia="仿宋" w:hAnsi="仿宋"/>
                <w:sz w:val="24"/>
              </w:rPr>
              <w:t>.</w:t>
            </w:r>
            <w:r>
              <w:rPr>
                <w:rFonts w:ascii="仿宋" w:eastAsia="仿宋" w:hAnsi="仿宋" w:hint="eastAsia"/>
                <w:sz w:val="24"/>
              </w:rPr>
              <w:t>《非居民企业汇总申报企业所得税证明》开具</w:t>
            </w:r>
          </w:p>
        </w:tc>
        <w:tc>
          <w:tcPr>
            <w:tcW w:w="1035" w:type="dxa"/>
            <w:vAlign w:val="center"/>
          </w:tcPr>
          <w:p w:rsidR="00013EC7" w:rsidRDefault="00575CDB">
            <w:pPr>
              <w:spacing w:line="310" w:lineRule="exact"/>
              <w:rPr>
                <w:rFonts w:ascii="仿宋" w:eastAsia="仿宋" w:hAnsi="仿宋"/>
                <w:sz w:val="24"/>
              </w:rPr>
            </w:pPr>
            <w:r>
              <w:rPr>
                <w:rFonts w:ascii="仿宋" w:eastAsia="仿宋" w:hAnsi="仿宋" w:hint="eastAsia"/>
                <w:sz w:val="24"/>
              </w:rPr>
              <w:t>28.1《非居民企业汇总申报企业所得税证明》开具</w:t>
            </w:r>
          </w:p>
        </w:tc>
        <w:tc>
          <w:tcPr>
            <w:tcW w:w="2114" w:type="dxa"/>
            <w:vAlign w:val="center"/>
          </w:tcPr>
          <w:p w:rsidR="00013EC7" w:rsidRDefault="00575CDB">
            <w:pPr>
              <w:spacing w:line="310" w:lineRule="exact"/>
              <w:rPr>
                <w:rFonts w:ascii="仿宋" w:eastAsia="仿宋" w:hAnsi="仿宋"/>
                <w:sz w:val="24"/>
              </w:rPr>
            </w:pPr>
            <w:r>
              <w:rPr>
                <w:rFonts w:ascii="仿宋" w:eastAsia="仿宋" w:hAnsi="仿宋" w:hint="eastAsia"/>
                <w:sz w:val="24"/>
              </w:rPr>
              <w:t>（一）《国家税务总局关于印发&lt;非居民企业所得税汇算清缴管理办法&gt;的通知》（国税发〔2009〕6号）第三条第六款。</w:t>
            </w:r>
          </w:p>
          <w:p w:rsidR="00013EC7" w:rsidRDefault="00575CDB">
            <w:pPr>
              <w:spacing w:line="310" w:lineRule="exact"/>
              <w:rPr>
                <w:rFonts w:ascii="仿宋" w:eastAsia="仿宋" w:hAnsi="仿宋"/>
                <w:sz w:val="24"/>
              </w:rPr>
            </w:pPr>
            <w:r>
              <w:rPr>
                <w:rFonts w:ascii="仿宋" w:eastAsia="仿宋" w:hAnsi="仿宋" w:hint="eastAsia"/>
                <w:sz w:val="24"/>
              </w:rPr>
              <w:t>（二）《国家税务总局关于印发&lt;非居民企业所得税汇算清缴工作规程&gt;的通知》（国税发〔2009〕11号）第二条第二款。</w:t>
            </w:r>
          </w:p>
        </w:tc>
        <w:tc>
          <w:tcPr>
            <w:tcW w:w="2785" w:type="dxa"/>
            <w:tcBorders>
              <w:top w:val="single" w:sz="4" w:space="0" w:color="auto"/>
            </w:tcBorders>
            <w:vAlign w:val="center"/>
          </w:tcPr>
          <w:p w:rsidR="00013EC7" w:rsidRDefault="00575CDB">
            <w:pPr>
              <w:spacing w:line="300" w:lineRule="exact"/>
              <w:rPr>
                <w:rFonts w:ascii="仿宋" w:eastAsia="仿宋" w:hAnsi="仿宋"/>
                <w:sz w:val="24"/>
              </w:rPr>
            </w:pPr>
            <w:r>
              <w:rPr>
                <w:rFonts w:ascii="仿宋" w:eastAsia="仿宋" w:hAnsi="仿宋" w:hint="eastAsia"/>
                <w:sz w:val="24"/>
              </w:rPr>
              <w:t>（一）</w:t>
            </w:r>
            <w:r>
              <w:rPr>
                <w:rFonts w:ascii="仿宋" w:eastAsia="仿宋" w:hAnsi="仿宋" w:cs="宋体" w:hint="eastAsia"/>
                <w:sz w:val="24"/>
              </w:rPr>
              <w:t>汇总申报缴纳所得税的证明材料。</w:t>
            </w:r>
          </w:p>
        </w:tc>
        <w:tc>
          <w:tcPr>
            <w:tcW w:w="1118" w:type="dxa"/>
            <w:vAlign w:val="center"/>
          </w:tcPr>
          <w:p w:rsidR="00013EC7" w:rsidRDefault="00575CDB">
            <w:pPr>
              <w:spacing w:line="300" w:lineRule="exact"/>
              <w:rPr>
                <w:rFonts w:ascii="仿宋" w:eastAsia="仿宋" w:hAnsi="仿宋"/>
                <w:sz w:val="24"/>
              </w:rPr>
            </w:pPr>
            <w:r>
              <w:rPr>
                <w:rFonts w:ascii="仿宋" w:eastAsia="仿宋" w:hAnsi="仿宋" w:hint="eastAsia"/>
                <w:sz w:val="24"/>
              </w:rPr>
              <w:t>纳税人</w:t>
            </w:r>
            <w:r>
              <w:rPr>
                <w:rFonts w:ascii="仿宋" w:eastAsia="仿宋" w:hAnsi="仿宋"/>
                <w:sz w:val="24"/>
              </w:rPr>
              <w:t>提交</w:t>
            </w:r>
          </w:p>
        </w:tc>
        <w:tc>
          <w:tcPr>
            <w:tcW w:w="2058" w:type="dxa"/>
            <w:vAlign w:val="center"/>
          </w:tcPr>
          <w:p w:rsidR="00013EC7" w:rsidRDefault="00575CDB">
            <w:pPr>
              <w:spacing w:line="300" w:lineRule="exact"/>
              <w:rPr>
                <w:rFonts w:ascii="仿宋" w:eastAsia="仿宋" w:hAnsi="仿宋"/>
                <w:sz w:val="24"/>
              </w:rPr>
            </w:pPr>
            <w:r>
              <w:rPr>
                <w:rFonts w:ascii="仿宋" w:eastAsia="仿宋" w:hAnsi="仿宋" w:hint="eastAsia"/>
                <w:sz w:val="24"/>
              </w:rPr>
              <w:t>（一）汇总申报缴纳所得税的证明材料。</w:t>
            </w:r>
          </w:p>
        </w:tc>
        <w:tc>
          <w:tcPr>
            <w:tcW w:w="2126" w:type="dxa"/>
            <w:vAlign w:val="center"/>
          </w:tcPr>
          <w:p w:rsidR="00013EC7" w:rsidRDefault="00575CDB">
            <w:pPr>
              <w:spacing w:line="300" w:lineRule="exact"/>
              <w:rPr>
                <w:rFonts w:ascii="仿宋" w:eastAsia="仿宋" w:hAnsi="仿宋"/>
                <w:b/>
                <w:bCs/>
                <w:i/>
                <w:iCs/>
                <w:sz w:val="24"/>
              </w:rPr>
            </w:pPr>
            <w:r>
              <w:rPr>
                <w:rFonts w:ascii="仿宋" w:eastAsia="仿宋" w:hAnsi="仿宋" w:cs="宋体" w:hint="eastAsia"/>
                <w:sz w:val="24"/>
              </w:rPr>
              <w:t>纳税人提交</w:t>
            </w:r>
          </w:p>
        </w:tc>
        <w:tc>
          <w:tcPr>
            <w:tcW w:w="2733"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申请单位提交书面材料。实名办税的由系统查询取得。</w:t>
            </w:r>
          </w:p>
          <w:p w:rsidR="00013EC7" w:rsidRDefault="00013EC7">
            <w:pPr>
              <w:spacing w:line="300" w:lineRule="exact"/>
              <w:rPr>
                <w:rFonts w:ascii="仿宋" w:eastAsia="仿宋" w:hAnsi="仿宋"/>
                <w:sz w:val="24"/>
              </w:rPr>
            </w:pPr>
          </w:p>
        </w:tc>
        <w:tc>
          <w:tcPr>
            <w:tcW w:w="868" w:type="dxa"/>
            <w:vAlign w:val="center"/>
          </w:tcPr>
          <w:p w:rsidR="00013EC7" w:rsidRDefault="00575CDB">
            <w:pPr>
              <w:spacing w:line="300" w:lineRule="exact"/>
              <w:rPr>
                <w:rFonts w:ascii="仿宋" w:eastAsia="仿宋" w:hAnsi="仿宋"/>
                <w:sz w:val="24"/>
              </w:rPr>
            </w:pPr>
            <w:r>
              <w:rPr>
                <w:rFonts w:ascii="仿宋" w:eastAsia="仿宋" w:hAnsi="仿宋" w:hint="eastAsia"/>
                <w:sz w:val="24"/>
              </w:rPr>
              <w:t>即时办结</w:t>
            </w:r>
          </w:p>
        </w:tc>
        <w:tc>
          <w:tcPr>
            <w:tcW w:w="798" w:type="dxa"/>
            <w:vAlign w:val="center"/>
          </w:tcPr>
          <w:p w:rsidR="00013EC7" w:rsidRDefault="00575CDB">
            <w:pPr>
              <w:spacing w:line="300" w:lineRule="exact"/>
              <w:rPr>
                <w:rFonts w:ascii="仿宋" w:eastAsia="仿宋" w:hAnsi="仿宋"/>
                <w:sz w:val="24"/>
              </w:rPr>
            </w:pPr>
            <w:r>
              <w:rPr>
                <w:rFonts w:ascii="仿宋" w:eastAsia="仿宋" w:hAnsi="仿宋" w:hint="eastAsia"/>
                <w:sz w:val="24"/>
              </w:rPr>
              <w:t>即时办结</w:t>
            </w:r>
          </w:p>
        </w:tc>
        <w:tc>
          <w:tcPr>
            <w:tcW w:w="958" w:type="dxa"/>
            <w:vAlign w:val="center"/>
          </w:tcPr>
          <w:p w:rsidR="00013EC7" w:rsidRDefault="00575CDB">
            <w:pPr>
              <w:spacing w:line="300" w:lineRule="exact"/>
              <w:rPr>
                <w:rFonts w:ascii="仿宋" w:eastAsia="仿宋" w:hAnsi="仿宋"/>
                <w:sz w:val="24"/>
              </w:rPr>
            </w:pPr>
            <w:r>
              <w:rPr>
                <w:rFonts w:ascii="仿宋" w:eastAsia="仿宋" w:hAnsi="仿宋"/>
                <w:sz w:val="24"/>
              </w:rPr>
              <w:t>否</w:t>
            </w:r>
          </w:p>
        </w:tc>
        <w:tc>
          <w:tcPr>
            <w:tcW w:w="1104" w:type="dxa"/>
            <w:vAlign w:val="center"/>
          </w:tcPr>
          <w:p w:rsidR="00013EC7" w:rsidRDefault="00575CDB">
            <w:pPr>
              <w:spacing w:line="300" w:lineRule="exact"/>
              <w:rPr>
                <w:rFonts w:ascii="仿宋" w:eastAsia="仿宋" w:hAnsi="仿宋"/>
                <w:sz w:val="24"/>
              </w:rPr>
            </w:pPr>
            <w:r>
              <w:rPr>
                <w:rFonts w:ascii="仿宋" w:eastAsia="仿宋" w:hAnsi="仿宋"/>
                <w:sz w:val="24"/>
              </w:rPr>
              <w:t>国际税务处</w:t>
            </w:r>
          </w:p>
        </w:tc>
        <w:tc>
          <w:tcPr>
            <w:tcW w:w="1476" w:type="dxa"/>
            <w:vAlign w:val="center"/>
          </w:tcPr>
          <w:p w:rsidR="00013EC7" w:rsidRDefault="00013EC7">
            <w:pPr>
              <w:spacing w:line="300" w:lineRule="exact"/>
              <w:rPr>
                <w:rFonts w:ascii="仿宋" w:eastAsia="仿宋" w:hAnsi="仿宋"/>
                <w:sz w:val="24"/>
              </w:rPr>
            </w:pPr>
          </w:p>
        </w:tc>
      </w:tr>
    </w:tbl>
    <w:p w:rsidR="00013EC7" w:rsidRDefault="00013EC7"/>
    <w:p w:rsidR="00013EC7" w:rsidRDefault="00013EC7"/>
    <w:p w:rsidR="00013EC7" w:rsidRDefault="00575CDB">
      <w:pPr>
        <w:jc w:val="left"/>
      </w:pPr>
      <w:r>
        <w:br w:type="page"/>
      </w:r>
      <w:r>
        <w:object w:dxaOrig="9638" w:dyaOrig="8868">
          <v:shape id="_x0000_i1198" type="#_x0000_t75" style="width:481.9pt;height:443.4pt" o:ole="">
            <v:imagedata r:id="rId464" o:title=""/>
          </v:shape>
          <o:OLEObject Type="Embed" ProgID="Visio.Drawing.11" ShapeID="_x0000_i1198" DrawAspect="Content" ObjectID="_1577296123" r:id="rId465"/>
        </w:object>
      </w:r>
    </w:p>
    <w:p w:rsidR="00013EC7" w:rsidRDefault="00013EC7">
      <w:pPr>
        <w:jc w:val="left"/>
        <w:rPr>
          <w:rFonts w:ascii="宋体" w:hAnsi="宋体" w:cs="仿宋"/>
          <w:sz w:val="28"/>
          <w:szCs w:val="28"/>
        </w:rPr>
      </w:pPr>
    </w:p>
    <w:p w:rsidR="00013EC7" w:rsidRDefault="00013EC7">
      <w:pPr>
        <w:jc w:val="left"/>
        <w:rPr>
          <w:rFonts w:ascii="宋体" w:hAnsi="宋体" w:cs="仿宋"/>
          <w:sz w:val="28"/>
          <w:szCs w:val="28"/>
        </w:rPr>
      </w:pPr>
    </w:p>
    <w:p w:rsidR="00013EC7" w:rsidRDefault="00013EC7">
      <w:pPr>
        <w:jc w:val="left"/>
        <w:rPr>
          <w:rFonts w:ascii="宋体" w:hAnsi="宋体" w:cs="仿宋"/>
          <w:sz w:val="28"/>
          <w:szCs w:val="28"/>
        </w:rPr>
      </w:pPr>
    </w:p>
    <w:p w:rsidR="00013EC7" w:rsidRDefault="00013EC7">
      <w:pPr>
        <w:jc w:val="left"/>
        <w:rPr>
          <w:rFonts w:ascii="宋体" w:hAnsi="宋体" w:cs="仿宋"/>
          <w:sz w:val="28"/>
          <w:szCs w:val="28"/>
        </w:rPr>
      </w:pPr>
    </w:p>
    <w:p w:rsidR="00013EC7" w:rsidRDefault="00013EC7">
      <w:pPr>
        <w:jc w:val="left"/>
        <w:rPr>
          <w:rFonts w:ascii="宋体" w:hAnsi="宋体" w:cs="仿宋"/>
          <w:sz w:val="28"/>
          <w:szCs w:val="28"/>
        </w:rPr>
      </w:pPr>
    </w:p>
    <w:p w:rsidR="00013EC7" w:rsidRDefault="00013EC7">
      <w:pPr>
        <w:jc w:val="left"/>
        <w:rPr>
          <w:rFonts w:ascii="宋体" w:hAnsi="宋体" w:cs="仿宋"/>
          <w:sz w:val="28"/>
          <w:szCs w:val="28"/>
        </w:rPr>
      </w:pPr>
    </w:p>
    <w:p w:rsidR="00013EC7" w:rsidRDefault="00575CDB">
      <w:pPr>
        <w:pStyle w:val="1"/>
      </w:pPr>
      <w:bookmarkStart w:id="555" w:name="_Toc17155"/>
      <w:bookmarkStart w:id="556" w:name="_Toc503467481"/>
      <w:bookmarkStart w:id="557" w:name="_Toc8134"/>
      <w:bookmarkStart w:id="558" w:name="_Toc24192"/>
      <w:r>
        <w:rPr>
          <w:rFonts w:hint="eastAsia"/>
        </w:rPr>
        <w:lastRenderedPageBreak/>
        <w:t>二十九、出口退（免）税事项办理</w:t>
      </w:r>
      <w:bookmarkEnd w:id="555"/>
      <w:bookmarkEnd w:id="556"/>
      <w:bookmarkEnd w:id="557"/>
      <w:bookmarkEnd w:id="558"/>
    </w:p>
    <w:p w:rsidR="00013EC7" w:rsidRDefault="00575CDB">
      <w:pPr>
        <w:pStyle w:val="2"/>
      </w:pPr>
      <w:bookmarkStart w:id="559" w:name="_Toc6492"/>
      <w:bookmarkStart w:id="560" w:name="_Toc503467482"/>
      <w:bookmarkStart w:id="561" w:name="_Toc19968"/>
      <w:bookmarkStart w:id="562" w:name="_Toc26214"/>
      <w:r>
        <w:rPr>
          <w:rFonts w:hint="eastAsia"/>
        </w:rPr>
        <w:t>29.1</w:t>
      </w:r>
      <w:r>
        <w:rPr>
          <w:rFonts w:hint="eastAsia"/>
        </w:rPr>
        <w:t>出口退（免）税备案</w:t>
      </w:r>
      <w:bookmarkEnd w:id="559"/>
      <w:bookmarkEnd w:id="560"/>
      <w:bookmarkEnd w:id="561"/>
      <w:bookmarkEnd w:id="562"/>
    </w:p>
    <w:p w:rsidR="00013EC7" w:rsidRDefault="00575CDB">
      <w:pPr>
        <w:jc w:val="center"/>
        <w:rPr>
          <w:rFonts w:eastAsia="仿宋_GB2312"/>
          <w:szCs w:val="21"/>
        </w:rPr>
      </w:pPr>
      <w:r>
        <w:rPr>
          <w:rFonts w:ascii="宋体" w:hAnsi="宋体" w:cs="宋体" w:hint="eastAsia"/>
          <w:b/>
          <w:bCs/>
          <w:sz w:val="52"/>
          <w:szCs w:val="52"/>
        </w:rPr>
        <w:t>全省“最多跑一次”事项“八统一”梳理表</w:t>
      </w:r>
    </w:p>
    <w:tbl>
      <w:tblPr>
        <w:tblW w:w="20592"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2622"/>
        <w:gridCol w:w="2760"/>
        <w:gridCol w:w="1288"/>
        <w:gridCol w:w="2837"/>
        <w:gridCol w:w="1326"/>
        <w:gridCol w:w="2861"/>
        <w:gridCol w:w="855"/>
        <w:gridCol w:w="798"/>
        <w:gridCol w:w="958"/>
        <w:gridCol w:w="1104"/>
        <w:gridCol w:w="1476"/>
      </w:tblGrid>
      <w:tr w:rsidR="00013EC7">
        <w:trPr>
          <w:trHeight w:val="340"/>
          <w:tblHeader/>
          <w:jc w:val="center"/>
        </w:trPr>
        <w:tc>
          <w:tcPr>
            <w:tcW w:w="672" w:type="dxa"/>
            <w:vMerge w:val="restart"/>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主项名称</w:t>
            </w:r>
          </w:p>
        </w:tc>
        <w:tc>
          <w:tcPr>
            <w:tcW w:w="1035" w:type="dxa"/>
            <w:vMerge w:val="restart"/>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子项名称</w:t>
            </w:r>
          </w:p>
        </w:tc>
        <w:tc>
          <w:tcPr>
            <w:tcW w:w="2622" w:type="dxa"/>
            <w:vMerge w:val="restart"/>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经办依据</w:t>
            </w:r>
          </w:p>
        </w:tc>
        <w:tc>
          <w:tcPr>
            <w:tcW w:w="4048" w:type="dxa"/>
            <w:gridSpan w:val="2"/>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原经办所需材料</w:t>
            </w:r>
          </w:p>
        </w:tc>
        <w:tc>
          <w:tcPr>
            <w:tcW w:w="7024" w:type="dxa"/>
            <w:gridSpan w:val="3"/>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精简后经办所需材料</w:t>
            </w:r>
          </w:p>
        </w:tc>
        <w:tc>
          <w:tcPr>
            <w:tcW w:w="1653" w:type="dxa"/>
            <w:gridSpan w:val="2"/>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办理时限</w:t>
            </w:r>
          </w:p>
        </w:tc>
        <w:tc>
          <w:tcPr>
            <w:tcW w:w="958" w:type="dxa"/>
            <w:vMerge w:val="restart"/>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是否实现跑零次</w:t>
            </w:r>
          </w:p>
        </w:tc>
        <w:tc>
          <w:tcPr>
            <w:tcW w:w="1104" w:type="dxa"/>
            <w:vMerge w:val="restart"/>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省厅对口</w:t>
            </w:r>
          </w:p>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指导处室</w:t>
            </w:r>
          </w:p>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（单位）</w:t>
            </w:r>
          </w:p>
        </w:tc>
        <w:tc>
          <w:tcPr>
            <w:tcW w:w="1476" w:type="dxa"/>
            <w:vMerge w:val="restart"/>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进一步精简、</w:t>
            </w:r>
          </w:p>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规范建议</w:t>
            </w:r>
          </w:p>
        </w:tc>
      </w:tr>
      <w:tr w:rsidR="00013EC7">
        <w:trPr>
          <w:trHeight w:val="340"/>
          <w:tblHeader/>
          <w:jc w:val="center"/>
        </w:trPr>
        <w:tc>
          <w:tcPr>
            <w:tcW w:w="672" w:type="dxa"/>
            <w:vMerge/>
            <w:vAlign w:val="center"/>
          </w:tcPr>
          <w:p w:rsidR="00013EC7" w:rsidRDefault="00013EC7">
            <w:pPr>
              <w:jc w:val="center"/>
              <w:rPr>
                <w:rFonts w:ascii="黑体" w:eastAsia="黑体" w:hAnsi="黑体" w:cs="黑体"/>
                <w:sz w:val="24"/>
              </w:rPr>
            </w:pPr>
          </w:p>
        </w:tc>
        <w:tc>
          <w:tcPr>
            <w:tcW w:w="1035" w:type="dxa"/>
            <w:vMerge/>
            <w:vAlign w:val="center"/>
          </w:tcPr>
          <w:p w:rsidR="00013EC7" w:rsidRDefault="00013EC7">
            <w:pPr>
              <w:jc w:val="center"/>
              <w:rPr>
                <w:rFonts w:ascii="黑体" w:eastAsia="黑体" w:hAnsi="黑体" w:cs="黑体"/>
                <w:sz w:val="24"/>
              </w:rPr>
            </w:pPr>
          </w:p>
        </w:tc>
        <w:tc>
          <w:tcPr>
            <w:tcW w:w="2622" w:type="dxa"/>
            <w:vMerge/>
            <w:vAlign w:val="center"/>
          </w:tcPr>
          <w:p w:rsidR="00013EC7" w:rsidRDefault="00013EC7">
            <w:pPr>
              <w:jc w:val="center"/>
              <w:rPr>
                <w:rFonts w:ascii="黑体" w:eastAsia="黑体" w:hAnsi="黑体" w:cs="黑体"/>
                <w:sz w:val="24"/>
              </w:rPr>
            </w:pPr>
          </w:p>
        </w:tc>
        <w:tc>
          <w:tcPr>
            <w:tcW w:w="2760" w:type="dxa"/>
            <w:tcBorders>
              <w:bottom w:val="single" w:sz="4" w:space="0" w:color="auto"/>
            </w:tcBorders>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材料明细</w:t>
            </w:r>
          </w:p>
        </w:tc>
        <w:tc>
          <w:tcPr>
            <w:tcW w:w="1288"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材料来源</w:t>
            </w:r>
          </w:p>
        </w:tc>
        <w:tc>
          <w:tcPr>
            <w:tcW w:w="2837"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材料明细</w:t>
            </w:r>
          </w:p>
        </w:tc>
        <w:tc>
          <w:tcPr>
            <w:tcW w:w="1326"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材料来源</w:t>
            </w:r>
          </w:p>
        </w:tc>
        <w:tc>
          <w:tcPr>
            <w:tcW w:w="2861"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办理方式及材料</w:t>
            </w:r>
          </w:p>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信息获取方式说明</w:t>
            </w:r>
          </w:p>
        </w:tc>
        <w:tc>
          <w:tcPr>
            <w:tcW w:w="855"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优化前</w:t>
            </w:r>
          </w:p>
        </w:tc>
        <w:tc>
          <w:tcPr>
            <w:tcW w:w="798"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优化后</w:t>
            </w: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2303"/>
          <w:jc w:val="center"/>
        </w:trPr>
        <w:tc>
          <w:tcPr>
            <w:tcW w:w="672" w:type="dxa"/>
            <w:vMerge w:val="restart"/>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29.出口退（免）税事项办理</w:t>
            </w:r>
          </w:p>
        </w:tc>
        <w:tc>
          <w:tcPr>
            <w:tcW w:w="1035" w:type="dxa"/>
            <w:vMerge w:val="restart"/>
            <w:vAlign w:val="center"/>
          </w:tcPr>
          <w:p w:rsidR="00013EC7" w:rsidRDefault="00575CDB">
            <w:pPr>
              <w:spacing w:line="310" w:lineRule="exact"/>
              <w:rPr>
                <w:rFonts w:ascii="仿宋" w:eastAsia="仿宋" w:hAnsi="仿宋" w:cs="仿宋"/>
                <w:sz w:val="24"/>
              </w:rPr>
            </w:pPr>
            <w:r>
              <w:rPr>
                <w:rFonts w:ascii="仿宋" w:eastAsia="仿宋" w:hAnsi="仿宋" w:cs="仿宋" w:hint="eastAsia"/>
                <w:sz w:val="24"/>
              </w:rPr>
              <w:t>29.1出口退（免）税备案</w:t>
            </w:r>
          </w:p>
        </w:tc>
        <w:tc>
          <w:tcPr>
            <w:tcW w:w="2622" w:type="dxa"/>
            <w:vMerge w:val="restart"/>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（一）《财政部 国家税务总局关于出口货物劳务增值税和消费税政策的通知》（财税〔2012〕39号）第九条。</w:t>
            </w:r>
          </w:p>
          <w:p w:rsidR="00013EC7" w:rsidRDefault="00575CDB">
            <w:pPr>
              <w:rPr>
                <w:rFonts w:ascii="仿宋" w:eastAsia="仿宋" w:hAnsi="仿宋" w:cs="仿宋"/>
                <w:kern w:val="1"/>
                <w:sz w:val="24"/>
              </w:rPr>
            </w:pPr>
            <w:r>
              <w:rPr>
                <w:rFonts w:ascii="仿宋" w:eastAsia="仿宋" w:hAnsi="仿宋" w:cs="仿宋" w:hint="eastAsia"/>
                <w:kern w:val="1"/>
                <w:sz w:val="24"/>
              </w:rPr>
              <w:t>（二）《税务总局关于发布&lt;出口货物劳务增值税和消费税管理办法&gt;的公告》（国家税务总局公告2012年第24号）第三条。</w:t>
            </w:r>
          </w:p>
          <w:p w:rsidR="00013EC7" w:rsidRDefault="00575CDB">
            <w:pPr>
              <w:rPr>
                <w:rFonts w:ascii="仿宋" w:eastAsia="仿宋" w:hAnsi="仿宋" w:cs="仿宋"/>
                <w:kern w:val="1"/>
                <w:sz w:val="24"/>
              </w:rPr>
            </w:pPr>
            <w:r>
              <w:rPr>
                <w:rFonts w:ascii="仿宋" w:eastAsia="仿宋" w:hAnsi="仿宋" w:cs="仿宋" w:hint="eastAsia"/>
                <w:kern w:val="1"/>
                <w:sz w:val="24"/>
              </w:rPr>
              <w:t>（三）《国家税务总局关于&lt;出口货物劳务增值税和消费税管理办法&gt;有关问题的公告》（国家税务总局公告2013年第12号）第一条。</w:t>
            </w:r>
          </w:p>
          <w:p w:rsidR="00013EC7" w:rsidRDefault="00575CDB">
            <w:pPr>
              <w:rPr>
                <w:rFonts w:ascii="仿宋" w:eastAsia="仿宋" w:hAnsi="仿宋" w:cs="仿宋"/>
                <w:kern w:val="1"/>
                <w:sz w:val="24"/>
              </w:rPr>
            </w:pPr>
            <w:r>
              <w:rPr>
                <w:rFonts w:ascii="仿宋" w:eastAsia="仿宋" w:hAnsi="仿宋" w:cs="仿宋" w:hint="eastAsia"/>
                <w:kern w:val="1"/>
                <w:sz w:val="24"/>
              </w:rPr>
              <w:t>（四）《财政部 国家税务总局关于全面推开营业税改征增值税试点的通知》（财税〔2016〕36号）附件4。</w:t>
            </w:r>
          </w:p>
          <w:p w:rsidR="00013EC7" w:rsidRDefault="00575CDB">
            <w:pPr>
              <w:rPr>
                <w:rFonts w:ascii="仿宋" w:eastAsia="仿宋" w:hAnsi="仿宋" w:cs="仿宋"/>
                <w:kern w:val="1"/>
                <w:sz w:val="24"/>
              </w:rPr>
            </w:pPr>
            <w:r>
              <w:rPr>
                <w:rFonts w:ascii="仿宋" w:eastAsia="仿宋" w:hAnsi="仿宋" w:cs="仿宋" w:hint="eastAsia"/>
                <w:kern w:val="1"/>
                <w:sz w:val="24"/>
              </w:rPr>
              <w:t>（五）《国家税务总局关于发布〈适用增值税零税率应税服务退（免）税管理办法〉的公告》（国家税务总局公告2014年第11号）第九条，第十条，第十一条。</w:t>
            </w:r>
          </w:p>
          <w:p w:rsidR="00013EC7" w:rsidRDefault="00575CDB">
            <w:pPr>
              <w:rPr>
                <w:rFonts w:ascii="仿宋" w:eastAsia="仿宋" w:hAnsi="仿宋" w:cs="仿宋"/>
                <w:kern w:val="1"/>
                <w:sz w:val="24"/>
              </w:rPr>
            </w:pPr>
            <w:r>
              <w:rPr>
                <w:rFonts w:ascii="仿宋" w:eastAsia="仿宋" w:hAnsi="仿宋" w:cs="仿宋" w:hint="eastAsia"/>
                <w:kern w:val="1"/>
                <w:sz w:val="24"/>
              </w:rPr>
              <w:lastRenderedPageBreak/>
              <w:t>（六）《国家税务总局关于发布&lt;融资租赁货物出口退税管理办法&gt;的公告》（国家税务总局公告2014年第56号）第四条，第五条，第六条。</w:t>
            </w:r>
          </w:p>
          <w:p w:rsidR="00013EC7" w:rsidRDefault="00575CDB">
            <w:pPr>
              <w:rPr>
                <w:rFonts w:ascii="仿宋" w:eastAsia="仿宋" w:hAnsi="仿宋" w:cs="仿宋"/>
                <w:kern w:val="1"/>
                <w:sz w:val="24"/>
              </w:rPr>
            </w:pPr>
            <w:r>
              <w:rPr>
                <w:rFonts w:ascii="仿宋" w:eastAsia="仿宋" w:hAnsi="仿宋" w:cs="仿宋" w:hint="eastAsia"/>
                <w:kern w:val="1"/>
                <w:sz w:val="24"/>
              </w:rPr>
              <w:t>（七）《国家税务总局关于出口退（免）税有关问题的公告》（国家税务总局公告2015年第29号）第一条。</w:t>
            </w:r>
          </w:p>
          <w:p w:rsidR="00013EC7" w:rsidRDefault="00575CDB">
            <w:pPr>
              <w:rPr>
                <w:rFonts w:ascii="仿宋" w:eastAsia="仿宋" w:hAnsi="仿宋" w:cs="仿宋"/>
                <w:kern w:val="1"/>
                <w:sz w:val="24"/>
              </w:rPr>
            </w:pPr>
            <w:r>
              <w:rPr>
                <w:rFonts w:ascii="仿宋" w:eastAsia="仿宋" w:hAnsi="仿宋" w:cs="仿宋" w:hint="eastAsia"/>
                <w:kern w:val="1"/>
                <w:sz w:val="24"/>
              </w:rPr>
              <w:t>（八）《国家税务总局关于部分税务行政审批事项取消后有关管理问题的公告》（国家税务总局公告2015年第56号）第三条。</w:t>
            </w:r>
          </w:p>
          <w:p w:rsidR="00013EC7" w:rsidRDefault="00575CDB">
            <w:pPr>
              <w:rPr>
                <w:rFonts w:ascii="仿宋" w:eastAsia="仿宋" w:hAnsi="仿宋" w:cs="仿宋"/>
                <w:kern w:val="1"/>
                <w:sz w:val="24"/>
              </w:rPr>
            </w:pPr>
            <w:r>
              <w:rPr>
                <w:rFonts w:ascii="仿宋" w:eastAsia="仿宋" w:hAnsi="仿宋" w:cs="仿宋" w:hint="eastAsia"/>
                <w:kern w:val="1"/>
                <w:sz w:val="24"/>
              </w:rPr>
              <w:t>（九）《国家税务总局关于〈适用增值税零税率应税服务退（免）税管理办法〉的补充公告》（国家税务总局公告2015年第88号）第二条。</w:t>
            </w:r>
          </w:p>
          <w:p w:rsidR="00013EC7" w:rsidRDefault="00575CDB">
            <w:pPr>
              <w:rPr>
                <w:rFonts w:ascii="仿宋" w:eastAsia="仿宋" w:hAnsi="仿宋" w:cs="仿宋"/>
                <w:kern w:val="1"/>
                <w:sz w:val="24"/>
              </w:rPr>
            </w:pPr>
            <w:r>
              <w:rPr>
                <w:rFonts w:ascii="仿宋" w:eastAsia="仿宋" w:hAnsi="仿宋" w:cs="仿宋" w:hint="eastAsia"/>
                <w:kern w:val="1"/>
                <w:sz w:val="24"/>
              </w:rPr>
              <w:t>（十）《国家税务总局关于取消一批涉税事项和报送资料的通知》（税总函〔2017〕403号）全文。</w:t>
            </w:r>
          </w:p>
          <w:p w:rsidR="00013EC7" w:rsidRDefault="00575CDB">
            <w:pPr>
              <w:rPr>
                <w:rFonts w:ascii="仿宋" w:eastAsia="仿宋" w:hAnsi="仿宋" w:cs="仿宋"/>
                <w:kern w:val="1"/>
                <w:sz w:val="24"/>
                <w:shd w:val="clear" w:color="FFFFFF" w:fill="D9D9D9"/>
              </w:rPr>
            </w:pPr>
            <w:r>
              <w:rPr>
                <w:rFonts w:ascii="仿宋" w:eastAsia="仿宋" w:hAnsi="仿宋" w:cs="仿宋" w:hint="eastAsia"/>
                <w:kern w:val="1"/>
                <w:sz w:val="24"/>
                <w:shd w:val="clear" w:color="FFFFFF" w:fill="D9D9D9"/>
              </w:rPr>
              <w:t>（十一）《国家税务总局关于进一步加强出口退（免）税事中事后管理有关问题的公告》（国家税务总局公告2016年第1号）第一条，第二条。</w:t>
            </w:r>
          </w:p>
          <w:p w:rsidR="00013EC7" w:rsidRDefault="00575CDB">
            <w:pPr>
              <w:rPr>
                <w:rFonts w:ascii="仿宋" w:eastAsia="仿宋" w:hAnsi="仿宋" w:cs="仿宋"/>
                <w:kern w:val="1"/>
                <w:sz w:val="24"/>
                <w:shd w:val="clear" w:color="FFFFFF" w:fill="D9D9D9"/>
              </w:rPr>
            </w:pPr>
            <w:r>
              <w:rPr>
                <w:rFonts w:ascii="仿宋" w:eastAsia="仿宋" w:hAnsi="仿宋" w:cs="仿宋" w:hint="eastAsia"/>
                <w:kern w:val="1"/>
                <w:sz w:val="24"/>
                <w:shd w:val="clear" w:color="FFFFFF" w:fill="D9D9D9"/>
              </w:rPr>
              <w:t>（十二）《财政部 商务部 国家税务总局关于继续执行研发机构采购设备增值税政策的通</w:t>
            </w:r>
            <w:r>
              <w:rPr>
                <w:rFonts w:ascii="仿宋" w:eastAsia="仿宋" w:hAnsi="仿宋" w:cs="仿宋" w:hint="eastAsia"/>
                <w:kern w:val="1"/>
                <w:sz w:val="24"/>
                <w:shd w:val="clear" w:color="FFFFFF" w:fill="D9D9D9"/>
              </w:rPr>
              <w:lastRenderedPageBreak/>
              <w:t>知》（财税〔2016〕121号）全文。</w:t>
            </w:r>
          </w:p>
          <w:p w:rsidR="00013EC7" w:rsidRDefault="00575CDB">
            <w:pPr>
              <w:rPr>
                <w:rFonts w:ascii="仿宋" w:eastAsia="仿宋" w:hAnsi="仿宋" w:cs="仿宋"/>
                <w:kern w:val="1"/>
                <w:sz w:val="24"/>
                <w:shd w:val="clear" w:color="FFFFFF" w:fill="D9D9D9"/>
              </w:rPr>
            </w:pPr>
            <w:r>
              <w:rPr>
                <w:rFonts w:ascii="仿宋" w:eastAsia="仿宋" w:hAnsi="仿宋" w:cs="仿宋" w:hint="eastAsia"/>
                <w:kern w:val="1"/>
                <w:sz w:val="24"/>
                <w:shd w:val="clear" w:color="FFFFFF" w:fill="D9D9D9"/>
              </w:rPr>
              <w:t>（十三）《国家税务总局关于发布&lt;研发机构采购国产设备增值税退税管理办法&gt;的公告》（国家税务总局公告2017年第5号）第四条至第八条。</w:t>
            </w:r>
          </w:p>
          <w:p w:rsidR="00013EC7" w:rsidRDefault="00575CDB">
            <w:pPr>
              <w:rPr>
                <w:rFonts w:ascii="仿宋" w:eastAsia="仿宋" w:hAnsi="仿宋" w:cs="仿宋"/>
                <w:kern w:val="1"/>
                <w:sz w:val="24"/>
                <w:shd w:val="clear" w:color="FFFFFF" w:fill="D9D9D9"/>
              </w:rPr>
            </w:pPr>
            <w:r>
              <w:rPr>
                <w:rFonts w:ascii="仿宋" w:eastAsia="仿宋" w:hAnsi="仿宋" w:cs="仿宋" w:hint="eastAsia"/>
                <w:kern w:val="1"/>
                <w:sz w:val="24"/>
                <w:shd w:val="clear" w:color="FFFFFF" w:fill="D9D9D9"/>
              </w:rPr>
              <w:t>（十四）《国家税务总局关于调整完善外贸综合服务企业办理出口货物退（免）税有关事项的公告》（国家税务总局公告2017年第35号）第一条至第五条。</w:t>
            </w:r>
          </w:p>
          <w:p w:rsidR="00013EC7" w:rsidRDefault="00575CDB">
            <w:pPr>
              <w:rPr>
                <w:rFonts w:ascii="仿宋" w:eastAsia="仿宋" w:hAnsi="仿宋" w:cs="仿宋"/>
                <w:kern w:val="1"/>
                <w:sz w:val="24"/>
              </w:rPr>
            </w:pPr>
            <w:r>
              <w:rPr>
                <w:rFonts w:ascii="仿宋" w:eastAsia="仿宋" w:hAnsi="仿宋" w:cs="仿宋" w:hint="eastAsia"/>
                <w:kern w:val="1"/>
                <w:sz w:val="24"/>
              </w:rPr>
              <w:t>（十五）《国家税务总局关于出口货物劳务增值税和消费税有关问题的公告》（国家税务总局公告2013年第65号）第一条，第二条。</w:t>
            </w:r>
          </w:p>
        </w:tc>
        <w:tc>
          <w:tcPr>
            <w:tcW w:w="2760" w:type="dxa"/>
            <w:tcBorders>
              <w:top w:val="single" w:sz="4" w:space="0" w:color="auto"/>
            </w:tcBorders>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lastRenderedPageBreak/>
              <w:t>（一）（A04042）《出口退（免）税备案表》2份及电子数据</w:t>
            </w:r>
            <w:r>
              <w:rPr>
                <w:rFonts w:ascii="仿宋" w:eastAsia="仿宋" w:hAnsi="仿宋" w:cs="仿宋"/>
                <w:kern w:val="1"/>
                <w:sz w:val="24"/>
              </w:rPr>
              <w:t>。</w:t>
            </w:r>
            <w:r>
              <w:rPr>
                <w:rFonts w:ascii="仿宋" w:eastAsia="仿宋" w:hAnsi="仿宋" w:cs="仿宋" w:hint="eastAsia"/>
                <w:kern w:val="1"/>
                <w:sz w:val="24"/>
              </w:rPr>
              <w:t>其中“退税开户银行账号”须从税务登记的银行账号中选择一个填报</w:t>
            </w:r>
            <w:r>
              <w:rPr>
                <w:rFonts w:ascii="仿宋" w:eastAsia="仿宋" w:hAnsi="仿宋" w:cs="仿宋"/>
                <w:kern w:val="1"/>
                <w:sz w:val="24"/>
              </w:rPr>
              <w:t>。</w:t>
            </w:r>
          </w:p>
        </w:tc>
        <w:tc>
          <w:tcPr>
            <w:tcW w:w="1288" w:type="dxa"/>
            <w:vMerge w:val="restart"/>
            <w:vAlign w:val="center"/>
          </w:tcPr>
          <w:p w:rsidR="00013EC7" w:rsidRDefault="00575CDB">
            <w:pPr>
              <w:spacing w:line="300" w:lineRule="exact"/>
              <w:rPr>
                <w:rFonts w:ascii="仿宋" w:eastAsia="仿宋" w:hAnsi="仿宋" w:cs="仿宋"/>
                <w:color w:val="000000"/>
                <w:kern w:val="1"/>
                <w:sz w:val="24"/>
              </w:rPr>
            </w:pPr>
            <w:r>
              <w:rPr>
                <w:rFonts w:ascii="仿宋" w:eastAsia="仿宋" w:hAnsi="仿宋" w:cs="仿宋" w:hint="eastAsia"/>
                <w:sz w:val="24"/>
              </w:rPr>
              <w:t>办理出口退（免）税备案的出口企业纳税人提交</w:t>
            </w:r>
          </w:p>
        </w:tc>
        <w:tc>
          <w:tcPr>
            <w:tcW w:w="2837"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（一）（A04042）《出口退（免）税备案表》2份及电子数据</w:t>
            </w:r>
            <w:r>
              <w:rPr>
                <w:rFonts w:ascii="仿宋" w:eastAsia="仿宋" w:hAnsi="仿宋" w:cs="仿宋"/>
                <w:kern w:val="1"/>
                <w:sz w:val="24"/>
              </w:rPr>
              <w:t>。</w:t>
            </w:r>
            <w:r>
              <w:rPr>
                <w:rFonts w:ascii="仿宋" w:eastAsia="仿宋" w:hAnsi="仿宋" w:cs="仿宋" w:hint="eastAsia"/>
                <w:kern w:val="1"/>
                <w:sz w:val="24"/>
              </w:rPr>
              <w:t>其中“退税开户银行账号”须从税务登记的银行账号中选择一个填报</w:t>
            </w:r>
            <w:r>
              <w:rPr>
                <w:rFonts w:ascii="仿宋" w:eastAsia="仿宋" w:hAnsi="仿宋" w:cs="仿宋"/>
                <w:kern w:val="1"/>
                <w:sz w:val="24"/>
              </w:rPr>
              <w:t>。</w:t>
            </w:r>
          </w:p>
        </w:tc>
        <w:tc>
          <w:tcPr>
            <w:tcW w:w="1326" w:type="dxa"/>
            <w:vAlign w:val="center"/>
          </w:tcPr>
          <w:p w:rsidR="00013EC7" w:rsidRDefault="00575CDB">
            <w:pPr>
              <w:spacing w:line="300" w:lineRule="exact"/>
              <w:rPr>
                <w:rFonts w:ascii="仿宋" w:eastAsia="仿宋" w:hAnsi="仿宋" w:cs="仿宋"/>
                <w:kern w:val="1"/>
                <w:sz w:val="24"/>
              </w:rPr>
            </w:pPr>
            <w:r>
              <w:rPr>
                <w:rFonts w:ascii="仿宋" w:eastAsia="仿宋" w:hAnsi="仿宋" w:cs="仿宋" w:hint="eastAsia"/>
                <w:sz w:val="24"/>
              </w:rPr>
              <w:t>办理出口退（免）税备案的出口企业纳税人提交</w:t>
            </w:r>
          </w:p>
        </w:tc>
        <w:tc>
          <w:tcPr>
            <w:tcW w:w="2861"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纳税人提交书面材料</w:t>
            </w:r>
            <w:r>
              <w:rPr>
                <w:rFonts w:ascii="仿宋" w:eastAsia="仿宋" w:hAnsi="仿宋" w:cs="仿宋"/>
                <w:sz w:val="24"/>
              </w:rPr>
              <w:t>。</w:t>
            </w:r>
          </w:p>
          <w:p w:rsidR="00013EC7" w:rsidRDefault="00575CDB">
            <w:pPr>
              <w:spacing w:line="300" w:lineRule="exact"/>
              <w:rPr>
                <w:rFonts w:ascii="仿宋" w:eastAsia="仿宋" w:hAnsi="仿宋" w:cs="仿宋"/>
                <w:sz w:val="24"/>
              </w:rPr>
            </w:pPr>
            <w:r>
              <w:rPr>
                <w:rFonts w:ascii="仿宋" w:eastAsia="仿宋" w:hAnsi="仿宋" w:cs="仿宋" w:hint="eastAsia"/>
                <w:b/>
                <w:sz w:val="24"/>
              </w:rPr>
              <w:t>网上办理：</w:t>
            </w:r>
            <w:r>
              <w:rPr>
                <w:rFonts w:ascii="仿宋" w:eastAsia="仿宋" w:hAnsi="仿宋" w:cs="仿宋" w:hint="eastAsia"/>
                <w:sz w:val="24"/>
              </w:rPr>
              <w:t>登录浙江省国家税务局电子税务局提交电子数据。</w:t>
            </w:r>
          </w:p>
        </w:tc>
        <w:tc>
          <w:tcPr>
            <w:tcW w:w="855" w:type="dxa"/>
            <w:vMerge w:val="restart"/>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即时办结</w:t>
            </w:r>
          </w:p>
        </w:tc>
        <w:tc>
          <w:tcPr>
            <w:tcW w:w="798" w:type="dxa"/>
            <w:vMerge w:val="restart"/>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即时办结</w:t>
            </w:r>
          </w:p>
        </w:tc>
        <w:tc>
          <w:tcPr>
            <w:tcW w:w="958" w:type="dxa"/>
            <w:vMerge w:val="restart"/>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否</w:t>
            </w:r>
          </w:p>
        </w:tc>
        <w:tc>
          <w:tcPr>
            <w:tcW w:w="1104" w:type="dxa"/>
            <w:vMerge w:val="restart"/>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进出口处</w:t>
            </w:r>
          </w:p>
        </w:tc>
        <w:tc>
          <w:tcPr>
            <w:tcW w:w="1476" w:type="dxa"/>
            <w:vMerge w:val="restart"/>
            <w:vAlign w:val="center"/>
          </w:tcPr>
          <w:p w:rsidR="00013EC7" w:rsidRDefault="00013EC7">
            <w:pPr>
              <w:spacing w:line="300" w:lineRule="exact"/>
              <w:rPr>
                <w:rFonts w:ascii="仿宋" w:eastAsia="仿宋" w:hAnsi="仿宋" w:cs="仿宋"/>
                <w:sz w:val="24"/>
              </w:rPr>
            </w:pPr>
          </w:p>
        </w:tc>
      </w:tr>
      <w:tr w:rsidR="00013EC7">
        <w:trPr>
          <w:trHeight w:val="2303"/>
          <w:jc w:val="center"/>
        </w:trPr>
        <w:tc>
          <w:tcPr>
            <w:tcW w:w="672" w:type="dxa"/>
            <w:vMerge/>
            <w:vAlign w:val="center"/>
          </w:tcPr>
          <w:p w:rsidR="00013EC7" w:rsidRDefault="00013EC7"/>
        </w:tc>
        <w:tc>
          <w:tcPr>
            <w:tcW w:w="1035" w:type="dxa"/>
            <w:vMerge/>
            <w:vAlign w:val="center"/>
          </w:tcPr>
          <w:p w:rsidR="00013EC7" w:rsidRDefault="00013EC7"/>
        </w:tc>
        <w:tc>
          <w:tcPr>
            <w:tcW w:w="2622" w:type="dxa"/>
            <w:vMerge/>
            <w:vAlign w:val="center"/>
          </w:tcPr>
          <w:p w:rsidR="00013EC7" w:rsidRDefault="00013EC7"/>
        </w:tc>
        <w:tc>
          <w:tcPr>
            <w:tcW w:w="2760" w:type="dxa"/>
            <w:vAlign w:val="center"/>
          </w:tcPr>
          <w:p w:rsidR="00013EC7" w:rsidRDefault="00575CDB">
            <w:pPr>
              <w:rPr>
                <w:rFonts w:ascii="仿宋" w:eastAsia="仿宋" w:hAnsi="仿宋" w:cs="仿宋"/>
                <w:color w:val="000000"/>
                <w:kern w:val="1"/>
                <w:sz w:val="24"/>
              </w:rPr>
            </w:pPr>
            <w:r>
              <w:rPr>
                <w:rFonts w:ascii="仿宋" w:eastAsia="仿宋" w:hAnsi="仿宋" w:cs="仿宋" w:hint="eastAsia"/>
                <w:color w:val="000000"/>
                <w:kern w:val="1"/>
                <w:sz w:val="24"/>
              </w:rPr>
              <w:t>（二）加盖备案登记专用章的《对外贸易经营者备案登记表》或《中华人民共和国外商投资企业批准证书》原件及复印件（注明与原件一致，并加盖公章）</w:t>
            </w:r>
            <w:r>
              <w:rPr>
                <w:rFonts w:ascii="仿宋" w:eastAsia="仿宋" w:hAnsi="仿宋" w:cs="仿宋"/>
                <w:color w:val="000000"/>
                <w:kern w:val="1"/>
                <w:sz w:val="24"/>
              </w:rPr>
              <w:t>。</w:t>
            </w:r>
            <w:r>
              <w:rPr>
                <w:rFonts w:ascii="仿宋" w:eastAsia="仿宋" w:hAnsi="仿宋" w:cs="仿宋" w:hint="eastAsia"/>
                <w:color w:val="000000"/>
                <w:kern w:val="1"/>
                <w:sz w:val="24"/>
              </w:rPr>
              <w:t>未办理备案登记发生委托出口业务的生产企业应提供委托代理出口协议，不需要提供此项资料</w:t>
            </w:r>
            <w:r>
              <w:rPr>
                <w:rFonts w:ascii="仿宋" w:eastAsia="仿宋" w:hAnsi="仿宋" w:cs="仿宋"/>
                <w:color w:val="000000"/>
                <w:kern w:val="1"/>
                <w:sz w:val="24"/>
              </w:rPr>
              <w:t>。</w:t>
            </w:r>
          </w:p>
        </w:tc>
        <w:tc>
          <w:tcPr>
            <w:tcW w:w="1288" w:type="dxa"/>
            <w:vMerge/>
            <w:vAlign w:val="center"/>
          </w:tcPr>
          <w:p w:rsidR="00013EC7" w:rsidRDefault="00013EC7">
            <w:pPr>
              <w:rPr>
                <w:color w:val="000000"/>
              </w:rPr>
            </w:pPr>
          </w:p>
        </w:tc>
        <w:tc>
          <w:tcPr>
            <w:tcW w:w="2837" w:type="dxa"/>
            <w:vAlign w:val="center"/>
          </w:tcPr>
          <w:p w:rsidR="00013EC7" w:rsidRDefault="00575CDB">
            <w:pPr>
              <w:rPr>
                <w:rFonts w:ascii="仿宋" w:eastAsia="仿宋" w:hAnsi="仿宋" w:cs="仿宋"/>
                <w:color w:val="000000"/>
                <w:kern w:val="1"/>
                <w:sz w:val="24"/>
              </w:rPr>
            </w:pPr>
            <w:r>
              <w:rPr>
                <w:rFonts w:ascii="仿宋" w:eastAsia="仿宋" w:hAnsi="仿宋" w:cs="仿宋" w:hint="eastAsia"/>
                <w:color w:val="000000"/>
                <w:kern w:val="1"/>
                <w:sz w:val="24"/>
              </w:rPr>
              <w:t>（二）加盖备案登记专用章的《对外贸易经营者备案登记表》或《中华人民共和国外商投资企业批准证书》原件及复印件（注明与原件一致，并加盖公章）</w:t>
            </w:r>
            <w:r>
              <w:rPr>
                <w:rFonts w:ascii="仿宋" w:eastAsia="仿宋" w:hAnsi="仿宋" w:cs="仿宋"/>
                <w:color w:val="000000"/>
                <w:kern w:val="1"/>
                <w:sz w:val="24"/>
              </w:rPr>
              <w:t>。</w:t>
            </w:r>
            <w:r>
              <w:rPr>
                <w:rFonts w:ascii="仿宋" w:eastAsia="仿宋" w:hAnsi="仿宋" w:cs="仿宋" w:hint="eastAsia"/>
                <w:color w:val="000000"/>
                <w:kern w:val="1"/>
                <w:sz w:val="24"/>
              </w:rPr>
              <w:t>未办理备案登记发生委托出口业务的生产企业应提供委托代理出口协议，不需要提供此项资料</w:t>
            </w:r>
            <w:r>
              <w:rPr>
                <w:rFonts w:ascii="仿宋" w:eastAsia="仿宋" w:hAnsi="仿宋" w:cs="仿宋"/>
                <w:color w:val="000000"/>
                <w:kern w:val="1"/>
                <w:sz w:val="24"/>
              </w:rPr>
              <w:t>。</w:t>
            </w:r>
          </w:p>
        </w:tc>
        <w:tc>
          <w:tcPr>
            <w:tcW w:w="1326" w:type="dxa"/>
            <w:vAlign w:val="center"/>
          </w:tcPr>
          <w:p w:rsidR="00013EC7" w:rsidRDefault="00575CDB">
            <w:pPr>
              <w:rPr>
                <w:rFonts w:ascii="仿宋" w:eastAsia="仿宋" w:hAnsi="仿宋" w:cs="仿宋"/>
                <w:kern w:val="1"/>
                <w:sz w:val="24"/>
              </w:rPr>
            </w:pPr>
            <w:r>
              <w:rPr>
                <w:rFonts w:ascii="仿宋" w:eastAsia="仿宋" w:hAnsi="仿宋" w:cs="仿宋" w:hint="eastAsia"/>
                <w:b/>
                <w:bCs/>
                <w:i/>
                <w:iCs/>
                <w:sz w:val="24"/>
              </w:rPr>
              <w:t>经办机构自行获取</w:t>
            </w:r>
          </w:p>
        </w:tc>
        <w:tc>
          <w:tcPr>
            <w:tcW w:w="2861" w:type="dxa"/>
            <w:vAlign w:val="center"/>
          </w:tcPr>
          <w:p w:rsidR="00013EC7" w:rsidRDefault="00575CDB">
            <w:pPr>
              <w:rPr>
                <w:rFonts w:ascii="仿宋" w:eastAsia="仿宋" w:hAnsi="仿宋" w:cs="仿宋"/>
                <w:kern w:val="1"/>
                <w:sz w:val="24"/>
              </w:rPr>
            </w:pPr>
            <w:r>
              <w:rPr>
                <w:rFonts w:ascii="仿宋" w:eastAsia="仿宋" w:hAnsi="仿宋" w:cs="仿宋" w:hint="eastAsia"/>
                <w:b/>
                <w:bCs/>
                <w:sz w:val="24"/>
              </w:rPr>
              <w:t>外部共享：</w:t>
            </w:r>
            <w:r>
              <w:rPr>
                <w:rFonts w:ascii="仿宋" w:eastAsia="仿宋" w:hAnsi="仿宋" w:cs="仿宋" w:hint="eastAsia"/>
                <w:sz w:val="24"/>
              </w:rPr>
              <w:t>由省商务厅提供共享。</w:t>
            </w:r>
          </w:p>
        </w:tc>
        <w:tc>
          <w:tcPr>
            <w:tcW w:w="855"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128"/>
          <w:jc w:val="center"/>
        </w:trPr>
        <w:tc>
          <w:tcPr>
            <w:tcW w:w="672" w:type="dxa"/>
            <w:vMerge/>
            <w:vAlign w:val="center"/>
          </w:tcPr>
          <w:p w:rsidR="00013EC7" w:rsidRDefault="00013EC7">
            <w:pPr>
              <w:rPr>
                <w:rFonts w:ascii="仿宋" w:eastAsia="仿宋" w:hAnsi="仿宋" w:cs="仿宋"/>
                <w:kern w:val="1"/>
                <w:sz w:val="24"/>
              </w:rPr>
            </w:pPr>
          </w:p>
        </w:tc>
        <w:tc>
          <w:tcPr>
            <w:tcW w:w="1035" w:type="dxa"/>
            <w:vMerge/>
            <w:vAlign w:val="center"/>
          </w:tcPr>
          <w:p w:rsidR="00013EC7" w:rsidRDefault="00013EC7">
            <w:pPr>
              <w:rPr>
                <w:rFonts w:ascii="仿宋" w:eastAsia="仿宋" w:hAnsi="仿宋" w:cs="仿宋"/>
                <w:kern w:val="1"/>
                <w:sz w:val="24"/>
              </w:rPr>
            </w:pPr>
          </w:p>
        </w:tc>
        <w:tc>
          <w:tcPr>
            <w:tcW w:w="2622" w:type="dxa"/>
            <w:vMerge/>
            <w:vAlign w:val="center"/>
          </w:tcPr>
          <w:p w:rsidR="00013EC7" w:rsidRDefault="00013EC7">
            <w:pPr>
              <w:rPr>
                <w:rFonts w:ascii="仿宋" w:eastAsia="仿宋" w:hAnsi="仿宋" w:cs="仿宋"/>
                <w:kern w:val="1"/>
                <w:sz w:val="24"/>
              </w:rPr>
            </w:pPr>
          </w:p>
        </w:tc>
        <w:tc>
          <w:tcPr>
            <w:tcW w:w="2760" w:type="dxa"/>
            <w:vAlign w:val="center"/>
          </w:tcPr>
          <w:p w:rsidR="00013EC7" w:rsidRDefault="00575CDB">
            <w:pPr>
              <w:rPr>
                <w:rFonts w:ascii="仿宋" w:eastAsia="仿宋" w:hAnsi="仿宋" w:cs="仿宋"/>
                <w:color w:val="000000"/>
                <w:kern w:val="1"/>
                <w:sz w:val="24"/>
              </w:rPr>
            </w:pPr>
            <w:r>
              <w:rPr>
                <w:rFonts w:ascii="仿宋" w:eastAsia="仿宋" w:hAnsi="仿宋" w:cs="仿宋" w:hint="eastAsia"/>
                <w:color w:val="000000"/>
                <w:kern w:val="1"/>
                <w:sz w:val="24"/>
              </w:rPr>
              <w:t>（三）中华人民共和国海关进出口货物收发货人报关注册登记证书原件及复印件（注明与原件一致，并加盖公章）</w:t>
            </w:r>
            <w:r>
              <w:rPr>
                <w:rFonts w:ascii="仿宋" w:eastAsia="仿宋" w:hAnsi="仿宋" w:cs="仿宋"/>
                <w:color w:val="000000"/>
                <w:kern w:val="1"/>
                <w:sz w:val="24"/>
              </w:rPr>
              <w:t>。</w:t>
            </w:r>
            <w:r>
              <w:rPr>
                <w:rFonts w:ascii="仿宋" w:eastAsia="仿宋" w:hAnsi="仿宋" w:cs="仿宋" w:hint="eastAsia"/>
                <w:color w:val="000000"/>
                <w:kern w:val="1"/>
                <w:sz w:val="24"/>
              </w:rPr>
              <w:t>未办理备案登记发生委托出口业务的生产企业应提供委托代理出口协议，不需要提供此项资料</w:t>
            </w:r>
            <w:r>
              <w:rPr>
                <w:rFonts w:ascii="仿宋" w:eastAsia="仿宋" w:hAnsi="仿宋" w:cs="仿宋"/>
                <w:color w:val="000000"/>
                <w:kern w:val="1"/>
                <w:sz w:val="24"/>
              </w:rPr>
              <w:t>。</w:t>
            </w:r>
          </w:p>
        </w:tc>
        <w:tc>
          <w:tcPr>
            <w:tcW w:w="1288" w:type="dxa"/>
            <w:vMerge/>
            <w:vAlign w:val="center"/>
          </w:tcPr>
          <w:p w:rsidR="00013EC7" w:rsidRDefault="00013EC7">
            <w:pPr>
              <w:rPr>
                <w:rFonts w:ascii="仿宋" w:eastAsia="仿宋" w:hAnsi="仿宋" w:cs="仿宋"/>
                <w:color w:val="000000"/>
                <w:kern w:val="1"/>
                <w:sz w:val="24"/>
              </w:rPr>
            </w:pPr>
          </w:p>
        </w:tc>
        <w:tc>
          <w:tcPr>
            <w:tcW w:w="2837" w:type="dxa"/>
            <w:vAlign w:val="center"/>
          </w:tcPr>
          <w:p w:rsidR="00013EC7" w:rsidRDefault="00575CDB">
            <w:pPr>
              <w:rPr>
                <w:rFonts w:ascii="仿宋" w:eastAsia="仿宋" w:hAnsi="仿宋" w:cs="仿宋"/>
                <w:color w:val="000000"/>
                <w:kern w:val="1"/>
                <w:sz w:val="24"/>
              </w:rPr>
            </w:pPr>
            <w:r>
              <w:rPr>
                <w:rFonts w:ascii="仿宋" w:eastAsia="仿宋" w:hAnsi="仿宋" w:cs="仿宋" w:hint="eastAsia"/>
                <w:color w:val="000000"/>
                <w:kern w:val="1"/>
                <w:sz w:val="24"/>
              </w:rPr>
              <w:t>（三）中华人民共和国海关进出口货物收发货人报关注册登记证书原件及复印件（注明与原件一致，并加盖公章）</w:t>
            </w:r>
            <w:r>
              <w:rPr>
                <w:rFonts w:ascii="仿宋" w:eastAsia="仿宋" w:hAnsi="仿宋" w:cs="仿宋"/>
                <w:color w:val="000000"/>
                <w:kern w:val="1"/>
                <w:sz w:val="24"/>
              </w:rPr>
              <w:t>。</w:t>
            </w:r>
            <w:r>
              <w:rPr>
                <w:rFonts w:ascii="仿宋" w:eastAsia="仿宋" w:hAnsi="仿宋" w:cs="仿宋" w:hint="eastAsia"/>
                <w:color w:val="000000"/>
                <w:kern w:val="1"/>
                <w:sz w:val="24"/>
              </w:rPr>
              <w:t>未办理备案登记发生委托出口业务的生产企业应提供委托代理出口协议，不需要提供此项资料</w:t>
            </w:r>
            <w:r>
              <w:rPr>
                <w:rFonts w:ascii="仿宋" w:eastAsia="仿宋" w:hAnsi="仿宋" w:cs="仿宋"/>
                <w:color w:val="000000"/>
                <w:kern w:val="1"/>
                <w:sz w:val="24"/>
              </w:rPr>
              <w:t>。</w:t>
            </w:r>
          </w:p>
        </w:tc>
        <w:tc>
          <w:tcPr>
            <w:tcW w:w="1326" w:type="dxa"/>
            <w:vAlign w:val="center"/>
          </w:tcPr>
          <w:p w:rsidR="00013EC7" w:rsidRDefault="00575CDB">
            <w:pPr>
              <w:rPr>
                <w:rFonts w:ascii="仿宋" w:eastAsia="仿宋" w:hAnsi="仿宋" w:cs="仿宋"/>
                <w:kern w:val="1"/>
                <w:sz w:val="24"/>
              </w:rPr>
            </w:pPr>
            <w:r>
              <w:rPr>
                <w:rFonts w:ascii="仿宋" w:eastAsia="仿宋" w:hAnsi="仿宋" w:cs="仿宋" w:hint="eastAsia"/>
                <w:b/>
                <w:bCs/>
                <w:i/>
                <w:iCs/>
                <w:sz w:val="24"/>
              </w:rPr>
              <w:t>经办机构自行获取</w:t>
            </w:r>
          </w:p>
        </w:tc>
        <w:tc>
          <w:tcPr>
            <w:tcW w:w="2861" w:type="dxa"/>
            <w:vAlign w:val="center"/>
          </w:tcPr>
          <w:p w:rsidR="00013EC7" w:rsidRDefault="00575CDB">
            <w:pPr>
              <w:rPr>
                <w:rFonts w:ascii="仿宋" w:eastAsia="仿宋" w:hAnsi="仿宋" w:cs="仿宋"/>
                <w:kern w:val="1"/>
                <w:sz w:val="24"/>
              </w:rPr>
            </w:pPr>
            <w:r>
              <w:rPr>
                <w:rFonts w:ascii="仿宋" w:eastAsia="仿宋" w:hAnsi="仿宋" w:cs="仿宋" w:hint="eastAsia"/>
                <w:b/>
                <w:bCs/>
                <w:sz w:val="24"/>
              </w:rPr>
              <w:t>外部共享：</w:t>
            </w:r>
            <w:r>
              <w:rPr>
                <w:rFonts w:ascii="仿宋" w:eastAsia="仿宋" w:hAnsi="仿宋" w:cs="仿宋" w:hint="eastAsia"/>
                <w:sz w:val="24"/>
              </w:rPr>
              <w:t>由杭州海关提供共享。</w:t>
            </w:r>
          </w:p>
        </w:tc>
        <w:tc>
          <w:tcPr>
            <w:tcW w:w="855"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128"/>
          <w:jc w:val="center"/>
        </w:trPr>
        <w:tc>
          <w:tcPr>
            <w:tcW w:w="672" w:type="dxa"/>
            <w:vMerge/>
            <w:vAlign w:val="center"/>
          </w:tcPr>
          <w:p w:rsidR="00013EC7" w:rsidRDefault="00013EC7">
            <w:pPr>
              <w:rPr>
                <w:rFonts w:ascii="仿宋" w:eastAsia="仿宋" w:hAnsi="仿宋" w:cs="仿宋"/>
                <w:kern w:val="1"/>
                <w:sz w:val="24"/>
              </w:rPr>
            </w:pPr>
          </w:p>
        </w:tc>
        <w:tc>
          <w:tcPr>
            <w:tcW w:w="1035" w:type="dxa"/>
            <w:vMerge/>
            <w:vAlign w:val="center"/>
          </w:tcPr>
          <w:p w:rsidR="00013EC7" w:rsidRDefault="00013EC7">
            <w:pPr>
              <w:rPr>
                <w:rFonts w:ascii="仿宋" w:eastAsia="仿宋" w:hAnsi="仿宋" w:cs="仿宋"/>
                <w:kern w:val="1"/>
                <w:sz w:val="24"/>
              </w:rPr>
            </w:pPr>
          </w:p>
        </w:tc>
        <w:tc>
          <w:tcPr>
            <w:tcW w:w="2622" w:type="dxa"/>
            <w:vMerge/>
            <w:vAlign w:val="center"/>
          </w:tcPr>
          <w:p w:rsidR="00013EC7" w:rsidRDefault="00013EC7">
            <w:pPr>
              <w:rPr>
                <w:rFonts w:ascii="仿宋" w:eastAsia="仿宋" w:hAnsi="仿宋" w:cs="仿宋"/>
                <w:kern w:val="1"/>
                <w:sz w:val="24"/>
              </w:rPr>
            </w:pPr>
          </w:p>
        </w:tc>
        <w:tc>
          <w:tcPr>
            <w:tcW w:w="2760"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（四）</w:t>
            </w:r>
            <w:r>
              <w:rPr>
                <w:rFonts w:ascii="仿宋" w:eastAsia="仿宋" w:hAnsi="仿宋" w:cs="仿宋" w:hint="eastAsia"/>
                <w:kern w:val="1"/>
                <w:sz w:val="24"/>
                <w:shd w:val="pct10" w:color="auto" w:fill="FFFFFF"/>
              </w:rPr>
              <w:t>税务机关要求提供的其他资料</w:t>
            </w:r>
            <w:r>
              <w:rPr>
                <w:rFonts w:ascii="仿宋" w:eastAsia="仿宋" w:hAnsi="仿宋" w:cs="仿宋"/>
                <w:kern w:val="1"/>
                <w:sz w:val="24"/>
                <w:shd w:val="pct10" w:color="auto" w:fill="FFFFFF"/>
              </w:rPr>
              <w:t>。</w:t>
            </w:r>
          </w:p>
        </w:tc>
        <w:tc>
          <w:tcPr>
            <w:tcW w:w="1288" w:type="dxa"/>
            <w:vAlign w:val="center"/>
          </w:tcPr>
          <w:p w:rsidR="00013EC7" w:rsidRDefault="00575CDB">
            <w:pPr>
              <w:rPr>
                <w:rFonts w:ascii="仿宋" w:eastAsia="仿宋" w:hAnsi="仿宋" w:cs="仿宋"/>
                <w:kern w:val="1"/>
                <w:sz w:val="24"/>
              </w:rPr>
            </w:pPr>
            <w:r>
              <w:rPr>
                <w:rFonts w:ascii="仿宋" w:eastAsia="仿宋" w:hAnsi="仿宋" w:cs="仿宋" w:hint="eastAsia"/>
                <w:sz w:val="24"/>
              </w:rPr>
              <w:t>纳税人提交</w:t>
            </w:r>
          </w:p>
        </w:tc>
        <w:tc>
          <w:tcPr>
            <w:tcW w:w="2837" w:type="dxa"/>
            <w:vAlign w:val="center"/>
          </w:tcPr>
          <w:p w:rsidR="00013EC7" w:rsidRDefault="00013EC7">
            <w:pPr>
              <w:rPr>
                <w:rFonts w:ascii="仿宋" w:eastAsia="仿宋" w:hAnsi="仿宋" w:cs="仿宋"/>
                <w:kern w:val="1"/>
                <w:sz w:val="24"/>
              </w:rPr>
            </w:pPr>
          </w:p>
        </w:tc>
        <w:tc>
          <w:tcPr>
            <w:tcW w:w="1326" w:type="dxa"/>
            <w:vAlign w:val="center"/>
          </w:tcPr>
          <w:p w:rsidR="00013EC7" w:rsidRDefault="00575CDB">
            <w:pPr>
              <w:rPr>
                <w:rFonts w:ascii="仿宋" w:eastAsia="仿宋" w:hAnsi="仿宋" w:cs="仿宋"/>
                <w:kern w:val="1"/>
                <w:sz w:val="24"/>
              </w:rPr>
            </w:pPr>
            <w:r>
              <w:rPr>
                <w:rFonts w:ascii="仿宋" w:eastAsia="仿宋" w:hAnsi="仿宋" w:cs="仿宋" w:hint="eastAsia"/>
                <w:b/>
                <w:bCs/>
                <w:i/>
                <w:iCs/>
                <w:sz w:val="24"/>
              </w:rPr>
              <w:t>取消</w:t>
            </w:r>
          </w:p>
        </w:tc>
        <w:tc>
          <w:tcPr>
            <w:tcW w:w="2861" w:type="dxa"/>
            <w:vAlign w:val="center"/>
          </w:tcPr>
          <w:p w:rsidR="00013EC7" w:rsidRDefault="00013EC7">
            <w:pPr>
              <w:rPr>
                <w:rFonts w:ascii="仿宋" w:eastAsia="仿宋" w:hAnsi="仿宋" w:cs="仿宋"/>
                <w:kern w:val="1"/>
                <w:sz w:val="24"/>
              </w:rPr>
            </w:pPr>
          </w:p>
        </w:tc>
        <w:tc>
          <w:tcPr>
            <w:tcW w:w="855"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193"/>
          <w:jc w:val="center"/>
        </w:trPr>
        <w:tc>
          <w:tcPr>
            <w:tcW w:w="672" w:type="dxa"/>
            <w:vMerge/>
            <w:vAlign w:val="center"/>
          </w:tcPr>
          <w:p w:rsidR="00013EC7" w:rsidRDefault="00013EC7">
            <w:pPr>
              <w:spacing w:line="300" w:lineRule="exact"/>
              <w:rPr>
                <w:rFonts w:ascii="仿宋" w:eastAsia="仿宋" w:hAnsi="仿宋" w:cs="仿宋"/>
                <w:sz w:val="24"/>
              </w:rPr>
            </w:pPr>
          </w:p>
        </w:tc>
        <w:tc>
          <w:tcPr>
            <w:tcW w:w="1035" w:type="dxa"/>
            <w:vMerge/>
            <w:vAlign w:val="center"/>
          </w:tcPr>
          <w:p w:rsidR="00013EC7" w:rsidRDefault="00013EC7">
            <w:pPr>
              <w:spacing w:line="310" w:lineRule="exact"/>
              <w:rPr>
                <w:rFonts w:ascii="仿宋" w:eastAsia="仿宋" w:hAnsi="仿宋" w:cs="仿宋"/>
                <w:sz w:val="24"/>
              </w:rPr>
            </w:pPr>
          </w:p>
        </w:tc>
        <w:tc>
          <w:tcPr>
            <w:tcW w:w="2622" w:type="dxa"/>
            <w:vMerge/>
            <w:vAlign w:val="center"/>
          </w:tcPr>
          <w:p w:rsidR="00013EC7" w:rsidRDefault="00013EC7">
            <w:pPr>
              <w:rPr>
                <w:rFonts w:ascii="仿宋" w:eastAsia="仿宋" w:hAnsi="仿宋" w:cs="仿宋"/>
                <w:kern w:val="1"/>
                <w:sz w:val="24"/>
              </w:rPr>
            </w:pPr>
          </w:p>
        </w:tc>
        <w:tc>
          <w:tcPr>
            <w:tcW w:w="2760" w:type="dxa"/>
            <w:tcBorders>
              <w:top w:val="single" w:sz="4" w:space="0" w:color="auto"/>
            </w:tcBorders>
            <w:vAlign w:val="center"/>
          </w:tcPr>
          <w:p w:rsidR="00013EC7" w:rsidRDefault="00575CDB">
            <w:pPr>
              <w:rPr>
                <w:rFonts w:ascii="仿宋" w:eastAsia="仿宋" w:hAnsi="仿宋" w:cs="仿宋"/>
                <w:kern w:val="1"/>
                <w:sz w:val="24"/>
                <w:shd w:val="pct10" w:color="auto" w:fill="FFFFFF"/>
              </w:rPr>
            </w:pPr>
            <w:r>
              <w:rPr>
                <w:rFonts w:ascii="仿宋" w:eastAsia="仿宋" w:hAnsi="仿宋" w:cs="仿宋" w:hint="eastAsia"/>
                <w:kern w:val="1"/>
                <w:sz w:val="24"/>
              </w:rPr>
              <w:t>（五）企业法人营业执照副本及组织机构代码证原件及复印件（注明与原件一致，并加盖公章）（五证合一企业不需要提供组织机构代码证）</w:t>
            </w:r>
            <w:r>
              <w:rPr>
                <w:rFonts w:ascii="仿宋" w:eastAsia="仿宋" w:hAnsi="仿宋" w:cs="仿宋"/>
                <w:kern w:val="1"/>
                <w:sz w:val="24"/>
              </w:rPr>
              <w:t>。</w:t>
            </w:r>
          </w:p>
        </w:tc>
        <w:tc>
          <w:tcPr>
            <w:tcW w:w="1288" w:type="dxa"/>
            <w:vMerge w:val="restart"/>
            <w:vAlign w:val="center"/>
          </w:tcPr>
          <w:p w:rsidR="00013EC7" w:rsidRDefault="00575CDB">
            <w:pPr>
              <w:spacing w:line="300" w:lineRule="exact"/>
              <w:rPr>
                <w:rFonts w:ascii="仿宋" w:eastAsia="仿宋" w:hAnsi="仿宋" w:cs="仿宋"/>
                <w:sz w:val="24"/>
              </w:rPr>
            </w:pPr>
            <w:r>
              <w:rPr>
                <w:rFonts w:ascii="仿宋" w:eastAsia="仿宋" w:hAnsi="仿宋" w:cs="仿宋" w:hint="eastAsia"/>
                <w:kern w:val="1"/>
                <w:sz w:val="24"/>
              </w:rPr>
              <w:t>未办理出口退（免）税备案的享受采购国产设备退税的研发机构</w:t>
            </w:r>
            <w:r>
              <w:rPr>
                <w:rFonts w:ascii="仿宋" w:eastAsia="仿宋" w:hAnsi="仿宋" w:cs="仿宋" w:hint="eastAsia"/>
                <w:sz w:val="24"/>
              </w:rPr>
              <w:t>纳税人提交</w:t>
            </w:r>
          </w:p>
        </w:tc>
        <w:tc>
          <w:tcPr>
            <w:tcW w:w="2837" w:type="dxa"/>
            <w:vAlign w:val="center"/>
          </w:tcPr>
          <w:p w:rsidR="00013EC7" w:rsidRDefault="00575CDB">
            <w:pPr>
              <w:rPr>
                <w:rFonts w:ascii="仿宋" w:eastAsia="仿宋" w:hAnsi="仿宋" w:cs="仿宋"/>
                <w:kern w:val="1"/>
                <w:sz w:val="24"/>
                <w:shd w:val="pct10" w:color="auto" w:fill="FFFFFF"/>
              </w:rPr>
            </w:pPr>
            <w:r>
              <w:rPr>
                <w:rFonts w:ascii="仿宋" w:eastAsia="仿宋" w:hAnsi="仿宋" w:cs="仿宋" w:hint="eastAsia"/>
                <w:color w:val="000000"/>
                <w:kern w:val="1"/>
                <w:sz w:val="24"/>
              </w:rPr>
              <w:t>（四）</w:t>
            </w:r>
            <w:r>
              <w:rPr>
                <w:rFonts w:ascii="仿宋" w:eastAsia="仿宋" w:hAnsi="仿宋" w:cs="仿宋" w:hint="eastAsia"/>
                <w:kern w:val="1"/>
                <w:sz w:val="24"/>
              </w:rPr>
              <w:t>企业法人营业执照副本及组织机构代码证（五证合一企业不需要提供组织机构代码证）。</w:t>
            </w:r>
          </w:p>
        </w:tc>
        <w:tc>
          <w:tcPr>
            <w:tcW w:w="1326" w:type="dxa"/>
            <w:vAlign w:val="center"/>
          </w:tcPr>
          <w:p w:rsidR="00013EC7" w:rsidRDefault="00575CDB">
            <w:pPr>
              <w:spacing w:line="300" w:lineRule="exact"/>
              <w:rPr>
                <w:rFonts w:ascii="仿宋" w:eastAsia="仿宋" w:hAnsi="仿宋" w:cs="仿宋"/>
                <w:b/>
                <w:bCs/>
                <w:i/>
                <w:iCs/>
                <w:sz w:val="24"/>
              </w:rPr>
            </w:pPr>
            <w:r>
              <w:rPr>
                <w:rFonts w:ascii="仿宋" w:eastAsia="仿宋" w:hAnsi="仿宋" w:cs="仿宋" w:hint="eastAsia"/>
                <w:b/>
                <w:bCs/>
                <w:i/>
                <w:iCs/>
                <w:sz w:val="24"/>
              </w:rPr>
              <w:t>经办机构自行获取</w:t>
            </w:r>
          </w:p>
        </w:tc>
        <w:tc>
          <w:tcPr>
            <w:tcW w:w="2861" w:type="dxa"/>
            <w:vAlign w:val="center"/>
          </w:tcPr>
          <w:p w:rsidR="00013EC7" w:rsidRDefault="00575CDB">
            <w:pPr>
              <w:rPr>
                <w:rFonts w:ascii="仿宋" w:eastAsia="仿宋" w:hAnsi="仿宋" w:cs="仿宋"/>
                <w:sz w:val="24"/>
              </w:rPr>
            </w:pPr>
            <w:r>
              <w:rPr>
                <w:rFonts w:ascii="仿宋" w:eastAsia="仿宋" w:hAnsi="仿宋" w:cs="仿宋" w:hint="eastAsia"/>
                <w:b/>
                <w:bCs/>
                <w:sz w:val="24"/>
              </w:rPr>
              <w:t>外部共享：</w:t>
            </w:r>
            <w:r>
              <w:rPr>
                <w:rFonts w:ascii="仿宋" w:eastAsia="仿宋" w:hAnsi="仿宋" w:cs="仿宋" w:hint="eastAsia"/>
                <w:sz w:val="24"/>
              </w:rPr>
              <w:t>由省工商局提供共享。</w:t>
            </w:r>
          </w:p>
        </w:tc>
        <w:tc>
          <w:tcPr>
            <w:tcW w:w="855" w:type="dxa"/>
            <w:vMerge/>
            <w:vAlign w:val="center"/>
          </w:tcPr>
          <w:p w:rsidR="00013EC7" w:rsidRDefault="00013EC7">
            <w:pPr>
              <w:spacing w:line="300" w:lineRule="exact"/>
              <w:rPr>
                <w:rFonts w:ascii="仿宋" w:eastAsia="仿宋" w:hAnsi="仿宋" w:cs="仿宋"/>
                <w:sz w:val="24"/>
              </w:rPr>
            </w:pPr>
          </w:p>
        </w:tc>
        <w:tc>
          <w:tcPr>
            <w:tcW w:w="798" w:type="dxa"/>
            <w:vMerge/>
            <w:vAlign w:val="center"/>
          </w:tcPr>
          <w:p w:rsidR="00013EC7" w:rsidRDefault="00013EC7">
            <w:pPr>
              <w:spacing w:line="300" w:lineRule="exact"/>
              <w:rPr>
                <w:rFonts w:ascii="仿宋" w:eastAsia="仿宋" w:hAnsi="仿宋" w:cs="仿宋"/>
                <w:sz w:val="24"/>
              </w:rPr>
            </w:pPr>
          </w:p>
        </w:tc>
        <w:tc>
          <w:tcPr>
            <w:tcW w:w="958" w:type="dxa"/>
            <w:vMerge/>
            <w:vAlign w:val="center"/>
          </w:tcPr>
          <w:p w:rsidR="00013EC7" w:rsidRDefault="00013EC7">
            <w:pPr>
              <w:spacing w:line="300" w:lineRule="exact"/>
              <w:rPr>
                <w:rFonts w:ascii="仿宋" w:eastAsia="仿宋" w:hAnsi="仿宋" w:cs="仿宋"/>
                <w:sz w:val="24"/>
              </w:rPr>
            </w:pPr>
          </w:p>
        </w:tc>
        <w:tc>
          <w:tcPr>
            <w:tcW w:w="1104" w:type="dxa"/>
            <w:vMerge/>
            <w:vAlign w:val="center"/>
          </w:tcPr>
          <w:p w:rsidR="00013EC7" w:rsidRDefault="00013EC7">
            <w:pPr>
              <w:spacing w:line="300" w:lineRule="exact"/>
              <w:rPr>
                <w:rFonts w:ascii="仿宋" w:eastAsia="仿宋" w:hAnsi="仿宋" w:cs="仿宋"/>
                <w:sz w:val="24"/>
              </w:rPr>
            </w:pPr>
          </w:p>
        </w:tc>
        <w:tc>
          <w:tcPr>
            <w:tcW w:w="1476" w:type="dxa"/>
            <w:vMerge/>
            <w:vAlign w:val="center"/>
          </w:tcPr>
          <w:p w:rsidR="00013EC7" w:rsidRDefault="00013EC7">
            <w:pPr>
              <w:spacing w:line="300" w:lineRule="exact"/>
              <w:rPr>
                <w:rFonts w:ascii="仿宋" w:eastAsia="仿宋" w:hAnsi="仿宋" w:cs="仿宋"/>
                <w:sz w:val="24"/>
              </w:rPr>
            </w:pPr>
          </w:p>
        </w:tc>
      </w:tr>
      <w:tr w:rsidR="00013EC7">
        <w:trPr>
          <w:trHeight w:val="193"/>
          <w:jc w:val="center"/>
        </w:trPr>
        <w:tc>
          <w:tcPr>
            <w:tcW w:w="672" w:type="dxa"/>
            <w:vMerge/>
            <w:vAlign w:val="center"/>
          </w:tcPr>
          <w:p w:rsidR="00013EC7" w:rsidRDefault="00013EC7"/>
        </w:tc>
        <w:tc>
          <w:tcPr>
            <w:tcW w:w="1035" w:type="dxa"/>
            <w:vMerge/>
            <w:vAlign w:val="center"/>
          </w:tcPr>
          <w:p w:rsidR="00013EC7" w:rsidRDefault="00013EC7"/>
        </w:tc>
        <w:tc>
          <w:tcPr>
            <w:tcW w:w="2622" w:type="dxa"/>
            <w:vMerge/>
            <w:vAlign w:val="center"/>
          </w:tcPr>
          <w:p w:rsidR="00013EC7" w:rsidRDefault="00013EC7"/>
        </w:tc>
        <w:tc>
          <w:tcPr>
            <w:tcW w:w="2760" w:type="dxa"/>
            <w:vAlign w:val="center"/>
          </w:tcPr>
          <w:p w:rsidR="00013EC7" w:rsidRDefault="00575CDB">
            <w:r>
              <w:rPr>
                <w:rFonts w:ascii="仿宋" w:eastAsia="仿宋" w:hAnsi="仿宋" w:cs="仿宋" w:hint="eastAsia"/>
                <w:kern w:val="1"/>
                <w:sz w:val="24"/>
              </w:rPr>
              <w:t>（六）符合财税〔2016〕 121号文件第一条、第二条规定的研发机构的证明资料原件及复印件1份（</w:t>
            </w:r>
            <w:r>
              <w:rPr>
                <w:rFonts w:ascii="仿宋" w:eastAsia="仿宋" w:hAnsi="仿宋" w:cs="仿宋" w:hint="eastAsia"/>
                <w:kern w:val="1"/>
                <w:sz w:val="24"/>
                <w:lang w:val="zh-CN"/>
              </w:rPr>
              <w:t>注明与原件一致，并加盖公章</w:t>
            </w:r>
            <w:r>
              <w:rPr>
                <w:rFonts w:ascii="仿宋" w:eastAsia="仿宋" w:hAnsi="仿宋" w:cs="仿宋" w:hint="eastAsia"/>
                <w:kern w:val="1"/>
                <w:sz w:val="24"/>
              </w:rPr>
              <w:t>）。</w:t>
            </w:r>
          </w:p>
        </w:tc>
        <w:tc>
          <w:tcPr>
            <w:tcW w:w="1288" w:type="dxa"/>
            <w:vMerge/>
            <w:vAlign w:val="center"/>
          </w:tcPr>
          <w:p w:rsidR="00013EC7" w:rsidRDefault="00013EC7"/>
        </w:tc>
        <w:tc>
          <w:tcPr>
            <w:tcW w:w="2837"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（五）符合财税〔2016〕 121号文件第一条、第二条规定的研发机构的证明资料原件及复印件1份（</w:t>
            </w:r>
            <w:r>
              <w:rPr>
                <w:rFonts w:ascii="仿宋" w:eastAsia="仿宋" w:hAnsi="仿宋" w:cs="仿宋" w:hint="eastAsia"/>
                <w:kern w:val="1"/>
                <w:sz w:val="24"/>
                <w:lang w:val="zh-CN"/>
              </w:rPr>
              <w:t>注明与原件一致，并加盖公章</w:t>
            </w:r>
            <w:r>
              <w:rPr>
                <w:rFonts w:ascii="仿宋" w:eastAsia="仿宋" w:hAnsi="仿宋" w:cs="仿宋" w:hint="eastAsia"/>
                <w:kern w:val="1"/>
                <w:sz w:val="24"/>
              </w:rPr>
              <w:t>）。</w:t>
            </w:r>
          </w:p>
        </w:tc>
        <w:tc>
          <w:tcPr>
            <w:tcW w:w="1326"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未办理出口退（免）税备案的享受采购国产设备退税的研发机构</w:t>
            </w:r>
            <w:r>
              <w:rPr>
                <w:rFonts w:ascii="仿宋" w:eastAsia="仿宋" w:hAnsi="仿宋" w:cs="仿宋" w:hint="eastAsia"/>
                <w:sz w:val="24"/>
              </w:rPr>
              <w:t>纳税人提交</w:t>
            </w:r>
          </w:p>
        </w:tc>
        <w:tc>
          <w:tcPr>
            <w:tcW w:w="2861" w:type="dxa"/>
            <w:vAlign w:val="center"/>
          </w:tcPr>
          <w:p w:rsidR="00013EC7" w:rsidRDefault="00575CDB">
            <w:pPr>
              <w:rPr>
                <w:rFonts w:ascii="仿宋" w:eastAsia="仿宋" w:hAnsi="仿宋" w:cs="仿宋"/>
                <w:kern w:val="1"/>
                <w:sz w:val="24"/>
              </w:rPr>
            </w:pPr>
            <w:r>
              <w:rPr>
                <w:rFonts w:ascii="仿宋" w:eastAsia="仿宋" w:hAnsi="仿宋" w:cs="仿宋" w:hint="eastAsia"/>
                <w:b/>
                <w:sz w:val="24"/>
              </w:rPr>
              <w:t>现场办理：</w:t>
            </w:r>
            <w:r>
              <w:rPr>
                <w:rFonts w:ascii="仿宋" w:eastAsia="仿宋" w:hAnsi="仿宋" w:cs="仿宋" w:hint="eastAsia"/>
                <w:sz w:val="24"/>
              </w:rPr>
              <w:t>纳税人提交书面材料。</w:t>
            </w:r>
          </w:p>
        </w:tc>
        <w:tc>
          <w:tcPr>
            <w:tcW w:w="855"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992"/>
          <w:jc w:val="center"/>
        </w:trPr>
        <w:tc>
          <w:tcPr>
            <w:tcW w:w="672" w:type="dxa"/>
            <w:vMerge/>
            <w:vAlign w:val="center"/>
          </w:tcPr>
          <w:p w:rsidR="00013EC7" w:rsidRDefault="00013EC7">
            <w:pPr>
              <w:rPr>
                <w:rFonts w:ascii="仿宋" w:eastAsia="仿宋" w:hAnsi="仿宋" w:cs="仿宋"/>
                <w:sz w:val="24"/>
              </w:rPr>
            </w:pPr>
          </w:p>
        </w:tc>
        <w:tc>
          <w:tcPr>
            <w:tcW w:w="1035" w:type="dxa"/>
            <w:vMerge/>
            <w:vAlign w:val="center"/>
          </w:tcPr>
          <w:p w:rsidR="00013EC7" w:rsidRDefault="00013EC7">
            <w:pPr>
              <w:rPr>
                <w:rFonts w:ascii="仿宋" w:eastAsia="仿宋" w:hAnsi="仿宋" w:cs="仿宋"/>
                <w:sz w:val="24"/>
              </w:rPr>
            </w:pPr>
          </w:p>
        </w:tc>
        <w:tc>
          <w:tcPr>
            <w:tcW w:w="2622" w:type="dxa"/>
            <w:vMerge/>
            <w:vAlign w:val="center"/>
          </w:tcPr>
          <w:p w:rsidR="00013EC7" w:rsidRDefault="00013EC7">
            <w:pPr>
              <w:rPr>
                <w:rFonts w:ascii="仿宋" w:eastAsia="仿宋" w:hAnsi="仿宋" w:cs="仿宋"/>
                <w:sz w:val="24"/>
              </w:rPr>
            </w:pPr>
          </w:p>
        </w:tc>
        <w:tc>
          <w:tcPr>
            <w:tcW w:w="2760" w:type="dxa"/>
            <w:tcBorders>
              <w:top w:val="single" w:sz="4" w:space="0" w:color="auto"/>
            </w:tcBorders>
            <w:vAlign w:val="center"/>
          </w:tcPr>
          <w:p w:rsidR="00013EC7" w:rsidRDefault="00575CDB">
            <w:pPr>
              <w:spacing w:line="360" w:lineRule="auto"/>
            </w:pPr>
            <w:r>
              <w:rPr>
                <w:rFonts w:ascii="仿宋" w:eastAsia="仿宋" w:hAnsi="仿宋" w:cs="仿宋" w:hint="eastAsia"/>
                <w:kern w:val="1"/>
                <w:sz w:val="24"/>
              </w:rPr>
              <w:t>（七）《国际船舶运输经营许可证》</w:t>
            </w:r>
            <w:r>
              <w:rPr>
                <w:rFonts w:ascii="仿宋" w:eastAsia="仿宋" w:hAnsi="仿宋" w:cs="仿宋" w:hint="eastAsia"/>
                <w:kern w:val="1"/>
                <w:sz w:val="24"/>
                <w:shd w:val="clear" w:color="FFFFFF" w:fill="D9D9D9"/>
              </w:rPr>
              <w:t>原件及</w:t>
            </w:r>
            <w:r>
              <w:rPr>
                <w:rFonts w:ascii="仿宋" w:eastAsia="仿宋" w:hAnsi="仿宋" w:cs="仿宋" w:hint="eastAsia"/>
                <w:kern w:val="1"/>
                <w:sz w:val="24"/>
              </w:rPr>
              <w:t>复印件1份（</w:t>
            </w:r>
            <w:r>
              <w:rPr>
                <w:rFonts w:ascii="仿宋" w:eastAsia="仿宋" w:hAnsi="仿宋" w:cs="仿宋" w:hint="eastAsia"/>
                <w:kern w:val="1"/>
                <w:sz w:val="24"/>
                <w:lang w:val="zh-CN"/>
              </w:rPr>
              <w:t>注明与原件一致，并加盖公章</w:t>
            </w:r>
            <w:r>
              <w:rPr>
                <w:rFonts w:ascii="仿宋" w:eastAsia="仿宋" w:hAnsi="仿宋" w:cs="仿宋" w:hint="eastAsia"/>
                <w:kern w:val="1"/>
                <w:sz w:val="24"/>
              </w:rPr>
              <w:t>）。</w:t>
            </w:r>
          </w:p>
        </w:tc>
        <w:tc>
          <w:tcPr>
            <w:tcW w:w="1288" w:type="dxa"/>
            <w:vAlign w:val="center"/>
          </w:tcPr>
          <w:p w:rsidR="00013EC7" w:rsidRDefault="00575CDB">
            <w:r>
              <w:rPr>
                <w:rFonts w:ascii="仿宋" w:eastAsia="仿宋" w:hAnsi="仿宋" w:cs="仿宋" w:hint="eastAsia"/>
                <w:kern w:val="1"/>
                <w:sz w:val="24"/>
              </w:rPr>
              <w:t>以水路运输方式提供国际运输服务适用增值税零税率应税服务办理出口退（免）税备案的出口企业纳税人提交</w:t>
            </w:r>
          </w:p>
        </w:tc>
        <w:tc>
          <w:tcPr>
            <w:tcW w:w="2837" w:type="dxa"/>
            <w:vAlign w:val="center"/>
          </w:tcPr>
          <w:p w:rsidR="00013EC7" w:rsidRDefault="00575CDB">
            <w:pPr>
              <w:spacing w:line="360" w:lineRule="auto"/>
              <w:rPr>
                <w:rFonts w:ascii="仿宋" w:eastAsia="仿宋" w:hAnsi="仿宋" w:cs="仿宋"/>
                <w:kern w:val="1"/>
                <w:sz w:val="24"/>
              </w:rPr>
            </w:pPr>
            <w:r>
              <w:rPr>
                <w:rFonts w:ascii="仿宋" w:eastAsia="仿宋" w:hAnsi="仿宋" w:cs="仿宋" w:hint="eastAsia"/>
                <w:kern w:val="1"/>
                <w:sz w:val="24"/>
              </w:rPr>
              <w:t>（六）《国际船舶运输经营许可证》复印件1份（注明与原件一致，并加盖公章）。</w:t>
            </w:r>
          </w:p>
        </w:tc>
        <w:tc>
          <w:tcPr>
            <w:tcW w:w="1326"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以水路运输方式提供国际运输服务适用增值税零税率应税服务办理出口退（免）税备案的出口企业纳税人提交</w:t>
            </w:r>
          </w:p>
        </w:tc>
        <w:tc>
          <w:tcPr>
            <w:tcW w:w="2861" w:type="dxa"/>
            <w:vAlign w:val="center"/>
          </w:tcPr>
          <w:p w:rsidR="00013EC7" w:rsidRDefault="00575CDB">
            <w:pPr>
              <w:rPr>
                <w:rFonts w:ascii="仿宋" w:eastAsia="仿宋" w:hAnsi="仿宋" w:cs="仿宋"/>
                <w:kern w:val="1"/>
                <w:sz w:val="24"/>
              </w:rPr>
            </w:pPr>
            <w:r>
              <w:rPr>
                <w:rFonts w:ascii="仿宋" w:eastAsia="仿宋" w:hAnsi="仿宋" w:cs="仿宋" w:hint="eastAsia"/>
                <w:b/>
                <w:sz w:val="24"/>
              </w:rPr>
              <w:t>现场办理：</w:t>
            </w:r>
            <w:r>
              <w:rPr>
                <w:rFonts w:ascii="仿宋" w:eastAsia="仿宋" w:hAnsi="仿宋" w:cs="仿宋" w:hint="eastAsia"/>
                <w:sz w:val="24"/>
              </w:rPr>
              <w:t>纳税人提交书面材料。</w:t>
            </w:r>
          </w:p>
        </w:tc>
        <w:tc>
          <w:tcPr>
            <w:tcW w:w="855"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38"/>
          <w:jc w:val="center"/>
        </w:trPr>
        <w:tc>
          <w:tcPr>
            <w:tcW w:w="672" w:type="dxa"/>
            <w:vMerge/>
            <w:vAlign w:val="center"/>
          </w:tcPr>
          <w:p w:rsidR="00013EC7" w:rsidRDefault="00013EC7">
            <w:pPr>
              <w:rPr>
                <w:rFonts w:ascii="仿宋" w:eastAsia="仿宋" w:hAnsi="仿宋" w:cs="仿宋"/>
                <w:kern w:val="1"/>
                <w:sz w:val="24"/>
              </w:rPr>
            </w:pPr>
          </w:p>
        </w:tc>
        <w:tc>
          <w:tcPr>
            <w:tcW w:w="1035" w:type="dxa"/>
            <w:vMerge/>
            <w:vAlign w:val="center"/>
          </w:tcPr>
          <w:p w:rsidR="00013EC7" w:rsidRDefault="00013EC7">
            <w:pPr>
              <w:rPr>
                <w:rFonts w:ascii="仿宋" w:eastAsia="仿宋" w:hAnsi="仿宋" w:cs="仿宋"/>
                <w:kern w:val="1"/>
                <w:sz w:val="24"/>
              </w:rPr>
            </w:pPr>
          </w:p>
        </w:tc>
        <w:tc>
          <w:tcPr>
            <w:tcW w:w="2622" w:type="dxa"/>
            <w:vMerge/>
            <w:vAlign w:val="center"/>
          </w:tcPr>
          <w:p w:rsidR="00013EC7" w:rsidRDefault="00013EC7">
            <w:pPr>
              <w:rPr>
                <w:rFonts w:ascii="仿宋" w:eastAsia="仿宋" w:hAnsi="仿宋" w:cs="仿宋"/>
                <w:kern w:val="1"/>
                <w:sz w:val="24"/>
              </w:rPr>
            </w:pPr>
          </w:p>
        </w:tc>
        <w:tc>
          <w:tcPr>
            <w:tcW w:w="2760"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（八）</w:t>
            </w:r>
            <w:r>
              <w:rPr>
                <w:rFonts w:ascii="仿宋" w:eastAsia="仿宋" w:hAnsi="仿宋" w:cs="仿宋" w:hint="eastAsia"/>
                <w:sz w:val="24"/>
              </w:rPr>
              <w:t>经营范围包括"国际航空客货邮运输业务"的《公共航空运输企业经营许可证》</w:t>
            </w:r>
            <w:r>
              <w:rPr>
                <w:rFonts w:ascii="仿宋" w:eastAsia="仿宋" w:hAnsi="仿宋" w:cs="仿宋" w:hint="eastAsia"/>
                <w:sz w:val="24"/>
                <w:shd w:val="clear" w:color="FFFFFF" w:fill="D9D9D9"/>
              </w:rPr>
              <w:t>原件及</w:t>
            </w:r>
            <w:r>
              <w:rPr>
                <w:rFonts w:ascii="仿宋" w:eastAsia="仿宋" w:hAnsi="仿宋" w:cs="仿宋" w:hint="eastAsia"/>
                <w:sz w:val="24"/>
              </w:rPr>
              <w:t>复印件1份（</w:t>
            </w:r>
            <w:r>
              <w:rPr>
                <w:rFonts w:ascii="仿宋" w:eastAsia="仿宋" w:hAnsi="仿宋" w:cs="仿宋" w:hint="eastAsia"/>
                <w:sz w:val="24"/>
                <w:lang w:val="zh-CN"/>
              </w:rPr>
              <w:t>注明与原件一致，并加盖公章</w:t>
            </w:r>
            <w:r>
              <w:rPr>
                <w:rFonts w:ascii="仿宋" w:eastAsia="仿宋" w:hAnsi="仿宋" w:cs="仿宋" w:hint="eastAsia"/>
                <w:sz w:val="24"/>
              </w:rPr>
              <w:t>）或经营范围包括"公务飞行"的《通用航空经营许可证》</w:t>
            </w:r>
            <w:r>
              <w:rPr>
                <w:rFonts w:ascii="仿宋" w:eastAsia="仿宋" w:hAnsi="仿宋" w:cs="仿宋" w:hint="eastAsia"/>
                <w:sz w:val="24"/>
                <w:shd w:val="clear" w:color="FFFFFF" w:fill="D9D9D9"/>
              </w:rPr>
              <w:t>原件及</w:t>
            </w:r>
            <w:r>
              <w:rPr>
                <w:rFonts w:ascii="仿宋" w:eastAsia="仿宋" w:hAnsi="仿宋" w:cs="仿宋" w:hint="eastAsia"/>
                <w:sz w:val="24"/>
              </w:rPr>
              <w:t>复印件1份（</w:t>
            </w:r>
            <w:r>
              <w:rPr>
                <w:rFonts w:ascii="仿宋" w:eastAsia="仿宋" w:hAnsi="仿宋" w:cs="仿宋" w:hint="eastAsia"/>
                <w:sz w:val="24"/>
                <w:lang w:val="zh-CN"/>
              </w:rPr>
              <w:t>注明与原件一致，并加盖公章</w:t>
            </w:r>
            <w:r>
              <w:rPr>
                <w:rFonts w:ascii="仿宋" w:eastAsia="仿宋" w:hAnsi="仿宋" w:cs="仿宋" w:hint="eastAsia"/>
                <w:sz w:val="24"/>
              </w:rPr>
              <w:t>）。</w:t>
            </w:r>
          </w:p>
        </w:tc>
        <w:tc>
          <w:tcPr>
            <w:tcW w:w="1288"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以航空运输方式提供国际运输服务适用增值税零税率应税服务办理出口退（免）税备案的出口企业纳税人提交</w:t>
            </w:r>
          </w:p>
        </w:tc>
        <w:tc>
          <w:tcPr>
            <w:tcW w:w="2837"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（七）</w:t>
            </w:r>
            <w:r>
              <w:rPr>
                <w:rFonts w:ascii="仿宋" w:eastAsia="仿宋" w:hAnsi="仿宋" w:cs="仿宋" w:hint="eastAsia"/>
                <w:sz w:val="24"/>
              </w:rPr>
              <w:t>经营范围包括"国际航空客货邮运输业务"的《公共航空运输企业经营许可证》复印件1份（</w:t>
            </w:r>
            <w:r>
              <w:rPr>
                <w:rFonts w:ascii="仿宋" w:eastAsia="仿宋" w:hAnsi="仿宋" w:cs="仿宋" w:hint="eastAsia"/>
                <w:sz w:val="24"/>
                <w:lang w:val="zh-CN"/>
              </w:rPr>
              <w:t>注明与原件一致，并加盖公章</w:t>
            </w:r>
            <w:r>
              <w:rPr>
                <w:rFonts w:ascii="仿宋" w:eastAsia="仿宋" w:hAnsi="仿宋" w:cs="仿宋" w:hint="eastAsia"/>
                <w:sz w:val="24"/>
              </w:rPr>
              <w:t>）或经营范围包括"公务飞行"的《通用航空经营许可证》复印件1份（</w:t>
            </w:r>
            <w:r>
              <w:rPr>
                <w:rFonts w:ascii="仿宋" w:eastAsia="仿宋" w:hAnsi="仿宋" w:cs="仿宋" w:hint="eastAsia"/>
                <w:sz w:val="24"/>
                <w:lang w:val="zh-CN"/>
              </w:rPr>
              <w:t>注明与原件一致，并加盖公章</w:t>
            </w:r>
            <w:r>
              <w:rPr>
                <w:rFonts w:ascii="仿宋" w:eastAsia="仿宋" w:hAnsi="仿宋" w:cs="仿宋" w:hint="eastAsia"/>
                <w:sz w:val="24"/>
              </w:rPr>
              <w:t>）。</w:t>
            </w:r>
          </w:p>
        </w:tc>
        <w:tc>
          <w:tcPr>
            <w:tcW w:w="1326"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以航空运输方式提供国际运输服务适用增值税零税率应税服务办理出口退（免）税备案的出口企业纳税人提交</w:t>
            </w:r>
          </w:p>
        </w:tc>
        <w:tc>
          <w:tcPr>
            <w:tcW w:w="2861" w:type="dxa"/>
            <w:vAlign w:val="center"/>
          </w:tcPr>
          <w:p w:rsidR="00013EC7" w:rsidRDefault="00575CDB">
            <w:pPr>
              <w:rPr>
                <w:rFonts w:ascii="仿宋" w:eastAsia="仿宋" w:hAnsi="仿宋" w:cs="仿宋"/>
                <w:kern w:val="1"/>
                <w:sz w:val="24"/>
              </w:rPr>
            </w:pPr>
            <w:r>
              <w:rPr>
                <w:rFonts w:ascii="仿宋" w:eastAsia="仿宋" w:hAnsi="仿宋" w:cs="仿宋" w:hint="eastAsia"/>
                <w:b/>
                <w:sz w:val="24"/>
              </w:rPr>
              <w:t>现场办理：</w:t>
            </w:r>
            <w:r>
              <w:rPr>
                <w:rFonts w:ascii="仿宋" w:eastAsia="仿宋" w:hAnsi="仿宋" w:cs="仿宋" w:hint="eastAsia"/>
                <w:sz w:val="24"/>
              </w:rPr>
              <w:t>纳税人提交书面材料。</w:t>
            </w:r>
          </w:p>
        </w:tc>
        <w:tc>
          <w:tcPr>
            <w:tcW w:w="855"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193"/>
          <w:jc w:val="center"/>
        </w:trPr>
        <w:tc>
          <w:tcPr>
            <w:tcW w:w="672" w:type="dxa"/>
            <w:vMerge/>
            <w:vAlign w:val="center"/>
          </w:tcPr>
          <w:p w:rsidR="00013EC7" w:rsidRDefault="00013EC7">
            <w:pPr>
              <w:rPr>
                <w:rFonts w:ascii="仿宋" w:eastAsia="仿宋" w:hAnsi="仿宋" w:cs="仿宋"/>
                <w:kern w:val="1"/>
                <w:sz w:val="24"/>
              </w:rPr>
            </w:pPr>
          </w:p>
        </w:tc>
        <w:tc>
          <w:tcPr>
            <w:tcW w:w="1035" w:type="dxa"/>
            <w:vMerge/>
            <w:vAlign w:val="center"/>
          </w:tcPr>
          <w:p w:rsidR="00013EC7" w:rsidRDefault="00013EC7">
            <w:pPr>
              <w:rPr>
                <w:rFonts w:ascii="仿宋" w:eastAsia="仿宋" w:hAnsi="仿宋" w:cs="仿宋"/>
                <w:kern w:val="1"/>
                <w:sz w:val="24"/>
              </w:rPr>
            </w:pPr>
          </w:p>
        </w:tc>
        <w:tc>
          <w:tcPr>
            <w:tcW w:w="2622" w:type="dxa"/>
            <w:vMerge/>
            <w:vAlign w:val="center"/>
          </w:tcPr>
          <w:p w:rsidR="00013EC7" w:rsidRDefault="00013EC7">
            <w:pPr>
              <w:rPr>
                <w:rFonts w:ascii="仿宋" w:eastAsia="仿宋" w:hAnsi="仿宋" w:cs="仿宋"/>
                <w:kern w:val="1"/>
                <w:sz w:val="24"/>
              </w:rPr>
            </w:pPr>
          </w:p>
        </w:tc>
        <w:tc>
          <w:tcPr>
            <w:tcW w:w="2760"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（九）</w:t>
            </w:r>
            <w:r>
              <w:rPr>
                <w:rFonts w:ascii="仿宋" w:eastAsia="仿宋" w:hAnsi="仿宋" w:cs="仿宋" w:hint="eastAsia"/>
                <w:sz w:val="24"/>
              </w:rPr>
              <w:t>经营范围包括"国际运输"的《道路运输经营许可证》</w:t>
            </w:r>
            <w:r>
              <w:rPr>
                <w:rFonts w:ascii="仿宋" w:eastAsia="仿宋" w:hAnsi="仿宋" w:cs="仿宋" w:hint="eastAsia"/>
                <w:sz w:val="24"/>
                <w:shd w:val="clear" w:color="FFFFFF" w:fill="D9D9D9"/>
              </w:rPr>
              <w:t>原件及</w:t>
            </w:r>
            <w:r>
              <w:rPr>
                <w:rFonts w:ascii="仿宋" w:eastAsia="仿宋" w:hAnsi="仿宋" w:cs="仿宋" w:hint="eastAsia"/>
                <w:sz w:val="24"/>
              </w:rPr>
              <w:t>复印件1份（</w:t>
            </w:r>
            <w:r>
              <w:rPr>
                <w:rFonts w:ascii="仿宋" w:eastAsia="仿宋" w:hAnsi="仿宋" w:cs="仿宋" w:hint="eastAsia"/>
                <w:sz w:val="24"/>
                <w:lang w:val="zh-CN"/>
              </w:rPr>
              <w:t>注明与原件一致，并加盖公章</w:t>
            </w:r>
            <w:r>
              <w:rPr>
                <w:rFonts w:ascii="仿宋" w:eastAsia="仿宋" w:hAnsi="仿宋" w:cs="仿宋" w:hint="eastAsia"/>
                <w:sz w:val="24"/>
              </w:rPr>
              <w:t>）。</w:t>
            </w:r>
          </w:p>
        </w:tc>
        <w:tc>
          <w:tcPr>
            <w:tcW w:w="1288" w:type="dxa"/>
            <w:vMerge w:val="restart"/>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以公路运输方式提供国际运输服务适用增值税零税率应税服务办理出口退（免）税备案的出口企业纳税人提交</w:t>
            </w:r>
          </w:p>
        </w:tc>
        <w:tc>
          <w:tcPr>
            <w:tcW w:w="2837"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（八）</w:t>
            </w:r>
            <w:r>
              <w:rPr>
                <w:rFonts w:ascii="仿宋" w:eastAsia="仿宋" w:hAnsi="仿宋" w:cs="仿宋" w:hint="eastAsia"/>
                <w:sz w:val="24"/>
              </w:rPr>
              <w:t>经营范围包括"国际运输"的《道路运输经营许可证》复印件1份（</w:t>
            </w:r>
            <w:r>
              <w:rPr>
                <w:rFonts w:ascii="仿宋" w:eastAsia="仿宋" w:hAnsi="仿宋" w:cs="仿宋" w:hint="eastAsia"/>
                <w:sz w:val="24"/>
                <w:lang w:val="zh-CN"/>
              </w:rPr>
              <w:t>注明与原件一致，并加盖公章</w:t>
            </w:r>
            <w:r>
              <w:rPr>
                <w:rFonts w:ascii="仿宋" w:eastAsia="仿宋" w:hAnsi="仿宋" w:cs="仿宋" w:hint="eastAsia"/>
                <w:sz w:val="24"/>
              </w:rPr>
              <w:t>）。</w:t>
            </w:r>
          </w:p>
        </w:tc>
        <w:tc>
          <w:tcPr>
            <w:tcW w:w="1326" w:type="dxa"/>
            <w:vMerge w:val="restart"/>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以公路运输方式提供国际运输服务适用增值税零税率应税服务办理出口退（免）税备案的出口企业纳税人提交</w:t>
            </w:r>
          </w:p>
        </w:tc>
        <w:tc>
          <w:tcPr>
            <w:tcW w:w="2861" w:type="dxa"/>
            <w:vAlign w:val="center"/>
          </w:tcPr>
          <w:p w:rsidR="00013EC7" w:rsidRDefault="00575CDB">
            <w:pPr>
              <w:rPr>
                <w:rFonts w:ascii="仿宋" w:eastAsia="仿宋" w:hAnsi="仿宋" w:cs="仿宋"/>
                <w:kern w:val="1"/>
                <w:sz w:val="24"/>
              </w:rPr>
            </w:pPr>
            <w:r>
              <w:rPr>
                <w:rFonts w:ascii="仿宋" w:eastAsia="仿宋" w:hAnsi="仿宋" w:cs="仿宋" w:hint="eastAsia"/>
                <w:b/>
                <w:sz w:val="24"/>
              </w:rPr>
              <w:t>现场办理：</w:t>
            </w:r>
            <w:r>
              <w:rPr>
                <w:rFonts w:ascii="仿宋" w:eastAsia="仿宋" w:hAnsi="仿宋" w:cs="仿宋" w:hint="eastAsia"/>
                <w:sz w:val="24"/>
              </w:rPr>
              <w:t>纳税人提交书面材料。</w:t>
            </w:r>
          </w:p>
        </w:tc>
        <w:tc>
          <w:tcPr>
            <w:tcW w:w="855"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193"/>
          <w:jc w:val="center"/>
        </w:trPr>
        <w:tc>
          <w:tcPr>
            <w:tcW w:w="672" w:type="dxa"/>
            <w:vMerge/>
            <w:vAlign w:val="center"/>
          </w:tcPr>
          <w:p w:rsidR="00013EC7" w:rsidRDefault="00013EC7"/>
        </w:tc>
        <w:tc>
          <w:tcPr>
            <w:tcW w:w="1035" w:type="dxa"/>
            <w:vMerge/>
            <w:vAlign w:val="center"/>
          </w:tcPr>
          <w:p w:rsidR="00013EC7" w:rsidRDefault="00013EC7"/>
        </w:tc>
        <w:tc>
          <w:tcPr>
            <w:tcW w:w="2622" w:type="dxa"/>
            <w:vMerge/>
            <w:vAlign w:val="center"/>
          </w:tcPr>
          <w:p w:rsidR="00013EC7" w:rsidRDefault="00013EC7"/>
        </w:tc>
        <w:tc>
          <w:tcPr>
            <w:tcW w:w="2760" w:type="dxa"/>
            <w:vAlign w:val="center"/>
          </w:tcPr>
          <w:p w:rsidR="00013EC7" w:rsidRDefault="00575CDB">
            <w:pPr>
              <w:rPr>
                <w:rFonts w:ascii="仿宋" w:eastAsia="仿宋" w:hAnsi="仿宋" w:cs="仿宋"/>
                <w:sz w:val="24"/>
              </w:rPr>
            </w:pPr>
            <w:r>
              <w:rPr>
                <w:rFonts w:ascii="仿宋" w:eastAsia="仿宋" w:hAnsi="仿宋" w:cs="仿宋" w:hint="eastAsia"/>
                <w:kern w:val="1"/>
                <w:sz w:val="24"/>
              </w:rPr>
              <w:t>（十）</w:t>
            </w:r>
            <w:r>
              <w:rPr>
                <w:rFonts w:ascii="仿宋" w:eastAsia="仿宋" w:hAnsi="仿宋" w:cs="仿宋" w:hint="eastAsia"/>
                <w:sz w:val="24"/>
              </w:rPr>
              <w:t>经营范围包括"国际运输"的《国际汽车运输行车许可证》</w:t>
            </w:r>
            <w:r>
              <w:rPr>
                <w:rFonts w:ascii="仿宋" w:eastAsia="仿宋" w:hAnsi="仿宋" w:cs="仿宋" w:hint="eastAsia"/>
                <w:sz w:val="24"/>
                <w:shd w:val="clear" w:color="FFFFFF" w:fill="D9D9D9"/>
              </w:rPr>
              <w:t>原件及</w:t>
            </w:r>
            <w:r>
              <w:rPr>
                <w:rFonts w:ascii="仿宋" w:eastAsia="仿宋" w:hAnsi="仿宋" w:cs="仿宋" w:hint="eastAsia"/>
                <w:sz w:val="24"/>
              </w:rPr>
              <w:t>复印件1份（</w:t>
            </w:r>
            <w:r>
              <w:rPr>
                <w:rFonts w:ascii="仿宋" w:eastAsia="仿宋" w:hAnsi="仿宋" w:cs="仿宋" w:hint="eastAsia"/>
                <w:sz w:val="24"/>
                <w:lang w:val="zh-CN"/>
              </w:rPr>
              <w:t>注明与原件一致，并加盖公章</w:t>
            </w:r>
            <w:r>
              <w:rPr>
                <w:rFonts w:ascii="仿宋" w:eastAsia="仿宋" w:hAnsi="仿宋" w:cs="仿宋" w:hint="eastAsia"/>
                <w:sz w:val="24"/>
              </w:rPr>
              <w:t>）。</w:t>
            </w:r>
          </w:p>
        </w:tc>
        <w:tc>
          <w:tcPr>
            <w:tcW w:w="1288" w:type="dxa"/>
            <w:vMerge/>
            <w:vAlign w:val="center"/>
          </w:tcPr>
          <w:p w:rsidR="00013EC7" w:rsidRDefault="00013EC7">
            <w:pPr>
              <w:rPr>
                <w:rFonts w:ascii="仿宋" w:eastAsia="仿宋" w:hAnsi="仿宋" w:cs="仿宋"/>
                <w:sz w:val="24"/>
              </w:rPr>
            </w:pPr>
          </w:p>
        </w:tc>
        <w:tc>
          <w:tcPr>
            <w:tcW w:w="2837" w:type="dxa"/>
            <w:vAlign w:val="center"/>
          </w:tcPr>
          <w:p w:rsidR="00013EC7" w:rsidRDefault="00575CDB">
            <w:pPr>
              <w:rPr>
                <w:rFonts w:ascii="仿宋" w:eastAsia="仿宋" w:hAnsi="仿宋" w:cs="仿宋"/>
                <w:sz w:val="24"/>
              </w:rPr>
            </w:pPr>
            <w:r>
              <w:rPr>
                <w:rFonts w:ascii="仿宋" w:eastAsia="仿宋" w:hAnsi="仿宋" w:cs="仿宋" w:hint="eastAsia"/>
                <w:kern w:val="1"/>
                <w:sz w:val="24"/>
              </w:rPr>
              <w:t>（九）</w:t>
            </w:r>
            <w:r>
              <w:rPr>
                <w:rFonts w:ascii="仿宋" w:eastAsia="仿宋" w:hAnsi="仿宋" w:cs="仿宋" w:hint="eastAsia"/>
                <w:sz w:val="24"/>
              </w:rPr>
              <w:t>经营范围包括"国际运输"的《国际汽车运输行车许可证》复印件1份（</w:t>
            </w:r>
            <w:r>
              <w:rPr>
                <w:rFonts w:ascii="仿宋" w:eastAsia="仿宋" w:hAnsi="仿宋" w:cs="仿宋" w:hint="eastAsia"/>
                <w:sz w:val="24"/>
                <w:lang w:val="zh-CN"/>
              </w:rPr>
              <w:t>注明与原件一致，并加盖公章</w:t>
            </w:r>
            <w:r>
              <w:rPr>
                <w:rFonts w:ascii="仿宋" w:eastAsia="仿宋" w:hAnsi="仿宋" w:cs="仿宋" w:hint="eastAsia"/>
                <w:sz w:val="24"/>
              </w:rPr>
              <w:t>）。</w:t>
            </w:r>
          </w:p>
        </w:tc>
        <w:tc>
          <w:tcPr>
            <w:tcW w:w="1326" w:type="dxa"/>
            <w:vMerge/>
            <w:vAlign w:val="center"/>
          </w:tcPr>
          <w:p w:rsidR="00013EC7" w:rsidRDefault="00013EC7">
            <w:pPr>
              <w:rPr>
                <w:rFonts w:ascii="仿宋" w:eastAsia="仿宋" w:hAnsi="仿宋" w:cs="仿宋"/>
                <w:sz w:val="24"/>
              </w:rPr>
            </w:pPr>
          </w:p>
        </w:tc>
        <w:tc>
          <w:tcPr>
            <w:tcW w:w="2861" w:type="dxa"/>
            <w:vAlign w:val="center"/>
          </w:tcPr>
          <w:p w:rsidR="00013EC7" w:rsidRDefault="00575CDB">
            <w:pPr>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纳税人提交书面材料。</w:t>
            </w:r>
          </w:p>
        </w:tc>
        <w:tc>
          <w:tcPr>
            <w:tcW w:w="855" w:type="dxa"/>
            <w:vMerge/>
            <w:vAlign w:val="center"/>
          </w:tcPr>
          <w:p w:rsidR="00013EC7" w:rsidRDefault="00013EC7">
            <w:pPr>
              <w:rPr>
                <w:rFonts w:ascii="仿宋" w:eastAsia="仿宋" w:hAnsi="仿宋" w:cs="仿宋"/>
                <w:sz w:val="24"/>
              </w:rPr>
            </w:pPr>
          </w:p>
        </w:tc>
        <w:tc>
          <w:tcPr>
            <w:tcW w:w="798" w:type="dxa"/>
            <w:vMerge/>
            <w:vAlign w:val="center"/>
          </w:tcPr>
          <w:p w:rsidR="00013EC7" w:rsidRDefault="00013EC7">
            <w:pPr>
              <w:rPr>
                <w:rFonts w:ascii="仿宋" w:eastAsia="仿宋" w:hAnsi="仿宋" w:cs="仿宋"/>
                <w:sz w:val="24"/>
              </w:rPr>
            </w:pP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38"/>
          <w:jc w:val="center"/>
        </w:trPr>
        <w:tc>
          <w:tcPr>
            <w:tcW w:w="672" w:type="dxa"/>
            <w:vMerge/>
            <w:vAlign w:val="center"/>
          </w:tcPr>
          <w:p w:rsidR="00013EC7" w:rsidRDefault="00013EC7">
            <w:pPr>
              <w:rPr>
                <w:rFonts w:ascii="仿宋" w:eastAsia="仿宋" w:hAnsi="仿宋" w:cs="仿宋"/>
                <w:kern w:val="1"/>
                <w:sz w:val="24"/>
              </w:rPr>
            </w:pPr>
          </w:p>
        </w:tc>
        <w:tc>
          <w:tcPr>
            <w:tcW w:w="1035" w:type="dxa"/>
            <w:vMerge/>
            <w:vAlign w:val="center"/>
          </w:tcPr>
          <w:p w:rsidR="00013EC7" w:rsidRDefault="00013EC7">
            <w:pPr>
              <w:rPr>
                <w:rFonts w:ascii="仿宋" w:eastAsia="仿宋" w:hAnsi="仿宋" w:cs="仿宋"/>
                <w:kern w:val="1"/>
                <w:sz w:val="24"/>
              </w:rPr>
            </w:pPr>
          </w:p>
        </w:tc>
        <w:tc>
          <w:tcPr>
            <w:tcW w:w="2622" w:type="dxa"/>
            <w:vMerge/>
            <w:vAlign w:val="center"/>
          </w:tcPr>
          <w:p w:rsidR="00013EC7" w:rsidRDefault="00013EC7">
            <w:pPr>
              <w:rPr>
                <w:rFonts w:ascii="仿宋" w:eastAsia="仿宋" w:hAnsi="仿宋" w:cs="仿宋"/>
                <w:kern w:val="1"/>
                <w:sz w:val="24"/>
              </w:rPr>
            </w:pPr>
          </w:p>
        </w:tc>
        <w:tc>
          <w:tcPr>
            <w:tcW w:w="2760"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（十一）</w:t>
            </w:r>
            <w:r>
              <w:rPr>
                <w:rFonts w:ascii="仿宋" w:eastAsia="仿宋" w:hAnsi="仿宋" w:cs="仿宋" w:hint="eastAsia"/>
                <w:sz w:val="24"/>
              </w:rPr>
              <w:t>经营范围包括"许可经营项目:铁路客货运输"的《企业法人营业执照》</w:t>
            </w:r>
            <w:r>
              <w:rPr>
                <w:rFonts w:ascii="仿宋" w:eastAsia="仿宋" w:hAnsi="仿宋" w:cs="仿宋" w:hint="eastAsia"/>
                <w:sz w:val="24"/>
                <w:shd w:val="clear" w:color="FFFFFF" w:fill="D9D9D9"/>
              </w:rPr>
              <w:t>原件及</w:t>
            </w:r>
            <w:r>
              <w:rPr>
                <w:rFonts w:ascii="仿宋" w:eastAsia="仿宋" w:hAnsi="仿宋" w:cs="仿宋" w:hint="eastAsia"/>
                <w:sz w:val="24"/>
              </w:rPr>
              <w:t>复印件1份（</w:t>
            </w:r>
            <w:r>
              <w:rPr>
                <w:rFonts w:ascii="仿宋" w:eastAsia="仿宋" w:hAnsi="仿宋" w:cs="仿宋" w:hint="eastAsia"/>
                <w:sz w:val="24"/>
                <w:lang w:val="zh-CN"/>
              </w:rPr>
              <w:t>注明与原件一致，并加盖公章</w:t>
            </w:r>
            <w:r>
              <w:rPr>
                <w:rFonts w:ascii="仿宋" w:eastAsia="仿宋" w:hAnsi="仿宋" w:cs="仿宋" w:hint="eastAsia"/>
                <w:sz w:val="24"/>
              </w:rPr>
              <w:t>）或其他具有提供铁路客货运输服务资质的证明材料。</w:t>
            </w:r>
          </w:p>
        </w:tc>
        <w:tc>
          <w:tcPr>
            <w:tcW w:w="1288"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以铁路运输方式提供国际运输服务适用增值税零税率应税服务办理出口退（免）税备案的出口企业纳税人提交</w:t>
            </w:r>
          </w:p>
        </w:tc>
        <w:tc>
          <w:tcPr>
            <w:tcW w:w="2837"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（十）</w:t>
            </w:r>
            <w:r>
              <w:rPr>
                <w:rFonts w:ascii="仿宋" w:eastAsia="仿宋" w:hAnsi="仿宋" w:cs="仿宋" w:hint="eastAsia"/>
                <w:sz w:val="24"/>
              </w:rPr>
              <w:t>经营范围包括"许可经营项目:铁路客货运输"的《企业法人营业执照》复印件1份（</w:t>
            </w:r>
            <w:r>
              <w:rPr>
                <w:rFonts w:ascii="仿宋" w:eastAsia="仿宋" w:hAnsi="仿宋" w:cs="仿宋" w:hint="eastAsia"/>
                <w:sz w:val="24"/>
                <w:lang w:val="zh-CN"/>
              </w:rPr>
              <w:t>注明与原件一致，并加盖公章</w:t>
            </w:r>
            <w:r>
              <w:rPr>
                <w:rFonts w:ascii="仿宋" w:eastAsia="仿宋" w:hAnsi="仿宋" w:cs="仿宋" w:hint="eastAsia"/>
                <w:sz w:val="24"/>
              </w:rPr>
              <w:t>）或其他具有提供铁路客货运输服务资质的证明材料。</w:t>
            </w:r>
          </w:p>
        </w:tc>
        <w:tc>
          <w:tcPr>
            <w:tcW w:w="1326"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以铁路运输方式提供国际运输服务适用增值税零税率应税服务办理出口退（免）税备案的出口企业纳税人提交</w:t>
            </w:r>
          </w:p>
        </w:tc>
        <w:tc>
          <w:tcPr>
            <w:tcW w:w="2861" w:type="dxa"/>
            <w:vAlign w:val="center"/>
          </w:tcPr>
          <w:p w:rsidR="00013EC7" w:rsidRDefault="00575CDB">
            <w:pPr>
              <w:rPr>
                <w:rFonts w:ascii="仿宋" w:eastAsia="仿宋" w:hAnsi="仿宋" w:cs="仿宋"/>
                <w:kern w:val="1"/>
                <w:sz w:val="24"/>
              </w:rPr>
            </w:pPr>
            <w:r>
              <w:rPr>
                <w:rFonts w:ascii="仿宋" w:eastAsia="仿宋" w:hAnsi="仿宋" w:cs="仿宋" w:hint="eastAsia"/>
                <w:b/>
                <w:sz w:val="24"/>
              </w:rPr>
              <w:t>现场办理：</w:t>
            </w:r>
            <w:r>
              <w:rPr>
                <w:rFonts w:ascii="仿宋" w:eastAsia="仿宋" w:hAnsi="仿宋" w:cs="仿宋" w:hint="eastAsia"/>
                <w:sz w:val="24"/>
              </w:rPr>
              <w:t>纳税人提交书面材料。</w:t>
            </w:r>
          </w:p>
        </w:tc>
        <w:tc>
          <w:tcPr>
            <w:tcW w:w="855"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38"/>
          <w:jc w:val="center"/>
        </w:trPr>
        <w:tc>
          <w:tcPr>
            <w:tcW w:w="672" w:type="dxa"/>
            <w:vMerge/>
            <w:vAlign w:val="center"/>
          </w:tcPr>
          <w:p w:rsidR="00013EC7" w:rsidRDefault="00013EC7">
            <w:pPr>
              <w:rPr>
                <w:rFonts w:ascii="仿宋" w:eastAsia="仿宋" w:hAnsi="仿宋" w:cs="仿宋"/>
                <w:kern w:val="1"/>
                <w:sz w:val="24"/>
              </w:rPr>
            </w:pPr>
          </w:p>
        </w:tc>
        <w:tc>
          <w:tcPr>
            <w:tcW w:w="1035" w:type="dxa"/>
            <w:vMerge/>
            <w:vAlign w:val="center"/>
          </w:tcPr>
          <w:p w:rsidR="00013EC7" w:rsidRDefault="00013EC7">
            <w:pPr>
              <w:rPr>
                <w:rFonts w:ascii="仿宋" w:eastAsia="仿宋" w:hAnsi="仿宋" w:cs="仿宋"/>
                <w:kern w:val="1"/>
                <w:sz w:val="24"/>
              </w:rPr>
            </w:pPr>
          </w:p>
        </w:tc>
        <w:tc>
          <w:tcPr>
            <w:tcW w:w="2622" w:type="dxa"/>
            <w:vMerge/>
            <w:vAlign w:val="center"/>
          </w:tcPr>
          <w:p w:rsidR="00013EC7" w:rsidRDefault="00013EC7">
            <w:pPr>
              <w:rPr>
                <w:rFonts w:ascii="仿宋" w:eastAsia="仿宋" w:hAnsi="仿宋" w:cs="仿宋"/>
                <w:kern w:val="1"/>
                <w:sz w:val="24"/>
              </w:rPr>
            </w:pPr>
          </w:p>
        </w:tc>
        <w:tc>
          <w:tcPr>
            <w:tcW w:w="2760"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（十二）</w:t>
            </w:r>
            <w:r>
              <w:rPr>
                <w:rFonts w:ascii="仿宋" w:eastAsia="仿宋" w:hAnsi="仿宋" w:cs="仿宋" w:hint="eastAsia"/>
                <w:sz w:val="24"/>
              </w:rPr>
              <w:t>经营范围包括"商业卫星发射服务"的《企业法人营业执照》</w:t>
            </w:r>
            <w:r>
              <w:rPr>
                <w:rFonts w:ascii="仿宋" w:eastAsia="仿宋" w:hAnsi="仿宋" w:cs="仿宋" w:hint="eastAsia"/>
                <w:sz w:val="24"/>
                <w:shd w:val="clear" w:color="FFFFFF" w:fill="D9D9D9"/>
              </w:rPr>
              <w:t>原件及</w:t>
            </w:r>
            <w:r>
              <w:rPr>
                <w:rFonts w:ascii="仿宋" w:eastAsia="仿宋" w:hAnsi="仿宋" w:cs="仿宋" w:hint="eastAsia"/>
                <w:sz w:val="24"/>
              </w:rPr>
              <w:t>复印件1份（</w:t>
            </w:r>
            <w:r>
              <w:rPr>
                <w:rFonts w:ascii="仿宋" w:eastAsia="仿宋" w:hAnsi="仿宋" w:cs="仿宋" w:hint="eastAsia"/>
                <w:sz w:val="24"/>
                <w:lang w:val="zh-CN"/>
              </w:rPr>
              <w:t>注明与原件一致，并加盖公章</w:t>
            </w:r>
            <w:r>
              <w:rPr>
                <w:rFonts w:ascii="仿宋" w:eastAsia="仿宋" w:hAnsi="仿宋" w:cs="仿宋" w:hint="eastAsia"/>
                <w:sz w:val="24"/>
              </w:rPr>
              <w:t>）或其他具有提供商业卫星发射服务资质的证明材料。</w:t>
            </w:r>
          </w:p>
        </w:tc>
        <w:tc>
          <w:tcPr>
            <w:tcW w:w="1288"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提供航天运输服务提供国际运输服务适用增值税零税率应税服务办理出口退（免）税备案的出口企业纳税人提交</w:t>
            </w:r>
          </w:p>
        </w:tc>
        <w:tc>
          <w:tcPr>
            <w:tcW w:w="2837"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（十一）</w:t>
            </w:r>
            <w:r>
              <w:rPr>
                <w:rFonts w:ascii="仿宋" w:eastAsia="仿宋" w:hAnsi="仿宋" w:cs="仿宋" w:hint="eastAsia"/>
                <w:sz w:val="24"/>
              </w:rPr>
              <w:t>经营范围包括"商业卫星发射服务"的《企业法人营业执照》复印件1份（</w:t>
            </w:r>
            <w:r>
              <w:rPr>
                <w:rFonts w:ascii="仿宋" w:eastAsia="仿宋" w:hAnsi="仿宋" w:cs="仿宋" w:hint="eastAsia"/>
                <w:sz w:val="24"/>
                <w:lang w:val="zh-CN"/>
              </w:rPr>
              <w:t>注明与原件一致，并加盖公章</w:t>
            </w:r>
            <w:r>
              <w:rPr>
                <w:rFonts w:ascii="仿宋" w:eastAsia="仿宋" w:hAnsi="仿宋" w:cs="仿宋" w:hint="eastAsia"/>
                <w:sz w:val="24"/>
              </w:rPr>
              <w:t>）或其他具有提供商业卫星发射服务资质的证明材料。</w:t>
            </w:r>
          </w:p>
        </w:tc>
        <w:tc>
          <w:tcPr>
            <w:tcW w:w="1326"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提供航天运输服务提供国际运输服务适用增值税零税率应税服务办理出口退（免）税备案的出口企业纳税人提交</w:t>
            </w:r>
          </w:p>
        </w:tc>
        <w:tc>
          <w:tcPr>
            <w:tcW w:w="2861" w:type="dxa"/>
            <w:vAlign w:val="center"/>
          </w:tcPr>
          <w:p w:rsidR="00013EC7" w:rsidRDefault="00575CDB">
            <w:pPr>
              <w:rPr>
                <w:rFonts w:ascii="仿宋" w:eastAsia="仿宋" w:hAnsi="仿宋" w:cs="仿宋"/>
                <w:kern w:val="1"/>
                <w:sz w:val="24"/>
              </w:rPr>
            </w:pPr>
            <w:r>
              <w:rPr>
                <w:rFonts w:ascii="仿宋" w:eastAsia="仿宋" w:hAnsi="仿宋" w:cs="仿宋" w:hint="eastAsia"/>
                <w:b/>
                <w:sz w:val="24"/>
              </w:rPr>
              <w:t>现场办理：</w:t>
            </w:r>
            <w:r>
              <w:rPr>
                <w:rFonts w:ascii="仿宋" w:eastAsia="仿宋" w:hAnsi="仿宋" w:cs="仿宋" w:hint="eastAsia"/>
                <w:sz w:val="24"/>
              </w:rPr>
              <w:t>纳税人提交书面材料。</w:t>
            </w:r>
          </w:p>
        </w:tc>
        <w:tc>
          <w:tcPr>
            <w:tcW w:w="855"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193"/>
          <w:jc w:val="center"/>
        </w:trPr>
        <w:tc>
          <w:tcPr>
            <w:tcW w:w="672" w:type="dxa"/>
            <w:vMerge/>
            <w:vAlign w:val="center"/>
          </w:tcPr>
          <w:p w:rsidR="00013EC7" w:rsidRDefault="00013EC7">
            <w:pPr>
              <w:rPr>
                <w:rFonts w:ascii="仿宋" w:eastAsia="仿宋" w:hAnsi="仿宋" w:cs="仿宋"/>
                <w:kern w:val="1"/>
                <w:sz w:val="24"/>
              </w:rPr>
            </w:pPr>
          </w:p>
        </w:tc>
        <w:tc>
          <w:tcPr>
            <w:tcW w:w="1035" w:type="dxa"/>
            <w:vMerge/>
            <w:vAlign w:val="center"/>
          </w:tcPr>
          <w:p w:rsidR="00013EC7" w:rsidRDefault="00013EC7">
            <w:pPr>
              <w:rPr>
                <w:rFonts w:ascii="仿宋" w:eastAsia="仿宋" w:hAnsi="仿宋" w:cs="仿宋"/>
                <w:kern w:val="1"/>
                <w:sz w:val="24"/>
              </w:rPr>
            </w:pPr>
          </w:p>
        </w:tc>
        <w:tc>
          <w:tcPr>
            <w:tcW w:w="2622" w:type="dxa"/>
            <w:vMerge/>
            <w:vAlign w:val="center"/>
          </w:tcPr>
          <w:p w:rsidR="00013EC7" w:rsidRDefault="00013EC7">
            <w:pPr>
              <w:rPr>
                <w:rFonts w:ascii="仿宋" w:eastAsia="仿宋" w:hAnsi="仿宋" w:cs="仿宋"/>
                <w:kern w:val="1"/>
                <w:sz w:val="24"/>
              </w:rPr>
            </w:pPr>
          </w:p>
        </w:tc>
        <w:tc>
          <w:tcPr>
            <w:tcW w:w="2760"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（十三）</w:t>
            </w:r>
            <w:r>
              <w:rPr>
                <w:rFonts w:ascii="仿宋" w:eastAsia="仿宋" w:hAnsi="仿宋" w:cs="仿宋" w:hint="eastAsia"/>
                <w:sz w:val="24"/>
              </w:rPr>
              <w:t>《道路运输经营</w:t>
            </w:r>
            <w:r>
              <w:rPr>
                <w:rFonts w:ascii="仿宋" w:eastAsia="仿宋" w:hAnsi="仿宋" w:cs="仿宋" w:hint="eastAsia"/>
                <w:sz w:val="24"/>
              </w:rPr>
              <w:lastRenderedPageBreak/>
              <w:t>许可证》</w:t>
            </w:r>
            <w:r>
              <w:rPr>
                <w:rFonts w:ascii="仿宋" w:eastAsia="仿宋" w:hAnsi="仿宋" w:cs="仿宋" w:hint="eastAsia"/>
                <w:sz w:val="24"/>
                <w:shd w:val="clear" w:color="FFFFFF" w:fill="D9D9D9"/>
              </w:rPr>
              <w:t>原件及</w:t>
            </w:r>
            <w:r>
              <w:rPr>
                <w:rFonts w:ascii="仿宋" w:eastAsia="仿宋" w:hAnsi="仿宋" w:cs="仿宋" w:hint="eastAsia"/>
                <w:sz w:val="24"/>
              </w:rPr>
              <w:t>复印件1份（</w:t>
            </w:r>
            <w:r>
              <w:rPr>
                <w:rFonts w:ascii="仿宋" w:eastAsia="仿宋" w:hAnsi="仿宋" w:cs="仿宋" w:hint="eastAsia"/>
                <w:sz w:val="24"/>
                <w:lang w:val="zh-CN"/>
              </w:rPr>
              <w:t>注明与原件一致，并加盖公章</w:t>
            </w:r>
            <w:r>
              <w:rPr>
                <w:rFonts w:ascii="仿宋" w:eastAsia="仿宋" w:hAnsi="仿宋" w:cs="仿宋" w:hint="eastAsia"/>
                <w:sz w:val="24"/>
              </w:rPr>
              <w:t>）。</w:t>
            </w:r>
          </w:p>
        </w:tc>
        <w:tc>
          <w:tcPr>
            <w:tcW w:w="1288" w:type="dxa"/>
            <w:vMerge w:val="restart"/>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lastRenderedPageBreak/>
              <w:t>以公路运</w:t>
            </w:r>
            <w:r>
              <w:rPr>
                <w:rFonts w:ascii="仿宋" w:eastAsia="仿宋" w:hAnsi="仿宋" w:cs="仿宋" w:hint="eastAsia"/>
                <w:kern w:val="1"/>
                <w:sz w:val="24"/>
              </w:rPr>
              <w:lastRenderedPageBreak/>
              <w:t>输方式提供内地往返香港、澳门提供港澳运输服务适用增值税零税率应税服务办理出口退（免）税备案的出口企业纳税人提交</w:t>
            </w:r>
          </w:p>
        </w:tc>
        <w:tc>
          <w:tcPr>
            <w:tcW w:w="2837"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lastRenderedPageBreak/>
              <w:t>（十二）</w:t>
            </w:r>
            <w:r>
              <w:rPr>
                <w:rFonts w:ascii="仿宋" w:eastAsia="仿宋" w:hAnsi="仿宋" w:cs="仿宋" w:hint="eastAsia"/>
                <w:sz w:val="24"/>
              </w:rPr>
              <w:t>《道路运输经营许</w:t>
            </w:r>
            <w:r>
              <w:rPr>
                <w:rFonts w:ascii="仿宋" w:eastAsia="仿宋" w:hAnsi="仿宋" w:cs="仿宋" w:hint="eastAsia"/>
                <w:sz w:val="24"/>
              </w:rPr>
              <w:lastRenderedPageBreak/>
              <w:t>可证》复印件1份（</w:t>
            </w:r>
            <w:r>
              <w:rPr>
                <w:rFonts w:ascii="仿宋" w:eastAsia="仿宋" w:hAnsi="仿宋" w:cs="仿宋" w:hint="eastAsia"/>
                <w:sz w:val="24"/>
                <w:lang w:val="zh-CN"/>
              </w:rPr>
              <w:t>注明与原件一致，并加盖公章</w:t>
            </w:r>
            <w:r>
              <w:rPr>
                <w:rFonts w:ascii="仿宋" w:eastAsia="仿宋" w:hAnsi="仿宋" w:cs="仿宋" w:hint="eastAsia"/>
                <w:sz w:val="24"/>
              </w:rPr>
              <w:t>）。</w:t>
            </w:r>
          </w:p>
        </w:tc>
        <w:tc>
          <w:tcPr>
            <w:tcW w:w="1326" w:type="dxa"/>
            <w:vMerge w:val="restart"/>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lastRenderedPageBreak/>
              <w:t>以公路运输</w:t>
            </w:r>
            <w:r>
              <w:rPr>
                <w:rFonts w:ascii="仿宋" w:eastAsia="仿宋" w:hAnsi="仿宋" w:cs="仿宋" w:hint="eastAsia"/>
                <w:kern w:val="1"/>
                <w:sz w:val="24"/>
              </w:rPr>
              <w:lastRenderedPageBreak/>
              <w:t>方式提供内地往返香港、澳门提供港澳运输服务适用增值税零税率应税服务办理出口退（免）税备案的出口企业纳税人提交</w:t>
            </w:r>
          </w:p>
        </w:tc>
        <w:tc>
          <w:tcPr>
            <w:tcW w:w="2861" w:type="dxa"/>
            <w:vAlign w:val="center"/>
          </w:tcPr>
          <w:p w:rsidR="00013EC7" w:rsidRDefault="00575CDB">
            <w:pPr>
              <w:rPr>
                <w:rFonts w:ascii="仿宋" w:eastAsia="仿宋" w:hAnsi="仿宋" w:cs="仿宋"/>
                <w:kern w:val="1"/>
                <w:sz w:val="24"/>
              </w:rPr>
            </w:pPr>
            <w:r>
              <w:rPr>
                <w:rFonts w:ascii="仿宋" w:eastAsia="仿宋" w:hAnsi="仿宋" w:cs="仿宋" w:hint="eastAsia"/>
                <w:b/>
                <w:sz w:val="24"/>
              </w:rPr>
              <w:lastRenderedPageBreak/>
              <w:t>现场办理：</w:t>
            </w:r>
            <w:r>
              <w:rPr>
                <w:rFonts w:ascii="仿宋" w:eastAsia="仿宋" w:hAnsi="仿宋" w:cs="仿宋" w:hint="eastAsia"/>
                <w:sz w:val="24"/>
              </w:rPr>
              <w:t>纳税人提交书</w:t>
            </w:r>
            <w:r>
              <w:rPr>
                <w:rFonts w:ascii="仿宋" w:eastAsia="仿宋" w:hAnsi="仿宋" w:cs="仿宋" w:hint="eastAsia"/>
                <w:sz w:val="24"/>
              </w:rPr>
              <w:lastRenderedPageBreak/>
              <w:t>面材料。</w:t>
            </w:r>
          </w:p>
        </w:tc>
        <w:tc>
          <w:tcPr>
            <w:tcW w:w="855"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193"/>
          <w:jc w:val="center"/>
        </w:trPr>
        <w:tc>
          <w:tcPr>
            <w:tcW w:w="672" w:type="dxa"/>
            <w:vMerge/>
            <w:vAlign w:val="center"/>
          </w:tcPr>
          <w:p w:rsidR="00013EC7" w:rsidRDefault="00013EC7"/>
        </w:tc>
        <w:tc>
          <w:tcPr>
            <w:tcW w:w="1035" w:type="dxa"/>
            <w:vMerge/>
            <w:vAlign w:val="center"/>
          </w:tcPr>
          <w:p w:rsidR="00013EC7" w:rsidRDefault="00013EC7"/>
        </w:tc>
        <w:tc>
          <w:tcPr>
            <w:tcW w:w="2622" w:type="dxa"/>
            <w:vMerge/>
            <w:vAlign w:val="center"/>
          </w:tcPr>
          <w:p w:rsidR="00013EC7" w:rsidRDefault="00013EC7"/>
        </w:tc>
        <w:tc>
          <w:tcPr>
            <w:tcW w:w="2760" w:type="dxa"/>
            <w:vAlign w:val="center"/>
          </w:tcPr>
          <w:p w:rsidR="00013EC7" w:rsidRDefault="00575CDB">
            <w:pPr>
              <w:rPr>
                <w:rFonts w:ascii="仿宋" w:eastAsia="仿宋" w:hAnsi="仿宋" w:cs="仿宋"/>
                <w:sz w:val="24"/>
              </w:rPr>
            </w:pPr>
            <w:r>
              <w:rPr>
                <w:rFonts w:ascii="仿宋" w:eastAsia="仿宋" w:hAnsi="仿宋" w:cs="仿宋" w:hint="eastAsia"/>
                <w:kern w:val="1"/>
                <w:sz w:val="24"/>
              </w:rPr>
              <w:t>（十四）</w:t>
            </w:r>
            <w:r>
              <w:rPr>
                <w:rFonts w:ascii="仿宋" w:eastAsia="仿宋" w:hAnsi="仿宋" w:cs="仿宋" w:hint="eastAsia"/>
                <w:sz w:val="24"/>
              </w:rPr>
              <w:t>持《道路运输证》的直通港澳运输车辆的物权证明</w:t>
            </w:r>
            <w:r>
              <w:rPr>
                <w:rFonts w:ascii="仿宋" w:eastAsia="仿宋" w:hAnsi="仿宋" w:cs="仿宋" w:hint="eastAsia"/>
                <w:sz w:val="24"/>
                <w:shd w:val="clear" w:color="FFFFFF" w:fill="D9D9D9"/>
              </w:rPr>
              <w:t>原件及</w:t>
            </w:r>
            <w:r>
              <w:rPr>
                <w:rFonts w:ascii="仿宋" w:eastAsia="仿宋" w:hAnsi="仿宋" w:cs="仿宋" w:hint="eastAsia"/>
                <w:sz w:val="24"/>
              </w:rPr>
              <w:t>复印件1份（</w:t>
            </w:r>
            <w:r>
              <w:rPr>
                <w:rFonts w:ascii="仿宋" w:eastAsia="仿宋" w:hAnsi="仿宋" w:cs="仿宋" w:hint="eastAsia"/>
                <w:sz w:val="24"/>
                <w:lang w:val="zh-CN"/>
              </w:rPr>
              <w:t>注明与原件一致，并加盖公章</w:t>
            </w:r>
            <w:r>
              <w:rPr>
                <w:rFonts w:ascii="仿宋" w:eastAsia="仿宋" w:hAnsi="仿宋" w:cs="仿宋" w:hint="eastAsia"/>
                <w:sz w:val="24"/>
              </w:rPr>
              <w:t>）。</w:t>
            </w:r>
          </w:p>
        </w:tc>
        <w:tc>
          <w:tcPr>
            <w:tcW w:w="1288" w:type="dxa"/>
            <w:vMerge/>
            <w:vAlign w:val="center"/>
          </w:tcPr>
          <w:p w:rsidR="00013EC7" w:rsidRDefault="00013EC7">
            <w:pPr>
              <w:rPr>
                <w:rFonts w:ascii="仿宋" w:eastAsia="仿宋" w:hAnsi="仿宋" w:cs="仿宋"/>
                <w:sz w:val="24"/>
              </w:rPr>
            </w:pPr>
          </w:p>
        </w:tc>
        <w:tc>
          <w:tcPr>
            <w:tcW w:w="2837" w:type="dxa"/>
            <w:vAlign w:val="center"/>
          </w:tcPr>
          <w:p w:rsidR="00013EC7" w:rsidRDefault="00575CDB">
            <w:pPr>
              <w:rPr>
                <w:rFonts w:ascii="仿宋" w:eastAsia="仿宋" w:hAnsi="仿宋" w:cs="仿宋"/>
                <w:sz w:val="24"/>
              </w:rPr>
            </w:pPr>
            <w:r>
              <w:rPr>
                <w:rFonts w:ascii="仿宋" w:eastAsia="仿宋" w:hAnsi="仿宋" w:cs="仿宋" w:hint="eastAsia"/>
                <w:kern w:val="1"/>
                <w:sz w:val="24"/>
              </w:rPr>
              <w:t>（十三）</w:t>
            </w:r>
            <w:r>
              <w:rPr>
                <w:rFonts w:ascii="仿宋" w:eastAsia="仿宋" w:hAnsi="仿宋" w:cs="仿宋" w:hint="eastAsia"/>
                <w:sz w:val="24"/>
              </w:rPr>
              <w:t>持《道路运输证》的直通港澳运输车辆的物权证明复印件1份（</w:t>
            </w:r>
            <w:r>
              <w:rPr>
                <w:rFonts w:ascii="仿宋" w:eastAsia="仿宋" w:hAnsi="仿宋" w:cs="仿宋" w:hint="eastAsia"/>
                <w:sz w:val="24"/>
                <w:lang w:val="zh-CN"/>
              </w:rPr>
              <w:t>注明与原件一致，并加盖公章</w:t>
            </w:r>
            <w:r>
              <w:rPr>
                <w:rFonts w:ascii="仿宋" w:eastAsia="仿宋" w:hAnsi="仿宋" w:cs="仿宋" w:hint="eastAsia"/>
                <w:sz w:val="24"/>
              </w:rPr>
              <w:t>）。</w:t>
            </w:r>
          </w:p>
        </w:tc>
        <w:tc>
          <w:tcPr>
            <w:tcW w:w="1326" w:type="dxa"/>
            <w:vMerge/>
            <w:vAlign w:val="center"/>
          </w:tcPr>
          <w:p w:rsidR="00013EC7" w:rsidRDefault="00013EC7">
            <w:pPr>
              <w:rPr>
                <w:rFonts w:ascii="仿宋" w:eastAsia="仿宋" w:hAnsi="仿宋" w:cs="仿宋"/>
                <w:sz w:val="24"/>
              </w:rPr>
            </w:pPr>
          </w:p>
        </w:tc>
        <w:tc>
          <w:tcPr>
            <w:tcW w:w="2861" w:type="dxa"/>
            <w:vAlign w:val="center"/>
          </w:tcPr>
          <w:p w:rsidR="00013EC7" w:rsidRDefault="00575CDB">
            <w:pPr>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纳税人提交书面材料。</w:t>
            </w:r>
          </w:p>
        </w:tc>
        <w:tc>
          <w:tcPr>
            <w:tcW w:w="855" w:type="dxa"/>
            <w:vMerge/>
            <w:vAlign w:val="center"/>
          </w:tcPr>
          <w:p w:rsidR="00013EC7" w:rsidRDefault="00013EC7">
            <w:pPr>
              <w:rPr>
                <w:rFonts w:ascii="仿宋" w:eastAsia="仿宋" w:hAnsi="仿宋" w:cs="仿宋"/>
                <w:sz w:val="24"/>
              </w:rPr>
            </w:pPr>
          </w:p>
        </w:tc>
        <w:tc>
          <w:tcPr>
            <w:tcW w:w="798" w:type="dxa"/>
            <w:vMerge/>
            <w:vAlign w:val="center"/>
          </w:tcPr>
          <w:p w:rsidR="00013EC7" w:rsidRDefault="00013EC7">
            <w:pPr>
              <w:rPr>
                <w:rFonts w:ascii="仿宋" w:eastAsia="仿宋" w:hAnsi="仿宋" w:cs="仿宋"/>
                <w:sz w:val="24"/>
              </w:rPr>
            </w:pP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38"/>
          <w:jc w:val="center"/>
        </w:trPr>
        <w:tc>
          <w:tcPr>
            <w:tcW w:w="672" w:type="dxa"/>
            <w:vMerge/>
            <w:vAlign w:val="center"/>
          </w:tcPr>
          <w:p w:rsidR="00013EC7" w:rsidRDefault="00013EC7">
            <w:pPr>
              <w:rPr>
                <w:rFonts w:ascii="仿宋" w:eastAsia="仿宋" w:hAnsi="仿宋" w:cs="仿宋"/>
                <w:kern w:val="1"/>
                <w:sz w:val="24"/>
              </w:rPr>
            </w:pPr>
          </w:p>
        </w:tc>
        <w:tc>
          <w:tcPr>
            <w:tcW w:w="1035" w:type="dxa"/>
            <w:vMerge/>
            <w:vAlign w:val="center"/>
          </w:tcPr>
          <w:p w:rsidR="00013EC7" w:rsidRDefault="00013EC7">
            <w:pPr>
              <w:rPr>
                <w:rFonts w:ascii="仿宋" w:eastAsia="仿宋" w:hAnsi="仿宋" w:cs="仿宋"/>
                <w:kern w:val="1"/>
                <w:sz w:val="24"/>
              </w:rPr>
            </w:pPr>
          </w:p>
        </w:tc>
        <w:tc>
          <w:tcPr>
            <w:tcW w:w="2622" w:type="dxa"/>
            <w:vMerge/>
            <w:vAlign w:val="center"/>
          </w:tcPr>
          <w:p w:rsidR="00013EC7" w:rsidRDefault="00013EC7">
            <w:pPr>
              <w:rPr>
                <w:rFonts w:ascii="仿宋" w:eastAsia="仿宋" w:hAnsi="仿宋" w:cs="仿宋"/>
                <w:kern w:val="1"/>
                <w:sz w:val="24"/>
              </w:rPr>
            </w:pPr>
          </w:p>
        </w:tc>
        <w:tc>
          <w:tcPr>
            <w:tcW w:w="2760"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（十五）</w:t>
            </w:r>
            <w:r>
              <w:rPr>
                <w:rFonts w:ascii="仿宋" w:eastAsia="仿宋" w:hAnsi="仿宋" w:cs="仿宋" w:hint="eastAsia"/>
                <w:sz w:val="24"/>
              </w:rPr>
              <w:t>获得港澳线路运营许可船舶的物权证明</w:t>
            </w:r>
            <w:r>
              <w:rPr>
                <w:rFonts w:ascii="仿宋" w:eastAsia="仿宋" w:hAnsi="仿宋" w:cs="仿宋" w:hint="eastAsia"/>
                <w:sz w:val="24"/>
                <w:shd w:val="clear" w:color="FFFFFF" w:fill="D9D9D9"/>
              </w:rPr>
              <w:t>原件及</w:t>
            </w:r>
            <w:r>
              <w:rPr>
                <w:rFonts w:ascii="仿宋" w:eastAsia="仿宋" w:hAnsi="仿宋" w:cs="仿宋" w:hint="eastAsia"/>
                <w:sz w:val="24"/>
              </w:rPr>
              <w:t>复印件1份（</w:t>
            </w:r>
            <w:r>
              <w:rPr>
                <w:rFonts w:ascii="仿宋" w:eastAsia="仿宋" w:hAnsi="仿宋" w:cs="仿宋" w:hint="eastAsia"/>
                <w:sz w:val="24"/>
                <w:lang w:val="zh-CN"/>
              </w:rPr>
              <w:t>注明与原件一致，并加盖公章</w:t>
            </w:r>
            <w:r>
              <w:rPr>
                <w:rFonts w:ascii="仿宋" w:eastAsia="仿宋" w:hAnsi="仿宋" w:cs="仿宋" w:hint="eastAsia"/>
                <w:sz w:val="24"/>
              </w:rPr>
              <w:t>）。</w:t>
            </w:r>
          </w:p>
        </w:tc>
        <w:tc>
          <w:tcPr>
            <w:tcW w:w="1288"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以水路运输方式提供内地往返香港、澳门交通运输服务适用增值税零税率应税服务办理出口退（免）税备案的出口企业纳税人提交</w:t>
            </w:r>
          </w:p>
        </w:tc>
        <w:tc>
          <w:tcPr>
            <w:tcW w:w="2837"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（十四）</w:t>
            </w:r>
            <w:r>
              <w:rPr>
                <w:rFonts w:ascii="仿宋" w:eastAsia="仿宋" w:hAnsi="仿宋" w:cs="仿宋" w:hint="eastAsia"/>
                <w:sz w:val="24"/>
              </w:rPr>
              <w:t>获得港澳线路运营许可船舶的物权证明复印件1份（</w:t>
            </w:r>
            <w:r>
              <w:rPr>
                <w:rFonts w:ascii="仿宋" w:eastAsia="仿宋" w:hAnsi="仿宋" w:cs="仿宋" w:hint="eastAsia"/>
                <w:sz w:val="24"/>
                <w:lang w:val="zh-CN"/>
              </w:rPr>
              <w:t>注明与原件一致，并加盖公章</w:t>
            </w:r>
            <w:r>
              <w:rPr>
                <w:rFonts w:ascii="仿宋" w:eastAsia="仿宋" w:hAnsi="仿宋" w:cs="仿宋" w:hint="eastAsia"/>
                <w:sz w:val="24"/>
              </w:rPr>
              <w:t>）。</w:t>
            </w:r>
          </w:p>
        </w:tc>
        <w:tc>
          <w:tcPr>
            <w:tcW w:w="1326"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以水路运输方式提供内地往返香港、澳门交通运输服务适用增值税零税率应税服务办理出口退（免）税备案的出口企业纳税人提交</w:t>
            </w:r>
          </w:p>
        </w:tc>
        <w:tc>
          <w:tcPr>
            <w:tcW w:w="2861" w:type="dxa"/>
            <w:vAlign w:val="center"/>
          </w:tcPr>
          <w:p w:rsidR="00013EC7" w:rsidRDefault="00575CDB">
            <w:pPr>
              <w:rPr>
                <w:rFonts w:ascii="仿宋" w:eastAsia="仿宋" w:hAnsi="仿宋" w:cs="仿宋"/>
                <w:kern w:val="1"/>
                <w:sz w:val="24"/>
              </w:rPr>
            </w:pPr>
            <w:r>
              <w:rPr>
                <w:rFonts w:ascii="仿宋" w:eastAsia="仿宋" w:hAnsi="仿宋" w:cs="仿宋" w:hint="eastAsia"/>
                <w:b/>
                <w:sz w:val="24"/>
              </w:rPr>
              <w:t>现场办理：</w:t>
            </w:r>
            <w:r>
              <w:rPr>
                <w:rFonts w:ascii="仿宋" w:eastAsia="仿宋" w:hAnsi="仿宋" w:cs="仿宋" w:hint="eastAsia"/>
                <w:sz w:val="24"/>
              </w:rPr>
              <w:t>纳税人提交书面材料。</w:t>
            </w:r>
          </w:p>
        </w:tc>
        <w:tc>
          <w:tcPr>
            <w:tcW w:w="855"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193"/>
          <w:jc w:val="center"/>
        </w:trPr>
        <w:tc>
          <w:tcPr>
            <w:tcW w:w="672" w:type="dxa"/>
            <w:vMerge/>
            <w:vAlign w:val="center"/>
          </w:tcPr>
          <w:p w:rsidR="00013EC7" w:rsidRDefault="00013EC7">
            <w:pPr>
              <w:rPr>
                <w:rFonts w:ascii="仿宋" w:eastAsia="仿宋" w:hAnsi="仿宋" w:cs="仿宋"/>
                <w:kern w:val="1"/>
                <w:sz w:val="24"/>
              </w:rPr>
            </w:pPr>
          </w:p>
        </w:tc>
        <w:tc>
          <w:tcPr>
            <w:tcW w:w="1035" w:type="dxa"/>
            <w:vMerge/>
            <w:vAlign w:val="center"/>
          </w:tcPr>
          <w:p w:rsidR="00013EC7" w:rsidRDefault="00013EC7">
            <w:pPr>
              <w:rPr>
                <w:rFonts w:ascii="仿宋" w:eastAsia="仿宋" w:hAnsi="仿宋" w:cs="仿宋"/>
                <w:kern w:val="1"/>
                <w:sz w:val="24"/>
              </w:rPr>
            </w:pPr>
          </w:p>
        </w:tc>
        <w:tc>
          <w:tcPr>
            <w:tcW w:w="2622" w:type="dxa"/>
            <w:vMerge/>
            <w:vAlign w:val="center"/>
          </w:tcPr>
          <w:p w:rsidR="00013EC7" w:rsidRDefault="00013EC7">
            <w:pPr>
              <w:rPr>
                <w:rFonts w:ascii="仿宋" w:eastAsia="仿宋" w:hAnsi="仿宋" w:cs="仿宋"/>
                <w:kern w:val="1"/>
                <w:sz w:val="24"/>
              </w:rPr>
            </w:pPr>
          </w:p>
        </w:tc>
        <w:tc>
          <w:tcPr>
            <w:tcW w:w="2760"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（十六）</w:t>
            </w:r>
            <w:r>
              <w:rPr>
                <w:rFonts w:ascii="仿宋" w:eastAsia="仿宋" w:hAnsi="仿宋" w:cs="仿宋" w:hint="eastAsia"/>
                <w:sz w:val="24"/>
              </w:rPr>
              <w:t>《台湾海峡两岸间水路运输许可证》</w:t>
            </w:r>
            <w:r>
              <w:rPr>
                <w:rFonts w:ascii="仿宋" w:eastAsia="仿宋" w:hAnsi="仿宋" w:cs="仿宋" w:hint="eastAsia"/>
                <w:sz w:val="24"/>
                <w:shd w:val="clear" w:color="FFFFFF" w:fill="D9D9D9"/>
              </w:rPr>
              <w:t>原件及</w:t>
            </w:r>
            <w:r>
              <w:rPr>
                <w:rFonts w:ascii="仿宋" w:eastAsia="仿宋" w:hAnsi="仿宋" w:cs="仿宋" w:hint="eastAsia"/>
                <w:sz w:val="24"/>
              </w:rPr>
              <w:t>复印件1份（</w:t>
            </w:r>
            <w:r>
              <w:rPr>
                <w:rFonts w:ascii="仿宋" w:eastAsia="仿宋" w:hAnsi="仿宋" w:cs="仿宋" w:hint="eastAsia"/>
                <w:sz w:val="24"/>
                <w:lang w:val="zh-CN"/>
              </w:rPr>
              <w:t>注明与原件一致，并加盖公章</w:t>
            </w:r>
            <w:r>
              <w:rPr>
                <w:rFonts w:ascii="仿宋" w:eastAsia="仿宋" w:hAnsi="仿宋" w:cs="仿宋" w:hint="eastAsia"/>
                <w:sz w:val="24"/>
              </w:rPr>
              <w:t>）。</w:t>
            </w:r>
          </w:p>
        </w:tc>
        <w:tc>
          <w:tcPr>
            <w:tcW w:w="1288" w:type="dxa"/>
            <w:vMerge w:val="restart"/>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以水路运输方式提供大陆往返台湾交通运输服务适用增值税零税率应税服务办理出</w:t>
            </w:r>
            <w:r>
              <w:rPr>
                <w:rFonts w:ascii="仿宋" w:eastAsia="仿宋" w:hAnsi="仿宋" w:cs="仿宋" w:hint="eastAsia"/>
                <w:kern w:val="1"/>
                <w:sz w:val="24"/>
              </w:rPr>
              <w:lastRenderedPageBreak/>
              <w:t>口退（免）税备案的出口企业纳税人提交</w:t>
            </w:r>
          </w:p>
        </w:tc>
        <w:tc>
          <w:tcPr>
            <w:tcW w:w="2837"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lastRenderedPageBreak/>
              <w:t>（十五）</w:t>
            </w:r>
            <w:r>
              <w:rPr>
                <w:rFonts w:ascii="仿宋" w:eastAsia="仿宋" w:hAnsi="仿宋" w:cs="仿宋" w:hint="eastAsia"/>
                <w:sz w:val="24"/>
              </w:rPr>
              <w:t>《台湾海峡两岸间水路运输许可证》复印件1份（</w:t>
            </w:r>
            <w:r>
              <w:rPr>
                <w:rFonts w:ascii="仿宋" w:eastAsia="仿宋" w:hAnsi="仿宋" w:cs="仿宋" w:hint="eastAsia"/>
                <w:sz w:val="24"/>
                <w:lang w:val="zh-CN"/>
              </w:rPr>
              <w:t>注明与原件一致，并加盖公章</w:t>
            </w:r>
            <w:r>
              <w:rPr>
                <w:rFonts w:ascii="仿宋" w:eastAsia="仿宋" w:hAnsi="仿宋" w:cs="仿宋" w:hint="eastAsia"/>
                <w:sz w:val="24"/>
              </w:rPr>
              <w:t>）。</w:t>
            </w:r>
          </w:p>
        </w:tc>
        <w:tc>
          <w:tcPr>
            <w:tcW w:w="1326" w:type="dxa"/>
            <w:vMerge w:val="restart"/>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以水路运输方式提供大陆往返台湾交通运输服务适用增值税零税率应税服务办理出口退（免）税备案的出</w:t>
            </w:r>
            <w:r>
              <w:rPr>
                <w:rFonts w:ascii="仿宋" w:eastAsia="仿宋" w:hAnsi="仿宋" w:cs="仿宋" w:hint="eastAsia"/>
                <w:kern w:val="1"/>
                <w:sz w:val="24"/>
              </w:rPr>
              <w:lastRenderedPageBreak/>
              <w:t>口企业纳税人提交</w:t>
            </w:r>
          </w:p>
        </w:tc>
        <w:tc>
          <w:tcPr>
            <w:tcW w:w="2861" w:type="dxa"/>
            <w:vAlign w:val="center"/>
          </w:tcPr>
          <w:p w:rsidR="00013EC7" w:rsidRDefault="00575CDB">
            <w:pPr>
              <w:rPr>
                <w:rFonts w:ascii="仿宋" w:eastAsia="仿宋" w:hAnsi="仿宋" w:cs="仿宋"/>
                <w:kern w:val="1"/>
                <w:sz w:val="24"/>
              </w:rPr>
            </w:pPr>
            <w:r>
              <w:rPr>
                <w:rFonts w:ascii="仿宋" w:eastAsia="仿宋" w:hAnsi="仿宋" w:cs="仿宋" w:hint="eastAsia"/>
                <w:b/>
                <w:sz w:val="24"/>
              </w:rPr>
              <w:lastRenderedPageBreak/>
              <w:t>现场办理：</w:t>
            </w:r>
            <w:r>
              <w:rPr>
                <w:rFonts w:ascii="仿宋" w:eastAsia="仿宋" w:hAnsi="仿宋" w:cs="仿宋" w:hint="eastAsia"/>
                <w:sz w:val="24"/>
              </w:rPr>
              <w:t>纳税人提交书面材料。</w:t>
            </w:r>
          </w:p>
        </w:tc>
        <w:tc>
          <w:tcPr>
            <w:tcW w:w="855"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193"/>
          <w:jc w:val="center"/>
        </w:trPr>
        <w:tc>
          <w:tcPr>
            <w:tcW w:w="672" w:type="dxa"/>
            <w:vMerge/>
            <w:vAlign w:val="center"/>
          </w:tcPr>
          <w:p w:rsidR="00013EC7" w:rsidRDefault="00013EC7"/>
        </w:tc>
        <w:tc>
          <w:tcPr>
            <w:tcW w:w="1035" w:type="dxa"/>
            <w:vMerge/>
            <w:vAlign w:val="center"/>
          </w:tcPr>
          <w:p w:rsidR="00013EC7" w:rsidRDefault="00013EC7"/>
        </w:tc>
        <w:tc>
          <w:tcPr>
            <w:tcW w:w="2622" w:type="dxa"/>
            <w:vMerge/>
            <w:vAlign w:val="center"/>
          </w:tcPr>
          <w:p w:rsidR="00013EC7" w:rsidRDefault="00013EC7"/>
        </w:tc>
        <w:tc>
          <w:tcPr>
            <w:tcW w:w="2760" w:type="dxa"/>
            <w:vAlign w:val="center"/>
          </w:tcPr>
          <w:p w:rsidR="00013EC7" w:rsidRDefault="00575CDB">
            <w:pPr>
              <w:rPr>
                <w:rFonts w:ascii="仿宋" w:eastAsia="仿宋" w:hAnsi="仿宋" w:cs="仿宋"/>
                <w:sz w:val="24"/>
              </w:rPr>
            </w:pPr>
            <w:r>
              <w:rPr>
                <w:rFonts w:ascii="仿宋" w:eastAsia="仿宋" w:hAnsi="仿宋" w:cs="仿宋" w:hint="eastAsia"/>
                <w:kern w:val="1"/>
                <w:sz w:val="24"/>
              </w:rPr>
              <w:t>（十七）</w:t>
            </w:r>
            <w:r>
              <w:rPr>
                <w:rFonts w:ascii="仿宋" w:eastAsia="仿宋" w:hAnsi="仿宋" w:cs="仿宋" w:hint="eastAsia"/>
                <w:sz w:val="24"/>
              </w:rPr>
              <w:t>持《台湾海峡两岸间船舶营运证》船舶的物权证明</w:t>
            </w:r>
            <w:r>
              <w:rPr>
                <w:rFonts w:ascii="仿宋" w:eastAsia="仿宋" w:hAnsi="仿宋" w:cs="仿宋" w:hint="eastAsia"/>
                <w:sz w:val="24"/>
                <w:shd w:val="clear" w:color="FFFFFF" w:fill="D9D9D9"/>
              </w:rPr>
              <w:t>原件及</w:t>
            </w:r>
            <w:r>
              <w:rPr>
                <w:rFonts w:ascii="仿宋" w:eastAsia="仿宋" w:hAnsi="仿宋" w:cs="仿宋" w:hint="eastAsia"/>
                <w:sz w:val="24"/>
              </w:rPr>
              <w:t>复印件1份（</w:t>
            </w:r>
            <w:r>
              <w:rPr>
                <w:rFonts w:ascii="仿宋" w:eastAsia="仿宋" w:hAnsi="仿宋" w:cs="仿宋" w:hint="eastAsia"/>
                <w:sz w:val="24"/>
                <w:lang w:val="zh-CN"/>
              </w:rPr>
              <w:t>注明与原件一致，并加盖公章</w:t>
            </w:r>
            <w:r>
              <w:rPr>
                <w:rFonts w:ascii="仿宋" w:eastAsia="仿宋" w:hAnsi="仿宋" w:cs="仿宋" w:hint="eastAsia"/>
                <w:sz w:val="24"/>
              </w:rPr>
              <w:t>）。</w:t>
            </w:r>
          </w:p>
        </w:tc>
        <w:tc>
          <w:tcPr>
            <w:tcW w:w="1288" w:type="dxa"/>
            <w:vMerge/>
            <w:vAlign w:val="center"/>
          </w:tcPr>
          <w:p w:rsidR="00013EC7" w:rsidRDefault="00013EC7">
            <w:pPr>
              <w:rPr>
                <w:rFonts w:ascii="仿宋" w:eastAsia="仿宋" w:hAnsi="仿宋" w:cs="仿宋"/>
                <w:sz w:val="24"/>
              </w:rPr>
            </w:pPr>
          </w:p>
        </w:tc>
        <w:tc>
          <w:tcPr>
            <w:tcW w:w="2837" w:type="dxa"/>
            <w:vAlign w:val="center"/>
          </w:tcPr>
          <w:p w:rsidR="00013EC7" w:rsidRDefault="00575CDB">
            <w:pPr>
              <w:rPr>
                <w:rFonts w:ascii="仿宋" w:eastAsia="仿宋" w:hAnsi="仿宋" w:cs="仿宋"/>
                <w:sz w:val="24"/>
              </w:rPr>
            </w:pPr>
            <w:r>
              <w:rPr>
                <w:rFonts w:ascii="仿宋" w:eastAsia="仿宋" w:hAnsi="仿宋" w:cs="仿宋" w:hint="eastAsia"/>
                <w:kern w:val="1"/>
                <w:sz w:val="24"/>
              </w:rPr>
              <w:t>（十六）</w:t>
            </w:r>
            <w:r>
              <w:rPr>
                <w:rFonts w:ascii="仿宋" w:eastAsia="仿宋" w:hAnsi="仿宋" w:cs="仿宋" w:hint="eastAsia"/>
                <w:sz w:val="24"/>
              </w:rPr>
              <w:t>持《台湾海峡两岸间船舶营运证》船舶的物权证明复印件1份（</w:t>
            </w:r>
            <w:r>
              <w:rPr>
                <w:rFonts w:ascii="仿宋" w:eastAsia="仿宋" w:hAnsi="仿宋" w:cs="仿宋" w:hint="eastAsia"/>
                <w:sz w:val="24"/>
                <w:lang w:val="zh-CN"/>
              </w:rPr>
              <w:t>注明与原件一致，并加盖公章</w:t>
            </w:r>
            <w:r>
              <w:rPr>
                <w:rFonts w:ascii="仿宋" w:eastAsia="仿宋" w:hAnsi="仿宋" w:cs="仿宋" w:hint="eastAsia"/>
                <w:sz w:val="24"/>
              </w:rPr>
              <w:t>）。</w:t>
            </w:r>
          </w:p>
        </w:tc>
        <w:tc>
          <w:tcPr>
            <w:tcW w:w="1326" w:type="dxa"/>
            <w:vMerge/>
            <w:vAlign w:val="center"/>
          </w:tcPr>
          <w:p w:rsidR="00013EC7" w:rsidRDefault="00013EC7">
            <w:pPr>
              <w:rPr>
                <w:rFonts w:ascii="仿宋" w:eastAsia="仿宋" w:hAnsi="仿宋" w:cs="仿宋"/>
                <w:sz w:val="24"/>
              </w:rPr>
            </w:pPr>
          </w:p>
        </w:tc>
        <w:tc>
          <w:tcPr>
            <w:tcW w:w="2861" w:type="dxa"/>
            <w:vAlign w:val="center"/>
          </w:tcPr>
          <w:p w:rsidR="00013EC7" w:rsidRDefault="00575CDB">
            <w:pPr>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纳税人提交书面材料。</w:t>
            </w:r>
          </w:p>
        </w:tc>
        <w:tc>
          <w:tcPr>
            <w:tcW w:w="855" w:type="dxa"/>
            <w:vMerge/>
            <w:vAlign w:val="center"/>
          </w:tcPr>
          <w:p w:rsidR="00013EC7" w:rsidRDefault="00013EC7">
            <w:pPr>
              <w:rPr>
                <w:rFonts w:ascii="仿宋" w:eastAsia="仿宋" w:hAnsi="仿宋" w:cs="仿宋"/>
                <w:sz w:val="24"/>
              </w:rPr>
            </w:pPr>
          </w:p>
        </w:tc>
        <w:tc>
          <w:tcPr>
            <w:tcW w:w="798" w:type="dxa"/>
            <w:vMerge/>
            <w:vAlign w:val="center"/>
          </w:tcPr>
          <w:p w:rsidR="00013EC7" w:rsidRDefault="00013EC7">
            <w:pPr>
              <w:rPr>
                <w:rFonts w:ascii="仿宋" w:eastAsia="仿宋" w:hAnsi="仿宋" w:cs="仿宋"/>
                <w:sz w:val="24"/>
              </w:rPr>
            </w:pP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25"/>
          <w:jc w:val="center"/>
        </w:trPr>
        <w:tc>
          <w:tcPr>
            <w:tcW w:w="672" w:type="dxa"/>
            <w:vMerge/>
            <w:vAlign w:val="center"/>
          </w:tcPr>
          <w:p w:rsidR="00013EC7" w:rsidRDefault="00013EC7">
            <w:pPr>
              <w:rPr>
                <w:rFonts w:ascii="仿宋" w:eastAsia="仿宋" w:hAnsi="仿宋" w:cs="仿宋"/>
                <w:kern w:val="1"/>
                <w:sz w:val="24"/>
              </w:rPr>
            </w:pPr>
          </w:p>
        </w:tc>
        <w:tc>
          <w:tcPr>
            <w:tcW w:w="1035" w:type="dxa"/>
            <w:vMerge/>
            <w:vAlign w:val="center"/>
          </w:tcPr>
          <w:p w:rsidR="00013EC7" w:rsidRDefault="00013EC7">
            <w:pPr>
              <w:rPr>
                <w:rFonts w:ascii="仿宋" w:eastAsia="仿宋" w:hAnsi="仿宋" w:cs="仿宋"/>
                <w:kern w:val="1"/>
                <w:sz w:val="24"/>
              </w:rPr>
            </w:pPr>
          </w:p>
        </w:tc>
        <w:tc>
          <w:tcPr>
            <w:tcW w:w="2622" w:type="dxa"/>
            <w:vMerge/>
            <w:vAlign w:val="center"/>
          </w:tcPr>
          <w:p w:rsidR="00013EC7" w:rsidRDefault="00013EC7">
            <w:pPr>
              <w:rPr>
                <w:rFonts w:ascii="仿宋" w:eastAsia="仿宋" w:hAnsi="仿宋" w:cs="仿宋"/>
                <w:kern w:val="1"/>
                <w:sz w:val="24"/>
              </w:rPr>
            </w:pPr>
          </w:p>
        </w:tc>
        <w:tc>
          <w:tcPr>
            <w:tcW w:w="2760"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（十八）</w:t>
            </w:r>
            <w:r>
              <w:rPr>
                <w:rFonts w:ascii="仿宋" w:eastAsia="仿宋" w:hAnsi="仿宋" w:cs="仿宋" w:hint="eastAsia"/>
                <w:sz w:val="24"/>
              </w:rPr>
              <w:t>经营范围包括"国际、国内(含港澳)航空客货邮运输业务"的《公共航空运输企业经营许可证》</w:t>
            </w:r>
            <w:r>
              <w:rPr>
                <w:rFonts w:ascii="仿宋" w:eastAsia="仿宋" w:hAnsi="仿宋" w:cs="仿宋" w:hint="eastAsia"/>
                <w:sz w:val="24"/>
                <w:shd w:val="clear" w:color="FFFFFF" w:fill="D9D9D9"/>
              </w:rPr>
              <w:t>原件及</w:t>
            </w:r>
            <w:r>
              <w:rPr>
                <w:rFonts w:ascii="仿宋" w:eastAsia="仿宋" w:hAnsi="仿宋" w:cs="仿宋" w:hint="eastAsia"/>
                <w:sz w:val="24"/>
              </w:rPr>
              <w:t>复印件1份（</w:t>
            </w:r>
            <w:r>
              <w:rPr>
                <w:rFonts w:ascii="仿宋" w:eastAsia="仿宋" w:hAnsi="仿宋" w:cs="仿宋" w:hint="eastAsia"/>
                <w:sz w:val="24"/>
                <w:lang w:val="zh-CN"/>
              </w:rPr>
              <w:t>注明与原件一致，并加盖公章</w:t>
            </w:r>
            <w:r>
              <w:rPr>
                <w:rFonts w:ascii="仿宋" w:eastAsia="仿宋" w:hAnsi="仿宋" w:cs="仿宋" w:hint="eastAsia"/>
                <w:sz w:val="24"/>
              </w:rPr>
              <w:t>）或者经营范围包括"公务飞行"的《通用航空经营许可证》</w:t>
            </w:r>
            <w:r>
              <w:rPr>
                <w:rFonts w:ascii="仿宋" w:eastAsia="仿宋" w:hAnsi="仿宋" w:cs="仿宋" w:hint="eastAsia"/>
                <w:sz w:val="24"/>
                <w:shd w:val="clear" w:color="FFFFFF" w:fill="D9D9D9"/>
              </w:rPr>
              <w:t>原件及</w:t>
            </w:r>
            <w:r>
              <w:rPr>
                <w:rFonts w:ascii="仿宋" w:eastAsia="仿宋" w:hAnsi="仿宋" w:cs="仿宋" w:hint="eastAsia"/>
                <w:sz w:val="24"/>
              </w:rPr>
              <w:t>复印件1份（</w:t>
            </w:r>
            <w:r>
              <w:rPr>
                <w:rFonts w:ascii="仿宋" w:eastAsia="仿宋" w:hAnsi="仿宋" w:cs="仿宋" w:hint="eastAsia"/>
                <w:sz w:val="24"/>
                <w:lang w:val="zh-CN"/>
              </w:rPr>
              <w:t>注明与原件一致，并加盖公章</w:t>
            </w:r>
            <w:r>
              <w:rPr>
                <w:rFonts w:ascii="仿宋" w:eastAsia="仿宋" w:hAnsi="仿宋" w:cs="仿宋" w:hint="eastAsia"/>
                <w:sz w:val="24"/>
              </w:rPr>
              <w:t>）。</w:t>
            </w:r>
          </w:p>
        </w:tc>
        <w:tc>
          <w:tcPr>
            <w:tcW w:w="1288"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以航空运输方式提供港澳台运输服务的适用增值税零税率应税服务办理出口退（免）税备案的出口企业纳税人提交</w:t>
            </w:r>
          </w:p>
        </w:tc>
        <w:tc>
          <w:tcPr>
            <w:tcW w:w="2837"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（十七）</w:t>
            </w:r>
            <w:r>
              <w:rPr>
                <w:rFonts w:ascii="仿宋" w:eastAsia="仿宋" w:hAnsi="仿宋" w:cs="仿宋" w:hint="eastAsia"/>
                <w:sz w:val="24"/>
              </w:rPr>
              <w:t>经营范围包括"国际、国内(含港澳)航空客货邮运输业务"的《公共航空运输企业经营许可证》复印件1份（</w:t>
            </w:r>
            <w:r>
              <w:rPr>
                <w:rFonts w:ascii="仿宋" w:eastAsia="仿宋" w:hAnsi="仿宋" w:cs="仿宋" w:hint="eastAsia"/>
                <w:sz w:val="24"/>
                <w:lang w:val="zh-CN"/>
              </w:rPr>
              <w:t>注明与原件一致，并加盖公章</w:t>
            </w:r>
            <w:r>
              <w:rPr>
                <w:rFonts w:ascii="仿宋" w:eastAsia="仿宋" w:hAnsi="仿宋" w:cs="仿宋" w:hint="eastAsia"/>
                <w:sz w:val="24"/>
              </w:rPr>
              <w:t>）或者经营范围包括"公务飞行"的《通用航空经营许可证》复印件1份（</w:t>
            </w:r>
            <w:r>
              <w:rPr>
                <w:rFonts w:ascii="仿宋" w:eastAsia="仿宋" w:hAnsi="仿宋" w:cs="仿宋" w:hint="eastAsia"/>
                <w:sz w:val="24"/>
                <w:lang w:val="zh-CN"/>
              </w:rPr>
              <w:t>注明与原件一致，并加盖公章</w:t>
            </w:r>
            <w:r>
              <w:rPr>
                <w:rFonts w:ascii="仿宋" w:eastAsia="仿宋" w:hAnsi="仿宋" w:cs="仿宋" w:hint="eastAsia"/>
                <w:sz w:val="24"/>
              </w:rPr>
              <w:t>）。</w:t>
            </w:r>
          </w:p>
        </w:tc>
        <w:tc>
          <w:tcPr>
            <w:tcW w:w="1326" w:type="dxa"/>
            <w:vAlign w:val="center"/>
          </w:tcPr>
          <w:p w:rsidR="00013EC7" w:rsidRDefault="00575CDB">
            <w:pPr>
              <w:rPr>
                <w:rFonts w:ascii="仿宋" w:eastAsia="仿宋" w:hAnsi="仿宋" w:cs="仿宋"/>
                <w:kern w:val="1"/>
                <w:sz w:val="24"/>
              </w:rPr>
            </w:pPr>
            <w:r>
              <w:rPr>
                <w:rFonts w:ascii="仿宋" w:eastAsia="仿宋" w:hAnsi="仿宋" w:cs="仿宋" w:hint="eastAsia"/>
                <w:sz w:val="24"/>
              </w:rPr>
              <w:t>以航空运输方式提供港澳台运输服务的适用增值税零税率应税服务办理出口退（免）税备案的出口企业纳税人提交</w:t>
            </w:r>
          </w:p>
        </w:tc>
        <w:tc>
          <w:tcPr>
            <w:tcW w:w="2861" w:type="dxa"/>
            <w:vAlign w:val="center"/>
          </w:tcPr>
          <w:p w:rsidR="00013EC7" w:rsidRDefault="00575CDB">
            <w:pPr>
              <w:rPr>
                <w:rFonts w:ascii="仿宋" w:eastAsia="仿宋" w:hAnsi="仿宋" w:cs="仿宋"/>
                <w:kern w:val="1"/>
                <w:sz w:val="24"/>
              </w:rPr>
            </w:pPr>
            <w:r>
              <w:rPr>
                <w:rFonts w:ascii="仿宋" w:eastAsia="仿宋" w:hAnsi="仿宋" w:cs="仿宋" w:hint="eastAsia"/>
                <w:b/>
                <w:sz w:val="24"/>
              </w:rPr>
              <w:t>现场办理：</w:t>
            </w:r>
            <w:r>
              <w:rPr>
                <w:rFonts w:ascii="仿宋" w:eastAsia="仿宋" w:hAnsi="仿宋" w:cs="仿宋" w:hint="eastAsia"/>
                <w:sz w:val="24"/>
              </w:rPr>
              <w:t>纳税人提交书面材料。</w:t>
            </w:r>
          </w:p>
        </w:tc>
        <w:tc>
          <w:tcPr>
            <w:tcW w:w="855"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25"/>
          <w:jc w:val="center"/>
        </w:trPr>
        <w:tc>
          <w:tcPr>
            <w:tcW w:w="672" w:type="dxa"/>
            <w:vMerge/>
            <w:vAlign w:val="center"/>
          </w:tcPr>
          <w:p w:rsidR="00013EC7" w:rsidRDefault="00013EC7"/>
        </w:tc>
        <w:tc>
          <w:tcPr>
            <w:tcW w:w="1035" w:type="dxa"/>
            <w:vMerge/>
            <w:vAlign w:val="center"/>
          </w:tcPr>
          <w:p w:rsidR="00013EC7" w:rsidRDefault="00013EC7"/>
        </w:tc>
        <w:tc>
          <w:tcPr>
            <w:tcW w:w="2622" w:type="dxa"/>
            <w:vMerge/>
            <w:vAlign w:val="center"/>
          </w:tcPr>
          <w:p w:rsidR="00013EC7" w:rsidRDefault="00013EC7"/>
        </w:tc>
        <w:tc>
          <w:tcPr>
            <w:tcW w:w="2760"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（十九）</w:t>
            </w:r>
            <w:r>
              <w:rPr>
                <w:rFonts w:ascii="仿宋" w:eastAsia="仿宋" w:hAnsi="仿宋" w:cs="仿宋" w:hint="eastAsia"/>
                <w:sz w:val="24"/>
              </w:rPr>
              <w:t>经营范围包括"许可经营项目:铁路客货运输"的《企业法人营业执照》</w:t>
            </w:r>
            <w:r>
              <w:rPr>
                <w:rFonts w:ascii="仿宋" w:eastAsia="仿宋" w:hAnsi="仿宋" w:cs="仿宋" w:hint="eastAsia"/>
                <w:sz w:val="24"/>
                <w:shd w:val="clear" w:color="FFFFFF" w:fill="D9D9D9"/>
              </w:rPr>
              <w:t>原件及</w:t>
            </w:r>
            <w:r>
              <w:rPr>
                <w:rFonts w:ascii="仿宋" w:eastAsia="仿宋" w:hAnsi="仿宋" w:cs="仿宋" w:hint="eastAsia"/>
                <w:sz w:val="24"/>
              </w:rPr>
              <w:t>复印件1份（</w:t>
            </w:r>
            <w:r>
              <w:rPr>
                <w:rFonts w:ascii="仿宋" w:eastAsia="仿宋" w:hAnsi="仿宋" w:cs="仿宋" w:hint="eastAsia"/>
                <w:sz w:val="24"/>
                <w:lang w:val="zh-CN"/>
              </w:rPr>
              <w:t>注明与原件一致，并加盖公章</w:t>
            </w:r>
            <w:r>
              <w:rPr>
                <w:rFonts w:ascii="仿宋" w:eastAsia="仿宋" w:hAnsi="仿宋" w:cs="仿宋" w:hint="eastAsia"/>
                <w:sz w:val="24"/>
              </w:rPr>
              <w:t>）或其他具有提供铁路客货运输服务资质的证明材料</w:t>
            </w:r>
            <w:r>
              <w:rPr>
                <w:rFonts w:ascii="仿宋" w:eastAsia="仿宋" w:hAnsi="仿宋" w:cs="仿宋" w:hint="eastAsia"/>
                <w:sz w:val="24"/>
                <w:shd w:val="clear" w:color="FFFFFF" w:fill="D9D9D9"/>
              </w:rPr>
              <w:t>原件及</w:t>
            </w:r>
            <w:r>
              <w:rPr>
                <w:rFonts w:ascii="仿宋" w:eastAsia="仿宋" w:hAnsi="仿宋" w:cs="仿宋" w:hint="eastAsia"/>
                <w:sz w:val="24"/>
              </w:rPr>
              <w:t>复印件1份（</w:t>
            </w:r>
            <w:r>
              <w:rPr>
                <w:rFonts w:ascii="仿宋" w:eastAsia="仿宋" w:hAnsi="仿宋" w:cs="仿宋" w:hint="eastAsia"/>
                <w:sz w:val="24"/>
                <w:lang w:val="zh-CN"/>
              </w:rPr>
              <w:t>注明与原件一致，并加盖公章</w:t>
            </w:r>
            <w:r>
              <w:rPr>
                <w:rFonts w:ascii="仿宋" w:eastAsia="仿宋" w:hAnsi="仿宋" w:cs="仿宋" w:hint="eastAsia"/>
                <w:sz w:val="24"/>
              </w:rPr>
              <w:t>）。</w:t>
            </w:r>
          </w:p>
        </w:tc>
        <w:tc>
          <w:tcPr>
            <w:tcW w:w="1288"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以</w:t>
            </w:r>
            <w:r>
              <w:rPr>
                <w:rFonts w:ascii="仿宋" w:eastAsia="仿宋" w:hAnsi="仿宋" w:cs="仿宋" w:hint="eastAsia"/>
                <w:szCs w:val="21"/>
              </w:rPr>
              <w:t>铁路运输方式提供内地往返香港的交通运输服务</w:t>
            </w:r>
            <w:r>
              <w:rPr>
                <w:rFonts w:ascii="仿宋" w:eastAsia="仿宋" w:hAnsi="仿宋" w:cs="仿宋" w:hint="eastAsia"/>
                <w:kern w:val="1"/>
                <w:sz w:val="24"/>
              </w:rPr>
              <w:t>适用增值税零税率应税服务办理出口退（免）税备案的出口企业纳税人提交</w:t>
            </w:r>
          </w:p>
        </w:tc>
        <w:tc>
          <w:tcPr>
            <w:tcW w:w="2837"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（十）</w:t>
            </w:r>
            <w:r>
              <w:rPr>
                <w:rFonts w:ascii="仿宋" w:eastAsia="仿宋" w:hAnsi="仿宋" w:cs="仿宋" w:hint="eastAsia"/>
                <w:sz w:val="24"/>
              </w:rPr>
              <w:t>经营范围包括"许可经营项目:铁路客货运输"的《企业法人营业执照》复印件1份（</w:t>
            </w:r>
            <w:r>
              <w:rPr>
                <w:rFonts w:ascii="仿宋" w:eastAsia="仿宋" w:hAnsi="仿宋" w:cs="仿宋" w:hint="eastAsia"/>
                <w:sz w:val="24"/>
                <w:lang w:val="zh-CN"/>
              </w:rPr>
              <w:t>注明与原件一致，并加盖公章</w:t>
            </w:r>
            <w:r>
              <w:rPr>
                <w:rFonts w:ascii="仿宋" w:eastAsia="仿宋" w:hAnsi="仿宋" w:cs="仿宋" w:hint="eastAsia"/>
                <w:sz w:val="24"/>
              </w:rPr>
              <w:t>）或其他具有提供铁路客货运输服务资质的证明材料复印件1份（</w:t>
            </w:r>
            <w:r>
              <w:rPr>
                <w:rFonts w:ascii="仿宋" w:eastAsia="仿宋" w:hAnsi="仿宋" w:cs="仿宋" w:hint="eastAsia"/>
                <w:sz w:val="24"/>
                <w:lang w:val="zh-CN"/>
              </w:rPr>
              <w:t>注明与原件一致，并加盖公章</w:t>
            </w:r>
            <w:r>
              <w:rPr>
                <w:rFonts w:ascii="仿宋" w:eastAsia="仿宋" w:hAnsi="仿宋" w:cs="仿宋" w:hint="eastAsia"/>
                <w:sz w:val="24"/>
              </w:rPr>
              <w:t>）。</w:t>
            </w:r>
          </w:p>
        </w:tc>
        <w:tc>
          <w:tcPr>
            <w:tcW w:w="1326"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以铁路运输方式提供内地往返香港的交通运输服务适用增值税零税率应税服务办理出口退（免）税备案的出口企业纳税人提交</w:t>
            </w:r>
          </w:p>
        </w:tc>
        <w:tc>
          <w:tcPr>
            <w:tcW w:w="2861" w:type="dxa"/>
            <w:vAlign w:val="center"/>
          </w:tcPr>
          <w:p w:rsidR="00013EC7" w:rsidRDefault="00575CDB">
            <w:pPr>
              <w:rPr>
                <w:rFonts w:ascii="仿宋" w:eastAsia="仿宋" w:hAnsi="仿宋" w:cs="仿宋"/>
                <w:kern w:val="1"/>
                <w:sz w:val="24"/>
              </w:rPr>
            </w:pPr>
            <w:r>
              <w:rPr>
                <w:rFonts w:ascii="仿宋" w:eastAsia="仿宋" w:hAnsi="仿宋" w:cs="仿宋" w:hint="eastAsia"/>
                <w:b/>
                <w:sz w:val="24"/>
              </w:rPr>
              <w:t>现场办理：</w:t>
            </w:r>
            <w:r>
              <w:rPr>
                <w:rFonts w:ascii="仿宋" w:eastAsia="仿宋" w:hAnsi="仿宋" w:cs="仿宋" w:hint="eastAsia"/>
                <w:sz w:val="24"/>
              </w:rPr>
              <w:t>纳税人提交书面材料。</w:t>
            </w:r>
          </w:p>
        </w:tc>
        <w:tc>
          <w:tcPr>
            <w:tcW w:w="855"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25"/>
          <w:jc w:val="center"/>
        </w:trPr>
        <w:tc>
          <w:tcPr>
            <w:tcW w:w="672" w:type="dxa"/>
            <w:vMerge/>
            <w:vAlign w:val="center"/>
          </w:tcPr>
          <w:p w:rsidR="00013EC7" w:rsidRDefault="00013EC7">
            <w:pPr>
              <w:rPr>
                <w:rFonts w:ascii="仿宋" w:eastAsia="仿宋" w:hAnsi="仿宋" w:cs="仿宋"/>
                <w:kern w:val="1"/>
                <w:sz w:val="24"/>
              </w:rPr>
            </w:pPr>
          </w:p>
        </w:tc>
        <w:tc>
          <w:tcPr>
            <w:tcW w:w="1035" w:type="dxa"/>
            <w:vMerge/>
            <w:vAlign w:val="center"/>
          </w:tcPr>
          <w:p w:rsidR="00013EC7" w:rsidRDefault="00013EC7">
            <w:pPr>
              <w:rPr>
                <w:rFonts w:ascii="仿宋" w:eastAsia="仿宋" w:hAnsi="仿宋" w:cs="仿宋"/>
                <w:kern w:val="1"/>
                <w:sz w:val="24"/>
              </w:rPr>
            </w:pPr>
          </w:p>
        </w:tc>
        <w:tc>
          <w:tcPr>
            <w:tcW w:w="2622" w:type="dxa"/>
            <w:vMerge/>
            <w:vAlign w:val="center"/>
          </w:tcPr>
          <w:p w:rsidR="00013EC7" w:rsidRDefault="00013EC7">
            <w:pPr>
              <w:rPr>
                <w:rFonts w:ascii="仿宋" w:eastAsia="仿宋" w:hAnsi="仿宋" w:cs="仿宋"/>
                <w:kern w:val="1"/>
                <w:sz w:val="24"/>
              </w:rPr>
            </w:pPr>
          </w:p>
        </w:tc>
        <w:tc>
          <w:tcPr>
            <w:tcW w:w="2760"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（二十）</w:t>
            </w:r>
            <w:r>
              <w:rPr>
                <w:rFonts w:ascii="仿宋" w:eastAsia="仿宋" w:hAnsi="仿宋" w:cs="仿宋" w:hint="eastAsia"/>
                <w:sz w:val="24"/>
              </w:rPr>
              <w:t>程租、期租和湿租合同或协议</w:t>
            </w:r>
            <w:r>
              <w:rPr>
                <w:rFonts w:ascii="仿宋" w:eastAsia="仿宋" w:hAnsi="仿宋" w:cs="仿宋" w:hint="eastAsia"/>
                <w:sz w:val="24"/>
                <w:shd w:val="clear" w:color="FFFFFF" w:fill="D9D9D9"/>
              </w:rPr>
              <w:t>原件及</w:t>
            </w:r>
            <w:r>
              <w:rPr>
                <w:rFonts w:ascii="仿宋" w:eastAsia="仿宋" w:hAnsi="仿宋" w:cs="仿宋" w:hint="eastAsia"/>
                <w:sz w:val="24"/>
              </w:rPr>
              <w:t>复印件1份（</w:t>
            </w:r>
            <w:r>
              <w:rPr>
                <w:rFonts w:ascii="仿宋" w:eastAsia="仿宋" w:hAnsi="仿宋" w:cs="仿宋" w:hint="eastAsia"/>
                <w:sz w:val="24"/>
                <w:lang w:val="zh-CN"/>
              </w:rPr>
              <w:t>注明与原件一致，并加盖公章</w:t>
            </w:r>
            <w:r>
              <w:rPr>
                <w:rFonts w:ascii="仿宋" w:eastAsia="仿宋" w:hAnsi="仿宋" w:cs="仿宋" w:hint="eastAsia"/>
                <w:sz w:val="24"/>
              </w:rPr>
              <w:t>）。</w:t>
            </w:r>
          </w:p>
        </w:tc>
        <w:tc>
          <w:tcPr>
            <w:tcW w:w="1288" w:type="dxa"/>
            <w:vAlign w:val="center"/>
          </w:tcPr>
          <w:p w:rsidR="00013EC7" w:rsidRDefault="00575CDB">
            <w:pPr>
              <w:rPr>
                <w:rFonts w:ascii="仿宋" w:eastAsia="仿宋" w:hAnsi="仿宋" w:cs="仿宋"/>
                <w:kern w:val="1"/>
                <w:sz w:val="24"/>
              </w:rPr>
            </w:pPr>
            <w:r>
              <w:rPr>
                <w:rFonts w:ascii="仿宋" w:eastAsia="仿宋" w:hAnsi="仿宋" w:cs="仿宋" w:hint="eastAsia"/>
                <w:szCs w:val="21"/>
              </w:rPr>
              <w:t>采用程租、期租和湿租方式租赁交通运输工具用于国际运输服务和港澳</w:t>
            </w:r>
            <w:r>
              <w:rPr>
                <w:rFonts w:ascii="仿宋" w:eastAsia="仿宋" w:hAnsi="仿宋" w:cs="仿宋" w:hint="eastAsia"/>
                <w:szCs w:val="21"/>
              </w:rPr>
              <w:lastRenderedPageBreak/>
              <w:t>台运输服务的</w:t>
            </w:r>
            <w:r>
              <w:rPr>
                <w:rFonts w:ascii="仿宋" w:eastAsia="仿宋" w:hAnsi="仿宋" w:cs="仿宋" w:hint="eastAsia"/>
                <w:kern w:val="1"/>
                <w:sz w:val="24"/>
              </w:rPr>
              <w:t>适用增值税零税率应税服务办理出口退（免）税备案的出口企业纳税人提交</w:t>
            </w:r>
          </w:p>
        </w:tc>
        <w:tc>
          <w:tcPr>
            <w:tcW w:w="2837" w:type="dxa"/>
            <w:vAlign w:val="center"/>
          </w:tcPr>
          <w:p w:rsidR="00013EC7" w:rsidRDefault="00575CDB">
            <w:pPr>
              <w:rPr>
                <w:rFonts w:ascii="仿宋" w:eastAsia="仿宋" w:hAnsi="仿宋" w:cs="仿宋"/>
                <w:sz w:val="24"/>
              </w:rPr>
            </w:pPr>
            <w:r>
              <w:rPr>
                <w:rFonts w:ascii="仿宋" w:eastAsia="仿宋" w:hAnsi="仿宋" w:cs="仿宋" w:hint="eastAsia"/>
                <w:kern w:val="1"/>
                <w:sz w:val="24"/>
              </w:rPr>
              <w:lastRenderedPageBreak/>
              <w:t>（十八）</w:t>
            </w:r>
            <w:r>
              <w:rPr>
                <w:rFonts w:ascii="仿宋" w:eastAsia="仿宋" w:hAnsi="仿宋" w:cs="仿宋" w:hint="eastAsia"/>
                <w:sz w:val="24"/>
              </w:rPr>
              <w:t>程租、期租和湿租合同或协议复印件1份（</w:t>
            </w:r>
            <w:r>
              <w:rPr>
                <w:rFonts w:ascii="仿宋" w:eastAsia="仿宋" w:hAnsi="仿宋" w:cs="仿宋" w:hint="eastAsia"/>
                <w:sz w:val="24"/>
                <w:lang w:val="zh-CN"/>
              </w:rPr>
              <w:t>注明与原件一致，并加盖公章</w:t>
            </w:r>
            <w:r>
              <w:rPr>
                <w:rFonts w:ascii="仿宋" w:eastAsia="仿宋" w:hAnsi="仿宋" w:cs="仿宋" w:hint="eastAsia"/>
                <w:sz w:val="24"/>
              </w:rPr>
              <w:t>）。</w:t>
            </w:r>
          </w:p>
        </w:tc>
        <w:tc>
          <w:tcPr>
            <w:tcW w:w="1326" w:type="dxa"/>
            <w:vAlign w:val="center"/>
          </w:tcPr>
          <w:p w:rsidR="00013EC7" w:rsidRDefault="00575CDB">
            <w:pPr>
              <w:rPr>
                <w:rFonts w:ascii="仿宋" w:eastAsia="仿宋" w:hAnsi="仿宋" w:cs="仿宋"/>
                <w:sz w:val="24"/>
              </w:rPr>
            </w:pPr>
            <w:r>
              <w:rPr>
                <w:rFonts w:ascii="仿宋" w:eastAsia="仿宋" w:hAnsi="仿宋" w:cs="仿宋" w:hint="eastAsia"/>
                <w:sz w:val="24"/>
              </w:rPr>
              <w:t>采用程租、期租和湿租方式租赁交通运输工具用于国际运输服务和港</w:t>
            </w:r>
            <w:r>
              <w:rPr>
                <w:rFonts w:ascii="仿宋" w:eastAsia="仿宋" w:hAnsi="仿宋" w:cs="仿宋" w:hint="eastAsia"/>
                <w:sz w:val="24"/>
              </w:rPr>
              <w:lastRenderedPageBreak/>
              <w:t>澳台运输服务的适用增值税零税率应税服务办理出口退（免）税备案的出口企业纳税人提交</w:t>
            </w:r>
          </w:p>
        </w:tc>
        <w:tc>
          <w:tcPr>
            <w:tcW w:w="2861" w:type="dxa"/>
            <w:vAlign w:val="center"/>
          </w:tcPr>
          <w:p w:rsidR="00013EC7" w:rsidRDefault="00575CDB">
            <w:pPr>
              <w:rPr>
                <w:rFonts w:ascii="仿宋" w:eastAsia="仿宋" w:hAnsi="仿宋" w:cs="仿宋"/>
                <w:kern w:val="1"/>
                <w:sz w:val="24"/>
              </w:rPr>
            </w:pPr>
            <w:r>
              <w:rPr>
                <w:rFonts w:ascii="仿宋" w:eastAsia="仿宋" w:hAnsi="仿宋" w:cs="仿宋" w:hint="eastAsia"/>
                <w:b/>
                <w:sz w:val="24"/>
              </w:rPr>
              <w:lastRenderedPageBreak/>
              <w:t>现场办理：</w:t>
            </w:r>
            <w:r>
              <w:rPr>
                <w:rFonts w:ascii="仿宋" w:eastAsia="仿宋" w:hAnsi="仿宋" w:cs="仿宋" w:hint="eastAsia"/>
                <w:sz w:val="24"/>
              </w:rPr>
              <w:t>纳税人提交书面材料。</w:t>
            </w:r>
          </w:p>
        </w:tc>
        <w:tc>
          <w:tcPr>
            <w:tcW w:w="855"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25"/>
          <w:jc w:val="center"/>
        </w:trPr>
        <w:tc>
          <w:tcPr>
            <w:tcW w:w="672" w:type="dxa"/>
            <w:vMerge/>
            <w:vAlign w:val="center"/>
          </w:tcPr>
          <w:p w:rsidR="00013EC7" w:rsidRDefault="00013EC7">
            <w:pPr>
              <w:rPr>
                <w:rFonts w:ascii="仿宋" w:eastAsia="仿宋" w:hAnsi="仿宋" w:cs="仿宋"/>
                <w:kern w:val="1"/>
                <w:sz w:val="24"/>
              </w:rPr>
            </w:pPr>
          </w:p>
        </w:tc>
        <w:tc>
          <w:tcPr>
            <w:tcW w:w="1035" w:type="dxa"/>
            <w:vMerge/>
            <w:vAlign w:val="center"/>
          </w:tcPr>
          <w:p w:rsidR="00013EC7" w:rsidRDefault="00013EC7">
            <w:pPr>
              <w:rPr>
                <w:rFonts w:ascii="仿宋" w:eastAsia="仿宋" w:hAnsi="仿宋" w:cs="仿宋"/>
                <w:kern w:val="1"/>
                <w:sz w:val="24"/>
              </w:rPr>
            </w:pPr>
          </w:p>
        </w:tc>
        <w:tc>
          <w:tcPr>
            <w:tcW w:w="2622" w:type="dxa"/>
            <w:vMerge/>
            <w:vAlign w:val="center"/>
          </w:tcPr>
          <w:p w:rsidR="00013EC7" w:rsidRDefault="00013EC7">
            <w:pPr>
              <w:rPr>
                <w:rFonts w:ascii="仿宋" w:eastAsia="仿宋" w:hAnsi="仿宋" w:cs="仿宋"/>
                <w:kern w:val="1"/>
                <w:sz w:val="24"/>
              </w:rPr>
            </w:pPr>
          </w:p>
        </w:tc>
        <w:tc>
          <w:tcPr>
            <w:tcW w:w="2760"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（二十一）</w:t>
            </w:r>
            <w:r>
              <w:rPr>
                <w:rFonts w:ascii="仿宋" w:eastAsia="仿宋" w:hAnsi="仿宋" w:cs="仿宋" w:hint="eastAsia"/>
                <w:sz w:val="24"/>
              </w:rPr>
              <w:t>《技术出口合同登记证》</w:t>
            </w:r>
            <w:r>
              <w:rPr>
                <w:rFonts w:ascii="仿宋" w:eastAsia="仿宋" w:hAnsi="仿宋" w:cs="仿宋" w:hint="eastAsia"/>
                <w:sz w:val="24"/>
                <w:shd w:val="clear" w:color="FFFFFF" w:fill="D9D9D9"/>
              </w:rPr>
              <w:t>原件及</w:t>
            </w:r>
            <w:r>
              <w:rPr>
                <w:rFonts w:ascii="仿宋" w:eastAsia="仿宋" w:hAnsi="仿宋" w:cs="仿宋" w:hint="eastAsia"/>
                <w:sz w:val="24"/>
              </w:rPr>
              <w:t>复印件1份（</w:t>
            </w:r>
            <w:r>
              <w:rPr>
                <w:rFonts w:ascii="仿宋" w:eastAsia="仿宋" w:hAnsi="仿宋" w:cs="仿宋" w:hint="eastAsia"/>
                <w:sz w:val="24"/>
                <w:lang w:val="zh-CN"/>
              </w:rPr>
              <w:t>注明与原件一致，并加盖公章</w:t>
            </w:r>
            <w:r>
              <w:rPr>
                <w:rFonts w:ascii="仿宋" w:eastAsia="仿宋" w:hAnsi="仿宋" w:cs="仿宋" w:hint="eastAsia"/>
                <w:sz w:val="24"/>
              </w:rPr>
              <w:t>）。</w:t>
            </w:r>
          </w:p>
        </w:tc>
        <w:tc>
          <w:tcPr>
            <w:tcW w:w="1288" w:type="dxa"/>
            <w:vAlign w:val="center"/>
          </w:tcPr>
          <w:p w:rsidR="00013EC7" w:rsidRDefault="00575CDB">
            <w:pPr>
              <w:rPr>
                <w:rFonts w:ascii="仿宋" w:eastAsia="仿宋" w:hAnsi="仿宋" w:cs="仿宋"/>
                <w:sz w:val="24"/>
              </w:rPr>
            </w:pPr>
            <w:r>
              <w:rPr>
                <w:rFonts w:ascii="仿宋" w:eastAsia="仿宋" w:hAnsi="仿宋" w:cs="仿宋" w:hint="eastAsia"/>
                <w:sz w:val="24"/>
              </w:rPr>
              <w:t>对外提供研发服务或设计服务的适用增值税零税率应税服务办理出口退（免）税备案的出口企业纳税人提交</w:t>
            </w:r>
          </w:p>
        </w:tc>
        <w:tc>
          <w:tcPr>
            <w:tcW w:w="2837" w:type="dxa"/>
            <w:vAlign w:val="center"/>
          </w:tcPr>
          <w:p w:rsidR="00013EC7" w:rsidRDefault="00575CDB">
            <w:pPr>
              <w:rPr>
                <w:rFonts w:ascii="仿宋" w:eastAsia="仿宋" w:hAnsi="仿宋" w:cs="仿宋"/>
                <w:sz w:val="24"/>
              </w:rPr>
            </w:pPr>
            <w:r>
              <w:rPr>
                <w:rFonts w:ascii="仿宋" w:eastAsia="仿宋" w:hAnsi="仿宋" w:cs="仿宋" w:hint="eastAsia"/>
                <w:kern w:val="1"/>
                <w:sz w:val="24"/>
              </w:rPr>
              <w:t>（十九）</w:t>
            </w:r>
            <w:r>
              <w:rPr>
                <w:rFonts w:ascii="仿宋" w:eastAsia="仿宋" w:hAnsi="仿宋" w:cs="仿宋" w:hint="eastAsia"/>
                <w:sz w:val="24"/>
              </w:rPr>
              <w:t>《技术出口合同登记证》复印件1份（</w:t>
            </w:r>
            <w:r>
              <w:rPr>
                <w:rFonts w:ascii="仿宋" w:eastAsia="仿宋" w:hAnsi="仿宋" w:cs="仿宋" w:hint="eastAsia"/>
                <w:sz w:val="24"/>
                <w:lang w:val="zh-CN"/>
              </w:rPr>
              <w:t>注明与原件一致，并加盖公章</w:t>
            </w:r>
            <w:r>
              <w:rPr>
                <w:rFonts w:ascii="仿宋" w:eastAsia="仿宋" w:hAnsi="仿宋" w:cs="仿宋" w:hint="eastAsia"/>
                <w:sz w:val="24"/>
              </w:rPr>
              <w:t>）。</w:t>
            </w:r>
          </w:p>
        </w:tc>
        <w:tc>
          <w:tcPr>
            <w:tcW w:w="1326" w:type="dxa"/>
            <w:vAlign w:val="center"/>
          </w:tcPr>
          <w:p w:rsidR="00013EC7" w:rsidRDefault="00575CDB">
            <w:pPr>
              <w:rPr>
                <w:rFonts w:ascii="仿宋" w:eastAsia="仿宋" w:hAnsi="仿宋" w:cs="仿宋"/>
                <w:sz w:val="24"/>
              </w:rPr>
            </w:pPr>
            <w:r>
              <w:rPr>
                <w:rFonts w:ascii="仿宋" w:eastAsia="仿宋" w:hAnsi="仿宋" w:cs="仿宋" w:hint="eastAsia"/>
                <w:sz w:val="24"/>
              </w:rPr>
              <w:t>对外提供研发服务或设计服务的适用增值税零税率应税服务办理出口退（免）税备案的出口企业纳税人提交</w:t>
            </w:r>
          </w:p>
        </w:tc>
        <w:tc>
          <w:tcPr>
            <w:tcW w:w="2861" w:type="dxa"/>
            <w:vAlign w:val="center"/>
          </w:tcPr>
          <w:p w:rsidR="00013EC7" w:rsidRDefault="00575CDB">
            <w:pPr>
              <w:rPr>
                <w:rFonts w:ascii="仿宋" w:eastAsia="仿宋" w:hAnsi="仿宋" w:cs="仿宋"/>
                <w:kern w:val="1"/>
                <w:sz w:val="24"/>
              </w:rPr>
            </w:pPr>
            <w:r>
              <w:rPr>
                <w:rFonts w:ascii="仿宋" w:eastAsia="仿宋" w:hAnsi="仿宋" w:cs="仿宋" w:hint="eastAsia"/>
                <w:b/>
                <w:sz w:val="24"/>
              </w:rPr>
              <w:t>现场办理：</w:t>
            </w:r>
            <w:r>
              <w:rPr>
                <w:rFonts w:ascii="仿宋" w:eastAsia="仿宋" w:hAnsi="仿宋" w:cs="仿宋" w:hint="eastAsia"/>
                <w:sz w:val="24"/>
              </w:rPr>
              <w:t>纳税人提交书面材料。</w:t>
            </w:r>
          </w:p>
        </w:tc>
        <w:tc>
          <w:tcPr>
            <w:tcW w:w="855"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25"/>
          <w:jc w:val="center"/>
        </w:trPr>
        <w:tc>
          <w:tcPr>
            <w:tcW w:w="672" w:type="dxa"/>
            <w:vMerge/>
            <w:vAlign w:val="center"/>
          </w:tcPr>
          <w:p w:rsidR="00013EC7" w:rsidRDefault="00013EC7">
            <w:pPr>
              <w:rPr>
                <w:rFonts w:ascii="仿宋" w:eastAsia="仿宋" w:hAnsi="仿宋" w:cs="仿宋"/>
                <w:kern w:val="1"/>
                <w:sz w:val="24"/>
              </w:rPr>
            </w:pPr>
          </w:p>
        </w:tc>
        <w:tc>
          <w:tcPr>
            <w:tcW w:w="1035" w:type="dxa"/>
            <w:vMerge/>
            <w:vAlign w:val="center"/>
          </w:tcPr>
          <w:p w:rsidR="00013EC7" w:rsidRDefault="00013EC7">
            <w:pPr>
              <w:rPr>
                <w:rFonts w:ascii="仿宋" w:eastAsia="仿宋" w:hAnsi="仿宋" w:cs="仿宋"/>
                <w:kern w:val="1"/>
                <w:sz w:val="24"/>
              </w:rPr>
            </w:pPr>
          </w:p>
        </w:tc>
        <w:tc>
          <w:tcPr>
            <w:tcW w:w="2622" w:type="dxa"/>
            <w:vMerge/>
            <w:vAlign w:val="center"/>
          </w:tcPr>
          <w:p w:rsidR="00013EC7" w:rsidRDefault="00013EC7">
            <w:pPr>
              <w:rPr>
                <w:rFonts w:ascii="仿宋" w:eastAsia="仿宋" w:hAnsi="仿宋" w:cs="仿宋"/>
                <w:kern w:val="1"/>
                <w:sz w:val="24"/>
              </w:rPr>
            </w:pPr>
          </w:p>
        </w:tc>
        <w:tc>
          <w:tcPr>
            <w:tcW w:w="2760" w:type="dxa"/>
            <w:vAlign w:val="center"/>
          </w:tcPr>
          <w:p w:rsidR="00013EC7" w:rsidRDefault="00575CDB">
            <w:pPr>
              <w:rPr>
                <w:rFonts w:ascii="仿宋" w:eastAsia="仿宋" w:hAnsi="仿宋" w:cs="仿宋"/>
                <w:sz w:val="24"/>
              </w:rPr>
            </w:pPr>
            <w:r>
              <w:rPr>
                <w:rFonts w:ascii="仿宋" w:eastAsia="仿宋" w:hAnsi="仿宋" w:cs="仿宋" w:hint="eastAsia"/>
                <w:kern w:val="1"/>
                <w:sz w:val="24"/>
              </w:rPr>
              <w:t>（二十二）</w:t>
            </w:r>
            <w:r>
              <w:rPr>
                <w:rFonts w:ascii="仿宋" w:eastAsia="仿宋" w:hAnsi="仿宋" w:cs="仿宋" w:hint="eastAsia"/>
                <w:sz w:val="24"/>
              </w:rPr>
              <w:t>《免税品经营企业销售货物退税备案表》2份和电子数据。</w:t>
            </w:r>
          </w:p>
        </w:tc>
        <w:tc>
          <w:tcPr>
            <w:tcW w:w="1288" w:type="dxa"/>
            <w:vMerge w:val="restart"/>
            <w:vAlign w:val="center"/>
          </w:tcPr>
          <w:p w:rsidR="00013EC7" w:rsidRDefault="00575CDB">
            <w:pPr>
              <w:rPr>
                <w:rFonts w:ascii="仿宋" w:eastAsia="仿宋" w:hAnsi="仿宋" w:cs="仿宋"/>
                <w:sz w:val="24"/>
              </w:rPr>
            </w:pPr>
            <w:r>
              <w:rPr>
                <w:rFonts w:ascii="仿宋" w:eastAsia="仿宋" w:hAnsi="仿宋" w:cs="仿宋" w:hint="eastAsia"/>
                <w:sz w:val="24"/>
              </w:rPr>
              <w:t>属免税品经营企业的纳税人提供</w:t>
            </w:r>
          </w:p>
        </w:tc>
        <w:tc>
          <w:tcPr>
            <w:tcW w:w="2837" w:type="dxa"/>
            <w:vAlign w:val="center"/>
          </w:tcPr>
          <w:p w:rsidR="00013EC7" w:rsidRDefault="00575CDB">
            <w:pPr>
              <w:rPr>
                <w:rFonts w:ascii="仿宋" w:eastAsia="仿宋" w:hAnsi="仿宋" w:cs="仿宋"/>
                <w:sz w:val="24"/>
              </w:rPr>
            </w:pPr>
            <w:r>
              <w:rPr>
                <w:rFonts w:ascii="仿宋" w:eastAsia="仿宋" w:hAnsi="仿宋" w:cs="仿宋" w:hint="eastAsia"/>
                <w:kern w:val="1"/>
                <w:sz w:val="24"/>
              </w:rPr>
              <w:t>（二十）</w:t>
            </w:r>
            <w:r>
              <w:rPr>
                <w:rFonts w:ascii="仿宋" w:eastAsia="仿宋" w:hAnsi="仿宋" w:cs="仿宋" w:hint="eastAsia"/>
                <w:sz w:val="24"/>
              </w:rPr>
              <w:t>《免税品经营企业销售货物退税备案表》2份和电子数据。</w:t>
            </w:r>
          </w:p>
        </w:tc>
        <w:tc>
          <w:tcPr>
            <w:tcW w:w="1326" w:type="dxa"/>
            <w:vAlign w:val="center"/>
          </w:tcPr>
          <w:p w:rsidR="00013EC7" w:rsidRDefault="00575CDB">
            <w:pPr>
              <w:rPr>
                <w:rFonts w:ascii="仿宋" w:eastAsia="仿宋" w:hAnsi="仿宋" w:cs="仿宋"/>
                <w:sz w:val="24"/>
              </w:rPr>
            </w:pPr>
            <w:r>
              <w:rPr>
                <w:rFonts w:ascii="仿宋" w:eastAsia="仿宋" w:hAnsi="仿宋" w:cs="仿宋" w:hint="eastAsia"/>
                <w:sz w:val="24"/>
              </w:rPr>
              <w:t>属免税品经营企业的纳税人提供</w:t>
            </w:r>
          </w:p>
        </w:tc>
        <w:tc>
          <w:tcPr>
            <w:tcW w:w="2861"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纳税人提交书面材料</w:t>
            </w:r>
            <w:r>
              <w:rPr>
                <w:rFonts w:ascii="仿宋" w:eastAsia="仿宋" w:hAnsi="仿宋" w:cs="仿宋"/>
                <w:sz w:val="24"/>
              </w:rPr>
              <w:t>。</w:t>
            </w:r>
          </w:p>
          <w:p w:rsidR="00013EC7" w:rsidRDefault="00575CDB">
            <w:pPr>
              <w:rPr>
                <w:rFonts w:ascii="仿宋" w:eastAsia="仿宋" w:hAnsi="仿宋" w:cs="仿宋"/>
                <w:kern w:val="1"/>
                <w:sz w:val="24"/>
              </w:rPr>
            </w:pPr>
            <w:r>
              <w:rPr>
                <w:rFonts w:ascii="仿宋" w:eastAsia="仿宋" w:hAnsi="仿宋" w:cs="仿宋" w:hint="eastAsia"/>
                <w:b/>
                <w:sz w:val="24"/>
              </w:rPr>
              <w:t>网上办理：</w:t>
            </w:r>
            <w:r>
              <w:rPr>
                <w:rFonts w:ascii="仿宋" w:eastAsia="仿宋" w:hAnsi="仿宋" w:cs="仿宋" w:hint="eastAsia"/>
                <w:sz w:val="24"/>
              </w:rPr>
              <w:t>登录浙江省国家税务局电子税务局提交电子数据。</w:t>
            </w:r>
          </w:p>
        </w:tc>
        <w:tc>
          <w:tcPr>
            <w:tcW w:w="855"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25"/>
          <w:jc w:val="center"/>
        </w:trPr>
        <w:tc>
          <w:tcPr>
            <w:tcW w:w="672" w:type="dxa"/>
            <w:vMerge/>
            <w:vAlign w:val="center"/>
          </w:tcPr>
          <w:p w:rsidR="00013EC7" w:rsidRDefault="00013EC7">
            <w:pPr>
              <w:rPr>
                <w:rFonts w:ascii="仿宋" w:eastAsia="仿宋" w:hAnsi="仿宋" w:cs="仿宋"/>
                <w:kern w:val="1"/>
                <w:sz w:val="24"/>
              </w:rPr>
            </w:pPr>
          </w:p>
        </w:tc>
        <w:tc>
          <w:tcPr>
            <w:tcW w:w="1035" w:type="dxa"/>
            <w:vMerge/>
            <w:vAlign w:val="center"/>
          </w:tcPr>
          <w:p w:rsidR="00013EC7" w:rsidRDefault="00013EC7">
            <w:pPr>
              <w:rPr>
                <w:rFonts w:ascii="仿宋" w:eastAsia="仿宋" w:hAnsi="仿宋" w:cs="仿宋"/>
                <w:kern w:val="1"/>
                <w:sz w:val="24"/>
              </w:rPr>
            </w:pPr>
          </w:p>
        </w:tc>
        <w:tc>
          <w:tcPr>
            <w:tcW w:w="2622" w:type="dxa"/>
            <w:vMerge/>
            <w:vAlign w:val="center"/>
          </w:tcPr>
          <w:p w:rsidR="00013EC7" w:rsidRDefault="00013EC7">
            <w:pPr>
              <w:rPr>
                <w:rFonts w:ascii="仿宋" w:eastAsia="仿宋" w:hAnsi="仿宋" w:cs="仿宋"/>
                <w:kern w:val="1"/>
                <w:sz w:val="24"/>
              </w:rPr>
            </w:pPr>
          </w:p>
        </w:tc>
        <w:tc>
          <w:tcPr>
            <w:tcW w:w="2760" w:type="dxa"/>
            <w:vAlign w:val="center"/>
          </w:tcPr>
          <w:p w:rsidR="00013EC7" w:rsidRDefault="00575CDB">
            <w:pPr>
              <w:rPr>
                <w:rFonts w:ascii="仿宋" w:eastAsia="仿宋" w:hAnsi="仿宋" w:cs="仿宋"/>
                <w:sz w:val="24"/>
              </w:rPr>
            </w:pPr>
            <w:r>
              <w:rPr>
                <w:rFonts w:ascii="仿宋" w:eastAsia="仿宋" w:hAnsi="仿宋" w:cs="仿宋" w:hint="eastAsia"/>
                <w:color w:val="000000"/>
                <w:kern w:val="1"/>
                <w:sz w:val="24"/>
              </w:rPr>
              <w:t>（四）</w:t>
            </w:r>
            <w:r>
              <w:rPr>
                <w:rFonts w:ascii="仿宋" w:eastAsia="仿宋" w:hAnsi="仿宋" w:cs="仿宋" w:hint="eastAsia"/>
                <w:sz w:val="24"/>
              </w:rPr>
              <w:t>《企业法人营业执照》副本及复印件1份（</w:t>
            </w:r>
            <w:r>
              <w:rPr>
                <w:rFonts w:ascii="仿宋" w:eastAsia="仿宋" w:hAnsi="仿宋" w:cs="仿宋" w:hint="eastAsia"/>
                <w:sz w:val="24"/>
                <w:lang w:val="zh-CN"/>
              </w:rPr>
              <w:t>注明与原件一致，并加盖公章</w:t>
            </w:r>
            <w:r>
              <w:rPr>
                <w:rFonts w:ascii="仿宋" w:eastAsia="仿宋" w:hAnsi="仿宋" w:cs="仿宋" w:hint="eastAsia"/>
                <w:sz w:val="24"/>
              </w:rPr>
              <w:t>）。</w:t>
            </w:r>
          </w:p>
        </w:tc>
        <w:tc>
          <w:tcPr>
            <w:tcW w:w="1288" w:type="dxa"/>
            <w:vMerge/>
            <w:vAlign w:val="center"/>
          </w:tcPr>
          <w:p w:rsidR="00013EC7" w:rsidRDefault="00013EC7">
            <w:pPr>
              <w:rPr>
                <w:rFonts w:ascii="仿宋" w:eastAsia="仿宋" w:hAnsi="仿宋" w:cs="仿宋"/>
                <w:sz w:val="24"/>
              </w:rPr>
            </w:pPr>
          </w:p>
        </w:tc>
        <w:tc>
          <w:tcPr>
            <w:tcW w:w="2837" w:type="dxa"/>
            <w:vAlign w:val="center"/>
          </w:tcPr>
          <w:p w:rsidR="00013EC7" w:rsidRDefault="00575CDB">
            <w:pPr>
              <w:rPr>
                <w:rFonts w:ascii="仿宋" w:eastAsia="仿宋" w:hAnsi="仿宋" w:cs="仿宋"/>
                <w:sz w:val="24"/>
              </w:rPr>
            </w:pPr>
            <w:r>
              <w:rPr>
                <w:rFonts w:ascii="仿宋" w:eastAsia="仿宋" w:hAnsi="仿宋" w:cs="仿宋" w:hint="eastAsia"/>
                <w:color w:val="000000"/>
                <w:kern w:val="1"/>
                <w:sz w:val="24"/>
              </w:rPr>
              <w:t>（四）</w:t>
            </w:r>
            <w:r>
              <w:rPr>
                <w:rFonts w:ascii="仿宋" w:eastAsia="仿宋" w:hAnsi="仿宋" w:cs="仿宋" w:hint="eastAsia"/>
                <w:sz w:val="24"/>
              </w:rPr>
              <w:t>《企业法人营业执照》副本。</w:t>
            </w:r>
          </w:p>
        </w:tc>
        <w:tc>
          <w:tcPr>
            <w:tcW w:w="1326" w:type="dxa"/>
            <w:vAlign w:val="center"/>
          </w:tcPr>
          <w:p w:rsidR="00013EC7" w:rsidRDefault="00575CDB">
            <w:pPr>
              <w:rPr>
                <w:rFonts w:ascii="仿宋" w:eastAsia="仿宋" w:hAnsi="仿宋" w:cs="仿宋"/>
                <w:sz w:val="24"/>
              </w:rPr>
            </w:pPr>
            <w:r>
              <w:rPr>
                <w:rFonts w:ascii="仿宋" w:eastAsia="仿宋" w:hAnsi="仿宋" w:cs="仿宋" w:hint="eastAsia"/>
                <w:b/>
                <w:bCs/>
                <w:i/>
                <w:iCs/>
                <w:sz w:val="24"/>
              </w:rPr>
              <w:t>经办机构自行获取</w:t>
            </w:r>
          </w:p>
        </w:tc>
        <w:tc>
          <w:tcPr>
            <w:tcW w:w="2861" w:type="dxa"/>
            <w:vAlign w:val="center"/>
          </w:tcPr>
          <w:p w:rsidR="00013EC7" w:rsidRDefault="00575CDB">
            <w:pPr>
              <w:rPr>
                <w:rFonts w:ascii="仿宋" w:eastAsia="仿宋" w:hAnsi="仿宋" w:cs="仿宋"/>
                <w:kern w:val="1"/>
                <w:sz w:val="24"/>
              </w:rPr>
            </w:pPr>
            <w:r>
              <w:rPr>
                <w:rFonts w:ascii="仿宋" w:eastAsia="仿宋" w:hAnsi="仿宋" w:cs="仿宋" w:hint="eastAsia"/>
                <w:b/>
                <w:bCs/>
                <w:sz w:val="24"/>
              </w:rPr>
              <w:t>外部共享：</w:t>
            </w:r>
            <w:r>
              <w:rPr>
                <w:rFonts w:ascii="仿宋" w:eastAsia="仿宋" w:hAnsi="仿宋" w:cs="仿宋" w:hint="eastAsia"/>
                <w:sz w:val="24"/>
              </w:rPr>
              <w:t>由省工商局提供共享。</w:t>
            </w:r>
          </w:p>
        </w:tc>
        <w:tc>
          <w:tcPr>
            <w:tcW w:w="855"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25"/>
          <w:jc w:val="center"/>
        </w:trPr>
        <w:tc>
          <w:tcPr>
            <w:tcW w:w="672" w:type="dxa"/>
            <w:vMerge/>
            <w:vAlign w:val="center"/>
          </w:tcPr>
          <w:p w:rsidR="00013EC7" w:rsidRDefault="00013EC7">
            <w:pPr>
              <w:rPr>
                <w:rFonts w:ascii="仿宋" w:eastAsia="仿宋" w:hAnsi="仿宋" w:cs="仿宋"/>
                <w:kern w:val="1"/>
                <w:sz w:val="24"/>
              </w:rPr>
            </w:pPr>
          </w:p>
        </w:tc>
        <w:tc>
          <w:tcPr>
            <w:tcW w:w="1035" w:type="dxa"/>
            <w:vMerge/>
            <w:vAlign w:val="center"/>
          </w:tcPr>
          <w:p w:rsidR="00013EC7" w:rsidRDefault="00013EC7">
            <w:pPr>
              <w:rPr>
                <w:rFonts w:ascii="仿宋" w:eastAsia="仿宋" w:hAnsi="仿宋" w:cs="仿宋"/>
                <w:kern w:val="1"/>
                <w:sz w:val="24"/>
              </w:rPr>
            </w:pPr>
          </w:p>
        </w:tc>
        <w:tc>
          <w:tcPr>
            <w:tcW w:w="2622" w:type="dxa"/>
            <w:vMerge/>
            <w:vAlign w:val="center"/>
          </w:tcPr>
          <w:p w:rsidR="00013EC7" w:rsidRDefault="00013EC7">
            <w:pPr>
              <w:rPr>
                <w:rFonts w:ascii="仿宋" w:eastAsia="仿宋" w:hAnsi="仿宋" w:cs="仿宋"/>
                <w:kern w:val="1"/>
                <w:sz w:val="24"/>
              </w:rPr>
            </w:pPr>
          </w:p>
        </w:tc>
        <w:tc>
          <w:tcPr>
            <w:tcW w:w="2760" w:type="dxa"/>
            <w:vAlign w:val="center"/>
          </w:tcPr>
          <w:p w:rsidR="00013EC7" w:rsidRDefault="00575CDB">
            <w:pPr>
              <w:rPr>
                <w:rFonts w:ascii="仿宋" w:eastAsia="仿宋" w:hAnsi="仿宋" w:cs="仿宋"/>
                <w:sz w:val="24"/>
              </w:rPr>
            </w:pPr>
            <w:r>
              <w:rPr>
                <w:rFonts w:ascii="仿宋" w:eastAsia="仿宋" w:hAnsi="仿宋" w:cs="仿宋" w:hint="eastAsia"/>
                <w:kern w:val="1"/>
                <w:sz w:val="24"/>
              </w:rPr>
              <w:t>（二十三）</w:t>
            </w:r>
            <w:r>
              <w:rPr>
                <w:rFonts w:ascii="仿宋" w:eastAsia="仿宋" w:hAnsi="仿宋" w:cs="仿宋" w:hint="eastAsia"/>
                <w:sz w:val="24"/>
              </w:rPr>
              <w:t>从事融资租赁业务的资质证明原件及复印件1份（</w:t>
            </w:r>
            <w:r>
              <w:rPr>
                <w:rFonts w:ascii="仿宋" w:eastAsia="仿宋" w:hAnsi="仿宋" w:cs="仿宋" w:hint="eastAsia"/>
                <w:sz w:val="24"/>
                <w:lang w:val="zh-CN"/>
              </w:rPr>
              <w:t>注明与原件一致，并加盖公章</w:t>
            </w:r>
            <w:r>
              <w:rPr>
                <w:rFonts w:ascii="仿宋" w:eastAsia="仿宋" w:hAnsi="仿宋" w:cs="仿宋" w:hint="eastAsia"/>
                <w:sz w:val="24"/>
              </w:rPr>
              <w:t>）。</w:t>
            </w:r>
          </w:p>
        </w:tc>
        <w:tc>
          <w:tcPr>
            <w:tcW w:w="1288" w:type="dxa"/>
            <w:vMerge w:val="restart"/>
            <w:vAlign w:val="center"/>
          </w:tcPr>
          <w:p w:rsidR="00013EC7" w:rsidRDefault="00575CDB">
            <w:pPr>
              <w:rPr>
                <w:rFonts w:ascii="仿宋" w:eastAsia="仿宋" w:hAnsi="仿宋" w:cs="仿宋"/>
                <w:sz w:val="24"/>
              </w:rPr>
            </w:pPr>
            <w:r>
              <w:rPr>
                <w:rFonts w:ascii="仿宋" w:eastAsia="仿宋" w:hAnsi="仿宋" w:cs="仿宋" w:hint="eastAsia"/>
                <w:sz w:val="24"/>
              </w:rPr>
              <w:t>属享受出口退税政策的融资租赁企业纳税人提供</w:t>
            </w:r>
          </w:p>
        </w:tc>
        <w:tc>
          <w:tcPr>
            <w:tcW w:w="2837" w:type="dxa"/>
            <w:vAlign w:val="center"/>
          </w:tcPr>
          <w:p w:rsidR="00013EC7" w:rsidRDefault="00575CDB">
            <w:pPr>
              <w:rPr>
                <w:rFonts w:ascii="仿宋" w:eastAsia="仿宋" w:hAnsi="仿宋" w:cs="仿宋"/>
                <w:sz w:val="24"/>
              </w:rPr>
            </w:pPr>
            <w:r>
              <w:rPr>
                <w:rFonts w:ascii="仿宋" w:eastAsia="仿宋" w:hAnsi="仿宋" w:cs="仿宋" w:hint="eastAsia"/>
                <w:kern w:val="1"/>
                <w:sz w:val="24"/>
              </w:rPr>
              <w:t>（二十一）</w:t>
            </w:r>
            <w:r>
              <w:rPr>
                <w:rFonts w:ascii="仿宋" w:eastAsia="仿宋" w:hAnsi="仿宋" w:cs="仿宋" w:hint="eastAsia"/>
                <w:sz w:val="24"/>
              </w:rPr>
              <w:t>从事融资租赁业务的资质证明原件及复印件1份（</w:t>
            </w:r>
            <w:r>
              <w:rPr>
                <w:rFonts w:ascii="仿宋" w:eastAsia="仿宋" w:hAnsi="仿宋" w:cs="仿宋" w:hint="eastAsia"/>
                <w:sz w:val="24"/>
                <w:lang w:val="zh-CN"/>
              </w:rPr>
              <w:t>注明与原件一致，并加盖公章</w:t>
            </w:r>
            <w:r>
              <w:rPr>
                <w:rFonts w:ascii="仿宋" w:eastAsia="仿宋" w:hAnsi="仿宋" w:cs="仿宋" w:hint="eastAsia"/>
                <w:sz w:val="24"/>
              </w:rPr>
              <w:t>）。</w:t>
            </w:r>
          </w:p>
        </w:tc>
        <w:tc>
          <w:tcPr>
            <w:tcW w:w="1326" w:type="dxa"/>
            <w:vMerge w:val="restart"/>
            <w:vAlign w:val="center"/>
          </w:tcPr>
          <w:p w:rsidR="00013EC7" w:rsidRDefault="00575CDB">
            <w:pPr>
              <w:rPr>
                <w:rFonts w:ascii="仿宋" w:eastAsia="仿宋" w:hAnsi="仿宋" w:cs="仿宋"/>
                <w:sz w:val="24"/>
              </w:rPr>
            </w:pPr>
            <w:r>
              <w:rPr>
                <w:rFonts w:ascii="仿宋" w:eastAsia="仿宋" w:hAnsi="仿宋" w:cs="仿宋" w:hint="eastAsia"/>
                <w:sz w:val="24"/>
              </w:rPr>
              <w:t>属享受出口退税政策的融资租赁企业纳税人提供</w:t>
            </w:r>
          </w:p>
        </w:tc>
        <w:tc>
          <w:tcPr>
            <w:tcW w:w="2861"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纳税人提交书面材料。</w:t>
            </w:r>
          </w:p>
          <w:p w:rsidR="00013EC7" w:rsidRDefault="00013EC7">
            <w:pPr>
              <w:rPr>
                <w:rFonts w:ascii="仿宋" w:eastAsia="仿宋" w:hAnsi="仿宋" w:cs="仿宋"/>
                <w:kern w:val="1"/>
                <w:sz w:val="24"/>
              </w:rPr>
            </w:pPr>
          </w:p>
        </w:tc>
        <w:tc>
          <w:tcPr>
            <w:tcW w:w="855"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25"/>
          <w:jc w:val="center"/>
        </w:trPr>
        <w:tc>
          <w:tcPr>
            <w:tcW w:w="672" w:type="dxa"/>
            <w:vMerge/>
            <w:vAlign w:val="center"/>
          </w:tcPr>
          <w:p w:rsidR="00013EC7" w:rsidRDefault="00013EC7">
            <w:pPr>
              <w:rPr>
                <w:rFonts w:ascii="仿宋" w:eastAsia="仿宋" w:hAnsi="仿宋" w:cs="仿宋"/>
                <w:kern w:val="1"/>
                <w:sz w:val="24"/>
              </w:rPr>
            </w:pPr>
          </w:p>
        </w:tc>
        <w:tc>
          <w:tcPr>
            <w:tcW w:w="1035" w:type="dxa"/>
            <w:vMerge/>
            <w:vAlign w:val="center"/>
          </w:tcPr>
          <w:p w:rsidR="00013EC7" w:rsidRDefault="00013EC7">
            <w:pPr>
              <w:rPr>
                <w:rFonts w:ascii="仿宋" w:eastAsia="仿宋" w:hAnsi="仿宋" w:cs="仿宋"/>
                <w:kern w:val="1"/>
                <w:sz w:val="24"/>
              </w:rPr>
            </w:pPr>
          </w:p>
        </w:tc>
        <w:tc>
          <w:tcPr>
            <w:tcW w:w="2622" w:type="dxa"/>
            <w:vMerge/>
            <w:vAlign w:val="center"/>
          </w:tcPr>
          <w:p w:rsidR="00013EC7" w:rsidRDefault="00013EC7">
            <w:pPr>
              <w:rPr>
                <w:rFonts w:ascii="仿宋" w:eastAsia="仿宋" w:hAnsi="仿宋" w:cs="仿宋"/>
                <w:kern w:val="1"/>
                <w:sz w:val="24"/>
              </w:rPr>
            </w:pPr>
          </w:p>
        </w:tc>
        <w:tc>
          <w:tcPr>
            <w:tcW w:w="2760" w:type="dxa"/>
            <w:vAlign w:val="center"/>
          </w:tcPr>
          <w:p w:rsidR="00013EC7" w:rsidRDefault="00575CDB">
            <w:pPr>
              <w:rPr>
                <w:rFonts w:ascii="仿宋" w:eastAsia="仿宋" w:hAnsi="仿宋" w:cs="仿宋"/>
                <w:sz w:val="24"/>
              </w:rPr>
            </w:pPr>
            <w:r>
              <w:rPr>
                <w:rFonts w:ascii="仿宋" w:eastAsia="仿宋" w:hAnsi="仿宋" w:cs="仿宋" w:hint="eastAsia"/>
                <w:kern w:val="1"/>
                <w:sz w:val="24"/>
              </w:rPr>
              <w:t>（二十四）</w:t>
            </w:r>
            <w:r>
              <w:rPr>
                <w:rFonts w:ascii="仿宋" w:eastAsia="仿宋" w:hAnsi="仿宋" w:cs="仿宋" w:hint="eastAsia"/>
                <w:sz w:val="24"/>
              </w:rPr>
              <w:t>融资租赁合同（有法律效力的中文版）原件及复印件1份（</w:t>
            </w:r>
            <w:r>
              <w:rPr>
                <w:rFonts w:ascii="仿宋" w:eastAsia="仿宋" w:hAnsi="仿宋" w:cs="仿宋" w:hint="eastAsia"/>
                <w:sz w:val="24"/>
                <w:lang w:val="zh-CN"/>
              </w:rPr>
              <w:t>注明</w:t>
            </w:r>
            <w:r>
              <w:rPr>
                <w:rFonts w:ascii="仿宋" w:eastAsia="仿宋" w:hAnsi="仿宋" w:cs="仿宋" w:hint="eastAsia"/>
                <w:sz w:val="24"/>
                <w:lang w:val="zh-CN"/>
              </w:rPr>
              <w:lastRenderedPageBreak/>
              <w:t>与原件一致，并加盖公章</w:t>
            </w:r>
            <w:r>
              <w:rPr>
                <w:rFonts w:ascii="仿宋" w:eastAsia="仿宋" w:hAnsi="仿宋" w:cs="仿宋" w:hint="eastAsia"/>
                <w:sz w:val="24"/>
              </w:rPr>
              <w:t>）。</w:t>
            </w:r>
          </w:p>
          <w:p w:rsidR="00013EC7" w:rsidRDefault="00013EC7">
            <w:pPr>
              <w:rPr>
                <w:rFonts w:ascii="仿宋" w:eastAsia="仿宋" w:hAnsi="仿宋" w:cs="仿宋"/>
                <w:sz w:val="24"/>
              </w:rPr>
            </w:pPr>
          </w:p>
        </w:tc>
        <w:tc>
          <w:tcPr>
            <w:tcW w:w="1288" w:type="dxa"/>
            <w:vMerge/>
            <w:vAlign w:val="center"/>
          </w:tcPr>
          <w:p w:rsidR="00013EC7" w:rsidRDefault="00013EC7">
            <w:pPr>
              <w:rPr>
                <w:rFonts w:ascii="仿宋" w:eastAsia="仿宋" w:hAnsi="仿宋" w:cs="仿宋"/>
                <w:sz w:val="24"/>
              </w:rPr>
            </w:pPr>
          </w:p>
        </w:tc>
        <w:tc>
          <w:tcPr>
            <w:tcW w:w="2837" w:type="dxa"/>
            <w:vAlign w:val="center"/>
          </w:tcPr>
          <w:p w:rsidR="00013EC7" w:rsidRDefault="00575CDB">
            <w:pPr>
              <w:rPr>
                <w:rFonts w:ascii="仿宋" w:eastAsia="仿宋" w:hAnsi="仿宋" w:cs="仿宋"/>
                <w:sz w:val="24"/>
              </w:rPr>
            </w:pPr>
            <w:r>
              <w:rPr>
                <w:rFonts w:ascii="仿宋" w:eastAsia="仿宋" w:hAnsi="仿宋" w:cs="仿宋" w:hint="eastAsia"/>
                <w:kern w:val="1"/>
                <w:sz w:val="24"/>
              </w:rPr>
              <w:t>（二十二）</w:t>
            </w:r>
            <w:r>
              <w:rPr>
                <w:rFonts w:ascii="仿宋" w:eastAsia="仿宋" w:hAnsi="仿宋" w:cs="仿宋" w:hint="eastAsia"/>
                <w:sz w:val="24"/>
              </w:rPr>
              <w:t>融资租赁合同（有法律效力的中文版）原件及复印件1份（</w:t>
            </w:r>
            <w:r>
              <w:rPr>
                <w:rFonts w:ascii="仿宋" w:eastAsia="仿宋" w:hAnsi="仿宋" w:cs="仿宋" w:hint="eastAsia"/>
                <w:sz w:val="24"/>
                <w:lang w:val="zh-CN"/>
              </w:rPr>
              <w:t>注明</w:t>
            </w:r>
            <w:r>
              <w:rPr>
                <w:rFonts w:ascii="仿宋" w:eastAsia="仿宋" w:hAnsi="仿宋" w:cs="仿宋" w:hint="eastAsia"/>
                <w:sz w:val="24"/>
                <w:lang w:val="zh-CN"/>
              </w:rPr>
              <w:lastRenderedPageBreak/>
              <w:t>与原件一致，并加盖公章</w:t>
            </w:r>
            <w:r>
              <w:rPr>
                <w:rFonts w:ascii="仿宋" w:eastAsia="仿宋" w:hAnsi="仿宋" w:cs="仿宋" w:hint="eastAsia"/>
                <w:sz w:val="24"/>
              </w:rPr>
              <w:t>）。</w:t>
            </w:r>
          </w:p>
          <w:p w:rsidR="00013EC7" w:rsidRDefault="00013EC7">
            <w:pPr>
              <w:rPr>
                <w:rFonts w:ascii="仿宋" w:eastAsia="仿宋" w:hAnsi="仿宋" w:cs="仿宋"/>
                <w:sz w:val="24"/>
              </w:rPr>
            </w:pPr>
          </w:p>
        </w:tc>
        <w:tc>
          <w:tcPr>
            <w:tcW w:w="1326" w:type="dxa"/>
            <w:vMerge/>
            <w:vAlign w:val="center"/>
          </w:tcPr>
          <w:p w:rsidR="00013EC7" w:rsidRDefault="00013EC7">
            <w:pPr>
              <w:rPr>
                <w:rFonts w:ascii="仿宋" w:eastAsia="仿宋" w:hAnsi="仿宋" w:cs="仿宋"/>
                <w:sz w:val="24"/>
              </w:rPr>
            </w:pPr>
          </w:p>
        </w:tc>
        <w:tc>
          <w:tcPr>
            <w:tcW w:w="2861" w:type="dxa"/>
            <w:vAlign w:val="center"/>
          </w:tcPr>
          <w:p w:rsidR="00013EC7" w:rsidRDefault="00575CDB">
            <w:pPr>
              <w:spacing w:line="300" w:lineRule="exact"/>
              <w:rPr>
                <w:rFonts w:ascii="仿宋" w:eastAsia="仿宋" w:hAnsi="仿宋" w:cs="仿宋"/>
                <w:kern w:val="1"/>
                <w:sz w:val="24"/>
              </w:rPr>
            </w:pPr>
            <w:r>
              <w:rPr>
                <w:rFonts w:ascii="仿宋" w:eastAsia="仿宋" w:hAnsi="仿宋" w:cs="仿宋" w:hint="eastAsia"/>
                <w:b/>
                <w:sz w:val="24"/>
              </w:rPr>
              <w:t>现场办理：</w:t>
            </w:r>
            <w:r>
              <w:rPr>
                <w:rFonts w:ascii="仿宋" w:eastAsia="仿宋" w:hAnsi="仿宋" w:cs="仿宋" w:hint="eastAsia"/>
                <w:sz w:val="24"/>
              </w:rPr>
              <w:t>纳税人提交书面材料。</w:t>
            </w:r>
          </w:p>
        </w:tc>
        <w:tc>
          <w:tcPr>
            <w:tcW w:w="855"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25"/>
          <w:jc w:val="center"/>
        </w:trPr>
        <w:tc>
          <w:tcPr>
            <w:tcW w:w="672" w:type="dxa"/>
            <w:vMerge/>
            <w:vAlign w:val="center"/>
          </w:tcPr>
          <w:p w:rsidR="00013EC7" w:rsidRDefault="00013EC7">
            <w:pPr>
              <w:rPr>
                <w:rFonts w:ascii="仿宋" w:eastAsia="仿宋" w:hAnsi="仿宋" w:cs="仿宋"/>
                <w:kern w:val="1"/>
                <w:sz w:val="24"/>
              </w:rPr>
            </w:pPr>
          </w:p>
        </w:tc>
        <w:tc>
          <w:tcPr>
            <w:tcW w:w="1035" w:type="dxa"/>
            <w:vMerge/>
            <w:vAlign w:val="center"/>
          </w:tcPr>
          <w:p w:rsidR="00013EC7" w:rsidRDefault="00013EC7">
            <w:pPr>
              <w:rPr>
                <w:rFonts w:ascii="仿宋" w:eastAsia="仿宋" w:hAnsi="仿宋" w:cs="仿宋"/>
                <w:kern w:val="1"/>
                <w:sz w:val="24"/>
              </w:rPr>
            </w:pPr>
          </w:p>
        </w:tc>
        <w:tc>
          <w:tcPr>
            <w:tcW w:w="2622" w:type="dxa"/>
            <w:vMerge/>
            <w:vAlign w:val="center"/>
          </w:tcPr>
          <w:p w:rsidR="00013EC7" w:rsidRDefault="00013EC7">
            <w:pPr>
              <w:rPr>
                <w:rFonts w:ascii="仿宋" w:eastAsia="仿宋" w:hAnsi="仿宋" w:cs="仿宋"/>
                <w:kern w:val="1"/>
                <w:sz w:val="24"/>
              </w:rPr>
            </w:pPr>
          </w:p>
        </w:tc>
        <w:tc>
          <w:tcPr>
            <w:tcW w:w="2760" w:type="dxa"/>
            <w:vAlign w:val="center"/>
          </w:tcPr>
          <w:p w:rsidR="00013EC7" w:rsidRDefault="00575CDB">
            <w:pPr>
              <w:rPr>
                <w:rFonts w:ascii="仿宋" w:eastAsia="仿宋" w:hAnsi="仿宋" w:cs="仿宋"/>
                <w:sz w:val="24"/>
              </w:rPr>
            </w:pPr>
            <w:r>
              <w:rPr>
                <w:rFonts w:ascii="仿宋" w:eastAsia="仿宋" w:hAnsi="仿宋" w:cs="仿宋" w:hint="eastAsia"/>
                <w:kern w:val="1"/>
                <w:sz w:val="24"/>
              </w:rPr>
              <w:t>（二十五）</w:t>
            </w:r>
            <w:r>
              <w:rPr>
                <w:rFonts w:ascii="仿宋" w:eastAsia="仿宋" w:hAnsi="仿宋" w:cs="仿宋" w:hint="eastAsia"/>
                <w:sz w:val="24"/>
              </w:rPr>
              <w:t>符合商务部等部门规定的综服企业定义的证明材料。</w:t>
            </w:r>
          </w:p>
          <w:p w:rsidR="00013EC7" w:rsidRDefault="00013EC7">
            <w:pPr>
              <w:rPr>
                <w:rFonts w:ascii="仿宋" w:eastAsia="仿宋" w:hAnsi="仿宋" w:cs="仿宋"/>
                <w:sz w:val="24"/>
              </w:rPr>
            </w:pPr>
          </w:p>
        </w:tc>
        <w:tc>
          <w:tcPr>
            <w:tcW w:w="1288" w:type="dxa"/>
            <w:vMerge w:val="restart"/>
            <w:vAlign w:val="center"/>
          </w:tcPr>
          <w:p w:rsidR="00013EC7" w:rsidRDefault="00575CDB">
            <w:pPr>
              <w:rPr>
                <w:rFonts w:ascii="仿宋" w:eastAsia="仿宋" w:hAnsi="仿宋" w:cs="仿宋"/>
                <w:sz w:val="24"/>
              </w:rPr>
            </w:pPr>
            <w:r>
              <w:rPr>
                <w:rFonts w:ascii="仿宋" w:eastAsia="仿宋" w:hAnsi="仿宋" w:cs="仿宋" w:hint="eastAsia"/>
                <w:sz w:val="24"/>
              </w:rPr>
              <w:t>办理外贸综合服务企业出口退（免）税备案的企业纳税人提供</w:t>
            </w:r>
          </w:p>
        </w:tc>
        <w:tc>
          <w:tcPr>
            <w:tcW w:w="2837" w:type="dxa"/>
            <w:vAlign w:val="center"/>
          </w:tcPr>
          <w:p w:rsidR="00013EC7" w:rsidRDefault="00575CDB">
            <w:pPr>
              <w:rPr>
                <w:rFonts w:ascii="仿宋" w:eastAsia="仿宋" w:hAnsi="仿宋" w:cs="仿宋"/>
                <w:sz w:val="24"/>
              </w:rPr>
            </w:pPr>
            <w:r>
              <w:rPr>
                <w:rFonts w:ascii="仿宋" w:eastAsia="仿宋" w:hAnsi="仿宋" w:cs="仿宋" w:hint="eastAsia"/>
                <w:kern w:val="1"/>
                <w:sz w:val="24"/>
              </w:rPr>
              <w:t>（二十三）</w:t>
            </w:r>
            <w:r>
              <w:rPr>
                <w:rFonts w:ascii="仿宋" w:eastAsia="仿宋" w:hAnsi="仿宋" w:cs="仿宋" w:hint="eastAsia"/>
                <w:sz w:val="24"/>
              </w:rPr>
              <w:t>符合商务部等部门规定的综服企业定义的证明材料。</w:t>
            </w:r>
          </w:p>
          <w:p w:rsidR="00013EC7" w:rsidRDefault="00013EC7">
            <w:pPr>
              <w:rPr>
                <w:rFonts w:ascii="仿宋" w:eastAsia="仿宋" w:hAnsi="仿宋" w:cs="仿宋"/>
                <w:sz w:val="24"/>
              </w:rPr>
            </w:pPr>
          </w:p>
        </w:tc>
        <w:tc>
          <w:tcPr>
            <w:tcW w:w="1326" w:type="dxa"/>
            <w:vMerge w:val="restart"/>
            <w:vAlign w:val="center"/>
          </w:tcPr>
          <w:p w:rsidR="00013EC7" w:rsidRDefault="00575CDB">
            <w:pPr>
              <w:rPr>
                <w:rFonts w:ascii="仿宋" w:eastAsia="仿宋" w:hAnsi="仿宋" w:cs="仿宋"/>
                <w:sz w:val="24"/>
              </w:rPr>
            </w:pPr>
            <w:r>
              <w:rPr>
                <w:rFonts w:ascii="仿宋" w:eastAsia="仿宋" w:hAnsi="仿宋" w:cs="仿宋" w:hint="eastAsia"/>
                <w:sz w:val="24"/>
              </w:rPr>
              <w:t>办理外贸综合服务企业出口退（免）税备案的企业纳税人提供</w:t>
            </w:r>
          </w:p>
        </w:tc>
        <w:tc>
          <w:tcPr>
            <w:tcW w:w="2861" w:type="dxa"/>
            <w:vAlign w:val="center"/>
          </w:tcPr>
          <w:p w:rsidR="00013EC7" w:rsidRDefault="00575CDB">
            <w:pPr>
              <w:rPr>
                <w:rFonts w:ascii="仿宋" w:eastAsia="仿宋" w:hAnsi="仿宋" w:cs="仿宋"/>
                <w:kern w:val="1"/>
                <w:sz w:val="24"/>
              </w:rPr>
            </w:pPr>
            <w:r>
              <w:rPr>
                <w:rFonts w:ascii="仿宋" w:eastAsia="仿宋" w:hAnsi="仿宋" w:cs="仿宋" w:hint="eastAsia"/>
                <w:b/>
                <w:sz w:val="24"/>
              </w:rPr>
              <w:t>现场办理：</w:t>
            </w:r>
            <w:r>
              <w:rPr>
                <w:rFonts w:ascii="仿宋" w:eastAsia="仿宋" w:hAnsi="仿宋" w:cs="仿宋" w:hint="eastAsia"/>
                <w:sz w:val="24"/>
              </w:rPr>
              <w:t>纳税人提交书面材料。</w:t>
            </w:r>
          </w:p>
        </w:tc>
        <w:tc>
          <w:tcPr>
            <w:tcW w:w="855"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25"/>
          <w:jc w:val="center"/>
        </w:trPr>
        <w:tc>
          <w:tcPr>
            <w:tcW w:w="672" w:type="dxa"/>
            <w:vMerge/>
            <w:vAlign w:val="center"/>
          </w:tcPr>
          <w:p w:rsidR="00013EC7" w:rsidRDefault="00013EC7"/>
        </w:tc>
        <w:tc>
          <w:tcPr>
            <w:tcW w:w="1035" w:type="dxa"/>
            <w:vMerge/>
            <w:vAlign w:val="center"/>
          </w:tcPr>
          <w:p w:rsidR="00013EC7" w:rsidRDefault="00013EC7"/>
        </w:tc>
        <w:tc>
          <w:tcPr>
            <w:tcW w:w="2622" w:type="dxa"/>
            <w:vMerge/>
            <w:vAlign w:val="center"/>
          </w:tcPr>
          <w:p w:rsidR="00013EC7" w:rsidRDefault="00013EC7"/>
        </w:tc>
        <w:tc>
          <w:tcPr>
            <w:tcW w:w="2760" w:type="dxa"/>
            <w:vAlign w:val="center"/>
          </w:tcPr>
          <w:p w:rsidR="00013EC7" w:rsidRDefault="00575CDB">
            <w:pPr>
              <w:rPr>
                <w:rFonts w:ascii="仿宋" w:eastAsia="仿宋" w:hAnsi="仿宋" w:cs="仿宋"/>
                <w:sz w:val="24"/>
              </w:rPr>
            </w:pPr>
            <w:r>
              <w:rPr>
                <w:rFonts w:ascii="仿宋" w:eastAsia="仿宋" w:hAnsi="仿宋" w:cs="仿宋" w:hint="eastAsia"/>
                <w:kern w:val="1"/>
                <w:sz w:val="24"/>
              </w:rPr>
              <w:t>（二十六）</w:t>
            </w:r>
            <w:r>
              <w:rPr>
                <w:rFonts w:ascii="仿宋" w:eastAsia="仿宋" w:hAnsi="仿宋" w:cs="仿宋" w:hint="eastAsia"/>
                <w:sz w:val="24"/>
              </w:rPr>
              <w:t>企业内部已建立较为完善的代办退税内部风险管控制度证明材料。</w:t>
            </w:r>
          </w:p>
          <w:p w:rsidR="00013EC7" w:rsidRDefault="00013EC7">
            <w:pPr>
              <w:rPr>
                <w:rFonts w:ascii="仿宋" w:eastAsia="仿宋" w:hAnsi="仿宋" w:cs="仿宋"/>
                <w:sz w:val="24"/>
              </w:rPr>
            </w:pPr>
          </w:p>
        </w:tc>
        <w:tc>
          <w:tcPr>
            <w:tcW w:w="1288" w:type="dxa"/>
            <w:vMerge/>
            <w:vAlign w:val="center"/>
          </w:tcPr>
          <w:p w:rsidR="00013EC7" w:rsidRDefault="00013EC7">
            <w:pPr>
              <w:rPr>
                <w:rFonts w:ascii="仿宋" w:eastAsia="仿宋" w:hAnsi="仿宋" w:cs="仿宋"/>
                <w:sz w:val="24"/>
              </w:rPr>
            </w:pPr>
          </w:p>
        </w:tc>
        <w:tc>
          <w:tcPr>
            <w:tcW w:w="2837" w:type="dxa"/>
            <w:vAlign w:val="center"/>
          </w:tcPr>
          <w:p w:rsidR="00013EC7" w:rsidRDefault="00575CDB">
            <w:pPr>
              <w:rPr>
                <w:rFonts w:ascii="仿宋" w:eastAsia="仿宋" w:hAnsi="仿宋" w:cs="仿宋"/>
                <w:sz w:val="24"/>
              </w:rPr>
            </w:pPr>
            <w:r>
              <w:rPr>
                <w:rFonts w:ascii="仿宋" w:eastAsia="仿宋" w:hAnsi="仿宋" w:cs="仿宋" w:hint="eastAsia"/>
                <w:kern w:val="1"/>
                <w:sz w:val="24"/>
              </w:rPr>
              <w:t>（二十四）</w:t>
            </w:r>
            <w:r>
              <w:rPr>
                <w:rFonts w:ascii="仿宋" w:eastAsia="仿宋" w:hAnsi="仿宋" w:cs="仿宋" w:hint="eastAsia"/>
                <w:sz w:val="24"/>
              </w:rPr>
              <w:t>企业内部已建立较为完善的代办退税内部风险管控制度证明材料。</w:t>
            </w:r>
          </w:p>
          <w:p w:rsidR="00013EC7" w:rsidRDefault="00013EC7">
            <w:pPr>
              <w:rPr>
                <w:rFonts w:ascii="仿宋" w:eastAsia="仿宋" w:hAnsi="仿宋" w:cs="仿宋"/>
                <w:sz w:val="24"/>
              </w:rPr>
            </w:pPr>
          </w:p>
        </w:tc>
        <w:tc>
          <w:tcPr>
            <w:tcW w:w="1326" w:type="dxa"/>
            <w:vMerge/>
            <w:vAlign w:val="center"/>
          </w:tcPr>
          <w:p w:rsidR="00013EC7" w:rsidRDefault="00013EC7">
            <w:pPr>
              <w:rPr>
                <w:rFonts w:ascii="仿宋" w:eastAsia="仿宋" w:hAnsi="仿宋" w:cs="仿宋"/>
                <w:sz w:val="24"/>
              </w:rPr>
            </w:pPr>
          </w:p>
        </w:tc>
        <w:tc>
          <w:tcPr>
            <w:tcW w:w="2861" w:type="dxa"/>
            <w:vAlign w:val="center"/>
          </w:tcPr>
          <w:p w:rsidR="00013EC7" w:rsidRDefault="00575CDB">
            <w:pPr>
              <w:rPr>
                <w:rFonts w:ascii="仿宋" w:eastAsia="仿宋" w:hAnsi="仿宋" w:cs="仿宋"/>
                <w:kern w:val="1"/>
                <w:sz w:val="24"/>
              </w:rPr>
            </w:pPr>
            <w:r>
              <w:rPr>
                <w:rFonts w:ascii="仿宋" w:eastAsia="仿宋" w:hAnsi="仿宋" w:cs="仿宋" w:hint="eastAsia"/>
                <w:b/>
                <w:sz w:val="24"/>
              </w:rPr>
              <w:t>现场办理：</w:t>
            </w:r>
            <w:r>
              <w:rPr>
                <w:rFonts w:ascii="仿宋" w:eastAsia="仿宋" w:hAnsi="仿宋" w:cs="仿宋" w:hint="eastAsia"/>
                <w:sz w:val="24"/>
              </w:rPr>
              <w:t>纳税人提交书面材料。</w:t>
            </w:r>
          </w:p>
        </w:tc>
        <w:tc>
          <w:tcPr>
            <w:tcW w:w="855"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25"/>
          <w:jc w:val="center"/>
        </w:trPr>
        <w:tc>
          <w:tcPr>
            <w:tcW w:w="672" w:type="dxa"/>
            <w:vMerge/>
            <w:vAlign w:val="center"/>
          </w:tcPr>
          <w:p w:rsidR="00013EC7" w:rsidRDefault="00013EC7">
            <w:pPr>
              <w:rPr>
                <w:rFonts w:ascii="仿宋" w:eastAsia="仿宋" w:hAnsi="仿宋" w:cs="仿宋"/>
                <w:kern w:val="1"/>
                <w:sz w:val="24"/>
              </w:rPr>
            </w:pPr>
          </w:p>
        </w:tc>
        <w:tc>
          <w:tcPr>
            <w:tcW w:w="1035" w:type="dxa"/>
            <w:vMerge/>
            <w:vAlign w:val="center"/>
          </w:tcPr>
          <w:p w:rsidR="00013EC7" w:rsidRDefault="00013EC7">
            <w:pPr>
              <w:rPr>
                <w:rFonts w:ascii="仿宋" w:eastAsia="仿宋" w:hAnsi="仿宋" w:cs="仿宋"/>
                <w:kern w:val="1"/>
                <w:sz w:val="24"/>
              </w:rPr>
            </w:pPr>
          </w:p>
        </w:tc>
        <w:tc>
          <w:tcPr>
            <w:tcW w:w="2622" w:type="dxa"/>
            <w:vMerge/>
            <w:vAlign w:val="center"/>
          </w:tcPr>
          <w:p w:rsidR="00013EC7" w:rsidRDefault="00013EC7">
            <w:pPr>
              <w:rPr>
                <w:rFonts w:ascii="仿宋" w:eastAsia="仿宋" w:hAnsi="仿宋" w:cs="仿宋"/>
                <w:kern w:val="1"/>
                <w:sz w:val="24"/>
              </w:rPr>
            </w:pPr>
          </w:p>
        </w:tc>
        <w:tc>
          <w:tcPr>
            <w:tcW w:w="2760" w:type="dxa"/>
            <w:vAlign w:val="center"/>
          </w:tcPr>
          <w:p w:rsidR="00013EC7" w:rsidRDefault="00575CDB">
            <w:pPr>
              <w:rPr>
                <w:rFonts w:ascii="仿宋" w:eastAsia="仿宋" w:hAnsi="仿宋" w:cs="仿宋"/>
                <w:sz w:val="24"/>
              </w:rPr>
            </w:pPr>
            <w:r>
              <w:rPr>
                <w:rFonts w:ascii="仿宋" w:eastAsia="仿宋" w:hAnsi="仿宋" w:cs="仿宋" w:hint="eastAsia"/>
                <w:kern w:val="1"/>
                <w:sz w:val="24"/>
              </w:rPr>
              <w:t>（二十七）</w:t>
            </w:r>
            <w:r>
              <w:rPr>
                <w:rFonts w:ascii="仿宋" w:eastAsia="仿宋" w:hAnsi="仿宋" w:cs="仿宋" w:hint="eastAsia"/>
                <w:sz w:val="24"/>
                <w:lang w:val="zh-CN"/>
              </w:rPr>
              <w:t>与生产企业签订的外贸综合服务合同（协议）</w:t>
            </w:r>
            <w:r>
              <w:rPr>
                <w:rFonts w:ascii="仿宋" w:eastAsia="仿宋" w:hAnsi="仿宋" w:cs="仿宋" w:hint="eastAsia"/>
                <w:sz w:val="24"/>
              </w:rPr>
              <w:t>。</w:t>
            </w:r>
          </w:p>
        </w:tc>
        <w:tc>
          <w:tcPr>
            <w:tcW w:w="1288" w:type="dxa"/>
            <w:vMerge w:val="restart"/>
            <w:vAlign w:val="center"/>
          </w:tcPr>
          <w:p w:rsidR="00013EC7" w:rsidRDefault="00575CDB">
            <w:pPr>
              <w:rPr>
                <w:rFonts w:ascii="仿宋" w:eastAsia="仿宋" w:hAnsi="仿宋" w:cs="仿宋"/>
                <w:sz w:val="24"/>
              </w:rPr>
            </w:pPr>
            <w:r>
              <w:rPr>
                <w:rFonts w:ascii="仿宋" w:eastAsia="仿宋" w:hAnsi="仿宋" w:cs="仿宋" w:hint="eastAsia"/>
                <w:sz w:val="24"/>
              </w:rPr>
              <w:t>办理外贸综合服务</w:t>
            </w:r>
            <w:r>
              <w:rPr>
                <w:rFonts w:ascii="仿宋" w:eastAsia="仿宋" w:hAnsi="仿宋" w:cs="仿宋" w:hint="eastAsia"/>
                <w:sz w:val="24"/>
                <w:lang w:val="zh-CN"/>
              </w:rPr>
              <w:t>企业办理代办退税备案的</w:t>
            </w:r>
            <w:r>
              <w:rPr>
                <w:rFonts w:ascii="仿宋" w:eastAsia="仿宋" w:hAnsi="仿宋" w:cs="仿宋" w:hint="eastAsia"/>
                <w:sz w:val="24"/>
              </w:rPr>
              <w:t>外贸综合服务企业纳税人提供</w:t>
            </w:r>
          </w:p>
        </w:tc>
        <w:tc>
          <w:tcPr>
            <w:tcW w:w="2837" w:type="dxa"/>
            <w:vAlign w:val="center"/>
          </w:tcPr>
          <w:p w:rsidR="00013EC7" w:rsidRDefault="00575CDB">
            <w:pPr>
              <w:rPr>
                <w:rFonts w:ascii="仿宋" w:eastAsia="仿宋" w:hAnsi="仿宋" w:cs="仿宋"/>
                <w:sz w:val="24"/>
              </w:rPr>
            </w:pPr>
            <w:r>
              <w:rPr>
                <w:rFonts w:ascii="仿宋" w:eastAsia="仿宋" w:hAnsi="仿宋" w:cs="仿宋" w:hint="eastAsia"/>
                <w:kern w:val="1"/>
                <w:sz w:val="24"/>
              </w:rPr>
              <w:t>（二十五）</w:t>
            </w:r>
            <w:r>
              <w:rPr>
                <w:rFonts w:ascii="仿宋" w:eastAsia="仿宋" w:hAnsi="仿宋" w:cs="仿宋" w:hint="eastAsia"/>
                <w:sz w:val="24"/>
                <w:lang w:val="zh-CN"/>
              </w:rPr>
              <w:t>与生产企业签订的外贸综合服务合同（协议）</w:t>
            </w:r>
            <w:r>
              <w:rPr>
                <w:rFonts w:ascii="仿宋" w:eastAsia="仿宋" w:hAnsi="仿宋" w:cs="仿宋" w:hint="eastAsia"/>
                <w:sz w:val="24"/>
              </w:rPr>
              <w:t>。</w:t>
            </w:r>
          </w:p>
        </w:tc>
        <w:tc>
          <w:tcPr>
            <w:tcW w:w="1326" w:type="dxa"/>
            <w:vMerge w:val="restart"/>
            <w:vAlign w:val="center"/>
          </w:tcPr>
          <w:p w:rsidR="00013EC7" w:rsidRDefault="00575CDB">
            <w:pPr>
              <w:rPr>
                <w:rFonts w:ascii="仿宋" w:eastAsia="仿宋" w:hAnsi="仿宋" w:cs="仿宋"/>
                <w:sz w:val="24"/>
              </w:rPr>
            </w:pPr>
            <w:r>
              <w:rPr>
                <w:rFonts w:ascii="仿宋" w:eastAsia="仿宋" w:hAnsi="仿宋" w:cs="仿宋" w:hint="eastAsia"/>
                <w:sz w:val="24"/>
              </w:rPr>
              <w:t>办理外贸综合服务</w:t>
            </w:r>
            <w:r>
              <w:rPr>
                <w:rFonts w:ascii="仿宋" w:eastAsia="仿宋" w:hAnsi="仿宋" w:cs="仿宋" w:hint="eastAsia"/>
                <w:sz w:val="24"/>
                <w:lang w:val="zh-CN"/>
              </w:rPr>
              <w:t>企业办理代办退税备案的</w:t>
            </w:r>
            <w:r>
              <w:rPr>
                <w:rFonts w:ascii="仿宋" w:eastAsia="仿宋" w:hAnsi="仿宋" w:cs="仿宋" w:hint="eastAsia"/>
                <w:sz w:val="24"/>
              </w:rPr>
              <w:t>外贸综合服务企业纳税人提供</w:t>
            </w:r>
          </w:p>
        </w:tc>
        <w:tc>
          <w:tcPr>
            <w:tcW w:w="2861" w:type="dxa"/>
            <w:vAlign w:val="center"/>
          </w:tcPr>
          <w:p w:rsidR="00013EC7" w:rsidRDefault="00575CDB">
            <w:pPr>
              <w:rPr>
                <w:rFonts w:ascii="仿宋" w:eastAsia="仿宋" w:hAnsi="仿宋" w:cs="仿宋"/>
                <w:kern w:val="1"/>
                <w:sz w:val="24"/>
              </w:rPr>
            </w:pPr>
            <w:r>
              <w:rPr>
                <w:rFonts w:ascii="仿宋" w:eastAsia="仿宋" w:hAnsi="仿宋" w:cs="仿宋" w:hint="eastAsia"/>
                <w:b/>
                <w:sz w:val="24"/>
              </w:rPr>
              <w:t>纳税人留存备查</w:t>
            </w:r>
          </w:p>
        </w:tc>
        <w:tc>
          <w:tcPr>
            <w:tcW w:w="855"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25"/>
          <w:jc w:val="center"/>
        </w:trPr>
        <w:tc>
          <w:tcPr>
            <w:tcW w:w="672" w:type="dxa"/>
            <w:vMerge/>
            <w:vAlign w:val="center"/>
          </w:tcPr>
          <w:p w:rsidR="00013EC7" w:rsidRDefault="00013EC7">
            <w:pPr>
              <w:rPr>
                <w:rFonts w:ascii="仿宋" w:eastAsia="仿宋" w:hAnsi="仿宋" w:cs="仿宋"/>
                <w:kern w:val="1"/>
                <w:sz w:val="24"/>
              </w:rPr>
            </w:pPr>
          </w:p>
        </w:tc>
        <w:tc>
          <w:tcPr>
            <w:tcW w:w="1035" w:type="dxa"/>
            <w:vMerge/>
            <w:vAlign w:val="center"/>
          </w:tcPr>
          <w:p w:rsidR="00013EC7" w:rsidRDefault="00013EC7">
            <w:pPr>
              <w:rPr>
                <w:rFonts w:ascii="仿宋" w:eastAsia="仿宋" w:hAnsi="仿宋" w:cs="仿宋"/>
                <w:kern w:val="1"/>
                <w:sz w:val="24"/>
              </w:rPr>
            </w:pPr>
          </w:p>
        </w:tc>
        <w:tc>
          <w:tcPr>
            <w:tcW w:w="2622" w:type="dxa"/>
            <w:vMerge/>
            <w:vAlign w:val="center"/>
          </w:tcPr>
          <w:p w:rsidR="00013EC7" w:rsidRDefault="00013EC7">
            <w:pPr>
              <w:rPr>
                <w:rFonts w:ascii="仿宋" w:eastAsia="仿宋" w:hAnsi="仿宋" w:cs="仿宋"/>
                <w:kern w:val="1"/>
                <w:sz w:val="24"/>
              </w:rPr>
            </w:pPr>
          </w:p>
        </w:tc>
        <w:tc>
          <w:tcPr>
            <w:tcW w:w="2760" w:type="dxa"/>
            <w:vAlign w:val="center"/>
          </w:tcPr>
          <w:p w:rsidR="00013EC7" w:rsidRDefault="00575CDB">
            <w:pPr>
              <w:rPr>
                <w:rFonts w:ascii="仿宋" w:eastAsia="仿宋" w:hAnsi="仿宋" w:cs="仿宋"/>
                <w:sz w:val="24"/>
              </w:rPr>
            </w:pPr>
            <w:r>
              <w:rPr>
                <w:rFonts w:ascii="仿宋" w:eastAsia="仿宋" w:hAnsi="仿宋" w:cs="仿宋" w:hint="eastAsia"/>
                <w:kern w:val="1"/>
                <w:sz w:val="24"/>
              </w:rPr>
              <w:t>（二十八）</w:t>
            </w:r>
            <w:r>
              <w:rPr>
                <w:rFonts w:ascii="仿宋" w:eastAsia="仿宋" w:hAnsi="仿宋" w:cs="仿宋" w:hint="eastAsia"/>
                <w:sz w:val="24"/>
                <w:lang w:val="zh-CN"/>
              </w:rPr>
              <w:t>每户委托代办退税生产企业的《代办退税情况备案表》</w:t>
            </w:r>
            <w:r>
              <w:rPr>
                <w:rFonts w:ascii="仿宋" w:eastAsia="仿宋" w:hAnsi="仿宋" w:cs="仿宋" w:hint="eastAsia"/>
                <w:kern w:val="1"/>
                <w:sz w:val="24"/>
              </w:rPr>
              <w:t>2份及电子数据</w:t>
            </w:r>
            <w:r>
              <w:rPr>
                <w:rFonts w:ascii="仿宋" w:eastAsia="仿宋" w:hAnsi="仿宋" w:cs="仿宋" w:hint="eastAsia"/>
                <w:sz w:val="24"/>
              </w:rPr>
              <w:t>。</w:t>
            </w:r>
          </w:p>
        </w:tc>
        <w:tc>
          <w:tcPr>
            <w:tcW w:w="1288" w:type="dxa"/>
            <w:vMerge/>
            <w:vAlign w:val="center"/>
          </w:tcPr>
          <w:p w:rsidR="00013EC7" w:rsidRDefault="00013EC7">
            <w:pPr>
              <w:rPr>
                <w:rFonts w:ascii="仿宋" w:eastAsia="仿宋" w:hAnsi="仿宋" w:cs="仿宋"/>
                <w:sz w:val="24"/>
              </w:rPr>
            </w:pPr>
          </w:p>
        </w:tc>
        <w:tc>
          <w:tcPr>
            <w:tcW w:w="2837" w:type="dxa"/>
            <w:vAlign w:val="center"/>
          </w:tcPr>
          <w:p w:rsidR="00013EC7" w:rsidRDefault="00575CDB">
            <w:pPr>
              <w:pStyle w:val="ab"/>
              <w:shd w:val="clear" w:color="auto" w:fill="FFFFFF"/>
              <w:spacing w:before="0" w:beforeAutospacing="0" w:after="0" w:afterAutospacing="0" w:line="450" w:lineRule="atLeast"/>
              <w:jc w:val="both"/>
              <w:rPr>
                <w:rFonts w:ascii="仿宋" w:eastAsia="仿宋" w:hAnsi="仿宋" w:cs="仿宋"/>
                <w:kern w:val="2"/>
              </w:rPr>
            </w:pPr>
            <w:r>
              <w:rPr>
                <w:rFonts w:ascii="仿宋" w:eastAsia="仿宋" w:hAnsi="仿宋" w:cs="仿宋" w:hint="eastAsia"/>
                <w:kern w:val="1"/>
              </w:rPr>
              <w:t>（二十六）</w:t>
            </w:r>
            <w:r>
              <w:rPr>
                <w:rFonts w:ascii="仿宋" w:eastAsia="仿宋" w:hAnsi="仿宋" w:cs="仿宋" w:hint="eastAsia"/>
                <w:kern w:val="2"/>
                <w:lang w:val="zh-CN"/>
              </w:rPr>
              <w:t>每户委托代办退税生产企业的《代办退税情况备案表》</w:t>
            </w:r>
            <w:r>
              <w:rPr>
                <w:rFonts w:ascii="仿宋" w:eastAsia="仿宋" w:hAnsi="仿宋" w:cs="仿宋" w:hint="eastAsia"/>
                <w:kern w:val="1"/>
              </w:rPr>
              <w:t>2份及电子数据</w:t>
            </w:r>
            <w:r>
              <w:rPr>
                <w:rFonts w:ascii="仿宋" w:eastAsia="仿宋" w:hAnsi="仿宋" w:cs="仿宋" w:hint="eastAsia"/>
                <w:kern w:val="2"/>
              </w:rPr>
              <w:t>。</w:t>
            </w:r>
          </w:p>
        </w:tc>
        <w:tc>
          <w:tcPr>
            <w:tcW w:w="1326" w:type="dxa"/>
            <w:vMerge/>
            <w:vAlign w:val="center"/>
          </w:tcPr>
          <w:p w:rsidR="00013EC7" w:rsidRDefault="00013EC7">
            <w:pPr>
              <w:rPr>
                <w:rFonts w:ascii="仿宋" w:eastAsia="仿宋" w:hAnsi="仿宋" w:cs="仿宋"/>
                <w:sz w:val="24"/>
              </w:rPr>
            </w:pPr>
          </w:p>
        </w:tc>
        <w:tc>
          <w:tcPr>
            <w:tcW w:w="2861"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纳税人提交书面材料。</w:t>
            </w:r>
          </w:p>
          <w:p w:rsidR="00013EC7" w:rsidRDefault="00575CDB">
            <w:pPr>
              <w:rPr>
                <w:rFonts w:ascii="仿宋" w:eastAsia="仿宋" w:hAnsi="仿宋" w:cs="仿宋"/>
                <w:kern w:val="1"/>
                <w:sz w:val="24"/>
              </w:rPr>
            </w:pPr>
            <w:r>
              <w:rPr>
                <w:rFonts w:ascii="仿宋" w:eastAsia="仿宋" w:hAnsi="仿宋" w:cs="仿宋" w:hint="eastAsia"/>
                <w:b/>
                <w:sz w:val="24"/>
              </w:rPr>
              <w:t>网上办理：</w:t>
            </w:r>
            <w:r>
              <w:rPr>
                <w:rFonts w:ascii="仿宋" w:eastAsia="仿宋" w:hAnsi="仿宋" w:cs="仿宋" w:hint="eastAsia"/>
                <w:sz w:val="24"/>
              </w:rPr>
              <w:t>登录浙江省国家税务局电子税务局提交电子数据。</w:t>
            </w:r>
          </w:p>
        </w:tc>
        <w:tc>
          <w:tcPr>
            <w:tcW w:w="855"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25"/>
          <w:jc w:val="center"/>
        </w:trPr>
        <w:tc>
          <w:tcPr>
            <w:tcW w:w="672" w:type="dxa"/>
            <w:vMerge/>
            <w:vAlign w:val="center"/>
          </w:tcPr>
          <w:p w:rsidR="00013EC7" w:rsidRDefault="00013EC7">
            <w:pPr>
              <w:rPr>
                <w:rFonts w:ascii="仿宋" w:eastAsia="仿宋" w:hAnsi="仿宋" w:cs="仿宋"/>
                <w:kern w:val="1"/>
                <w:sz w:val="24"/>
              </w:rPr>
            </w:pPr>
          </w:p>
        </w:tc>
        <w:tc>
          <w:tcPr>
            <w:tcW w:w="1035" w:type="dxa"/>
            <w:vMerge/>
            <w:vAlign w:val="center"/>
          </w:tcPr>
          <w:p w:rsidR="00013EC7" w:rsidRDefault="00013EC7">
            <w:pPr>
              <w:rPr>
                <w:rFonts w:ascii="仿宋" w:eastAsia="仿宋" w:hAnsi="仿宋" w:cs="仿宋"/>
                <w:kern w:val="1"/>
                <w:sz w:val="24"/>
              </w:rPr>
            </w:pPr>
          </w:p>
        </w:tc>
        <w:tc>
          <w:tcPr>
            <w:tcW w:w="2622" w:type="dxa"/>
            <w:vMerge/>
            <w:vAlign w:val="center"/>
          </w:tcPr>
          <w:p w:rsidR="00013EC7" w:rsidRDefault="00013EC7">
            <w:pPr>
              <w:rPr>
                <w:rFonts w:ascii="仿宋" w:eastAsia="仿宋" w:hAnsi="仿宋" w:cs="仿宋"/>
                <w:kern w:val="1"/>
                <w:sz w:val="24"/>
              </w:rPr>
            </w:pPr>
          </w:p>
        </w:tc>
        <w:tc>
          <w:tcPr>
            <w:tcW w:w="2760" w:type="dxa"/>
            <w:vAlign w:val="center"/>
          </w:tcPr>
          <w:p w:rsidR="00013EC7" w:rsidRDefault="00575CDB">
            <w:pPr>
              <w:rPr>
                <w:rFonts w:ascii="仿宋" w:eastAsia="仿宋" w:hAnsi="仿宋" w:cs="仿宋"/>
                <w:sz w:val="24"/>
              </w:rPr>
            </w:pPr>
            <w:r>
              <w:rPr>
                <w:rFonts w:ascii="仿宋" w:eastAsia="仿宋" w:hAnsi="仿宋" w:cs="仿宋" w:hint="eastAsia"/>
                <w:kern w:val="1"/>
                <w:sz w:val="24"/>
              </w:rPr>
              <w:t>（二十九）</w:t>
            </w:r>
            <w:r>
              <w:rPr>
                <w:rFonts w:ascii="仿宋" w:eastAsia="仿宋" w:hAnsi="仿宋" w:cs="仿宋" w:hint="eastAsia"/>
                <w:sz w:val="24"/>
                <w:lang w:val="zh-CN"/>
              </w:rPr>
              <w:t>外贸综合服务企业代办退税内部风险管控信息系统建设及应用情况</w:t>
            </w:r>
            <w:r>
              <w:rPr>
                <w:rFonts w:ascii="仿宋" w:eastAsia="仿宋" w:hAnsi="仿宋" w:cs="仿宋" w:hint="eastAsia"/>
                <w:sz w:val="24"/>
              </w:rPr>
              <w:t>。</w:t>
            </w:r>
          </w:p>
        </w:tc>
        <w:tc>
          <w:tcPr>
            <w:tcW w:w="1288" w:type="dxa"/>
            <w:vMerge/>
            <w:vAlign w:val="center"/>
          </w:tcPr>
          <w:p w:rsidR="00013EC7" w:rsidRDefault="00013EC7">
            <w:pPr>
              <w:rPr>
                <w:rFonts w:ascii="仿宋" w:eastAsia="仿宋" w:hAnsi="仿宋" w:cs="仿宋"/>
                <w:sz w:val="24"/>
              </w:rPr>
            </w:pPr>
          </w:p>
        </w:tc>
        <w:tc>
          <w:tcPr>
            <w:tcW w:w="2837" w:type="dxa"/>
            <w:vAlign w:val="center"/>
          </w:tcPr>
          <w:p w:rsidR="00013EC7" w:rsidRDefault="00575CDB">
            <w:pPr>
              <w:pStyle w:val="ab"/>
              <w:shd w:val="clear" w:color="auto" w:fill="FFFFFF"/>
              <w:spacing w:before="0" w:beforeAutospacing="0" w:after="0" w:afterAutospacing="0" w:line="450" w:lineRule="atLeast"/>
              <w:jc w:val="both"/>
              <w:rPr>
                <w:rFonts w:ascii="仿宋" w:eastAsia="仿宋" w:hAnsi="仿宋" w:cs="仿宋"/>
                <w:kern w:val="2"/>
              </w:rPr>
            </w:pPr>
            <w:r>
              <w:rPr>
                <w:rFonts w:ascii="仿宋" w:eastAsia="仿宋" w:hAnsi="仿宋" w:cs="仿宋" w:hint="eastAsia"/>
                <w:kern w:val="1"/>
              </w:rPr>
              <w:t>（二十七）</w:t>
            </w:r>
            <w:r>
              <w:rPr>
                <w:rFonts w:ascii="仿宋" w:eastAsia="仿宋" w:hAnsi="仿宋" w:cs="仿宋" w:hint="eastAsia"/>
                <w:kern w:val="2"/>
                <w:lang w:val="zh-CN"/>
              </w:rPr>
              <w:t>外贸综合服务企业代办退税内部风险管控信息系统建设及应用情况</w:t>
            </w:r>
            <w:r>
              <w:rPr>
                <w:rFonts w:ascii="仿宋" w:eastAsia="仿宋" w:hAnsi="仿宋" w:cs="仿宋" w:hint="eastAsia"/>
                <w:kern w:val="2"/>
              </w:rPr>
              <w:t>。</w:t>
            </w:r>
          </w:p>
        </w:tc>
        <w:tc>
          <w:tcPr>
            <w:tcW w:w="1326" w:type="dxa"/>
            <w:vMerge/>
            <w:vAlign w:val="center"/>
          </w:tcPr>
          <w:p w:rsidR="00013EC7" w:rsidRDefault="00013EC7">
            <w:pPr>
              <w:rPr>
                <w:rFonts w:ascii="仿宋" w:eastAsia="仿宋" w:hAnsi="仿宋" w:cs="仿宋"/>
                <w:sz w:val="24"/>
              </w:rPr>
            </w:pPr>
          </w:p>
        </w:tc>
        <w:tc>
          <w:tcPr>
            <w:tcW w:w="2861" w:type="dxa"/>
            <w:vAlign w:val="center"/>
          </w:tcPr>
          <w:p w:rsidR="00013EC7" w:rsidRDefault="00575CDB">
            <w:pPr>
              <w:rPr>
                <w:rFonts w:ascii="仿宋" w:eastAsia="仿宋" w:hAnsi="仿宋" w:cs="仿宋"/>
                <w:kern w:val="1"/>
                <w:sz w:val="24"/>
              </w:rPr>
            </w:pPr>
            <w:r>
              <w:rPr>
                <w:rFonts w:ascii="仿宋" w:eastAsia="仿宋" w:hAnsi="仿宋" w:cs="仿宋" w:hint="eastAsia"/>
                <w:b/>
                <w:sz w:val="24"/>
              </w:rPr>
              <w:t>纳税人留存备查</w:t>
            </w:r>
          </w:p>
        </w:tc>
        <w:tc>
          <w:tcPr>
            <w:tcW w:w="855"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25"/>
          <w:jc w:val="center"/>
        </w:trPr>
        <w:tc>
          <w:tcPr>
            <w:tcW w:w="672" w:type="dxa"/>
            <w:vMerge/>
            <w:vAlign w:val="center"/>
          </w:tcPr>
          <w:p w:rsidR="00013EC7" w:rsidRDefault="00013EC7">
            <w:pPr>
              <w:rPr>
                <w:rFonts w:ascii="仿宋" w:eastAsia="仿宋" w:hAnsi="仿宋" w:cs="仿宋"/>
                <w:kern w:val="1"/>
                <w:sz w:val="24"/>
              </w:rPr>
            </w:pPr>
          </w:p>
        </w:tc>
        <w:tc>
          <w:tcPr>
            <w:tcW w:w="1035" w:type="dxa"/>
            <w:vMerge/>
            <w:vAlign w:val="center"/>
          </w:tcPr>
          <w:p w:rsidR="00013EC7" w:rsidRDefault="00013EC7">
            <w:pPr>
              <w:rPr>
                <w:rFonts w:ascii="仿宋" w:eastAsia="仿宋" w:hAnsi="仿宋" w:cs="仿宋"/>
                <w:kern w:val="1"/>
                <w:sz w:val="24"/>
              </w:rPr>
            </w:pPr>
          </w:p>
        </w:tc>
        <w:tc>
          <w:tcPr>
            <w:tcW w:w="2622" w:type="dxa"/>
            <w:vMerge/>
            <w:vAlign w:val="center"/>
          </w:tcPr>
          <w:p w:rsidR="00013EC7" w:rsidRDefault="00013EC7">
            <w:pPr>
              <w:rPr>
                <w:rFonts w:ascii="仿宋" w:eastAsia="仿宋" w:hAnsi="仿宋" w:cs="仿宋"/>
                <w:kern w:val="1"/>
                <w:sz w:val="24"/>
              </w:rPr>
            </w:pPr>
          </w:p>
        </w:tc>
        <w:tc>
          <w:tcPr>
            <w:tcW w:w="2760" w:type="dxa"/>
            <w:vAlign w:val="center"/>
          </w:tcPr>
          <w:p w:rsidR="00013EC7" w:rsidRDefault="00575CDB">
            <w:pPr>
              <w:rPr>
                <w:rFonts w:ascii="仿宋" w:eastAsia="仿宋" w:hAnsi="仿宋" w:cs="仿宋"/>
                <w:sz w:val="24"/>
              </w:rPr>
            </w:pPr>
            <w:r>
              <w:rPr>
                <w:rFonts w:ascii="仿宋" w:eastAsia="仿宋" w:hAnsi="仿宋" w:cs="仿宋" w:hint="eastAsia"/>
                <w:kern w:val="1"/>
                <w:sz w:val="24"/>
              </w:rPr>
              <w:t>（三十）</w:t>
            </w:r>
            <w:r>
              <w:rPr>
                <w:rFonts w:ascii="仿宋" w:eastAsia="仿宋" w:hAnsi="仿宋" w:cs="仿宋" w:hint="eastAsia"/>
                <w:sz w:val="24"/>
              </w:rPr>
              <w:t>《代办退税情况备案表》2份及电子数据。</w:t>
            </w:r>
          </w:p>
        </w:tc>
        <w:tc>
          <w:tcPr>
            <w:tcW w:w="1288" w:type="dxa"/>
            <w:vMerge w:val="restart"/>
            <w:vAlign w:val="center"/>
          </w:tcPr>
          <w:p w:rsidR="00013EC7" w:rsidRDefault="00575CDB">
            <w:pPr>
              <w:rPr>
                <w:rFonts w:ascii="仿宋" w:eastAsia="仿宋" w:hAnsi="仿宋" w:cs="仿宋"/>
                <w:sz w:val="24"/>
              </w:rPr>
            </w:pPr>
            <w:r>
              <w:rPr>
                <w:rFonts w:ascii="仿宋" w:eastAsia="仿宋" w:hAnsi="仿宋" w:cs="仿宋" w:hint="eastAsia"/>
                <w:sz w:val="24"/>
              </w:rPr>
              <w:t>办理委托代办退税备案的生产企业纳税人提供</w:t>
            </w:r>
          </w:p>
        </w:tc>
        <w:tc>
          <w:tcPr>
            <w:tcW w:w="2837" w:type="dxa"/>
            <w:vAlign w:val="center"/>
          </w:tcPr>
          <w:p w:rsidR="00013EC7" w:rsidRDefault="00575CDB">
            <w:pPr>
              <w:rPr>
                <w:rFonts w:ascii="仿宋" w:eastAsia="仿宋" w:hAnsi="仿宋" w:cs="仿宋"/>
                <w:sz w:val="24"/>
              </w:rPr>
            </w:pPr>
            <w:r>
              <w:rPr>
                <w:rFonts w:ascii="仿宋" w:eastAsia="仿宋" w:hAnsi="仿宋" w:cs="仿宋" w:hint="eastAsia"/>
                <w:kern w:val="1"/>
                <w:sz w:val="24"/>
              </w:rPr>
              <w:t>（二十八）</w:t>
            </w:r>
            <w:r>
              <w:rPr>
                <w:rFonts w:ascii="仿宋" w:eastAsia="仿宋" w:hAnsi="仿宋" w:cs="仿宋" w:hint="eastAsia"/>
                <w:sz w:val="24"/>
              </w:rPr>
              <w:t>《代办退税情况备案表》2份及电子数据。</w:t>
            </w:r>
          </w:p>
        </w:tc>
        <w:tc>
          <w:tcPr>
            <w:tcW w:w="1326" w:type="dxa"/>
            <w:vMerge w:val="restart"/>
            <w:vAlign w:val="center"/>
          </w:tcPr>
          <w:p w:rsidR="00013EC7" w:rsidRDefault="00575CDB">
            <w:pPr>
              <w:rPr>
                <w:rFonts w:ascii="仿宋" w:eastAsia="仿宋" w:hAnsi="仿宋" w:cs="仿宋"/>
                <w:sz w:val="24"/>
              </w:rPr>
            </w:pPr>
            <w:r>
              <w:rPr>
                <w:rFonts w:ascii="仿宋" w:eastAsia="仿宋" w:hAnsi="仿宋" w:cs="仿宋" w:hint="eastAsia"/>
                <w:sz w:val="24"/>
              </w:rPr>
              <w:t>办理委托代办退税备案的生产企业纳税人提供</w:t>
            </w:r>
          </w:p>
        </w:tc>
        <w:tc>
          <w:tcPr>
            <w:tcW w:w="2861"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纳税人提交书面材料。</w:t>
            </w:r>
          </w:p>
          <w:p w:rsidR="00013EC7" w:rsidRDefault="00575CDB">
            <w:pPr>
              <w:rPr>
                <w:rFonts w:ascii="仿宋" w:eastAsia="仿宋" w:hAnsi="仿宋" w:cs="仿宋"/>
                <w:kern w:val="1"/>
                <w:sz w:val="24"/>
              </w:rPr>
            </w:pPr>
            <w:r>
              <w:rPr>
                <w:rFonts w:ascii="仿宋" w:eastAsia="仿宋" w:hAnsi="仿宋" w:cs="仿宋" w:hint="eastAsia"/>
                <w:b/>
                <w:sz w:val="24"/>
              </w:rPr>
              <w:t>网上办理：</w:t>
            </w:r>
            <w:r>
              <w:rPr>
                <w:rFonts w:ascii="仿宋" w:eastAsia="仿宋" w:hAnsi="仿宋" w:cs="仿宋" w:hint="eastAsia"/>
                <w:sz w:val="24"/>
              </w:rPr>
              <w:t>登录浙江省国家税务局电子税务局提交电子数据。</w:t>
            </w:r>
          </w:p>
        </w:tc>
        <w:tc>
          <w:tcPr>
            <w:tcW w:w="855"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25"/>
          <w:jc w:val="center"/>
        </w:trPr>
        <w:tc>
          <w:tcPr>
            <w:tcW w:w="672" w:type="dxa"/>
            <w:vMerge/>
            <w:vAlign w:val="center"/>
          </w:tcPr>
          <w:p w:rsidR="00013EC7" w:rsidRDefault="00013EC7">
            <w:pPr>
              <w:rPr>
                <w:rFonts w:ascii="仿宋" w:eastAsia="仿宋" w:hAnsi="仿宋" w:cs="仿宋"/>
                <w:kern w:val="1"/>
                <w:sz w:val="24"/>
              </w:rPr>
            </w:pPr>
          </w:p>
        </w:tc>
        <w:tc>
          <w:tcPr>
            <w:tcW w:w="1035" w:type="dxa"/>
            <w:vMerge/>
            <w:vAlign w:val="center"/>
          </w:tcPr>
          <w:p w:rsidR="00013EC7" w:rsidRDefault="00013EC7">
            <w:pPr>
              <w:rPr>
                <w:rFonts w:ascii="仿宋" w:eastAsia="仿宋" w:hAnsi="仿宋" w:cs="仿宋"/>
                <w:kern w:val="1"/>
                <w:sz w:val="24"/>
              </w:rPr>
            </w:pPr>
          </w:p>
        </w:tc>
        <w:tc>
          <w:tcPr>
            <w:tcW w:w="2622" w:type="dxa"/>
            <w:vMerge/>
            <w:vAlign w:val="center"/>
          </w:tcPr>
          <w:p w:rsidR="00013EC7" w:rsidRDefault="00013EC7">
            <w:pPr>
              <w:rPr>
                <w:rFonts w:ascii="仿宋" w:eastAsia="仿宋" w:hAnsi="仿宋" w:cs="仿宋"/>
                <w:kern w:val="1"/>
                <w:sz w:val="24"/>
              </w:rPr>
            </w:pPr>
          </w:p>
        </w:tc>
        <w:tc>
          <w:tcPr>
            <w:tcW w:w="2760" w:type="dxa"/>
            <w:vAlign w:val="center"/>
          </w:tcPr>
          <w:p w:rsidR="00013EC7" w:rsidRDefault="00575CDB">
            <w:pPr>
              <w:rPr>
                <w:rFonts w:ascii="仿宋" w:eastAsia="仿宋" w:hAnsi="仿宋" w:cs="仿宋"/>
                <w:sz w:val="24"/>
              </w:rPr>
            </w:pPr>
            <w:r>
              <w:rPr>
                <w:rFonts w:ascii="仿宋" w:eastAsia="仿宋" w:hAnsi="仿宋" w:cs="仿宋" w:hint="eastAsia"/>
                <w:kern w:val="1"/>
                <w:sz w:val="24"/>
              </w:rPr>
              <w:t>（三十一）</w:t>
            </w:r>
            <w:r>
              <w:rPr>
                <w:rFonts w:ascii="仿宋" w:eastAsia="仿宋" w:hAnsi="仿宋" w:cs="仿宋" w:hint="eastAsia"/>
                <w:sz w:val="24"/>
              </w:rPr>
              <w:t>代办退税账户。</w:t>
            </w:r>
          </w:p>
        </w:tc>
        <w:tc>
          <w:tcPr>
            <w:tcW w:w="1288" w:type="dxa"/>
            <w:vMerge/>
            <w:vAlign w:val="center"/>
          </w:tcPr>
          <w:p w:rsidR="00013EC7" w:rsidRDefault="00013EC7">
            <w:pPr>
              <w:rPr>
                <w:rFonts w:ascii="仿宋" w:eastAsia="仿宋" w:hAnsi="仿宋" w:cs="仿宋"/>
                <w:sz w:val="24"/>
              </w:rPr>
            </w:pPr>
          </w:p>
        </w:tc>
        <w:tc>
          <w:tcPr>
            <w:tcW w:w="2837" w:type="dxa"/>
            <w:vAlign w:val="center"/>
          </w:tcPr>
          <w:p w:rsidR="00013EC7" w:rsidRDefault="00575CDB">
            <w:pPr>
              <w:rPr>
                <w:rFonts w:ascii="仿宋" w:eastAsia="仿宋" w:hAnsi="仿宋" w:cs="仿宋"/>
                <w:sz w:val="24"/>
              </w:rPr>
            </w:pPr>
            <w:r>
              <w:rPr>
                <w:rFonts w:ascii="仿宋" w:eastAsia="仿宋" w:hAnsi="仿宋" w:cs="仿宋" w:hint="eastAsia"/>
                <w:kern w:val="1"/>
                <w:sz w:val="24"/>
              </w:rPr>
              <w:t>（二十九）</w:t>
            </w:r>
            <w:r>
              <w:rPr>
                <w:rFonts w:ascii="仿宋" w:eastAsia="仿宋" w:hAnsi="仿宋" w:cs="仿宋" w:hint="eastAsia"/>
                <w:sz w:val="24"/>
              </w:rPr>
              <w:t>代办退税账户。</w:t>
            </w:r>
          </w:p>
        </w:tc>
        <w:tc>
          <w:tcPr>
            <w:tcW w:w="1326" w:type="dxa"/>
            <w:vMerge/>
            <w:vAlign w:val="center"/>
          </w:tcPr>
          <w:p w:rsidR="00013EC7" w:rsidRDefault="00013EC7">
            <w:pPr>
              <w:rPr>
                <w:rFonts w:ascii="仿宋" w:eastAsia="仿宋" w:hAnsi="仿宋" w:cs="仿宋"/>
                <w:sz w:val="24"/>
              </w:rPr>
            </w:pPr>
          </w:p>
        </w:tc>
        <w:tc>
          <w:tcPr>
            <w:tcW w:w="2861" w:type="dxa"/>
            <w:vAlign w:val="center"/>
          </w:tcPr>
          <w:p w:rsidR="00013EC7" w:rsidRDefault="00575CDB">
            <w:pPr>
              <w:spacing w:line="300" w:lineRule="exact"/>
              <w:rPr>
                <w:rFonts w:ascii="仿宋" w:eastAsia="仿宋" w:hAnsi="仿宋" w:cs="仿宋"/>
                <w:kern w:val="1"/>
                <w:sz w:val="24"/>
              </w:rPr>
            </w:pPr>
            <w:r>
              <w:rPr>
                <w:rFonts w:ascii="仿宋" w:eastAsia="仿宋" w:hAnsi="仿宋" w:cs="仿宋" w:hint="eastAsia"/>
                <w:b/>
                <w:sz w:val="24"/>
              </w:rPr>
              <w:t>现场办理：</w:t>
            </w:r>
            <w:r>
              <w:rPr>
                <w:rFonts w:ascii="仿宋" w:eastAsia="仿宋" w:hAnsi="仿宋" w:cs="仿宋" w:hint="eastAsia"/>
                <w:sz w:val="24"/>
              </w:rPr>
              <w:t>纳税人提交书面材料。</w:t>
            </w:r>
          </w:p>
        </w:tc>
        <w:tc>
          <w:tcPr>
            <w:tcW w:w="855"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25"/>
          <w:jc w:val="center"/>
        </w:trPr>
        <w:tc>
          <w:tcPr>
            <w:tcW w:w="672" w:type="dxa"/>
            <w:vMerge/>
            <w:vAlign w:val="center"/>
          </w:tcPr>
          <w:p w:rsidR="00013EC7" w:rsidRDefault="00013EC7">
            <w:pPr>
              <w:rPr>
                <w:rFonts w:ascii="仿宋" w:eastAsia="仿宋" w:hAnsi="仿宋" w:cs="仿宋"/>
                <w:kern w:val="1"/>
                <w:sz w:val="24"/>
              </w:rPr>
            </w:pPr>
          </w:p>
        </w:tc>
        <w:tc>
          <w:tcPr>
            <w:tcW w:w="1035" w:type="dxa"/>
            <w:vMerge/>
            <w:vAlign w:val="center"/>
          </w:tcPr>
          <w:p w:rsidR="00013EC7" w:rsidRDefault="00013EC7">
            <w:pPr>
              <w:rPr>
                <w:rFonts w:ascii="仿宋" w:eastAsia="仿宋" w:hAnsi="仿宋" w:cs="仿宋"/>
                <w:kern w:val="1"/>
                <w:sz w:val="24"/>
              </w:rPr>
            </w:pPr>
          </w:p>
        </w:tc>
        <w:tc>
          <w:tcPr>
            <w:tcW w:w="2622" w:type="dxa"/>
            <w:vMerge/>
            <w:vAlign w:val="center"/>
          </w:tcPr>
          <w:p w:rsidR="00013EC7" w:rsidRDefault="00013EC7">
            <w:pPr>
              <w:rPr>
                <w:rFonts w:ascii="仿宋" w:eastAsia="仿宋" w:hAnsi="仿宋" w:cs="仿宋"/>
                <w:kern w:val="1"/>
                <w:sz w:val="24"/>
              </w:rPr>
            </w:pPr>
          </w:p>
        </w:tc>
        <w:tc>
          <w:tcPr>
            <w:tcW w:w="2760" w:type="dxa"/>
            <w:vAlign w:val="center"/>
          </w:tcPr>
          <w:p w:rsidR="00013EC7" w:rsidRDefault="00575CDB">
            <w:pPr>
              <w:rPr>
                <w:rFonts w:ascii="仿宋" w:eastAsia="仿宋" w:hAnsi="仿宋" w:cs="仿宋"/>
                <w:sz w:val="24"/>
              </w:rPr>
            </w:pPr>
            <w:r>
              <w:rPr>
                <w:rFonts w:ascii="仿宋" w:eastAsia="仿宋" w:hAnsi="仿宋" w:cs="仿宋" w:hint="eastAsia"/>
                <w:kern w:val="1"/>
                <w:sz w:val="24"/>
              </w:rPr>
              <w:t>（三十二）</w:t>
            </w:r>
            <w:r>
              <w:rPr>
                <w:rFonts w:ascii="仿宋" w:eastAsia="仿宋" w:hAnsi="仿宋" w:cs="仿宋" w:hint="eastAsia"/>
                <w:sz w:val="24"/>
              </w:rPr>
              <w:t>与外贸综合服务企业签订的外贸综合服务合同（协议）。</w:t>
            </w:r>
          </w:p>
        </w:tc>
        <w:tc>
          <w:tcPr>
            <w:tcW w:w="1288" w:type="dxa"/>
            <w:vMerge/>
            <w:vAlign w:val="center"/>
          </w:tcPr>
          <w:p w:rsidR="00013EC7" w:rsidRDefault="00013EC7">
            <w:pPr>
              <w:rPr>
                <w:rFonts w:ascii="仿宋" w:eastAsia="仿宋" w:hAnsi="仿宋" w:cs="仿宋"/>
                <w:sz w:val="24"/>
              </w:rPr>
            </w:pPr>
          </w:p>
        </w:tc>
        <w:tc>
          <w:tcPr>
            <w:tcW w:w="2837" w:type="dxa"/>
            <w:vAlign w:val="center"/>
          </w:tcPr>
          <w:p w:rsidR="00013EC7" w:rsidRDefault="00575CDB">
            <w:pPr>
              <w:rPr>
                <w:rFonts w:ascii="仿宋" w:eastAsia="仿宋" w:hAnsi="仿宋" w:cs="仿宋"/>
                <w:sz w:val="24"/>
              </w:rPr>
            </w:pPr>
            <w:r>
              <w:rPr>
                <w:rFonts w:ascii="仿宋" w:eastAsia="仿宋" w:hAnsi="仿宋" w:cs="仿宋" w:hint="eastAsia"/>
                <w:kern w:val="1"/>
                <w:sz w:val="24"/>
              </w:rPr>
              <w:t>（三十）</w:t>
            </w:r>
            <w:r>
              <w:rPr>
                <w:rFonts w:ascii="仿宋" w:eastAsia="仿宋" w:hAnsi="仿宋" w:cs="仿宋" w:hint="eastAsia"/>
                <w:sz w:val="24"/>
              </w:rPr>
              <w:t>与外贸综合服务企业签订的外贸综合服务合同（协议）。</w:t>
            </w:r>
          </w:p>
        </w:tc>
        <w:tc>
          <w:tcPr>
            <w:tcW w:w="1326" w:type="dxa"/>
            <w:vMerge/>
            <w:vAlign w:val="center"/>
          </w:tcPr>
          <w:p w:rsidR="00013EC7" w:rsidRDefault="00013EC7">
            <w:pPr>
              <w:rPr>
                <w:rFonts w:ascii="仿宋" w:eastAsia="仿宋" w:hAnsi="仿宋" w:cs="仿宋"/>
                <w:sz w:val="24"/>
              </w:rPr>
            </w:pPr>
          </w:p>
        </w:tc>
        <w:tc>
          <w:tcPr>
            <w:tcW w:w="2861" w:type="dxa"/>
            <w:vAlign w:val="center"/>
          </w:tcPr>
          <w:p w:rsidR="00013EC7" w:rsidRDefault="00575CDB">
            <w:pPr>
              <w:rPr>
                <w:rFonts w:ascii="仿宋" w:eastAsia="仿宋" w:hAnsi="仿宋" w:cs="仿宋"/>
                <w:kern w:val="1"/>
                <w:sz w:val="24"/>
              </w:rPr>
            </w:pPr>
            <w:r>
              <w:rPr>
                <w:rFonts w:ascii="仿宋" w:eastAsia="仿宋" w:hAnsi="仿宋" w:cs="仿宋" w:hint="eastAsia"/>
                <w:b/>
                <w:sz w:val="24"/>
              </w:rPr>
              <w:t>纳税人留存备查</w:t>
            </w:r>
          </w:p>
        </w:tc>
        <w:tc>
          <w:tcPr>
            <w:tcW w:w="855"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25"/>
          <w:jc w:val="center"/>
        </w:trPr>
        <w:tc>
          <w:tcPr>
            <w:tcW w:w="672" w:type="dxa"/>
            <w:vMerge/>
            <w:vAlign w:val="center"/>
          </w:tcPr>
          <w:p w:rsidR="00013EC7" w:rsidRDefault="00013EC7">
            <w:pPr>
              <w:rPr>
                <w:rFonts w:ascii="仿宋" w:eastAsia="仿宋" w:hAnsi="仿宋" w:cs="仿宋"/>
                <w:kern w:val="1"/>
                <w:sz w:val="24"/>
              </w:rPr>
            </w:pPr>
          </w:p>
        </w:tc>
        <w:tc>
          <w:tcPr>
            <w:tcW w:w="1035" w:type="dxa"/>
            <w:vMerge/>
            <w:vAlign w:val="center"/>
          </w:tcPr>
          <w:p w:rsidR="00013EC7" w:rsidRDefault="00013EC7">
            <w:pPr>
              <w:rPr>
                <w:rFonts w:ascii="仿宋" w:eastAsia="仿宋" w:hAnsi="仿宋" w:cs="仿宋"/>
                <w:kern w:val="1"/>
                <w:sz w:val="24"/>
              </w:rPr>
            </w:pPr>
          </w:p>
        </w:tc>
        <w:tc>
          <w:tcPr>
            <w:tcW w:w="2622" w:type="dxa"/>
            <w:vMerge/>
            <w:vAlign w:val="center"/>
          </w:tcPr>
          <w:p w:rsidR="00013EC7" w:rsidRDefault="00013EC7">
            <w:pPr>
              <w:rPr>
                <w:rFonts w:ascii="仿宋" w:eastAsia="仿宋" w:hAnsi="仿宋" w:cs="仿宋"/>
                <w:kern w:val="1"/>
                <w:sz w:val="24"/>
              </w:rPr>
            </w:pPr>
          </w:p>
        </w:tc>
        <w:tc>
          <w:tcPr>
            <w:tcW w:w="2760" w:type="dxa"/>
            <w:vAlign w:val="center"/>
          </w:tcPr>
          <w:p w:rsidR="00013EC7" w:rsidRDefault="00575CDB">
            <w:pPr>
              <w:rPr>
                <w:rFonts w:ascii="仿宋" w:eastAsia="仿宋" w:hAnsi="仿宋" w:cs="仿宋"/>
                <w:sz w:val="24"/>
              </w:rPr>
            </w:pPr>
            <w:r>
              <w:rPr>
                <w:rFonts w:ascii="仿宋" w:eastAsia="仿宋" w:hAnsi="仿宋" w:cs="仿宋" w:hint="eastAsia"/>
                <w:kern w:val="1"/>
                <w:sz w:val="24"/>
              </w:rPr>
              <w:t>（三十三）</w:t>
            </w:r>
            <w:r>
              <w:rPr>
                <w:rFonts w:ascii="仿宋" w:eastAsia="仿宋" w:hAnsi="仿宋" w:cs="仿宋" w:hint="eastAsia"/>
                <w:sz w:val="24"/>
              </w:rPr>
              <w:t>《出口退（免）税备案变更申请表》2份及电子数据。</w:t>
            </w:r>
          </w:p>
        </w:tc>
        <w:tc>
          <w:tcPr>
            <w:tcW w:w="1288" w:type="dxa"/>
            <w:vMerge w:val="restart"/>
            <w:vAlign w:val="center"/>
          </w:tcPr>
          <w:p w:rsidR="00013EC7" w:rsidRDefault="00575CDB">
            <w:pPr>
              <w:rPr>
                <w:rFonts w:ascii="仿宋" w:eastAsia="仿宋" w:hAnsi="仿宋" w:cs="仿宋"/>
                <w:sz w:val="24"/>
              </w:rPr>
            </w:pPr>
            <w:r>
              <w:rPr>
                <w:rFonts w:ascii="仿宋" w:eastAsia="仿宋" w:hAnsi="仿宋" w:cs="仿宋" w:hint="eastAsia"/>
                <w:sz w:val="24"/>
              </w:rPr>
              <w:t>办理出口退（免）税备案变更业务的企业纳税人提供</w:t>
            </w:r>
          </w:p>
        </w:tc>
        <w:tc>
          <w:tcPr>
            <w:tcW w:w="2837" w:type="dxa"/>
            <w:vAlign w:val="center"/>
          </w:tcPr>
          <w:p w:rsidR="00013EC7" w:rsidRDefault="00575CDB">
            <w:pPr>
              <w:rPr>
                <w:rFonts w:ascii="仿宋" w:eastAsia="仿宋" w:hAnsi="仿宋" w:cs="仿宋"/>
                <w:sz w:val="24"/>
              </w:rPr>
            </w:pPr>
            <w:r>
              <w:rPr>
                <w:rFonts w:ascii="仿宋" w:eastAsia="仿宋" w:hAnsi="仿宋" w:cs="仿宋" w:hint="eastAsia"/>
                <w:kern w:val="1"/>
                <w:sz w:val="24"/>
              </w:rPr>
              <w:t>（三十一）</w:t>
            </w:r>
            <w:r>
              <w:rPr>
                <w:rFonts w:ascii="仿宋" w:eastAsia="仿宋" w:hAnsi="仿宋" w:cs="仿宋" w:hint="eastAsia"/>
                <w:sz w:val="24"/>
              </w:rPr>
              <w:t>《出口退（免）税备案变更申请表》2份及电子数据。</w:t>
            </w:r>
          </w:p>
        </w:tc>
        <w:tc>
          <w:tcPr>
            <w:tcW w:w="1326" w:type="dxa"/>
            <w:vMerge w:val="restart"/>
            <w:vAlign w:val="center"/>
          </w:tcPr>
          <w:p w:rsidR="00013EC7" w:rsidRDefault="00575CDB">
            <w:pPr>
              <w:rPr>
                <w:rFonts w:ascii="仿宋" w:eastAsia="仿宋" w:hAnsi="仿宋" w:cs="仿宋"/>
                <w:sz w:val="24"/>
              </w:rPr>
            </w:pPr>
            <w:r>
              <w:rPr>
                <w:rFonts w:ascii="仿宋" w:eastAsia="仿宋" w:hAnsi="仿宋" w:cs="仿宋" w:hint="eastAsia"/>
                <w:sz w:val="24"/>
              </w:rPr>
              <w:t>办理出口退（免）税备案变更业务的企业纳税人提供</w:t>
            </w:r>
          </w:p>
        </w:tc>
        <w:tc>
          <w:tcPr>
            <w:tcW w:w="2861"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纳税人提交书面材料。</w:t>
            </w:r>
          </w:p>
          <w:p w:rsidR="00013EC7" w:rsidRDefault="00575CDB">
            <w:pPr>
              <w:rPr>
                <w:rFonts w:ascii="仿宋" w:eastAsia="仿宋" w:hAnsi="仿宋" w:cs="仿宋"/>
                <w:kern w:val="1"/>
                <w:sz w:val="24"/>
              </w:rPr>
            </w:pPr>
            <w:r>
              <w:rPr>
                <w:rFonts w:ascii="仿宋" w:eastAsia="仿宋" w:hAnsi="仿宋" w:cs="仿宋" w:hint="eastAsia"/>
                <w:b/>
                <w:sz w:val="24"/>
              </w:rPr>
              <w:t>网上办理：</w:t>
            </w:r>
            <w:r>
              <w:rPr>
                <w:rFonts w:ascii="仿宋" w:eastAsia="仿宋" w:hAnsi="仿宋" w:cs="仿宋" w:hint="eastAsia"/>
                <w:sz w:val="24"/>
              </w:rPr>
              <w:t>登录浙江省国家税务局电子税务局提交电子数据。</w:t>
            </w:r>
          </w:p>
        </w:tc>
        <w:tc>
          <w:tcPr>
            <w:tcW w:w="855"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25"/>
          <w:jc w:val="center"/>
        </w:trPr>
        <w:tc>
          <w:tcPr>
            <w:tcW w:w="672" w:type="dxa"/>
            <w:vMerge/>
            <w:vAlign w:val="center"/>
          </w:tcPr>
          <w:p w:rsidR="00013EC7" w:rsidRDefault="00013EC7">
            <w:pPr>
              <w:rPr>
                <w:rFonts w:ascii="仿宋" w:eastAsia="仿宋" w:hAnsi="仿宋" w:cs="仿宋"/>
                <w:kern w:val="1"/>
                <w:sz w:val="24"/>
              </w:rPr>
            </w:pPr>
          </w:p>
        </w:tc>
        <w:tc>
          <w:tcPr>
            <w:tcW w:w="1035" w:type="dxa"/>
            <w:vMerge/>
            <w:vAlign w:val="center"/>
          </w:tcPr>
          <w:p w:rsidR="00013EC7" w:rsidRDefault="00013EC7">
            <w:pPr>
              <w:rPr>
                <w:rFonts w:ascii="仿宋" w:eastAsia="仿宋" w:hAnsi="仿宋" w:cs="仿宋"/>
                <w:kern w:val="1"/>
                <w:sz w:val="24"/>
              </w:rPr>
            </w:pPr>
          </w:p>
        </w:tc>
        <w:tc>
          <w:tcPr>
            <w:tcW w:w="2622" w:type="dxa"/>
            <w:vMerge/>
            <w:vAlign w:val="center"/>
          </w:tcPr>
          <w:p w:rsidR="00013EC7" w:rsidRDefault="00013EC7">
            <w:pPr>
              <w:rPr>
                <w:rFonts w:ascii="仿宋" w:eastAsia="仿宋" w:hAnsi="仿宋" w:cs="仿宋"/>
                <w:kern w:val="1"/>
                <w:sz w:val="24"/>
              </w:rPr>
            </w:pPr>
          </w:p>
        </w:tc>
        <w:tc>
          <w:tcPr>
            <w:tcW w:w="2760" w:type="dxa"/>
            <w:vAlign w:val="center"/>
          </w:tcPr>
          <w:p w:rsidR="00013EC7" w:rsidRDefault="00575CDB">
            <w:pPr>
              <w:rPr>
                <w:rFonts w:ascii="仿宋" w:eastAsia="仿宋" w:hAnsi="仿宋" w:cs="仿宋"/>
                <w:sz w:val="24"/>
              </w:rPr>
            </w:pPr>
            <w:r>
              <w:rPr>
                <w:rFonts w:ascii="仿宋" w:eastAsia="仿宋" w:hAnsi="仿宋" w:cs="仿宋" w:hint="eastAsia"/>
                <w:kern w:val="1"/>
                <w:sz w:val="24"/>
              </w:rPr>
              <w:t>（三十四）</w:t>
            </w:r>
            <w:r>
              <w:rPr>
                <w:rFonts w:ascii="仿宋" w:eastAsia="仿宋" w:hAnsi="仿宋" w:cs="仿宋" w:hint="eastAsia"/>
                <w:sz w:val="24"/>
              </w:rPr>
              <w:t>与变更事项相关的证明材料。</w:t>
            </w:r>
          </w:p>
        </w:tc>
        <w:tc>
          <w:tcPr>
            <w:tcW w:w="1288" w:type="dxa"/>
            <w:vMerge/>
            <w:vAlign w:val="center"/>
          </w:tcPr>
          <w:p w:rsidR="00013EC7" w:rsidRDefault="00013EC7">
            <w:pPr>
              <w:rPr>
                <w:rFonts w:ascii="仿宋" w:eastAsia="仿宋" w:hAnsi="仿宋" w:cs="仿宋"/>
                <w:sz w:val="24"/>
              </w:rPr>
            </w:pPr>
          </w:p>
        </w:tc>
        <w:tc>
          <w:tcPr>
            <w:tcW w:w="2837" w:type="dxa"/>
            <w:vAlign w:val="center"/>
          </w:tcPr>
          <w:p w:rsidR="00013EC7" w:rsidRDefault="00575CDB">
            <w:pPr>
              <w:rPr>
                <w:rFonts w:ascii="仿宋" w:eastAsia="仿宋" w:hAnsi="仿宋" w:cs="仿宋"/>
                <w:sz w:val="24"/>
              </w:rPr>
            </w:pPr>
            <w:r>
              <w:rPr>
                <w:rFonts w:ascii="仿宋" w:eastAsia="仿宋" w:hAnsi="仿宋" w:cs="仿宋" w:hint="eastAsia"/>
                <w:kern w:val="1"/>
                <w:sz w:val="24"/>
              </w:rPr>
              <w:t>（三十二）</w:t>
            </w:r>
            <w:r>
              <w:rPr>
                <w:rFonts w:ascii="仿宋" w:eastAsia="仿宋" w:hAnsi="仿宋" w:cs="仿宋" w:hint="eastAsia"/>
                <w:sz w:val="24"/>
              </w:rPr>
              <w:t>与变更事项相关的证明材料。</w:t>
            </w:r>
          </w:p>
        </w:tc>
        <w:tc>
          <w:tcPr>
            <w:tcW w:w="1326" w:type="dxa"/>
            <w:vMerge/>
            <w:vAlign w:val="center"/>
          </w:tcPr>
          <w:p w:rsidR="00013EC7" w:rsidRDefault="00013EC7">
            <w:pPr>
              <w:rPr>
                <w:rFonts w:ascii="仿宋" w:eastAsia="仿宋" w:hAnsi="仿宋" w:cs="仿宋"/>
                <w:sz w:val="24"/>
              </w:rPr>
            </w:pPr>
          </w:p>
        </w:tc>
        <w:tc>
          <w:tcPr>
            <w:tcW w:w="2861" w:type="dxa"/>
            <w:vAlign w:val="center"/>
          </w:tcPr>
          <w:p w:rsidR="00013EC7" w:rsidRDefault="00575CDB">
            <w:pPr>
              <w:spacing w:line="300" w:lineRule="exact"/>
              <w:rPr>
                <w:rFonts w:ascii="仿宋" w:eastAsia="仿宋" w:hAnsi="仿宋" w:cs="仿宋"/>
                <w:kern w:val="1"/>
                <w:sz w:val="24"/>
              </w:rPr>
            </w:pPr>
            <w:r>
              <w:rPr>
                <w:rFonts w:ascii="仿宋" w:eastAsia="仿宋" w:hAnsi="仿宋" w:cs="仿宋" w:hint="eastAsia"/>
                <w:b/>
                <w:sz w:val="24"/>
              </w:rPr>
              <w:t>现场办理：</w:t>
            </w:r>
            <w:r>
              <w:rPr>
                <w:rFonts w:ascii="仿宋" w:eastAsia="仿宋" w:hAnsi="仿宋" w:cs="仿宋" w:hint="eastAsia"/>
                <w:sz w:val="24"/>
              </w:rPr>
              <w:t>纳税人提交书面材料。</w:t>
            </w:r>
          </w:p>
        </w:tc>
        <w:tc>
          <w:tcPr>
            <w:tcW w:w="855"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25"/>
          <w:jc w:val="center"/>
        </w:trPr>
        <w:tc>
          <w:tcPr>
            <w:tcW w:w="672" w:type="dxa"/>
            <w:vMerge/>
            <w:vAlign w:val="center"/>
          </w:tcPr>
          <w:p w:rsidR="00013EC7" w:rsidRDefault="00013EC7">
            <w:pPr>
              <w:rPr>
                <w:rFonts w:ascii="仿宋" w:eastAsia="仿宋" w:hAnsi="仿宋" w:cs="仿宋"/>
                <w:kern w:val="1"/>
                <w:sz w:val="24"/>
              </w:rPr>
            </w:pPr>
          </w:p>
        </w:tc>
        <w:tc>
          <w:tcPr>
            <w:tcW w:w="1035" w:type="dxa"/>
            <w:vMerge/>
            <w:vAlign w:val="center"/>
          </w:tcPr>
          <w:p w:rsidR="00013EC7" w:rsidRDefault="00013EC7">
            <w:pPr>
              <w:rPr>
                <w:rFonts w:ascii="仿宋" w:eastAsia="仿宋" w:hAnsi="仿宋" w:cs="仿宋"/>
                <w:kern w:val="1"/>
                <w:sz w:val="24"/>
              </w:rPr>
            </w:pPr>
          </w:p>
        </w:tc>
        <w:tc>
          <w:tcPr>
            <w:tcW w:w="2622" w:type="dxa"/>
            <w:vMerge/>
            <w:vAlign w:val="center"/>
          </w:tcPr>
          <w:p w:rsidR="00013EC7" w:rsidRDefault="00013EC7">
            <w:pPr>
              <w:rPr>
                <w:rFonts w:ascii="仿宋" w:eastAsia="仿宋" w:hAnsi="仿宋" w:cs="仿宋"/>
                <w:kern w:val="1"/>
                <w:sz w:val="24"/>
              </w:rPr>
            </w:pPr>
          </w:p>
        </w:tc>
        <w:tc>
          <w:tcPr>
            <w:tcW w:w="2760" w:type="dxa"/>
            <w:vAlign w:val="center"/>
          </w:tcPr>
          <w:p w:rsidR="00013EC7" w:rsidRDefault="00575CDB">
            <w:pPr>
              <w:rPr>
                <w:rFonts w:ascii="仿宋" w:eastAsia="仿宋" w:hAnsi="仿宋" w:cs="仿宋"/>
                <w:sz w:val="24"/>
              </w:rPr>
            </w:pPr>
            <w:r>
              <w:rPr>
                <w:rFonts w:ascii="仿宋" w:eastAsia="仿宋" w:hAnsi="仿宋" w:cs="仿宋" w:hint="eastAsia"/>
                <w:kern w:val="1"/>
                <w:sz w:val="24"/>
              </w:rPr>
              <w:t>（三十五）</w:t>
            </w:r>
            <w:r>
              <w:rPr>
                <w:rFonts w:ascii="仿宋" w:eastAsia="仿宋" w:hAnsi="仿宋" w:cs="仿宋" w:hint="eastAsia"/>
                <w:sz w:val="24"/>
              </w:rPr>
              <w:t>《出口退（免）税备案撤回申请表》2份及电子数据。</w:t>
            </w:r>
          </w:p>
        </w:tc>
        <w:tc>
          <w:tcPr>
            <w:tcW w:w="1288" w:type="dxa"/>
            <w:vAlign w:val="center"/>
          </w:tcPr>
          <w:p w:rsidR="00013EC7" w:rsidRDefault="00575CDB">
            <w:pPr>
              <w:rPr>
                <w:rFonts w:ascii="仿宋" w:eastAsia="仿宋" w:hAnsi="仿宋" w:cs="仿宋"/>
                <w:sz w:val="24"/>
              </w:rPr>
            </w:pPr>
            <w:r>
              <w:rPr>
                <w:rFonts w:ascii="仿宋" w:eastAsia="仿宋" w:hAnsi="仿宋" w:cs="仿宋" w:hint="eastAsia"/>
                <w:sz w:val="24"/>
              </w:rPr>
              <w:t>办理出口退（免）税备案撤回业务的企业纳税人提供</w:t>
            </w:r>
          </w:p>
        </w:tc>
        <w:tc>
          <w:tcPr>
            <w:tcW w:w="2837" w:type="dxa"/>
            <w:vAlign w:val="center"/>
          </w:tcPr>
          <w:p w:rsidR="00013EC7" w:rsidRDefault="00575CDB">
            <w:pPr>
              <w:rPr>
                <w:rFonts w:ascii="仿宋" w:eastAsia="仿宋" w:hAnsi="仿宋" w:cs="仿宋"/>
                <w:sz w:val="24"/>
              </w:rPr>
            </w:pPr>
            <w:r>
              <w:rPr>
                <w:rFonts w:ascii="仿宋" w:eastAsia="仿宋" w:hAnsi="仿宋" w:cs="仿宋" w:hint="eastAsia"/>
                <w:kern w:val="1"/>
                <w:sz w:val="24"/>
              </w:rPr>
              <w:t>（三十三）</w:t>
            </w:r>
            <w:r>
              <w:rPr>
                <w:rFonts w:ascii="仿宋" w:eastAsia="仿宋" w:hAnsi="仿宋" w:cs="仿宋" w:hint="eastAsia"/>
                <w:sz w:val="24"/>
              </w:rPr>
              <w:t>《出口退（免）税备案撤回申请表》2份及电子数据。</w:t>
            </w:r>
          </w:p>
        </w:tc>
        <w:tc>
          <w:tcPr>
            <w:tcW w:w="1326" w:type="dxa"/>
            <w:vAlign w:val="center"/>
          </w:tcPr>
          <w:p w:rsidR="00013EC7" w:rsidRDefault="00575CDB">
            <w:pPr>
              <w:rPr>
                <w:rFonts w:ascii="仿宋" w:eastAsia="仿宋" w:hAnsi="仿宋" w:cs="仿宋"/>
                <w:sz w:val="24"/>
              </w:rPr>
            </w:pPr>
            <w:r>
              <w:rPr>
                <w:rFonts w:ascii="仿宋" w:eastAsia="仿宋" w:hAnsi="仿宋" w:cs="仿宋" w:hint="eastAsia"/>
                <w:sz w:val="24"/>
              </w:rPr>
              <w:t>办理出口退（免）税备案撤回业务的企业纳税人提供</w:t>
            </w:r>
          </w:p>
        </w:tc>
        <w:tc>
          <w:tcPr>
            <w:tcW w:w="2861"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纳税人提交书面材料。</w:t>
            </w:r>
          </w:p>
          <w:p w:rsidR="00013EC7" w:rsidRDefault="00575CDB">
            <w:pPr>
              <w:rPr>
                <w:rFonts w:ascii="仿宋" w:eastAsia="仿宋" w:hAnsi="仿宋" w:cs="仿宋"/>
                <w:kern w:val="1"/>
                <w:sz w:val="24"/>
              </w:rPr>
            </w:pPr>
            <w:r>
              <w:rPr>
                <w:rFonts w:ascii="仿宋" w:eastAsia="仿宋" w:hAnsi="仿宋" w:cs="仿宋" w:hint="eastAsia"/>
                <w:b/>
                <w:sz w:val="24"/>
              </w:rPr>
              <w:t>网上办理：</w:t>
            </w:r>
            <w:r>
              <w:rPr>
                <w:rFonts w:ascii="仿宋" w:eastAsia="仿宋" w:hAnsi="仿宋" w:cs="仿宋" w:hint="eastAsia"/>
                <w:sz w:val="24"/>
              </w:rPr>
              <w:t>登录浙江省国家税务局电子税务局提交电子数据。</w:t>
            </w:r>
          </w:p>
        </w:tc>
        <w:tc>
          <w:tcPr>
            <w:tcW w:w="855"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25"/>
          <w:jc w:val="center"/>
        </w:trPr>
        <w:tc>
          <w:tcPr>
            <w:tcW w:w="672" w:type="dxa"/>
            <w:vMerge/>
            <w:vAlign w:val="center"/>
          </w:tcPr>
          <w:p w:rsidR="00013EC7" w:rsidRDefault="00013EC7">
            <w:pPr>
              <w:rPr>
                <w:rFonts w:ascii="仿宋" w:eastAsia="仿宋" w:hAnsi="仿宋" w:cs="仿宋"/>
                <w:kern w:val="1"/>
                <w:sz w:val="24"/>
              </w:rPr>
            </w:pPr>
          </w:p>
        </w:tc>
        <w:tc>
          <w:tcPr>
            <w:tcW w:w="1035" w:type="dxa"/>
            <w:vMerge/>
            <w:vAlign w:val="center"/>
          </w:tcPr>
          <w:p w:rsidR="00013EC7" w:rsidRDefault="00013EC7">
            <w:pPr>
              <w:rPr>
                <w:rFonts w:ascii="仿宋" w:eastAsia="仿宋" w:hAnsi="仿宋" w:cs="仿宋"/>
                <w:kern w:val="1"/>
                <w:sz w:val="24"/>
              </w:rPr>
            </w:pPr>
          </w:p>
        </w:tc>
        <w:tc>
          <w:tcPr>
            <w:tcW w:w="2622" w:type="dxa"/>
            <w:vMerge/>
            <w:vAlign w:val="center"/>
          </w:tcPr>
          <w:p w:rsidR="00013EC7" w:rsidRDefault="00013EC7">
            <w:pPr>
              <w:rPr>
                <w:rFonts w:ascii="仿宋" w:eastAsia="仿宋" w:hAnsi="仿宋" w:cs="仿宋"/>
                <w:kern w:val="1"/>
                <w:sz w:val="24"/>
              </w:rPr>
            </w:pPr>
          </w:p>
        </w:tc>
        <w:tc>
          <w:tcPr>
            <w:tcW w:w="2760" w:type="dxa"/>
            <w:vAlign w:val="center"/>
          </w:tcPr>
          <w:p w:rsidR="00013EC7" w:rsidRDefault="00575CDB">
            <w:pPr>
              <w:rPr>
                <w:rFonts w:ascii="仿宋" w:eastAsia="仿宋" w:hAnsi="仿宋" w:cs="仿宋"/>
                <w:sz w:val="24"/>
              </w:rPr>
            </w:pPr>
            <w:r>
              <w:rPr>
                <w:rFonts w:ascii="仿宋" w:eastAsia="仿宋" w:hAnsi="仿宋" w:cs="仿宋" w:hint="eastAsia"/>
                <w:kern w:val="1"/>
                <w:sz w:val="24"/>
              </w:rPr>
              <w:t>（三十六）</w:t>
            </w:r>
            <w:r>
              <w:rPr>
                <w:rFonts w:ascii="仿宋" w:eastAsia="仿宋" w:hAnsi="仿宋" w:cs="仿宋" w:hint="eastAsia"/>
                <w:sz w:val="24"/>
              </w:rPr>
              <w:t>《企业撤回出口退（免）税备案未结清退（免）税确认书》。</w:t>
            </w:r>
          </w:p>
        </w:tc>
        <w:tc>
          <w:tcPr>
            <w:tcW w:w="1288" w:type="dxa"/>
            <w:vMerge w:val="restart"/>
            <w:vAlign w:val="center"/>
          </w:tcPr>
          <w:p w:rsidR="00013EC7" w:rsidRDefault="00575CDB">
            <w:pPr>
              <w:rPr>
                <w:rFonts w:ascii="仿宋" w:eastAsia="仿宋" w:hAnsi="仿宋" w:cs="仿宋"/>
                <w:sz w:val="24"/>
              </w:rPr>
            </w:pPr>
            <w:r>
              <w:rPr>
                <w:rFonts w:ascii="仿宋" w:eastAsia="仿宋" w:hAnsi="仿宋" w:cs="仿宋" w:hint="eastAsia"/>
                <w:sz w:val="24"/>
              </w:rPr>
              <w:t>办理因合并、分立、改制重组申请出口退（免）税备案撤回业务的企业纳税人提供</w:t>
            </w:r>
          </w:p>
        </w:tc>
        <w:tc>
          <w:tcPr>
            <w:tcW w:w="2837" w:type="dxa"/>
            <w:vAlign w:val="center"/>
          </w:tcPr>
          <w:p w:rsidR="00013EC7" w:rsidRDefault="00575CDB">
            <w:pPr>
              <w:rPr>
                <w:rFonts w:ascii="仿宋" w:eastAsia="仿宋" w:hAnsi="仿宋" w:cs="仿宋"/>
                <w:sz w:val="24"/>
              </w:rPr>
            </w:pPr>
            <w:r>
              <w:rPr>
                <w:rFonts w:ascii="仿宋" w:eastAsia="仿宋" w:hAnsi="仿宋" w:cs="仿宋" w:hint="eastAsia"/>
                <w:kern w:val="1"/>
                <w:sz w:val="24"/>
              </w:rPr>
              <w:t>（三十四）</w:t>
            </w:r>
            <w:r>
              <w:rPr>
                <w:rFonts w:ascii="仿宋" w:eastAsia="仿宋" w:hAnsi="仿宋" w:cs="仿宋" w:hint="eastAsia"/>
                <w:sz w:val="24"/>
              </w:rPr>
              <w:t>《企业撤回出口退（免）税备案未结清退（免）税确认书》。</w:t>
            </w:r>
          </w:p>
        </w:tc>
        <w:tc>
          <w:tcPr>
            <w:tcW w:w="1326" w:type="dxa"/>
            <w:vMerge w:val="restart"/>
            <w:vAlign w:val="center"/>
          </w:tcPr>
          <w:p w:rsidR="00013EC7" w:rsidRDefault="00575CDB">
            <w:pPr>
              <w:rPr>
                <w:rFonts w:ascii="仿宋" w:eastAsia="仿宋" w:hAnsi="仿宋" w:cs="仿宋"/>
                <w:sz w:val="24"/>
              </w:rPr>
            </w:pPr>
            <w:r>
              <w:rPr>
                <w:rFonts w:ascii="仿宋" w:eastAsia="仿宋" w:hAnsi="仿宋" w:cs="仿宋" w:hint="eastAsia"/>
                <w:sz w:val="24"/>
              </w:rPr>
              <w:t>办理因合并、分立、改制重组申请出口退（免）税备案撤回业务的企业纳税人提供</w:t>
            </w:r>
          </w:p>
        </w:tc>
        <w:tc>
          <w:tcPr>
            <w:tcW w:w="2861" w:type="dxa"/>
            <w:vAlign w:val="center"/>
          </w:tcPr>
          <w:p w:rsidR="00013EC7" w:rsidRDefault="00575CDB">
            <w:pPr>
              <w:spacing w:line="300" w:lineRule="exact"/>
              <w:rPr>
                <w:rFonts w:ascii="仿宋" w:eastAsia="仿宋" w:hAnsi="仿宋" w:cs="仿宋"/>
                <w:kern w:val="1"/>
                <w:sz w:val="24"/>
              </w:rPr>
            </w:pPr>
            <w:r>
              <w:rPr>
                <w:rFonts w:ascii="仿宋" w:eastAsia="仿宋" w:hAnsi="仿宋" w:cs="仿宋" w:hint="eastAsia"/>
                <w:b/>
                <w:sz w:val="24"/>
              </w:rPr>
              <w:t>现场办理：</w:t>
            </w:r>
            <w:r>
              <w:rPr>
                <w:rFonts w:ascii="仿宋" w:eastAsia="仿宋" w:hAnsi="仿宋" w:cs="仿宋" w:hint="eastAsia"/>
                <w:sz w:val="24"/>
              </w:rPr>
              <w:t>纳税人提交书面材料。</w:t>
            </w:r>
          </w:p>
        </w:tc>
        <w:tc>
          <w:tcPr>
            <w:tcW w:w="855"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25"/>
          <w:jc w:val="center"/>
        </w:trPr>
        <w:tc>
          <w:tcPr>
            <w:tcW w:w="672" w:type="dxa"/>
            <w:vMerge/>
            <w:vAlign w:val="center"/>
          </w:tcPr>
          <w:p w:rsidR="00013EC7" w:rsidRDefault="00013EC7">
            <w:pPr>
              <w:rPr>
                <w:rFonts w:ascii="仿宋" w:eastAsia="仿宋" w:hAnsi="仿宋" w:cs="仿宋"/>
                <w:kern w:val="1"/>
                <w:sz w:val="24"/>
              </w:rPr>
            </w:pPr>
          </w:p>
        </w:tc>
        <w:tc>
          <w:tcPr>
            <w:tcW w:w="1035" w:type="dxa"/>
            <w:vMerge/>
            <w:vAlign w:val="center"/>
          </w:tcPr>
          <w:p w:rsidR="00013EC7" w:rsidRDefault="00013EC7">
            <w:pPr>
              <w:rPr>
                <w:rFonts w:ascii="仿宋" w:eastAsia="仿宋" w:hAnsi="仿宋" w:cs="仿宋"/>
                <w:kern w:val="1"/>
                <w:sz w:val="24"/>
              </w:rPr>
            </w:pPr>
          </w:p>
        </w:tc>
        <w:tc>
          <w:tcPr>
            <w:tcW w:w="2622" w:type="dxa"/>
            <w:vMerge/>
            <w:vAlign w:val="center"/>
          </w:tcPr>
          <w:p w:rsidR="00013EC7" w:rsidRDefault="00013EC7">
            <w:pPr>
              <w:rPr>
                <w:rFonts w:ascii="仿宋" w:eastAsia="仿宋" w:hAnsi="仿宋" w:cs="仿宋"/>
                <w:kern w:val="1"/>
                <w:sz w:val="24"/>
              </w:rPr>
            </w:pPr>
          </w:p>
        </w:tc>
        <w:tc>
          <w:tcPr>
            <w:tcW w:w="2760" w:type="dxa"/>
            <w:vAlign w:val="center"/>
          </w:tcPr>
          <w:p w:rsidR="00013EC7" w:rsidRDefault="00575CDB">
            <w:pPr>
              <w:rPr>
                <w:rFonts w:ascii="仿宋" w:eastAsia="仿宋" w:hAnsi="仿宋" w:cs="仿宋"/>
                <w:sz w:val="24"/>
              </w:rPr>
            </w:pPr>
            <w:r>
              <w:rPr>
                <w:rFonts w:ascii="仿宋" w:eastAsia="仿宋" w:hAnsi="仿宋" w:cs="仿宋" w:hint="eastAsia"/>
                <w:kern w:val="1"/>
                <w:sz w:val="24"/>
              </w:rPr>
              <w:t>（三十七）</w:t>
            </w:r>
            <w:r>
              <w:rPr>
                <w:rFonts w:ascii="仿宋" w:eastAsia="仿宋" w:hAnsi="仿宋" w:cs="仿宋" w:hint="eastAsia"/>
                <w:sz w:val="24"/>
              </w:rPr>
              <w:t>合并、分立、改制重组企业决议、章程及相。关部门批件。</w:t>
            </w:r>
          </w:p>
        </w:tc>
        <w:tc>
          <w:tcPr>
            <w:tcW w:w="1288" w:type="dxa"/>
            <w:vMerge/>
            <w:vAlign w:val="center"/>
          </w:tcPr>
          <w:p w:rsidR="00013EC7" w:rsidRDefault="00013EC7">
            <w:pPr>
              <w:rPr>
                <w:rFonts w:ascii="仿宋" w:eastAsia="仿宋" w:hAnsi="仿宋" w:cs="仿宋"/>
                <w:sz w:val="24"/>
              </w:rPr>
            </w:pPr>
          </w:p>
        </w:tc>
        <w:tc>
          <w:tcPr>
            <w:tcW w:w="2837" w:type="dxa"/>
            <w:vAlign w:val="center"/>
          </w:tcPr>
          <w:p w:rsidR="00013EC7" w:rsidRDefault="00575CDB">
            <w:pPr>
              <w:rPr>
                <w:rFonts w:ascii="仿宋" w:eastAsia="仿宋" w:hAnsi="仿宋" w:cs="仿宋"/>
                <w:sz w:val="24"/>
              </w:rPr>
            </w:pPr>
            <w:r>
              <w:rPr>
                <w:rFonts w:ascii="仿宋" w:eastAsia="仿宋" w:hAnsi="仿宋" w:cs="仿宋" w:hint="eastAsia"/>
                <w:kern w:val="1"/>
                <w:sz w:val="24"/>
              </w:rPr>
              <w:t>（三十五）</w:t>
            </w:r>
            <w:r>
              <w:rPr>
                <w:rFonts w:ascii="仿宋" w:eastAsia="仿宋" w:hAnsi="仿宋" w:cs="仿宋" w:hint="eastAsia"/>
                <w:sz w:val="24"/>
              </w:rPr>
              <w:t>合并、分立、改制重组企业决议、章程及相关部门批件。</w:t>
            </w:r>
          </w:p>
        </w:tc>
        <w:tc>
          <w:tcPr>
            <w:tcW w:w="1326" w:type="dxa"/>
            <w:vMerge/>
            <w:vAlign w:val="center"/>
          </w:tcPr>
          <w:p w:rsidR="00013EC7" w:rsidRDefault="00013EC7">
            <w:pPr>
              <w:rPr>
                <w:rFonts w:ascii="仿宋" w:eastAsia="仿宋" w:hAnsi="仿宋" w:cs="仿宋"/>
                <w:sz w:val="24"/>
              </w:rPr>
            </w:pPr>
          </w:p>
        </w:tc>
        <w:tc>
          <w:tcPr>
            <w:tcW w:w="2861" w:type="dxa"/>
            <w:vAlign w:val="center"/>
          </w:tcPr>
          <w:p w:rsidR="00013EC7" w:rsidRDefault="00575CDB">
            <w:pPr>
              <w:spacing w:line="300" w:lineRule="exact"/>
              <w:rPr>
                <w:rFonts w:ascii="仿宋" w:eastAsia="仿宋" w:hAnsi="仿宋" w:cs="仿宋"/>
                <w:kern w:val="1"/>
                <w:sz w:val="24"/>
              </w:rPr>
            </w:pPr>
            <w:r>
              <w:rPr>
                <w:rFonts w:ascii="仿宋" w:eastAsia="仿宋" w:hAnsi="仿宋" w:cs="仿宋" w:hint="eastAsia"/>
                <w:b/>
                <w:sz w:val="24"/>
              </w:rPr>
              <w:t>现场办理：</w:t>
            </w:r>
            <w:r>
              <w:rPr>
                <w:rFonts w:ascii="仿宋" w:eastAsia="仿宋" w:hAnsi="仿宋" w:cs="仿宋" w:hint="eastAsia"/>
                <w:sz w:val="24"/>
              </w:rPr>
              <w:t>纳税人提交书面材料。</w:t>
            </w:r>
          </w:p>
        </w:tc>
        <w:tc>
          <w:tcPr>
            <w:tcW w:w="855"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25"/>
          <w:jc w:val="center"/>
        </w:trPr>
        <w:tc>
          <w:tcPr>
            <w:tcW w:w="672" w:type="dxa"/>
            <w:vMerge/>
            <w:vAlign w:val="center"/>
          </w:tcPr>
          <w:p w:rsidR="00013EC7" w:rsidRDefault="00013EC7">
            <w:pPr>
              <w:rPr>
                <w:rFonts w:ascii="仿宋" w:eastAsia="仿宋" w:hAnsi="仿宋" w:cs="仿宋"/>
                <w:kern w:val="1"/>
                <w:sz w:val="24"/>
              </w:rPr>
            </w:pPr>
          </w:p>
        </w:tc>
        <w:tc>
          <w:tcPr>
            <w:tcW w:w="1035" w:type="dxa"/>
            <w:vMerge/>
            <w:vAlign w:val="center"/>
          </w:tcPr>
          <w:p w:rsidR="00013EC7" w:rsidRDefault="00013EC7">
            <w:pPr>
              <w:rPr>
                <w:rFonts w:ascii="仿宋" w:eastAsia="仿宋" w:hAnsi="仿宋" w:cs="仿宋"/>
                <w:kern w:val="1"/>
                <w:sz w:val="24"/>
              </w:rPr>
            </w:pPr>
          </w:p>
        </w:tc>
        <w:tc>
          <w:tcPr>
            <w:tcW w:w="2622" w:type="dxa"/>
            <w:vMerge/>
            <w:vAlign w:val="center"/>
          </w:tcPr>
          <w:p w:rsidR="00013EC7" w:rsidRDefault="00013EC7">
            <w:pPr>
              <w:rPr>
                <w:rFonts w:ascii="仿宋" w:eastAsia="仿宋" w:hAnsi="仿宋" w:cs="仿宋"/>
                <w:kern w:val="1"/>
                <w:sz w:val="24"/>
              </w:rPr>
            </w:pPr>
          </w:p>
        </w:tc>
        <w:tc>
          <w:tcPr>
            <w:tcW w:w="2760" w:type="dxa"/>
            <w:vAlign w:val="center"/>
          </w:tcPr>
          <w:p w:rsidR="00013EC7" w:rsidRDefault="00575CDB">
            <w:pPr>
              <w:rPr>
                <w:rFonts w:ascii="仿宋" w:eastAsia="仿宋" w:hAnsi="仿宋" w:cs="仿宋"/>
                <w:sz w:val="24"/>
              </w:rPr>
            </w:pPr>
            <w:r>
              <w:rPr>
                <w:rFonts w:ascii="仿宋" w:eastAsia="仿宋" w:hAnsi="仿宋" w:cs="仿宋" w:hint="eastAsia"/>
                <w:kern w:val="1"/>
                <w:sz w:val="24"/>
              </w:rPr>
              <w:t>（三十八）</w:t>
            </w:r>
            <w:r>
              <w:rPr>
                <w:rFonts w:ascii="仿宋" w:eastAsia="仿宋" w:hAnsi="仿宋" w:cs="仿宋" w:hint="eastAsia"/>
                <w:sz w:val="24"/>
              </w:rPr>
              <w:t>承继撤回备案企业权利和义务的企业在原备案企业所在地的开户银行名称及账号。</w:t>
            </w:r>
          </w:p>
        </w:tc>
        <w:tc>
          <w:tcPr>
            <w:tcW w:w="1288" w:type="dxa"/>
            <w:vMerge/>
            <w:vAlign w:val="center"/>
          </w:tcPr>
          <w:p w:rsidR="00013EC7" w:rsidRDefault="00013EC7">
            <w:pPr>
              <w:rPr>
                <w:rFonts w:ascii="仿宋" w:eastAsia="仿宋" w:hAnsi="仿宋" w:cs="仿宋"/>
                <w:sz w:val="24"/>
              </w:rPr>
            </w:pPr>
          </w:p>
        </w:tc>
        <w:tc>
          <w:tcPr>
            <w:tcW w:w="2837" w:type="dxa"/>
            <w:vAlign w:val="center"/>
          </w:tcPr>
          <w:p w:rsidR="00013EC7" w:rsidRDefault="00575CDB">
            <w:pPr>
              <w:rPr>
                <w:rFonts w:ascii="仿宋" w:eastAsia="仿宋" w:hAnsi="仿宋" w:cs="仿宋"/>
                <w:sz w:val="24"/>
              </w:rPr>
            </w:pPr>
            <w:r>
              <w:rPr>
                <w:rFonts w:ascii="仿宋" w:eastAsia="仿宋" w:hAnsi="仿宋" w:cs="仿宋" w:hint="eastAsia"/>
                <w:kern w:val="1"/>
                <w:sz w:val="24"/>
              </w:rPr>
              <w:t>（三十六）</w:t>
            </w:r>
            <w:r>
              <w:rPr>
                <w:rFonts w:ascii="仿宋" w:eastAsia="仿宋" w:hAnsi="仿宋" w:cs="仿宋" w:hint="eastAsia"/>
                <w:sz w:val="24"/>
              </w:rPr>
              <w:t>承继撤回备案企业权利和义务的企业在原备案企业所在地的开户银行名称及账号。</w:t>
            </w:r>
          </w:p>
        </w:tc>
        <w:tc>
          <w:tcPr>
            <w:tcW w:w="1326" w:type="dxa"/>
            <w:vMerge/>
            <w:vAlign w:val="center"/>
          </w:tcPr>
          <w:p w:rsidR="00013EC7" w:rsidRDefault="00013EC7">
            <w:pPr>
              <w:rPr>
                <w:rFonts w:ascii="仿宋" w:eastAsia="仿宋" w:hAnsi="仿宋" w:cs="仿宋"/>
                <w:sz w:val="24"/>
              </w:rPr>
            </w:pPr>
          </w:p>
        </w:tc>
        <w:tc>
          <w:tcPr>
            <w:tcW w:w="2861" w:type="dxa"/>
            <w:vAlign w:val="center"/>
          </w:tcPr>
          <w:p w:rsidR="00013EC7" w:rsidRDefault="00575CDB">
            <w:pPr>
              <w:spacing w:line="300" w:lineRule="exact"/>
              <w:rPr>
                <w:rFonts w:ascii="仿宋" w:eastAsia="仿宋" w:hAnsi="仿宋" w:cs="仿宋"/>
                <w:kern w:val="1"/>
                <w:sz w:val="24"/>
              </w:rPr>
            </w:pPr>
            <w:r>
              <w:rPr>
                <w:rFonts w:ascii="仿宋" w:eastAsia="仿宋" w:hAnsi="仿宋" w:cs="仿宋" w:hint="eastAsia"/>
                <w:b/>
                <w:sz w:val="24"/>
              </w:rPr>
              <w:t>现场办理：</w:t>
            </w:r>
            <w:r>
              <w:rPr>
                <w:rFonts w:ascii="仿宋" w:eastAsia="仿宋" w:hAnsi="仿宋" w:cs="仿宋" w:hint="eastAsia"/>
                <w:sz w:val="24"/>
              </w:rPr>
              <w:t>纳税人提交书面材料。</w:t>
            </w:r>
          </w:p>
        </w:tc>
        <w:tc>
          <w:tcPr>
            <w:tcW w:w="855"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992"/>
          <w:jc w:val="center"/>
        </w:trPr>
        <w:tc>
          <w:tcPr>
            <w:tcW w:w="672" w:type="dxa"/>
            <w:vMerge/>
            <w:vAlign w:val="center"/>
          </w:tcPr>
          <w:p w:rsidR="00013EC7" w:rsidRDefault="00013EC7">
            <w:pPr>
              <w:rPr>
                <w:rFonts w:ascii="仿宋" w:eastAsia="仿宋" w:hAnsi="仿宋" w:cs="仿宋"/>
                <w:kern w:val="1"/>
                <w:sz w:val="24"/>
              </w:rPr>
            </w:pPr>
          </w:p>
        </w:tc>
        <w:tc>
          <w:tcPr>
            <w:tcW w:w="1035" w:type="dxa"/>
            <w:vMerge/>
            <w:vAlign w:val="center"/>
          </w:tcPr>
          <w:p w:rsidR="00013EC7" w:rsidRDefault="00013EC7">
            <w:pPr>
              <w:rPr>
                <w:rFonts w:ascii="仿宋" w:eastAsia="仿宋" w:hAnsi="仿宋" w:cs="仿宋"/>
                <w:kern w:val="1"/>
                <w:sz w:val="24"/>
              </w:rPr>
            </w:pPr>
          </w:p>
        </w:tc>
        <w:tc>
          <w:tcPr>
            <w:tcW w:w="2622" w:type="dxa"/>
            <w:vMerge/>
            <w:vAlign w:val="center"/>
          </w:tcPr>
          <w:p w:rsidR="00013EC7" w:rsidRDefault="00013EC7">
            <w:pPr>
              <w:rPr>
                <w:rFonts w:ascii="仿宋" w:eastAsia="仿宋" w:hAnsi="仿宋" w:cs="仿宋"/>
                <w:kern w:val="1"/>
                <w:sz w:val="24"/>
              </w:rPr>
            </w:pPr>
          </w:p>
        </w:tc>
        <w:tc>
          <w:tcPr>
            <w:tcW w:w="2760" w:type="dxa"/>
            <w:vAlign w:val="center"/>
          </w:tcPr>
          <w:p w:rsidR="00013EC7" w:rsidRDefault="00575CDB">
            <w:pPr>
              <w:rPr>
                <w:rFonts w:ascii="仿宋" w:eastAsia="仿宋" w:hAnsi="仿宋" w:cs="仿宋"/>
                <w:sz w:val="24"/>
              </w:rPr>
            </w:pPr>
            <w:r>
              <w:rPr>
                <w:rFonts w:ascii="仿宋" w:eastAsia="仿宋" w:hAnsi="仿宋" w:cs="仿宋" w:hint="eastAsia"/>
                <w:kern w:val="1"/>
                <w:sz w:val="24"/>
              </w:rPr>
              <w:t>（三十九）</w:t>
            </w:r>
            <w:r>
              <w:rPr>
                <w:rFonts w:ascii="仿宋" w:eastAsia="仿宋" w:hAnsi="仿宋" w:cs="仿宋" w:hint="eastAsia"/>
                <w:sz w:val="24"/>
              </w:rPr>
              <w:t>放弃未申报或已申报但尚未办理的出口退(免)税并按规定申报免税的声明材料。</w:t>
            </w:r>
          </w:p>
        </w:tc>
        <w:tc>
          <w:tcPr>
            <w:tcW w:w="1288" w:type="dxa"/>
            <w:vAlign w:val="center"/>
          </w:tcPr>
          <w:p w:rsidR="00013EC7" w:rsidRDefault="00575CDB">
            <w:pPr>
              <w:rPr>
                <w:rFonts w:ascii="仿宋" w:eastAsia="仿宋" w:hAnsi="仿宋" w:cs="仿宋"/>
                <w:sz w:val="24"/>
              </w:rPr>
            </w:pPr>
            <w:r>
              <w:rPr>
                <w:rFonts w:ascii="仿宋" w:eastAsia="仿宋" w:hAnsi="仿宋" w:cs="仿宋" w:hint="eastAsia"/>
                <w:sz w:val="24"/>
              </w:rPr>
              <w:t>放弃未申报或已申报但尚未办理的出口退（免）税并按规定申报免税的申请出口退（免）税备案撤回业务的企业纳税人提供</w:t>
            </w:r>
          </w:p>
        </w:tc>
        <w:tc>
          <w:tcPr>
            <w:tcW w:w="2837" w:type="dxa"/>
            <w:vAlign w:val="center"/>
          </w:tcPr>
          <w:p w:rsidR="00013EC7" w:rsidRDefault="00575CDB">
            <w:pPr>
              <w:rPr>
                <w:rFonts w:ascii="仿宋" w:eastAsia="仿宋" w:hAnsi="仿宋" w:cs="仿宋"/>
                <w:sz w:val="24"/>
              </w:rPr>
            </w:pPr>
            <w:r>
              <w:rPr>
                <w:rFonts w:ascii="仿宋" w:eastAsia="仿宋" w:hAnsi="仿宋" w:cs="仿宋" w:hint="eastAsia"/>
                <w:kern w:val="1"/>
                <w:sz w:val="24"/>
              </w:rPr>
              <w:t>（三十七）</w:t>
            </w:r>
            <w:r>
              <w:rPr>
                <w:rFonts w:ascii="仿宋" w:eastAsia="仿宋" w:hAnsi="仿宋" w:cs="仿宋" w:hint="eastAsia"/>
                <w:sz w:val="24"/>
              </w:rPr>
              <w:t>放弃未申报或已申报但尚未办理的出口退(免)税并按规定申报免税的声明材料。</w:t>
            </w:r>
          </w:p>
          <w:p w:rsidR="00013EC7" w:rsidRDefault="00013EC7">
            <w:pPr>
              <w:rPr>
                <w:rFonts w:ascii="仿宋" w:eastAsia="仿宋" w:hAnsi="仿宋" w:cs="仿宋"/>
                <w:sz w:val="24"/>
              </w:rPr>
            </w:pPr>
          </w:p>
        </w:tc>
        <w:tc>
          <w:tcPr>
            <w:tcW w:w="1326" w:type="dxa"/>
            <w:vAlign w:val="center"/>
          </w:tcPr>
          <w:p w:rsidR="00013EC7" w:rsidRDefault="00575CDB">
            <w:pPr>
              <w:rPr>
                <w:rFonts w:ascii="仿宋" w:eastAsia="仿宋" w:hAnsi="仿宋" w:cs="仿宋"/>
                <w:sz w:val="24"/>
              </w:rPr>
            </w:pPr>
            <w:r>
              <w:rPr>
                <w:rFonts w:ascii="仿宋" w:eastAsia="仿宋" w:hAnsi="仿宋" w:cs="仿宋" w:hint="eastAsia"/>
                <w:sz w:val="24"/>
              </w:rPr>
              <w:t>放弃未申报或已申报但尚未办理的出口退（免）税并按规定申报免税的申请出口退（免）税备案撤回业务的企业纳税人提供</w:t>
            </w:r>
          </w:p>
        </w:tc>
        <w:tc>
          <w:tcPr>
            <w:tcW w:w="2861" w:type="dxa"/>
            <w:vAlign w:val="center"/>
          </w:tcPr>
          <w:p w:rsidR="00013EC7" w:rsidRDefault="00575CDB">
            <w:pPr>
              <w:spacing w:line="300" w:lineRule="exact"/>
              <w:rPr>
                <w:rFonts w:ascii="仿宋" w:eastAsia="仿宋" w:hAnsi="仿宋" w:cs="仿宋"/>
                <w:kern w:val="1"/>
                <w:sz w:val="24"/>
              </w:rPr>
            </w:pPr>
            <w:r>
              <w:rPr>
                <w:rFonts w:ascii="仿宋" w:eastAsia="仿宋" w:hAnsi="仿宋" w:cs="仿宋" w:hint="eastAsia"/>
                <w:b/>
                <w:sz w:val="24"/>
              </w:rPr>
              <w:t>现场办理：</w:t>
            </w:r>
            <w:r>
              <w:rPr>
                <w:rFonts w:ascii="仿宋" w:eastAsia="仿宋" w:hAnsi="仿宋" w:cs="仿宋" w:hint="eastAsia"/>
                <w:sz w:val="24"/>
              </w:rPr>
              <w:t>纳税人提交书面材料。</w:t>
            </w:r>
          </w:p>
        </w:tc>
        <w:tc>
          <w:tcPr>
            <w:tcW w:w="855"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bl>
    <w:p w:rsidR="00013EC7" w:rsidRDefault="00013EC7"/>
    <w:p w:rsidR="00013EC7" w:rsidRDefault="005262E6">
      <w:pPr>
        <w:jc w:val="center"/>
        <w:rPr>
          <w:rFonts w:eastAsia="方正书宋简体"/>
          <w:szCs w:val="21"/>
        </w:rPr>
      </w:pPr>
      <w:r>
        <w:lastRenderedPageBreak/>
        <w:object w:dxaOrig="1440" w:dyaOrig="1440">
          <v:shape id="_x0000_s1468" type="#_x0000_t75" style="position:absolute;left:0;text-align:left;margin-left:71.45pt;margin-top:94.25pt;width:530.3pt;height:649.5pt;z-index:251723776;mso-wrap-distance-top:0;mso-wrap-distance-bottom:0;mso-position-vertical-relative:page;mso-width-relative:page;mso-height-relative:page">
            <v:imagedata r:id="rId466" o:title=""/>
            <w10:wrap type="topAndBottom" anchory="page"/>
          </v:shape>
          <o:OLEObject Type="Embed" ProgID="Visio.Drawing.11" ShapeID="_x0000_s1468" DrawAspect="Content" ObjectID="_1577296309" r:id="rId467"/>
        </w:object>
      </w:r>
    </w:p>
    <w:p w:rsidR="00013EC7" w:rsidRDefault="00013EC7">
      <w:pPr>
        <w:rPr>
          <w:rFonts w:ascii="宋体" w:hAnsi="宋体" w:cs="仿宋"/>
          <w:sz w:val="28"/>
          <w:szCs w:val="28"/>
        </w:rPr>
        <w:sectPr w:rsidR="00013EC7">
          <w:pgSz w:w="23814" w:h="16840" w:orient="landscape"/>
          <w:pgMar w:top="1701" w:right="1843" w:bottom="1985" w:left="1843" w:header="851" w:footer="1701" w:gutter="0"/>
          <w:pgNumType w:fmt="numberInDash"/>
          <w:cols w:space="720"/>
          <w:docGrid w:type="lines" w:linePitch="312"/>
        </w:sectPr>
      </w:pPr>
    </w:p>
    <w:p w:rsidR="00013EC7" w:rsidRDefault="00575CDB">
      <w:pPr>
        <w:pStyle w:val="2"/>
      </w:pPr>
      <w:bookmarkStart w:id="563" w:name="_Toc22580"/>
      <w:bookmarkStart w:id="564" w:name="_Toc26811"/>
      <w:bookmarkStart w:id="565" w:name="_Toc503467483"/>
      <w:bookmarkStart w:id="566" w:name="_Toc11179"/>
      <w:r>
        <w:rPr>
          <w:rFonts w:hint="eastAsia"/>
        </w:rPr>
        <w:lastRenderedPageBreak/>
        <w:t>29.2</w:t>
      </w:r>
      <w:r>
        <w:rPr>
          <w:rFonts w:hint="eastAsia"/>
        </w:rPr>
        <w:t>集团公司及成员企业备案</w:t>
      </w:r>
      <w:bookmarkEnd w:id="563"/>
      <w:bookmarkEnd w:id="564"/>
      <w:bookmarkEnd w:id="565"/>
      <w:bookmarkEnd w:id="566"/>
    </w:p>
    <w:p w:rsidR="00013EC7" w:rsidRDefault="00575CDB">
      <w:pPr>
        <w:jc w:val="center"/>
        <w:rPr>
          <w:rFonts w:ascii="宋体" w:hAnsi="宋体" w:cs="宋体"/>
          <w:b/>
          <w:bCs/>
          <w:sz w:val="52"/>
          <w:szCs w:val="52"/>
        </w:rPr>
      </w:pPr>
      <w:r>
        <w:rPr>
          <w:rFonts w:ascii="宋体" w:hAnsi="宋体" w:cs="宋体" w:hint="eastAsia"/>
          <w:b/>
          <w:bCs/>
          <w:sz w:val="52"/>
          <w:szCs w:val="52"/>
        </w:rPr>
        <w:t>全省“最多跑一次”事项“八统一”梳理表</w:t>
      </w:r>
    </w:p>
    <w:p w:rsidR="00013EC7" w:rsidRDefault="00013EC7">
      <w:pPr>
        <w:rPr>
          <w:rFonts w:ascii="宋体" w:hAnsi="宋体" w:cs="宋体"/>
          <w:b/>
          <w:bCs/>
          <w:sz w:val="44"/>
          <w:szCs w:val="44"/>
        </w:rPr>
      </w:pPr>
    </w:p>
    <w:tbl>
      <w:tblPr>
        <w:tblW w:w="20704"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1250"/>
        <w:gridCol w:w="1316"/>
        <w:gridCol w:w="2114"/>
        <w:gridCol w:w="2785"/>
        <w:gridCol w:w="1118"/>
        <w:gridCol w:w="2403"/>
        <w:gridCol w:w="1196"/>
        <w:gridCol w:w="3318"/>
        <w:gridCol w:w="868"/>
        <w:gridCol w:w="798"/>
        <w:gridCol w:w="958"/>
        <w:gridCol w:w="1104"/>
        <w:gridCol w:w="1476"/>
      </w:tblGrid>
      <w:tr w:rsidR="00013EC7">
        <w:trPr>
          <w:trHeight w:val="340"/>
          <w:tblHeader/>
          <w:jc w:val="center"/>
        </w:trPr>
        <w:tc>
          <w:tcPr>
            <w:tcW w:w="1250"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主项名称</w:t>
            </w:r>
          </w:p>
        </w:tc>
        <w:tc>
          <w:tcPr>
            <w:tcW w:w="1316"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子项名称</w:t>
            </w:r>
          </w:p>
        </w:tc>
        <w:tc>
          <w:tcPr>
            <w:tcW w:w="2114"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经办依据</w:t>
            </w:r>
          </w:p>
        </w:tc>
        <w:tc>
          <w:tcPr>
            <w:tcW w:w="3903"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原经办所需材料</w:t>
            </w:r>
          </w:p>
        </w:tc>
        <w:tc>
          <w:tcPr>
            <w:tcW w:w="6917" w:type="dxa"/>
            <w:gridSpan w:val="3"/>
            <w:vAlign w:val="center"/>
          </w:tcPr>
          <w:p w:rsidR="00013EC7" w:rsidRDefault="00575CDB">
            <w:pPr>
              <w:spacing w:line="280" w:lineRule="exact"/>
              <w:jc w:val="center"/>
              <w:rPr>
                <w:rFonts w:ascii="黑体" w:eastAsia="黑体"/>
                <w:sz w:val="24"/>
              </w:rPr>
            </w:pPr>
            <w:r>
              <w:rPr>
                <w:rFonts w:ascii="黑体" w:eastAsia="黑体" w:hint="eastAsia"/>
                <w:sz w:val="24"/>
              </w:rPr>
              <w:t>梳理后经办所需材料</w:t>
            </w:r>
          </w:p>
        </w:tc>
        <w:tc>
          <w:tcPr>
            <w:tcW w:w="1666"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办理时限</w:t>
            </w:r>
          </w:p>
        </w:tc>
        <w:tc>
          <w:tcPr>
            <w:tcW w:w="958"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是否实现跑零次</w:t>
            </w:r>
          </w:p>
        </w:tc>
        <w:tc>
          <w:tcPr>
            <w:tcW w:w="1104"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省厅对口</w:t>
            </w:r>
          </w:p>
          <w:p w:rsidR="00013EC7" w:rsidRDefault="00575CDB">
            <w:pPr>
              <w:spacing w:line="280" w:lineRule="exact"/>
              <w:jc w:val="center"/>
              <w:rPr>
                <w:rFonts w:ascii="黑体" w:eastAsia="黑体"/>
                <w:sz w:val="24"/>
              </w:rPr>
            </w:pPr>
            <w:r>
              <w:rPr>
                <w:rFonts w:ascii="黑体" w:eastAsia="黑体" w:hint="eastAsia"/>
                <w:sz w:val="24"/>
              </w:rPr>
              <w:t>指导处室</w:t>
            </w:r>
          </w:p>
          <w:p w:rsidR="00013EC7" w:rsidRDefault="00575CDB">
            <w:pPr>
              <w:spacing w:line="280" w:lineRule="exact"/>
              <w:jc w:val="center"/>
              <w:rPr>
                <w:rFonts w:ascii="黑体" w:eastAsia="黑体"/>
                <w:sz w:val="24"/>
              </w:rPr>
            </w:pPr>
            <w:r>
              <w:rPr>
                <w:rFonts w:ascii="黑体" w:eastAsia="黑体" w:hint="eastAsia"/>
                <w:sz w:val="24"/>
              </w:rPr>
              <w:t>（单位）</w:t>
            </w:r>
          </w:p>
        </w:tc>
        <w:tc>
          <w:tcPr>
            <w:tcW w:w="1476"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进一步精简、</w:t>
            </w:r>
          </w:p>
          <w:p w:rsidR="00013EC7" w:rsidRDefault="00575CDB">
            <w:pPr>
              <w:spacing w:line="280" w:lineRule="exact"/>
              <w:jc w:val="center"/>
              <w:rPr>
                <w:rFonts w:ascii="黑体" w:eastAsia="黑体"/>
                <w:sz w:val="24"/>
              </w:rPr>
            </w:pPr>
            <w:r>
              <w:rPr>
                <w:rFonts w:ascii="黑体" w:eastAsia="黑体" w:hint="eastAsia"/>
                <w:sz w:val="24"/>
              </w:rPr>
              <w:t>规范建议</w:t>
            </w:r>
          </w:p>
        </w:tc>
      </w:tr>
      <w:tr w:rsidR="00013EC7">
        <w:trPr>
          <w:trHeight w:val="340"/>
          <w:tblHeader/>
          <w:jc w:val="center"/>
        </w:trPr>
        <w:tc>
          <w:tcPr>
            <w:tcW w:w="1250" w:type="dxa"/>
            <w:vMerge/>
            <w:vAlign w:val="center"/>
          </w:tcPr>
          <w:p w:rsidR="00013EC7" w:rsidRDefault="00013EC7">
            <w:pPr>
              <w:rPr>
                <w:sz w:val="24"/>
              </w:rPr>
            </w:pPr>
          </w:p>
        </w:tc>
        <w:tc>
          <w:tcPr>
            <w:tcW w:w="1316" w:type="dxa"/>
            <w:vMerge/>
          </w:tcPr>
          <w:p w:rsidR="00013EC7" w:rsidRDefault="00013EC7">
            <w:pPr>
              <w:rPr>
                <w:sz w:val="24"/>
              </w:rPr>
            </w:pPr>
          </w:p>
        </w:tc>
        <w:tc>
          <w:tcPr>
            <w:tcW w:w="2114" w:type="dxa"/>
            <w:vMerge/>
          </w:tcPr>
          <w:p w:rsidR="00013EC7" w:rsidRDefault="00013EC7">
            <w:pPr>
              <w:rPr>
                <w:sz w:val="24"/>
              </w:rPr>
            </w:pPr>
          </w:p>
        </w:tc>
        <w:tc>
          <w:tcPr>
            <w:tcW w:w="2785" w:type="dxa"/>
            <w:tcBorders>
              <w:bottom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118"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2403" w:type="dxa"/>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196"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3318" w:type="dxa"/>
            <w:vAlign w:val="center"/>
          </w:tcPr>
          <w:p w:rsidR="00013EC7" w:rsidRDefault="00575CDB">
            <w:pPr>
              <w:spacing w:line="280" w:lineRule="exact"/>
              <w:jc w:val="center"/>
              <w:rPr>
                <w:rFonts w:ascii="黑体" w:eastAsia="黑体"/>
                <w:sz w:val="24"/>
              </w:rPr>
            </w:pPr>
            <w:r>
              <w:rPr>
                <w:rFonts w:ascii="黑体" w:eastAsia="黑体" w:hint="eastAsia"/>
                <w:sz w:val="24"/>
              </w:rPr>
              <w:t>办理方式及材料</w:t>
            </w:r>
          </w:p>
          <w:p w:rsidR="00013EC7" w:rsidRDefault="00575CDB">
            <w:pPr>
              <w:spacing w:line="280" w:lineRule="exact"/>
              <w:jc w:val="center"/>
              <w:rPr>
                <w:rFonts w:ascii="黑体" w:eastAsia="黑体"/>
                <w:sz w:val="24"/>
              </w:rPr>
            </w:pPr>
            <w:r>
              <w:rPr>
                <w:rFonts w:ascii="黑体" w:eastAsia="黑体" w:hint="eastAsia"/>
                <w:sz w:val="24"/>
              </w:rPr>
              <w:t>信息获取方式说明</w:t>
            </w:r>
          </w:p>
        </w:tc>
        <w:tc>
          <w:tcPr>
            <w:tcW w:w="868" w:type="dxa"/>
            <w:vAlign w:val="center"/>
          </w:tcPr>
          <w:p w:rsidR="00013EC7" w:rsidRDefault="00575CDB">
            <w:pPr>
              <w:spacing w:line="280" w:lineRule="exact"/>
              <w:jc w:val="center"/>
              <w:rPr>
                <w:rFonts w:ascii="黑体" w:eastAsia="黑体"/>
                <w:sz w:val="24"/>
              </w:rPr>
            </w:pPr>
            <w:r>
              <w:rPr>
                <w:rFonts w:ascii="黑体" w:eastAsia="黑体" w:hint="eastAsia"/>
                <w:sz w:val="24"/>
              </w:rPr>
              <w:t>优化前</w:t>
            </w:r>
          </w:p>
        </w:tc>
        <w:tc>
          <w:tcPr>
            <w:tcW w:w="798" w:type="dxa"/>
            <w:vAlign w:val="center"/>
          </w:tcPr>
          <w:p w:rsidR="00013EC7" w:rsidRDefault="00575CDB">
            <w:pPr>
              <w:spacing w:line="280" w:lineRule="exact"/>
              <w:jc w:val="center"/>
              <w:rPr>
                <w:rFonts w:ascii="黑体" w:eastAsia="黑体"/>
                <w:sz w:val="24"/>
              </w:rPr>
            </w:pPr>
            <w:r>
              <w:rPr>
                <w:rFonts w:ascii="黑体" w:eastAsia="黑体" w:hint="eastAsia"/>
                <w:sz w:val="24"/>
              </w:rPr>
              <w:t>优化后</w:t>
            </w:r>
          </w:p>
        </w:tc>
        <w:tc>
          <w:tcPr>
            <w:tcW w:w="958" w:type="dxa"/>
            <w:vMerge/>
            <w:vAlign w:val="center"/>
          </w:tcPr>
          <w:p w:rsidR="00013EC7" w:rsidRDefault="00013EC7">
            <w:pPr>
              <w:rPr>
                <w:sz w:val="24"/>
              </w:rPr>
            </w:pPr>
          </w:p>
        </w:tc>
        <w:tc>
          <w:tcPr>
            <w:tcW w:w="1104" w:type="dxa"/>
            <w:vMerge/>
            <w:vAlign w:val="center"/>
          </w:tcPr>
          <w:p w:rsidR="00013EC7" w:rsidRDefault="00013EC7">
            <w:pPr>
              <w:rPr>
                <w:sz w:val="24"/>
              </w:rPr>
            </w:pPr>
          </w:p>
        </w:tc>
        <w:tc>
          <w:tcPr>
            <w:tcW w:w="1476" w:type="dxa"/>
            <w:vMerge/>
            <w:vAlign w:val="center"/>
          </w:tcPr>
          <w:p w:rsidR="00013EC7" w:rsidRDefault="00013EC7">
            <w:pPr>
              <w:rPr>
                <w:sz w:val="24"/>
              </w:rPr>
            </w:pPr>
          </w:p>
        </w:tc>
      </w:tr>
      <w:tr w:rsidR="00013EC7">
        <w:trPr>
          <w:trHeight w:val="1475"/>
          <w:jc w:val="center"/>
        </w:trPr>
        <w:tc>
          <w:tcPr>
            <w:tcW w:w="1250" w:type="dxa"/>
            <w:vMerge w:val="restart"/>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29.出口退（免）税事项办理</w:t>
            </w:r>
          </w:p>
        </w:tc>
        <w:tc>
          <w:tcPr>
            <w:tcW w:w="1316" w:type="dxa"/>
            <w:vMerge w:val="restart"/>
            <w:vAlign w:val="center"/>
          </w:tcPr>
          <w:p w:rsidR="00013EC7" w:rsidRDefault="00575CDB">
            <w:pPr>
              <w:spacing w:line="310" w:lineRule="exact"/>
              <w:rPr>
                <w:rFonts w:ascii="仿宋" w:eastAsia="仿宋" w:hAnsi="仿宋" w:cs="仿宋"/>
                <w:sz w:val="24"/>
              </w:rPr>
            </w:pPr>
            <w:r>
              <w:rPr>
                <w:rFonts w:ascii="仿宋" w:eastAsia="仿宋" w:hAnsi="仿宋" w:cs="仿宋" w:hint="eastAsia"/>
                <w:sz w:val="24"/>
              </w:rPr>
              <w:t>29.2集团公司及成员企业备案</w:t>
            </w:r>
          </w:p>
        </w:tc>
        <w:tc>
          <w:tcPr>
            <w:tcW w:w="2114" w:type="dxa"/>
            <w:vMerge w:val="restart"/>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（一）</w:t>
            </w:r>
            <w:r>
              <w:rPr>
                <w:rFonts w:ascii="仿宋" w:eastAsia="仿宋" w:hAnsi="仿宋" w:cs="仿宋"/>
                <w:kern w:val="1"/>
                <w:sz w:val="24"/>
              </w:rPr>
              <w:t>《国家税务总局关于部分税务行政审批事项取消后有关管理问题的公告》（国家税务总局公告2015年第56号）</w:t>
            </w:r>
            <w:r>
              <w:rPr>
                <w:rFonts w:ascii="仿宋" w:eastAsia="仿宋" w:hAnsi="仿宋" w:cs="仿宋" w:hint="eastAsia"/>
                <w:kern w:val="1"/>
                <w:sz w:val="24"/>
              </w:rPr>
              <w:t>第三条第（六）项、第（七）项</w:t>
            </w:r>
            <w:r>
              <w:rPr>
                <w:rFonts w:ascii="仿宋" w:eastAsia="仿宋" w:hAnsi="仿宋" w:cs="仿宋"/>
                <w:kern w:val="1"/>
                <w:sz w:val="24"/>
              </w:rPr>
              <w:t>。</w:t>
            </w:r>
          </w:p>
          <w:p w:rsidR="00013EC7" w:rsidRDefault="00575CDB">
            <w:pPr>
              <w:rPr>
                <w:rFonts w:ascii="仿宋" w:eastAsia="仿宋" w:hAnsi="仿宋" w:cs="仿宋"/>
                <w:kern w:val="1"/>
                <w:sz w:val="24"/>
              </w:rPr>
            </w:pPr>
            <w:r>
              <w:rPr>
                <w:rFonts w:ascii="仿宋" w:eastAsia="仿宋" w:hAnsi="仿宋" w:cs="仿宋" w:hint="eastAsia"/>
                <w:kern w:val="1"/>
                <w:sz w:val="24"/>
              </w:rPr>
              <w:t>（二）</w:t>
            </w:r>
            <w:r>
              <w:rPr>
                <w:rFonts w:ascii="仿宋" w:eastAsia="仿宋" w:hAnsi="仿宋" w:cs="仿宋"/>
                <w:kern w:val="1"/>
                <w:sz w:val="24"/>
              </w:rPr>
              <w:t>《国家税务总局关于进一步加强出口退（免）税事中事后管理有关问题的公告》（</w:t>
            </w:r>
            <w:r>
              <w:rPr>
                <w:rFonts w:ascii="仿宋" w:eastAsia="仿宋" w:hAnsi="仿宋" w:cs="仿宋" w:hint="eastAsia"/>
                <w:kern w:val="1"/>
                <w:sz w:val="24"/>
              </w:rPr>
              <w:t>国家税务总局公告2016年第1号</w:t>
            </w:r>
            <w:r>
              <w:rPr>
                <w:rFonts w:ascii="仿宋" w:eastAsia="仿宋" w:hAnsi="仿宋" w:cs="仿宋"/>
                <w:kern w:val="1"/>
                <w:sz w:val="24"/>
              </w:rPr>
              <w:t>）</w:t>
            </w:r>
            <w:r>
              <w:rPr>
                <w:rFonts w:ascii="仿宋" w:eastAsia="仿宋" w:hAnsi="仿宋" w:cs="仿宋" w:hint="eastAsia"/>
                <w:kern w:val="1"/>
                <w:sz w:val="24"/>
              </w:rPr>
              <w:t>第一条</w:t>
            </w:r>
            <w:r>
              <w:rPr>
                <w:rFonts w:ascii="仿宋" w:eastAsia="仿宋" w:hAnsi="仿宋" w:cs="仿宋"/>
                <w:kern w:val="1"/>
                <w:sz w:val="24"/>
              </w:rPr>
              <w:t>。</w:t>
            </w:r>
          </w:p>
          <w:p w:rsidR="00013EC7" w:rsidRDefault="00013EC7">
            <w:pPr>
              <w:rPr>
                <w:rFonts w:ascii="仿宋" w:eastAsia="仿宋" w:hAnsi="仿宋" w:cs="仿宋"/>
                <w:kern w:val="1"/>
                <w:sz w:val="24"/>
              </w:rPr>
            </w:pPr>
          </w:p>
        </w:tc>
        <w:tc>
          <w:tcPr>
            <w:tcW w:w="2785" w:type="dxa"/>
            <w:tcBorders>
              <w:top w:val="single" w:sz="4" w:space="0" w:color="auto"/>
              <w:bottom w:val="single" w:sz="4" w:space="0" w:color="auto"/>
            </w:tcBorders>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（一）（A04043）《集团公司成员企业备案表》2份及电子数据。</w:t>
            </w:r>
          </w:p>
        </w:tc>
        <w:tc>
          <w:tcPr>
            <w:tcW w:w="1118" w:type="dxa"/>
            <w:vMerge w:val="restart"/>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sz w:val="24"/>
              </w:rPr>
              <w:t>办理集团公司及成员企业备案的纳税人提交</w:t>
            </w:r>
          </w:p>
        </w:tc>
        <w:tc>
          <w:tcPr>
            <w:tcW w:w="2403"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（一）（A04043）《集团公司成员企业备案表》2份及电子数据。</w:t>
            </w:r>
          </w:p>
        </w:tc>
        <w:tc>
          <w:tcPr>
            <w:tcW w:w="1196" w:type="dxa"/>
            <w:vAlign w:val="center"/>
          </w:tcPr>
          <w:p w:rsidR="00013EC7" w:rsidRDefault="00575CDB">
            <w:pPr>
              <w:rPr>
                <w:rFonts w:ascii="仿宋" w:eastAsia="仿宋" w:hAnsi="仿宋" w:cs="仿宋"/>
                <w:sz w:val="24"/>
              </w:rPr>
            </w:pPr>
            <w:r>
              <w:rPr>
                <w:rFonts w:ascii="仿宋" w:eastAsia="仿宋" w:hAnsi="仿宋" w:cs="仿宋" w:hint="eastAsia"/>
                <w:sz w:val="24"/>
              </w:rPr>
              <w:t>办理集团公司及成员企业备案的纳税人提交</w:t>
            </w:r>
          </w:p>
        </w:tc>
        <w:tc>
          <w:tcPr>
            <w:tcW w:w="3318"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纳税人提交书面材料</w:t>
            </w:r>
            <w:r>
              <w:rPr>
                <w:rFonts w:ascii="仿宋" w:eastAsia="仿宋" w:hAnsi="仿宋" w:cs="仿宋"/>
                <w:sz w:val="24"/>
              </w:rPr>
              <w:t>。</w:t>
            </w:r>
          </w:p>
          <w:p w:rsidR="00013EC7" w:rsidRDefault="00575CDB">
            <w:pPr>
              <w:spacing w:line="300" w:lineRule="exact"/>
              <w:rPr>
                <w:rFonts w:ascii="仿宋" w:eastAsia="仿宋" w:hAnsi="仿宋" w:cs="仿宋"/>
                <w:sz w:val="24"/>
              </w:rPr>
            </w:pPr>
            <w:r>
              <w:rPr>
                <w:rFonts w:ascii="仿宋" w:eastAsia="仿宋" w:hAnsi="仿宋" w:cs="仿宋" w:hint="eastAsia"/>
                <w:b/>
                <w:sz w:val="24"/>
              </w:rPr>
              <w:t>网上办理：</w:t>
            </w:r>
            <w:r>
              <w:rPr>
                <w:rFonts w:ascii="仿宋" w:eastAsia="仿宋" w:hAnsi="仿宋" w:cs="仿宋" w:hint="eastAsia"/>
                <w:sz w:val="24"/>
              </w:rPr>
              <w:t>登录浙江省国家税务局电子税务局提交电子数据。</w:t>
            </w:r>
          </w:p>
        </w:tc>
        <w:tc>
          <w:tcPr>
            <w:tcW w:w="868" w:type="dxa"/>
            <w:vMerge w:val="restart"/>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sz w:val="24"/>
              </w:rPr>
              <w:t>即时办结</w:t>
            </w:r>
          </w:p>
        </w:tc>
        <w:tc>
          <w:tcPr>
            <w:tcW w:w="798" w:type="dxa"/>
            <w:vMerge w:val="restart"/>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sz w:val="24"/>
              </w:rPr>
              <w:t>即时办结</w:t>
            </w:r>
          </w:p>
        </w:tc>
        <w:tc>
          <w:tcPr>
            <w:tcW w:w="958" w:type="dxa"/>
            <w:vMerge w:val="restart"/>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sz w:val="24"/>
              </w:rPr>
              <w:t>否</w:t>
            </w:r>
          </w:p>
        </w:tc>
        <w:tc>
          <w:tcPr>
            <w:tcW w:w="1104" w:type="dxa"/>
            <w:vMerge w:val="restart"/>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sz w:val="24"/>
              </w:rPr>
              <w:t>进出口处</w:t>
            </w:r>
          </w:p>
        </w:tc>
        <w:tc>
          <w:tcPr>
            <w:tcW w:w="1476" w:type="dxa"/>
            <w:vMerge w:val="restart"/>
            <w:vAlign w:val="center"/>
          </w:tcPr>
          <w:p w:rsidR="00013EC7" w:rsidRDefault="00013EC7">
            <w:pPr>
              <w:spacing w:line="300" w:lineRule="exact"/>
              <w:rPr>
                <w:rFonts w:ascii="仿宋" w:eastAsia="仿宋" w:hAnsi="仿宋" w:cs="仿宋"/>
                <w:sz w:val="24"/>
              </w:rPr>
            </w:pPr>
          </w:p>
        </w:tc>
      </w:tr>
      <w:tr w:rsidR="00013EC7">
        <w:trPr>
          <w:trHeight w:val="1699"/>
          <w:jc w:val="center"/>
        </w:trPr>
        <w:tc>
          <w:tcPr>
            <w:tcW w:w="1250" w:type="dxa"/>
            <w:vMerge/>
            <w:textDirection w:val="tbRlV"/>
            <w:vAlign w:val="center"/>
          </w:tcPr>
          <w:p w:rsidR="00013EC7" w:rsidRDefault="00013EC7">
            <w:pPr>
              <w:rPr>
                <w:rFonts w:ascii="仿宋" w:eastAsia="仿宋" w:hAnsi="仿宋" w:cs="仿宋"/>
                <w:sz w:val="24"/>
              </w:rPr>
            </w:pPr>
          </w:p>
        </w:tc>
        <w:tc>
          <w:tcPr>
            <w:tcW w:w="1316" w:type="dxa"/>
            <w:vMerge/>
            <w:vAlign w:val="center"/>
          </w:tcPr>
          <w:p w:rsidR="00013EC7" w:rsidRDefault="00013EC7">
            <w:pPr>
              <w:rPr>
                <w:rFonts w:ascii="仿宋" w:eastAsia="仿宋" w:hAnsi="仿宋" w:cs="仿宋"/>
                <w:sz w:val="24"/>
              </w:rPr>
            </w:pPr>
          </w:p>
        </w:tc>
        <w:tc>
          <w:tcPr>
            <w:tcW w:w="2114" w:type="dxa"/>
            <w:vMerge/>
            <w:vAlign w:val="center"/>
          </w:tcPr>
          <w:p w:rsidR="00013EC7" w:rsidRDefault="00013EC7">
            <w:pPr>
              <w:rPr>
                <w:rFonts w:ascii="仿宋" w:eastAsia="仿宋" w:hAnsi="仿宋" w:cs="仿宋"/>
                <w:sz w:val="24"/>
              </w:rPr>
            </w:pPr>
          </w:p>
        </w:tc>
        <w:tc>
          <w:tcPr>
            <w:tcW w:w="2785" w:type="dxa"/>
            <w:tcBorders>
              <w:top w:val="single" w:sz="4" w:space="0" w:color="auto"/>
            </w:tcBorders>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（二）集团公司总部及控股生产企业的营业执照副本复印件（注明与原件一致，并加盖公章）。</w:t>
            </w:r>
          </w:p>
        </w:tc>
        <w:tc>
          <w:tcPr>
            <w:tcW w:w="1118" w:type="dxa"/>
            <w:vMerge/>
            <w:vAlign w:val="center"/>
          </w:tcPr>
          <w:p w:rsidR="00013EC7" w:rsidRDefault="00013EC7">
            <w:pPr>
              <w:rPr>
                <w:rFonts w:ascii="仿宋" w:eastAsia="仿宋" w:hAnsi="仿宋" w:cs="仿宋"/>
                <w:sz w:val="24"/>
              </w:rPr>
            </w:pPr>
          </w:p>
        </w:tc>
        <w:tc>
          <w:tcPr>
            <w:tcW w:w="2403"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（二）集团公司总部及控股生产企业的营业执照副本复印件（注明与原件一致，并加盖公章）1份。</w:t>
            </w:r>
          </w:p>
        </w:tc>
        <w:tc>
          <w:tcPr>
            <w:tcW w:w="1196" w:type="dxa"/>
            <w:vAlign w:val="center"/>
          </w:tcPr>
          <w:p w:rsidR="00013EC7" w:rsidRDefault="00575CDB">
            <w:pPr>
              <w:rPr>
                <w:rFonts w:ascii="仿宋" w:eastAsia="仿宋" w:hAnsi="仿宋" w:cs="仿宋"/>
                <w:sz w:val="24"/>
              </w:rPr>
            </w:pPr>
            <w:r>
              <w:rPr>
                <w:rFonts w:ascii="仿宋" w:eastAsia="仿宋" w:hAnsi="仿宋" w:cs="仿宋" w:hint="eastAsia"/>
                <w:b/>
                <w:bCs/>
                <w:i/>
                <w:iCs/>
                <w:sz w:val="24"/>
              </w:rPr>
              <w:t>经办机构自行获取</w:t>
            </w:r>
          </w:p>
        </w:tc>
        <w:tc>
          <w:tcPr>
            <w:tcW w:w="3318" w:type="dxa"/>
            <w:vAlign w:val="center"/>
          </w:tcPr>
          <w:p w:rsidR="00013EC7" w:rsidRDefault="00575CDB">
            <w:pPr>
              <w:rPr>
                <w:rFonts w:ascii="仿宋" w:eastAsia="仿宋" w:hAnsi="仿宋" w:cs="仿宋"/>
                <w:sz w:val="24"/>
              </w:rPr>
            </w:pPr>
            <w:r>
              <w:rPr>
                <w:rFonts w:ascii="仿宋" w:eastAsia="仿宋" w:hAnsi="仿宋" w:cs="仿宋" w:hint="eastAsia"/>
                <w:b/>
                <w:bCs/>
                <w:sz w:val="24"/>
              </w:rPr>
              <w:t>外部共享：</w:t>
            </w:r>
            <w:r>
              <w:rPr>
                <w:rFonts w:ascii="仿宋" w:eastAsia="仿宋" w:hAnsi="仿宋" w:cs="仿宋" w:hint="eastAsia"/>
                <w:sz w:val="24"/>
              </w:rPr>
              <w:t>由省工商局提供共享。</w:t>
            </w:r>
          </w:p>
        </w:tc>
        <w:tc>
          <w:tcPr>
            <w:tcW w:w="868" w:type="dxa"/>
            <w:vMerge/>
            <w:vAlign w:val="center"/>
          </w:tcPr>
          <w:p w:rsidR="00013EC7" w:rsidRDefault="00013EC7">
            <w:pPr>
              <w:rPr>
                <w:rFonts w:ascii="仿宋" w:eastAsia="仿宋" w:hAnsi="仿宋" w:cs="仿宋"/>
                <w:sz w:val="24"/>
              </w:rPr>
            </w:pPr>
          </w:p>
        </w:tc>
        <w:tc>
          <w:tcPr>
            <w:tcW w:w="798" w:type="dxa"/>
            <w:vMerge/>
            <w:vAlign w:val="center"/>
          </w:tcPr>
          <w:p w:rsidR="00013EC7" w:rsidRDefault="00013EC7">
            <w:pPr>
              <w:rPr>
                <w:rFonts w:ascii="仿宋" w:eastAsia="仿宋" w:hAnsi="仿宋" w:cs="仿宋"/>
                <w:sz w:val="24"/>
              </w:rPr>
            </w:pP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340"/>
          <w:jc w:val="center"/>
        </w:trPr>
        <w:tc>
          <w:tcPr>
            <w:tcW w:w="1250" w:type="dxa"/>
            <w:vMerge/>
            <w:textDirection w:val="tbRlV"/>
            <w:vAlign w:val="center"/>
          </w:tcPr>
          <w:p w:rsidR="00013EC7" w:rsidRDefault="00013EC7">
            <w:pPr>
              <w:rPr>
                <w:rFonts w:ascii="仿宋" w:eastAsia="仿宋" w:hAnsi="仿宋" w:cs="仿宋"/>
                <w:sz w:val="24"/>
              </w:rPr>
            </w:pPr>
          </w:p>
        </w:tc>
        <w:tc>
          <w:tcPr>
            <w:tcW w:w="1316" w:type="dxa"/>
            <w:vMerge/>
            <w:vAlign w:val="center"/>
          </w:tcPr>
          <w:p w:rsidR="00013EC7" w:rsidRDefault="00013EC7">
            <w:pPr>
              <w:rPr>
                <w:rFonts w:ascii="仿宋" w:eastAsia="仿宋" w:hAnsi="仿宋" w:cs="仿宋"/>
                <w:sz w:val="24"/>
              </w:rPr>
            </w:pPr>
          </w:p>
        </w:tc>
        <w:tc>
          <w:tcPr>
            <w:tcW w:w="2114" w:type="dxa"/>
            <w:vMerge/>
            <w:vAlign w:val="center"/>
          </w:tcPr>
          <w:p w:rsidR="00013EC7" w:rsidRDefault="00013EC7">
            <w:pPr>
              <w:rPr>
                <w:rFonts w:ascii="仿宋" w:eastAsia="仿宋" w:hAnsi="仿宋" w:cs="仿宋"/>
                <w:sz w:val="24"/>
              </w:rPr>
            </w:pPr>
          </w:p>
        </w:tc>
        <w:tc>
          <w:tcPr>
            <w:tcW w:w="2785"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（三）集团公司总部及控股生产企业的章程复印件（注明与原件一致，并加盖公章）。</w:t>
            </w:r>
          </w:p>
        </w:tc>
        <w:tc>
          <w:tcPr>
            <w:tcW w:w="1118" w:type="dxa"/>
            <w:vMerge/>
            <w:vAlign w:val="center"/>
          </w:tcPr>
          <w:p w:rsidR="00013EC7" w:rsidRDefault="00013EC7">
            <w:pPr>
              <w:rPr>
                <w:rFonts w:ascii="仿宋" w:eastAsia="仿宋" w:hAnsi="仿宋" w:cs="仿宋"/>
                <w:sz w:val="24"/>
              </w:rPr>
            </w:pPr>
          </w:p>
        </w:tc>
        <w:tc>
          <w:tcPr>
            <w:tcW w:w="2403"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（三）集团公司总部及控股生产企业的章程复印件（注明与原件一致，并加盖公章）1份。</w:t>
            </w:r>
          </w:p>
        </w:tc>
        <w:tc>
          <w:tcPr>
            <w:tcW w:w="1196" w:type="dxa"/>
            <w:vAlign w:val="center"/>
          </w:tcPr>
          <w:p w:rsidR="00013EC7" w:rsidRDefault="00575CDB">
            <w:pPr>
              <w:rPr>
                <w:rFonts w:ascii="仿宋" w:eastAsia="仿宋" w:hAnsi="仿宋" w:cs="仿宋"/>
                <w:sz w:val="24"/>
              </w:rPr>
            </w:pPr>
            <w:r>
              <w:rPr>
                <w:rFonts w:ascii="仿宋" w:eastAsia="仿宋" w:hAnsi="仿宋" w:cs="仿宋" w:hint="eastAsia"/>
                <w:sz w:val="24"/>
              </w:rPr>
              <w:t>办理集团公司及成员企业备案的纳税人提交</w:t>
            </w:r>
          </w:p>
        </w:tc>
        <w:tc>
          <w:tcPr>
            <w:tcW w:w="3318"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 xml:space="preserve">纳税人提交书面材料。 </w:t>
            </w:r>
          </w:p>
        </w:tc>
        <w:tc>
          <w:tcPr>
            <w:tcW w:w="868" w:type="dxa"/>
            <w:vMerge/>
            <w:vAlign w:val="center"/>
          </w:tcPr>
          <w:p w:rsidR="00013EC7" w:rsidRDefault="00013EC7">
            <w:pPr>
              <w:rPr>
                <w:rFonts w:ascii="仿宋" w:eastAsia="仿宋" w:hAnsi="仿宋" w:cs="仿宋"/>
                <w:sz w:val="24"/>
              </w:rPr>
            </w:pPr>
          </w:p>
        </w:tc>
        <w:tc>
          <w:tcPr>
            <w:tcW w:w="798" w:type="dxa"/>
            <w:vMerge/>
            <w:vAlign w:val="center"/>
          </w:tcPr>
          <w:p w:rsidR="00013EC7" w:rsidRDefault="00013EC7">
            <w:pPr>
              <w:rPr>
                <w:rFonts w:ascii="仿宋" w:eastAsia="仿宋" w:hAnsi="仿宋" w:cs="仿宋"/>
                <w:sz w:val="24"/>
              </w:rPr>
            </w:pP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1040"/>
          <w:jc w:val="center"/>
        </w:trPr>
        <w:tc>
          <w:tcPr>
            <w:tcW w:w="1250" w:type="dxa"/>
            <w:vMerge/>
            <w:vAlign w:val="center"/>
          </w:tcPr>
          <w:p w:rsidR="00013EC7" w:rsidRDefault="00013EC7">
            <w:pPr>
              <w:rPr>
                <w:rFonts w:ascii="仿宋" w:eastAsia="仿宋" w:hAnsi="仿宋" w:cs="仿宋"/>
                <w:sz w:val="24"/>
              </w:rPr>
            </w:pPr>
          </w:p>
        </w:tc>
        <w:tc>
          <w:tcPr>
            <w:tcW w:w="1316" w:type="dxa"/>
            <w:vMerge/>
            <w:vAlign w:val="center"/>
          </w:tcPr>
          <w:p w:rsidR="00013EC7" w:rsidRDefault="00013EC7">
            <w:pPr>
              <w:rPr>
                <w:rFonts w:ascii="仿宋" w:eastAsia="仿宋" w:hAnsi="仿宋" w:cs="仿宋"/>
                <w:sz w:val="24"/>
              </w:rPr>
            </w:pPr>
          </w:p>
        </w:tc>
        <w:tc>
          <w:tcPr>
            <w:tcW w:w="2114" w:type="dxa"/>
            <w:vMerge/>
            <w:vAlign w:val="center"/>
          </w:tcPr>
          <w:p w:rsidR="00013EC7" w:rsidRDefault="00013EC7">
            <w:pPr>
              <w:rPr>
                <w:rFonts w:ascii="仿宋" w:eastAsia="仿宋" w:hAnsi="仿宋" w:cs="仿宋"/>
                <w:sz w:val="24"/>
              </w:rPr>
            </w:pPr>
          </w:p>
        </w:tc>
        <w:tc>
          <w:tcPr>
            <w:tcW w:w="2785"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（四）变更事项的证明材料复印件（注明与原件一致，并加盖公章）。</w:t>
            </w:r>
          </w:p>
        </w:tc>
        <w:tc>
          <w:tcPr>
            <w:tcW w:w="1118" w:type="dxa"/>
            <w:vAlign w:val="center"/>
          </w:tcPr>
          <w:p w:rsidR="00013EC7" w:rsidRDefault="00575CDB">
            <w:pPr>
              <w:rPr>
                <w:rFonts w:ascii="仿宋" w:eastAsia="仿宋" w:hAnsi="仿宋" w:cs="仿宋"/>
                <w:sz w:val="24"/>
              </w:rPr>
            </w:pPr>
            <w:r>
              <w:rPr>
                <w:rFonts w:ascii="仿宋" w:eastAsia="仿宋" w:hAnsi="仿宋" w:cs="仿宋" w:hint="eastAsia"/>
                <w:kern w:val="1"/>
                <w:sz w:val="24"/>
              </w:rPr>
              <w:t>申请变更事项的</w:t>
            </w:r>
            <w:r>
              <w:rPr>
                <w:rFonts w:ascii="仿宋" w:eastAsia="仿宋" w:hAnsi="仿宋" w:cs="仿宋" w:hint="eastAsia"/>
                <w:sz w:val="24"/>
              </w:rPr>
              <w:t>办理集团公司及成员企业备案的纳税人提交</w:t>
            </w:r>
          </w:p>
        </w:tc>
        <w:tc>
          <w:tcPr>
            <w:tcW w:w="2403"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（四）变更事项的证明材料复印件（注明与原件一致，并加盖公章）。</w:t>
            </w:r>
          </w:p>
        </w:tc>
        <w:tc>
          <w:tcPr>
            <w:tcW w:w="1196" w:type="dxa"/>
            <w:vAlign w:val="center"/>
          </w:tcPr>
          <w:p w:rsidR="00013EC7" w:rsidRDefault="00575CDB">
            <w:pPr>
              <w:jc w:val="center"/>
              <w:rPr>
                <w:rFonts w:ascii="仿宋" w:eastAsia="仿宋" w:hAnsi="仿宋" w:cs="仿宋"/>
                <w:sz w:val="24"/>
              </w:rPr>
            </w:pPr>
            <w:r>
              <w:rPr>
                <w:rFonts w:ascii="仿宋" w:eastAsia="仿宋" w:hAnsi="仿宋" w:cs="仿宋" w:hint="eastAsia"/>
                <w:kern w:val="1"/>
                <w:sz w:val="24"/>
              </w:rPr>
              <w:t>申请变更事项的</w:t>
            </w:r>
            <w:r>
              <w:rPr>
                <w:rFonts w:ascii="仿宋" w:eastAsia="仿宋" w:hAnsi="仿宋" w:cs="仿宋" w:hint="eastAsia"/>
                <w:sz w:val="24"/>
              </w:rPr>
              <w:t>办理集团公司及成员企业备案的纳税人提交</w:t>
            </w:r>
          </w:p>
        </w:tc>
        <w:tc>
          <w:tcPr>
            <w:tcW w:w="3318"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 xml:space="preserve">纳税人提交书面材料。 </w:t>
            </w:r>
          </w:p>
        </w:tc>
        <w:tc>
          <w:tcPr>
            <w:tcW w:w="868" w:type="dxa"/>
            <w:vMerge/>
            <w:vAlign w:val="center"/>
          </w:tcPr>
          <w:p w:rsidR="00013EC7" w:rsidRDefault="00013EC7">
            <w:pPr>
              <w:rPr>
                <w:rFonts w:ascii="仿宋" w:eastAsia="仿宋" w:hAnsi="仿宋" w:cs="仿宋"/>
                <w:sz w:val="24"/>
              </w:rPr>
            </w:pPr>
          </w:p>
        </w:tc>
        <w:tc>
          <w:tcPr>
            <w:tcW w:w="798" w:type="dxa"/>
            <w:vMerge/>
            <w:vAlign w:val="center"/>
          </w:tcPr>
          <w:p w:rsidR="00013EC7" w:rsidRDefault="00013EC7">
            <w:pPr>
              <w:rPr>
                <w:rFonts w:ascii="仿宋" w:eastAsia="仿宋" w:hAnsi="仿宋" w:cs="仿宋"/>
                <w:sz w:val="24"/>
              </w:rPr>
            </w:pP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bl>
    <w:p w:rsidR="00013EC7" w:rsidRDefault="00013EC7">
      <w:pPr>
        <w:rPr>
          <w:rFonts w:eastAsia="方正书宋简体"/>
          <w:szCs w:val="21"/>
        </w:rPr>
      </w:pPr>
    </w:p>
    <w:p w:rsidR="00013EC7" w:rsidRDefault="00013EC7">
      <w:pPr>
        <w:rPr>
          <w:rFonts w:eastAsia="方正书宋简体"/>
          <w:szCs w:val="21"/>
        </w:rPr>
      </w:pPr>
    </w:p>
    <w:p w:rsidR="00013EC7" w:rsidRDefault="00013EC7">
      <w:pPr>
        <w:jc w:val="center"/>
        <w:rPr>
          <w:rFonts w:eastAsia="方正书宋简体"/>
          <w:szCs w:val="21"/>
        </w:rPr>
      </w:pPr>
    </w:p>
    <w:p w:rsidR="00013EC7" w:rsidRDefault="00013EC7">
      <w:pPr>
        <w:rPr>
          <w:rFonts w:ascii="宋体" w:hAnsi="宋体" w:cs="仿宋"/>
          <w:sz w:val="28"/>
          <w:szCs w:val="28"/>
        </w:rPr>
      </w:pPr>
    </w:p>
    <w:p w:rsidR="00013EC7" w:rsidRDefault="005262E6">
      <w:pPr>
        <w:jc w:val="center"/>
        <w:rPr>
          <w:rFonts w:ascii="宋体" w:hAnsi="宋体" w:cs="仿宋"/>
          <w:sz w:val="28"/>
          <w:szCs w:val="28"/>
        </w:rPr>
      </w:pPr>
      <w:r>
        <w:lastRenderedPageBreak/>
        <w:object w:dxaOrig="1440" w:dyaOrig="1440">
          <v:shape id="_x0000_s1413" type="#_x0000_t75" style="position:absolute;left:0;text-align:left;margin-left:89pt;margin-top:112.5pt;width:466.5pt;height:655pt;z-index:251740160;mso-wrap-distance-top:0;mso-wrap-distance-bottom:0;mso-position-vertical-relative:page;mso-width-relative:page;mso-height-relative:page">
            <v:imagedata r:id="rId468" o:title=""/>
            <w10:wrap type="topAndBottom" anchory="page"/>
          </v:shape>
          <o:OLEObject Type="Embed" ProgID="Visio.Drawing.11" ShapeID="_x0000_s1413" DrawAspect="Content" ObjectID="_1577296310" r:id="rId469"/>
        </w:object>
      </w:r>
    </w:p>
    <w:p w:rsidR="00013EC7" w:rsidRDefault="00575CDB">
      <w:pPr>
        <w:pStyle w:val="2"/>
      </w:pPr>
      <w:bookmarkStart w:id="567" w:name="_Toc20081"/>
      <w:bookmarkStart w:id="568" w:name="_Toc13205"/>
      <w:bookmarkStart w:id="569" w:name="_Toc18772"/>
      <w:bookmarkStart w:id="570" w:name="_Toc503467484"/>
      <w:r>
        <w:rPr>
          <w:rFonts w:hint="eastAsia"/>
        </w:rPr>
        <w:lastRenderedPageBreak/>
        <w:t>29.3</w:t>
      </w:r>
      <w:r>
        <w:rPr>
          <w:rFonts w:hint="eastAsia"/>
        </w:rPr>
        <w:t>生产企业免抵退税办理</w:t>
      </w:r>
      <w:bookmarkEnd w:id="567"/>
      <w:bookmarkEnd w:id="568"/>
      <w:bookmarkEnd w:id="569"/>
      <w:bookmarkEnd w:id="570"/>
    </w:p>
    <w:p w:rsidR="00013EC7" w:rsidRDefault="00575CDB">
      <w:pPr>
        <w:jc w:val="center"/>
        <w:rPr>
          <w:rFonts w:ascii="宋体" w:hAnsi="宋体" w:cs="宋体"/>
          <w:b/>
          <w:bCs/>
          <w:sz w:val="52"/>
          <w:szCs w:val="52"/>
        </w:rPr>
      </w:pPr>
      <w:r>
        <w:rPr>
          <w:rFonts w:ascii="宋体" w:hAnsi="宋体" w:cs="宋体" w:hint="eastAsia"/>
          <w:b/>
          <w:bCs/>
          <w:sz w:val="52"/>
          <w:szCs w:val="52"/>
        </w:rPr>
        <w:t>全省“最多跑一次”事项“八统一”梳理表</w:t>
      </w:r>
    </w:p>
    <w:p w:rsidR="00013EC7" w:rsidRDefault="00013EC7">
      <w:pPr>
        <w:rPr>
          <w:rFonts w:ascii="宋体" w:hAnsi="宋体" w:cs="宋体"/>
          <w:b/>
          <w:bCs/>
          <w:sz w:val="44"/>
          <w:szCs w:val="44"/>
        </w:rPr>
      </w:pPr>
    </w:p>
    <w:tbl>
      <w:tblPr>
        <w:tblW w:w="20704"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1250"/>
        <w:gridCol w:w="1316"/>
        <w:gridCol w:w="2114"/>
        <w:gridCol w:w="2785"/>
        <w:gridCol w:w="1118"/>
        <w:gridCol w:w="2403"/>
        <w:gridCol w:w="1196"/>
        <w:gridCol w:w="3318"/>
        <w:gridCol w:w="868"/>
        <w:gridCol w:w="798"/>
        <w:gridCol w:w="958"/>
        <w:gridCol w:w="1104"/>
        <w:gridCol w:w="1476"/>
      </w:tblGrid>
      <w:tr w:rsidR="00013EC7">
        <w:trPr>
          <w:trHeight w:val="340"/>
          <w:tblHeader/>
          <w:jc w:val="center"/>
        </w:trPr>
        <w:tc>
          <w:tcPr>
            <w:tcW w:w="1250"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主项名称</w:t>
            </w:r>
          </w:p>
        </w:tc>
        <w:tc>
          <w:tcPr>
            <w:tcW w:w="1316"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子项名称</w:t>
            </w:r>
          </w:p>
        </w:tc>
        <w:tc>
          <w:tcPr>
            <w:tcW w:w="2114"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经办依据</w:t>
            </w:r>
          </w:p>
        </w:tc>
        <w:tc>
          <w:tcPr>
            <w:tcW w:w="3903"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原经办所需材料</w:t>
            </w:r>
          </w:p>
        </w:tc>
        <w:tc>
          <w:tcPr>
            <w:tcW w:w="6917" w:type="dxa"/>
            <w:gridSpan w:val="3"/>
            <w:vAlign w:val="center"/>
          </w:tcPr>
          <w:p w:rsidR="00013EC7" w:rsidRDefault="00575CDB">
            <w:pPr>
              <w:spacing w:line="280" w:lineRule="exact"/>
              <w:jc w:val="center"/>
              <w:rPr>
                <w:rFonts w:ascii="黑体" w:eastAsia="黑体"/>
                <w:sz w:val="24"/>
              </w:rPr>
            </w:pPr>
            <w:r>
              <w:rPr>
                <w:rFonts w:ascii="黑体" w:eastAsia="黑体" w:hint="eastAsia"/>
                <w:sz w:val="24"/>
              </w:rPr>
              <w:t>梳理后经办所需材料</w:t>
            </w:r>
          </w:p>
        </w:tc>
        <w:tc>
          <w:tcPr>
            <w:tcW w:w="1666"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办理时限</w:t>
            </w:r>
          </w:p>
        </w:tc>
        <w:tc>
          <w:tcPr>
            <w:tcW w:w="958"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是否实现跑零次</w:t>
            </w:r>
          </w:p>
        </w:tc>
        <w:tc>
          <w:tcPr>
            <w:tcW w:w="1104"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省厅对口</w:t>
            </w:r>
          </w:p>
          <w:p w:rsidR="00013EC7" w:rsidRDefault="00575CDB">
            <w:pPr>
              <w:spacing w:line="280" w:lineRule="exact"/>
              <w:jc w:val="center"/>
              <w:rPr>
                <w:rFonts w:ascii="黑体" w:eastAsia="黑体"/>
                <w:sz w:val="24"/>
              </w:rPr>
            </w:pPr>
            <w:r>
              <w:rPr>
                <w:rFonts w:ascii="黑体" w:eastAsia="黑体" w:hint="eastAsia"/>
                <w:sz w:val="24"/>
              </w:rPr>
              <w:t>指导处室</w:t>
            </w:r>
          </w:p>
          <w:p w:rsidR="00013EC7" w:rsidRDefault="00575CDB">
            <w:pPr>
              <w:spacing w:line="280" w:lineRule="exact"/>
              <w:jc w:val="center"/>
              <w:rPr>
                <w:rFonts w:ascii="黑体" w:eastAsia="黑体"/>
                <w:sz w:val="24"/>
              </w:rPr>
            </w:pPr>
            <w:r>
              <w:rPr>
                <w:rFonts w:ascii="黑体" w:eastAsia="黑体" w:hint="eastAsia"/>
                <w:sz w:val="24"/>
              </w:rPr>
              <w:t>（单位）</w:t>
            </w:r>
          </w:p>
        </w:tc>
        <w:tc>
          <w:tcPr>
            <w:tcW w:w="1476"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进一步精简、</w:t>
            </w:r>
          </w:p>
          <w:p w:rsidR="00013EC7" w:rsidRDefault="00575CDB">
            <w:pPr>
              <w:spacing w:line="280" w:lineRule="exact"/>
              <w:jc w:val="center"/>
              <w:rPr>
                <w:rFonts w:ascii="黑体" w:eastAsia="黑体"/>
                <w:sz w:val="24"/>
              </w:rPr>
            </w:pPr>
            <w:r>
              <w:rPr>
                <w:rFonts w:ascii="黑体" w:eastAsia="黑体" w:hint="eastAsia"/>
                <w:sz w:val="24"/>
              </w:rPr>
              <w:t>规范建议</w:t>
            </w:r>
          </w:p>
        </w:tc>
      </w:tr>
      <w:tr w:rsidR="00013EC7">
        <w:trPr>
          <w:trHeight w:val="340"/>
          <w:tblHeader/>
          <w:jc w:val="center"/>
        </w:trPr>
        <w:tc>
          <w:tcPr>
            <w:tcW w:w="1250" w:type="dxa"/>
            <w:vMerge/>
            <w:vAlign w:val="center"/>
          </w:tcPr>
          <w:p w:rsidR="00013EC7" w:rsidRDefault="00013EC7">
            <w:pPr>
              <w:rPr>
                <w:sz w:val="24"/>
              </w:rPr>
            </w:pPr>
          </w:p>
        </w:tc>
        <w:tc>
          <w:tcPr>
            <w:tcW w:w="1316" w:type="dxa"/>
            <w:vMerge/>
          </w:tcPr>
          <w:p w:rsidR="00013EC7" w:rsidRDefault="00013EC7">
            <w:pPr>
              <w:rPr>
                <w:sz w:val="24"/>
              </w:rPr>
            </w:pPr>
          </w:p>
        </w:tc>
        <w:tc>
          <w:tcPr>
            <w:tcW w:w="2114" w:type="dxa"/>
            <w:vMerge/>
          </w:tcPr>
          <w:p w:rsidR="00013EC7" w:rsidRDefault="00013EC7">
            <w:pPr>
              <w:rPr>
                <w:sz w:val="24"/>
              </w:rPr>
            </w:pPr>
          </w:p>
        </w:tc>
        <w:tc>
          <w:tcPr>
            <w:tcW w:w="2785" w:type="dxa"/>
            <w:tcBorders>
              <w:bottom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118"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2403" w:type="dxa"/>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196"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3318" w:type="dxa"/>
            <w:vAlign w:val="center"/>
          </w:tcPr>
          <w:p w:rsidR="00013EC7" w:rsidRDefault="00575CDB">
            <w:pPr>
              <w:spacing w:line="280" w:lineRule="exact"/>
              <w:jc w:val="center"/>
              <w:rPr>
                <w:rFonts w:ascii="黑体" w:eastAsia="黑体"/>
                <w:sz w:val="24"/>
              </w:rPr>
            </w:pPr>
            <w:r>
              <w:rPr>
                <w:rFonts w:ascii="黑体" w:eastAsia="黑体" w:hint="eastAsia"/>
                <w:sz w:val="24"/>
              </w:rPr>
              <w:t>办理方式及材料</w:t>
            </w:r>
          </w:p>
          <w:p w:rsidR="00013EC7" w:rsidRDefault="00575CDB">
            <w:pPr>
              <w:spacing w:line="280" w:lineRule="exact"/>
              <w:jc w:val="center"/>
              <w:rPr>
                <w:rFonts w:ascii="黑体" w:eastAsia="黑体"/>
                <w:sz w:val="24"/>
              </w:rPr>
            </w:pPr>
            <w:r>
              <w:rPr>
                <w:rFonts w:ascii="黑体" w:eastAsia="黑体" w:hint="eastAsia"/>
                <w:sz w:val="24"/>
              </w:rPr>
              <w:t>信息获取方式说明</w:t>
            </w:r>
          </w:p>
        </w:tc>
        <w:tc>
          <w:tcPr>
            <w:tcW w:w="868" w:type="dxa"/>
            <w:vAlign w:val="center"/>
          </w:tcPr>
          <w:p w:rsidR="00013EC7" w:rsidRDefault="00575CDB">
            <w:pPr>
              <w:spacing w:line="280" w:lineRule="exact"/>
              <w:jc w:val="center"/>
              <w:rPr>
                <w:rFonts w:ascii="黑体" w:eastAsia="黑体"/>
                <w:sz w:val="24"/>
              </w:rPr>
            </w:pPr>
            <w:r>
              <w:rPr>
                <w:rFonts w:ascii="黑体" w:eastAsia="黑体" w:hint="eastAsia"/>
                <w:sz w:val="24"/>
              </w:rPr>
              <w:t>优化前</w:t>
            </w:r>
          </w:p>
        </w:tc>
        <w:tc>
          <w:tcPr>
            <w:tcW w:w="798" w:type="dxa"/>
            <w:vAlign w:val="center"/>
          </w:tcPr>
          <w:p w:rsidR="00013EC7" w:rsidRDefault="00575CDB">
            <w:pPr>
              <w:spacing w:line="280" w:lineRule="exact"/>
              <w:jc w:val="center"/>
              <w:rPr>
                <w:rFonts w:ascii="黑体" w:eastAsia="黑体"/>
                <w:sz w:val="24"/>
              </w:rPr>
            </w:pPr>
            <w:r>
              <w:rPr>
                <w:rFonts w:ascii="黑体" w:eastAsia="黑体" w:hint="eastAsia"/>
                <w:sz w:val="24"/>
              </w:rPr>
              <w:t>优化后</w:t>
            </w:r>
          </w:p>
        </w:tc>
        <w:tc>
          <w:tcPr>
            <w:tcW w:w="958" w:type="dxa"/>
            <w:vMerge/>
            <w:vAlign w:val="center"/>
          </w:tcPr>
          <w:p w:rsidR="00013EC7" w:rsidRDefault="00013EC7">
            <w:pPr>
              <w:rPr>
                <w:sz w:val="24"/>
              </w:rPr>
            </w:pPr>
          </w:p>
        </w:tc>
        <w:tc>
          <w:tcPr>
            <w:tcW w:w="1104" w:type="dxa"/>
            <w:vMerge/>
            <w:vAlign w:val="center"/>
          </w:tcPr>
          <w:p w:rsidR="00013EC7" w:rsidRDefault="00013EC7">
            <w:pPr>
              <w:rPr>
                <w:sz w:val="24"/>
              </w:rPr>
            </w:pPr>
          </w:p>
        </w:tc>
        <w:tc>
          <w:tcPr>
            <w:tcW w:w="1476" w:type="dxa"/>
            <w:vMerge/>
            <w:vAlign w:val="center"/>
          </w:tcPr>
          <w:p w:rsidR="00013EC7" w:rsidRDefault="00013EC7">
            <w:pPr>
              <w:rPr>
                <w:sz w:val="24"/>
              </w:rPr>
            </w:pPr>
          </w:p>
        </w:tc>
      </w:tr>
      <w:tr w:rsidR="00013EC7">
        <w:trPr>
          <w:trHeight w:val="1475"/>
          <w:jc w:val="center"/>
        </w:trPr>
        <w:tc>
          <w:tcPr>
            <w:tcW w:w="1250" w:type="dxa"/>
            <w:vMerge w:val="restart"/>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29.出口退（免）税事项办理</w:t>
            </w:r>
          </w:p>
        </w:tc>
        <w:tc>
          <w:tcPr>
            <w:tcW w:w="1316" w:type="dxa"/>
            <w:vMerge w:val="restart"/>
            <w:vAlign w:val="center"/>
          </w:tcPr>
          <w:p w:rsidR="00013EC7" w:rsidRDefault="00575CDB">
            <w:pPr>
              <w:spacing w:line="310" w:lineRule="exact"/>
              <w:rPr>
                <w:rFonts w:ascii="仿宋" w:eastAsia="仿宋" w:hAnsi="仿宋" w:cs="仿宋"/>
                <w:sz w:val="24"/>
              </w:rPr>
            </w:pPr>
            <w:r>
              <w:rPr>
                <w:rFonts w:ascii="仿宋" w:eastAsia="仿宋" w:hAnsi="仿宋" w:cs="仿宋" w:hint="eastAsia"/>
                <w:sz w:val="24"/>
              </w:rPr>
              <w:t>29.3生产企业免抵退税办理</w:t>
            </w:r>
          </w:p>
        </w:tc>
        <w:tc>
          <w:tcPr>
            <w:tcW w:w="2114" w:type="dxa"/>
            <w:vMerge w:val="restart"/>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（一）</w:t>
            </w:r>
            <w:r>
              <w:rPr>
                <w:rFonts w:ascii="仿宋" w:eastAsia="仿宋" w:hAnsi="仿宋" w:cs="仿宋"/>
                <w:kern w:val="1"/>
                <w:sz w:val="24"/>
              </w:rPr>
              <w:t>《财政部 国家税务总局关于出口货物劳务增值税和消费税政策的通知》（财税〔2012〕39号）</w:t>
            </w:r>
            <w:r>
              <w:rPr>
                <w:rFonts w:ascii="仿宋" w:eastAsia="仿宋" w:hAnsi="仿宋" w:cs="仿宋" w:hint="eastAsia"/>
                <w:kern w:val="1"/>
                <w:sz w:val="24"/>
              </w:rPr>
              <w:t>第一条、第二条、第四条、第五条、第九条</w:t>
            </w:r>
            <w:r>
              <w:rPr>
                <w:rFonts w:ascii="仿宋" w:eastAsia="仿宋" w:hAnsi="仿宋" w:cs="仿宋"/>
                <w:kern w:val="1"/>
                <w:sz w:val="24"/>
              </w:rPr>
              <w:t>。</w:t>
            </w:r>
          </w:p>
          <w:p w:rsidR="00013EC7" w:rsidRDefault="00575CDB">
            <w:pPr>
              <w:rPr>
                <w:rFonts w:ascii="仿宋" w:eastAsia="仿宋" w:hAnsi="仿宋" w:cs="仿宋"/>
                <w:kern w:val="1"/>
                <w:sz w:val="24"/>
              </w:rPr>
            </w:pPr>
            <w:r>
              <w:rPr>
                <w:rFonts w:ascii="仿宋" w:eastAsia="仿宋" w:hAnsi="仿宋" w:cs="仿宋" w:hint="eastAsia"/>
                <w:kern w:val="1"/>
                <w:sz w:val="24"/>
              </w:rPr>
              <w:t>（二）</w:t>
            </w:r>
            <w:r>
              <w:rPr>
                <w:rFonts w:ascii="仿宋" w:eastAsia="仿宋" w:hAnsi="仿宋" w:cs="仿宋"/>
                <w:kern w:val="1"/>
                <w:sz w:val="24"/>
              </w:rPr>
              <w:t>《国家税务总局关于发布&lt;出口货物劳务增值税和消费税管理办法&gt;的公告》（国家税务总局公告2012年第24号）</w:t>
            </w:r>
            <w:r>
              <w:rPr>
                <w:rFonts w:ascii="仿宋" w:eastAsia="仿宋" w:hAnsi="仿宋" w:cs="仿宋" w:hint="eastAsia"/>
                <w:kern w:val="1"/>
                <w:sz w:val="24"/>
              </w:rPr>
              <w:t>第四条</w:t>
            </w:r>
            <w:r>
              <w:rPr>
                <w:rFonts w:ascii="仿宋" w:eastAsia="仿宋" w:hAnsi="仿宋" w:cs="仿宋"/>
                <w:kern w:val="1"/>
                <w:sz w:val="24"/>
              </w:rPr>
              <w:t>。</w:t>
            </w:r>
          </w:p>
          <w:p w:rsidR="00013EC7" w:rsidRDefault="00575CDB">
            <w:pPr>
              <w:rPr>
                <w:rFonts w:ascii="仿宋" w:eastAsia="仿宋" w:hAnsi="仿宋" w:cs="仿宋"/>
                <w:kern w:val="1"/>
                <w:sz w:val="24"/>
              </w:rPr>
            </w:pPr>
            <w:r>
              <w:rPr>
                <w:rFonts w:ascii="仿宋" w:eastAsia="仿宋" w:hAnsi="仿宋" w:cs="仿宋" w:hint="eastAsia"/>
                <w:kern w:val="1"/>
                <w:sz w:val="24"/>
              </w:rPr>
              <w:t>（三）</w:t>
            </w:r>
            <w:r>
              <w:rPr>
                <w:rFonts w:ascii="仿宋" w:eastAsia="仿宋" w:hAnsi="仿宋" w:cs="仿宋"/>
                <w:kern w:val="1"/>
                <w:sz w:val="24"/>
              </w:rPr>
              <w:t>《国家税务总局关于&lt;出口货物劳务增值税和消费税管理办法&gt;有关问题的公告》（国家税务总局公告2013年第12号）</w:t>
            </w:r>
            <w:r>
              <w:rPr>
                <w:rFonts w:ascii="仿宋" w:eastAsia="仿宋" w:hAnsi="仿宋" w:cs="仿宋" w:hint="eastAsia"/>
                <w:kern w:val="1"/>
                <w:sz w:val="24"/>
              </w:rPr>
              <w:t>第一条第二款，第二条第七款，第八款，第九款，第十款，第十一款，第十二款</w:t>
            </w:r>
            <w:r>
              <w:rPr>
                <w:rFonts w:ascii="仿宋" w:eastAsia="仿宋" w:hAnsi="仿宋" w:cs="仿宋"/>
                <w:kern w:val="1"/>
                <w:sz w:val="24"/>
              </w:rPr>
              <w:t>。</w:t>
            </w:r>
          </w:p>
          <w:p w:rsidR="00013EC7" w:rsidRDefault="00575CDB">
            <w:pPr>
              <w:rPr>
                <w:rFonts w:ascii="仿宋" w:eastAsia="仿宋" w:hAnsi="仿宋" w:cs="仿宋"/>
                <w:kern w:val="1"/>
                <w:sz w:val="24"/>
              </w:rPr>
            </w:pPr>
            <w:r>
              <w:rPr>
                <w:rFonts w:ascii="仿宋" w:eastAsia="仿宋" w:hAnsi="仿宋" w:cs="仿宋" w:hint="eastAsia"/>
                <w:kern w:val="1"/>
                <w:sz w:val="24"/>
              </w:rPr>
              <w:t>（四）</w:t>
            </w:r>
            <w:r>
              <w:rPr>
                <w:rFonts w:ascii="仿宋" w:eastAsia="仿宋" w:hAnsi="仿宋" w:cs="仿宋"/>
                <w:kern w:val="1"/>
                <w:sz w:val="24"/>
              </w:rPr>
              <w:t>《国家税务总局关于调整出口退（免）税申报办法的公告》（国家税务</w:t>
            </w:r>
            <w:r>
              <w:rPr>
                <w:rFonts w:ascii="仿宋" w:eastAsia="仿宋" w:hAnsi="仿宋" w:cs="仿宋"/>
                <w:kern w:val="1"/>
                <w:sz w:val="24"/>
              </w:rPr>
              <w:lastRenderedPageBreak/>
              <w:t>总局公告2013年第61号）</w:t>
            </w:r>
            <w:r>
              <w:rPr>
                <w:rFonts w:ascii="仿宋" w:eastAsia="仿宋" w:hAnsi="仿宋" w:cs="仿宋" w:hint="eastAsia"/>
                <w:kern w:val="1"/>
                <w:sz w:val="24"/>
              </w:rPr>
              <w:t>第三条</w:t>
            </w:r>
            <w:r>
              <w:rPr>
                <w:rFonts w:ascii="仿宋" w:eastAsia="仿宋" w:hAnsi="仿宋" w:cs="仿宋"/>
                <w:kern w:val="1"/>
                <w:sz w:val="24"/>
              </w:rPr>
              <w:t>。</w:t>
            </w:r>
          </w:p>
          <w:p w:rsidR="00013EC7" w:rsidRDefault="00575CDB">
            <w:pPr>
              <w:rPr>
                <w:rFonts w:ascii="仿宋" w:eastAsia="仿宋" w:hAnsi="仿宋" w:cs="仿宋"/>
                <w:kern w:val="1"/>
                <w:sz w:val="24"/>
              </w:rPr>
            </w:pPr>
            <w:r>
              <w:rPr>
                <w:rFonts w:ascii="仿宋" w:eastAsia="仿宋" w:hAnsi="仿宋" w:cs="仿宋" w:hint="eastAsia"/>
                <w:kern w:val="1"/>
                <w:sz w:val="24"/>
              </w:rPr>
              <w:t>（五）</w:t>
            </w:r>
            <w:r>
              <w:rPr>
                <w:rFonts w:ascii="仿宋" w:eastAsia="仿宋" w:hAnsi="仿宋" w:cs="仿宋"/>
                <w:kern w:val="1"/>
                <w:sz w:val="24"/>
              </w:rPr>
              <w:t>《国家税务总局关于出口货物劳务增值税和消费税有关问题的公告》（国家税务总局公告2013年第65号）</w:t>
            </w:r>
            <w:r>
              <w:rPr>
                <w:rFonts w:ascii="仿宋" w:eastAsia="仿宋" w:hAnsi="仿宋" w:cs="仿宋" w:hint="eastAsia"/>
                <w:kern w:val="1"/>
                <w:sz w:val="24"/>
              </w:rPr>
              <w:t>第三条</w:t>
            </w:r>
            <w:r>
              <w:rPr>
                <w:rFonts w:ascii="仿宋" w:eastAsia="仿宋" w:hAnsi="仿宋" w:cs="仿宋"/>
                <w:kern w:val="1"/>
                <w:sz w:val="24"/>
              </w:rPr>
              <w:t>。</w:t>
            </w:r>
          </w:p>
          <w:p w:rsidR="00013EC7" w:rsidRDefault="00575CDB">
            <w:pPr>
              <w:rPr>
                <w:rFonts w:ascii="仿宋" w:eastAsia="仿宋" w:hAnsi="仿宋" w:cs="仿宋"/>
                <w:kern w:val="1"/>
                <w:sz w:val="24"/>
              </w:rPr>
            </w:pPr>
            <w:r>
              <w:rPr>
                <w:rFonts w:ascii="仿宋" w:eastAsia="仿宋" w:hAnsi="仿宋" w:cs="仿宋" w:hint="eastAsia"/>
                <w:kern w:val="1"/>
                <w:sz w:val="24"/>
              </w:rPr>
              <w:t>（六）</w:t>
            </w:r>
            <w:r>
              <w:rPr>
                <w:rFonts w:ascii="仿宋" w:eastAsia="仿宋" w:hAnsi="仿宋" w:cs="仿宋"/>
                <w:kern w:val="1"/>
                <w:sz w:val="24"/>
              </w:rPr>
              <w:t>《</w:t>
            </w:r>
            <w:r>
              <w:rPr>
                <w:rFonts w:ascii="仿宋" w:eastAsia="仿宋" w:hAnsi="仿宋" w:cs="仿宋" w:hint="eastAsia"/>
                <w:kern w:val="1"/>
                <w:sz w:val="24"/>
              </w:rPr>
              <w:t>浙江省国家税务局关于出口退（免）税无纸化申报的公告</w:t>
            </w:r>
            <w:r>
              <w:rPr>
                <w:rFonts w:ascii="仿宋" w:eastAsia="仿宋" w:hAnsi="仿宋" w:cs="仿宋"/>
                <w:kern w:val="1"/>
                <w:sz w:val="24"/>
              </w:rPr>
              <w:t>》（</w:t>
            </w:r>
            <w:r>
              <w:rPr>
                <w:rFonts w:ascii="仿宋" w:eastAsia="仿宋" w:hAnsi="仿宋" w:cs="仿宋" w:hint="eastAsia"/>
                <w:kern w:val="1"/>
                <w:sz w:val="24"/>
              </w:rPr>
              <w:t>浙江省国家税务局公告2015年第9号）全文。</w:t>
            </w:r>
          </w:p>
          <w:p w:rsidR="00013EC7" w:rsidRDefault="00013EC7">
            <w:pPr>
              <w:rPr>
                <w:rFonts w:ascii="仿宋" w:eastAsia="仿宋" w:hAnsi="仿宋" w:cs="仿宋"/>
                <w:kern w:val="1"/>
                <w:sz w:val="24"/>
              </w:rPr>
            </w:pPr>
          </w:p>
        </w:tc>
        <w:tc>
          <w:tcPr>
            <w:tcW w:w="2785" w:type="dxa"/>
            <w:tcBorders>
              <w:top w:val="single" w:sz="4" w:space="0" w:color="auto"/>
              <w:bottom w:val="single" w:sz="4" w:space="0" w:color="auto"/>
            </w:tcBorders>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lastRenderedPageBreak/>
              <w:t>（一）（A06177-A06178）《免抵退税申报汇总表》及其附表</w:t>
            </w:r>
            <w:r>
              <w:rPr>
                <w:rFonts w:ascii="仿宋" w:eastAsia="仿宋" w:hAnsi="仿宋" w:cs="仿宋"/>
                <w:kern w:val="1"/>
                <w:sz w:val="24"/>
              </w:rPr>
              <w:t>。</w:t>
            </w:r>
          </w:p>
        </w:tc>
        <w:tc>
          <w:tcPr>
            <w:tcW w:w="1118" w:type="dxa"/>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sz w:val="24"/>
              </w:rPr>
              <w:t>出口生产企业纳税人提交</w:t>
            </w:r>
          </w:p>
        </w:tc>
        <w:tc>
          <w:tcPr>
            <w:tcW w:w="2403" w:type="dxa"/>
            <w:vAlign w:val="center"/>
          </w:tcPr>
          <w:p w:rsidR="00013EC7" w:rsidRDefault="00575CDB">
            <w:pPr>
              <w:numPr>
                <w:ilvl w:val="0"/>
                <w:numId w:val="8"/>
              </w:numPr>
              <w:rPr>
                <w:rFonts w:ascii="仿宋" w:eastAsia="仿宋" w:hAnsi="仿宋" w:cs="仿宋"/>
                <w:kern w:val="1"/>
                <w:sz w:val="24"/>
              </w:rPr>
            </w:pPr>
            <w:r>
              <w:rPr>
                <w:rFonts w:ascii="仿宋" w:eastAsia="仿宋" w:hAnsi="仿宋" w:cs="仿宋" w:hint="eastAsia"/>
                <w:kern w:val="1"/>
                <w:sz w:val="24"/>
              </w:rPr>
              <w:t>（A06177-A06178）《免抵退税申报汇总表》及其附表1份</w:t>
            </w:r>
            <w:r>
              <w:rPr>
                <w:rFonts w:ascii="仿宋" w:eastAsia="仿宋" w:hAnsi="仿宋" w:cs="仿宋"/>
                <w:kern w:val="1"/>
                <w:sz w:val="24"/>
              </w:rPr>
              <w:t>。</w:t>
            </w:r>
          </w:p>
        </w:tc>
        <w:tc>
          <w:tcPr>
            <w:tcW w:w="1196" w:type="dxa"/>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sz w:val="24"/>
              </w:rPr>
              <w:t>出口生产企业纳税人提交</w:t>
            </w:r>
          </w:p>
        </w:tc>
        <w:tc>
          <w:tcPr>
            <w:tcW w:w="3318" w:type="dxa"/>
            <w:vAlign w:val="center"/>
          </w:tcPr>
          <w:p w:rsidR="00013EC7" w:rsidRDefault="00575CDB">
            <w:pPr>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纳税人提交书面材料（无纸化企业留存备查）。</w:t>
            </w:r>
          </w:p>
        </w:tc>
        <w:tc>
          <w:tcPr>
            <w:tcW w:w="868" w:type="dxa"/>
            <w:vMerge w:val="restart"/>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sz w:val="24"/>
              </w:rPr>
              <w:t>1类企业5个工作日，2、3、4类企业20个工作日</w:t>
            </w:r>
          </w:p>
        </w:tc>
        <w:tc>
          <w:tcPr>
            <w:tcW w:w="798" w:type="dxa"/>
            <w:vMerge w:val="restart"/>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sz w:val="24"/>
              </w:rPr>
              <w:t>一类、二类、三类、四类出口企业申报的出口退（免）税，经审核符合条件的，自受理申报之日起分别在5、10、15、20个工作日内办结</w:t>
            </w:r>
            <w:r>
              <w:rPr>
                <w:rFonts w:ascii="仿宋" w:eastAsia="仿宋" w:hAnsi="仿宋" w:cs="仿宋" w:hint="eastAsia"/>
                <w:sz w:val="24"/>
              </w:rPr>
              <w:lastRenderedPageBreak/>
              <w:t>出口退（免）税手续。</w:t>
            </w:r>
          </w:p>
        </w:tc>
        <w:tc>
          <w:tcPr>
            <w:tcW w:w="958" w:type="dxa"/>
            <w:vMerge w:val="restart"/>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sz w:val="24"/>
              </w:rPr>
              <w:lastRenderedPageBreak/>
              <w:t>无纸化企业已实现跑零次</w:t>
            </w:r>
          </w:p>
        </w:tc>
        <w:tc>
          <w:tcPr>
            <w:tcW w:w="1104" w:type="dxa"/>
            <w:vMerge w:val="restart"/>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sz w:val="24"/>
              </w:rPr>
              <w:t>进出口处</w:t>
            </w:r>
          </w:p>
        </w:tc>
        <w:tc>
          <w:tcPr>
            <w:tcW w:w="1476" w:type="dxa"/>
            <w:vMerge w:val="restart"/>
            <w:vAlign w:val="center"/>
          </w:tcPr>
          <w:p w:rsidR="00013EC7" w:rsidRDefault="00013EC7">
            <w:pPr>
              <w:spacing w:line="300" w:lineRule="exact"/>
              <w:rPr>
                <w:rFonts w:ascii="仿宋" w:eastAsia="仿宋" w:hAnsi="仿宋" w:cs="仿宋"/>
                <w:sz w:val="24"/>
              </w:rPr>
            </w:pPr>
          </w:p>
        </w:tc>
      </w:tr>
      <w:tr w:rsidR="00013EC7">
        <w:trPr>
          <w:trHeight w:val="1699"/>
          <w:jc w:val="center"/>
        </w:trPr>
        <w:tc>
          <w:tcPr>
            <w:tcW w:w="1250" w:type="dxa"/>
            <w:vMerge/>
            <w:textDirection w:val="tbRlV"/>
            <w:vAlign w:val="center"/>
          </w:tcPr>
          <w:p w:rsidR="00013EC7" w:rsidRDefault="00013EC7">
            <w:pPr>
              <w:rPr>
                <w:rFonts w:ascii="仿宋" w:eastAsia="仿宋" w:hAnsi="仿宋" w:cs="仿宋"/>
                <w:sz w:val="24"/>
              </w:rPr>
            </w:pPr>
          </w:p>
        </w:tc>
        <w:tc>
          <w:tcPr>
            <w:tcW w:w="1316" w:type="dxa"/>
            <w:vMerge/>
            <w:vAlign w:val="center"/>
          </w:tcPr>
          <w:p w:rsidR="00013EC7" w:rsidRDefault="00013EC7">
            <w:pPr>
              <w:rPr>
                <w:rFonts w:ascii="仿宋" w:eastAsia="仿宋" w:hAnsi="仿宋" w:cs="仿宋"/>
                <w:sz w:val="24"/>
              </w:rPr>
            </w:pPr>
          </w:p>
        </w:tc>
        <w:tc>
          <w:tcPr>
            <w:tcW w:w="2114" w:type="dxa"/>
            <w:vMerge/>
            <w:vAlign w:val="center"/>
          </w:tcPr>
          <w:p w:rsidR="00013EC7" w:rsidRDefault="00013EC7">
            <w:pPr>
              <w:rPr>
                <w:rFonts w:ascii="仿宋" w:eastAsia="仿宋" w:hAnsi="仿宋" w:cs="仿宋"/>
                <w:sz w:val="24"/>
              </w:rPr>
            </w:pPr>
          </w:p>
        </w:tc>
        <w:tc>
          <w:tcPr>
            <w:tcW w:w="2785" w:type="dxa"/>
            <w:tcBorders>
              <w:top w:val="single" w:sz="4" w:space="0" w:color="auto"/>
            </w:tcBorders>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（二）（A06322）《免抵退税申报资料情况表》</w:t>
            </w:r>
            <w:r>
              <w:rPr>
                <w:rFonts w:ascii="仿宋" w:eastAsia="仿宋" w:hAnsi="仿宋" w:cs="仿宋"/>
                <w:kern w:val="1"/>
                <w:sz w:val="24"/>
              </w:rPr>
              <w:t>。</w:t>
            </w:r>
          </w:p>
        </w:tc>
        <w:tc>
          <w:tcPr>
            <w:tcW w:w="1118" w:type="dxa"/>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sz w:val="24"/>
              </w:rPr>
              <w:t>出口生产企业纳税人提交</w:t>
            </w:r>
          </w:p>
        </w:tc>
        <w:tc>
          <w:tcPr>
            <w:tcW w:w="2403"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（二）（A06322）《免抵退税申报资料情况表》1份</w:t>
            </w:r>
            <w:r>
              <w:rPr>
                <w:rFonts w:ascii="仿宋" w:eastAsia="仿宋" w:hAnsi="仿宋" w:cs="仿宋"/>
                <w:kern w:val="1"/>
                <w:sz w:val="24"/>
              </w:rPr>
              <w:t>。</w:t>
            </w:r>
          </w:p>
        </w:tc>
        <w:tc>
          <w:tcPr>
            <w:tcW w:w="1196" w:type="dxa"/>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sz w:val="24"/>
              </w:rPr>
              <w:t>出口生产企业纳税人提交</w:t>
            </w:r>
          </w:p>
        </w:tc>
        <w:tc>
          <w:tcPr>
            <w:tcW w:w="3318" w:type="dxa"/>
            <w:vAlign w:val="center"/>
          </w:tcPr>
          <w:p w:rsidR="00013EC7" w:rsidRDefault="00575CDB">
            <w:pPr>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纳税人提交书面材料（无纸化企业留存备查）。</w:t>
            </w:r>
          </w:p>
        </w:tc>
        <w:tc>
          <w:tcPr>
            <w:tcW w:w="868" w:type="dxa"/>
            <w:vMerge/>
            <w:vAlign w:val="center"/>
          </w:tcPr>
          <w:p w:rsidR="00013EC7" w:rsidRDefault="00013EC7">
            <w:pPr>
              <w:rPr>
                <w:rFonts w:ascii="仿宋" w:eastAsia="仿宋" w:hAnsi="仿宋" w:cs="仿宋"/>
                <w:sz w:val="24"/>
              </w:rPr>
            </w:pPr>
          </w:p>
        </w:tc>
        <w:tc>
          <w:tcPr>
            <w:tcW w:w="798" w:type="dxa"/>
            <w:vMerge/>
            <w:vAlign w:val="center"/>
          </w:tcPr>
          <w:p w:rsidR="00013EC7" w:rsidRDefault="00013EC7">
            <w:pPr>
              <w:rPr>
                <w:rFonts w:ascii="仿宋" w:eastAsia="仿宋" w:hAnsi="仿宋" w:cs="仿宋"/>
                <w:sz w:val="24"/>
              </w:rPr>
            </w:pP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193"/>
          <w:jc w:val="center"/>
        </w:trPr>
        <w:tc>
          <w:tcPr>
            <w:tcW w:w="1250" w:type="dxa"/>
            <w:vMerge/>
            <w:textDirection w:val="tbRlV"/>
            <w:vAlign w:val="center"/>
          </w:tcPr>
          <w:p w:rsidR="00013EC7" w:rsidRDefault="00013EC7">
            <w:pPr>
              <w:rPr>
                <w:rFonts w:ascii="仿宋" w:eastAsia="仿宋" w:hAnsi="仿宋" w:cs="仿宋"/>
                <w:sz w:val="24"/>
              </w:rPr>
            </w:pPr>
          </w:p>
        </w:tc>
        <w:tc>
          <w:tcPr>
            <w:tcW w:w="1316" w:type="dxa"/>
            <w:vMerge/>
            <w:vAlign w:val="center"/>
          </w:tcPr>
          <w:p w:rsidR="00013EC7" w:rsidRDefault="00013EC7">
            <w:pPr>
              <w:rPr>
                <w:rFonts w:ascii="仿宋" w:eastAsia="仿宋" w:hAnsi="仿宋" w:cs="仿宋"/>
                <w:sz w:val="24"/>
              </w:rPr>
            </w:pPr>
          </w:p>
        </w:tc>
        <w:tc>
          <w:tcPr>
            <w:tcW w:w="2114" w:type="dxa"/>
            <w:vMerge/>
            <w:vAlign w:val="center"/>
          </w:tcPr>
          <w:p w:rsidR="00013EC7" w:rsidRDefault="00013EC7">
            <w:pPr>
              <w:rPr>
                <w:rFonts w:ascii="仿宋" w:eastAsia="仿宋" w:hAnsi="仿宋" w:cs="仿宋"/>
                <w:sz w:val="24"/>
              </w:rPr>
            </w:pPr>
          </w:p>
        </w:tc>
        <w:tc>
          <w:tcPr>
            <w:tcW w:w="2785"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（三）（A06465）《生产企业出口货物免抵退税申报明细表》1份。</w:t>
            </w:r>
          </w:p>
        </w:tc>
        <w:tc>
          <w:tcPr>
            <w:tcW w:w="1118" w:type="dxa"/>
            <w:vAlign w:val="center"/>
          </w:tcPr>
          <w:p w:rsidR="00013EC7" w:rsidRDefault="00575CDB">
            <w:pPr>
              <w:rPr>
                <w:rFonts w:ascii="仿宋" w:eastAsia="仿宋" w:hAnsi="仿宋" w:cs="仿宋"/>
                <w:sz w:val="24"/>
              </w:rPr>
            </w:pPr>
            <w:r>
              <w:rPr>
                <w:rFonts w:ascii="仿宋" w:eastAsia="仿宋" w:hAnsi="仿宋" w:cs="仿宋" w:hint="eastAsia"/>
                <w:sz w:val="24"/>
              </w:rPr>
              <w:t>出口生产企业纳税人提交</w:t>
            </w:r>
          </w:p>
        </w:tc>
        <w:tc>
          <w:tcPr>
            <w:tcW w:w="2403"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（三）（A06465）《生产企业出口货物免抵退税申报明细表》1份。</w:t>
            </w:r>
          </w:p>
        </w:tc>
        <w:tc>
          <w:tcPr>
            <w:tcW w:w="1196" w:type="dxa"/>
            <w:vAlign w:val="center"/>
          </w:tcPr>
          <w:p w:rsidR="00013EC7" w:rsidRDefault="00575CDB">
            <w:pPr>
              <w:jc w:val="center"/>
              <w:rPr>
                <w:rFonts w:ascii="仿宋" w:eastAsia="仿宋" w:hAnsi="仿宋" w:cs="仿宋"/>
                <w:sz w:val="24"/>
              </w:rPr>
            </w:pPr>
            <w:r>
              <w:rPr>
                <w:rFonts w:ascii="仿宋" w:eastAsia="仿宋" w:hAnsi="仿宋" w:cs="仿宋" w:hint="eastAsia"/>
                <w:sz w:val="24"/>
              </w:rPr>
              <w:t>出口生产企业纳税人提交</w:t>
            </w:r>
          </w:p>
        </w:tc>
        <w:tc>
          <w:tcPr>
            <w:tcW w:w="3318"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纳税人提交书面材料（无纸化企业留存备查）。</w:t>
            </w:r>
          </w:p>
        </w:tc>
        <w:tc>
          <w:tcPr>
            <w:tcW w:w="868" w:type="dxa"/>
            <w:vMerge/>
            <w:vAlign w:val="center"/>
          </w:tcPr>
          <w:p w:rsidR="00013EC7" w:rsidRDefault="00013EC7">
            <w:pPr>
              <w:rPr>
                <w:rFonts w:ascii="仿宋" w:eastAsia="仿宋" w:hAnsi="仿宋" w:cs="仿宋"/>
                <w:sz w:val="24"/>
              </w:rPr>
            </w:pPr>
          </w:p>
        </w:tc>
        <w:tc>
          <w:tcPr>
            <w:tcW w:w="798" w:type="dxa"/>
            <w:vMerge/>
            <w:vAlign w:val="center"/>
          </w:tcPr>
          <w:p w:rsidR="00013EC7" w:rsidRDefault="00013EC7">
            <w:pPr>
              <w:rPr>
                <w:rFonts w:ascii="仿宋" w:eastAsia="仿宋" w:hAnsi="仿宋" w:cs="仿宋"/>
                <w:sz w:val="24"/>
              </w:rPr>
            </w:pP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193"/>
          <w:jc w:val="center"/>
        </w:trPr>
        <w:tc>
          <w:tcPr>
            <w:tcW w:w="1250" w:type="dxa"/>
            <w:vMerge/>
            <w:textDirection w:val="tbRlV"/>
            <w:vAlign w:val="center"/>
          </w:tcPr>
          <w:p w:rsidR="00013EC7" w:rsidRDefault="00013EC7"/>
        </w:tc>
        <w:tc>
          <w:tcPr>
            <w:tcW w:w="1316" w:type="dxa"/>
            <w:vMerge/>
            <w:vAlign w:val="center"/>
          </w:tcPr>
          <w:p w:rsidR="00013EC7" w:rsidRDefault="00013EC7"/>
        </w:tc>
        <w:tc>
          <w:tcPr>
            <w:tcW w:w="2114" w:type="dxa"/>
            <w:vMerge/>
            <w:vAlign w:val="center"/>
          </w:tcPr>
          <w:p w:rsidR="00013EC7" w:rsidRDefault="00013EC7"/>
        </w:tc>
        <w:tc>
          <w:tcPr>
            <w:tcW w:w="2785"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（四）（A06375）《出口货物离岸价差异原因说明表》1份及电子数据</w:t>
            </w:r>
            <w:r>
              <w:rPr>
                <w:rFonts w:ascii="仿宋" w:eastAsia="仿宋" w:hAnsi="仿宋" w:cs="仿宋"/>
                <w:kern w:val="1"/>
                <w:sz w:val="24"/>
              </w:rPr>
              <w:t>。</w:t>
            </w:r>
          </w:p>
        </w:tc>
        <w:tc>
          <w:tcPr>
            <w:tcW w:w="1118"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报送的（A06465）《生产企业出口货物免抵退税申报明细表》 中的离岸价与相应出口货物报关单上的离岸价不一致的</w:t>
            </w:r>
            <w:r>
              <w:rPr>
                <w:rFonts w:ascii="仿宋" w:eastAsia="仿宋" w:hAnsi="仿宋" w:cs="仿宋" w:hint="eastAsia"/>
                <w:sz w:val="24"/>
              </w:rPr>
              <w:t>出口生产企业纳税人提交</w:t>
            </w:r>
          </w:p>
        </w:tc>
        <w:tc>
          <w:tcPr>
            <w:tcW w:w="2403"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（四）（A06375）《出口货物离岸价差异原因说明表》1份及电子数据</w:t>
            </w:r>
            <w:r>
              <w:rPr>
                <w:rFonts w:ascii="仿宋" w:eastAsia="仿宋" w:hAnsi="仿宋" w:cs="仿宋"/>
                <w:kern w:val="1"/>
                <w:sz w:val="24"/>
              </w:rPr>
              <w:t>。</w:t>
            </w:r>
          </w:p>
        </w:tc>
        <w:tc>
          <w:tcPr>
            <w:tcW w:w="1196"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报送的（A06465）《生产企业出口货物免抵退税申报明细表》 中的离岸价与相应出口货物报关单上的离岸价不一致的</w:t>
            </w:r>
            <w:r>
              <w:rPr>
                <w:rFonts w:ascii="仿宋" w:eastAsia="仿宋" w:hAnsi="仿宋" w:cs="仿宋" w:hint="eastAsia"/>
                <w:sz w:val="24"/>
              </w:rPr>
              <w:t>出口生产企业纳税人提交</w:t>
            </w:r>
          </w:p>
        </w:tc>
        <w:tc>
          <w:tcPr>
            <w:tcW w:w="3318" w:type="dxa"/>
            <w:vAlign w:val="center"/>
          </w:tcPr>
          <w:p w:rsidR="00013EC7" w:rsidRDefault="00575CDB">
            <w:pPr>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纳税人提交书面材料（无纸化企业留存备查）。</w:t>
            </w:r>
          </w:p>
          <w:p w:rsidR="00013EC7" w:rsidRDefault="00575CDB">
            <w:pPr>
              <w:rPr>
                <w:rFonts w:ascii="仿宋" w:eastAsia="仿宋" w:hAnsi="仿宋" w:cs="仿宋"/>
                <w:kern w:val="1"/>
                <w:sz w:val="24"/>
              </w:rPr>
            </w:pPr>
            <w:r>
              <w:rPr>
                <w:rFonts w:ascii="仿宋" w:eastAsia="仿宋" w:hAnsi="仿宋" w:cs="仿宋" w:hint="eastAsia"/>
                <w:b/>
                <w:sz w:val="24"/>
              </w:rPr>
              <w:t>网上办理：</w:t>
            </w:r>
            <w:r>
              <w:rPr>
                <w:rFonts w:ascii="仿宋" w:eastAsia="仿宋" w:hAnsi="仿宋" w:cs="仿宋" w:hint="eastAsia"/>
                <w:sz w:val="24"/>
              </w:rPr>
              <w:t>登录浙江省国家税务局电子税务局提交电子数据。</w:t>
            </w:r>
          </w:p>
        </w:tc>
        <w:tc>
          <w:tcPr>
            <w:tcW w:w="868"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340"/>
          <w:jc w:val="center"/>
        </w:trPr>
        <w:tc>
          <w:tcPr>
            <w:tcW w:w="1250" w:type="dxa"/>
            <w:vMerge/>
            <w:vAlign w:val="center"/>
          </w:tcPr>
          <w:p w:rsidR="00013EC7" w:rsidRDefault="00013EC7">
            <w:pPr>
              <w:rPr>
                <w:rFonts w:ascii="仿宋" w:eastAsia="仿宋" w:hAnsi="仿宋" w:cs="仿宋"/>
                <w:sz w:val="24"/>
              </w:rPr>
            </w:pPr>
          </w:p>
        </w:tc>
        <w:tc>
          <w:tcPr>
            <w:tcW w:w="1316" w:type="dxa"/>
            <w:vMerge/>
            <w:vAlign w:val="center"/>
          </w:tcPr>
          <w:p w:rsidR="00013EC7" w:rsidRDefault="00013EC7">
            <w:pPr>
              <w:rPr>
                <w:rFonts w:ascii="仿宋" w:eastAsia="仿宋" w:hAnsi="仿宋" w:cs="仿宋"/>
                <w:sz w:val="24"/>
              </w:rPr>
            </w:pPr>
          </w:p>
        </w:tc>
        <w:tc>
          <w:tcPr>
            <w:tcW w:w="2114" w:type="dxa"/>
            <w:vMerge/>
            <w:vAlign w:val="center"/>
          </w:tcPr>
          <w:p w:rsidR="00013EC7" w:rsidRDefault="00013EC7">
            <w:pPr>
              <w:rPr>
                <w:rFonts w:ascii="仿宋" w:eastAsia="仿宋" w:hAnsi="仿宋" w:cs="仿宋"/>
                <w:sz w:val="24"/>
              </w:rPr>
            </w:pPr>
          </w:p>
        </w:tc>
        <w:tc>
          <w:tcPr>
            <w:tcW w:w="2785"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（五）出口货物退（免）税申报电子数据</w:t>
            </w:r>
            <w:r>
              <w:rPr>
                <w:rFonts w:ascii="仿宋" w:eastAsia="仿宋" w:hAnsi="仿宋" w:cs="仿宋"/>
                <w:kern w:val="1"/>
                <w:sz w:val="24"/>
              </w:rPr>
              <w:t>。</w:t>
            </w:r>
          </w:p>
        </w:tc>
        <w:tc>
          <w:tcPr>
            <w:tcW w:w="1118" w:type="dxa"/>
            <w:vAlign w:val="center"/>
          </w:tcPr>
          <w:p w:rsidR="00013EC7" w:rsidRDefault="00575CDB">
            <w:pPr>
              <w:jc w:val="center"/>
              <w:rPr>
                <w:rFonts w:ascii="仿宋" w:eastAsia="仿宋" w:hAnsi="仿宋" w:cs="仿宋"/>
                <w:sz w:val="24"/>
              </w:rPr>
            </w:pPr>
            <w:r>
              <w:rPr>
                <w:rFonts w:ascii="仿宋" w:eastAsia="仿宋" w:hAnsi="仿宋" w:cs="仿宋" w:hint="eastAsia"/>
                <w:sz w:val="24"/>
              </w:rPr>
              <w:t>出口生产企业纳税人提交</w:t>
            </w:r>
          </w:p>
        </w:tc>
        <w:tc>
          <w:tcPr>
            <w:tcW w:w="2403"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（五）出口货物退（免）税申报电子数据</w:t>
            </w:r>
            <w:r>
              <w:rPr>
                <w:rFonts w:ascii="仿宋" w:eastAsia="仿宋" w:hAnsi="仿宋" w:cs="仿宋"/>
                <w:kern w:val="1"/>
                <w:sz w:val="24"/>
              </w:rPr>
              <w:t>。</w:t>
            </w:r>
          </w:p>
        </w:tc>
        <w:tc>
          <w:tcPr>
            <w:tcW w:w="1196" w:type="dxa"/>
            <w:vAlign w:val="center"/>
          </w:tcPr>
          <w:p w:rsidR="00013EC7" w:rsidRDefault="00013EC7">
            <w:pPr>
              <w:jc w:val="center"/>
              <w:rPr>
                <w:rFonts w:ascii="仿宋" w:eastAsia="仿宋" w:hAnsi="仿宋" w:cs="仿宋"/>
                <w:sz w:val="24"/>
              </w:rPr>
            </w:pPr>
          </w:p>
        </w:tc>
        <w:tc>
          <w:tcPr>
            <w:tcW w:w="3318" w:type="dxa"/>
            <w:vAlign w:val="center"/>
          </w:tcPr>
          <w:p w:rsidR="00013EC7" w:rsidRDefault="00575CDB">
            <w:pPr>
              <w:spacing w:line="300" w:lineRule="exact"/>
              <w:rPr>
                <w:rFonts w:ascii="仿宋" w:eastAsia="仿宋" w:hAnsi="仿宋" w:cs="仿宋"/>
                <w:b/>
                <w:sz w:val="24"/>
              </w:rPr>
            </w:pPr>
            <w:r>
              <w:rPr>
                <w:rFonts w:ascii="仿宋" w:eastAsia="仿宋" w:hAnsi="仿宋" w:cs="仿宋" w:hint="eastAsia"/>
                <w:b/>
                <w:sz w:val="24"/>
              </w:rPr>
              <w:t>现场办理：</w:t>
            </w:r>
            <w:r>
              <w:rPr>
                <w:rFonts w:ascii="仿宋" w:eastAsia="仿宋" w:hAnsi="仿宋" w:cs="仿宋" w:hint="eastAsia"/>
                <w:sz w:val="24"/>
              </w:rPr>
              <w:t>纳税人提交电子数据。</w:t>
            </w:r>
          </w:p>
          <w:p w:rsidR="00013EC7" w:rsidRDefault="00575CDB">
            <w:pPr>
              <w:spacing w:line="300" w:lineRule="exact"/>
              <w:rPr>
                <w:rFonts w:ascii="仿宋" w:eastAsia="仿宋" w:hAnsi="仿宋" w:cs="仿宋"/>
                <w:sz w:val="24"/>
              </w:rPr>
            </w:pPr>
            <w:r>
              <w:rPr>
                <w:rFonts w:ascii="仿宋" w:eastAsia="仿宋" w:hAnsi="仿宋" w:cs="仿宋" w:hint="eastAsia"/>
                <w:b/>
                <w:sz w:val="24"/>
              </w:rPr>
              <w:t>网上办理：</w:t>
            </w:r>
            <w:r>
              <w:rPr>
                <w:rFonts w:ascii="仿宋" w:eastAsia="仿宋" w:hAnsi="仿宋" w:cs="仿宋" w:hint="eastAsia"/>
                <w:sz w:val="24"/>
              </w:rPr>
              <w:t>登录浙江省国家税务局电子税务局提交电子数据。</w:t>
            </w:r>
          </w:p>
        </w:tc>
        <w:tc>
          <w:tcPr>
            <w:tcW w:w="868" w:type="dxa"/>
            <w:vMerge/>
            <w:vAlign w:val="center"/>
          </w:tcPr>
          <w:p w:rsidR="00013EC7" w:rsidRDefault="00013EC7">
            <w:pPr>
              <w:rPr>
                <w:rFonts w:ascii="仿宋" w:eastAsia="仿宋" w:hAnsi="仿宋" w:cs="仿宋"/>
                <w:sz w:val="24"/>
              </w:rPr>
            </w:pPr>
          </w:p>
        </w:tc>
        <w:tc>
          <w:tcPr>
            <w:tcW w:w="798" w:type="dxa"/>
            <w:vMerge/>
            <w:vAlign w:val="center"/>
          </w:tcPr>
          <w:p w:rsidR="00013EC7" w:rsidRDefault="00013EC7">
            <w:pPr>
              <w:rPr>
                <w:rFonts w:ascii="仿宋" w:eastAsia="仿宋" w:hAnsi="仿宋" w:cs="仿宋"/>
                <w:sz w:val="24"/>
              </w:rPr>
            </w:pP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992"/>
          <w:jc w:val="center"/>
        </w:trPr>
        <w:tc>
          <w:tcPr>
            <w:tcW w:w="1250" w:type="dxa"/>
            <w:vMerge/>
            <w:vAlign w:val="center"/>
          </w:tcPr>
          <w:p w:rsidR="00013EC7" w:rsidRDefault="00013EC7">
            <w:pPr>
              <w:rPr>
                <w:rFonts w:ascii="仿宋" w:eastAsia="仿宋" w:hAnsi="仿宋" w:cs="仿宋"/>
                <w:sz w:val="24"/>
              </w:rPr>
            </w:pPr>
          </w:p>
        </w:tc>
        <w:tc>
          <w:tcPr>
            <w:tcW w:w="1316" w:type="dxa"/>
            <w:vMerge/>
            <w:vAlign w:val="center"/>
          </w:tcPr>
          <w:p w:rsidR="00013EC7" w:rsidRDefault="00013EC7">
            <w:pPr>
              <w:rPr>
                <w:rFonts w:ascii="仿宋" w:eastAsia="仿宋" w:hAnsi="仿宋" w:cs="仿宋"/>
                <w:sz w:val="24"/>
              </w:rPr>
            </w:pPr>
          </w:p>
        </w:tc>
        <w:tc>
          <w:tcPr>
            <w:tcW w:w="2114" w:type="dxa"/>
            <w:vMerge/>
            <w:vAlign w:val="center"/>
          </w:tcPr>
          <w:p w:rsidR="00013EC7" w:rsidRDefault="00013EC7">
            <w:pPr>
              <w:rPr>
                <w:rFonts w:ascii="仿宋" w:eastAsia="仿宋" w:hAnsi="仿宋" w:cs="仿宋"/>
                <w:sz w:val="24"/>
              </w:rPr>
            </w:pPr>
          </w:p>
        </w:tc>
        <w:tc>
          <w:tcPr>
            <w:tcW w:w="2785"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六）出口货物报关单（出口退税专用），保税区内的出口企业可提供中华人民共和国海关保税区出境货物备案清单（除实施启运港退税政策的出口货物，对2015年5月1日后〈含〉以后出口的货物，不需提供纸质出口货物报关单〈出口退税专用〉）</w:t>
            </w:r>
          </w:p>
        </w:tc>
        <w:tc>
          <w:tcPr>
            <w:tcW w:w="1118" w:type="dxa"/>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sz w:val="24"/>
              </w:rPr>
              <w:t>出口生产企业纳税人提交</w:t>
            </w:r>
          </w:p>
        </w:tc>
        <w:tc>
          <w:tcPr>
            <w:tcW w:w="2403"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六）出口货物报关单（出口退税专用）1份，保税区内的出口企业可提供中华人民共和国海关保税区出境货物备案清单1份（除实施启运港退税政策的出口货物，对2015年5月1日后〈含〉以后出口的货物，不需提供纸质出口货物报关单〈出口退税专用〉）</w:t>
            </w:r>
          </w:p>
        </w:tc>
        <w:tc>
          <w:tcPr>
            <w:tcW w:w="1196" w:type="dxa"/>
            <w:vAlign w:val="center"/>
          </w:tcPr>
          <w:p w:rsidR="00013EC7" w:rsidRDefault="00575CDB">
            <w:pPr>
              <w:rPr>
                <w:rFonts w:ascii="仿宋" w:eastAsia="仿宋" w:hAnsi="仿宋" w:cs="仿宋"/>
                <w:sz w:val="24"/>
              </w:rPr>
            </w:pPr>
            <w:r>
              <w:rPr>
                <w:rFonts w:ascii="仿宋" w:eastAsia="仿宋" w:hAnsi="仿宋" w:cs="仿宋" w:hint="eastAsia"/>
                <w:b/>
                <w:bCs/>
                <w:i/>
                <w:iCs/>
                <w:sz w:val="24"/>
              </w:rPr>
              <w:t>经办机构自行获取</w:t>
            </w:r>
          </w:p>
          <w:p w:rsidR="00013EC7" w:rsidRDefault="00013EC7">
            <w:pPr>
              <w:spacing w:line="300" w:lineRule="exact"/>
              <w:jc w:val="center"/>
              <w:rPr>
                <w:rFonts w:ascii="仿宋" w:eastAsia="仿宋" w:hAnsi="仿宋" w:cs="仿宋"/>
                <w:sz w:val="24"/>
              </w:rPr>
            </w:pPr>
          </w:p>
        </w:tc>
        <w:tc>
          <w:tcPr>
            <w:tcW w:w="3318" w:type="dxa"/>
            <w:vAlign w:val="center"/>
          </w:tcPr>
          <w:p w:rsidR="00013EC7" w:rsidRDefault="00575CDB">
            <w:pPr>
              <w:rPr>
                <w:rFonts w:ascii="仿宋" w:eastAsia="仿宋" w:hAnsi="仿宋" w:cs="仿宋"/>
                <w:sz w:val="24"/>
              </w:rPr>
            </w:pPr>
            <w:r>
              <w:rPr>
                <w:rFonts w:ascii="仿宋" w:eastAsia="仿宋" w:hAnsi="仿宋" w:cs="仿宋" w:hint="eastAsia"/>
                <w:b/>
                <w:sz w:val="24"/>
              </w:rPr>
              <w:t>内部共享：</w:t>
            </w:r>
            <w:r>
              <w:rPr>
                <w:rFonts w:ascii="仿宋" w:eastAsia="仿宋" w:hAnsi="仿宋" w:cs="仿宋" w:hint="eastAsia"/>
                <w:sz w:val="24"/>
              </w:rPr>
              <w:t>内部共享获取相关信息（无纸化企业留存备查，非无纸化企业需提供书面材料）。</w:t>
            </w:r>
          </w:p>
        </w:tc>
        <w:tc>
          <w:tcPr>
            <w:tcW w:w="868" w:type="dxa"/>
            <w:vMerge/>
            <w:vAlign w:val="center"/>
          </w:tcPr>
          <w:p w:rsidR="00013EC7" w:rsidRDefault="00013EC7">
            <w:pPr>
              <w:rPr>
                <w:rFonts w:ascii="仿宋" w:eastAsia="仿宋" w:hAnsi="仿宋" w:cs="仿宋"/>
                <w:sz w:val="24"/>
              </w:rPr>
            </w:pPr>
          </w:p>
        </w:tc>
        <w:tc>
          <w:tcPr>
            <w:tcW w:w="798" w:type="dxa"/>
            <w:vMerge/>
            <w:vAlign w:val="center"/>
          </w:tcPr>
          <w:p w:rsidR="00013EC7" w:rsidRDefault="00013EC7">
            <w:pPr>
              <w:rPr>
                <w:rFonts w:ascii="仿宋" w:eastAsia="仿宋" w:hAnsi="仿宋" w:cs="仿宋"/>
                <w:sz w:val="24"/>
              </w:rPr>
            </w:pP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1294"/>
          <w:jc w:val="center"/>
        </w:trPr>
        <w:tc>
          <w:tcPr>
            <w:tcW w:w="1250" w:type="dxa"/>
            <w:vMerge/>
            <w:vAlign w:val="center"/>
          </w:tcPr>
          <w:p w:rsidR="00013EC7" w:rsidRDefault="00013EC7">
            <w:pPr>
              <w:rPr>
                <w:rFonts w:ascii="仿宋" w:eastAsia="仿宋" w:hAnsi="仿宋" w:cs="仿宋"/>
                <w:sz w:val="24"/>
              </w:rPr>
            </w:pPr>
          </w:p>
        </w:tc>
        <w:tc>
          <w:tcPr>
            <w:tcW w:w="1316" w:type="dxa"/>
            <w:vMerge/>
            <w:vAlign w:val="center"/>
          </w:tcPr>
          <w:p w:rsidR="00013EC7" w:rsidRDefault="00013EC7">
            <w:pPr>
              <w:rPr>
                <w:rFonts w:ascii="仿宋" w:eastAsia="仿宋" w:hAnsi="仿宋" w:cs="仿宋"/>
                <w:sz w:val="24"/>
              </w:rPr>
            </w:pPr>
          </w:p>
        </w:tc>
        <w:tc>
          <w:tcPr>
            <w:tcW w:w="2114" w:type="dxa"/>
            <w:vMerge/>
            <w:vAlign w:val="center"/>
          </w:tcPr>
          <w:p w:rsidR="00013EC7" w:rsidRDefault="00013EC7">
            <w:pPr>
              <w:rPr>
                <w:rFonts w:ascii="仿宋" w:eastAsia="仿宋" w:hAnsi="仿宋" w:cs="仿宋"/>
                <w:sz w:val="24"/>
              </w:rPr>
            </w:pPr>
          </w:p>
        </w:tc>
        <w:tc>
          <w:tcPr>
            <w:tcW w:w="2785"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（七）出口发票</w:t>
            </w:r>
            <w:r>
              <w:rPr>
                <w:rFonts w:ascii="仿宋" w:eastAsia="仿宋" w:hAnsi="仿宋" w:cs="仿宋"/>
                <w:kern w:val="1"/>
                <w:sz w:val="24"/>
              </w:rPr>
              <w:t>。</w:t>
            </w:r>
          </w:p>
        </w:tc>
        <w:tc>
          <w:tcPr>
            <w:tcW w:w="1118" w:type="dxa"/>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sz w:val="24"/>
              </w:rPr>
              <w:t>出口生产企业纳税人提交</w:t>
            </w:r>
          </w:p>
        </w:tc>
        <w:tc>
          <w:tcPr>
            <w:tcW w:w="2403"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（七）出口发票</w:t>
            </w:r>
            <w:r>
              <w:rPr>
                <w:rFonts w:ascii="仿宋" w:eastAsia="仿宋" w:hAnsi="仿宋" w:cs="仿宋"/>
                <w:kern w:val="1"/>
                <w:sz w:val="24"/>
              </w:rPr>
              <w:t>。</w:t>
            </w:r>
          </w:p>
        </w:tc>
        <w:tc>
          <w:tcPr>
            <w:tcW w:w="1196" w:type="dxa"/>
            <w:vAlign w:val="center"/>
          </w:tcPr>
          <w:p w:rsidR="00013EC7" w:rsidRDefault="00575CDB">
            <w:pPr>
              <w:rPr>
                <w:rFonts w:ascii="仿宋" w:eastAsia="仿宋" w:hAnsi="仿宋" w:cs="仿宋"/>
                <w:sz w:val="24"/>
              </w:rPr>
            </w:pPr>
            <w:r>
              <w:rPr>
                <w:rFonts w:ascii="仿宋" w:eastAsia="仿宋" w:hAnsi="仿宋" w:cs="仿宋" w:hint="eastAsia"/>
                <w:b/>
                <w:bCs/>
                <w:i/>
                <w:iCs/>
                <w:sz w:val="24"/>
              </w:rPr>
              <w:t>经办机构自行获取</w:t>
            </w:r>
          </w:p>
          <w:p w:rsidR="00013EC7" w:rsidRDefault="00013EC7">
            <w:pPr>
              <w:spacing w:line="300" w:lineRule="exact"/>
              <w:jc w:val="center"/>
              <w:rPr>
                <w:rFonts w:ascii="仿宋" w:eastAsia="仿宋" w:hAnsi="仿宋" w:cs="仿宋"/>
                <w:sz w:val="24"/>
                <w:highlight w:val="yellow"/>
              </w:rPr>
            </w:pPr>
          </w:p>
        </w:tc>
        <w:tc>
          <w:tcPr>
            <w:tcW w:w="3318" w:type="dxa"/>
            <w:vAlign w:val="center"/>
          </w:tcPr>
          <w:p w:rsidR="00013EC7" w:rsidRDefault="00575CDB">
            <w:pPr>
              <w:rPr>
                <w:rFonts w:ascii="仿宋" w:eastAsia="仿宋" w:hAnsi="仿宋" w:cs="仿宋"/>
                <w:sz w:val="24"/>
                <w:highlight w:val="yellow"/>
              </w:rPr>
            </w:pPr>
            <w:r>
              <w:rPr>
                <w:rFonts w:ascii="仿宋" w:eastAsia="仿宋" w:hAnsi="仿宋" w:cs="仿宋" w:hint="eastAsia"/>
                <w:b/>
                <w:sz w:val="24"/>
              </w:rPr>
              <w:t>内部共享：</w:t>
            </w:r>
            <w:r>
              <w:rPr>
                <w:rFonts w:ascii="仿宋" w:eastAsia="仿宋" w:hAnsi="仿宋" w:cs="仿宋" w:hint="eastAsia"/>
                <w:sz w:val="24"/>
              </w:rPr>
              <w:t>内部共享获取相关信息（无纸化企业留存备查，非无纸化企业需提供书面材料）。</w:t>
            </w:r>
          </w:p>
        </w:tc>
        <w:tc>
          <w:tcPr>
            <w:tcW w:w="868" w:type="dxa"/>
            <w:vMerge/>
            <w:vAlign w:val="center"/>
          </w:tcPr>
          <w:p w:rsidR="00013EC7" w:rsidRDefault="00013EC7">
            <w:pPr>
              <w:rPr>
                <w:rFonts w:ascii="仿宋" w:eastAsia="仿宋" w:hAnsi="仿宋" w:cs="仿宋"/>
                <w:sz w:val="24"/>
              </w:rPr>
            </w:pPr>
          </w:p>
        </w:tc>
        <w:tc>
          <w:tcPr>
            <w:tcW w:w="798" w:type="dxa"/>
            <w:vMerge/>
            <w:vAlign w:val="center"/>
          </w:tcPr>
          <w:p w:rsidR="00013EC7" w:rsidRDefault="00013EC7">
            <w:pPr>
              <w:rPr>
                <w:rFonts w:ascii="仿宋" w:eastAsia="仿宋" w:hAnsi="仿宋" w:cs="仿宋"/>
                <w:sz w:val="24"/>
              </w:rPr>
            </w:pP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1294"/>
          <w:jc w:val="center"/>
        </w:trPr>
        <w:tc>
          <w:tcPr>
            <w:tcW w:w="1250" w:type="dxa"/>
            <w:vMerge/>
            <w:vAlign w:val="center"/>
          </w:tcPr>
          <w:p w:rsidR="00013EC7" w:rsidRDefault="00013EC7">
            <w:pPr>
              <w:rPr>
                <w:rFonts w:ascii="仿宋" w:eastAsia="仿宋" w:hAnsi="仿宋" w:cs="仿宋"/>
                <w:sz w:val="24"/>
              </w:rPr>
            </w:pPr>
          </w:p>
        </w:tc>
        <w:tc>
          <w:tcPr>
            <w:tcW w:w="1316" w:type="dxa"/>
            <w:vMerge/>
            <w:vAlign w:val="center"/>
          </w:tcPr>
          <w:p w:rsidR="00013EC7" w:rsidRDefault="00013EC7">
            <w:pPr>
              <w:rPr>
                <w:rFonts w:ascii="仿宋" w:eastAsia="仿宋" w:hAnsi="仿宋" w:cs="仿宋"/>
                <w:sz w:val="24"/>
              </w:rPr>
            </w:pPr>
          </w:p>
        </w:tc>
        <w:tc>
          <w:tcPr>
            <w:tcW w:w="2114" w:type="dxa"/>
            <w:vMerge/>
            <w:vAlign w:val="center"/>
          </w:tcPr>
          <w:p w:rsidR="00013EC7" w:rsidRDefault="00013EC7">
            <w:pPr>
              <w:rPr>
                <w:rFonts w:ascii="仿宋" w:eastAsia="仿宋" w:hAnsi="仿宋" w:cs="仿宋"/>
                <w:sz w:val="24"/>
              </w:rPr>
            </w:pPr>
          </w:p>
        </w:tc>
        <w:tc>
          <w:tcPr>
            <w:tcW w:w="2785"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（八）（A06342）《出口货物收汇申报表》及对应货物银行结汇水单等出口收汇凭证（跨境贸易人民币结算的为收取人民币的收款凭证,原件和盖有企业公章的复印件）</w:t>
            </w:r>
            <w:r>
              <w:rPr>
                <w:rFonts w:ascii="仿宋" w:eastAsia="仿宋" w:hAnsi="仿宋" w:cs="仿宋"/>
                <w:kern w:val="1"/>
                <w:sz w:val="24"/>
              </w:rPr>
              <w:t>。</w:t>
            </w:r>
          </w:p>
        </w:tc>
        <w:tc>
          <w:tcPr>
            <w:tcW w:w="1118" w:type="dxa"/>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kern w:val="1"/>
                <w:sz w:val="24"/>
              </w:rPr>
              <w:t>出口收汇重点监管的</w:t>
            </w:r>
            <w:r>
              <w:rPr>
                <w:rFonts w:ascii="仿宋" w:eastAsia="仿宋" w:hAnsi="仿宋" w:cs="仿宋" w:hint="eastAsia"/>
                <w:sz w:val="24"/>
              </w:rPr>
              <w:t>生产企业纳税人提交</w:t>
            </w:r>
          </w:p>
        </w:tc>
        <w:tc>
          <w:tcPr>
            <w:tcW w:w="2403"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（八）（A06342）《出口货物收汇申报表》及对应货物银行结汇水单等出口收汇凭证（跨境贸易人民币结算的为收取人民币的收款凭证,原件和盖有企业公章的复印件）</w:t>
            </w:r>
            <w:r>
              <w:rPr>
                <w:rFonts w:ascii="仿宋" w:eastAsia="仿宋" w:hAnsi="仿宋" w:cs="仿宋"/>
                <w:kern w:val="1"/>
                <w:sz w:val="24"/>
              </w:rPr>
              <w:t>。</w:t>
            </w:r>
          </w:p>
        </w:tc>
        <w:tc>
          <w:tcPr>
            <w:tcW w:w="1196" w:type="dxa"/>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kern w:val="1"/>
                <w:sz w:val="24"/>
              </w:rPr>
              <w:t>出口收汇重点监管的</w:t>
            </w:r>
            <w:r>
              <w:rPr>
                <w:rFonts w:ascii="仿宋" w:eastAsia="仿宋" w:hAnsi="仿宋" w:cs="仿宋" w:hint="eastAsia"/>
                <w:sz w:val="24"/>
              </w:rPr>
              <w:t>生产企业纳税人提交</w:t>
            </w:r>
          </w:p>
        </w:tc>
        <w:tc>
          <w:tcPr>
            <w:tcW w:w="3318" w:type="dxa"/>
            <w:vAlign w:val="center"/>
          </w:tcPr>
          <w:p w:rsidR="00013EC7" w:rsidRDefault="00575CDB">
            <w:pPr>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纳税人提交书面材料（无纸化企业留存备查）。</w:t>
            </w:r>
          </w:p>
        </w:tc>
        <w:tc>
          <w:tcPr>
            <w:tcW w:w="868" w:type="dxa"/>
            <w:vMerge/>
            <w:vAlign w:val="center"/>
          </w:tcPr>
          <w:p w:rsidR="00013EC7" w:rsidRDefault="00013EC7">
            <w:pPr>
              <w:rPr>
                <w:rFonts w:ascii="仿宋" w:eastAsia="仿宋" w:hAnsi="仿宋" w:cs="仿宋"/>
                <w:sz w:val="24"/>
              </w:rPr>
            </w:pPr>
          </w:p>
        </w:tc>
        <w:tc>
          <w:tcPr>
            <w:tcW w:w="798" w:type="dxa"/>
            <w:vMerge/>
            <w:vAlign w:val="center"/>
          </w:tcPr>
          <w:p w:rsidR="00013EC7" w:rsidRDefault="00013EC7">
            <w:pPr>
              <w:rPr>
                <w:rFonts w:ascii="仿宋" w:eastAsia="仿宋" w:hAnsi="仿宋" w:cs="仿宋"/>
                <w:sz w:val="24"/>
              </w:rPr>
            </w:pP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1294"/>
          <w:jc w:val="center"/>
        </w:trPr>
        <w:tc>
          <w:tcPr>
            <w:tcW w:w="1250" w:type="dxa"/>
            <w:vMerge/>
            <w:vAlign w:val="center"/>
          </w:tcPr>
          <w:p w:rsidR="00013EC7" w:rsidRDefault="00013EC7">
            <w:pPr>
              <w:rPr>
                <w:rFonts w:ascii="仿宋" w:eastAsia="仿宋" w:hAnsi="仿宋" w:cs="仿宋"/>
                <w:sz w:val="24"/>
              </w:rPr>
            </w:pPr>
          </w:p>
        </w:tc>
        <w:tc>
          <w:tcPr>
            <w:tcW w:w="1316" w:type="dxa"/>
            <w:vMerge/>
            <w:vAlign w:val="center"/>
          </w:tcPr>
          <w:p w:rsidR="00013EC7" w:rsidRDefault="00013EC7">
            <w:pPr>
              <w:rPr>
                <w:rFonts w:ascii="仿宋" w:eastAsia="仿宋" w:hAnsi="仿宋" w:cs="仿宋"/>
                <w:sz w:val="24"/>
              </w:rPr>
            </w:pPr>
          </w:p>
        </w:tc>
        <w:tc>
          <w:tcPr>
            <w:tcW w:w="2114" w:type="dxa"/>
            <w:vMerge/>
            <w:vAlign w:val="center"/>
          </w:tcPr>
          <w:p w:rsidR="00013EC7" w:rsidRDefault="00013EC7">
            <w:pPr>
              <w:rPr>
                <w:rFonts w:ascii="仿宋" w:eastAsia="仿宋" w:hAnsi="仿宋" w:cs="仿宋"/>
                <w:sz w:val="24"/>
              </w:rPr>
            </w:pPr>
          </w:p>
        </w:tc>
        <w:tc>
          <w:tcPr>
            <w:tcW w:w="2785"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（九）（A06343）《出口货物不能收汇申报表》及对应的有关证明材料。</w:t>
            </w:r>
          </w:p>
        </w:tc>
        <w:tc>
          <w:tcPr>
            <w:tcW w:w="1118" w:type="dxa"/>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kern w:val="1"/>
                <w:sz w:val="24"/>
              </w:rPr>
              <w:t>出口货物由于《国家税务总局关于出口企业申报出口货物退（免）税</w:t>
            </w:r>
            <w:r>
              <w:rPr>
                <w:rFonts w:ascii="仿宋" w:eastAsia="仿宋" w:hAnsi="仿宋" w:cs="仿宋" w:hint="eastAsia"/>
                <w:kern w:val="1"/>
                <w:sz w:val="24"/>
              </w:rPr>
              <w:lastRenderedPageBreak/>
              <w:t>提供收汇资料有关问题的公告》（国家税务总局公告2013年第30号）附件3所列原因，不能收汇或不能在出口货物退（免）税申报期的截止之日内收汇的</w:t>
            </w:r>
            <w:r>
              <w:rPr>
                <w:rFonts w:ascii="仿宋" w:eastAsia="仿宋" w:hAnsi="仿宋" w:cs="仿宋" w:hint="eastAsia"/>
                <w:sz w:val="24"/>
              </w:rPr>
              <w:t>生产企业纳税人提交</w:t>
            </w:r>
          </w:p>
        </w:tc>
        <w:tc>
          <w:tcPr>
            <w:tcW w:w="2403"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lastRenderedPageBreak/>
              <w:t>（九）（A06343）《出口货物不能收汇申报表》及对应的有关证明材料。</w:t>
            </w:r>
          </w:p>
        </w:tc>
        <w:tc>
          <w:tcPr>
            <w:tcW w:w="1196" w:type="dxa"/>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kern w:val="1"/>
                <w:sz w:val="24"/>
              </w:rPr>
              <w:t>出口货物由于《国家税务总局关于出口企业申报出口货物退（免）税</w:t>
            </w:r>
            <w:r>
              <w:rPr>
                <w:rFonts w:ascii="仿宋" w:eastAsia="仿宋" w:hAnsi="仿宋" w:cs="仿宋" w:hint="eastAsia"/>
                <w:kern w:val="1"/>
                <w:sz w:val="24"/>
              </w:rPr>
              <w:lastRenderedPageBreak/>
              <w:t>提供收汇资料有关问题的公告》（国家税务总局公告2013年第30号）附件3所列原因，不能收汇或不能在出口货物退（免）税申报期的截止之日内收汇的</w:t>
            </w:r>
            <w:r>
              <w:rPr>
                <w:rFonts w:ascii="仿宋" w:eastAsia="仿宋" w:hAnsi="仿宋" w:cs="仿宋" w:hint="eastAsia"/>
                <w:sz w:val="24"/>
              </w:rPr>
              <w:t>生产企业纳税人提交</w:t>
            </w:r>
          </w:p>
        </w:tc>
        <w:tc>
          <w:tcPr>
            <w:tcW w:w="3318" w:type="dxa"/>
            <w:vAlign w:val="center"/>
          </w:tcPr>
          <w:p w:rsidR="00013EC7" w:rsidRDefault="00575CDB">
            <w:pPr>
              <w:rPr>
                <w:rFonts w:ascii="仿宋" w:eastAsia="仿宋" w:hAnsi="仿宋" w:cs="仿宋"/>
                <w:sz w:val="24"/>
              </w:rPr>
            </w:pPr>
            <w:r>
              <w:rPr>
                <w:rFonts w:ascii="仿宋" w:eastAsia="仿宋" w:hAnsi="仿宋" w:cs="仿宋" w:hint="eastAsia"/>
                <w:b/>
                <w:sz w:val="24"/>
              </w:rPr>
              <w:lastRenderedPageBreak/>
              <w:t>现场办理：</w:t>
            </w:r>
            <w:r>
              <w:rPr>
                <w:rFonts w:ascii="仿宋" w:eastAsia="仿宋" w:hAnsi="仿宋" w:cs="仿宋" w:hint="eastAsia"/>
                <w:sz w:val="24"/>
              </w:rPr>
              <w:t>纳税人提交书面材料（无纸化企业留存备查）。</w:t>
            </w:r>
          </w:p>
        </w:tc>
        <w:tc>
          <w:tcPr>
            <w:tcW w:w="868" w:type="dxa"/>
            <w:vMerge/>
            <w:vAlign w:val="center"/>
          </w:tcPr>
          <w:p w:rsidR="00013EC7" w:rsidRDefault="00013EC7">
            <w:pPr>
              <w:rPr>
                <w:rFonts w:ascii="仿宋" w:eastAsia="仿宋" w:hAnsi="仿宋" w:cs="仿宋"/>
                <w:sz w:val="24"/>
              </w:rPr>
            </w:pPr>
          </w:p>
        </w:tc>
        <w:tc>
          <w:tcPr>
            <w:tcW w:w="798" w:type="dxa"/>
            <w:vMerge/>
            <w:vAlign w:val="center"/>
          </w:tcPr>
          <w:p w:rsidR="00013EC7" w:rsidRDefault="00013EC7">
            <w:pPr>
              <w:rPr>
                <w:rFonts w:ascii="仿宋" w:eastAsia="仿宋" w:hAnsi="仿宋" w:cs="仿宋"/>
                <w:sz w:val="24"/>
              </w:rPr>
            </w:pP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193"/>
          <w:jc w:val="center"/>
        </w:trPr>
        <w:tc>
          <w:tcPr>
            <w:tcW w:w="1250" w:type="dxa"/>
            <w:vMerge/>
            <w:vAlign w:val="center"/>
          </w:tcPr>
          <w:p w:rsidR="00013EC7" w:rsidRDefault="00013EC7">
            <w:pPr>
              <w:rPr>
                <w:rFonts w:ascii="仿宋" w:eastAsia="仿宋" w:hAnsi="仿宋" w:cs="仿宋"/>
                <w:sz w:val="24"/>
              </w:rPr>
            </w:pPr>
          </w:p>
        </w:tc>
        <w:tc>
          <w:tcPr>
            <w:tcW w:w="1316" w:type="dxa"/>
            <w:vMerge/>
            <w:vAlign w:val="center"/>
          </w:tcPr>
          <w:p w:rsidR="00013EC7" w:rsidRDefault="00013EC7">
            <w:pPr>
              <w:rPr>
                <w:rFonts w:ascii="仿宋" w:eastAsia="仿宋" w:hAnsi="仿宋" w:cs="仿宋"/>
                <w:sz w:val="24"/>
              </w:rPr>
            </w:pPr>
          </w:p>
        </w:tc>
        <w:tc>
          <w:tcPr>
            <w:tcW w:w="2114" w:type="dxa"/>
            <w:vMerge/>
            <w:vAlign w:val="center"/>
          </w:tcPr>
          <w:p w:rsidR="00013EC7" w:rsidRDefault="00013EC7">
            <w:pPr>
              <w:rPr>
                <w:rFonts w:ascii="仿宋" w:eastAsia="仿宋" w:hAnsi="仿宋" w:cs="仿宋"/>
                <w:sz w:val="24"/>
              </w:rPr>
            </w:pPr>
          </w:p>
        </w:tc>
        <w:tc>
          <w:tcPr>
            <w:tcW w:w="2785"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（十）受托方税务机关签发的代理出口货物证明复印件（注明与原件一致，并加盖公章）。</w:t>
            </w:r>
          </w:p>
        </w:tc>
        <w:tc>
          <w:tcPr>
            <w:tcW w:w="1118" w:type="dxa"/>
            <w:vMerge w:val="restart"/>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kern w:val="1"/>
                <w:sz w:val="24"/>
              </w:rPr>
              <w:t>委托出口货物的</w:t>
            </w:r>
            <w:r>
              <w:rPr>
                <w:rFonts w:ascii="仿宋" w:eastAsia="仿宋" w:hAnsi="仿宋" w:cs="仿宋" w:hint="eastAsia"/>
                <w:sz w:val="24"/>
              </w:rPr>
              <w:t>生产企业纳税人提交</w:t>
            </w:r>
          </w:p>
        </w:tc>
        <w:tc>
          <w:tcPr>
            <w:tcW w:w="2403"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（十）受托方税务机关签发的代理出口货物证明。</w:t>
            </w:r>
          </w:p>
        </w:tc>
        <w:tc>
          <w:tcPr>
            <w:tcW w:w="1196" w:type="dxa"/>
            <w:vAlign w:val="center"/>
          </w:tcPr>
          <w:p w:rsidR="00013EC7" w:rsidRDefault="00575CDB">
            <w:pPr>
              <w:rPr>
                <w:rFonts w:ascii="仿宋" w:eastAsia="仿宋" w:hAnsi="仿宋" w:cs="仿宋"/>
                <w:sz w:val="24"/>
              </w:rPr>
            </w:pPr>
            <w:r>
              <w:rPr>
                <w:rFonts w:ascii="仿宋" w:eastAsia="仿宋" w:hAnsi="仿宋" w:cs="仿宋" w:hint="eastAsia"/>
                <w:b/>
                <w:bCs/>
                <w:i/>
                <w:iCs/>
                <w:sz w:val="24"/>
              </w:rPr>
              <w:t>经办机构自行获取</w:t>
            </w:r>
          </w:p>
        </w:tc>
        <w:tc>
          <w:tcPr>
            <w:tcW w:w="3318" w:type="dxa"/>
            <w:vAlign w:val="center"/>
          </w:tcPr>
          <w:p w:rsidR="00013EC7" w:rsidRDefault="00575CDB">
            <w:pPr>
              <w:rPr>
                <w:rFonts w:ascii="仿宋" w:eastAsia="仿宋" w:hAnsi="仿宋" w:cs="仿宋"/>
                <w:sz w:val="24"/>
              </w:rPr>
            </w:pPr>
            <w:r>
              <w:rPr>
                <w:rFonts w:ascii="仿宋" w:eastAsia="仿宋" w:hAnsi="仿宋" w:cs="仿宋" w:hint="eastAsia"/>
                <w:b/>
                <w:sz w:val="24"/>
              </w:rPr>
              <w:t>内部共享：</w:t>
            </w:r>
            <w:r>
              <w:rPr>
                <w:rFonts w:ascii="仿宋" w:eastAsia="仿宋" w:hAnsi="仿宋" w:cs="仿宋" w:hint="eastAsia"/>
                <w:sz w:val="24"/>
              </w:rPr>
              <w:t>内部共享获取相关信息（无纸化企业留存备查，非无纸化企业需提供书面材料）。</w:t>
            </w:r>
          </w:p>
        </w:tc>
        <w:tc>
          <w:tcPr>
            <w:tcW w:w="868" w:type="dxa"/>
            <w:vMerge/>
            <w:vAlign w:val="center"/>
          </w:tcPr>
          <w:p w:rsidR="00013EC7" w:rsidRDefault="00013EC7">
            <w:pPr>
              <w:rPr>
                <w:rFonts w:ascii="仿宋" w:eastAsia="仿宋" w:hAnsi="仿宋" w:cs="仿宋"/>
                <w:sz w:val="24"/>
              </w:rPr>
            </w:pPr>
          </w:p>
        </w:tc>
        <w:tc>
          <w:tcPr>
            <w:tcW w:w="798" w:type="dxa"/>
            <w:vMerge/>
            <w:vAlign w:val="center"/>
          </w:tcPr>
          <w:p w:rsidR="00013EC7" w:rsidRDefault="00013EC7">
            <w:pPr>
              <w:rPr>
                <w:rFonts w:ascii="仿宋" w:eastAsia="仿宋" w:hAnsi="仿宋" w:cs="仿宋"/>
                <w:sz w:val="24"/>
              </w:rPr>
            </w:pP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193"/>
          <w:jc w:val="center"/>
        </w:trPr>
        <w:tc>
          <w:tcPr>
            <w:tcW w:w="1250" w:type="dxa"/>
            <w:vMerge/>
            <w:vAlign w:val="center"/>
          </w:tcPr>
          <w:p w:rsidR="00013EC7" w:rsidRDefault="00013EC7"/>
        </w:tc>
        <w:tc>
          <w:tcPr>
            <w:tcW w:w="1316" w:type="dxa"/>
            <w:vMerge/>
            <w:vAlign w:val="center"/>
          </w:tcPr>
          <w:p w:rsidR="00013EC7" w:rsidRDefault="00013EC7"/>
        </w:tc>
        <w:tc>
          <w:tcPr>
            <w:tcW w:w="2114" w:type="dxa"/>
            <w:vMerge/>
            <w:vAlign w:val="center"/>
          </w:tcPr>
          <w:p w:rsidR="00013EC7" w:rsidRDefault="00013EC7"/>
        </w:tc>
        <w:tc>
          <w:tcPr>
            <w:tcW w:w="2785"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（十一）代理出口协议原件及复印件（注明与原件一致，并加盖公章）</w:t>
            </w:r>
            <w:r>
              <w:rPr>
                <w:rFonts w:ascii="仿宋" w:eastAsia="仿宋" w:hAnsi="仿宋" w:cs="仿宋"/>
                <w:kern w:val="1"/>
                <w:sz w:val="24"/>
              </w:rPr>
              <w:t>。</w:t>
            </w:r>
          </w:p>
        </w:tc>
        <w:tc>
          <w:tcPr>
            <w:tcW w:w="1118" w:type="dxa"/>
            <w:vMerge/>
            <w:vAlign w:val="center"/>
          </w:tcPr>
          <w:p w:rsidR="00013EC7" w:rsidRDefault="00013EC7">
            <w:pPr>
              <w:rPr>
                <w:rFonts w:ascii="仿宋" w:eastAsia="仿宋" w:hAnsi="仿宋" w:cs="仿宋"/>
                <w:kern w:val="1"/>
                <w:sz w:val="24"/>
              </w:rPr>
            </w:pPr>
          </w:p>
        </w:tc>
        <w:tc>
          <w:tcPr>
            <w:tcW w:w="2403"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（十一）代理出口协议原件及复印件（注明与原件一致，并加盖公章）</w:t>
            </w:r>
            <w:r>
              <w:rPr>
                <w:rFonts w:ascii="仿宋" w:eastAsia="仿宋" w:hAnsi="仿宋" w:cs="仿宋"/>
                <w:kern w:val="1"/>
                <w:sz w:val="24"/>
              </w:rPr>
              <w:t>。</w:t>
            </w:r>
          </w:p>
        </w:tc>
        <w:tc>
          <w:tcPr>
            <w:tcW w:w="1196" w:type="dxa"/>
            <w:vAlign w:val="center"/>
          </w:tcPr>
          <w:p w:rsidR="00013EC7" w:rsidRDefault="00575CDB">
            <w:pPr>
              <w:spacing w:line="300" w:lineRule="exact"/>
              <w:jc w:val="center"/>
              <w:rPr>
                <w:rFonts w:ascii="仿宋" w:eastAsia="仿宋" w:hAnsi="仿宋" w:cs="仿宋"/>
                <w:kern w:val="1"/>
                <w:sz w:val="24"/>
              </w:rPr>
            </w:pPr>
            <w:r>
              <w:rPr>
                <w:rFonts w:ascii="仿宋" w:eastAsia="仿宋" w:hAnsi="仿宋" w:cs="仿宋" w:hint="eastAsia"/>
                <w:kern w:val="1"/>
                <w:sz w:val="24"/>
              </w:rPr>
              <w:t>委托出口货物的</w:t>
            </w:r>
            <w:r>
              <w:rPr>
                <w:rFonts w:ascii="仿宋" w:eastAsia="仿宋" w:hAnsi="仿宋" w:cs="仿宋" w:hint="eastAsia"/>
                <w:sz w:val="24"/>
              </w:rPr>
              <w:t>生产企业纳税人提交</w:t>
            </w:r>
          </w:p>
        </w:tc>
        <w:tc>
          <w:tcPr>
            <w:tcW w:w="3318" w:type="dxa"/>
            <w:vAlign w:val="center"/>
          </w:tcPr>
          <w:p w:rsidR="00013EC7" w:rsidRDefault="00575CDB">
            <w:pPr>
              <w:rPr>
                <w:rFonts w:ascii="仿宋" w:eastAsia="仿宋" w:hAnsi="仿宋" w:cs="仿宋"/>
                <w:kern w:val="1"/>
                <w:sz w:val="24"/>
              </w:rPr>
            </w:pPr>
            <w:r>
              <w:rPr>
                <w:rFonts w:ascii="仿宋" w:eastAsia="仿宋" w:hAnsi="仿宋" w:cs="仿宋" w:hint="eastAsia"/>
                <w:b/>
                <w:sz w:val="24"/>
              </w:rPr>
              <w:t>现场办理：</w:t>
            </w:r>
            <w:r>
              <w:rPr>
                <w:rFonts w:ascii="仿宋" w:eastAsia="仿宋" w:hAnsi="仿宋" w:cs="仿宋" w:hint="eastAsia"/>
                <w:sz w:val="24"/>
              </w:rPr>
              <w:t>纳税人提交书面材料（无纸化企业留存备查）。</w:t>
            </w:r>
          </w:p>
        </w:tc>
        <w:tc>
          <w:tcPr>
            <w:tcW w:w="868"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1825"/>
          <w:jc w:val="center"/>
        </w:trPr>
        <w:tc>
          <w:tcPr>
            <w:tcW w:w="1250" w:type="dxa"/>
            <w:vMerge/>
            <w:vAlign w:val="center"/>
          </w:tcPr>
          <w:p w:rsidR="00013EC7" w:rsidRDefault="00013EC7">
            <w:pPr>
              <w:rPr>
                <w:rFonts w:ascii="仿宋" w:eastAsia="仿宋" w:hAnsi="仿宋" w:cs="仿宋"/>
                <w:sz w:val="24"/>
              </w:rPr>
            </w:pPr>
          </w:p>
        </w:tc>
        <w:tc>
          <w:tcPr>
            <w:tcW w:w="1316" w:type="dxa"/>
            <w:vMerge/>
            <w:vAlign w:val="center"/>
          </w:tcPr>
          <w:p w:rsidR="00013EC7" w:rsidRDefault="00013EC7">
            <w:pPr>
              <w:rPr>
                <w:rFonts w:ascii="仿宋" w:eastAsia="仿宋" w:hAnsi="仿宋" w:cs="仿宋"/>
                <w:sz w:val="24"/>
              </w:rPr>
            </w:pPr>
          </w:p>
        </w:tc>
        <w:tc>
          <w:tcPr>
            <w:tcW w:w="2114" w:type="dxa"/>
            <w:vMerge/>
            <w:vAlign w:val="center"/>
          </w:tcPr>
          <w:p w:rsidR="00013EC7" w:rsidRDefault="00013EC7">
            <w:pPr>
              <w:rPr>
                <w:rFonts w:ascii="仿宋" w:eastAsia="仿宋" w:hAnsi="仿宋" w:cs="仿宋"/>
                <w:sz w:val="24"/>
              </w:rPr>
            </w:pPr>
          </w:p>
        </w:tc>
        <w:tc>
          <w:tcPr>
            <w:tcW w:w="2785"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（十二）（A06308）《生产企业出口非自产货物消费税退税申报表》1份</w:t>
            </w:r>
            <w:r>
              <w:rPr>
                <w:rFonts w:ascii="仿宋" w:eastAsia="仿宋" w:hAnsi="仿宋" w:cs="仿宋"/>
                <w:kern w:val="1"/>
                <w:sz w:val="24"/>
              </w:rPr>
              <w:t xml:space="preserve">。 </w:t>
            </w:r>
          </w:p>
        </w:tc>
        <w:tc>
          <w:tcPr>
            <w:tcW w:w="1118" w:type="dxa"/>
            <w:vMerge w:val="restart"/>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kern w:val="1"/>
                <w:sz w:val="24"/>
              </w:rPr>
              <w:t>生产企业出口的视同自产货物以及列名生产企业出口的非自产货物，属于消费税应</w:t>
            </w:r>
            <w:r>
              <w:rPr>
                <w:rFonts w:ascii="仿宋" w:eastAsia="仿宋" w:hAnsi="仿宋" w:cs="仿宋" w:hint="eastAsia"/>
                <w:kern w:val="1"/>
                <w:sz w:val="24"/>
              </w:rPr>
              <w:lastRenderedPageBreak/>
              <w:t>税消费品</w:t>
            </w:r>
            <w:r>
              <w:rPr>
                <w:rFonts w:ascii="仿宋" w:eastAsia="仿宋" w:hAnsi="仿宋" w:cs="仿宋" w:hint="eastAsia"/>
                <w:sz w:val="24"/>
              </w:rPr>
              <w:t>纳税人提交</w:t>
            </w:r>
          </w:p>
        </w:tc>
        <w:tc>
          <w:tcPr>
            <w:tcW w:w="2403"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lastRenderedPageBreak/>
              <w:t xml:space="preserve">（十二）（A06308）《生产企业出口非自产货物消费税退税申报表》1份 </w:t>
            </w:r>
            <w:r>
              <w:rPr>
                <w:rFonts w:ascii="仿宋" w:eastAsia="仿宋" w:hAnsi="仿宋" w:cs="仿宋"/>
                <w:kern w:val="1"/>
                <w:sz w:val="24"/>
              </w:rPr>
              <w:t xml:space="preserve">。 </w:t>
            </w:r>
          </w:p>
        </w:tc>
        <w:tc>
          <w:tcPr>
            <w:tcW w:w="1196" w:type="dxa"/>
            <w:vMerge w:val="restart"/>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kern w:val="1"/>
                <w:sz w:val="24"/>
              </w:rPr>
              <w:t>生产企业出口的视同自产货物以及列名生产企业出口的非自产货物，属于消费税应</w:t>
            </w:r>
            <w:r>
              <w:rPr>
                <w:rFonts w:ascii="仿宋" w:eastAsia="仿宋" w:hAnsi="仿宋" w:cs="仿宋" w:hint="eastAsia"/>
                <w:kern w:val="1"/>
                <w:sz w:val="24"/>
              </w:rPr>
              <w:lastRenderedPageBreak/>
              <w:t>税消费品</w:t>
            </w:r>
            <w:r>
              <w:rPr>
                <w:rFonts w:ascii="仿宋" w:eastAsia="仿宋" w:hAnsi="仿宋" w:cs="仿宋" w:hint="eastAsia"/>
                <w:sz w:val="24"/>
              </w:rPr>
              <w:t>纳税人提交</w:t>
            </w:r>
          </w:p>
        </w:tc>
        <w:tc>
          <w:tcPr>
            <w:tcW w:w="3318" w:type="dxa"/>
            <w:vAlign w:val="center"/>
          </w:tcPr>
          <w:p w:rsidR="00013EC7" w:rsidRDefault="00575CDB">
            <w:pPr>
              <w:rPr>
                <w:rFonts w:ascii="仿宋" w:eastAsia="仿宋" w:hAnsi="仿宋" w:cs="仿宋"/>
                <w:sz w:val="24"/>
              </w:rPr>
            </w:pPr>
            <w:r>
              <w:rPr>
                <w:rFonts w:ascii="仿宋" w:eastAsia="仿宋" w:hAnsi="仿宋" w:cs="仿宋" w:hint="eastAsia"/>
                <w:b/>
                <w:sz w:val="24"/>
              </w:rPr>
              <w:lastRenderedPageBreak/>
              <w:t>现场办理：</w:t>
            </w:r>
            <w:r>
              <w:rPr>
                <w:rFonts w:ascii="仿宋" w:eastAsia="仿宋" w:hAnsi="仿宋" w:cs="仿宋" w:hint="eastAsia"/>
                <w:sz w:val="24"/>
              </w:rPr>
              <w:t>纳税人提交书面材料（无纸化企业留存备查）。</w:t>
            </w:r>
          </w:p>
        </w:tc>
        <w:tc>
          <w:tcPr>
            <w:tcW w:w="868" w:type="dxa"/>
            <w:vMerge/>
            <w:vAlign w:val="center"/>
          </w:tcPr>
          <w:p w:rsidR="00013EC7" w:rsidRDefault="00013EC7">
            <w:pPr>
              <w:rPr>
                <w:rFonts w:ascii="仿宋" w:eastAsia="仿宋" w:hAnsi="仿宋" w:cs="仿宋"/>
                <w:sz w:val="24"/>
              </w:rPr>
            </w:pPr>
          </w:p>
        </w:tc>
        <w:tc>
          <w:tcPr>
            <w:tcW w:w="798" w:type="dxa"/>
            <w:vMerge/>
            <w:vAlign w:val="center"/>
          </w:tcPr>
          <w:p w:rsidR="00013EC7" w:rsidRDefault="00013EC7">
            <w:pPr>
              <w:rPr>
                <w:rFonts w:ascii="仿宋" w:eastAsia="仿宋" w:hAnsi="仿宋" w:cs="仿宋"/>
                <w:sz w:val="24"/>
              </w:rPr>
            </w:pP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128"/>
          <w:jc w:val="center"/>
        </w:trPr>
        <w:tc>
          <w:tcPr>
            <w:tcW w:w="1250" w:type="dxa"/>
            <w:vMerge/>
            <w:vAlign w:val="center"/>
          </w:tcPr>
          <w:p w:rsidR="00013EC7" w:rsidRDefault="00013EC7">
            <w:pPr>
              <w:rPr>
                <w:rFonts w:ascii="仿宋" w:eastAsia="仿宋" w:hAnsi="仿宋" w:cs="仿宋"/>
                <w:sz w:val="24"/>
              </w:rPr>
            </w:pPr>
          </w:p>
        </w:tc>
        <w:tc>
          <w:tcPr>
            <w:tcW w:w="1316" w:type="dxa"/>
            <w:vMerge/>
            <w:vAlign w:val="center"/>
          </w:tcPr>
          <w:p w:rsidR="00013EC7" w:rsidRDefault="00013EC7">
            <w:pPr>
              <w:rPr>
                <w:rFonts w:ascii="仿宋" w:eastAsia="仿宋" w:hAnsi="仿宋" w:cs="仿宋"/>
                <w:sz w:val="24"/>
              </w:rPr>
            </w:pPr>
          </w:p>
        </w:tc>
        <w:tc>
          <w:tcPr>
            <w:tcW w:w="2114" w:type="dxa"/>
            <w:vMerge/>
            <w:vAlign w:val="center"/>
          </w:tcPr>
          <w:p w:rsidR="00013EC7" w:rsidRDefault="00013EC7">
            <w:pPr>
              <w:rPr>
                <w:rFonts w:ascii="仿宋" w:eastAsia="仿宋" w:hAnsi="仿宋" w:cs="仿宋"/>
                <w:sz w:val="24"/>
              </w:rPr>
            </w:pPr>
          </w:p>
        </w:tc>
        <w:tc>
          <w:tcPr>
            <w:tcW w:w="2785"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（十三）消费税专用缴款书或分割单原件或复印件（注明与原件一致，并加</w:t>
            </w:r>
            <w:r>
              <w:rPr>
                <w:rFonts w:ascii="仿宋" w:eastAsia="仿宋" w:hAnsi="仿宋" w:cs="仿宋" w:hint="eastAsia"/>
                <w:kern w:val="1"/>
                <w:sz w:val="24"/>
              </w:rPr>
              <w:lastRenderedPageBreak/>
              <w:t>盖公章）。</w:t>
            </w:r>
          </w:p>
        </w:tc>
        <w:tc>
          <w:tcPr>
            <w:tcW w:w="1118" w:type="dxa"/>
            <w:vMerge/>
            <w:vAlign w:val="center"/>
          </w:tcPr>
          <w:p w:rsidR="00013EC7" w:rsidRDefault="00013EC7">
            <w:pPr>
              <w:spacing w:line="300" w:lineRule="exact"/>
              <w:jc w:val="center"/>
              <w:rPr>
                <w:rFonts w:ascii="仿宋" w:eastAsia="仿宋" w:hAnsi="仿宋" w:cs="仿宋"/>
                <w:sz w:val="24"/>
              </w:rPr>
            </w:pPr>
          </w:p>
        </w:tc>
        <w:tc>
          <w:tcPr>
            <w:tcW w:w="2403"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（十三）消费税专用缴款书或分割单原件。</w:t>
            </w:r>
          </w:p>
        </w:tc>
        <w:tc>
          <w:tcPr>
            <w:tcW w:w="1196" w:type="dxa"/>
            <w:vMerge/>
            <w:vAlign w:val="center"/>
          </w:tcPr>
          <w:p w:rsidR="00013EC7" w:rsidRDefault="00013EC7">
            <w:pPr>
              <w:spacing w:line="300" w:lineRule="exact"/>
              <w:jc w:val="center"/>
              <w:rPr>
                <w:rFonts w:ascii="仿宋" w:eastAsia="仿宋" w:hAnsi="仿宋" w:cs="仿宋"/>
                <w:sz w:val="24"/>
              </w:rPr>
            </w:pPr>
          </w:p>
        </w:tc>
        <w:tc>
          <w:tcPr>
            <w:tcW w:w="3318" w:type="dxa"/>
            <w:vAlign w:val="center"/>
          </w:tcPr>
          <w:p w:rsidR="00013EC7" w:rsidRDefault="00575CDB">
            <w:pPr>
              <w:spacing w:line="300" w:lineRule="exact"/>
              <w:rPr>
                <w:rFonts w:ascii="仿宋" w:eastAsia="仿宋" w:hAnsi="仿宋" w:cs="仿宋"/>
                <w:b/>
                <w:sz w:val="24"/>
              </w:rPr>
            </w:pPr>
            <w:r>
              <w:rPr>
                <w:rFonts w:ascii="仿宋" w:eastAsia="仿宋" w:hAnsi="仿宋" w:cs="仿宋" w:hint="eastAsia"/>
                <w:b/>
                <w:sz w:val="24"/>
              </w:rPr>
              <w:t>内部共享：</w:t>
            </w:r>
            <w:r>
              <w:rPr>
                <w:rFonts w:ascii="仿宋" w:eastAsia="仿宋" w:hAnsi="仿宋" w:cs="仿宋" w:hint="eastAsia"/>
                <w:sz w:val="24"/>
              </w:rPr>
              <w:t>内部共享获取相关信息（无纸化企业留存备查，非无纸化企业需提供书面材料）。</w:t>
            </w:r>
          </w:p>
        </w:tc>
        <w:tc>
          <w:tcPr>
            <w:tcW w:w="868" w:type="dxa"/>
            <w:vMerge/>
            <w:vAlign w:val="center"/>
          </w:tcPr>
          <w:p w:rsidR="00013EC7" w:rsidRDefault="00013EC7">
            <w:pPr>
              <w:rPr>
                <w:rFonts w:ascii="仿宋" w:eastAsia="仿宋" w:hAnsi="仿宋" w:cs="仿宋"/>
                <w:sz w:val="24"/>
              </w:rPr>
            </w:pPr>
          </w:p>
        </w:tc>
        <w:tc>
          <w:tcPr>
            <w:tcW w:w="798" w:type="dxa"/>
            <w:vMerge/>
            <w:vAlign w:val="center"/>
          </w:tcPr>
          <w:p w:rsidR="00013EC7" w:rsidRDefault="00013EC7">
            <w:pPr>
              <w:rPr>
                <w:rFonts w:ascii="仿宋" w:eastAsia="仿宋" w:hAnsi="仿宋" w:cs="仿宋"/>
                <w:sz w:val="24"/>
              </w:rPr>
            </w:pP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128"/>
          <w:jc w:val="center"/>
        </w:trPr>
        <w:tc>
          <w:tcPr>
            <w:tcW w:w="1250" w:type="dxa"/>
            <w:vMerge/>
            <w:vAlign w:val="center"/>
          </w:tcPr>
          <w:p w:rsidR="00013EC7" w:rsidRDefault="00013EC7"/>
        </w:tc>
        <w:tc>
          <w:tcPr>
            <w:tcW w:w="1316" w:type="dxa"/>
            <w:vMerge/>
            <w:vAlign w:val="center"/>
          </w:tcPr>
          <w:p w:rsidR="00013EC7" w:rsidRDefault="00013EC7"/>
        </w:tc>
        <w:tc>
          <w:tcPr>
            <w:tcW w:w="2114" w:type="dxa"/>
            <w:vMerge/>
            <w:vAlign w:val="center"/>
          </w:tcPr>
          <w:p w:rsidR="00013EC7" w:rsidRDefault="00013EC7"/>
        </w:tc>
        <w:tc>
          <w:tcPr>
            <w:tcW w:w="2785" w:type="dxa"/>
            <w:vAlign w:val="center"/>
          </w:tcPr>
          <w:p w:rsidR="00013EC7" w:rsidRDefault="00575CDB">
            <w:r>
              <w:rPr>
                <w:rFonts w:ascii="仿宋" w:eastAsia="仿宋" w:hAnsi="仿宋" w:cs="仿宋" w:hint="eastAsia"/>
                <w:kern w:val="1"/>
                <w:sz w:val="24"/>
              </w:rPr>
              <w:t>（十四）海关进口消费税专用缴款书原件或复印件（注明与原件一致，并加盖公章）。</w:t>
            </w:r>
          </w:p>
        </w:tc>
        <w:tc>
          <w:tcPr>
            <w:tcW w:w="1118" w:type="dxa"/>
            <w:vMerge/>
            <w:vAlign w:val="center"/>
          </w:tcPr>
          <w:p w:rsidR="00013EC7" w:rsidRDefault="00013EC7"/>
        </w:tc>
        <w:tc>
          <w:tcPr>
            <w:tcW w:w="2403"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（十四）海关进口消费税专用缴款书原件。</w:t>
            </w:r>
          </w:p>
        </w:tc>
        <w:tc>
          <w:tcPr>
            <w:tcW w:w="1196" w:type="dxa"/>
            <w:vMerge/>
            <w:vAlign w:val="center"/>
          </w:tcPr>
          <w:p w:rsidR="00013EC7" w:rsidRDefault="00013EC7">
            <w:pPr>
              <w:rPr>
                <w:rFonts w:ascii="仿宋" w:eastAsia="仿宋" w:hAnsi="仿宋" w:cs="仿宋"/>
                <w:kern w:val="1"/>
                <w:sz w:val="24"/>
              </w:rPr>
            </w:pPr>
          </w:p>
        </w:tc>
        <w:tc>
          <w:tcPr>
            <w:tcW w:w="3318" w:type="dxa"/>
            <w:vAlign w:val="center"/>
          </w:tcPr>
          <w:p w:rsidR="00013EC7" w:rsidRDefault="00575CDB">
            <w:pPr>
              <w:rPr>
                <w:rFonts w:ascii="仿宋" w:eastAsia="仿宋" w:hAnsi="仿宋" w:cs="仿宋"/>
                <w:kern w:val="1"/>
                <w:sz w:val="24"/>
              </w:rPr>
            </w:pPr>
            <w:r>
              <w:rPr>
                <w:rFonts w:ascii="仿宋" w:eastAsia="仿宋" w:hAnsi="仿宋" w:cs="仿宋" w:hint="eastAsia"/>
                <w:b/>
                <w:sz w:val="24"/>
              </w:rPr>
              <w:t>内部共享：</w:t>
            </w:r>
            <w:r>
              <w:rPr>
                <w:rFonts w:ascii="仿宋" w:eastAsia="仿宋" w:hAnsi="仿宋" w:cs="仿宋" w:hint="eastAsia"/>
                <w:sz w:val="24"/>
              </w:rPr>
              <w:t>内部共享获取相关信息（无纸化企业留存备查，非无纸化企业需提供书面材料）。</w:t>
            </w:r>
          </w:p>
        </w:tc>
        <w:tc>
          <w:tcPr>
            <w:tcW w:w="868"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128"/>
          <w:jc w:val="center"/>
        </w:trPr>
        <w:tc>
          <w:tcPr>
            <w:tcW w:w="1250" w:type="dxa"/>
            <w:vMerge/>
            <w:vAlign w:val="center"/>
          </w:tcPr>
          <w:p w:rsidR="00013EC7" w:rsidRDefault="00013EC7">
            <w:pPr>
              <w:rPr>
                <w:rFonts w:ascii="仿宋" w:eastAsia="仿宋" w:hAnsi="仿宋" w:cs="仿宋"/>
                <w:kern w:val="1"/>
                <w:sz w:val="24"/>
              </w:rPr>
            </w:pPr>
          </w:p>
        </w:tc>
        <w:tc>
          <w:tcPr>
            <w:tcW w:w="1316" w:type="dxa"/>
            <w:vMerge/>
            <w:vAlign w:val="center"/>
          </w:tcPr>
          <w:p w:rsidR="00013EC7" w:rsidRDefault="00013EC7">
            <w:pPr>
              <w:rPr>
                <w:rFonts w:ascii="仿宋" w:eastAsia="仿宋" w:hAnsi="仿宋" w:cs="仿宋"/>
                <w:kern w:val="1"/>
                <w:sz w:val="24"/>
              </w:rPr>
            </w:pPr>
          </w:p>
        </w:tc>
        <w:tc>
          <w:tcPr>
            <w:tcW w:w="2114" w:type="dxa"/>
            <w:vMerge/>
            <w:vAlign w:val="center"/>
          </w:tcPr>
          <w:p w:rsidR="00013EC7" w:rsidRDefault="00013EC7">
            <w:pPr>
              <w:rPr>
                <w:rFonts w:ascii="仿宋" w:eastAsia="仿宋" w:hAnsi="仿宋" w:cs="仿宋"/>
                <w:kern w:val="1"/>
                <w:sz w:val="24"/>
              </w:rPr>
            </w:pPr>
          </w:p>
        </w:tc>
        <w:tc>
          <w:tcPr>
            <w:tcW w:w="2785"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（十五）委托加工收回应税消费品的代扣代收税款凭证原件或复印件（注明与原件一致，并加盖公章）。</w:t>
            </w:r>
          </w:p>
        </w:tc>
        <w:tc>
          <w:tcPr>
            <w:tcW w:w="1118" w:type="dxa"/>
            <w:vMerge/>
            <w:vAlign w:val="center"/>
          </w:tcPr>
          <w:p w:rsidR="00013EC7" w:rsidRDefault="00013EC7">
            <w:pPr>
              <w:rPr>
                <w:rFonts w:ascii="仿宋" w:eastAsia="仿宋" w:hAnsi="仿宋" w:cs="仿宋"/>
                <w:kern w:val="1"/>
                <w:sz w:val="24"/>
              </w:rPr>
            </w:pPr>
          </w:p>
        </w:tc>
        <w:tc>
          <w:tcPr>
            <w:tcW w:w="2403"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（十五）委托加工收回应税消费品的代扣代收税款凭证原件或复印件（注明与原件一致，并加盖公章）。</w:t>
            </w:r>
          </w:p>
        </w:tc>
        <w:tc>
          <w:tcPr>
            <w:tcW w:w="1196" w:type="dxa"/>
            <w:vMerge/>
            <w:vAlign w:val="center"/>
          </w:tcPr>
          <w:p w:rsidR="00013EC7" w:rsidRDefault="00013EC7">
            <w:pPr>
              <w:rPr>
                <w:rFonts w:ascii="仿宋" w:eastAsia="仿宋" w:hAnsi="仿宋" w:cs="仿宋"/>
                <w:kern w:val="1"/>
                <w:sz w:val="24"/>
              </w:rPr>
            </w:pPr>
          </w:p>
        </w:tc>
        <w:tc>
          <w:tcPr>
            <w:tcW w:w="3318" w:type="dxa"/>
            <w:vAlign w:val="center"/>
          </w:tcPr>
          <w:p w:rsidR="00013EC7" w:rsidRDefault="00575CDB">
            <w:pPr>
              <w:rPr>
                <w:rFonts w:ascii="仿宋" w:eastAsia="仿宋" w:hAnsi="仿宋" w:cs="仿宋"/>
                <w:kern w:val="1"/>
                <w:sz w:val="24"/>
              </w:rPr>
            </w:pPr>
            <w:r>
              <w:rPr>
                <w:rFonts w:ascii="仿宋" w:eastAsia="仿宋" w:hAnsi="仿宋" w:cs="仿宋" w:hint="eastAsia"/>
                <w:b/>
                <w:sz w:val="24"/>
              </w:rPr>
              <w:t>现场办理：</w:t>
            </w:r>
            <w:r>
              <w:rPr>
                <w:rFonts w:ascii="仿宋" w:eastAsia="仿宋" w:hAnsi="仿宋" w:cs="仿宋" w:hint="eastAsia"/>
                <w:sz w:val="24"/>
              </w:rPr>
              <w:t>纳税人提交书面材料（无纸化企业留存备查）。</w:t>
            </w:r>
          </w:p>
        </w:tc>
        <w:tc>
          <w:tcPr>
            <w:tcW w:w="868"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1294"/>
          <w:jc w:val="center"/>
        </w:trPr>
        <w:tc>
          <w:tcPr>
            <w:tcW w:w="1250" w:type="dxa"/>
            <w:vMerge/>
            <w:vAlign w:val="center"/>
          </w:tcPr>
          <w:p w:rsidR="00013EC7" w:rsidRDefault="00013EC7">
            <w:pPr>
              <w:rPr>
                <w:rFonts w:ascii="仿宋" w:eastAsia="仿宋" w:hAnsi="仿宋" w:cs="仿宋"/>
                <w:sz w:val="24"/>
              </w:rPr>
            </w:pPr>
          </w:p>
        </w:tc>
        <w:tc>
          <w:tcPr>
            <w:tcW w:w="1316" w:type="dxa"/>
            <w:vMerge/>
            <w:vAlign w:val="center"/>
          </w:tcPr>
          <w:p w:rsidR="00013EC7" w:rsidRDefault="00013EC7">
            <w:pPr>
              <w:rPr>
                <w:rFonts w:ascii="仿宋" w:eastAsia="仿宋" w:hAnsi="仿宋" w:cs="仿宋"/>
                <w:sz w:val="24"/>
              </w:rPr>
            </w:pPr>
          </w:p>
        </w:tc>
        <w:tc>
          <w:tcPr>
            <w:tcW w:w="2114" w:type="dxa"/>
            <w:vMerge/>
            <w:vAlign w:val="center"/>
          </w:tcPr>
          <w:p w:rsidR="00013EC7" w:rsidRDefault="00013EC7">
            <w:pPr>
              <w:rPr>
                <w:rFonts w:ascii="仿宋" w:eastAsia="仿宋" w:hAnsi="仿宋" w:cs="仿宋"/>
                <w:sz w:val="24"/>
              </w:rPr>
            </w:pPr>
          </w:p>
        </w:tc>
        <w:tc>
          <w:tcPr>
            <w:tcW w:w="2785"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（十六）购进出口货物的增值税专用发票（抵扣联）</w:t>
            </w:r>
            <w:r>
              <w:rPr>
                <w:rFonts w:ascii="仿宋" w:eastAsia="仿宋" w:hAnsi="仿宋" w:cs="仿宋"/>
                <w:kern w:val="1"/>
                <w:sz w:val="24"/>
              </w:rPr>
              <w:t>。</w:t>
            </w:r>
          </w:p>
        </w:tc>
        <w:tc>
          <w:tcPr>
            <w:tcW w:w="1118" w:type="dxa"/>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kern w:val="1"/>
                <w:sz w:val="24"/>
              </w:rPr>
              <w:t>列名生产企业出口外购视同自产货物的</w:t>
            </w:r>
            <w:r>
              <w:rPr>
                <w:rFonts w:ascii="仿宋" w:eastAsia="仿宋" w:hAnsi="仿宋" w:cs="仿宋" w:hint="eastAsia"/>
                <w:sz w:val="24"/>
              </w:rPr>
              <w:t>纳税人提交</w:t>
            </w:r>
          </w:p>
        </w:tc>
        <w:tc>
          <w:tcPr>
            <w:tcW w:w="2403"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（十六）购进出口货物的增值税专用发票（抵扣联）</w:t>
            </w:r>
            <w:r>
              <w:rPr>
                <w:rFonts w:ascii="仿宋" w:eastAsia="仿宋" w:hAnsi="仿宋" w:cs="仿宋"/>
                <w:kern w:val="1"/>
                <w:sz w:val="24"/>
              </w:rPr>
              <w:t>。</w:t>
            </w:r>
          </w:p>
        </w:tc>
        <w:tc>
          <w:tcPr>
            <w:tcW w:w="1196" w:type="dxa"/>
            <w:vAlign w:val="center"/>
          </w:tcPr>
          <w:p w:rsidR="00013EC7" w:rsidRDefault="00575CDB">
            <w:pPr>
              <w:rPr>
                <w:rFonts w:ascii="仿宋" w:eastAsia="仿宋" w:hAnsi="仿宋" w:cs="仿宋"/>
                <w:sz w:val="24"/>
              </w:rPr>
            </w:pPr>
            <w:r>
              <w:rPr>
                <w:rFonts w:ascii="仿宋" w:eastAsia="仿宋" w:hAnsi="仿宋" w:cs="仿宋" w:hint="eastAsia"/>
                <w:b/>
                <w:bCs/>
                <w:i/>
                <w:iCs/>
                <w:sz w:val="24"/>
              </w:rPr>
              <w:t>经办机构自行获取</w:t>
            </w:r>
          </w:p>
        </w:tc>
        <w:tc>
          <w:tcPr>
            <w:tcW w:w="3318"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b/>
                <w:sz w:val="24"/>
              </w:rPr>
              <w:t>内部共享：</w:t>
            </w:r>
            <w:r>
              <w:rPr>
                <w:rFonts w:ascii="仿宋" w:eastAsia="仿宋" w:hAnsi="仿宋" w:cs="仿宋" w:hint="eastAsia"/>
                <w:sz w:val="24"/>
              </w:rPr>
              <w:t>内部共享获取相关信息（无纸化企业留存备查，非无纸化企业需提供书面材料）。</w:t>
            </w:r>
          </w:p>
        </w:tc>
        <w:tc>
          <w:tcPr>
            <w:tcW w:w="868" w:type="dxa"/>
            <w:vMerge/>
            <w:vAlign w:val="center"/>
          </w:tcPr>
          <w:p w:rsidR="00013EC7" w:rsidRDefault="00013EC7">
            <w:pPr>
              <w:rPr>
                <w:rFonts w:ascii="仿宋" w:eastAsia="仿宋" w:hAnsi="仿宋" w:cs="仿宋"/>
                <w:sz w:val="24"/>
              </w:rPr>
            </w:pPr>
          </w:p>
        </w:tc>
        <w:tc>
          <w:tcPr>
            <w:tcW w:w="798" w:type="dxa"/>
            <w:vMerge/>
            <w:vAlign w:val="center"/>
          </w:tcPr>
          <w:p w:rsidR="00013EC7" w:rsidRDefault="00013EC7">
            <w:pPr>
              <w:rPr>
                <w:rFonts w:ascii="仿宋" w:eastAsia="仿宋" w:hAnsi="仿宋" w:cs="仿宋"/>
                <w:sz w:val="24"/>
              </w:rPr>
            </w:pP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193"/>
          <w:jc w:val="center"/>
        </w:trPr>
        <w:tc>
          <w:tcPr>
            <w:tcW w:w="1250" w:type="dxa"/>
            <w:vMerge/>
            <w:vAlign w:val="center"/>
          </w:tcPr>
          <w:p w:rsidR="00013EC7" w:rsidRDefault="00013EC7">
            <w:pPr>
              <w:rPr>
                <w:rFonts w:ascii="仿宋" w:eastAsia="仿宋" w:hAnsi="仿宋" w:cs="仿宋"/>
                <w:sz w:val="24"/>
              </w:rPr>
            </w:pPr>
          </w:p>
        </w:tc>
        <w:tc>
          <w:tcPr>
            <w:tcW w:w="1316" w:type="dxa"/>
            <w:vMerge/>
            <w:vAlign w:val="center"/>
          </w:tcPr>
          <w:p w:rsidR="00013EC7" w:rsidRDefault="00013EC7">
            <w:pPr>
              <w:rPr>
                <w:rFonts w:ascii="仿宋" w:eastAsia="仿宋" w:hAnsi="仿宋" w:cs="仿宋"/>
                <w:sz w:val="24"/>
              </w:rPr>
            </w:pPr>
          </w:p>
        </w:tc>
        <w:tc>
          <w:tcPr>
            <w:tcW w:w="2114" w:type="dxa"/>
            <w:vMerge/>
            <w:vAlign w:val="center"/>
          </w:tcPr>
          <w:p w:rsidR="00013EC7" w:rsidRDefault="00013EC7">
            <w:pPr>
              <w:rPr>
                <w:rFonts w:ascii="仿宋" w:eastAsia="仿宋" w:hAnsi="仿宋" w:cs="仿宋"/>
                <w:sz w:val="24"/>
              </w:rPr>
            </w:pPr>
          </w:p>
        </w:tc>
        <w:tc>
          <w:tcPr>
            <w:tcW w:w="2785"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（十七）对外承包工程合同原件及复印件（加盖公章）。</w:t>
            </w:r>
          </w:p>
        </w:tc>
        <w:tc>
          <w:tcPr>
            <w:tcW w:w="1118" w:type="dxa"/>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kern w:val="1"/>
                <w:sz w:val="24"/>
              </w:rPr>
              <w:t>对外承包工程项目出口货物的</w:t>
            </w:r>
            <w:r>
              <w:rPr>
                <w:rFonts w:ascii="仿宋" w:eastAsia="仿宋" w:hAnsi="仿宋" w:cs="仿宋" w:hint="eastAsia"/>
                <w:sz w:val="24"/>
              </w:rPr>
              <w:t>生产企业纳税人提交</w:t>
            </w:r>
          </w:p>
        </w:tc>
        <w:tc>
          <w:tcPr>
            <w:tcW w:w="2403"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（十七）对外承包工程合同原件及复印件（注明与原件一致，并加盖公章）。</w:t>
            </w:r>
          </w:p>
        </w:tc>
        <w:tc>
          <w:tcPr>
            <w:tcW w:w="1196" w:type="dxa"/>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kern w:val="1"/>
                <w:sz w:val="24"/>
              </w:rPr>
              <w:t>对外承包工程项目出口货物的</w:t>
            </w:r>
            <w:r>
              <w:rPr>
                <w:rFonts w:ascii="仿宋" w:eastAsia="仿宋" w:hAnsi="仿宋" w:cs="仿宋" w:hint="eastAsia"/>
                <w:sz w:val="24"/>
              </w:rPr>
              <w:t>生产企业纳税人提交</w:t>
            </w:r>
          </w:p>
        </w:tc>
        <w:tc>
          <w:tcPr>
            <w:tcW w:w="3318"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纳税人提交书面材料（无纸化企业留存备查）。</w:t>
            </w:r>
          </w:p>
        </w:tc>
        <w:tc>
          <w:tcPr>
            <w:tcW w:w="868" w:type="dxa"/>
            <w:vMerge/>
            <w:vAlign w:val="center"/>
          </w:tcPr>
          <w:p w:rsidR="00013EC7" w:rsidRDefault="00013EC7">
            <w:pPr>
              <w:rPr>
                <w:rFonts w:ascii="仿宋" w:eastAsia="仿宋" w:hAnsi="仿宋" w:cs="仿宋"/>
                <w:sz w:val="24"/>
              </w:rPr>
            </w:pPr>
          </w:p>
        </w:tc>
        <w:tc>
          <w:tcPr>
            <w:tcW w:w="798" w:type="dxa"/>
            <w:vMerge/>
            <w:vAlign w:val="center"/>
          </w:tcPr>
          <w:p w:rsidR="00013EC7" w:rsidRDefault="00013EC7">
            <w:pPr>
              <w:rPr>
                <w:rFonts w:ascii="仿宋" w:eastAsia="仿宋" w:hAnsi="仿宋" w:cs="仿宋"/>
                <w:sz w:val="24"/>
              </w:rPr>
            </w:pP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193"/>
          <w:jc w:val="center"/>
        </w:trPr>
        <w:tc>
          <w:tcPr>
            <w:tcW w:w="1250" w:type="dxa"/>
            <w:vMerge/>
            <w:vAlign w:val="center"/>
          </w:tcPr>
          <w:p w:rsidR="00013EC7" w:rsidRDefault="00013EC7"/>
        </w:tc>
        <w:tc>
          <w:tcPr>
            <w:tcW w:w="1316" w:type="dxa"/>
            <w:vMerge/>
            <w:vAlign w:val="center"/>
          </w:tcPr>
          <w:p w:rsidR="00013EC7" w:rsidRDefault="00013EC7"/>
        </w:tc>
        <w:tc>
          <w:tcPr>
            <w:tcW w:w="2114" w:type="dxa"/>
            <w:vMerge/>
            <w:vAlign w:val="center"/>
          </w:tcPr>
          <w:p w:rsidR="00013EC7" w:rsidRDefault="00013EC7"/>
        </w:tc>
        <w:tc>
          <w:tcPr>
            <w:tcW w:w="2785"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（十八）分包合同（协议）原件及复印件（注明与原件一致，并加盖公章））</w:t>
            </w:r>
            <w:r>
              <w:rPr>
                <w:rFonts w:ascii="仿宋" w:eastAsia="仿宋" w:hAnsi="仿宋" w:cs="仿宋"/>
                <w:kern w:val="1"/>
                <w:sz w:val="24"/>
              </w:rPr>
              <w:t>。</w:t>
            </w:r>
          </w:p>
        </w:tc>
        <w:tc>
          <w:tcPr>
            <w:tcW w:w="1118"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出口企业属于分包单位的对外承包工程项目出口货物的</w:t>
            </w:r>
            <w:r>
              <w:rPr>
                <w:rFonts w:ascii="仿宋" w:eastAsia="仿宋" w:hAnsi="仿宋" w:cs="仿宋" w:hint="eastAsia"/>
                <w:sz w:val="24"/>
              </w:rPr>
              <w:t>生产企业纳税人提交</w:t>
            </w:r>
          </w:p>
        </w:tc>
        <w:tc>
          <w:tcPr>
            <w:tcW w:w="2403"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（十八）分包合同（协议）原件及复印件（注明与原件一致，并加盖公章）</w:t>
            </w:r>
            <w:r>
              <w:rPr>
                <w:rFonts w:ascii="仿宋" w:eastAsia="仿宋" w:hAnsi="仿宋" w:cs="仿宋"/>
                <w:kern w:val="1"/>
                <w:sz w:val="24"/>
              </w:rPr>
              <w:t>。</w:t>
            </w:r>
          </w:p>
        </w:tc>
        <w:tc>
          <w:tcPr>
            <w:tcW w:w="1196"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出口企业属于分包单位的对外承包工程项目出口货物的</w:t>
            </w:r>
            <w:r>
              <w:rPr>
                <w:rFonts w:ascii="仿宋" w:eastAsia="仿宋" w:hAnsi="仿宋" w:cs="仿宋" w:hint="eastAsia"/>
                <w:sz w:val="24"/>
              </w:rPr>
              <w:t>生产企业纳税人提交</w:t>
            </w:r>
          </w:p>
        </w:tc>
        <w:tc>
          <w:tcPr>
            <w:tcW w:w="3318" w:type="dxa"/>
            <w:vAlign w:val="center"/>
          </w:tcPr>
          <w:p w:rsidR="00013EC7" w:rsidRDefault="00575CDB">
            <w:pPr>
              <w:rPr>
                <w:rFonts w:ascii="仿宋" w:eastAsia="仿宋" w:hAnsi="仿宋" w:cs="仿宋"/>
                <w:kern w:val="1"/>
                <w:sz w:val="24"/>
              </w:rPr>
            </w:pPr>
            <w:r>
              <w:rPr>
                <w:rFonts w:ascii="仿宋" w:eastAsia="仿宋" w:hAnsi="仿宋" w:cs="仿宋" w:hint="eastAsia"/>
                <w:b/>
                <w:sz w:val="24"/>
              </w:rPr>
              <w:t>现场办理：</w:t>
            </w:r>
            <w:r>
              <w:rPr>
                <w:rFonts w:ascii="仿宋" w:eastAsia="仿宋" w:hAnsi="仿宋" w:cs="仿宋" w:hint="eastAsia"/>
                <w:sz w:val="24"/>
              </w:rPr>
              <w:t>纳税人提交书面材料（无纸化企业留存备查）。</w:t>
            </w:r>
          </w:p>
        </w:tc>
        <w:tc>
          <w:tcPr>
            <w:tcW w:w="868"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1294"/>
          <w:jc w:val="center"/>
        </w:trPr>
        <w:tc>
          <w:tcPr>
            <w:tcW w:w="1250" w:type="dxa"/>
            <w:vMerge/>
            <w:vAlign w:val="center"/>
          </w:tcPr>
          <w:p w:rsidR="00013EC7" w:rsidRDefault="00013EC7">
            <w:pPr>
              <w:rPr>
                <w:rFonts w:ascii="仿宋" w:eastAsia="仿宋" w:hAnsi="仿宋" w:cs="仿宋"/>
                <w:sz w:val="24"/>
              </w:rPr>
            </w:pPr>
          </w:p>
        </w:tc>
        <w:tc>
          <w:tcPr>
            <w:tcW w:w="1316" w:type="dxa"/>
            <w:vMerge/>
            <w:vAlign w:val="center"/>
          </w:tcPr>
          <w:p w:rsidR="00013EC7" w:rsidRDefault="00013EC7">
            <w:pPr>
              <w:rPr>
                <w:rFonts w:ascii="仿宋" w:eastAsia="仿宋" w:hAnsi="仿宋" w:cs="仿宋"/>
                <w:sz w:val="24"/>
              </w:rPr>
            </w:pPr>
          </w:p>
        </w:tc>
        <w:tc>
          <w:tcPr>
            <w:tcW w:w="2114" w:type="dxa"/>
            <w:vMerge/>
            <w:vAlign w:val="center"/>
          </w:tcPr>
          <w:p w:rsidR="00013EC7" w:rsidRDefault="00013EC7">
            <w:pPr>
              <w:rPr>
                <w:rFonts w:ascii="仿宋" w:eastAsia="仿宋" w:hAnsi="仿宋" w:cs="仿宋"/>
                <w:sz w:val="24"/>
              </w:rPr>
            </w:pPr>
          </w:p>
        </w:tc>
        <w:tc>
          <w:tcPr>
            <w:tcW w:w="2785"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（十九）商务部及授权单位批准其在境外投资的文件副本原件及复印件（加盖公章）</w:t>
            </w:r>
            <w:r>
              <w:rPr>
                <w:rFonts w:ascii="仿宋" w:eastAsia="仿宋" w:hAnsi="仿宋" w:cs="仿宋"/>
                <w:kern w:val="1"/>
                <w:sz w:val="24"/>
              </w:rPr>
              <w:t>。</w:t>
            </w:r>
          </w:p>
        </w:tc>
        <w:tc>
          <w:tcPr>
            <w:tcW w:w="1118" w:type="dxa"/>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kern w:val="1"/>
                <w:sz w:val="24"/>
              </w:rPr>
              <w:t>境外投资的出口货物</w:t>
            </w:r>
            <w:r>
              <w:rPr>
                <w:rFonts w:ascii="仿宋" w:eastAsia="仿宋" w:hAnsi="仿宋" w:cs="仿宋" w:hint="eastAsia"/>
                <w:sz w:val="24"/>
              </w:rPr>
              <w:t>纳税人提交</w:t>
            </w:r>
          </w:p>
        </w:tc>
        <w:tc>
          <w:tcPr>
            <w:tcW w:w="2403"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（十九）商务部及授权单位批准其在境外投资的文件副本原件及复印件（注明与原件一致，并加盖公章）。</w:t>
            </w:r>
          </w:p>
        </w:tc>
        <w:tc>
          <w:tcPr>
            <w:tcW w:w="1196" w:type="dxa"/>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b/>
                <w:bCs/>
                <w:i/>
                <w:iCs/>
                <w:sz w:val="24"/>
              </w:rPr>
              <w:t>经办机构自行获取</w:t>
            </w:r>
          </w:p>
        </w:tc>
        <w:tc>
          <w:tcPr>
            <w:tcW w:w="3318"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b/>
                <w:bCs/>
                <w:sz w:val="24"/>
              </w:rPr>
              <w:t>外部共享：</w:t>
            </w:r>
            <w:r>
              <w:rPr>
                <w:rFonts w:ascii="仿宋" w:eastAsia="仿宋" w:hAnsi="仿宋" w:cs="仿宋" w:hint="eastAsia"/>
                <w:sz w:val="24"/>
              </w:rPr>
              <w:t>由省商务厅提供共享。</w:t>
            </w:r>
          </w:p>
        </w:tc>
        <w:tc>
          <w:tcPr>
            <w:tcW w:w="868" w:type="dxa"/>
            <w:vMerge/>
            <w:vAlign w:val="center"/>
          </w:tcPr>
          <w:p w:rsidR="00013EC7" w:rsidRDefault="00013EC7">
            <w:pPr>
              <w:rPr>
                <w:rFonts w:ascii="仿宋" w:eastAsia="仿宋" w:hAnsi="仿宋" w:cs="仿宋"/>
                <w:sz w:val="24"/>
              </w:rPr>
            </w:pPr>
          </w:p>
        </w:tc>
        <w:tc>
          <w:tcPr>
            <w:tcW w:w="798" w:type="dxa"/>
            <w:vMerge/>
            <w:vAlign w:val="center"/>
          </w:tcPr>
          <w:p w:rsidR="00013EC7" w:rsidRDefault="00013EC7">
            <w:pPr>
              <w:rPr>
                <w:rFonts w:ascii="仿宋" w:eastAsia="仿宋" w:hAnsi="仿宋" w:cs="仿宋"/>
                <w:sz w:val="24"/>
              </w:rPr>
            </w:pP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193"/>
          <w:jc w:val="center"/>
        </w:trPr>
        <w:tc>
          <w:tcPr>
            <w:tcW w:w="1250" w:type="dxa"/>
            <w:vMerge/>
            <w:vAlign w:val="center"/>
          </w:tcPr>
          <w:p w:rsidR="00013EC7" w:rsidRDefault="00013EC7">
            <w:pPr>
              <w:rPr>
                <w:rFonts w:ascii="仿宋" w:eastAsia="仿宋" w:hAnsi="仿宋" w:cs="仿宋"/>
                <w:sz w:val="24"/>
              </w:rPr>
            </w:pPr>
          </w:p>
        </w:tc>
        <w:tc>
          <w:tcPr>
            <w:tcW w:w="1316" w:type="dxa"/>
            <w:vMerge/>
            <w:vAlign w:val="center"/>
          </w:tcPr>
          <w:p w:rsidR="00013EC7" w:rsidRDefault="00013EC7">
            <w:pPr>
              <w:rPr>
                <w:rFonts w:ascii="仿宋" w:eastAsia="仿宋" w:hAnsi="仿宋" w:cs="仿宋"/>
                <w:sz w:val="24"/>
              </w:rPr>
            </w:pPr>
          </w:p>
        </w:tc>
        <w:tc>
          <w:tcPr>
            <w:tcW w:w="2114" w:type="dxa"/>
            <w:vMerge/>
            <w:vAlign w:val="center"/>
          </w:tcPr>
          <w:p w:rsidR="00013EC7" w:rsidRDefault="00013EC7">
            <w:pPr>
              <w:rPr>
                <w:rFonts w:ascii="仿宋" w:eastAsia="仿宋" w:hAnsi="仿宋" w:cs="仿宋"/>
                <w:sz w:val="24"/>
              </w:rPr>
            </w:pPr>
          </w:p>
        </w:tc>
        <w:tc>
          <w:tcPr>
            <w:tcW w:w="2785"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（二十）加盖有免税品经</w:t>
            </w:r>
            <w:r>
              <w:rPr>
                <w:rFonts w:ascii="仿宋" w:eastAsia="仿宋" w:hAnsi="仿宋" w:cs="仿宋" w:hint="eastAsia"/>
                <w:kern w:val="1"/>
                <w:sz w:val="24"/>
              </w:rPr>
              <w:lastRenderedPageBreak/>
              <w:t>营企业报关专用章出口货物报关单。</w:t>
            </w:r>
          </w:p>
        </w:tc>
        <w:tc>
          <w:tcPr>
            <w:tcW w:w="1118" w:type="dxa"/>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kern w:val="1"/>
                <w:sz w:val="24"/>
              </w:rPr>
              <w:lastRenderedPageBreak/>
              <w:t>向海关报</w:t>
            </w:r>
            <w:r>
              <w:rPr>
                <w:rFonts w:ascii="仿宋" w:eastAsia="仿宋" w:hAnsi="仿宋" w:cs="仿宋" w:hint="eastAsia"/>
                <w:kern w:val="1"/>
                <w:sz w:val="24"/>
              </w:rPr>
              <w:lastRenderedPageBreak/>
              <w:t>关运入海关监管仓库供海关隔离区内免税店销售货物的</w:t>
            </w:r>
            <w:r>
              <w:rPr>
                <w:rFonts w:ascii="仿宋" w:eastAsia="仿宋" w:hAnsi="仿宋" w:cs="仿宋" w:hint="eastAsia"/>
                <w:sz w:val="24"/>
              </w:rPr>
              <w:t>出口生产企业纳税人提交</w:t>
            </w:r>
          </w:p>
        </w:tc>
        <w:tc>
          <w:tcPr>
            <w:tcW w:w="2403"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lastRenderedPageBreak/>
              <w:t>（二十）加盖有免税品</w:t>
            </w:r>
            <w:r>
              <w:rPr>
                <w:rFonts w:ascii="仿宋" w:eastAsia="仿宋" w:hAnsi="仿宋" w:cs="仿宋" w:hint="eastAsia"/>
                <w:kern w:val="1"/>
                <w:sz w:val="24"/>
              </w:rPr>
              <w:lastRenderedPageBreak/>
              <w:t>经营企业报关专用章出口货物报关单。</w:t>
            </w:r>
          </w:p>
        </w:tc>
        <w:tc>
          <w:tcPr>
            <w:tcW w:w="1196" w:type="dxa"/>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kern w:val="1"/>
                <w:sz w:val="24"/>
              </w:rPr>
              <w:lastRenderedPageBreak/>
              <w:t>向海关报</w:t>
            </w:r>
            <w:r>
              <w:rPr>
                <w:rFonts w:ascii="仿宋" w:eastAsia="仿宋" w:hAnsi="仿宋" w:cs="仿宋" w:hint="eastAsia"/>
                <w:kern w:val="1"/>
                <w:sz w:val="24"/>
              </w:rPr>
              <w:lastRenderedPageBreak/>
              <w:t>关运入海关监管仓库供海关隔离区内免税店销售货物的</w:t>
            </w:r>
            <w:r>
              <w:rPr>
                <w:rFonts w:ascii="仿宋" w:eastAsia="仿宋" w:hAnsi="仿宋" w:cs="仿宋" w:hint="eastAsia"/>
                <w:sz w:val="24"/>
              </w:rPr>
              <w:t>出口生产企业纳税人提交</w:t>
            </w:r>
          </w:p>
        </w:tc>
        <w:tc>
          <w:tcPr>
            <w:tcW w:w="3318"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b/>
                <w:sz w:val="24"/>
              </w:rPr>
              <w:lastRenderedPageBreak/>
              <w:t>现场办理：</w:t>
            </w:r>
            <w:r>
              <w:rPr>
                <w:rFonts w:ascii="仿宋" w:eastAsia="仿宋" w:hAnsi="仿宋" w:cs="仿宋" w:hint="eastAsia"/>
                <w:sz w:val="24"/>
              </w:rPr>
              <w:t>纳税人提交书面材</w:t>
            </w:r>
            <w:r>
              <w:rPr>
                <w:rFonts w:ascii="仿宋" w:eastAsia="仿宋" w:hAnsi="仿宋" w:cs="仿宋" w:hint="eastAsia"/>
                <w:sz w:val="24"/>
              </w:rPr>
              <w:lastRenderedPageBreak/>
              <w:t>料（无纸化企业留存备查）。</w:t>
            </w:r>
          </w:p>
        </w:tc>
        <w:tc>
          <w:tcPr>
            <w:tcW w:w="868" w:type="dxa"/>
            <w:vMerge/>
            <w:vAlign w:val="center"/>
          </w:tcPr>
          <w:p w:rsidR="00013EC7" w:rsidRDefault="00013EC7">
            <w:pPr>
              <w:rPr>
                <w:rFonts w:ascii="仿宋" w:eastAsia="仿宋" w:hAnsi="仿宋" w:cs="仿宋"/>
                <w:sz w:val="24"/>
              </w:rPr>
            </w:pPr>
          </w:p>
        </w:tc>
        <w:tc>
          <w:tcPr>
            <w:tcW w:w="798" w:type="dxa"/>
            <w:vMerge/>
            <w:vAlign w:val="center"/>
          </w:tcPr>
          <w:p w:rsidR="00013EC7" w:rsidRDefault="00013EC7">
            <w:pPr>
              <w:rPr>
                <w:rFonts w:ascii="仿宋" w:eastAsia="仿宋" w:hAnsi="仿宋" w:cs="仿宋"/>
                <w:sz w:val="24"/>
              </w:rPr>
            </w:pP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193"/>
          <w:jc w:val="center"/>
        </w:trPr>
        <w:tc>
          <w:tcPr>
            <w:tcW w:w="1250" w:type="dxa"/>
            <w:vMerge/>
            <w:vAlign w:val="center"/>
          </w:tcPr>
          <w:p w:rsidR="00013EC7" w:rsidRDefault="00013EC7">
            <w:pPr>
              <w:spacing w:line="300" w:lineRule="exact"/>
              <w:jc w:val="center"/>
            </w:pPr>
          </w:p>
        </w:tc>
        <w:tc>
          <w:tcPr>
            <w:tcW w:w="1316" w:type="dxa"/>
            <w:vMerge/>
            <w:vAlign w:val="center"/>
          </w:tcPr>
          <w:p w:rsidR="00013EC7" w:rsidRDefault="00013EC7">
            <w:pPr>
              <w:spacing w:line="300" w:lineRule="exact"/>
              <w:jc w:val="center"/>
            </w:pPr>
          </w:p>
        </w:tc>
        <w:tc>
          <w:tcPr>
            <w:tcW w:w="2114" w:type="dxa"/>
            <w:vMerge/>
            <w:vAlign w:val="center"/>
          </w:tcPr>
          <w:p w:rsidR="00013EC7" w:rsidRDefault="00013EC7">
            <w:pPr>
              <w:spacing w:line="300" w:lineRule="exact"/>
              <w:jc w:val="center"/>
            </w:pPr>
          </w:p>
        </w:tc>
        <w:tc>
          <w:tcPr>
            <w:tcW w:w="2785" w:type="dxa"/>
            <w:vAlign w:val="center"/>
          </w:tcPr>
          <w:p w:rsidR="00013EC7" w:rsidRDefault="00575CDB">
            <w:pPr>
              <w:spacing w:line="300" w:lineRule="exact"/>
              <w:jc w:val="center"/>
            </w:pPr>
            <w:r>
              <w:rPr>
                <w:rFonts w:ascii="仿宋" w:eastAsia="仿宋" w:hAnsi="仿宋" w:cs="仿宋" w:hint="eastAsia"/>
                <w:kern w:val="1"/>
                <w:sz w:val="24"/>
              </w:rPr>
              <w:t>（二十一）海关对免税店销售货物的核销证明</w:t>
            </w:r>
            <w:r>
              <w:rPr>
                <w:rFonts w:ascii="仿宋" w:eastAsia="仿宋" w:hAnsi="仿宋" w:cs="仿宋"/>
                <w:kern w:val="1"/>
                <w:sz w:val="24"/>
              </w:rPr>
              <w:t>。</w:t>
            </w:r>
          </w:p>
        </w:tc>
        <w:tc>
          <w:tcPr>
            <w:tcW w:w="1118" w:type="dxa"/>
            <w:vAlign w:val="center"/>
          </w:tcPr>
          <w:p w:rsidR="00013EC7" w:rsidRDefault="00575CDB">
            <w:pPr>
              <w:spacing w:line="300" w:lineRule="exact"/>
              <w:jc w:val="center"/>
            </w:pPr>
            <w:r>
              <w:rPr>
                <w:rFonts w:ascii="仿宋" w:eastAsia="仿宋" w:hAnsi="仿宋" w:cs="仿宋" w:hint="eastAsia"/>
                <w:kern w:val="1"/>
                <w:sz w:val="24"/>
              </w:rPr>
              <w:t>向海关报关运入上海虹桥、浦东机场海关国际隔离区内的免税店销售的货物的</w:t>
            </w:r>
            <w:r>
              <w:rPr>
                <w:rFonts w:ascii="仿宋" w:eastAsia="仿宋" w:hAnsi="仿宋" w:cs="仿宋" w:hint="eastAsia"/>
                <w:sz w:val="24"/>
              </w:rPr>
              <w:t>出口生产企业纳税人提交</w:t>
            </w:r>
          </w:p>
        </w:tc>
        <w:tc>
          <w:tcPr>
            <w:tcW w:w="2403" w:type="dxa"/>
            <w:vAlign w:val="center"/>
          </w:tcPr>
          <w:p w:rsidR="00013EC7" w:rsidRDefault="00575CDB">
            <w:pPr>
              <w:spacing w:line="300" w:lineRule="exact"/>
              <w:jc w:val="center"/>
            </w:pPr>
            <w:r>
              <w:rPr>
                <w:rFonts w:ascii="仿宋" w:eastAsia="仿宋" w:hAnsi="仿宋" w:cs="仿宋" w:hint="eastAsia"/>
                <w:kern w:val="1"/>
                <w:sz w:val="24"/>
              </w:rPr>
              <w:t>（二十一）海关对免税店销售货物的核销证明</w:t>
            </w:r>
            <w:r>
              <w:rPr>
                <w:rFonts w:ascii="仿宋" w:eastAsia="仿宋" w:hAnsi="仿宋" w:cs="仿宋"/>
                <w:kern w:val="1"/>
                <w:sz w:val="24"/>
              </w:rPr>
              <w:t>。</w:t>
            </w:r>
          </w:p>
        </w:tc>
        <w:tc>
          <w:tcPr>
            <w:tcW w:w="1196" w:type="dxa"/>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kern w:val="1"/>
                <w:sz w:val="24"/>
              </w:rPr>
              <w:t>向海关报关运入上海虹桥、浦东机场海关国际隔离区内的免税店销售的货物的</w:t>
            </w:r>
            <w:r>
              <w:rPr>
                <w:rFonts w:ascii="仿宋" w:eastAsia="仿宋" w:hAnsi="仿宋" w:cs="仿宋" w:hint="eastAsia"/>
                <w:sz w:val="24"/>
              </w:rPr>
              <w:t>出口生产企业纳税人提交</w:t>
            </w:r>
          </w:p>
        </w:tc>
        <w:tc>
          <w:tcPr>
            <w:tcW w:w="3318" w:type="dxa"/>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纳税人提交书面材料（无纸化企业留存备查）。</w:t>
            </w:r>
          </w:p>
        </w:tc>
        <w:tc>
          <w:tcPr>
            <w:tcW w:w="868" w:type="dxa"/>
            <w:vMerge/>
            <w:vAlign w:val="center"/>
          </w:tcPr>
          <w:p w:rsidR="00013EC7" w:rsidRDefault="00013EC7">
            <w:pPr>
              <w:spacing w:line="300" w:lineRule="exact"/>
              <w:jc w:val="center"/>
              <w:rPr>
                <w:rFonts w:ascii="仿宋" w:eastAsia="仿宋" w:hAnsi="仿宋" w:cs="仿宋"/>
                <w:sz w:val="24"/>
              </w:rPr>
            </w:pPr>
          </w:p>
        </w:tc>
        <w:tc>
          <w:tcPr>
            <w:tcW w:w="798" w:type="dxa"/>
            <w:vMerge/>
            <w:vAlign w:val="center"/>
          </w:tcPr>
          <w:p w:rsidR="00013EC7" w:rsidRDefault="00013EC7">
            <w:pPr>
              <w:spacing w:line="300" w:lineRule="exact"/>
              <w:jc w:val="center"/>
              <w:rPr>
                <w:rFonts w:ascii="仿宋" w:eastAsia="仿宋" w:hAnsi="仿宋" w:cs="仿宋"/>
                <w:sz w:val="24"/>
              </w:rPr>
            </w:pPr>
          </w:p>
        </w:tc>
        <w:tc>
          <w:tcPr>
            <w:tcW w:w="958" w:type="dxa"/>
            <w:vMerge/>
            <w:vAlign w:val="center"/>
          </w:tcPr>
          <w:p w:rsidR="00013EC7" w:rsidRDefault="00013EC7">
            <w:pPr>
              <w:spacing w:line="300" w:lineRule="exact"/>
              <w:jc w:val="center"/>
              <w:rPr>
                <w:rFonts w:ascii="仿宋" w:eastAsia="仿宋" w:hAnsi="仿宋" w:cs="仿宋"/>
                <w:sz w:val="24"/>
              </w:rPr>
            </w:pPr>
          </w:p>
        </w:tc>
        <w:tc>
          <w:tcPr>
            <w:tcW w:w="1104" w:type="dxa"/>
            <w:vMerge/>
            <w:vAlign w:val="center"/>
          </w:tcPr>
          <w:p w:rsidR="00013EC7" w:rsidRDefault="00013EC7">
            <w:pPr>
              <w:spacing w:line="300" w:lineRule="exact"/>
              <w:jc w:val="center"/>
              <w:rPr>
                <w:rFonts w:ascii="仿宋" w:eastAsia="仿宋" w:hAnsi="仿宋" w:cs="仿宋"/>
                <w:sz w:val="24"/>
              </w:rPr>
            </w:pPr>
          </w:p>
        </w:tc>
        <w:tc>
          <w:tcPr>
            <w:tcW w:w="1476" w:type="dxa"/>
            <w:vMerge/>
            <w:vAlign w:val="center"/>
          </w:tcPr>
          <w:p w:rsidR="00013EC7" w:rsidRDefault="00013EC7">
            <w:pPr>
              <w:spacing w:line="300" w:lineRule="exact"/>
              <w:jc w:val="center"/>
              <w:rPr>
                <w:rFonts w:ascii="仿宋" w:eastAsia="仿宋" w:hAnsi="仿宋" w:cs="仿宋"/>
                <w:sz w:val="24"/>
              </w:rPr>
            </w:pPr>
          </w:p>
        </w:tc>
      </w:tr>
      <w:tr w:rsidR="00013EC7">
        <w:trPr>
          <w:trHeight w:val="64"/>
          <w:jc w:val="center"/>
        </w:trPr>
        <w:tc>
          <w:tcPr>
            <w:tcW w:w="1250" w:type="dxa"/>
            <w:vMerge/>
            <w:vAlign w:val="center"/>
          </w:tcPr>
          <w:p w:rsidR="00013EC7" w:rsidRDefault="00013EC7">
            <w:pPr>
              <w:rPr>
                <w:rFonts w:ascii="仿宋" w:eastAsia="仿宋" w:hAnsi="仿宋" w:cs="仿宋"/>
                <w:sz w:val="24"/>
              </w:rPr>
            </w:pPr>
          </w:p>
        </w:tc>
        <w:tc>
          <w:tcPr>
            <w:tcW w:w="1316" w:type="dxa"/>
            <w:vMerge/>
            <w:vAlign w:val="center"/>
          </w:tcPr>
          <w:p w:rsidR="00013EC7" w:rsidRDefault="00013EC7">
            <w:pPr>
              <w:rPr>
                <w:rFonts w:ascii="仿宋" w:eastAsia="仿宋" w:hAnsi="仿宋" w:cs="仿宋"/>
                <w:sz w:val="24"/>
              </w:rPr>
            </w:pPr>
          </w:p>
        </w:tc>
        <w:tc>
          <w:tcPr>
            <w:tcW w:w="2114" w:type="dxa"/>
            <w:vMerge/>
            <w:vAlign w:val="center"/>
          </w:tcPr>
          <w:p w:rsidR="00013EC7" w:rsidRDefault="00013EC7">
            <w:pPr>
              <w:rPr>
                <w:rFonts w:ascii="仿宋" w:eastAsia="仿宋" w:hAnsi="仿宋" w:cs="仿宋"/>
                <w:sz w:val="24"/>
              </w:rPr>
            </w:pPr>
          </w:p>
        </w:tc>
        <w:tc>
          <w:tcPr>
            <w:tcW w:w="2785"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（二十二）招标单位所在地主管税务机关签发的《中标证明通知书》</w:t>
            </w:r>
            <w:r>
              <w:rPr>
                <w:rFonts w:ascii="仿宋" w:eastAsia="仿宋" w:hAnsi="仿宋" w:cs="仿宋"/>
                <w:kern w:val="1"/>
                <w:sz w:val="24"/>
              </w:rPr>
              <w:t>。</w:t>
            </w:r>
          </w:p>
        </w:tc>
        <w:tc>
          <w:tcPr>
            <w:tcW w:w="1118" w:type="dxa"/>
            <w:vMerge w:val="restart"/>
            <w:vAlign w:val="center"/>
          </w:tcPr>
          <w:p w:rsidR="00013EC7" w:rsidRDefault="00575CDB">
            <w:pPr>
              <w:spacing w:line="300" w:lineRule="exact"/>
              <w:jc w:val="center"/>
              <w:rPr>
                <w:rFonts w:ascii="仿宋" w:eastAsia="仿宋" w:hAnsi="仿宋" w:cs="仿宋"/>
                <w:kern w:val="1"/>
                <w:sz w:val="24"/>
              </w:rPr>
            </w:pPr>
            <w:r>
              <w:rPr>
                <w:rFonts w:ascii="仿宋" w:eastAsia="仿宋" w:hAnsi="仿宋" w:cs="仿宋" w:hint="eastAsia"/>
                <w:kern w:val="1"/>
                <w:sz w:val="24"/>
              </w:rPr>
              <w:t>销售中标机电产品，不需要提供出口报关单的</w:t>
            </w:r>
            <w:r>
              <w:rPr>
                <w:rFonts w:ascii="仿宋" w:eastAsia="仿宋" w:hAnsi="仿宋" w:cs="仿宋" w:hint="eastAsia"/>
                <w:sz w:val="24"/>
              </w:rPr>
              <w:t>出口生产企业纳税人提交</w:t>
            </w:r>
          </w:p>
          <w:p w:rsidR="00013EC7" w:rsidRDefault="00013EC7">
            <w:pPr>
              <w:rPr>
                <w:rFonts w:ascii="仿宋" w:eastAsia="仿宋" w:hAnsi="仿宋" w:cs="仿宋"/>
                <w:sz w:val="24"/>
              </w:rPr>
            </w:pPr>
          </w:p>
        </w:tc>
        <w:tc>
          <w:tcPr>
            <w:tcW w:w="2403"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（二十二）招标单位所在地主管税务机关签发的《中标证明通知书》1份。</w:t>
            </w:r>
          </w:p>
        </w:tc>
        <w:tc>
          <w:tcPr>
            <w:tcW w:w="1196" w:type="dxa"/>
            <w:vAlign w:val="center"/>
          </w:tcPr>
          <w:p w:rsidR="00013EC7" w:rsidRDefault="00575CDB">
            <w:pPr>
              <w:rPr>
                <w:rFonts w:ascii="仿宋" w:eastAsia="仿宋" w:hAnsi="仿宋" w:cs="仿宋"/>
                <w:kern w:val="1"/>
                <w:sz w:val="24"/>
              </w:rPr>
            </w:pPr>
            <w:r>
              <w:rPr>
                <w:rFonts w:ascii="仿宋" w:eastAsia="仿宋" w:hAnsi="仿宋" w:cs="仿宋" w:hint="eastAsia"/>
                <w:b/>
                <w:bCs/>
                <w:i/>
                <w:iCs/>
                <w:sz w:val="24"/>
              </w:rPr>
              <w:t>经办机构自行获取</w:t>
            </w:r>
          </w:p>
        </w:tc>
        <w:tc>
          <w:tcPr>
            <w:tcW w:w="3318"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b/>
                <w:sz w:val="24"/>
              </w:rPr>
              <w:t>内部共享：</w:t>
            </w:r>
            <w:r>
              <w:rPr>
                <w:rFonts w:ascii="仿宋" w:eastAsia="仿宋" w:hAnsi="仿宋" w:cs="仿宋" w:hint="eastAsia"/>
                <w:sz w:val="24"/>
              </w:rPr>
              <w:t>内部共享获取相关信息（无纸化企业留存备查，非无纸化企业需提供书面材料）。</w:t>
            </w:r>
          </w:p>
        </w:tc>
        <w:tc>
          <w:tcPr>
            <w:tcW w:w="868" w:type="dxa"/>
            <w:vMerge/>
            <w:vAlign w:val="center"/>
          </w:tcPr>
          <w:p w:rsidR="00013EC7" w:rsidRDefault="00013EC7">
            <w:pPr>
              <w:rPr>
                <w:rFonts w:ascii="仿宋" w:eastAsia="仿宋" w:hAnsi="仿宋" w:cs="仿宋"/>
                <w:sz w:val="24"/>
              </w:rPr>
            </w:pPr>
          </w:p>
        </w:tc>
        <w:tc>
          <w:tcPr>
            <w:tcW w:w="798" w:type="dxa"/>
            <w:vMerge/>
            <w:vAlign w:val="center"/>
          </w:tcPr>
          <w:p w:rsidR="00013EC7" w:rsidRDefault="00013EC7">
            <w:pPr>
              <w:rPr>
                <w:rFonts w:ascii="仿宋" w:eastAsia="仿宋" w:hAnsi="仿宋" w:cs="仿宋"/>
                <w:sz w:val="24"/>
              </w:rPr>
            </w:pP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64"/>
          <w:jc w:val="center"/>
        </w:trPr>
        <w:tc>
          <w:tcPr>
            <w:tcW w:w="1250" w:type="dxa"/>
            <w:vMerge/>
            <w:vAlign w:val="center"/>
          </w:tcPr>
          <w:p w:rsidR="00013EC7" w:rsidRDefault="00013EC7"/>
        </w:tc>
        <w:tc>
          <w:tcPr>
            <w:tcW w:w="1316" w:type="dxa"/>
            <w:vMerge/>
            <w:vAlign w:val="center"/>
          </w:tcPr>
          <w:p w:rsidR="00013EC7" w:rsidRDefault="00013EC7"/>
        </w:tc>
        <w:tc>
          <w:tcPr>
            <w:tcW w:w="2114" w:type="dxa"/>
            <w:vMerge/>
            <w:vAlign w:val="center"/>
          </w:tcPr>
          <w:p w:rsidR="00013EC7" w:rsidRDefault="00013EC7"/>
        </w:tc>
        <w:tc>
          <w:tcPr>
            <w:tcW w:w="2785" w:type="dxa"/>
            <w:vAlign w:val="center"/>
          </w:tcPr>
          <w:p w:rsidR="00013EC7" w:rsidRDefault="00575CDB">
            <w:r>
              <w:rPr>
                <w:rFonts w:ascii="仿宋" w:eastAsia="仿宋" w:hAnsi="仿宋" w:cs="仿宋" w:hint="eastAsia"/>
                <w:kern w:val="1"/>
                <w:sz w:val="24"/>
              </w:rPr>
              <w:t>（二十三）由中国招标公司或其他国内招标组织签发的中标证明（正本）原件及复印件（加盖公章）</w:t>
            </w:r>
            <w:r>
              <w:rPr>
                <w:rFonts w:ascii="仿宋" w:eastAsia="仿宋" w:hAnsi="仿宋" w:cs="仿宋"/>
                <w:kern w:val="1"/>
                <w:sz w:val="24"/>
              </w:rPr>
              <w:t>。</w:t>
            </w:r>
          </w:p>
        </w:tc>
        <w:tc>
          <w:tcPr>
            <w:tcW w:w="1118" w:type="dxa"/>
            <w:vMerge/>
            <w:vAlign w:val="center"/>
          </w:tcPr>
          <w:p w:rsidR="00013EC7" w:rsidRDefault="00013EC7"/>
        </w:tc>
        <w:tc>
          <w:tcPr>
            <w:tcW w:w="2403"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（二十三）由中国招标公司或其他国内招标组织签发的中标证明（正本）原件及复印件（注明与原件一致，并加盖公章）</w:t>
            </w:r>
            <w:r>
              <w:rPr>
                <w:rFonts w:ascii="仿宋" w:eastAsia="仿宋" w:hAnsi="仿宋" w:cs="仿宋"/>
                <w:kern w:val="1"/>
                <w:sz w:val="24"/>
              </w:rPr>
              <w:t>。</w:t>
            </w:r>
          </w:p>
        </w:tc>
        <w:tc>
          <w:tcPr>
            <w:tcW w:w="1196" w:type="dxa"/>
            <w:vMerge w:val="restart"/>
            <w:vAlign w:val="center"/>
          </w:tcPr>
          <w:p w:rsidR="00013EC7" w:rsidRDefault="00575CDB">
            <w:pPr>
              <w:spacing w:line="300" w:lineRule="exact"/>
              <w:jc w:val="center"/>
              <w:rPr>
                <w:rFonts w:ascii="仿宋" w:eastAsia="仿宋" w:hAnsi="仿宋" w:cs="仿宋"/>
                <w:kern w:val="1"/>
                <w:sz w:val="24"/>
              </w:rPr>
            </w:pPr>
            <w:r>
              <w:rPr>
                <w:rFonts w:ascii="仿宋" w:eastAsia="仿宋" w:hAnsi="仿宋" w:cs="仿宋" w:hint="eastAsia"/>
                <w:kern w:val="1"/>
                <w:sz w:val="24"/>
              </w:rPr>
              <w:t>销售中标机电产品，不需要提供出口报关单的</w:t>
            </w:r>
            <w:r>
              <w:rPr>
                <w:rFonts w:ascii="仿宋" w:eastAsia="仿宋" w:hAnsi="仿宋" w:cs="仿宋" w:hint="eastAsia"/>
                <w:sz w:val="24"/>
              </w:rPr>
              <w:t>出口生产企业纳税人提交</w:t>
            </w:r>
          </w:p>
          <w:p w:rsidR="00013EC7" w:rsidRDefault="00013EC7">
            <w:pPr>
              <w:rPr>
                <w:rFonts w:ascii="仿宋" w:eastAsia="仿宋" w:hAnsi="仿宋" w:cs="仿宋"/>
                <w:kern w:val="1"/>
                <w:sz w:val="24"/>
              </w:rPr>
            </w:pPr>
          </w:p>
        </w:tc>
        <w:tc>
          <w:tcPr>
            <w:tcW w:w="3318" w:type="dxa"/>
            <w:vAlign w:val="center"/>
          </w:tcPr>
          <w:p w:rsidR="00013EC7" w:rsidRDefault="00575CDB">
            <w:pPr>
              <w:rPr>
                <w:rFonts w:ascii="仿宋" w:eastAsia="仿宋" w:hAnsi="仿宋" w:cs="仿宋"/>
                <w:kern w:val="1"/>
                <w:sz w:val="24"/>
              </w:rPr>
            </w:pPr>
            <w:r>
              <w:rPr>
                <w:rFonts w:ascii="仿宋" w:eastAsia="仿宋" w:hAnsi="仿宋" w:cs="仿宋" w:hint="eastAsia"/>
                <w:b/>
                <w:sz w:val="24"/>
              </w:rPr>
              <w:t>现场办理：</w:t>
            </w:r>
            <w:r>
              <w:rPr>
                <w:rFonts w:ascii="仿宋" w:eastAsia="仿宋" w:hAnsi="仿宋" w:cs="仿宋" w:hint="eastAsia"/>
                <w:sz w:val="24"/>
              </w:rPr>
              <w:t>纳税人提交书面材料（无纸化企业留存备查）。</w:t>
            </w:r>
          </w:p>
        </w:tc>
        <w:tc>
          <w:tcPr>
            <w:tcW w:w="868"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64"/>
          <w:jc w:val="center"/>
        </w:trPr>
        <w:tc>
          <w:tcPr>
            <w:tcW w:w="1250" w:type="dxa"/>
            <w:vMerge/>
            <w:vAlign w:val="center"/>
          </w:tcPr>
          <w:p w:rsidR="00013EC7" w:rsidRDefault="00013EC7">
            <w:pPr>
              <w:rPr>
                <w:rFonts w:ascii="仿宋" w:eastAsia="仿宋" w:hAnsi="仿宋" w:cs="仿宋"/>
                <w:kern w:val="1"/>
                <w:sz w:val="24"/>
              </w:rPr>
            </w:pPr>
          </w:p>
        </w:tc>
        <w:tc>
          <w:tcPr>
            <w:tcW w:w="1316" w:type="dxa"/>
            <w:vMerge/>
            <w:vAlign w:val="center"/>
          </w:tcPr>
          <w:p w:rsidR="00013EC7" w:rsidRDefault="00013EC7">
            <w:pPr>
              <w:rPr>
                <w:rFonts w:ascii="仿宋" w:eastAsia="仿宋" w:hAnsi="仿宋" w:cs="仿宋"/>
                <w:kern w:val="1"/>
                <w:sz w:val="24"/>
              </w:rPr>
            </w:pPr>
          </w:p>
        </w:tc>
        <w:tc>
          <w:tcPr>
            <w:tcW w:w="2114" w:type="dxa"/>
            <w:vMerge/>
            <w:vAlign w:val="center"/>
          </w:tcPr>
          <w:p w:rsidR="00013EC7" w:rsidRDefault="00013EC7">
            <w:pPr>
              <w:rPr>
                <w:rFonts w:ascii="仿宋" w:eastAsia="仿宋" w:hAnsi="仿宋" w:cs="仿宋"/>
                <w:kern w:val="1"/>
                <w:sz w:val="24"/>
              </w:rPr>
            </w:pPr>
          </w:p>
        </w:tc>
        <w:tc>
          <w:tcPr>
            <w:tcW w:w="2785"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（二十四）中标人与中国招标公司或其他招标组织签订的供货合同（协议）原件及复印件（加盖公章）</w:t>
            </w:r>
            <w:r>
              <w:rPr>
                <w:rFonts w:ascii="仿宋" w:eastAsia="仿宋" w:hAnsi="仿宋" w:cs="仿宋"/>
                <w:kern w:val="1"/>
                <w:sz w:val="24"/>
              </w:rPr>
              <w:t>。</w:t>
            </w:r>
          </w:p>
        </w:tc>
        <w:tc>
          <w:tcPr>
            <w:tcW w:w="1118" w:type="dxa"/>
            <w:vMerge/>
            <w:vAlign w:val="center"/>
          </w:tcPr>
          <w:p w:rsidR="00013EC7" w:rsidRDefault="00013EC7">
            <w:pPr>
              <w:rPr>
                <w:rFonts w:ascii="仿宋" w:eastAsia="仿宋" w:hAnsi="仿宋" w:cs="仿宋"/>
                <w:kern w:val="1"/>
                <w:sz w:val="24"/>
              </w:rPr>
            </w:pPr>
          </w:p>
        </w:tc>
        <w:tc>
          <w:tcPr>
            <w:tcW w:w="2403"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（二十四）中标人与中国招标公司或其他招标组织签订的供货合同（协议）原件及复印件（注明与原件一致，并加盖公章）</w:t>
            </w:r>
            <w:r>
              <w:rPr>
                <w:rFonts w:ascii="仿宋" w:eastAsia="仿宋" w:hAnsi="仿宋" w:cs="仿宋"/>
                <w:kern w:val="1"/>
                <w:sz w:val="24"/>
              </w:rPr>
              <w:t>。</w:t>
            </w:r>
          </w:p>
        </w:tc>
        <w:tc>
          <w:tcPr>
            <w:tcW w:w="1196" w:type="dxa"/>
            <w:vMerge/>
            <w:vAlign w:val="center"/>
          </w:tcPr>
          <w:p w:rsidR="00013EC7" w:rsidRDefault="00013EC7">
            <w:pPr>
              <w:rPr>
                <w:rFonts w:ascii="仿宋" w:eastAsia="仿宋" w:hAnsi="仿宋" w:cs="仿宋"/>
                <w:kern w:val="1"/>
                <w:sz w:val="24"/>
              </w:rPr>
            </w:pPr>
          </w:p>
        </w:tc>
        <w:tc>
          <w:tcPr>
            <w:tcW w:w="3318" w:type="dxa"/>
            <w:vAlign w:val="center"/>
          </w:tcPr>
          <w:p w:rsidR="00013EC7" w:rsidRDefault="00575CDB">
            <w:pPr>
              <w:rPr>
                <w:rFonts w:ascii="仿宋" w:eastAsia="仿宋" w:hAnsi="仿宋" w:cs="仿宋"/>
                <w:kern w:val="1"/>
                <w:sz w:val="24"/>
              </w:rPr>
            </w:pPr>
            <w:r>
              <w:rPr>
                <w:rFonts w:ascii="仿宋" w:eastAsia="仿宋" w:hAnsi="仿宋" w:cs="仿宋" w:hint="eastAsia"/>
                <w:b/>
                <w:sz w:val="24"/>
              </w:rPr>
              <w:t>现场办理：</w:t>
            </w:r>
            <w:r>
              <w:rPr>
                <w:rFonts w:ascii="仿宋" w:eastAsia="仿宋" w:hAnsi="仿宋" w:cs="仿宋" w:hint="eastAsia"/>
                <w:sz w:val="24"/>
              </w:rPr>
              <w:t>纳税人提交书面材料（无纸化企业留存备查）。</w:t>
            </w:r>
          </w:p>
        </w:tc>
        <w:tc>
          <w:tcPr>
            <w:tcW w:w="868"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64"/>
          <w:jc w:val="center"/>
        </w:trPr>
        <w:tc>
          <w:tcPr>
            <w:tcW w:w="1250" w:type="dxa"/>
            <w:vMerge/>
            <w:vAlign w:val="center"/>
          </w:tcPr>
          <w:p w:rsidR="00013EC7" w:rsidRDefault="00013EC7">
            <w:pPr>
              <w:rPr>
                <w:rFonts w:ascii="仿宋" w:eastAsia="仿宋" w:hAnsi="仿宋" w:cs="仿宋"/>
                <w:kern w:val="1"/>
                <w:sz w:val="24"/>
              </w:rPr>
            </w:pPr>
          </w:p>
        </w:tc>
        <w:tc>
          <w:tcPr>
            <w:tcW w:w="1316" w:type="dxa"/>
            <w:vMerge/>
            <w:vAlign w:val="center"/>
          </w:tcPr>
          <w:p w:rsidR="00013EC7" w:rsidRDefault="00013EC7">
            <w:pPr>
              <w:rPr>
                <w:rFonts w:ascii="仿宋" w:eastAsia="仿宋" w:hAnsi="仿宋" w:cs="仿宋"/>
                <w:kern w:val="1"/>
                <w:sz w:val="24"/>
              </w:rPr>
            </w:pPr>
          </w:p>
        </w:tc>
        <w:tc>
          <w:tcPr>
            <w:tcW w:w="2114" w:type="dxa"/>
            <w:vMerge/>
            <w:vAlign w:val="center"/>
          </w:tcPr>
          <w:p w:rsidR="00013EC7" w:rsidRDefault="00013EC7">
            <w:pPr>
              <w:rPr>
                <w:rFonts w:ascii="仿宋" w:eastAsia="仿宋" w:hAnsi="仿宋" w:cs="仿宋"/>
                <w:kern w:val="1"/>
                <w:sz w:val="24"/>
              </w:rPr>
            </w:pPr>
          </w:p>
        </w:tc>
        <w:tc>
          <w:tcPr>
            <w:tcW w:w="2785"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（二十五）中标人按照标</w:t>
            </w:r>
            <w:r>
              <w:rPr>
                <w:rFonts w:ascii="仿宋" w:eastAsia="仿宋" w:hAnsi="仿宋" w:cs="仿宋" w:hint="eastAsia"/>
                <w:kern w:val="1"/>
                <w:sz w:val="24"/>
              </w:rPr>
              <w:lastRenderedPageBreak/>
              <w:t>书规定及供货合同向用户发货的发货单</w:t>
            </w:r>
            <w:r>
              <w:rPr>
                <w:rFonts w:ascii="仿宋" w:eastAsia="仿宋" w:hAnsi="仿宋" w:cs="仿宋"/>
                <w:kern w:val="1"/>
                <w:sz w:val="24"/>
              </w:rPr>
              <w:t>。</w:t>
            </w:r>
          </w:p>
        </w:tc>
        <w:tc>
          <w:tcPr>
            <w:tcW w:w="1118" w:type="dxa"/>
            <w:vMerge/>
            <w:vAlign w:val="center"/>
          </w:tcPr>
          <w:p w:rsidR="00013EC7" w:rsidRDefault="00013EC7">
            <w:pPr>
              <w:rPr>
                <w:rFonts w:ascii="仿宋" w:eastAsia="仿宋" w:hAnsi="仿宋" w:cs="仿宋"/>
                <w:kern w:val="1"/>
                <w:sz w:val="24"/>
              </w:rPr>
            </w:pPr>
          </w:p>
        </w:tc>
        <w:tc>
          <w:tcPr>
            <w:tcW w:w="2403"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（二十五）中标人按照</w:t>
            </w:r>
            <w:r>
              <w:rPr>
                <w:rFonts w:ascii="仿宋" w:eastAsia="仿宋" w:hAnsi="仿宋" w:cs="仿宋" w:hint="eastAsia"/>
                <w:kern w:val="1"/>
                <w:sz w:val="24"/>
              </w:rPr>
              <w:lastRenderedPageBreak/>
              <w:t>标书规定及供货合同向用户发货的发货单</w:t>
            </w:r>
            <w:r>
              <w:rPr>
                <w:rFonts w:ascii="仿宋" w:eastAsia="仿宋" w:hAnsi="仿宋" w:cs="仿宋"/>
                <w:kern w:val="1"/>
                <w:sz w:val="24"/>
              </w:rPr>
              <w:t>。</w:t>
            </w:r>
          </w:p>
        </w:tc>
        <w:tc>
          <w:tcPr>
            <w:tcW w:w="1196" w:type="dxa"/>
            <w:vMerge/>
            <w:vAlign w:val="center"/>
          </w:tcPr>
          <w:p w:rsidR="00013EC7" w:rsidRDefault="00013EC7">
            <w:pPr>
              <w:rPr>
                <w:rFonts w:ascii="仿宋" w:eastAsia="仿宋" w:hAnsi="仿宋" w:cs="仿宋"/>
                <w:kern w:val="1"/>
                <w:sz w:val="24"/>
              </w:rPr>
            </w:pPr>
          </w:p>
        </w:tc>
        <w:tc>
          <w:tcPr>
            <w:tcW w:w="3318" w:type="dxa"/>
            <w:vAlign w:val="center"/>
          </w:tcPr>
          <w:p w:rsidR="00013EC7" w:rsidRDefault="00575CDB">
            <w:pPr>
              <w:rPr>
                <w:rFonts w:ascii="仿宋" w:eastAsia="仿宋" w:hAnsi="仿宋" w:cs="仿宋"/>
                <w:kern w:val="1"/>
                <w:sz w:val="24"/>
              </w:rPr>
            </w:pPr>
            <w:r>
              <w:rPr>
                <w:rFonts w:ascii="仿宋" w:eastAsia="仿宋" w:hAnsi="仿宋" w:cs="仿宋" w:hint="eastAsia"/>
                <w:b/>
                <w:sz w:val="24"/>
              </w:rPr>
              <w:t>现场办理：</w:t>
            </w:r>
            <w:r>
              <w:rPr>
                <w:rFonts w:ascii="仿宋" w:eastAsia="仿宋" w:hAnsi="仿宋" w:cs="仿宋" w:hint="eastAsia"/>
                <w:sz w:val="24"/>
              </w:rPr>
              <w:t>纳税人提交书面材</w:t>
            </w:r>
            <w:r>
              <w:rPr>
                <w:rFonts w:ascii="仿宋" w:eastAsia="仿宋" w:hAnsi="仿宋" w:cs="仿宋" w:hint="eastAsia"/>
                <w:sz w:val="24"/>
              </w:rPr>
              <w:lastRenderedPageBreak/>
              <w:t>料（无纸化企业留存备查）。</w:t>
            </w:r>
          </w:p>
        </w:tc>
        <w:tc>
          <w:tcPr>
            <w:tcW w:w="868"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64"/>
          <w:jc w:val="center"/>
        </w:trPr>
        <w:tc>
          <w:tcPr>
            <w:tcW w:w="1250" w:type="dxa"/>
            <w:vMerge/>
            <w:vAlign w:val="center"/>
          </w:tcPr>
          <w:p w:rsidR="00013EC7" w:rsidRDefault="00013EC7">
            <w:pPr>
              <w:rPr>
                <w:rFonts w:ascii="仿宋" w:eastAsia="仿宋" w:hAnsi="仿宋" w:cs="仿宋"/>
                <w:kern w:val="1"/>
                <w:sz w:val="24"/>
              </w:rPr>
            </w:pPr>
          </w:p>
        </w:tc>
        <w:tc>
          <w:tcPr>
            <w:tcW w:w="1316" w:type="dxa"/>
            <w:vMerge/>
            <w:vAlign w:val="center"/>
          </w:tcPr>
          <w:p w:rsidR="00013EC7" w:rsidRDefault="00013EC7">
            <w:pPr>
              <w:rPr>
                <w:rFonts w:ascii="仿宋" w:eastAsia="仿宋" w:hAnsi="仿宋" w:cs="仿宋"/>
                <w:kern w:val="1"/>
                <w:sz w:val="24"/>
              </w:rPr>
            </w:pPr>
          </w:p>
        </w:tc>
        <w:tc>
          <w:tcPr>
            <w:tcW w:w="2114" w:type="dxa"/>
            <w:vMerge/>
            <w:vAlign w:val="center"/>
          </w:tcPr>
          <w:p w:rsidR="00013EC7" w:rsidRDefault="00013EC7">
            <w:pPr>
              <w:rPr>
                <w:rFonts w:ascii="仿宋" w:eastAsia="仿宋" w:hAnsi="仿宋" w:cs="仿宋"/>
                <w:kern w:val="1"/>
                <w:sz w:val="24"/>
              </w:rPr>
            </w:pPr>
          </w:p>
        </w:tc>
        <w:tc>
          <w:tcPr>
            <w:tcW w:w="2785"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（二十六）中标机电产品用户收货清单</w:t>
            </w:r>
            <w:r>
              <w:rPr>
                <w:rFonts w:ascii="仿宋" w:eastAsia="仿宋" w:hAnsi="仿宋" w:cs="仿宋"/>
                <w:kern w:val="1"/>
                <w:sz w:val="24"/>
              </w:rPr>
              <w:t>。</w:t>
            </w:r>
          </w:p>
        </w:tc>
        <w:tc>
          <w:tcPr>
            <w:tcW w:w="1118" w:type="dxa"/>
            <w:vMerge/>
            <w:vAlign w:val="center"/>
          </w:tcPr>
          <w:p w:rsidR="00013EC7" w:rsidRDefault="00013EC7">
            <w:pPr>
              <w:rPr>
                <w:rFonts w:ascii="仿宋" w:eastAsia="仿宋" w:hAnsi="仿宋" w:cs="仿宋"/>
                <w:kern w:val="1"/>
                <w:sz w:val="24"/>
              </w:rPr>
            </w:pPr>
          </w:p>
        </w:tc>
        <w:tc>
          <w:tcPr>
            <w:tcW w:w="2403"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（二十六）中标机电产品用户收货清单</w:t>
            </w:r>
            <w:r>
              <w:rPr>
                <w:rFonts w:ascii="仿宋" w:eastAsia="仿宋" w:hAnsi="仿宋" w:cs="仿宋"/>
                <w:kern w:val="1"/>
                <w:sz w:val="24"/>
              </w:rPr>
              <w:t>。</w:t>
            </w:r>
          </w:p>
        </w:tc>
        <w:tc>
          <w:tcPr>
            <w:tcW w:w="1196" w:type="dxa"/>
            <w:vMerge/>
            <w:vAlign w:val="center"/>
          </w:tcPr>
          <w:p w:rsidR="00013EC7" w:rsidRDefault="00013EC7">
            <w:pPr>
              <w:rPr>
                <w:rFonts w:ascii="仿宋" w:eastAsia="仿宋" w:hAnsi="仿宋" w:cs="仿宋"/>
                <w:kern w:val="1"/>
                <w:sz w:val="24"/>
              </w:rPr>
            </w:pPr>
          </w:p>
        </w:tc>
        <w:tc>
          <w:tcPr>
            <w:tcW w:w="3318" w:type="dxa"/>
            <w:vAlign w:val="center"/>
          </w:tcPr>
          <w:p w:rsidR="00013EC7" w:rsidRDefault="00575CDB">
            <w:pPr>
              <w:rPr>
                <w:rFonts w:ascii="仿宋" w:eastAsia="仿宋" w:hAnsi="仿宋" w:cs="仿宋"/>
                <w:kern w:val="1"/>
                <w:sz w:val="24"/>
              </w:rPr>
            </w:pPr>
            <w:r>
              <w:rPr>
                <w:rFonts w:ascii="仿宋" w:eastAsia="仿宋" w:hAnsi="仿宋" w:cs="仿宋" w:hint="eastAsia"/>
                <w:b/>
                <w:sz w:val="24"/>
              </w:rPr>
              <w:t>现场办理：</w:t>
            </w:r>
            <w:r>
              <w:rPr>
                <w:rFonts w:ascii="仿宋" w:eastAsia="仿宋" w:hAnsi="仿宋" w:cs="仿宋" w:hint="eastAsia"/>
                <w:sz w:val="24"/>
              </w:rPr>
              <w:t>纳税人提交书面材料（无纸化企业留存备查）。</w:t>
            </w:r>
          </w:p>
        </w:tc>
        <w:tc>
          <w:tcPr>
            <w:tcW w:w="868"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64"/>
          <w:jc w:val="center"/>
        </w:trPr>
        <w:tc>
          <w:tcPr>
            <w:tcW w:w="1250" w:type="dxa"/>
            <w:vMerge/>
            <w:vAlign w:val="center"/>
          </w:tcPr>
          <w:p w:rsidR="00013EC7" w:rsidRDefault="00013EC7">
            <w:pPr>
              <w:rPr>
                <w:rFonts w:ascii="仿宋" w:eastAsia="仿宋" w:hAnsi="仿宋" w:cs="仿宋"/>
                <w:kern w:val="1"/>
                <w:sz w:val="24"/>
              </w:rPr>
            </w:pPr>
          </w:p>
        </w:tc>
        <w:tc>
          <w:tcPr>
            <w:tcW w:w="1316" w:type="dxa"/>
            <w:vMerge/>
            <w:vAlign w:val="center"/>
          </w:tcPr>
          <w:p w:rsidR="00013EC7" w:rsidRDefault="00013EC7">
            <w:pPr>
              <w:rPr>
                <w:rFonts w:ascii="仿宋" w:eastAsia="仿宋" w:hAnsi="仿宋" w:cs="仿宋"/>
                <w:kern w:val="1"/>
                <w:sz w:val="24"/>
              </w:rPr>
            </w:pPr>
          </w:p>
        </w:tc>
        <w:tc>
          <w:tcPr>
            <w:tcW w:w="2114" w:type="dxa"/>
            <w:vMerge/>
            <w:vAlign w:val="center"/>
          </w:tcPr>
          <w:p w:rsidR="00013EC7" w:rsidRDefault="00013EC7">
            <w:pPr>
              <w:rPr>
                <w:rFonts w:ascii="仿宋" w:eastAsia="仿宋" w:hAnsi="仿宋" w:cs="仿宋"/>
                <w:kern w:val="1"/>
                <w:sz w:val="24"/>
              </w:rPr>
            </w:pPr>
          </w:p>
        </w:tc>
        <w:tc>
          <w:tcPr>
            <w:tcW w:w="2785"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（二十七）外国企业中标再分包给国内企业供应的机电产品，还应提供与中标企业签署的分包合同（协议）原件及复印件（加盖公章）</w:t>
            </w:r>
            <w:r>
              <w:rPr>
                <w:rFonts w:ascii="仿宋" w:eastAsia="仿宋" w:hAnsi="仿宋" w:cs="仿宋"/>
                <w:kern w:val="1"/>
                <w:sz w:val="24"/>
              </w:rPr>
              <w:t>。</w:t>
            </w:r>
          </w:p>
        </w:tc>
        <w:tc>
          <w:tcPr>
            <w:tcW w:w="1118" w:type="dxa"/>
            <w:vMerge/>
            <w:vAlign w:val="center"/>
          </w:tcPr>
          <w:p w:rsidR="00013EC7" w:rsidRDefault="00013EC7">
            <w:pPr>
              <w:rPr>
                <w:rFonts w:ascii="仿宋" w:eastAsia="仿宋" w:hAnsi="仿宋" w:cs="仿宋"/>
                <w:kern w:val="1"/>
                <w:sz w:val="24"/>
              </w:rPr>
            </w:pPr>
          </w:p>
        </w:tc>
        <w:tc>
          <w:tcPr>
            <w:tcW w:w="2403"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（二十七）外国企业中标再分包给国内企业供应的机电产品，还应提供与中标企业签署的分包合同（协议）原件及复印件（注明与原件一致，并加盖公章）</w:t>
            </w:r>
            <w:r>
              <w:rPr>
                <w:rFonts w:ascii="仿宋" w:eastAsia="仿宋" w:hAnsi="仿宋" w:cs="仿宋"/>
                <w:kern w:val="1"/>
                <w:sz w:val="24"/>
              </w:rPr>
              <w:t>。</w:t>
            </w:r>
          </w:p>
        </w:tc>
        <w:tc>
          <w:tcPr>
            <w:tcW w:w="1196" w:type="dxa"/>
            <w:vMerge/>
            <w:vAlign w:val="center"/>
          </w:tcPr>
          <w:p w:rsidR="00013EC7" w:rsidRDefault="00013EC7">
            <w:pPr>
              <w:rPr>
                <w:rFonts w:ascii="仿宋" w:eastAsia="仿宋" w:hAnsi="仿宋" w:cs="仿宋"/>
                <w:kern w:val="1"/>
                <w:sz w:val="24"/>
              </w:rPr>
            </w:pPr>
          </w:p>
        </w:tc>
        <w:tc>
          <w:tcPr>
            <w:tcW w:w="3318" w:type="dxa"/>
            <w:vAlign w:val="center"/>
          </w:tcPr>
          <w:p w:rsidR="00013EC7" w:rsidRDefault="00575CDB">
            <w:pPr>
              <w:rPr>
                <w:rFonts w:ascii="仿宋" w:eastAsia="仿宋" w:hAnsi="仿宋" w:cs="仿宋"/>
                <w:kern w:val="1"/>
                <w:sz w:val="24"/>
              </w:rPr>
            </w:pPr>
            <w:r>
              <w:rPr>
                <w:rFonts w:ascii="仿宋" w:eastAsia="仿宋" w:hAnsi="仿宋" w:cs="仿宋" w:hint="eastAsia"/>
                <w:b/>
                <w:sz w:val="24"/>
              </w:rPr>
              <w:t>现场办理：</w:t>
            </w:r>
            <w:r>
              <w:rPr>
                <w:rFonts w:ascii="仿宋" w:eastAsia="仿宋" w:hAnsi="仿宋" w:cs="仿宋" w:hint="eastAsia"/>
                <w:sz w:val="24"/>
              </w:rPr>
              <w:t>纳税人提交书面材料（无纸化企业留存备查）。</w:t>
            </w:r>
          </w:p>
        </w:tc>
        <w:tc>
          <w:tcPr>
            <w:tcW w:w="868"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1294"/>
          <w:jc w:val="center"/>
        </w:trPr>
        <w:tc>
          <w:tcPr>
            <w:tcW w:w="1250" w:type="dxa"/>
            <w:vMerge/>
            <w:vAlign w:val="center"/>
          </w:tcPr>
          <w:p w:rsidR="00013EC7" w:rsidRDefault="00013EC7">
            <w:pPr>
              <w:rPr>
                <w:rFonts w:ascii="仿宋" w:eastAsia="仿宋" w:hAnsi="仿宋" w:cs="仿宋"/>
                <w:sz w:val="24"/>
              </w:rPr>
            </w:pPr>
          </w:p>
        </w:tc>
        <w:tc>
          <w:tcPr>
            <w:tcW w:w="1316" w:type="dxa"/>
            <w:vMerge/>
            <w:vAlign w:val="center"/>
          </w:tcPr>
          <w:p w:rsidR="00013EC7" w:rsidRDefault="00013EC7">
            <w:pPr>
              <w:rPr>
                <w:rFonts w:ascii="仿宋" w:eastAsia="仿宋" w:hAnsi="仿宋" w:cs="仿宋"/>
                <w:sz w:val="24"/>
              </w:rPr>
            </w:pPr>
          </w:p>
        </w:tc>
        <w:tc>
          <w:tcPr>
            <w:tcW w:w="2114" w:type="dxa"/>
            <w:vMerge/>
            <w:vAlign w:val="center"/>
          </w:tcPr>
          <w:p w:rsidR="00013EC7" w:rsidRDefault="00013EC7">
            <w:pPr>
              <w:rPr>
                <w:rFonts w:ascii="仿宋" w:eastAsia="仿宋" w:hAnsi="仿宋" w:cs="仿宋"/>
                <w:sz w:val="24"/>
              </w:rPr>
            </w:pPr>
          </w:p>
        </w:tc>
        <w:tc>
          <w:tcPr>
            <w:tcW w:w="2785"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（二十八）销售合同</w:t>
            </w:r>
            <w:r>
              <w:rPr>
                <w:rFonts w:ascii="仿宋" w:eastAsia="仿宋" w:hAnsi="仿宋" w:cs="仿宋"/>
                <w:kern w:val="1"/>
                <w:sz w:val="24"/>
              </w:rPr>
              <w:t>。</w:t>
            </w:r>
          </w:p>
        </w:tc>
        <w:tc>
          <w:tcPr>
            <w:tcW w:w="1118" w:type="dxa"/>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kern w:val="1"/>
                <w:sz w:val="24"/>
              </w:rPr>
              <w:t>销售给海上石油天然气开采企业的自产的海洋工程结构物不需要提供出口报关单的出口生产企业纳税人提交</w:t>
            </w:r>
          </w:p>
        </w:tc>
        <w:tc>
          <w:tcPr>
            <w:tcW w:w="2403"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（二十八）销售合同</w:t>
            </w:r>
            <w:r>
              <w:rPr>
                <w:rFonts w:ascii="仿宋" w:eastAsia="仿宋" w:hAnsi="仿宋" w:cs="仿宋"/>
                <w:kern w:val="1"/>
                <w:sz w:val="24"/>
              </w:rPr>
              <w:t>。</w:t>
            </w:r>
          </w:p>
        </w:tc>
        <w:tc>
          <w:tcPr>
            <w:tcW w:w="1196" w:type="dxa"/>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kern w:val="1"/>
                <w:sz w:val="24"/>
              </w:rPr>
              <w:t>销售给海上石油天然气开采企业的自产的海洋工程结构物不需要提供出口报关单的出口生产企业纳税人提交</w:t>
            </w:r>
          </w:p>
        </w:tc>
        <w:tc>
          <w:tcPr>
            <w:tcW w:w="3318"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纳税人提交书面材料（无纸化企业留存备查）。</w:t>
            </w:r>
          </w:p>
        </w:tc>
        <w:tc>
          <w:tcPr>
            <w:tcW w:w="868" w:type="dxa"/>
            <w:vMerge/>
            <w:vAlign w:val="center"/>
          </w:tcPr>
          <w:p w:rsidR="00013EC7" w:rsidRDefault="00013EC7">
            <w:pPr>
              <w:rPr>
                <w:rFonts w:ascii="仿宋" w:eastAsia="仿宋" w:hAnsi="仿宋" w:cs="仿宋"/>
                <w:sz w:val="24"/>
              </w:rPr>
            </w:pPr>
          </w:p>
        </w:tc>
        <w:tc>
          <w:tcPr>
            <w:tcW w:w="798" w:type="dxa"/>
            <w:vMerge/>
            <w:vAlign w:val="center"/>
          </w:tcPr>
          <w:p w:rsidR="00013EC7" w:rsidRDefault="00013EC7">
            <w:pPr>
              <w:rPr>
                <w:rFonts w:ascii="仿宋" w:eastAsia="仿宋" w:hAnsi="仿宋" w:cs="仿宋"/>
                <w:sz w:val="24"/>
              </w:rPr>
            </w:pP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1294"/>
          <w:jc w:val="center"/>
        </w:trPr>
        <w:tc>
          <w:tcPr>
            <w:tcW w:w="1250" w:type="dxa"/>
            <w:vMerge/>
            <w:vAlign w:val="center"/>
          </w:tcPr>
          <w:p w:rsidR="00013EC7" w:rsidRDefault="00013EC7">
            <w:pPr>
              <w:rPr>
                <w:rFonts w:ascii="仿宋" w:eastAsia="仿宋" w:hAnsi="仿宋" w:cs="仿宋"/>
                <w:sz w:val="24"/>
              </w:rPr>
            </w:pPr>
          </w:p>
        </w:tc>
        <w:tc>
          <w:tcPr>
            <w:tcW w:w="1316" w:type="dxa"/>
            <w:vMerge/>
            <w:vAlign w:val="center"/>
          </w:tcPr>
          <w:p w:rsidR="00013EC7" w:rsidRDefault="00013EC7">
            <w:pPr>
              <w:rPr>
                <w:rFonts w:ascii="仿宋" w:eastAsia="仿宋" w:hAnsi="仿宋" w:cs="仿宋"/>
                <w:sz w:val="24"/>
              </w:rPr>
            </w:pPr>
          </w:p>
        </w:tc>
        <w:tc>
          <w:tcPr>
            <w:tcW w:w="2114" w:type="dxa"/>
            <w:vMerge/>
            <w:vAlign w:val="center"/>
          </w:tcPr>
          <w:p w:rsidR="00013EC7" w:rsidRDefault="00013EC7">
            <w:pPr>
              <w:rPr>
                <w:rFonts w:ascii="仿宋" w:eastAsia="仿宋" w:hAnsi="仿宋" w:cs="仿宋"/>
                <w:sz w:val="24"/>
              </w:rPr>
            </w:pPr>
          </w:p>
        </w:tc>
        <w:tc>
          <w:tcPr>
            <w:tcW w:w="2785"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（二十九）列明销售货物名称、计量单位、数量、销售金额并经外轮、远洋国轮船长签名的出口发票</w:t>
            </w:r>
            <w:r>
              <w:rPr>
                <w:rFonts w:ascii="仿宋" w:eastAsia="仿宋" w:hAnsi="仿宋" w:cs="仿宋"/>
                <w:kern w:val="1"/>
                <w:sz w:val="24"/>
              </w:rPr>
              <w:t>。</w:t>
            </w:r>
          </w:p>
        </w:tc>
        <w:tc>
          <w:tcPr>
            <w:tcW w:w="1118" w:type="dxa"/>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kern w:val="1"/>
                <w:sz w:val="24"/>
              </w:rPr>
              <w:t>销售给外轮、远洋国轮的货物不需要提供出口报关单的</w:t>
            </w:r>
            <w:r>
              <w:rPr>
                <w:rFonts w:ascii="仿宋" w:eastAsia="仿宋" w:hAnsi="仿宋" w:cs="仿宋" w:hint="eastAsia"/>
                <w:sz w:val="24"/>
              </w:rPr>
              <w:t>出口生产企业纳税人提交</w:t>
            </w:r>
          </w:p>
        </w:tc>
        <w:tc>
          <w:tcPr>
            <w:tcW w:w="2403"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（二十九）列明销售货物名称、计量单位、数量、销售金额并经外轮、远洋国轮船长签名的出口发票</w:t>
            </w:r>
            <w:r>
              <w:rPr>
                <w:rFonts w:ascii="仿宋" w:eastAsia="仿宋" w:hAnsi="仿宋" w:cs="仿宋"/>
                <w:kern w:val="1"/>
                <w:sz w:val="24"/>
              </w:rPr>
              <w:t>。</w:t>
            </w:r>
          </w:p>
        </w:tc>
        <w:tc>
          <w:tcPr>
            <w:tcW w:w="1196" w:type="dxa"/>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kern w:val="1"/>
                <w:sz w:val="24"/>
              </w:rPr>
              <w:t>销售给外轮、远洋国轮的货物不需要提供出口报关单的</w:t>
            </w:r>
            <w:r>
              <w:rPr>
                <w:rFonts w:ascii="仿宋" w:eastAsia="仿宋" w:hAnsi="仿宋" w:cs="仿宋" w:hint="eastAsia"/>
                <w:sz w:val="24"/>
              </w:rPr>
              <w:t>出口生产企业纳税人提交</w:t>
            </w:r>
          </w:p>
        </w:tc>
        <w:tc>
          <w:tcPr>
            <w:tcW w:w="3318"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纳税人提交书面材料（无纸化企业留存备查）。</w:t>
            </w:r>
          </w:p>
        </w:tc>
        <w:tc>
          <w:tcPr>
            <w:tcW w:w="868" w:type="dxa"/>
            <w:vMerge/>
            <w:vAlign w:val="center"/>
          </w:tcPr>
          <w:p w:rsidR="00013EC7" w:rsidRDefault="00013EC7">
            <w:pPr>
              <w:rPr>
                <w:rFonts w:ascii="仿宋" w:eastAsia="仿宋" w:hAnsi="仿宋" w:cs="仿宋"/>
                <w:sz w:val="24"/>
              </w:rPr>
            </w:pPr>
          </w:p>
        </w:tc>
        <w:tc>
          <w:tcPr>
            <w:tcW w:w="798" w:type="dxa"/>
            <w:vMerge/>
            <w:vAlign w:val="center"/>
          </w:tcPr>
          <w:p w:rsidR="00013EC7" w:rsidRDefault="00013EC7">
            <w:pPr>
              <w:rPr>
                <w:rFonts w:ascii="仿宋" w:eastAsia="仿宋" w:hAnsi="仿宋" w:cs="仿宋"/>
                <w:sz w:val="24"/>
              </w:rPr>
            </w:pP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128"/>
          <w:jc w:val="center"/>
        </w:trPr>
        <w:tc>
          <w:tcPr>
            <w:tcW w:w="1250" w:type="dxa"/>
            <w:vMerge/>
            <w:vAlign w:val="center"/>
          </w:tcPr>
          <w:p w:rsidR="00013EC7" w:rsidRDefault="00013EC7">
            <w:pPr>
              <w:rPr>
                <w:rFonts w:ascii="仿宋" w:eastAsia="仿宋" w:hAnsi="仿宋" w:cs="仿宋"/>
                <w:sz w:val="24"/>
              </w:rPr>
            </w:pPr>
          </w:p>
        </w:tc>
        <w:tc>
          <w:tcPr>
            <w:tcW w:w="1316" w:type="dxa"/>
            <w:vMerge/>
            <w:vAlign w:val="center"/>
          </w:tcPr>
          <w:p w:rsidR="00013EC7" w:rsidRDefault="00013EC7">
            <w:pPr>
              <w:rPr>
                <w:rFonts w:ascii="仿宋" w:eastAsia="仿宋" w:hAnsi="仿宋" w:cs="仿宋"/>
                <w:sz w:val="24"/>
              </w:rPr>
            </w:pPr>
          </w:p>
        </w:tc>
        <w:tc>
          <w:tcPr>
            <w:tcW w:w="2114" w:type="dxa"/>
            <w:vMerge/>
            <w:vAlign w:val="center"/>
          </w:tcPr>
          <w:p w:rsidR="00013EC7" w:rsidRDefault="00013EC7">
            <w:pPr>
              <w:rPr>
                <w:rFonts w:ascii="仿宋" w:eastAsia="仿宋" w:hAnsi="仿宋" w:cs="仿宋"/>
                <w:sz w:val="24"/>
              </w:rPr>
            </w:pPr>
          </w:p>
        </w:tc>
        <w:tc>
          <w:tcPr>
            <w:tcW w:w="2785"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（三十）与航空公司签订的配餐合同原件及复印件（加盖公章）</w:t>
            </w:r>
            <w:r>
              <w:rPr>
                <w:rFonts w:ascii="仿宋" w:eastAsia="仿宋" w:hAnsi="仿宋" w:cs="仿宋"/>
                <w:kern w:val="1"/>
                <w:sz w:val="24"/>
              </w:rPr>
              <w:t>。</w:t>
            </w:r>
          </w:p>
        </w:tc>
        <w:tc>
          <w:tcPr>
            <w:tcW w:w="1118" w:type="dxa"/>
            <w:vMerge w:val="restart"/>
            <w:vAlign w:val="center"/>
          </w:tcPr>
          <w:p w:rsidR="00013EC7" w:rsidRDefault="00575CDB">
            <w:pPr>
              <w:rPr>
                <w:rFonts w:ascii="仿宋" w:eastAsia="仿宋" w:hAnsi="仿宋" w:cs="仿宋"/>
                <w:sz w:val="24"/>
              </w:rPr>
            </w:pPr>
            <w:r>
              <w:rPr>
                <w:rFonts w:ascii="仿宋" w:eastAsia="仿宋" w:hAnsi="仿宋" w:cs="仿宋" w:hint="eastAsia"/>
                <w:kern w:val="1"/>
                <w:sz w:val="24"/>
              </w:rPr>
              <w:t>生产并销售给国内和国外航空公司国际航班的</w:t>
            </w:r>
            <w:r>
              <w:rPr>
                <w:rFonts w:ascii="仿宋" w:eastAsia="仿宋" w:hAnsi="仿宋" w:cs="仿宋" w:hint="eastAsia"/>
                <w:kern w:val="1"/>
                <w:sz w:val="24"/>
              </w:rPr>
              <w:lastRenderedPageBreak/>
              <w:t>航空食品不需要提供出口报关单的</w:t>
            </w:r>
            <w:r>
              <w:rPr>
                <w:rFonts w:ascii="仿宋" w:eastAsia="仿宋" w:hAnsi="仿宋" w:cs="仿宋" w:hint="eastAsia"/>
                <w:sz w:val="24"/>
              </w:rPr>
              <w:t>出口生产企业纳税人提交</w:t>
            </w:r>
          </w:p>
        </w:tc>
        <w:tc>
          <w:tcPr>
            <w:tcW w:w="2403"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lastRenderedPageBreak/>
              <w:t>（三十）与航空公司签订的配餐合同原件及复印件（注明与原件一致，并加盖公章）</w:t>
            </w:r>
            <w:r>
              <w:rPr>
                <w:rFonts w:ascii="仿宋" w:eastAsia="仿宋" w:hAnsi="仿宋" w:cs="仿宋"/>
                <w:kern w:val="1"/>
                <w:sz w:val="24"/>
              </w:rPr>
              <w:t>。</w:t>
            </w:r>
          </w:p>
        </w:tc>
        <w:tc>
          <w:tcPr>
            <w:tcW w:w="1196" w:type="dxa"/>
            <w:vMerge w:val="restart"/>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生产并销售给国内和国外航空公司国际航班的</w:t>
            </w:r>
            <w:r>
              <w:rPr>
                <w:rFonts w:ascii="仿宋" w:eastAsia="仿宋" w:hAnsi="仿宋" w:cs="仿宋" w:hint="eastAsia"/>
                <w:kern w:val="1"/>
                <w:sz w:val="24"/>
              </w:rPr>
              <w:lastRenderedPageBreak/>
              <w:t>航空食品不需要提供出口报关单的</w:t>
            </w:r>
            <w:r>
              <w:rPr>
                <w:rFonts w:ascii="仿宋" w:eastAsia="仿宋" w:hAnsi="仿宋" w:cs="仿宋" w:hint="eastAsia"/>
                <w:sz w:val="24"/>
              </w:rPr>
              <w:t>出口生产企业纳税人提交</w:t>
            </w:r>
          </w:p>
        </w:tc>
        <w:tc>
          <w:tcPr>
            <w:tcW w:w="3318"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b/>
                <w:sz w:val="24"/>
              </w:rPr>
              <w:lastRenderedPageBreak/>
              <w:t>现场办理：</w:t>
            </w:r>
            <w:r>
              <w:rPr>
                <w:rFonts w:ascii="仿宋" w:eastAsia="仿宋" w:hAnsi="仿宋" w:cs="仿宋" w:hint="eastAsia"/>
                <w:sz w:val="24"/>
              </w:rPr>
              <w:t>纳税人提交书面材料（无纸化企业留存备查）。</w:t>
            </w:r>
          </w:p>
        </w:tc>
        <w:tc>
          <w:tcPr>
            <w:tcW w:w="868" w:type="dxa"/>
            <w:vMerge/>
            <w:vAlign w:val="center"/>
          </w:tcPr>
          <w:p w:rsidR="00013EC7" w:rsidRDefault="00013EC7">
            <w:pPr>
              <w:rPr>
                <w:rFonts w:ascii="仿宋" w:eastAsia="仿宋" w:hAnsi="仿宋" w:cs="仿宋"/>
                <w:sz w:val="24"/>
              </w:rPr>
            </w:pPr>
          </w:p>
        </w:tc>
        <w:tc>
          <w:tcPr>
            <w:tcW w:w="798" w:type="dxa"/>
            <w:vMerge/>
            <w:vAlign w:val="center"/>
          </w:tcPr>
          <w:p w:rsidR="00013EC7" w:rsidRDefault="00013EC7">
            <w:pPr>
              <w:rPr>
                <w:rFonts w:ascii="仿宋" w:eastAsia="仿宋" w:hAnsi="仿宋" w:cs="仿宋"/>
                <w:sz w:val="24"/>
              </w:rPr>
            </w:pP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128"/>
          <w:jc w:val="center"/>
        </w:trPr>
        <w:tc>
          <w:tcPr>
            <w:tcW w:w="1250" w:type="dxa"/>
            <w:vMerge/>
            <w:vAlign w:val="center"/>
          </w:tcPr>
          <w:p w:rsidR="00013EC7" w:rsidRDefault="00013EC7"/>
        </w:tc>
        <w:tc>
          <w:tcPr>
            <w:tcW w:w="1316" w:type="dxa"/>
            <w:vMerge/>
            <w:vAlign w:val="center"/>
          </w:tcPr>
          <w:p w:rsidR="00013EC7" w:rsidRDefault="00013EC7"/>
        </w:tc>
        <w:tc>
          <w:tcPr>
            <w:tcW w:w="2114" w:type="dxa"/>
            <w:vMerge/>
            <w:vAlign w:val="center"/>
          </w:tcPr>
          <w:p w:rsidR="00013EC7" w:rsidRDefault="00013EC7"/>
        </w:tc>
        <w:tc>
          <w:tcPr>
            <w:tcW w:w="2785" w:type="dxa"/>
            <w:vAlign w:val="center"/>
          </w:tcPr>
          <w:p w:rsidR="00013EC7" w:rsidRDefault="00575CDB">
            <w:r>
              <w:rPr>
                <w:rFonts w:ascii="仿宋" w:eastAsia="仿宋" w:hAnsi="仿宋" w:cs="仿宋" w:hint="eastAsia"/>
                <w:kern w:val="1"/>
                <w:sz w:val="24"/>
              </w:rPr>
              <w:t>（三十一）航空公司提供</w:t>
            </w:r>
            <w:r>
              <w:rPr>
                <w:rFonts w:ascii="仿宋" w:eastAsia="仿宋" w:hAnsi="仿宋" w:cs="仿宋" w:hint="eastAsia"/>
                <w:kern w:val="1"/>
                <w:sz w:val="24"/>
              </w:rPr>
              <w:lastRenderedPageBreak/>
              <w:t>的配餐计划表（须注明航班号、起降城市等内容）</w:t>
            </w:r>
            <w:r>
              <w:rPr>
                <w:rFonts w:ascii="仿宋" w:eastAsia="仿宋" w:hAnsi="仿宋" w:cs="仿宋"/>
                <w:kern w:val="1"/>
                <w:sz w:val="24"/>
              </w:rPr>
              <w:t>。</w:t>
            </w:r>
          </w:p>
        </w:tc>
        <w:tc>
          <w:tcPr>
            <w:tcW w:w="1118" w:type="dxa"/>
            <w:vMerge/>
            <w:vAlign w:val="center"/>
          </w:tcPr>
          <w:p w:rsidR="00013EC7" w:rsidRDefault="00013EC7"/>
        </w:tc>
        <w:tc>
          <w:tcPr>
            <w:tcW w:w="2403"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（三十一）航空公司提</w:t>
            </w:r>
            <w:r>
              <w:rPr>
                <w:rFonts w:ascii="仿宋" w:eastAsia="仿宋" w:hAnsi="仿宋" w:cs="仿宋" w:hint="eastAsia"/>
                <w:kern w:val="1"/>
                <w:sz w:val="24"/>
              </w:rPr>
              <w:lastRenderedPageBreak/>
              <w:t>供的配餐计划表（须注明航班号、起降城市等内容）</w:t>
            </w:r>
            <w:r>
              <w:rPr>
                <w:rFonts w:ascii="仿宋" w:eastAsia="仿宋" w:hAnsi="仿宋" w:cs="仿宋"/>
                <w:kern w:val="1"/>
                <w:sz w:val="24"/>
              </w:rPr>
              <w:t>。</w:t>
            </w:r>
          </w:p>
        </w:tc>
        <w:tc>
          <w:tcPr>
            <w:tcW w:w="1196" w:type="dxa"/>
            <w:vMerge/>
            <w:vAlign w:val="center"/>
          </w:tcPr>
          <w:p w:rsidR="00013EC7" w:rsidRDefault="00013EC7">
            <w:pPr>
              <w:rPr>
                <w:rFonts w:ascii="仿宋" w:eastAsia="仿宋" w:hAnsi="仿宋" w:cs="仿宋"/>
                <w:kern w:val="1"/>
                <w:sz w:val="24"/>
              </w:rPr>
            </w:pPr>
          </w:p>
        </w:tc>
        <w:tc>
          <w:tcPr>
            <w:tcW w:w="3318" w:type="dxa"/>
            <w:vAlign w:val="center"/>
          </w:tcPr>
          <w:p w:rsidR="00013EC7" w:rsidRDefault="00575CDB">
            <w:pPr>
              <w:rPr>
                <w:rFonts w:ascii="仿宋" w:eastAsia="仿宋" w:hAnsi="仿宋" w:cs="仿宋"/>
                <w:kern w:val="1"/>
                <w:sz w:val="24"/>
              </w:rPr>
            </w:pPr>
            <w:r>
              <w:rPr>
                <w:rFonts w:ascii="仿宋" w:eastAsia="仿宋" w:hAnsi="仿宋" w:cs="仿宋" w:hint="eastAsia"/>
                <w:b/>
                <w:sz w:val="24"/>
              </w:rPr>
              <w:t>现场办理：</w:t>
            </w:r>
            <w:r>
              <w:rPr>
                <w:rFonts w:ascii="仿宋" w:eastAsia="仿宋" w:hAnsi="仿宋" w:cs="仿宋" w:hint="eastAsia"/>
                <w:sz w:val="24"/>
              </w:rPr>
              <w:t>纳税人提交书面材</w:t>
            </w:r>
            <w:r>
              <w:rPr>
                <w:rFonts w:ascii="仿宋" w:eastAsia="仿宋" w:hAnsi="仿宋" w:cs="仿宋" w:hint="eastAsia"/>
                <w:sz w:val="24"/>
              </w:rPr>
              <w:lastRenderedPageBreak/>
              <w:t>料（无纸化企业留存备查）。</w:t>
            </w:r>
          </w:p>
        </w:tc>
        <w:tc>
          <w:tcPr>
            <w:tcW w:w="868"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128"/>
          <w:jc w:val="center"/>
        </w:trPr>
        <w:tc>
          <w:tcPr>
            <w:tcW w:w="1250" w:type="dxa"/>
            <w:vMerge/>
            <w:vAlign w:val="center"/>
          </w:tcPr>
          <w:p w:rsidR="00013EC7" w:rsidRDefault="00013EC7">
            <w:pPr>
              <w:rPr>
                <w:rFonts w:ascii="仿宋" w:eastAsia="仿宋" w:hAnsi="仿宋" w:cs="仿宋"/>
                <w:kern w:val="1"/>
                <w:sz w:val="24"/>
              </w:rPr>
            </w:pPr>
          </w:p>
        </w:tc>
        <w:tc>
          <w:tcPr>
            <w:tcW w:w="1316" w:type="dxa"/>
            <w:vMerge/>
            <w:vAlign w:val="center"/>
          </w:tcPr>
          <w:p w:rsidR="00013EC7" w:rsidRDefault="00013EC7">
            <w:pPr>
              <w:rPr>
                <w:rFonts w:ascii="仿宋" w:eastAsia="仿宋" w:hAnsi="仿宋" w:cs="仿宋"/>
                <w:kern w:val="1"/>
                <w:sz w:val="24"/>
              </w:rPr>
            </w:pPr>
          </w:p>
        </w:tc>
        <w:tc>
          <w:tcPr>
            <w:tcW w:w="2114" w:type="dxa"/>
            <w:vMerge/>
            <w:vAlign w:val="center"/>
          </w:tcPr>
          <w:p w:rsidR="00013EC7" w:rsidRDefault="00013EC7">
            <w:pPr>
              <w:rPr>
                <w:rFonts w:ascii="仿宋" w:eastAsia="仿宋" w:hAnsi="仿宋" w:cs="仿宋"/>
                <w:kern w:val="1"/>
                <w:sz w:val="24"/>
              </w:rPr>
            </w:pPr>
          </w:p>
        </w:tc>
        <w:tc>
          <w:tcPr>
            <w:tcW w:w="2785"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（三十二）国际航班乘务长签字的送货清单（须注明航空公司名称、航班号等内容）</w:t>
            </w:r>
            <w:r>
              <w:rPr>
                <w:rFonts w:ascii="仿宋" w:eastAsia="仿宋" w:hAnsi="仿宋" w:cs="仿宋"/>
                <w:kern w:val="1"/>
                <w:sz w:val="24"/>
              </w:rPr>
              <w:t>。</w:t>
            </w:r>
          </w:p>
        </w:tc>
        <w:tc>
          <w:tcPr>
            <w:tcW w:w="1118" w:type="dxa"/>
            <w:vMerge/>
            <w:vAlign w:val="center"/>
          </w:tcPr>
          <w:p w:rsidR="00013EC7" w:rsidRDefault="00013EC7">
            <w:pPr>
              <w:rPr>
                <w:rFonts w:ascii="仿宋" w:eastAsia="仿宋" w:hAnsi="仿宋" w:cs="仿宋"/>
                <w:kern w:val="1"/>
                <w:sz w:val="24"/>
              </w:rPr>
            </w:pPr>
          </w:p>
        </w:tc>
        <w:tc>
          <w:tcPr>
            <w:tcW w:w="2403"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（三十二）国际航班乘务长签字的送货清单（须注明航空公司名称、航班号等内容）</w:t>
            </w:r>
            <w:r>
              <w:rPr>
                <w:rFonts w:ascii="仿宋" w:eastAsia="仿宋" w:hAnsi="仿宋" w:cs="仿宋"/>
                <w:kern w:val="1"/>
                <w:sz w:val="24"/>
              </w:rPr>
              <w:t>。</w:t>
            </w:r>
          </w:p>
        </w:tc>
        <w:tc>
          <w:tcPr>
            <w:tcW w:w="1196" w:type="dxa"/>
            <w:vMerge/>
            <w:vAlign w:val="center"/>
          </w:tcPr>
          <w:p w:rsidR="00013EC7" w:rsidRDefault="00013EC7">
            <w:pPr>
              <w:rPr>
                <w:rFonts w:ascii="仿宋" w:eastAsia="仿宋" w:hAnsi="仿宋" w:cs="仿宋"/>
                <w:kern w:val="1"/>
                <w:sz w:val="24"/>
              </w:rPr>
            </w:pPr>
          </w:p>
        </w:tc>
        <w:tc>
          <w:tcPr>
            <w:tcW w:w="3318" w:type="dxa"/>
            <w:vAlign w:val="center"/>
          </w:tcPr>
          <w:p w:rsidR="00013EC7" w:rsidRDefault="00575CDB">
            <w:pPr>
              <w:rPr>
                <w:rFonts w:ascii="仿宋" w:eastAsia="仿宋" w:hAnsi="仿宋" w:cs="仿宋"/>
                <w:kern w:val="1"/>
                <w:sz w:val="24"/>
              </w:rPr>
            </w:pPr>
            <w:r>
              <w:rPr>
                <w:rFonts w:ascii="仿宋" w:eastAsia="仿宋" w:hAnsi="仿宋" w:cs="仿宋" w:hint="eastAsia"/>
                <w:b/>
                <w:sz w:val="24"/>
              </w:rPr>
              <w:t>现场办理：</w:t>
            </w:r>
            <w:r>
              <w:rPr>
                <w:rFonts w:ascii="仿宋" w:eastAsia="仿宋" w:hAnsi="仿宋" w:cs="仿宋" w:hint="eastAsia"/>
                <w:sz w:val="24"/>
              </w:rPr>
              <w:t>纳税人提交书面材料（无纸化企业留存备查）。</w:t>
            </w:r>
          </w:p>
        </w:tc>
        <w:tc>
          <w:tcPr>
            <w:tcW w:w="868"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77"/>
          <w:jc w:val="center"/>
        </w:trPr>
        <w:tc>
          <w:tcPr>
            <w:tcW w:w="1250" w:type="dxa"/>
            <w:vMerge/>
            <w:vAlign w:val="center"/>
          </w:tcPr>
          <w:p w:rsidR="00013EC7" w:rsidRDefault="00013EC7">
            <w:pPr>
              <w:rPr>
                <w:rFonts w:ascii="仿宋" w:eastAsia="仿宋" w:hAnsi="仿宋" w:cs="仿宋"/>
                <w:sz w:val="24"/>
              </w:rPr>
            </w:pPr>
          </w:p>
        </w:tc>
        <w:tc>
          <w:tcPr>
            <w:tcW w:w="1316" w:type="dxa"/>
            <w:vMerge/>
            <w:vAlign w:val="center"/>
          </w:tcPr>
          <w:p w:rsidR="00013EC7" w:rsidRDefault="00013EC7">
            <w:pPr>
              <w:rPr>
                <w:rFonts w:ascii="仿宋" w:eastAsia="仿宋" w:hAnsi="仿宋" w:cs="仿宋"/>
                <w:sz w:val="24"/>
              </w:rPr>
            </w:pPr>
          </w:p>
        </w:tc>
        <w:tc>
          <w:tcPr>
            <w:tcW w:w="2114" w:type="dxa"/>
            <w:vMerge/>
            <w:vAlign w:val="center"/>
          </w:tcPr>
          <w:p w:rsidR="00013EC7" w:rsidRDefault="00013EC7">
            <w:pPr>
              <w:rPr>
                <w:rFonts w:ascii="仿宋" w:eastAsia="仿宋" w:hAnsi="仿宋" w:cs="仿宋"/>
                <w:sz w:val="24"/>
              </w:rPr>
            </w:pPr>
          </w:p>
        </w:tc>
        <w:tc>
          <w:tcPr>
            <w:tcW w:w="2785"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（三十三）修理修配船舶以外其他物品的提供贸易方式为“修理物品”的出口货物报关单</w:t>
            </w:r>
            <w:r>
              <w:rPr>
                <w:rFonts w:ascii="仿宋" w:eastAsia="仿宋" w:hAnsi="仿宋" w:cs="仿宋"/>
                <w:kern w:val="1"/>
                <w:sz w:val="24"/>
              </w:rPr>
              <w:t>。</w:t>
            </w:r>
          </w:p>
        </w:tc>
        <w:tc>
          <w:tcPr>
            <w:tcW w:w="1118" w:type="dxa"/>
            <w:vMerge w:val="restart"/>
            <w:vAlign w:val="center"/>
          </w:tcPr>
          <w:p w:rsidR="00013EC7" w:rsidRDefault="00575CDB">
            <w:pPr>
              <w:rPr>
                <w:rFonts w:ascii="仿宋" w:eastAsia="仿宋" w:hAnsi="仿宋" w:cs="仿宋"/>
                <w:sz w:val="24"/>
              </w:rPr>
            </w:pPr>
            <w:r>
              <w:rPr>
                <w:rFonts w:ascii="仿宋" w:eastAsia="仿宋" w:hAnsi="仿宋" w:cs="仿宋" w:hint="eastAsia"/>
                <w:kern w:val="1"/>
                <w:sz w:val="24"/>
              </w:rPr>
              <w:t>对外提供加工修理修配劳务的</w:t>
            </w:r>
            <w:r>
              <w:rPr>
                <w:rFonts w:ascii="仿宋" w:eastAsia="仿宋" w:hAnsi="仿宋" w:cs="仿宋" w:hint="eastAsia"/>
                <w:sz w:val="24"/>
              </w:rPr>
              <w:t>出口生产企业纳税人提交</w:t>
            </w:r>
          </w:p>
        </w:tc>
        <w:tc>
          <w:tcPr>
            <w:tcW w:w="2403"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（三十三）修理修配船舶以外其他物品的提供贸易方式为“修理物品”的出口货物报关单</w:t>
            </w:r>
            <w:r>
              <w:rPr>
                <w:rFonts w:ascii="仿宋" w:eastAsia="仿宋" w:hAnsi="仿宋" w:cs="仿宋"/>
                <w:kern w:val="1"/>
                <w:sz w:val="24"/>
              </w:rPr>
              <w:t>。</w:t>
            </w:r>
          </w:p>
        </w:tc>
        <w:tc>
          <w:tcPr>
            <w:tcW w:w="1196" w:type="dxa"/>
            <w:vMerge w:val="restart"/>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对外提供加工修理修配劳务的</w:t>
            </w:r>
            <w:r>
              <w:rPr>
                <w:rFonts w:ascii="仿宋" w:eastAsia="仿宋" w:hAnsi="仿宋" w:cs="仿宋" w:hint="eastAsia"/>
                <w:sz w:val="24"/>
              </w:rPr>
              <w:t>出口生产企业纳税人提交</w:t>
            </w:r>
          </w:p>
        </w:tc>
        <w:tc>
          <w:tcPr>
            <w:tcW w:w="3318" w:type="dxa"/>
            <w:vMerge w:val="restart"/>
            <w:vAlign w:val="center"/>
          </w:tcPr>
          <w:p w:rsidR="00013EC7" w:rsidRDefault="00575CDB">
            <w:pPr>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纳税人提交书面材料（无纸化企业留存备查）。</w:t>
            </w:r>
          </w:p>
        </w:tc>
        <w:tc>
          <w:tcPr>
            <w:tcW w:w="868" w:type="dxa"/>
            <w:vMerge/>
            <w:vAlign w:val="center"/>
          </w:tcPr>
          <w:p w:rsidR="00013EC7" w:rsidRDefault="00013EC7">
            <w:pPr>
              <w:rPr>
                <w:rFonts w:ascii="仿宋" w:eastAsia="仿宋" w:hAnsi="仿宋" w:cs="仿宋"/>
                <w:sz w:val="24"/>
              </w:rPr>
            </w:pPr>
          </w:p>
        </w:tc>
        <w:tc>
          <w:tcPr>
            <w:tcW w:w="798" w:type="dxa"/>
            <w:vMerge/>
            <w:vAlign w:val="center"/>
          </w:tcPr>
          <w:p w:rsidR="00013EC7" w:rsidRDefault="00013EC7">
            <w:pPr>
              <w:rPr>
                <w:rFonts w:ascii="仿宋" w:eastAsia="仿宋" w:hAnsi="仿宋" w:cs="仿宋"/>
                <w:sz w:val="24"/>
              </w:rPr>
            </w:pP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77"/>
          <w:jc w:val="center"/>
        </w:trPr>
        <w:tc>
          <w:tcPr>
            <w:tcW w:w="1250" w:type="dxa"/>
            <w:vMerge/>
            <w:vAlign w:val="center"/>
          </w:tcPr>
          <w:p w:rsidR="00013EC7" w:rsidRDefault="00013EC7"/>
        </w:tc>
        <w:tc>
          <w:tcPr>
            <w:tcW w:w="1316" w:type="dxa"/>
            <w:vMerge/>
            <w:vAlign w:val="center"/>
          </w:tcPr>
          <w:p w:rsidR="00013EC7" w:rsidRDefault="00013EC7"/>
        </w:tc>
        <w:tc>
          <w:tcPr>
            <w:tcW w:w="2114" w:type="dxa"/>
            <w:vMerge/>
            <w:vAlign w:val="center"/>
          </w:tcPr>
          <w:p w:rsidR="00013EC7" w:rsidRDefault="00013EC7"/>
        </w:tc>
        <w:tc>
          <w:tcPr>
            <w:tcW w:w="2785" w:type="dxa"/>
            <w:vAlign w:val="center"/>
          </w:tcPr>
          <w:p w:rsidR="00013EC7" w:rsidRDefault="00575CDB">
            <w:r>
              <w:rPr>
                <w:rFonts w:ascii="仿宋" w:eastAsia="仿宋" w:hAnsi="仿宋" w:cs="仿宋" w:hint="eastAsia"/>
                <w:kern w:val="1"/>
                <w:sz w:val="24"/>
              </w:rPr>
              <w:t>（三十四）与境外单位、个人签署的修理修配合同原件及复印件（加盖公章）</w:t>
            </w:r>
            <w:r>
              <w:rPr>
                <w:rFonts w:ascii="仿宋" w:eastAsia="仿宋" w:hAnsi="仿宋" w:cs="仿宋"/>
                <w:kern w:val="1"/>
                <w:sz w:val="24"/>
              </w:rPr>
              <w:t>。</w:t>
            </w:r>
          </w:p>
        </w:tc>
        <w:tc>
          <w:tcPr>
            <w:tcW w:w="1118" w:type="dxa"/>
            <w:vMerge/>
            <w:vAlign w:val="center"/>
          </w:tcPr>
          <w:p w:rsidR="00013EC7" w:rsidRDefault="00013EC7"/>
        </w:tc>
        <w:tc>
          <w:tcPr>
            <w:tcW w:w="2403"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（三十四）与境外单位、个人签署的修理修配合同原件及复印件（注明与原件一致，并加盖公章）</w:t>
            </w:r>
            <w:r>
              <w:rPr>
                <w:rFonts w:ascii="仿宋" w:eastAsia="仿宋" w:hAnsi="仿宋" w:cs="仿宋"/>
                <w:kern w:val="1"/>
                <w:sz w:val="24"/>
              </w:rPr>
              <w:t>。</w:t>
            </w:r>
          </w:p>
        </w:tc>
        <w:tc>
          <w:tcPr>
            <w:tcW w:w="1196" w:type="dxa"/>
            <w:vMerge/>
            <w:vAlign w:val="center"/>
          </w:tcPr>
          <w:p w:rsidR="00013EC7" w:rsidRDefault="00013EC7">
            <w:pPr>
              <w:rPr>
                <w:rFonts w:ascii="仿宋" w:eastAsia="仿宋" w:hAnsi="仿宋" w:cs="仿宋"/>
                <w:kern w:val="1"/>
                <w:sz w:val="24"/>
              </w:rPr>
            </w:pPr>
          </w:p>
        </w:tc>
        <w:tc>
          <w:tcPr>
            <w:tcW w:w="3318" w:type="dxa"/>
            <w:vMerge/>
            <w:vAlign w:val="center"/>
          </w:tcPr>
          <w:p w:rsidR="00013EC7" w:rsidRDefault="00013EC7">
            <w:pPr>
              <w:rPr>
                <w:rFonts w:ascii="仿宋" w:eastAsia="仿宋" w:hAnsi="仿宋" w:cs="仿宋"/>
                <w:kern w:val="1"/>
                <w:sz w:val="24"/>
              </w:rPr>
            </w:pPr>
          </w:p>
        </w:tc>
        <w:tc>
          <w:tcPr>
            <w:tcW w:w="868"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77"/>
          <w:jc w:val="center"/>
        </w:trPr>
        <w:tc>
          <w:tcPr>
            <w:tcW w:w="1250" w:type="dxa"/>
            <w:vMerge/>
            <w:vAlign w:val="center"/>
          </w:tcPr>
          <w:p w:rsidR="00013EC7" w:rsidRDefault="00013EC7">
            <w:pPr>
              <w:rPr>
                <w:rFonts w:ascii="仿宋" w:eastAsia="仿宋" w:hAnsi="仿宋" w:cs="仿宋"/>
                <w:kern w:val="1"/>
                <w:sz w:val="24"/>
              </w:rPr>
            </w:pPr>
          </w:p>
        </w:tc>
        <w:tc>
          <w:tcPr>
            <w:tcW w:w="1316" w:type="dxa"/>
            <w:vMerge/>
            <w:vAlign w:val="center"/>
          </w:tcPr>
          <w:p w:rsidR="00013EC7" w:rsidRDefault="00013EC7">
            <w:pPr>
              <w:rPr>
                <w:rFonts w:ascii="仿宋" w:eastAsia="仿宋" w:hAnsi="仿宋" w:cs="仿宋"/>
                <w:kern w:val="1"/>
                <w:sz w:val="24"/>
              </w:rPr>
            </w:pPr>
          </w:p>
        </w:tc>
        <w:tc>
          <w:tcPr>
            <w:tcW w:w="2114" w:type="dxa"/>
            <w:vMerge/>
            <w:vAlign w:val="center"/>
          </w:tcPr>
          <w:p w:rsidR="00013EC7" w:rsidRDefault="00013EC7">
            <w:pPr>
              <w:rPr>
                <w:rFonts w:ascii="仿宋" w:eastAsia="仿宋" w:hAnsi="仿宋" w:cs="仿宋"/>
                <w:kern w:val="1"/>
                <w:sz w:val="24"/>
              </w:rPr>
            </w:pPr>
          </w:p>
        </w:tc>
        <w:tc>
          <w:tcPr>
            <w:tcW w:w="2785"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（三十五）维修工作单（对外修理修配飞机业务提供）</w:t>
            </w:r>
            <w:r>
              <w:rPr>
                <w:rFonts w:ascii="仿宋" w:eastAsia="仿宋" w:hAnsi="仿宋" w:cs="仿宋"/>
                <w:kern w:val="1"/>
                <w:sz w:val="24"/>
              </w:rPr>
              <w:t>。</w:t>
            </w:r>
          </w:p>
        </w:tc>
        <w:tc>
          <w:tcPr>
            <w:tcW w:w="1118" w:type="dxa"/>
            <w:vMerge/>
            <w:vAlign w:val="center"/>
          </w:tcPr>
          <w:p w:rsidR="00013EC7" w:rsidRDefault="00013EC7">
            <w:pPr>
              <w:rPr>
                <w:rFonts w:ascii="仿宋" w:eastAsia="仿宋" w:hAnsi="仿宋" w:cs="仿宋"/>
                <w:kern w:val="1"/>
                <w:sz w:val="24"/>
              </w:rPr>
            </w:pPr>
          </w:p>
        </w:tc>
        <w:tc>
          <w:tcPr>
            <w:tcW w:w="2403"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（三十五）维修工作单（对外修理修配飞机业务提供）</w:t>
            </w:r>
            <w:r>
              <w:rPr>
                <w:rFonts w:ascii="仿宋" w:eastAsia="仿宋" w:hAnsi="仿宋" w:cs="仿宋"/>
                <w:kern w:val="1"/>
                <w:sz w:val="24"/>
              </w:rPr>
              <w:t>。</w:t>
            </w:r>
          </w:p>
        </w:tc>
        <w:tc>
          <w:tcPr>
            <w:tcW w:w="1196" w:type="dxa"/>
            <w:vMerge/>
            <w:vAlign w:val="center"/>
          </w:tcPr>
          <w:p w:rsidR="00013EC7" w:rsidRDefault="00013EC7">
            <w:pPr>
              <w:rPr>
                <w:rFonts w:ascii="仿宋" w:eastAsia="仿宋" w:hAnsi="仿宋" w:cs="仿宋"/>
                <w:kern w:val="1"/>
                <w:sz w:val="24"/>
              </w:rPr>
            </w:pPr>
          </w:p>
        </w:tc>
        <w:tc>
          <w:tcPr>
            <w:tcW w:w="3318" w:type="dxa"/>
            <w:vMerge/>
            <w:vAlign w:val="center"/>
          </w:tcPr>
          <w:p w:rsidR="00013EC7" w:rsidRDefault="00013EC7">
            <w:pPr>
              <w:rPr>
                <w:rFonts w:ascii="仿宋" w:eastAsia="仿宋" w:hAnsi="仿宋" w:cs="仿宋"/>
                <w:kern w:val="1"/>
                <w:sz w:val="24"/>
              </w:rPr>
            </w:pPr>
          </w:p>
        </w:tc>
        <w:tc>
          <w:tcPr>
            <w:tcW w:w="868"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77"/>
          <w:jc w:val="center"/>
        </w:trPr>
        <w:tc>
          <w:tcPr>
            <w:tcW w:w="1250" w:type="dxa"/>
            <w:vMerge/>
            <w:vAlign w:val="center"/>
          </w:tcPr>
          <w:p w:rsidR="00013EC7" w:rsidRDefault="00013EC7">
            <w:pPr>
              <w:rPr>
                <w:rFonts w:ascii="仿宋" w:eastAsia="仿宋" w:hAnsi="仿宋" w:cs="仿宋"/>
                <w:kern w:val="1"/>
                <w:sz w:val="24"/>
              </w:rPr>
            </w:pPr>
          </w:p>
        </w:tc>
        <w:tc>
          <w:tcPr>
            <w:tcW w:w="1316" w:type="dxa"/>
            <w:vMerge/>
            <w:vAlign w:val="center"/>
          </w:tcPr>
          <w:p w:rsidR="00013EC7" w:rsidRDefault="00013EC7">
            <w:pPr>
              <w:rPr>
                <w:rFonts w:ascii="仿宋" w:eastAsia="仿宋" w:hAnsi="仿宋" w:cs="仿宋"/>
                <w:kern w:val="1"/>
                <w:sz w:val="24"/>
              </w:rPr>
            </w:pPr>
          </w:p>
        </w:tc>
        <w:tc>
          <w:tcPr>
            <w:tcW w:w="2114" w:type="dxa"/>
            <w:vMerge/>
            <w:vAlign w:val="center"/>
          </w:tcPr>
          <w:p w:rsidR="00013EC7" w:rsidRDefault="00013EC7">
            <w:pPr>
              <w:rPr>
                <w:rFonts w:ascii="仿宋" w:eastAsia="仿宋" w:hAnsi="仿宋" w:cs="仿宋"/>
                <w:kern w:val="1"/>
                <w:sz w:val="24"/>
              </w:rPr>
            </w:pPr>
          </w:p>
        </w:tc>
        <w:tc>
          <w:tcPr>
            <w:tcW w:w="2785"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（三十六）申报修理修配船舶退（免）税的，应提供在修理修配业务中使用零部件、原材料的贸易方式为“一般贸易”的出口货物报关单</w:t>
            </w:r>
            <w:r>
              <w:rPr>
                <w:rFonts w:ascii="仿宋" w:eastAsia="仿宋" w:hAnsi="仿宋" w:cs="仿宋"/>
                <w:kern w:val="1"/>
                <w:sz w:val="24"/>
              </w:rPr>
              <w:t>。</w:t>
            </w:r>
            <w:r>
              <w:rPr>
                <w:rFonts w:ascii="仿宋" w:eastAsia="仿宋" w:hAnsi="仿宋" w:cs="仿宋" w:hint="eastAsia"/>
                <w:kern w:val="1"/>
                <w:sz w:val="24"/>
              </w:rPr>
              <w:t>出口货物报关单中“标记唛码及备注”栏注明修理船舶或被修理船舶名称的，以被修理船舶作为出口货物</w:t>
            </w:r>
            <w:r>
              <w:rPr>
                <w:rFonts w:ascii="仿宋" w:eastAsia="仿宋" w:hAnsi="仿宋" w:cs="仿宋"/>
                <w:kern w:val="1"/>
                <w:sz w:val="24"/>
              </w:rPr>
              <w:t>。</w:t>
            </w:r>
          </w:p>
        </w:tc>
        <w:tc>
          <w:tcPr>
            <w:tcW w:w="1118" w:type="dxa"/>
            <w:vMerge/>
            <w:vAlign w:val="center"/>
          </w:tcPr>
          <w:p w:rsidR="00013EC7" w:rsidRDefault="00013EC7">
            <w:pPr>
              <w:rPr>
                <w:rFonts w:ascii="仿宋" w:eastAsia="仿宋" w:hAnsi="仿宋" w:cs="仿宋"/>
                <w:kern w:val="1"/>
                <w:sz w:val="24"/>
              </w:rPr>
            </w:pPr>
          </w:p>
        </w:tc>
        <w:tc>
          <w:tcPr>
            <w:tcW w:w="2403"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（三十六）申报修理修配船舶退（免）税的，应提供在修理修配业务中使用零部件、原材料的贸易方式为“一般贸易”的出口货物报关单</w:t>
            </w:r>
            <w:r>
              <w:rPr>
                <w:rFonts w:ascii="仿宋" w:eastAsia="仿宋" w:hAnsi="仿宋" w:cs="仿宋"/>
                <w:kern w:val="1"/>
                <w:sz w:val="24"/>
              </w:rPr>
              <w:t>。</w:t>
            </w:r>
            <w:r>
              <w:rPr>
                <w:rFonts w:ascii="仿宋" w:eastAsia="仿宋" w:hAnsi="仿宋" w:cs="仿宋" w:hint="eastAsia"/>
                <w:kern w:val="1"/>
                <w:sz w:val="24"/>
              </w:rPr>
              <w:t>出口货物报关单中“标记唛码及备注”栏注明修理船舶或被修理船舶名称的，以被修理船舶作为出口货物</w:t>
            </w:r>
            <w:r>
              <w:rPr>
                <w:rFonts w:ascii="仿宋" w:eastAsia="仿宋" w:hAnsi="仿宋" w:cs="仿宋"/>
                <w:kern w:val="1"/>
                <w:sz w:val="24"/>
              </w:rPr>
              <w:t>。</w:t>
            </w:r>
          </w:p>
        </w:tc>
        <w:tc>
          <w:tcPr>
            <w:tcW w:w="1196" w:type="dxa"/>
            <w:vMerge/>
            <w:vAlign w:val="center"/>
          </w:tcPr>
          <w:p w:rsidR="00013EC7" w:rsidRDefault="00013EC7">
            <w:pPr>
              <w:rPr>
                <w:rFonts w:ascii="仿宋" w:eastAsia="仿宋" w:hAnsi="仿宋" w:cs="仿宋"/>
                <w:kern w:val="1"/>
                <w:sz w:val="24"/>
              </w:rPr>
            </w:pPr>
          </w:p>
        </w:tc>
        <w:tc>
          <w:tcPr>
            <w:tcW w:w="3318" w:type="dxa"/>
            <w:vMerge/>
            <w:vAlign w:val="center"/>
          </w:tcPr>
          <w:p w:rsidR="00013EC7" w:rsidRDefault="00013EC7">
            <w:pPr>
              <w:rPr>
                <w:rFonts w:ascii="仿宋" w:eastAsia="仿宋" w:hAnsi="仿宋" w:cs="仿宋"/>
                <w:kern w:val="1"/>
                <w:sz w:val="24"/>
              </w:rPr>
            </w:pPr>
          </w:p>
        </w:tc>
        <w:tc>
          <w:tcPr>
            <w:tcW w:w="868"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128"/>
          <w:jc w:val="center"/>
        </w:trPr>
        <w:tc>
          <w:tcPr>
            <w:tcW w:w="1250" w:type="dxa"/>
            <w:vMerge/>
            <w:vAlign w:val="center"/>
          </w:tcPr>
          <w:p w:rsidR="00013EC7" w:rsidRDefault="00013EC7">
            <w:pPr>
              <w:rPr>
                <w:rFonts w:ascii="仿宋" w:eastAsia="仿宋" w:hAnsi="仿宋" w:cs="仿宋"/>
                <w:kern w:val="1"/>
                <w:sz w:val="24"/>
              </w:rPr>
            </w:pPr>
          </w:p>
        </w:tc>
        <w:tc>
          <w:tcPr>
            <w:tcW w:w="1316" w:type="dxa"/>
            <w:vMerge/>
            <w:vAlign w:val="center"/>
          </w:tcPr>
          <w:p w:rsidR="00013EC7" w:rsidRDefault="00013EC7">
            <w:pPr>
              <w:rPr>
                <w:rFonts w:ascii="仿宋" w:eastAsia="仿宋" w:hAnsi="仿宋" w:cs="仿宋"/>
                <w:kern w:val="1"/>
                <w:sz w:val="24"/>
              </w:rPr>
            </w:pPr>
          </w:p>
        </w:tc>
        <w:tc>
          <w:tcPr>
            <w:tcW w:w="2114" w:type="dxa"/>
            <w:vMerge/>
            <w:vAlign w:val="center"/>
          </w:tcPr>
          <w:p w:rsidR="00013EC7" w:rsidRDefault="00013EC7">
            <w:pPr>
              <w:rPr>
                <w:rFonts w:ascii="仿宋" w:eastAsia="仿宋" w:hAnsi="仿宋" w:cs="仿宋"/>
                <w:kern w:val="1"/>
                <w:sz w:val="24"/>
              </w:rPr>
            </w:pPr>
          </w:p>
        </w:tc>
        <w:tc>
          <w:tcPr>
            <w:tcW w:w="2785"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（三十七）与被维修的国外（地区）企业签订的维修合同原件及复印件（注明与原件一致，并加盖公章）</w:t>
            </w:r>
            <w:r>
              <w:rPr>
                <w:rFonts w:ascii="仿宋" w:eastAsia="仿宋" w:hAnsi="仿宋" w:cs="仿宋"/>
                <w:kern w:val="1"/>
                <w:sz w:val="24"/>
              </w:rPr>
              <w:t>。</w:t>
            </w:r>
          </w:p>
        </w:tc>
        <w:tc>
          <w:tcPr>
            <w:tcW w:w="1118" w:type="dxa"/>
            <w:vMerge w:val="restart"/>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为国外（地区）企业的飞机（船舶）提供航线</w:t>
            </w:r>
            <w:r>
              <w:rPr>
                <w:rFonts w:ascii="仿宋" w:eastAsia="仿宋" w:hAnsi="仿宋" w:cs="仿宋" w:hint="eastAsia"/>
                <w:kern w:val="1"/>
                <w:sz w:val="24"/>
              </w:rPr>
              <w:lastRenderedPageBreak/>
              <w:t>维护（航次维修）的</w:t>
            </w:r>
            <w:r>
              <w:rPr>
                <w:rFonts w:ascii="仿宋" w:eastAsia="仿宋" w:hAnsi="仿宋" w:cs="仿宋" w:hint="eastAsia"/>
                <w:sz w:val="24"/>
              </w:rPr>
              <w:t>出口生产企业纳税人提交</w:t>
            </w:r>
          </w:p>
        </w:tc>
        <w:tc>
          <w:tcPr>
            <w:tcW w:w="2403"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lastRenderedPageBreak/>
              <w:t>（三十七）与被维修的国外（地区）企业签订的维修合同原件及复印件（注明与原件一致，并加盖公章）</w:t>
            </w:r>
            <w:r>
              <w:rPr>
                <w:rFonts w:ascii="仿宋" w:eastAsia="仿宋" w:hAnsi="仿宋" w:cs="仿宋"/>
                <w:kern w:val="1"/>
                <w:sz w:val="24"/>
              </w:rPr>
              <w:t>。</w:t>
            </w:r>
          </w:p>
        </w:tc>
        <w:tc>
          <w:tcPr>
            <w:tcW w:w="1196" w:type="dxa"/>
            <w:vMerge w:val="restart"/>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为国外（地区）企业的飞机（船舶）提供航线维护（航</w:t>
            </w:r>
            <w:r>
              <w:rPr>
                <w:rFonts w:ascii="仿宋" w:eastAsia="仿宋" w:hAnsi="仿宋" w:cs="仿宋" w:hint="eastAsia"/>
                <w:kern w:val="1"/>
                <w:sz w:val="24"/>
              </w:rPr>
              <w:lastRenderedPageBreak/>
              <w:t>次维修）的</w:t>
            </w:r>
            <w:r>
              <w:rPr>
                <w:rFonts w:ascii="仿宋" w:eastAsia="仿宋" w:hAnsi="仿宋" w:cs="仿宋" w:hint="eastAsia"/>
                <w:sz w:val="24"/>
              </w:rPr>
              <w:t>出口生产企业纳税人提交</w:t>
            </w:r>
          </w:p>
        </w:tc>
        <w:tc>
          <w:tcPr>
            <w:tcW w:w="3318" w:type="dxa"/>
            <w:vMerge/>
            <w:vAlign w:val="center"/>
          </w:tcPr>
          <w:p w:rsidR="00013EC7" w:rsidRDefault="00013EC7">
            <w:pPr>
              <w:rPr>
                <w:rFonts w:ascii="仿宋" w:eastAsia="仿宋" w:hAnsi="仿宋" w:cs="仿宋"/>
                <w:kern w:val="1"/>
                <w:sz w:val="24"/>
              </w:rPr>
            </w:pPr>
          </w:p>
        </w:tc>
        <w:tc>
          <w:tcPr>
            <w:tcW w:w="868"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128"/>
          <w:jc w:val="center"/>
        </w:trPr>
        <w:tc>
          <w:tcPr>
            <w:tcW w:w="1250" w:type="dxa"/>
            <w:vMerge/>
            <w:vAlign w:val="center"/>
          </w:tcPr>
          <w:p w:rsidR="00013EC7" w:rsidRDefault="00013EC7"/>
        </w:tc>
        <w:tc>
          <w:tcPr>
            <w:tcW w:w="1316" w:type="dxa"/>
            <w:vMerge/>
            <w:vAlign w:val="center"/>
          </w:tcPr>
          <w:p w:rsidR="00013EC7" w:rsidRDefault="00013EC7"/>
        </w:tc>
        <w:tc>
          <w:tcPr>
            <w:tcW w:w="2114" w:type="dxa"/>
            <w:vMerge/>
            <w:vAlign w:val="center"/>
          </w:tcPr>
          <w:p w:rsidR="00013EC7" w:rsidRDefault="00013EC7"/>
        </w:tc>
        <w:tc>
          <w:tcPr>
            <w:tcW w:w="2785" w:type="dxa"/>
            <w:vAlign w:val="center"/>
          </w:tcPr>
          <w:p w:rsidR="00013EC7" w:rsidRDefault="00575CDB">
            <w:r>
              <w:rPr>
                <w:rFonts w:ascii="仿宋" w:eastAsia="仿宋" w:hAnsi="仿宋" w:cs="仿宋" w:hint="eastAsia"/>
                <w:kern w:val="1"/>
                <w:sz w:val="24"/>
              </w:rPr>
              <w:t>（七）出口发票。</w:t>
            </w:r>
          </w:p>
        </w:tc>
        <w:tc>
          <w:tcPr>
            <w:tcW w:w="1118" w:type="dxa"/>
            <w:vMerge/>
            <w:vAlign w:val="center"/>
          </w:tcPr>
          <w:p w:rsidR="00013EC7" w:rsidRDefault="00013EC7"/>
        </w:tc>
        <w:tc>
          <w:tcPr>
            <w:tcW w:w="2403"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（七）出口发票。</w:t>
            </w:r>
          </w:p>
        </w:tc>
        <w:tc>
          <w:tcPr>
            <w:tcW w:w="1196" w:type="dxa"/>
            <w:vMerge/>
            <w:vAlign w:val="center"/>
          </w:tcPr>
          <w:p w:rsidR="00013EC7" w:rsidRDefault="00013EC7">
            <w:pPr>
              <w:rPr>
                <w:rFonts w:ascii="仿宋" w:eastAsia="仿宋" w:hAnsi="仿宋" w:cs="仿宋"/>
                <w:kern w:val="1"/>
                <w:sz w:val="24"/>
              </w:rPr>
            </w:pPr>
          </w:p>
        </w:tc>
        <w:tc>
          <w:tcPr>
            <w:tcW w:w="3318" w:type="dxa"/>
            <w:vMerge/>
            <w:vAlign w:val="center"/>
          </w:tcPr>
          <w:p w:rsidR="00013EC7" w:rsidRDefault="00013EC7">
            <w:pPr>
              <w:rPr>
                <w:rFonts w:ascii="仿宋" w:eastAsia="仿宋" w:hAnsi="仿宋" w:cs="仿宋"/>
                <w:kern w:val="1"/>
                <w:sz w:val="24"/>
              </w:rPr>
            </w:pPr>
          </w:p>
        </w:tc>
        <w:tc>
          <w:tcPr>
            <w:tcW w:w="868"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128"/>
          <w:jc w:val="center"/>
        </w:trPr>
        <w:tc>
          <w:tcPr>
            <w:tcW w:w="1250" w:type="dxa"/>
            <w:vMerge/>
            <w:vAlign w:val="center"/>
          </w:tcPr>
          <w:p w:rsidR="00013EC7" w:rsidRDefault="00013EC7">
            <w:pPr>
              <w:rPr>
                <w:rFonts w:ascii="仿宋" w:eastAsia="仿宋" w:hAnsi="仿宋" w:cs="仿宋"/>
                <w:kern w:val="1"/>
                <w:sz w:val="24"/>
              </w:rPr>
            </w:pPr>
          </w:p>
        </w:tc>
        <w:tc>
          <w:tcPr>
            <w:tcW w:w="1316" w:type="dxa"/>
            <w:vMerge/>
            <w:vAlign w:val="center"/>
          </w:tcPr>
          <w:p w:rsidR="00013EC7" w:rsidRDefault="00013EC7">
            <w:pPr>
              <w:rPr>
                <w:rFonts w:ascii="仿宋" w:eastAsia="仿宋" w:hAnsi="仿宋" w:cs="仿宋"/>
                <w:kern w:val="1"/>
                <w:sz w:val="24"/>
              </w:rPr>
            </w:pPr>
          </w:p>
        </w:tc>
        <w:tc>
          <w:tcPr>
            <w:tcW w:w="2114" w:type="dxa"/>
            <w:vMerge/>
            <w:vAlign w:val="center"/>
          </w:tcPr>
          <w:p w:rsidR="00013EC7" w:rsidRDefault="00013EC7">
            <w:pPr>
              <w:rPr>
                <w:rFonts w:ascii="仿宋" w:eastAsia="仿宋" w:hAnsi="仿宋" w:cs="仿宋"/>
                <w:kern w:val="1"/>
                <w:sz w:val="24"/>
              </w:rPr>
            </w:pPr>
          </w:p>
        </w:tc>
        <w:tc>
          <w:tcPr>
            <w:tcW w:w="2785"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（三十八）国外（地区）企业的航班机长或外轮船长签字确认的维修单据〔须注明国外（地区）企业名称和航班号（船名）〕。</w:t>
            </w:r>
          </w:p>
        </w:tc>
        <w:tc>
          <w:tcPr>
            <w:tcW w:w="1118" w:type="dxa"/>
            <w:vMerge/>
            <w:vAlign w:val="center"/>
          </w:tcPr>
          <w:p w:rsidR="00013EC7" w:rsidRDefault="00013EC7">
            <w:pPr>
              <w:rPr>
                <w:rFonts w:ascii="仿宋" w:eastAsia="仿宋" w:hAnsi="仿宋" w:cs="仿宋"/>
                <w:kern w:val="1"/>
                <w:sz w:val="24"/>
              </w:rPr>
            </w:pPr>
          </w:p>
        </w:tc>
        <w:tc>
          <w:tcPr>
            <w:tcW w:w="2403"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（三十八）国外（地区）企业的航班机长或外轮船长签字确认的维修单据〔须注明国外（地区）企业名称和航班号（船名）〕。</w:t>
            </w:r>
          </w:p>
        </w:tc>
        <w:tc>
          <w:tcPr>
            <w:tcW w:w="1196" w:type="dxa"/>
            <w:vMerge/>
            <w:vAlign w:val="center"/>
          </w:tcPr>
          <w:p w:rsidR="00013EC7" w:rsidRDefault="00013EC7">
            <w:pPr>
              <w:rPr>
                <w:rFonts w:ascii="仿宋" w:eastAsia="仿宋" w:hAnsi="仿宋" w:cs="仿宋"/>
                <w:kern w:val="1"/>
                <w:sz w:val="24"/>
              </w:rPr>
            </w:pPr>
          </w:p>
        </w:tc>
        <w:tc>
          <w:tcPr>
            <w:tcW w:w="3318" w:type="dxa"/>
            <w:vMerge/>
            <w:vAlign w:val="center"/>
          </w:tcPr>
          <w:p w:rsidR="00013EC7" w:rsidRDefault="00013EC7">
            <w:pPr>
              <w:rPr>
                <w:rFonts w:ascii="仿宋" w:eastAsia="仿宋" w:hAnsi="仿宋" w:cs="仿宋"/>
                <w:kern w:val="1"/>
                <w:sz w:val="24"/>
              </w:rPr>
            </w:pPr>
          </w:p>
        </w:tc>
        <w:tc>
          <w:tcPr>
            <w:tcW w:w="868"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64"/>
          <w:jc w:val="center"/>
        </w:trPr>
        <w:tc>
          <w:tcPr>
            <w:tcW w:w="1250" w:type="dxa"/>
            <w:vMerge/>
            <w:vAlign w:val="center"/>
          </w:tcPr>
          <w:p w:rsidR="00013EC7" w:rsidRDefault="00013EC7">
            <w:pPr>
              <w:rPr>
                <w:rFonts w:ascii="仿宋" w:eastAsia="仿宋" w:hAnsi="仿宋" w:cs="仿宋"/>
                <w:sz w:val="24"/>
              </w:rPr>
            </w:pPr>
          </w:p>
        </w:tc>
        <w:tc>
          <w:tcPr>
            <w:tcW w:w="1316" w:type="dxa"/>
            <w:vMerge/>
            <w:vAlign w:val="center"/>
          </w:tcPr>
          <w:p w:rsidR="00013EC7" w:rsidRDefault="00013EC7">
            <w:pPr>
              <w:rPr>
                <w:rFonts w:ascii="仿宋" w:eastAsia="仿宋" w:hAnsi="仿宋" w:cs="仿宋"/>
                <w:sz w:val="24"/>
              </w:rPr>
            </w:pPr>
          </w:p>
        </w:tc>
        <w:tc>
          <w:tcPr>
            <w:tcW w:w="2114" w:type="dxa"/>
            <w:vMerge/>
            <w:vAlign w:val="center"/>
          </w:tcPr>
          <w:p w:rsidR="00013EC7" w:rsidRDefault="00013EC7">
            <w:pPr>
              <w:rPr>
                <w:rFonts w:ascii="仿宋" w:eastAsia="仿宋" w:hAnsi="仿宋" w:cs="仿宋"/>
                <w:sz w:val="24"/>
              </w:rPr>
            </w:pPr>
          </w:p>
        </w:tc>
        <w:tc>
          <w:tcPr>
            <w:tcW w:w="2785"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（三十九）年度财务报表（年度结束后至4月30日前报送）</w:t>
            </w:r>
            <w:r>
              <w:rPr>
                <w:rFonts w:ascii="仿宋" w:eastAsia="仿宋" w:hAnsi="仿宋" w:cs="仿宋"/>
                <w:kern w:val="1"/>
                <w:sz w:val="24"/>
              </w:rPr>
              <w:t>。</w:t>
            </w:r>
          </w:p>
        </w:tc>
        <w:tc>
          <w:tcPr>
            <w:tcW w:w="1118" w:type="dxa"/>
            <w:vMerge w:val="restart"/>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kern w:val="1"/>
                <w:sz w:val="24"/>
              </w:rPr>
              <w:t xml:space="preserve">符合《财政部 国家税务总局关于出口货物劳务增值税和消费税政策的通知》第9条第（4）项规定的生产企业，应在交通运输工具或机器设备自会计上作销售处理后，与其他出口货物劳务一并向主管税务机关办理免抵退税申报（在（A06465）《生产企业出口货物免抵退税申报明细表》 </w:t>
            </w:r>
            <w:r>
              <w:rPr>
                <w:rFonts w:ascii="仿宋" w:eastAsia="仿宋" w:hAnsi="仿宋" w:cs="仿宋" w:hint="eastAsia"/>
                <w:kern w:val="1"/>
                <w:sz w:val="24"/>
              </w:rPr>
              <w:lastRenderedPageBreak/>
              <w:t>“出口收汇核销单号”栏中填写出口合同号），不需要提供出口报关单的</w:t>
            </w:r>
            <w:r>
              <w:rPr>
                <w:rFonts w:ascii="仿宋" w:eastAsia="仿宋" w:hAnsi="仿宋" w:cs="仿宋" w:hint="eastAsia"/>
                <w:sz w:val="24"/>
              </w:rPr>
              <w:t>出口生产企业纳税人提交</w:t>
            </w:r>
          </w:p>
        </w:tc>
        <w:tc>
          <w:tcPr>
            <w:tcW w:w="2403"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lastRenderedPageBreak/>
              <w:t>（三十九）年度财务报表（年度结束后至4月30日前报送）1份。</w:t>
            </w:r>
          </w:p>
        </w:tc>
        <w:tc>
          <w:tcPr>
            <w:tcW w:w="1196" w:type="dxa"/>
            <w:vAlign w:val="center"/>
          </w:tcPr>
          <w:p w:rsidR="00013EC7" w:rsidRDefault="00575CDB">
            <w:pPr>
              <w:rPr>
                <w:rFonts w:ascii="仿宋" w:eastAsia="仿宋" w:hAnsi="仿宋" w:cs="仿宋"/>
                <w:sz w:val="24"/>
              </w:rPr>
            </w:pPr>
            <w:r>
              <w:rPr>
                <w:rFonts w:ascii="仿宋" w:eastAsia="仿宋" w:hAnsi="仿宋" w:cs="仿宋" w:hint="eastAsia"/>
                <w:b/>
                <w:bCs/>
                <w:i/>
                <w:iCs/>
                <w:sz w:val="24"/>
              </w:rPr>
              <w:t>经办机构自行获取</w:t>
            </w:r>
          </w:p>
        </w:tc>
        <w:tc>
          <w:tcPr>
            <w:tcW w:w="3318" w:type="dxa"/>
            <w:vAlign w:val="center"/>
          </w:tcPr>
          <w:p w:rsidR="00013EC7" w:rsidRDefault="00575CDB">
            <w:pPr>
              <w:rPr>
                <w:rFonts w:ascii="仿宋" w:eastAsia="仿宋" w:hAnsi="仿宋" w:cs="仿宋"/>
                <w:sz w:val="24"/>
              </w:rPr>
            </w:pPr>
            <w:r>
              <w:rPr>
                <w:rFonts w:ascii="仿宋" w:eastAsia="仿宋" w:hAnsi="仿宋" w:cs="仿宋" w:hint="eastAsia"/>
                <w:b/>
                <w:sz w:val="24"/>
              </w:rPr>
              <w:t>内部共享：</w:t>
            </w:r>
            <w:r>
              <w:rPr>
                <w:rFonts w:ascii="仿宋" w:eastAsia="仿宋" w:hAnsi="仿宋" w:cs="仿宋" w:hint="eastAsia"/>
                <w:sz w:val="24"/>
              </w:rPr>
              <w:t>内部共享获取相关信息（无纸化企业留存备查，非无纸化企业需提供书面材料）。</w:t>
            </w:r>
          </w:p>
        </w:tc>
        <w:tc>
          <w:tcPr>
            <w:tcW w:w="868" w:type="dxa"/>
            <w:vMerge/>
            <w:vAlign w:val="center"/>
          </w:tcPr>
          <w:p w:rsidR="00013EC7" w:rsidRDefault="00013EC7">
            <w:pPr>
              <w:rPr>
                <w:rFonts w:ascii="仿宋" w:eastAsia="仿宋" w:hAnsi="仿宋" w:cs="仿宋"/>
                <w:sz w:val="24"/>
              </w:rPr>
            </w:pPr>
          </w:p>
        </w:tc>
        <w:tc>
          <w:tcPr>
            <w:tcW w:w="798" w:type="dxa"/>
            <w:vMerge/>
            <w:vAlign w:val="center"/>
          </w:tcPr>
          <w:p w:rsidR="00013EC7" w:rsidRDefault="00013EC7">
            <w:pPr>
              <w:rPr>
                <w:rFonts w:ascii="仿宋" w:eastAsia="仿宋" w:hAnsi="仿宋" w:cs="仿宋"/>
                <w:sz w:val="24"/>
              </w:rPr>
            </w:pP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64"/>
          <w:jc w:val="center"/>
        </w:trPr>
        <w:tc>
          <w:tcPr>
            <w:tcW w:w="1250" w:type="dxa"/>
            <w:vMerge/>
            <w:vAlign w:val="center"/>
          </w:tcPr>
          <w:p w:rsidR="00013EC7" w:rsidRDefault="00013EC7"/>
        </w:tc>
        <w:tc>
          <w:tcPr>
            <w:tcW w:w="1316" w:type="dxa"/>
            <w:vMerge/>
            <w:vAlign w:val="center"/>
          </w:tcPr>
          <w:p w:rsidR="00013EC7" w:rsidRDefault="00013EC7"/>
        </w:tc>
        <w:tc>
          <w:tcPr>
            <w:tcW w:w="2114" w:type="dxa"/>
            <w:vMerge/>
            <w:vAlign w:val="center"/>
          </w:tcPr>
          <w:p w:rsidR="00013EC7" w:rsidRDefault="00013EC7"/>
        </w:tc>
        <w:tc>
          <w:tcPr>
            <w:tcW w:w="2785" w:type="dxa"/>
            <w:vAlign w:val="center"/>
          </w:tcPr>
          <w:p w:rsidR="00013EC7" w:rsidRDefault="00575CDB">
            <w:r>
              <w:rPr>
                <w:rFonts w:ascii="仿宋" w:eastAsia="仿宋" w:hAnsi="仿宋" w:cs="仿宋" w:hint="eastAsia"/>
                <w:kern w:val="1"/>
                <w:sz w:val="24"/>
              </w:rPr>
              <w:t>（四十）企业财务会计制度（复印件，仅第一次申报时提供）</w:t>
            </w:r>
            <w:r>
              <w:rPr>
                <w:rFonts w:ascii="仿宋" w:eastAsia="仿宋" w:hAnsi="仿宋" w:cs="仿宋"/>
                <w:kern w:val="1"/>
                <w:sz w:val="24"/>
              </w:rPr>
              <w:t>。</w:t>
            </w:r>
          </w:p>
        </w:tc>
        <w:tc>
          <w:tcPr>
            <w:tcW w:w="1118" w:type="dxa"/>
            <w:vMerge/>
            <w:vAlign w:val="center"/>
          </w:tcPr>
          <w:p w:rsidR="00013EC7" w:rsidRDefault="00013EC7"/>
        </w:tc>
        <w:tc>
          <w:tcPr>
            <w:tcW w:w="2403"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（四十）企业财务会计制度（复印件，仅第一次申报时提供）（注明与原件一致，并加盖公章）1份</w:t>
            </w:r>
            <w:r>
              <w:rPr>
                <w:rFonts w:ascii="仿宋" w:eastAsia="仿宋" w:hAnsi="仿宋" w:cs="仿宋"/>
                <w:kern w:val="1"/>
                <w:sz w:val="24"/>
              </w:rPr>
              <w:t>。</w:t>
            </w:r>
          </w:p>
        </w:tc>
        <w:tc>
          <w:tcPr>
            <w:tcW w:w="1196" w:type="dxa"/>
            <w:vMerge w:val="restart"/>
            <w:vAlign w:val="center"/>
          </w:tcPr>
          <w:p w:rsidR="00013EC7" w:rsidRDefault="00575CDB">
            <w:pPr>
              <w:spacing w:line="300" w:lineRule="exact"/>
              <w:jc w:val="center"/>
              <w:rPr>
                <w:rFonts w:ascii="仿宋" w:eastAsia="仿宋" w:hAnsi="仿宋" w:cs="仿宋"/>
                <w:kern w:val="1"/>
                <w:sz w:val="24"/>
              </w:rPr>
            </w:pPr>
            <w:r>
              <w:rPr>
                <w:rFonts w:ascii="仿宋" w:eastAsia="仿宋" w:hAnsi="仿宋" w:cs="仿宋" w:hint="eastAsia"/>
                <w:kern w:val="1"/>
                <w:sz w:val="24"/>
              </w:rPr>
              <w:t>符合《财政部 国家税务总局关于出口货物劳务增值税和消费税政策的通知》第9条第（4）项规定的生产企业，应在交通运输工具或机器设备自会计上作销售处理后，与其他出口货物劳务一并向主管税务机关办理免抵退税申报（在（A06465）《生产</w:t>
            </w:r>
            <w:r>
              <w:rPr>
                <w:rFonts w:ascii="仿宋" w:eastAsia="仿宋" w:hAnsi="仿宋" w:cs="仿宋" w:hint="eastAsia"/>
                <w:kern w:val="1"/>
                <w:sz w:val="24"/>
              </w:rPr>
              <w:lastRenderedPageBreak/>
              <w:t>企业出口货物免抵退税申报明细表》 “出口收汇核销单号”栏中填写出口合同号），不需要提供出口报关单的</w:t>
            </w:r>
            <w:r>
              <w:rPr>
                <w:rFonts w:ascii="仿宋" w:eastAsia="仿宋" w:hAnsi="仿宋" w:cs="仿宋" w:hint="eastAsia"/>
                <w:sz w:val="24"/>
              </w:rPr>
              <w:t>出口生产企业纳税人提交</w:t>
            </w:r>
          </w:p>
        </w:tc>
        <w:tc>
          <w:tcPr>
            <w:tcW w:w="3318" w:type="dxa"/>
            <w:vMerge w:val="restart"/>
            <w:vAlign w:val="center"/>
          </w:tcPr>
          <w:p w:rsidR="00013EC7" w:rsidRDefault="00575CDB">
            <w:pPr>
              <w:rPr>
                <w:rFonts w:ascii="仿宋" w:eastAsia="仿宋" w:hAnsi="仿宋" w:cs="仿宋"/>
                <w:kern w:val="1"/>
                <w:sz w:val="24"/>
              </w:rPr>
            </w:pPr>
            <w:r>
              <w:rPr>
                <w:rFonts w:ascii="仿宋" w:eastAsia="仿宋" w:hAnsi="仿宋" w:cs="仿宋" w:hint="eastAsia"/>
                <w:b/>
                <w:sz w:val="24"/>
              </w:rPr>
              <w:lastRenderedPageBreak/>
              <w:t>现场办理：</w:t>
            </w:r>
            <w:r>
              <w:rPr>
                <w:rFonts w:ascii="仿宋" w:eastAsia="仿宋" w:hAnsi="仿宋" w:cs="仿宋" w:hint="eastAsia"/>
                <w:sz w:val="24"/>
              </w:rPr>
              <w:t>纳税人提交书面材料（无纸化企业留存备查）。</w:t>
            </w:r>
            <w:r>
              <w:rPr>
                <w:rFonts w:ascii="仿宋" w:eastAsia="仿宋" w:hAnsi="仿宋" w:cs="仿宋" w:hint="eastAsia"/>
                <w:b/>
                <w:sz w:val="24"/>
              </w:rPr>
              <w:t>网上办理：</w:t>
            </w:r>
            <w:r>
              <w:rPr>
                <w:rFonts w:ascii="仿宋" w:eastAsia="仿宋" w:hAnsi="仿宋" w:cs="仿宋" w:hint="eastAsia"/>
                <w:sz w:val="24"/>
              </w:rPr>
              <w:t>登录浙江省国家税务局电子税务局提交电子数据。</w:t>
            </w:r>
          </w:p>
        </w:tc>
        <w:tc>
          <w:tcPr>
            <w:tcW w:w="868"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64"/>
          <w:jc w:val="center"/>
        </w:trPr>
        <w:tc>
          <w:tcPr>
            <w:tcW w:w="1250" w:type="dxa"/>
            <w:vMerge/>
            <w:vAlign w:val="center"/>
          </w:tcPr>
          <w:p w:rsidR="00013EC7" w:rsidRDefault="00013EC7">
            <w:pPr>
              <w:rPr>
                <w:rFonts w:ascii="仿宋" w:eastAsia="仿宋" w:hAnsi="仿宋" w:cs="仿宋"/>
                <w:kern w:val="1"/>
                <w:sz w:val="24"/>
              </w:rPr>
            </w:pPr>
          </w:p>
        </w:tc>
        <w:tc>
          <w:tcPr>
            <w:tcW w:w="1316" w:type="dxa"/>
            <w:vMerge/>
            <w:vAlign w:val="center"/>
          </w:tcPr>
          <w:p w:rsidR="00013EC7" w:rsidRDefault="00013EC7">
            <w:pPr>
              <w:rPr>
                <w:rFonts w:ascii="仿宋" w:eastAsia="仿宋" w:hAnsi="仿宋" w:cs="仿宋"/>
                <w:kern w:val="1"/>
                <w:sz w:val="24"/>
              </w:rPr>
            </w:pPr>
          </w:p>
        </w:tc>
        <w:tc>
          <w:tcPr>
            <w:tcW w:w="2114" w:type="dxa"/>
            <w:vMerge/>
            <w:vAlign w:val="center"/>
          </w:tcPr>
          <w:p w:rsidR="00013EC7" w:rsidRDefault="00013EC7">
            <w:pPr>
              <w:rPr>
                <w:rFonts w:ascii="仿宋" w:eastAsia="仿宋" w:hAnsi="仿宋" w:cs="仿宋"/>
                <w:kern w:val="1"/>
                <w:sz w:val="24"/>
              </w:rPr>
            </w:pPr>
          </w:p>
        </w:tc>
        <w:tc>
          <w:tcPr>
            <w:tcW w:w="2785"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（四十一）出口销售明细账（复印件）</w:t>
            </w:r>
            <w:r>
              <w:rPr>
                <w:rFonts w:ascii="仿宋" w:eastAsia="仿宋" w:hAnsi="仿宋" w:cs="仿宋"/>
                <w:kern w:val="1"/>
                <w:sz w:val="24"/>
              </w:rPr>
              <w:t>。</w:t>
            </w:r>
          </w:p>
        </w:tc>
        <w:tc>
          <w:tcPr>
            <w:tcW w:w="1118" w:type="dxa"/>
            <w:vMerge/>
            <w:vAlign w:val="center"/>
          </w:tcPr>
          <w:p w:rsidR="00013EC7" w:rsidRDefault="00013EC7">
            <w:pPr>
              <w:rPr>
                <w:rFonts w:ascii="仿宋" w:eastAsia="仿宋" w:hAnsi="仿宋" w:cs="仿宋"/>
                <w:kern w:val="1"/>
                <w:sz w:val="24"/>
              </w:rPr>
            </w:pPr>
          </w:p>
        </w:tc>
        <w:tc>
          <w:tcPr>
            <w:tcW w:w="2403"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（四十一）出口销售明细账（复印件）（注明与原件一致，并加盖公章）</w:t>
            </w:r>
            <w:r>
              <w:rPr>
                <w:rFonts w:ascii="仿宋" w:eastAsia="仿宋" w:hAnsi="仿宋" w:cs="仿宋"/>
                <w:kern w:val="1"/>
                <w:sz w:val="24"/>
              </w:rPr>
              <w:t>。</w:t>
            </w:r>
          </w:p>
        </w:tc>
        <w:tc>
          <w:tcPr>
            <w:tcW w:w="1196" w:type="dxa"/>
            <w:vMerge/>
            <w:vAlign w:val="center"/>
          </w:tcPr>
          <w:p w:rsidR="00013EC7" w:rsidRDefault="00013EC7">
            <w:pPr>
              <w:spacing w:line="300" w:lineRule="exact"/>
              <w:jc w:val="center"/>
              <w:rPr>
                <w:rFonts w:ascii="仿宋" w:eastAsia="仿宋" w:hAnsi="仿宋" w:cs="仿宋"/>
                <w:kern w:val="1"/>
                <w:sz w:val="24"/>
              </w:rPr>
            </w:pPr>
          </w:p>
        </w:tc>
        <w:tc>
          <w:tcPr>
            <w:tcW w:w="3318" w:type="dxa"/>
            <w:vMerge/>
            <w:vAlign w:val="center"/>
          </w:tcPr>
          <w:p w:rsidR="00013EC7" w:rsidRDefault="00013EC7">
            <w:pPr>
              <w:rPr>
                <w:rFonts w:ascii="仿宋" w:eastAsia="仿宋" w:hAnsi="仿宋" w:cs="仿宋"/>
                <w:kern w:val="1"/>
                <w:sz w:val="24"/>
              </w:rPr>
            </w:pPr>
          </w:p>
        </w:tc>
        <w:tc>
          <w:tcPr>
            <w:tcW w:w="868"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64"/>
          <w:jc w:val="center"/>
        </w:trPr>
        <w:tc>
          <w:tcPr>
            <w:tcW w:w="1250" w:type="dxa"/>
            <w:vMerge/>
            <w:vAlign w:val="center"/>
          </w:tcPr>
          <w:p w:rsidR="00013EC7" w:rsidRDefault="00013EC7">
            <w:pPr>
              <w:rPr>
                <w:rFonts w:ascii="仿宋" w:eastAsia="仿宋" w:hAnsi="仿宋" w:cs="仿宋"/>
                <w:kern w:val="1"/>
                <w:sz w:val="24"/>
              </w:rPr>
            </w:pPr>
          </w:p>
        </w:tc>
        <w:tc>
          <w:tcPr>
            <w:tcW w:w="1316" w:type="dxa"/>
            <w:vMerge/>
            <w:vAlign w:val="center"/>
          </w:tcPr>
          <w:p w:rsidR="00013EC7" w:rsidRDefault="00013EC7">
            <w:pPr>
              <w:rPr>
                <w:rFonts w:ascii="仿宋" w:eastAsia="仿宋" w:hAnsi="仿宋" w:cs="仿宋"/>
                <w:kern w:val="1"/>
                <w:sz w:val="24"/>
              </w:rPr>
            </w:pPr>
          </w:p>
        </w:tc>
        <w:tc>
          <w:tcPr>
            <w:tcW w:w="2114" w:type="dxa"/>
            <w:vMerge/>
            <w:vAlign w:val="center"/>
          </w:tcPr>
          <w:p w:rsidR="00013EC7" w:rsidRDefault="00013EC7">
            <w:pPr>
              <w:rPr>
                <w:rFonts w:ascii="仿宋" w:eastAsia="仿宋" w:hAnsi="仿宋" w:cs="仿宋"/>
                <w:kern w:val="1"/>
                <w:sz w:val="24"/>
              </w:rPr>
            </w:pPr>
          </w:p>
        </w:tc>
        <w:tc>
          <w:tcPr>
            <w:tcW w:w="2785"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（四十二）（A06373）《先退税后核销企业免抵退税申报附表》及电子数据</w:t>
            </w:r>
            <w:r>
              <w:rPr>
                <w:rFonts w:ascii="仿宋" w:eastAsia="仿宋" w:hAnsi="仿宋" w:cs="仿宋"/>
                <w:kern w:val="1"/>
                <w:sz w:val="24"/>
              </w:rPr>
              <w:t>。</w:t>
            </w:r>
          </w:p>
        </w:tc>
        <w:tc>
          <w:tcPr>
            <w:tcW w:w="1118" w:type="dxa"/>
            <w:vMerge/>
            <w:vAlign w:val="center"/>
          </w:tcPr>
          <w:p w:rsidR="00013EC7" w:rsidRDefault="00013EC7">
            <w:pPr>
              <w:rPr>
                <w:rFonts w:ascii="仿宋" w:eastAsia="仿宋" w:hAnsi="仿宋" w:cs="仿宋"/>
                <w:kern w:val="1"/>
                <w:sz w:val="24"/>
              </w:rPr>
            </w:pPr>
          </w:p>
        </w:tc>
        <w:tc>
          <w:tcPr>
            <w:tcW w:w="2403"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（四十二）（A06373）《先退税后核销企业免抵退税申报附表》1份及电子数据</w:t>
            </w:r>
            <w:r>
              <w:rPr>
                <w:rFonts w:ascii="仿宋" w:eastAsia="仿宋" w:hAnsi="仿宋" w:cs="仿宋"/>
                <w:kern w:val="1"/>
                <w:sz w:val="24"/>
              </w:rPr>
              <w:t>。</w:t>
            </w:r>
          </w:p>
        </w:tc>
        <w:tc>
          <w:tcPr>
            <w:tcW w:w="1196" w:type="dxa"/>
            <w:vMerge/>
            <w:vAlign w:val="center"/>
          </w:tcPr>
          <w:p w:rsidR="00013EC7" w:rsidRDefault="00013EC7">
            <w:pPr>
              <w:rPr>
                <w:rFonts w:ascii="仿宋" w:eastAsia="仿宋" w:hAnsi="仿宋" w:cs="仿宋"/>
                <w:kern w:val="1"/>
                <w:sz w:val="24"/>
              </w:rPr>
            </w:pPr>
          </w:p>
        </w:tc>
        <w:tc>
          <w:tcPr>
            <w:tcW w:w="3318" w:type="dxa"/>
            <w:vMerge/>
            <w:vAlign w:val="center"/>
          </w:tcPr>
          <w:p w:rsidR="00013EC7" w:rsidRDefault="00013EC7">
            <w:pPr>
              <w:rPr>
                <w:rFonts w:ascii="仿宋" w:eastAsia="仿宋" w:hAnsi="仿宋" w:cs="仿宋"/>
                <w:kern w:val="1"/>
                <w:sz w:val="24"/>
              </w:rPr>
            </w:pPr>
          </w:p>
        </w:tc>
        <w:tc>
          <w:tcPr>
            <w:tcW w:w="868"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64"/>
          <w:jc w:val="center"/>
        </w:trPr>
        <w:tc>
          <w:tcPr>
            <w:tcW w:w="1250" w:type="dxa"/>
            <w:vMerge/>
            <w:vAlign w:val="center"/>
          </w:tcPr>
          <w:p w:rsidR="00013EC7" w:rsidRDefault="00013EC7">
            <w:pPr>
              <w:rPr>
                <w:rFonts w:ascii="仿宋" w:eastAsia="仿宋" w:hAnsi="仿宋" w:cs="仿宋"/>
                <w:kern w:val="1"/>
                <w:sz w:val="24"/>
              </w:rPr>
            </w:pPr>
          </w:p>
        </w:tc>
        <w:tc>
          <w:tcPr>
            <w:tcW w:w="1316" w:type="dxa"/>
            <w:vMerge/>
            <w:vAlign w:val="center"/>
          </w:tcPr>
          <w:p w:rsidR="00013EC7" w:rsidRDefault="00013EC7">
            <w:pPr>
              <w:rPr>
                <w:rFonts w:ascii="仿宋" w:eastAsia="仿宋" w:hAnsi="仿宋" w:cs="仿宋"/>
                <w:kern w:val="1"/>
                <w:sz w:val="24"/>
              </w:rPr>
            </w:pPr>
          </w:p>
        </w:tc>
        <w:tc>
          <w:tcPr>
            <w:tcW w:w="2114" w:type="dxa"/>
            <w:vMerge/>
            <w:vAlign w:val="center"/>
          </w:tcPr>
          <w:p w:rsidR="00013EC7" w:rsidRDefault="00013EC7">
            <w:pPr>
              <w:rPr>
                <w:rFonts w:ascii="仿宋" w:eastAsia="仿宋" w:hAnsi="仿宋" w:cs="仿宋"/>
                <w:kern w:val="1"/>
                <w:sz w:val="24"/>
              </w:rPr>
            </w:pPr>
          </w:p>
        </w:tc>
        <w:tc>
          <w:tcPr>
            <w:tcW w:w="2785"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（四十三）出口合同（复印件，仅第一次申报时提供）</w:t>
            </w:r>
            <w:r>
              <w:rPr>
                <w:rFonts w:ascii="仿宋" w:eastAsia="仿宋" w:hAnsi="仿宋" w:cs="仿宋"/>
                <w:kern w:val="1"/>
                <w:sz w:val="24"/>
              </w:rPr>
              <w:t>。</w:t>
            </w:r>
          </w:p>
        </w:tc>
        <w:tc>
          <w:tcPr>
            <w:tcW w:w="1118" w:type="dxa"/>
            <w:vMerge/>
            <w:vAlign w:val="center"/>
          </w:tcPr>
          <w:p w:rsidR="00013EC7" w:rsidRDefault="00013EC7">
            <w:pPr>
              <w:rPr>
                <w:rFonts w:ascii="仿宋" w:eastAsia="仿宋" w:hAnsi="仿宋" w:cs="仿宋"/>
                <w:kern w:val="1"/>
                <w:sz w:val="24"/>
              </w:rPr>
            </w:pPr>
          </w:p>
        </w:tc>
        <w:tc>
          <w:tcPr>
            <w:tcW w:w="2403"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（四十三）出口合同（复印件，仅第一次申报时提供）（注明与原件一致，并加盖公章）</w:t>
            </w:r>
            <w:r>
              <w:rPr>
                <w:rFonts w:ascii="仿宋" w:eastAsia="仿宋" w:hAnsi="仿宋" w:cs="仿宋"/>
                <w:kern w:val="1"/>
                <w:sz w:val="24"/>
              </w:rPr>
              <w:t>。</w:t>
            </w:r>
          </w:p>
        </w:tc>
        <w:tc>
          <w:tcPr>
            <w:tcW w:w="1196" w:type="dxa"/>
            <w:vMerge/>
            <w:vAlign w:val="center"/>
          </w:tcPr>
          <w:p w:rsidR="00013EC7" w:rsidRDefault="00013EC7">
            <w:pPr>
              <w:rPr>
                <w:rFonts w:ascii="仿宋" w:eastAsia="仿宋" w:hAnsi="仿宋" w:cs="仿宋"/>
                <w:kern w:val="1"/>
                <w:sz w:val="24"/>
              </w:rPr>
            </w:pPr>
          </w:p>
        </w:tc>
        <w:tc>
          <w:tcPr>
            <w:tcW w:w="3318" w:type="dxa"/>
            <w:vMerge/>
            <w:vAlign w:val="center"/>
          </w:tcPr>
          <w:p w:rsidR="00013EC7" w:rsidRDefault="00013EC7">
            <w:pPr>
              <w:rPr>
                <w:rFonts w:ascii="仿宋" w:eastAsia="仿宋" w:hAnsi="仿宋" w:cs="仿宋"/>
                <w:kern w:val="1"/>
                <w:sz w:val="24"/>
              </w:rPr>
            </w:pPr>
          </w:p>
        </w:tc>
        <w:tc>
          <w:tcPr>
            <w:tcW w:w="868"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64"/>
          <w:jc w:val="center"/>
        </w:trPr>
        <w:tc>
          <w:tcPr>
            <w:tcW w:w="1250" w:type="dxa"/>
            <w:vMerge/>
            <w:vAlign w:val="center"/>
          </w:tcPr>
          <w:p w:rsidR="00013EC7" w:rsidRDefault="00013EC7">
            <w:pPr>
              <w:rPr>
                <w:rFonts w:ascii="仿宋" w:eastAsia="仿宋" w:hAnsi="仿宋" w:cs="仿宋"/>
                <w:kern w:val="1"/>
                <w:sz w:val="24"/>
              </w:rPr>
            </w:pPr>
          </w:p>
        </w:tc>
        <w:tc>
          <w:tcPr>
            <w:tcW w:w="1316" w:type="dxa"/>
            <w:vMerge/>
            <w:vAlign w:val="center"/>
          </w:tcPr>
          <w:p w:rsidR="00013EC7" w:rsidRDefault="00013EC7">
            <w:pPr>
              <w:rPr>
                <w:rFonts w:ascii="仿宋" w:eastAsia="仿宋" w:hAnsi="仿宋" w:cs="仿宋"/>
                <w:kern w:val="1"/>
                <w:sz w:val="24"/>
              </w:rPr>
            </w:pPr>
          </w:p>
        </w:tc>
        <w:tc>
          <w:tcPr>
            <w:tcW w:w="2114" w:type="dxa"/>
            <w:vMerge/>
            <w:vAlign w:val="center"/>
          </w:tcPr>
          <w:p w:rsidR="00013EC7" w:rsidRDefault="00013EC7">
            <w:pPr>
              <w:rPr>
                <w:rFonts w:ascii="仿宋" w:eastAsia="仿宋" w:hAnsi="仿宋" w:cs="仿宋"/>
                <w:kern w:val="1"/>
                <w:sz w:val="24"/>
              </w:rPr>
            </w:pPr>
          </w:p>
        </w:tc>
        <w:tc>
          <w:tcPr>
            <w:tcW w:w="2785"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（四十四）收款凭证（复印件，取得预付款的提供）</w:t>
            </w:r>
            <w:r>
              <w:rPr>
                <w:rFonts w:ascii="仿宋" w:eastAsia="仿宋" w:hAnsi="仿宋" w:cs="仿宋"/>
                <w:kern w:val="1"/>
                <w:sz w:val="24"/>
              </w:rPr>
              <w:t>。</w:t>
            </w:r>
          </w:p>
        </w:tc>
        <w:tc>
          <w:tcPr>
            <w:tcW w:w="1118" w:type="dxa"/>
            <w:vMerge/>
            <w:vAlign w:val="center"/>
          </w:tcPr>
          <w:p w:rsidR="00013EC7" w:rsidRDefault="00013EC7">
            <w:pPr>
              <w:rPr>
                <w:rFonts w:ascii="仿宋" w:eastAsia="仿宋" w:hAnsi="仿宋" w:cs="仿宋"/>
                <w:kern w:val="1"/>
                <w:sz w:val="24"/>
              </w:rPr>
            </w:pPr>
          </w:p>
        </w:tc>
        <w:tc>
          <w:tcPr>
            <w:tcW w:w="2403"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（四十四）收款凭证（复印件，取得预付款的提供）（注明与原件一致，并加盖公章）</w:t>
            </w:r>
            <w:r>
              <w:rPr>
                <w:rFonts w:ascii="仿宋" w:eastAsia="仿宋" w:hAnsi="仿宋" w:cs="仿宋"/>
                <w:kern w:val="1"/>
                <w:sz w:val="24"/>
              </w:rPr>
              <w:t>。</w:t>
            </w:r>
          </w:p>
        </w:tc>
        <w:tc>
          <w:tcPr>
            <w:tcW w:w="1196" w:type="dxa"/>
            <w:vMerge/>
            <w:vAlign w:val="center"/>
          </w:tcPr>
          <w:p w:rsidR="00013EC7" w:rsidRDefault="00013EC7">
            <w:pPr>
              <w:rPr>
                <w:rFonts w:ascii="仿宋" w:eastAsia="仿宋" w:hAnsi="仿宋" w:cs="仿宋"/>
                <w:kern w:val="1"/>
                <w:sz w:val="24"/>
              </w:rPr>
            </w:pPr>
          </w:p>
        </w:tc>
        <w:tc>
          <w:tcPr>
            <w:tcW w:w="3318" w:type="dxa"/>
            <w:vMerge/>
            <w:vAlign w:val="center"/>
          </w:tcPr>
          <w:p w:rsidR="00013EC7" w:rsidRDefault="00013EC7">
            <w:pPr>
              <w:rPr>
                <w:rFonts w:ascii="仿宋" w:eastAsia="仿宋" w:hAnsi="仿宋" w:cs="仿宋"/>
                <w:kern w:val="1"/>
                <w:sz w:val="24"/>
              </w:rPr>
            </w:pPr>
          </w:p>
        </w:tc>
        <w:tc>
          <w:tcPr>
            <w:tcW w:w="868"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128"/>
          <w:jc w:val="center"/>
        </w:trPr>
        <w:tc>
          <w:tcPr>
            <w:tcW w:w="1250" w:type="dxa"/>
            <w:vMerge/>
            <w:vAlign w:val="center"/>
          </w:tcPr>
          <w:p w:rsidR="00013EC7" w:rsidRDefault="00013EC7">
            <w:pPr>
              <w:rPr>
                <w:rFonts w:ascii="仿宋" w:eastAsia="仿宋" w:hAnsi="仿宋" w:cs="仿宋"/>
                <w:sz w:val="24"/>
              </w:rPr>
            </w:pPr>
          </w:p>
        </w:tc>
        <w:tc>
          <w:tcPr>
            <w:tcW w:w="1316" w:type="dxa"/>
            <w:vMerge/>
            <w:vAlign w:val="center"/>
          </w:tcPr>
          <w:p w:rsidR="00013EC7" w:rsidRDefault="00013EC7">
            <w:pPr>
              <w:rPr>
                <w:rFonts w:ascii="仿宋" w:eastAsia="仿宋" w:hAnsi="仿宋" w:cs="仿宋"/>
                <w:sz w:val="24"/>
              </w:rPr>
            </w:pPr>
          </w:p>
        </w:tc>
        <w:tc>
          <w:tcPr>
            <w:tcW w:w="2114" w:type="dxa"/>
            <w:vMerge/>
            <w:vAlign w:val="center"/>
          </w:tcPr>
          <w:p w:rsidR="00013EC7" w:rsidRDefault="00013EC7">
            <w:pPr>
              <w:rPr>
                <w:rFonts w:ascii="仿宋" w:eastAsia="仿宋" w:hAnsi="仿宋" w:cs="仿宋"/>
                <w:sz w:val="24"/>
              </w:rPr>
            </w:pPr>
          </w:p>
        </w:tc>
        <w:tc>
          <w:tcPr>
            <w:tcW w:w="2785"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（四十五）（A06314）《出口已使用过的设备退税申报表》3份</w:t>
            </w:r>
            <w:r>
              <w:rPr>
                <w:rFonts w:ascii="仿宋" w:eastAsia="仿宋" w:hAnsi="仿宋" w:cs="仿宋"/>
                <w:kern w:val="1"/>
                <w:sz w:val="24"/>
              </w:rPr>
              <w:t>。</w:t>
            </w:r>
          </w:p>
        </w:tc>
        <w:tc>
          <w:tcPr>
            <w:tcW w:w="1118" w:type="dxa"/>
            <w:vMerge w:val="restart"/>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kern w:val="1"/>
                <w:sz w:val="24"/>
              </w:rPr>
              <w:t>出口已使用过的设备的</w:t>
            </w:r>
            <w:r>
              <w:rPr>
                <w:rFonts w:ascii="仿宋" w:eastAsia="仿宋" w:hAnsi="仿宋" w:cs="仿宋" w:hint="eastAsia"/>
                <w:sz w:val="24"/>
              </w:rPr>
              <w:t>出口生产企业纳税人提交</w:t>
            </w:r>
          </w:p>
        </w:tc>
        <w:tc>
          <w:tcPr>
            <w:tcW w:w="2403" w:type="dxa"/>
            <w:vMerge w:val="restart"/>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（四十五）（A06314）《出口已使用过的设备退税申报表》3份</w:t>
            </w:r>
            <w:r>
              <w:rPr>
                <w:rFonts w:ascii="仿宋" w:eastAsia="仿宋" w:hAnsi="仿宋" w:cs="仿宋" w:hint="eastAsia"/>
                <w:kern w:val="1"/>
                <w:sz w:val="24"/>
                <w:shd w:val="pct10" w:color="auto" w:fill="FFFFFF"/>
              </w:rPr>
              <w:t>及其电子数据</w:t>
            </w:r>
            <w:r>
              <w:rPr>
                <w:rFonts w:ascii="仿宋" w:eastAsia="仿宋" w:hAnsi="仿宋" w:cs="仿宋"/>
                <w:kern w:val="1"/>
                <w:sz w:val="24"/>
              </w:rPr>
              <w:t>。</w:t>
            </w:r>
          </w:p>
        </w:tc>
        <w:tc>
          <w:tcPr>
            <w:tcW w:w="1196" w:type="dxa"/>
            <w:vMerge w:val="restart"/>
            <w:vAlign w:val="center"/>
          </w:tcPr>
          <w:p w:rsidR="00013EC7" w:rsidRDefault="00575CDB">
            <w:pPr>
              <w:spacing w:line="300" w:lineRule="exact"/>
              <w:jc w:val="center"/>
              <w:rPr>
                <w:rFonts w:ascii="仿宋" w:eastAsia="仿宋" w:hAnsi="仿宋" w:cs="仿宋"/>
                <w:sz w:val="24"/>
                <w:highlight w:val="yellow"/>
              </w:rPr>
            </w:pPr>
            <w:r>
              <w:rPr>
                <w:rFonts w:ascii="仿宋" w:eastAsia="仿宋" w:hAnsi="仿宋" w:cs="仿宋" w:hint="eastAsia"/>
                <w:kern w:val="1"/>
                <w:sz w:val="24"/>
              </w:rPr>
              <w:t>出口已使用过的设备的</w:t>
            </w:r>
            <w:r>
              <w:rPr>
                <w:rFonts w:ascii="仿宋" w:eastAsia="仿宋" w:hAnsi="仿宋" w:cs="仿宋" w:hint="eastAsia"/>
                <w:sz w:val="24"/>
              </w:rPr>
              <w:t>出口生产企业纳税人提交</w:t>
            </w:r>
          </w:p>
        </w:tc>
        <w:tc>
          <w:tcPr>
            <w:tcW w:w="3318" w:type="dxa"/>
            <w:vMerge w:val="restart"/>
            <w:vAlign w:val="center"/>
          </w:tcPr>
          <w:p w:rsidR="00013EC7" w:rsidRDefault="00575CDB">
            <w:pPr>
              <w:spacing w:line="300" w:lineRule="exac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纳税人提交书面材料（无纸化企业留存备查）。</w:t>
            </w:r>
          </w:p>
          <w:p w:rsidR="00013EC7" w:rsidRDefault="00575CDB">
            <w:pPr>
              <w:rPr>
                <w:rFonts w:ascii="仿宋" w:eastAsia="仿宋" w:hAnsi="仿宋" w:cs="仿宋"/>
                <w:sz w:val="24"/>
              </w:rPr>
            </w:pPr>
            <w:r>
              <w:rPr>
                <w:rFonts w:ascii="仿宋" w:eastAsia="仿宋" w:hAnsi="仿宋" w:cs="仿宋" w:hint="eastAsia"/>
                <w:b/>
                <w:sz w:val="24"/>
              </w:rPr>
              <w:t>网上办理：</w:t>
            </w:r>
            <w:r>
              <w:rPr>
                <w:rFonts w:ascii="仿宋" w:eastAsia="仿宋" w:hAnsi="仿宋" w:cs="仿宋" w:hint="eastAsia"/>
                <w:sz w:val="24"/>
              </w:rPr>
              <w:t>浙江省国家税务局电子税务局提交电子数据。</w:t>
            </w:r>
          </w:p>
        </w:tc>
        <w:tc>
          <w:tcPr>
            <w:tcW w:w="868" w:type="dxa"/>
            <w:vMerge/>
            <w:vAlign w:val="center"/>
          </w:tcPr>
          <w:p w:rsidR="00013EC7" w:rsidRDefault="00013EC7">
            <w:pPr>
              <w:rPr>
                <w:rFonts w:ascii="仿宋" w:eastAsia="仿宋" w:hAnsi="仿宋" w:cs="仿宋"/>
                <w:sz w:val="24"/>
              </w:rPr>
            </w:pPr>
          </w:p>
        </w:tc>
        <w:tc>
          <w:tcPr>
            <w:tcW w:w="798" w:type="dxa"/>
            <w:vMerge/>
            <w:vAlign w:val="center"/>
          </w:tcPr>
          <w:p w:rsidR="00013EC7" w:rsidRDefault="00013EC7">
            <w:pPr>
              <w:rPr>
                <w:rFonts w:ascii="仿宋" w:eastAsia="仿宋" w:hAnsi="仿宋" w:cs="仿宋"/>
                <w:sz w:val="24"/>
              </w:rPr>
            </w:pP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128"/>
          <w:jc w:val="center"/>
        </w:trPr>
        <w:tc>
          <w:tcPr>
            <w:tcW w:w="1250" w:type="dxa"/>
            <w:vMerge/>
            <w:vAlign w:val="center"/>
          </w:tcPr>
          <w:p w:rsidR="00013EC7" w:rsidRDefault="00013EC7"/>
        </w:tc>
        <w:tc>
          <w:tcPr>
            <w:tcW w:w="1316" w:type="dxa"/>
            <w:vMerge/>
            <w:vAlign w:val="center"/>
          </w:tcPr>
          <w:p w:rsidR="00013EC7" w:rsidRDefault="00013EC7"/>
        </w:tc>
        <w:tc>
          <w:tcPr>
            <w:tcW w:w="2114" w:type="dxa"/>
            <w:vMerge/>
            <w:vAlign w:val="center"/>
          </w:tcPr>
          <w:p w:rsidR="00013EC7" w:rsidRDefault="00013EC7"/>
        </w:tc>
        <w:tc>
          <w:tcPr>
            <w:tcW w:w="2785" w:type="dxa"/>
            <w:vAlign w:val="center"/>
          </w:tcPr>
          <w:p w:rsidR="00013EC7" w:rsidRDefault="00575CDB">
            <w:r>
              <w:rPr>
                <w:rFonts w:ascii="仿宋" w:eastAsia="仿宋" w:hAnsi="仿宋" w:cs="仿宋" w:hint="eastAsia"/>
                <w:kern w:val="1"/>
                <w:sz w:val="24"/>
              </w:rPr>
              <w:t>（四十六）出口自用旧设备免退税申报电子数据</w:t>
            </w:r>
            <w:r>
              <w:rPr>
                <w:rFonts w:ascii="仿宋" w:eastAsia="仿宋" w:hAnsi="仿宋" w:cs="仿宋"/>
                <w:kern w:val="1"/>
                <w:sz w:val="24"/>
              </w:rPr>
              <w:t>。</w:t>
            </w:r>
          </w:p>
        </w:tc>
        <w:tc>
          <w:tcPr>
            <w:tcW w:w="1118" w:type="dxa"/>
            <w:vMerge/>
            <w:vAlign w:val="center"/>
          </w:tcPr>
          <w:p w:rsidR="00013EC7" w:rsidRDefault="00013EC7"/>
        </w:tc>
        <w:tc>
          <w:tcPr>
            <w:tcW w:w="2403" w:type="dxa"/>
            <w:vMerge/>
            <w:vAlign w:val="center"/>
          </w:tcPr>
          <w:p w:rsidR="00013EC7" w:rsidRDefault="00013EC7">
            <w:pPr>
              <w:rPr>
                <w:rFonts w:ascii="仿宋" w:eastAsia="仿宋" w:hAnsi="仿宋" w:cs="仿宋"/>
                <w:kern w:val="1"/>
                <w:sz w:val="24"/>
              </w:rPr>
            </w:pPr>
          </w:p>
        </w:tc>
        <w:tc>
          <w:tcPr>
            <w:tcW w:w="1196" w:type="dxa"/>
            <w:vMerge/>
            <w:vAlign w:val="center"/>
          </w:tcPr>
          <w:p w:rsidR="00013EC7" w:rsidRDefault="00013EC7">
            <w:pPr>
              <w:rPr>
                <w:rFonts w:ascii="仿宋" w:eastAsia="仿宋" w:hAnsi="仿宋" w:cs="仿宋"/>
                <w:kern w:val="1"/>
                <w:sz w:val="24"/>
                <w:highlight w:val="yellow"/>
              </w:rPr>
            </w:pPr>
          </w:p>
        </w:tc>
        <w:tc>
          <w:tcPr>
            <w:tcW w:w="3318" w:type="dxa"/>
            <w:vMerge/>
            <w:vAlign w:val="center"/>
          </w:tcPr>
          <w:p w:rsidR="00013EC7" w:rsidRDefault="00013EC7">
            <w:pPr>
              <w:rPr>
                <w:rFonts w:ascii="仿宋" w:eastAsia="仿宋" w:hAnsi="仿宋" w:cs="仿宋"/>
                <w:kern w:val="1"/>
                <w:sz w:val="24"/>
              </w:rPr>
            </w:pPr>
          </w:p>
        </w:tc>
        <w:tc>
          <w:tcPr>
            <w:tcW w:w="868"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128"/>
          <w:jc w:val="center"/>
        </w:trPr>
        <w:tc>
          <w:tcPr>
            <w:tcW w:w="1250" w:type="dxa"/>
            <w:vMerge/>
            <w:vAlign w:val="center"/>
          </w:tcPr>
          <w:p w:rsidR="00013EC7" w:rsidRDefault="00013EC7">
            <w:pPr>
              <w:rPr>
                <w:rFonts w:ascii="仿宋" w:eastAsia="仿宋" w:hAnsi="仿宋" w:cs="仿宋"/>
                <w:kern w:val="1"/>
                <w:sz w:val="24"/>
              </w:rPr>
            </w:pPr>
          </w:p>
        </w:tc>
        <w:tc>
          <w:tcPr>
            <w:tcW w:w="1316" w:type="dxa"/>
            <w:vMerge/>
            <w:vAlign w:val="center"/>
          </w:tcPr>
          <w:p w:rsidR="00013EC7" w:rsidRDefault="00013EC7">
            <w:pPr>
              <w:rPr>
                <w:rFonts w:ascii="仿宋" w:eastAsia="仿宋" w:hAnsi="仿宋" w:cs="仿宋"/>
                <w:kern w:val="1"/>
                <w:sz w:val="24"/>
              </w:rPr>
            </w:pPr>
          </w:p>
        </w:tc>
        <w:tc>
          <w:tcPr>
            <w:tcW w:w="2114" w:type="dxa"/>
            <w:vMerge/>
            <w:vAlign w:val="center"/>
          </w:tcPr>
          <w:p w:rsidR="00013EC7" w:rsidRDefault="00013EC7">
            <w:pPr>
              <w:rPr>
                <w:rFonts w:ascii="仿宋" w:eastAsia="仿宋" w:hAnsi="仿宋" w:cs="仿宋"/>
                <w:kern w:val="1"/>
                <w:sz w:val="24"/>
              </w:rPr>
            </w:pPr>
          </w:p>
        </w:tc>
        <w:tc>
          <w:tcPr>
            <w:tcW w:w="2785"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 xml:space="preserve">（四十七）（A06173）《出口已使用过的设备折旧情况确认表》 </w:t>
            </w:r>
            <w:r>
              <w:rPr>
                <w:rFonts w:ascii="仿宋" w:eastAsia="仿宋" w:hAnsi="仿宋" w:cs="仿宋"/>
                <w:kern w:val="1"/>
                <w:sz w:val="24"/>
              </w:rPr>
              <w:t>。</w:t>
            </w:r>
          </w:p>
        </w:tc>
        <w:tc>
          <w:tcPr>
            <w:tcW w:w="1118" w:type="dxa"/>
            <w:vMerge/>
            <w:vAlign w:val="center"/>
          </w:tcPr>
          <w:p w:rsidR="00013EC7" w:rsidRDefault="00013EC7">
            <w:pPr>
              <w:rPr>
                <w:rFonts w:ascii="仿宋" w:eastAsia="仿宋" w:hAnsi="仿宋" w:cs="仿宋"/>
                <w:kern w:val="1"/>
                <w:sz w:val="24"/>
              </w:rPr>
            </w:pPr>
          </w:p>
        </w:tc>
        <w:tc>
          <w:tcPr>
            <w:tcW w:w="2403"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 xml:space="preserve">（四十六）（A06173）《出口已使用过的设备折旧情况确认表》1份 </w:t>
            </w:r>
            <w:r>
              <w:rPr>
                <w:rFonts w:ascii="仿宋" w:eastAsia="仿宋" w:hAnsi="仿宋" w:cs="仿宋"/>
                <w:kern w:val="1"/>
                <w:sz w:val="24"/>
              </w:rPr>
              <w:t>。</w:t>
            </w:r>
          </w:p>
        </w:tc>
        <w:tc>
          <w:tcPr>
            <w:tcW w:w="1196" w:type="dxa"/>
            <w:vMerge/>
            <w:vAlign w:val="center"/>
          </w:tcPr>
          <w:p w:rsidR="00013EC7" w:rsidRDefault="00013EC7">
            <w:pPr>
              <w:rPr>
                <w:rFonts w:ascii="仿宋" w:eastAsia="仿宋" w:hAnsi="仿宋" w:cs="仿宋"/>
                <w:kern w:val="1"/>
                <w:sz w:val="24"/>
                <w:highlight w:val="yellow"/>
              </w:rPr>
            </w:pPr>
          </w:p>
        </w:tc>
        <w:tc>
          <w:tcPr>
            <w:tcW w:w="3318" w:type="dxa"/>
            <w:vAlign w:val="center"/>
          </w:tcPr>
          <w:p w:rsidR="00013EC7" w:rsidRDefault="00575CDB">
            <w:pPr>
              <w:rPr>
                <w:rFonts w:ascii="仿宋" w:eastAsia="仿宋" w:hAnsi="仿宋" w:cs="仿宋"/>
                <w:kern w:val="1"/>
                <w:sz w:val="24"/>
              </w:rPr>
            </w:pPr>
            <w:r>
              <w:rPr>
                <w:rFonts w:ascii="仿宋" w:eastAsia="仿宋" w:hAnsi="仿宋" w:cs="仿宋" w:hint="eastAsia"/>
                <w:b/>
                <w:sz w:val="24"/>
              </w:rPr>
              <w:t>现场办理：</w:t>
            </w:r>
            <w:r>
              <w:rPr>
                <w:rFonts w:ascii="仿宋" w:eastAsia="仿宋" w:hAnsi="仿宋" w:cs="仿宋" w:hint="eastAsia"/>
                <w:sz w:val="24"/>
              </w:rPr>
              <w:t>纳税人提交书面材料（无纸化企业留存备查）。</w:t>
            </w:r>
          </w:p>
        </w:tc>
        <w:tc>
          <w:tcPr>
            <w:tcW w:w="868"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128"/>
          <w:jc w:val="center"/>
        </w:trPr>
        <w:tc>
          <w:tcPr>
            <w:tcW w:w="1250" w:type="dxa"/>
            <w:vMerge/>
            <w:vAlign w:val="center"/>
          </w:tcPr>
          <w:p w:rsidR="00013EC7" w:rsidRDefault="00013EC7">
            <w:pPr>
              <w:rPr>
                <w:rFonts w:ascii="仿宋" w:eastAsia="仿宋" w:hAnsi="仿宋" w:cs="仿宋"/>
                <w:sz w:val="24"/>
              </w:rPr>
            </w:pPr>
          </w:p>
        </w:tc>
        <w:tc>
          <w:tcPr>
            <w:tcW w:w="1316" w:type="dxa"/>
            <w:vMerge/>
            <w:vAlign w:val="center"/>
          </w:tcPr>
          <w:p w:rsidR="00013EC7" w:rsidRDefault="00013EC7">
            <w:pPr>
              <w:rPr>
                <w:rFonts w:ascii="仿宋" w:eastAsia="仿宋" w:hAnsi="仿宋" w:cs="仿宋"/>
                <w:sz w:val="24"/>
              </w:rPr>
            </w:pPr>
          </w:p>
        </w:tc>
        <w:tc>
          <w:tcPr>
            <w:tcW w:w="2114" w:type="dxa"/>
            <w:vMerge/>
            <w:vAlign w:val="center"/>
          </w:tcPr>
          <w:p w:rsidR="00013EC7" w:rsidRDefault="00013EC7">
            <w:pPr>
              <w:rPr>
                <w:rFonts w:ascii="仿宋" w:eastAsia="仿宋" w:hAnsi="仿宋" w:cs="仿宋"/>
                <w:sz w:val="24"/>
              </w:rPr>
            </w:pPr>
          </w:p>
        </w:tc>
        <w:tc>
          <w:tcPr>
            <w:tcW w:w="2785"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（四十八）（A06315）《购进自用货物退税申报表》及申报电子数据</w:t>
            </w:r>
            <w:r>
              <w:rPr>
                <w:rFonts w:ascii="仿宋" w:eastAsia="仿宋" w:hAnsi="仿宋" w:cs="仿宋"/>
                <w:kern w:val="1"/>
                <w:sz w:val="24"/>
              </w:rPr>
              <w:t>。</w:t>
            </w:r>
          </w:p>
        </w:tc>
        <w:tc>
          <w:tcPr>
            <w:tcW w:w="1118" w:type="dxa"/>
            <w:vMerge w:val="restart"/>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kern w:val="1"/>
                <w:sz w:val="24"/>
              </w:rPr>
              <w:t>输入特殊区域的水电气，购买水电气的特殊区域内的生产企业，不需要提供出口报关单的</w:t>
            </w:r>
            <w:r>
              <w:rPr>
                <w:rFonts w:ascii="仿宋" w:eastAsia="仿宋" w:hAnsi="仿宋" w:cs="仿宋" w:hint="eastAsia"/>
                <w:sz w:val="24"/>
              </w:rPr>
              <w:t>出口生产企业纳税人</w:t>
            </w:r>
            <w:r>
              <w:rPr>
                <w:rFonts w:ascii="仿宋" w:eastAsia="仿宋" w:hAnsi="仿宋" w:cs="仿宋" w:hint="eastAsia"/>
                <w:sz w:val="24"/>
              </w:rPr>
              <w:lastRenderedPageBreak/>
              <w:t>提交</w:t>
            </w:r>
          </w:p>
        </w:tc>
        <w:tc>
          <w:tcPr>
            <w:tcW w:w="2403"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lastRenderedPageBreak/>
              <w:t>（四十七）（A06315）《购进自用货物退税申报表》1份及其电子数据</w:t>
            </w:r>
            <w:r>
              <w:rPr>
                <w:rFonts w:ascii="仿宋" w:eastAsia="仿宋" w:hAnsi="仿宋" w:cs="仿宋"/>
                <w:kern w:val="1"/>
                <w:sz w:val="24"/>
              </w:rPr>
              <w:t>。</w:t>
            </w:r>
          </w:p>
        </w:tc>
        <w:tc>
          <w:tcPr>
            <w:tcW w:w="1196" w:type="dxa"/>
            <w:vMerge w:val="restart"/>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输入特殊区域的水电气，购买水电气的特殊区域内的生产企业，不需要提供出口报关单的</w:t>
            </w:r>
            <w:r>
              <w:rPr>
                <w:rFonts w:ascii="仿宋" w:eastAsia="仿宋" w:hAnsi="仿宋" w:cs="仿宋" w:hint="eastAsia"/>
                <w:sz w:val="24"/>
              </w:rPr>
              <w:t>出口生产企业纳税人提交</w:t>
            </w:r>
          </w:p>
        </w:tc>
        <w:tc>
          <w:tcPr>
            <w:tcW w:w="3318"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纳税人提交书面材料（无纸化企业留存备查）。</w:t>
            </w:r>
          </w:p>
          <w:p w:rsidR="00013EC7" w:rsidRDefault="00575CDB">
            <w:pPr>
              <w:spacing w:line="300" w:lineRule="exact"/>
              <w:rPr>
                <w:rFonts w:ascii="仿宋" w:eastAsia="仿宋" w:hAnsi="仿宋" w:cs="仿宋"/>
                <w:sz w:val="24"/>
              </w:rPr>
            </w:pPr>
            <w:r>
              <w:rPr>
                <w:rFonts w:ascii="仿宋" w:eastAsia="仿宋" w:hAnsi="仿宋" w:cs="仿宋" w:hint="eastAsia"/>
                <w:b/>
                <w:sz w:val="24"/>
              </w:rPr>
              <w:t>网上办理：</w:t>
            </w:r>
            <w:r>
              <w:rPr>
                <w:rFonts w:ascii="仿宋" w:eastAsia="仿宋" w:hAnsi="仿宋" w:cs="仿宋" w:hint="eastAsia"/>
                <w:sz w:val="24"/>
              </w:rPr>
              <w:t>登录浙江省国家税务局电子税务局提交电子数据。</w:t>
            </w:r>
          </w:p>
        </w:tc>
        <w:tc>
          <w:tcPr>
            <w:tcW w:w="868" w:type="dxa"/>
            <w:vMerge/>
            <w:vAlign w:val="center"/>
          </w:tcPr>
          <w:p w:rsidR="00013EC7" w:rsidRDefault="00013EC7">
            <w:pPr>
              <w:rPr>
                <w:rFonts w:ascii="仿宋" w:eastAsia="仿宋" w:hAnsi="仿宋" w:cs="仿宋"/>
                <w:sz w:val="24"/>
              </w:rPr>
            </w:pPr>
          </w:p>
        </w:tc>
        <w:tc>
          <w:tcPr>
            <w:tcW w:w="798" w:type="dxa"/>
            <w:vMerge/>
            <w:vAlign w:val="center"/>
          </w:tcPr>
          <w:p w:rsidR="00013EC7" w:rsidRDefault="00013EC7">
            <w:pPr>
              <w:rPr>
                <w:rFonts w:ascii="仿宋" w:eastAsia="仿宋" w:hAnsi="仿宋" w:cs="仿宋"/>
                <w:sz w:val="24"/>
              </w:rPr>
            </w:pP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128"/>
          <w:jc w:val="center"/>
        </w:trPr>
        <w:tc>
          <w:tcPr>
            <w:tcW w:w="1250" w:type="dxa"/>
            <w:vMerge/>
            <w:vAlign w:val="center"/>
          </w:tcPr>
          <w:p w:rsidR="00013EC7" w:rsidRDefault="00013EC7"/>
        </w:tc>
        <w:tc>
          <w:tcPr>
            <w:tcW w:w="1316" w:type="dxa"/>
            <w:vMerge/>
            <w:vAlign w:val="center"/>
          </w:tcPr>
          <w:p w:rsidR="00013EC7" w:rsidRDefault="00013EC7"/>
        </w:tc>
        <w:tc>
          <w:tcPr>
            <w:tcW w:w="2114" w:type="dxa"/>
            <w:vMerge/>
            <w:vAlign w:val="center"/>
          </w:tcPr>
          <w:p w:rsidR="00013EC7" w:rsidRDefault="00013EC7"/>
        </w:tc>
        <w:tc>
          <w:tcPr>
            <w:tcW w:w="2785" w:type="dxa"/>
            <w:vAlign w:val="center"/>
          </w:tcPr>
          <w:p w:rsidR="00013EC7" w:rsidRDefault="00575CDB">
            <w:r>
              <w:rPr>
                <w:rFonts w:ascii="仿宋" w:eastAsia="仿宋" w:hAnsi="仿宋" w:cs="仿宋" w:hint="eastAsia"/>
                <w:kern w:val="1"/>
                <w:sz w:val="24"/>
              </w:rPr>
              <w:t>（四十九）支付水、电、气费用的银行结算凭证（加盖银行印章的复印件）</w:t>
            </w:r>
            <w:r>
              <w:rPr>
                <w:rFonts w:ascii="仿宋" w:eastAsia="仿宋" w:hAnsi="仿宋" w:cs="仿宋"/>
                <w:kern w:val="1"/>
                <w:sz w:val="24"/>
              </w:rPr>
              <w:t>。</w:t>
            </w:r>
          </w:p>
        </w:tc>
        <w:tc>
          <w:tcPr>
            <w:tcW w:w="1118" w:type="dxa"/>
            <w:vMerge/>
            <w:vAlign w:val="center"/>
          </w:tcPr>
          <w:p w:rsidR="00013EC7" w:rsidRDefault="00013EC7"/>
        </w:tc>
        <w:tc>
          <w:tcPr>
            <w:tcW w:w="2403"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（四十八）支付水、电、气费用的银行结算凭证（加盖银行印章的复印件）</w:t>
            </w:r>
            <w:r>
              <w:rPr>
                <w:rFonts w:ascii="仿宋" w:eastAsia="仿宋" w:hAnsi="仿宋" w:cs="仿宋"/>
                <w:kern w:val="1"/>
                <w:sz w:val="24"/>
              </w:rPr>
              <w:t>。</w:t>
            </w:r>
          </w:p>
        </w:tc>
        <w:tc>
          <w:tcPr>
            <w:tcW w:w="1196" w:type="dxa"/>
            <w:vMerge/>
            <w:vAlign w:val="center"/>
          </w:tcPr>
          <w:p w:rsidR="00013EC7" w:rsidRDefault="00013EC7">
            <w:pPr>
              <w:spacing w:line="300" w:lineRule="exact"/>
              <w:jc w:val="center"/>
              <w:rPr>
                <w:rFonts w:ascii="仿宋" w:eastAsia="仿宋" w:hAnsi="仿宋" w:cs="仿宋"/>
                <w:sz w:val="24"/>
              </w:rPr>
            </w:pPr>
          </w:p>
        </w:tc>
        <w:tc>
          <w:tcPr>
            <w:tcW w:w="3318"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纳税人提交书面材料（无纸化企业留存备查）。</w:t>
            </w:r>
          </w:p>
        </w:tc>
        <w:tc>
          <w:tcPr>
            <w:tcW w:w="868"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128"/>
          <w:jc w:val="center"/>
        </w:trPr>
        <w:tc>
          <w:tcPr>
            <w:tcW w:w="1250" w:type="dxa"/>
            <w:vMerge/>
            <w:vAlign w:val="center"/>
          </w:tcPr>
          <w:p w:rsidR="00013EC7" w:rsidRDefault="00013EC7">
            <w:pPr>
              <w:rPr>
                <w:rFonts w:ascii="仿宋" w:eastAsia="仿宋" w:hAnsi="仿宋" w:cs="仿宋"/>
                <w:kern w:val="1"/>
                <w:sz w:val="24"/>
              </w:rPr>
            </w:pPr>
          </w:p>
        </w:tc>
        <w:tc>
          <w:tcPr>
            <w:tcW w:w="1316" w:type="dxa"/>
            <w:vMerge/>
            <w:vAlign w:val="center"/>
          </w:tcPr>
          <w:p w:rsidR="00013EC7" w:rsidRDefault="00013EC7">
            <w:pPr>
              <w:rPr>
                <w:rFonts w:ascii="仿宋" w:eastAsia="仿宋" w:hAnsi="仿宋" w:cs="仿宋"/>
                <w:kern w:val="1"/>
                <w:sz w:val="24"/>
              </w:rPr>
            </w:pPr>
          </w:p>
        </w:tc>
        <w:tc>
          <w:tcPr>
            <w:tcW w:w="2114" w:type="dxa"/>
            <w:vMerge/>
            <w:vAlign w:val="center"/>
          </w:tcPr>
          <w:p w:rsidR="00013EC7" w:rsidRDefault="00013EC7">
            <w:pPr>
              <w:rPr>
                <w:rFonts w:ascii="仿宋" w:eastAsia="仿宋" w:hAnsi="仿宋" w:cs="仿宋"/>
                <w:kern w:val="1"/>
                <w:sz w:val="24"/>
              </w:rPr>
            </w:pPr>
          </w:p>
        </w:tc>
        <w:tc>
          <w:tcPr>
            <w:tcW w:w="2785"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（十六）增值税专用发票（抵扣联）</w:t>
            </w:r>
            <w:r>
              <w:rPr>
                <w:rFonts w:ascii="仿宋" w:eastAsia="仿宋" w:hAnsi="仿宋" w:cs="仿宋"/>
                <w:kern w:val="1"/>
                <w:sz w:val="24"/>
              </w:rPr>
              <w:t>。</w:t>
            </w:r>
          </w:p>
        </w:tc>
        <w:tc>
          <w:tcPr>
            <w:tcW w:w="1118" w:type="dxa"/>
            <w:vMerge/>
            <w:vAlign w:val="center"/>
          </w:tcPr>
          <w:p w:rsidR="00013EC7" w:rsidRDefault="00013EC7">
            <w:pPr>
              <w:rPr>
                <w:rFonts w:ascii="仿宋" w:eastAsia="仿宋" w:hAnsi="仿宋" w:cs="仿宋"/>
                <w:kern w:val="1"/>
                <w:sz w:val="24"/>
              </w:rPr>
            </w:pPr>
          </w:p>
        </w:tc>
        <w:tc>
          <w:tcPr>
            <w:tcW w:w="2403"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（十六）增值税专用发票（抵扣联）</w:t>
            </w:r>
            <w:r>
              <w:rPr>
                <w:rFonts w:ascii="仿宋" w:eastAsia="仿宋" w:hAnsi="仿宋" w:cs="仿宋"/>
                <w:kern w:val="1"/>
                <w:sz w:val="24"/>
              </w:rPr>
              <w:t>。</w:t>
            </w:r>
          </w:p>
        </w:tc>
        <w:tc>
          <w:tcPr>
            <w:tcW w:w="1196" w:type="dxa"/>
            <w:vAlign w:val="center"/>
          </w:tcPr>
          <w:p w:rsidR="00013EC7" w:rsidRDefault="00575CDB">
            <w:pPr>
              <w:rPr>
                <w:rFonts w:ascii="仿宋" w:eastAsia="仿宋" w:hAnsi="仿宋" w:cs="仿宋"/>
                <w:kern w:val="1"/>
                <w:sz w:val="24"/>
              </w:rPr>
            </w:pPr>
            <w:r>
              <w:rPr>
                <w:rFonts w:ascii="仿宋" w:eastAsia="仿宋" w:hAnsi="仿宋" w:cs="仿宋" w:hint="eastAsia"/>
                <w:b/>
                <w:bCs/>
                <w:i/>
                <w:iCs/>
                <w:sz w:val="24"/>
              </w:rPr>
              <w:t>经办机构自行获取</w:t>
            </w:r>
          </w:p>
        </w:tc>
        <w:tc>
          <w:tcPr>
            <w:tcW w:w="3318" w:type="dxa"/>
            <w:vAlign w:val="center"/>
          </w:tcPr>
          <w:p w:rsidR="00013EC7" w:rsidRDefault="00575CDB">
            <w:pPr>
              <w:rPr>
                <w:rFonts w:ascii="仿宋" w:eastAsia="仿宋" w:hAnsi="仿宋" w:cs="仿宋"/>
                <w:kern w:val="1"/>
                <w:sz w:val="24"/>
              </w:rPr>
            </w:pPr>
            <w:r>
              <w:rPr>
                <w:rFonts w:ascii="仿宋" w:eastAsia="仿宋" w:hAnsi="仿宋" w:cs="仿宋" w:hint="eastAsia"/>
                <w:b/>
                <w:sz w:val="24"/>
              </w:rPr>
              <w:t>内部共享：</w:t>
            </w:r>
            <w:r>
              <w:rPr>
                <w:rFonts w:ascii="仿宋" w:eastAsia="仿宋" w:hAnsi="仿宋" w:cs="仿宋" w:hint="eastAsia"/>
                <w:sz w:val="24"/>
              </w:rPr>
              <w:t>内部共享获取相关信息（无纸化企业留存备查，非无纸化企业需提供书面材料）。</w:t>
            </w:r>
          </w:p>
        </w:tc>
        <w:tc>
          <w:tcPr>
            <w:tcW w:w="868"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96"/>
          <w:jc w:val="center"/>
        </w:trPr>
        <w:tc>
          <w:tcPr>
            <w:tcW w:w="1250" w:type="dxa"/>
            <w:vMerge/>
            <w:vAlign w:val="center"/>
          </w:tcPr>
          <w:p w:rsidR="00013EC7" w:rsidRDefault="00013EC7">
            <w:pPr>
              <w:rPr>
                <w:rFonts w:ascii="仿宋" w:eastAsia="仿宋" w:hAnsi="仿宋" w:cs="仿宋"/>
                <w:sz w:val="24"/>
              </w:rPr>
            </w:pPr>
          </w:p>
        </w:tc>
        <w:tc>
          <w:tcPr>
            <w:tcW w:w="1316" w:type="dxa"/>
            <w:vMerge/>
            <w:vAlign w:val="center"/>
          </w:tcPr>
          <w:p w:rsidR="00013EC7" w:rsidRDefault="00013EC7">
            <w:pPr>
              <w:rPr>
                <w:rFonts w:ascii="仿宋" w:eastAsia="仿宋" w:hAnsi="仿宋" w:cs="仿宋"/>
                <w:sz w:val="24"/>
              </w:rPr>
            </w:pPr>
          </w:p>
        </w:tc>
        <w:tc>
          <w:tcPr>
            <w:tcW w:w="2114" w:type="dxa"/>
            <w:vMerge/>
            <w:vAlign w:val="center"/>
          </w:tcPr>
          <w:p w:rsidR="00013EC7" w:rsidRDefault="00013EC7">
            <w:pPr>
              <w:rPr>
                <w:rFonts w:ascii="仿宋" w:eastAsia="仿宋" w:hAnsi="仿宋" w:cs="仿宋"/>
                <w:sz w:val="24"/>
              </w:rPr>
            </w:pPr>
          </w:p>
        </w:tc>
        <w:tc>
          <w:tcPr>
            <w:tcW w:w="2785"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（四十八）（A06315）《购进自用货物退税申报表》1份</w:t>
            </w:r>
            <w:r>
              <w:rPr>
                <w:rFonts w:ascii="仿宋" w:eastAsia="仿宋" w:hAnsi="仿宋" w:cs="仿宋"/>
                <w:kern w:val="1"/>
                <w:sz w:val="24"/>
              </w:rPr>
              <w:t>。</w:t>
            </w:r>
          </w:p>
        </w:tc>
        <w:tc>
          <w:tcPr>
            <w:tcW w:w="1118" w:type="dxa"/>
            <w:vMerge w:val="restart"/>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kern w:val="1"/>
                <w:sz w:val="24"/>
              </w:rPr>
              <w:t>研发机构购买国产设备不需要提供出口报关单的</w:t>
            </w:r>
            <w:r>
              <w:rPr>
                <w:rFonts w:ascii="仿宋" w:eastAsia="仿宋" w:hAnsi="仿宋" w:cs="仿宋" w:hint="eastAsia"/>
                <w:sz w:val="24"/>
              </w:rPr>
              <w:t>出口生产企业纳税人提交</w:t>
            </w:r>
          </w:p>
        </w:tc>
        <w:tc>
          <w:tcPr>
            <w:tcW w:w="2403"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（四十七）（A06315）《购进自用货物退税申报表》1份</w:t>
            </w:r>
            <w:r>
              <w:rPr>
                <w:rFonts w:ascii="仿宋" w:eastAsia="仿宋" w:hAnsi="仿宋" w:cs="仿宋" w:hint="eastAsia"/>
                <w:kern w:val="1"/>
                <w:sz w:val="24"/>
                <w:shd w:val="pct10" w:color="auto" w:fill="FFFFFF"/>
              </w:rPr>
              <w:t>及其电子数据</w:t>
            </w:r>
            <w:r>
              <w:rPr>
                <w:rFonts w:ascii="仿宋" w:eastAsia="仿宋" w:hAnsi="仿宋" w:cs="仿宋"/>
                <w:kern w:val="1"/>
                <w:sz w:val="24"/>
              </w:rPr>
              <w:t>。</w:t>
            </w:r>
          </w:p>
        </w:tc>
        <w:tc>
          <w:tcPr>
            <w:tcW w:w="1196" w:type="dxa"/>
            <w:vMerge w:val="restart"/>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kern w:val="1"/>
                <w:sz w:val="24"/>
              </w:rPr>
              <w:t>研发机构购买国产设备不需要提供出口报关单的</w:t>
            </w:r>
            <w:r>
              <w:rPr>
                <w:rFonts w:ascii="仿宋" w:eastAsia="仿宋" w:hAnsi="仿宋" w:cs="仿宋" w:hint="eastAsia"/>
                <w:sz w:val="24"/>
              </w:rPr>
              <w:t>出口生产企业纳税人提交</w:t>
            </w:r>
          </w:p>
        </w:tc>
        <w:tc>
          <w:tcPr>
            <w:tcW w:w="3318"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纳税人提交书面材料（无纸化企业留存备查）。</w:t>
            </w:r>
          </w:p>
          <w:p w:rsidR="00013EC7" w:rsidRDefault="00575CDB">
            <w:pPr>
              <w:spacing w:line="300" w:lineRule="exact"/>
              <w:rPr>
                <w:rFonts w:ascii="仿宋" w:eastAsia="仿宋" w:hAnsi="仿宋" w:cs="仿宋"/>
                <w:sz w:val="24"/>
              </w:rPr>
            </w:pPr>
            <w:r>
              <w:rPr>
                <w:rFonts w:ascii="仿宋" w:eastAsia="仿宋" w:hAnsi="仿宋" w:cs="仿宋" w:hint="eastAsia"/>
                <w:b/>
                <w:sz w:val="24"/>
              </w:rPr>
              <w:t>网上办理：</w:t>
            </w:r>
            <w:r>
              <w:rPr>
                <w:rFonts w:ascii="仿宋" w:eastAsia="仿宋" w:hAnsi="仿宋" w:cs="仿宋" w:hint="eastAsia"/>
                <w:sz w:val="24"/>
              </w:rPr>
              <w:t>登录浙江省国家税务局电子税务局提交电子数据。</w:t>
            </w:r>
          </w:p>
        </w:tc>
        <w:tc>
          <w:tcPr>
            <w:tcW w:w="868" w:type="dxa"/>
            <w:vMerge/>
            <w:vAlign w:val="center"/>
          </w:tcPr>
          <w:p w:rsidR="00013EC7" w:rsidRDefault="00013EC7">
            <w:pPr>
              <w:rPr>
                <w:rFonts w:ascii="仿宋" w:eastAsia="仿宋" w:hAnsi="仿宋" w:cs="仿宋"/>
                <w:sz w:val="24"/>
              </w:rPr>
            </w:pPr>
          </w:p>
        </w:tc>
        <w:tc>
          <w:tcPr>
            <w:tcW w:w="798" w:type="dxa"/>
            <w:vMerge/>
            <w:vAlign w:val="center"/>
          </w:tcPr>
          <w:p w:rsidR="00013EC7" w:rsidRDefault="00013EC7">
            <w:pPr>
              <w:rPr>
                <w:rFonts w:ascii="仿宋" w:eastAsia="仿宋" w:hAnsi="仿宋" w:cs="仿宋"/>
                <w:sz w:val="24"/>
              </w:rPr>
            </w:pP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42"/>
          <w:jc w:val="center"/>
        </w:trPr>
        <w:tc>
          <w:tcPr>
            <w:tcW w:w="1250" w:type="dxa"/>
            <w:vMerge/>
            <w:vAlign w:val="center"/>
          </w:tcPr>
          <w:p w:rsidR="00013EC7" w:rsidRDefault="00013EC7"/>
        </w:tc>
        <w:tc>
          <w:tcPr>
            <w:tcW w:w="1316" w:type="dxa"/>
            <w:vMerge/>
            <w:vAlign w:val="center"/>
          </w:tcPr>
          <w:p w:rsidR="00013EC7" w:rsidRDefault="00013EC7"/>
        </w:tc>
        <w:tc>
          <w:tcPr>
            <w:tcW w:w="2114" w:type="dxa"/>
            <w:vMerge/>
            <w:vAlign w:val="center"/>
          </w:tcPr>
          <w:p w:rsidR="00013EC7" w:rsidRDefault="00013EC7"/>
        </w:tc>
        <w:tc>
          <w:tcPr>
            <w:tcW w:w="2785" w:type="dxa"/>
            <w:vAlign w:val="center"/>
          </w:tcPr>
          <w:p w:rsidR="00013EC7" w:rsidRDefault="00575CDB">
            <w:r>
              <w:rPr>
                <w:rFonts w:ascii="仿宋" w:eastAsia="仿宋" w:hAnsi="仿宋" w:cs="仿宋" w:hint="eastAsia"/>
                <w:kern w:val="1"/>
                <w:sz w:val="24"/>
              </w:rPr>
              <w:t>（五十）付款凭证（研发机构提供）</w:t>
            </w:r>
            <w:r>
              <w:rPr>
                <w:rFonts w:ascii="仿宋" w:eastAsia="仿宋" w:hAnsi="仿宋" w:cs="仿宋"/>
                <w:kern w:val="1"/>
                <w:sz w:val="24"/>
              </w:rPr>
              <w:t>。</w:t>
            </w:r>
          </w:p>
        </w:tc>
        <w:tc>
          <w:tcPr>
            <w:tcW w:w="1118" w:type="dxa"/>
            <w:vMerge/>
            <w:vAlign w:val="center"/>
          </w:tcPr>
          <w:p w:rsidR="00013EC7" w:rsidRDefault="00013EC7"/>
        </w:tc>
        <w:tc>
          <w:tcPr>
            <w:tcW w:w="2403"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（四十九）付款凭证（研发机构提供）</w:t>
            </w:r>
            <w:r>
              <w:rPr>
                <w:rFonts w:ascii="仿宋" w:eastAsia="仿宋" w:hAnsi="仿宋" w:cs="仿宋"/>
                <w:kern w:val="1"/>
                <w:sz w:val="24"/>
              </w:rPr>
              <w:t>。</w:t>
            </w:r>
          </w:p>
        </w:tc>
        <w:tc>
          <w:tcPr>
            <w:tcW w:w="1196" w:type="dxa"/>
            <w:vMerge/>
            <w:vAlign w:val="center"/>
          </w:tcPr>
          <w:p w:rsidR="00013EC7" w:rsidRDefault="00013EC7">
            <w:pPr>
              <w:spacing w:line="300" w:lineRule="exact"/>
              <w:jc w:val="center"/>
              <w:rPr>
                <w:rFonts w:ascii="仿宋" w:eastAsia="仿宋" w:hAnsi="仿宋" w:cs="仿宋"/>
                <w:sz w:val="24"/>
              </w:rPr>
            </w:pPr>
          </w:p>
        </w:tc>
        <w:tc>
          <w:tcPr>
            <w:tcW w:w="3318"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纳税人提交书面材料（无纸化企业留存备查）。</w:t>
            </w:r>
          </w:p>
        </w:tc>
        <w:tc>
          <w:tcPr>
            <w:tcW w:w="868"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96"/>
          <w:jc w:val="center"/>
        </w:trPr>
        <w:tc>
          <w:tcPr>
            <w:tcW w:w="1250" w:type="dxa"/>
            <w:vMerge/>
            <w:vAlign w:val="center"/>
          </w:tcPr>
          <w:p w:rsidR="00013EC7" w:rsidRDefault="00013EC7">
            <w:pPr>
              <w:rPr>
                <w:rFonts w:ascii="仿宋" w:eastAsia="仿宋" w:hAnsi="仿宋" w:cs="仿宋"/>
                <w:kern w:val="1"/>
                <w:sz w:val="24"/>
              </w:rPr>
            </w:pPr>
          </w:p>
        </w:tc>
        <w:tc>
          <w:tcPr>
            <w:tcW w:w="1316" w:type="dxa"/>
            <w:vMerge/>
            <w:vAlign w:val="center"/>
          </w:tcPr>
          <w:p w:rsidR="00013EC7" w:rsidRDefault="00013EC7">
            <w:pPr>
              <w:rPr>
                <w:rFonts w:ascii="仿宋" w:eastAsia="仿宋" w:hAnsi="仿宋" w:cs="仿宋"/>
                <w:kern w:val="1"/>
                <w:sz w:val="24"/>
              </w:rPr>
            </w:pPr>
          </w:p>
        </w:tc>
        <w:tc>
          <w:tcPr>
            <w:tcW w:w="2114" w:type="dxa"/>
            <w:vMerge/>
            <w:vAlign w:val="center"/>
          </w:tcPr>
          <w:p w:rsidR="00013EC7" w:rsidRDefault="00013EC7">
            <w:pPr>
              <w:rPr>
                <w:rFonts w:ascii="仿宋" w:eastAsia="仿宋" w:hAnsi="仿宋" w:cs="仿宋"/>
                <w:kern w:val="1"/>
                <w:sz w:val="24"/>
              </w:rPr>
            </w:pPr>
          </w:p>
        </w:tc>
        <w:tc>
          <w:tcPr>
            <w:tcW w:w="2785"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（五十一）采购国产设备合同（研发机构提供）1份</w:t>
            </w:r>
            <w:r>
              <w:rPr>
                <w:rFonts w:ascii="仿宋" w:eastAsia="仿宋" w:hAnsi="仿宋" w:cs="仿宋"/>
                <w:kern w:val="1"/>
                <w:sz w:val="24"/>
              </w:rPr>
              <w:t>。</w:t>
            </w:r>
          </w:p>
        </w:tc>
        <w:tc>
          <w:tcPr>
            <w:tcW w:w="1118" w:type="dxa"/>
            <w:vMerge/>
            <w:vAlign w:val="center"/>
          </w:tcPr>
          <w:p w:rsidR="00013EC7" w:rsidRDefault="00013EC7">
            <w:pPr>
              <w:rPr>
                <w:rFonts w:ascii="仿宋" w:eastAsia="仿宋" w:hAnsi="仿宋" w:cs="仿宋"/>
                <w:kern w:val="1"/>
                <w:sz w:val="24"/>
              </w:rPr>
            </w:pPr>
          </w:p>
        </w:tc>
        <w:tc>
          <w:tcPr>
            <w:tcW w:w="2403"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（五十）采购国产设备合同（研发机构提供）1份</w:t>
            </w:r>
            <w:r>
              <w:rPr>
                <w:rFonts w:ascii="仿宋" w:eastAsia="仿宋" w:hAnsi="仿宋" w:cs="仿宋"/>
                <w:kern w:val="1"/>
                <w:sz w:val="24"/>
              </w:rPr>
              <w:t>。</w:t>
            </w:r>
          </w:p>
        </w:tc>
        <w:tc>
          <w:tcPr>
            <w:tcW w:w="1196" w:type="dxa"/>
            <w:vMerge/>
            <w:vAlign w:val="center"/>
          </w:tcPr>
          <w:p w:rsidR="00013EC7" w:rsidRDefault="00013EC7">
            <w:pPr>
              <w:spacing w:line="300" w:lineRule="exact"/>
              <w:jc w:val="center"/>
              <w:rPr>
                <w:rFonts w:ascii="仿宋" w:eastAsia="仿宋" w:hAnsi="仿宋" w:cs="仿宋"/>
                <w:sz w:val="24"/>
              </w:rPr>
            </w:pPr>
          </w:p>
        </w:tc>
        <w:tc>
          <w:tcPr>
            <w:tcW w:w="3318"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纳税人提交书面材料（无纸化企业留存备查）。</w:t>
            </w:r>
          </w:p>
        </w:tc>
        <w:tc>
          <w:tcPr>
            <w:tcW w:w="868"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96"/>
          <w:jc w:val="center"/>
        </w:trPr>
        <w:tc>
          <w:tcPr>
            <w:tcW w:w="1250" w:type="dxa"/>
            <w:vMerge/>
            <w:vAlign w:val="center"/>
          </w:tcPr>
          <w:p w:rsidR="00013EC7" w:rsidRDefault="00013EC7">
            <w:pPr>
              <w:rPr>
                <w:rFonts w:ascii="仿宋" w:eastAsia="仿宋" w:hAnsi="仿宋" w:cs="仿宋"/>
                <w:kern w:val="1"/>
                <w:sz w:val="24"/>
              </w:rPr>
            </w:pPr>
          </w:p>
        </w:tc>
        <w:tc>
          <w:tcPr>
            <w:tcW w:w="1316" w:type="dxa"/>
            <w:vMerge/>
            <w:vAlign w:val="center"/>
          </w:tcPr>
          <w:p w:rsidR="00013EC7" w:rsidRDefault="00013EC7">
            <w:pPr>
              <w:rPr>
                <w:rFonts w:ascii="仿宋" w:eastAsia="仿宋" w:hAnsi="仿宋" w:cs="仿宋"/>
                <w:kern w:val="1"/>
                <w:sz w:val="24"/>
              </w:rPr>
            </w:pPr>
          </w:p>
        </w:tc>
        <w:tc>
          <w:tcPr>
            <w:tcW w:w="2114" w:type="dxa"/>
            <w:vMerge/>
            <w:vAlign w:val="center"/>
          </w:tcPr>
          <w:p w:rsidR="00013EC7" w:rsidRDefault="00013EC7">
            <w:pPr>
              <w:rPr>
                <w:rFonts w:ascii="仿宋" w:eastAsia="仿宋" w:hAnsi="仿宋" w:cs="仿宋"/>
                <w:kern w:val="1"/>
                <w:sz w:val="24"/>
              </w:rPr>
            </w:pPr>
          </w:p>
        </w:tc>
        <w:tc>
          <w:tcPr>
            <w:tcW w:w="2785"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（五十二）增值税专用发票（抵扣联）</w:t>
            </w:r>
            <w:r>
              <w:rPr>
                <w:rFonts w:ascii="仿宋" w:eastAsia="仿宋" w:hAnsi="仿宋" w:cs="仿宋"/>
                <w:kern w:val="1"/>
                <w:sz w:val="24"/>
              </w:rPr>
              <w:t>。</w:t>
            </w:r>
          </w:p>
        </w:tc>
        <w:tc>
          <w:tcPr>
            <w:tcW w:w="1118" w:type="dxa"/>
            <w:vMerge/>
            <w:vAlign w:val="center"/>
          </w:tcPr>
          <w:p w:rsidR="00013EC7" w:rsidRDefault="00013EC7">
            <w:pPr>
              <w:rPr>
                <w:rFonts w:ascii="仿宋" w:eastAsia="仿宋" w:hAnsi="仿宋" w:cs="仿宋"/>
                <w:kern w:val="1"/>
                <w:sz w:val="24"/>
              </w:rPr>
            </w:pPr>
          </w:p>
        </w:tc>
        <w:tc>
          <w:tcPr>
            <w:tcW w:w="2403"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（十六）增值税专用发票（抵扣联）</w:t>
            </w:r>
            <w:r>
              <w:rPr>
                <w:rFonts w:ascii="仿宋" w:eastAsia="仿宋" w:hAnsi="仿宋" w:cs="仿宋"/>
                <w:kern w:val="1"/>
                <w:sz w:val="24"/>
              </w:rPr>
              <w:t>。</w:t>
            </w:r>
          </w:p>
        </w:tc>
        <w:tc>
          <w:tcPr>
            <w:tcW w:w="1196" w:type="dxa"/>
            <w:vAlign w:val="center"/>
          </w:tcPr>
          <w:p w:rsidR="00013EC7" w:rsidRDefault="00575CDB">
            <w:pPr>
              <w:rPr>
                <w:rFonts w:ascii="仿宋" w:eastAsia="仿宋" w:hAnsi="仿宋" w:cs="仿宋"/>
                <w:sz w:val="24"/>
              </w:rPr>
            </w:pPr>
            <w:r>
              <w:rPr>
                <w:rFonts w:ascii="仿宋" w:eastAsia="仿宋" w:hAnsi="仿宋" w:cs="仿宋" w:hint="eastAsia"/>
                <w:b/>
                <w:bCs/>
                <w:i/>
                <w:iCs/>
                <w:sz w:val="24"/>
              </w:rPr>
              <w:t>经办机构自行获取</w:t>
            </w:r>
          </w:p>
        </w:tc>
        <w:tc>
          <w:tcPr>
            <w:tcW w:w="3318" w:type="dxa"/>
            <w:vAlign w:val="center"/>
          </w:tcPr>
          <w:p w:rsidR="00013EC7" w:rsidRDefault="00575CDB">
            <w:pPr>
              <w:rPr>
                <w:rFonts w:ascii="仿宋" w:eastAsia="仿宋" w:hAnsi="仿宋" w:cs="仿宋"/>
                <w:sz w:val="24"/>
              </w:rPr>
            </w:pPr>
            <w:r>
              <w:rPr>
                <w:rFonts w:ascii="仿宋" w:eastAsia="仿宋" w:hAnsi="仿宋" w:cs="仿宋" w:hint="eastAsia"/>
                <w:b/>
                <w:sz w:val="24"/>
              </w:rPr>
              <w:t>内部共享：</w:t>
            </w:r>
            <w:r>
              <w:rPr>
                <w:rFonts w:ascii="仿宋" w:eastAsia="仿宋" w:hAnsi="仿宋" w:cs="仿宋" w:hint="eastAsia"/>
                <w:sz w:val="24"/>
              </w:rPr>
              <w:t>内部共享获取相关信息（无纸化企业留存备查，非无纸化企业需提供书面材料）。</w:t>
            </w:r>
          </w:p>
        </w:tc>
        <w:tc>
          <w:tcPr>
            <w:tcW w:w="868"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193"/>
          <w:jc w:val="center"/>
        </w:trPr>
        <w:tc>
          <w:tcPr>
            <w:tcW w:w="1250" w:type="dxa"/>
            <w:vMerge/>
            <w:vAlign w:val="center"/>
          </w:tcPr>
          <w:p w:rsidR="00013EC7" w:rsidRDefault="00013EC7">
            <w:pPr>
              <w:rPr>
                <w:rFonts w:ascii="仿宋" w:eastAsia="仿宋" w:hAnsi="仿宋" w:cs="仿宋"/>
                <w:sz w:val="24"/>
              </w:rPr>
            </w:pPr>
          </w:p>
        </w:tc>
        <w:tc>
          <w:tcPr>
            <w:tcW w:w="1316" w:type="dxa"/>
            <w:vMerge/>
            <w:vAlign w:val="center"/>
          </w:tcPr>
          <w:p w:rsidR="00013EC7" w:rsidRDefault="00013EC7">
            <w:pPr>
              <w:rPr>
                <w:rFonts w:ascii="仿宋" w:eastAsia="仿宋" w:hAnsi="仿宋" w:cs="仿宋"/>
                <w:sz w:val="24"/>
              </w:rPr>
            </w:pPr>
          </w:p>
        </w:tc>
        <w:tc>
          <w:tcPr>
            <w:tcW w:w="2114" w:type="dxa"/>
            <w:vMerge/>
            <w:vAlign w:val="center"/>
          </w:tcPr>
          <w:p w:rsidR="00013EC7" w:rsidRDefault="00013EC7">
            <w:pPr>
              <w:rPr>
                <w:rFonts w:ascii="仿宋" w:eastAsia="仿宋" w:hAnsi="仿宋" w:cs="仿宋"/>
                <w:sz w:val="24"/>
              </w:rPr>
            </w:pPr>
          </w:p>
        </w:tc>
        <w:tc>
          <w:tcPr>
            <w:tcW w:w="2785" w:type="dxa"/>
            <w:tcBorders>
              <w:bottom w:val="single" w:sz="4" w:space="0" w:color="auto"/>
            </w:tcBorders>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（五十三）（A06509）《出口退（免）税凭证无相关电子信息申报表》及其电子数据</w:t>
            </w:r>
            <w:r>
              <w:rPr>
                <w:rFonts w:ascii="仿宋" w:eastAsia="仿宋" w:hAnsi="仿宋" w:cs="仿宋"/>
                <w:kern w:val="1"/>
                <w:sz w:val="24"/>
              </w:rPr>
              <w:t>。</w:t>
            </w:r>
          </w:p>
        </w:tc>
        <w:tc>
          <w:tcPr>
            <w:tcW w:w="1118" w:type="dxa"/>
            <w:vMerge w:val="restart"/>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kern w:val="1"/>
                <w:sz w:val="24"/>
              </w:rPr>
              <w:t>在退（免）税申报期截止之日前，如果企业出口的货物劳务及服务申报退（免）税的凭证仍没有对应管理部门电子信息或凭证的内容与电子信息比对不符，无法完成预申报的的</w:t>
            </w:r>
            <w:r>
              <w:rPr>
                <w:rFonts w:ascii="仿宋" w:eastAsia="仿宋" w:hAnsi="仿宋" w:cs="仿宋" w:hint="eastAsia"/>
                <w:sz w:val="24"/>
              </w:rPr>
              <w:t>出口生产企业纳</w:t>
            </w:r>
            <w:r>
              <w:rPr>
                <w:rFonts w:ascii="仿宋" w:eastAsia="仿宋" w:hAnsi="仿宋" w:cs="仿宋" w:hint="eastAsia"/>
                <w:sz w:val="24"/>
              </w:rPr>
              <w:lastRenderedPageBreak/>
              <w:t>税人提交</w:t>
            </w:r>
          </w:p>
        </w:tc>
        <w:tc>
          <w:tcPr>
            <w:tcW w:w="2403"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lastRenderedPageBreak/>
              <w:t>（五十一）（A06509）《出口退（免）税凭证无相关电子信息申报表》1份及其电子数据</w:t>
            </w:r>
            <w:r>
              <w:rPr>
                <w:rFonts w:ascii="仿宋" w:eastAsia="仿宋" w:hAnsi="仿宋" w:cs="仿宋"/>
                <w:kern w:val="1"/>
                <w:sz w:val="24"/>
              </w:rPr>
              <w:t>。</w:t>
            </w:r>
          </w:p>
        </w:tc>
        <w:tc>
          <w:tcPr>
            <w:tcW w:w="1196" w:type="dxa"/>
            <w:vMerge w:val="restart"/>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kern w:val="1"/>
                <w:sz w:val="24"/>
              </w:rPr>
              <w:t>在退（免）税申报期截止之日前，如果企业出口的货物劳务及服务申报退（免）税的凭证仍没有对应管理部门电子信息或凭证的内容与电子信息比对不符，无法完成预申报的的</w:t>
            </w:r>
            <w:r>
              <w:rPr>
                <w:rFonts w:ascii="仿宋" w:eastAsia="仿宋" w:hAnsi="仿宋" w:cs="仿宋" w:hint="eastAsia"/>
                <w:sz w:val="24"/>
              </w:rPr>
              <w:t>出口生产企业纳</w:t>
            </w:r>
            <w:r>
              <w:rPr>
                <w:rFonts w:ascii="仿宋" w:eastAsia="仿宋" w:hAnsi="仿宋" w:cs="仿宋" w:hint="eastAsia"/>
                <w:sz w:val="24"/>
              </w:rPr>
              <w:lastRenderedPageBreak/>
              <w:t>税人提交</w:t>
            </w:r>
          </w:p>
        </w:tc>
        <w:tc>
          <w:tcPr>
            <w:tcW w:w="3318"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b/>
                <w:sz w:val="24"/>
              </w:rPr>
              <w:lastRenderedPageBreak/>
              <w:t>现场办理：</w:t>
            </w:r>
            <w:r>
              <w:rPr>
                <w:rFonts w:ascii="仿宋" w:eastAsia="仿宋" w:hAnsi="仿宋" w:cs="仿宋" w:hint="eastAsia"/>
                <w:sz w:val="24"/>
              </w:rPr>
              <w:t>纳税人提交书面材料（无纸化企业留存备查）。</w:t>
            </w:r>
          </w:p>
          <w:p w:rsidR="00013EC7" w:rsidRDefault="00575CDB">
            <w:pPr>
              <w:spacing w:line="300" w:lineRule="exact"/>
              <w:rPr>
                <w:rFonts w:ascii="仿宋" w:eastAsia="仿宋" w:hAnsi="仿宋" w:cs="仿宋"/>
                <w:sz w:val="24"/>
              </w:rPr>
            </w:pPr>
            <w:r>
              <w:rPr>
                <w:rFonts w:ascii="仿宋" w:eastAsia="仿宋" w:hAnsi="仿宋" w:cs="仿宋" w:hint="eastAsia"/>
                <w:b/>
                <w:sz w:val="24"/>
              </w:rPr>
              <w:t>网上办理：</w:t>
            </w:r>
            <w:r>
              <w:rPr>
                <w:rFonts w:ascii="仿宋" w:eastAsia="仿宋" w:hAnsi="仿宋" w:cs="仿宋" w:hint="eastAsia"/>
                <w:sz w:val="24"/>
              </w:rPr>
              <w:t>登录浙江省国家税务局电子税务局提交电子数据。</w:t>
            </w:r>
          </w:p>
        </w:tc>
        <w:tc>
          <w:tcPr>
            <w:tcW w:w="868" w:type="dxa"/>
            <w:vMerge/>
            <w:vAlign w:val="center"/>
          </w:tcPr>
          <w:p w:rsidR="00013EC7" w:rsidRDefault="00013EC7">
            <w:pPr>
              <w:rPr>
                <w:rFonts w:ascii="仿宋" w:eastAsia="仿宋" w:hAnsi="仿宋" w:cs="仿宋"/>
                <w:sz w:val="24"/>
              </w:rPr>
            </w:pPr>
          </w:p>
        </w:tc>
        <w:tc>
          <w:tcPr>
            <w:tcW w:w="798" w:type="dxa"/>
            <w:vMerge/>
            <w:vAlign w:val="center"/>
          </w:tcPr>
          <w:p w:rsidR="00013EC7" w:rsidRDefault="00013EC7">
            <w:pPr>
              <w:rPr>
                <w:rFonts w:ascii="仿宋" w:eastAsia="仿宋" w:hAnsi="仿宋" w:cs="仿宋"/>
                <w:sz w:val="24"/>
              </w:rPr>
            </w:pP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193"/>
          <w:jc w:val="center"/>
        </w:trPr>
        <w:tc>
          <w:tcPr>
            <w:tcW w:w="1250" w:type="dxa"/>
            <w:vMerge/>
            <w:vAlign w:val="center"/>
          </w:tcPr>
          <w:p w:rsidR="00013EC7" w:rsidRDefault="00013EC7"/>
        </w:tc>
        <w:tc>
          <w:tcPr>
            <w:tcW w:w="1316" w:type="dxa"/>
            <w:vMerge/>
            <w:vAlign w:val="center"/>
          </w:tcPr>
          <w:p w:rsidR="00013EC7" w:rsidRDefault="00013EC7"/>
        </w:tc>
        <w:tc>
          <w:tcPr>
            <w:tcW w:w="2114" w:type="dxa"/>
            <w:vMerge/>
            <w:vAlign w:val="center"/>
          </w:tcPr>
          <w:p w:rsidR="00013EC7" w:rsidRDefault="00013EC7"/>
        </w:tc>
        <w:tc>
          <w:tcPr>
            <w:tcW w:w="2785" w:type="dxa"/>
            <w:tcBorders>
              <w:bottom w:val="single" w:sz="4" w:space="0" w:color="auto"/>
            </w:tcBorders>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（五十四）退（免）税申报凭证及资料。</w:t>
            </w:r>
          </w:p>
        </w:tc>
        <w:tc>
          <w:tcPr>
            <w:tcW w:w="1118" w:type="dxa"/>
            <w:vMerge/>
            <w:vAlign w:val="center"/>
          </w:tcPr>
          <w:p w:rsidR="00013EC7" w:rsidRDefault="00013EC7">
            <w:pPr>
              <w:rPr>
                <w:rFonts w:ascii="仿宋" w:eastAsia="仿宋" w:hAnsi="仿宋" w:cs="仿宋"/>
                <w:kern w:val="1"/>
                <w:sz w:val="24"/>
              </w:rPr>
            </w:pPr>
          </w:p>
        </w:tc>
        <w:tc>
          <w:tcPr>
            <w:tcW w:w="2403"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（五十二）退（免）税申报凭证及资料。</w:t>
            </w:r>
          </w:p>
        </w:tc>
        <w:tc>
          <w:tcPr>
            <w:tcW w:w="1196" w:type="dxa"/>
            <w:vMerge/>
            <w:vAlign w:val="center"/>
          </w:tcPr>
          <w:p w:rsidR="00013EC7" w:rsidRDefault="00013EC7">
            <w:pPr>
              <w:rPr>
                <w:rFonts w:ascii="仿宋" w:eastAsia="仿宋" w:hAnsi="仿宋" w:cs="仿宋"/>
                <w:kern w:val="1"/>
                <w:sz w:val="24"/>
              </w:rPr>
            </w:pPr>
          </w:p>
        </w:tc>
        <w:tc>
          <w:tcPr>
            <w:tcW w:w="3318"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纳税人提交书面材料（无纸化企业留存备查）。</w:t>
            </w:r>
          </w:p>
          <w:p w:rsidR="00013EC7" w:rsidRDefault="00013EC7">
            <w:pPr>
              <w:rPr>
                <w:rFonts w:ascii="仿宋" w:eastAsia="仿宋" w:hAnsi="仿宋" w:cs="仿宋"/>
                <w:kern w:val="1"/>
                <w:sz w:val="24"/>
              </w:rPr>
            </w:pPr>
          </w:p>
        </w:tc>
        <w:tc>
          <w:tcPr>
            <w:tcW w:w="868"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bl>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575CDB">
      <w:pPr>
        <w:jc w:val="center"/>
      </w:pPr>
      <w:r>
        <w:object w:dxaOrig="8241" w:dyaOrig="11164">
          <v:shape id="_x0000_i1201" type="#_x0000_t75" style="width:412.05pt;height:558.2pt" o:ole="">
            <v:imagedata r:id="rId470" o:title=""/>
          </v:shape>
          <o:OLEObject Type="Embed" ProgID="Visio.Drawing.11" ShapeID="_x0000_i1201" DrawAspect="Content" ObjectID="_1577296124" r:id="rId471"/>
        </w:object>
      </w:r>
      <w:r>
        <w:object w:dxaOrig="10166" w:dyaOrig="11563">
          <v:shape id="_x0000_i1202" type="#_x0000_t75" style="width:508.3pt;height:578.15pt" o:ole="">
            <v:imagedata r:id="rId472" o:title=""/>
          </v:shape>
          <o:OLEObject Type="Embed" ProgID="Visio.Drawing.11" ShapeID="_x0000_i1202" DrawAspect="Content" ObjectID="_1577296125" r:id="rId473"/>
        </w:object>
      </w:r>
    </w:p>
    <w:p w:rsidR="00013EC7" w:rsidRDefault="00013EC7">
      <w:pPr>
        <w:jc w:val="center"/>
        <w:rPr>
          <w:rFonts w:eastAsia="方正书宋简体"/>
          <w:szCs w:val="21"/>
        </w:rPr>
      </w:pPr>
    </w:p>
    <w:p w:rsidR="00013EC7" w:rsidRDefault="00013EC7">
      <w:pPr>
        <w:rPr>
          <w:rFonts w:ascii="宋体" w:hAnsi="宋体" w:cs="仿宋"/>
          <w:sz w:val="28"/>
          <w:szCs w:val="28"/>
        </w:rPr>
        <w:sectPr w:rsidR="00013EC7">
          <w:pgSz w:w="23814" w:h="16840" w:orient="landscape"/>
          <w:pgMar w:top="1701" w:right="1843" w:bottom="1985" w:left="1843" w:header="851" w:footer="1701" w:gutter="0"/>
          <w:pgNumType w:fmt="numberInDash"/>
          <w:cols w:space="720"/>
          <w:docGrid w:type="lines" w:linePitch="312"/>
        </w:sectPr>
      </w:pPr>
    </w:p>
    <w:p w:rsidR="00013EC7" w:rsidRDefault="00575CDB">
      <w:pPr>
        <w:pStyle w:val="2"/>
      </w:pPr>
      <w:bookmarkStart w:id="571" w:name="_Toc15783"/>
      <w:bookmarkStart w:id="572" w:name="_Toc503467485"/>
      <w:bookmarkStart w:id="573" w:name="_Toc15698"/>
      <w:bookmarkStart w:id="574" w:name="_Toc10776"/>
      <w:r>
        <w:rPr>
          <w:rFonts w:hint="eastAsia"/>
        </w:rPr>
        <w:lastRenderedPageBreak/>
        <w:t xml:space="preserve">29.4 </w:t>
      </w:r>
      <w:r>
        <w:rPr>
          <w:rFonts w:hint="eastAsia"/>
        </w:rPr>
        <w:t>外贸企业免退税办理</w:t>
      </w:r>
      <w:bookmarkEnd w:id="571"/>
      <w:bookmarkEnd w:id="572"/>
      <w:bookmarkEnd w:id="573"/>
      <w:bookmarkEnd w:id="574"/>
    </w:p>
    <w:p w:rsidR="00013EC7" w:rsidRDefault="00575CDB">
      <w:pPr>
        <w:jc w:val="center"/>
        <w:rPr>
          <w:rFonts w:ascii="宋体" w:hAnsi="宋体" w:cs="宋体"/>
          <w:b/>
          <w:bCs/>
          <w:sz w:val="52"/>
          <w:szCs w:val="52"/>
        </w:rPr>
      </w:pPr>
      <w:r>
        <w:rPr>
          <w:rFonts w:ascii="宋体" w:hAnsi="宋体" w:cs="宋体" w:hint="eastAsia"/>
          <w:b/>
          <w:bCs/>
          <w:sz w:val="52"/>
          <w:szCs w:val="52"/>
        </w:rPr>
        <w:t>全省“最多跑一次”事项“八统一”梳理表</w:t>
      </w:r>
    </w:p>
    <w:p w:rsidR="00013EC7" w:rsidRDefault="00013EC7">
      <w:pPr>
        <w:rPr>
          <w:rFonts w:ascii="宋体" w:hAnsi="宋体" w:cs="宋体"/>
          <w:b/>
          <w:bCs/>
          <w:sz w:val="44"/>
          <w:szCs w:val="44"/>
        </w:rPr>
      </w:pPr>
    </w:p>
    <w:tbl>
      <w:tblPr>
        <w:tblW w:w="20704"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1250"/>
        <w:gridCol w:w="1316"/>
        <w:gridCol w:w="2122"/>
        <w:gridCol w:w="2777"/>
        <w:gridCol w:w="1118"/>
        <w:gridCol w:w="2403"/>
        <w:gridCol w:w="1606"/>
        <w:gridCol w:w="2908"/>
        <w:gridCol w:w="868"/>
        <w:gridCol w:w="798"/>
        <w:gridCol w:w="958"/>
        <w:gridCol w:w="1104"/>
        <w:gridCol w:w="1476"/>
      </w:tblGrid>
      <w:tr w:rsidR="00013EC7">
        <w:trPr>
          <w:trHeight w:val="340"/>
          <w:tblHeader/>
          <w:jc w:val="center"/>
        </w:trPr>
        <w:tc>
          <w:tcPr>
            <w:tcW w:w="1250"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主项名称</w:t>
            </w:r>
          </w:p>
        </w:tc>
        <w:tc>
          <w:tcPr>
            <w:tcW w:w="1316"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子项名称</w:t>
            </w:r>
          </w:p>
        </w:tc>
        <w:tc>
          <w:tcPr>
            <w:tcW w:w="2122"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经办依据</w:t>
            </w:r>
          </w:p>
        </w:tc>
        <w:tc>
          <w:tcPr>
            <w:tcW w:w="3895"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原经办所需材料</w:t>
            </w:r>
          </w:p>
        </w:tc>
        <w:tc>
          <w:tcPr>
            <w:tcW w:w="6917" w:type="dxa"/>
            <w:gridSpan w:val="3"/>
            <w:vAlign w:val="center"/>
          </w:tcPr>
          <w:p w:rsidR="00013EC7" w:rsidRDefault="00575CDB">
            <w:pPr>
              <w:spacing w:line="280" w:lineRule="exact"/>
              <w:jc w:val="center"/>
              <w:rPr>
                <w:rFonts w:ascii="黑体" w:eastAsia="黑体"/>
                <w:sz w:val="24"/>
              </w:rPr>
            </w:pPr>
            <w:r>
              <w:rPr>
                <w:rFonts w:ascii="黑体" w:eastAsia="黑体" w:hint="eastAsia"/>
                <w:sz w:val="24"/>
              </w:rPr>
              <w:t>梳理后经办所需材料</w:t>
            </w:r>
          </w:p>
        </w:tc>
        <w:tc>
          <w:tcPr>
            <w:tcW w:w="1666"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办理时限</w:t>
            </w:r>
          </w:p>
        </w:tc>
        <w:tc>
          <w:tcPr>
            <w:tcW w:w="958"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是否实现跑零次</w:t>
            </w:r>
          </w:p>
        </w:tc>
        <w:tc>
          <w:tcPr>
            <w:tcW w:w="1104"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省厅对口</w:t>
            </w:r>
          </w:p>
          <w:p w:rsidR="00013EC7" w:rsidRDefault="00575CDB">
            <w:pPr>
              <w:spacing w:line="280" w:lineRule="exact"/>
              <w:jc w:val="center"/>
              <w:rPr>
                <w:rFonts w:ascii="黑体" w:eastAsia="黑体"/>
                <w:sz w:val="24"/>
              </w:rPr>
            </w:pPr>
            <w:r>
              <w:rPr>
                <w:rFonts w:ascii="黑体" w:eastAsia="黑体" w:hint="eastAsia"/>
                <w:sz w:val="24"/>
              </w:rPr>
              <w:t>指导处室</w:t>
            </w:r>
          </w:p>
          <w:p w:rsidR="00013EC7" w:rsidRDefault="00575CDB">
            <w:pPr>
              <w:spacing w:line="280" w:lineRule="exact"/>
              <w:jc w:val="center"/>
              <w:rPr>
                <w:rFonts w:ascii="黑体" w:eastAsia="黑体"/>
                <w:sz w:val="24"/>
              </w:rPr>
            </w:pPr>
            <w:r>
              <w:rPr>
                <w:rFonts w:ascii="黑体" w:eastAsia="黑体" w:hint="eastAsia"/>
                <w:sz w:val="24"/>
              </w:rPr>
              <w:t>（单位）</w:t>
            </w:r>
          </w:p>
        </w:tc>
        <w:tc>
          <w:tcPr>
            <w:tcW w:w="1476"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进一步精简、</w:t>
            </w:r>
          </w:p>
          <w:p w:rsidR="00013EC7" w:rsidRDefault="00575CDB">
            <w:pPr>
              <w:spacing w:line="280" w:lineRule="exact"/>
              <w:jc w:val="center"/>
              <w:rPr>
                <w:rFonts w:ascii="黑体" w:eastAsia="黑体"/>
                <w:sz w:val="24"/>
              </w:rPr>
            </w:pPr>
            <w:r>
              <w:rPr>
                <w:rFonts w:ascii="黑体" w:eastAsia="黑体" w:hint="eastAsia"/>
                <w:sz w:val="24"/>
              </w:rPr>
              <w:t>规范建议</w:t>
            </w:r>
          </w:p>
        </w:tc>
      </w:tr>
      <w:tr w:rsidR="00013EC7">
        <w:trPr>
          <w:trHeight w:val="340"/>
          <w:tblHeader/>
          <w:jc w:val="center"/>
        </w:trPr>
        <w:tc>
          <w:tcPr>
            <w:tcW w:w="1250" w:type="dxa"/>
            <w:vMerge/>
            <w:vAlign w:val="center"/>
          </w:tcPr>
          <w:p w:rsidR="00013EC7" w:rsidRDefault="00013EC7">
            <w:pPr>
              <w:rPr>
                <w:sz w:val="24"/>
              </w:rPr>
            </w:pPr>
          </w:p>
        </w:tc>
        <w:tc>
          <w:tcPr>
            <w:tcW w:w="1316" w:type="dxa"/>
            <w:vMerge/>
          </w:tcPr>
          <w:p w:rsidR="00013EC7" w:rsidRDefault="00013EC7">
            <w:pPr>
              <w:rPr>
                <w:sz w:val="24"/>
              </w:rPr>
            </w:pPr>
          </w:p>
        </w:tc>
        <w:tc>
          <w:tcPr>
            <w:tcW w:w="2122" w:type="dxa"/>
            <w:vMerge/>
          </w:tcPr>
          <w:p w:rsidR="00013EC7" w:rsidRDefault="00013EC7">
            <w:pPr>
              <w:rPr>
                <w:sz w:val="24"/>
              </w:rPr>
            </w:pPr>
          </w:p>
        </w:tc>
        <w:tc>
          <w:tcPr>
            <w:tcW w:w="2777" w:type="dxa"/>
            <w:tcBorders>
              <w:bottom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118"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2403" w:type="dxa"/>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606"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2908" w:type="dxa"/>
            <w:vAlign w:val="center"/>
          </w:tcPr>
          <w:p w:rsidR="00013EC7" w:rsidRDefault="00575CDB">
            <w:pPr>
              <w:spacing w:line="280" w:lineRule="exact"/>
              <w:jc w:val="center"/>
              <w:rPr>
                <w:rFonts w:ascii="黑体" w:eastAsia="黑体"/>
                <w:sz w:val="24"/>
              </w:rPr>
            </w:pPr>
            <w:r>
              <w:rPr>
                <w:rFonts w:ascii="黑体" w:eastAsia="黑体" w:hint="eastAsia"/>
                <w:sz w:val="24"/>
              </w:rPr>
              <w:t>办理方式及材料</w:t>
            </w:r>
          </w:p>
          <w:p w:rsidR="00013EC7" w:rsidRDefault="00575CDB">
            <w:pPr>
              <w:spacing w:line="280" w:lineRule="exact"/>
              <w:jc w:val="center"/>
              <w:rPr>
                <w:rFonts w:ascii="黑体" w:eastAsia="黑体"/>
                <w:sz w:val="24"/>
              </w:rPr>
            </w:pPr>
            <w:r>
              <w:rPr>
                <w:rFonts w:ascii="黑体" w:eastAsia="黑体" w:hint="eastAsia"/>
                <w:sz w:val="24"/>
              </w:rPr>
              <w:t>信息获取方式说明</w:t>
            </w:r>
          </w:p>
        </w:tc>
        <w:tc>
          <w:tcPr>
            <w:tcW w:w="868" w:type="dxa"/>
            <w:vAlign w:val="center"/>
          </w:tcPr>
          <w:p w:rsidR="00013EC7" w:rsidRDefault="00575CDB">
            <w:pPr>
              <w:spacing w:line="280" w:lineRule="exact"/>
              <w:jc w:val="center"/>
              <w:rPr>
                <w:rFonts w:ascii="黑体" w:eastAsia="黑体"/>
                <w:sz w:val="24"/>
              </w:rPr>
            </w:pPr>
            <w:r>
              <w:rPr>
                <w:rFonts w:ascii="黑体" w:eastAsia="黑体" w:hint="eastAsia"/>
                <w:sz w:val="24"/>
              </w:rPr>
              <w:t>优化前</w:t>
            </w:r>
          </w:p>
        </w:tc>
        <w:tc>
          <w:tcPr>
            <w:tcW w:w="798" w:type="dxa"/>
            <w:vAlign w:val="center"/>
          </w:tcPr>
          <w:p w:rsidR="00013EC7" w:rsidRDefault="00575CDB">
            <w:pPr>
              <w:spacing w:line="280" w:lineRule="exact"/>
              <w:jc w:val="center"/>
              <w:rPr>
                <w:rFonts w:ascii="黑体" w:eastAsia="黑体"/>
                <w:sz w:val="24"/>
              </w:rPr>
            </w:pPr>
            <w:r>
              <w:rPr>
                <w:rFonts w:ascii="黑体" w:eastAsia="黑体" w:hint="eastAsia"/>
                <w:sz w:val="24"/>
              </w:rPr>
              <w:t>优化后</w:t>
            </w:r>
          </w:p>
        </w:tc>
        <w:tc>
          <w:tcPr>
            <w:tcW w:w="958" w:type="dxa"/>
            <w:vMerge/>
            <w:vAlign w:val="center"/>
          </w:tcPr>
          <w:p w:rsidR="00013EC7" w:rsidRDefault="00013EC7">
            <w:pPr>
              <w:rPr>
                <w:sz w:val="24"/>
              </w:rPr>
            </w:pPr>
          </w:p>
        </w:tc>
        <w:tc>
          <w:tcPr>
            <w:tcW w:w="1104" w:type="dxa"/>
            <w:vMerge/>
            <w:vAlign w:val="center"/>
          </w:tcPr>
          <w:p w:rsidR="00013EC7" w:rsidRDefault="00013EC7">
            <w:pPr>
              <w:rPr>
                <w:sz w:val="24"/>
              </w:rPr>
            </w:pPr>
          </w:p>
        </w:tc>
        <w:tc>
          <w:tcPr>
            <w:tcW w:w="1476" w:type="dxa"/>
            <w:vMerge/>
            <w:vAlign w:val="center"/>
          </w:tcPr>
          <w:p w:rsidR="00013EC7" w:rsidRDefault="00013EC7">
            <w:pPr>
              <w:rPr>
                <w:sz w:val="24"/>
              </w:rPr>
            </w:pPr>
          </w:p>
        </w:tc>
      </w:tr>
      <w:tr w:rsidR="00013EC7">
        <w:trPr>
          <w:trHeight w:val="1475"/>
          <w:jc w:val="center"/>
        </w:trPr>
        <w:tc>
          <w:tcPr>
            <w:tcW w:w="1250" w:type="dxa"/>
            <w:vMerge w:val="restart"/>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29.出口退（免）税事项办理</w:t>
            </w:r>
          </w:p>
        </w:tc>
        <w:tc>
          <w:tcPr>
            <w:tcW w:w="1316" w:type="dxa"/>
            <w:vMerge w:val="restart"/>
            <w:vAlign w:val="center"/>
          </w:tcPr>
          <w:p w:rsidR="00013EC7" w:rsidRDefault="00575CDB">
            <w:pPr>
              <w:spacing w:line="310" w:lineRule="exact"/>
              <w:rPr>
                <w:rFonts w:ascii="仿宋" w:eastAsia="仿宋" w:hAnsi="仿宋" w:cs="仿宋"/>
                <w:sz w:val="24"/>
              </w:rPr>
            </w:pPr>
            <w:r>
              <w:rPr>
                <w:rFonts w:ascii="仿宋" w:eastAsia="仿宋" w:hAnsi="仿宋" w:cs="仿宋" w:hint="eastAsia"/>
                <w:sz w:val="24"/>
              </w:rPr>
              <w:t>29.4外贸企业免退税办理</w:t>
            </w:r>
          </w:p>
        </w:tc>
        <w:tc>
          <w:tcPr>
            <w:tcW w:w="2122" w:type="dxa"/>
            <w:vMerge w:val="restart"/>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（一）</w:t>
            </w:r>
            <w:r>
              <w:rPr>
                <w:rFonts w:ascii="仿宋" w:eastAsia="仿宋" w:hAnsi="仿宋" w:cs="仿宋"/>
                <w:kern w:val="1"/>
                <w:sz w:val="24"/>
              </w:rPr>
              <w:t>《财政部 国家税务总局关于出口货物劳务增值税和消费税政策的通知》（财税〔2012〕39号）</w:t>
            </w:r>
            <w:r>
              <w:rPr>
                <w:rFonts w:ascii="仿宋" w:eastAsia="仿宋" w:hAnsi="仿宋" w:cs="仿宋" w:hint="eastAsia"/>
                <w:kern w:val="1"/>
                <w:sz w:val="24"/>
              </w:rPr>
              <w:t>第二条、第四条、第五条、第九条</w:t>
            </w:r>
            <w:r>
              <w:rPr>
                <w:rFonts w:ascii="仿宋" w:eastAsia="仿宋" w:hAnsi="仿宋" w:cs="仿宋"/>
                <w:kern w:val="1"/>
                <w:sz w:val="24"/>
              </w:rPr>
              <w:t>。</w:t>
            </w:r>
          </w:p>
          <w:p w:rsidR="00013EC7" w:rsidRDefault="00575CDB">
            <w:pPr>
              <w:rPr>
                <w:rFonts w:ascii="仿宋" w:eastAsia="仿宋" w:hAnsi="仿宋" w:cs="仿宋"/>
                <w:kern w:val="1"/>
                <w:sz w:val="24"/>
              </w:rPr>
            </w:pPr>
            <w:r>
              <w:rPr>
                <w:rFonts w:ascii="仿宋" w:eastAsia="仿宋" w:hAnsi="仿宋" w:cs="仿宋" w:hint="eastAsia"/>
                <w:kern w:val="1"/>
                <w:sz w:val="24"/>
              </w:rPr>
              <w:t>（二）</w:t>
            </w:r>
            <w:bookmarkStart w:id="575" w:name="OLE_LINK6"/>
            <w:bookmarkStart w:id="576" w:name="OLE_LINK7"/>
            <w:r>
              <w:rPr>
                <w:rFonts w:ascii="仿宋" w:eastAsia="仿宋" w:hAnsi="仿宋" w:cs="仿宋"/>
                <w:kern w:val="1"/>
                <w:sz w:val="24"/>
              </w:rPr>
              <w:t>《国家税务总局关于发布&lt;出口货物劳务增值税和消费税管理办法&gt;的公告》（国家税务总局公告2012年第24号）</w:t>
            </w:r>
            <w:bookmarkEnd w:id="575"/>
            <w:bookmarkEnd w:id="576"/>
            <w:r>
              <w:rPr>
                <w:rFonts w:ascii="仿宋" w:eastAsia="仿宋" w:hAnsi="仿宋" w:cs="仿宋" w:hint="eastAsia"/>
                <w:kern w:val="1"/>
                <w:sz w:val="24"/>
              </w:rPr>
              <w:t>第五条</w:t>
            </w:r>
            <w:r>
              <w:rPr>
                <w:rFonts w:ascii="仿宋" w:eastAsia="仿宋" w:hAnsi="仿宋" w:cs="仿宋"/>
                <w:kern w:val="1"/>
                <w:sz w:val="24"/>
              </w:rPr>
              <w:t>。</w:t>
            </w:r>
          </w:p>
          <w:p w:rsidR="00013EC7" w:rsidRDefault="00575CDB">
            <w:pPr>
              <w:rPr>
                <w:rFonts w:ascii="仿宋" w:eastAsia="仿宋" w:hAnsi="仿宋" w:cs="仿宋"/>
                <w:kern w:val="1"/>
                <w:sz w:val="24"/>
              </w:rPr>
            </w:pPr>
            <w:r>
              <w:rPr>
                <w:rFonts w:ascii="仿宋" w:eastAsia="仿宋" w:hAnsi="仿宋" w:cs="仿宋" w:hint="eastAsia"/>
                <w:kern w:val="1"/>
                <w:sz w:val="24"/>
              </w:rPr>
              <w:t>（三）</w:t>
            </w:r>
            <w:bookmarkStart w:id="577" w:name="OLE_LINK9"/>
            <w:bookmarkStart w:id="578" w:name="OLE_LINK8"/>
            <w:r>
              <w:rPr>
                <w:rFonts w:ascii="仿宋" w:eastAsia="仿宋" w:hAnsi="仿宋" w:cs="仿宋"/>
                <w:kern w:val="1"/>
                <w:sz w:val="24"/>
              </w:rPr>
              <w:t>《国家税务总局关于&lt;出口货物劳务增值税和消费税管理办法&gt;有关问题的公告》（国家税务总局公告2013年第12号）</w:t>
            </w:r>
            <w:bookmarkEnd w:id="577"/>
            <w:bookmarkEnd w:id="578"/>
            <w:r>
              <w:rPr>
                <w:rFonts w:ascii="仿宋" w:eastAsia="仿宋" w:hAnsi="仿宋" w:cs="仿宋" w:hint="eastAsia"/>
                <w:kern w:val="1"/>
                <w:sz w:val="24"/>
              </w:rPr>
              <w:t>第二条</w:t>
            </w:r>
            <w:r>
              <w:rPr>
                <w:rFonts w:ascii="仿宋" w:eastAsia="仿宋" w:hAnsi="仿宋" w:cs="仿宋"/>
                <w:kern w:val="1"/>
                <w:sz w:val="24"/>
              </w:rPr>
              <w:t>。</w:t>
            </w:r>
          </w:p>
          <w:p w:rsidR="00013EC7" w:rsidRDefault="00575CDB">
            <w:pPr>
              <w:rPr>
                <w:rFonts w:ascii="仿宋" w:eastAsia="仿宋" w:hAnsi="仿宋" w:cs="仿宋"/>
                <w:kern w:val="1"/>
                <w:sz w:val="24"/>
              </w:rPr>
            </w:pPr>
            <w:r>
              <w:rPr>
                <w:rFonts w:ascii="仿宋" w:eastAsia="仿宋" w:hAnsi="仿宋" w:cs="仿宋" w:hint="eastAsia"/>
                <w:kern w:val="1"/>
                <w:sz w:val="24"/>
              </w:rPr>
              <w:t>（四）</w:t>
            </w:r>
            <w:bookmarkStart w:id="579" w:name="OLE_LINK12"/>
            <w:r>
              <w:rPr>
                <w:rFonts w:ascii="仿宋" w:eastAsia="仿宋" w:hAnsi="仿宋" w:cs="仿宋"/>
                <w:kern w:val="1"/>
                <w:sz w:val="24"/>
              </w:rPr>
              <w:t>《国家税务总局关于调整出口退（免）税申报办法的公告》（国家税务总局公告2013年第61号）</w:t>
            </w:r>
            <w:bookmarkEnd w:id="579"/>
            <w:r>
              <w:rPr>
                <w:rFonts w:ascii="仿宋" w:eastAsia="仿宋" w:hAnsi="仿宋" w:cs="仿宋" w:hint="eastAsia"/>
                <w:kern w:val="1"/>
                <w:sz w:val="24"/>
              </w:rPr>
              <w:t>全文</w:t>
            </w:r>
            <w:r>
              <w:rPr>
                <w:rFonts w:ascii="仿宋" w:eastAsia="仿宋" w:hAnsi="仿宋" w:cs="仿宋"/>
                <w:kern w:val="1"/>
                <w:sz w:val="24"/>
              </w:rPr>
              <w:t>。</w:t>
            </w:r>
          </w:p>
          <w:p w:rsidR="00013EC7" w:rsidRDefault="00575CDB">
            <w:pPr>
              <w:rPr>
                <w:rFonts w:ascii="仿宋" w:eastAsia="仿宋" w:hAnsi="仿宋" w:cs="仿宋"/>
                <w:kern w:val="1"/>
                <w:sz w:val="24"/>
              </w:rPr>
            </w:pPr>
            <w:r>
              <w:rPr>
                <w:rFonts w:ascii="仿宋" w:eastAsia="仿宋" w:hAnsi="仿宋" w:cs="仿宋" w:hint="eastAsia"/>
                <w:kern w:val="1"/>
                <w:sz w:val="24"/>
              </w:rPr>
              <w:t>（五）</w:t>
            </w:r>
            <w:bookmarkStart w:id="580" w:name="OLE_LINK10"/>
            <w:bookmarkStart w:id="581" w:name="OLE_LINK11"/>
            <w:r>
              <w:rPr>
                <w:rFonts w:ascii="仿宋" w:eastAsia="仿宋" w:hAnsi="仿宋" w:cs="仿宋"/>
                <w:kern w:val="1"/>
                <w:sz w:val="24"/>
              </w:rPr>
              <w:t>《国家税务总局关于出口货物劳</w:t>
            </w:r>
            <w:r>
              <w:rPr>
                <w:rFonts w:ascii="仿宋" w:eastAsia="仿宋" w:hAnsi="仿宋" w:cs="仿宋"/>
                <w:kern w:val="1"/>
                <w:sz w:val="24"/>
              </w:rPr>
              <w:lastRenderedPageBreak/>
              <w:t>务增值税和消费税有关问题的公告》（国家税务总局公告2013年第65号）</w:t>
            </w:r>
            <w:r>
              <w:rPr>
                <w:rFonts w:ascii="仿宋" w:eastAsia="仿宋" w:hAnsi="仿宋" w:cs="仿宋" w:hint="eastAsia"/>
                <w:kern w:val="1"/>
                <w:sz w:val="24"/>
              </w:rPr>
              <w:t>全文</w:t>
            </w:r>
            <w:bookmarkEnd w:id="580"/>
            <w:bookmarkEnd w:id="581"/>
            <w:r>
              <w:rPr>
                <w:rFonts w:ascii="仿宋" w:eastAsia="仿宋" w:hAnsi="仿宋" w:cs="仿宋"/>
                <w:kern w:val="1"/>
                <w:sz w:val="24"/>
              </w:rPr>
              <w:t>。</w:t>
            </w:r>
          </w:p>
          <w:p w:rsidR="00013EC7" w:rsidRDefault="00575CDB">
            <w:pPr>
              <w:rPr>
                <w:rFonts w:ascii="仿宋" w:eastAsia="仿宋" w:hAnsi="仿宋" w:cs="仿宋"/>
                <w:kern w:val="1"/>
                <w:sz w:val="24"/>
              </w:rPr>
            </w:pPr>
            <w:r>
              <w:rPr>
                <w:rFonts w:ascii="仿宋" w:eastAsia="仿宋" w:hAnsi="仿宋" w:cs="仿宋" w:hint="eastAsia"/>
                <w:kern w:val="1"/>
                <w:sz w:val="24"/>
              </w:rPr>
              <w:t>（六）</w:t>
            </w:r>
            <w:bookmarkStart w:id="582" w:name="OLE_LINK19"/>
            <w:bookmarkStart w:id="583" w:name="OLE_LINK22"/>
            <w:bookmarkStart w:id="584" w:name="OLE_LINK23"/>
            <w:bookmarkStart w:id="585" w:name="OLE_LINK21"/>
            <w:bookmarkStart w:id="586" w:name="OLE_LINK20"/>
            <w:r>
              <w:rPr>
                <w:rFonts w:ascii="仿宋" w:eastAsia="仿宋" w:hAnsi="仿宋" w:cs="仿宋" w:hint="eastAsia"/>
                <w:kern w:val="1"/>
                <w:sz w:val="24"/>
              </w:rPr>
              <w:t>《国家税务总局关于发布修订后的《出口退（免）税企业分类管理办法》的公告》（国家税务总局公告2016年第46号）第四章。</w:t>
            </w:r>
          </w:p>
          <w:p w:rsidR="00013EC7" w:rsidRDefault="00575CDB">
            <w:pPr>
              <w:rPr>
                <w:rFonts w:ascii="仿宋" w:eastAsia="仿宋" w:hAnsi="仿宋" w:cs="仿宋"/>
                <w:kern w:val="1"/>
                <w:sz w:val="24"/>
              </w:rPr>
            </w:pPr>
            <w:r>
              <w:rPr>
                <w:rFonts w:ascii="仿宋" w:eastAsia="仿宋" w:hAnsi="仿宋" w:cs="仿宋" w:hint="eastAsia"/>
                <w:kern w:val="1"/>
                <w:sz w:val="24"/>
              </w:rPr>
              <w:t>（七）《国家税务总局关于出口企业申报出口货物退（免）税提供收汇资料有关问题的公告》（国家税务总局公告2013年第30号）全文</w:t>
            </w:r>
            <w:bookmarkEnd w:id="582"/>
            <w:bookmarkEnd w:id="583"/>
            <w:bookmarkEnd w:id="584"/>
            <w:bookmarkEnd w:id="585"/>
            <w:bookmarkEnd w:id="586"/>
            <w:r>
              <w:rPr>
                <w:rFonts w:ascii="仿宋" w:eastAsia="仿宋" w:hAnsi="仿宋" w:cs="仿宋" w:hint="eastAsia"/>
                <w:kern w:val="1"/>
                <w:sz w:val="24"/>
              </w:rPr>
              <w:t>。</w:t>
            </w:r>
          </w:p>
          <w:p w:rsidR="00013EC7" w:rsidRDefault="00575CDB">
            <w:pPr>
              <w:rPr>
                <w:rFonts w:ascii="仿宋" w:eastAsia="仿宋" w:hAnsi="仿宋" w:cs="仿宋"/>
                <w:kern w:val="1"/>
                <w:sz w:val="24"/>
              </w:rPr>
            </w:pPr>
            <w:bookmarkStart w:id="587" w:name="OLE_LINK24"/>
            <w:r>
              <w:rPr>
                <w:rFonts w:ascii="仿宋" w:eastAsia="仿宋" w:hAnsi="仿宋" w:cs="仿宋"/>
                <w:kern w:val="1"/>
                <w:sz w:val="24"/>
              </w:rPr>
              <w:t>（</w:t>
            </w:r>
            <w:r>
              <w:rPr>
                <w:rFonts w:ascii="仿宋" w:eastAsia="仿宋" w:hAnsi="仿宋" w:cs="仿宋" w:hint="eastAsia"/>
                <w:kern w:val="1"/>
                <w:sz w:val="24"/>
              </w:rPr>
              <w:t>八）《国家税务总局关于出口货物劳务退（免）税管理有关问题的公告》（国家税务总局公告2014年第51号）全文</w:t>
            </w:r>
            <w:bookmarkEnd w:id="587"/>
            <w:r>
              <w:rPr>
                <w:rFonts w:ascii="仿宋" w:eastAsia="仿宋" w:hAnsi="仿宋" w:cs="仿宋" w:hint="eastAsia"/>
                <w:kern w:val="1"/>
                <w:sz w:val="24"/>
              </w:rPr>
              <w:t>。</w:t>
            </w:r>
          </w:p>
          <w:p w:rsidR="00013EC7" w:rsidRDefault="00575CDB">
            <w:pPr>
              <w:rPr>
                <w:rFonts w:ascii="仿宋" w:eastAsia="仿宋" w:hAnsi="仿宋" w:cs="仿宋"/>
                <w:kern w:val="1"/>
                <w:sz w:val="24"/>
              </w:rPr>
            </w:pPr>
            <w:r>
              <w:rPr>
                <w:rFonts w:ascii="仿宋" w:eastAsia="仿宋" w:hAnsi="仿宋" w:cs="仿宋" w:hint="eastAsia"/>
                <w:kern w:val="1"/>
                <w:sz w:val="24"/>
              </w:rPr>
              <w:t>（九）《浙江省国家税务局关于出口退（免）税无纸化申报的公告》（浙江省国家税务局公告</w:t>
            </w:r>
            <w:r>
              <w:rPr>
                <w:rFonts w:ascii="仿宋" w:eastAsia="仿宋" w:hAnsi="仿宋" w:cs="仿宋"/>
                <w:kern w:val="1"/>
                <w:sz w:val="24"/>
              </w:rPr>
              <w:t>2015</w:t>
            </w:r>
            <w:r>
              <w:rPr>
                <w:rFonts w:ascii="仿宋" w:eastAsia="仿宋" w:hAnsi="仿宋" w:cs="仿宋" w:hint="eastAsia"/>
                <w:kern w:val="1"/>
                <w:sz w:val="24"/>
              </w:rPr>
              <w:t>年第</w:t>
            </w:r>
            <w:r>
              <w:rPr>
                <w:rFonts w:ascii="仿宋" w:eastAsia="仿宋" w:hAnsi="仿宋" w:cs="仿宋"/>
                <w:kern w:val="1"/>
                <w:sz w:val="24"/>
              </w:rPr>
              <w:t>9</w:t>
            </w:r>
            <w:r>
              <w:rPr>
                <w:rFonts w:ascii="仿宋" w:eastAsia="仿宋" w:hAnsi="仿宋" w:cs="仿宋" w:hint="eastAsia"/>
                <w:kern w:val="1"/>
                <w:sz w:val="24"/>
              </w:rPr>
              <w:t>号）全文。</w:t>
            </w:r>
          </w:p>
          <w:p w:rsidR="00013EC7" w:rsidRDefault="00575CDB">
            <w:pPr>
              <w:rPr>
                <w:rFonts w:ascii="仿宋" w:eastAsia="仿宋" w:hAnsi="仿宋" w:cs="仿宋"/>
                <w:kern w:val="1"/>
                <w:sz w:val="24"/>
              </w:rPr>
            </w:pPr>
            <w:bookmarkStart w:id="588" w:name="OLE_LINK28"/>
            <w:bookmarkStart w:id="589" w:name="OLE_LINK29"/>
            <w:bookmarkStart w:id="590" w:name="OLE_LINK27"/>
            <w:bookmarkStart w:id="591" w:name="OLE_LINK30"/>
            <w:bookmarkStart w:id="592" w:name="OLE_LINK31"/>
            <w:r>
              <w:rPr>
                <w:rFonts w:ascii="仿宋" w:eastAsia="仿宋" w:hAnsi="仿宋" w:cs="仿宋"/>
                <w:kern w:val="1"/>
                <w:sz w:val="24"/>
              </w:rPr>
              <w:t>（</w:t>
            </w:r>
            <w:r>
              <w:rPr>
                <w:rFonts w:ascii="仿宋" w:eastAsia="仿宋" w:hAnsi="仿宋" w:cs="仿宋" w:hint="eastAsia"/>
                <w:kern w:val="1"/>
                <w:sz w:val="24"/>
              </w:rPr>
              <w:t>十）《国家税务总局关于进一步优化外贸综合服务企业</w:t>
            </w:r>
            <w:r>
              <w:rPr>
                <w:rFonts w:ascii="仿宋" w:eastAsia="仿宋" w:hAnsi="仿宋" w:cs="仿宋" w:hint="eastAsia"/>
                <w:kern w:val="1"/>
                <w:sz w:val="24"/>
              </w:rPr>
              <w:lastRenderedPageBreak/>
              <w:t>出口货物退（免）税管理的公告》（国家税务总局公告2016年第61号）全文</w:t>
            </w:r>
            <w:bookmarkEnd w:id="588"/>
            <w:bookmarkEnd w:id="589"/>
            <w:bookmarkEnd w:id="590"/>
            <w:bookmarkEnd w:id="591"/>
            <w:bookmarkEnd w:id="592"/>
            <w:r>
              <w:rPr>
                <w:rFonts w:ascii="仿宋" w:eastAsia="仿宋" w:hAnsi="仿宋" w:cs="仿宋" w:hint="eastAsia"/>
                <w:kern w:val="1"/>
                <w:sz w:val="24"/>
              </w:rPr>
              <w:t>。</w:t>
            </w:r>
          </w:p>
          <w:p w:rsidR="00013EC7" w:rsidRDefault="00575CDB">
            <w:pPr>
              <w:rPr>
                <w:rFonts w:ascii="仿宋" w:eastAsia="仿宋" w:hAnsi="仿宋" w:cs="仿宋"/>
                <w:kern w:val="1"/>
                <w:sz w:val="24"/>
              </w:rPr>
            </w:pPr>
            <w:bookmarkStart w:id="593" w:name="OLE_LINK33"/>
            <w:r>
              <w:rPr>
                <w:rFonts w:ascii="仿宋" w:eastAsia="仿宋" w:hAnsi="仿宋" w:cs="仿宋" w:hint="eastAsia"/>
                <w:kern w:val="1"/>
                <w:sz w:val="24"/>
              </w:rPr>
              <w:t>（十一）《关于调整完善外贸综合服务企业办理出口货物退（免）税有关事项的公告》(国家税务总局公告2017年第35号)第六条，第七条，第八条。</w:t>
            </w:r>
            <w:bookmarkEnd w:id="593"/>
          </w:p>
          <w:p w:rsidR="00013EC7" w:rsidRDefault="00575CDB">
            <w:pPr>
              <w:rPr>
                <w:rFonts w:ascii="仿宋" w:eastAsia="仿宋" w:hAnsi="仿宋" w:cs="仿宋"/>
                <w:kern w:val="1"/>
                <w:sz w:val="24"/>
              </w:rPr>
            </w:pPr>
            <w:r>
              <w:rPr>
                <w:rFonts w:ascii="仿宋" w:eastAsia="仿宋" w:hAnsi="仿宋" w:cs="仿宋" w:hint="eastAsia"/>
                <w:kern w:val="1"/>
                <w:sz w:val="24"/>
              </w:rPr>
              <w:t>（十二）《浙江省国家税务局关于明确外贸综合服务企业代生产企业办理出口货物退（免）税事项有关问题的公告》(浙江省国家税务局公告2017年第11号)第八条至第十一条。</w:t>
            </w:r>
          </w:p>
          <w:p w:rsidR="00013EC7" w:rsidRDefault="00013EC7">
            <w:pPr>
              <w:rPr>
                <w:rFonts w:ascii="仿宋" w:eastAsia="仿宋" w:hAnsi="仿宋" w:cs="仿宋"/>
                <w:kern w:val="1"/>
                <w:sz w:val="24"/>
              </w:rPr>
            </w:pPr>
          </w:p>
        </w:tc>
        <w:tc>
          <w:tcPr>
            <w:tcW w:w="2777" w:type="dxa"/>
            <w:tcBorders>
              <w:top w:val="single" w:sz="4" w:space="0" w:color="auto"/>
              <w:bottom w:val="single" w:sz="4" w:space="0" w:color="auto"/>
            </w:tcBorders>
            <w:vAlign w:val="center"/>
          </w:tcPr>
          <w:p w:rsidR="00013EC7" w:rsidRDefault="00575CDB">
            <w:pPr>
              <w:rPr>
                <w:rFonts w:ascii="仿宋" w:eastAsia="仿宋" w:hAnsi="仿宋" w:cs="仿宋"/>
                <w:kern w:val="1"/>
                <w:sz w:val="24"/>
              </w:rPr>
            </w:pPr>
            <w:r>
              <w:rPr>
                <w:rFonts w:ascii="仿宋" w:eastAsia="仿宋" w:hAnsi="仿宋" w:cs="仿宋"/>
                <w:kern w:val="1"/>
                <w:sz w:val="24"/>
              </w:rPr>
              <w:lastRenderedPageBreak/>
              <w:t>（一）</w:t>
            </w:r>
            <w:r>
              <w:rPr>
                <w:rFonts w:ascii="仿宋" w:eastAsia="仿宋" w:hAnsi="仿宋" w:cs="仿宋" w:hint="eastAsia"/>
                <w:kern w:val="1"/>
                <w:sz w:val="24"/>
              </w:rPr>
              <w:t>（A06316）《外贸企业出口退税汇总申报表》</w:t>
            </w:r>
            <w:r>
              <w:rPr>
                <w:rFonts w:ascii="仿宋" w:eastAsia="仿宋" w:hAnsi="仿宋" w:cs="仿宋"/>
                <w:kern w:val="1"/>
                <w:sz w:val="24"/>
              </w:rPr>
              <w:t>。</w:t>
            </w:r>
          </w:p>
        </w:tc>
        <w:tc>
          <w:tcPr>
            <w:tcW w:w="1118" w:type="dxa"/>
            <w:vMerge w:val="restart"/>
            <w:vAlign w:val="center"/>
          </w:tcPr>
          <w:p w:rsidR="00013EC7" w:rsidRDefault="00575CDB">
            <w:pPr>
              <w:spacing w:line="300" w:lineRule="exact"/>
              <w:jc w:val="center"/>
              <w:rPr>
                <w:rFonts w:ascii="仿宋" w:eastAsia="仿宋" w:hAnsi="仿宋" w:cs="仿宋"/>
                <w:kern w:val="1"/>
                <w:sz w:val="24"/>
              </w:rPr>
            </w:pPr>
            <w:r>
              <w:rPr>
                <w:rFonts w:ascii="仿宋" w:eastAsia="仿宋" w:hAnsi="仿宋" w:cs="仿宋" w:hint="eastAsia"/>
                <w:sz w:val="24"/>
              </w:rPr>
              <w:t>出口外贸企业纳税人提交</w:t>
            </w:r>
          </w:p>
        </w:tc>
        <w:tc>
          <w:tcPr>
            <w:tcW w:w="2403" w:type="dxa"/>
            <w:vAlign w:val="center"/>
          </w:tcPr>
          <w:p w:rsidR="00013EC7" w:rsidRDefault="00575CDB">
            <w:pPr>
              <w:rPr>
                <w:rFonts w:ascii="仿宋" w:eastAsia="仿宋" w:hAnsi="仿宋" w:cs="仿宋"/>
                <w:kern w:val="1"/>
                <w:sz w:val="24"/>
              </w:rPr>
            </w:pPr>
            <w:r>
              <w:rPr>
                <w:rFonts w:ascii="仿宋" w:eastAsia="仿宋" w:hAnsi="仿宋" w:cs="仿宋"/>
                <w:kern w:val="1"/>
                <w:sz w:val="24"/>
              </w:rPr>
              <w:t>（一）</w:t>
            </w:r>
            <w:r>
              <w:rPr>
                <w:rFonts w:ascii="仿宋" w:eastAsia="仿宋" w:hAnsi="仿宋" w:cs="仿宋" w:hint="eastAsia"/>
                <w:kern w:val="1"/>
                <w:sz w:val="24"/>
              </w:rPr>
              <w:t>（A06316）《外贸企业出口退税汇总申报表》1份</w:t>
            </w:r>
            <w:r>
              <w:rPr>
                <w:rFonts w:ascii="仿宋" w:eastAsia="仿宋" w:hAnsi="仿宋" w:cs="仿宋"/>
                <w:kern w:val="1"/>
                <w:sz w:val="24"/>
              </w:rPr>
              <w:t>。</w:t>
            </w:r>
          </w:p>
        </w:tc>
        <w:tc>
          <w:tcPr>
            <w:tcW w:w="1606" w:type="dxa"/>
            <w:vMerge w:val="restart"/>
            <w:vAlign w:val="center"/>
          </w:tcPr>
          <w:p w:rsidR="00013EC7" w:rsidRDefault="00575CDB">
            <w:pPr>
              <w:spacing w:line="300" w:lineRule="exact"/>
              <w:jc w:val="center"/>
              <w:rPr>
                <w:rFonts w:ascii="仿宋" w:eastAsia="仿宋" w:hAnsi="仿宋" w:cs="仿宋"/>
                <w:sz w:val="24"/>
                <w:highlight w:val="yellow"/>
              </w:rPr>
            </w:pPr>
            <w:r>
              <w:rPr>
                <w:rFonts w:ascii="仿宋" w:eastAsia="仿宋" w:hAnsi="仿宋" w:cs="仿宋" w:hint="eastAsia"/>
                <w:sz w:val="24"/>
              </w:rPr>
              <w:t>出口外贸企业纳税人提交</w:t>
            </w:r>
          </w:p>
        </w:tc>
        <w:tc>
          <w:tcPr>
            <w:tcW w:w="2908" w:type="dxa"/>
            <w:vMerge w:val="restart"/>
            <w:vAlign w:val="center"/>
          </w:tcPr>
          <w:p w:rsidR="00013EC7" w:rsidRDefault="00575CDB">
            <w:pPr>
              <w:spacing w:line="300" w:lineRule="exac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纳税人提交书面材料（无纸化企业留存备查）</w:t>
            </w:r>
            <w:r>
              <w:rPr>
                <w:rFonts w:ascii="仿宋" w:eastAsia="仿宋" w:hAnsi="仿宋" w:cs="仿宋"/>
                <w:sz w:val="24"/>
              </w:rPr>
              <w:t>。</w:t>
            </w:r>
          </w:p>
        </w:tc>
        <w:tc>
          <w:tcPr>
            <w:tcW w:w="868" w:type="dxa"/>
            <w:vMerge w:val="restart"/>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sz w:val="24"/>
              </w:rPr>
              <w:t>1类企业5个工作日，2、3、4类企业20个工作日</w:t>
            </w:r>
          </w:p>
        </w:tc>
        <w:tc>
          <w:tcPr>
            <w:tcW w:w="798" w:type="dxa"/>
            <w:vMerge w:val="restart"/>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sz w:val="24"/>
              </w:rPr>
              <w:t>一类、二类、三类、四类出口企业申报的出口退（免）税，经审核符合条件的，自受理申报之日起分别在5、10、15、20个工作日内办结</w:t>
            </w:r>
            <w:r>
              <w:rPr>
                <w:rFonts w:ascii="仿宋" w:eastAsia="仿宋" w:hAnsi="仿宋" w:cs="仿宋" w:hint="eastAsia"/>
                <w:sz w:val="24"/>
              </w:rPr>
              <w:lastRenderedPageBreak/>
              <w:t>出口退（免）税手续。</w:t>
            </w:r>
          </w:p>
        </w:tc>
        <w:tc>
          <w:tcPr>
            <w:tcW w:w="958" w:type="dxa"/>
            <w:vMerge w:val="restart"/>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sz w:val="24"/>
              </w:rPr>
              <w:lastRenderedPageBreak/>
              <w:t>无纸化企业已实现跑零次</w:t>
            </w:r>
          </w:p>
        </w:tc>
        <w:tc>
          <w:tcPr>
            <w:tcW w:w="1104" w:type="dxa"/>
            <w:vMerge w:val="restart"/>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sz w:val="24"/>
              </w:rPr>
              <w:t>进出口处</w:t>
            </w:r>
          </w:p>
        </w:tc>
        <w:tc>
          <w:tcPr>
            <w:tcW w:w="1476" w:type="dxa"/>
            <w:vMerge w:val="restart"/>
            <w:vAlign w:val="center"/>
          </w:tcPr>
          <w:p w:rsidR="00013EC7" w:rsidRDefault="00013EC7">
            <w:pPr>
              <w:spacing w:line="300" w:lineRule="exact"/>
              <w:rPr>
                <w:rFonts w:ascii="仿宋" w:eastAsia="仿宋" w:hAnsi="仿宋" w:cs="仿宋"/>
                <w:sz w:val="24"/>
              </w:rPr>
            </w:pPr>
          </w:p>
        </w:tc>
      </w:tr>
      <w:tr w:rsidR="00013EC7">
        <w:trPr>
          <w:trHeight w:val="1699"/>
          <w:jc w:val="center"/>
        </w:trPr>
        <w:tc>
          <w:tcPr>
            <w:tcW w:w="1250" w:type="dxa"/>
            <w:vMerge/>
            <w:textDirection w:val="tbRlV"/>
            <w:vAlign w:val="center"/>
          </w:tcPr>
          <w:p w:rsidR="00013EC7" w:rsidRDefault="00013EC7">
            <w:pPr>
              <w:rPr>
                <w:rFonts w:ascii="仿宋" w:eastAsia="仿宋" w:hAnsi="仿宋" w:cs="仿宋"/>
                <w:sz w:val="24"/>
              </w:rPr>
            </w:pPr>
          </w:p>
        </w:tc>
        <w:tc>
          <w:tcPr>
            <w:tcW w:w="1316" w:type="dxa"/>
            <w:vMerge/>
            <w:vAlign w:val="center"/>
          </w:tcPr>
          <w:p w:rsidR="00013EC7" w:rsidRDefault="00013EC7">
            <w:pPr>
              <w:rPr>
                <w:rFonts w:ascii="仿宋" w:eastAsia="仿宋" w:hAnsi="仿宋" w:cs="仿宋"/>
                <w:sz w:val="24"/>
              </w:rPr>
            </w:pPr>
          </w:p>
        </w:tc>
        <w:tc>
          <w:tcPr>
            <w:tcW w:w="2122" w:type="dxa"/>
            <w:vMerge/>
            <w:vAlign w:val="center"/>
          </w:tcPr>
          <w:p w:rsidR="00013EC7" w:rsidRDefault="00013EC7">
            <w:pPr>
              <w:rPr>
                <w:rFonts w:ascii="仿宋" w:eastAsia="仿宋" w:hAnsi="仿宋" w:cs="仿宋"/>
                <w:sz w:val="24"/>
              </w:rPr>
            </w:pPr>
          </w:p>
        </w:tc>
        <w:tc>
          <w:tcPr>
            <w:tcW w:w="2777" w:type="dxa"/>
            <w:tcBorders>
              <w:top w:val="single" w:sz="4" w:space="0" w:color="auto"/>
            </w:tcBorders>
            <w:vAlign w:val="center"/>
          </w:tcPr>
          <w:p w:rsidR="00013EC7" w:rsidRDefault="00575CDB">
            <w:pPr>
              <w:rPr>
                <w:rFonts w:ascii="仿宋" w:eastAsia="仿宋" w:hAnsi="仿宋" w:cs="仿宋"/>
                <w:kern w:val="1"/>
                <w:sz w:val="24"/>
              </w:rPr>
            </w:pPr>
            <w:r>
              <w:rPr>
                <w:rFonts w:ascii="仿宋" w:eastAsia="仿宋" w:hAnsi="仿宋" w:cs="仿宋"/>
                <w:kern w:val="1"/>
                <w:sz w:val="24"/>
              </w:rPr>
              <w:t>（二）</w:t>
            </w:r>
            <w:r>
              <w:rPr>
                <w:rFonts w:ascii="仿宋" w:eastAsia="仿宋" w:hAnsi="仿宋" w:cs="仿宋" w:hint="eastAsia"/>
                <w:kern w:val="1"/>
                <w:sz w:val="24"/>
              </w:rPr>
              <w:t>（A08005）《外贸企业出口退税进货明细申报表》</w:t>
            </w:r>
            <w:r>
              <w:rPr>
                <w:rFonts w:ascii="仿宋" w:eastAsia="仿宋" w:hAnsi="仿宋" w:cs="仿宋"/>
                <w:kern w:val="1"/>
                <w:sz w:val="24"/>
              </w:rPr>
              <w:t>。</w:t>
            </w:r>
          </w:p>
        </w:tc>
        <w:tc>
          <w:tcPr>
            <w:tcW w:w="1118" w:type="dxa"/>
            <w:vMerge/>
            <w:vAlign w:val="center"/>
          </w:tcPr>
          <w:p w:rsidR="00013EC7" w:rsidRDefault="00013EC7">
            <w:pPr>
              <w:rPr>
                <w:rFonts w:ascii="仿宋" w:eastAsia="仿宋" w:hAnsi="仿宋" w:cs="仿宋"/>
                <w:kern w:val="1"/>
                <w:sz w:val="24"/>
              </w:rPr>
            </w:pPr>
          </w:p>
        </w:tc>
        <w:tc>
          <w:tcPr>
            <w:tcW w:w="2403" w:type="dxa"/>
            <w:vAlign w:val="center"/>
          </w:tcPr>
          <w:p w:rsidR="00013EC7" w:rsidRDefault="00575CDB">
            <w:pPr>
              <w:rPr>
                <w:rFonts w:ascii="仿宋" w:eastAsia="仿宋" w:hAnsi="仿宋" w:cs="仿宋"/>
                <w:kern w:val="1"/>
                <w:sz w:val="24"/>
              </w:rPr>
            </w:pPr>
            <w:r>
              <w:rPr>
                <w:rFonts w:ascii="仿宋" w:eastAsia="仿宋" w:hAnsi="仿宋" w:cs="仿宋"/>
                <w:kern w:val="1"/>
                <w:sz w:val="24"/>
              </w:rPr>
              <w:t>（二）</w:t>
            </w:r>
            <w:r>
              <w:rPr>
                <w:rFonts w:ascii="仿宋" w:eastAsia="仿宋" w:hAnsi="仿宋" w:cs="仿宋" w:hint="eastAsia"/>
                <w:kern w:val="1"/>
                <w:sz w:val="24"/>
              </w:rPr>
              <w:t>（A08005）《外贸企业出口退税进货明细申报表》1份</w:t>
            </w:r>
            <w:r>
              <w:rPr>
                <w:rFonts w:ascii="仿宋" w:eastAsia="仿宋" w:hAnsi="仿宋" w:cs="仿宋"/>
                <w:kern w:val="1"/>
                <w:sz w:val="24"/>
              </w:rPr>
              <w:t>。</w:t>
            </w:r>
          </w:p>
        </w:tc>
        <w:tc>
          <w:tcPr>
            <w:tcW w:w="1606" w:type="dxa"/>
            <w:vMerge/>
            <w:vAlign w:val="center"/>
          </w:tcPr>
          <w:p w:rsidR="00013EC7" w:rsidRDefault="00013EC7">
            <w:pPr>
              <w:spacing w:line="300" w:lineRule="exact"/>
              <w:jc w:val="center"/>
              <w:rPr>
                <w:rFonts w:ascii="仿宋" w:eastAsia="仿宋" w:hAnsi="仿宋" w:cs="仿宋"/>
                <w:sz w:val="24"/>
              </w:rPr>
            </w:pPr>
          </w:p>
        </w:tc>
        <w:tc>
          <w:tcPr>
            <w:tcW w:w="2908" w:type="dxa"/>
            <w:vMerge/>
            <w:vAlign w:val="center"/>
          </w:tcPr>
          <w:p w:rsidR="00013EC7" w:rsidRDefault="00013EC7">
            <w:pPr>
              <w:spacing w:line="300" w:lineRule="exact"/>
              <w:rPr>
                <w:rFonts w:ascii="仿宋" w:eastAsia="仿宋" w:hAnsi="仿宋" w:cs="仿宋"/>
                <w:sz w:val="24"/>
              </w:rPr>
            </w:pPr>
          </w:p>
        </w:tc>
        <w:tc>
          <w:tcPr>
            <w:tcW w:w="868" w:type="dxa"/>
            <w:vMerge/>
            <w:vAlign w:val="center"/>
          </w:tcPr>
          <w:p w:rsidR="00013EC7" w:rsidRDefault="00013EC7">
            <w:pPr>
              <w:rPr>
                <w:rFonts w:ascii="仿宋" w:eastAsia="仿宋" w:hAnsi="仿宋" w:cs="仿宋"/>
                <w:sz w:val="24"/>
              </w:rPr>
            </w:pPr>
          </w:p>
        </w:tc>
        <w:tc>
          <w:tcPr>
            <w:tcW w:w="798" w:type="dxa"/>
            <w:vMerge/>
            <w:vAlign w:val="center"/>
          </w:tcPr>
          <w:p w:rsidR="00013EC7" w:rsidRDefault="00013EC7">
            <w:pPr>
              <w:rPr>
                <w:rFonts w:ascii="仿宋" w:eastAsia="仿宋" w:hAnsi="仿宋" w:cs="仿宋"/>
                <w:sz w:val="24"/>
              </w:rPr>
            </w:pP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340"/>
          <w:jc w:val="center"/>
        </w:trPr>
        <w:tc>
          <w:tcPr>
            <w:tcW w:w="1250" w:type="dxa"/>
            <w:vMerge/>
            <w:textDirection w:val="tbRlV"/>
            <w:vAlign w:val="center"/>
          </w:tcPr>
          <w:p w:rsidR="00013EC7" w:rsidRDefault="00013EC7">
            <w:pPr>
              <w:rPr>
                <w:rFonts w:ascii="仿宋" w:eastAsia="仿宋" w:hAnsi="仿宋" w:cs="仿宋"/>
                <w:sz w:val="24"/>
              </w:rPr>
            </w:pPr>
          </w:p>
        </w:tc>
        <w:tc>
          <w:tcPr>
            <w:tcW w:w="1316" w:type="dxa"/>
            <w:vMerge/>
            <w:vAlign w:val="center"/>
          </w:tcPr>
          <w:p w:rsidR="00013EC7" w:rsidRDefault="00013EC7">
            <w:pPr>
              <w:rPr>
                <w:rFonts w:ascii="仿宋" w:eastAsia="仿宋" w:hAnsi="仿宋" w:cs="仿宋"/>
                <w:sz w:val="24"/>
              </w:rPr>
            </w:pPr>
          </w:p>
        </w:tc>
        <w:tc>
          <w:tcPr>
            <w:tcW w:w="2122" w:type="dxa"/>
            <w:vMerge/>
            <w:vAlign w:val="center"/>
          </w:tcPr>
          <w:p w:rsidR="00013EC7" w:rsidRDefault="00013EC7">
            <w:pPr>
              <w:rPr>
                <w:rFonts w:ascii="仿宋" w:eastAsia="仿宋" w:hAnsi="仿宋" w:cs="仿宋"/>
                <w:sz w:val="24"/>
              </w:rPr>
            </w:pPr>
          </w:p>
        </w:tc>
        <w:tc>
          <w:tcPr>
            <w:tcW w:w="2777" w:type="dxa"/>
            <w:vAlign w:val="center"/>
          </w:tcPr>
          <w:p w:rsidR="00013EC7" w:rsidRDefault="00575CDB">
            <w:pPr>
              <w:rPr>
                <w:rFonts w:ascii="仿宋" w:eastAsia="仿宋" w:hAnsi="仿宋" w:cs="仿宋"/>
                <w:kern w:val="1"/>
                <w:sz w:val="24"/>
              </w:rPr>
            </w:pPr>
            <w:r>
              <w:rPr>
                <w:rFonts w:ascii="仿宋" w:eastAsia="仿宋" w:hAnsi="仿宋" w:cs="仿宋"/>
                <w:kern w:val="1"/>
                <w:sz w:val="24"/>
              </w:rPr>
              <w:t>（三）</w:t>
            </w:r>
            <w:r>
              <w:rPr>
                <w:rFonts w:ascii="仿宋" w:eastAsia="仿宋" w:hAnsi="仿宋" w:cs="仿宋" w:hint="eastAsia"/>
                <w:kern w:val="1"/>
                <w:sz w:val="24"/>
              </w:rPr>
              <w:t>（A08006）《外贸企业出口退税出口明细申报表》</w:t>
            </w:r>
            <w:r>
              <w:rPr>
                <w:rFonts w:ascii="仿宋" w:eastAsia="仿宋" w:hAnsi="仿宋" w:cs="仿宋"/>
                <w:kern w:val="1"/>
                <w:sz w:val="24"/>
              </w:rPr>
              <w:t>。</w:t>
            </w:r>
          </w:p>
        </w:tc>
        <w:tc>
          <w:tcPr>
            <w:tcW w:w="1118" w:type="dxa"/>
            <w:vMerge/>
            <w:vAlign w:val="center"/>
          </w:tcPr>
          <w:p w:rsidR="00013EC7" w:rsidRDefault="00013EC7">
            <w:pPr>
              <w:rPr>
                <w:rFonts w:ascii="仿宋" w:eastAsia="仿宋" w:hAnsi="仿宋" w:cs="仿宋"/>
                <w:kern w:val="1"/>
                <w:sz w:val="24"/>
              </w:rPr>
            </w:pPr>
          </w:p>
        </w:tc>
        <w:tc>
          <w:tcPr>
            <w:tcW w:w="2403" w:type="dxa"/>
            <w:vAlign w:val="center"/>
          </w:tcPr>
          <w:p w:rsidR="00013EC7" w:rsidRDefault="00575CDB">
            <w:pPr>
              <w:rPr>
                <w:rFonts w:ascii="仿宋" w:eastAsia="仿宋" w:hAnsi="仿宋" w:cs="仿宋"/>
                <w:kern w:val="1"/>
                <w:sz w:val="24"/>
              </w:rPr>
            </w:pPr>
            <w:r>
              <w:rPr>
                <w:rFonts w:ascii="仿宋" w:eastAsia="仿宋" w:hAnsi="仿宋" w:cs="仿宋"/>
                <w:kern w:val="1"/>
                <w:sz w:val="24"/>
              </w:rPr>
              <w:t>（三）</w:t>
            </w:r>
            <w:r>
              <w:rPr>
                <w:rFonts w:ascii="仿宋" w:eastAsia="仿宋" w:hAnsi="仿宋" w:cs="仿宋" w:hint="eastAsia"/>
                <w:kern w:val="1"/>
                <w:sz w:val="24"/>
              </w:rPr>
              <w:t>（A08006）《外贸企业出口退税出口明细申报表》1份</w:t>
            </w:r>
            <w:r>
              <w:rPr>
                <w:rFonts w:ascii="仿宋" w:eastAsia="仿宋" w:hAnsi="仿宋" w:cs="仿宋"/>
                <w:kern w:val="1"/>
                <w:sz w:val="24"/>
              </w:rPr>
              <w:t>。</w:t>
            </w:r>
          </w:p>
        </w:tc>
        <w:tc>
          <w:tcPr>
            <w:tcW w:w="1606" w:type="dxa"/>
            <w:vMerge/>
            <w:vAlign w:val="center"/>
          </w:tcPr>
          <w:p w:rsidR="00013EC7" w:rsidRDefault="00013EC7">
            <w:pPr>
              <w:rPr>
                <w:rFonts w:ascii="仿宋" w:eastAsia="仿宋" w:hAnsi="仿宋" w:cs="仿宋"/>
                <w:sz w:val="24"/>
              </w:rPr>
            </w:pPr>
          </w:p>
        </w:tc>
        <w:tc>
          <w:tcPr>
            <w:tcW w:w="2908" w:type="dxa"/>
            <w:vMerge/>
            <w:vAlign w:val="center"/>
          </w:tcPr>
          <w:p w:rsidR="00013EC7" w:rsidRDefault="00013EC7">
            <w:pPr>
              <w:spacing w:line="300" w:lineRule="exact"/>
              <w:rPr>
                <w:rFonts w:ascii="仿宋" w:eastAsia="仿宋" w:hAnsi="仿宋" w:cs="仿宋"/>
                <w:sz w:val="24"/>
              </w:rPr>
            </w:pPr>
          </w:p>
        </w:tc>
        <w:tc>
          <w:tcPr>
            <w:tcW w:w="868" w:type="dxa"/>
            <w:vMerge/>
            <w:vAlign w:val="center"/>
          </w:tcPr>
          <w:p w:rsidR="00013EC7" w:rsidRDefault="00013EC7">
            <w:pPr>
              <w:rPr>
                <w:rFonts w:ascii="仿宋" w:eastAsia="仿宋" w:hAnsi="仿宋" w:cs="仿宋"/>
                <w:sz w:val="24"/>
              </w:rPr>
            </w:pPr>
          </w:p>
        </w:tc>
        <w:tc>
          <w:tcPr>
            <w:tcW w:w="798" w:type="dxa"/>
            <w:vMerge/>
            <w:vAlign w:val="center"/>
          </w:tcPr>
          <w:p w:rsidR="00013EC7" w:rsidRDefault="00013EC7">
            <w:pPr>
              <w:rPr>
                <w:rFonts w:ascii="仿宋" w:eastAsia="仿宋" w:hAnsi="仿宋" w:cs="仿宋"/>
                <w:sz w:val="24"/>
              </w:rPr>
            </w:pP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340"/>
          <w:jc w:val="center"/>
        </w:trPr>
        <w:tc>
          <w:tcPr>
            <w:tcW w:w="1250" w:type="dxa"/>
            <w:vMerge/>
            <w:vAlign w:val="center"/>
          </w:tcPr>
          <w:p w:rsidR="00013EC7" w:rsidRDefault="00013EC7">
            <w:pPr>
              <w:rPr>
                <w:rFonts w:ascii="仿宋" w:eastAsia="仿宋" w:hAnsi="仿宋" w:cs="仿宋"/>
                <w:sz w:val="24"/>
              </w:rPr>
            </w:pPr>
          </w:p>
        </w:tc>
        <w:tc>
          <w:tcPr>
            <w:tcW w:w="1316" w:type="dxa"/>
            <w:vMerge/>
            <w:vAlign w:val="center"/>
          </w:tcPr>
          <w:p w:rsidR="00013EC7" w:rsidRDefault="00013EC7">
            <w:pPr>
              <w:rPr>
                <w:rFonts w:ascii="仿宋" w:eastAsia="仿宋" w:hAnsi="仿宋" w:cs="仿宋"/>
                <w:sz w:val="24"/>
              </w:rPr>
            </w:pPr>
          </w:p>
        </w:tc>
        <w:tc>
          <w:tcPr>
            <w:tcW w:w="2122" w:type="dxa"/>
            <w:vMerge/>
            <w:vAlign w:val="center"/>
          </w:tcPr>
          <w:p w:rsidR="00013EC7" w:rsidRDefault="00013EC7">
            <w:pPr>
              <w:rPr>
                <w:rFonts w:ascii="仿宋" w:eastAsia="仿宋" w:hAnsi="仿宋" w:cs="仿宋"/>
                <w:sz w:val="24"/>
              </w:rPr>
            </w:pPr>
          </w:p>
        </w:tc>
        <w:tc>
          <w:tcPr>
            <w:tcW w:w="2777" w:type="dxa"/>
            <w:vAlign w:val="center"/>
          </w:tcPr>
          <w:p w:rsidR="00013EC7" w:rsidRDefault="00575CDB">
            <w:pPr>
              <w:rPr>
                <w:rFonts w:ascii="仿宋" w:eastAsia="仿宋" w:hAnsi="仿宋" w:cs="仿宋"/>
                <w:kern w:val="1"/>
                <w:sz w:val="24"/>
              </w:rPr>
            </w:pPr>
            <w:r>
              <w:rPr>
                <w:rFonts w:ascii="仿宋" w:eastAsia="仿宋" w:hAnsi="仿宋" w:cs="仿宋"/>
                <w:kern w:val="1"/>
                <w:sz w:val="24"/>
              </w:rPr>
              <w:t>（四）</w:t>
            </w:r>
            <w:r>
              <w:rPr>
                <w:rFonts w:ascii="仿宋" w:eastAsia="仿宋" w:hAnsi="仿宋" w:cs="仿宋" w:hint="eastAsia"/>
                <w:kern w:val="1"/>
                <w:sz w:val="24"/>
              </w:rPr>
              <w:t>出口货物退（免）税申报电子数据</w:t>
            </w:r>
            <w:r>
              <w:rPr>
                <w:rFonts w:ascii="仿宋" w:eastAsia="仿宋" w:hAnsi="仿宋" w:cs="仿宋"/>
                <w:kern w:val="1"/>
                <w:sz w:val="24"/>
              </w:rPr>
              <w:t>。</w:t>
            </w:r>
          </w:p>
        </w:tc>
        <w:tc>
          <w:tcPr>
            <w:tcW w:w="1118" w:type="dxa"/>
            <w:vMerge/>
            <w:vAlign w:val="center"/>
          </w:tcPr>
          <w:p w:rsidR="00013EC7" w:rsidRDefault="00013EC7">
            <w:pPr>
              <w:rPr>
                <w:rFonts w:ascii="仿宋" w:eastAsia="仿宋" w:hAnsi="仿宋" w:cs="仿宋"/>
                <w:kern w:val="1"/>
                <w:sz w:val="24"/>
              </w:rPr>
            </w:pPr>
          </w:p>
        </w:tc>
        <w:tc>
          <w:tcPr>
            <w:tcW w:w="2403" w:type="dxa"/>
            <w:vAlign w:val="center"/>
          </w:tcPr>
          <w:p w:rsidR="00013EC7" w:rsidRDefault="00575CDB">
            <w:pPr>
              <w:rPr>
                <w:rFonts w:ascii="仿宋" w:eastAsia="仿宋" w:hAnsi="仿宋" w:cs="仿宋"/>
                <w:kern w:val="1"/>
                <w:sz w:val="24"/>
              </w:rPr>
            </w:pPr>
            <w:r>
              <w:rPr>
                <w:rFonts w:ascii="仿宋" w:eastAsia="仿宋" w:hAnsi="仿宋" w:cs="仿宋"/>
                <w:kern w:val="1"/>
                <w:sz w:val="24"/>
              </w:rPr>
              <w:t>（四）</w:t>
            </w:r>
            <w:r>
              <w:rPr>
                <w:rFonts w:ascii="仿宋" w:eastAsia="仿宋" w:hAnsi="仿宋" w:cs="仿宋" w:hint="eastAsia"/>
                <w:kern w:val="1"/>
                <w:sz w:val="24"/>
              </w:rPr>
              <w:t>出口货物退（免）税申报电子数据</w:t>
            </w:r>
            <w:r>
              <w:rPr>
                <w:rFonts w:ascii="仿宋" w:eastAsia="仿宋" w:hAnsi="仿宋" w:cs="仿宋"/>
                <w:kern w:val="1"/>
                <w:sz w:val="24"/>
              </w:rPr>
              <w:t>。</w:t>
            </w:r>
          </w:p>
        </w:tc>
        <w:tc>
          <w:tcPr>
            <w:tcW w:w="1606" w:type="dxa"/>
            <w:vMerge/>
            <w:vAlign w:val="center"/>
          </w:tcPr>
          <w:p w:rsidR="00013EC7" w:rsidRDefault="00013EC7">
            <w:pPr>
              <w:jc w:val="center"/>
              <w:rPr>
                <w:rFonts w:ascii="仿宋" w:eastAsia="仿宋" w:hAnsi="仿宋" w:cs="仿宋"/>
                <w:sz w:val="24"/>
              </w:rPr>
            </w:pPr>
          </w:p>
        </w:tc>
        <w:tc>
          <w:tcPr>
            <w:tcW w:w="2908"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纳税人提交</w:t>
            </w:r>
            <w:r>
              <w:rPr>
                <w:rFonts w:ascii="仿宋" w:eastAsia="仿宋" w:hAnsi="仿宋" w:cs="仿宋" w:hint="eastAsia"/>
                <w:kern w:val="1"/>
                <w:sz w:val="24"/>
              </w:rPr>
              <w:t>电子数据</w:t>
            </w:r>
            <w:r>
              <w:rPr>
                <w:rFonts w:ascii="仿宋" w:eastAsia="仿宋" w:hAnsi="仿宋" w:cs="仿宋"/>
                <w:sz w:val="24"/>
              </w:rPr>
              <w:t>。</w:t>
            </w:r>
          </w:p>
          <w:p w:rsidR="00013EC7" w:rsidRDefault="00575CDB">
            <w:pPr>
              <w:spacing w:line="300" w:lineRule="exact"/>
              <w:rPr>
                <w:rFonts w:ascii="仿宋" w:eastAsia="仿宋" w:hAnsi="仿宋" w:cs="仿宋"/>
                <w:sz w:val="24"/>
              </w:rPr>
            </w:pPr>
            <w:r>
              <w:rPr>
                <w:rFonts w:ascii="仿宋" w:eastAsia="仿宋" w:hAnsi="仿宋" w:cs="仿宋" w:hint="eastAsia"/>
                <w:b/>
                <w:sz w:val="24"/>
              </w:rPr>
              <w:t>网上办理：</w:t>
            </w:r>
            <w:r>
              <w:rPr>
                <w:rFonts w:ascii="仿宋" w:eastAsia="仿宋" w:hAnsi="仿宋" w:cs="仿宋" w:hint="eastAsia"/>
                <w:sz w:val="24"/>
              </w:rPr>
              <w:t>登录浙江省国家税务局电子税务局提交电子数据。</w:t>
            </w:r>
            <w:r>
              <w:rPr>
                <w:rFonts w:ascii="仿宋" w:eastAsia="仿宋" w:hAnsi="仿宋" w:cs="仿宋"/>
                <w:sz w:val="24"/>
              </w:rPr>
              <w:tab/>
            </w:r>
          </w:p>
        </w:tc>
        <w:tc>
          <w:tcPr>
            <w:tcW w:w="868" w:type="dxa"/>
            <w:vMerge/>
            <w:vAlign w:val="center"/>
          </w:tcPr>
          <w:p w:rsidR="00013EC7" w:rsidRDefault="00013EC7">
            <w:pPr>
              <w:rPr>
                <w:rFonts w:ascii="仿宋" w:eastAsia="仿宋" w:hAnsi="仿宋" w:cs="仿宋"/>
                <w:sz w:val="24"/>
              </w:rPr>
            </w:pPr>
          </w:p>
        </w:tc>
        <w:tc>
          <w:tcPr>
            <w:tcW w:w="798" w:type="dxa"/>
            <w:vMerge/>
            <w:vAlign w:val="center"/>
          </w:tcPr>
          <w:p w:rsidR="00013EC7" w:rsidRDefault="00013EC7">
            <w:pPr>
              <w:rPr>
                <w:rFonts w:ascii="仿宋" w:eastAsia="仿宋" w:hAnsi="仿宋" w:cs="仿宋"/>
                <w:sz w:val="24"/>
              </w:rPr>
            </w:pP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1304"/>
          <w:jc w:val="center"/>
        </w:trPr>
        <w:tc>
          <w:tcPr>
            <w:tcW w:w="1250" w:type="dxa"/>
            <w:vMerge/>
            <w:vAlign w:val="center"/>
          </w:tcPr>
          <w:p w:rsidR="00013EC7" w:rsidRDefault="00013EC7">
            <w:pPr>
              <w:rPr>
                <w:rFonts w:ascii="仿宋" w:eastAsia="仿宋" w:hAnsi="仿宋" w:cs="仿宋"/>
                <w:sz w:val="24"/>
              </w:rPr>
            </w:pPr>
          </w:p>
        </w:tc>
        <w:tc>
          <w:tcPr>
            <w:tcW w:w="1316" w:type="dxa"/>
            <w:vMerge/>
            <w:vAlign w:val="center"/>
          </w:tcPr>
          <w:p w:rsidR="00013EC7" w:rsidRDefault="00013EC7">
            <w:pPr>
              <w:rPr>
                <w:rFonts w:ascii="仿宋" w:eastAsia="仿宋" w:hAnsi="仿宋" w:cs="仿宋"/>
                <w:sz w:val="24"/>
              </w:rPr>
            </w:pPr>
          </w:p>
        </w:tc>
        <w:tc>
          <w:tcPr>
            <w:tcW w:w="2122" w:type="dxa"/>
            <w:vMerge/>
            <w:vAlign w:val="center"/>
          </w:tcPr>
          <w:p w:rsidR="00013EC7" w:rsidRDefault="00013EC7">
            <w:pPr>
              <w:rPr>
                <w:rFonts w:ascii="仿宋" w:eastAsia="仿宋" w:hAnsi="仿宋" w:cs="仿宋"/>
                <w:sz w:val="24"/>
              </w:rPr>
            </w:pPr>
          </w:p>
        </w:tc>
        <w:tc>
          <w:tcPr>
            <w:tcW w:w="2777" w:type="dxa"/>
            <w:vAlign w:val="center"/>
          </w:tcPr>
          <w:p w:rsidR="00013EC7" w:rsidRDefault="00575CDB">
            <w:pPr>
              <w:rPr>
                <w:rFonts w:ascii="仿宋" w:eastAsia="仿宋" w:hAnsi="仿宋" w:cs="仿宋"/>
                <w:kern w:val="1"/>
                <w:sz w:val="24"/>
              </w:rPr>
            </w:pPr>
            <w:r>
              <w:rPr>
                <w:rFonts w:ascii="仿宋" w:eastAsia="仿宋" w:hAnsi="仿宋" w:cs="仿宋"/>
                <w:kern w:val="1"/>
                <w:sz w:val="24"/>
              </w:rPr>
              <w:t>（五）</w:t>
            </w:r>
            <w:r>
              <w:rPr>
                <w:rFonts w:ascii="仿宋" w:eastAsia="仿宋" w:hAnsi="仿宋" w:cs="仿宋" w:hint="eastAsia"/>
                <w:kern w:val="1"/>
                <w:sz w:val="24"/>
              </w:rPr>
              <w:t>出口货物报关单（出口退税专用），保税区内的出口企业可提供中华人民共和国海关保税区出境货物备案清单（除实施启运港退税政策的出口货物，对2015年5月1日后〈含〉以后出口的货物，不需提供纸质出口货物报关单〈出口退税专用〉）</w:t>
            </w:r>
            <w:r>
              <w:rPr>
                <w:rFonts w:ascii="仿宋" w:eastAsia="仿宋" w:hAnsi="仿宋" w:cs="仿宋"/>
                <w:kern w:val="1"/>
                <w:sz w:val="24"/>
              </w:rPr>
              <w:t>。</w:t>
            </w:r>
          </w:p>
        </w:tc>
        <w:tc>
          <w:tcPr>
            <w:tcW w:w="1118" w:type="dxa"/>
            <w:vMerge/>
            <w:vAlign w:val="center"/>
          </w:tcPr>
          <w:p w:rsidR="00013EC7" w:rsidRDefault="00013EC7">
            <w:pPr>
              <w:rPr>
                <w:rFonts w:ascii="仿宋" w:eastAsia="仿宋" w:hAnsi="仿宋" w:cs="仿宋"/>
                <w:kern w:val="1"/>
                <w:sz w:val="24"/>
              </w:rPr>
            </w:pPr>
          </w:p>
        </w:tc>
        <w:tc>
          <w:tcPr>
            <w:tcW w:w="2403" w:type="dxa"/>
            <w:vAlign w:val="center"/>
          </w:tcPr>
          <w:p w:rsidR="00013EC7" w:rsidRDefault="00575CDB">
            <w:pPr>
              <w:rPr>
                <w:rFonts w:ascii="仿宋" w:eastAsia="仿宋" w:hAnsi="仿宋" w:cs="仿宋"/>
                <w:kern w:val="1"/>
                <w:sz w:val="24"/>
              </w:rPr>
            </w:pPr>
            <w:r>
              <w:rPr>
                <w:rFonts w:ascii="仿宋" w:eastAsia="仿宋" w:hAnsi="仿宋" w:cs="仿宋"/>
                <w:kern w:val="1"/>
                <w:sz w:val="24"/>
              </w:rPr>
              <w:t>（五）</w:t>
            </w:r>
            <w:r>
              <w:rPr>
                <w:rFonts w:ascii="仿宋" w:eastAsia="仿宋" w:hAnsi="仿宋" w:cs="仿宋" w:hint="eastAsia"/>
                <w:kern w:val="1"/>
                <w:sz w:val="24"/>
              </w:rPr>
              <w:t>出口货物报关单（出口退税专用），保税区内的出口企业可提供中华人民共和国海关保税区出境货物备案清单（除实施启运港退税政策的出口货物，对2015年5月1日后〈含〉以后出口的货物，不需提供纸质出口货物报关单〈出口退税专用〉）</w:t>
            </w:r>
            <w:r>
              <w:rPr>
                <w:rFonts w:ascii="仿宋" w:eastAsia="仿宋" w:hAnsi="仿宋" w:cs="仿宋"/>
                <w:kern w:val="1"/>
                <w:sz w:val="24"/>
              </w:rPr>
              <w:t>。</w:t>
            </w:r>
          </w:p>
        </w:tc>
        <w:tc>
          <w:tcPr>
            <w:tcW w:w="1606" w:type="dxa"/>
            <w:vAlign w:val="center"/>
          </w:tcPr>
          <w:p w:rsidR="00013EC7" w:rsidRDefault="00575CDB">
            <w:pPr>
              <w:spacing w:line="300" w:lineRule="exact"/>
              <w:jc w:val="center"/>
              <w:rPr>
                <w:rFonts w:ascii="仿宋" w:eastAsia="仿宋" w:hAnsi="仿宋" w:cs="仿宋"/>
                <w:b/>
                <w:i/>
                <w:sz w:val="24"/>
              </w:rPr>
            </w:pPr>
            <w:r>
              <w:rPr>
                <w:rFonts w:ascii="仿宋" w:eastAsia="仿宋" w:hAnsi="仿宋" w:cs="仿宋" w:hint="eastAsia"/>
                <w:b/>
                <w:i/>
                <w:sz w:val="24"/>
              </w:rPr>
              <w:t>经办机构自行获取</w:t>
            </w:r>
          </w:p>
        </w:tc>
        <w:tc>
          <w:tcPr>
            <w:tcW w:w="2908"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b/>
                <w:sz w:val="24"/>
              </w:rPr>
              <w:t>内部共享：</w:t>
            </w:r>
            <w:r>
              <w:rPr>
                <w:rFonts w:ascii="仿宋" w:eastAsia="仿宋" w:hAnsi="仿宋" w:cs="仿宋" w:hint="eastAsia"/>
                <w:sz w:val="24"/>
              </w:rPr>
              <w:t>内部共享获取相关信息（无纸化企业留存备查，非无纸化企业需提供书面材料）。</w:t>
            </w:r>
          </w:p>
        </w:tc>
        <w:tc>
          <w:tcPr>
            <w:tcW w:w="868" w:type="dxa"/>
            <w:vMerge/>
            <w:vAlign w:val="center"/>
          </w:tcPr>
          <w:p w:rsidR="00013EC7" w:rsidRDefault="00013EC7">
            <w:pPr>
              <w:rPr>
                <w:rFonts w:ascii="仿宋" w:eastAsia="仿宋" w:hAnsi="仿宋" w:cs="仿宋"/>
                <w:sz w:val="24"/>
              </w:rPr>
            </w:pPr>
          </w:p>
        </w:tc>
        <w:tc>
          <w:tcPr>
            <w:tcW w:w="798" w:type="dxa"/>
            <w:vMerge/>
            <w:vAlign w:val="center"/>
          </w:tcPr>
          <w:p w:rsidR="00013EC7" w:rsidRDefault="00013EC7">
            <w:pPr>
              <w:rPr>
                <w:rFonts w:ascii="仿宋" w:eastAsia="仿宋" w:hAnsi="仿宋" w:cs="仿宋"/>
                <w:sz w:val="24"/>
              </w:rPr>
            </w:pP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760"/>
          <w:jc w:val="center"/>
        </w:trPr>
        <w:tc>
          <w:tcPr>
            <w:tcW w:w="1250" w:type="dxa"/>
            <w:vMerge/>
            <w:vAlign w:val="center"/>
          </w:tcPr>
          <w:p w:rsidR="00013EC7" w:rsidRDefault="00013EC7">
            <w:pPr>
              <w:rPr>
                <w:rFonts w:ascii="仿宋" w:eastAsia="仿宋" w:hAnsi="仿宋" w:cs="仿宋"/>
                <w:sz w:val="24"/>
              </w:rPr>
            </w:pPr>
          </w:p>
        </w:tc>
        <w:tc>
          <w:tcPr>
            <w:tcW w:w="1316" w:type="dxa"/>
            <w:vMerge/>
            <w:vAlign w:val="center"/>
          </w:tcPr>
          <w:p w:rsidR="00013EC7" w:rsidRDefault="00013EC7">
            <w:pPr>
              <w:rPr>
                <w:rFonts w:ascii="仿宋" w:eastAsia="仿宋" w:hAnsi="仿宋" w:cs="仿宋"/>
                <w:sz w:val="24"/>
              </w:rPr>
            </w:pPr>
          </w:p>
        </w:tc>
        <w:tc>
          <w:tcPr>
            <w:tcW w:w="2122" w:type="dxa"/>
            <w:vMerge/>
            <w:vAlign w:val="center"/>
          </w:tcPr>
          <w:p w:rsidR="00013EC7" w:rsidRDefault="00013EC7">
            <w:pPr>
              <w:rPr>
                <w:rFonts w:ascii="仿宋" w:eastAsia="仿宋" w:hAnsi="仿宋" w:cs="仿宋"/>
                <w:sz w:val="24"/>
              </w:rPr>
            </w:pPr>
          </w:p>
        </w:tc>
        <w:tc>
          <w:tcPr>
            <w:tcW w:w="2777" w:type="dxa"/>
            <w:vAlign w:val="center"/>
          </w:tcPr>
          <w:p w:rsidR="00013EC7" w:rsidRDefault="00575CDB">
            <w:pPr>
              <w:rPr>
                <w:rFonts w:ascii="仿宋" w:eastAsia="仿宋" w:hAnsi="仿宋" w:cs="仿宋"/>
                <w:kern w:val="1"/>
                <w:sz w:val="24"/>
              </w:rPr>
            </w:pPr>
            <w:r>
              <w:rPr>
                <w:rFonts w:ascii="仿宋" w:eastAsia="仿宋" w:hAnsi="仿宋" w:cs="仿宋"/>
                <w:kern w:val="1"/>
                <w:sz w:val="24"/>
              </w:rPr>
              <w:t>（六）</w:t>
            </w:r>
            <w:r>
              <w:rPr>
                <w:rFonts w:ascii="仿宋" w:eastAsia="仿宋" w:hAnsi="仿宋" w:cs="仿宋" w:hint="eastAsia"/>
                <w:kern w:val="1"/>
                <w:sz w:val="24"/>
              </w:rPr>
              <w:t>增值税专用发票抵扣联。</w:t>
            </w:r>
          </w:p>
        </w:tc>
        <w:tc>
          <w:tcPr>
            <w:tcW w:w="1118" w:type="dxa"/>
            <w:vMerge/>
            <w:vAlign w:val="center"/>
          </w:tcPr>
          <w:p w:rsidR="00013EC7" w:rsidRDefault="00013EC7">
            <w:pPr>
              <w:rPr>
                <w:rFonts w:ascii="仿宋" w:eastAsia="仿宋" w:hAnsi="仿宋" w:cs="仿宋"/>
                <w:kern w:val="1"/>
                <w:sz w:val="24"/>
              </w:rPr>
            </w:pPr>
          </w:p>
        </w:tc>
        <w:tc>
          <w:tcPr>
            <w:tcW w:w="2403" w:type="dxa"/>
            <w:vAlign w:val="center"/>
          </w:tcPr>
          <w:p w:rsidR="00013EC7" w:rsidRDefault="00575CDB">
            <w:pPr>
              <w:rPr>
                <w:rFonts w:ascii="仿宋" w:eastAsia="仿宋" w:hAnsi="仿宋" w:cs="仿宋"/>
                <w:kern w:val="1"/>
                <w:sz w:val="24"/>
              </w:rPr>
            </w:pPr>
            <w:r>
              <w:rPr>
                <w:rFonts w:ascii="仿宋" w:eastAsia="仿宋" w:hAnsi="仿宋" w:cs="仿宋"/>
                <w:kern w:val="1"/>
                <w:sz w:val="24"/>
              </w:rPr>
              <w:t>（六）</w:t>
            </w:r>
            <w:r>
              <w:rPr>
                <w:rFonts w:ascii="仿宋" w:eastAsia="仿宋" w:hAnsi="仿宋" w:cs="仿宋" w:hint="eastAsia"/>
                <w:kern w:val="1"/>
                <w:sz w:val="24"/>
              </w:rPr>
              <w:t>增值税专用发票抵扣联。</w:t>
            </w:r>
          </w:p>
        </w:tc>
        <w:tc>
          <w:tcPr>
            <w:tcW w:w="1606" w:type="dxa"/>
            <w:vAlign w:val="center"/>
          </w:tcPr>
          <w:p w:rsidR="00013EC7" w:rsidRDefault="00575CDB">
            <w:pPr>
              <w:spacing w:line="300" w:lineRule="exact"/>
              <w:jc w:val="center"/>
              <w:rPr>
                <w:rFonts w:ascii="仿宋" w:eastAsia="仿宋" w:hAnsi="仿宋" w:cs="仿宋"/>
                <w:b/>
                <w:i/>
                <w:sz w:val="24"/>
              </w:rPr>
            </w:pPr>
            <w:r>
              <w:rPr>
                <w:rFonts w:ascii="仿宋" w:eastAsia="仿宋" w:hAnsi="仿宋" w:cs="仿宋" w:hint="eastAsia"/>
                <w:b/>
                <w:i/>
                <w:sz w:val="24"/>
              </w:rPr>
              <w:t>经办机构自行获取</w:t>
            </w:r>
          </w:p>
        </w:tc>
        <w:tc>
          <w:tcPr>
            <w:tcW w:w="2908"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b/>
                <w:sz w:val="24"/>
              </w:rPr>
              <w:t>内部共享：</w:t>
            </w:r>
            <w:r>
              <w:rPr>
                <w:rFonts w:ascii="仿宋" w:eastAsia="仿宋" w:hAnsi="仿宋" w:cs="仿宋" w:hint="eastAsia"/>
                <w:sz w:val="24"/>
              </w:rPr>
              <w:t>内部共享获取相关信息（无纸化企业留存备查，非无纸化企业需提供书面材料）。</w:t>
            </w:r>
          </w:p>
        </w:tc>
        <w:tc>
          <w:tcPr>
            <w:tcW w:w="868" w:type="dxa"/>
            <w:vMerge/>
            <w:vAlign w:val="center"/>
          </w:tcPr>
          <w:p w:rsidR="00013EC7" w:rsidRDefault="00013EC7">
            <w:pPr>
              <w:rPr>
                <w:rFonts w:ascii="仿宋" w:eastAsia="仿宋" w:hAnsi="仿宋" w:cs="仿宋"/>
                <w:sz w:val="24"/>
              </w:rPr>
            </w:pPr>
          </w:p>
        </w:tc>
        <w:tc>
          <w:tcPr>
            <w:tcW w:w="798" w:type="dxa"/>
            <w:vMerge/>
            <w:vAlign w:val="center"/>
          </w:tcPr>
          <w:p w:rsidR="00013EC7" w:rsidRDefault="00013EC7">
            <w:pPr>
              <w:rPr>
                <w:rFonts w:ascii="仿宋" w:eastAsia="仿宋" w:hAnsi="仿宋" w:cs="仿宋"/>
                <w:sz w:val="24"/>
              </w:rPr>
            </w:pP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759"/>
          <w:jc w:val="center"/>
        </w:trPr>
        <w:tc>
          <w:tcPr>
            <w:tcW w:w="1250" w:type="dxa"/>
            <w:vMerge/>
            <w:vAlign w:val="center"/>
          </w:tcPr>
          <w:p w:rsidR="00013EC7" w:rsidRDefault="00013EC7">
            <w:pPr>
              <w:rPr>
                <w:rFonts w:ascii="仿宋" w:eastAsia="仿宋" w:hAnsi="仿宋" w:cs="仿宋"/>
                <w:sz w:val="24"/>
              </w:rPr>
            </w:pPr>
          </w:p>
        </w:tc>
        <w:tc>
          <w:tcPr>
            <w:tcW w:w="1316" w:type="dxa"/>
            <w:vMerge/>
            <w:vAlign w:val="center"/>
          </w:tcPr>
          <w:p w:rsidR="00013EC7" w:rsidRDefault="00013EC7">
            <w:pPr>
              <w:rPr>
                <w:rFonts w:ascii="仿宋" w:eastAsia="仿宋" w:hAnsi="仿宋" w:cs="仿宋"/>
                <w:sz w:val="24"/>
              </w:rPr>
            </w:pPr>
          </w:p>
        </w:tc>
        <w:tc>
          <w:tcPr>
            <w:tcW w:w="2122" w:type="dxa"/>
            <w:vMerge/>
            <w:vAlign w:val="center"/>
          </w:tcPr>
          <w:p w:rsidR="00013EC7" w:rsidRDefault="00013EC7">
            <w:pPr>
              <w:rPr>
                <w:rFonts w:ascii="仿宋" w:eastAsia="仿宋" w:hAnsi="仿宋" w:cs="仿宋"/>
                <w:sz w:val="24"/>
              </w:rPr>
            </w:pPr>
          </w:p>
        </w:tc>
        <w:tc>
          <w:tcPr>
            <w:tcW w:w="2777" w:type="dxa"/>
            <w:vAlign w:val="center"/>
          </w:tcPr>
          <w:p w:rsidR="00013EC7" w:rsidRDefault="00575CDB">
            <w:pPr>
              <w:rPr>
                <w:rFonts w:ascii="仿宋" w:eastAsia="仿宋" w:hAnsi="仿宋" w:cs="仿宋"/>
                <w:kern w:val="1"/>
                <w:sz w:val="24"/>
              </w:rPr>
            </w:pPr>
            <w:r>
              <w:rPr>
                <w:rFonts w:ascii="仿宋" w:eastAsia="仿宋" w:hAnsi="仿宋" w:cs="仿宋"/>
                <w:kern w:val="1"/>
                <w:sz w:val="24"/>
              </w:rPr>
              <w:t>（七）</w:t>
            </w:r>
            <w:r>
              <w:rPr>
                <w:rFonts w:ascii="仿宋" w:eastAsia="仿宋" w:hAnsi="仿宋" w:cs="仿宋" w:hint="eastAsia"/>
                <w:kern w:val="1"/>
                <w:sz w:val="24"/>
              </w:rPr>
              <w:t>出口退税进货分批申报单。</w:t>
            </w:r>
          </w:p>
        </w:tc>
        <w:tc>
          <w:tcPr>
            <w:tcW w:w="1118" w:type="dxa"/>
            <w:vMerge/>
            <w:vAlign w:val="center"/>
          </w:tcPr>
          <w:p w:rsidR="00013EC7" w:rsidRDefault="00013EC7">
            <w:pPr>
              <w:rPr>
                <w:rFonts w:ascii="仿宋" w:eastAsia="仿宋" w:hAnsi="仿宋" w:cs="仿宋"/>
                <w:kern w:val="1"/>
                <w:sz w:val="24"/>
              </w:rPr>
            </w:pPr>
          </w:p>
        </w:tc>
        <w:tc>
          <w:tcPr>
            <w:tcW w:w="2403" w:type="dxa"/>
            <w:vAlign w:val="center"/>
          </w:tcPr>
          <w:p w:rsidR="00013EC7" w:rsidRDefault="00575CDB">
            <w:pPr>
              <w:rPr>
                <w:rFonts w:ascii="仿宋" w:eastAsia="仿宋" w:hAnsi="仿宋" w:cs="仿宋"/>
                <w:kern w:val="1"/>
                <w:sz w:val="24"/>
              </w:rPr>
            </w:pPr>
            <w:r>
              <w:rPr>
                <w:rFonts w:ascii="仿宋" w:eastAsia="仿宋" w:hAnsi="仿宋" w:cs="仿宋"/>
                <w:kern w:val="1"/>
                <w:sz w:val="24"/>
              </w:rPr>
              <w:t>（七）</w:t>
            </w:r>
            <w:r>
              <w:rPr>
                <w:rFonts w:ascii="仿宋" w:eastAsia="仿宋" w:hAnsi="仿宋" w:cs="仿宋" w:hint="eastAsia"/>
                <w:kern w:val="1"/>
                <w:sz w:val="24"/>
              </w:rPr>
              <w:t>出口退税进货分批申报单。</w:t>
            </w:r>
          </w:p>
        </w:tc>
        <w:tc>
          <w:tcPr>
            <w:tcW w:w="1606" w:type="dxa"/>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sz w:val="24"/>
              </w:rPr>
              <w:t>出口外贸企业纳税人提交</w:t>
            </w:r>
          </w:p>
        </w:tc>
        <w:tc>
          <w:tcPr>
            <w:tcW w:w="2908" w:type="dxa"/>
            <w:vAlign w:val="center"/>
          </w:tcPr>
          <w:p w:rsidR="00013EC7" w:rsidRDefault="00575CDB">
            <w:pPr>
              <w:spacing w:line="300" w:lineRule="exact"/>
              <w:rPr>
                <w:rFonts w:ascii="仿宋" w:eastAsia="仿宋" w:hAnsi="仿宋" w:cs="仿宋"/>
                <w:b/>
                <w:sz w:val="24"/>
              </w:rPr>
            </w:pPr>
            <w:r>
              <w:rPr>
                <w:rFonts w:ascii="仿宋" w:eastAsia="仿宋" w:hAnsi="仿宋" w:cs="仿宋" w:hint="eastAsia"/>
                <w:b/>
                <w:sz w:val="24"/>
              </w:rPr>
              <w:t>现场办理：</w:t>
            </w:r>
            <w:r>
              <w:rPr>
                <w:rFonts w:ascii="仿宋" w:eastAsia="仿宋" w:hAnsi="仿宋" w:cs="仿宋" w:hint="eastAsia"/>
                <w:sz w:val="24"/>
              </w:rPr>
              <w:t>纳税人提交书面材料（无纸化企业留存备查）</w:t>
            </w:r>
            <w:r>
              <w:rPr>
                <w:rFonts w:ascii="仿宋" w:eastAsia="仿宋" w:hAnsi="仿宋" w:cs="仿宋"/>
                <w:sz w:val="24"/>
              </w:rPr>
              <w:t>。</w:t>
            </w:r>
          </w:p>
        </w:tc>
        <w:tc>
          <w:tcPr>
            <w:tcW w:w="868" w:type="dxa"/>
            <w:vMerge/>
            <w:vAlign w:val="center"/>
          </w:tcPr>
          <w:p w:rsidR="00013EC7" w:rsidRDefault="00013EC7">
            <w:pPr>
              <w:rPr>
                <w:rFonts w:ascii="仿宋" w:eastAsia="仿宋" w:hAnsi="仿宋" w:cs="仿宋"/>
                <w:sz w:val="24"/>
              </w:rPr>
            </w:pPr>
          </w:p>
        </w:tc>
        <w:tc>
          <w:tcPr>
            <w:tcW w:w="798" w:type="dxa"/>
            <w:vMerge/>
            <w:vAlign w:val="center"/>
          </w:tcPr>
          <w:p w:rsidR="00013EC7" w:rsidRDefault="00013EC7">
            <w:pPr>
              <w:rPr>
                <w:rFonts w:ascii="仿宋" w:eastAsia="仿宋" w:hAnsi="仿宋" w:cs="仿宋"/>
                <w:sz w:val="24"/>
              </w:rPr>
            </w:pP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759"/>
          <w:jc w:val="center"/>
        </w:trPr>
        <w:tc>
          <w:tcPr>
            <w:tcW w:w="1250" w:type="dxa"/>
            <w:vMerge/>
            <w:vAlign w:val="center"/>
          </w:tcPr>
          <w:p w:rsidR="00013EC7" w:rsidRDefault="00013EC7">
            <w:pPr>
              <w:rPr>
                <w:rFonts w:ascii="仿宋" w:eastAsia="仿宋" w:hAnsi="仿宋" w:cs="仿宋"/>
                <w:sz w:val="24"/>
              </w:rPr>
            </w:pPr>
          </w:p>
        </w:tc>
        <w:tc>
          <w:tcPr>
            <w:tcW w:w="1316" w:type="dxa"/>
            <w:vMerge/>
            <w:vAlign w:val="center"/>
          </w:tcPr>
          <w:p w:rsidR="00013EC7" w:rsidRDefault="00013EC7">
            <w:pPr>
              <w:rPr>
                <w:rFonts w:ascii="仿宋" w:eastAsia="仿宋" w:hAnsi="仿宋" w:cs="仿宋"/>
                <w:sz w:val="24"/>
              </w:rPr>
            </w:pPr>
          </w:p>
        </w:tc>
        <w:tc>
          <w:tcPr>
            <w:tcW w:w="2122" w:type="dxa"/>
            <w:vMerge/>
            <w:vAlign w:val="center"/>
          </w:tcPr>
          <w:p w:rsidR="00013EC7" w:rsidRDefault="00013EC7">
            <w:pPr>
              <w:rPr>
                <w:rFonts w:ascii="仿宋" w:eastAsia="仿宋" w:hAnsi="仿宋" w:cs="仿宋"/>
                <w:sz w:val="24"/>
              </w:rPr>
            </w:pPr>
          </w:p>
        </w:tc>
        <w:tc>
          <w:tcPr>
            <w:tcW w:w="2777" w:type="dxa"/>
            <w:vAlign w:val="center"/>
          </w:tcPr>
          <w:p w:rsidR="00013EC7" w:rsidRDefault="00575CDB">
            <w:pPr>
              <w:rPr>
                <w:rFonts w:ascii="仿宋" w:eastAsia="仿宋" w:hAnsi="仿宋" w:cs="仿宋"/>
                <w:kern w:val="1"/>
                <w:sz w:val="24"/>
              </w:rPr>
            </w:pPr>
            <w:r>
              <w:rPr>
                <w:rFonts w:ascii="仿宋" w:eastAsia="仿宋" w:hAnsi="仿宋" w:cs="仿宋"/>
                <w:kern w:val="1"/>
                <w:sz w:val="24"/>
              </w:rPr>
              <w:t>（八）</w:t>
            </w:r>
            <w:r>
              <w:rPr>
                <w:rFonts w:ascii="仿宋" w:eastAsia="仿宋" w:hAnsi="仿宋" w:cs="仿宋" w:hint="eastAsia"/>
                <w:kern w:val="1"/>
                <w:sz w:val="24"/>
              </w:rPr>
              <w:t>海关进口增值税专用缴款书（提供海关进口增值税专用缴款书的，还需同时提供进口货物报关单，下同）。</w:t>
            </w:r>
          </w:p>
        </w:tc>
        <w:tc>
          <w:tcPr>
            <w:tcW w:w="1118" w:type="dxa"/>
            <w:vMerge/>
            <w:vAlign w:val="center"/>
          </w:tcPr>
          <w:p w:rsidR="00013EC7" w:rsidRDefault="00013EC7">
            <w:pPr>
              <w:rPr>
                <w:rFonts w:ascii="仿宋" w:eastAsia="仿宋" w:hAnsi="仿宋" w:cs="仿宋"/>
                <w:kern w:val="1"/>
                <w:sz w:val="24"/>
              </w:rPr>
            </w:pPr>
          </w:p>
        </w:tc>
        <w:tc>
          <w:tcPr>
            <w:tcW w:w="2403" w:type="dxa"/>
            <w:vAlign w:val="center"/>
          </w:tcPr>
          <w:p w:rsidR="00013EC7" w:rsidRDefault="00575CDB">
            <w:pPr>
              <w:rPr>
                <w:rFonts w:ascii="仿宋" w:eastAsia="仿宋" w:hAnsi="仿宋" w:cs="仿宋"/>
                <w:kern w:val="1"/>
                <w:sz w:val="24"/>
              </w:rPr>
            </w:pPr>
            <w:r>
              <w:rPr>
                <w:rFonts w:ascii="仿宋" w:eastAsia="仿宋" w:hAnsi="仿宋" w:cs="仿宋"/>
                <w:kern w:val="1"/>
                <w:sz w:val="24"/>
              </w:rPr>
              <w:t>（八）</w:t>
            </w:r>
            <w:r>
              <w:rPr>
                <w:rFonts w:ascii="仿宋" w:eastAsia="仿宋" w:hAnsi="仿宋" w:cs="仿宋" w:hint="eastAsia"/>
                <w:kern w:val="1"/>
                <w:sz w:val="24"/>
              </w:rPr>
              <w:t>海关进口增值税专用缴款书（提供海关进口增值税专用缴款书的，还需同时提供进口货物报关单，下同）。</w:t>
            </w:r>
          </w:p>
        </w:tc>
        <w:tc>
          <w:tcPr>
            <w:tcW w:w="1606" w:type="dxa"/>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b/>
                <w:i/>
                <w:sz w:val="24"/>
              </w:rPr>
              <w:t>经办机构自行获取</w:t>
            </w:r>
          </w:p>
        </w:tc>
        <w:tc>
          <w:tcPr>
            <w:tcW w:w="2908" w:type="dxa"/>
            <w:vAlign w:val="center"/>
          </w:tcPr>
          <w:p w:rsidR="00013EC7" w:rsidRDefault="00575CDB">
            <w:pPr>
              <w:spacing w:line="300" w:lineRule="exact"/>
              <w:rPr>
                <w:rFonts w:ascii="仿宋" w:eastAsia="仿宋" w:hAnsi="仿宋" w:cs="仿宋"/>
                <w:b/>
                <w:sz w:val="24"/>
              </w:rPr>
            </w:pPr>
            <w:r>
              <w:rPr>
                <w:rFonts w:ascii="仿宋" w:eastAsia="仿宋" w:hAnsi="仿宋" w:cs="仿宋" w:hint="eastAsia"/>
                <w:b/>
                <w:sz w:val="24"/>
              </w:rPr>
              <w:t>内部共享：</w:t>
            </w:r>
            <w:r>
              <w:rPr>
                <w:rFonts w:ascii="仿宋" w:eastAsia="仿宋" w:hAnsi="仿宋" w:cs="仿宋" w:hint="eastAsia"/>
                <w:sz w:val="24"/>
              </w:rPr>
              <w:t>内部共享获取相关信息（无纸化企业留存备查，非无纸化企业需提供书面材料）。</w:t>
            </w:r>
          </w:p>
        </w:tc>
        <w:tc>
          <w:tcPr>
            <w:tcW w:w="868" w:type="dxa"/>
            <w:vMerge/>
            <w:vAlign w:val="center"/>
          </w:tcPr>
          <w:p w:rsidR="00013EC7" w:rsidRDefault="00013EC7">
            <w:pPr>
              <w:rPr>
                <w:rFonts w:ascii="仿宋" w:eastAsia="仿宋" w:hAnsi="仿宋" w:cs="仿宋"/>
                <w:sz w:val="24"/>
              </w:rPr>
            </w:pPr>
          </w:p>
        </w:tc>
        <w:tc>
          <w:tcPr>
            <w:tcW w:w="798" w:type="dxa"/>
            <w:vMerge/>
            <w:vAlign w:val="center"/>
          </w:tcPr>
          <w:p w:rsidR="00013EC7" w:rsidRDefault="00013EC7">
            <w:pPr>
              <w:rPr>
                <w:rFonts w:ascii="仿宋" w:eastAsia="仿宋" w:hAnsi="仿宋" w:cs="仿宋"/>
                <w:sz w:val="24"/>
              </w:rPr>
            </w:pP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1294"/>
          <w:jc w:val="center"/>
        </w:trPr>
        <w:tc>
          <w:tcPr>
            <w:tcW w:w="1250" w:type="dxa"/>
            <w:vMerge/>
            <w:vAlign w:val="center"/>
          </w:tcPr>
          <w:p w:rsidR="00013EC7" w:rsidRDefault="00013EC7">
            <w:pPr>
              <w:rPr>
                <w:rFonts w:ascii="仿宋" w:eastAsia="仿宋" w:hAnsi="仿宋" w:cs="仿宋"/>
                <w:sz w:val="24"/>
              </w:rPr>
            </w:pPr>
          </w:p>
        </w:tc>
        <w:tc>
          <w:tcPr>
            <w:tcW w:w="1316" w:type="dxa"/>
            <w:vMerge/>
            <w:vAlign w:val="center"/>
          </w:tcPr>
          <w:p w:rsidR="00013EC7" w:rsidRDefault="00013EC7">
            <w:pPr>
              <w:rPr>
                <w:rFonts w:ascii="仿宋" w:eastAsia="仿宋" w:hAnsi="仿宋" w:cs="仿宋"/>
                <w:sz w:val="24"/>
              </w:rPr>
            </w:pPr>
          </w:p>
        </w:tc>
        <w:tc>
          <w:tcPr>
            <w:tcW w:w="2122" w:type="dxa"/>
            <w:vMerge/>
            <w:vAlign w:val="center"/>
          </w:tcPr>
          <w:p w:rsidR="00013EC7" w:rsidRDefault="00013EC7">
            <w:pPr>
              <w:rPr>
                <w:rFonts w:ascii="仿宋" w:eastAsia="仿宋" w:hAnsi="仿宋" w:cs="仿宋"/>
                <w:sz w:val="24"/>
              </w:rPr>
            </w:pPr>
          </w:p>
        </w:tc>
        <w:tc>
          <w:tcPr>
            <w:tcW w:w="2777" w:type="dxa"/>
            <w:vAlign w:val="center"/>
          </w:tcPr>
          <w:p w:rsidR="00013EC7" w:rsidRDefault="00575CDB">
            <w:pPr>
              <w:rPr>
                <w:rFonts w:ascii="仿宋" w:eastAsia="仿宋" w:hAnsi="仿宋" w:cs="仿宋"/>
                <w:kern w:val="1"/>
                <w:sz w:val="24"/>
              </w:rPr>
            </w:pPr>
            <w:r>
              <w:rPr>
                <w:rFonts w:ascii="仿宋" w:eastAsia="仿宋" w:hAnsi="仿宋" w:cs="仿宋"/>
                <w:kern w:val="1"/>
                <w:sz w:val="24"/>
              </w:rPr>
              <w:t>（九）</w:t>
            </w:r>
            <w:r>
              <w:rPr>
                <w:rFonts w:ascii="仿宋" w:eastAsia="仿宋" w:hAnsi="仿宋" w:cs="仿宋" w:hint="eastAsia"/>
                <w:kern w:val="1"/>
                <w:sz w:val="24"/>
              </w:rPr>
              <w:t>出口收汇重点监管企业应提供（A06342）《出口货物收汇申报表》及对应货物银行结汇水单等出口收汇凭证（跨境贸易人民币结算的为收取人民币的收款凭证,原件和盖有企业公章的复印件）（注明与原件一致，并加盖公章）</w:t>
            </w:r>
            <w:r>
              <w:rPr>
                <w:rFonts w:ascii="仿宋" w:eastAsia="仿宋" w:hAnsi="仿宋" w:cs="仿宋"/>
                <w:kern w:val="1"/>
                <w:sz w:val="24"/>
              </w:rPr>
              <w:t>。</w:t>
            </w:r>
          </w:p>
        </w:tc>
        <w:tc>
          <w:tcPr>
            <w:tcW w:w="1118" w:type="dxa"/>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kern w:val="1"/>
                <w:sz w:val="24"/>
              </w:rPr>
              <w:t>出口收汇重点监管企业的纳税人提交</w:t>
            </w:r>
          </w:p>
        </w:tc>
        <w:tc>
          <w:tcPr>
            <w:tcW w:w="2403" w:type="dxa"/>
            <w:vAlign w:val="center"/>
          </w:tcPr>
          <w:p w:rsidR="00013EC7" w:rsidRDefault="00575CDB">
            <w:pPr>
              <w:rPr>
                <w:rFonts w:ascii="仿宋" w:eastAsia="仿宋" w:hAnsi="仿宋" w:cs="仿宋"/>
                <w:kern w:val="1"/>
                <w:sz w:val="24"/>
              </w:rPr>
            </w:pPr>
            <w:r>
              <w:rPr>
                <w:rFonts w:ascii="仿宋" w:eastAsia="仿宋" w:hAnsi="仿宋" w:cs="仿宋"/>
                <w:kern w:val="1"/>
                <w:sz w:val="24"/>
              </w:rPr>
              <w:t>（</w:t>
            </w:r>
            <w:r>
              <w:rPr>
                <w:rFonts w:ascii="仿宋" w:eastAsia="仿宋" w:hAnsi="仿宋" w:cs="仿宋" w:hint="eastAsia"/>
                <w:kern w:val="1"/>
                <w:sz w:val="24"/>
              </w:rPr>
              <w:t>九</w:t>
            </w:r>
            <w:r>
              <w:rPr>
                <w:rFonts w:ascii="仿宋" w:eastAsia="仿宋" w:hAnsi="仿宋" w:cs="仿宋"/>
                <w:kern w:val="1"/>
                <w:sz w:val="24"/>
              </w:rPr>
              <w:t>）</w:t>
            </w:r>
            <w:r>
              <w:rPr>
                <w:rFonts w:ascii="仿宋" w:eastAsia="仿宋" w:hAnsi="仿宋" w:cs="仿宋" w:hint="eastAsia"/>
                <w:kern w:val="1"/>
                <w:sz w:val="24"/>
              </w:rPr>
              <w:t>（A06342）《出口货物收汇申报表》及对应货物银行结汇水单等出口收汇凭证（跨境贸易人民币结算的为收取人民币的收款凭证, 原件和盖有企业公章的复印件）（注明与原件一致，并加盖公章）</w:t>
            </w:r>
            <w:r>
              <w:rPr>
                <w:rFonts w:ascii="仿宋" w:eastAsia="仿宋" w:hAnsi="仿宋" w:cs="仿宋"/>
                <w:kern w:val="1"/>
                <w:sz w:val="24"/>
              </w:rPr>
              <w:t>。</w:t>
            </w:r>
          </w:p>
        </w:tc>
        <w:tc>
          <w:tcPr>
            <w:tcW w:w="1606" w:type="dxa"/>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kern w:val="1"/>
                <w:sz w:val="24"/>
              </w:rPr>
              <w:t>出口收汇重点监管企业的纳税人提交</w:t>
            </w:r>
          </w:p>
        </w:tc>
        <w:tc>
          <w:tcPr>
            <w:tcW w:w="2908"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纳税人提交书面材料（无纸化企业留存备查）</w:t>
            </w:r>
            <w:r>
              <w:rPr>
                <w:rFonts w:ascii="仿宋" w:eastAsia="仿宋" w:hAnsi="仿宋" w:cs="仿宋"/>
                <w:sz w:val="24"/>
              </w:rPr>
              <w:t>。</w:t>
            </w:r>
          </w:p>
        </w:tc>
        <w:tc>
          <w:tcPr>
            <w:tcW w:w="868" w:type="dxa"/>
            <w:vMerge/>
            <w:vAlign w:val="center"/>
          </w:tcPr>
          <w:p w:rsidR="00013EC7" w:rsidRDefault="00013EC7">
            <w:pPr>
              <w:rPr>
                <w:rFonts w:ascii="仿宋" w:eastAsia="仿宋" w:hAnsi="仿宋" w:cs="仿宋"/>
                <w:sz w:val="24"/>
              </w:rPr>
            </w:pPr>
          </w:p>
        </w:tc>
        <w:tc>
          <w:tcPr>
            <w:tcW w:w="798" w:type="dxa"/>
            <w:vMerge/>
            <w:vAlign w:val="center"/>
          </w:tcPr>
          <w:p w:rsidR="00013EC7" w:rsidRDefault="00013EC7">
            <w:pPr>
              <w:rPr>
                <w:rFonts w:ascii="仿宋" w:eastAsia="仿宋" w:hAnsi="仿宋" w:cs="仿宋"/>
                <w:sz w:val="24"/>
              </w:rPr>
            </w:pP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1294"/>
          <w:jc w:val="center"/>
        </w:trPr>
        <w:tc>
          <w:tcPr>
            <w:tcW w:w="1250" w:type="dxa"/>
            <w:vMerge/>
            <w:vAlign w:val="center"/>
          </w:tcPr>
          <w:p w:rsidR="00013EC7" w:rsidRDefault="00013EC7">
            <w:pPr>
              <w:rPr>
                <w:rFonts w:ascii="仿宋" w:eastAsia="仿宋" w:hAnsi="仿宋" w:cs="仿宋"/>
                <w:sz w:val="24"/>
              </w:rPr>
            </w:pPr>
          </w:p>
        </w:tc>
        <w:tc>
          <w:tcPr>
            <w:tcW w:w="1316" w:type="dxa"/>
            <w:vMerge/>
            <w:vAlign w:val="center"/>
          </w:tcPr>
          <w:p w:rsidR="00013EC7" w:rsidRDefault="00013EC7">
            <w:pPr>
              <w:rPr>
                <w:rFonts w:ascii="仿宋" w:eastAsia="仿宋" w:hAnsi="仿宋" w:cs="仿宋"/>
                <w:sz w:val="24"/>
              </w:rPr>
            </w:pPr>
          </w:p>
        </w:tc>
        <w:tc>
          <w:tcPr>
            <w:tcW w:w="2122" w:type="dxa"/>
            <w:vMerge/>
            <w:vAlign w:val="center"/>
          </w:tcPr>
          <w:p w:rsidR="00013EC7" w:rsidRDefault="00013EC7">
            <w:pPr>
              <w:rPr>
                <w:rFonts w:ascii="仿宋" w:eastAsia="仿宋" w:hAnsi="仿宋" w:cs="仿宋"/>
                <w:sz w:val="24"/>
              </w:rPr>
            </w:pPr>
          </w:p>
        </w:tc>
        <w:tc>
          <w:tcPr>
            <w:tcW w:w="2777" w:type="dxa"/>
            <w:vAlign w:val="center"/>
          </w:tcPr>
          <w:p w:rsidR="00013EC7" w:rsidRDefault="00575CDB">
            <w:pPr>
              <w:rPr>
                <w:rFonts w:ascii="仿宋" w:eastAsia="仿宋" w:hAnsi="仿宋" w:cs="仿宋"/>
                <w:kern w:val="1"/>
                <w:sz w:val="24"/>
              </w:rPr>
            </w:pPr>
            <w:r>
              <w:rPr>
                <w:rFonts w:ascii="仿宋" w:eastAsia="仿宋" w:hAnsi="仿宋" w:cs="仿宋"/>
                <w:kern w:val="1"/>
                <w:sz w:val="24"/>
              </w:rPr>
              <w:t>（十）</w:t>
            </w:r>
            <w:r>
              <w:rPr>
                <w:rFonts w:ascii="仿宋" w:eastAsia="仿宋" w:hAnsi="仿宋" w:cs="仿宋" w:hint="eastAsia"/>
                <w:kern w:val="1"/>
                <w:sz w:val="24"/>
              </w:rPr>
              <w:t>（A06343）《出口货物不能收汇申报表》及附件3所列原因对应的有关证明材料</w:t>
            </w:r>
            <w:r>
              <w:rPr>
                <w:rFonts w:ascii="仿宋" w:eastAsia="仿宋" w:hAnsi="仿宋" w:cs="仿宋"/>
                <w:kern w:val="1"/>
                <w:sz w:val="24"/>
              </w:rPr>
              <w:t>。</w:t>
            </w:r>
          </w:p>
        </w:tc>
        <w:tc>
          <w:tcPr>
            <w:tcW w:w="1118" w:type="dxa"/>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kern w:val="1"/>
                <w:sz w:val="24"/>
              </w:rPr>
              <w:t>出口货物由于《国家税务总局关于出口企业申报出口货物退（免）税提供收汇资料有关问题的公告》（国家税务总局公告2013年第30</w:t>
            </w:r>
            <w:r>
              <w:rPr>
                <w:rFonts w:ascii="仿宋" w:eastAsia="仿宋" w:hAnsi="仿宋" w:cs="仿宋" w:hint="eastAsia"/>
                <w:kern w:val="1"/>
                <w:sz w:val="24"/>
              </w:rPr>
              <w:lastRenderedPageBreak/>
              <w:t>号）附件3所列原因，不能收汇或不能在出口货物退（免）税申报期的截止之日内收汇的纳税人提交</w:t>
            </w:r>
          </w:p>
        </w:tc>
        <w:tc>
          <w:tcPr>
            <w:tcW w:w="2403" w:type="dxa"/>
            <w:vAlign w:val="center"/>
          </w:tcPr>
          <w:p w:rsidR="00013EC7" w:rsidRDefault="00575CDB">
            <w:pPr>
              <w:rPr>
                <w:rFonts w:ascii="仿宋" w:eastAsia="仿宋" w:hAnsi="仿宋" w:cs="仿宋"/>
                <w:kern w:val="1"/>
                <w:sz w:val="24"/>
              </w:rPr>
            </w:pPr>
            <w:r>
              <w:rPr>
                <w:rFonts w:ascii="仿宋" w:eastAsia="仿宋" w:hAnsi="仿宋" w:cs="仿宋"/>
                <w:kern w:val="1"/>
                <w:sz w:val="24"/>
              </w:rPr>
              <w:lastRenderedPageBreak/>
              <w:t>（十</w:t>
            </w:r>
            <w:r>
              <w:rPr>
                <w:rFonts w:ascii="仿宋" w:eastAsia="仿宋" w:hAnsi="仿宋" w:cs="仿宋" w:hint="eastAsia"/>
                <w:kern w:val="1"/>
                <w:sz w:val="24"/>
              </w:rPr>
              <w:t>）</w:t>
            </w:r>
            <w:hyperlink r:id="rId474" w:history="1">
              <w:r>
                <w:rPr>
                  <w:rFonts w:ascii="仿宋" w:eastAsia="仿宋" w:hAnsi="仿宋" w:cs="仿宋" w:hint="eastAsia"/>
                  <w:kern w:val="1"/>
                  <w:sz w:val="24"/>
                </w:rPr>
                <w:t>（A06343）《出口货物不能收汇申报表》</w:t>
              </w:r>
            </w:hyperlink>
            <w:r>
              <w:rPr>
                <w:rFonts w:ascii="仿宋" w:eastAsia="仿宋" w:hAnsi="仿宋" w:cs="仿宋" w:hint="eastAsia"/>
                <w:kern w:val="1"/>
                <w:sz w:val="24"/>
              </w:rPr>
              <w:t>及对应的有关证明材料。</w:t>
            </w:r>
          </w:p>
        </w:tc>
        <w:tc>
          <w:tcPr>
            <w:tcW w:w="1606" w:type="dxa"/>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kern w:val="1"/>
                <w:sz w:val="24"/>
              </w:rPr>
              <w:t>出口货物由于《国家税务总局关于出口企业申报出口货物退（免）税提供收汇资料有关问题的公告》（国家税务总局公告2013年第30号）附件3所列原因，不能收汇或不能在出口货物退（免）税申报期的截止之日</w:t>
            </w:r>
            <w:r>
              <w:rPr>
                <w:rFonts w:ascii="仿宋" w:eastAsia="仿宋" w:hAnsi="仿宋" w:cs="仿宋" w:hint="eastAsia"/>
                <w:kern w:val="1"/>
                <w:sz w:val="24"/>
              </w:rPr>
              <w:lastRenderedPageBreak/>
              <w:t>内收汇的纳税人提交</w:t>
            </w:r>
          </w:p>
        </w:tc>
        <w:tc>
          <w:tcPr>
            <w:tcW w:w="2908"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b/>
                <w:sz w:val="24"/>
              </w:rPr>
              <w:lastRenderedPageBreak/>
              <w:t>现场办理：</w:t>
            </w:r>
            <w:r>
              <w:rPr>
                <w:rFonts w:ascii="仿宋" w:eastAsia="仿宋" w:hAnsi="仿宋" w:cs="仿宋" w:hint="eastAsia"/>
                <w:sz w:val="24"/>
              </w:rPr>
              <w:t>纳税人提交书面材料（无纸化企业留存备查）</w:t>
            </w:r>
            <w:r>
              <w:rPr>
                <w:rFonts w:ascii="仿宋" w:eastAsia="仿宋" w:hAnsi="仿宋" w:cs="仿宋"/>
                <w:sz w:val="24"/>
              </w:rPr>
              <w:t>。</w:t>
            </w:r>
          </w:p>
        </w:tc>
        <w:tc>
          <w:tcPr>
            <w:tcW w:w="868" w:type="dxa"/>
            <w:vMerge/>
            <w:vAlign w:val="center"/>
          </w:tcPr>
          <w:p w:rsidR="00013EC7" w:rsidRDefault="00013EC7">
            <w:pPr>
              <w:rPr>
                <w:rFonts w:ascii="仿宋" w:eastAsia="仿宋" w:hAnsi="仿宋" w:cs="仿宋"/>
                <w:sz w:val="24"/>
              </w:rPr>
            </w:pPr>
          </w:p>
        </w:tc>
        <w:tc>
          <w:tcPr>
            <w:tcW w:w="798" w:type="dxa"/>
            <w:vMerge/>
            <w:vAlign w:val="center"/>
          </w:tcPr>
          <w:p w:rsidR="00013EC7" w:rsidRDefault="00013EC7">
            <w:pPr>
              <w:rPr>
                <w:rFonts w:ascii="仿宋" w:eastAsia="仿宋" w:hAnsi="仿宋" w:cs="仿宋"/>
                <w:sz w:val="24"/>
              </w:rPr>
            </w:pP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598"/>
          <w:jc w:val="center"/>
        </w:trPr>
        <w:tc>
          <w:tcPr>
            <w:tcW w:w="1250" w:type="dxa"/>
            <w:vMerge/>
            <w:vAlign w:val="center"/>
          </w:tcPr>
          <w:p w:rsidR="00013EC7" w:rsidRDefault="00013EC7">
            <w:pPr>
              <w:rPr>
                <w:rFonts w:ascii="仿宋" w:eastAsia="仿宋" w:hAnsi="仿宋" w:cs="仿宋"/>
                <w:sz w:val="24"/>
              </w:rPr>
            </w:pPr>
          </w:p>
        </w:tc>
        <w:tc>
          <w:tcPr>
            <w:tcW w:w="1316" w:type="dxa"/>
            <w:vMerge/>
            <w:vAlign w:val="center"/>
          </w:tcPr>
          <w:p w:rsidR="00013EC7" w:rsidRDefault="00013EC7">
            <w:pPr>
              <w:rPr>
                <w:rFonts w:ascii="仿宋" w:eastAsia="仿宋" w:hAnsi="仿宋" w:cs="仿宋"/>
                <w:sz w:val="24"/>
              </w:rPr>
            </w:pPr>
          </w:p>
        </w:tc>
        <w:tc>
          <w:tcPr>
            <w:tcW w:w="2122" w:type="dxa"/>
            <w:vMerge/>
            <w:vAlign w:val="center"/>
          </w:tcPr>
          <w:p w:rsidR="00013EC7" w:rsidRDefault="00013EC7">
            <w:pPr>
              <w:rPr>
                <w:rFonts w:ascii="仿宋" w:eastAsia="仿宋" w:hAnsi="仿宋" w:cs="仿宋"/>
                <w:sz w:val="24"/>
              </w:rPr>
            </w:pPr>
          </w:p>
        </w:tc>
        <w:tc>
          <w:tcPr>
            <w:tcW w:w="2777" w:type="dxa"/>
            <w:vAlign w:val="center"/>
          </w:tcPr>
          <w:p w:rsidR="00013EC7" w:rsidRDefault="00575CDB">
            <w:pPr>
              <w:rPr>
                <w:rFonts w:ascii="仿宋" w:eastAsia="仿宋" w:hAnsi="仿宋" w:cs="仿宋"/>
                <w:kern w:val="1"/>
                <w:sz w:val="24"/>
              </w:rPr>
            </w:pPr>
            <w:r>
              <w:rPr>
                <w:rFonts w:ascii="仿宋" w:eastAsia="仿宋" w:hAnsi="仿宋" w:cs="仿宋"/>
                <w:kern w:val="1"/>
                <w:sz w:val="24"/>
              </w:rPr>
              <w:t>（十一）</w:t>
            </w:r>
            <w:r>
              <w:rPr>
                <w:rFonts w:ascii="仿宋" w:eastAsia="仿宋" w:hAnsi="仿宋" w:cs="仿宋" w:hint="eastAsia"/>
                <w:kern w:val="1"/>
                <w:sz w:val="24"/>
              </w:rPr>
              <w:t>受托方主管税务机关签发的代理出口货物证明</w:t>
            </w:r>
          </w:p>
        </w:tc>
        <w:tc>
          <w:tcPr>
            <w:tcW w:w="1118" w:type="dxa"/>
            <w:vMerge w:val="restart"/>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委托出口的货物的纳税人提交</w:t>
            </w:r>
          </w:p>
        </w:tc>
        <w:tc>
          <w:tcPr>
            <w:tcW w:w="2403" w:type="dxa"/>
            <w:vAlign w:val="center"/>
          </w:tcPr>
          <w:p w:rsidR="00013EC7" w:rsidRDefault="00575CDB">
            <w:pPr>
              <w:rPr>
                <w:rFonts w:ascii="仿宋" w:eastAsia="仿宋" w:hAnsi="仿宋" w:cs="仿宋"/>
                <w:kern w:val="1"/>
                <w:sz w:val="24"/>
              </w:rPr>
            </w:pPr>
            <w:r>
              <w:rPr>
                <w:rFonts w:ascii="仿宋" w:eastAsia="仿宋" w:hAnsi="仿宋" w:cs="仿宋"/>
                <w:kern w:val="1"/>
                <w:sz w:val="24"/>
              </w:rPr>
              <w:t>（十一）</w:t>
            </w:r>
            <w:r>
              <w:rPr>
                <w:rFonts w:ascii="仿宋" w:eastAsia="仿宋" w:hAnsi="仿宋" w:cs="仿宋" w:hint="eastAsia"/>
                <w:kern w:val="1"/>
                <w:sz w:val="24"/>
              </w:rPr>
              <w:t>受托方主管税务机关签发的代理出口货物证明</w:t>
            </w:r>
          </w:p>
        </w:tc>
        <w:tc>
          <w:tcPr>
            <w:tcW w:w="1606" w:type="dxa"/>
            <w:vAlign w:val="center"/>
          </w:tcPr>
          <w:p w:rsidR="00013EC7" w:rsidRDefault="00575CDB">
            <w:pPr>
              <w:spacing w:line="300" w:lineRule="exact"/>
              <w:jc w:val="center"/>
              <w:rPr>
                <w:rFonts w:ascii="仿宋" w:eastAsia="仿宋" w:hAnsi="仿宋" w:cs="仿宋"/>
                <w:b/>
                <w:i/>
                <w:sz w:val="24"/>
              </w:rPr>
            </w:pPr>
            <w:r>
              <w:rPr>
                <w:rFonts w:ascii="仿宋" w:eastAsia="仿宋" w:hAnsi="仿宋" w:cs="仿宋" w:hint="eastAsia"/>
                <w:b/>
                <w:i/>
                <w:sz w:val="24"/>
              </w:rPr>
              <w:t>经办机构自行获取</w:t>
            </w:r>
          </w:p>
        </w:tc>
        <w:tc>
          <w:tcPr>
            <w:tcW w:w="2908"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b/>
                <w:sz w:val="24"/>
              </w:rPr>
              <w:t>内部共享：</w:t>
            </w:r>
            <w:r>
              <w:rPr>
                <w:rFonts w:ascii="仿宋" w:eastAsia="仿宋" w:hAnsi="仿宋" w:cs="仿宋" w:hint="eastAsia"/>
                <w:sz w:val="24"/>
              </w:rPr>
              <w:t>内部共享获取相关信息（无纸化企业留存备查，非无纸化企业需提供书面材料）。</w:t>
            </w:r>
          </w:p>
        </w:tc>
        <w:tc>
          <w:tcPr>
            <w:tcW w:w="868" w:type="dxa"/>
            <w:vMerge/>
            <w:vAlign w:val="center"/>
          </w:tcPr>
          <w:p w:rsidR="00013EC7" w:rsidRDefault="00013EC7">
            <w:pPr>
              <w:rPr>
                <w:rFonts w:ascii="仿宋" w:eastAsia="仿宋" w:hAnsi="仿宋" w:cs="仿宋"/>
                <w:sz w:val="24"/>
              </w:rPr>
            </w:pPr>
          </w:p>
        </w:tc>
        <w:tc>
          <w:tcPr>
            <w:tcW w:w="798" w:type="dxa"/>
            <w:vMerge/>
            <w:vAlign w:val="center"/>
          </w:tcPr>
          <w:p w:rsidR="00013EC7" w:rsidRDefault="00013EC7">
            <w:pPr>
              <w:rPr>
                <w:rFonts w:ascii="仿宋" w:eastAsia="仿宋" w:hAnsi="仿宋" w:cs="仿宋"/>
                <w:sz w:val="24"/>
              </w:rPr>
            </w:pP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597"/>
          <w:jc w:val="center"/>
        </w:trPr>
        <w:tc>
          <w:tcPr>
            <w:tcW w:w="1250" w:type="dxa"/>
            <w:vMerge/>
            <w:vAlign w:val="center"/>
          </w:tcPr>
          <w:p w:rsidR="00013EC7" w:rsidRDefault="00013EC7">
            <w:pPr>
              <w:rPr>
                <w:rFonts w:ascii="仿宋" w:eastAsia="仿宋" w:hAnsi="仿宋" w:cs="仿宋"/>
                <w:sz w:val="24"/>
              </w:rPr>
            </w:pPr>
          </w:p>
        </w:tc>
        <w:tc>
          <w:tcPr>
            <w:tcW w:w="1316" w:type="dxa"/>
            <w:vMerge/>
            <w:vAlign w:val="center"/>
          </w:tcPr>
          <w:p w:rsidR="00013EC7" w:rsidRDefault="00013EC7">
            <w:pPr>
              <w:rPr>
                <w:rFonts w:ascii="仿宋" w:eastAsia="仿宋" w:hAnsi="仿宋" w:cs="仿宋"/>
                <w:sz w:val="24"/>
              </w:rPr>
            </w:pPr>
          </w:p>
        </w:tc>
        <w:tc>
          <w:tcPr>
            <w:tcW w:w="2122" w:type="dxa"/>
            <w:vMerge/>
            <w:vAlign w:val="center"/>
          </w:tcPr>
          <w:p w:rsidR="00013EC7" w:rsidRDefault="00013EC7">
            <w:pPr>
              <w:rPr>
                <w:rFonts w:ascii="仿宋" w:eastAsia="仿宋" w:hAnsi="仿宋" w:cs="仿宋"/>
                <w:sz w:val="24"/>
              </w:rPr>
            </w:pPr>
          </w:p>
        </w:tc>
        <w:tc>
          <w:tcPr>
            <w:tcW w:w="2777" w:type="dxa"/>
            <w:vAlign w:val="center"/>
          </w:tcPr>
          <w:p w:rsidR="00013EC7" w:rsidRDefault="00575CDB">
            <w:pPr>
              <w:rPr>
                <w:rFonts w:ascii="仿宋" w:eastAsia="仿宋" w:hAnsi="仿宋" w:cs="仿宋"/>
                <w:kern w:val="1"/>
                <w:sz w:val="24"/>
              </w:rPr>
            </w:pPr>
            <w:r>
              <w:rPr>
                <w:rFonts w:ascii="仿宋" w:eastAsia="仿宋" w:hAnsi="仿宋" w:cs="仿宋"/>
                <w:kern w:val="1"/>
                <w:sz w:val="24"/>
              </w:rPr>
              <w:t>（十二）</w:t>
            </w:r>
            <w:r>
              <w:rPr>
                <w:rFonts w:ascii="仿宋" w:eastAsia="仿宋" w:hAnsi="仿宋" w:cs="仿宋" w:hint="eastAsia"/>
                <w:kern w:val="1"/>
                <w:sz w:val="24"/>
              </w:rPr>
              <w:t>代理出口协议复印件（注明与原件一致，并加盖公章）</w:t>
            </w:r>
            <w:r>
              <w:rPr>
                <w:rFonts w:ascii="仿宋" w:eastAsia="仿宋" w:hAnsi="仿宋" w:cs="仿宋"/>
                <w:kern w:val="1"/>
                <w:sz w:val="24"/>
              </w:rPr>
              <w:t>。</w:t>
            </w:r>
          </w:p>
        </w:tc>
        <w:tc>
          <w:tcPr>
            <w:tcW w:w="1118" w:type="dxa"/>
            <w:vMerge/>
            <w:vAlign w:val="center"/>
          </w:tcPr>
          <w:p w:rsidR="00013EC7" w:rsidRDefault="00013EC7">
            <w:pPr>
              <w:rPr>
                <w:rFonts w:ascii="仿宋" w:eastAsia="仿宋" w:hAnsi="仿宋" w:cs="仿宋"/>
                <w:kern w:val="1"/>
                <w:sz w:val="24"/>
              </w:rPr>
            </w:pPr>
          </w:p>
        </w:tc>
        <w:tc>
          <w:tcPr>
            <w:tcW w:w="2403" w:type="dxa"/>
            <w:vAlign w:val="center"/>
          </w:tcPr>
          <w:p w:rsidR="00013EC7" w:rsidRDefault="00575CDB">
            <w:pPr>
              <w:rPr>
                <w:rFonts w:ascii="仿宋" w:eastAsia="仿宋" w:hAnsi="仿宋" w:cs="仿宋"/>
                <w:kern w:val="1"/>
                <w:sz w:val="24"/>
              </w:rPr>
            </w:pPr>
            <w:r>
              <w:rPr>
                <w:rFonts w:ascii="仿宋" w:eastAsia="仿宋" w:hAnsi="仿宋" w:cs="仿宋"/>
                <w:kern w:val="1"/>
                <w:sz w:val="24"/>
              </w:rPr>
              <w:t>（十二）</w:t>
            </w:r>
            <w:r>
              <w:rPr>
                <w:rFonts w:ascii="仿宋" w:eastAsia="仿宋" w:hAnsi="仿宋" w:cs="仿宋" w:hint="eastAsia"/>
                <w:kern w:val="1"/>
                <w:sz w:val="24"/>
              </w:rPr>
              <w:t>代理出口协议复印件（注明与原件一致，并加盖公章）</w:t>
            </w:r>
            <w:r>
              <w:rPr>
                <w:rFonts w:ascii="仿宋" w:eastAsia="仿宋" w:hAnsi="仿宋" w:cs="仿宋"/>
                <w:kern w:val="1"/>
                <w:sz w:val="24"/>
              </w:rPr>
              <w:t>。</w:t>
            </w:r>
          </w:p>
        </w:tc>
        <w:tc>
          <w:tcPr>
            <w:tcW w:w="1606" w:type="dxa"/>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kern w:val="1"/>
                <w:sz w:val="24"/>
              </w:rPr>
              <w:t>委托出口的货物的纳税人提交</w:t>
            </w:r>
          </w:p>
        </w:tc>
        <w:tc>
          <w:tcPr>
            <w:tcW w:w="2908" w:type="dxa"/>
            <w:vAlign w:val="center"/>
          </w:tcPr>
          <w:p w:rsidR="00013EC7" w:rsidRDefault="00575CDB">
            <w:pPr>
              <w:spacing w:line="300" w:lineRule="exact"/>
              <w:rPr>
                <w:rFonts w:ascii="仿宋" w:eastAsia="仿宋" w:hAnsi="仿宋" w:cs="仿宋"/>
                <w:b/>
                <w:sz w:val="24"/>
              </w:rPr>
            </w:pPr>
            <w:r>
              <w:rPr>
                <w:rFonts w:ascii="仿宋" w:eastAsia="仿宋" w:hAnsi="仿宋" w:cs="仿宋" w:hint="eastAsia"/>
                <w:b/>
                <w:sz w:val="24"/>
              </w:rPr>
              <w:t>现场办理：</w:t>
            </w:r>
            <w:r>
              <w:rPr>
                <w:rFonts w:ascii="仿宋" w:eastAsia="仿宋" w:hAnsi="仿宋" w:cs="仿宋" w:hint="eastAsia"/>
                <w:sz w:val="24"/>
              </w:rPr>
              <w:t>纳税人提交书面材料（无纸化企业留存备查）。</w:t>
            </w:r>
          </w:p>
        </w:tc>
        <w:tc>
          <w:tcPr>
            <w:tcW w:w="868" w:type="dxa"/>
            <w:vMerge/>
            <w:vAlign w:val="center"/>
          </w:tcPr>
          <w:p w:rsidR="00013EC7" w:rsidRDefault="00013EC7">
            <w:pPr>
              <w:rPr>
                <w:rFonts w:ascii="仿宋" w:eastAsia="仿宋" w:hAnsi="仿宋" w:cs="仿宋"/>
                <w:sz w:val="24"/>
              </w:rPr>
            </w:pPr>
          </w:p>
        </w:tc>
        <w:tc>
          <w:tcPr>
            <w:tcW w:w="798" w:type="dxa"/>
            <w:vMerge/>
            <w:vAlign w:val="center"/>
          </w:tcPr>
          <w:p w:rsidR="00013EC7" w:rsidRDefault="00013EC7">
            <w:pPr>
              <w:rPr>
                <w:rFonts w:ascii="仿宋" w:eastAsia="仿宋" w:hAnsi="仿宋" w:cs="仿宋"/>
                <w:sz w:val="24"/>
              </w:rPr>
            </w:pP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498"/>
          <w:jc w:val="center"/>
        </w:trPr>
        <w:tc>
          <w:tcPr>
            <w:tcW w:w="1250" w:type="dxa"/>
            <w:vMerge/>
            <w:vAlign w:val="center"/>
          </w:tcPr>
          <w:p w:rsidR="00013EC7" w:rsidRDefault="00013EC7">
            <w:pPr>
              <w:rPr>
                <w:rFonts w:ascii="仿宋" w:eastAsia="仿宋" w:hAnsi="仿宋" w:cs="仿宋"/>
                <w:sz w:val="24"/>
              </w:rPr>
            </w:pPr>
          </w:p>
        </w:tc>
        <w:tc>
          <w:tcPr>
            <w:tcW w:w="1316" w:type="dxa"/>
            <w:vMerge/>
            <w:vAlign w:val="center"/>
          </w:tcPr>
          <w:p w:rsidR="00013EC7" w:rsidRDefault="00013EC7">
            <w:pPr>
              <w:rPr>
                <w:rFonts w:ascii="仿宋" w:eastAsia="仿宋" w:hAnsi="仿宋" w:cs="仿宋"/>
                <w:sz w:val="24"/>
              </w:rPr>
            </w:pPr>
          </w:p>
        </w:tc>
        <w:tc>
          <w:tcPr>
            <w:tcW w:w="2122" w:type="dxa"/>
            <w:vMerge/>
            <w:vAlign w:val="center"/>
          </w:tcPr>
          <w:p w:rsidR="00013EC7" w:rsidRDefault="00013EC7">
            <w:pPr>
              <w:rPr>
                <w:rFonts w:ascii="仿宋" w:eastAsia="仿宋" w:hAnsi="仿宋" w:cs="仿宋"/>
                <w:sz w:val="24"/>
              </w:rPr>
            </w:pPr>
          </w:p>
        </w:tc>
        <w:tc>
          <w:tcPr>
            <w:tcW w:w="2777" w:type="dxa"/>
            <w:vAlign w:val="center"/>
          </w:tcPr>
          <w:p w:rsidR="00013EC7" w:rsidRDefault="00575CDB">
            <w:pPr>
              <w:rPr>
                <w:rFonts w:ascii="仿宋" w:eastAsia="仿宋" w:hAnsi="仿宋" w:cs="仿宋"/>
                <w:kern w:val="1"/>
                <w:sz w:val="24"/>
              </w:rPr>
            </w:pPr>
            <w:r>
              <w:rPr>
                <w:rFonts w:ascii="仿宋" w:eastAsia="仿宋" w:hAnsi="仿宋" w:cs="仿宋"/>
                <w:kern w:val="1"/>
                <w:sz w:val="24"/>
              </w:rPr>
              <w:t>（十三）</w:t>
            </w:r>
            <w:r>
              <w:rPr>
                <w:rFonts w:ascii="仿宋" w:eastAsia="仿宋" w:hAnsi="仿宋" w:cs="仿宋" w:hint="eastAsia"/>
                <w:kern w:val="1"/>
                <w:sz w:val="24"/>
              </w:rPr>
              <w:t>消费税专用缴款书或分割单</w:t>
            </w:r>
            <w:r>
              <w:rPr>
                <w:rFonts w:ascii="仿宋" w:eastAsia="仿宋" w:hAnsi="仿宋" w:cs="仿宋"/>
                <w:kern w:val="1"/>
                <w:sz w:val="24"/>
              </w:rPr>
              <w:t>。</w:t>
            </w:r>
          </w:p>
        </w:tc>
        <w:tc>
          <w:tcPr>
            <w:tcW w:w="1118" w:type="dxa"/>
            <w:vMerge w:val="restart"/>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应税消费品的纳税人提交</w:t>
            </w:r>
          </w:p>
        </w:tc>
        <w:tc>
          <w:tcPr>
            <w:tcW w:w="2403" w:type="dxa"/>
            <w:vAlign w:val="center"/>
          </w:tcPr>
          <w:p w:rsidR="00013EC7" w:rsidRDefault="00575CDB">
            <w:pPr>
              <w:rPr>
                <w:rFonts w:ascii="仿宋" w:eastAsia="仿宋" w:hAnsi="仿宋" w:cs="仿宋"/>
                <w:kern w:val="1"/>
                <w:sz w:val="24"/>
              </w:rPr>
            </w:pPr>
            <w:r>
              <w:rPr>
                <w:rFonts w:ascii="仿宋" w:eastAsia="仿宋" w:hAnsi="仿宋" w:cs="仿宋"/>
                <w:kern w:val="1"/>
                <w:sz w:val="24"/>
              </w:rPr>
              <w:t>（十三）</w:t>
            </w:r>
            <w:r>
              <w:rPr>
                <w:rFonts w:ascii="仿宋" w:eastAsia="仿宋" w:hAnsi="仿宋" w:cs="仿宋" w:hint="eastAsia"/>
                <w:kern w:val="1"/>
                <w:sz w:val="24"/>
              </w:rPr>
              <w:t>消费税专用缴款书或分割单</w:t>
            </w:r>
            <w:r>
              <w:rPr>
                <w:rFonts w:ascii="仿宋" w:eastAsia="仿宋" w:hAnsi="仿宋" w:cs="仿宋"/>
                <w:kern w:val="1"/>
                <w:sz w:val="24"/>
              </w:rPr>
              <w:t>。</w:t>
            </w:r>
          </w:p>
        </w:tc>
        <w:tc>
          <w:tcPr>
            <w:tcW w:w="1606" w:type="dxa"/>
            <w:vAlign w:val="center"/>
          </w:tcPr>
          <w:p w:rsidR="00013EC7" w:rsidRDefault="00575CDB">
            <w:pPr>
              <w:spacing w:line="300" w:lineRule="exact"/>
              <w:jc w:val="center"/>
              <w:rPr>
                <w:rFonts w:ascii="仿宋" w:eastAsia="仿宋" w:hAnsi="仿宋" w:cs="仿宋"/>
                <w:b/>
                <w:i/>
                <w:sz w:val="24"/>
              </w:rPr>
            </w:pPr>
            <w:r>
              <w:rPr>
                <w:rFonts w:ascii="仿宋" w:eastAsia="仿宋" w:hAnsi="仿宋" w:cs="仿宋" w:hint="eastAsia"/>
                <w:b/>
                <w:i/>
                <w:sz w:val="24"/>
              </w:rPr>
              <w:t>经办机构自行获取</w:t>
            </w:r>
          </w:p>
        </w:tc>
        <w:tc>
          <w:tcPr>
            <w:tcW w:w="2908"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b/>
                <w:sz w:val="24"/>
              </w:rPr>
              <w:t>内部共享：</w:t>
            </w:r>
            <w:r>
              <w:rPr>
                <w:rFonts w:ascii="仿宋" w:eastAsia="仿宋" w:hAnsi="仿宋" w:cs="仿宋" w:hint="eastAsia"/>
                <w:sz w:val="24"/>
              </w:rPr>
              <w:t>内部共享获取相关信息（无纸化企业留存备查，非无纸化企业需提供书面材料）。</w:t>
            </w:r>
          </w:p>
        </w:tc>
        <w:tc>
          <w:tcPr>
            <w:tcW w:w="868" w:type="dxa"/>
            <w:vMerge/>
            <w:vAlign w:val="center"/>
          </w:tcPr>
          <w:p w:rsidR="00013EC7" w:rsidRDefault="00013EC7">
            <w:pPr>
              <w:rPr>
                <w:rFonts w:ascii="仿宋" w:eastAsia="仿宋" w:hAnsi="仿宋" w:cs="仿宋"/>
                <w:sz w:val="24"/>
              </w:rPr>
            </w:pPr>
          </w:p>
        </w:tc>
        <w:tc>
          <w:tcPr>
            <w:tcW w:w="798" w:type="dxa"/>
            <w:vMerge/>
            <w:vAlign w:val="center"/>
          </w:tcPr>
          <w:p w:rsidR="00013EC7" w:rsidRDefault="00013EC7">
            <w:pPr>
              <w:rPr>
                <w:rFonts w:ascii="仿宋" w:eastAsia="仿宋" w:hAnsi="仿宋" w:cs="仿宋"/>
                <w:sz w:val="24"/>
              </w:rPr>
            </w:pP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498"/>
          <w:jc w:val="center"/>
        </w:trPr>
        <w:tc>
          <w:tcPr>
            <w:tcW w:w="1250" w:type="dxa"/>
            <w:vMerge/>
            <w:vAlign w:val="center"/>
          </w:tcPr>
          <w:p w:rsidR="00013EC7" w:rsidRDefault="00013EC7">
            <w:pPr>
              <w:rPr>
                <w:rFonts w:ascii="仿宋" w:eastAsia="仿宋" w:hAnsi="仿宋" w:cs="仿宋"/>
                <w:sz w:val="24"/>
              </w:rPr>
            </w:pPr>
          </w:p>
        </w:tc>
        <w:tc>
          <w:tcPr>
            <w:tcW w:w="1316" w:type="dxa"/>
            <w:vMerge/>
            <w:vAlign w:val="center"/>
          </w:tcPr>
          <w:p w:rsidR="00013EC7" w:rsidRDefault="00013EC7">
            <w:pPr>
              <w:rPr>
                <w:rFonts w:ascii="仿宋" w:eastAsia="仿宋" w:hAnsi="仿宋" w:cs="仿宋"/>
                <w:sz w:val="24"/>
              </w:rPr>
            </w:pPr>
          </w:p>
        </w:tc>
        <w:tc>
          <w:tcPr>
            <w:tcW w:w="2122" w:type="dxa"/>
            <w:vMerge/>
            <w:vAlign w:val="center"/>
          </w:tcPr>
          <w:p w:rsidR="00013EC7" w:rsidRDefault="00013EC7">
            <w:pPr>
              <w:rPr>
                <w:rFonts w:ascii="仿宋" w:eastAsia="仿宋" w:hAnsi="仿宋" w:cs="仿宋"/>
                <w:sz w:val="24"/>
              </w:rPr>
            </w:pPr>
          </w:p>
        </w:tc>
        <w:tc>
          <w:tcPr>
            <w:tcW w:w="2777" w:type="dxa"/>
            <w:vAlign w:val="center"/>
          </w:tcPr>
          <w:p w:rsidR="00013EC7" w:rsidRDefault="00575CDB">
            <w:pPr>
              <w:rPr>
                <w:rFonts w:ascii="仿宋" w:eastAsia="仿宋" w:hAnsi="仿宋" w:cs="仿宋"/>
                <w:kern w:val="1"/>
                <w:sz w:val="24"/>
              </w:rPr>
            </w:pPr>
            <w:r>
              <w:rPr>
                <w:rFonts w:ascii="仿宋" w:eastAsia="仿宋" w:hAnsi="仿宋" w:cs="仿宋"/>
                <w:kern w:val="1"/>
                <w:sz w:val="24"/>
              </w:rPr>
              <w:t>（</w:t>
            </w:r>
            <w:r>
              <w:rPr>
                <w:rFonts w:ascii="仿宋" w:eastAsia="仿宋" w:hAnsi="仿宋" w:cs="仿宋" w:hint="eastAsia"/>
                <w:kern w:val="1"/>
                <w:sz w:val="24"/>
              </w:rPr>
              <w:t>八</w:t>
            </w:r>
            <w:r>
              <w:rPr>
                <w:rFonts w:ascii="仿宋" w:eastAsia="仿宋" w:hAnsi="仿宋" w:cs="仿宋"/>
                <w:kern w:val="1"/>
                <w:sz w:val="24"/>
              </w:rPr>
              <w:t>）</w:t>
            </w:r>
            <w:r>
              <w:rPr>
                <w:rFonts w:ascii="仿宋" w:eastAsia="仿宋" w:hAnsi="仿宋" w:cs="仿宋" w:hint="eastAsia"/>
                <w:kern w:val="1"/>
                <w:sz w:val="24"/>
              </w:rPr>
              <w:t>海关进口消费税专用缴款书。</w:t>
            </w:r>
          </w:p>
        </w:tc>
        <w:tc>
          <w:tcPr>
            <w:tcW w:w="1118" w:type="dxa"/>
            <w:vMerge/>
            <w:vAlign w:val="center"/>
          </w:tcPr>
          <w:p w:rsidR="00013EC7" w:rsidRDefault="00013EC7">
            <w:pPr>
              <w:rPr>
                <w:rFonts w:ascii="仿宋" w:eastAsia="仿宋" w:hAnsi="仿宋" w:cs="仿宋"/>
                <w:kern w:val="1"/>
                <w:sz w:val="24"/>
              </w:rPr>
            </w:pPr>
          </w:p>
        </w:tc>
        <w:tc>
          <w:tcPr>
            <w:tcW w:w="2403" w:type="dxa"/>
            <w:vAlign w:val="center"/>
          </w:tcPr>
          <w:p w:rsidR="00013EC7" w:rsidRDefault="00575CDB">
            <w:pPr>
              <w:rPr>
                <w:rFonts w:ascii="仿宋" w:eastAsia="仿宋" w:hAnsi="仿宋" w:cs="仿宋"/>
                <w:kern w:val="1"/>
                <w:sz w:val="24"/>
              </w:rPr>
            </w:pPr>
            <w:r>
              <w:rPr>
                <w:rFonts w:ascii="仿宋" w:eastAsia="仿宋" w:hAnsi="仿宋" w:cs="仿宋"/>
                <w:kern w:val="1"/>
                <w:sz w:val="24"/>
              </w:rPr>
              <w:t>（</w:t>
            </w:r>
            <w:r>
              <w:rPr>
                <w:rFonts w:ascii="仿宋" w:eastAsia="仿宋" w:hAnsi="仿宋" w:cs="仿宋" w:hint="eastAsia"/>
                <w:kern w:val="1"/>
                <w:sz w:val="24"/>
              </w:rPr>
              <w:t>八</w:t>
            </w:r>
            <w:r>
              <w:rPr>
                <w:rFonts w:ascii="仿宋" w:eastAsia="仿宋" w:hAnsi="仿宋" w:cs="仿宋"/>
                <w:kern w:val="1"/>
                <w:sz w:val="24"/>
              </w:rPr>
              <w:t>）</w:t>
            </w:r>
            <w:r>
              <w:rPr>
                <w:rFonts w:ascii="仿宋" w:eastAsia="仿宋" w:hAnsi="仿宋" w:cs="仿宋" w:hint="eastAsia"/>
                <w:kern w:val="1"/>
                <w:sz w:val="24"/>
              </w:rPr>
              <w:t>海关进口消费税专用缴款书。</w:t>
            </w:r>
          </w:p>
        </w:tc>
        <w:tc>
          <w:tcPr>
            <w:tcW w:w="1606" w:type="dxa"/>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b/>
                <w:i/>
                <w:sz w:val="24"/>
              </w:rPr>
              <w:t>经办机构自行获取</w:t>
            </w:r>
          </w:p>
        </w:tc>
        <w:tc>
          <w:tcPr>
            <w:tcW w:w="2908" w:type="dxa"/>
            <w:vAlign w:val="center"/>
          </w:tcPr>
          <w:p w:rsidR="00013EC7" w:rsidRDefault="00575CDB">
            <w:pPr>
              <w:spacing w:line="300" w:lineRule="exact"/>
              <w:rPr>
                <w:rFonts w:ascii="仿宋" w:eastAsia="仿宋" w:hAnsi="仿宋" w:cs="仿宋"/>
                <w:b/>
                <w:sz w:val="24"/>
              </w:rPr>
            </w:pPr>
            <w:r>
              <w:rPr>
                <w:rFonts w:ascii="仿宋" w:eastAsia="仿宋" w:hAnsi="仿宋" w:cs="仿宋" w:hint="eastAsia"/>
                <w:b/>
                <w:sz w:val="24"/>
              </w:rPr>
              <w:t>内部共享：</w:t>
            </w:r>
            <w:r>
              <w:rPr>
                <w:rFonts w:ascii="仿宋" w:eastAsia="仿宋" w:hAnsi="仿宋" w:cs="仿宋" w:hint="eastAsia"/>
                <w:sz w:val="24"/>
              </w:rPr>
              <w:t>内部共享获取相关信息（无纸化企业留存备查，非无纸化企业需提供书面材料）。</w:t>
            </w:r>
          </w:p>
        </w:tc>
        <w:tc>
          <w:tcPr>
            <w:tcW w:w="868" w:type="dxa"/>
            <w:vMerge/>
            <w:vAlign w:val="center"/>
          </w:tcPr>
          <w:p w:rsidR="00013EC7" w:rsidRDefault="00013EC7">
            <w:pPr>
              <w:rPr>
                <w:rFonts w:ascii="仿宋" w:eastAsia="仿宋" w:hAnsi="仿宋" w:cs="仿宋"/>
                <w:sz w:val="24"/>
              </w:rPr>
            </w:pPr>
          </w:p>
        </w:tc>
        <w:tc>
          <w:tcPr>
            <w:tcW w:w="798" w:type="dxa"/>
            <w:vMerge/>
            <w:vAlign w:val="center"/>
          </w:tcPr>
          <w:p w:rsidR="00013EC7" w:rsidRDefault="00013EC7">
            <w:pPr>
              <w:rPr>
                <w:rFonts w:ascii="仿宋" w:eastAsia="仿宋" w:hAnsi="仿宋" w:cs="仿宋"/>
                <w:sz w:val="24"/>
              </w:rPr>
            </w:pP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1294"/>
          <w:jc w:val="center"/>
        </w:trPr>
        <w:tc>
          <w:tcPr>
            <w:tcW w:w="1250" w:type="dxa"/>
            <w:vMerge/>
            <w:vAlign w:val="center"/>
          </w:tcPr>
          <w:p w:rsidR="00013EC7" w:rsidRDefault="00013EC7">
            <w:pPr>
              <w:rPr>
                <w:rFonts w:ascii="仿宋" w:eastAsia="仿宋" w:hAnsi="仿宋" w:cs="仿宋"/>
                <w:sz w:val="24"/>
              </w:rPr>
            </w:pPr>
          </w:p>
        </w:tc>
        <w:tc>
          <w:tcPr>
            <w:tcW w:w="1316" w:type="dxa"/>
            <w:vMerge/>
            <w:vAlign w:val="center"/>
          </w:tcPr>
          <w:p w:rsidR="00013EC7" w:rsidRDefault="00013EC7">
            <w:pPr>
              <w:rPr>
                <w:rFonts w:ascii="仿宋" w:eastAsia="仿宋" w:hAnsi="仿宋" w:cs="仿宋"/>
                <w:sz w:val="24"/>
              </w:rPr>
            </w:pPr>
          </w:p>
        </w:tc>
        <w:tc>
          <w:tcPr>
            <w:tcW w:w="2122" w:type="dxa"/>
            <w:vMerge/>
            <w:vAlign w:val="center"/>
          </w:tcPr>
          <w:p w:rsidR="00013EC7" w:rsidRDefault="00013EC7">
            <w:pPr>
              <w:rPr>
                <w:rFonts w:ascii="仿宋" w:eastAsia="仿宋" w:hAnsi="仿宋" w:cs="仿宋"/>
                <w:sz w:val="24"/>
              </w:rPr>
            </w:pPr>
          </w:p>
        </w:tc>
        <w:tc>
          <w:tcPr>
            <w:tcW w:w="2777" w:type="dxa"/>
            <w:vAlign w:val="center"/>
          </w:tcPr>
          <w:p w:rsidR="00013EC7" w:rsidRDefault="00575CDB">
            <w:pPr>
              <w:rPr>
                <w:rFonts w:ascii="仿宋" w:eastAsia="仿宋" w:hAnsi="仿宋" w:cs="仿宋"/>
                <w:kern w:val="1"/>
                <w:sz w:val="24"/>
              </w:rPr>
            </w:pPr>
            <w:r>
              <w:rPr>
                <w:rFonts w:ascii="仿宋" w:eastAsia="仿宋" w:hAnsi="仿宋" w:cs="仿宋"/>
                <w:kern w:val="1"/>
                <w:sz w:val="24"/>
              </w:rPr>
              <w:t>（十</w:t>
            </w:r>
            <w:r>
              <w:rPr>
                <w:rFonts w:ascii="仿宋" w:eastAsia="仿宋" w:hAnsi="仿宋" w:cs="仿宋" w:hint="eastAsia"/>
                <w:kern w:val="1"/>
                <w:sz w:val="24"/>
              </w:rPr>
              <w:t>四</w:t>
            </w:r>
            <w:r>
              <w:rPr>
                <w:rFonts w:ascii="仿宋" w:eastAsia="仿宋" w:hAnsi="仿宋" w:cs="仿宋"/>
                <w:kern w:val="1"/>
                <w:sz w:val="24"/>
              </w:rPr>
              <w:t>）</w:t>
            </w:r>
            <w:r>
              <w:rPr>
                <w:rFonts w:ascii="仿宋" w:eastAsia="仿宋" w:hAnsi="仿宋" w:cs="仿宋" w:hint="eastAsia"/>
                <w:kern w:val="1"/>
                <w:sz w:val="24"/>
              </w:rPr>
              <w:t>对外承包工程合同原件及复印件（加盖公章）。出口企业如属于分包单位的，应补充提供分包合同（协议）原件及复印件（注明与原件一致，并加盖公章）</w:t>
            </w:r>
            <w:r>
              <w:rPr>
                <w:rFonts w:ascii="仿宋" w:eastAsia="仿宋" w:hAnsi="仿宋" w:cs="仿宋"/>
                <w:kern w:val="1"/>
                <w:sz w:val="24"/>
              </w:rPr>
              <w:t>。</w:t>
            </w:r>
          </w:p>
        </w:tc>
        <w:tc>
          <w:tcPr>
            <w:tcW w:w="1118"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对外承包工程项目的出口货物的纳税人提交</w:t>
            </w:r>
          </w:p>
        </w:tc>
        <w:tc>
          <w:tcPr>
            <w:tcW w:w="2403" w:type="dxa"/>
            <w:vAlign w:val="center"/>
          </w:tcPr>
          <w:p w:rsidR="00013EC7" w:rsidRDefault="00575CDB">
            <w:pPr>
              <w:rPr>
                <w:rFonts w:ascii="仿宋" w:eastAsia="仿宋" w:hAnsi="仿宋" w:cs="仿宋"/>
                <w:kern w:val="1"/>
                <w:sz w:val="24"/>
              </w:rPr>
            </w:pPr>
            <w:r>
              <w:rPr>
                <w:rFonts w:ascii="仿宋" w:eastAsia="仿宋" w:hAnsi="仿宋" w:cs="仿宋"/>
                <w:kern w:val="1"/>
                <w:sz w:val="24"/>
              </w:rPr>
              <w:t>（十</w:t>
            </w:r>
            <w:r>
              <w:rPr>
                <w:rFonts w:ascii="仿宋" w:eastAsia="仿宋" w:hAnsi="仿宋" w:cs="仿宋" w:hint="eastAsia"/>
                <w:kern w:val="1"/>
                <w:sz w:val="24"/>
              </w:rPr>
              <w:t>四</w:t>
            </w:r>
            <w:r>
              <w:rPr>
                <w:rFonts w:ascii="仿宋" w:eastAsia="仿宋" w:hAnsi="仿宋" w:cs="仿宋"/>
                <w:kern w:val="1"/>
                <w:sz w:val="24"/>
              </w:rPr>
              <w:t>）</w:t>
            </w:r>
            <w:r>
              <w:rPr>
                <w:rFonts w:ascii="仿宋" w:eastAsia="仿宋" w:hAnsi="仿宋" w:cs="仿宋" w:hint="eastAsia"/>
                <w:kern w:val="1"/>
                <w:sz w:val="24"/>
              </w:rPr>
              <w:t>对外承包工程合同原件及复印件（加盖公章）。出口企业如属于分包单位的，应补充提供分包合同（协议）原件及复印件（注明与原件一致，并加盖公章）</w:t>
            </w:r>
            <w:r>
              <w:rPr>
                <w:rFonts w:ascii="仿宋" w:eastAsia="仿宋" w:hAnsi="仿宋" w:cs="仿宋"/>
                <w:kern w:val="1"/>
                <w:sz w:val="24"/>
              </w:rPr>
              <w:t>。</w:t>
            </w:r>
          </w:p>
        </w:tc>
        <w:tc>
          <w:tcPr>
            <w:tcW w:w="1606" w:type="dxa"/>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kern w:val="1"/>
                <w:sz w:val="24"/>
              </w:rPr>
              <w:t>对外承包工程项目的出口货物的纳税人提交</w:t>
            </w:r>
          </w:p>
        </w:tc>
        <w:tc>
          <w:tcPr>
            <w:tcW w:w="2908"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纳税人提交书面材料（无纸化企业留存备查）。</w:t>
            </w:r>
          </w:p>
        </w:tc>
        <w:tc>
          <w:tcPr>
            <w:tcW w:w="868" w:type="dxa"/>
            <w:vMerge/>
            <w:vAlign w:val="center"/>
          </w:tcPr>
          <w:p w:rsidR="00013EC7" w:rsidRDefault="00013EC7">
            <w:pPr>
              <w:rPr>
                <w:rFonts w:ascii="仿宋" w:eastAsia="仿宋" w:hAnsi="仿宋" w:cs="仿宋"/>
                <w:sz w:val="24"/>
              </w:rPr>
            </w:pPr>
          </w:p>
        </w:tc>
        <w:tc>
          <w:tcPr>
            <w:tcW w:w="798" w:type="dxa"/>
            <w:vMerge/>
            <w:vAlign w:val="center"/>
          </w:tcPr>
          <w:p w:rsidR="00013EC7" w:rsidRDefault="00013EC7">
            <w:pPr>
              <w:rPr>
                <w:rFonts w:ascii="仿宋" w:eastAsia="仿宋" w:hAnsi="仿宋" w:cs="仿宋"/>
                <w:sz w:val="24"/>
              </w:rPr>
            </w:pP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1294"/>
          <w:jc w:val="center"/>
        </w:trPr>
        <w:tc>
          <w:tcPr>
            <w:tcW w:w="1250" w:type="dxa"/>
            <w:vMerge/>
            <w:vAlign w:val="center"/>
          </w:tcPr>
          <w:p w:rsidR="00013EC7" w:rsidRDefault="00013EC7">
            <w:pPr>
              <w:rPr>
                <w:rFonts w:ascii="仿宋" w:eastAsia="仿宋" w:hAnsi="仿宋" w:cs="仿宋"/>
                <w:sz w:val="24"/>
              </w:rPr>
            </w:pPr>
          </w:p>
        </w:tc>
        <w:tc>
          <w:tcPr>
            <w:tcW w:w="1316" w:type="dxa"/>
            <w:vMerge/>
            <w:vAlign w:val="center"/>
          </w:tcPr>
          <w:p w:rsidR="00013EC7" w:rsidRDefault="00013EC7">
            <w:pPr>
              <w:rPr>
                <w:rFonts w:ascii="仿宋" w:eastAsia="仿宋" w:hAnsi="仿宋" w:cs="仿宋"/>
                <w:sz w:val="24"/>
              </w:rPr>
            </w:pPr>
          </w:p>
        </w:tc>
        <w:tc>
          <w:tcPr>
            <w:tcW w:w="2122" w:type="dxa"/>
            <w:vMerge/>
            <w:vAlign w:val="center"/>
          </w:tcPr>
          <w:p w:rsidR="00013EC7" w:rsidRDefault="00013EC7">
            <w:pPr>
              <w:rPr>
                <w:rFonts w:ascii="仿宋" w:eastAsia="仿宋" w:hAnsi="仿宋" w:cs="仿宋"/>
                <w:sz w:val="24"/>
              </w:rPr>
            </w:pPr>
          </w:p>
        </w:tc>
        <w:tc>
          <w:tcPr>
            <w:tcW w:w="2777" w:type="dxa"/>
            <w:vAlign w:val="center"/>
          </w:tcPr>
          <w:p w:rsidR="00013EC7" w:rsidRDefault="00575CDB">
            <w:pPr>
              <w:rPr>
                <w:rFonts w:ascii="仿宋" w:eastAsia="仿宋" w:hAnsi="仿宋" w:cs="仿宋"/>
                <w:kern w:val="1"/>
                <w:sz w:val="24"/>
              </w:rPr>
            </w:pPr>
            <w:r>
              <w:rPr>
                <w:rFonts w:ascii="仿宋" w:eastAsia="仿宋" w:hAnsi="仿宋" w:cs="仿宋"/>
                <w:kern w:val="1"/>
                <w:sz w:val="24"/>
              </w:rPr>
              <w:t>（十</w:t>
            </w:r>
            <w:r>
              <w:rPr>
                <w:rFonts w:ascii="仿宋" w:eastAsia="仿宋" w:hAnsi="仿宋" w:cs="仿宋" w:hint="eastAsia"/>
                <w:kern w:val="1"/>
                <w:sz w:val="24"/>
              </w:rPr>
              <w:t>五</w:t>
            </w:r>
            <w:r>
              <w:rPr>
                <w:rFonts w:ascii="仿宋" w:eastAsia="仿宋" w:hAnsi="仿宋" w:cs="仿宋"/>
                <w:kern w:val="1"/>
                <w:sz w:val="24"/>
              </w:rPr>
              <w:t>）</w:t>
            </w:r>
            <w:r>
              <w:rPr>
                <w:rFonts w:ascii="仿宋" w:eastAsia="仿宋" w:hAnsi="仿宋" w:cs="仿宋" w:hint="eastAsia"/>
                <w:kern w:val="1"/>
                <w:sz w:val="24"/>
              </w:rPr>
              <w:t>商务部及其授权单位批准其在境外投资的文件副本原件及复印件（注明与原件一致，并加盖公章）</w:t>
            </w:r>
            <w:r>
              <w:rPr>
                <w:rFonts w:ascii="仿宋" w:eastAsia="仿宋" w:hAnsi="仿宋" w:cs="仿宋"/>
                <w:kern w:val="1"/>
                <w:sz w:val="24"/>
              </w:rPr>
              <w:t>。</w:t>
            </w:r>
          </w:p>
        </w:tc>
        <w:tc>
          <w:tcPr>
            <w:tcW w:w="1118"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境外投资的出口货物的纳税人提交</w:t>
            </w:r>
          </w:p>
        </w:tc>
        <w:tc>
          <w:tcPr>
            <w:tcW w:w="2403" w:type="dxa"/>
            <w:vAlign w:val="center"/>
          </w:tcPr>
          <w:p w:rsidR="00013EC7" w:rsidRDefault="00575CDB">
            <w:pPr>
              <w:rPr>
                <w:rFonts w:ascii="仿宋" w:eastAsia="仿宋" w:hAnsi="仿宋" w:cs="仿宋"/>
                <w:kern w:val="1"/>
                <w:sz w:val="24"/>
              </w:rPr>
            </w:pPr>
            <w:r>
              <w:rPr>
                <w:rFonts w:ascii="仿宋" w:eastAsia="仿宋" w:hAnsi="仿宋" w:cs="仿宋"/>
                <w:kern w:val="1"/>
                <w:sz w:val="24"/>
              </w:rPr>
              <w:t>（十</w:t>
            </w:r>
            <w:r>
              <w:rPr>
                <w:rFonts w:ascii="仿宋" w:eastAsia="仿宋" w:hAnsi="仿宋" w:cs="仿宋" w:hint="eastAsia"/>
                <w:kern w:val="1"/>
                <w:sz w:val="24"/>
              </w:rPr>
              <w:t>五</w:t>
            </w:r>
            <w:r>
              <w:rPr>
                <w:rFonts w:ascii="仿宋" w:eastAsia="仿宋" w:hAnsi="仿宋" w:cs="仿宋"/>
                <w:kern w:val="1"/>
                <w:sz w:val="24"/>
              </w:rPr>
              <w:t>）</w:t>
            </w:r>
            <w:r>
              <w:rPr>
                <w:rFonts w:ascii="仿宋" w:eastAsia="仿宋" w:hAnsi="仿宋" w:cs="仿宋" w:hint="eastAsia"/>
                <w:kern w:val="1"/>
                <w:sz w:val="24"/>
              </w:rPr>
              <w:t>商务部及其授权单位批准其在境外投资的文件副本原件及复印件（注明与原件一致，并加盖公章）</w:t>
            </w:r>
            <w:r>
              <w:rPr>
                <w:rFonts w:ascii="仿宋" w:eastAsia="仿宋" w:hAnsi="仿宋" w:cs="仿宋"/>
                <w:kern w:val="1"/>
                <w:sz w:val="24"/>
              </w:rPr>
              <w:t>。</w:t>
            </w:r>
          </w:p>
        </w:tc>
        <w:tc>
          <w:tcPr>
            <w:tcW w:w="1606" w:type="dxa"/>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b/>
                <w:i/>
                <w:sz w:val="24"/>
              </w:rPr>
              <w:t>经办机构自行获取</w:t>
            </w:r>
          </w:p>
        </w:tc>
        <w:tc>
          <w:tcPr>
            <w:tcW w:w="2908" w:type="dxa"/>
            <w:vAlign w:val="center"/>
          </w:tcPr>
          <w:p w:rsidR="00013EC7" w:rsidRDefault="00575CDB">
            <w:pPr>
              <w:spacing w:line="300" w:lineRule="exact"/>
              <w:rPr>
                <w:rFonts w:ascii="仿宋" w:eastAsia="仿宋" w:hAnsi="仿宋" w:cs="仿宋"/>
                <w:b/>
                <w:sz w:val="24"/>
              </w:rPr>
            </w:pPr>
            <w:r>
              <w:rPr>
                <w:rFonts w:ascii="仿宋" w:eastAsia="仿宋" w:hAnsi="仿宋" w:cs="仿宋" w:hint="eastAsia"/>
                <w:b/>
                <w:sz w:val="24"/>
              </w:rPr>
              <w:t>外部共享：</w:t>
            </w:r>
            <w:r>
              <w:rPr>
                <w:rFonts w:ascii="仿宋" w:eastAsia="仿宋" w:hAnsi="仿宋" w:cs="仿宋" w:hint="eastAsia"/>
                <w:sz w:val="24"/>
              </w:rPr>
              <w:t>由省商务厅提供共享。</w:t>
            </w:r>
          </w:p>
        </w:tc>
        <w:tc>
          <w:tcPr>
            <w:tcW w:w="868" w:type="dxa"/>
            <w:vMerge/>
            <w:vAlign w:val="center"/>
          </w:tcPr>
          <w:p w:rsidR="00013EC7" w:rsidRDefault="00013EC7">
            <w:pPr>
              <w:rPr>
                <w:rFonts w:ascii="仿宋" w:eastAsia="仿宋" w:hAnsi="仿宋" w:cs="仿宋"/>
                <w:sz w:val="24"/>
              </w:rPr>
            </w:pPr>
          </w:p>
        </w:tc>
        <w:tc>
          <w:tcPr>
            <w:tcW w:w="798" w:type="dxa"/>
            <w:vMerge/>
            <w:vAlign w:val="center"/>
          </w:tcPr>
          <w:p w:rsidR="00013EC7" w:rsidRDefault="00013EC7">
            <w:pPr>
              <w:rPr>
                <w:rFonts w:ascii="仿宋" w:eastAsia="仿宋" w:hAnsi="仿宋" w:cs="仿宋"/>
                <w:sz w:val="24"/>
              </w:rPr>
            </w:pP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1195"/>
          <w:jc w:val="center"/>
        </w:trPr>
        <w:tc>
          <w:tcPr>
            <w:tcW w:w="1250" w:type="dxa"/>
            <w:vMerge/>
            <w:vAlign w:val="center"/>
          </w:tcPr>
          <w:p w:rsidR="00013EC7" w:rsidRDefault="00013EC7">
            <w:pPr>
              <w:rPr>
                <w:rFonts w:ascii="仿宋" w:eastAsia="仿宋" w:hAnsi="仿宋" w:cs="仿宋"/>
                <w:sz w:val="24"/>
              </w:rPr>
            </w:pPr>
          </w:p>
        </w:tc>
        <w:tc>
          <w:tcPr>
            <w:tcW w:w="1316" w:type="dxa"/>
            <w:vMerge/>
            <w:vAlign w:val="center"/>
          </w:tcPr>
          <w:p w:rsidR="00013EC7" w:rsidRDefault="00013EC7">
            <w:pPr>
              <w:rPr>
                <w:rFonts w:ascii="仿宋" w:eastAsia="仿宋" w:hAnsi="仿宋" w:cs="仿宋"/>
                <w:sz w:val="24"/>
              </w:rPr>
            </w:pPr>
          </w:p>
        </w:tc>
        <w:tc>
          <w:tcPr>
            <w:tcW w:w="2122" w:type="dxa"/>
            <w:vMerge/>
            <w:vAlign w:val="center"/>
          </w:tcPr>
          <w:p w:rsidR="00013EC7" w:rsidRDefault="00013EC7">
            <w:pPr>
              <w:rPr>
                <w:rFonts w:ascii="仿宋" w:eastAsia="仿宋" w:hAnsi="仿宋" w:cs="仿宋"/>
                <w:sz w:val="24"/>
              </w:rPr>
            </w:pPr>
          </w:p>
        </w:tc>
        <w:tc>
          <w:tcPr>
            <w:tcW w:w="2777" w:type="dxa"/>
            <w:vAlign w:val="center"/>
          </w:tcPr>
          <w:p w:rsidR="00013EC7" w:rsidRDefault="00575CDB">
            <w:pPr>
              <w:rPr>
                <w:rFonts w:ascii="仿宋" w:eastAsia="仿宋" w:hAnsi="仿宋" w:cs="仿宋"/>
                <w:kern w:val="1"/>
                <w:sz w:val="24"/>
              </w:rPr>
            </w:pPr>
            <w:r>
              <w:rPr>
                <w:rFonts w:ascii="仿宋" w:eastAsia="仿宋" w:hAnsi="仿宋" w:cs="仿宋"/>
                <w:kern w:val="1"/>
                <w:sz w:val="24"/>
              </w:rPr>
              <w:t>（十</w:t>
            </w:r>
            <w:r>
              <w:rPr>
                <w:rFonts w:ascii="仿宋" w:eastAsia="仿宋" w:hAnsi="仿宋" w:cs="仿宋" w:hint="eastAsia"/>
                <w:kern w:val="1"/>
                <w:sz w:val="24"/>
              </w:rPr>
              <w:t>六</w:t>
            </w:r>
            <w:r>
              <w:rPr>
                <w:rFonts w:ascii="仿宋" w:eastAsia="仿宋" w:hAnsi="仿宋" w:cs="仿宋"/>
                <w:kern w:val="1"/>
                <w:sz w:val="24"/>
              </w:rPr>
              <w:t>）</w:t>
            </w:r>
            <w:r>
              <w:rPr>
                <w:rFonts w:ascii="仿宋" w:eastAsia="仿宋" w:hAnsi="仿宋" w:cs="仿宋" w:hint="eastAsia"/>
                <w:kern w:val="1"/>
                <w:sz w:val="24"/>
              </w:rPr>
              <w:t>盖有免税品经营企业报关专用章的出口货物报关单。</w:t>
            </w:r>
          </w:p>
        </w:tc>
        <w:tc>
          <w:tcPr>
            <w:tcW w:w="1118" w:type="dxa"/>
            <w:vAlign w:val="center"/>
          </w:tcPr>
          <w:p w:rsidR="00013EC7" w:rsidRDefault="00575CDB">
            <w:pPr>
              <w:spacing w:line="300" w:lineRule="exact"/>
              <w:rPr>
                <w:rFonts w:ascii="仿宋" w:eastAsia="仿宋" w:hAnsi="仿宋" w:cs="仿宋"/>
                <w:b/>
                <w:sz w:val="24"/>
              </w:rPr>
            </w:pPr>
            <w:r>
              <w:rPr>
                <w:rFonts w:ascii="仿宋" w:eastAsia="仿宋" w:hAnsi="仿宋" w:cs="仿宋" w:hint="eastAsia"/>
                <w:kern w:val="1"/>
                <w:sz w:val="24"/>
              </w:rPr>
              <w:t>向海关报关运入海关监管仓库供海关隔离区内免税店销售货物纳税人提交</w:t>
            </w:r>
          </w:p>
        </w:tc>
        <w:tc>
          <w:tcPr>
            <w:tcW w:w="2403" w:type="dxa"/>
            <w:vAlign w:val="center"/>
          </w:tcPr>
          <w:p w:rsidR="00013EC7" w:rsidRDefault="00575CDB">
            <w:pPr>
              <w:rPr>
                <w:rFonts w:ascii="仿宋" w:eastAsia="仿宋" w:hAnsi="仿宋" w:cs="仿宋"/>
                <w:kern w:val="1"/>
                <w:sz w:val="24"/>
              </w:rPr>
            </w:pPr>
            <w:r>
              <w:rPr>
                <w:rFonts w:ascii="仿宋" w:eastAsia="仿宋" w:hAnsi="仿宋" w:cs="仿宋"/>
                <w:kern w:val="1"/>
                <w:sz w:val="24"/>
              </w:rPr>
              <w:t>（十</w:t>
            </w:r>
            <w:r>
              <w:rPr>
                <w:rFonts w:ascii="仿宋" w:eastAsia="仿宋" w:hAnsi="仿宋" w:cs="仿宋" w:hint="eastAsia"/>
                <w:kern w:val="1"/>
                <w:sz w:val="24"/>
              </w:rPr>
              <w:t>六</w:t>
            </w:r>
            <w:r>
              <w:rPr>
                <w:rFonts w:ascii="仿宋" w:eastAsia="仿宋" w:hAnsi="仿宋" w:cs="仿宋"/>
                <w:kern w:val="1"/>
                <w:sz w:val="24"/>
              </w:rPr>
              <w:t>）</w:t>
            </w:r>
            <w:r>
              <w:rPr>
                <w:rFonts w:ascii="仿宋" w:eastAsia="仿宋" w:hAnsi="仿宋" w:cs="仿宋" w:hint="eastAsia"/>
                <w:kern w:val="1"/>
                <w:sz w:val="24"/>
              </w:rPr>
              <w:t>盖有免税品经营企业报关专用章的出口货物报关单。</w:t>
            </w:r>
          </w:p>
        </w:tc>
        <w:tc>
          <w:tcPr>
            <w:tcW w:w="1606" w:type="dxa"/>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kern w:val="1"/>
                <w:sz w:val="24"/>
              </w:rPr>
              <w:t>向海关报关运入海关监管仓库供海关隔离区内免税店销售货物纳税人提交</w:t>
            </w:r>
          </w:p>
        </w:tc>
        <w:tc>
          <w:tcPr>
            <w:tcW w:w="2908" w:type="dxa"/>
            <w:vMerge w:val="restart"/>
            <w:vAlign w:val="center"/>
          </w:tcPr>
          <w:p w:rsidR="00013EC7" w:rsidRDefault="00575CDB">
            <w:pPr>
              <w:spacing w:line="300" w:lineRule="exac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纳税人提交书面材料（无纸化企业留存备查）。</w:t>
            </w:r>
          </w:p>
        </w:tc>
        <w:tc>
          <w:tcPr>
            <w:tcW w:w="868" w:type="dxa"/>
            <w:vMerge/>
            <w:vAlign w:val="center"/>
          </w:tcPr>
          <w:p w:rsidR="00013EC7" w:rsidRDefault="00013EC7">
            <w:pPr>
              <w:rPr>
                <w:rFonts w:ascii="仿宋" w:eastAsia="仿宋" w:hAnsi="仿宋" w:cs="仿宋"/>
                <w:sz w:val="24"/>
              </w:rPr>
            </w:pPr>
          </w:p>
        </w:tc>
        <w:tc>
          <w:tcPr>
            <w:tcW w:w="798" w:type="dxa"/>
            <w:vMerge/>
            <w:vAlign w:val="center"/>
          </w:tcPr>
          <w:p w:rsidR="00013EC7" w:rsidRDefault="00013EC7">
            <w:pPr>
              <w:rPr>
                <w:rFonts w:ascii="仿宋" w:eastAsia="仿宋" w:hAnsi="仿宋" w:cs="仿宋"/>
                <w:sz w:val="24"/>
              </w:rPr>
            </w:pP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1195"/>
          <w:jc w:val="center"/>
        </w:trPr>
        <w:tc>
          <w:tcPr>
            <w:tcW w:w="1250" w:type="dxa"/>
            <w:vMerge/>
            <w:vAlign w:val="center"/>
          </w:tcPr>
          <w:p w:rsidR="00013EC7" w:rsidRDefault="00013EC7">
            <w:pPr>
              <w:rPr>
                <w:rFonts w:ascii="仿宋" w:eastAsia="仿宋" w:hAnsi="仿宋" w:cs="仿宋"/>
                <w:sz w:val="24"/>
              </w:rPr>
            </w:pPr>
          </w:p>
        </w:tc>
        <w:tc>
          <w:tcPr>
            <w:tcW w:w="1316" w:type="dxa"/>
            <w:vMerge/>
            <w:vAlign w:val="center"/>
          </w:tcPr>
          <w:p w:rsidR="00013EC7" w:rsidRDefault="00013EC7">
            <w:pPr>
              <w:rPr>
                <w:rFonts w:ascii="仿宋" w:eastAsia="仿宋" w:hAnsi="仿宋" w:cs="仿宋"/>
                <w:sz w:val="24"/>
              </w:rPr>
            </w:pPr>
          </w:p>
        </w:tc>
        <w:tc>
          <w:tcPr>
            <w:tcW w:w="2122" w:type="dxa"/>
            <w:vMerge/>
            <w:vAlign w:val="center"/>
          </w:tcPr>
          <w:p w:rsidR="00013EC7" w:rsidRDefault="00013EC7">
            <w:pPr>
              <w:rPr>
                <w:rFonts w:ascii="仿宋" w:eastAsia="仿宋" w:hAnsi="仿宋" w:cs="仿宋"/>
                <w:sz w:val="24"/>
              </w:rPr>
            </w:pPr>
          </w:p>
        </w:tc>
        <w:tc>
          <w:tcPr>
            <w:tcW w:w="2777" w:type="dxa"/>
            <w:vAlign w:val="center"/>
          </w:tcPr>
          <w:p w:rsidR="00013EC7" w:rsidRDefault="00575CDB">
            <w:pPr>
              <w:rPr>
                <w:rFonts w:ascii="仿宋" w:eastAsia="仿宋" w:hAnsi="仿宋" w:cs="仿宋"/>
                <w:kern w:val="1"/>
                <w:sz w:val="24"/>
              </w:rPr>
            </w:pPr>
            <w:r>
              <w:rPr>
                <w:rFonts w:ascii="仿宋" w:eastAsia="仿宋" w:hAnsi="仿宋" w:cs="仿宋"/>
                <w:kern w:val="1"/>
                <w:sz w:val="24"/>
              </w:rPr>
              <w:t>（</w:t>
            </w:r>
            <w:r>
              <w:rPr>
                <w:rFonts w:ascii="仿宋" w:eastAsia="仿宋" w:hAnsi="仿宋" w:cs="仿宋" w:hint="eastAsia"/>
                <w:kern w:val="1"/>
                <w:sz w:val="24"/>
              </w:rPr>
              <w:t>十七</w:t>
            </w:r>
            <w:r>
              <w:rPr>
                <w:rFonts w:ascii="仿宋" w:eastAsia="仿宋" w:hAnsi="仿宋" w:cs="仿宋"/>
                <w:kern w:val="1"/>
                <w:sz w:val="24"/>
              </w:rPr>
              <w:t>）</w:t>
            </w:r>
            <w:r>
              <w:rPr>
                <w:rFonts w:ascii="仿宋" w:eastAsia="仿宋" w:hAnsi="仿宋" w:cs="仿宋" w:hint="eastAsia"/>
                <w:kern w:val="1"/>
                <w:sz w:val="24"/>
              </w:rPr>
              <w:t>海关对免税店销售货物的核销证明。</w:t>
            </w:r>
          </w:p>
        </w:tc>
        <w:tc>
          <w:tcPr>
            <w:tcW w:w="1118" w:type="dxa"/>
            <w:vAlign w:val="center"/>
          </w:tcPr>
          <w:p w:rsidR="00013EC7" w:rsidRDefault="00575CDB">
            <w:pPr>
              <w:spacing w:line="300" w:lineRule="exact"/>
              <w:jc w:val="center"/>
              <w:rPr>
                <w:rFonts w:ascii="仿宋" w:eastAsia="仿宋" w:hAnsi="仿宋" w:cs="仿宋"/>
                <w:kern w:val="1"/>
                <w:sz w:val="24"/>
              </w:rPr>
            </w:pPr>
            <w:r>
              <w:rPr>
                <w:rFonts w:ascii="仿宋" w:eastAsia="仿宋" w:hAnsi="仿宋" w:cs="仿宋" w:hint="eastAsia"/>
                <w:kern w:val="1"/>
                <w:sz w:val="24"/>
              </w:rPr>
              <w:t>向海关报关运入上海虹桥、浦东机场海关国际隔离区内的免税店销售的货物的出口生产企业纳税人提交</w:t>
            </w:r>
          </w:p>
        </w:tc>
        <w:tc>
          <w:tcPr>
            <w:tcW w:w="2403" w:type="dxa"/>
            <w:vAlign w:val="center"/>
          </w:tcPr>
          <w:p w:rsidR="00013EC7" w:rsidRDefault="00575CDB">
            <w:pPr>
              <w:rPr>
                <w:rFonts w:ascii="仿宋" w:eastAsia="仿宋" w:hAnsi="仿宋" w:cs="仿宋"/>
                <w:kern w:val="1"/>
                <w:sz w:val="24"/>
              </w:rPr>
            </w:pPr>
            <w:r>
              <w:rPr>
                <w:rFonts w:ascii="仿宋" w:eastAsia="仿宋" w:hAnsi="仿宋" w:cs="仿宋"/>
                <w:kern w:val="1"/>
                <w:sz w:val="24"/>
              </w:rPr>
              <w:t>（</w:t>
            </w:r>
            <w:r>
              <w:rPr>
                <w:rFonts w:ascii="仿宋" w:eastAsia="仿宋" w:hAnsi="仿宋" w:cs="仿宋" w:hint="eastAsia"/>
                <w:kern w:val="1"/>
                <w:sz w:val="24"/>
              </w:rPr>
              <w:t>十七</w:t>
            </w:r>
            <w:r>
              <w:rPr>
                <w:rFonts w:ascii="仿宋" w:eastAsia="仿宋" w:hAnsi="仿宋" w:cs="仿宋"/>
                <w:kern w:val="1"/>
                <w:sz w:val="24"/>
              </w:rPr>
              <w:t>）</w:t>
            </w:r>
            <w:r>
              <w:rPr>
                <w:rFonts w:ascii="仿宋" w:eastAsia="仿宋" w:hAnsi="仿宋" w:cs="仿宋" w:hint="eastAsia"/>
                <w:kern w:val="1"/>
                <w:sz w:val="24"/>
              </w:rPr>
              <w:t>海关对免税店销售货物的核销证明。</w:t>
            </w:r>
          </w:p>
        </w:tc>
        <w:tc>
          <w:tcPr>
            <w:tcW w:w="1606" w:type="dxa"/>
            <w:vAlign w:val="center"/>
          </w:tcPr>
          <w:p w:rsidR="00013EC7" w:rsidRDefault="00575CDB">
            <w:pPr>
              <w:spacing w:line="300" w:lineRule="exact"/>
              <w:jc w:val="center"/>
              <w:rPr>
                <w:rFonts w:ascii="仿宋" w:eastAsia="仿宋" w:hAnsi="仿宋" w:cs="仿宋"/>
                <w:kern w:val="1"/>
                <w:sz w:val="24"/>
              </w:rPr>
            </w:pPr>
            <w:r>
              <w:rPr>
                <w:rFonts w:ascii="仿宋" w:eastAsia="仿宋" w:hAnsi="仿宋" w:cs="仿宋" w:hint="eastAsia"/>
                <w:kern w:val="1"/>
                <w:sz w:val="24"/>
              </w:rPr>
              <w:t>向海关报关运入上海虹桥、浦东机场海关国际隔离区内的免税店销售的货物的出口生产企业纳税人提交</w:t>
            </w:r>
          </w:p>
        </w:tc>
        <w:tc>
          <w:tcPr>
            <w:tcW w:w="2908" w:type="dxa"/>
            <w:vMerge/>
            <w:vAlign w:val="center"/>
          </w:tcPr>
          <w:p w:rsidR="00013EC7" w:rsidRDefault="00013EC7">
            <w:pPr>
              <w:spacing w:line="300" w:lineRule="exact"/>
              <w:rPr>
                <w:rFonts w:ascii="仿宋" w:eastAsia="仿宋" w:hAnsi="仿宋" w:cs="仿宋"/>
                <w:b/>
                <w:sz w:val="24"/>
              </w:rPr>
            </w:pPr>
          </w:p>
        </w:tc>
        <w:tc>
          <w:tcPr>
            <w:tcW w:w="868" w:type="dxa"/>
            <w:vMerge/>
            <w:vAlign w:val="center"/>
          </w:tcPr>
          <w:p w:rsidR="00013EC7" w:rsidRDefault="00013EC7">
            <w:pPr>
              <w:rPr>
                <w:rFonts w:ascii="仿宋" w:eastAsia="仿宋" w:hAnsi="仿宋" w:cs="仿宋"/>
                <w:sz w:val="24"/>
              </w:rPr>
            </w:pPr>
          </w:p>
        </w:tc>
        <w:tc>
          <w:tcPr>
            <w:tcW w:w="798" w:type="dxa"/>
            <w:vMerge/>
            <w:vAlign w:val="center"/>
          </w:tcPr>
          <w:p w:rsidR="00013EC7" w:rsidRDefault="00013EC7">
            <w:pPr>
              <w:rPr>
                <w:rFonts w:ascii="仿宋" w:eastAsia="仿宋" w:hAnsi="仿宋" w:cs="仿宋"/>
                <w:sz w:val="24"/>
              </w:rPr>
            </w:pP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64"/>
          <w:jc w:val="center"/>
        </w:trPr>
        <w:tc>
          <w:tcPr>
            <w:tcW w:w="1250" w:type="dxa"/>
            <w:vMerge/>
            <w:vAlign w:val="center"/>
          </w:tcPr>
          <w:p w:rsidR="00013EC7" w:rsidRDefault="00013EC7">
            <w:pPr>
              <w:rPr>
                <w:rFonts w:ascii="仿宋" w:eastAsia="仿宋" w:hAnsi="仿宋" w:cs="仿宋"/>
                <w:sz w:val="24"/>
              </w:rPr>
            </w:pPr>
          </w:p>
        </w:tc>
        <w:tc>
          <w:tcPr>
            <w:tcW w:w="1316" w:type="dxa"/>
            <w:vMerge/>
            <w:vAlign w:val="center"/>
          </w:tcPr>
          <w:p w:rsidR="00013EC7" w:rsidRDefault="00013EC7">
            <w:pPr>
              <w:rPr>
                <w:rFonts w:ascii="仿宋" w:eastAsia="仿宋" w:hAnsi="仿宋" w:cs="仿宋"/>
                <w:sz w:val="24"/>
              </w:rPr>
            </w:pPr>
          </w:p>
        </w:tc>
        <w:tc>
          <w:tcPr>
            <w:tcW w:w="2122" w:type="dxa"/>
            <w:vMerge/>
            <w:vAlign w:val="center"/>
          </w:tcPr>
          <w:p w:rsidR="00013EC7" w:rsidRDefault="00013EC7">
            <w:pPr>
              <w:rPr>
                <w:rFonts w:ascii="仿宋" w:eastAsia="仿宋" w:hAnsi="仿宋" w:cs="仿宋"/>
                <w:sz w:val="24"/>
              </w:rPr>
            </w:pPr>
          </w:p>
        </w:tc>
        <w:tc>
          <w:tcPr>
            <w:tcW w:w="2777" w:type="dxa"/>
            <w:vAlign w:val="center"/>
          </w:tcPr>
          <w:p w:rsidR="00013EC7" w:rsidRDefault="00575CDB">
            <w:pPr>
              <w:rPr>
                <w:rFonts w:ascii="仿宋" w:eastAsia="仿宋" w:hAnsi="仿宋" w:cs="仿宋"/>
                <w:kern w:val="1"/>
                <w:sz w:val="24"/>
              </w:rPr>
            </w:pPr>
            <w:r>
              <w:rPr>
                <w:rFonts w:ascii="仿宋" w:eastAsia="仿宋" w:hAnsi="仿宋" w:cs="仿宋"/>
                <w:kern w:val="1"/>
                <w:sz w:val="24"/>
              </w:rPr>
              <w:t>（</w:t>
            </w:r>
            <w:r>
              <w:rPr>
                <w:rFonts w:ascii="仿宋" w:eastAsia="仿宋" w:hAnsi="仿宋" w:cs="仿宋" w:hint="eastAsia"/>
                <w:kern w:val="1"/>
                <w:sz w:val="24"/>
              </w:rPr>
              <w:t>十八</w:t>
            </w:r>
            <w:r>
              <w:rPr>
                <w:rFonts w:ascii="仿宋" w:eastAsia="仿宋" w:hAnsi="仿宋" w:cs="仿宋"/>
                <w:kern w:val="1"/>
                <w:sz w:val="24"/>
              </w:rPr>
              <w:t>）</w:t>
            </w:r>
            <w:r>
              <w:rPr>
                <w:rFonts w:ascii="仿宋" w:eastAsia="仿宋" w:hAnsi="仿宋" w:cs="仿宋" w:hint="eastAsia"/>
                <w:kern w:val="1"/>
                <w:sz w:val="24"/>
              </w:rPr>
              <w:t>招标单位所在地主管税务机关签发的《中标证明通知书》1份</w:t>
            </w:r>
            <w:r>
              <w:rPr>
                <w:rFonts w:ascii="仿宋" w:eastAsia="仿宋" w:hAnsi="仿宋" w:cs="仿宋"/>
                <w:kern w:val="1"/>
                <w:sz w:val="24"/>
              </w:rPr>
              <w:t>。</w:t>
            </w:r>
          </w:p>
        </w:tc>
        <w:tc>
          <w:tcPr>
            <w:tcW w:w="1118" w:type="dxa"/>
            <w:vMerge w:val="restart"/>
            <w:vAlign w:val="center"/>
          </w:tcPr>
          <w:p w:rsidR="00013EC7" w:rsidRDefault="00575CDB">
            <w:pPr>
              <w:spacing w:line="300" w:lineRule="exact"/>
              <w:jc w:val="center"/>
              <w:rPr>
                <w:rFonts w:ascii="仿宋" w:eastAsia="仿宋" w:hAnsi="仿宋" w:cs="仿宋"/>
                <w:kern w:val="1"/>
                <w:sz w:val="24"/>
              </w:rPr>
            </w:pPr>
            <w:r>
              <w:rPr>
                <w:rFonts w:ascii="仿宋" w:eastAsia="仿宋" w:hAnsi="仿宋" w:cs="仿宋" w:hint="eastAsia"/>
                <w:kern w:val="1"/>
                <w:sz w:val="24"/>
              </w:rPr>
              <w:t>销售的中标机电产品，不需要提供出口报关单的纳税人提交</w:t>
            </w:r>
          </w:p>
          <w:p w:rsidR="00013EC7" w:rsidRDefault="00013EC7">
            <w:pPr>
              <w:rPr>
                <w:rFonts w:ascii="仿宋" w:eastAsia="仿宋" w:hAnsi="仿宋" w:cs="仿宋"/>
                <w:kern w:val="1"/>
                <w:sz w:val="24"/>
              </w:rPr>
            </w:pPr>
          </w:p>
        </w:tc>
        <w:tc>
          <w:tcPr>
            <w:tcW w:w="2403" w:type="dxa"/>
            <w:vAlign w:val="center"/>
          </w:tcPr>
          <w:p w:rsidR="00013EC7" w:rsidRDefault="00575CDB">
            <w:pPr>
              <w:rPr>
                <w:rFonts w:ascii="仿宋" w:eastAsia="仿宋" w:hAnsi="仿宋" w:cs="仿宋"/>
                <w:kern w:val="1"/>
                <w:sz w:val="24"/>
              </w:rPr>
            </w:pPr>
            <w:r>
              <w:rPr>
                <w:rFonts w:ascii="仿宋" w:eastAsia="仿宋" w:hAnsi="仿宋" w:cs="仿宋"/>
                <w:kern w:val="1"/>
                <w:sz w:val="24"/>
              </w:rPr>
              <w:t>（</w:t>
            </w:r>
            <w:r>
              <w:rPr>
                <w:rFonts w:ascii="仿宋" w:eastAsia="仿宋" w:hAnsi="仿宋" w:cs="仿宋" w:hint="eastAsia"/>
                <w:kern w:val="1"/>
                <w:sz w:val="24"/>
              </w:rPr>
              <w:t>十八</w:t>
            </w:r>
            <w:r>
              <w:rPr>
                <w:rFonts w:ascii="仿宋" w:eastAsia="仿宋" w:hAnsi="仿宋" w:cs="仿宋"/>
                <w:kern w:val="1"/>
                <w:sz w:val="24"/>
              </w:rPr>
              <w:t>）</w:t>
            </w:r>
            <w:r>
              <w:rPr>
                <w:rFonts w:ascii="仿宋" w:eastAsia="仿宋" w:hAnsi="仿宋" w:cs="仿宋" w:hint="eastAsia"/>
                <w:kern w:val="1"/>
                <w:sz w:val="24"/>
              </w:rPr>
              <w:t>招标单位所在地主管税务机关签发的《中标证明通知书》1份</w:t>
            </w:r>
            <w:r>
              <w:rPr>
                <w:rFonts w:ascii="仿宋" w:eastAsia="仿宋" w:hAnsi="仿宋" w:cs="仿宋"/>
                <w:kern w:val="1"/>
                <w:sz w:val="24"/>
              </w:rPr>
              <w:t>。</w:t>
            </w:r>
          </w:p>
        </w:tc>
        <w:tc>
          <w:tcPr>
            <w:tcW w:w="1606" w:type="dxa"/>
            <w:vAlign w:val="center"/>
          </w:tcPr>
          <w:p w:rsidR="00013EC7" w:rsidRDefault="00575CDB">
            <w:pPr>
              <w:spacing w:line="300" w:lineRule="exact"/>
              <w:jc w:val="center"/>
              <w:rPr>
                <w:rFonts w:ascii="仿宋" w:eastAsia="仿宋" w:hAnsi="仿宋" w:cs="仿宋"/>
                <w:b/>
                <w:i/>
                <w:sz w:val="24"/>
              </w:rPr>
            </w:pPr>
            <w:r>
              <w:rPr>
                <w:rFonts w:ascii="仿宋" w:eastAsia="仿宋" w:hAnsi="仿宋" w:cs="仿宋" w:hint="eastAsia"/>
                <w:b/>
                <w:i/>
                <w:sz w:val="24"/>
              </w:rPr>
              <w:t>经办机构自行获取</w:t>
            </w:r>
          </w:p>
        </w:tc>
        <w:tc>
          <w:tcPr>
            <w:tcW w:w="2908"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b/>
                <w:sz w:val="24"/>
              </w:rPr>
              <w:t>内部共享：</w:t>
            </w:r>
            <w:r>
              <w:rPr>
                <w:rFonts w:ascii="仿宋" w:eastAsia="仿宋" w:hAnsi="仿宋" w:cs="仿宋" w:hint="eastAsia"/>
                <w:sz w:val="24"/>
              </w:rPr>
              <w:t>内部共享获取相关信息（无纸化企业留存备查，非无纸化企业需提供书面材料）。</w:t>
            </w:r>
          </w:p>
        </w:tc>
        <w:tc>
          <w:tcPr>
            <w:tcW w:w="868" w:type="dxa"/>
            <w:vMerge/>
            <w:vAlign w:val="center"/>
          </w:tcPr>
          <w:p w:rsidR="00013EC7" w:rsidRDefault="00013EC7">
            <w:pPr>
              <w:rPr>
                <w:rFonts w:ascii="仿宋" w:eastAsia="仿宋" w:hAnsi="仿宋" w:cs="仿宋"/>
                <w:sz w:val="24"/>
              </w:rPr>
            </w:pPr>
          </w:p>
        </w:tc>
        <w:tc>
          <w:tcPr>
            <w:tcW w:w="798" w:type="dxa"/>
            <w:vMerge/>
            <w:vAlign w:val="center"/>
          </w:tcPr>
          <w:p w:rsidR="00013EC7" w:rsidRDefault="00013EC7">
            <w:pPr>
              <w:rPr>
                <w:rFonts w:ascii="仿宋" w:eastAsia="仿宋" w:hAnsi="仿宋" w:cs="仿宋"/>
                <w:sz w:val="24"/>
              </w:rPr>
            </w:pP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64"/>
          <w:jc w:val="center"/>
        </w:trPr>
        <w:tc>
          <w:tcPr>
            <w:tcW w:w="1250" w:type="dxa"/>
            <w:vMerge/>
            <w:vAlign w:val="center"/>
          </w:tcPr>
          <w:p w:rsidR="00013EC7" w:rsidRDefault="00013EC7"/>
        </w:tc>
        <w:tc>
          <w:tcPr>
            <w:tcW w:w="1316" w:type="dxa"/>
            <w:vMerge/>
            <w:vAlign w:val="center"/>
          </w:tcPr>
          <w:p w:rsidR="00013EC7" w:rsidRDefault="00013EC7"/>
        </w:tc>
        <w:tc>
          <w:tcPr>
            <w:tcW w:w="2122" w:type="dxa"/>
            <w:vMerge/>
            <w:vAlign w:val="center"/>
          </w:tcPr>
          <w:p w:rsidR="00013EC7" w:rsidRDefault="00013EC7"/>
        </w:tc>
        <w:tc>
          <w:tcPr>
            <w:tcW w:w="2777" w:type="dxa"/>
            <w:vAlign w:val="center"/>
          </w:tcPr>
          <w:p w:rsidR="00013EC7" w:rsidRDefault="00575CDB">
            <w:r>
              <w:rPr>
                <w:rFonts w:ascii="仿宋" w:eastAsia="仿宋" w:hAnsi="仿宋" w:cs="仿宋"/>
                <w:kern w:val="1"/>
                <w:sz w:val="24"/>
              </w:rPr>
              <w:t>（</w:t>
            </w:r>
            <w:r>
              <w:rPr>
                <w:rFonts w:ascii="仿宋" w:eastAsia="仿宋" w:hAnsi="仿宋" w:cs="仿宋" w:hint="eastAsia"/>
                <w:kern w:val="1"/>
                <w:sz w:val="24"/>
              </w:rPr>
              <w:t>十九</w:t>
            </w:r>
            <w:r>
              <w:rPr>
                <w:rFonts w:ascii="仿宋" w:eastAsia="仿宋" w:hAnsi="仿宋" w:cs="仿宋"/>
                <w:kern w:val="1"/>
                <w:sz w:val="24"/>
              </w:rPr>
              <w:t>）</w:t>
            </w:r>
            <w:r>
              <w:rPr>
                <w:rFonts w:ascii="仿宋" w:eastAsia="仿宋" w:hAnsi="仿宋" w:cs="仿宋" w:hint="eastAsia"/>
                <w:kern w:val="1"/>
                <w:sz w:val="24"/>
              </w:rPr>
              <w:t>由中国招标公司或其他国内招标组织签发的中标证明（正本）原件及复印件（注明与原件一致，并加盖公章）</w:t>
            </w:r>
            <w:r>
              <w:rPr>
                <w:rFonts w:ascii="仿宋" w:eastAsia="仿宋" w:hAnsi="仿宋" w:cs="仿宋"/>
                <w:kern w:val="1"/>
                <w:sz w:val="24"/>
              </w:rPr>
              <w:t>。</w:t>
            </w:r>
          </w:p>
        </w:tc>
        <w:tc>
          <w:tcPr>
            <w:tcW w:w="1118" w:type="dxa"/>
            <w:vMerge/>
            <w:vAlign w:val="center"/>
          </w:tcPr>
          <w:p w:rsidR="00013EC7" w:rsidRDefault="00013EC7"/>
        </w:tc>
        <w:tc>
          <w:tcPr>
            <w:tcW w:w="2403" w:type="dxa"/>
            <w:vAlign w:val="center"/>
          </w:tcPr>
          <w:p w:rsidR="00013EC7" w:rsidRDefault="00575CDB">
            <w:r>
              <w:rPr>
                <w:rFonts w:ascii="仿宋" w:eastAsia="仿宋" w:hAnsi="仿宋" w:cs="仿宋"/>
                <w:kern w:val="1"/>
                <w:sz w:val="24"/>
              </w:rPr>
              <w:t>（</w:t>
            </w:r>
            <w:r>
              <w:rPr>
                <w:rFonts w:ascii="仿宋" w:eastAsia="仿宋" w:hAnsi="仿宋" w:cs="仿宋" w:hint="eastAsia"/>
                <w:kern w:val="1"/>
                <w:sz w:val="24"/>
              </w:rPr>
              <w:t>十九</w:t>
            </w:r>
            <w:r>
              <w:rPr>
                <w:rFonts w:ascii="仿宋" w:eastAsia="仿宋" w:hAnsi="仿宋" w:cs="仿宋"/>
                <w:kern w:val="1"/>
                <w:sz w:val="24"/>
              </w:rPr>
              <w:t>）</w:t>
            </w:r>
            <w:r>
              <w:rPr>
                <w:rFonts w:ascii="仿宋" w:eastAsia="仿宋" w:hAnsi="仿宋" w:cs="仿宋" w:hint="eastAsia"/>
                <w:kern w:val="1"/>
                <w:sz w:val="24"/>
              </w:rPr>
              <w:t>由中国招标公司或其他国内招标组织签发的中标证明（正本）原件及复印件（注明与原件一致，并加盖公章）</w:t>
            </w:r>
            <w:r>
              <w:rPr>
                <w:rFonts w:ascii="仿宋" w:eastAsia="仿宋" w:hAnsi="仿宋" w:cs="仿宋"/>
                <w:kern w:val="1"/>
                <w:sz w:val="24"/>
              </w:rPr>
              <w:t>。</w:t>
            </w:r>
          </w:p>
        </w:tc>
        <w:tc>
          <w:tcPr>
            <w:tcW w:w="1606" w:type="dxa"/>
            <w:vMerge w:val="restart"/>
            <w:vAlign w:val="center"/>
          </w:tcPr>
          <w:p w:rsidR="00013EC7" w:rsidRDefault="00575CDB">
            <w:pPr>
              <w:spacing w:line="300" w:lineRule="exact"/>
              <w:jc w:val="center"/>
              <w:rPr>
                <w:rFonts w:ascii="仿宋" w:eastAsia="仿宋" w:hAnsi="仿宋" w:cs="仿宋"/>
                <w:kern w:val="1"/>
                <w:sz w:val="24"/>
              </w:rPr>
            </w:pPr>
            <w:r>
              <w:rPr>
                <w:rFonts w:ascii="仿宋" w:eastAsia="仿宋" w:hAnsi="仿宋" w:cs="仿宋" w:hint="eastAsia"/>
                <w:kern w:val="1"/>
                <w:sz w:val="24"/>
              </w:rPr>
              <w:t>销售的中标机电产品，不需要提供出口报关单的纳税人提交</w:t>
            </w:r>
          </w:p>
          <w:p w:rsidR="00013EC7" w:rsidRDefault="00013EC7">
            <w:pPr>
              <w:rPr>
                <w:rFonts w:ascii="仿宋" w:eastAsia="仿宋" w:hAnsi="仿宋" w:cs="仿宋"/>
                <w:kern w:val="1"/>
                <w:sz w:val="24"/>
              </w:rPr>
            </w:pPr>
          </w:p>
        </w:tc>
        <w:tc>
          <w:tcPr>
            <w:tcW w:w="2908" w:type="dxa"/>
            <w:vMerge w:val="restart"/>
            <w:vAlign w:val="center"/>
          </w:tcPr>
          <w:p w:rsidR="00013EC7" w:rsidRDefault="00575CDB">
            <w:pPr>
              <w:rPr>
                <w:rFonts w:ascii="仿宋" w:eastAsia="仿宋" w:hAnsi="仿宋" w:cs="仿宋"/>
                <w:kern w:val="1"/>
                <w:sz w:val="24"/>
              </w:rPr>
            </w:pPr>
            <w:r>
              <w:rPr>
                <w:rFonts w:ascii="仿宋" w:eastAsia="仿宋" w:hAnsi="仿宋" w:cs="仿宋" w:hint="eastAsia"/>
                <w:b/>
                <w:sz w:val="24"/>
              </w:rPr>
              <w:t>现场办理：</w:t>
            </w:r>
            <w:r>
              <w:rPr>
                <w:rFonts w:ascii="仿宋" w:eastAsia="仿宋" w:hAnsi="仿宋" w:cs="仿宋" w:hint="eastAsia"/>
                <w:sz w:val="24"/>
              </w:rPr>
              <w:t>纳税人提交书面材料（无纸化企业留存备查）。</w:t>
            </w:r>
          </w:p>
        </w:tc>
        <w:tc>
          <w:tcPr>
            <w:tcW w:w="868"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64"/>
          <w:jc w:val="center"/>
        </w:trPr>
        <w:tc>
          <w:tcPr>
            <w:tcW w:w="1250" w:type="dxa"/>
            <w:vMerge/>
            <w:vAlign w:val="center"/>
          </w:tcPr>
          <w:p w:rsidR="00013EC7" w:rsidRDefault="00013EC7">
            <w:pPr>
              <w:rPr>
                <w:rFonts w:ascii="仿宋" w:eastAsia="仿宋" w:hAnsi="仿宋" w:cs="仿宋"/>
                <w:kern w:val="1"/>
                <w:sz w:val="24"/>
              </w:rPr>
            </w:pPr>
          </w:p>
        </w:tc>
        <w:tc>
          <w:tcPr>
            <w:tcW w:w="1316" w:type="dxa"/>
            <w:vMerge/>
            <w:vAlign w:val="center"/>
          </w:tcPr>
          <w:p w:rsidR="00013EC7" w:rsidRDefault="00013EC7">
            <w:pPr>
              <w:rPr>
                <w:rFonts w:ascii="仿宋" w:eastAsia="仿宋" w:hAnsi="仿宋" w:cs="仿宋"/>
                <w:kern w:val="1"/>
                <w:sz w:val="24"/>
              </w:rPr>
            </w:pPr>
          </w:p>
        </w:tc>
        <w:tc>
          <w:tcPr>
            <w:tcW w:w="2122" w:type="dxa"/>
            <w:vMerge/>
            <w:vAlign w:val="center"/>
          </w:tcPr>
          <w:p w:rsidR="00013EC7" w:rsidRDefault="00013EC7">
            <w:pPr>
              <w:rPr>
                <w:rFonts w:ascii="仿宋" w:eastAsia="仿宋" w:hAnsi="仿宋" w:cs="仿宋"/>
                <w:kern w:val="1"/>
                <w:sz w:val="24"/>
              </w:rPr>
            </w:pPr>
          </w:p>
        </w:tc>
        <w:tc>
          <w:tcPr>
            <w:tcW w:w="2777" w:type="dxa"/>
            <w:vAlign w:val="center"/>
          </w:tcPr>
          <w:p w:rsidR="00013EC7" w:rsidRDefault="00575CDB">
            <w:pPr>
              <w:rPr>
                <w:rFonts w:ascii="仿宋" w:eastAsia="仿宋" w:hAnsi="仿宋" w:cs="仿宋"/>
                <w:kern w:val="1"/>
                <w:sz w:val="24"/>
              </w:rPr>
            </w:pPr>
            <w:r>
              <w:rPr>
                <w:rFonts w:ascii="仿宋" w:eastAsia="仿宋" w:hAnsi="仿宋" w:cs="仿宋"/>
                <w:kern w:val="1"/>
                <w:sz w:val="24"/>
              </w:rPr>
              <w:t>（</w:t>
            </w:r>
            <w:r>
              <w:rPr>
                <w:rFonts w:ascii="仿宋" w:eastAsia="仿宋" w:hAnsi="仿宋" w:cs="仿宋" w:hint="eastAsia"/>
                <w:kern w:val="1"/>
                <w:sz w:val="24"/>
              </w:rPr>
              <w:t>二十</w:t>
            </w:r>
            <w:r>
              <w:rPr>
                <w:rFonts w:ascii="仿宋" w:eastAsia="仿宋" w:hAnsi="仿宋" w:cs="仿宋"/>
                <w:kern w:val="1"/>
                <w:sz w:val="24"/>
              </w:rPr>
              <w:t>）</w:t>
            </w:r>
            <w:r>
              <w:rPr>
                <w:rFonts w:ascii="仿宋" w:eastAsia="仿宋" w:hAnsi="仿宋" w:cs="仿宋" w:hint="eastAsia"/>
                <w:kern w:val="1"/>
                <w:sz w:val="24"/>
              </w:rPr>
              <w:t>中标人与中国招标公司或其他招标组织签订的供货合同（协议）原</w:t>
            </w:r>
            <w:r>
              <w:rPr>
                <w:rFonts w:ascii="仿宋" w:eastAsia="仿宋" w:hAnsi="仿宋" w:cs="仿宋" w:hint="eastAsia"/>
                <w:kern w:val="1"/>
                <w:sz w:val="24"/>
              </w:rPr>
              <w:lastRenderedPageBreak/>
              <w:t>件及复印件（注明与原件一致，并加盖公章）</w:t>
            </w:r>
            <w:r>
              <w:rPr>
                <w:rFonts w:ascii="仿宋" w:eastAsia="仿宋" w:hAnsi="仿宋" w:cs="仿宋"/>
                <w:kern w:val="1"/>
                <w:sz w:val="24"/>
              </w:rPr>
              <w:t>。</w:t>
            </w:r>
          </w:p>
        </w:tc>
        <w:tc>
          <w:tcPr>
            <w:tcW w:w="1118" w:type="dxa"/>
            <w:vMerge/>
            <w:vAlign w:val="center"/>
          </w:tcPr>
          <w:p w:rsidR="00013EC7" w:rsidRDefault="00013EC7">
            <w:pPr>
              <w:rPr>
                <w:rFonts w:ascii="仿宋" w:eastAsia="仿宋" w:hAnsi="仿宋" w:cs="仿宋"/>
                <w:kern w:val="1"/>
                <w:sz w:val="24"/>
              </w:rPr>
            </w:pPr>
          </w:p>
        </w:tc>
        <w:tc>
          <w:tcPr>
            <w:tcW w:w="2403" w:type="dxa"/>
            <w:vAlign w:val="center"/>
          </w:tcPr>
          <w:p w:rsidR="00013EC7" w:rsidRDefault="00575CDB">
            <w:pPr>
              <w:rPr>
                <w:rFonts w:ascii="仿宋" w:eastAsia="仿宋" w:hAnsi="仿宋" w:cs="仿宋"/>
                <w:kern w:val="1"/>
                <w:sz w:val="24"/>
              </w:rPr>
            </w:pPr>
            <w:r>
              <w:rPr>
                <w:rFonts w:ascii="仿宋" w:eastAsia="仿宋" w:hAnsi="仿宋" w:cs="仿宋"/>
                <w:kern w:val="1"/>
                <w:sz w:val="24"/>
              </w:rPr>
              <w:t>（</w:t>
            </w:r>
            <w:r>
              <w:rPr>
                <w:rFonts w:ascii="仿宋" w:eastAsia="仿宋" w:hAnsi="仿宋" w:cs="仿宋" w:hint="eastAsia"/>
                <w:kern w:val="1"/>
                <w:sz w:val="24"/>
              </w:rPr>
              <w:t>二十</w:t>
            </w:r>
            <w:r>
              <w:rPr>
                <w:rFonts w:ascii="仿宋" w:eastAsia="仿宋" w:hAnsi="仿宋" w:cs="仿宋"/>
                <w:kern w:val="1"/>
                <w:sz w:val="24"/>
              </w:rPr>
              <w:t>）</w:t>
            </w:r>
            <w:r>
              <w:rPr>
                <w:rFonts w:ascii="仿宋" w:eastAsia="仿宋" w:hAnsi="仿宋" w:cs="仿宋" w:hint="eastAsia"/>
                <w:kern w:val="1"/>
                <w:sz w:val="24"/>
              </w:rPr>
              <w:t>中标人与中国招标公司或其他招标组织签订的供货合同</w:t>
            </w:r>
            <w:r>
              <w:rPr>
                <w:rFonts w:ascii="仿宋" w:eastAsia="仿宋" w:hAnsi="仿宋" w:cs="仿宋" w:hint="eastAsia"/>
                <w:kern w:val="1"/>
                <w:sz w:val="24"/>
              </w:rPr>
              <w:lastRenderedPageBreak/>
              <w:t>（协议）原件及复印件（注明与原件一致，并加盖公章）</w:t>
            </w:r>
            <w:r>
              <w:rPr>
                <w:rFonts w:ascii="仿宋" w:eastAsia="仿宋" w:hAnsi="仿宋" w:cs="仿宋"/>
                <w:kern w:val="1"/>
                <w:sz w:val="24"/>
              </w:rPr>
              <w:t>。</w:t>
            </w:r>
          </w:p>
        </w:tc>
        <w:tc>
          <w:tcPr>
            <w:tcW w:w="1606" w:type="dxa"/>
            <w:vMerge/>
            <w:vAlign w:val="center"/>
          </w:tcPr>
          <w:p w:rsidR="00013EC7" w:rsidRDefault="00013EC7">
            <w:pPr>
              <w:rPr>
                <w:rFonts w:ascii="仿宋" w:eastAsia="仿宋" w:hAnsi="仿宋" w:cs="仿宋"/>
                <w:kern w:val="1"/>
                <w:sz w:val="24"/>
              </w:rPr>
            </w:pPr>
          </w:p>
        </w:tc>
        <w:tc>
          <w:tcPr>
            <w:tcW w:w="2908" w:type="dxa"/>
            <w:vMerge/>
            <w:vAlign w:val="center"/>
          </w:tcPr>
          <w:p w:rsidR="00013EC7" w:rsidRDefault="00013EC7">
            <w:pPr>
              <w:rPr>
                <w:rFonts w:ascii="仿宋" w:eastAsia="仿宋" w:hAnsi="仿宋" w:cs="仿宋"/>
                <w:kern w:val="1"/>
                <w:sz w:val="24"/>
              </w:rPr>
            </w:pPr>
          </w:p>
        </w:tc>
        <w:tc>
          <w:tcPr>
            <w:tcW w:w="868"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64"/>
          <w:jc w:val="center"/>
        </w:trPr>
        <w:tc>
          <w:tcPr>
            <w:tcW w:w="1250" w:type="dxa"/>
            <w:vMerge/>
            <w:vAlign w:val="center"/>
          </w:tcPr>
          <w:p w:rsidR="00013EC7" w:rsidRDefault="00013EC7">
            <w:pPr>
              <w:rPr>
                <w:rFonts w:ascii="仿宋" w:eastAsia="仿宋" w:hAnsi="仿宋" w:cs="仿宋"/>
                <w:kern w:val="1"/>
                <w:sz w:val="24"/>
              </w:rPr>
            </w:pPr>
          </w:p>
        </w:tc>
        <w:tc>
          <w:tcPr>
            <w:tcW w:w="1316" w:type="dxa"/>
            <w:vMerge/>
            <w:vAlign w:val="center"/>
          </w:tcPr>
          <w:p w:rsidR="00013EC7" w:rsidRDefault="00013EC7">
            <w:pPr>
              <w:rPr>
                <w:rFonts w:ascii="仿宋" w:eastAsia="仿宋" w:hAnsi="仿宋" w:cs="仿宋"/>
                <w:kern w:val="1"/>
                <w:sz w:val="24"/>
              </w:rPr>
            </w:pPr>
          </w:p>
        </w:tc>
        <w:tc>
          <w:tcPr>
            <w:tcW w:w="2122" w:type="dxa"/>
            <w:vMerge/>
            <w:vAlign w:val="center"/>
          </w:tcPr>
          <w:p w:rsidR="00013EC7" w:rsidRDefault="00013EC7">
            <w:pPr>
              <w:rPr>
                <w:rFonts w:ascii="仿宋" w:eastAsia="仿宋" w:hAnsi="仿宋" w:cs="仿宋"/>
                <w:kern w:val="1"/>
                <w:sz w:val="24"/>
              </w:rPr>
            </w:pPr>
          </w:p>
        </w:tc>
        <w:tc>
          <w:tcPr>
            <w:tcW w:w="2777" w:type="dxa"/>
            <w:vAlign w:val="center"/>
          </w:tcPr>
          <w:p w:rsidR="00013EC7" w:rsidRDefault="00575CDB">
            <w:pPr>
              <w:rPr>
                <w:rFonts w:ascii="仿宋" w:eastAsia="仿宋" w:hAnsi="仿宋" w:cs="仿宋"/>
                <w:kern w:val="1"/>
                <w:sz w:val="24"/>
              </w:rPr>
            </w:pPr>
            <w:r>
              <w:rPr>
                <w:rFonts w:ascii="仿宋" w:eastAsia="仿宋" w:hAnsi="仿宋" w:cs="仿宋"/>
                <w:kern w:val="1"/>
                <w:sz w:val="24"/>
              </w:rPr>
              <w:t>（</w:t>
            </w:r>
            <w:r>
              <w:rPr>
                <w:rFonts w:ascii="仿宋" w:eastAsia="仿宋" w:hAnsi="仿宋" w:cs="仿宋" w:hint="eastAsia"/>
                <w:kern w:val="1"/>
                <w:sz w:val="24"/>
              </w:rPr>
              <w:t>二十一</w:t>
            </w:r>
            <w:r>
              <w:rPr>
                <w:rFonts w:ascii="仿宋" w:eastAsia="仿宋" w:hAnsi="仿宋" w:cs="仿宋"/>
                <w:kern w:val="1"/>
                <w:sz w:val="24"/>
              </w:rPr>
              <w:t>）</w:t>
            </w:r>
            <w:r>
              <w:rPr>
                <w:rFonts w:ascii="仿宋" w:eastAsia="仿宋" w:hAnsi="仿宋" w:cs="仿宋" w:hint="eastAsia"/>
                <w:kern w:val="1"/>
                <w:sz w:val="24"/>
              </w:rPr>
              <w:t>中标人按照标书规定及供货合同向用户发货的发货单</w:t>
            </w:r>
            <w:r>
              <w:rPr>
                <w:rFonts w:ascii="仿宋" w:eastAsia="仿宋" w:hAnsi="仿宋" w:cs="仿宋"/>
                <w:kern w:val="1"/>
                <w:sz w:val="24"/>
              </w:rPr>
              <w:t>。</w:t>
            </w:r>
          </w:p>
        </w:tc>
        <w:tc>
          <w:tcPr>
            <w:tcW w:w="1118" w:type="dxa"/>
            <w:vMerge/>
            <w:vAlign w:val="center"/>
          </w:tcPr>
          <w:p w:rsidR="00013EC7" w:rsidRDefault="00013EC7">
            <w:pPr>
              <w:rPr>
                <w:rFonts w:ascii="仿宋" w:eastAsia="仿宋" w:hAnsi="仿宋" w:cs="仿宋"/>
                <w:kern w:val="1"/>
                <w:sz w:val="24"/>
              </w:rPr>
            </w:pPr>
          </w:p>
        </w:tc>
        <w:tc>
          <w:tcPr>
            <w:tcW w:w="2403" w:type="dxa"/>
            <w:vAlign w:val="center"/>
          </w:tcPr>
          <w:p w:rsidR="00013EC7" w:rsidRDefault="00575CDB">
            <w:pPr>
              <w:rPr>
                <w:rFonts w:ascii="仿宋" w:eastAsia="仿宋" w:hAnsi="仿宋" w:cs="仿宋"/>
                <w:kern w:val="1"/>
                <w:sz w:val="24"/>
              </w:rPr>
            </w:pPr>
            <w:r>
              <w:rPr>
                <w:rFonts w:ascii="仿宋" w:eastAsia="仿宋" w:hAnsi="仿宋" w:cs="仿宋"/>
                <w:kern w:val="1"/>
                <w:sz w:val="24"/>
              </w:rPr>
              <w:t>（</w:t>
            </w:r>
            <w:r>
              <w:rPr>
                <w:rFonts w:ascii="仿宋" w:eastAsia="仿宋" w:hAnsi="仿宋" w:cs="仿宋" w:hint="eastAsia"/>
                <w:kern w:val="1"/>
                <w:sz w:val="24"/>
              </w:rPr>
              <w:t>二十一</w:t>
            </w:r>
            <w:r>
              <w:rPr>
                <w:rFonts w:ascii="仿宋" w:eastAsia="仿宋" w:hAnsi="仿宋" w:cs="仿宋"/>
                <w:kern w:val="1"/>
                <w:sz w:val="24"/>
              </w:rPr>
              <w:t>）</w:t>
            </w:r>
            <w:r>
              <w:rPr>
                <w:rFonts w:ascii="仿宋" w:eastAsia="仿宋" w:hAnsi="仿宋" w:cs="仿宋" w:hint="eastAsia"/>
                <w:kern w:val="1"/>
                <w:sz w:val="24"/>
              </w:rPr>
              <w:t>中标人按照标书规定及供货合同向用户发货的发货单</w:t>
            </w:r>
            <w:r>
              <w:rPr>
                <w:rFonts w:ascii="仿宋" w:eastAsia="仿宋" w:hAnsi="仿宋" w:cs="仿宋"/>
                <w:kern w:val="1"/>
                <w:sz w:val="24"/>
              </w:rPr>
              <w:t>。</w:t>
            </w:r>
          </w:p>
        </w:tc>
        <w:tc>
          <w:tcPr>
            <w:tcW w:w="1606" w:type="dxa"/>
            <w:vMerge/>
            <w:vAlign w:val="center"/>
          </w:tcPr>
          <w:p w:rsidR="00013EC7" w:rsidRDefault="00013EC7">
            <w:pPr>
              <w:rPr>
                <w:rFonts w:ascii="仿宋" w:eastAsia="仿宋" w:hAnsi="仿宋" w:cs="仿宋"/>
                <w:kern w:val="1"/>
                <w:sz w:val="24"/>
              </w:rPr>
            </w:pPr>
          </w:p>
        </w:tc>
        <w:tc>
          <w:tcPr>
            <w:tcW w:w="2908" w:type="dxa"/>
            <w:vMerge/>
            <w:vAlign w:val="center"/>
          </w:tcPr>
          <w:p w:rsidR="00013EC7" w:rsidRDefault="00013EC7">
            <w:pPr>
              <w:rPr>
                <w:rFonts w:ascii="仿宋" w:eastAsia="仿宋" w:hAnsi="仿宋" w:cs="仿宋"/>
                <w:kern w:val="1"/>
                <w:sz w:val="24"/>
              </w:rPr>
            </w:pPr>
          </w:p>
        </w:tc>
        <w:tc>
          <w:tcPr>
            <w:tcW w:w="868"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64"/>
          <w:jc w:val="center"/>
        </w:trPr>
        <w:tc>
          <w:tcPr>
            <w:tcW w:w="1250" w:type="dxa"/>
            <w:vMerge/>
            <w:vAlign w:val="center"/>
          </w:tcPr>
          <w:p w:rsidR="00013EC7" w:rsidRDefault="00013EC7">
            <w:pPr>
              <w:rPr>
                <w:rFonts w:ascii="仿宋" w:eastAsia="仿宋" w:hAnsi="仿宋" w:cs="仿宋"/>
                <w:kern w:val="1"/>
                <w:sz w:val="24"/>
              </w:rPr>
            </w:pPr>
          </w:p>
        </w:tc>
        <w:tc>
          <w:tcPr>
            <w:tcW w:w="1316" w:type="dxa"/>
            <w:vMerge/>
            <w:vAlign w:val="center"/>
          </w:tcPr>
          <w:p w:rsidR="00013EC7" w:rsidRDefault="00013EC7">
            <w:pPr>
              <w:rPr>
                <w:rFonts w:ascii="仿宋" w:eastAsia="仿宋" w:hAnsi="仿宋" w:cs="仿宋"/>
                <w:kern w:val="1"/>
                <w:sz w:val="24"/>
              </w:rPr>
            </w:pPr>
          </w:p>
        </w:tc>
        <w:tc>
          <w:tcPr>
            <w:tcW w:w="2122" w:type="dxa"/>
            <w:vMerge/>
            <w:vAlign w:val="center"/>
          </w:tcPr>
          <w:p w:rsidR="00013EC7" w:rsidRDefault="00013EC7">
            <w:pPr>
              <w:rPr>
                <w:rFonts w:ascii="仿宋" w:eastAsia="仿宋" w:hAnsi="仿宋" w:cs="仿宋"/>
                <w:kern w:val="1"/>
                <w:sz w:val="24"/>
              </w:rPr>
            </w:pPr>
          </w:p>
        </w:tc>
        <w:tc>
          <w:tcPr>
            <w:tcW w:w="2777" w:type="dxa"/>
            <w:vAlign w:val="center"/>
          </w:tcPr>
          <w:p w:rsidR="00013EC7" w:rsidRDefault="00575CDB">
            <w:pPr>
              <w:rPr>
                <w:rFonts w:ascii="仿宋" w:eastAsia="仿宋" w:hAnsi="仿宋" w:cs="仿宋"/>
                <w:kern w:val="1"/>
                <w:sz w:val="24"/>
              </w:rPr>
            </w:pPr>
            <w:r>
              <w:rPr>
                <w:rFonts w:ascii="仿宋" w:eastAsia="仿宋" w:hAnsi="仿宋" w:cs="仿宋"/>
                <w:kern w:val="1"/>
                <w:sz w:val="24"/>
              </w:rPr>
              <w:t>（</w:t>
            </w:r>
            <w:r>
              <w:rPr>
                <w:rFonts w:ascii="仿宋" w:eastAsia="仿宋" w:hAnsi="仿宋" w:cs="仿宋" w:hint="eastAsia"/>
                <w:kern w:val="1"/>
                <w:sz w:val="24"/>
              </w:rPr>
              <w:t>二十二</w:t>
            </w:r>
            <w:r>
              <w:rPr>
                <w:rFonts w:ascii="仿宋" w:eastAsia="仿宋" w:hAnsi="仿宋" w:cs="仿宋"/>
                <w:kern w:val="1"/>
                <w:sz w:val="24"/>
              </w:rPr>
              <w:t>）</w:t>
            </w:r>
            <w:r>
              <w:rPr>
                <w:rFonts w:ascii="仿宋" w:eastAsia="仿宋" w:hAnsi="仿宋" w:cs="仿宋" w:hint="eastAsia"/>
                <w:kern w:val="1"/>
                <w:sz w:val="24"/>
              </w:rPr>
              <w:t>中标机电产品用户收货清单</w:t>
            </w:r>
            <w:r>
              <w:rPr>
                <w:rFonts w:ascii="仿宋" w:eastAsia="仿宋" w:hAnsi="仿宋" w:cs="仿宋"/>
                <w:kern w:val="1"/>
                <w:sz w:val="24"/>
              </w:rPr>
              <w:t>。</w:t>
            </w:r>
          </w:p>
        </w:tc>
        <w:tc>
          <w:tcPr>
            <w:tcW w:w="1118" w:type="dxa"/>
            <w:vMerge/>
            <w:vAlign w:val="center"/>
          </w:tcPr>
          <w:p w:rsidR="00013EC7" w:rsidRDefault="00013EC7">
            <w:pPr>
              <w:rPr>
                <w:rFonts w:ascii="仿宋" w:eastAsia="仿宋" w:hAnsi="仿宋" w:cs="仿宋"/>
                <w:kern w:val="1"/>
                <w:sz w:val="24"/>
              </w:rPr>
            </w:pPr>
          </w:p>
        </w:tc>
        <w:tc>
          <w:tcPr>
            <w:tcW w:w="2403" w:type="dxa"/>
            <w:vAlign w:val="center"/>
          </w:tcPr>
          <w:p w:rsidR="00013EC7" w:rsidRDefault="00575CDB">
            <w:pPr>
              <w:rPr>
                <w:rFonts w:ascii="仿宋" w:eastAsia="仿宋" w:hAnsi="仿宋" w:cs="仿宋"/>
                <w:kern w:val="1"/>
                <w:sz w:val="24"/>
              </w:rPr>
            </w:pPr>
            <w:r>
              <w:rPr>
                <w:rFonts w:ascii="仿宋" w:eastAsia="仿宋" w:hAnsi="仿宋" w:cs="仿宋"/>
                <w:kern w:val="1"/>
                <w:sz w:val="24"/>
              </w:rPr>
              <w:t>（</w:t>
            </w:r>
            <w:r>
              <w:rPr>
                <w:rFonts w:ascii="仿宋" w:eastAsia="仿宋" w:hAnsi="仿宋" w:cs="仿宋" w:hint="eastAsia"/>
                <w:kern w:val="1"/>
                <w:sz w:val="24"/>
              </w:rPr>
              <w:t>二十二</w:t>
            </w:r>
            <w:r>
              <w:rPr>
                <w:rFonts w:ascii="仿宋" w:eastAsia="仿宋" w:hAnsi="仿宋" w:cs="仿宋"/>
                <w:kern w:val="1"/>
                <w:sz w:val="24"/>
              </w:rPr>
              <w:t>）</w:t>
            </w:r>
            <w:r>
              <w:rPr>
                <w:rFonts w:ascii="仿宋" w:eastAsia="仿宋" w:hAnsi="仿宋" w:cs="仿宋" w:hint="eastAsia"/>
                <w:kern w:val="1"/>
                <w:sz w:val="24"/>
              </w:rPr>
              <w:t>中标机电产品用户收货清单</w:t>
            </w:r>
            <w:r>
              <w:rPr>
                <w:rFonts w:ascii="仿宋" w:eastAsia="仿宋" w:hAnsi="仿宋" w:cs="仿宋"/>
                <w:kern w:val="1"/>
                <w:sz w:val="24"/>
              </w:rPr>
              <w:t>。</w:t>
            </w:r>
          </w:p>
        </w:tc>
        <w:tc>
          <w:tcPr>
            <w:tcW w:w="1606" w:type="dxa"/>
            <w:vMerge/>
            <w:vAlign w:val="center"/>
          </w:tcPr>
          <w:p w:rsidR="00013EC7" w:rsidRDefault="00013EC7">
            <w:pPr>
              <w:rPr>
                <w:rFonts w:ascii="仿宋" w:eastAsia="仿宋" w:hAnsi="仿宋" w:cs="仿宋"/>
                <w:kern w:val="1"/>
                <w:sz w:val="24"/>
              </w:rPr>
            </w:pPr>
          </w:p>
        </w:tc>
        <w:tc>
          <w:tcPr>
            <w:tcW w:w="2908" w:type="dxa"/>
            <w:vMerge/>
            <w:vAlign w:val="center"/>
          </w:tcPr>
          <w:p w:rsidR="00013EC7" w:rsidRDefault="00013EC7">
            <w:pPr>
              <w:rPr>
                <w:rFonts w:ascii="仿宋" w:eastAsia="仿宋" w:hAnsi="仿宋" w:cs="仿宋"/>
                <w:kern w:val="1"/>
                <w:sz w:val="24"/>
              </w:rPr>
            </w:pPr>
          </w:p>
        </w:tc>
        <w:tc>
          <w:tcPr>
            <w:tcW w:w="868"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64"/>
          <w:jc w:val="center"/>
        </w:trPr>
        <w:tc>
          <w:tcPr>
            <w:tcW w:w="1250" w:type="dxa"/>
            <w:vMerge/>
            <w:vAlign w:val="center"/>
          </w:tcPr>
          <w:p w:rsidR="00013EC7" w:rsidRDefault="00013EC7">
            <w:pPr>
              <w:rPr>
                <w:rFonts w:ascii="仿宋" w:eastAsia="仿宋" w:hAnsi="仿宋" w:cs="仿宋"/>
                <w:kern w:val="1"/>
                <w:sz w:val="24"/>
              </w:rPr>
            </w:pPr>
          </w:p>
        </w:tc>
        <w:tc>
          <w:tcPr>
            <w:tcW w:w="1316" w:type="dxa"/>
            <w:vMerge/>
            <w:vAlign w:val="center"/>
          </w:tcPr>
          <w:p w:rsidR="00013EC7" w:rsidRDefault="00013EC7">
            <w:pPr>
              <w:rPr>
                <w:rFonts w:ascii="仿宋" w:eastAsia="仿宋" w:hAnsi="仿宋" w:cs="仿宋"/>
                <w:kern w:val="1"/>
                <w:sz w:val="24"/>
              </w:rPr>
            </w:pPr>
          </w:p>
        </w:tc>
        <w:tc>
          <w:tcPr>
            <w:tcW w:w="2122" w:type="dxa"/>
            <w:vMerge/>
            <w:vAlign w:val="center"/>
          </w:tcPr>
          <w:p w:rsidR="00013EC7" w:rsidRDefault="00013EC7">
            <w:pPr>
              <w:rPr>
                <w:rFonts w:ascii="仿宋" w:eastAsia="仿宋" w:hAnsi="仿宋" w:cs="仿宋"/>
                <w:kern w:val="1"/>
                <w:sz w:val="24"/>
              </w:rPr>
            </w:pPr>
          </w:p>
        </w:tc>
        <w:tc>
          <w:tcPr>
            <w:tcW w:w="2777" w:type="dxa"/>
            <w:vAlign w:val="center"/>
          </w:tcPr>
          <w:p w:rsidR="00013EC7" w:rsidRDefault="00575CDB">
            <w:pPr>
              <w:rPr>
                <w:rFonts w:ascii="仿宋" w:eastAsia="仿宋" w:hAnsi="仿宋" w:cs="仿宋"/>
                <w:kern w:val="1"/>
                <w:sz w:val="24"/>
              </w:rPr>
            </w:pPr>
            <w:r>
              <w:rPr>
                <w:rFonts w:ascii="仿宋" w:eastAsia="仿宋" w:hAnsi="仿宋" w:cs="仿宋"/>
                <w:kern w:val="1"/>
                <w:sz w:val="24"/>
              </w:rPr>
              <w:t>（</w:t>
            </w:r>
            <w:r>
              <w:rPr>
                <w:rFonts w:ascii="仿宋" w:eastAsia="仿宋" w:hAnsi="仿宋" w:cs="仿宋" w:hint="eastAsia"/>
                <w:kern w:val="1"/>
                <w:sz w:val="24"/>
              </w:rPr>
              <w:t>二十三</w:t>
            </w:r>
            <w:r>
              <w:rPr>
                <w:rFonts w:ascii="仿宋" w:eastAsia="仿宋" w:hAnsi="仿宋" w:cs="仿宋"/>
                <w:kern w:val="1"/>
                <w:sz w:val="24"/>
              </w:rPr>
              <w:t>）</w:t>
            </w:r>
            <w:r>
              <w:rPr>
                <w:rFonts w:ascii="仿宋" w:eastAsia="仿宋" w:hAnsi="仿宋" w:cs="仿宋" w:hint="eastAsia"/>
                <w:kern w:val="1"/>
                <w:sz w:val="24"/>
              </w:rPr>
              <w:t>外国企业中标再分包给国内企业供应的机电产品，还应提供与中标企业签署的分包合同（协议）原件及复印件（注明与原件一致，并加盖公章）。</w:t>
            </w:r>
          </w:p>
        </w:tc>
        <w:tc>
          <w:tcPr>
            <w:tcW w:w="1118" w:type="dxa"/>
            <w:vMerge/>
            <w:vAlign w:val="center"/>
          </w:tcPr>
          <w:p w:rsidR="00013EC7" w:rsidRDefault="00013EC7">
            <w:pPr>
              <w:rPr>
                <w:rFonts w:ascii="仿宋" w:eastAsia="仿宋" w:hAnsi="仿宋" w:cs="仿宋"/>
                <w:kern w:val="1"/>
                <w:sz w:val="24"/>
              </w:rPr>
            </w:pPr>
          </w:p>
        </w:tc>
        <w:tc>
          <w:tcPr>
            <w:tcW w:w="2403" w:type="dxa"/>
            <w:vAlign w:val="center"/>
          </w:tcPr>
          <w:p w:rsidR="00013EC7" w:rsidRDefault="00575CDB">
            <w:pPr>
              <w:rPr>
                <w:rFonts w:ascii="仿宋" w:eastAsia="仿宋" w:hAnsi="仿宋" w:cs="仿宋"/>
                <w:kern w:val="1"/>
                <w:sz w:val="24"/>
              </w:rPr>
            </w:pPr>
            <w:r>
              <w:rPr>
                <w:rFonts w:ascii="仿宋" w:eastAsia="仿宋" w:hAnsi="仿宋" w:cs="仿宋"/>
                <w:kern w:val="1"/>
                <w:sz w:val="24"/>
              </w:rPr>
              <w:t>（</w:t>
            </w:r>
            <w:r>
              <w:rPr>
                <w:rFonts w:ascii="仿宋" w:eastAsia="仿宋" w:hAnsi="仿宋" w:cs="仿宋" w:hint="eastAsia"/>
                <w:kern w:val="1"/>
                <w:sz w:val="24"/>
              </w:rPr>
              <w:t>二十三</w:t>
            </w:r>
            <w:r>
              <w:rPr>
                <w:rFonts w:ascii="仿宋" w:eastAsia="仿宋" w:hAnsi="仿宋" w:cs="仿宋"/>
                <w:kern w:val="1"/>
                <w:sz w:val="24"/>
              </w:rPr>
              <w:t>）</w:t>
            </w:r>
            <w:r>
              <w:rPr>
                <w:rFonts w:ascii="仿宋" w:eastAsia="仿宋" w:hAnsi="仿宋" w:cs="仿宋" w:hint="eastAsia"/>
                <w:kern w:val="1"/>
                <w:sz w:val="24"/>
              </w:rPr>
              <w:t>外国企业中标再分包给国内企业供应的机电产品，还应提供与中标企业签署的分包合同（协议）原件及复印件（注明与原件一致，并加盖公章）。</w:t>
            </w:r>
          </w:p>
        </w:tc>
        <w:tc>
          <w:tcPr>
            <w:tcW w:w="1606" w:type="dxa"/>
            <w:vMerge/>
            <w:vAlign w:val="center"/>
          </w:tcPr>
          <w:p w:rsidR="00013EC7" w:rsidRDefault="00013EC7">
            <w:pPr>
              <w:rPr>
                <w:rFonts w:ascii="仿宋" w:eastAsia="仿宋" w:hAnsi="仿宋" w:cs="仿宋"/>
                <w:kern w:val="1"/>
                <w:sz w:val="24"/>
              </w:rPr>
            </w:pPr>
          </w:p>
        </w:tc>
        <w:tc>
          <w:tcPr>
            <w:tcW w:w="2908" w:type="dxa"/>
            <w:vMerge/>
            <w:vAlign w:val="center"/>
          </w:tcPr>
          <w:p w:rsidR="00013EC7" w:rsidRDefault="00013EC7">
            <w:pPr>
              <w:rPr>
                <w:rFonts w:ascii="仿宋" w:eastAsia="仿宋" w:hAnsi="仿宋" w:cs="仿宋"/>
                <w:kern w:val="1"/>
                <w:sz w:val="24"/>
              </w:rPr>
            </w:pPr>
          </w:p>
        </w:tc>
        <w:tc>
          <w:tcPr>
            <w:tcW w:w="868"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1294"/>
          <w:jc w:val="center"/>
        </w:trPr>
        <w:tc>
          <w:tcPr>
            <w:tcW w:w="1250" w:type="dxa"/>
            <w:vMerge/>
            <w:vAlign w:val="center"/>
          </w:tcPr>
          <w:p w:rsidR="00013EC7" w:rsidRDefault="00013EC7">
            <w:pPr>
              <w:rPr>
                <w:rFonts w:ascii="仿宋" w:eastAsia="仿宋" w:hAnsi="仿宋" w:cs="仿宋"/>
                <w:sz w:val="24"/>
              </w:rPr>
            </w:pPr>
          </w:p>
        </w:tc>
        <w:tc>
          <w:tcPr>
            <w:tcW w:w="1316" w:type="dxa"/>
            <w:vMerge/>
            <w:vAlign w:val="center"/>
          </w:tcPr>
          <w:p w:rsidR="00013EC7" w:rsidRDefault="00013EC7">
            <w:pPr>
              <w:rPr>
                <w:rFonts w:ascii="仿宋" w:eastAsia="仿宋" w:hAnsi="仿宋" w:cs="仿宋"/>
                <w:sz w:val="24"/>
              </w:rPr>
            </w:pPr>
          </w:p>
        </w:tc>
        <w:tc>
          <w:tcPr>
            <w:tcW w:w="2122" w:type="dxa"/>
            <w:vMerge/>
            <w:vAlign w:val="center"/>
          </w:tcPr>
          <w:p w:rsidR="00013EC7" w:rsidRDefault="00013EC7">
            <w:pPr>
              <w:rPr>
                <w:rFonts w:ascii="仿宋" w:eastAsia="仿宋" w:hAnsi="仿宋" w:cs="仿宋"/>
                <w:sz w:val="24"/>
              </w:rPr>
            </w:pPr>
          </w:p>
        </w:tc>
        <w:tc>
          <w:tcPr>
            <w:tcW w:w="2777" w:type="dxa"/>
            <w:vAlign w:val="center"/>
          </w:tcPr>
          <w:p w:rsidR="00013EC7" w:rsidRDefault="00575CDB">
            <w:pPr>
              <w:rPr>
                <w:rFonts w:ascii="仿宋" w:eastAsia="仿宋" w:hAnsi="仿宋" w:cs="仿宋"/>
                <w:kern w:val="1"/>
                <w:sz w:val="24"/>
              </w:rPr>
            </w:pPr>
            <w:r>
              <w:rPr>
                <w:rFonts w:ascii="仿宋" w:eastAsia="仿宋" w:hAnsi="仿宋" w:cs="仿宋"/>
                <w:kern w:val="1"/>
                <w:sz w:val="24"/>
              </w:rPr>
              <w:t>（</w:t>
            </w:r>
            <w:r>
              <w:rPr>
                <w:rFonts w:ascii="仿宋" w:eastAsia="仿宋" w:hAnsi="仿宋" w:cs="仿宋" w:hint="eastAsia"/>
                <w:kern w:val="1"/>
                <w:sz w:val="24"/>
              </w:rPr>
              <w:t>二十四</w:t>
            </w:r>
            <w:r>
              <w:rPr>
                <w:rFonts w:ascii="仿宋" w:eastAsia="仿宋" w:hAnsi="仿宋" w:cs="仿宋"/>
                <w:kern w:val="1"/>
                <w:sz w:val="24"/>
              </w:rPr>
              <w:t>）</w:t>
            </w:r>
            <w:r>
              <w:rPr>
                <w:rFonts w:ascii="仿宋" w:eastAsia="仿宋" w:hAnsi="仿宋" w:cs="仿宋" w:hint="eastAsia"/>
                <w:kern w:val="1"/>
                <w:sz w:val="24"/>
              </w:rPr>
              <w:t>列明销售货物名称、计量单位、数量、销售金额并经外轮、远洋国轮船长签名的出口发票</w:t>
            </w:r>
            <w:r>
              <w:rPr>
                <w:rFonts w:ascii="仿宋" w:eastAsia="仿宋" w:hAnsi="仿宋" w:cs="仿宋"/>
                <w:kern w:val="1"/>
                <w:sz w:val="24"/>
              </w:rPr>
              <w:t>。</w:t>
            </w:r>
          </w:p>
        </w:tc>
        <w:tc>
          <w:tcPr>
            <w:tcW w:w="1118" w:type="dxa"/>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kern w:val="1"/>
                <w:sz w:val="24"/>
              </w:rPr>
              <w:t>销售给外轮、远洋国轮的货物，不需要提供出口报关单的纳税人提交</w:t>
            </w:r>
          </w:p>
        </w:tc>
        <w:tc>
          <w:tcPr>
            <w:tcW w:w="2403" w:type="dxa"/>
            <w:vAlign w:val="center"/>
          </w:tcPr>
          <w:p w:rsidR="00013EC7" w:rsidRDefault="00575CDB">
            <w:pPr>
              <w:rPr>
                <w:rFonts w:ascii="仿宋" w:eastAsia="仿宋" w:hAnsi="仿宋" w:cs="仿宋"/>
                <w:kern w:val="1"/>
                <w:sz w:val="24"/>
              </w:rPr>
            </w:pPr>
            <w:r>
              <w:rPr>
                <w:rFonts w:ascii="仿宋" w:eastAsia="仿宋" w:hAnsi="仿宋" w:cs="仿宋"/>
                <w:kern w:val="1"/>
                <w:sz w:val="24"/>
              </w:rPr>
              <w:t>（</w:t>
            </w:r>
            <w:r>
              <w:rPr>
                <w:rFonts w:ascii="仿宋" w:eastAsia="仿宋" w:hAnsi="仿宋" w:cs="仿宋" w:hint="eastAsia"/>
                <w:kern w:val="1"/>
                <w:sz w:val="24"/>
              </w:rPr>
              <w:t>二十四</w:t>
            </w:r>
            <w:r>
              <w:rPr>
                <w:rFonts w:ascii="仿宋" w:eastAsia="仿宋" w:hAnsi="仿宋" w:cs="仿宋"/>
                <w:kern w:val="1"/>
                <w:sz w:val="24"/>
              </w:rPr>
              <w:t>）</w:t>
            </w:r>
            <w:r>
              <w:rPr>
                <w:rFonts w:ascii="仿宋" w:eastAsia="仿宋" w:hAnsi="仿宋" w:cs="仿宋" w:hint="eastAsia"/>
                <w:kern w:val="1"/>
                <w:sz w:val="24"/>
              </w:rPr>
              <w:t>列明销售货物名称、计量单位、数量、销售金额并经外轮、远洋国轮船长签名的出口发票</w:t>
            </w:r>
            <w:r>
              <w:rPr>
                <w:rFonts w:ascii="仿宋" w:eastAsia="仿宋" w:hAnsi="仿宋" w:cs="仿宋"/>
                <w:kern w:val="1"/>
                <w:sz w:val="24"/>
              </w:rPr>
              <w:t>。</w:t>
            </w:r>
          </w:p>
        </w:tc>
        <w:tc>
          <w:tcPr>
            <w:tcW w:w="1606" w:type="dxa"/>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kern w:val="1"/>
                <w:sz w:val="24"/>
              </w:rPr>
              <w:t>销售给外轮、远洋国轮的货物，不需要提供出口报关单的纳税人提交</w:t>
            </w:r>
          </w:p>
        </w:tc>
        <w:tc>
          <w:tcPr>
            <w:tcW w:w="2908"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纳税人提交书面材料（无纸化企业留存备查）。</w:t>
            </w:r>
          </w:p>
        </w:tc>
        <w:tc>
          <w:tcPr>
            <w:tcW w:w="868" w:type="dxa"/>
            <w:vMerge/>
            <w:vAlign w:val="center"/>
          </w:tcPr>
          <w:p w:rsidR="00013EC7" w:rsidRDefault="00013EC7">
            <w:pPr>
              <w:rPr>
                <w:rFonts w:ascii="仿宋" w:eastAsia="仿宋" w:hAnsi="仿宋" w:cs="仿宋"/>
                <w:sz w:val="24"/>
              </w:rPr>
            </w:pPr>
          </w:p>
        </w:tc>
        <w:tc>
          <w:tcPr>
            <w:tcW w:w="798" w:type="dxa"/>
            <w:vMerge/>
            <w:vAlign w:val="center"/>
          </w:tcPr>
          <w:p w:rsidR="00013EC7" w:rsidRDefault="00013EC7">
            <w:pPr>
              <w:rPr>
                <w:rFonts w:ascii="仿宋" w:eastAsia="仿宋" w:hAnsi="仿宋" w:cs="仿宋"/>
                <w:sz w:val="24"/>
              </w:rPr>
            </w:pP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128"/>
          <w:jc w:val="center"/>
        </w:trPr>
        <w:tc>
          <w:tcPr>
            <w:tcW w:w="1250" w:type="dxa"/>
            <w:vMerge/>
            <w:vAlign w:val="center"/>
          </w:tcPr>
          <w:p w:rsidR="00013EC7" w:rsidRDefault="00013EC7">
            <w:pPr>
              <w:rPr>
                <w:rFonts w:ascii="仿宋" w:eastAsia="仿宋" w:hAnsi="仿宋" w:cs="仿宋"/>
                <w:sz w:val="24"/>
              </w:rPr>
            </w:pPr>
          </w:p>
        </w:tc>
        <w:tc>
          <w:tcPr>
            <w:tcW w:w="1316" w:type="dxa"/>
            <w:vMerge/>
            <w:vAlign w:val="center"/>
          </w:tcPr>
          <w:p w:rsidR="00013EC7" w:rsidRDefault="00013EC7">
            <w:pPr>
              <w:rPr>
                <w:rFonts w:ascii="仿宋" w:eastAsia="仿宋" w:hAnsi="仿宋" w:cs="仿宋"/>
                <w:sz w:val="24"/>
              </w:rPr>
            </w:pPr>
          </w:p>
        </w:tc>
        <w:tc>
          <w:tcPr>
            <w:tcW w:w="2122" w:type="dxa"/>
            <w:vMerge/>
            <w:vAlign w:val="center"/>
          </w:tcPr>
          <w:p w:rsidR="00013EC7" w:rsidRDefault="00013EC7">
            <w:pPr>
              <w:rPr>
                <w:rFonts w:ascii="仿宋" w:eastAsia="仿宋" w:hAnsi="仿宋" w:cs="仿宋"/>
                <w:sz w:val="24"/>
              </w:rPr>
            </w:pPr>
          </w:p>
        </w:tc>
        <w:tc>
          <w:tcPr>
            <w:tcW w:w="2777" w:type="dxa"/>
            <w:vAlign w:val="center"/>
          </w:tcPr>
          <w:p w:rsidR="00013EC7" w:rsidRDefault="00575CDB">
            <w:pPr>
              <w:rPr>
                <w:rFonts w:ascii="仿宋" w:eastAsia="仿宋" w:hAnsi="仿宋" w:cs="仿宋"/>
                <w:kern w:val="1"/>
                <w:sz w:val="24"/>
              </w:rPr>
            </w:pPr>
            <w:r>
              <w:rPr>
                <w:rFonts w:ascii="仿宋" w:eastAsia="仿宋" w:hAnsi="仿宋" w:cs="仿宋"/>
                <w:kern w:val="1"/>
                <w:sz w:val="24"/>
              </w:rPr>
              <w:t>（</w:t>
            </w:r>
            <w:r>
              <w:rPr>
                <w:rFonts w:ascii="仿宋" w:eastAsia="仿宋" w:hAnsi="仿宋" w:cs="仿宋" w:hint="eastAsia"/>
                <w:kern w:val="1"/>
                <w:sz w:val="24"/>
              </w:rPr>
              <w:t>二十五</w:t>
            </w:r>
            <w:r>
              <w:rPr>
                <w:rFonts w:ascii="仿宋" w:eastAsia="仿宋" w:hAnsi="仿宋" w:cs="仿宋"/>
                <w:kern w:val="1"/>
                <w:sz w:val="24"/>
              </w:rPr>
              <w:t>）</w:t>
            </w:r>
            <w:r>
              <w:rPr>
                <w:rFonts w:ascii="仿宋" w:eastAsia="仿宋" w:hAnsi="仿宋" w:cs="仿宋" w:hint="eastAsia"/>
                <w:kern w:val="1"/>
                <w:sz w:val="24"/>
              </w:rPr>
              <w:t>（A06314）《出口已使用过的设备退税申报表》</w:t>
            </w:r>
            <w:r>
              <w:rPr>
                <w:rFonts w:ascii="仿宋" w:eastAsia="仿宋" w:hAnsi="仿宋" w:cs="仿宋"/>
                <w:kern w:val="1"/>
                <w:sz w:val="24"/>
              </w:rPr>
              <w:t>。</w:t>
            </w:r>
          </w:p>
        </w:tc>
        <w:tc>
          <w:tcPr>
            <w:tcW w:w="1118" w:type="dxa"/>
            <w:vMerge w:val="restart"/>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出口已使用过的设备的纳税人提交</w:t>
            </w:r>
          </w:p>
        </w:tc>
        <w:tc>
          <w:tcPr>
            <w:tcW w:w="2403" w:type="dxa"/>
            <w:vMerge w:val="restart"/>
            <w:vAlign w:val="center"/>
          </w:tcPr>
          <w:p w:rsidR="00013EC7" w:rsidRDefault="00575CDB">
            <w:pPr>
              <w:rPr>
                <w:rFonts w:ascii="仿宋" w:eastAsia="仿宋" w:hAnsi="仿宋" w:cs="仿宋"/>
                <w:kern w:val="1"/>
                <w:sz w:val="24"/>
              </w:rPr>
            </w:pPr>
            <w:r>
              <w:rPr>
                <w:rFonts w:ascii="仿宋" w:eastAsia="仿宋" w:hAnsi="仿宋" w:cs="仿宋"/>
                <w:kern w:val="1"/>
                <w:sz w:val="24"/>
              </w:rPr>
              <w:t>（</w:t>
            </w:r>
            <w:r>
              <w:rPr>
                <w:rFonts w:ascii="仿宋" w:eastAsia="仿宋" w:hAnsi="仿宋" w:cs="仿宋" w:hint="eastAsia"/>
                <w:kern w:val="1"/>
                <w:sz w:val="24"/>
              </w:rPr>
              <w:t>二十五</w:t>
            </w:r>
            <w:r>
              <w:rPr>
                <w:rFonts w:ascii="仿宋" w:eastAsia="仿宋" w:hAnsi="仿宋" w:cs="仿宋"/>
                <w:kern w:val="1"/>
                <w:sz w:val="24"/>
              </w:rPr>
              <w:t>）</w:t>
            </w:r>
            <w:r>
              <w:rPr>
                <w:rFonts w:ascii="仿宋" w:eastAsia="仿宋" w:hAnsi="仿宋" w:cs="仿宋" w:hint="eastAsia"/>
                <w:kern w:val="1"/>
                <w:sz w:val="24"/>
              </w:rPr>
              <w:t>（A06314）《出口已使用过的设备退税申报表》1份</w:t>
            </w:r>
            <w:r>
              <w:rPr>
                <w:rFonts w:ascii="仿宋" w:eastAsia="仿宋" w:hAnsi="仿宋" w:cs="仿宋" w:hint="eastAsia"/>
                <w:kern w:val="1"/>
                <w:sz w:val="24"/>
                <w:shd w:val="pct10" w:color="auto" w:fill="FFFFFF"/>
              </w:rPr>
              <w:t>及其电子数据</w:t>
            </w:r>
            <w:r>
              <w:rPr>
                <w:rFonts w:ascii="仿宋" w:eastAsia="仿宋" w:hAnsi="仿宋" w:cs="仿宋"/>
                <w:kern w:val="1"/>
                <w:sz w:val="24"/>
                <w:shd w:val="pct10" w:color="auto" w:fill="FFFFFF"/>
              </w:rPr>
              <w:t>。</w:t>
            </w:r>
          </w:p>
        </w:tc>
        <w:tc>
          <w:tcPr>
            <w:tcW w:w="1606" w:type="dxa"/>
            <w:vMerge w:val="restart"/>
            <w:vAlign w:val="center"/>
          </w:tcPr>
          <w:p w:rsidR="00013EC7" w:rsidRDefault="00575CDB">
            <w:pPr>
              <w:spacing w:line="300" w:lineRule="exact"/>
              <w:jc w:val="left"/>
              <w:rPr>
                <w:rFonts w:ascii="仿宋" w:eastAsia="仿宋" w:hAnsi="仿宋" w:cs="仿宋"/>
                <w:sz w:val="24"/>
                <w:highlight w:val="yellow"/>
              </w:rPr>
            </w:pPr>
            <w:r>
              <w:rPr>
                <w:rFonts w:ascii="仿宋" w:eastAsia="仿宋" w:hAnsi="仿宋" w:cs="仿宋" w:hint="eastAsia"/>
                <w:kern w:val="1"/>
                <w:sz w:val="24"/>
              </w:rPr>
              <w:t>出口已使用过的设备的纳税人提交</w:t>
            </w:r>
          </w:p>
        </w:tc>
        <w:tc>
          <w:tcPr>
            <w:tcW w:w="2908" w:type="dxa"/>
            <w:vMerge w:val="restart"/>
            <w:vAlign w:val="center"/>
          </w:tcPr>
          <w:p w:rsidR="00013EC7" w:rsidRDefault="00575CDB">
            <w:pPr>
              <w:rPr>
                <w:rFonts w:ascii="仿宋" w:eastAsia="仿宋" w:hAnsi="仿宋" w:cs="仿宋"/>
                <w:sz w:val="24"/>
                <w:highlight w:val="yellow"/>
              </w:rPr>
            </w:pPr>
            <w:r>
              <w:rPr>
                <w:rFonts w:ascii="仿宋" w:eastAsia="仿宋" w:hAnsi="仿宋" w:cs="仿宋" w:hint="eastAsia"/>
                <w:b/>
                <w:sz w:val="24"/>
              </w:rPr>
              <w:t>现场办理：</w:t>
            </w:r>
            <w:r>
              <w:rPr>
                <w:rFonts w:ascii="仿宋" w:eastAsia="仿宋" w:hAnsi="仿宋" w:cs="仿宋" w:hint="eastAsia"/>
                <w:sz w:val="24"/>
              </w:rPr>
              <w:t>纳税人提交书面材料（无纸化企业留存备查）。</w:t>
            </w:r>
            <w:r>
              <w:rPr>
                <w:rFonts w:ascii="仿宋" w:eastAsia="仿宋" w:hAnsi="仿宋" w:cs="仿宋" w:hint="eastAsia"/>
                <w:b/>
                <w:sz w:val="24"/>
              </w:rPr>
              <w:t>网上办理：</w:t>
            </w:r>
            <w:r>
              <w:rPr>
                <w:rFonts w:ascii="仿宋" w:eastAsia="仿宋" w:hAnsi="仿宋" w:cs="仿宋" w:hint="eastAsia"/>
                <w:sz w:val="24"/>
              </w:rPr>
              <w:t>登录浙江省国家税务局电子税务局提交电子数据。</w:t>
            </w:r>
          </w:p>
        </w:tc>
        <w:tc>
          <w:tcPr>
            <w:tcW w:w="868" w:type="dxa"/>
            <w:vMerge/>
            <w:vAlign w:val="center"/>
          </w:tcPr>
          <w:p w:rsidR="00013EC7" w:rsidRDefault="00013EC7">
            <w:pPr>
              <w:rPr>
                <w:rFonts w:ascii="仿宋" w:eastAsia="仿宋" w:hAnsi="仿宋" w:cs="仿宋"/>
                <w:sz w:val="24"/>
              </w:rPr>
            </w:pPr>
          </w:p>
        </w:tc>
        <w:tc>
          <w:tcPr>
            <w:tcW w:w="798" w:type="dxa"/>
            <w:vMerge/>
            <w:vAlign w:val="center"/>
          </w:tcPr>
          <w:p w:rsidR="00013EC7" w:rsidRDefault="00013EC7">
            <w:pPr>
              <w:rPr>
                <w:rFonts w:ascii="仿宋" w:eastAsia="仿宋" w:hAnsi="仿宋" w:cs="仿宋"/>
                <w:sz w:val="24"/>
              </w:rPr>
            </w:pP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128"/>
          <w:jc w:val="center"/>
        </w:trPr>
        <w:tc>
          <w:tcPr>
            <w:tcW w:w="1250" w:type="dxa"/>
            <w:vMerge/>
            <w:vAlign w:val="center"/>
          </w:tcPr>
          <w:p w:rsidR="00013EC7" w:rsidRDefault="00013EC7"/>
        </w:tc>
        <w:tc>
          <w:tcPr>
            <w:tcW w:w="1316" w:type="dxa"/>
            <w:vMerge/>
            <w:vAlign w:val="center"/>
          </w:tcPr>
          <w:p w:rsidR="00013EC7" w:rsidRDefault="00013EC7"/>
        </w:tc>
        <w:tc>
          <w:tcPr>
            <w:tcW w:w="2122" w:type="dxa"/>
            <w:vMerge/>
            <w:vAlign w:val="center"/>
          </w:tcPr>
          <w:p w:rsidR="00013EC7" w:rsidRDefault="00013EC7"/>
        </w:tc>
        <w:tc>
          <w:tcPr>
            <w:tcW w:w="2777" w:type="dxa"/>
            <w:vAlign w:val="center"/>
          </w:tcPr>
          <w:p w:rsidR="00013EC7" w:rsidRDefault="00575CDB">
            <w:r>
              <w:rPr>
                <w:rFonts w:ascii="仿宋" w:eastAsia="仿宋" w:hAnsi="仿宋" w:cs="仿宋"/>
                <w:kern w:val="1"/>
                <w:sz w:val="24"/>
              </w:rPr>
              <w:t>（</w:t>
            </w:r>
            <w:r>
              <w:rPr>
                <w:rFonts w:ascii="仿宋" w:eastAsia="仿宋" w:hAnsi="仿宋" w:cs="仿宋" w:hint="eastAsia"/>
                <w:kern w:val="1"/>
                <w:sz w:val="24"/>
              </w:rPr>
              <w:t>二十六</w:t>
            </w:r>
            <w:r>
              <w:rPr>
                <w:rFonts w:ascii="仿宋" w:eastAsia="仿宋" w:hAnsi="仿宋" w:cs="仿宋"/>
                <w:kern w:val="1"/>
                <w:sz w:val="24"/>
              </w:rPr>
              <w:t>）</w:t>
            </w:r>
            <w:r>
              <w:rPr>
                <w:rFonts w:ascii="仿宋" w:eastAsia="仿宋" w:hAnsi="仿宋" w:cs="仿宋" w:hint="eastAsia"/>
                <w:kern w:val="1"/>
                <w:sz w:val="24"/>
              </w:rPr>
              <w:t>出口自用旧设备免退税申报电子数据</w:t>
            </w:r>
            <w:r>
              <w:rPr>
                <w:rFonts w:ascii="仿宋" w:eastAsia="仿宋" w:hAnsi="仿宋" w:cs="仿宋"/>
                <w:kern w:val="1"/>
                <w:sz w:val="24"/>
              </w:rPr>
              <w:t>。</w:t>
            </w:r>
          </w:p>
        </w:tc>
        <w:tc>
          <w:tcPr>
            <w:tcW w:w="1118" w:type="dxa"/>
            <w:vMerge/>
            <w:vAlign w:val="center"/>
          </w:tcPr>
          <w:p w:rsidR="00013EC7" w:rsidRDefault="00013EC7"/>
        </w:tc>
        <w:tc>
          <w:tcPr>
            <w:tcW w:w="2403" w:type="dxa"/>
            <w:vMerge/>
            <w:vAlign w:val="center"/>
          </w:tcPr>
          <w:p w:rsidR="00013EC7" w:rsidRDefault="00013EC7">
            <w:pPr>
              <w:rPr>
                <w:rFonts w:ascii="仿宋" w:eastAsia="仿宋" w:hAnsi="仿宋" w:cs="仿宋"/>
                <w:kern w:val="1"/>
                <w:sz w:val="24"/>
              </w:rPr>
            </w:pPr>
          </w:p>
        </w:tc>
        <w:tc>
          <w:tcPr>
            <w:tcW w:w="1606" w:type="dxa"/>
            <w:vMerge/>
            <w:vAlign w:val="center"/>
          </w:tcPr>
          <w:p w:rsidR="00013EC7" w:rsidRDefault="00013EC7">
            <w:pPr>
              <w:rPr>
                <w:rFonts w:ascii="仿宋" w:eastAsia="仿宋" w:hAnsi="仿宋" w:cs="仿宋"/>
                <w:kern w:val="1"/>
                <w:sz w:val="24"/>
              </w:rPr>
            </w:pPr>
          </w:p>
        </w:tc>
        <w:tc>
          <w:tcPr>
            <w:tcW w:w="2908" w:type="dxa"/>
            <w:vMerge/>
            <w:vAlign w:val="center"/>
          </w:tcPr>
          <w:p w:rsidR="00013EC7" w:rsidRDefault="00013EC7">
            <w:pPr>
              <w:rPr>
                <w:rFonts w:ascii="仿宋" w:eastAsia="仿宋" w:hAnsi="仿宋" w:cs="仿宋"/>
                <w:kern w:val="1"/>
                <w:sz w:val="24"/>
              </w:rPr>
            </w:pPr>
          </w:p>
        </w:tc>
        <w:tc>
          <w:tcPr>
            <w:tcW w:w="868"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128"/>
          <w:jc w:val="center"/>
        </w:trPr>
        <w:tc>
          <w:tcPr>
            <w:tcW w:w="1250" w:type="dxa"/>
            <w:vMerge/>
            <w:vAlign w:val="center"/>
          </w:tcPr>
          <w:p w:rsidR="00013EC7" w:rsidRDefault="00013EC7">
            <w:pPr>
              <w:rPr>
                <w:rFonts w:ascii="仿宋" w:eastAsia="仿宋" w:hAnsi="仿宋" w:cs="仿宋"/>
                <w:kern w:val="1"/>
                <w:sz w:val="24"/>
              </w:rPr>
            </w:pPr>
          </w:p>
        </w:tc>
        <w:tc>
          <w:tcPr>
            <w:tcW w:w="1316" w:type="dxa"/>
            <w:vMerge/>
            <w:vAlign w:val="center"/>
          </w:tcPr>
          <w:p w:rsidR="00013EC7" w:rsidRDefault="00013EC7">
            <w:pPr>
              <w:rPr>
                <w:rFonts w:ascii="仿宋" w:eastAsia="仿宋" w:hAnsi="仿宋" w:cs="仿宋"/>
                <w:kern w:val="1"/>
                <w:sz w:val="24"/>
              </w:rPr>
            </w:pPr>
          </w:p>
        </w:tc>
        <w:tc>
          <w:tcPr>
            <w:tcW w:w="2122" w:type="dxa"/>
            <w:vMerge/>
            <w:vAlign w:val="center"/>
          </w:tcPr>
          <w:p w:rsidR="00013EC7" w:rsidRDefault="00013EC7">
            <w:pPr>
              <w:rPr>
                <w:rFonts w:ascii="仿宋" w:eastAsia="仿宋" w:hAnsi="仿宋" w:cs="仿宋"/>
                <w:kern w:val="1"/>
                <w:sz w:val="24"/>
              </w:rPr>
            </w:pPr>
          </w:p>
        </w:tc>
        <w:tc>
          <w:tcPr>
            <w:tcW w:w="2777" w:type="dxa"/>
            <w:vAlign w:val="center"/>
          </w:tcPr>
          <w:p w:rsidR="00013EC7" w:rsidRDefault="00575CDB">
            <w:pPr>
              <w:rPr>
                <w:rFonts w:ascii="仿宋" w:eastAsia="仿宋" w:hAnsi="仿宋" w:cs="仿宋"/>
                <w:kern w:val="1"/>
                <w:sz w:val="24"/>
              </w:rPr>
            </w:pPr>
            <w:r>
              <w:rPr>
                <w:rFonts w:ascii="仿宋" w:eastAsia="仿宋" w:hAnsi="仿宋" w:cs="仿宋"/>
                <w:kern w:val="1"/>
                <w:sz w:val="24"/>
              </w:rPr>
              <w:t>（</w:t>
            </w:r>
            <w:r>
              <w:rPr>
                <w:rFonts w:ascii="仿宋" w:eastAsia="仿宋" w:hAnsi="仿宋" w:cs="仿宋" w:hint="eastAsia"/>
                <w:kern w:val="1"/>
                <w:sz w:val="24"/>
              </w:rPr>
              <w:t>二十七</w:t>
            </w:r>
            <w:r>
              <w:rPr>
                <w:rFonts w:ascii="仿宋" w:eastAsia="仿宋" w:hAnsi="仿宋" w:cs="仿宋"/>
                <w:kern w:val="1"/>
                <w:sz w:val="24"/>
              </w:rPr>
              <w:t>）</w:t>
            </w:r>
            <w:r>
              <w:rPr>
                <w:rFonts w:ascii="仿宋" w:eastAsia="仿宋" w:hAnsi="仿宋" w:cs="仿宋" w:hint="eastAsia"/>
                <w:kern w:val="1"/>
                <w:sz w:val="24"/>
              </w:rPr>
              <w:t>（A06173）《出口已使用过的设备折旧情况确认表》</w:t>
            </w:r>
            <w:r>
              <w:rPr>
                <w:rFonts w:ascii="仿宋" w:eastAsia="仿宋" w:hAnsi="仿宋" w:cs="仿宋"/>
                <w:kern w:val="1"/>
                <w:sz w:val="24"/>
              </w:rPr>
              <w:t>。</w:t>
            </w:r>
          </w:p>
        </w:tc>
        <w:tc>
          <w:tcPr>
            <w:tcW w:w="1118" w:type="dxa"/>
            <w:vMerge/>
            <w:vAlign w:val="center"/>
          </w:tcPr>
          <w:p w:rsidR="00013EC7" w:rsidRDefault="00013EC7">
            <w:pPr>
              <w:rPr>
                <w:rFonts w:ascii="仿宋" w:eastAsia="仿宋" w:hAnsi="仿宋" w:cs="仿宋"/>
                <w:kern w:val="1"/>
                <w:sz w:val="24"/>
              </w:rPr>
            </w:pPr>
          </w:p>
        </w:tc>
        <w:tc>
          <w:tcPr>
            <w:tcW w:w="2403" w:type="dxa"/>
            <w:vAlign w:val="center"/>
          </w:tcPr>
          <w:p w:rsidR="00013EC7" w:rsidRDefault="00575CDB">
            <w:pPr>
              <w:rPr>
                <w:rFonts w:ascii="仿宋" w:eastAsia="仿宋" w:hAnsi="仿宋" w:cs="仿宋"/>
                <w:kern w:val="1"/>
                <w:sz w:val="24"/>
              </w:rPr>
            </w:pPr>
            <w:r>
              <w:rPr>
                <w:rFonts w:ascii="仿宋" w:eastAsia="仿宋" w:hAnsi="仿宋" w:cs="仿宋"/>
                <w:kern w:val="1"/>
                <w:sz w:val="24"/>
              </w:rPr>
              <w:t>（</w:t>
            </w:r>
            <w:r>
              <w:rPr>
                <w:rFonts w:ascii="仿宋" w:eastAsia="仿宋" w:hAnsi="仿宋" w:cs="仿宋" w:hint="eastAsia"/>
                <w:kern w:val="1"/>
                <w:sz w:val="24"/>
              </w:rPr>
              <w:t>二十六</w:t>
            </w:r>
            <w:r>
              <w:rPr>
                <w:rFonts w:ascii="仿宋" w:eastAsia="仿宋" w:hAnsi="仿宋" w:cs="仿宋"/>
                <w:kern w:val="1"/>
                <w:sz w:val="24"/>
              </w:rPr>
              <w:t>）</w:t>
            </w:r>
            <w:r>
              <w:rPr>
                <w:rFonts w:ascii="仿宋" w:eastAsia="仿宋" w:hAnsi="仿宋" w:cs="仿宋" w:hint="eastAsia"/>
                <w:kern w:val="1"/>
                <w:sz w:val="24"/>
              </w:rPr>
              <w:t>（A06173）《出口已使用过的设备折旧情况确认表》1份</w:t>
            </w:r>
            <w:r>
              <w:rPr>
                <w:rFonts w:ascii="仿宋" w:eastAsia="仿宋" w:hAnsi="仿宋" w:cs="仿宋"/>
                <w:kern w:val="1"/>
                <w:sz w:val="24"/>
              </w:rPr>
              <w:t>。</w:t>
            </w:r>
          </w:p>
        </w:tc>
        <w:tc>
          <w:tcPr>
            <w:tcW w:w="1606" w:type="dxa"/>
            <w:vMerge/>
            <w:vAlign w:val="center"/>
          </w:tcPr>
          <w:p w:rsidR="00013EC7" w:rsidRDefault="00013EC7">
            <w:pPr>
              <w:rPr>
                <w:rFonts w:ascii="仿宋" w:eastAsia="仿宋" w:hAnsi="仿宋" w:cs="仿宋"/>
                <w:kern w:val="1"/>
                <w:sz w:val="24"/>
              </w:rPr>
            </w:pPr>
          </w:p>
        </w:tc>
        <w:tc>
          <w:tcPr>
            <w:tcW w:w="2908" w:type="dxa"/>
            <w:vAlign w:val="center"/>
          </w:tcPr>
          <w:p w:rsidR="00013EC7" w:rsidRDefault="00575CDB">
            <w:pPr>
              <w:rPr>
                <w:rFonts w:ascii="仿宋" w:eastAsia="仿宋" w:hAnsi="仿宋" w:cs="仿宋"/>
                <w:kern w:val="1"/>
                <w:sz w:val="24"/>
              </w:rPr>
            </w:pPr>
            <w:r>
              <w:rPr>
                <w:rFonts w:ascii="仿宋" w:eastAsia="仿宋" w:hAnsi="仿宋" w:cs="仿宋" w:hint="eastAsia"/>
                <w:b/>
                <w:sz w:val="24"/>
              </w:rPr>
              <w:t>现场办理：</w:t>
            </w:r>
            <w:r>
              <w:rPr>
                <w:rFonts w:ascii="仿宋" w:eastAsia="仿宋" w:hAnsi="仿宋" w:cs="仿宋" w:hint="eastAsia"/>
                <w:sz w:val="24"/>
              </w:rPr>
              <w:t>纳税人提交书面材料（无纸化企业留存备查）。</w:t>
            </w:r>
          </w:p>
        </w:tc>
        <w:tc>
          <w:tcPr>
            <w:tcW w:w="868"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193"/>
          <w:jc w:val="center"/>
        </w:trPr>
        <w:tc>
          <w:tcPr>
            <w:tcW w:w="1250" w:type="dxa"/>
            <w:vMerge/>
            <w:vAlign w:val="center"/>
          </w:tcPr>
          <w:p w:rsidR="00013EC7" w:rsidRDefault="00013EC7">
            <w:pPr>
              <w:rPr>
                <w:rFonts w:ascii="仿宋" w:eastAsia="仿宋" w:hAnsi="仿宋" w:cs="仿宋"/>
                <w:sz w:val="24"/>
              </w:rPr>
            </w:pPr>
          </w:p>
        </w:tc>
        <w:tc>
          <w:tcPr>
            <w:tcW w:w="1316" w:type="dxa"/>
            <w:vMerge/>
            <w:vAlign w:val="center"/>
          </w:tcPr>
          <w:p w:rsidR="00013EC7" w:rsidRDefault="00013EC7">
            <w:pPr>
              <w:rPr>
                <w:rFonts w:ascii="仿宋" w:eastAsia="仿宋" w:hAnsi="仿宋" w:cs="仿宋"/>
                <w:sz w:val="24"/>
              </w:rPr>
            </w:pPr>
          </w:p>
        </w:tc>
        <w:tc>
          <w:tcPr>
            <w:tcW w:w="2122" w:type="dxa"/>
            <w:vMerge/>
            <w:vAlign w:val="center"/>
          </w:tcPr>
          <w:p w:rsidR="00013EC7" w:rsidRDefault="00013EC7">
            <w:pPr>
              <w:rPr>
                <w:rFonts w:ascii="仿宋" w:eastAsia="仿宋" w:hAnsi="仿宋" w:cs="仿宋"/>
                <w:sz w:val="24"/>
              </w:rPr>
            </w:pPr>
          </w:p>
        </w:tc>
        <w:tc>
          <w:tcPr>
            <w:tcW w:w="2777" w:type="dxa"/>
            <w:vAlign w:val="center"/>
          </w:tcPr>
          <w:p w:rsidR="00013EC7" w:rsidRDefault="00575CDB">
            <w:pPr>
              <w:rPr>
                <w:rFonts w:ascii="仿宋" w:eastAsia="仿宋" w:hAnsi="仿宋" w:cs="仿宋"/>
                <w:kern w:val="1"/>
                <w:sz w:val="24"/>
              </w:rPr>
            </w:pPr>
            <w:r>
              <w:rPr>
                <w:rFonts w:ascii="仿宋" w:eastAsia="仿宋" w:hAnsi="仿宋" w:cs="仿宋"/>
                <w:kern w:val="1"/>
                <w:sz w:val="24"/>
              </w:rPr>
              <w:t>（</w:t>
            </w:r>
            <w:r>
              <w:rPr>
                <w:rFonts w:ascii="仿宋" w:eastAsia="仿宋" w:hAnsi="仿宋" w:cs="仿宋" w:hint="eastAsia"/>
                <w:kern w:val="1"/>
                <w:sz w:val="24"/>
              </w:rPr>
              <w:t>二十八</w:t>
            </w:r>
            <w:r>
              <w:rPr>
                <w:rFonts w:ascii="仿宋" w:eastAsia="仿宋" w:hAnsi="仿宋" w:cs="仿宋"/>
                <w:kern w:val="1"/>
                <w:sz w:val="24"/>
              </w:rPr>
              <w:t>）</w:t>
            </w:r>
            <w:r>
              <w:rPr>
                <w:rFonts w:ascii="仿宋" w:eastAsia="仿宋" w:hAnsi="仿宋" w:cs="仿宋" w:hint="eastAsia"/>
                <w:kern w:val="1"/>
                <w:sz w:val="24"/>
              </w:rPr>
              <w:t>（A06315）《购进自用货物退税申报表》</w:t>
            </w:r>
            <w:r>
              <w:rPr>
                <w:rFonts w:ascii="仿宋" w:eastAsia="仿宋" w:hAnsi="仿宋" w:cs="仿宋"/>
                <w:kern w:val="1"/>
                <w:sz w:val="24"/>
              </w:rPr>
              <w:t>。</w:t>
            </w:r>
          </w:p>
        </w:tc>
        <w:tc>
          <w:tcPr>
            <w:tcW w:w="1118" w:type="dxa"/>
            <w:vMerge w:val="restart"/>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研发机构购买国产设备不需要提供出</w:t>
            </w:r>
            <w:r>
              <w:rPr>
                <w:rFonts w:ascii="仿宋" w:eastAsia="仿宋" w:hAnsi="仿宋" w:cs="仿宋" w:hint="eastAsia"/>
                <w:kern w:val="1"/>
                <w:sz w:val="24"/>
              </w:rPr>
              <w:lastRenderedPageBreak/>
              <w:t>口报关单的的纳税人提交</w:t>
            </w:r>
          </w:p>
        </w:tc>
        <w:tc>
          <w:tcPr>
            <w:tcW w:w="2403" w:type="dxa"/>
            <w:vAlign w:val="center"/>
          </w:tcPr>
          <w:p w:rsidR="00013EC7" w:rsidRDefault="00575CDB">
            <w:pPr>
              <w:rPr>
                <w:rFonts w:ascii="仿宋" w:eastAsia="仿宋" w:hAnsi="仿宋" w:cs="仿宋"/>
                <w:kern w:val="1"/>
                <w:sz w:val="24"/>
              </w:rPr>
            </w:pPr>
            <w:r>
              <w:rPr>
                <w:rFonts w:ascii="仿宋" w:eastAsia="仿宋" w:hAnsi="仿宋" w:cs="仿宋"/>
                <w:kern w:val="1"/>
                <w:sz w:val="24"/>
              </w:rPr>
              <w:lastRenderedPageBreak/>
              <w:t>（</w:t>
            </w:r>
            <w:r>
              <w:rPr>
                <w:rFonts w:ascii="仿宋" w:eastAsia="仿宋" w:hAnsi="仿宋" w:cs="仿宋" w:hint="eastAsia"/>
                <w:kern w:val="1"/>
                <w:sz w:val="24"/>
              </w:rPr>
              <w:t>二十七</w:t>
            </w:r>
            <w:r>
              <w:rPr>
                <w:rFonts w:ascii="仿宋" w:eastAsia="仿宋" w:hAnsi="仿宋" w:cs="仿宋"/>
                <w:kern w:val="1"/>
                <w:sz w:val="24"/>
              </w:rPr>
              <w:t>）</w:t>
            </w:r>
            <w:r>
              <w:rPr>
                <w:rFonts w:ascii="仿宋" w:eastAsia="仿宋" w:hAnsi="仿宋" w:cs="仿宋" w:hint="eastAsia"/>
                <w:kern w:val="1"/>
                <w:sz w:val="24"/>
              </w:rPr>
              <w:t>（A06315）《购进自用货物退税申报表》1份</w:t>
            </w:r>
            <w:r>
              <w:rPr>
                <w:rFonts w:ascii="仿宋" w:eastAsia="仿宋" w:hAnsi="仿宋" w:cs="仿宋"/>
                <w:kern w:val="1"/>
                <w:sz w:val="24"/>
              </w:rPr>
              <w:t>。</w:t>
            </w:r>
          </w:p>
        </w:tc>
        <w:tc>
          <w:tcPr>
            <w:tcW w:w="1606" w:type="dxa"/>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kern w:val="1"/>
                <w:sz w:val="24"/>
              </w:rPr>
              <w:t>研发机构购买国产设备不需要提供出口报关单的的纳税人提交</w:t>
            </w:r>
          </w:p>
        </w:tc>
        <w:tc>
          <w:tcPr>
            <w:tcW w:w="2908"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纳税人提交书面材料（无纸化企业留存备查）。</w:t>
            </w:r>
          </w:p>
        </w:tc>
        <w:tc>
          <w:tcPr>
            <w:tcW w:w="868" w:type="dxa"/>
            <w:vMerge/>
            <w:vAlign w:val="center"/>
          </w:tcPr>
          <w:p w:rsidR="00013EC7" w:rsidRDefault="00013EC7">
            <w:pPr>
              <w:rPr>
                <w:rFonts w:ascii="仿宋" w:eastAsia="仿宋" w:hAnsi="仿宋" w:cs="仿宋"/>
                <w:sz w:val="24"/>
              </w:rPr>
            </w:pPr>
          </w:p>
        </w:tc>
        <w:tc>
          <w:tcPr>
            <w:tcW w:w="798" w:type="dxa"/>
            <w:vMerge/>
            <w:vAlign w:val="center"/>
          </w:tcPr>
          <w:p w:rsidR="00013EC7" w:rsidRDefault="00013EC7">
            <w:pPr>
              <w:rPr>
                <w:rFonts w:ascii="仿宋" w:eastAsia="仿宋" w:hAnsi="仿宋" w:cs="仿宋"/>
                <w:sz w:val="24"/>
              </w:rPr>
            </w:pP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193"/>
          <w:jc w:val="center"/>
        </w:trPr>
        <w:tc>
          <w:tcPr>
            <w:tcW w:w="1250" w:type="dxa"/>
            <w:vMerge/>
            <w:vAlign w:val="center"/>
          </w:tcPr>
          <w:p w:rsidR="00013EC7" w:rsidRDefault="00013EC7"/>
        </w:tc>
        <w:tc>
          <w:tcPr>
            <w:tcW w:w="1316" w:type="dxa"/>
            <w:vMerge/>
            <w:vAlign w:val="center"/>
          </w:tcPr>
          <w:p w:rsidR="00013EC7" w:rsidRDefault="00013EC7"/>
        </w:tc>
        <w:tc>
          <w:tcPr>
            <w:tcW w:w="2122" w:type="dxa"/>
            <w:vMerge/>
            <w:vAlign w:val="center"/>
          </w:tcPr>
          <w:p w:rsidR="00013EC7" w:rsidRDefault="00013EC7"/>
        </w:tc>
        <w:tc>
          <w:tcPr>
            <w:tcW w:w="2777" w:type="dxa"/>
            <w:vAlign w:val="center"/>
          </w:tcPr>
          <w:p w:rsidR="00013EC7" w:rsidRDefault="00575CDB">
            <w:r>
              <w:rPr>
                <w:rFonts w:ascii="仿宋" w:eastAsia="仿宋" w:hAnsi="仿宋" w:cs="仿宋"/>
                <w:kern w:val="1"/>
                <w:sz w:val="24"/>
              </w:rPr>
              <w:t>（六）</w:t>
            </w:r>
            <w:r>
              <w:rPr>
                <w:rFonts w:ascii="仿宋" w:eastAsia="仿宋" w:hAnsi="仿宋" w:cs="仿宋" w:hint="eastAsia"/>
                <w:kern w:val="1"/>
                <w:sz w:val="24"/>
              </w:rPr>
              <w:t>增值税专用发票（抵扣联）</w:t>
            </w:r>
            <w:r>
              <w:rPr>
                <w:rFonts w:ascii="仿宋" w:eastAsia="仿宋" w:hAnsi="仿宋" w:cs="仿宋"/>
                <w:kern w:val="1"/>
                <w:sz w:val="24"/>
              </w:rPr>
              <w:t>。</w:t>
            </w:r>
          </w:p>
        </w:tc>
        <w:tc>
          <w:tcPr>
            <w:tcW w:w="1118" w:type="dxa"/>
            <w:vMerge/>
            <w:vAlign w:val="center"/>
          </w:tcPr>
          <w:p w:rsidR="00013EC7" w:rsidRDefault="00013EC7"/>
        </w:tc>
        <w:tc>
          <w:tcPr>
            <w:tcW w:w="2403" w:type="dxa"/>
            <w:vAlign w:val="center"/>
          </w:tcPr>
          <w:p w:rsidR="00013EC7" w:rsidRDefault="00575CDB">
            <w:pPr>
              <w:rPr>
                <w:rFonts w:ascii="仿宋" w:eastAsia="仿宋" w:hAnsi="仿宋" w:cs="仿宋"/>
                <w:kern w:val="1"/>
                <w:sz w:val="24"/>
              </w:rPr>
            </w:pPr>
            <w:r>
              <w:rPr>
                <w:rFonts w:ascii="仿宋" w:eastAsia="仿宋" w:hAnsi="仿宋" w:cs="仿宋"/>
                <w:kern w:val="1"/>
                <w:sz w:val="24"/>
              </w:rPr>
              <w:t>（六）</w:t>
            </w:r>
            <w:r>
              <w:rPr>
                <w:rFonts w:ascii="仿宋" w:eastAsia="仿宋" w:hAnsi="仿宋" w:cs="仿宋" w:hint="eastAsia"/>
                <w:kern w:val="1"/>
                <w:sz w:val="24"/>
              </w:rPr>
              <w:t>增值税专用发票（抵扣联）</w:t>
            </w:r>
            <w:r>
              <w:rPr>
                <w:rFonts w:ascii="仿宋" w:eastAsia="仿宋" w:hAnsi="仿宋" w:cs="仿宋"/>
                <w:kern w:val="1"/>
                <w:sz w:val="24"/>
              </w:rPr>
              <w:t>。</w:t>
            </w:r>
          </w:p>
        </w:tc>
        <w:tc>
          <w:tcPr>
            <w:tcW w:w="1606" w:type="dxa"/>
            <w:vAlign w:val="center"/>
          </w:tcPr>
          <w:p w:rsidR="00013EC7" w:rsidRDefault="00575CDB">
            <w:pPr>
              <w:spacing w:line="300" w:lineRule="exact"/>
              <w:jc w:val="center"/>
              <w:rPr>
                <w:rFonts w:ascii="仿宋" w:eastAsia="仿宋" w:hAnsi="仿宋" w:cs="仿宋"/>
                <w:b/>
                <w:i/>
                <w:sz w:val="24"/>
              </w:rPr>
            </w:pPr>
            <w:r>
              <w:rPr>
                <w:rFonts w:ascii="仿宋" w:eastAsia="仿宋" w:hAnsi="仿宋" w:cs="仿宋" w:hint="eastAsia"/>
                <w:b/>
                <w:i/>
                <w:sz w:val="24"/>
              </w:rPr>
              <w:t>经办机构自行获取</w:t>
            </w:r>
          </w:p>
        </w:tc>
        <w:tc>
          <w:tcPr>
            <w:tcW w:w="2908"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b/>
                <w:sz w:val="24"/>
              </w:rPr>
              <w:t>内部共享：</w:t>
            </w:r>
            <w:r>
              <w:rPr>
                <w:rFonts w:ascii="仿宋" w:eastAsia="仿宋" w:hAnsi="仿宋" w:cs="仿宋" w:hint="eastAsia"/>
                <w:sz w:val="24"/>
              </w:rPr>
              <w:t>内部共享获取相关信息（无纸化企业留存备查，非无纸化企业需提供书面材料）。</w:t>
            </w:r>
          </w:p>
        </w:tc>
        <w:tc>
          <w:tcPr>
            <w:tcW w:w="868"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128"/>
          <w:jc w:val="center"/>
        </w:trPr>
        <w:tc>
          <w:tcPr>
            <w:tcW w:w="1250" w:type="dxa"/>
            <w:vMerge/>
            <w:vAlign w:val="center"/>
          </w:tcPr>
          <w:p w:rsidR="00013EC7" w:rsidRDefault="00013EC7"/>
        </w:tc>
        <w:tc>
          <w:tcPr>
            <w:tcW w:w="1316" w:type="dxa"/>
            <w:vMerge/>
            <w:vAlign w:val="center"/>
          </w:tcPr>
          <w:p w:rsidR="00013EC7" w:rsidRDefault="00013EC7"/>
        </w:tc>
        <w:tc>
          <w:tcPr>
            <w:tcW w:w="2122" w:type="dxa"/>
            <w:vMerge/>
            <w:vAlign w:val="center"/>
          </w:tcPr>
          <w:p w:rsidR="00013EC7" w:rsidRDefault="00013EC7"/>
        </w:tc>
        <w:tc>
          <w:tcPr>
            <w:tcW w:w="2777" w:type="dxa"/>
            <w:vAlign w:val="center"/>
          </w:tcPr>
          <w:p w:rsidR="00013EC7" w:rsidRDefault="00575CDB">
            <w:r>
              <w:rPr>
                <w:rFonts w:ascii="仿宋" w:eastAsia="仿宋" w:hAnsi="仿宋" w:cs="仿宋"/>
                <w:kern w:val="1"/>
                <w:sz w:val="24"/>
              </w:rPr>
              <w:t>（</w:t>
            </w:r>
            <w:r>
              <w:rPr>
                <w:rFonts w:ascii="仿宋" w:eastAsia="仿宋" w:hAnsi="仿宋" w:cs="仿宋" w:hint="eastAsia"/>
                <w:kern w:val="1"/>
                <w:sz w:val="24"/>
              </w:rPr>
              <w:t>二十九</w:t>
            </w:r>
            <w:r>
              <w:rPr>
                <w:rFonts w:ascii="仿宋" w:eastAsia="仿宋" w:hAnsi="仿宋" w:cs="仿宋"/>
                <w:kern w:val="1"/>
                <w:sz w:val="24"/>
              </w:rPr>
              <w:t>）</w:t>
            </w:r>
            <w:r>
              <w:rPr>
                <w:rFonts w:ascii="仿宋" w:eastAsia="仿宋" w:hAnsi="仿宋" w:cs="仿宋" w:hint="eastAsia"/>
                <w:kern w:val="1"/>
                <w:sz w:val="24"/>
              </w:rPr>
              <w:t>采购国产设备合同（研发机构提供）</w:t>
            </w:r>
            <w:r>
              <w:rPr>
                <w:rFonts w:ascii="仿宋" w:eastAsia="仿宋" w:hAnsi="仿宋" w:cs="仿宋"/>
                <w:kern w:val="1"/>
                <w:sz w:val="24"/>
              </w:rPr>
              <w:t>。</w:t>
            </w:r>
          </w:p>
        </w:tc>
        <w:tc>
          <w:tcPr>
            <w:tcW w:w="1118" w:type="dxa"/>
            <w:vMerge/>
            <w:vAlign w:val="center"/>
          </w:tcPr>
          <w:p w:rsidR="00013EC7" w:rsidRDefault="00013EC7"/>
        </w:tc>
        <w:tc>
          <w:tcPr>
            <w:tcW w:w="2403" w:type="dxa"/>
            <w:vAlign w:val="center"/>
          </w:tcPr>
          <w:p w:rsidR="00013EC7" w:rsidRDefault="00575CDB">
            <w:pPr>
              <w:rPr>
                <w:rFonts w:ascii="仿宋" w:eastAsia="仿宋" w:hAnsi="仿宋" w:cs="仿宋"/>
                <w:kern w:val="1"/>
                <w:sz w:val="24"/>
              </w:rPr>
            </w:pPr>
            <w:r>
              <w:rPr>
                <w:rFonts w:ascii="仿宋" w:eastAsia="仿宋" w:hAnsi="仿宋" w:cs="仿宋"/>
                <w:kern w:val="1"/>
                <w:sz w:val="24"/>
              </w:rPr>
              <w:t>（</w:t>
            </w:r>
            <w:r>
              <w:rPr>
                <w:rFonts w:ascii="仿宋" w:eastAsia="仿宋" w:hAnsi="仿宋" w:cs="仿宋" w:hint="eastAsia"/>
                <w:kern w:val="1"/>
                <w:sz w:val="24"/>
              </w:rPr>
              <w:t>二十八</w:t>
            </w:r>
            <w:r>
              <w:rPr>
                <w:rFonts w:ascii="仿宋" w:eastAsia="仿宋" w:hAnsi="仿宋" w:cs="仿宋"/>
                <w:kern w:val="1"/>
                <w:sz w:val="24"/>
              </w:rPr>
              <w:t>）</w:t>
            </w:r>
            <w:r>
              <w:rPr>
                <w:rFonts w:ascii="仿宋" w:eastAsia="仿宋" w:hAnsi="仿宋" w:cs="仿宋" w:hint="eastAsia"/>
                <w:kern w:val="1"/>
                <w:sz w:val="24"/>
              </w:rPr>
              <w:t>采购国产设备合同（研发机构提供）</w:t>
            </w:r>
            <w:r>
              <w:rPr>
                <w:rFonts w:ascii="仿宋" w:eastAsia="仿宋" w:hAnsi="仿宋" w:cs="仿宋"/>
                <w:kern w:val="1"/>
                <w:sz w:val="24"/>
              </w:rPr>
              <w:t>。</w:t>
            </w:r>
          </w:p>
        </w:tc>
        <w:tc>
          <w:tcPr>
            <w:tcW w:w="1606" w:type="dxa"/>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kern w:val="1"/>
                <w:sz w:val="24"/>
              </w:rPr>
              <w:t>研发机构购买国产设备不需要提供出口报关单的的纳税人提交</w:t>
            </w:r>
          </w:p>
        </w:tc>
        <w:tc>
          <w:tcPr>
            <w:tcW w:w="2908"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纳税人提交书面材料（无纸化企业留存备查）。</w:t>
            </w:r>
          </w:p>
        </w:tc>
        <w:tc>
          <w:tcPr>
            <w:tcW w:w="868"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128"/>
          <w:jc w:val="center"/>
        </w:trPr>
        <w:tc>
          <w:tcPr>
            <w:tcW w:w="1250" w:type="dxa"/>
            <w:vMerge/>
            <w:vAlign w:val="center"/>
          </w:tcPr>
          <w:p w:rsidR="00013EC7" w:rsidRDefault="00013EC7">
            <w:pPr>
              <w:rPr>
                <w:rFonts w:ascii="仿宋" w:eastAsia="仿宋" w:hAnsi="仿宋" w:cs="仿宋"/>
                <w:kern w:val="1"/>
                <w:sz w:val="24"/>
              </w:rPr>
            </w:pPr>
          </w:p>
        </w:tc>
        <w:tc>
          <w:tcPr>
            <w:tcW w:w="1316" w:type="dxa"/>
            <w:vMerge/>
            <w:vAlign w:val="center"/>
          </w:tcPr>
          <w:p w:rsidR="00013EC7" w:rsidRDefault="00013EC7">
            <w:pPr>
              <w:rPr>
                <w:rFonts w:ascii="仿宋" w:eastAsia="仿宋" w:hAnsi="仿宋" w:cs="仿宋"/>
                <w:kern w:val="1"/>
                <w:sz w:val="24"/>
              </w:rPr>
            </w:pPr>
          </w:p>
        </w:tc>
        <w:tc>
          <w:tcPr>
            <w:tcW w:w="2122" w:type="dxa"/>
            <w:vMerge/>
            <w:vAlign w:val="center"/>
          </w:tcPr>
          <w:p w:rsidR="00013EC7" w:rsidRDefault="00013EC7">
            <w:pPr>
              <w:rPr>
                <w:rFonts w:ascii="仿宋" w:eastAsia="仿宋" w:hAnsi="仿宋" w:cs="仿宋"/>
                <w:kern w:val="1"/>
                <w:sz w:val="24"/>
              </w:rPr>
            </w:pPr>
          </w:p>
        </w:tc>
        <w:tc>
          <w:tcPr>
            <w:tcW w:w="2777" w:type="dxa"/>
            <w:vAlign w:val="center"/>
          </w:tcPr>
          <w:p w:rsidR="00013EC7" w:rsidRDefault="00575CDB">
            <w:pPr>
              <w:rPr>
                <w:rFonts w:ascii="仿宋" w:eastAsia="仿宋" w:hAnsi="仿宋" w:cs="仿宋"/>
                <w:kern w:val="1"/>
                <w:sz w:val="24"/>
              </w:rPr>
            </w:pPr>
            <w:r>
              <w:rPr>
                <w:rFonts w:ascii="仿宋" w:eastAsia="仿宋" w:hAnsi="仿宋" w:cs="仿宋"/>
                <w:kern w:val="1"/>
                <w:sz w:val="24"/>
              </w:rPr>
              <w:t>（三十）</w:t>
            </w:r>
            <w:r>
              <w:rPr>
                <w:rFonts w:ascii="仿宋" w:eastAsia="仿宋" w:hAnsi="仿宋" w:cs="仿宋" w:hint="eastAsia"/>
                <w:kern w:val="1"/>
                <w:sz w:val="24"/>
              </w:rPr>
              <w:t>付款凭证（研发机构提供。</w:t>
            </w:r>
          </w:p>
        </w:tc>
        <w:tc>
          <w:tcPr>
            <w:tcW w:w="1118" w:type="dxa"/>
            <w:vMerge/>
            <w:vAlign w:val="center"/>
          </w:tcPr>
          <w:p w:rsidR="00013EC7" w:rsidRDefault="00013EC7">
            <w:pPr>
              <w:rPr>
                <w:rFonts w:ascii="仿宋" w:eastAsia="仿宋" w:hAnsi="仿宋" w:cs="仿宋"/>
                <w:kern w:val="1"/>
                <w:sz w:val="24"/>
              </w:rPr>
            </w:pPr>
          </w:p>
        </w:tc>
        <w:tc>
          <w:tcPr>
            <w:tcW w:w="2403" w:type="dxa"/>
            <w:vAlign w:val="center"/>
          </w:tcPr>
          <w:p w:rsidR="00013EC7" w:rsidRDefault="00575CDB">
            <w:pPr>
              <w:rPr>
                <w:rFonts w:ascii="仿宋" w:eastAsia="仿宋" w:hAnsi="仿宋" w:cs="仿宋"/>
                <w:kern w:val="1"/>
                <w:sz w:val="24"/>
              </w:rPr>
            </w:pPr>
            <w:r>
              <w:rPr>
                <w:rFonts w:ascii="仿宋" w:eastAsia="仿宋" w:hAnsi="仿宋" w:cs="仿宋"/>
                <w:kern w:val="1"/>
                <w:sz w:val="24"/>
              </w:rPr>
              <w:t>（</w:t>
            </w:r>
            <w:r>
              <w:rPr>
                <w:rFonts w:ascii="仿宋" w:eastAsia="仿宋" w:hAnsi="仿宋" w:cs="仿宋" w:hint="eastAsia"/>
                <w:kern w:val="1"/>
                <w:sz w:val="24"/>
              </w:rPr>
              <w:t>二十九</w:t>
            </w:r>
            <w:r>
              <w:rPr>
                <w:rFonts w:ascii="仿宋" w:eastAsia="仿宋" w:hAnsi="仿宋" w:cs="仿宋"/>
                <w:kern w:val="1"/>
                <w:sz w:val="24"/>
              </w:rPr>
              <w:t>）</w:t>
            </w:r>
            <w:r>
              <w:rPr>
                <w:rFonts w:ascii="仿宋" w:eastAsia="仿宋" w:hAnsi="仿宋" w:cs="仿宋" w:hint="eastAsia"/>
                <w:kern w:val="1"/>
                <w:sz w:val="24"/>
              </w:rPr>
              <w:t>付款凭证（研发机构提供）。</w:t>
            </w:r>
          </w:p>
        </w:tc>
        <w:tc>
          <w:tcPr>
            <w:tcW w:w="1606" w:type="dxa"/>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kern w:val="1"/>
                <w:sz w:val="24"/>
              </w:rPr>
              <w:t>研发机构购买国产设备不需要提供出口报关单的的纳税人提交</w:t>
            </w:r>
          </w:p>
        </w:tc>
        <w:tc>
          <w:tcPr>
            <w:tcW w:w="2908"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纳税人提交书面材料（无纸化企业留存备查）。</w:t>
            </w:r>
          </w:p>
        </w:tc>
        <w:tc>
          <w:tcPr>
            <w:tcW w:w="868"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128"/>
          <w:jc w:val="center"/>
        </w:trPr>
        <w:tc>
          <w:tcPr>
            <w:tcW w:w="1250" w:type="dxa"/>
            <w:vMerge/>
            <w:vAlign w:val="center"/>
          </w:tcPr>
          <w:p w:rsidR="00013EC7" w:rsidRDefault="00013EC7">
            <w:pPr>
              <w:rPr>
                <w:rFonts w:ascii="仿宋" w:eastAsia="仿宋" w:hAnsi="仿宋" w:cs="仿宋"/>
                <w:kern w:val="1"/>
                <w:sz w:val="24"/>
              </w:rPr>
            </w:pPr>
          </w:p>
        </w:tc>
        <w:tc>
          <w:tcPr>
            <w:tcW w:w="1316" w:type="dxa"/>
            <w:vMerge/>
            <w:vAlign w:val="center"/>
          </w:tcPr>
          <w:p w:rsidR="00013EC7" w:rsidRDefault="00013EC7">
            <w:pPr>
              <w:rPr>
                <w:rFonts w:ascii="仿宋" w:eastAsia="仿宋" w:hAnsi="仿宋" w:cs="仿宋"/>
                <w:kern w:val="1"/>
                <w:sz w:val="24"/>
              </w:rPr>
            </w:pPr>
          </w:p>
        </w:tc>
        <w:tc>
          <w:tcPr>
            <w:tcW w:w="2122" w:type="dxa"/>
            <w:vMerge/>
            <w:vAlign w:val="center"/>
          </w:tcPr>
          <w:p w:rsidR="00013EC7" w:rsidRDefault="00013EC7">
            <w:pPr>
              <w:rPr>
                <w:rFonts w:ascii="仿宋" w:eastAsia="仿宋" w:hAnsi="仿宋" w:cs="仿宋"/>
                <w:kern w:val="1"/>
                <w:sz w:val="24"/>
              </w:rPr>
            </w:pPr>
          </w:p>
        </w:tc>
        <w:tc>
          <w:tcPr>
            <w:tcW w:w="2777" w:type="dxa"/>
            <w:vAlign w:val="center"/>
          </w:tcPr>
          <w:p w:rsidR="00013EC7" w:rsidRDefault="00575CDB">
            <w:pPr>
              <w:rPr>
                <w:rFonts w:ascii="仿宋" w:eastAsia="仿宋" w:hAnsi="仿宋" w:cs="仿宋"/>
                <w:kern w:val="1"/>
                <w:sz w:val="24"/>
              </w:rPr>
            </w:pPr>
            <w:r>
              <w:rPr>
                <w:rFonts w:ascii="仿宋" w:eastAsia="仿宋" w:hAnsi="仿宋" w:cs="仿宋"/>
                <w:kern w:val="1"/>
                <w:sz w:val="24"/>
              </w:rPr>
              <w:t>.</w:t>
            </w:r>
          </w:p>
        </w:tc>
        <w:tc>
          <w:tcPr>
            <w:tcW w:w="1118" w:type="dxa"/>
            <w:vAlign w:val="center"/>
          </w:tcPr>
          <w:p w:rsidR="00013EC7" w:rsidRDefault="00013EC7">
            <w:pPr>
              <w:rPr>
                <w:rFonts w:ascii="仿宋" w:eastAsia="仿宋" w:hAnsi="仿宋" w:cs="仿宋"/>
                <w:kern w:val="1"/>
                <w:sz w:val="24"/>
              </w:rPr>
            </w:pPr>
          </w:p>
        </w:tc>
        <w:tc>
          <w:tcPr>
            <w:tcW w:w="2403" w:type="dxa"/>
            <w:vAlign w:val="center"/>
          </w:tcPr>
          <w:p w:rsidR="00013EC7" w:rsidRDefault="00575CDB">
            <w:pPr>
              <w:rPr>
                <w:rFonts w:ascii="仿宋" w:eastAsia="仿宋" w:hAnsi="仿宋" w:cs="仿宋"/>
                <w:kern w:val="1"/>
                <w:sz w:val="24"/>
              </w:rPr>
            </w:pPr>
            <w:r>
              <w:rPr>
                <w:rFonts w:ascii="仿宋" w:eastAsia="仿宋" w:hAnsi="仿宋" w:cs="仿宋"/>
                <w:kern w:val="1"/>
                <w:sz w:val="24"/>
              </w:rPr>
              <w:t xml:space="preserve">（三十） </w:t>
            </w:r>
            <w:hyperlink r:id="rId475" w:history="1">
              <w:r>
                <w:rPr>
                  <w:rFonts w:ascii="仿宋" w:eastAsia="仿宋" w:hAnsi="仿宋" w:cs="仿宋"/>
                  <w:kern w:val="1"/>
                  <w:sz w:val="24"/>
                </w:rPr>
                <w:t>（A06509）《出口退（免）税凭证无相关电子信息申报表》</w:t>
              </w:r>
            </w:hyperlink>
            <w:r>
              <w:rPr>
                <w:rFonts w:ascii="仿宋" w:eastAsia="仿宋" w:hAnsi="仿宋" w:cs="仿宋"/>
                <w:kern w:val="1"/>
                <w:sz w:val="24"/>
              </w:rPr>
              <w:t>及其电子数据</w:t>
            </w:r>
            <w:r>
              <w:rPr>
                <w:rFonts w:ascii="仿宋" w:eastAsia="仿宋" w:hAnsi="仿宋" w:cs="仿宋" w:hint="eastAsia"/>
                <w:sz w:val="24"/>
              </w:rPr>
              <w:t>。</w:t>
            </w:r>
          </w:p>
        </w:tc>
        <w:tc>
          <w:tcPr>
            <w:tcW w:w="1606" w:type="dxa"/>
            <w:vMerge w:val="restart"/>
            <w:vAlign w:val="center"/>
          </w:tcPr>
          <w:p w:rsidR="00013EC7" w:rsidRDefault="00575CDB">
            <w:pPr>
              <w:jc w:val="center"/>
              <w:rPr>
                <w:rFonts w:ascii="仿宋" w:eastAsia="仿宋" w:hAnsi="仿宋" w:cs="仿宋"/>
                <w:sz w:val="24"/>
              </w:rPr>
            </w:pPr>
            <w:r>
              <w:rPr>
                <w:rFonts w:ascii="仿宋" w:eastAsia="仿宋" w:hAnsi="仿宋" w:cs="仿宋"/>
                <w:kern w:val="1"/>
                <w:sz w:val="24"/>
              </w:rPr>
              <w:t>在退（免）税申报期截止之日前，如果企业出口的货物劳务及服务申报退（免）税的凭证仍没有对应管理部门电子信息或凭证的内容与电子信息比对不符，无法完成预申报的</w:t>
            </w:r>
            <w:r>
              <w:rPr>
                <w:rFonts w:ascii="仿宋" w:eastAsia="仿宋" w:hAnsi="仿宋" w:cs="仿宋" w:hint="eastAsia"/>
                <w:kern w:val="1"/>
                <w:sz w:val="24"/>
              </w:rPr>
              <w:t>外贸企业纳税人提交</w:t>
            </w:r>
          </w:p>
        </w:tc>
        <w:tc>
          <w:tcPr>
            <w:tcW w:w="2908" w:type="dxa"/>
            <w:vMerge w:val="restart"/>
            <w:vAlign w:val="center"/>
          </w:tcPr>
          <w:p w:rsidR="00013EC7" w:rsidRDefault="00575CDB">
            <w:pPr>
              <w:spacing w:line="300" w:lineRule="exac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纳税人提交书面材料（无纸化企业留存备查）。</w:t>
            </w:r>
            <w:r>
              <w:rPr>
                <w:rFonts w:ascii="仿宋" w:eastAsia="仿宋" w:hAnsi="仿宋" w:cs="仿宋" w:hint="eastAsia"/>
                <w:b/>
                <w:kern w:val="1"/>
                <w:sz w:val="24"/>
              </w:rPr>
              <w:t>网上办理：</w:t>
            </w:r>
            <w:r>
              <w:rPr>
                <w:rFonts w:ascii="仿宋" w:eastAsia="仿宋" w:hAnsi="仿宋" w:cs="仿宋" w:hint="eastAsia"/>
                <w:kern w:val="1"/>
                <w:sz w:val="24"/>
              </w:rPr>
              <w:t>登录浙江省国家税务局电子税务局提交电子数据。</w:t>
            </w:r>
          </w:p>
        </w:tc>
        <w:tc>
          <w:tcPr>
            <w:tcW w:w="868" w:type="dxa"/>
            <w:vAlign w:val="center"/>
          </w:tcPr>
          <w:p w:rsidR="00013EC7" w:rsidRDefault="00013EC7">
            <w:pPr>
              <w:rPr>
                <w:rFonts w:ascii="仿宋" w:eastAsia="仿宋" w:hAnsi="仿宋" w:cs="仿宋"/>
                <w:kern w:val="1"/>
                <w:sz w:val="24"/>
              </w:rPr>
            </w:pPr>
          </w:p>
        </w:tc>
        <w:tc>
          <w:tcPr>
            <w:tcW w:w="798" w:type="dxa"/>
            <w:vAlign w:val="center"/>
          </w:tcPr>
          <w:p w:rsidR="00013EC7" w:rsidRDefault="00013EC7">
            <w:pPr>
              <w:rPr>
                <w:rFonts w:ascii="仿宋" w:eastAsia="仿宋" w:hAnsi="仿宋" w:cs="仿宋"/>
                <w:kern w:val="1"/>
                <w:sz w:val="24"/>
              </w:rPr>
            </w:pPr>
          </w:p>
        </w:tc>
        <w:tc>
          <w:tcPr>
            <w:tcW w:w="958" w:type="dxa"/>
            <w:vAlign w:val="center"/>
          </w:tcPr>
          <w:p w:rsidR="00013EC7" w:rsidRDefault="00013EC7">
            <w:pPr>
              <w:rPr>
                <w:rFonts w:ascii="仿宋" w:eastAsia="仿宋" w:hAnsi="仿宋" w:cs="仿宋"/>
                <w:kern w:val="1"/>
                <w:sz w:val="24"/>
              </w:rPr>
            </w:pPr>
          </w:p>
        </w:tc>
        <w:tc>
          <w:tcPr>
            <w:tcW w:w="1104" w:type="dxa"/>
            <w:vAlign w:val="center"/>
          </w:tcPr>
          <w:p w:rsidR="00013EC7" w:rsidRDefault="00013EC7">
            <w:pPr>
              <w:rPr>
                <w:rFonts w:ascii="仿宋" w:eastAsia="仿宋" w:hAnsi="仿宋" w:cs="仿宋"/>
                <w:kern w:val="1"/>
                <w:sz w:val="24"/>
              </w:rPr>
            </w:pPr>
          </w:p>
        </w:tc>
        <w:tc>
          <w:tcPr>
            <w:tcW w:w="1476" w:type="dxa"/>
            <w:vAlign w:val="center"/>
          </w:tcPr>
          <w:p w:rsidR="00013EC7" w:rsidRDefault="00013EC7">
            <w:pPr>
              <w:rPr>
                <w:rFonts w:ascii="仿宋" w:eastAsia="仿宋" w:hAnsi="仿宋" w:cs="仿宋"/>
                <w:kern w:val="1"/>
                <w:sz w:val="24"/>
              </w:rPr>
            </w:pPr>
          </w:p>
        </w:tc>
      </w:tr>
      <w:tr w:rsidR="00013EC7">
        <w:trPr>
          <w:trHeight w:val="128"/>
          <w:jc w:val="center"/>
        </w:trPr>
        <w:tc>
          <w:tcPr>
            <w:tcW w:w="1250" w:type="dxa"/>
            <w:vMerge/>
            <w:vAlign w:val="center"/>
          </w:tcPr>
          <w:p w:rsidR="00013EC7" w:rsidRDefault="00013EC7">
            <w:pPr>
              <w:rPr>
                <w:rFonts w:ascii="仿宋" w:eastAsia="仿宋" w:hAnsi="仿宋" w:cs="仿宋"/>
                <w:kern w:val="1"/>
                <w:sz w:val="24"/>
              </w:rPr>
            </w:pPr>
          </w:p>
        </w:tc>
        <w:tc>
          <w:tcPr>
            <w:tcW w:w="1316" w:type="dxa"/>
            <w:vMerge/>
            <w:vAlign w:val="center"/>
          </w:tcPr>
          <w:p w:rsidR="00013EC7" w:rsidRDefault="00013EC7">
            <w:pPr>
              <w:rPr>
                <w:rFonts w:ascii="仿宋" w:eastAsia="仿宋" w:hAnsi="仿宋" w:cs="仿宋"/>
                <w:kern w:val="1"/>
                <w:sz w:val="24"/>
              </w:rPr>
            </w:pPr>
          </w:p>
        </w:tc>
        <w:tc>
          <w:tcPr>
            <w:tcW w:w="2122" w:type="dxa"/>
            <w:vMerge/>
            <w:vAlign w:val="center"/>
          </w:tcPr>
          <w:p w:rsidR="00013EC7" w:rsidRDefault="00013EC7">
            <w:pPr>
              <w:rPr>
                <w:rFonts w:ascii="仿宋" w:eastAsia="仿宋" w:hAnsi="仿宋" w:cs="仿宋"/>
                <w:kern w:val="1"/>
                <w:sz w:val="24"/>
              </w:rPr>
            </w:pPr>
          </w:p>
        </w:tc>
        <w:tc>
          <w:tcPr>
            <w:tcW w:w="2777" w:type="dxa"/>
            <w:vAlign w:val="center"/>
          </w:tcPr>
          <w:p w:rsidR="00013EC7" w:rsidRDefault="00013EC7">
            <w:pPr>
              <w:rPr>
                <w:rFonts w:ascii="仿宋" w:eastAsia="仿宋" w:hAnsi="仿宋" w:cs="仿宋"/>
                <w:kern w:val="1"/>
                <w:sz w:val="24"/>
              </w:rPr>
            </w:pPr>
          </w:p>
        </w:tc>
        <w:tc>
          <w:tcPr>
            <w:tcW w:w="1118" w:type="dxa"/>
            <w:vAlign w:val="center"/>
          </w:tcPr>
          <w:p w:rsidR="00013EC7" w:rsidRDefault="00013EC7">
            <w:pPr>
              <w:rPr>
                <w:rFonts w:ascii="仿宋" w:eastAsia="仿宋" w:hAnsi="仿宋" w:cs="仿宋"/>
                <w:kern w:val="1"/>
                <w:sz w:val="24"/>
              </w:rPr>
            </w:pPr>
          </w:p>
        </w:tc>
        <w:tc>
          <w:tcPr>
            <w:tcW w:w="2403" w:type="dxa"/>
            <w:vAlign w:val="center"/>
          </w:tcPr>
          <w:p w:rsidR="00013EC7" w:rsidRDefault="00575CDB">
            <w:pPr>
              <w:rPr>
                <w:rFonts w:ascii="仿宋" w:eastAsia="仿宋" w:hAnsi="仿宋" w:cs="仿宋"/>
                <w:kern w:val="1"/>
                <w:sz w:val="24"/>
              </w:rPr>
            </w:pPr>
            <w:r>
              <w:rPr>
                <w:rFonts w:ascii="仿宋" w:eastAsia="仿宋" w:hAnsi="仿宋" w:cs="仿宋"/>
                <w:kern w:val="1"/>
                <w:sz w:val="24"/>
              </w:rPr>
              <w:t>（三十</w:t>
            </w:r>
            <w:r>
              <w:rPr>
                <w:rFonts w:ascii="仿宋" w:eastAsia="仿宋" w:hAnsi="仿宋" w:cs="仿宋" w:hint="eastAsia"/>
                <w:kern w:val="1"/>
                <w:sz w:val="24"/>
              </w:rPr>
              <w:t>一</w:t>
            </w:r>
            <w:r>
              <w:rPr>
                <w:rFonts w:ascii="仿宋" w:eastAsia="仿宋" w:hAnsi="仿宋" w:cs="仿宋"/>
                <w:kern w:val="1"/>
                <w:sz w:val="24"/>
              </w:rPr>
              <w:t>） 退（免）税申报凭证及资料</w:t>
            </w:r>
          </w:p>
        </w:tc>
        <w:tc>
          <w:tcPr>
            <w:tcW w:w="1606" w:type="dxa"/>
            <w:vMerge/>
            <w:vAlign w:val="center"/>
          </w:tcPr>
          <w:p w:rsidR="00013EC7" w:rsidRDefault="00013EC7">
            <w:pPr>
              <w:rPr>
                <w:rFonts w:ascii="仿宋" w:eastAsia="仿宋" w:hAnsi="仿宋" w:cs="仿宋"/>
                <w:kern w:val="1"/>
                <w:sz w:val="24"/>
              </w:rPr>
            </w:pPr>
          </w:p>
        </w:tc>
        <w:tc>
          <w:tcPr>
            <w:tcW w:w="2908" w:type="dxa"/>
            <w:vMerge/>
            <w:vAlign w:val="center"/>
          </w:tcPr>
          <w:p w:rsidR="00013EC7" w:rsidRDefault="00013EC7">
            <w:pPr>
              <w:rPr>
                <w:rFonts w:ascii="仿宋" w:eastAsia="仿宋" w:hAnsi="仿宋" w:cs="仿宋"/>
                <w:kern w:val="1"/>
                <w:sz w:val="24"/>
              </w:rPr>
            </w:pPr>
          </w:p>
        </w:tc>
        <w:tc>
          <w:tcPr>
            <w:tcW w:w="868" w:type="dxa"/>
            <w:vAlign w:val="center"/>
          </w:tcPr>
          <w:p w:rsidR="00013EC7" w:rsidRDefault="00013EC7">
            <w:pPr>
              <w:rPr>
                <w:rFonts w:ascii="仿宋" w:eastAsia="仿宋" w:hAnsi="仿宋" w:cs="仿宋"/>
                <w:kern w:val="1"/>
                <w:sz w:val="24"/>
              </w:rPr>
            </w:pPr>
          </w:p>
        </w:tc>
        <w:tc>
          <w:tcPr>
            <w:tcW w:w="798" w:type="dxa"/>
            <w:vAlign w:val="center"/>
          </w:tcPr>
          <w:p w:rsidR="00013EC7" w:rsidRDefault="00013EC7">
            <w:pPr>
              <w:rPr>
                <w:rFonts w:ascii="仿宋" w:eastAsia="仿宋" w:hAnsi="仿宋" w:cs="仿宋"/>
                <w:kern w:val="1"/>
                <w:sz w:val="24"/>
              </w:rPr>
            </w:pPr>
          </w:p>
        </w:tc>
        <w:tc>
          <w:tcPr>
            <w:tcW w:w="958" w:type="dxa"/>
            <w:vAlign w:val="center"/>
          </w:tcPr>
          <w:p w:rsidR="00013EC7" w:rsidRDefault="00013EC7">
            <w:pPr>
              <w:rPr>
                <w:rFonts w:ascii="仿宋" w:eastAsia="仿宋" w:hAnsi="仿宋" w:cs="仿宋"/>
                <w:kern w:val="1"/>
                <w:sz w:val="24"/>
              </w:rPr>
            </w:pPr>
          </w:p>
        </w:tc>
        <w:tc>
          <w:tcPr>
            <w:tcW w:w="1104" w:type="dxa"/>
            <w:vAlign w:val="center"/>
          </w:tcPr>
          <w:p w:rsidR="00013EC7" w:rsidRDefault="00013EC7">
            <w:pPr>
              <w:rPr>
                <w:rFonts w:ascii="仿宋" w:eastAsia="仿宋" w:hAnsi="仿宋" w:cs="仿宋"/>
                <w:kern w:val="1"/>
                <w:sz w:val="24"/>
              </w:rPr>
            </w:pPr>
          </w:p>
        </w:tc>
        <w:tc>
          <w:tcPr>
            <w:tcW w:w="1476" w:type="dxa"/>
            <w:vAlign w:val="center"/>
          </w:tcPr>
          <w:p w:rsidR="00013EC7" w:rsidRDefault="00013EC7">
            <w:pPr>
              <w:rPr>
                <w:rFonts w:ascii="仿宋" w:eastAsia="仿宋" w:hAnsi="仿宋" w:cs="仿宋"/>
                <w:kern w:val="1"/>
                <w:sz w:val="24"/>
              </w:rPr>
            </w:pPr>
          </w:p>
        </w:tc>
      </w:tr>
      <w:tr w:rsidR="00013EC7">
        <w:trPr>
          <w:trHeight w:val="128"/>
          <w:jc w:val="center"/>
        </w:trPr>
        <w:tc>
          <w:tcPr>
            <w:tcW w:w="1250" w:type="dxa"/>
            <w:vMerge/>
            <w:vAlign w:val="center"/>
          </w:tcPr>
          <w:p w:rsidR="00013EC7" w:rsidRDefault="00013EC7">
            <w:pPr>
              <w:rPr>
                <w:rFonts w:ascii="仿宋" w:eastAsia="仿宋" w:hAnsi="仿宋" w:cs="仿宋"/>
                <w:kern w:val="1"/>
                <w:sz w:val="24"/>
              </w:rPr>
            </w:pPr>
          </w:p>
        </w:tc>
        <w:tc>
          <w:tcPr>
            <w:tcW w:w="1316" w:type="dxa"/>
            <w:vMerge/>
            <w:vAlign w:val="center"/>
          </w:tcPr>
          <w:p w:rsidR="00013EC7" w:rsidRDefault="00013EC7">
            <w:pPr>
              <w:rPr>
                <w:rFonts w:ascii="仿宋" w:eastAsia="仿宋" w:hAnsi="仿宋" w:cs="仿宋"/>
                <w:kern w:val="1"/>
                <w:sz w:val="24"/>
              </w:rPr>
            </w:pPr>
          </w:p>
        </w:tc>
        <w:tc>
          <w:tcPr>
            <w:tcW w:w="2122" w:type="dxa"/>
            <w:vMerge/>
            <w:vAlign w:val="center"/>
          </w:tcPr>
          <w:p w:rsidR="00013EC7" w:rsidRDefault="00013EC7">
            <w:pPr>
              <w:rPr>
                <w:rFonts w:ascii="仿宋" w:eastAsia="仿宋" w:hAnsi="仿宋" w:cs="仿宋"/>
                <w:kern w:val="1"/>
                <w:sz w:val="24"/>
              </w:rPr>
            </w:pPr>
          </w:p>
        </w:tc>
        <w:tc>
          <w:tcPr>
            <w:tcW w:w="2777" w:type="dxa"/>
            <w:vAlign w:val="center"/>
          </w:tcPr>
          <w:p w:rsidR="00013EC7" w:rsidRDefault="00013EC7">
            <w:pPr>
              <w:rPr>
                <w:rFonts w:ascii="仿宋" w:eastAsia="仿宋" w:hAnsi="仿宋" w:cs="仿宋"/>
                <w:kern w:val="1"/>
                <w:sz w:val="24"/>
              </w:rPr>
            </w:pPr>
          </w:p>
        </w:tc>
        <w:tc>
          <w:tcPr>
            <w:tcW w:w="1118" w:type="dxa"/>
            <w:vAlign w:val="center"/>
          </w:tcPr>
          <w:p w:rsidR="00013EC7" w:rsidRDefault="00013EC7">
            <w:pPr>
              <w:rPr>
                <w:rFonts w:ascii="仿宋" w:eastAsia="仿宋" w:hAnsi="仿宋" w:cs="仿宋"/>
                <w:kern w:val="1"/>
                <w:sz w:val="24"/>
              </w:rPr>
            </w:pPr>
          </w:p>
        </w:tc>
        <w:tc>
          <w:tcPr>
            <w:tcW w:w="2403" w:type="dxa"/>
            <w:vAlign w:val="center"/>
          </w:tcPr>
          <w:p w:rsidR="00013EC7" w:rsidRDefault="00575CDB">
            <w:pPr>
              <w:rPr>
                <w:rFonts w:ascii="仿宋" w:eastAsia="仿宋" w:hAnsi="仿宋" w:cs="仿宋"/>
                <w:kern w:val="1"/>
                <w:sz w:val="24"/>
              </w:rPr>
            </w:pPr>
            <w:r>
              <w:rPr>
                <w:rFonts w:ascii="仿宋" w:eastAsia="仿宋" w:hAnsi="仿宋" w:cs="仿宋"/>
                <w:kern w:val="1"/>
                <w:sz w:val="24"/>
              </w:rPr>
              <w:t>（三十</w:t>
            </w:r>
            <w:r>
              <w:rPr>
                <w:rFonts w:ascii="仿宋" w:eastAsia="仿宋" w:hAnsi="仿宋" w:cs="仿宋" w:hint="eastAsia"/>
                <w:kern w:val="1"/>
                <w:sz w:val="24"/>
              </w:rPr>
              <w:t>二</w:t>
            </w:r>
            <w:r>
              <w:rPr>
                <w:rFonts w:ascii="仿宋" w:eastAsia="仿宋" w:hAnsi="仿宋" w:cs="仿宋"/>
                <w:kern w:val="1"/>
                <w:sz w:val="24"/>
              </w:rPr>
              <w:t>）</w:t>
            </w:r>
            <w:r>
              <w:rPr>
                <w:rFonts w:ascii="仿宋" w:eastAsia="仿宋" w:hAnsi="仿宋" w:cs="仿宋" w:hint="eastAsia"/>
                <w:kern w:val="1"/>
                <w:sz w:val="24"/>
              </w:rPr>
              <w:t xml:space="preserve"> 《外贸综合服务企业代办退税申报表》</w:t>
            </w:r>
          </w:p>
        </w:tc>
        <w:tc>
          <w:tcPr>
            <w:tcW w:w="1606" w:type="dxa"/>
            <w:vMerge w:val="restart"/>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sz w:val="24"/>
              </w:rPr>
              <w:t>向主管税务机关单独申报代办退税的综服企业提交</w:t>
            </w:r>
          </w:p>
        </w:tc>
        <w:tc>
          <w:tcPr>
            <w:tcW w:w="2908"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纳税人提交书面材料（无纸化企业留存备查）。</w:t>
            </w:r>
          </w:p>
        </w:tc>
        <w:tc>
          <w:tcPr>
            <w:tcW w:w="868" w:type="dxa"/>
            <w:vAlign w:val="center"/>
          </w:tcPr>
          <w:p w:rsidR="00013EC7" w:rsidRDefault="00013EC7">
            <w:pPr>
              <w:rPr>
                <w:rFonts w:ascii="仿宋" w:eastAsia="仿宋" w:hAnsi="仿宋" w:cs="仿宋"/>
                <w:kern w:val="1"/>
                <w:sz w:val="24"/>
              </w:rPr>
            </w:pPr>
          </w:p>
        </w:tc>
        <w:tc>
          <w:tcPr>
            <w:tcW w:w="798" w:type="dxa"/>
            <w:vAlign w:val="center"/>
          </w:tcPr>
          <w:p w:rsidR="00013EC7" w:rsidRDefault="00013EC7">
            <w:pPr>
              <w:rPr>
                <w:rFonts w:ascii="仿宋" w:eastAsia="仿宋" w:hAnsi="仿宋" w:cs="仿宋"/>
                <w:kern w:val="1"/>
                <w:sz w:val="24"/>
              </w:rPr>
            </w:pPr>
          </w:p>
        </w:tc>
        <w:tc>
          <w:tcPr>
            <w:tcW w:w="958" w:type="dxa"/>
            <w:vAlign w:val="center"/>
          </w:tcPr>
          <w:p w:rsidR="00013EC7" w:rsidRDefault="00013EC7">
            <w:pPr>
              <w:rPr>
                <w:rFonts w:ascii="仿宋" w:eastAsia="仿宋" w:hAnsi="仿宋" w:cs="仿宋"/>
                <w:kern w:val="1"/>
                <w:sz w:val="24"/>
              </w:rPr>
            </w:pPr>
          </w:p>
        </w:tc>
        <w:tc>
          <w:tcPr>
            <w:tcW w:w="1104" w:type="dxa"/>
            <w:vAlign w:val="center"/>
          </w:tcPr>
          <w:p w:rsidR="00013EC7" w:rsidRDefault="00013EC7">
            <w:pPr>
              <w:rPr>
                <w:rFonts w:ascii="仿宋" w:eastAsia="仿宋" w:hAnsi="仿宋" w:cs="仿宋"/>
                <w:kern w:val="1"/>
                <w:sz w:val="24"/>
              </w:rPr>
            </w:pPr>
          </w:p>
        </w:tc>
        <w:tc>
          <w:tcPr>
            <w:tcW w:w="1476" w:type="dxa"/>
            <w:vAlign w:val="center"/>
          </w:tcPr>
          <w:p w:rsidR="00013EC7" w:rsidRDefault="00013EC7">
            <w:pPr>
              <w:rPr>
                <w:rFonts w:ascii="仿宋" w:eastAsia="仿宋" w:hAnsi="仿宋" w:cs="仿宋"/>
                <w:kern w:val="1"/>
                <w:sz w:val="24"/>
              </w:rPr>
            </w:pPr>
          </w:p>
        </w:tc>
      </w:tr>
      <w:tr w:rsidR="00013EC7">
        <w:trPr>
          <w:trHeight w:val="128"/>
          <w:jc w:val="center"/>
        </w:trPr>
        <w:tc>
          <w:tcPr>
            <w:tcW w:w="1250" w:type="dxa"/>
            <w:vMerge/>
            <w:vAlign w:val="center"/>
          </w:tcPr>
          <w:p w:rsidR="00013EC7" w:rsidRDefault="00013EC7">
            <w:pPr>
              <w:rPr>
                <w:rFonts w:ascii="仿宋" w:eastAsia="仿宋" w:hAnsi="仿宋" w:cs="仿宋"/>
                <w:kern w:val="1"/>
                <w:sz w:val="24"/>
              </w:rPr>
            </w:pPr>
          </w:p>
        </w:tc>
        <w:tc>
          <w:tcPr>
            <w:tcW w:w="1316" w:type="dxa"/>
            <w:vMerge/>
            <w:vAlign w:val="center"/>
          </w:tcPr>
          <w:p w:rsidR="00013EC7" w:rsidRDefault="00013EC7">
            <w:pPr>
              <w:rPr>
                <w:rFonts w:ascii="仿宋" w:eastAsia="仿宋" w:hAnsi="仿宋" w:cs="仿宋"/>
                <w:kern w:val="1"/>
                <w:sz w:val="24"/>
              </w:rPr>
            </w:pPr>
          </w:p>
        </w:tc>
        <w:tc>
          <w:tcPr>
            <w:tcW w:w="2122" w:type="dxa"/>
            <w:vMerge/>
            <w:vAlign w:val="center"/>
          </w:tcPr>
          <w:p w:rsidR="00013EC7" w:rsidRDefault="00013EC7">
            <w:pPr>
              <w:rPr>
                <w:rFonts w:ascii="仿宋" w:eastAsia="仿宋" w:hAnsi="仿宋" w:cs="仿宋"/>
                <w:kern w:val="1"/>
                <w:sz w:val="24"/>
              </w:rPr>
            </w:pPr>
          </w:p>
        </w:tc>
        <w:tc>
          <w:tcPr>
            <w:tcW w:w="2777" w:type="dxa"/>
            <w:vAlign w:val="center"/>
          </w:tcPr>
          <w:p w:rsidR="00013EC7" w:rsidRDefault="00013EC7">
            <w:pPr>
              <w:rPr>
                <w:rFonts w:ascii="仿宋" w:eastAsia="仿宋" w:hAnsi="仿宋" w:cs="仿宋"/>
                <w:kern w:val="1"/>
                <w:sz w:val="24"/>
              </w:rPr>
            </w:pPr>
          </w:p>
        </w:tc>
        <w:tc>
          <w:tcPr>
            <w:tcW w:w="1118" w:type="dxa"/>
            <w:vAlign w:val="center"/>
          </w:tcPr>
          <w:p w:rsidR="00013EC7" w:rsidRDefault="00013EC7">
            <w:pPr>
              <w:rPr>
                <w:rFonts w:ascii="仿宋" w:eastAsia="仿宋" w:hAnsi="仿宋" w:cs="仿宋"/>
                <w:kern w:val="1"/>
                <w:sz w:val="24"/>
              </w:rPr>
            </w:pPr>
          </w:p>
        </w:tc>
        <w:tc>
          <w:tcPr>
            <w:tcW w:w="2403" w:type="dxa"/>
            <w:vAlign w:val="center"/>
          </w:tcPr>
          <w:p w:rsidR="00013EC7" w:rsidRDefault="00575CDB">
            <w:pPr>
              <w:rPr>
                <w:rFonts w:ascii="仿宋" w:eastAsia="仿宋" w:hAnsi="仿宋" w:cs="仿宋"/>
                <w:kern w:val="1"/>
                <w:sz w:val="24"/>
              </w:rPr>
            </w:pPr>
            <w:r>
              <w:rPr>
                <w:rFonts w:ascii="仿宋" w:eastAsia="仿宋" w:hAnsi="仿宋" w:cs="仿宋"/>
                <w:kern w:val="1"/>
                <w:sz w:val="24"/>
              </w:rPr>
              <w:t>（三十</w:t>
            </w:r>
            <w:r>
              <w:rPr>
                <w:rFonts w:ascii="仿宋" w:eastAsia="仿宋" w:hAnsi="仿宋" w:cs="仿宋" w:hint="eastAsia"/>
                <w:kern w:val="1"/>
                <w:sz w:val="24"/>
              </w:rPr>
              <w:t>三</w:t>
            </w:r>
            <w:r>
              <w:rPr>
                <w:rFonts w:ascii="仿宋" w:eastAsia="仿宋" w:hAnsi="仿宋" w:cs="仿宋"/>
                <w:kern w:val="1"/>
                <w:sz w:val="24"/>
              </w:rPr>
              <w:t>）</w:t>
            </w:r>
            <w:r>
              <w:rPr>
                <w:rFonts w:ascii="仿宋" w:eastAsia="仿宋" w:hAnsi="仿宋" w:cs="仿宋" w:hint="eastAsia"/>
                <w:kern w:val="1"/>
                <w:sz w:val="24"/>
              </w:rPr>
              <w:t xml:space="preserve"> 代办退税申报电子数据。</w:t>
            </w:r>
          </w:p>
        </w:tc>
        <w:tc>
          <w:tcPr>
            <w:tcW w:w="1606" w:type="dxa"/>
            <w:vMerge/>
            <w:vAlign w:val="center"/>
          </w:tcPr>
          <w:p w:rsidR="00013EC7" w:rsidRDefault="00013EC7">
            <w:pPr>
              <w:rPr>
                <w:rFonts w:ascii="仿宋" w:eastAsia="仿宋" w:hAnsi="仿宋" w:cs="仿宋"/>
                <w:kern w:val="1"/>
                <w:sz w:val="24"/>
              </w:rPr>
            </w:pPr>
          </w:p>
        </w:tc>
        <w:tc>
          <w:tcPr>
            <w:tcW w:w="2908" w:type="dxa"/>
            <w:vAlign w:val="center"/>
          </w:tcPr>
          <w:p w:rsidR="00013EC7" w:rsidRDefault="00575CDB">
            <w:pPr>
              <w:rPr>
                <w:rFonts w:ascii="仿宋" w:eastAsia="仿宋" w:hAnsi="仿宋" w:cs="仿宋"/>
                <w:b/>
                <w:kern w:val="1"/>
                <w:sz w:val="24"/>
              </w:rPr>
            </w:pPr>
            <w:r>
              <w:rPr>
                <w:rFonts w:ascii="仿宋" w:eastAsia="仿宋" w:hAnsi="仿宋" w:cs="仿宋" w:hint="eastAsia"/>
                <w:b/>
                <w:sz w:val="24"/>
              </w:rPr>
              <w:t>现场办理：</w:t>
            </w:r>
            <w:r>
              <w:rPr>
                <w:rFonts w:ascii="仿宋" w:eastAsia="仿宋" w:hAnsi="仿宋" w:cs="仿宋" w:hint="eastAsia"/>
                <w:sz w:val="24"/>
              </w:rPr>
              <w:t>纳税人提交电子数据。</w:t>
            </w:r>
          </w:p>
          <w:p w:rsidR="00013EC7" w:rsidRDefault="00575CDB">
            <w:pPr>
              <w:rPr>
                <w:rFonts w:ascii="仿宋" w:eastAsia="仿宋" w:hAnsi="仿宋" w:cs="仿宋"/>
                <w:kern w:val="1"/>
                <w:sz w:val="24"/>
              </w:rPr>
            </w:pPr>
            <w:r>
              <w:rPr>
                <w:rFonts w:ascii="仿宋" w:eastAsia="仿宋" w:hAnsi="仿宋" w:cs="仿宋" w:hint="eastAsia"/>
                <w:b/>
                <w:kern w:val="1"/>
                <w:sz w:val="24"/>
              </w:rPr>
              <w:t>网上办理：</w:t>
            </w:r>
            <w:r>
              <w:rPr>
                <w:rFonts w:ascii="仿宋" w:eastAsia="仿宋" w:hAnsi="仿宋" w:cs="仿宋" w:hint="eastAsia"/>
                <w:kern w:val="1"/>
                <w:sz w:val="24"/>
              </w:rPr>
              <w:t>登录浙江省国家税务局电子税务局提交电子数据。</w:t>
            </w:r>
          </w:p>
        </w:tc>
        <w:tc>
          <w:tcPr>
            <w:tcW w:w="868" w:type="dxa"/>
            <w:vAlign w:val="center"/>
          </w:tcPr>
          <w:p w:rsidR="00013EC7" w:rsidRDefault="00013EC7">
            <w:pPr>
              <w:rPr>
                <w:rFonts w:ascii="仿宋" w:eastAsia="仿宋" w:hAnsi="仿宋" w:cs="仿宋"/>
                <w:kern w:val="1"/>
                <w:sz w:val="24"/>
              </w:rPr>
            </w:pPr>
          </w:p>
        </w:tc>
        <w:tc>
          <w:tcPr>
            <w:tcW w:w="798" w:type="dxa"/>
            <w:vAlign w:val="center"/>
          </w:tcPr>
          <w:p w:rsidR="00013EC7" w:rsidRDefault="00013EC7">
            <w:pPr>
              <w:rPr>
                <w:rFonts w:ascii="仿宋" w:eastAsia="仿宋" w:hAnsi="仿宋" w:cs="仿宋"/>
                <w:kern w:val="1"/>
                <w:sz w:val="24"/>
              </w:rPr>
            </w:pPr>
          </w:p>
        </w:tc>
        <w:tc>
          <w:tcPr>
            <w:tcW w:w="958" w:type="dxa"/>
            <w:vAlign w:val="center"/>
          </w:tcPr>
          <w:p w:rsidR="00013EC7" w:rsidRDefault="00013EC7">
            <w:pPr>
              <w:rPr>
                <w:rFonts w:ascii="仿宋" w:eastAsia="仿宋" w:hAnsi="仿宋" w:cs="仿宋"/>
                <w:kern w:val="1"/>
                <w:sz w:val="24"/>
              </w:rPr>
            </w:pPr>
          </w:p>
        </w:tc>
        <w:tc>
          <w:tcPr>
            <w:tcW w:w="1104" w:type="dxa"/>
            <w:vAlign w:val="center"/>
          </w:tcPr>
          <w:p w:rsidR="00013EC7" w:rsidRDefault="00013EC7">
            <w:pPr>
              <w:rPr>
                <w:rFonts w:ascii="仿宋" w:eastAsia="仿宋" w:hAnsi="仿宋" w:cs="仿宋"/>
                <w:kern w:val="1"/>
                <w:sz w:val="24"/>
              </w:rPr>
            </w:pPr>
          </w:p>
        </w:tc>
        <w:tc>
          <w:tcPr>
            <w:tcW w:w="1476" w:type="dxa"/>
            <w:vAlign w:val="center"/>
          </w:tcPr>
          <w:p w:rsidR="00013EC7" w:rsidRDefault="00013EC7">
            <w:pPr>
              <w:rPr>
                <w:rFonts w:ascii="仿宋" w:eastAsia="仿宋" w:hAnsi="仿宋" w:cs="仿宋"/>
                <w:kern w:val="1"/>
                <w:sz w:val="24"/>
              </w:rPr>
            </w:pPr>
          </w:p>
        </w:tc>
      </w:tr>
      <w:tr w:rsidR="00013EC7">
        <w:trPr>
          <w:trHeight w:val="128"/>
          <w:jc w:val="center"/>
        </w:trPr>
        <w:tc>
          <w:tcPr>
            <w:tcW w:w="1250" w:type="dxa"/>
            <w:vMerge/>
            <w:vAlign w:val="center"/>
          </w:tcPr>
          <w:p w:rsidR="00013EC7" w:rsidRDefault="00013EC7">
            <w:pPr>
              <w:rPr>
                <w:rFonts w:ascii="仿宋" w:eastAsia="仿宋" w:hAnsi="仿宋" w:cs="仿宋"/>
                <w:kern w:val="1"/>
                <w:sz w:val="24"/>
              </w:rPr>
            </w:pPr>
          </w:p>
        </w:tc>
        <w:tc>
          <w:tcPr>
            <w:tcW w:w="1316" w:type="dxa"/>
            <w:vMerge/>
            <w:vAlign w:val="center"/>
          </w:tcPr>
          <w:p w:rsidR="00013EC7" w:rsidRDefault="00013EC7">
            <w:pPr>
              <w:rPr>
                <w:rFonts w:ascii="仿宋" w:eastAsia="仿宋" w:hAnsi="仿宋" w:cs="仿宋"/>
                <w:kern w:val="1"/>
                <w:sz w:val="24"/>
              </w:rPr>
            </w:pPr>
          </w:p>
        </w:tc>
        <w:tc>
          <w:tcPr>
            <w:tcW w:w="2122" w:type="dxa"/>
            <w:vMerge/>
            <w:vAlign w:val="center"/>
          </w:tcPr>
          <w:p w:rsidR="00013EC7" w:rsidRDefault="00013EC7">
            <w:pPr>
              <w:rPr>
                <w:rFonts w:ascii="仿宋" w:eastAsia="仿宋" w:hAnsi="仿宋" w:cs="仿宋"/>
                <w:kern w:val="1"/>
                <w:sz w:val="24"/>
              </w:rPr>
            </w:pPr>
          </w:p>
        </w:tc>
        <w:tc>
          <w:tcPr>
            <w:tcW w:w="2777" w:type="dxa"/>
            <w:vAlign w:val="center"/>
          </w:tcPr>
          <w:p w:rsidR="00013EC7" w:rsidRDefault="00013EC7">
            <w:pPr>
              <w:rPr>
                <w:rFonts w:ascii="仿宋" w:eastAsia="仿宋" w:hAnsi="仿宋" w:cs="仿宋"/>
                <w:kern w:val="1"/>
                <w:sz w:val="24"/>
              </w:rPr>
            </w:pPr>
          </w:p>
        </w:tc>
        <w:tc>
          <w:tcPr>
            <w:tcW w:w="1118" w:type="dxa"/>
            <w:vAlign w:val="center"/>
          </w:tcPr>
          <w:p w:rsidR="00013EC7" w:rsidRDefault="00013EC7">
            <w:pPr>
              <w:rPr>
                <w:rFonts w:ascii="仿宋" w:eastAsia="仿宋" w:hAnsi="仿宋" w:cs="仿宋"/>
                <w:kern w:val="1"/>
                <w:sz w:val="24"/>
              </w:rPr>
            </w:pPr>
          </w:p>
        </w:tc>
        <w:tc>
          <w:tcPr>
            <w:tcW w:w="2403" w:type="dxa"/>
            <w:vAlign w:val="center"/>
          </w:tcPr>
          <w:p w:rsidR="00013EC7" w:rsidRDefault="00575CDB">
            <w:pPr>
              <w:rPr>
                <w:rFonts w:ascii="仿宋" w:eastAsia="仿宋" w:hAnsi="仿宋" w:cs="仿宋"/>
                <w:kern w:val="1"/>
                <w:sz w:val="24"/>
              </w:rPr>
            </w:pPr>
            <w:r>
              <w:rPr>
                <w:rFonts w:ascii="仿宋" w:eastAsia="仿宋" w:hAnsi="仿宋" w:cs="仿宋"/>
                <w:kern w:val="1"/>
                <w:sz w:val="24"/>
              </w:rPr>
              <w:t>（三十</w:t>
            </w:r>
            <w:r>
              <w:rPr>
                <w:rFonts w:ascii="仿宋" w:eastAsia="仿宋" w:hAnsi="仿宋" w:cs="仿宋" w:hint="eastAsia"/>
                <w:kern w:val="1"/>
                <w:sz w:val="24"/>
              </w:rPr>
              <w:t>四</w:t>
            </w:r>
            <w:r>
              <w:rPr>
                <w:rFonts w:ascii="仿宋" w:eastAsia="仿宋" w:hAnsi="仿宋" w:cs="仿宋"/>
                <w:kern w:val="1"/>
                <w:sz w:val="24"/>
              </w:rPr>
              <w:t>）</w:t>
            </w:r>
            <w:r>
              <w:rPr>
                <w:rFonts w:ascii="仿宋" w:eastAsia="仿宋" w:hAnsi="仿宋" w:cs="仿宋" w:hint="eastAsia"/>
                <w:kern w:val="1"/>
                <w:sz w:val="24"/>
              </w:rPr>
              <w:t xml:space="preserve"> 出口货物收汇凭证</w:t>
            </w:r>
          </w:p>
          <w:p w:rsidR="00013EC7" w:rsidRDefault="00013EC7">
            <w:pPr>
              <w:rPr>
                <w:rFonts w:ascii="仿宋" w:eastAsia="仿宋" w:hAnsi="仿宋" w:cs="仿宋"/>
                <w:kern w:val="1"/>
                <w:sz w:val="24"/>
              </w:rPr>
            </w:pPr>
          </w:p>
        </w:tc>
        <w:tc>
          <w:tcPr>
            <w:tcW w:w="1606"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存在下列五类情形之一的综服企业需提供（1）被外汇管理部门列为C类企业的；</w:t>
            </w:r>
          </w:p>
          <w:p w:rsidR="00013EC7" w:rsidRDefault="00575CDB">
            <w:pPr>
              <w:rPr>
                <w:rFonts w:ascii="仿宋" w:eastAsia="仿宋" w:hAnsi="仿宋" w:cs="仿宋"/>
                <w:kern w:val="1"/>
                <w:sz w:val="24"/>
              </w:rPr>
            </w:pPr>
            <w:r>
              <w:rPr>
                <w:rFonts w:ascii="仿宋" w:eastAsia="仿宋" w:hAnsi="仿宋" w:cs="仿宋" w:hint="eastAsia"/>
                <w:kern w:val="1"/>
                <w:sz w:val="24"/>
              </w:rPr>
              <w:t>（2）被海关列为失信企业的；</w:t>
            </w:r>
          </w:p>
          <w:p w:rsidR="00013EC7" w:rsidRDefault="00575CDB">
            <w:pPr>
              <w:rPr>
                <w:rFonts w:ascii="仿宋" w:eastAsia="仿宋" w:hAnsi="仿宋" w:cs="仿宋"/>
                <w:kern w:val="1"/>
                <w:sz w:val="24"/>
              </w:rPr>
            </w:pPr>
            <w:r>
              <w:rPr>
                <w:rFonts w:ascii="仿宋" w:eastAsia="仿宋" w:hAnsi="仿宋" w:cs="仿宋" w:hint="eastAsia"/>
                <w:kern w:val="1"/>
                <w:sz w:val="24"/>
              </w:rPr>
              <w:t>（3）被税务机关评定为D级纳税信用等级的；</w:t>
            </w:r>
          </w:p>
          <w:p w:rsidR="00013EC7" w:rsidRDefault="00575CDB">
            <w:pPr>
              <w:rPr>
                <w:rFonts w:ascii="仿宋" w:eastAsia="仿宋" w:hAnsi="仿宋" w:cs="仿宋"/>
                <w:kern w:val="1"/>
                <w:sz w:val="24"/>
              </w:rPr>
            </w:pPr>
            <w:r>
              <w:rPr>
                <w:rFonts w:ascii="仿宋" w:eastAsia="仿宋" w:hAnsi="仿宋" w:cs="仿宋" w:hint="eastAsia"/>
                <w:kern w:val="1"/>
                <w:sz w:val="24"/>
              </w:rPr>
              <w:t>（4）主管税务机关发现综服企业申报的不能收汇的原因为虚假的；</w:t>
            </w:r>
          </w:p>
          <w:p w:rsidR="00013EC7" w:rsidRDefault="00575CDB">
            <w:pPr>
              <w:rPr>
                <w:rFonts w:ascii="仿宋" w:eastAsia="仿宋" w:hAnsi="仿宋" w:cs="仿宋"/>
                <w:kern w:val="1"/>
                <w:sz w:val="24"/>
              </w:rPr>
            </w:pPr>
            <w:r>
              <w:rPr>
                <w:rFonts w:ascii="仿宋" w:eastAsia="仿宋" w:hAnsi="仿宋" w:cs="仿宋" w:hint="eastAsia"/>
                <w:kern w:val="1"/>
                <w:sz w:val="24"/>
              </w:rPr>
              <w:t>（5）主管税务机关发现综服企业提供的出口货物收汇凭证是冒用的。</w:t>
            </w:r>
          </w:p>
        </w:tc>
        <w:tc>
          <w:tcPr>
            <w:tcW w:w="2908" w:type="dxa"/>
            <w:vAlign w:val="center"/>
          </w:tcPr>
          <w:p w:rsidR="00013EC7" w:rsidRDefault="00575CDB">
            <w:pPr>
              <w:rPr>
                <w:rFonts w:ascii="仿宋" w:eastAsia="仿宋" w:hAnsi="仿宋" w:cs="仿宋"/>
                <w:kern w:val="1"/>
                <w:sz w:val="24"/>
              </w:rPr>
            </w:pPr>
            <w:r>
              <w:rPr>
                <w:rFonts w:ascii="仿宋" w:eastAsia="仿宋" w:hAnsi="仿宋" w:cs="仿宋" w:hint="eastAsia"/>
                <w:b/>
                <w:sz w:val="24"/>
              </w:rPr>
              <w:t>现场办理：</w:t>
            </w:r>
            <w:r>
              <w:rPr>
                <w:rFonts w:ascii="仿宋" w:eastAsia="仿宋" w:hAnsi="仿宋" w:cs="仿宋" w:hint="eastAsia"/>
                <w:sz w:val="24"/>
              </w:rPr>
              <w:t>纳税人提交书面材料（无纸化企业留存备查）。</w:t>
            </w:r>
          </w:p>
        </w:tc>
        <w:tc>
          <w:tcPr>
            <w:tcW w:w="868" w:type="dxa"/>
            <w:vAlign w:val="center"/>
          </w:tcPr>
          <w:p w:rsidR="00013EC7" w:rsidRDefault="00013EC7">
            <w:pPr>
              <w:rPr>
                <w:rFonts w:ascii="仿宋" w:eastAsia="仿宋" w:hAnsi="仿宋" w:cs="仿宋"/>
                <w:kern w:val="1"/>
                <w:sz w:val="24"/>
              </w:rPr>
            </w:pPr>
          </w:p>
        </w:tc>
        <w:tc>
          <w:tcPr>
            <w:tcW w:w="798" w:type="dxa"/>
            <w:vAlign w:val="center"/>
          </w:tcPr>
          <w:p w:rsidR="00013EC7" w:rsidRDefault="00013EC7">
            <w:pPr>
              <w:rPr>
                <w:rFonts w:ascii="仿宋" w:eastAsia="仿宋" w:hAnsi="仿宋" w:cs="仿宋"/>
                <w:kern w:val="1"/>
                <w:sz w:val="24"/>
              </w:rPr>
            </w:pPr>
          </w:p>
        </w:tc>
        <w:tc>
          <w:tcPr>
            <w:tcW w:w="958" w:type="dxa"/>
            <w:vAlign w:val="center"/>
          </w:tcPr>
          <w:p w:rsidR="00013EC7" w:rsidRDefault="00013EC7">
            <w:pPr>
              <w:rPr>
                <w:rFonts w:ascii="仿宋" w:eastAsia="仿宋" w:hAnsi="仿宋" w:cs="仿宋"/>
                <w:kern w:val="1"/>
                <w:sz w:val="24"/>
              </w:rPr>
            </w:pPr>
          </w:p>
        </w:tc>
        <w:tc>
          <w:tcPr>
            <w:tcW w:w="1104" w:type="dxa"/>
            <w:vAlign w:val="center"/>
          </w:tcPr>
          <w:p w:rsidR="00013EC7" w:rsidRDefault="00013EC7">
            <w:pPr>
              <w:rPr>
                <w:rFonts w:ascii="仿宋" w:eastAsia="仿宋" w:hAnsi="仿宋" w:cs="仿宋"/>
                <w:kern w:val="1"/>
                <w:sz w:val="24"/>
              </w:rPr>
            </w:pPr>
          </w:p>
        </w:tc>
        <w:tc>
          <w:tcPr>
            <w:tcW w:w="1476" w:type="dxa"/>
            <w:vAlign w:val="center"/>
          </w:tcPr>
          <w:p w:rsidR="00013EC7" w:rsidRDefault="00013EC7">
            <w:pPr>
              <w:rPr>
                <w:rFonts w:ascii="仿宋" w:eastAsia="仿宋" w:hAnsi="仿宋" w:cs="仿宋"/>
                <w:kern w:val="1"/>
                <w:sz w:val="24"/>
              </w:rPr>
            </w:pPr>
          </w:p>
        </w:tc>
      </w:tr>
    </w:tbl>
    <w:p w:rsidR="00013EC7" w:rsidRDefault="00013EC7">
      <w:pPr>
        <w:rPr>
          <w:rFonts w:ascii="仿宋" w:eastAsia="仿宋" w:hAnsi="仿宋" w:cs="仿宋"/>
          <w:kern w:val="1"/>
          <w:sz w:val="24"/>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575CDB">
      <w:pPr>
        <w:jc w:val="center"/>
        <w:rPr>
          <w:rFonts w:eastAsia="方正书宋简体"/>
          <w:szCs w:val="21"/>
        </w:rPr>
      </w:pPr>
      <w:r>
        <w:object w:dxaOrig="9980" w:dyaOrig="10850">
          <v:shape id="_x0000_i1203" type="#_x0000_t75" style="width:499pt;height:541.95pt" o:ole="">
            <v:imagedata r:id="rId476" o:title=""/>
          </v:shape>
          <o:OLEObject Type="Embed" ProgID="Visio.Drawing.11" ShapeID="_x0000_i1203" DrawAspect="Content" ObjectID="_1577296126" r:id="rId477"/>
        </w:object>
      </w:r>
      <w:r>
        <w:object w:dxaOrig="9966" w:dyaOrig="10764">
          <v:shape id="_x0000_i1204" type="#_x0000_t75" style="width:498.3pt;height:538.2pt" o:ole="">
            <v:imagedata r:id="rId478" o:title=""/>
          </v:shape>
          <o:OLEObject Type="Embed" ProgID="Visio.Drawing.11" ShapeID="_x0000_i1204" DrawAspect="Content" ObjectID="_1577296127" r:id="rId479"/>
        </w:object>
      </w:r>
    </w:p>
    <w:p w:rsidR="00013EC7" w:rsidRDefault="00013EC7">
      <w:pPr>
        <w:rPr>
          <w:rFonts w:ascii="宋体" w:hAnsi="宋体" w:cs="仿宋"/>
          <w:kern w:val="1"/>
          <w:sz w:val="28"/>
          <w:szCs w:val="28"/>
        </w:rPr>
      </w:pPr>
    </w:p>
    <w:p w:rsidR="00013EC7" w:rsidRDefault="00013EC7">
      <w:pPr>
        <w:rPr>
          <w:rFonts w:ascii="宋体" w:hAnsi="宋体" w:cs="仿宋"/>
          <w:kern w:val="1"/>
          <w:sz w:val="28"/>
          <w:szCs w:val="28"/>
        </w:rPr>
      </w:pPr>
    </w:p>
    <w:p w:rsidR="00013EC7" w:rsidRDefault="00013EC7">
      <w:pPr>
        <w:rPr>
          <w:rFonts w:ascii="宋体" w:hAnsi="宋体" w:cs="仿宋"/>
          <w:kern w:val="1"/>
          <w:sz w:val="28"/>
          <w:szCs w:val="28"/>
        </w:rPr>
      </w:pPr>
    </w:p>
    <w:p w:rsidR="00013EC7" w:rsidRDefault="00575CDB">
      <w:pPr>
        <w:pStyle w:val="2"/>
      </w:pPr>
      <w:bookmarkStart w:id="594" w:name="_Toc503467486"/>
      <w:bookmarkStart w:id="595" w:name="_Toc6137"/>
      <w:bookmarkStart w:id="596" w:name="_Toc26522"/>
      <w:bookmarkStart w:id="597" w:name="_Toc32511"/>
      <w:r>
        <w:rPr>
          <w:rFonts w:hint="eastAsia"/>
        </w:rPr>
        <w:lastRenderedPageBreak/>
        <w:t>29.5</w:t>
      </w:r>
      <w:r>
        <w:rPr>
          <w:rFonts w:hint="eastAsia"/>
        </w:rPr>
        <w:t>适用增值税零税率应税服务免抵退税办理</w:t>
      </w:r>
      <w:bookmarkEnd w:id="594"/>
      <w:bookmarkEnd w:id="595"/>
      <w:bookmarkEnd w:id="596"/>
      <w:bookmarkEnd w:id="597"/>
    </w:p>
    <w:p w:rsidR="00013EC7" w:rsidRDefault="00575CDB">
      <w:pPr>
        <w:jc w:val="center"/>
        <w:rPr>
          <w:rFonts w:ascii="宋体" w:hAnsi="宋体" w:cs="宋体"/>
          <w:b/>
          <w:bCs/>
          <w:sz w:val="52"/>
          <w:szCs w:val="52"/>
        </w:rPr>
      </w:pPr>
      <w:r>
        <w:rPr>
          <w:rFonts w:ascii="宋体" w:hAnsi="宋体" w:cs="宋体" w:hint="eastAsia"/>
          <w:b/>
          <w:bCs/>
          <w:sz w:val="52"/>
          <w:szCs w:val="52"/>
        </w:rPr>
        <w:t>全省“最多跑一次”事项“八统一”梳理表</w:t>
      </w:r>
    </w:p>
    <w:p w:rsidR="00013EC7" w:rsidRDefault="00013EC7">
      <w:pPr>
        <w:rPr>
          <w:rFonts w:ascii="宋体" w:hAnsi="宋体" w:cs="宋体"/>
          <w:b/>
          <w:bCs/>
          <w:sz w:val="44"/>
          <w:szCs w:val="44"/>
        </w:rPr>
      </w:pPr>
    </w:p>
    <w:tbl>
      <w:tblPr>
        <w:tblW w:w="20704"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1250"/>
        <w:gridCol w:w="1316"/>
        <w:gridCol w:w="2114"/>
        <w:gridCol w:w="2731"/>
        <w:gridCol w:w="1123"/>
        <w:gridCol w:w="2452"/>
        <w:gridCol w:w="1196"/>
        <w:gridCol w:w="3318"/>
        <w:gridCol w:w="868"/>
        <w:gridCol w:w="798"/>
        <w:gridCol w:w="958"/>
        <w:gridCol w:w="1104"/>
        <w:gridCol w:w="1476"/>
      </w:tblGrid>
      <w:tr w:rsidR="00013EC7">
        <w:trPr>
          <w:trHeight w:val="340"/>
          <w:tblHeader/>
          <w:jc w:val="center"/>
        </w:trPr>
        <w:tc>
          <w:tcPr>
            <w:tcW w:w="1250"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主项名称</w:t>
            </w:r>
          </w:p>
        </w:tc>
        <w:tc>
          <w:tcPr>
            <w:tcW w:w="1316"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子项名称</w:t>
            </w:r>
          </w:p>
        </w:tc>
        <w:tc>
          <w:tcPr>
            <w:tcW w:w="2114"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经办依据</w:t>
            </w:r>
          </w:p>
        </w:tc>
        <w:tc>
          <w:tcPr>
            <w:tcW w:w="3854"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原经办所需材料</w:t>
            </w:r>
          </w:p>
        </w:tc>
        <w:tc>
          <w:tcPr>
            <w:tcW w:w="6966" w:type="dxa"/>
            <w:gridSpan w:val="3"/>
            <w:vAlign w:val="center"/>
          </w:tcPr>
          <w:p w:rsidR="00013EC7" w:rsidRDefault="00575CDB">
            <w:pPr>
              <w:spacing w:line="280" w:lineRule="exact"/>
              <w:jc w:val="center"/>
              <w:rPr>
                <w:rFonts w:ascii="黑体" w:eastAsia="黑体"/>
                <w:sz w:val="24"/>
              </w:rPr>
            </w:pPr>
            <w:r>
              <w:rPr>
                <w:rFonts w:ascii="黑体" w:eastAsia="黑体" w:hint="eastAsia"/>
                <w:sz w:val="24"/>
              </w:rPr>
              <w:t>梳理后经办所需材料</w:t>
            </w:r>
          </w:p>
        </w:tc>
        <w:tc>
          <w:tcPr>
            <w:tcW w:w="1666"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办理时限</w:t>
            </w:r>
          </w:p>
        </w:tc>
        <w:tc>
          <w:tcPr>
            <w:tcW w:w="958"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是否实现跑零次</w:t>
            </w:r>
          </w:p>
        </w:tc>
        <w:tc>
          <w:tcPr>
            <w:tcW w:w="1104"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省厅对口</w:t>
            </w:r>
          </w:p>
          <w:p w:rsidR="00013EC7" w:rsidRDefault="00575CDB">
            <w:pPr>
              <w:spacing w:line="280" w:lineRule="exact"/>
              <w:jc w:val="center"/>
              <w:rPr>
                <w:rFonts w:ascii="黑体" w:eastAsia="黑体"/>
                <w:sz w:val="24"/>
              </w:rPr>
            </w:pPr>
            <w:r>
              <w:rPr>
                <w:rFonts w:ascii="黑体" w:eastAsia="黑体" w:hint="eastAsia"/>
                <w:sz w:val="24"/>
              </w:rPr>
              <w:t>指导处室</w:t>
            </w:r>
          </w:p>
          <w:p w:rsidR="00013EC7" w:rsidRDefault="00575CDB">
            <w:pPr>
              <w:spacing w:line="280" w:lineRule="exact"/>
              <w:jc w:val="center"/>
              <w:rPr>
                <w:rFonts w:ascii="黑体" w:eastAsia="黑体"/>
                <w:sz w:val="24"/>
              </w:rPr>
            </w:pPr>
            <w:r>
              <w:rPr>
                <w:rFonts w:ascii="黑体" w:eastAsia="黑体" w:hint="eastAsia"/>
                <w:sz w:val="24"/>
              </w:rPr>
              <w:t>（单位）</w:t>
            </w:r>
          </w:p>
        </w:tc>
        <w:tc>
          <w:tcPr>
            <w:tcW w:w="1476"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进一步精简、</w:t>
            </w:r>
          </w:p>
          <w:p w:rsidR="00013EC7" w:rsidRDefault="00575CDB">
            <w:pPr>
              <w:spacing w:line="280" w:lineRule="exact"/>
              <w:jc w:val="center"/>
              <w:rPr>
                <w:rFonts w:ascii="黑体" w:eastAsia="黑体"/>
                <w:sz w:val="24"/>
              </w:rPr>
            </w:pPr>
            <w:r>
              <w:rPr>
                <w:rFonts w:ascii="黑体" w:eastAsia="黑体" w:hint="eastAsia"/>
                <w:sz w:val="24"/>
              </w:rPr>
              <w:t>规范建议</w:t>
            </w:r>
          </w:p>
        </w:tc>
      </w:tr>
      <w:tr w:rsidR="00013EC7">
        <w:trPr>
          <w:trHeight w:val="340"/>
          <w:tblHeader/>
          <w:jc w:val="center"/>
        </w:trPr>
        <w:tc>
          <w:tcPr>
            <w:tcW w:w="1250" w:type="dxa"/>
            <w:vMerge/>
            <w:vAlign w:val="center"/>
          </w:tcPr>
          <w:p w:rsidR="00013EC7" w:rsidRDefault="00013EC7">
            <w:pPr>
              <w:rPr>
                <w:sz w:val="24"/>
              </w:rPr>
            </w:pPr>
          </w:p>
        </w:tc>
        <w:tc>
          <w:tcPr>
            <w:tcW w:w="1316" w:type="dxa"/>
            <w:vMerge/>
          </w:tcPr>
          <w:p w:rsidR="00013EC7" w:rsidRDefault="00013EC7">
            <w:pPr>
              <w:rPr>
                <w:sz w:val="24"/>
              </w:rPr>
            </w:pPr>
          </w:p>
        </w:tc>
        <w:tc>
          <w:tcPr>
            <w:tcW w:w="2114" w:type="dxa"/>
            <w:vMerge/>
          </w:tcPr>
          <w:p w:rsidR="00013EC7" w:rsidRDefault="00013EC7">
            <w:pPr>
              <w:rPr>
                <w:sz w:val="24"/>
              </w:rPr>
            </w:pPr>
          </w:p>
        </w:tc>
        <w:tc>
          <w:tcPr>
            <w:tcW w:w="2731" w:type="dxa"/>
            <w:tcBorders>
              <w:bottom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123"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2452" w:type="dxa"/>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196"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3318" w:type="dxa"/>
            <w:vAlign w:val="center"/>
          </w:tcPr>
          <w:p w:rsidR="00013EC7" w:rsidRDefault="00575CDB">
            <w:pPr>
              <w:spacing w:line="280" w:lineRule="exact"/>
              <w:jc w:val="center"/>
              <w:rPr>
                <w:rFonts w:ascii="黑体" w:eastAsia="黑体"/>
                <w:sz w:val="24"/>
              </w:rPr>
            </w:pPr>
            <w:r>
              <w:rPr>
                <w:rFonts w:ascii="黑体" w:eastAsia="黑体" w:hint="eastAsia"/>
                <w:sz w:val="24"/>
              </w:rPr>
              <w:t>办理方式及材料</w:t>
            </w:r>
          </w:p>
          <w:p w:rsidR="00013EC7" w:rsidRDefault="00575CDB">
            <w:pPr>
              <w:spacing w:line="280" w:lineRule="exact"/>
              <w:jc w:val="center"/>
              <w:rPr>
                <w:rFonts w:ascii="黑体" w:eastAsia="黑体"/>
                <w:sz w:val="24"/>
              </w:rPr>
            </w:pPr>
            <w:r>
              <w:rPr>
                <w:rFonts w:ascii="黑体" w:eastAsia="黑体" w:hint="eastAsia"/>
                <w:sz w:val="24"/>
              </w:rPr>
              <w:t>信息获取方式说明</w:t>
            </w:r>
          </w:p>
        </w:tc>
        <w:tc>
          <w:tcPr>
            <w:tcW w:w="868" w:type="dxa"/>
            <w:vAlign w:val="center"/>
          </w:tcPr>
          <w:p w:rsidR="00013EC7" w:rsidRDefault="00575CDB">
            <w:pPr>
              <w:spacing w:line="280" w:lineRule="exact"/>
              <w:jc w:val="center"/>
              <w:rPr>
                <w:rFonts w:ascii="黑体" w:eastAsia="黑体"/>
                <w:sz w:val="24"/>
              </w:rPr>
            </w:pPr>
            <w:r>
              <w:rPr>
                <w:rFonts w:ascii="黑体" w:eastAsia="黑体" w:hint="eastAsia"/>
                <w:sz w:val="24"/>
              </w:rPr>
              <w:t>优化前</w:t>
            </w:r>
          </w:p>
        </w:tc>
        <w:tc>
          <w:tcPr>
            <w:tcW w:w="798" w:type="dxa"/>
            <w:vAlign w:val="center"/>
          </w:tcPr>
          <w:p w:rsidR="00013EC7" w:rsidRDefault="00575CDB">
            <w:pPr>
              <w:spacing w:line="280" w:lineRule="exact"/>
              <w:jc w:val="center"/>
              <w:rPr>
                <w:rFonts w:ascii="黑体" w:eastAsia="黑体"/>
                <w:sz w:val="24"/>
              </w:rPr>
            </w:pPr>
            <w:r>
              <w:rPr>
                <w:rFonts w:ascii="黑体" w:eastAsia="黑体" w:hint="eastAsia"/>
                <w:sz w:val="24"/>
              </w:rPr>
              <w:t>优化后</w:t>
            </w:r>
          </w:p>
        </w:tc>
        <w:tc>
          <w:tcPr>
            <w:tcW w:w="958" w:type="dxa"/>
            <w:vMerge/>
            <w:vAlign w:val="center"/>
          </w:tcPr>
          <w:p w:rsidR="00013EC7" w:rsidRDefault="00013EC7">
            <w:pPr>
              <w:rPr>
                <w:sz w:val="24"/>
              </w:rPr>
            </w:pPr>
          </w:p>
        </w:tc>
        <w:tc>
          <w:tcPr>
            <w:tcW w:w="1104" w:type="dxa"/>
            <w:vMerge/>
            <w:vAlign w:val="center"/>
          </w:tcPr>
          <w:p w:rsidR="00013EC7" w:rsidRDefault="00013EC7">
            <w:pPr>
              <w:rPr>
                <w:sz w:val="24"/>
              </w:rPr>
            </w:pPr>
          </w:p>
        </w:tc>
        <w:tc>
          <w:tcPr>
            <w:tcW w:w="1476" w:type="dxa"/>
            <w:vMerge/>
            <w:vAlign w:val="center"/>
          </w:tcPr>
          <w:p w:rsidR="00013EC7" w:rsidRDefault="00013EC7">
            <w:pPr>
              <w:rPr>
                <w:sz w:val="24"/>
              </w:rPr>
            </w:pPr>
          </w:p>
        </w:tc>
      </w:tr>
      <w:tr w:rsidR="00013EC7">
        <w:trPr>
          <w:trHeight w:val="1386"/>
          <w:jc w:val="center"/>
        </w:trPr>
        <w:tc>
          <w:tcPr>
            <w:tcW w:w="1250" w:type="dxa"/>
            <w:vMerge w:val="restart"/>
            <w:vAlign w:val="center"/>
          </w:tcPr>
          <w:p w:rsidR="00013EC7" w:rsidRDefault="00575CDB">
            <w:pPr>
              <w:spacing w:line="300" w:lineRule="exact"/>
              <w:rPr>
                <w:rFonts w:ascii="仿宋" w:eastAsia="仿宋" w:hAnsi="仿宋" w:cs="仿宋"/>
                <w:kern w:val="1"/>
                <w:sz w:val="24"/>
              </w:rPr>
            </w:pPr>
            <w:r>
              <w:rPr>
                <w:rFonts w:ascii="仿宋" w:eastAsia="仿宋" w:hAnsi="仿宋" w:cs="仿宋" w:hint="eastAsia"/>
                <w:kern w:val="1"/>
                <w:sz w:val="24"/>
              </w:rPr>
              <w:t>29.</w:t>
            </w:r>
            <w:r>
              <w:rPr>
                <w:rFonts w:ascii="仿宋" w:eastAsia="仿宋" w:hAnsi="仿宋" w:cs="仿宋" w:hint="eastAsia"/>
                <w:sz w:val="24"/>
              </w:rPr>
              <w:t>出口退（免）税事项办理</w:t>
            </w:r>
          </w:p>
        </w:tc>
        <w:tc>
          <w:tcPr>
            <w:tcW w:w="1316" w:type="dxa"/>
            <w:vMerge w:val="restart"/>
            <w:vAlign w:val="center"/>
          </w:tcPr>
          <w:p w:rsidR="00013EC7" w:rsidRDefault="00575CDB">
            <w:pPr>
              <w:spacing w:line="310" w:lineRule="exact"/>
              <w:rPr>
                <w:rFonts w:ascii="仿宋" w:eastAsia="仿宋" w:hAnsi="仿宋" w:cs="仿宋"/>
                <w:kern w:val="1"/>
                <w:sz w:val="24"/>
              </w:rPr>
            </w:pPr>
            <w:r>
              <w:rPr>
                <w:rFonts w:ascii="仿宋" w:eastAsia="仿宋" w:hAnsi="仿宋" w:cs="仿宋" w:hint="eastAsia"/>
                <w:kern w:val="1"/>
                <w:sz w:val="24"/>
              </w:rPr>
              <w:t>29.5适用增值税零税率应税服务免抵退税办理</w:t>
            </w:r>
          </w:p>
        </w:tc>
        <w:tc>
          <w:tcPr>
            <w:tcW w:w="2114" w:type="dxa"/>
            <w:vMerge w:val="restart"/>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（一）《财政部 国家税务总局关于全面推开营业税改征增值税试点的通知》（财税〔2016〕36 号）附件4。</w:t>
            </w:r>
          </w:p>
          <w:p w:rsidR="00013EC7" w:rsidRDefault="00575CDB">
            <w:pPr>
              <w:rPr>
                <w:rFonts w:ascii="仿宋" w:eastAsia="仿宋" w:hAnsi="仿宋" w:cs="仿宋"/>
                <w:kern w:val="1"/>
                <w:sz w:val="24"/>
              </w:rPr>
            </w:pPr>
            <w:r>
              <w:rPr>
                <w:rFonts w:ascii="仿宋" w:eastAsia="仿宋" w:hAnsi="仿宋" w:cs="仿宋" w:hint="eastAsia"/>
                <w:kern w:val="1"/>
                <w:sz w:val="24"/>
              </w:rPr>
              <w:t>（二）</w:t>
            </w:r>
            <w:r>
              <w:rPr>
                <w:rFonts w:ascii="仿宋" w:eastAsia="仿宋" w:hAnsi="仿宋" w:cs="仿宋"/>
                <w:kern w:val="1"/>
                <w:sz w:val="24"/>
              </w:rPr>
              <w:t>《国家税务总局关于发布〈适用增值税零税率应税服务退（免）税管理办法〉的公告》（国家税务总局公告2014年第11号）</w:t>
            </w:r>
            <w:r>
              <w:rPr>
                <w:rFonts w:ascii="仿宋" w:eastAsia="仿宋" w:hAnsi="仿宋" w:cs="仿宋" w:hint="eastAsia"/>
                <w:kern w:val="1"/>
                <w:sz w:val="24"/>
              </w:rPr>
              <w:t>全文。</w:t>
            </w:r>
          </w:p>
          <w:p w:rsidR="00013EC7" w:rsidRDefault="00575CDB">
            <w:pPr>
              <w:rPr>
                <w:rFonts w:ascii="仿宋" w:eastAsia="仿宋" w:hAnsi="仿宋" w:cs="仿宋"/>
                <w:kern w:val="1"/>
                <w:sz w:val="24"/>
              </w:rPr>
            </w:pPr>
            <w:r>
              <w:rPr>
                <w:rFonts w:ascii="仿宋" w:eastAsia="仿宋" w:hAnsi="仿宋" w:cs="仿宋" w:hint="eastAsia"/>
                <w:kern w:val="1"/>
                <w:sz w:val="24"/>
              </w:rPr>
              <w:t>（三）</w:t>
            </w:r>
            <w:r>
              <w:rPr>
                <w:rFonts w:ascii="仿宋" w:eastAsia="仿宋" w:hAnsi="仿宋" w:cs="仿宋"/>
                <w:kern w:val="1"/>
                <w:sz w:val="24"/>
              </w:rPr>
              <w:t>《国家税务总局关于航天发射有关增值税政策的通知》（财税〔2015〕66号）</w:t>
            </w:r>
            <w:r>
              <w:rPr>
                <w:rFonts w:ascii="仿宋" w:eastAsia="仿宋" w:hAnsi="仿宋" w:cs="仿宋" w:hint="eastAsia"/>
                <w:kern w:val="1"/>
                <w:sz w:val="24"/>
              </w:rPr>
              <w:t>全文。</w:t>
            </w:r>
          </w:p>
          <w:p w:rsidR="00013EC7" w:rsidRDefault="00575CDB">
            <w:pPr>
              <w:rPr>
                <w:rFonts w:ascii="仿宋" w:eastAsia="仿宋" w:hAnsi="仿宋" w:cs="仿宋"/>
                <w:kern w:val="1"/>
                <w:sz w:val="24"/>
              </w:rPr>
            </w:pPr>
            <w:r>
              <w:rPr>
                <w:rFonts w:ascii="仿宋" w:eastAsia="仿宋" w:hAnsi="仿宋" w:cs="仿宋" w:hint="eastAsia"/>
                <w:kern w:val="1"/>
                <w:sz w:val="24"/>
              </w:rPr>
              <w:t>（四）</w:t>
            </w:r>
            <w:r>
              <w:rPr>
                <w:rFonts w:ascii="仿宋" w:eastAsia="仿宋" w:hAnsi="仿宋" w:cs="仿宋"/>
                <w:kern w:val="1"/>
                <w:sz w:val="24"/>
              </w:rPr>
              <w:t>《国家税务总局关于出口退（免）税有关问题的公告》（国家税务总局公告2015年第29号）</w:t>
            </w:r>
            <w:r>
              <w:rPr>
                <w:rFonts w:ascii="仿宋" w:eastAsia="仿宋" w:hAnsi="仿宋" w:cs="仿宋" w:hint="eastAsia"/>
                <w:kern w:val="1"/>
                <w:sz w:val="24"/>
              </w:rPr>
              <w:t>第四条。</w:t>
            </w:r>
          </w:p>
          <w:p w:rsidR="00013EC7" w:rsidRDefault="00575CDB">
            <w:pPr>
              <w:rPr>
                <w:rFonts w:ascii="仿宋" w:eastAsia="仿宋" w:hAnsi="仿宋" w:cs="仿宋"/>
                <w:kern w:val="1"/>
                <w:sz w:val="24"/>
              </w:rPr>
            </w:pPr>
            <w:r>
              <w:rPr>
                <w:rFonts w:ascii="仿宋" w:eastAsia="仿宋" w:hAnsi="仿宋" w:cs="仿宋" w:hint="eastAsia"/>
                <w:kern w:val="1"/>
                <w:sz w:val="24"/>
              </w:rPr>
              <w:t>（五）</w:t>
            </w:r>
            <w:r>
              <w:rPr>
                <w:rFonts w:ascii="仿宋" w:eastAsia="仿宋" w:hAnsi="仿宋" w:cs="仿宋"/>
                <w:kern w:val="1"/>
                <w:sz w:val="24"/>
              </w:rPr>
              <w:t>《国家税务总局关于〈适用增值税零税率应税服务退（免）税管理办法〉的补充公告》（国家税务总局公</w:t>
            </w:r>
            <w:r>
              <w:rPr>
                <w:rFonts w:ascii="仿宋" w:eastAsia="仿宋" w:hAnsi="仿宋" w:cs="仿宋"/>
                <w:kern w:val="1"/>
                <w:sz w:val="24"/>
              </w:rPr>
              <w:lastRenderedPageBreak/>
              <w:t>告2015年第88号）</w:t>
            </w:r>
            <w:r>
              <w:rPr>
                <w:rFonts w:ascii="仿宋" w:eastAsia="仿宋" w:hAnsi="仿宋" w:cs="仿宋" w:hint="eastAsia"/>
                <w:kern w:val="1"/>
                <w:sz w:val="24"/>
              </w:rPr>
              <w:t>全文。</w:t>
            </w:r>
          </w:p>
          <w:p w:rsidR="00013EC7" w:rsidRDefault="00575CDB">
            <w:pPr>
              <w:rPr>
                <w:rFonts w:ascii="仿宋" w:eastAsia="仿宋" w:hAnsi="仿宋" w:cs="仿宋"/>
                <w:kern w:val="1"/>
                <w:sz w:val="24"/>
              </w:rPr>
            </w:pPr>
            <w:r>
              <w:rPr>
                <w:rFonts w:ascii="仿宋" w:eastAsia="仿宋" w:hAnsi="仿宋" w:cs="仿宋" w:hint="eastAsia"/>
                <w:kern w:val="1"/>
                <w:sz w:val="24"/>
              </w:rPr>
              <w:t>（六）《浙江省国家税务局关于出口退（免）税无纸化申报的公告》（浙江省国家税务局公告</w:t>
            </w:r>
            <w:r>
              <w:rPr>
                <w:rFonts w:ascii="仿宋" w:eastAsia="仿宋" w:hAnsi="仿宋" w:cs="仿宋"/>
                <w:kern w:val="1"/>
                <w:sz w:val="24"/>
              </w:rPr>
              <w:t>2015</w:t>
            </w:r>
            <w:r>
              <w:rPr>
                <w:rFonts w:ascii="仿宋" w:eastAsia="仿宋" w:hAnsi="仿宋" w:cs="仿宋" w:hint="eastAsia"/>
                <w:kern w:val="1"/>
                <w:sz w:val="24"/>
              </w:rPr>
              <w:t>年第</w:t>
            </w:r>
            <w:r>
              <w:rPr>
                <w:rFonts w:ascii="仿宋" w:eastAsia="仿宋" w:hAnsi="仿宋" w:cs="仿宋"/>
                <w:kern w:val="1"/>
                <w:sz w:val="24"/>
              </w:rPr>
              <w:t>9</w:t>
            </w:r>
            <w:r>
              <w:rPr>
                <w:rFonts w:ascii="仿宋" w:eastAsia="仿宋" w:hAnsi="仿宋" w:cs="仿宋" w:hint="eastAsia"/>
                <w:kern w:val="1"/>
                <w:sz w:val="24"/>
              </w:rPr>
              <w:t>号）全文。</w:t>
            </w:r>
          </w:p>
          <w:p w:rsidR="00013EC7" w:rsidRDefault="00575CDB">
            <w:pPr>
              <w:rPr>
                <w:rFonts w:ascii="仿宋" w:eastAsia="仿宋" w:hAnsi="仿宋" w:cs="仿宋"/>
                <w:kern w:val="1"/>
                <w:sz w:val="24"/>
              </w:rPr>
            </w:pPr>
            <w:r>
              <w:rPr>
                <w:rFonts w:ascii="仿宋" w:eastAsia="仿宋" w:hAnsi="仿宋" w:cs="仿宋" w:hint="eastAsia"/>
                <w:kern w:val="1"/>
                <w:sz w:val="24"/>
              </w:rPr>
              <w:t>（七）《国家税务总局关于调整出口退（免）税申报办法的公告》（国家税务总局公告2013年第61号）第一条。</w:t>
            </w:r>
          </w:p>
          <w:p w:rsidR="00013EC7" w:rsidRDefault="00013EC7">
            <w:pPr>
              <w:rPr>
                <w:rFonts w:ascii="仿宋" w:eastAsia="仿宋" w:hAnsi="仿宋" w:cs="仿宋"/>
                <w:kern w:val="1"/>
                <w:sz w:val="24"/>
              </w:rPr>
            </w:pPr>
          </w:p>
        </w:tc>
        <w:tc>
          <w:tcPr>
            <w:tcW w:w="2731" w:type="dxa"/>
            <w:tcBorders>
              <w:top w:val="single" w:sz="4" w:space="0" w:color="auto"/>
            </w:tcBorders>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lastRenderedPageBreak/>
              <w:t>（一）</w:t>
            </w:r>
            <w:r>
              <w:rPr>
                <w:rFonts w:ascii="仿宋" w:eastAsia="仿宋" w:hAnsi="仿宋" w:cs="宋体" w:hint="eastAsia"/>
                <w:color w:val="000000"/>
                <w:kern w:val="0"/>
                <w:sz w:val="24"/>
              </w:rPr>
              <w:t>（A06177-A06178）《免抵退税申报汇总表》及其附表。</w:t>
            </w:r>
          </w:p>
        </w:tc>
        <w:tc>
          <w:tcPr>
            <w:tcW w:w="1123" w:type="dxa"/>
            <w:vMerge w:val="restart"/>
            <w:vAlign w:val="center"/>
          </w:tcPr>
          <w:p w:rsidR="00013EC7" w:rsidRDefault="00575CDB">
            <w:pPr>
              <w:spacing w:line="300" w:lineRule="exact"/>
              <w:jc w:val="center"/>
              <w:rPr>
                <w:rFonts w:ascii="仿宋" w:eastAsia="仿宋" w:hAnsi="仿宋" w:cs="仿宋"/>
                <w:kern w:val="1"/>
                <w:sz w:val="24"/>
              </w:rPr>
            </w:pPr>
            <w:r>
              <w:rPr>
                <w:rFonts w:ascii="仿宋" w:eastAsia="仿宋" w:hAnsi="仿宋" w:cs="仿宋" w:hint="eastAsia"/>
                <w:kern w:val="1"/>
                <w:sz w:val="24"/>
              </w:rPr>
              <w:t>实行免抵退税办法的增值税零税率应税服务的纳税人提交</w:t>
            </w:r>
          </w:p>
        </w:tc>
        <w:tc>
          <w:tcPr>
            <w:tcW w:w="2452"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 xml:space="preserve">（一）A06177-A06178）《免抵退税申报汇总表》及其附表1份。 </w:t>
            </w:r>
          </w:p>
        </w:tc>
        <w:tc>
          <w:tcPr>
            <w:tcW w:w="1196" w:type="dxa"/>
            <w:vMerge w:val="restart"/>
            <w:vAlign w:val="center"/>
          </w:tcPr>
          <w:p w:rsidR="00013EC7" w:rsidRDefault="00575CDB">
            <w:pPr>
              <w:spacing w:line="300" w:lineRule="exact"/>
              <w:jc w:val="center"/>
              <w:rPr>
                <w:rFonts w:ascii="仿宋" w:eastAsia="仿宋" w:hAnsi="仿宋" w:cs="仿宋"/>
                <w:kern w:val="1"/>
                <w:sz w:val="24"/>
              </w:rPr>
            </w:pPr>
            <w:r>
              <w:rPr>
                <w:rFonts w:ascii="仿宋" w:eastAsia="仿宋" w:hAnsi="仿宋" w:cs="仿宋" w:hint="eastAsia"/>
                <w:kern w:val="1"/>
                <w:sz w:val="24"/>
              </w:rPr>
              <w:t>实行免抵退税办法的增值税零税率应税服务的纳税人提交</w:t>
            </w:r>
          </w:p>
        </w:tc>
        <w:tc>
          <w:tcPr>
            <w:tcW w:w="3318" w:type="dxa"/>
            <w:vAlign w:val="center"/>
          </w:tcPr>
          <w:p w:rsidR="00013EC7" w:rsidRDefault="00575CDB">
            <w:pPr>
              <w:spacing w:line="300" w:lineRule="exact"/>
              <w:rPr>
                <w:rFonts w:ascii="仿宋" w:eastAsia="仿宋" w:hAnsi="仿宋" w:cs="仿宋"/>
                <w:kern w:val="1"/>
                <w:sz w:val="24"/>
              </w:rPr>
            </w:pPr>
            <w:r>
              <w:rPr>
                <w:rFonts w:ascii="仿宋" w:eastAsia="仿宋" w:hAnsi="仿宋" w:cs="仿宋" w:hint="eastAsia"/>
                <w:b/>
                <w:sz w:val="24"/>
              </w:rPr>
              <w:t>现场办理：</w:t>
            </w:r>
            <w:r>
              <w:rPr>
                <w:rFonts w:ascii="仿宋" w:eastAsia="仿宋" w:hAnsi="仿宋" w:cs="仿宋" w:hint="eastAsia"/>
                <w:sz w:val="24"/>
              </w:rPr>
              <w:t>纳税人提交书面材料（无纸化企业留存备查）。</w:t>
            </w:r>
            <w:r>
              <w:rPr>
                <w:rFonts w:ascii="仿宋" w:eastAsia="仿宋" w:hAnsi="仿宋" w:cs="仿宋" w:hint="eastAsia"/>
                <w:b/>
                <w:sz w:val="24"/>
              </w:rPr>
              <w:t>网上办理：</w:t>
            </w:r>
            <w:r>
              <w:rPr>
                <w:rFonts w:ascii="仿宋" w:eastAsia="仿宋" w:hAnsi="仿宋" w:cs="仿宋" w:hint="eastAsia"/>
                <w:sz w:val="24"/>
              </w:rPr>
              <w:t>登录浙江省国家税务局电子税务局提交电子数据。</w:t>
            </w:r>
          </w:p>
        </w:tc>
        <w:tc>
          <w:tcPr>
            <w:tcW w:w="868" w:type="dxa"/>
            <w:vMerge w:val="restart"/>
            <w:vAlign w:val="center"/>
          </w:tcPr>
          <w:p w:rsidR="00013EC7" w:rsidRDefault="00575CDB">
            <w:pPr>
              <w:jc w:val="center"/>
              <w:rPr>
                <w:rFonts w:ascii="仿宋" w:eastAsia="仿宋" w:hAnsi="仿宋" w:cs="仿宋"/>
                <w:kern w:val="1"/>
                <w:sz w:val="24"/>
              </w:rPr>
            </w:pPr>
            <w:r>
              <w:rPr>
                <w:rFonts w:ascii="仿宋" w:eastAsia="仿宋" w:hAnsi="仿宋" w:cs="仿宋" w:hint="eastAsia"/>
                <w:kern w:val="1"/>
                <w:sz w:val="24"/>
              </w:rPr>
              <w:t>1类企业5个工作日，2、3、4类企业20个工作日</w:t>
            </w:r>
          </w:p>
        </w:tc>
        <w:tc>
          <w:tcPr>
            <w:tcW w:w="798" w:type="dxa"/>
            <w:vMerge w:val="restart"/>
            <w:vAlign w:val="center"/>
          </w:tcPr>
          <w:p w:rsidR="00013EC7" w:rsidRDefault="00575CDB">
            <w:pPr>
              <w:jc w:val="center"/>
              <w:rPr>
                <w:rFonts w:ascii="仿宋" w:eastAsia="仿宋" w:hAnsi="仿宋" w:cs="仿宋"/>
                <w:kern w:val="1"/>
                <w:sz w:val="24"/>
              </w:rPr>
            </w:pPr>
            <w:r>
              <w:rPr>
                <w:rFonts w:ascii="仿宋" w:eastAsia="仿宋" w:hAnsi="仿宋" w:cs="仿宋" w:hint="eastAsia"/>
                <w:kern w:val="1"/>
                <w:sz w:val="24"/>
              </w:rPr>
              <w:t>一类、二类、三类、四类出口企业申报的出口退（免）税，经审核符合条件的，自受理申报之日起分别在5、10、15、20个工作日内</w:t>
            </w:r>
            <w:r>
              <w:rPr>
                <w:rFonts w:ascii="仿宋" w:eastAsia="仿宋" w:hAnsi="仿宋" w:cs="仿宋" w:hint="eastAsia"/>
                <w:kern w:val="1"/>
                <w:sz w:val="24"/>
              </w:rPr>
              <w:lastRenderedPageBreak/>
              <w:t>办结出口退（免）税手续。</w:t>
            </w:r>
          </w:p>
        </w:tc>
        <w:tc>
          <w:tcPr>
            <w:tcW w:w="958" w:type="dxa"/>
            <w:vMerge w:val="restart"/>
            <w:vAlign w:val="center"/>
          </w:tcPr>
          <w:p w:rsidR="00013EC7" w:rsidRDefault="00575CDB">
            <w:pPr>
              <w:jc w:val="center"/>
              <w:rPr>
                <w:rFonts w:ascii="仿宋" w:eastAsia="仿宋" w:hAnsi="仿宋" w:cs="仿宋"/>
                <w:kern w:val="1"/>
                <w:sz w:val="24"/>
              </w:rPr>
            </w:pPr>
            <w:r>
              <w:rPr>
                <w:rFonts w:ascii="仿宋" w:eastAsia="仿宋" w:hAnsi="仿宋" w:cs="仿宋" w:hint="eastAsia"/>
                <w:kern w:val="1"/>
                <w:sz w:val="24"/>
              </w:rPr>
              <w:lastRenderedPageBreak/>
              <w:t>无纸化企业已实现跑零次</w:t>
            </w:r>
          </w:p>
        </w:tc>
        <w:tc>
          <w:tcPr>
            <w:tcW w:w="1104" w:type="dxa"/>
            <w:vMerge w:val="restart"/>
            <w:vAlign w:val="center"/>
          </w:tcPr>
          <w:p w:rsidR="00013EC7" w:rsidRDefault="00575CDB">
            <w:pPr>
              <w:jc w:val="center"/>
              <w:rPr>
                <w:rFonts w:ascii="仿宋" w:eastAsia="仿宋" w:hAnsi="仿宋" w:cs="仿宋"/>
                <w:kern w:val="1"/>
                <w:sz w:val="24"/>
              </w:rPr>
            </w:pPr>
            <w:r>
              <w:rPr>
                <w:rFonts w:ascii="仿宋" w:eastAsia="仿宋" w:hAnsi="仿宋" w:cs="仿宋" w:hint="eastAsia"/>
                <w:kern w:val="1"/>
                <w:sz w:val="24"/>
              </w:rPr>
              <w:t>进出口处</w:t>
            </w:r>
          </w:p>
        </w:tc>
        <w:tc>
          <w:tcPr>
            <w:tcW w:w="1476" w:type="dxa"/>
            <w:vMerge w:val="restart"/>
            <w:vAlign w:val="center"/>
          </w:tcPr>
          <w:p w:rsidR="00013EC7" w:rsidRDefault="00013EC7">
            <w:pPr>
              <w:spacing w:line="300" w:lineRule="exact"/>
              <w:rPr>
                <w:rFonts w:ascii="仿宋" w:eastAsia="仿宋" w:hAnsi="仿宋" w:cs="仿宋"/>
                <w:kern w:val="1"/>
                <w:sz w:val="24"/>
              </w:rPr>
            </w:pPr>
          </w:p>
        </w:tc>
      </w:tr>
      <w:tr w:rsidR="00013EC7">
        <w:trPr>
          <w:trHeight w:val="647"/>
          <w:jc w:val="center"/>
        </w:trPr>
        <w:tc>
          <w:tcPr>
            <w:tcW w:w="1250" w:type="dxa"/>
            <w:vMerge/>
            <w:vAlign w:val="center"/>
          </w:tcPr>
          <w:p w:rsidR="00013EC7" w:rsidRDefault="00013EC7">
            <w:pPr>
              <w:rPr>
                <w:rFonts w:ascii="仿宋" w:eastAsia="仿宋" w:hAnsi="仿宋" w:cs="仿宋"/>
                <w:kern w:val="1"/>
                <w:sz w:val="24"/>
              </w:rPr>
            </w:pPr>
          </w:p>
        </w:tc>
        <w:tc>
          <w:tcPr>
            <w:tcW w:w="1316" w:type="dxa"/>
            <w:vMerge/>
            <w:vAlign w:val="center"/>
          </w:tcPr>
          <w:p w:rsidR="00013EC7" w:rsidRDefault="00013EC7">
            <w:pPr>
              <w:rPr>
                <w:rFonts w:ascii="仿宋" w:eastAsia="仿宋" w:hAnsi="仿宋" w:cs="仿宋"/>
                <w:kern w:val="1"/>
                <w:sz w:val="24"/>
              </w:rPr>
            </w:pPr>
          </w:p>
        </w:tc>
        <w:tc>
          <w:tcPr>
            <w:tcW w:w="2114" w:type="dxa"/>
            <w:vMerge/>
            <w:vAlign w:val="center"/>
          </w:tcPr>
          <w:p w:rsidR="00013EC7" w:rsidRDefault="00013EC7">
            <w:pPr>
              <w:rPr>
                <w:rFonts w:ascii="仿宋" w:eastAsia="仿宋" w:hAnsi="仿宋" w:cs="仿宋"/>
                <w:kern w:val="1"/>
                <w:sz w:val="24"/>
              </w:rPr>
            </w:pPr>
          </w:p>
        </w:tc>
        <w:tc>
          <w:tcPr>
            <w:tcW w:w="2731"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（二）免抵退税申报电子数据。</w:t>
            </w:r>
          </w:p>
        </w:tc>
        <w:tc>
          <w:tcPr>
            <w:tcW w:w="1123" w:type="dxa"/>
            <w:vMerge/>
            <w:vAlign w:val="center"/>
          </w:tcPr>
          <w:p w:rsidR="00013EC7" w:rsidRDefault="00013EC7">
            <w:pPr>
              <w:rPr>
                <w:rFonts w:ascii="仿宋" w:eastAsia="仿宋" w:hAnsi="仿宋" w:cs="仿宋"/>
                <w:kern w:val="1"/>
                <w:sz w:val="24"/>
              </w:rPr>
            </w:pPr>
          </w:p>
        </w:tc>
        <w:tc>
          <w:tcPr>
            <w:tcW w:w="2452"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（二）免抵退税申报电子数据。</w:t>
            </w:r>
          </w:p>
        </w:tc>
        <w:tc>
          <w:tcPr>
            <w:tcW w:w="1196" w:type="dxa"/>
            <w:vMerge/>
            <w:vAlign w:val="center"/>
          </w:tcPr>
          <w:p w:rsidR="00013EC7" w:rsidRDefault="00013EC7">
            <w:pPr>
              <w:rPr>
                <w:rFonts w:ascii="仿宋" w:eastAsia="仿宋" w:hAnsi="仿宋" w:cs="仿宋"/>
                <w:kern w:val="1"/>
                <w:sz w:val="24"/>
              </w:rPr>
            </w:pPr>
          </w:p>
        </w:tc>
        <w:tc>
          <w:tcPr>
            <w:tcW w:w="3318" w:type="dxa"/>
            <w:vAlign w:val="center"/>
          </w:tcPr>
          <w:p w:rsidR="00013EC7" w:rsidRDefault="00575CDB">
            <w:pPr>
              <w:rPr>
                <w:rFonts w:ascii="仿宋" w:eastAsia="仿宋" w:hAnsi="仿宋" w:cs="仿宋"/>
                <w:b/>
                <w:sz w:val="24"/>
              </w:rPr>
            </w:pPr>
            <w:r>
              <w:rPr>
                <w:rFonts w:ascii="仿宋" w:eastAsia="仿宋" w:hAnsi="仿宋" w:cs="仿宋" w:hint="eastAsia"/>
                <w:b/>
                <w:sz w:val="24"/>
              </w:rPr>
              <w:t>现场办理：</w:t>
            </w:r>
            <w:r>
              <w:rPr>
                <w:rFonts w:ascii="仿宋" w:eastAsia="仿宋" w:hAnsi="仿宋" w:cs="仿宋" w:hint="eastAsia"/>
                <w:sz w:val="24"/>
              </w:rPr>
              <w:t>纳税人提交电子数据。</w:t>
            </w:r>
          </w:p>
          <w:p w:rsidR="00013EC7" w:rsidRDefault="00575CDB">
            <w:pPr>
              <w:rPr>
                <w:rFonts w:ascii="仿宋" w:eastAsia="仿宋" w:hAnsi="仿宋" w:cs="仿宋"/>
                <w:kern w:val="1"/>
                <w:sz w:val="24"/>
              </w:rPr>
            </w:pPr>
            <w:r>
              <w:rPr>
                <w:rFonts w:ascii="仿宋" w:eastAsia="仿宋" w:hAnsi="仿宋" w:cs="仿宋" w:hint="eastAsia"/>
                <w:b/>
                <w:sz w:val="24"/>
              </w:rPr>
              <w:t>网上办理：</w:t>
            </w:r>
            <w:r>
              <w:rPr>
                <w:rFonts w:ascii="仿宋" w:eastAsia="仿宋" w:hAnsi="仿宋" w:cs="仿宋" w:hint="eastAsia"/>
                <w:sz w:val="24"/>
              </w:rPr>
              <w:t>登录浙江省国家税务局电子税务局提交电子数据。</w:t>
            </w:r>
          </w:p>
        </w:tc>
        <w:tc>
          <w:tcPr>
            <w:tcW w:w="868"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647"/>
          <w:jc w:val="center"/>
        </w:trPr>
        <w:tc>
          <w:tcPr>
            <w:tcW w:w="1250" w:type="dxa"/>
            <w:vMerge/>
            <w:vAlign w:val="center"/>
          </w:tcPr>
          <w:p w:rsidR="00013EC7" w:rsidRDefault="00013EC7">
            <w:pPr>
              <w:rPr>
                <w:rFonts w:ascii="仿宋" w:eastAsia="仿宋" w:hAnsi="仿宋" w:cs="仿宋"/>
                <w:kern w:val="1"/>
                <w:sz w:val="24"/>
              </w:rPr>
            </w:pPr>
          </w:p>
        </w:tc>
        <w:tc>
          <w:tcPr>
            <w:tcW w:w="1316" w:type="dxa"/>
            <w:vMerge/>
            <w:vAlign w:val="center"/>
          </w:tcPr>
          <w:p w:rsidR="00013EC7" w:rsidRDefault="00013EC7">
            <w:pPr>
              <w:rPr>
                <w:rFonts w:ascii="仿宋" w:eastAsia="仿宋" w:hAnsi="仿宋" w:cs="仿宋"/>
                <w:kern w:val="1"/>
                <w:sz w:val="24"/>
              </w:rPr>
            </w:pPr>
          </w:p>
        </w:tc>
        <w:tc>
          <w:tcPr>
            <w:tcW w:w="2114" w:type="dxa"/>
            <w:vMerge/>
            <w:vAlign w:val="center"/>
          </w:tcPr>
          <w:p w:rsidR="00013EC7" w:rsidRDefault="00013EC7">
            <w:pPr>
              <w:rPr>
                <w:rFonts w:ascii="仿宋" w:eastAsia="仿宋" w:hAnsi="仿宋" w:cs="仿宋"/>
                <w:kern w:val="1"/>
                <w:sz w:val="24"/>
              </w:rPr>
            </w:pPr>
          </w:p>
        </w:tc>
        <w:tc>
          <w:tcPr>
            <w:tcW w:w="2731"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（三）增值税零税率应税服务所开具的发票。</w:t>
            </w:r>
          </w:p>
        </w:tc>
        <w:tc>
          <w:tcPr>
            <w:tcW w:w="1123"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增值税零税率应税服务的纳税人提交</w:t>
            </w:r>
          </w:p>
        </w:tc>
        <w:tc>
          <w:tcPr>
            <w:tcW w:w="2452"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（三）增值税零税率应税服务所开具的发票。</w:t>
            </w:r>
          </w:p>
        </w:tc>
        <w:tc>
          <w:tcPr>
            <w:tcW w:w="1196"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增值税零税率应税服务的纳税人提交</w:t>
            </w:r>
          </w:p>
        </w:tc>
        <w:tc>
          <w:tcPr>
            <w:tcW w:w="3318" w:type="dxa"/>
            <w:vAlign w:val="center"/>
          </w:tcPr>
          <w:p w:rsidR="00013EC7" w:rsidRDefault="00575CDB">
            <w:pPr>
              <w:spacing w:line="300" w:lineRule="exact"/>
              <w:rPr>
                <w:rFonts w:ascii="仿宋" w:eastAsia="仿宋" w:hAnsi="仿宋" w:cs="仿宋"/>
                <w:kern w:val="1"/>
                <w:sz w:val="24"/>
              </w:rPr>
            </w:pPr>
            <w:r>
              <w:rPr>
                <w:rFonts w:ascii="仿宋" w:eastAsia="仿宋" w:hAnsi="仿宋" w:cs="仿宋" w:hint="eastAsia"/>
                <w:b/>
                <w:sz w:val="24"/>
              </w:rPr>
              <w:t>现场办理：</w:t>
            </w:r>
            <w:r>
              <w:rPr>
                <w:rFonts w:ascii="仿宋" w:eastAsia="仿宋" w:hAnsi="仿宋" w:cs="仿宋" w:hint="eastAsia"/>
                <w:sz w:val="24"/>
              </w:rPr>
              <w:t>纳税人提交书面材料（无纸化企业留存备查）。</w:t>
            </w:r>
          </w:p>
        </w:tc>
        <w:tc>
          <w:tcPr>
            <w:tcW w:w="868"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647"/>
          <w:jc w:val="center"/>
        </w:trPr>
        <w:tc>
          <w:tcPr>
            <w:tcW w:w="1250" w:type="dxa"/>
            <w:vMerge/>
            <w:vAlign w:val="center"/>
          </w:tcPr>
          <w:p w:rsidR="00013EC7" w:rsidRDefault="00013EC7">
            <w:pPr>
              <w:rPr>
                <w:rFonts w:ascii="仿宋" w:eastAsia="仿宋" w:hAnsi="仿宋" w:cs="仿宋"/>
                <w:kern w:val="1"/>
                <w:sz w:val="24"/>
              </w:rPr>
            </w:pPr>
          </w:p>
        </w:tc>
        <w:tc>
          <w:tcPr>
            <w:tcW w:w="1316" w:type="dxa"/>
            <w:vMerge/>
            <w:vAlign w:val="center"/>
          </w:tcPr>
          <w:p w:rsidR="00013EC7" w:rsidRDefault="00013EC7">
            <w:pPr>
              <w:rPr>
                <w:rFonts w:ascii="仿宋" w:eastAsia="仿宋" w:hAnsi="仿宋" w:cs="仿宋"/>
                <w:kern w:val="1"/>
                <w:sz w:val="24"/>
              </w:rPr>
            </w:pPr>
          </w:p>
        </w:tc>
        <w:tc>
          <w:tcPr>
            <w:tcW w:w="2114" w:type="dxa"/>
            <w:vMerge/>
            <w:vAlign w:val="center"/>
          </w:tcPr>
          <w:p w:rsidR="00013EC7" w:rsidRDefault="00013EC7">
            <w:pPr>
              <w:rPr>
                <w:rFonts w:ascii="仿宋" w:eastAsia="仿宋" w:hAnsi="仿宋" w:cs="仿宋"/>
                <w:kern w:val="1"/>
                <w:sz w:val="24"/>
              </w:rPr>
            </w:pPr>
          </w:p>
        </w:tc>
        <w:tc>
          <w:tcPr>
            <w:tcW w:w="2731"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（四）（A08008）《增值税零税率应税服务（国际运输/港澳台运输）免抵退税申报明细表》。</w:t>
            </w:r>
          </w:p>
        </w:tc>
        <w:tc>
          <w:tcPr>
            <w:tcW w:w="1123"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提供国际运输服务、港澳台运输服务的实行免抵退税办法的增值税零税率应税服务的纳税人提交</w:t>
            </w:r>
          </w:p>
        </w:tc>
        <w:tc>
          <w:tcPr>
            <w:tcW w:w="2452"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（四）（A08008）《增值税零税率应税服务（国际运输/港澳台运输）免抵退税申报明细表》1份。</w:t>
            </w:r>
          </w:p>
        </w:tc>
        <w:tc>
          <w:tcPr>
            <w:tcW w:w="1196"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提供国际运输服务、港澳台运输服务的实行免抵退税办法的增值税零税率应税服务的纳税人提交</w:t>
            </w:r>
          </w:p>
        </w:tc>
        <w:tc>
          <w:tcPr>
            <w:tcW w:w="3318" w:type="dxa"/>
            <w:vAlign w:val="center"/>
          </w:tcPr>
          <w:p w:rsidR="00013EC7" w:rsidRDefault="00575CDB">
            <w:pPr>
              <w:spacing w:line="300" w:lineRule="exact"/>
              <w:rPr>
                <w:rFonts w:ascii="仿宋" w:eastAsia="仿宋" w:hAnsi="仿宋" w:cs="仿宋"/>
                <w:kern w:val="1"/>
                <w:sz w:val="24"/>
              </w:rPr>
            </w:pPr>
            <w:r>
              <w:rPr>
                <w:rFonts w:ascii="仿宋" w:eastAsia="仿宋" w:hAnsi="仿宋" w:cs="仿宋" w:hint="eastAsia"/>
                <w:b/>
                <w:sz w:val="24"/>
              </w:rPr>
              <w:t>现场办理：</w:t>
            </w:r>
            <w:r>
              <w:rPr>
                <w:rFonts w:ascii="仿宋" w:eastAsia="仿宋" w:hAnsi="仿宋" w:cs="仿宋" w:hint="eastAsia"/>
                <w:sz w:val="24"/>
              </w:rPr>
              <w:t>纳税人提交书面材料（无纸化企业留存备查）。</w:t>
            </w:r>
          </w:p>
        </w:tc>
        <w:tc>
          <w:tcPr>
            <w:tcW w:w="868"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1434"/>
          <w:jc w:val="center"/>
        </w:trPr>
        <w:tc>
          <w:tcPr>
            <w:tcW w:w="1250" w:type="dxa"/>
            <w:vMerge/>
            <w:vAlign w:val="center"/>
          </w:tcPr>
          <w:p w:rsidR="00013EC7" w:rsidRDefault="00013EC7">
            <w:pPr>
              <w:rPr>
                <w:rFonts w:ascii="仿宋" w:eastAsia="仿宋" w:hAnsi="仿宋" w:cs="仿宋"/>
                <w:kern w:val="1"/>
                <w:sz w:val="24"/>
              </w:rPr>
            </w:pPr>
          </w:p>
        </w:tc>
        <w:tc>
          <w:tcPr>
            <w:tcW w:w="1316" w:type="dxa"/>
            <w:vMerge/>
            <w:vAlign w:val="center"/>
          </w:tcPr>
          <w:p w:rsidR="00013EC7" w:rsidRDefault="00013EC7">
            <w:pPr>
              <w:rPr>
                <w:rFonts w:ascii="仿宋" w:eastAsia="仿宋" w:hAnsi="仿宋" w:cs="仿宋"/>
                <w:kern w:val="1"/>
                <w:sz w:val="24"/>
              </w:rPr>
            </w:pPr>
          </w:p>
        </w:tc>
        <w:tc>
          <w:tcPr>
            <w:tcW w:w="2114" w:type="dxa"/>
            <w:vMerge/>
            <w:vAlign w:val="center"/>
          </w:tcPr>
          <w:p w:rsidR="00013EC7" w:rsidRDefault="00013EC7">
            <w:pPr>
              <w:rPr>
                <w:rFonts w:ascii="仿宋" w:eastAsia="仿宋" w:hAnsi="仿宋" w:cs="仿宋"/>
                <w:kern w:val="1"/>
                <w:sz w:val="24"/>
              </w:rPr>
            </w:pPr>
          </w:p>
        </w:tc>
        <w:tc>
          <w:tcPr>
            <w:tcW w:w="2731" w:type="dxa"/>
            <w:vAlign w:val="center"/>
          </w:tcPr>
          <w:p w:rsidR="00013EC7" w:rsidRDefault="00575CDB">
            <w:pPr>
              <w:rPr>
                <w:rFonts w:ascii="仿宋" w:eastAsia="仿宋" w:hAnsi="仿宋" w:cs="宋体"/>
                <w:color w:val="000000"/>
                <w:kern w:val="0"/>
                <w:sz w:val="24"/>
              </w:rPr>
            </w:pPr>
            <w:r>
              <w:rPr>
                <w:rFonts w:ascii="仿宋" w:eastAsia="仿宋" w:hAnsi="仿宋" w:cs="仿宋" w:hint="eastAsia"/>
                <w:kern w:val="1"/>
                <w:sz w:val="24"/>
              </w:rPr>
              <w:t>（五）</w:t>
            </w:r>
            <w:r>
              <w:rPr>
                <w:rFonts w:ascii="仿宋" w:eastAsia="仿宋" w:hAnsi="仿宋" w:cs="宋体" w:hint="eastAsia"/>
                <w:color w:val="000000"/>
                <w:kern w:val="0"/>
                <w:sz w:val="24"/>
              </w:rPr>
              <w:t>提供增值税零税率应税服务的载货、载客舱单等能够反映收入原始构成的单据凭证原件及复印件（注明与原件一致，并加盖公章）。向境</w:t>
            </w:r>
            <w:r>
              <w:rPr>
                <w:rFonts w:ascii="仿宋" w:eastAsia="仿宋" w:hAnsi="仿宋" w:cs="宋体" w:hint="eastAsia"/>
                <w:color w:val="000000"/>
                <w:kern w:val="0"/>
                <w:sz w:val="24"/>
              </w:rPr>
              <w:lastRenderedPageBreak/>
              <w:t>外单位和个人提供期租、湿租服务，按规定由出租方申报退（免）税的，可不提供此项凭证。</w:t>
            </w:r>
          </w:p>
        </w:tc>
        <w:tc>
          <w:tcPr>
            <w:tcW w:w="1123" w:type="dxa"/>
            <w:vAlign w:val="center"/>
          </w:tcPr>
          <w:p w:rsidR="00013EC7" w:rsidRDefault="00575CDB">
            <w:pPr>
              <w:rPr>
                <w:rFonts w:ascii="仿宋" w:eastAsia="仿宋" w:hAnsi="仿宋" w:cs="宋体"/>
                <w:color w:val="000000"/>
                <w:kern w:val="0"/>
                <w:sz w:val="24"/>
              </w:rPr>
            </w:pPr>
            <w:r>
              <w:rPr>
                <w:rFonts w:ascii="仿宋" w:eastAsia="仿宋" w:hAnsi="仿宋" w:cs="宋体" w:hint="eastAsia"/>
                <w:color w:val="000000"/>
                <w:kern w:val="0"/>
                <w:sz w:val="24"/>
              </w:rPr>
              <w:lastRenderedPageBreak/>
              <w:t>以水路运输、航空运输、公路运输方式的实行免抵退税</w:t>
            </w:r>
            <w:r>
              <w:rPr>
                <w:rFonts w:ascii="仿宋" w:eastAsia="仿宋" w:hAnsi="仿宋" w:cs="宋体" w:hint="eastAsia"/>
                <w:color w:val="000000"/>
                <w:kern w:val="0"/>
                <w:sz w:val="24"/>
              </w:rPr>
              <w:lastRenderedPageBreak/>
              <w:t>办法的增值税零税率应税服务的纳税人提交</w:t>
            </w:r>
          </w:p>
        </w:tc>
        <w:tc>
          <w:tcPr>
            <w:tcW w:w="2452" w:type="dxa"/>
            <w:vAlign w:val="center"/>
          </w:tcPr>
          <w:p w:rsidR="00013EC7" w:rsidRDefault="00575CDB">
            <w:pPr>
              <w:rPr>
                <w:rFonts w:ascii="仿宋" w:eastAsia="仿宋" w:hAnsi="仿宋" w:cs="宋体"/>
                <w:color w:val="000000"/>
                <w:kern w:val="0"/>
                <w:sz w:val="24"/>
              </w:rPr>
            </w:pPr>
            <w:r>
              <w:rPr>
                <w:rFonts w:ascii="仿宋" w:eastAsia="仿宋" w:hAnsi="仿宋" w:cs="仿宋" w:hint="eastAsia"/>
                <w:kern w:val="1"/>
                <w:sz w:val="24"/>
              </w:rPr>
              <w:lastRenderedPageBreak/>
              <w:t>（五）</w:t>
            </w:r>
            <w:r>
              <w:rPr>
                <w:rFonts w:ascii="仿宋" w:eastAsia="仿宋" w:hAnsi="仿宋" w:cs="宋体" w:hint="eastAsia"/>
                <w:color w:val="000000"/>
                <w:kern w:val="0"/>
                <w:sz w:val="24"/>
              </w:rPr>
              <w:t>提供增值税零税率应税服务的载货、载客舱单等能够反映收入原始构成的单据凭证原件及复印件（注明与原件一致，并加盖公</w:t>
            </w:r>
            <w:r>
              <w:rPr>
                <w:rFonts w:ascii="仿宋" w:eastAsia="仿宋" w:hAnsi="仿宋" w:cs="宋体" w:hint="eastAsia"/>
                <w:color w:val="000000"/>
                <w:kern w:val="0"/>
                <w:sz w:val="24"/>
              </w:rPr>
              <w:lastRenderedPageBreak/>
              <w:t>章）。向境外单位和个人提供期租、湿租服务，按规定由出租方申报退（免）税的，可不提供此项凭证。</w:t>
            </w:r>
          </w:p>
        </w:tc>
        <w:tc>
          <w:tcPr>
            <w:tcW w:w="1196"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lastRenderedPageBreak/>
              <w:t>以水路运输、航空运输、公路运输方式的实行免抵退税办法</w:t>
            </w:r>
            <w:r>
              <w:rPr>
                <w:rFonts w:ascii="仿宋" w:eastAsia="仿宋" w:hAnsi="仿宋" w:cs="仿宋" w:hint="eastAsia"/>
                <w:kern w:val="1"/>
                <w:sz w:val="24"/>
              </w:rPr>
              <w:lastRenderedPageBreak/>
              <w:t>的增值税零税率应税服务的纳税人提交</w:t>
            </w:r>
          </w:p>
        </w:tc>
        <w:tc>
          <w:tcPr>
            <w:tcW w:w="3318"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b/>
                <w:sz w:val="24"/>
              </w:rPr>
              <w:lastRenderedPageBreak/>
              <w:t>现场办理：</w:t>
            </w:r>
            <w:r>
              <w:rPr>
                <w:rFonts w:ascii="仿宋" w:eastAsia="仿宋" w:hAnsi="仿宋" w:cs="仿宋" w:hint="eastAsia"/>
                <w:sz w:val="24"/>
              </w:rPr>
              <w:t>纳税人提交书面材料（无纸化企业留存备查）。</w:t>
            </w:r>
          </w:p>
        </w:tc>
        <w:tc>
          <w:tcPr>
            <w:tcW w:w="868"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1433"/>
          <w:jc w:val="center"/>
        </w:trPr>
        <w:tc>
          <w:tcPr>
            <w:tcW w:w="1250" w:type="dxa"/>
            <w:vMerge/>
            <w:vAlign w:val="center"/>
          </w:tcPr>
          <w:p w:rsidR="00013EC7" w:rsidRDefault="00013EC7">
            <w:pPr>
              <w:rPr>
                <w:rFonts w:ascii="仿宋" w:eastAsia="仿宋" w:hAnsi="仿宋" w:cs="仿宋"/>
                <w:kern w:val="1"/>
                <w:sz w:val="24"/>
              </w:rPr>
            </w:pPr>
          </w:p>
        </w:tc>
        <w:tc>
          <w:tcPr>
            <w:tcW w:w="1316" w:type="dxa"/>
            <w:vMerge/>
            <w:vAlign w:val="center"/>
          </w:tcPr>
          <w:p w:rsidR="00013EC7" w:rsidRDefault="00013EC7">
            <w:pPr>
              <w:rPr>
                <w:rFonts w:ascii="仿宋" w:eastAsia="仿宋" w:hAnsi="仿宋" w:cs="仿宋"/>
                <w:kern w:val="1"/>
                <w:sz w:val="24"/>
              </w:rPr>
            </w:pPr>
          </w:p>
        </w:tc>
        <w:tc>
          <w:tcPr>
            <w:tcW w:w="2114" w:type="dxa"/>
            <w:vMerge/>
            <w:vAlign w:val="center"/>
          </w:tcPr>
          <w:p w:rsidR="00013EC7" w:rsidRDefault="00013EC7">
            <w:pPr>
              <w:rPr>
                <w:rFonts w:ascii="仿宋" w:eastAsia="仿宋" w:hAnsi="仿宋" w:cs="仿宋"/>
                <w:kern w:val="1"/>
                <w:sz w:val="24"/>
              </w:rPr>
            </w:pPr>
          </w:p>
        </w:tc>
        <w:tc>
          <w:tcPr>
            <w:tcW w:w="2731" w:type="dxa"/>
            <w:vAlign w:val="center"/>
          </w:tcPr>
          <w:p w:rsidR="00013EC7" w:rsidRDefault="00575CDB">
            <w:pPr>
              <w:rPr>
                <w:rFonts w:ascii="仿宋" w:eastAsia="仿宋" w:hAnsi="仿宋" w:cs="宋体"/>
                <w:color w:val="000000"/>
                <w:kern w:val="0"/>
                <w:sz w:val="24"/>
              </w:rPr>
            </w:pPr>
            <w:r>
              <w:rPr>
                <w:rFonts w:ascii="仿宋" w:eastAsia="仿宋" w:hAnsi="仿宋" w:cs="仿宋" w:hint="eastAsia"/>
                <w:kern w:val="1"/>
                <w:sz w:val="24"/>
              </w:rPr>
              <w:t>（六）</w:t>
            </w:r>
            <w:r>
              <w:rPr>
                <w:rFonts w:ascii="仿宋" w:eastAsia="仿宋" w:hAnsi="仿宋" w:cs="宋体" w:hint="eastAsia"/>
                <w:color w:val="000000"/>
                <w:kern w:val="0"/>
                <w:sz w:val="24"/>
              </w:rPr>
              <w:t>《航空国际运输收入清算账单申报明细表》原件及复印件（注明与原件一致，并加盖公章）。</w:t>
            </w:r>
          </w:p>
        </w:tc>
        <w:tc>
          <w:tcPr>
            <w:tcW w:w="1123" w:type="dxa"/>
            <w:vAlign w:val="center"/>
          </w:tcPr>
          <w:p w:rsidR="00013EC7" w:rsidRDefault="00575CDB">
            <w:pPr>
              <w:rPr>
                <w:rFonts w:ascii="仿宋" w:eastAsia="仿宋" w:hAnsi="仿宋" w:cs="宋体"/>
                <w:color w:val="000000"/>
                <w:kern w:val="0"/>
                <w:sz w:val="24"/>
              </w:rPr>
            </w:pPr>
            <w:r>
              <w:rPr>
                <w:rFonts w:ascii="仿宋" w:eastAsia="仿宋" w:hAnsi="仿宋" w:cs="宋体" w:hint="eastAsia"/>
                <w:color w:val="000000"/>
                <w:kern w:val="0"/>
                <w:sz w:val="24"/>
              </w:rPr>
              <w:t>以航空运输方式且国际运输和港澳台运输各航段由多个承运人承运的纳税人提交</w:t>
            </w:r>
          </w:p>
        </w:tc>
        <w:tc>
          <w:tcPr>
            <w:tcW w:w="2452" w:type="dxa"/>
            <w:vAlign w:val="center"/>
          </w:tcPr>
          <w:p w:rsidR="00013EC7" w:rsidRDefault="00575CDB">
            <w:pPr>
              <w:rPr>
                <w:rFonts w:ascii="仿宋" w:eastAsia="仿宋" w:hAnsi="仿宋" w:cs="宋体"/>
                <w:color w:val="000000"/>
                <w:kern w:val="0"/>
                <w:sz w:val="24"/>
              </w:rPr>
            </w:pPr>
            <w:r>
              <w:rPr>
                <w:rFonts w:ascii="仿宋" w:eastAsia="仿宋" w:hAnsi="仿宋" w:cs="仿宋" w:hint="eastAsia"/>
                <w:kern w:val="1"/>
                <w:sz w:val="24"/>
              </w:rPr>
              <w:t>（六）</w:t>
            </w:r>
            <w:r>
              <w:rPr>
                <w:rFonts w:ascii="仿宋" w:eastAsia="仿宋" w:hAnsi="仿宋" w:cs="宋体" w:hint="eastAsia"/>
                <w:color w:val="000000"/>
                <w:kern w:val="0"/>
                <w:sz w:val="24"/>
              </w:rPr>
              <w:t>《航空国际运输收入清算账单申报明细表》原件及复印件（注明与原件一致，并加盖公章）1份。</w:t>
            </w:r>
          </w:p>
        </w:tc>
        <w:tc>
          <w:tcPr>
            <w:tcW w:w="1196" w:type="dxa"/>
            <w:vAlign w:val="center"/>
          </w:tcPr>
          <w:p w:rsidR="00013EC7" w:rsidRDefault="00575CDB">
            <w:pPr>
              <w:rPr>
                <w:rFonts w:ascii="仿宋" w:eastAsia="仿宋" w:hAnsi="仿宋" w:cs="仿宋"/>
                <w:kern w:val="1"/>
                <w:sz w:val="24"/>
              </w:rPr>
            </w:pPr>
            <w:r>
              <w:rPr>
                <w:rFonts w:ascii="仿宋" w:eastAsia="仿宋" w:hAnsi="仿宋" w:cs="宋体" w:hint="eastAsia"/>
                <w:color w:val="000000"/>
                <w:kern w:val="0"/>
                <w:sz w:val="24"/>
              </w:rPr>
              <w:t>以航空运输方式且国际运输和港澳台运输各航段由多个承运人承运</w:t>
            </w:r>
            <w:r>
              <w:rPr>
                <w:rFonts w:ascii="仿宋" w:eastAsia="仿宋" w:hAnsi="仿宋" w:cs="仿宋" w:hint="eastAsia"/>
                <w:kern w:val="1"/>
                <w:sz w:val="24"/>
              </w:rPr>
              <w:t>的纳税人提交</w:t>
            </w:r>
          </w:p>
        </w:tc>
        <w:tc>
          <w:tcPr>
            <w:tcW w:w="3318" w:type="dxa"/>
            <w:vAlign w:val="center"/>
          </w:tcPr>
          <w:p w:rsidR="00013EC7" w:rsidRDefault="00575CDB">
            <w:pPr>
              <w:spacing w:line="300" w:lineRule="exact"/>
              <w:rPr>
                <w:rFonts w:ascii="仿宋" w:eastAsia="仿宋" w:hAnsi="仿宋" w:cs="仿宋"/>
                <w:b/>
                <w:sz w:val="24"/>
              </w:rPr>
            </w:pPr>
            <w:r>
              <w:rPr>
                <w:rFonts w:ascii="仿宋" w:eastAsia="仿宋" w:hAnsi="仿宋" w:cs="仿宋" w:hint="eastAsia"/>
                <w:b/>
                <w:sz w:val="24"/>
              </w:rPr>
              <w:t>现场办理：</w:t>
            </w:r>
            <w:r>
              <w:rPr>
                <w:rFonts w:ascii="仿宋" w:eastAsia="仿宋" w:hAnsi="仿宋" w:cs="仿宋" w:hint="eastAsia"/>
                <w:sz w:val="24"/>
              </w:rPr>
              <w:t>纳税人提交书面材料（无纸化企业留存备查）。</w:t>
            </w:r>
          </w:p>
        </w:tc>
        <w:tc>
          <w:tcPr>
            <w:tcW w:w="868"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647"/>
          <w:jc w:val="center"/>
        </w:trPr>
        <w:tc>
          <w:tcPr>
            <w:tcW w:w="1250" w:type="dxa"/>
            <w:vMerge/>
            <w:vAlign w:val="center"/>
          </w:tcPr>
          <w:p w:rsidR="00013EC7" w:rsidRDefault="00013EC7">
            <w:pPr>
              <w:rPr>
                <w:rFonts w:ascii="仿宋" w:eastAsia="仿宋" w:hAnsi="仿宋" w:cs="仿宋"/>
                <w:kern w:val="1"/>
                <w:sz w:val="24"/>
              </w:rPr>
            </w:pPr>
          </w:p>
        </w:tc>
        <w:tc>
          <w:tcPr>
            <w:tcW w:w="1316" w:type="dxa"/>
            <w:vMerge/>
            <w:vAlign w:val="center"/>
          </w:tcPr>
          <w:p w:rsidR="00013EC7" w:rsidRDefault="00013EC7">
            <w:pPr>
              <w:rPr>
                <w:rFonts w:ascii="仿宋" w:eastAsia="仿宋" w:hAnsi="仿宋" w:cs="仿宋"/>
                <w:kern w:val="1"/>
                <w:sz w:val="24"/>
              </w:rPr>
            </w:pPr>
          </w:p>
        </w:tc>
        <w:tc>
          <w:tcPr>
            <w:tcW w:w="2114" w:type="dxa"/>
            <w:vMerge/>
            <w:vAlign w:val="center"/>
          </w:tcPr>
          <w:p w:rsidR="00013EC7" w:rsidRDefault="00013EC7">
            <w:pPr>
              <w:rPr>
                <w:rFonts w:ascii="仿宋" w:eastAsia="仿宋" w:hAnsi="仿宋" w:cs="仿宋"/>
                <w:kern w:val="1"/>
                <w:sz w:val="24"/>
              </w:rPr>
            </w:pPr>
          </w:p>
        </w:tc>
        <w:tc>
          <w:tcPr>
            <w:tcW w:w="2731" w:type="dxa"/>
            <w:vAlign w:val="center"/>
          </w:tcPr>
          <w:p w:rsidR="00013EC7" w:rsidRDefault="00575CDB">
            <w:pPr>
              <w:rPr>
                <w:rFonts w:ascii="仿宋" w:eastAsia="仿宋" w:hAnsi="仿宋" w:cs="宋体"/>
                <w:color w:val="000000"/>
                <w:kern w:val="0"/>
                <w:sz w:val="24"/>
              </w:rPr>
            </w:pPr>
            <w:r>
              <w:rPr>
                <w:rFonts w:ascii="仿宋" w:eastAsia="仿宋" w:hAnsi="仿宋" w:cs="仿宋" w:hint="eastAsia"/>
                <w:kern w:val="1"/>
                <w:sz w:val="24"/>
              </w:rPr>
              <w:t>（七）</w:t>
            </w:r>
            <w:r>
              <w:rPr>
                <w:rFonts w:ascii="仿宋" w:eastAsia="仿宋" w:hAnsi="仿宋" w:cs="宋体" w:hint="eastAsia"/>
                <w:color w:val="000000"/>
                <w:kern w:val="0"/>
                <w:sz w:val="24"/>
              </w:rPr>
              <w:t>（A06654）《国际客运（含香港直通车）旅客、行李包裹运输清算函件明细表》原件及复印件（注明与原件一致，并加盖公章）。</w:t>
            </w:r>
          </w:p>
        </w:tc>
        <w:tc>
          <w:tcPr>
            <w:tcW w:w="1123" w:type="dxa"/>
            <w:vAlign w:val="center"/>
          </w:tcPr>
          <w:p w:rsidR="00013EC7" w:rsidRDefault="00575CDB">
            <w:pPr>
              <w:rPr>
                <w:rFonts w:ascii="仿宋" w:eastAsia="仿宋" w:hAnsi="仿宋" w:cs="宋体"/>
                <w:color w:val="000000"/>
                <w:kern w:val="0"/>
                <w:sz w:val="24"/>
              </w:rPr>
            </w:pPr>
            <w:r>
              <w:rPr>
                <w:rFonts w:ascii="仿宋" w:eastAsia="仿宋" w:hAnsi="仿宋" w:cs="宋体" w:hint="eastAsia"/>
                <w:color w:val="000000"/>
                <w:kern w:val="0"/>
                <w:sz w:val="24"/>
              </w:rPr>
              <w:t>以铁路运输方式的，属于客运的实行免抵退税办法的增值税零税率应税服务的纳税人提交</w:t>
            </w:r>
          </w:p>
        </w:tc>
        <w:tc>
          <w:tcPr>
            <w:tcW w:w="2452" w:type="dxa"/>
            <w:vAlign w:val="center"/>
          </w:tcPr>
          <w:p w:rsidR="00013EC7" w:rsidRDefault="00575CDB">
            <w:pPr>
              <w:rPr>
                <w:rFonts w:ascii="仿宋" w:eastAsia="仿宋" w:hAnsi="仿宋" w:cs="宋体"/>
                <w:color w:val="000000"/>
                <w:kern w:val="0"/>
                <w:sz w:val="24"/>
              </w:rPr>
            </w:pPr>
            <w:r>
              <w:rPr>
                <w:rFonts w:ascii="仿宋" w:eastAsia="仿宋" w:hAnsi="仿宋" w:cs="仿宋" w:hint="eastAsia"/>
                <w:kern w:val="1"/>
                <w:sz w:val="24"/>
              </w:rPr>
              <w:t>（七）</w:t>
            </w:r>
            <w:r>
              <w:rPr>
                <w:rFonts w:ascii="仿宋" w:eastAsia="仿宋" w:hAnsi="仿宋" w:cs="宋体" w:hint="eastAsia"/>
                <w:color w:val="000000"/>
                <w:kern w:val="0"/>
                <w:sz w:val="24"/>
              </w:rPr>
              <w:t>（A06654）《国际客运（含香港直通车）旅客、行李包裹运输清算函件明细表》原件及复印件（注明与原件一致，并加盖公章）1份。</w:t>
            </w:r>
          </w:p>
        </w:tc>
        <w:tc>
          <w:tcPr>
            <w:tcW w:w="1196"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以铁路运输方式的，属于客运的实行免抵退税办法的增值税零税率应税服务的纳税人提交</w:t>
            </w:r>
          </w:p>
        </w:tc>
        <w:tc>
          <w:tcPr>
            <w:tcW w:w="3318" w:type="dxa"/>
            <w:vAlign w:val="center"/>
          </w:tcPr>
          <w:p w:rsidR="00013EC7" w:rsidRDefault="00575CDB">
            <w:pPr>
              <w:rPr>
                <w:rFonts w:ascii="仿宋" w:eastAsia="仿宋" w:hAnsi="仿宋" w:cs="仿宋"/>
                <w:kern w:val="1"/>
                <w:sz w:val="24"/>
              </w:rPr>
            </w:pPr>
            <w:r>
              <w:rPr>
                <w:rFonts w:ascii="仿宋" w:eastAsia="仿宋" w:hAnsi="仿宋" w:cs="仿宋" w:hint="eastAsia"/>
                <w:b/>
                <w:sz w:val="24"/>
              </w:rPr>
              <w:t>现场办理：</w:t>
            </w:r>
            <w:r>
              <w:rPr>
                <w:rFonts w:ascii="仿宋" w:eastAsia="仿宋" w:hAnsi="仿宋" w:cs="仿宋" w:hint="eastAsia"/>
                <w:sz w:val="24"/>
              </w:rPr>
              <w:t>纳税人提交书面材料（无纸化企业留存备查）。</w:t>
            </w:r>
          </w:p>
        </w:tc>
        <w:tc>
          <w:tcPr>
            <w:tcW w:w="868"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647"/>
          <w:jc w:val="center"/>
        </w:trPr>
        <w:tc>
          <w:tcPr>
            <w:tcW w:w="1250" w:type="dxa"/>
            <w:vMerge/>
            <w:vAlign w:val="center"/>
          </w:tcPr>
          <w:p w:rsidR="00013EC7" w:rsidRDefault="00013EC7">
            <w:pPr>
              <w:rPr>
                <w:rFonts w:ascii="仿宋" w:eastAsia="仿宋" w:hAnsi="仿宋" w:cs="仿宋"/>
                <w:kern w:val="1"/>
                <w:sz w:val="24"/>
              </w:rPr>
            </w:pPr>
          </w:p>
        </w:tc>
        <w:tc>
          <w:tcPr>
            <w:tcW w:w="1316" w:type="dxa"/>
            <w:vMerge/>
            <w:vAlign w:val="center"/>
          </w:tcPr>
          <w:p w:rsidR="00013EC7" w:rsidRDefault="00013EC7">
            <w:pPr>
              <w:rPr>
                <w:rFonts w:ascii="仿宋" w:eastAsia="仿宋" w:hAnsi="仿宋" w:cs="仿宋"/>
                <w:kern w:val="1"/>
                <w:sz w:val="24"/>
              </w:rPr>
            </w:pPr>
          </w:p>
        </w:tc>
        <w:tc>
          <w:tcPr>
            <w:tcW w:w="2114" w:type="dxa"/>
            <w:vMerge/>
            <w:vAlign w:val="center"/>
          </w:tcPr>
          <w:p w:rsidR="00013EC7" w:rsidRDefault="00013EC7">
            <w:pPr>
              <w:rPr>
                <w:rFonts w:ascii="仿宋" w:eastAsia="仿宋" w:hAnsi="仿宋" w:cs="仿宋"/>
                <w:kern w:val="1"/>
                <w:sz w:val="24"/>
              </w:rPr>
            </w:pPr>
          </w:p>
        </w:tc>
        <w:tc>
          <w:tcPr>
            <w:tcW w:w="2731" w:type="dxa"/>
            <w:vAlign w:val="center"/>
          </w:tcPr>
          <w:p w:rsidR="00013EC7" w:rsidRDefault="00575CDB">
            <w:pPr>
              <w:rPr>
                <w:rFonts w:ascii="仿宋" w:eastAsia="仿宋" w:hAnsi="仿宋" w:cs="宋体"/>
                <w:color w:val="000000"/>
                <w:kern w:val="0"/>
                <w:sz w:val="24"/>
              </w:rPr>
            </w:pPr>
            <w:r>
              <w:rPr>
                <w:rFonts w:ascii="仿宋" w:eastAsia="仿宋" w:hAnsi="仿宋" w:cs="仿宋" w:hint="eastAsia"/>
                <w:kern w:val="1"/>
                <w:sz w:val="24"/>
              </w:rPr>
              <w:t>（八）</w:t>
            </w:r>
            <w:r>
              <w:rPr>
                <w:rFonts w:ascii="仿宋" w:eastAsia="仿宋" w:hAnsi="仿宋" w:cs="宋体" w:hint="eastAsia"/>
                <w:color w:val="000000"/>
                <w:kern w:val="0"/>
                <w:sz w:val="24"/>
              </w:rPr>
              <w:t>（A06655）《中国铁路总公司国际货物运输明细表》原件及复印件（注明与原件一致，并加盖公章），或者提供列明本企业清算后的国际联运运输收入的《清算资金通知清单》原件及复印件（注明与原件一致，并加盖公章）。</w:t>
            </w:r>
          </w:p>
        </w:tc>
        <w:tc>
          <w:tcPr>
            <w:tcW w:w="1123" w:type="dxa"/>
            <w:vAlign w:val="center"/>
          </w:tcPr>
          <w:p w:rsidR="00013EC7" w:rsidRDefault="00575CDB">
            <w:pPr>
              <w:rPr>
                <w:rFonts w:ascii="仿宋" w:eastAsia="仿宋" w:hAnsi="仿宋" w:cs="宋体"/>
                <w:color w:val="000000"/>
                <w:kern w:val="0"/>
                <w:sz w:val="24"/>
              </w:rPr>
            </w:pPr>
            <w:r>
              <w:rPr>
                <w:rFonts w:ascii="仿宋" w:eastAsia="仿宋" w:hAnsi="仿宋" w:cs="宋体" w:hint="eastAsia"/>
                <w:color w:val="000000"/>
                <w:kern w:val="0"/>
                <w:sz w:val="24"/>
              </w:rPr>
              <w:t>以铁路运输方式的，属于货运的实行免抵退税办法的增值税零税率应税服务的纳税人提交</w:t>
            </w:r>
          </w:p>
        </w:tc>
        <w:tc>
          <w:tcPr>
            <w:tcW w:w="2452" w:type="dxa"/>
            <w:vAlign w:val="center"/>
          </w:tcPr>
          <w:p w:rsidR="00013EC7" w:rsidRDefault="00575CDB">
            <w:pPr>
              <w:rPr>
                <w:rFonts w:ascii="仿宋" w:eastAsia="仿宋" w:hAnsi="仿宋" w:cs="宋体"/>
                <w:color w:val="000000"/>
                <w:kern w:val="0"/>
                <w:sz w:val="24"/>
              </w:rPr>
            </w:pPr>
            <w:r>
              <w:rPr>
                <w:rFonts w:ascii="仿宋" w:eastAsia="仿宋" w:hAnsi="仿宋" w:cs="仿宋" w:hint="eastAsia"/>
                <w:kern w:val="1"/>
                <w:sz w:val="24"/>
              </w:rPr>
              <w:t>（八）</w:t>
            </w:r>
            <w:r>
              <w:rPr>
                <w:rFonts w:ascii="仿宋" w:eastAsia="仿宋" w:hAnsi="仿宋" w:cs="宋体" w:hint="eastAsia"/>
                <w:color w:val="000000"/>
                <w:kern w:val="0"/>
                <w:sz w:val="24"/>
              </w:rPr>
              <w:t>（A06655）《中国铁路总公司国际货物运输明细表》原件及复印件（注明与原件一致，并加盖公章），或者提供列明本企业清算后的国际联运运输收入的《清算资金通知清单》原件及复印件（注明与原件一致，并加盖公章）1份。</w:t>
            </w:r>
          </w:p>
        </w:tc>
        <w:tc>
          <w:tcPr>
            <w:tcW w:w="1196"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以铁路运输方式的，属于货运的实行免抵退税办法的增值税零税率应税服务的纳税人提交</w:t>
            </w:r>
          </w:p>
        </w:tc>
        <w:tc>
          <w:tcPr>
            <w:tcW w:w="3318" w:type="dxa"/>
            <w:vAlign w:val="center"/>
          </w:tcPr>
          <w:p w:rsidR="00013EC7" w:rsidRDefault="00575CDB">
            <w:pPr>
              <w:rPr>
                <w:rFonts w:ascii="仿宋" w:eastAsia="仿宋" w:hAnsi="仿宋" w:cs="仿宋"/>
                <w:kern w:val="1"/>
                <w:sz w:val="24"/>
              </w:rPr>
            </w:pPr>
            <w:r>
              <w:rPr>
                <w:rFonts w:ascii="仿宋" w:eastAsia="仿宋" w:hAnsi="仿宋" w:cs="仿宋" w:hint="eastAsia"/>
                <w:b/>
                <w:sz w:val="24"/>
              </w:rPr>
              <w:t>现场办理：</w:t>
            </w:r>
            <w:r>
              <w:rPr>
                <w:rFonts w:ascii="仿宋" w:eastAsia="仿宋" w:hAnsi="仿宋" w:cs="仿宋" w:hint="eastAsia"/>
                <w:sz w:val="24"/>
              </w:rPr>
              <w:t>纳税人提交书面材料（无纸化企业留存备查）。</w:t>
            </w:r>
          </w:p>
        </w:tc>
        <w:tc>
          <w:tcPr>
            <w:tcW w:w="868"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647"/>
          <w:jc w:val="center"/>
        </w:trPr>
        <w:tc>
          <w:tcPr>
            <w:tcW w:w="1250" w:type="dxa"/>
            <w:vMerge/>
            <w:vAlign w:val="center"/>
          </w:tcPr>
          <w:p w:rsidR="00013EC7" w:rsidRDefault="00013EC7">
            <w:pPr>
              <w:rPr>
                <w:rFonts w:ascii="仿宋" w:eastAsia="仿宋" w:hAnsi="仿宋" w:cs="仿宋"/>
                <w:kern w:val="1"/>
                <w:sz w:val="24"/>
              </w:rPr>
            </w:pPr>
          </w:p>
        </w:tc>
        <w:tc>
          <w:tcPr>
            <w:tcW w:w="1316" w:type="dxa"/>
            <w:vMerge/>
            <w:vAlign w:val="center"/>
          </w:tcPr>
          <w:p w:rsidR="00013EC7" w:rsidRDefault="00013EC7">
            <w:pPr>
              <w:rPr>
                <w:rFonts w:ascii="仿宋" w:eastAsia="仿宋" w:hAnsi="仿宋" w:cs="仿宋"/>
                <w:kern w:val="1"/>
                <w:sz w:val="24"/>
              </w:rPr>
            </w:pPr>
          </w:p>
        </w:tc>
        <w:tc>
          <w:tcPr>
            <w:tcW w:w="2114" w:type="dxa"/>
            <w:vMerge/>
            <w:vAlign w:val="center"/>
          </w:tcPr>
          <w:p w:rsidR="00013EC7" w:rsidRDefault="00013EC7">
            <w:pPr>
              <w:rPr>
                <w:rFonts w:ascii="仿宋" w:eastAsia="仿宋" w:hAnsi="仿宋" w:cs="仿宋"/>
                <w:kern w:val="1"/>
                <w:sz w:val="24"/>
              </w:rPr>
            </w:pPr>
          </w:p>
        </w:tc>
        <w:tc>
          <w:tcPr>
            <w:tcW w:w="2731"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（九）程租、期租、湿租的合同或协议复印件。</w:t>
            </w:r>
          </w:p>
        </w:tc>
        <w:tc>
          <w:tcPr>
            <w:tcW w:w="1123"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采用程租、期租、</w:t>
            </w:r>
            <w:r>
              <w:rPr>
                <w:rFonts w:ascii="仿宋" w:eastAsia="仿宋" w:hAnsi="仿宋" w:cs="仿宋" w:hint="eastAsia"/>
                <w:kern w:val="1"/>
                <w:sz w:val="24"/>
              </w:rPr>
              <w:lastRenderedPageBreak/>
              <w:t>湿租服务方式租赁交通运输工具从事国际运输服务和港澳台运输服务的实行免抵退税办法的增值税零税率应税服务的纳税人提交</w:t>
            </w:r>
          </w:p>
        </w:tc>
        <w:tc>
          <w:tcPr>
            <w:tcW w:w="2452"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lastRenderedPageBreak/>
              <w:t>（九）程租、期租、湿租的合同或协议复印</w:t>
            </w:r>
            <w:r>
              <w:rPr>
                <w:rFonts w:ascii="仿宋" w:eastAsia="仿宋" w:hAnsi="仿宋" w:cs="仿宋" w:hint="eastAsia"/>
                <w:kern w:val="1"/>
                <w:sz w:val="24"/>
              </w:rPr>
              <w:lastRenderedPageBreak/>
              <w:t>件。</w:t>
            </w:r>
          </w:p>
        </w:tc>
        <w:tc>
          <w:tcPr>
            <w:tcW w:w="1196"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lastRenderedPageBreak/>
              <w:t>采用程租、期租、湿租</w:t>
            </w:r>
            <w:r>
              <w:rPr>
                <w:rFonts w:ascii="仿宋" w:eastAsia="仿宋" w:hAnsi="仿宋" w:cs="仿宋" w:hint="eastAsia"/>
                <w:kern w:val="1"/>
                <w:sz w:val="24"/>
              </w:rPr>
              <w:lastRenderedPageBreak/>
              <w:t>服务方式租赁交通运输工具从事国际运输服务和港澳台运输服务的实行免抵退税办法的增值税零税率应税服务的纳税人提交</w:t>
            </w:r>
          </w:p>
        </w:tc>
        <w:tc>
          <w:tcPr>
            <w:tcW w:w="3318"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b/>
                <w:sz w:val="24"/>
              </w:rPr>
              <w:lastRenderedPageBreak/>
              <w:t>现场办理：</w:t>
            </w:r>
            <w:r>
              <w:rPr>
                <w:rFonts w:ascii="仿宋" w:eastAsia="仿宋" w:hAnsi="仿宋" w:cs="仿宋" w:hint="eastAsia"/>
                <w:sz w:val="24"/>
              </w:rPr>
              <w:t>纳税人提交书面材料（无纸化企业留存备查）。</w:t>
            </w:r>
          </w:p>
        </w:tc>
        <w:tc>
          <w:tcPr>
            <w:tcW w:w="868"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846"/>
          <w:jc w:val="center"/>
        </w:trPr>
        <w:tc>
          <w:tcPr>
            <w:tcW w:w="1250" w:type="dxa"/>
            <w:vMerge/>
            <w:vAlign w:val="center"/>
          </w:tcPr>
          <w:p w:rsidR="00013EC7" w:rsidRDefault="00013EC7">
            <w:pPr>
              <w:rPr>
                <w:rFonts w:ascii="仿宋" w:eastAsia="仿宋" w:hAnsi="仿宋" w:cs="仿宋"/>
                <w:kern w:val="1"/>
                <w:sz w:val="24"/>
              </w:rPr>
            </w:pPr>
          </w:p>
        </w:tc>
        <w:tc>
          <w:tcPr>
            <w:tcW w:w="1316" w:type="dxa"/>
            <w:vMerge/>
            <w:vAlign w:val="center"/>
          </w:tcPr>
          <w:p w:rsidR="00013EC7" w:rsidRDefault="00013EC7">
            <w:pPr>
              <w:rPr>
                <w:rFonts w:ascii="仿宋" w:eastAsia="仿宋" w:hAnsi="仿宋" w:cs="仿宋"/>
                <w:kern w:val="1"/>
                <w:sz w:val="24"/>
              </w:rPr>
            </w:pPr>
          </w:p>
        </w:tc>
        <w:tc>
          <w:tcPr>
            <w:tcW w:w="2114" w:type="dxa"/>
            <w:vMerge/>
            <w:vAlign w:val="center"/>
          </w:tcPr>
          <w:p w:rsidR="00013EC7" w:rsidRDefault="00013EC7">
            <w:pPr>
              <w:rPr>
                <w:rFonts w:ascii="仿宋" w:eastAsia="仿宋" w:hAnsi="仿宋" w:cs="仿宋"/>
                <w:kern w:val="1"/>
                <w:sz w:val="24"/>
              </w:rPr>
            </w:pPr>
          </w:p>
        </w:tc>
        <w:tc>
          <w:tcPr>
            <w:tcW w:w="2731"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（十）</w:t>
            </w:r>
            <w:r>
              <w:rPr>
                <w:rFonts w:ascii="仿宋" w:eastAsia="仿宋" w:hAnsi="仿宋" w:cs="宋体" w:hint="eastAsia"/>
                <w:color w:val="000000"/>
                <w:kern w:val="0"/>
                <w:sz w:val="24"/>
              </w:rPr>
              <w:t>（A08012）《增值税零税率应税服务（航天运输）免抵退税申报明细表》。</w:t>
            </w:r>
          </w:p>
        </w:tc>
        <w:tc>
          <w:tcPr>
            <w:tcW w:w="1123" w:type="dxa"/>
            <w:vMerge w:val="restart"/>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提供航天运输服务的实行免抵退税办法的增值税零税率应税服务的纳税人提交</w:t>
            </w:r>
          </w:p>
        </w:tc>
        <w:tc>
          <w:tcPr>
            <w:tcW w:w="2452"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（十）（A08012）《增值税零税率应税服务（航天运输）免抵退税申报明细表》1份。</w:t>
            </w:r>
          </w:p>
        </w:tc>
        <w:tc>
          <w:tcPr>
            <w:tcW w:w="1196" w:type="dxa"/>
            <w:vMerge w:val="restart"/>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提供航天运输服务的实行免抵退税办法的增值税零税率应税服务的纳税人提交</w:t>
            </w:r>
          </w:p>
        </w:tc>
        <w:tc>
          <w:tcPr>
            <w:tcW w:w="3318" w:type="dxa"/>
            <w:vMerge w:val="restart"/>
            <w:vAlign w:val="center"/>
          </w:tcPr>
          <w:p w:rsidR="00013EC7" w:rsidRDefault="00575CDB">
            <w:pPr>
              <w:spacing w:line="300" w:lineRule="exact"/>
              <w:rPr>
                <w:rFonts w:ascii="仿宋" w:eastAsia="仿宋" w:hAnsi="仿宋" w:cs="仿宋"/>
                <w:kern w:val="1"/>
                <w:sz w:val="24"/>
              </w:rPr>
            </w:pPr>
            <w:r>
              <w:rPr>
                <w:rFonts w:ascii="仿宋" w:eastAsia="仿宋" w:hAnsi="仿宋" w:cs="仿宋" w:hint="eastAsia"/>
                <w:b/>
                <w:sz w:val="24"/>
              </w:rPr>
              <w:t>现场办理：</w:t>
            </w:r>
            <w:r>
              <w:rPr>
                <w:rFonts w:ascii="仿宋" w:eastAsia="仿宋" w:hAnsi="仿宋" w:cs="仿宋" w:hint="eastAsia"/>
                <w:sz w:val="24"/>
              </w:rPr>
              <w:t>纳税人提交书面材料（无纸化企业留存备查）。</w:t>
            </w:r>
          </w:p>
        </w:tc>
        <w:tc>
          <w:tcPr>
            <w:tcW w:w="868"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845"/>
          <w:jc w:val="center"/>
        </w:trPr>
        <w:tc>
          <w:tcPr>
            <w:tcW w:w="1250" w:type="dxa"/>
            <w:vMerge/>
            <w:vAlign w:val="center"/>
          </w:tcPr>
          <w:p w:rsidR="00013EC7" w:rsidRDefault="00013EC7">
            <w:pPr>
              <w:rPr>
                <w:rFonts w:ascii="仿宋" w:eastAsia="仿宋" w:hAnsi="仿宋" w:cs="仿宋"/>
                <w:kern w:val="1"/>
                <w:sz w:val="24"/>
              </w:rPr>
            </w:pPr>
          </w:p>
        </w:tc>
        <w:tc>
          <w:tcPr>
            <w:tcW w:w="1316" w:type="dxa"/>
            <w:vMerge/>
            <w:vAlign w:val="center"/>
          </w:tcPr>
          <w:p w:rsidR="00013EC7" w:rsidRDefault="00013EC7">
            <w:pPr>
              <w:rPr>
                <w:rFonts w:ascii="仿宋" w:eastAsia="仿宋" w:hAnsi="仿宋" w:cs="仿宋"/>
                <w:kern w:val="1"/>
                <w:sz w:val="24"/>
              </w:rPr>
            </w:pPr>
          </w:p>
        </w:tc>
        <w:tc>
          <w:tcPr>
            <w:tcW w:w="2114" w:type="dxa"/>
            <w:vMerge/>
            <w:vAlign w:val="center"/>
          </w:tcPr>
          <w:p w:rsidR="00013EC7" w:rsidRDefault="00013EC7">
            <w:pPr>
              <w:rPr>
                <w:rFonts w:ascii="仿宋" w:eastAsia="仿宋" w:hAnsi="仿宋" w:cs="仿宋"/>
                <w:kern w:val="1"/>
                <w:sz w:val="24"/>
              </w:rPr>
            </w:pPr>
          </w:p>
        </w:tc>
        <w:tc>
          <w:tcPr>
            <w:tcW w:w="2731" w:type="dxa"/>
            <w:vAlign w:val="center"/>
          </w:tcPr>
          <w:p w:rsidR="00013EC7" w:rsidRDefault="00575CDB">
            <w:pPr>
              <w:rPr>
                <w:rFonts w:ascii="仿宋" w:eastAsia="仿宋" w:hAnsi="仿宋" w:cs="宋体"/>
                <w:color w:val="000000"/>
                <w:kern w:val="0"/>
                <w:sz w:val="24"/>
              </w:rPr>
            </w:pPr>
            <w:r>
              <w:rPr>
                <w:rFonts w:ascii="仿宋" w:eastAsia="仿宋" w:hAnsi="仿宋" w:cs="仿宋" w:hint="eastAsia"/>
                <w:kern w:val="1"/>
                <w:sz w:val="24"/>
              </w:rPr>
              <w:t>（十一）</w:t>
            </w:r>
            <w:r>
              <w:rPr>
                <w:rFonts w:ascii="仿宋" w:eastAsia="仿宋" w:hAnsi="仿宋" w:cs="宋体" w:hint="eastAsia"/>
                <w:color w:val="000000"/>
                <w:kern w:val="0"/>
                <w:sz w:val="24"/>
              </w:rPr>
              <w:t>签订的提供航天运输服务的合同原件及复印件（注明与原件一致，并加盖公章）。</w:t>
            </w:r>
          </w:p>
        </w:tc>
        <w:tc>
          <w:tcPr>
            <w:tcW w:w="1123" w:type="dxa"/>
            <w:vMerge/>
            <w:vAlign w:val="center"/>
          </w:tcPr>
          <w:p w:rsidR="00013EC7" w:rsidRDefault="00013EC7">
            <w:pPr>
              <w:rPr>
                <w:rFonts w:ascii="仿宋" w:eastAsia="仿宋" w:hAnsi="仿宋" w:cs="宋体"/>
                <w:color w:val="000000"/>
                <w:kern w:val="0"/>
                <w:sz w:val="24"/>
              </w:rPr>
            </w:pPr>
          </w:p>
        </w:tc>
        <w:tc>
          <w:tcPr>
            <w:tcW w:w="2452" w:type="dxa"/>
            <w:vAlign w:val="center"/>
          </w:tcPr>
          <w:p w:rsidR="00013EC7" w:rsidRDefault="00575CDB">
            <w:pPr>
              <w:rPr>
                <w:rFonts w:ascii="仿宋" w:eastAsia="仿宋" w:hAnsi="仿宋" w:cs="宋体"/>
                <w:color w:val="000000"/>
                <w:kern w:val="0"/>
                <w:sz w:val="24"/>
              </w:rPr>
            </w:pPr>
            <w:r>
              <w:rPr>
                <w:rFonts w:ascii="仿宋" w:eastAsia="仿宋" w:hAnsi="仿宋" w:cs="仿宋" w:hint="eastAsia"/>
                <w:kern w:val="1"/>
                <w:sz w:val="24"/>
              </w:rPr>
              <w:t>（十一）</w:t>
            </w:r>
            <w:r>
              <w:rPr>
                <w:rFonts w:ascii="仿宋" w:eastAsia="仿宋" w:hAnsi="仿宋" w:cs="宋体" w:hint="eastAsia"/>
                <w:color w:val="000000"/>
                <w:kern w:val="0"/>
                <w:sz w:val="24"/>
              </w:rPr>
              <w:t>签订的提供航天运输服务的合同原件及复印件（注明与原件一致，并加盖公章）1份。</w:t>
            </w:r>
          </w:p>
        </w:tc>
        <w:tc>
          <w:tcPr>
            <w:tcW w:w="1196" w:type="dxa"/>
            <w:vMerge/>
            <w:vAlign w:val="center"/>
          </w:tcPr>
          <w:p w:rsidR="00013EC7" w:rsidRDefault="00013EC7">
            <w:pPr>
              <w:rPr>
                <w:rFonts w:ascii="仿宋" w:eastAsia="仿宋" w:hAnsi="仿宋" w:cs="仿宋"/>
                <w:kern w:val="1"/>
                <w:sz w:val="24"/>
              </w:rPr>
            </w:pPr>
          </w:p>
        </w:tc>
        <w:tc>
          <w:tcPr>
            <w:tcW w:w="3318" w:type="dxa"/>
            <w:vMerge/>
            <w:vAlign w:val="center"/>
          </w:tcPr>
          <w:p w:rsidR="00013EC7" w:rsidRDefault="00013EC7">
            <w:pPr>
              <w:spacing w:line="300" w:lineRule="exact"/>
              <w:rPr>
                <w:rFonts w:ascii="仿宋" w:eastAsia="仿宋" w:hAnsi="仿宋" w:cs="仿宋"/>
                <w:b/>
                <w:sz w:val="24"/>
              </w:rPr>
            </w:pPr>
          </w:p>
        </w:tc>
        <w:tc>
          <w:tcPr>
            <w:tcW w:w="868"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845"/>
          <w:jc w:val="center"/>
        </w:trPr>
        <w:tc>
          <w:tcPr>
            <w:tcW w:w="1250" w:type="dxa"/>
            <w:vMerge/>
            <w:vAlign w:val="center"/>
          </w:tcPr>
          <w:p w:rsidR="00013EC7" w:rsidRDefault="00013EC7">
            <w:pPr>
              <w:rPr>
                <w:rFonts w:ascii="仿宋" w:eastAsia="仿宋" w:hAnsi="仿宋" w:cs="仿宋"/>
                <w:kern w:val="1"/>
                <w:sz w:val="24"/>
              </w:rPr>
            </w:pPr>
          </w:p>
        </w:tc>
        <w:tc>
          <w:tcPr>
            <w:tcW w:w="1316" w:type="dxa"/>
            <w:vMerge/>
            <w:vAlign w:val="center"/>
          </w:tcPr>
          <w:p w:rsidR="00013EC7" w:rsidRDefault="00013EC7">
            <w:pPr>
              <w:rPr>
                <w:rFonts w:ascii="仿宋" w:eastAsia="仿宋" w:hAnsi="仿宋" w:cs="仿宋"/>
                <w:kern w:val="1"/>
                <w:sz w:val="24"/>
              </w:rPr>
            </w:pPr>
          </w:p>
        </w:tc>
        <w:tc>
          <w:tcPr>
            <w:tcW w:w="2114" w:type="dxa"/>
            <w:vMerge/>
            <w:vAlign w:val="center"/>
          </w:tcPr>
          <w:p w:rsidR="00013EC7" w:rsidRDefault="00013EC7">
            <w:pPr>
              <w:rPr>
                <w:rFonts w:ascii="仿宋" w:eastAsia="仿宋" w:hAnsi="仿宋" w:cs="仿宋"/>
                <w:kern w:val="1"/>
                <w:sz w:val="24"/>
              </w:rPr>
            </w:pPr>
          </w:p>
        </w:tc>
        <w:tc>
          <w:tcPr>
            <w:tcW w:w="2731" w:type="dxa"/>
            <w:vAlign w:val="center"/>
          </w:tcPr>
          <w:p w:rsidR="00013EC7" w:rsidRDefault="00575CDB">
            <w:pPr>
              <w:rPr>
                <w:rFonts w:ascii="仿宋" w:eastAsia="仿宋" w:hAnsi="仿宋" w:cs="宋体"/>
                <w:color w:val="000000"/>
                <w:kern w:val="0"/>
                <w:sz w:val="24"/>
              </w:rPr>
            </w:pPr>
            <w:r>
              <w:rPr>
                <w:rFonts w:ascii="仿宋" w:eastAsia="仿宋" w:hAnsi="仿宋" w:cs="仿宋" w:hint="eastAsia"/>
                <w:kern w:val="1"/>
                <w:sz w:val="24"/>
              </w:rPr>
              <w:t>（十二）</w:t>
            </w:r>
            <w:r>
              <w:rPr>
                <w:rFonts w:ascii="仿宋" w:eastAsia="仿宋" w:hAnsi="仿宋" w:cs="宋体" w:hint="eastAsia"/>
                <w:color w:val="000000"/>
                <w:kern w:val="0"/>
                <w:sz w:val="24"/>
              </w:rPr>
              <w:t>从与之签订航天运输服务合同的单位取得收入的收款凭证原件及复印件（注明与原件一致，并加盖公章）。</w:t>
            </w:r>
          </w:p>
        </w:tc>
        <w:tc>
          <w:tcPr>
            <w:tcW w:w="1123" w:type="dxa"/>
            <w:vMerge/>
            <w:vAlign w:val="center"/>
          </w:tcPr>
          <w:p w:rsidR="00013EC7" w:rsidRDefault="00013EC7">
            <w:pPr>
              <w:rPr>
                <w:rFonts w:ascii="仿宋" w:eastAsia="仿宋" w:hAnsi="仿宋" w:cs="宋体"/>
                <w:color w:val="000000"/>
                <w:kern w:val="0"/>
                <w:sz w:val="24"/>
              </w:rPr>
            </w:pPr>
          </w:p>
        </w:tc>
        <w:tc>
          <w:tcPr>
            <w:tcW w:w="2452" w:type="dxa"/>
            <w:vAlign w:val="center"/>
          </w:tcPr>
          <w:p w:rsidR="00013EC7" w:rsidRDefault="00575CDB">
            <w:pPr>
              <w:rPr>
                <w:rFonts w:ascii="仿宋" w:eastAsia="仿宋" w:hAnsi="仿宋" w:cs="宋体"/>
                <w:color w:val="000000"/>
                <w:kern w:val="0"/>
                <w:sz w:val="24"/>
              </w:rPr>
            </w:pPr>
            <w:r>
              <w:rPr>
                <w:rFonts w:ascii="仿宋" w:eastAsia="仿宋" w:hAnsi="仿宋" w:cs="仿宋" w:hint="eastAsia"/>
                <w:kern w:val="1"/>
                <w:sz w:val="24"/>
              </w:rPr>
              <w:t>（十二）</w:t>
            </w:r>
            <w:r>
              <w:rPr>
                <w:rFonts w:ascii="仿宋" w:eastAsia="仿宋" w:hAnsi="仿宋" w:cs="宋体" w:hint="eastAsia"/>
                <w:color w:val="000000"/>
                <w:kern w:val="0"/>
                <w:sz w:val="24"/>
              </w:rPr>
              <w:t>从与之签订航天运输服务合同的单位取得收入的收款凭证原件及复印件（注明与原件一致，并加盖公章）。</w:t>
            </w:r>
          </w:p>
        </w:tc>
        <w:tc>
          <w:tcPr>
            <w:tcW w:w="1196" w:type="dxa"/>
            <w:vMerge/>
            <w:vAlign w:val="center"/>
          </w:tcPr>
          <w:p w:rsidR="00013EC7" w:rsidRDefault="00013EC7">
            <w:pPr>
              <w:rPr>
                <w:rFonts w:ascii="仿宋" w:eastAsia="仿宋" w:hAnsi="仿宋" w:cs="仿宋"/>
                <w:kern w:val="1"/>
                <w:sz w:val="24"/>
              </w:rPr>
            </w:pPr>
          </w:p>
        </w:tc>
        <w:tc>
          <w:tcPr>
            <w:tcW w:w="3318" w:type="dxa"/>
            <w:vMerge/>
            <w:vAlign w:val="center"/>
          </w:tcPr>
          <w:p w:rsidR="00013EC7" w:rsidRDefault="00013EC7">
            <w:pPr>
              <w:spacing w:line="300" w:lineRule="exact"/>
              <w:rPr>
                <w:rFonts w:ascii="仿宋" w:eastAsia="仿宋" w:hAnsi="仿宋" w:cs="仿宋"/>
                <w:b/>
                <w:sz w:val="24"/>
              </w:rPr>
            </w:pPr>
          </w:p>
        </w:tc>
        <w:tc>
          <w:tcPr>
            <w:tcW w:w="868"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845"/>
          <w:jc w:val="center"/>
        </w:trPr>
        <w:tc>
          <w:tcPr>
            <w:tcW w:w="1250" w:type="dxa"/>
            <w:vMerge/>
            <w:vAlign w:val="center"/>
          </w:tcPr>
          <w:p w:rsidR="00013EC7" w:rsidRDefault="00013EC7">
            <w:pPr>
              <w:rPr>
                <w:rFonts w:ascii="仿宋" w:eastAsia="仿宋" w:hAnsi="仿宋" w:cs="仿宋"/>
                <w:kern w:val="1"/>
                <w:sz w:val="24"/>
              </w:rPr>
            </w:pPr>
          </w:p>
        </w:tc>
        <w:tc>
          <w:tcPr>
            <w:tcW w:w="1316" w:type="dxa"/>
            <w:vMerge/>
            <w:vAlign w:val="center"/>
          </w:tcPr>
          <w:p w:rsidR="00013EC7" w:rsidRDefault="00013EC7">
            <w:pPr>
              <w:rPr>
                <w:rFonts w:ascii="仿宋" w:eastAsia="仿宋" w:hAnsi="仿宋" w:cs="仿宋"/>
                <w:kern w:val="1"/>
                <w:sz w:val="24"/>
              </w:rPr>
            </w:pPr>
          </w:p>
        </w:tc>
        <w:tc>
          <w:tcPr>
            <w:tcW w:w="2114" w:type="dxa"/>
            <w:vMerge/>
            <w:vAlign w:val="center"/>
          </w:tcPr>
          <w:p w:rsidR="00013EC7" w:rsidRDefault="00013EC7">
            <w:pPr>
              <w:rPr>
                <w:rFonts w:ascii="仿宋" w:eastAsia="仿宋" w:hAnsi="仿宋" w:cs="仿宋"/>
                <w:kern w:val="1"/>
                <w:sz w:val="24"/>
              </w:rPr>
            </w:pPr>
          </w:p>
        </w:tc>
        <w:tc>
          <w:tcPr>
            <w:tcW w:w="2731" w:type="dxa"/>
            <w:vAlign w:val="center"/>
          </w:tcPr>
          <w:p w:rsidR="00013EC7" w:rsidRDefault="00575CDB">
            <w:pPr>
              <w:rPr>
                <w:rFonts w:ascii="仿宋" w:eastAsia="仿宋" w:hAnsi="仿宋" w:cs="宋体"/>
                <w:color w:val="000000"/>
                <w:kern w:val="0"/>
                <w:sz w:val="24"/>
              </w:rPr>
            </w:pPr>
            <w:r>
              <w:rPr>
                <w:rFonts w:ascii="仿宋" w:eastAsia="仿宋" w:hAnsi="仿宋" w:cs="仿宋" w:hint="eastAsia"/>
                <w:kern w:val="1"/>
                <w:sz w:val="24"/>
              </w:rPr>
              <w:t>（十三）</w:t>
            </w:r>
            <w:r>
              <w:rPr>
                <w:rFonts w:ascii="仿宋" w:eastAsia="仿宋" w:hAnsi="仿宋" w:cs="宋体" w:hint="eastAsia"/>
                <w:color w:val="000000"/>
                <w:kern w:val="0"/>
                <w:sz w:val="24"/>
              </w:rPr>
              <w:t>（A08013）《提供航天运输服务收讫营业款明细清单》原件及复印件（注明与原件一致，并加盖公章）。</w:t>
            </w:r>
          </w:p>
        </w:tc>
        <w:tc>
          <w:tcPr>
            <w:tcW w:w="1123" w:type="dxa"/>
            <w:vMerge/>
            <w:vAlign w:val="center"/>
          </w:tcPr>
          <w:p w:rsidR="00013EC7" w:rsidRDefault="00013EC7">
            <w:pPr>
              <w:rPr>
                <w:rFonts w:ascii="仿宋" w:eastAsia="仿宋" w:hAnsi="仿宋" w:cs="宋体"/>
                <w:color w:val="000000"/>
                <w:kern w:val="0"/>
                <w:sz w:val="24"/>
              </w:rPr>
            </w:pPr>
          </w:p>
        </w:tc>
        <w:tc>
          <w:tcPr>
            <w:tcW w:w="2452" w:type="dxa"/>
            <w:vAlign w:val="center"/>
          </w:tcPr>
          <w:p w:rsidR="00013EC7" w:rsidRDefault="00575CDB">
            <w:pPr>
              <w:rPr>
                <w:rFonts w:ascii="仿宋" w:eastAsia="仿宋" w:hAnsi="仿宋" w:cs="宋体"/>
                <w:color w:val="000000"/>
                <w:kern w:val="0"/>
                <w:sz w:val="24"/>
              </w:rPr>
            </w:pPr>
            <w:r>
              <w:rPr>
                <w:rFonts w:ascii="仿宋" w:eastAsia="仿宋" w:hAnsi="仿宋" w:cs="仿宋" w:hint="eastAsia"/>
                <w:kern w:val="1"/>
                <w:sz w:val="24"/>
              </w:rPr>
              <w:t>（十三）</w:t>
            </w:r>
            <w:r>
              <w:rPr>
                <w:rFonts w:ascii="仿宋" w:eastAsia="仿宋" w:hAnsi="仿宋" w:cs="宋体" w:hint="eastAsia"/>
                <w:color w:val="000000"/>
                <w:kern w:val="0"/>
                <w:sz w:val="24"/>
              </w:rPr>
              <w:t>（A08013）《提供航天运输服务收讫营业款明细清单》原件及复印件（注明与原件一致，并加盖公章）1份。</w:t>
            </w:r>
          </w:p>
        </w:tc>
        <w:tc>
          <w:tcPr>
            <w:tcW w:w="1196" w:type="dxa"/>
            <w:vMerge/>
            <w:vAlign w:val="center"/>
          </w:tcPr>
          <w:p w:rsidR="00013EC7" w:rsidRDefault="00013EC7">
            <w:pPr>
              <w:rPr>
                <w:rFonts w:ascii="仿宋" w:eastAsia="仿宋" w:hAnsi="仿宋" w:cs="仿宋"/>
                <w:kern w:val="1"/>
                <w:sz w:val="24"/>
              </w:rPr>
            </w:pPr>
          </w:p>
        </w:tc>
        <w:tc>
          <w:tcPr>
            <w:tcW w:w="3318" w:type="dxa"/>
            <w:vMerge/>
            <w:vAlign w:val="center"/>
          </w:tcPr>
          <w:p w:rsidR="00013EC7" w:rsidRDefault="00013EC7">
            <w:pPr>
              <w:spacing w:line="300" w:lineRule="exact"/>
              <w:rPr>
                <w:rFonts w:ascii="仿宋" w:eastAsia="仿宋" w:hAnsi="仿宋" w:cs="仿宋"/>
                <w:kern w:val="1"/>
                <w:sz w:val="24"/>
              </w:rPr>
            </w:pPr>
          </w:p>
        </w:tc>
        <w:tc>
          <w:tcPr>
            <w:tcW w:w="868"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1128"/>
          <w:jc w:val="center"/>
        </w:trPr>
        <w:tc>
          <w:tcPr>
            <w:tcW w:w="1250" w:type="dxa"/>
            <w:vMerge/>
            <w:vAlign w:val="center"/>
          </w:tcPr>
          <w:p w:rsidR="00013EC7" w:rsidRDefault="00013EC7">
            <w:pPr>
              <w:rPr>
                <w:rFonts w:ascii="仿宋" w:eastAsia="仿宋" w:hAnsi="仿宋" w:cs="仿宋"/>
                <w:kern w:val="1"/>
                <w:sz w:val="24"/>
              </w:rPr>
            </w:pPr>
          </w:p>
        </w:tc>
        <w:tc>
          <w:tcPr>
            <w:tcW w:w="1316" w:type="dxa"/>
            <w:vMerge/>
            <w:vAlign w:val="center"/>
          </w:tcPr>
          <w:p w:rsidR="00013EC7" w:rsidRDefault="00013EC7">
            <w:pPr>
              <w:rPr>
                <w:rFonts w:ascii="仿宋" w:eastAsia="仿宋" w:hAnsi="仿宋" w:cs="仿宋"/>
                <w:kern w:val="1"/>
                <w:sz w:val="24"/>
              </w:rPr>
            </w:pPr>
          </w:p>
        </w:tc>
        <w:tc>
          <w:tcPr>
            <w:tcW w:w="2114" w:type="dxa"/>
            <w:vMerge/>
            <w:vAlign w:val="center"/>
          </w:tcPr>
          <w:p w:rsidR="00013EC7" w:rsidRDefault="00013EC7">
            <w:pPr>
              <w:rPr>
                <w:rFonts w:ascii="仿宋" w:eastAsia="仿宋" w:hAnsi="仿宋" w:cs="仿宋"/>
                <w:kern w:val="1"/>
                <w:sz w:val="24"/>
              </w:rPr>
            </w:pPr>
          </w:p>
        </w:tc>
        <w:tc>
          <w:tcPr>
            <w:tcW w:w="2731"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（十四）</w:t>
            </w:r>
            <w:r>
              <w:rPr>
                <w:rFonts w:ascii="仿宋" w:eastAsia="仿宋" w:hAnsi="仿宋" w:cs="宋体" w:hint="eastAsia"/>
                <w:color w:val="000000"/>
                <w:kern w:val="0"/>
                <w:sz w:val="24"/>
              </w:rPr>
              <w:t>《增值税零税率应税服务免抵退税申报明细表》。</w:t>
            </w:r>
          </w:p>
        </w:tc>
        <w:tc>
          <w:tcPr>
            <w:tcW w:w="1123" w:type="dxa"/>
            <w:vMerge w:val="restart"/>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对外提供研发服务、设计服务、新纳入零税率范围的应税服务的纳税人提交</w:t>
            </w:r>
          </w:p>
        </w:tc>
        <w:tc>
          <w:tcPr>
            <w:tcW w:w="2452"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（十四）</w:t>
            </w:r>
            <w:r>
              <w:rPr>
                <w:rFonts w:ascii="仿宋" w:eastAsia="仿宋" w:hAnsi="仿宋" w:cs="宋体" w:hint="eastAsia"/>
                <w:color w:val="000000"/>
                <w:kern w:val="0"/>
                <w:sz w:val="24"/>
              </w:rPr>
              <w:t>《增值税零税率应税服务免抵退税申报明细表》1份。</w:t>
            </w:r>
          </w:p>
        </w:tc>
        <w:tc>
          <w:tcPr>
            <w:tcW w:w="1196" w:type="dxa"/>
            <w:vMerge w:val="restart"/>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对外提供研发服务、设计服务、新纳入零税率范围的应税服务的纳税人提交</w:t>
            </w:r>
          </w:p>
        </w:tc>
        <w:tc>
          <w:tcPr>
            <w:tcW w:w="3318" w:type="dxa"/>
            <w:vMerge w:val="restart"/>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纳税人提交书面材料（无纸化企业留存备查）。</w:t>
            </w:r>
          </w:p>
        </w:tc>
        <w:tc>
          <w:tcPr>
            <w:tcW w:w="868"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1064"/>
          <w:jc w:val="center"/>
        </w:trPr>
        <w:tc>
          <w:tcPr>
            <w:tcW w:w="1250" w:type="dxa"/>
            <w:vMerge/>
            <w:vAlign w:val="center"/>
          </w:tcPr>
          <w:p w:rsidR="00013EC7" w:rsidRDefault="00013EC7">
            <w:pPr>
              <w:rPr>
                <w:rFonts w:ascii="仿宋" w:eastAsia="仿宋" w:hAnsi="仿宋" w:cs="仿宋"/>
                <w:kern w:val="1"/>
                <w:sz w:val="24"/>
              </w:rPr>
            </w:pPr>
          </w:p>
        </w:tc>
        <w:tc>
          <w:tcPr>
            <w:tcW w:w="1316" w:type="dxa"/>
            <w:vMerge/>
            <w:vAlign w:val="center"/>
          </w:tcPr>
          <w:p w:rsidR="00013EC7" w:rsidRDefault="00013EC7">
            <w:pPr>
              <w:rPr>
                <w:rFonts w:ascii="仿宋" w:eastAsia="仿宋" w:hAnsi="仿宋" w:cs="仿宋"/>
                <w:kern w:val="1"/>
                <w:sz w:val="24"/>
              </w:rPr>
            </w:pPr>
          </w:p>
        </w:tc>
        <w:tc>
          <w:tcPr>
            <w:tcW w:w="2114" w:type="dxa"/>
            <w:vMerge/>
            <w:vAlign w:val="center"/>
          </w:tcPr>
          <w:p w:rsidR="00013EC7" w:rsidRDefault="00013EC7">
            <w:pPr>
              <w:rPr>
                <w:rFonts w:ascii="仿宋" w:eastAsia="仿宋" w:hAnsi="仿宋" w:cs="仿宋"/>
                <w:kern w:val="1"/>
                <w:sz w:val="24"/>
              </w:rPr>
            </w:pPr>
          </w:p>
        </w:tc>
        <w:tc>
          <w:tcPr>
            <w:tcW w:w="2731" w:type="dxa"/>
            <w:vAlign w:val="center"/>
          </w:tcPr>
          <w:p w:rsidR="00013EC7" w:rsidRDefault="00575CDB">
            <w:pPr>
              <w:rPr>
                <w:rFonts w:ascii="仿宋" w:eastAsia="仿宋" w:hAnsi="仿宋" w:cs="宋体"/>
                <w:color w:val="000000"/>
                <w:kern w:val="0"/>
                <w:sz w:val="24"/>
              </w:rPr>
            </w:pPr>
            <w:r>
              <w:rPr>
                <w:rFonts w:ascii="仿宋" w:eastAsia="仿宋" w:hAnsi="仿宋" w:cs="仿宋" w:hint="eastAsia"/>
                <w:kern w:val="1"/>
                <w:sz w:val="24"/>
              </w:rPr>
              <w:t>（十五）</w:t>
            </w:r>
            <w:r>
              <w:rPr>
                <w:rFonts w:ascii="仿宋" w:eastAsia="仿宋" w:hAnsi="仿宋" w:cs="宋体" w:hint="eastAsia"/>
                <w:color w:val="000000"/>
                <w:kern w:val="0"/>
                <w:sz w:val="24"/>
              </w:rPr>
              <w:t>《提供增值税零税率应税服务收讫营业款明细清单》。</w:t>
            </w:r>
          </w:p>
        </w:tc>
        <w:tc>
          <w:tcPr>
            <w:tcW w:w="1123" w:type="dxa"/>
            <w:vMerge/>
            <w:vAlign w:val="center"/>
          </w:tcPr>
          <w:p w:rsidR="00013EC7" w:rsidRDefault="00013EC7">
            <w:pPr>
              <w:rPr>
                <w:rFonts w:ascii="仿宋" w:eastAsia="仿宋" w:hAnsi="仿宋" w:cs="仿宋"/>
                <w:kern w:val="1"/>
                <w:sz w:val="24"/>
              </w:rPr>
            </w:pPr>
          </w:p>
        </w:tc>
        <w:tc>
          <w:tcPr>
            <w:tcW w:w="2452" w:type="dxa"/>
            <w:vAlign w:val="center"/>
          </w:tcPr>
          <w:p w:rsidR="00013EC7" w:rsidRDefault="00575CDB">
            <w:pPr>
              <w:rPr>
                <w:rFonts w:ascii="仿宋" w:eastAsia="仿宋" w:hAnsi="仿宋" w:cs="宋体"/>
                <w:color w:val="000000"/>
                <w:kern w:val="0"/>
                <w:sz w:val="24"/>
              </w:rPr>
            </w:pPr>
            <w:r>
              <w:rPr>
                <w:rFonts w:ascii="仿宋" w:eastAsia="仿宋" w:hAnsi="仿宋" w:cs="仿宋" w:hint="eastAsia"/>
                <w:kern w:val="1"/>
                <w:sz w:val="24"/>
              </w:rPr>
              <w:t>（十五）</w:t>
            </w:r>
            <w:r>
              <w:rPr>
                <w:rFonts w:ascii="仿宋" w:eastAsia="仿宋" w:hAnsi="仿宋" w:cs="宋体" w:hint="eastAsia"/>
                <w:color w:val="000000"/>
                <w:kern w:val="0"/>
                <w:sz w:val="24"/>
              </w:rPr>
              <w:t>《提供增值税零税率应税服务收讫营业款明细清单》1份。</w:t>
            </w:r>
          </w:p>
        </w:tc>
        <w:tc>
          <w:tcPr>
            <w:tcW w:w="1196" w:type="dxa"/>
            <w:vMerge/>
            <w:vAlign w:val="center"/>
          </w:tcPr>
          <w:p w:rsidR="00013EC7" w:rsidRDefault="00013EC7">
            <w:pPr>
              <w:rPr>
                <w:rFonts w:ascii="仿宋" w:eastAsia="仿宋" w:hAnsi="仿宋" w:cs="仿宋"/>
                <w:kern w:val="1"/>
                <w:sz w:val="24"/>
              </w:rPr>
            </w:pPr>
          </w:p>
        </w:tc>
        <w:tc>
          <w:tcPr>
            <w:tcW w:w="3318" w:type="dxa"/>
            <w:vMerge/>
            <w:vAlign w:val="center"/>
          </w:tcPr>
          <w:p w:rsidR="00013EC7" w:rsidRDefault="00013EC7">
            <w:pPr>
              <w:rPr>
                <w:rFonts w:ascii="仿宋" w:eastAsia="仿宋" w:hAnsi="仿宋" w:cs="仿宋"/>
                <w:b/>
                <w:sz w:val="24"/>
              </w:rPr>
            </w:pPr>
          </w:p>
        </w:tc>
        <w:tc>
          <w:tcPr>
            <w:tcW w:w="868"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647"/>
          <w:jc w:val="center"/>
        </w:trPr>
        <w:tc>
          <w:tcPr>
            <w:tcW w:w="1250" w:type="dxa"/>
            <w:vMerge/>
            <w:vAlign w:val="center"/>
          </w:tcPr>
          <w:p w:rsidR="00013EC7" w:rsidRDefault="00013EC7">
            <w:pPr>
              <w:rPr>
                <w:rFonts w:ascii="仿宋" w:eastAsia="仿宋" w:hAnsi="仿宋" w:cs="仿宋"/>
                <w:kern w:val="1"/>
                <w:sz w:val="24"/>
              </w:rPr>
            </w:pPr>
          </w:p>
        </w:tc>
        <w:tc>
          <w:tcPr>
            <w:tcW w:w="1316" w:type="dxa"/>
            <w:vMerge/>
            <w:vAlign w:val="center"/>
          </w:tcPr>
          <w:p w:rsidR="00013EC7" w:rsidRDefault="00013EC7">
            <w:pPr>
              <w:rPr>
                <w:rFonts w:ascii="仿宋" w:eastAsia="仿宋" w:hAnsi="仿宋" w:cs="仿宋"/>
                <w:kern w:val="1"/>
                <w:sz w:val="24"/>
              </w:rPr>
            </w:pPr>
          </w:p>
        </w:tc>
        <w:tc>
          <w:tcPr>
            <w:tcW w:w="2114" w:type="dxa"/>
            <w:vMerge/>
            <w:vAlign w:val="center"/>
          </w:tcPr>
          <w:p w:rsidR="00013EC7" w:rsidRDefault="00013EC7">
            <w:pPr>
              <w:rPr>
                <w:rFonts w:ascii="仿宋" w:eastAsia="仿宋" w:hAnsi="仿宋" w:cs="仿宋"/>
                <w:kern w:val="1"/>
                <w:sz w:val="24"/>
              </w:rPr>
            </w:pPr>
          </w:p>
        </w:tc>
        <w:tc>
          <w:tcPr>
            <w:tcW w:w="2731" w:type="dxa"/>
            <w:vAlign w:val="center"/>
          </w:tcPr>
          <w:p w:rsidR="00013EC7" w:rsidRDefault="00575CDB">
            <w:pPr>
              <w:rPr>
                <w:rFonts w:ascii="仿宋" w:eastAsia="仿宋" w:hAnsi="仿宋" w:cs="宋体"/>
                <w:color w:val="000000"/>
                <w:kern w:val="0"/>
                <w:sz w:val="24"/>
              </w:rPr>
            </w:pPr>
            <w:r>
              <w:rPr>
                <w:rFonts w:ascii="仿宋" w:eastAsia="仿宋" w:hAnsi="仿宋" w:cs="仿宋" w:hint="eastAsia"/>
                <w:kern w:val="1"/>
                <w:sz w:val="24"/>
              </w:rPr>
              <w:t>（十六）</w:t>
            </w:r>
            <w:r>
              <w:rPr>
                <w:rFonts w:ascii="仿宋" w:eastAsia="仿宋" w:hAnsi="仿宋" w:cs="宋体" w:hint="eastAsia"/>
                <w:color w:val="000000"/>
                <w:kern w:val="0"/>
                <w:sz w:val="24"/>
              </w:rPr>
              <w:t>与境外单位签订的提供增值税零税率应税服务的合同原件及复印件（注明与原件一致，并加盖公章）。提供软件服务、电路设计及测试服务、信息系统服务、业务流程管理服务，以及离岸服务外包业务的，同时提供合同已在商务部“服务外包及软件出口管理信息系统”中登记并审核通过，由该系统出具的证明文件。提供广播影视节目（作品）的制作和发行服务的，同时提供合同已在商务部“文化贸易管理系统”中登记并审核通过，由该系统出具的证明文件。</w:t>
            </w:r>
          </w:p>
        </w:tc>
        <w:tc>
          <w:tcPr>
            <w:tcW w:w="1123" w:type="dxa"/>
            <w:vMerge/>
            <w:vAlign w:val="center"/>
          </w:tcPr>
          <w:p w:rsidR="00013EC7" w:rsidRDefault="00013EC7">
            <w:pPr>
              <w:rPr>
                <w:rFonts w:ascii="仿宋" w:eastAsia="仿宋" w:hAnsi="仿宋" w:cs="宋体"/>
                <w:color w:val="000000"/>
                <w:kern w:val="0"/>
                <w:sz w:val="24"/>
              </w:rPr>
            </w:pPr>
          </w:p>
        </w:tc>
        <w:tc>
          <w:tcPr>
            <w:tcW w:w="2452" w:type="dxa"/>
            <w:vAlign w:val="center"/>
          </w:tcPr>
          <w:p w:rsidR="00013EC7" w:rsidRDefault="00575CDB">
            <w:pPr>
              <w:rPr>
                <w:rFonts w:ascii="仿宋" w:eastAsia="仿宋" w:hAnsi="仿宋" w:cs="宋体"/>
                <w:color w:val="000000"/>
                <w:kern w:val="0"/>
                <w:sz w:val="24"/>
              </w:rPr>
            </w:pPr>
            <w:r>
              <w:rPr>
                <w:rFonts w:ascii="仿宋" w:eastAsia="仿宋" w:hAnsi="仿宋" w:cs="仿宋" w:hint="eastAsia"/>
                <w:kern w:val="1"/>
                <w:sz w:val="24"/>
              </w:rPr>
              <w:t>（十六）</w:t>
            </w:r>
            <w:r>
              <w:rPr>
                <w:rFonts w:ascii="仿宋" w:eastAsia="仿宋" w:hAnsi="仿宋" w:cs="宋体" w:hint="eastAsia"/>
                <w:color w:val="000000"/>
                <w:kern w:val="0"/>
                <w:sz w:val="24"/>
              </w:rPr>
              <w:t>与境外单位签订的提供增值税零税率应税服务的合同原件及复印件（注明与原件一致，并加盖公章）。提供软件服务、电路设计及测试服务、信息系统服务、业务流程管理服务，以及离岸服务外包业务的，同时提供合同已在商务部“服务外包及软件出口管理信息系统”中登记并审核通过，由该系统出具的证明文件。提供广播影视节目（作品）的制作和发行服务的，同时提供合同已在商务部“文化贸易管理系统”中登记并审核通过，由该系统出具的证明文件。</w:t>
            </w:r>
          </w:p>
        </w:tc>
        <w:tc>
          <w:tcPr>
            <w:tcW w:w="1196" w:type="dxa"/>
            <w:vMerge/>
            <w:vAlign w:val="center"/>
          </w:tcPr>
          <w:p w:rsidR="00013EC7" w:rsidRDefault="00013EC7">
            <w:pPr>
              <w:rPr>
                <w:rFonts w:ascii="仿宋" w:eastAsia="仿宋" w:hAnsi="仿宋" w:cs="仿宋"/>
                <w:kern w:val="1"/>
                <w:sz w:val="24"/>
              </w:rPr>
            </w:pPr>
          </w:p>
        </w:tc>
        <w:tc>
          <w:tcPr>
            <w:tcW w:w="3318" w:type="dxa"/>
            <w:vMerge/>
            <w:vAlign w:val="center"/>
          </w:tcPr>
          <w:p w:rsidR="00013EC7" w:rsidRDefault="00013EC7">
            <w:pPr>
              <w:rPr>
                <w:rFonts w:ascii="仿宋" w:eastAsia="仿宋" w:hAnsi="仿宋" w:cs="仿宋"/>
                <w:kern w:val="1"/>
                <w:sz w:val="24"/>
              </w:rPr>
            </w:pPr>
          </w:p>
        </w:tc>
        <w:tc>
          <w:tcPr>
            <w:tcW w:w="868"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647"/>
          <w:jc w:val="center"/>
        </w:trPr>
        <w:tc>
          <w:tcPr>
            <w:tcW w:w="1250" w:type="dxa"/>
            <w:vMerge/>
            <w:vAlign w:val="center"/>
          </w:tcPr>
          <w:p w:rsidR="00013EC7" w:rsidRDefault="00013EC7">
            <w:pPr>
              <w:rPr>
                <w:rFonts w:ascii="仿宋" w:eastAsia="仿宋" w:hAnsi="仿宋" w:cs="仿宋"/>
                <w:kern w:val="1"/>
                <w:sz w:val="24"/>
              </w:rPr>
            </w:pPr>
          </w:p>
        </w:tc>
        <w:tc>
          <w:tcPr>
            <w:tcW w:w="1316" w:type="dxa"/>
            <w:vMerge/>
            <w:vAlign w:val="center"/>
          </w:tcPr>
          <w:p w:rsidR="00013EC7" w:rsidRDefault="00013EC7">
            <w:pPr>
              <w:rPr>
                <w:rFonts w:ascii="仿宋" w:eastAsia="仿宋" w:hAnsi="仿宋" w:cs="仿宋"/>
                <w:kern w:val="1"/>
                <w:sz w:val="24"/>
              </w:rPr>
            </w:pPr>
          </w:p>
        </w:tc>
        <w:tc>
          <w:tcPr>
            <w:tcW w:w="2114" w:type="dxa"/>
            <w:vMerge/>
            <w:vAlign w:val="center"/>
          </w:tcPr>
          <w:p w:rsidR="00013EC7" w:rsidRDefault="00013EC7">
            <w:pPr>
              <w:rPr>
                <w:rFonts w:ascii="仿宋" w:eastAsia="仿宋" w:hAnsi="仿宋" w:cs="仿宋"/>
                <w:kern w:val="1"/>
                <w:sz w:val="24"/>
              </w:rPr>
            </w:pPr>
          </w:p>
        </w:tc>
        <w:tc>
          <w:tcPr>
            <w:tcW w:w="2731" w:type="dxa"/>
            <w:tcBorders>
              <w:bottom w:val="single" w:sz="4" w:space="0" w:color="auto"/>
            </w:tcBorders>
            <w:vAlign w:val="center"/>
          </w:tcPr>
          <w:p w:rsidR="00013EC7" w:rsidRDefault="00575CDB">
            <w:pPr>
              <w:rPr>
                <w:rFonts w:ascii="仿宋" w:eastAsia="仿宋" w:hAnsi="仿宋" w:cs="宋体"/>
                <w:color w:val="000000"/>
                <w:kern w:val="0"/>
                <w:sz w:val="24"/>
              </w:rPr>
            </w:pPr>
            <w:r>
              <w:rPr>
                <w:rFonts w:ascii="仿宋" w:eastAsia="仿宋" w:hAnsi="仿宋" w:cs="仿宋" w:hint="eastAsia"/>
                <w:kern w:val="1"/>
                <w:sz w:val="24"/>
              </w:rPr>
              <w:t>（十七）</w:t>
            </w:r>
            <w:r>
              <w:rPr>
                <w:rFonts w:ascii="仿宋" w:eastAsia="仿宋" w:hAnsi="仿宋" w:cs="宋体" w:hint="eastAsia"/>
                <w:color w:val="000000"/>
                <w:kern w:val="0"/>
                <w:sz w:val="24"/>
              </w:rPr>
              <w:t>行业主管部门出具的在有效期内的影视制作许可证明原件及复印件（注明与原件一致，并加盖公章）。</w:t>
            </w:r>
          </w:p>
        </w:tc>
        <w:tc>
          <w:tcPr>
            <w:tcW w:w="1123" w:type="dxa"/>
            <w:vAlign w:val="center"/>
          </w:tcPr>
          <w:p w:rsidR="00013EC7" w:rsidRDefault="00575CDB">
            <w:pPr>
              <w:spacing w:line="300" w:lineRule="exact"/>
              <w:jc w:val="center"/>
              <w:rPr>
                <w:rFonts w:ascii="仿宋" w:eastAsia="仿宋" w:hAnsi="仿宋" w:cs="宋体"/>
                <w:color w:val="000000"/>
                <w:kern w:val="0"/>
                <w:sz w:val="24"/>
              </w:rPr>
            </w:pPr>
            <w:r>
              <w:rPr>
                <w:rFonts w:ascii="仿宋" w:eastAsia="仿宋" w:hAnsi="仿宋" w:cs="宋体" w:hint="eastAsia"/>
                <w:color w:val="000000"/>
                <w:kern w:val="0"/>
                <w:sz w:val="24"/>
              </w:rPr>
              <w:t>提供电影、电视剧的制作服务的增值税零税率应税服务的纳税人提交</w:t>
            </w:r>
          </w:p>
        </w:tc>
        <w:tc>
          <w:tcPr>
            <w:tcW w:w="2452" w:type="dxa"/>
            <w:vAlign w:val="center"/>
          </w:tcPr>
          <w:p w:rsidR="00013EC7" w:rsidRDefault="00575CDB">
            <w:pPr>
              <w:rPr>
                <w:rFonts w:ascii="仿宋" w:eastAsia="仿宋" w:hAnsi="仿宋" w:cs="宋体"/>
                <w:color w:val="000000"/>
                <w:kern w:val="0"/>
                <w:sz w:val="24"/>
              </w:rPr>
            </w:pPr>
            <w:r>
              <w:rPr>
                <w:rFonts w:ascii="仿宋" w:eastAsia="仿宋" w:hAnsi="仿宋" w:cs="仿宋" w:hint="eastAsia"/>
                <w:kern w:val="1"/>
                <w:sz w:val="24"/>
              </w:rPr>
              <w:t>（十七）</w:t>
            </w:r>
            <w:r>
              <w:rPr>
                <w:rFonts w:ascii="仿宋" w:eastAsia="仿宋" w:hAnsi="仿宋" w:cs="宋体" w:hint="eastAsia"/>
                <w:color w:val="000000"/>
                <w:kern w:val="0"/>
                <w:sz w:val="24"/>
              </w:rPr>
              <w:t>行业主管部门出具的在有效期内的影视制作许可证明原件及复印件（注明与原件一致，并加盖公章）1份。</w:t>
            </w:r>
          </w:p>
        </w:tc>
        <w:tc>
          <w:tcPr>
            <w:tcW w:w="1196" w:type="dxa"/>
            <w:vAlign w:val="center"/>
          </w:tcPr>
          <w:p w:rsidR="00013EC7" w:rsidRDefault="00575CDB">
            <w:pPr>
              <w:spacing w:line="300" w:lineRule="exact"/>
              <w:jc w:val="center"/>
              <w:rPr>
                <w:rFonts w:ascii="仿宋" w:eastAsia="仿宋" w:hAnsi="仿宋" w:cs="仿宋"/>
                <w:kern w:val="1"/>
                <w:sz w:val="24"/>
              </w:rPr>
            </w:pPr>
            <w:r>
              <w:rPr>
                <w:rFonts w:ascii="仿宋" w:eastAsia="仿宋" w:hAnsi="仿宋" w:cs="仿宋" w:hint="eastAsia"/>
                <w:kern w:val="1"/>
                <w:sz w:val="24"/>
              </w:rPr>
              <w:t>提供电影、电视剧的制作服务的增值税零税率应税服务的纳税人提交</w:t>
            </w:r>
          </w:p>
        </w:tc>
        <w:tc>
          <w:tcPr>
            <w:tcW w:w="3318" w:type="dxa"/>
            <w:vAlign w:val="center"/>
          </w:tcPr>
          <w:p w:rsidR="00013EC7" w:rsidRDefault="00575CDB">
            <w:pPr>
              <w:rPr>
                <w:rFonts w:ascii="仿宋" w:eastAsia="仿宋" w:hAnsi="仿宋" w:cs="仿宋"/>
                <w:kern w:val="1"/>
                <w:sz w:val="24"/>
              </w:rPr>
            </w:pPr>
            <w:r>
              <w:rPr>
                <w:rFonts w:ascii="仿宋" w:eastAsia="仿宋" w:hAnsi="仿宋" w:cs="仿宋" w:hint="eastAsia"/>
                <w:b/>
                <w:sz w:val="24"/>
              </w:rPr>
              <w:t>现场办理：</w:t>
            </w:r>
            <w:r>
              <w:rPr>
                <w:rFonts w:ascii="仿宋" w:eastAsia="仿宋" w:hAnsi="仿宋" w:cs="仿宋" w:hint="eastAsia"/>
                <w:sz w:val="24"/>
              </w:rPr>
              <w:t>纳税人提交书面材料（无纸化企业留存备查）。</w:t>
            </w:r>
          </w:p>
        </w:tc>
        <w:tc>
          <w:tcPr>
            <w:tcW w:w="868"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25"/>
          <w:jc w:val="center"/>
        </w:trPr>
        <w:tc>
          <w:tcPr>
            <w:tcW w:w="1250" w:type="dxa"/>
            <w:vMerge/>
            <w:textDirection w:val="tbRlV"/>
            <w:vAlign w:val="center"/>
          </w:tcPr>
          <w:p w:rsidR="00013EC7" w:rsidRDefault="00013EC7">
            <w:pPr>
              <w:rPr>
                <w:rFonts w:ascii="仿宋" w:eastAsia="仿宋" w:hAnsi="仿宋" w:cs="仿宋"/>
                <w:kern w:val="1"/>
                <w:sz w:val="24"/>
              </w:rPr>
            </w:pPr>
          </w:p>
        </w:tc>
        <w:tc>
          <w:tcPr>
            <w:tcW w:w="1316" w:type="dxa"/>
            <w:vMerge/>
            <w:vAlign w:val="center"/>
          </w:tcPr>
          <w:p w:rsidR="00013EC7" w:rsidRDefault="00013EC7">
            <w:pPr>
              <w:rPr>
                <w:rFonts w:ascii="仿宋" w:eastAsia="仿宋" w:hAnsi="仿宋" w:cs="仿宋"/>
                <w:kern w:val="1"/>
                <w:sz w:val="24"/>
              </w:rPr>
            </w:pPr>
          </w:p>
        </w:tc>
        <w:tc>
          <w:tcPr>
            <w:tcW w:w="2114" w:type="dxa"/>
            <w:vMerge/>
            <w:vAlign w:val="center"/>
          </w:tcPr>
          <w:p w:rsidR="00013EC7" w:rsidRDefault="00013EC7">
            <w:pPr>
              <w:rPr>
                <w:rFonts w:ascii="仿宋" w:eastAsia="仿宋" w:hAnsi="仿宋" w:cs="仿宋"/>
                <w:kern w:val="1"/>
                <w:sz w:val="24"/>
              </w:rPr>
            </w:pPr>
          </w:p>
        </w:tc>
        <w:tc>
          <w:tcPr>
            <w:tcW w:w="2731" w:type="dxa"/>
            <w:tcBorders>
              <w:top w:val="single" w:sz="4" w:space="0" w:color="auto"/>
            </w:tcBorders>
            <w:vAlign w:val="center"/>
          </w:tcPr>
          <w:p w:rsidR="00013EC7" w:rsidRDefault="00575CDB">
            <w:pPr>
              <w:rPr>
                <w:rFonts w:ascii="仿宋" w:eastAsia="仿宋" w:hAnsi="仿宋" w:cs="宋体"/>
                <w:color w:val="000000"/>
                <w:kern w:val="0"/>
                <w:sz w:val="24"/>
              </w:rPr>
            </w:pPr>
            <w:r>
              <w:rPr>
                <w:rFonts w:ascii="仿宋" w:eastAsia="仿宋" w:hAnsi="仿宋" w:cs="仿宋" w:hint="eastAsia"/>
                <w:kern w:val="1"/>
                <w:sz w:val="24"/>
              </w:rPr>
              <w:t>（十八）</w:t>
            </w:r>
            <w:r>
              <w:rPr>
                <w:rFonts w:ascii="仿宋" w:eastAsia="仿宋" w:hAnsi="仿宋" w:cs="宋体" w:hint="eastAsia"/>
                <w:color w:val="000000"/>
                <w:kern w:val="0"/>
                <w:sz w:val="24"/>
              </w:rPr>
              <w:t>行业主管部门出</w:t>
            </w:r>
            <w:r>
              <w:rPr>
                <w:rFonts w:ascii="仿宋" w:eastAsia="仿宋" w:hAnsi="仿宋" w:cs="宋体" w:hint="eastAsia"/>
                <w:color w:val="000000"/>
                <w:kern w:val="0"/>
                <w:sz w:val="24"/>
              </w:rPr>
              <w:lastRenderedPageBreak/>
              <w:t>具的在有效期内的发行版权证明、发行许可证明原件及复印件（注明与原件一致，并加盖公章）。</w:t>
            </w:r>
          </w:p>
        </w:tc>
        <w:tc>
          <w:tcPr>
            <w:tcW w:w="1123" w:type="dxa"/>
            <w:vAlign w:val="center"/>
          </w:tcPr>
          <w:p w:rsidR="00013EC7" w:rsidRDefault="00575CDB">
            <w:pPr>
              <w:rPr>
                <w:rFonts w:ascii="仿宋" w:eastAsia="仿宋" w:hAnsi="仿宋" w:cs="宋体"/>
                <w:color w:val="000000"/>
                <w:kern w:val="0"/>
                <w:sz w:val="24"/>
              </w:rPr>
            </w:pPr>
            <w:r>
              <w:rPr>
                <w:rFonts w:ascii="仿宋" w:eastAsia="仿宋" w:hAnsi="仿宋" w:cs="宋体" w:hint="eastAsia"/>
                <w:color w:val="000000"/>
                <w:kern w:val="0"/>
                <w:sz w:val="24"/>
              </w:rPr>
              <w:lastRenderedPageBreak/>
              <w:t>提供电</w:t>
            </w:r>
            <w:r>
              <w:rPr>
                <w:rFonts w:ascii="仿宋" w:eastAsia="仿宋" w:hAnsi="仿宋" w:cs="宋体" w:hint="eastAsia"/>
                <w:color w:val="000000"/>
                <w:kern w:val="0"/>
                <w:sz w:val="24"/>
              </w:rPr>
              <w:lastRenderedPageBreak/>
              <w:t>影、电视剧的发行服务的增值税零税率应税服务的纳税人提交</w:t>
            </w:r>
          </w:p>
        </w:tc>
        <w:tc>
          <w:tcPr>
            <w:tcW w:w="2452" w:type="dxa"/>
            <w:vAlign w:val="center"/>
          </w:tcPr>
          <w:p w:rsidR="00013EC7" w:rsidRDefault="00575CDB">
            <w:pPr>
              <w:rPr>
                <w:rFonts w:ascii="仿宋" w:eastAsia="仿宋" w:hAnsi="仿宋" w:cs="宋体"/>
                <w:color w:val="000000"/>
                <w:kern w:val="0"/>
                <w:sz w:val="24"/>
              </w:rPr>
            </w:pPr>
            <w:r>
              <w:rPr>
                <w:rFonts w:ascii="仿宋" w:eastAsia="仿宋" w:hAnsi="仿宋" w:cs="仿宋" w:hint="eastAsia"/>
                <w:kern w:val="1"/>
                <w:sz w:val="24"/>
              </w:rPr>
              <w:lastRenderedPageBreak/>
              <w:t>（十八）</w:t>
            </w:r>
            <w:r>
              <w:rPr>
                <w:rFonts w:ascii="仿宋" w:eastAsia="仿宋" w:hAnsi="仿宋" w:cs="宋体" w:hint="eastAsia"/>
                <w:color w:val="000000"/>
                <w:kern w:val="0"/>
                <w:sz w:val="24"/>
              </w:rPr>
              <w:t>行业主管部门</w:t>
            </w:r>
            <w:r>
              <w:rPr>
                <w:rFonts w:ascii="仿宋" w:eastAsia="仿宋" w:hAnsi="仿宋" w:cs="宋体" w:hint="eastAsia"/>
                <w:color w:val="000000"/>
                <w:kern w:val="0"/>
                <w:sz w:val="24"/>
              </w:rPr>
              <w:lastRenderedPageBreak/>
              <w:t>出具的在有效期内的发行版权证明、发行许可证明原件及复印件（注明与原件一致，并加盖公章）1份。</w:t>
            </w:r>
          </w:p>
        </w:tc>
        <w:tc>
          <w:tcPr>
            <w:tcW w:w="1196"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lastRenderedPageBreak/>
              <w:t>提供电影、</w:t>
            </w:r>
            <w:r>
              <w:rPr>
                <w:rFonts w:ascii="仿宋" w:eastAsia="仿宋" w:hAnsi="仿宋" w:cs="仿宋" w:hint="eastAsia"/>
                <w:kern w:val="1"/>
                <w:sz w:val="24"/>
              </w:rPr>
              <w:lastRenderedPageBreak/>
              <w:t>电视剧的发行服务的增值税零税率应税服务的纳税人提交</w:t>
            </w:r>
          </w:p>
        </w:tc>
        <w:tc>
          <w:tcPr>
            <w:tcW w:w="3318" w:type="dxa"/>
            <w:vAlign w:val="center"/>
          </w:tcPr>
          <w:p w:rsidR="00013EC7" w:rsidRDefault="00013EC7">
            <w:pPr>
              <w:spacing w:line="300" w:lineRule="exact"/>
              <w:rPr>
                <w:rFonts w:ascii="仿宋" w:eastAsia="仿宋" w:hAnsi="仿宋" w:cs="仿宋"/>
                <w:b/>
                <w:sz w:val="24"/>
              </w:rPr>
            </w:pPr>
          </w:p>
          <w:p w:rsidR="00013EC7" w:rsidRDefault="00575CDB">
            <w:pPr>
              <w:spacing w:line="300" w:lineRule="exact"/>
              <w:rPr>
                <w:rFonts w:ascii="仿宋" w:eastAsia="仿宋" w:hAnsi="仿宋" w:cs="仿宋"/>
                <w:kern w:val="1"/>
                <w:sz w:val="24"/>
              </w:rPr>
            </w:pPr>
            <w:r>
              <w:rPr>
                <w:rFonts w:ascii="仿宋" w:eastAsia="仿宋" w:hAnsi="仿宋" w:cs="仿宋" w:hint="eastAsia"/>
                <w:b/>
                <w:sz w:val="24"/>
              </w:rPr>
              <w:lastRenderedPageBreak/>
              <w:t>现场办理：</w:t>
            </w:r>
            <w:r>
              <w:rPr>
                <w:rFonts w:ascii="仿宋" w:eastAsia="仿宋" w:hAnsi="仿宋" w:cs="仿宋" w:hint="eastAsia"/>
                <w:sz w:val="24"/>
              </w:rPr>
              <w:t>纳税人提交书面材料（无纸化企业留存备查）。</w:t>
            </w:r>
          </w:p>
        </w:tc>
        <w:tc>
          <w:tcPr>
            <w:tcW w:w="868"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25"/>
          <w:jc w:val="center"/>
        </w:trPr>
        <w:tc>
          <w:tcPr>
            <w:tcW w:w="1250" w:type="dxa"/>
            <w:vMerge/>
            <w:textDirection w:val="tbRlV"/>
            <w:vAlign w:val="center"/>
          </w:tcPr>
          <w:p w:rsidR="00013EC7" w:rsidRDefault="00013EC7"/>
        </w:tc>
        <w:tc>
          <w:tcPr>
            <w:tcW w:w="1316" w:type="dxa"/>
            <w:vMerge/>
            <w:vAlign w:val="center"/>
          </w:tcPr>
          <w:p w:rsidR="00013EC7" w:rsidRDefault="00013EC7"/>
        </w:tc>
        <w:tc>
          <w:tcPr>
            <w:tcW w:w="2114" w:type="dxa"/>
            <w:vMerge/>
            <w:vAlign w:val="center"/>
          </w:tcPr>
          <w:p w:rsidR="00013EC7" w:rsidRDefault="00013EC7"/>
        </w:tc>
        <w:tc>
          <w:tcPr>
            <w:tcW w:w="2731" w:type="dxa"/>
            <w:vAlign w:val="center"/>
          </w:tcPr>
          <w:p w:rsidR="00013EC7" w:rsidRDefault="00575CDB">
            <w:pPr>
              <w:rPr>
                <w:rFonts w:ascii="仿宋" w:eastAsia="仿宋" w:hAnsi="仿宋" w:cs="宋体"/>
                <w:color w:val="000000"/>
                <w:kern w:val="0"/>
                <w:sz w:val="24"/>
              </w:rPr>
            </w:pPr>
            <w:r>
              <w:rPr>
                <w:rFonts w:ascii="仿宋" w:eastAsia="仿宋" w:hAnsi="仿宋" w:cs="仿宋" w:hint="eastAsia"/>
                <w:kern w:val="1"/>
                <w:sz w:val="24"/>
              </w:rPr>
              <w:t>（十九）</w:t>
            </w:r>
            <w:r>
              <w:rPr>
                <w:rFonts w:ascii="仿宋" w:eastAsia="仿宋" w:hAnsi="仿宋" w:cs="宋体" w:hint="eastAsia"/>
                <w:color w:val="000000"/>
                <w:kern w:val="0"/>
                <w:sz w:val="24"/>
              </w:rPr>
              <w:t>与提供增值税零税率应税服务收入相对应的《技术出口合同登记证》及其数据表原件及复印件（注明与原件一致，并加盖公章）。</w:t>
            </w:r>
          </w:p>
        </w:tc>
        <w:tc>
          <w:tcPr>
            <w:tcW w:w="1123" w:type="dxa"/>
            <w:vAlign w:val="center"/>
          </w:tcPr>
          <w:p w:rsidR="00013EC7" w:rsidRDefault="00575CDB">
            <w:pPr>
              <w:rPr>
                <w:rFonts w:ascii="仿宋" w:eastAsia="仿宋" w:hAnsi="仿宋" w:cs="宋体"/>
                <w:color w:val="000000"/>
                <w:kern w:val="0"/>
                <w:sz w:val="24"/>
              </w:rPr>
            </w:pPr>
            <w:r>
              <w:rPr>
                <w:rFonts w:ascii="仿宋" w:eastAsia="仿宋" w:hAnsi="仿宋" w:cs="宋体" w:hint="eastAsia"/>
                <w:color w:val="000000"/>
                <w:kern w:val="0"/>
                <w:sz w:val="24"/>
              </w:rPr>
              <w:t>提供研发服务、设计服务、技术转让服务的增值税零税率应税服务纳税人提交</w:t>
            </w:r>
          </w:p>
        </w:tc>
        <w:tc>
          <w:tcPr>
            <w:tcW w:w="2452" w:type="dxa"/>
            <w:vAlign w:val="center"/>
          </w:tcPr>
          <w:p w:rsidR="00013EC7" w:rsidRDefault="00575CDB">
            <w:pPr>
              <w:rPr>
                <w:rFonts w:ascii="仿宋" w:eastAsia="仿宋" w:hAnsi="仿宋" w:cs="宋体"/>
                <w:color w:val="000000"/>
                <w:kern w:val="0"/>
                <w:sz w:val="24"/>
              </w:rPr>
            </w:pPr>
            <w:r>
              <w:rPr>
                <w:rFonts w:ascii="仿宋" w:eastAsia="仿宋" w:hAnsi="仿宋" w:cs="仿宋" w:hint="eastAsia"/>
                <w:kern w:val="1"/>
                <w:sz w:val="24"/>
              </w:rPr>
              <w:t>（十九）</w:t>
            </w:r>
            <w:r>
              <w:rPr>
                <w:rFonts w:ascii="仿宋" w:eastAsia="仿宋" w:hAnsi="仿宋" w:cs="宋体" w:hint="eastAsia"/>
                <w:color w:val="000000"/>
                <w:kern w:val="0"/>
                <w:sz w:val="24"/>
              </w:rPr>
              <w:t>与提供增值税零税率应税服务收入相对应的《技术出口合同登记证》及其数据表原件及复印件（注明与原件一致，并加盖公章）1份。</w:t>
            </w:r>
          </w:p>
        </w:tc>
        <w:tc>
          <w:tcPr>
            <w:tcW w:w="1196"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提供研发服务、设计服务、技术转让服务的增值税零税率应税服务纳税人提交</w:t>
            </w:r>
          </w:p>
        </w:tc>
        <w:tc>
          <w:tcPr>
            <w:tcW w:w="3318" w:type="dxa"/>
            <w:vAlign w:val="center"/>
          </w:tcPr>
          <w:p w:rsidR="00013EC7" w:rsidRDefault="00575CDB">
            <w:pPr>
              <w:rPr>
                <w:rFonts w:ascii="仿宋" w:eastAsia="仿宋" w:hAnsi="仿宋" w:cs="仿宋"/>
                <w:kern w:val="1"/>
                <w:sz w:val="24"/>
              </w:rPr>
            </w:pPr>
            <w:r>
              <w:rPr>
                <w:rFonts w:ascii="仿宋" w:eastAsia="仿宋" w:hAnsi="仿宋" w:cs="仿宋" w:hint="eastAsia"/>
                <w:b/>
                <w:sz w:val="24"/>
              </w:rPr>
              <w:t>现场办理：</w:t>
            </w:r>
            <w:r>
              <w:rPr>
                <w:rFonts w:ascii="仿宋" w:eastAsia="仿宋" w:hAnsi="仿宋" w:cs="仿宋" w:hint="eastAsia"/>
                <w:sz w:val="24"/>
              </w:rPr>
              <w:t>纳税人提交书面材料（无纸化企业留存备查）。</w:t>
            </w:r>
          </w:p>
        </w:tc>
        <w:tc>
          <w:tcPr>
            <w:tcW w:w="868"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25"/>
          <w:jc w:val="center"/>
        </w:trPr>
        <w:tc>
          <w:tcPr>
            <w:tcW w:w="1250" w:type="dxa"/>
            <w:vMerge/>
            <w:textDirection w:val="tbRlV"/>
            <w:vAlign w:val="center"/>
          </w:tcPr>
          <w:p w:rsidR="00013EC7" w:rsidRDefault="00013EC7">
            <w:pPr>
              <w:rPr>
                <w:rFonts w:ascii="仿宋" w:eastAsia="仿宋" w:hAnsi="仿宋" w:cs="仿宋"/>
                <w:kern w:val="1"/>
                <w:sz w:val="24"/>
              </w:rPr>
            </w:pPr>
          </w:p>
        </w:tc>
        <w:tc>
          <w:tcPr>
            <w:tcW w:w="1316" w:type="dxa"/>
            <w:vMerge/>
            <w:vAlign w:val="center"/>
          </w:tcPr>
          <w:p w:rsidR="00013EC7" w:rsidRDefault="00013EC7">
            <w:pPr>
              <w:rPr>
                <w:rFonts w:ascii="仿宋" w:eastAsia="仿宋" w:hAnsi="仿宋" w:cs="仿宋"/>
                <w:kern w:val="1"/>
                <w:sz w:val="24"/>
              </w:rPr>
            </w:pPr>
          </w:p>
        </w:tc>
        <w:tc>
          <w:tcPr>
            <w:tcW w:w="2114" w:type="dxa"/>
            <w:vMerge/>
            <w:vAlign w:val="center"/>
          </w:tcPr>
          <w:p w:rsidR="00013EC7" w:rsidRDefault="00013EC7">
            <w:pPr>
              <w:rPr>
                <w:rFonts w:ascii="仿宋" w:eastAsia="仿宋" w:hAnsi="仿宋" w:cs="仿宋"/>
                <w:kern w:val="1"/>
                <w:sz w:val="24"/>
              </w:rPr>
            </w:pPr>
          </w:p>
        </w:tc>
        <w:tc>
          <w:tcPr>
            <w:tcW w:w="2731" w:type="dxa"/>
            <w:vAlign w:val="center"/>
          </w:tcPr>
          <w:p w:rsidR="00013EC7" w:rsidRDefault="00575CDB">
            <w:pPr>
              <w:rPr>
                <w:rFonts w:ascii="仿宋" w:eastAsia="仿宋" w:hAnsi="仿宋" w:cs="宋体"/>
                <w:color w:val="000000"/>
                <w:kern w:val="0"/>
                <w:sz w:val="24"/>
              </w:rPr>
            </w:pPr>
            <w:r>
              <w:rPr>
                <w:rFonts w:ascii="仿宋" w:eastAsia="仿宋" w:hAnsi="仿宋" w:cs="仿宋" w:hint="eastAsia"/>
                <w:kern w:val="1"/>
                <w:sz w:val="24"/>
              </w:rPr>
              <w:t>（二十）</w:t>
            </w:r>
            <w:r>
              <w:rPr>
                <w:rFonts w:ascii="仿宋" w:eastAsia="仿宋" w:hAnsi="仿宋" w:cs="宋体" w:hint="eastAsia"/>
                <w:color w:val="000000"/>
                <w:kern w:val="0"/>
                <w:sz w:val="24"/>
              </w:rPr>
              <w:t>从与之签订提供增值税零税率应税服务合同的境外单位取得收入的收款凭证原件及复印件（注明与原件一致，并加盖公章）。</w:t>
            </w:r>
          </w:p>
          <w:p w:rsidR="00013EC7" w:rsidRDefault="00575CDB">
            <w:pPr>
              <w:rPr>
                <w:rFonts w:ascii="仿宋" w:eastAsia="仿宋" w:hAnsi="仿宋" w:cs="宋体"/>
                <w:color w:val="000000"/>
                <w:kern w:val="0"/>
                <w:sz w:val="24"/>
              </w:rPr>
            </w:pPr>
            <w:r>
              <w:rPr>
                <w:rFonts w:ascii="仿宋" w:eastAsia="仿宋" w:hAnsi="仿宋" w:cs="宋体" w:hint="eastAsia"/>
                <w:color w:val="000000"/>
                <w:kern w:val="0"/>
                <w:sz w:val="24"/>
              </w:rPr>
              <w:t>跨国公司经外汇管理部门批准实行外汇资金集中运营管理或经中国人民银行批准实行经常项下跨境人民币集中收付管理的，其成员公司在批准的有效期内，可凭银行出具给跨国公司资金集中运营（收付）公司符合下列规定的收款凭证，向主管国税机关申报退（免）税：收款凭证上的付款单位须是与成员公司签订提供增值税零税率应税服务合同的境外</w:t>
            </w:r>
            <w:r>
              <w:rPr>
                <w:rFonts w:ascii="仿宋" w:eastAsia="仿宋" w:hAnsi="仿宋" w:cs="宋体" w:hint="eastAsia"/>
                <w:color w:val="000000"/>
                <w:kern w:val="0"/>
                <w:sz w:val="24"/>
              </w:rPr>
              <w:lastRenderedPageBreak/>
              <w:t>单位或合同约定的跨国公司的境外成员企业。收款凭证上的收款单位或附言的实际收款人须载明有成员公司的名称。</w:t>
            </w:r>
          </w:p>
        </w:tc>
        <w:tc>
          <w:tcPr>
            <w:tcW w:w="1123" w:type="dxa"/>
            <w:vAlign w:val="center"/>
          </w:tcPr>
          <w:p w:rsidR="00013EC7" w:rsidRDefault="00575CDB">
            <w:pPr>
              <w:rPr>
                <w:rFonts w:ascii="仿宋" w:eastAsia="仿宋" w:hAnsi="仿宋" w:cs="宋体"/>
                <w:color w:val="000000"/>
                <w:kern w:val="0"/>
                <w:sz w:val="24"/>
              </w:rPr>
            </w:pPr>
            <w:r>
              <w:rPr>
                <w:rFonts w:ascii="仿宋" w:eastAsia="仿宋" w:hAnsi="仿宋" w:cs="宋体" w:hint="eastAsia"/>
                <w:color w:val="000000"/>
                <w:kern w:val="0"/>
                <w:sz w:val="24"/>
              </w:rPr>
              <w:lastRenderedPageBreak/>
              <w:t>对外提供研发服务、设计服务、新纳入零税率范围的应税服务的纳税人提交</w:t>
            </w:r>
          </w:p>
        </w:tc>
        <w:tc>
          <w:tcPr>
            <w:tcW w:w="2452" w:type="dxa"/>
            <w:vAlign w:val="center"/>
          </w:tcPr>
          <w:p w:rsidR="00013EC7" w:rsidRDefault="00575CDB">
            <w:pPr>
              <w:rPr>
                <w:rFonts w:ascii="仿宋" w:eastAsia="仿宋" w:hAnsi="仿宋" w:cs="宋体"/>
                <w:color w:val="000000"/>
                <w:kern w:val="0"/>
                <w:sz w:val="24"/>
              </w:rPr>
            </w:pPr>
            <w:r>
              <w:rPr>
                <w:rFonts w:ascii="仿宋" w:eastAsia="仿宋" w:hAnsi="仿宋" w:cs="仿宋" w:hint="eastAsia"/>
                <w:kern w:val="1"/>
                <w:sz w:val="24"/>
              </w:rPr>
              <w:t>（二十）</w:t>
            </w:r>
            <w:r>
              <w:rPr>
                <w:rFonts w:ascii="仿宋" w:eastAsia="仿宋" w:hAnsi="仿宋" w:cs="宋体" w:hint="eastAsia"/>
                <w:color w:val="000000"/>
                <w:kern w:val="0"/>
                <w:sz w:val="24"/>
              </w:rPr>
              <w:t>从与之签订提供增值税零税率应税服务合同的境外单位取得收入的收款凭证原件及复印件（注明与原件一致，并加盖公章）。</w:t>
            </w:r>
          </w:p>
          <w:p w:rsidR="00013EC7" w:rsidRDefault="00575CDB">
            <w:pPr>
              <w:rPr>
                <w:rFonts w:ascii="仿宋" w:eastAsia="仿宋" w:hAnsi="仿宋" w:cs="宋体"/>
                <w:color w:val="000000"/>
                <w:kern w:val="0"/>
                <w:sz w:val="24"/>
              </w:rPr>
            </w:pPr>
            <w:r>
              <w:rPr>
                <w:rFonts w:ascii="仿宋" w:eastAsia="仿宋" w:hAnsi="仿宋" w:cs="宋体" w:hint="eastAsia"/>
                <w:color w:val="000000"/>
                <w:kern w:val="0"/>
                <w:sz w:val="24"/>
              </w:rPr>
              <w:t>跨国公司经外汇管理部门批准实行外汇资金集中运营管理或经中国人民银行批准实行经常项下跨境人民币集中收付管理的，其成员公司在批准的有效期内，可凭银行出具给跨国公司资金集中运营（收付）公司符合下列规定的收款凭证，向主管国税机关申报退（免）税：收款凭证上的付款单位须是与</w:t>
            </w:r>
            <w:r>
              <w:rPr>
                <w:rFonts w:ascii="仿宋" w:eastAsia="仿宋" w:hAnsi="仿宋" w:cs="宋体" w:hint="eastAsia"/>
                <w:color w:val="000000"/>
                <w:kern w:val="0"/>
                <w:sz w:val="24"/>
              </w:rPr>
              <w:lastRenderedPageBreak/>
              <w:t>成员公司签订提供增值税零税率应税服务合同的境外单位或合同约定的跨国公司的境外成员企业。收款凭证上的收款单位或附言的实际收款人须载明有成员公司的名称。</w:t>
            </w:r>
          </w:p>
        </w:tc>
        <w:tc>
          <w:tcPr>
            <w:tcW w:w="1196"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lastRenderedPageBreak/>
              <w:t>对外提供研发服务、设计服务、新纳入零税率范围的应税服务的纳税人提交</w:t>
            </w:r>
          </w:p>
        </w:tc>
        <w:tc>
          <w:tcPr>
            <w:tcW w:w="3318" w:type="dxa"/>
            <w:vAlign w:val="center"/>
          </w:tcPr>
          <w:p w:rsidR="00013EC7" w:rsidRDefault="00575CDB">
            <w:pPr>
              <w:rPr>
                <w:rFonts w:ascii="仿宋" w:eastAsia="仿宋" w:hAnsi="仿宋" w:cs="仿宋"/>
                <w:kern w:val="1"/>
                <w:sz w:val="24"/>
              </w:rPr>
            </w:pPr>
            <w:r>
              <w:rPr>
                <w:rFonts w:ascii="仿宋" w:eastAsia="仿宋" w:hAnsi="仿宋" w:cs="仿宋" w:hint="eastAsia"/>
                <w:b/>
                <w:sz w:val="24"/>
              </w:rPr>
              <w:t>现场办理：</w:t>
            </w:r>
            <w:r>
              <w:rPr>
                <w:rFonts w:ascii="仿宋" w:eastAsia="仿宋" w:hAnsi="仿宋" w:cs="仿宋" w:hint="eastAsia"/>
                <w:sz w:val="24"/>
              </w:rPr>
              <w:t>纳税人提交书面材料（无纸化企业留存备查）。</w:t>
            </w:r>
          </w:p>
        </w:tc>
        <w:tc>
          <w:tcPr>
            <w:tcW w:w="868"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25"/>
          <w:jc w:val="center"/>
        </w:trPr>
        <w:tc>
          <w:tcPr>
            <w:tcW w:w="1250" w:type="dxa"/>
            <w:vMerge/>
            <w:textDirection w:val="tbRlV"/>
            <w:vAlign w:val="center"/>
          </w:tcPr>
          <w:p w:rsidR="00013EC7" w:rsidRDefault="00013EC7">
            <w:pPr>
              <w:rPr>
                <w:rFonts w:ascii="仿宋" w:eastAsia="仿宋" w:hAnsi="仿宋" w:cs="仿宋"/>
                <w:kern w:val="1"/>
                <w:sz w:val="24"/>
              </w:rPr>
            </w:pPr>
          </w:p>
        </w:tc>
        <w:tc>
          <w:tcPr>
            <w:tcW w:w="1316" w:type="dxa"/>
            <w:vMerge/>
            <w:vAlign w:val="center"/>
          </w:tcPr>
          <w:p w:rsidR="00013EC7" w:rsidRDefault="00013EC7">
            <w:pPr>
              <w:rPr>
                <w:rFonts w:ascii="仿宋" w:eastAsia="仿宋" w:hAnsi="仿宋" w:cs="仿宋"/>
                <w:kern w:val="1"/>
                <w:sz w:val="24"/>
              </w:rPr>
            </w:pPr>
          </w:p>
        </w:tc>
        <w:tc>
          <w:tcPr>
            <w:tcW w:w="2114" w:type="dxa"/>
            <w:vMerge/>
            <w:vAlign w:val="center"/>
          </w:tcPr>
          <w:p w:rsidR="00013EC7" w:rsidRDefault="00013EC7">
            <w:pPr>
              <w:rPr>
                <w:rFonts w:ascii="仿宋" w:eastAsia="仿宋" w:hAnsi="仿宋" w:cs="仿宋"/>
                <w:kern w:val="1"/>
                <w:sz w:val="24"/>
              </w:rPr>
            </w:pPr>
          </w:p>
        </w:tc>
        <w:tc>
          <w:tcPr>
            <w:tcW w:w="2731"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（二十一）</w:t>
            </w:r>
            <w:r>
              <w:rPr>
                <w:rFonts w:ascii="仿宋" w:eastAsia="仿宋" w:hAnsi="仿宋" w:cs="宋体" w:hint="eastAsia"/>
                <w:color w:val="000000"/>
                <w:kern w:val="0"/>
                <w:sz w:val="24"/>
              </w:rPr>
              <w:t>税务机关要求提供的相关资料及凭证。</w:t>
            </w:r>
          </w:p>
        </w:tc>
        <w:tc>
          <w:tcPr>
            <w:tcW w:w="1123" w:type="dxa"/>
            <w:vAlign w:val="center"/>
          </w:tcPr>
          <w:p w:rsidR="00013EC7" w:rsidRDefault="00013EC7">
            <w:pPr>
              <w:rPr>
                <w:rFonts w:ascii="仿宋" w:eastAsia="仿宋" w:hAnsi="仿宋" w:cs="仿宋"/>
                <w:kern w:val="1"/>
                <w:sz w:val="24"/>
              </w:rPr>
            </w:pPr>
          </w:p>
        </w:tc>
        <w:tc>
          <w:tcPr>
            <w:tcW w:w="2452" w:type="dxa"/>
            <w:vAlign w:val="center"/>
          </w:tcPr>
          <w:p w:rsidR="00013EC7" w:rsidRDefault="00013EC7">
            <w:pPr>
              <w:rPr>
                <w:rFonts w:ascii="仿宋" w:eastAsia="仿宋" w:hAnsi="仿宋" w:cs="仿宋"/>
                <w:kern w:val="1"/>
                <w:sz w:val="24"/>
              </w:rPr>
            </w:pPr>
          </w:p>
        </w:tc>
        <w:tc>
          <w:tcPr>
            <w:tcW w:w="1196" w:type="dxa"/>
            <w:vAlign w:val="center"/>
          </w:tcPr>
          <w:p w:rsidR="00013EC7" w:rsidRDefault="00575CDB">
            <w:pPr>
              <w:jc w:val="center"/>
              <w:rPr>
                <w:rFonts w:ascii="仿宋" w:eastAsia="仿宋" w:hAnsi="仿宋" w:cs="仿宋"/>
                <w:b/>
                <w:i/>
                <w:kern w:val="1"/>
                <w:sz w:val="24"/>
              </w:rPr>
            </w:pPr>
            <w:r>
              <w:rPr>
                <w:rFonts w:ascii="仿宋" w:eastAsia="仿宋" w:hAnsi="仿宋" w:cs="仿宋" w:hint="eastAsia"/>
                <w:b/>
                <w:i/>
                <w:kern w:val="1"/>
                <w:sz w:val="24"/>
              </w:rPr>
              <w:t>取消</w:t>
            </w:r>
          </w:p>
        </w:tc>
        <w:tc>
          <w:tcPr>
            <w:tcW w:w="3318" w:type="dxa"/>
            <w:vAlign w:val="center"/>
          </w:tcPr>
          <w:p w:rsidR="00013EC7" w:rsidRDefault="00013EC7">
            <w:pPr>
              <w:rPr>
                <w:rFonts w:ascii="仿宋" w:eastAsia="仿宋" w:hAnsi="仿宋" w:cs="仿宋"/>
                <w:kern w:val="1"/>
                <w:sz w:val="24"/>
              </w:rPr>
            </w:pPr>
          </w:p>
        </w:tc>
        <w:tc>
          <w:tcPr>
            <w:tcW w:w="868"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25"/>
          <w:jc w:val="center"/>
        </w:trPr>
        <w:tc>
          <w:tcPr>
            <w:tcW w:w="1250" w:type="dxa"/>
            <w:vMerge/>
            <w:textDirection w:val="tbRlV"/>
            <w:vAlign w:val="center"/>
          </w:tcPr>
          <w:p w:rsidR="00013EC7" w:rsidRDefault="00013EC7">
            <w:pPr>
              <w:rPr>
                <w:rFonts w:ascii="仿宋" w:eastAsia="仿宋" w:hAnsi="仿宋" w:cs="仿宋"/>
                <w:kern w:val="1"/>
                <w:sz w:val="24"/>
              </w:rPr>
            </w:pPr>
          </w:p>
        </w:tc>
        <w:tc>
          <w:tcPr>
            <w:tcW w:w="1316" w:type="dxa"/>
            <w:vMerge/>
            <w:vAlign w:val="center"/>
          </w:tcPr>
          <w:p w:rsidR="00013EC7" w:rsidRDefault="00013EC7">
            <w:pPr>
              <w:rPr>
                <w:rFonts w:ascii="仿宋" w:eastAsia="仿宋" w:hAnsi="仿宋" w:cs="仿宋"/>
                <w:kern w:val="1"/>
                <w:sz w:val="24"/>
              </w:rPr>
            </w:pPr>
          </w:p>
        </w:tc>
        <w:tc>
          <w:tcPr>
            <w:tcW w:w="2114" w:type="dxa"/>
            <w:vMerge/>
            <w:vAlign w:val="center"/>
          </w:tcPr>
          <w:p w:rsidR="00013EC7" w:rsidRDefault="00013EC7">
            <w:pPr>
              <w:rPr>
                <w:rFonts w:ascii="仿宋" w:eastAsia="仿宋" w:hAnsi="仿宋" w:cs="仿宋"/>
                <w:kern w:val="1"/>
                <w:sz w:val="24"/>
              </w:rPr>
            </w:pPr>
          </w:p>
        </w:tc>
        <w:tc>
          <w:tcPr>
            <w:tcW w:w="2731"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（二十二）《外贸企业外购应税服务出口明细申报表》。</w:t>
            </w:r>
          </w:p>
        </w:tc>
        <w:tc>
          <w:tcPr>
            <w:tcW w:w="1123" w:type="dxa"/>
            <w:vMerge w:val="restart"/>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实行免退税办法的增值税零税率应税服务的纳税人提交</w:t>
            </w:r>
          </w:p>
        </w:tc>
        <w:tc>
          <w:tcPr>
            <w:tcW w:w="2452"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（二十一）《外贸企业外购应税服务出口明细申报表》1份。</w:t>
            </w:r>
          </w:p>
        </w:tc>
        <w:tc>
          <w:tcPr>
            <w:tcW w:w="1196" w:type="dxa"/>
            <w:vMerge w:val="restart"/>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实行免退税办法的增值税零税率应税服务的纳税人提交</w:t>
            </w:r>
          </w:p>
        </w:tc>
        <w:tc>
          <w:tcPr>
            <w:tcW w:w="3318" w:type="dxa"/>
            <w:vMerge w:val="restart"/>
            <w:vAlign w:val="center"/>
          </w:tcPr>
          <w:p w:rsidR="00013EC7" w:rsidRDefault="00575CDB">
            <w:pPr>
              <w:spacing w:line="300" w:lineRule="exact"/>
              <w:rPr>
                <w:rFonts w:ascii="仿宋" w:eastAsia="仿宋" w:hAnsi="仿宋" w:cs="仿宋"/>
                <w:kern w:val="1"/>
                <w:sz w:val="24"/>
              </w:rPr>
            </w:pPr>
            <w:r>
              <w:rPr>
                <w:rFonts w:ascii="仿宋" w:eastAsia="仿宋" w:hAnsi="仿宋" w:cs="仿宋" w:hint="eastAsia"/>
                <w:b/>
                <w:sz w:val="24"/>
              </w:rPr>
              <w:t>现场办理：</w:t>
            </w:r>
            <w:r>
              <w:rPr>
                <w:rFonts w:ascii="仿宋" w:eastAsia="仿宋" w:hAnsi="仿宋" w:cs="仿宋" w:hint="eastAsia"/>
                <w:sz w:val="24"/>
              </w:rPr>
              <w:t>纳税人提交书面材料（无纸化企业留存备查）。</w:t>
            </w:r>
          </w:p>
        </w:tc>
        <w:tc>
          <w:tcPr>
            <w:tcW w:w="868"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25"/>
          <w:jc w:val="center"/>
        </w:trPr>
        <w:tc>
          <w:tcPr>
            <w:tcW w:w="1250" w:type="dxa"/>
            <w:vMerge/>
            <w:textDirection w:val="tbRlV"/>
            <w:vAlign w:val="center"/>
          </w:tcPr>
          <w:p w:rsidR="00013EC7" w:rsidRDefault="00013EC7">
            <w:pPr>
              <w:rPr>
                <w:rFonts w:ascii="仿宋" w:eastAsia="仿宋" w:hAnsi="仿宋" w:cs="仿宋"/>
                <w:kern w:val="1"/>
                <w:sz w:val="24"/>
              </w:rPr>
            </w:pPr>
          </w:p>
        </w:tc>
        <w:tc>
          <w:tcPr>
            <w:tcW w:w="1316" w:type="dxa"/>
            <w:vMerge/>
            <w:vAlign w:val="center"/>
          </w:tcPr>
          <w:p w:rsidR="00013EC7" w:rsidRDefault="00013EC7">
            <w:pPr>
              <w:rPr>
                <w:rFonts w:ascii="仿宋" w:eastAsia="仿宋" w:hAnsi="仿宋" w:cs="仿宋"/>
                <w:kern w:val="1"/>
                <w:sz w:val="24"/>
              </w:rPr>
            </w:pPr>
          </w:p>
        </w:tc>
        <w:tc>
          <w:tcPr>
            <w:tcW w:w="2114" w:type="dxa"/>
            <w:vMerge/>
            <w:vAlign w:val="center"/>
          </w:tcPr>
          <w:p w:rsidR="00013EC7" w:rsidRDefault="00013EC7">
            <w:pPr>
              <w:rPr>
                <w:rFonts w:ascii="仿宋" w:eastAsia="仿宋" w:hAnsi="仿宋" w:cs="仿宋"/>
                <w:kern w:val="1"/>
                <w:sz w:val="24"/>
              </w:rPr>
            </w:pPr>
          </w:p>
        </w:tc>
        <w:tc>
          <w:tcPr>
            <w:tcW w:w="2731"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（二十三）（A08005）《外贸企业出口退税进货明细申报表》（需填列外购对应的增值税零税率应税服务取得增值税专用发票情况）。</w:t>
            </w:r>
          </w:p>
        </w:tc>
        <w:tc>
          <w:tcPr>
            <w:tcW w:w="1123" w:type="dxa"/>
            <w:vMerge/>
            <w:vAlign w:val="center"/>
          </w:tcPr>
          <w:p w:rsidR="00013EC7" w:rsidRDefault="00013EC7">
            <w:pPr>
              <w:rPr>
                <w:rFonts w:ascii="仿宋" w:eastAsia="仿宋" w:hAnsi="仿宋" w:cs="仿宋"/>
                <w:kern w:val="1"/>
                <w:sz w:val="24"/>
              </w:rPr>
            </w:pPr>
          </w:p>
        </w:tc>
        <w:tc>
          <w:tcPr>
            <w:tcW w:w="2452"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（二十二）（A08005）《外贸企业出口退税进货明细申报表》（需填列外购对应的增值税零税率应税服务取得增值税专用发票情况）1份。</w:t>
            </w:r>
          </w:p>
        </w:tc>
        <w:tc>
          <w:tcPr>
            <w:tcW w:w="1196" w:type="dxa"/>
            <w:vMerge/>
            <w:vAlign w:val="center"/>
          </w:tcPr>
          <w:p w:rsidR="00013EC7" w:rsidRDefault="00013EC7">
            <w:pPr>
              <w:rPr>
                <w:rFonts w:ascii="仿宋" w:eastAsia="仿宋" w:hAnsi="仿宋" w:cs="仿宋"/>
                <w:kern w:val="1"/>
                <w:sz w:val="24"/>
              </w:rPr>
            </w:pPr>
          </w:p>
        </w:tc>
        <w:tc>
          <w:tcPr>
            <w:tcW w:w="3318" w:type="dxa"/>
            <w:vMerge/>
            <w:vAlign w:val="center"/>
          </w:tcPr>
          <w:p w:rsidR="00013EC7" w:rsidRDefault="00013EC7">
            <w:pPr>
              <w:rPr>
                <w:rFonts w:ascii="仿宋" w:eastAsia="仿宋" w:hAnsi="仿宋" w:cs="仿宋"/>
                <w:kern w:val="1"/>
                <w:sz w:val="24"/>
              </w:rPr>
            </w:pPr>
          </w:p>
        </w:tc>
        <w:tc>
          <w:tcPr>
            <w:tcW w:w="868"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25"/>
          <w:jc w:val="center"/>
        </w:trPr>
        <w:tc>
          <w:tcPr>
            <w:tcW w:w="1250" w:type="dxa"/>
            <w:vMerge/>
            <w:textDirection w:val="tbRlV"/>
            <w:vAlign w:val="center"/>
          </w:tcPr>
          <w:p w:rsidR="00013EC7" w:rsidRDefault="00013EC7">
            <w:pPr>
              <w:rPr>
                <w:rFonts w:ascii="仿宋" w:eastAsia="仿宋" w:hAnsi="仿宋" w:cs="仿宋"/>
                <w:kern w:val="1"/>
                <w:sz w:val="24"/>
              </w:rPr>
            </w:pPr>
          </w:p>
        </w:tc>
        <w:tc>
          <w:tcPr>
            <w:tcW w:w="1316" w:type="dxa"/>
            <w:vMerge/>
            <w:vAlign w:val="center"/>
          </w:tcPr>
          <w:p w:rsidR="00013EC7" w:rsidRDefault="00013EC7">
            <w:pPr>
              <w:rPr>
                <w:rFonts w:ascii="仿宋" w:eastAsia="仿宋" w:hAnsi="仿宋" w:cs="仿宋"/>
                <w:kern w:val="1"/>
                <w:sz w:val="24"/>
              </w:rPr>
            </w:pPr>
          </w:p>
        </w:tc>
        <w:tc>
          <w:tcPr>
            <w:tcW w:w="2114" w:type="dxa"/>
            <w:vMerge/>
            <w:vAlign w:val="center"/>
          </w:tcPr>
          <w:p w:rsidR="00013EC7" w:rsidRDefault="00013EC7">
            <w:pPr>
              <w:rPr>
                <w:rFonts w:ascii="仿宋" w:eastAsia="仿宋" w:hAnsi="仿宋" w:cs="仿宋"/>
                <w:kern w:val="1"/>
                <w:sz w:val="24"/>
              </w:rPr>
            </w:pPr>
          </w:p>
        </w:tc>
        <w:tc>
          <w:tcPr>
            <w:tcW w:w="2731"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（二十四）（A06316）《外贸企业出口退税汇总申报表》。</w:t>
            </w:r>
          </w:p>
        </w:tc>
        <w:tc>
          <w:tcPr>
            <w:tcW w:w="1123" w:type="dxa"/>
            <w:vMerge/>
            <w:vAlign w:val="center"/>
          </w:tcPr>
          <w:p w:rsidR="00013EC7" w:rsidRDefault="00013EC7">
            <w:pPr>
              <w:rPr>
                <w:rFonts w:ascii="仿宋" w:eastAsia="仿宋" w:hAnsi="仿宋" w:cs="仿宋"/>
                <w:kern w:val="1"/>
                <w:sz w:val="24"/>
              </w:rPr>
            </w:pPr>
          </w:p>
        </w:tc>
        <w:tc>
          <w:tcPr>
            <w:tcW w:w="2452"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（二十三）（A06316）《外贸企业出口退税汇总申报表》1份。</w:t>
            </w:r>
          </w:p>
        </w:tc>
        <w:tc>
          <w:tcPr>
            <w:tcW w:w="1196" w:type="dxa"/>
            <w:vMerge/>
            <w:vAlign w:val="center"/>
          </w:tcPr>
          <w:p w:rsidR="00013EC7" w:rsidRDefault="00013EC7">
            <w:pPr>
              <w:rPr>
                <w:rFonts w:ascii="仿宋" w:eastAsia="仿宋" w:hAnsi="仿宋" w:cs="仿宋"/>
                <w:kern w:val="1"/>
                <w:sz w:val="24"/>
              </w:rPr>
            </w:pPr>
          </w:p>
        </w:tc>
        <w:tc>
          <w:tcPr>
            <w:tcW w:w="3318" w:type="dxa"/>
            <w:vMerge/>
            <w:vAlign w:val="center"/>
          </w:tcPr>
          <w:p w:rsidR="00013EC7" w:rsidRDefault="00013EC7">
            <w:pPr>
              <w:rPr>
                <w:rFonts w:ascii="仿宋" w:eastAsia="仿宋" w:hAnsi="仿宋" w:cs="仿宋"/>
                <w:kern w:val="1"/>
                <w:sz w:val="24"/>
              </w:rPr>
            </w:pPr>
          </w:p>
        </w:tc>
        <w:tc>
          <w:tcPr>
            <w:tcW w:w="868"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25"/>
          <w:jc w:val="center"/>
        </w:trPr>
        <w:tc>
          <w:tcPr>
            <w:tcW w:w="1250" w:type="dxa"/>
            <w:vMerge/>
            <w:textDirection w:val="tbRlV"/>
            <w:vAlign w:val="center"/>
          </w:tcPr>
          <w:p w:rsidR="00013EC7" w:rsidRDefault="00013EC7">
            <w:pPr>
              <w:rPr>
                <w:rFonts w:ascii="仿宋" w:eastAsia="仿宋" w:hAnsi="仿宋" w:cs="仿宋"/>
                <w:kern w:val="1"/>
                <w:sz w:val="24"/>
              </w:rPr>
            </w:pPr>
          </w:p>
        </w:tc>
        <w:tc>
          <w:tcPr>
            <w:tcW w:w="1316" w:type="dxa"/>
            <w:vMerge/>
            <w:vAlign w:val="center"/>
          </w:tcPr>
          <w:p w:rsidR="00013EC7" w:rsidRDefault="00013EC7">
            <w:pPr>
              <w:rPr>
                <w:rFonts w:ascii="仿宋" w:eastAsia="仿宋" w:hAnsi="仿宋" w:cs="仿宋"/>
                <w:kern w:val="1"/>
                <w:sz w:val="24"/>
              </w:rPr>
            </w:pPr>
          </w:p>
        </w:tc>
        <w:tc>
          <w:tcPr>
            <w:tcW w:w="2114" w:type="dxa"/>
            <w:vMerge/>
            <w:vAlign w:val="center"/>
          </w:tcPr>
          <w:p w:rsidR="00013EC7" w:rsidRDefault="00013EC7">
            <w:pPr>
              <w:rPr>
                <w:rFonts w:ascii="仿宋" w:eastAsia="仿宋" w:hAnsi="仿宋" w:cs="仿宋"/>
                <w:kern w:val="1"/>
                <w:sz w:val="24"/>
              </w:rPr>
            </w:pPr>
          </w:p>
        </w:tc>
        <w:tc>
          <w:tcPr>
            <w:tcW w:w="2731"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（二十五）免退税申报电子数据。</w:t>
            </w:r>
          </w:p>
        </w:tc>
        <w:tc>
          <w:tcPr>
            <w:tcW w:w="1123" w:type="dxa"/>
            <w:vMerge/>
            <w:vAlign w:val="center"/>
          </w:tcPr>
          <w:p w:rsidR="00013EC7" w:rsidRDefault="00013EC7">
            <w:pPr>
              <w:rPr>
                <w:rFonts w:ascii="仿宋" w:eastAsia="仿宋" w:hAnsi="仿宋" w:cs="仿宋"/>
                <w:kern w:val="1"/>
                <w:sz w:val="24"/>
              </w:rPr>
            </w:pPr>
          </w:p>
        </w:tc>
        <w:tc>
          <w:tcPr>
            <w:tcW w:w="2452"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（二十四）免退税申报电子数据。</w:t>
            </w:r>
          </w:p>
        </w:tc>
        <w:tc>
          <w:tcPr>
            <w:tcW w:w="1196" w:type="dxa"/>
            <w:vMerge/>
            <w:vAlign w:val="center"/>
          </w:tcPr>
          <w:p w:rsidR="00013EC7" w:rsidRDefault="00013EC7">
            <w:pPr>
              <w:rPr>
                <w:rFonts w:ascii="仿宋" w:eastAsia="仿宋" w:hAnsi="仿宋" w:cs="仿宋"/>
                <w:kern w:val="1"/>
                <w:sz w:val="24"/>
              </w:rPr>
            </w:pPr>
          </w:p>
        </w:tc>
        <w:tc>
          <w:tcPr>
            <w:tcW w:w="3318" w:type="dxa"/>
            <w:vAlign w:val="center"/>
          </w:tcPr>
          <w:p w:rsidR="00013EC7" w:rsidRDefault="00575CDB">
            <w:pPr>
              <w:rPr>
                <w:rFonts w:ascii="仿宋" w:eastAsia="仿宋" w:hAnsi="仿宋" w:cs="仿宋"/>
                <w:b/>
                <w:sz w:val="24"/>
              </w:rPr>
            </w:pPr>
            <w:r>
              <w:rPr>
                <w:rFonts w:ascii="仿宋" w:eastAsia="仿宋" w:hAnsi="仿宋" w:cs="仿宋" w:hint="eastAsia"/>
                <w:b/>
                <w:sz w:val="24"/>
              </w:rPr>
              <w:t>现场办理：</w:t>
            </w:r>
            <w:r>
              <w:rPr>
                <w:rFonts w:ascii="仿宋" w:eastAsia="仿宋" w:hAnsi="仿宋" w:cs="仿宋" w:hint="eastAsia"/>
                <w:sz w:val="24"/>
              </w:rPr>
              <w:t>纳税人提交电子数据。</w:t>
            </w:r>
          </w:p>
          <w:p w:rsidR="00013EC7" w:rsidRDefault="00575CDB">
            <w:pPr>
              <w:rPr>
                <w:rFonts w:ascii="仿宋" w:eastAsia="仿宋" w:hAnsi="仿宋" w:cs="仿宋"/>
                <w:kern w:val="1"/>
                <w:sz w:val="24"/>
              </w:rPr>
            </w:pPr>
            <w:r>
              <w:rPr>
                <w:rFonts w:ascii="仿宋" w:eastAsia="仿宋" w:hAnsi="仿宋" w:cs="仿宋" w:hint="eastAsia"/>
                <w:b/>
                <w:sz w:val="24"/>
              </w:rPr>
              <w:t>网上办理：</w:t>
            </w:r>
            <w:r>
              <w:rPr>
                <w:rFonts w:ascii="仿宋" w:eastAsia="仿宋" w:hAnsi="仿宋" w:cs="仿宋" w:hint="eastAsia"/>
                <w:sz w:val="24"/>
              </w:rPr>
              <w:t>登录浙江省国家税务局电子税务局提交电子数据。</w:t>
            </w:r>
          </w:p>
        </w:tc>
        <w:tc>
          <w:tcPr>
            <w:tcW w:w="868"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238"/>
          <w:jc w:val="center"/>
        </w:trPr>
        <w:tc>
          <w:tcPr>
            <w:tcW w:w="1250" w:type="dxa"/>
            <w:vMerge/>
            <w:textDirection w:val="tbRlV"/>
            <w:vAlign w:val="center"/>
          </w:tcPr>
          <w:p w:rsidR="00013EC7" w:rsidRDefault="00013EC7">
            <w:pPr>
              <w:rPr>
                <w:rFonts w:ascii="仿宋" w:eastAsia="仿宋" w:hAnsi="仿宋" w:cs="仿宋"/>
                <w:kern w:val="1"/>
                <w:sz w:val="24"/>
              </w:rPr>
            </w:pPr>
          </w:p>
        </w:tc>
        <w:tc>
          <w:tcPr>
            <w:tcW w:w="1316" w:type="dxa"/>
            <w:vMerge/>
            <w:vAlign w:val="center"/>
          </w:tcPr>
          <w:p w:rsidR="00013EC7" w:rsidRDefault="00013EC7">
            <w:pPr>
              <w:rPr>
                <w:rFonts w:ascii="仿宋" w:eastAsia="仿宋" w:hAnsi="仿宋" w:cs="仿宋"/>
                <w:kern w:val="1"/>
                <w:sz w:val="24"/>
              </w:rPr>
            </w:pPr>
          </w:p>
        </w:tc>
        <w:tc>
          <w:tcPr>
            <w:tcW w:w="2114" w:type="dxa"/>
            <w:vMerge/>
            <w:vAlign w:val="center"/>
          </w:tcPr>
          <w:p w:rsidR="00013EC7" w:rsidRDefault="00013EC7">
            <w:pPr>
              <w:rPr>
                <w:rFonts w:ascii="仿宋" w:eastAsia="仿宋" w:hAnsi="仿宋" w:cs="仿宋"/>
                <w:kern w:val="1"/>
                <w:sz w:val="24"/>
              </w:rPr>
            </w:pPr>
          </w:p>
        </w:tc>
        <w:tc>
          <w:tcPr>
            <w:tcW w:w="2731"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（二十六）提供应税服务提供方开具的增值税专用发票。</w:t>
            </w:r>
          </w:p>
        </w:tc>
        <w:tc>
          <w:tcPr>
            <w:tcW w:w="1123"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从境内单位或者个人购进增值税零税率应税服务出口的实行免退税办法的增值税零</w:t>
            </w:r>
            <w:r>
              <w:rPr>
                <w:rFonts w:ascii="仿宋" w:eastAsia="仿宋" w:hAnsi="仿宋" w:cs="仿宋" w:hint="eastAsia"/>
                <w:kern w:val="1"/>
                <w:sz w:val="24"/>
              </w:rPr>
              <w:lastRenderedPageBreak/>
              <w:t>税率应税服务的纳税人提交</w:t>
            </w:r>
          </w:p>
        </w:tc>
        <w:tc>
          <w:tcPr>
            <w:tcW w:w="2452"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lastRenderedPageBreak/>
              <w:t>（二十五）提供应税服务提供方开具的增值税专用发票。</w:t>
            </w:r>
          </w:p>
        </w:tc>
        <w:tc>
          <w:tcPr>
            <w:tcW w:w="1196" w:type="dxa"/>
            <w:vMerge w:val="restart"/>
            <w:vAlign w:val="center"/>
          </w:tcPr>
          <w:p w:rsidR="00013EC7" w:rsidRDefault="00575CDB">
            <w:pPr>
              <w:rPr>
                <w:rFonts w:ascii="仿宋" w:eastAsia="仿宋" w:hAnsi="仿宋" w:cs="仿宋"/>
                <w:b/>
                <w:i/>
                <w:kern w:val="1"/>
                <w:sz w:val="24"/>
              </w:rPr>
            </w:pPr>
            <w:r>
              <w:rPr>
                <w:rFonts w:ascii="仿宋" w:eastAsia="仿宋" w:hAnsi="仿宋" w:cs="仿宋" w:hint="eastAsia"/>
                <w:b/>
                <w:i/>
                <w:kern w:val="1"/>
                <w:sz w:val="24"/>
              </w:rPr>
              <w:t>经办机构自行获取</w:t>
            </w:r>
          </w:p>
        </w:tc>
        <w:tc>
          <w:tcPr>
            <w:tcW w:w="3318" w:type="dxa"/>
            <w:vMerge w:val="restart"/>
            <w:vAlign w:val="center"/>
          </w:tcPr>
          <w:p w:rsidR="00013EC7" w:rsidRDefault="00575CDB">
            <w:pPr>
              <w:spacing w:line="300" w:lineRule="exact"/>
              <w:rPr>
                <w:rFonts w:ascii="仿宋" w:eastAsia="仿宋" w:hAnsi="仿宋" w:cs="仿宋"/>
                <w:kern w:val="1"/>
                <w:sz w:val="24"/>
              </w:rPr>
            </w:pPr>
            <w:r>
              <w:rPr>
                <w:rFonts w:ascii="仿宋" w:eastAsia="仿宋" w:hAnsi="仿宋" w:cs="仿宋" w:hint="eastAsia"/>
                <w:b/>
                <w:sz w:val="24"/>
              </w:rPr>
              <w:t>内部共享：</w:t>
            </w:r>
            <w:r>
              <w:rPr>
                <w:rFonts w:ascii="仿宋" w:eastAsia="仿宋" w:hAnsi="仿宋" w:cs="仿宋" w:hint="eastAsia"/>
                <w:sz w:val="24"/>
              </w:rPr>
              <w:t>内部共享获取相关信息（无纸化企业留存备查，非无纸化企业需提供书面材料）。</w:t>
            </w:r>
          </w:p>
        </w:tc>
        <w:tc>
          <w:tcPr>
            <w:tcW w:w="868"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r w:rsidR="00013EC7">
        <w:trPr>
          <w:trHeight w:val="237"/>
          <w:jc w:val="center"/>
        </w:trPr>
        <w:tc>
          <w:tcPr>
            <w:tcW w:w="1250" w:type="dxa"/>
            <w:vMerge/>
            <w:textDirection w:val="tbRlV"/>
            <w:vAlign w:val="center"/>
          </w:tcPr>
          <w:p w:rsidR="00013EC7" w:rsidRDefault="00013EC7">
            <w:pPr>
              <w:rPr>
                <w:rFonts w:ascii="仿宋" w:eastAsia="仿宋" w:hAnsi="仿宋" w:cs="仿宋"/>
                <w:kern w:val="1"/>
                <w:sz w:val="24"/>
              </w:rPr>
            </w:pPr>
          </w:p>
        </w:tc>
        <w:tc>
          <w:tcPr>
            <w:tcW w:w="1316" w:type="dxa"/>
            <w:vMerge/>
            <w:vAlign w:val="center"/>
          </w:tcPr>
          <w:p w:rsidR="00013EC7" w:rsidRDefault="00013EC7">
            <w:pPr>
              <w:rPr>
                <w:rFonts w:ascii="仿宋" w:eastAsia="仿宋" w:hAnsi="仿宋" w:cs="仿宋"/>
                <w:kern w:val="1"/>
                <w:sz w:val="24"/>
              </w:rPr>
            </w:pPr>
          </w:p>
        </w:tc>
        <w:tc>
          <w:tcPr>
            <w:tcW w:w="2114" w:type="dxa"/>
            <w:vMerge/>
            <w:vAlign w:val="center"/>
          </w:tcPr>
          <w:p w:rsidR="00013EC7" w:rsidRDefault="00013EC7">
            <w:pPr>
              <w:rPr>
                <w:rFonts w:ascii="仿宋" w:eastAsia="仿宋" w:hAnsi="仿宋" w:cs="仿宋"/>
                <w:kern w:val="1"/>
                <w:sz w:val="24"/>
              </w:rPr>
            </w:pPr>
          </w:p>
        </w:tc>
        <w:tc>
          <w:tcPr>
            <w:tcW w:w="2731"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（二十七）提供取得的解缴税款的中华人民共和国税收缴款凭证。</w:t>
            </w:r>
          </w:p>
        </w:tc>
        <w:tc>
          <w:tcPr>
            <w:tcW w:w="1123"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从境外单位或者个人购进增值税零税率应税服务出口的实行免退税办法的增值税零税率应税服务的纳税人提交</w:t>
            </w:r>
          </w:p>
        </w:tc>
        <w:tc>
          <w:tcPr>
            <w:tcW w:w="2452"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（二十六）提供取得的解缴税款的中华人民共和国税收缴款凭证。</w:t>
            </w:r>
          </w:p>
        </w:tc>
        <w:tc>
          <w:tcPr>
            <w:tcW w:w="1196" w:type="dxa"/>
            <w:vMerge/>
            <w:vAlign w:val="center"/>
          </w:tcPr>
          <w:p w:rsidR="00013EC7" w:rsidRDefault="00013EC7">
            <w:pPr>
              <w:rPr>
                <w:rFonts w:ascii="仿宋" w:eastAsia="仿宋" w:hAnsi="仿宋" w:cs="仿宋"/>
                <w:b/>
                <w:i/>
                <w:kern w:val="1"/>
                <w:sz w:val="24"/>
              </w:rPr>
            </w:pPr>
          </w:p>
        </w:tc>
        <w:tc>
          <w:tcPr>
            <w:tcW w:w="3318" w:type="dxa"/>
            <w:vMerge/>
            <w:vAlign w:val="center"/>
          </w:tcPr>
          <w:p w:rsidR="00013EC7" w:rsidRDefault="00013EC7">
            <w:pPr>
              <w:spacing w:line="300" w:lineRule="exact"/>
              <w:rPr>
                <w:rFonts w:ascii="仿宋" w:eastAsia="仿宋" w:hAnsi="仿宋" w:cs="仿宋"/>
                <w:b/>
                <w:sz w:val="24"/>
              </w:rPr>
            </w:pPr>
          </w:p>
        </w:tc>
        <w:tc>
          <w:tcPr>
            <w:tcW w:w="868" w:type="dxa"/>
            <w:vMerge/>
            <w:vAlign w:val="center"/>
          </w:tcPr>
          <w:p w:rsidR="00013EC7" w:rsidRDefault="00013EC7">
            <w:pPr>
              <w:rPr>
                <w:rFonts w:ascii="仿宋" w:eastAsia="仿宋" w:hAnsi="仿宋" w:cs="仿宋"/>
                <w:kern w:val="1"/>
                <w:sz w:val="24"/>
              </w:rPr>
            </w:pPr>
          </w:p>
        </w:tc>
        <w:tc>
          <w:tcPr>
            <w:tcW w:w="798" w:type="dxa"/>
            <w:vMerge/>
            <w:vAlign w:val="center"/>
          </w:tcPr>
          <w:p w:rsidR="00013EC7" w:rsidRDefault="00013EC7">
            <w:pPr>
              <w:rPr>
                <w:rFonts w:ascii="仿宋" w:eastAsia="仿宋" w:hAnsi="仿宋" w:cs="仿宋"/>
                <w:kern w:val="1"/>
                <w:sz w:val="24"/>
              </w:rPr>
            </w:pPr>
          </w:p>
        </w:tc>
        <w:tc>
          <w:tcPr>
            <w:tcW w:w="958" w:type="dxa"/>
            <w:vMerge/>
            <w:vAlign w:val="center"/>
          </w:tcPr>
          <w:p w:rsidR="00013EC7" w:rsidRDefault="00013EC7">
            <w:pPr>
              <w:rPr>
                <w:rFonts w:ascii="仿宋" w:eastAsia="仿宋" w:hAnsi="仿宋" w:cs="仿宋"/>
                <w:kern w:val="1"/>
                <w:sz w:val="24"/>
              </w:rPr>
            </w:pPr>
          </w:p>
        </w:tc>
        <w:tc>
          <w:tcPr>
            <w:tcW w:w="1104" w:type="dxa"/>
            <w:vMerge/>
            <w:vAlign w:val="center"/>
          </w:tcPr>
          <w:p w:rsidR="00013EC7" w:rsidRDefault="00013EC7">
            <w:pPr>
              <w:rPr>
                <w:rFonts w:ascii="仿宋" w:eastAsia="仿宋" w:hAnsi="仿宋" w:cs="仿宋"/>
                <w:kern w:val="1"/>
                <w:sz w:val="24"/>
              </w:rPr>
            </w:pPr>
          </w:p>
        </w:tc>
        <w:tc>
          <w:tcPr>
            <w:tcW w:w="1476" w:type="dxa"/>
            <w:vMerge/>
            <w:vAlign w:val="center"/>
          </w:tcPr>
          <w:p w:rsidR="00013EC7" w:rsidRDefault="00013EC7">
            <w:pPr>
              <w:rPr>
                <w:rFonts w:ascii="仿宋" w:eastAsia="仿宋" w:hAnsi="仿宋" w:cs="仿宋"/>
                <w:kern w:val="1"/>
                <w:sz w:val="24"/>
              </w:rPr>
            </w:pPr>
          </w:p>
        </w:tc>
      </w:tr>
    </w:tbl>
    <w:p w:rsidR="00013EC7" w:rsidRDefault="00013EC7">
      <w:pPr>
        <w:rPr>
          <w:rFonts w:eastAsia="方正书宋简体"/>
          <w:szCs w:val="21"/>
        </w:rPr>
      </w:pPr>
    </w:p>
    <w:p w:rsidR="00013EC7" w:rsidRDefault="00013EC7">
      <w:pPr>
        <w:jc w:val="center"/>
        <w:rPr>
          <w:rFonts w:eastAsia="方正书宋简体"/>
          <w:szCs w:val="21"/>
        </w:rPr>
      </w:pPr>
    </w:p>
    <w:p w:rsidR="00013EC7" w:rsidRDefault="00013EC7">
      <w:pPr>
        <w:rPr>
          <w:rFonts w:ascii="宋体" w:hAnsi="宋体" w:cs="仿宋"/>
          <w:kern w:val="1"/>
          <w:sz w:val="28"/>
          <w:szCs w:val="28"/>
        </w:rPr>
      </w:pPr>
    </w:p>
    <w:p w:rsidR="00013EC7" w:rsidRDefault="005262E6">
      <w:pPr>
        <w:pStyle w:val="2"/>
        <w:sectPr w:rsidR="00013EC7">
          <w:pgSz w:w="23814" w:h="16840" w:orient="landscape"/>
          <w:pgMar w:top="1701" w:right="1843" w:bottom="1985" w:left="1843" w:header="851" w:footer="1701" w:gutter="0"/>
          <w:pgNumType w:fmt="numberInDash"/>
          <w:cols w:space="720"/>
          <w:docGrid w:type="lines" w:linePitch="312"/>
        </w:sectPr>
      </w:pPr>
      <w:bookmarkStart w:id="598" w:name="_Toc32255"/>
      <w:bookmarkStart w:id="599" w:name="_Toc503467487"/>
      <w:r>
        <w:lastRenderedPageBreak/>
        <w:object w:dxaOrig="1440" w:dyaOrig="1440">
          <v:shape id="_x0000_s1525" type="#_x0000_t75" style="position:absolute;left:0;text-align:left;margin-left:500pt;margin-top:94.3pt;width:498.65pt;height:602.7pt;z-index:251570176;mso-wrap-distance-left:9pt;mso-wrap-distance-top:0;mso-wrap-distance-right:9pt;mso-wrap-distance-bottom:0;mso-position-vertical-relative:page;mso-width-relative:page;mso-height-relative:page">
            <v:imagedata r:id="rId480" o:title=""/>
            <w10:wrap type="square" anchory="page"/>
          </v:shape>
          <o:OLEObject Type="Embed" ProgID="Visio.Drawing.11" ShapeID="_x0000_s1525" DrawAspect="Content" ObjectID="_1577296311" r:id="rId481"/>
        </w:object>
      </w:r>
      <w:r>
        <w:object w:dxaOrig="1440" w:dyaOrig="1440">
          <v:shape id="_x0000_s1524" type="#_x0000_t75" style="position:absolute;left:0;text-align:left;margin-left:5pt;margin-top:105.7pt;width:499.15pt;height:521.3pt;z-index:251568128;mso-wrap-distance-top:0;mso-wrap-distance-bottom:0;mso-position-vertical-relative:page;mso-width-relative:page;mso-height-relative:page">
            <v:imagedata r:id="rId482" o:title=""/>
            <w10:wrap type="topAndBottom" anchory="page"/>
          </v:shape>
          <o:OLEObject Type="Embed" ProgID="Visio.Drawing.11" ShapeID="_x0000_s1524" DrawAspect="Content" ObjectID="_1577296312" r:id="rId483"/>
        </w:object>
      </w:r>
    </w:p>
    <w:p w:rsidR="00013EC7" w:rsidRDefault="00575CDB">
      <w:pPr>
        <w:pStyle w:val="2"/>
      </w:pPr>
      <w:bookmarkStart w:id="600" w:name="_Toc16313"/>
      <w:bookmarkStart w:id="601" w:name="_Toc22534"/>
      <w:r>
        <w:rPr>
          <w:rFonts w:hint="eastAsia"/>
        </w:rPr>
        <w:lastRenderedPageBreak/>
        <w:t>29.6</w:t>
      </w:r>
      <w:r>
        <w:rPr>
          <w:rFonts w:hint="eastAsia"/>
        </w:rPr>
        <w:t>延期申报退（免）税办理</w:t>
      </w:r>
      <w:bookmarkEnd w:id="598"/>
      <w:bookmarkEnd w:id="599"/>
      <w:bookmarkEnd w:id="600"/>
      <w:bookmarkEnd w:id="601"/>
    </w:p>
    <w:p w:rsidR="00013EC7" w:rsidRDefault="00575CDB">
      <w:pPr>
        <w:jc w:val="center"/>
        <w:rPr>
          <w:rFonts w:ascii="宋体" w:hAnsi="宋体" w:cs="宋体"/>
          <w:b/>
          <w:bCs/>
          <w:sz w:val="52"/>
          <w:szCs w:val="52"/>
        </w:rPr>
      </w:pPr>
      <w:r>
        <w:rPr>
          <w:rFonts w:ascii="宋体" w:hAnsi="宋体" w:cs="宋体" w:hint="eastAsia"/>
          <w:b/>
          <w:bCs/>
          <w:sz w:val="52"/>
          <w:szCs w:val="52"/>
        </w:rPr>
        <w:t>全省“最多跑一次”事项“八统一”梳理表</w:t>
      </w:r>
    </w:p>
    <w:p w:rsidR="00013EC7" w:rsidRDefault="00013EC7">
      <w:pPr>
        <w:rPr>
          <w:rFonts w:ascii="宋体" w:hAnsi="宋体" w:cs="宋体"/>
          <w:b/>
          <w:bCs/>
          <w:sz w:val="44"/>
          <w:szCs w:val="44"/>
        </w:rPr>
      </w:pPr>
    </w:p>
    <w:tbl>
      <w:tblPr>
        <w:tblW w:w="20704"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1250"/>
        <w:gridCol w:w="1316"/>
        <w:gridCol w:w="2114"/>
        <w:gridCol w:w="2785"/>
        <w:gridCol w:w="1118"/>
        <w:gridCol w:w="2403"/>
        <w:gridCol w:w="1196"/>
        <w:gridCol w:w="3318"/>
        <w:gridCol w:w="868"/>
        <w:gridCol w:w="798"/>
        <w:gridCol w:w="958"/>
        <w:gridCol w:w="1104"/>
        <w:gridCol w:w="1476"/>
      </w:tblGrid>
      <w:tr w:rsidR="00013EC7">
        <w:trPr>
          <w:trHeight w:val="340"/>
          <w:tblHeader/>
          <w:jc w:val="center"/>
        </w:trPr>
        <w:tc>
          <w:tcPr>
            <w:tcW w:w="1250"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主项名称</w:t>
            </w:r>
          </w:p>
        </w:tc>
        <w:tc>
          <w:tcPr>
            <w:tcW w:w="1316"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子项名称</w:t>
            </w:r>
          </w:p>
        </w:tc>
        <w:tc>
          <w:tcPr>
            <w:tcW w:w="2114"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经办依据</w:t>
            </w:r>
          </w:p>
        </w:tc>
        <w:tc>
          <w:tcPr>
            <w:tcW w:w="3903"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原经办所需材料</w:t>
            </w:r>
          </w:p>
        </w:tc>
        <w:tc>
          <w:tcPr>
            <w:tcW w:w="6917" w:type="dxa"/>
            <w:gridSpan w:val="3"/>
            <w:vAlign w:val="center"/>
          </w:tcPr>
          <w:p w:rsidR="00013EC7" w:rsidRDefault="00575CDB">
            <w:pPr>
              <w:spacing w:line="280" w:lineRule="exact"/>
              <w:jc w:val="center"/>
              <w:rPr>
                <w:rFonts w:ascii="黑体" w:eastAsia="黑体"/>
                <w:sz w:val="24"/>
              </w:rPr>
            </w:pPr>
            <w:r>
              <w:rPr>
                <w:rFonts w:ascii="黑体" w:eastAsia="黑体" w:hint="eastAsia"/>
                <w:sz w:val="24"/>
              </w:rPr>
              <w:t>梳理后经办所需材料</w:t>
            </w:r>
          </w:p>
        </w:tc>
        <w:tc>
          <w:tcPr>
            <w:tcW w:w="1666"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办理时限</w:t>
            </w:r>
          </w:p>
        </w:tc>
        <w:tc>
          <w:tcPr>
            <w:tcW w:w="958"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是否实现跑零次</w:t>
            </w:r>
          </w:p>
        </w:tc>
        <w:tc>
          <w:tcPr>
            <w:tcW w:w="1104"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省厅对口</w:t>
            </w:r>
          </w:p>
          <w:p w:rsidR="00013EC7" w:rsidRDefault="00575CDB">
            <w:pPr>
              <w:spacing w:line="280" w:lineRule="exact"/>
              <w:jc w:val="center"/>
              <w:rPr>
                <w:rFonts w:ascii="黑体" w:eastAsia="黑体"/>
                <w:sz w:val="24"/>
              </w:rPr>
            </w:pPr>
            <w:r>
              <w:rPr>
                <w:rFonts w:ascii="黑体" w:eastAsia="黑体" w:hint="eastAsia"/>
                <w:sz w:val="24"/>
              </w:rPr>
              <w:t>指导处室</w:t>
            </w:r>
          </w:p>
          <w:p w:rsidR="00013EC7" w:rsidRDefault="00575CDB">
            <w:pPr>
              <w:spacing w:line="280" w:lineRule="exact"/>
              <w:jc w:val="center"/>
              <w:rPr>
                <w:rFonts w:ascii="黑体" w:eastAsia="黑体"/>
                <w:sz w:val="24"/>
              </w:rPr>
            </w:pPr>
            <w:r>
              <w:rPr>
                <w:rFonts w:ascii="黑体" w:eastAsia="黑体" w:hint="eastAsia"/>
                <w:sz w:val="24"/>
              </w:rPr>
              <w:t>（单位）</w:t>
            </w:r>
          </w:p>
        </w:tc>
        <w:tc>
          <w:tcPr>
            <w:tcW w:w="1476"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进一步精简、</w:t>
            </w:r>
          </w:p>
          <w:p w:rsidR="00013EC7" w:rsidRDefault="00575CDB">
            <w:pPr>
              <w:spacing w:line="280" w:lineRule="exact"/>
              <w:jc w:val="center"/>
              <w:rPr>
                <w:rFonts w:ascii="黑体" w:eastAsia="黑体"/>
                <w:sz w:val="24"/>
              </w:rPr>
            </w:pPr>
            <w:r>
              <w:rPr>
                <w:rFonts w:ascii="黑体" w:eastAsia="黑体" w:hint="eastAsia"/>
                <w:sz w:val="24"/>
              </w:rPr>
              <w:t>规范建议</w:t>
            </w:r>
          </w:p>
        </w:tc>
      </w:tr>
      <w:tr w:rsidR="00013EC7">
        <w:trPr>
          <w:trHeight w:val="340"/>
          <w:tblHeader/>
          <w:jc w:val="center"/>
        </w:trPr>
        <w:tc>
          <w:tcPr>
            <w:tcW w:w="1250" w:type="dxa"/>
            <w:vMerge/>
            <w:vAlign w:val="center"/>
          </w:tcPr>
          <w:p w:rsidR="00013EC7" w:rsidRDefault="00013EC7">
            <w:pPr>
              <w:rPr>
                <w:sz w:val="24"/>
              </w:rPr>
            </w:pPr>
          </w:p>
        </w:tc>
        <w:tc>
          <w:tcPr>
            <w:tcW w:w="1316" w:type="dxa"/>
            <w:vMerge/>
          </w:tcPr>
          <w:p w:rsidR="00013EC7" w:rsidRDefault="00013EC7">
            <w:pPr>
              <w:rPr>
                <w:sz w:val="24"/>
              </w:rPr>
            </w:pPr>
          </w:p>
        </w:tc>
        <w:tc>
          <w:tcPr>
            <w:tcW w:w="2114" w:type="dxa"/>
            <w:vMerge/>
          </w:tcPr>
          <w:p w:rsidR="00013EC7" w:rsidRDefault="00013EC7">
            <w:pPr>
              <w:rPr>
                <w:sz w:val="24"/>
              </w:rPr>
            </w:pPr>
          </w:p>
        </w:tc>
        <w:tc>
          <w:tcPr>
            <w:tcW w:w="2785" w:type="dxa"/>
            <w:tcBorders>
              <w:bottom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118"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2403" w:type="dxa"/>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196"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3318" w:type="dxa"/>
            <w:vAlign w:val="center"/>
          </w:tcPr>
          <w:p w:rsidR="00013EC7" w:rsidRDefault="00575CDB">
            <w:pPr>
              <w:spacing w:line="280" w:lineRule="exact"/>
              <w:jc w:val="center"/>
              <w:rPr>
                <w:rFonts w:ascii="黑体" w:eastAsia="黑体"/>
                <w:sz w:val="24"/>
              </w:rPr>
            </w:pPr>
            <w:r>
              <w:rPr>
                <w:rFonts w:ascii="黑体" w:eastAsia="黑体" w:hint="eastAsia"/>
                <w:sz w:val="24"/>
              </w:rPr>
              <w:t>办理方式及材料</w:t>
            </w:r>
          </w:p>
          <w:p w:rsidR="00013EC7" w:rsidRDefault="00575CDB">
            <w:pPr>
              <w:spacing w:line="280" w:lineRule="exact"/>
              <w:jc w:val="center"/>
              <w:rPr>
                <w:rFonts w:ascii="黑体" w:eastAsia="黑体"/>
                <w:sz w:val="24"/>
              </w:rPr>
            </w:pPr>
            <w:r>
              <w:rPr>
                <w:rFonts w:ascii="黑体" w:eastAsia="黑体" w:hint="eastAsia"/>
                <w:sz w:val="24"/>
              </w:rPr>
              <w:t>信息获取方式说明</w:t>
            </w:r>
          </w:p>
        </w:tc>
        <w:tc>
          <w:tcPr>
            <w:tcW w:w="868" w:type="dxa"/>
            <w:vAlign w:val="center"/>
          </w:tcPr>
          <w:p w:rsidR="00013EC7" w:rsidRDefault="00575CDB">
            <w:pPr>
              <w:spacing w:line="280" w:lineRule="exact"/>
              <w:jc w:val="center"/>
              <w:rPr>
                <w:rFonts w:ascii="黑体" w:eastAsia="黑体"/>
                <w:sz w:val="24"/>
              </w:rPr>
            </w:pPr>
            <w:r>
              <w:rPr>
                <w:rFonts w:ascii="黑体" w:eastAsia="黑体" w:hint="eastAsia"/>
                <w:sz w:val="24"/>
              </w:rPr>
              <w:t>优化前</w:t>
            </w:r>
          </w:p>
        </w:tc>
        <w:tc>
          <w:tcPr>
            <w:tcW w:w="798" w:type="dxa"/>
            <w:vAlign w:val="center"/>
          </w:tcPr>
          <w:p w:rsidR="00013EC7" w:rsidRDefault="00575CDB">
            <w:pPr>
              <w:spacing w:line="280" w:lineRule="exact"/>
              <w:jc w:val="center"/>
              <w:rPr>
                <w:rFonts w:ascii="黑体" w:eastAsia="黑体"/>
                <w:sz w:val="24"/>
              </w:rPr>
            </w:pPr>
            <w:r>
              <w:rPr>
                <w:rFonts w:ascii="黑体" w:eastAsia="黑体" w:hint="eastAsia"/>
                <w:sz w:val="24"/>
              </w:rPr>
              <w:t>优化后</w:t>
            </w:r>
          </w:p>
        </w:tc>
        <w:tc>
          <w:tcPr>
            <w:tcW w:w="958" w:type="dxa"/>
            <w:vMerge/>
            <w:vAlign w:val="center"/>
          </w:tcPr>
          <w:p w:rsidR="00013EC7" w:rsidRDefault="00013EC7">
            <w:pPr>
              <w:rPr>
                <w:sz w:val="24"/>
              </w:rPr>
            </w:pPr>
          </w:p>
        </w:tc>
        <w:tc>
          <w:tcPr>
            <w:tcW w:w="1104" w:type="dxa"/>
            <w:vMerge/>
            <w:vAlign w:val="center"/>
          </w:tcPr>
          <w:p w:rsidR="00013EC7" w:rsidRDefault="00013EC7">
            <w:pPr>
              <w:rPr>
                <w:sz w:val="24"/>
              </w:rPr>
            </w:pPr>
          </w:p>
        </w:tc>
        <w:tc>
          <w:tcPr>
            <w:tcW w:w="1476" w:type="dxa"/>
            <w:vMerge/>
            <w:vAlign w:val="center"/>
          </w:tcPr>
          <w:p w:rsidR="00013EC7" w:rsidRDefault="00013EC7">
            <w:pPr>
              <w:rPr>
                <w:sz w:val="24"/>
              </w:rPr>
            </w:pPr>
          </w:p>
        </w:tc>
      </w:tr>
      <w:tr w:rsidR="00013EC7">
        <w:trPr>
          <w:trHeight w:val="1475"/>
          <w:jc w:val="center"/>
        </w:trPr>
        <w:tc>
          <w:tcPr>
            <w:tcW w:w="1250" w:type="dxa"/>
            <w:vMerge w:val="restart"/>
            <w:vAlign w:val="center"/>
          </w:tcPr>
          <w:p w:rsidR="00013EC7" w:rsidRDefault="00575CDB">
            <w:pPr>
              <w:jc w:val="center"/>
              <w:rPr>
                <w:rFonts w:ascii="仿宋" w:eastAsia="仿宋" w:hAnsi="仿宋" w:cs="仿宋"/>
                <w:kern w:val="1"/>
                <w:sz w:val="24"/>
              </w:rPr>
            </w:pPr>
            <w:r>
              <w:rPr>
                <w:rFonts w:ascii="仿宋" w:eastAsia="仿宋" w:hAnsi="仿宋" w:cs="仿宋" w:hint="eastAsia"/>
                <w:kern w:val="1"/>
                <w:sz w:val="24"/>
              </w:rPr>
              <w:t>29.出口退（免）税事项办理</w:t>
            </w:r>
          </w:p>
        </w:tc>
        <w:tc>
          <w:tcPr>
            <w:tcW w:w="1316" w:type="dxa"/>
            <w:vMerge w:val="restart"/>
            <w:vAlign w:val="center"/>
          </w:tcPr>
          <w:p w:rsidR="00013EC7" w:rsidRDefault="00575CDB">
            <w:pPr>
              <w:jc w:val="center"/>
              <w:rPr>
                <w:rFonts w:ascii="仿宋" w:eastAsia="仿宋" w:hAnsi="仿宋" w:cs="仿宋"/>
                <w:kern w:val="1"/>
                <w:sz w:val="24"/>
              </w:rPr>
            </w:pPr>
            <w:r>
              <w:rPr>
                <w:rFonts w:ascii="仿宋" w:eastAsia="仿宋" w:hAnsi="仿宋" w:cs="仿宋" w:hint="eastAsia"/>
                <w:kern w:val="1"/>
                <w:sz w:val="24"/>
              </w:rPr>
              <w:t>29.6延期申报退（免）税办理</w:t>
            </w:r>
          </w:p>
        </w:tc>
        <w:tc>
          <w:tcPr>
            <w:tcW w:w="2114" w:type="dxa"/>
            <w:vMerge w:val="restart"/>
            <w:vAlign w:val="center"/>
          </w:tcPr>
          <w:p w:rsidR="00013EC7" w:rsidRDefault="00575CDB">
            <w:pPr>
              <w:rPr>
                <w:rFonts w:ascii="仿宋" w:eastAsia="仿宋" w:hAnsi="仿宋" w:cs="仿宋"/>
                <w:sz w:val="24"/>
              </w:rPr>
            </w:pPr>
            <w:r>
              <w:rPr>
                <w:rFonts w:ascii="仿宋" w:eastAsia="仿宋" w:hAnsi="仿宋" w:cs="仿宋" w:hint="eastAsia"/>
                <w:sz w:val="24"/>
              </w:rPr>
              <w:t>（一）</w:t>
            </w:r>
            <w:r>
              <w:rPr>
                <w:rFonts w:ascii="仿宋" w:eastAsia="仿宋" w:hAnsi="仿宋" w:cs="仿宋"/>
                <w:sz w:val="24"/>
              </w:rPr>
              <w:t>《浙江省国家税务局关于出口货物劳务退（免）税有关问题的公告》（浙江省国家税务局公告2013年4号）</w:t>
            </w:r>
            <w:r>
              <w:rPr>
                <w:rFonts w:ascii="仿宋" w:eastAsia="仿宋" w:hAnsi="仿宋" w:cs="仿宋" w:hint="eastAsia"/>
                <w:sz w:val="24"/>
              </w:rPr>
              <w:t>第一条</w:t>
            </w:r>
            <w:r>
              <w:rPr>
                <w:rFonts w:ascii="仿宋" w:eastAsia="仿宋" w:hAnsi="仿宋" w:cs="仿宋"/>
                <w:sz w:val="24"/>
              </w:rPr>
              <w:t>。</w:t>
            </w:r>
          </w:p>
          <w:p w:rsidR="00013EC7" w:rsidRDefault="00575CDB">
            <w:pPr>
              <w:rPr>
                <w:rFonts w:ascii="仿宋" w:eastAsia="仿宋" w:hAnsi="仿宋" w:cs="仿宋"/>
                <w:sz w:val="24"/>
              </w:rPr>
            </w:pPr>
            <w:r>
              <w:rPr>
                <w:rFonts w:ascii="仿宋" w:eastAsia="仿宋" w:hAnsi="仿宋" w:cs="仿宋" w:hint="eastAsia"/>
                <w:sz w:val="24"/>
              </w:rPr>
              <w:t>（二）</w:t>
            </w:r>
            <w:r>
              <w:rPr>
                <w:rFonts w:ascii="仿宋" w:eastAsia="仿宋" w:hAnsi="仿宋" w:cs="仿宋"/>
                <w:sz w:val="24"/>
              </w:rPr>
              <w:t>《国家税务总局关于逾期未申报的出口退（免）税可延期申报的公告》（国家税务总局公告2015年第44号）</w:t>
            </w:r>
            <w:r>
              <w:rPr>
                <w:rFonts w:ascii="仿宋" w:eastAsia="仿宋" w:hAnsi="仿宋" w:cs="仿宋" w:hint="eastAsia"/>
                <w:sz w:val="24"/>
              </w:rPr>
              <w:t>全文</w:t>
            </w:r>
            <w:r>
              <w:rPr>
                <w:rFonts w:ascii="仿宋" w:eastAsia="仿宋" w:hAnsi="仿宋" w:cs="仿宋"/>
                <w:sz w:val="24"/>
              </w:rPr>
              <w:t>。</w:t>
            </w:r>
          </w:p>
        </w:tc>
        <w:tc>
          <w:tcPr>
            <w:tcW w:w="2785" w:type="dxa"/>
            <w:tcBorders>
              <w:top w:val="single" w:sz="4" w:space="0" w:color="auto"/>
              <w:bottom w:val="single" w:sz="4" w:space="0" w:color="auto"/>
            </w:tcBorders>
            <w:vAlign w:val="center"/>
          </w:tcPr>
          <w:p w:rsidR="00013EC7" w:rsidRDefault="00575CDB">
            <w:pPr>
              <w:rPr>
                <w:rFonts w:ascii="仿宋" w:eastAsia="仿宋" w:hAnsi="仿宋" w:cs="仿宋"/>
                <w:sz w:val="24"/>
              </w:rPr>
            </w:pPr>
            <w:r>
              <w:rPr>
                <w:rFonts w:ascii="仿宋" w:eastAsia="仿宋" w:hAnsi="仿宋" w:cs="仿宋"/>
                <w:sz w:val="24"/>
              </w:rPr>
              <w:t>（一）</w:t>
            </w:r>
            <w:r>
              <w:rPr>
                <w:rFonts w:ascii="仿宋" w:eastAsia="仿宋" w:hAnsi="仿宋" w:cs="仿宋" w:hint="eastAsia"/>
                <w:sz w:val="24"/>
              </w:rPr>
              <w:t>《出口货物劳务退（免）税延期申报申请表》。</w:t>
            </w:r>
          </w:p>
        </w:tc>
        <w:tc>
          <w:tcPr>
            <w:tcW w:w="1118" w:type="dxa"/>
            <w:vMerge w:val="restart"/>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sz w:val="24"/>
              </w:rPr>
              <w:t>申请延期申报的出口企业纳税人提交</w:t>
            </w:r>
          </w:p>
        </w:tc>
        <w:tc>
          <w:tcPr>
            <w:tcW w:w="2403" w:type="dxa"/>
            <w:vAlign w:val="center"/>
          </w:tcPr>
          <w:p w:rsidR="00013EC7" w:rsidRDefault="00575CDB">
            <w:pPr>
              <w:rPr>
                <w:rFonts w:ascii="仿宋" w:eastAsia="仿宋" w:hAnsi="仿宋" w:cs="仿宋"/>
                <w:sz w:val="24"/>
              </w:rPr>
            </w:pPr>
            <w:r>
              <w:rPr>
                <w:rFonts w:ascii="仿宋" w:eastAsia="仿宋" w:hAnsi="仿宋" w:cs="仿宋"/>
                <w:sz w:val="24"/>
              </w:rPr>
              <w:t>（一）</w:t>
            </w:r>
            <w:r>
              <w:rPr>
                <w:rFonts w:ascii="仿宋" w:eastAsia="仿宋" w:hAnsi="仿宋" w:cs="仿宋" w:hint="eastAsia"/>
                <w:sz w:val="24"/>
              </w:rPr>
              <w:t>《出口货物劳务退（免）税延期申报申请表》1份。</w:t>
            </w:r>
          </w:p>
        </w:tc>
        <w:tc>
          <w:tcPr>
            <w:tcW w:w="1196" w:type="dxa"/>
            <w:vMerge w:val="restart"/>
            <w:vAlign w:val="center"/>
          </w:tcPr>
          <w:p w:rsidR="00013EC7" w:rsidRDefault="00575CDB">
            <w:pPr>
              <w:spacing w:line="300" w:lineRule="exact"/>
              <w:jc w:val="center"/>
              <w:rPr>
                <w:rFonts w:ascii="仿宋" w:eastAsia="仿宋" w:hAnsi="仿宋" w:cs="仿宋"/>
                <w:b/>
                <w:bCs/>
                <w:i/>
                <w:iCs/>
                <w:sz w:val="24"/>
              </w:rPr>
            </w:pPr>
            <w:r>
              <w:rPr>
                <w:rFonts w:ascii="仿宋" w:eastAsia="仿宋" w:hAnsi="仿宋" w:cs="仿宋" w:hint="eastAsia"/>
                <w:sz w:val="24"/>
              </w:rPr>
              <w:t>申请延期申报的出口企业纳税人提交</w:t>
            </w:r>
          </w:p>
        </w:tc>
        <w:tc>
          <w:tcPr>
            <w:tcW w:w="3318" w:type="dxa"/>
            <w:vMerge w:val="restart"/>
            <w:vAlign w:val="center"/>
          </w:tcPr>
          <w:p w:rsidR="00013EC7" w:rsidRDefault="00575CDB">
            <w:pPr>
              <w:spacing w:line="300" w:lineRule="exac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纳税人提交书面材料。</w:t>
            </w:r>
          </w:p>
        </w:tc>
        <w:tc>
          <w:tcPr>
            <w:tcW w:w="868" w:type="dxa"/>
            <w:vMerge w:val="restart"/>
            <w:vAlign w:val="center"/>
          </w:tcPr>
          <w:p w:rsidR="00013EC7" w:rsidRDefault="00575CDB">
            <w:pPr>
              <w:jc w:val="center"/>
              <w:rPr>
                <w:rFonts w:ascii="仿宋" w:eastAsia="仿宋" w:hAnsi="仿宋" w:cs="仿宋"/>
                <w:sz w:val="24"/>
              </w:rPr>
            </w:pPr>
            <w:r>
              <w:rPr>
                <w:rFonts w:ascii="仿宋" w:eastAsia="仿宋" w:hAnsi="仿宋" w:cs="仿宋" w:hint="eastAsia"/>
                <w:sz w:val="24"/>
              </w:rPr>
              <w:t>20个工作日</w:t>
            </w:r>
          </w:p>
        </w:tc>
        <w:tc>
          <w:tcPr>
            <w:tcW w:w="798" w:type="dxa"/>
            <w:vMerge w:val="restart"/>
            <w:vAlign w:val="center"/>
          </w:tcPr>
          <w:p w:rsidR="00013EC7" w:rsidRDefault="00575CDB">
            <w:pPr>
              <w:jc w:val="center"/>
              <w:rPr>
                <w:rFonts w:ascii="仿宋" w:eastAsia="仿宋" w:hAnsi="仿宋" w:cs="仿宋"/>
                <w:sz w:val="24"/>
              </w:rPr>
            </w:pPr>
            <w:r>
              <w:rPr>
                <w:rFonts w:ascii="仿宋" w:eastAsia="仿宋" w:hAnsi="仿宋" w:cs="仿宋" w:hint="eastAsia"/>
                <w:sz w:val="24"/>
              </w:rPr>
              <w:t>20个工作日</w:t>
            </w:r>
          </w:p>
        </w:tc>
        <w:tc>
          <w:tcPr>
            <w:tcW w:w="958" w:type="dxa"/>
            <w:vMerge w:val="restart"/>
            <w:vAlign w:val="center"/>
          </w:tcPr>
          <w:p w:rsidR="00013EC7" w:rsidRDefault="00575CDB">
            <w:pPr>
              <w:jc w:val="center"/>
              <w:rPr>
                <w:rFonts w:ascii="仿宋" w:eastAsia="仿宋" w:hAnsi="仿宋" w:cs="仿宋"/>
                <w:sz w:val="24"/>
              </w:rPr>
            </w:pPr>
            <w:r>
              <w:rPr>
                <w:rFonts w:ascii="仿宋" w:eastAsia="仿宋" w:hAnsi="仿宋" w:cs="仿宋" w:hint="eastAsia"/>
                <w:sz w:val="24"/>
              </w:rPr>
              <w:t>否</w:t>
            </w:r>
          </w:p>
        </w:tc>
        <w:tc>
          <w:tcPr>
            <w:tcW w:w="1104" w:type="dxa"/>
            <w:vMerge w:val="restart"/>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sz w:val="24"/>
              </w:rPr>
              <w:t>进出口处</w:t>
            </w:r>
          </w:p>
        </w:tc>
        <w:tc>
          <w:tcPr>
            <w:tcW w:w="1476" w:type="dxa"/>
            <w:vMerge w:val="restart"/>
            <w:vAlign w:val="center"/>
          </w:tcPr>
          <w:p w:rsidR="00013EC7" w:rsidRDefault="00013EC7">
            <w:pPr>
              <w:spacing w:line="300" w:lineRule="exact"/>
              <w:rPr>
                <w:rFonts w:ascii="仿宋" w:eastAsia="仿宋" w:hAnsi="仿宋" w:cs="仿宋"/>
                <w:sz w:val="24"/>
              </w:rPr>
            </w:pPr>
          </w:p>
        </w:tc>
      </w:tr>
      <w:tr w:rsidR="00013EC7">
        <w:trPr>
          <w:trHeight w:val="1699"/>
          <w:jc w:val="center"/>
        </w:trPr>
        <w:tc>
          <w:tcPr>
            <w:tcW w:w="1250" w:type="dxa"/>
            <w:vMerge/>
            <w:textDirection w:val="tbRlV"/>
            <w:vAlign w:val="center"/>
          </w:tcPr>
          <w:p w:rsidR="00013EC7" w:rsidRDefault="00013EC7">
            <w:pPr>
              <w:rPr>
                <w:rFonts w:ascii="仿宋" w:eastAsia="仿宋" w:hAnsi="仿宋" w:cs="仿宋"/>
                <w:sz w:val="24"/>
              </w:rPr>
            </w:pPr>
          </w:p>
        </w:tc>
        <w:tc>
          <w:tcPr>
            <w:tcW w:w="1316" w:type="dxa"/>
            <w:vMerge/>
            <w:vAlign w:val="center"/>
          </w:tcPr>
          <w:p w:rsidR="00013EC7" w:rsidRDefault="00013EC7">
            <w:pPr>
              <w:rPr>
                <w:rFonts w:ascii="仿宋" w:eastAsia="仿宋" w:hAnsi="仿宋" w:cs="仿宋"/>
                <w:sz w:val="24"/>
              </w:rPr>
            </w:pPr>
          </w:p>
        </w:tc>
        <w:tc>
          <w:tcPr>
            <w:tcW w:w="2114" w:type="dxa"/>
            <w:vMerge/>
            <w:vAlign w:val="center"/>
          </w:tcPr>
          <w:p w:rsidR="00013EC7" w:rsidRDefault="00013EC7">
            <w:pPr>
              <w:rPr>
                <w:rFonts w:ascii="仿宋" w:eastAsia="仿宋" w:hAnsi="仿宋" w:cs="仿宋"/>
                <w:sz w:val="24"/>
              </w:rPr>
            </w:pPr>
          </w:p>
        </w:tc>
        <w:tc>
          <w:tcPr>
            <w:tcW w:w="2785" w:type="dxa"/>
            <w:tcBorders>
              <w:top w:val="single" w:sz="4" w:space="0" w:color="auto"/>
            </w:tcBorders>
            <w:vAlign w:val="center"/>
          </w:tcPr>
          <w:p w:rsidR="00013EC7" w:rsidRDefault="00575CDB">
            <w:pPr>
              <w:rPr>
                <w:rFonts w:ascii="仿宋" w:eastAsia="仿宋" w:hAnsi="仿宋" w:cs="仿宋"/>
                <w:sz w:val="24"/>
              </w:rPr>
            </w:pPr>
            <w:r>
              <w:rPr>
                <w:rFonts w:ascii="仿宋" w:eastAsia="仿宋" w:hAnsi="仿宋" w:cs="仿宋"/>
                <w:sz w:val="24"/>
              </w:rPr>
              <w:t>（二）</w:t>
            </w:r>
            <w:r>
              <w:rPr>
                <w:rFonts w:ascii="仿宋" w:eastAsia="仿宋" w:hAnsi="仿宋" w:cs="仿宋" w:hint="eastAsia"/>
                <w:sz w:val="24"/>
              </w:rPr>
              <w:t>企业关于延期申报的申请。</w:t>
            </w:r>
          </w:p>
        </w:tc>
        <w:tc>
          <w:tcPr>
            <w:tcW w:w="1118" w:type="dxa"/>
            <w:vMerge/>
            <w:vAlign w:val="center"/>
          </w:tcPr>
          <w:p w:rsidR="00013EC7" w:rsidRDefault="00013EC7">
            <w:pPr>
              <w:rPr>
                <w:rFonts w:ascii="仿宋" w:eastAsia="仿宋" w:hAnsi="仿宋" w:cs="仿宋"/>
                <w:sz w:val="24"/>
              </w:rPr>
            </w:pPr>
          </w:p>
        </w:tc>
        <w:tc>
          <w:tcPr>
            <w:tcW w:w="2403" w:type="dxa"/>
            <w:vAlign w:val="center"/>
          </w:tcPr>
          <w:p w:rsidR="00013EC7" w:rsidRDefault="00575CDB">
            <w:pPr>
              <w:rPr>
                <w:rFonts w:ascii="仿宋" w:eastAsia="仿宋" w:hAnsi="仿宋" w:cs="仿宋"/>
                <w:sz w:val="24"/>
              </w:rPr>
            </w:pPr>
            <w:r>
              <w:rPr>
                <w:rFonts w:ascii="仿宋" w:eastAsia="仿宋" w:hAnsi="仿宋" w:cs="仿宋"/>
                <w:sz w:val="24"/>
              </w:rPr>
              <w:t>（二）</w:t>
            </w:r>
            <w:r>
              <w:rPr>
                <w:rFonts w:ascii="仿宋" w:eastAsia="仿宋" w:hAnsi="仿宋" w:cs="仿宋" w:hint="eastAsia"/>
                <w:sz w:val="24"/>
              </w:rPr>
              <w:t>企业关于延期申报的申请。</w:t>
            </w:r>
          </w:p>
        </w:tc>
        <w:tc>
          <w:tcPr>
            <w:tcW w:w="1196" w:type="dxa"/>
            <w:vMerge/>
            <w:vAlign w:val="center"/>
          </w:tcPr>
          <w:p w:rsidR="00013EC7" w:rsidRDefault="00013EC7">
            <w:pPr>
              <w:spacing w:line="300" w:lineRule="exact"/>
              <w:jc w:val="center"/>
              <w:rPr>
                <w:rFonts w:ascii="仿宋" w:eastAsia="仿宋" w:hAnsi="仿宋" w:cs="仿宋"/>
                <w:sz w:val="24"/>
              </w:rPr>
            </w:pPr>
          </w:p>
        </w:tc>
        <w:tc>
          <w:tcPr>
            <w:tcW w:w="3318" w:type="dxa"/>
            <w:vMerge/>
            <w:vAlign w:val="center"/>
          </w:tcPr>
          <w:p w:rsidR="00013EC7" w:rsidRDefault="00013EC7">
            <w:pPr>
              <w:spacing w:line="300" w:lineRule="exact"/>
              <w:rPr>
                <w:rFonts w:ascii="仿宋" w:eastAsia="仿宋" w:hAnsi="仿宋" w:cs="仿宋"/>
                <w:sz w:val="24"/>
              </w:rPr>
            </w:pPr>
          </w:p>
        </w:tc>
        <w:tc>
          <w:tcPr>
            <w:tcW w:w="868" w:type="dxa"/>
            <w:vMerge/>
            <w:vAlign w:val="center"/>
          </w:tcPr>
          <w:p w:rsidR="00013EC7" w:rsidRDefault="00013EC7">
            <w:pPr>
              <w:rPr>
                <w:rFonts w:ascii="仿宋" w:eastAsia="仿宋" w:hAnsi="仿宋" w:cs="仿宋"/>
                <w:sz w:val="24"/>
              </w:rPr>
            </w:pPr>
          </w:p>
        </w:tc>
        <w:tc>
          <w:tcPr>
            <w:tcW w:w="798" w:type="dxa"/>
            <w:vMerge/>
            <w:vAlign w:val="center"/>
          </w:tcPr>
          <w:p w:rsidR="00013EC7" w:rsidRDefault="00013EC7">
            <w:pPr>
              <w:rPr>
                <w:rFonts w:ascii="仿宋" w:eastAsia="仿宋" w:hAnsi="仿宋" w:cs="仿宋"/>
                <w:sz w:val="24"/>
              </w:rPr>
            </w:pP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340"/>
          <w:jc w:val="center"/>
        </w:trPr>
        <w:tc>
          <w:tcPr>
            <w:tcW w:w="1250" w:type="dxa"/>
            <w:vMerge/>
            <w:textDirection w:val="tbRlV"/>
            <w:vAlign w:val="center"/>
          </w:tcPr>
          <w:p w:rsidR="00013EC7" w:rsidRDefault="00013EC7">
            <w:pPr>
              <w:rPr>
                <w:rFonts w:ascii="仿宋" w:eastAsia="仿宋" w:hAnsi="仿宋" w:cs="仿宋"/>
                <w:sz w:val="24"/>
              </w:rPr>
            </w:pPr>
          </w:p>
        </w:tc>
        <w:tc>
          <w:tcPr>
            <w:tcW w:w="1316" w:type="dxa"/>
            <w:vMerge/>
            <w:vAlign w:val="center"/>
          </w:tcPr>
          <w:p w:rsidR="00013EC7" w:rsidRDefault="00013EC7">
            <w:pPr>
              <w:rPr>
                <w:rFonts w:ascii="仿宋" w:eastAsia="仿宋" w:hAnsi="仿宋" w:cs="仿宋"/>
                <w:sz w:val="24"/>
              </w:rPr>
            </w:pPr>
          </w:p>
        </w:tc>
        <w:tc>
          <w:tcPr>
            <w:tcW w:w="2114" w:type="dxa"/>
            <w:vMerge/>
            <w:vAlign w:val="center"/>
          </w:tcPr>
          <w:p w:rsidR="00013EC7" w:rsidRDefault="00013EC7">
            <w:pPr>
              <w:rPr>
                <w:rFonts w:ascii="仿宋" w:eastAsia="仿宋" w:hAnsi="仿宋" w:cs="仿宋"/>
                <w:sz w:val="24"/>
              </w:rPr>
            </w:pPr>
          </w:p>
        </w:tc>
        <w:tc>
          <w:tcPr>
            <w:tcW w:w="2785" w:type="dxa"/>
            <w:vAlign w:val="center"/>
          </w:tcPr>
          <w:p w:rsidR="00013EC7" w:rsidRDefault="00575CDB">
            <w:pPr>
              <w:rPr>
                <w:rFonts w:ascii="仿宋" w:eastAsia="仿宋" w:hAnsi="仿宋" w:cs="仿宋"/>
                <w:sz w:val="24"/>
              </w:rPr>
            </w:pPr>
            <w:r>
              <w:rPr>
                <w:rFonts w:ascii="仿宋" w:eastAsia="仿宋" w:hAnsi="仿宋" w:cs="仿宋"/>
                <w:sz w:val="24"/>
              </w:rPr>
              <w:t>（三）</w:t>
            </w:r>
            <w:r>
              <w:rPr>
                <w:rFonts w:ascii="仿宋" w:eastAsia="仿宋" w:hAnsi="仿宋" w:cs="仿宋" w:hint="eastAsia"/>
                <w:sz w:val="24"/>
              </w:rPr>
              <w:t>造成在规定期限内未收齐单证原因的举证材料。</w:t>
            </w:r>
          </w:p>
        </w:tc>
        <w:tc>
          <w:tcPr>
            <w:tcW w:w="1118" w:type="dxa"/>
            <w:vMerge/>
            <w:vAlign w:val="center"/>
          </w:tcPr>
          <w:p w:rsidR="00013EC7" w:rsidRDefault="00013EC7">
            <w:pPr>
              <w:rPr>
                <w:rFonts w:ascii="仿宋" w:eastAsia="仿宋" w:hAnsi="仿宋" w:cs="仿宋"/>
                <w:sz w:val="24"/>
              </w:rPr>
            </w:pPr>
          </w:p>
        </w:tc>
        <w:tc>
          <w:tcPr>
            <w:tcW w:w="2403" w:type="dxa"/>
            <w:vAlign w:val="center"/>
          </w:tcPr>
          <w:p w:rsidR="00013EC7" w:rsidRDefault="00575CDB">
            <w:pPr>
              <w:rPr>
                <w:rFonts w:ascii="仿宋" w:eastAsia="仿宋" w:hAnsi="仿宋" w:cs="仿宋"/>
                <w:sz w:val="24"/>
              </w:rPr>
            </w:pPr>
            <w:r>
              <w:rPr>
                <w:rFonts w:ascii="仿宋" w:eastAsia="仿宋" w:hAnsi="仿宋" w:cs="仿宋"/>
                <w:sz w:val="24"/>
              </w:rPr>
              <w:t>（三）</w:t>
            </w:r>
            <w:r>
              <w:rPr>
                <w:rFonts w:ascii="仿宋" w:eastAsia="仿宋" w:hAnsi="仿宋" w:cs="仿宋" w:hint="eastAsia"/>
                <w:sz w:val="24"/>
              </w:rPr>
              <w:t>造成在规定期限内未收齐单证原因的举证材料。</w:t>
            </w:r>
          </w:p>
        </w:tc>
        <w:tc>
          <w:tcPr>
            <w:tcW w:w="1196" w:type="dxa"/>
            <w:vMerge/>
            <w:vAlign w:val="center"/>
          </w:tcPr>
          <w:p w:rsidR="00013EC7" w:rsidRDefault="00013EC7">
            <w:pPr>
              <w:rPr>
                <w:rFonts w:ascii="仿宋" w:eastAsia="仿宋" w:hAnsi="仿宋" w:cs="仿宋"/>
                <w:sz w:val="24"/>
              </w:rPr>
            </w:pPr>
          </w:p>
        </w:tc>
        <w:tc>
          <w:tcPr>
            <w:tcW w:w="3318" w:type="dxa"/>
            <w:vMerge/>
            <w:vAlign w:val="center"/>
          </w:tcPr>
          <w:p w:rsidR="00013EC7" w:rsidRDefault="00013EC7">
            <w:pPr>
              <w:spacing w:line="300" w:lineRule="exact"/>
              <w:rPr>
                <w:rFonts w:ascii="仿宋" w:eastAsia="仿宋" w:hAnsi="仿宋" w:cs="仿宋"/>
                <w:sz w:val="24"/>
              </w:rPr>
            </w:pPr>
          </w:p>
        </w:tc>
        <w:tc>
          <w:tcPr>
            <w:tcW w:w="868" w:type="dxa"/>
            <w:vMerge/>
            <w:vAlign w:val="center"/>
          </w:tcPr>
          <w:p w:rsidR="00013EC7" w:rsidRDefault="00013EC7">
            <w:pPr>
              <w:rPr>
                <w:rFonts w:ascii="仿宋" w:eastAsia="仿宋" w:hAnsi="仿宋" w:cs="仿宋"/>
                <w:sz w:val="24"/>
              </w:rPr>
            </w:pPr>
          </w:p>
        </w:tc>
        <w:tc>
          <w:tcPr>
            <w:tcW w:w="798" w:type="dxa"/>
            <w:vMerge/>
            <w:vAlign w:val="center"/>
          </w:tcPr>
          <w:p w:rsidR="00013EC7" w:rsidRDefault="00013EC7">
            <w:pPr>
              <w:rPr>
                <w:rFonts w:ascii="仿宋" w:eastAsia="仿宋" w:hAnsi="仿宋" w:cs="仿宋"/>
                <w:sz w:val="24"/>
              </w:rPr>
            </w:pP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bl>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jc w:val="center"/>
        <w:rPr>
          <w:rFonts w:eastAsia="方正书宋简体"/>
          <w:szCs w:val="21"/>
        </w:rPr>
      </w:pPr>
    </w:p>
    <w:p w:rsidR="00013EC7" w:rsidRDefault="00575CDB">
      <w:pPr>
        <w:rPr>
          <w:rFonts w:eastAsia="方正书宋简体"/>
          <w:szCs w:val="21"/>
        </w:rPr>
      </w:pPr>
      <w:r>
        <w:rPr>
          <w:rFonts w:eastAsia="方正书宋简体"/>
          <w:szCs w:val="21"/>
        </w:rPr>
        <w:br w:type="page"/>
      </w:r>
    </w:p>
    <w:p w:rsidR="00013EC7" w:rsidRDefault="005262E6">
      <w:pPr>
        <w:rPr>
          <w:rFonts w:eastAsia="方正书宋简体"/>
          <w:szCs w:val="21"/>
        </w:rPr>
      </w:pPr>
      <w:r>
        <w:lastRenderedPageBreak/>
        <w:object w:dxaOrig="1440" w:dyaOrig="1440">
          <v:shape id="_x0000_s1414" type="#_x0000_t75" style="position:absolute;left:0;text-align:left;margin-left:63pt;margin-top:105.7pt;width:411pt;height:521pt;z-index:251741184;mso-wrap-distance-top:0;mso-wrap-distance-bottom:0;mso-position-vertical-relative:page;mso-width-relative:page;mso-height-relative:page">
            <v:imagedata r:id="rId484" o:title=""/>
            <w10:wrap type="topAndBottom" anchory="page"/>
          </v:shape>
          <o:OLEObject Type="Embed" ProgID="Visio.Drawing.11" ShapeID="_x0000_s1414" DrawAspect="Content" ObjectID="_1577296313" r:id="rId485"/>
        </w:object>
      </w: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ascii="宋体" w:hAnsi="宋体" w:cs="仿宋"/>
          <w:kern w:val="1"/>
          <w:sz w:val="28"/>
          <w:szCs w:val="28"/>
        </w:rPr>
        <w:sectPr w:rsidR="00013EC7">
          <w:pgSz w:w="23814" w:h="16840" w:orient="landscape"/>
          <w:pgMar w:top="1701" w:right="1843" w:bottom="1985" w:left="1843" w:header="851" w:footer="1701" w:gutter="0"/>
          <w:pgNumType w:fmt="numberInDash"/>
          <w:cols w:space="720"/>
          <w:docGrid w:type="lines" w:linePitch="312"/>
        </w:sectPr>
      </w:pPr>
    </w:p>
    <w:p w:rsidR="00013EC7" w:rsidRDefault="00575CDB">
      <w:pPr>
        <w:pStyle w:val="2"/>
      </w:pPr>
      <w:bookmarkStart w:id="602" w:name="_Toc21203"/>
      <w:bookmarkStart w:id="603" w:name="_Toc5695"/>
      <w:bookmarkStart w:id="604" w:name="_Toc503467488"/>
      <w:bookmarkStart w:id="605" w:name="_Toc13951"/>
      <w:r>
        <w:rPr>
          <w:rFonts w:hint="eastAsia"/>
        </w:rPr>
        <w:lastRenderedPageBreak/>
        <w:t>29.7</w:t>
      </w:r>
      <w:r>
        <w:rPr>
          <w:rFonts w:hint="eastAsia"/>
        </w:rPr>
        <w:t>《委托出口货物证明》开具</w:t>
      </w:r>
      <w:bookmarkEnd w:id="602"/>
      <w:bookmarkEnd w:id="603"/>
      <w:bookmarkEnd w:id="604"/>
      <w:bookmarkEnd w:id="605"/>
    </w:p>
    <w:p w:rsidR="00013EC7" w:rsidRDefault="00575CDB">
      <w:pPr>
        <w:jc w:val="center"/>
        <w:rPr>
          <w:rFonts w:ascii="宋体" w:hAnsi="宋体" w:cs="宋体"/>
          <w:b/>
          <w:bCs/>
          <w:sz w:val="52"/>
          <w:szCs w:val="52"/>
        </w:rPr>
      </w:pPr>
      <w:r>
        <w:rPr>
          <w:rFonts w:ascii="宋体" w:hAnsi="宋体" w:cs="宋体" w:hint="eastAsia"/>
          <w:b/>
          <w:bCs/>
          <w:sz w:val="52"/>
          <w:szCs w:val="52"/>
        </w:rPr>
        <w:t>全省“最多跑一次”事项“八统一”梳理表</w:t>
      </w:r>
    </w:p>
    <w:p w:rsidR="00013EC7" w:rsidRDefault="00013EC7">
      <w:pPr>
        <w:rPr>
          <w:rFonts w:ascii="宋体" w:hAnsi="宋体" w:cs="宋体"/>
          <w:b/>
          <w:bCs/>
          <w:sz w:val="44"/>
          <w:szCs w:val="44"/>
        </w:rPr>
      </w:pPr>
    </w:p>
    <w:tbl>
      <w:tblPr>
        <w:tblW w:w="20704"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1250"/>
        <w:gridCol w:w="1316"/>
        <w:gridCol w:w="2114"/>
        <w:gridCol w:w="2785"/>
        <w:gridCol w:w="1118"/>
        <w:gridCol w:w="2403"/>
        <w:gridCol w:w="1196"/>
        <w:gridCol w:w="3318"/>
        <w:gridCol w:w="868"/>
        <w:gridCol w:w="798"/>
        <w:gridCol w:w="958"/>
        <w:gridCol w:w="1104"/>
        <w:gridCol w:w="1476"/>
      </w:tblGrid>
      <w:tr w:rsidR="00013EC7">
        <w:trPr>
          <w:trHeight w:val="340"/>
          <w:tblHeader/>
          <w:jc w:val="center"/>
        </w:trPr>
        <w:tc>
          <w:tcPr>
            <w:tcW w:w="1250"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主项名称</w:t>
            </w:r>
          </w:p>
        </w:tc>
        <w:tc>
          <w:tcPr>
            <w:tcW w:w="1316"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子项名称</w:t>
            </w:r>
          </w:p>
        </w:tc>
        <w:tc>
          <w:tcPr>
            <w:tcW w:w="2114"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经办依据</w:t>
            </w:r>
          </w:p>
        </w:tc>
        <w:tc>
          <w:tcPr>
            <w:tcW w:w="3903"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原经办所需材料</w:t>
            </w:r>
          </w:p>
        </w:tc>
        <w:tc>
          <w:tcPr>
            <w:tcW w:w="6917" w:type="dxa"/>
            <w:gridSpan w:val="3"/>
            <w:vAlign w:val="center"/>
          </w:tcPr>
          <w:p w:rsidR="00013EC7" w:rsidRDefault="00575CDB">
            <w:pPr>
              <w:spacing w:line="280" w:lineRule="exact"/>
              <w:jc w:val="center"/>
              <w:rPr>
                <w:rFonts w:ascii="黑体" w:eastAsia="黑体"/>
                <w:sz w:val="24"/>
              </w:rPr>
            </w:pPr>
            <w:r>
              <w:rPr>
                <w:rFonts w:ascii="黑体" w:eastAsia="黑体" w:hint="eastAsia"/>
                <w:sz w:val="24"/>
              </w:rPr>
              <w:t>梳理后经办所需材料</w:t>
            </w:r>
          </w:p>
        </w:tc>
        <w:tc>
          <w:tcPr>
            <w:tcW w:w="1666"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办理时限</w:t>
            </w:r>
          </w:p>
        </w:tc>
        <w:tc>
          <w:tcPr>
            <w:tcW w:w="958"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是否实现跑零次</w:t>
            </w:r>
          </w:p>
        </w:tc>
        <w:tc>
          <w:tcPr>
            <w:tcW w:w="1104"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省厅对口</w:t>
            </w:r>
          </w:p>
          <w:p w:rsidR="00013EC7" w:rsidRDefault="00575CDB">
            <w:pPr>
              <w:spacing w:line="280" w:lineRule="exact"/>
              <w:jc w:val="center"/>
              <w:rPr>
                <w:rFonts w:ascii="黑体" w:eastAsia="黑体"/>
                <w:sz w:val="24"/>
              </w:rPr>
            </w:pPr>
            <w:r>
              <w:rPr>
                <w:rFonts w:ascii="黑体" w:eastAsia="黑体" w:hint="eastAsia"/>
                <w:sz w:val="24"/>
              </w:rPr>
              <w:t>指导处室</w:t>
            </w:r>
          </w:p>
          <w:p w:rsidR="00013EC7" w:rsidRDefault="00575CDB">
            <w:pPr>
              <w:spacing w:line="280" w:lineRule="exact"/>
              <w:jc w:val="center"/>
              <w:rPr>
                <w:rFonts w:ascii="黑体" w:eastAsia="黑体"/>
                <w:sz w:val="24"/>
              </w:rPr>
            </w:pPr>
            <w:r>
              <w:rPr>
                <w:rFonts w:ascii="黑体" w:eastAsia="黑体" w:hint="eastAsia"/>
                <w:sz w:val="24"/>
              </w:rPr>
              <w:t>（单位）</w:t>
            </w:r>
          </w:p>
        </w:tc>
        <w:tc>
          <w:tcPr>
            <w:tcW w:w="1476"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进一步精简、</w:t>
            </w:r>
          </w:p>
          <w:p w:rsidR="00013EC7" w:rsidRDefault="00575CDB">
            <w:pPr>
              <w:spacing w:line="280" w:lineRule="exact"/>
              <w:jc w:val="center"/>
              <w:rPr>
                <w:rFonts w:ascii="黑体" w:eastAsia="黑体"/>
                <w:sz w:val="24"/>
              </w:rPr>
            </w:pPr>
            <w:r>
              <w:rPr>
                <w:rFonts w:ascii="黑体" w:eastAsia="黑体" w:hint="eastAsia"/>
                <w:sz w:val="24"/>
              </w:rPr>
              <w:t>规范建议</w:t>
            </w:r>
          </w:p>
        </w:tc>
      </w:tr>
      <w:tr w:rsidR="00013EC7">
        <w:trPr>
          <w:trHeight w:val="340"/>
          <w:tblHeader/>
          <w:jc w:val="center"/>
        </w:trPr>
        <w:tc>
          <w:tcPr>
            <w:tcW w:w="1250" w:type="dxa"/>
            <w:vMerge/>
            <w:vAlign w:val="center"/>
          </w:tcPr>
          <w:p w:rsidR="00013EC7" w:rsidRDefault="00013EC7">
            <w:pPr>
              <w:rPr>
                <w:sz w:val="24"/>
              </w:rPr>
            </w:pPr>
          </w:p>
        </w:tc>
        <w:tc>
          <w:tcPr>
            <w:tcW w:w="1316" w:type="dxa"/>
            <w:vMerge/>
          </w:tcPr>
          <w:p w:rsidR="00013EC7" w:rsidRDefault="00013EC7">
            <w:pPr>
              <w:rPr>
                <w:sz w:val="24"/>
              </w:rPr>
            </w:pPr>
          </w:p>
        </w:tc>
        <w:tc>
          <w:tcPr>
            <w:tcW w:w="2114" w:type="dxa"/>
            <w:vMerge/>
          </w:tcPr>
          <w:p w:rsidR="00013EC7" w:rsidRDefault="00013EC7">
            <w:pPr>
              <w:rPr>
                <w:sz w:val="24"/>
              </w:rPr>
            </w:pPr>
          </w:p>
        </w:tc>
        <w:tc>
          <w:tcPr>
            <w:tcW w:w="2785" w:type="dxa"/>
            <w:tcBorders>
              <w:bottom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118"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2403" w:type="dxa"/>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196"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3318" w:type="dxa"/>
            <w:vAlign w:val="center"/>
          </w:tcPr>
          <w:p w:rsidR="00013EC7" w:rsidRDefault="00575CDB">
            <w:pPr>
              <w:spacing w:line="280" w:lineRule="exact"/>
              <w:jc w:val="center"/>
              <w:rPr>
                <w:rFonts w:ascii="黑体" w:eastAsia="黑体"/>
                <w:sz w:val="24"/>
              </w:rPr>
            </w:pPr>
            <w:r>
              <w:rPr>
                <w:rFonts w:ascii="黑体" w:eastAsia="黑体" w:hint="eastAsia"/>
                <w:sz w:val="24"/>
              </w:rPr>
              <w:t>办理方式及材料</w:t>
            </w:r>
          </w:p>
          <w:p w:rsidR="00013EC7" w:rsidRDefault="00575CDB">
            <w:pPr>
              <w:spacing w:line="280" w:lineRule="exact"/>
              <w:jc w:val="center"/>
              <w:rPr>
                <w:rFonts w:ascii="黑体" w:eastAsia="黑体"/>
                <w:sz w:val="24"/>
              </w:rPr>
            </w:pPr>
            <w:r>
              <w:rPr>
                <w:rFonts w:ascii="黑体" w:eastAsia="黑体" w:hint="eastAsia"/>
                <w:sz w:val="24"/>
              </w:rPr>
              <w:t>信息获取方式说明</w:t>
            </w:r>
          </w:p>
        </w:tc>
        <w:tc>
          <w:tcPr>
            <w:tcW w:w="868" w:type="dxa"/>
            <w:vAlign w:val="center"/>
          </w:tcPr>
          <w:p w:rsidR="00013EC7" w:rsidRDefault="00575CDB">
            <w:pPr>
              <w:spacing w:line="280" w:lineRule="exact"/>
              <w:jc w:val="center"/>
              <w:rPr>
                <w:rFonts w:ascii="黑体" w:eastAsia="黑体"/>
                <w:sz w:val="24"/>
              </w:rPr>
            </w:pPr>
            <w:r>
              <w:rPr>
                <w:rFonts w:ascii="黑体" w:eastAsia="黑体" w:hint="eastAsia"/>
                <w:sz w:val="24"/>
              </w:rPr>
              <w:t>优化前</w:t>
            </w:r>
          </w:p>
        </w:tc>
        <w:tc>
          <w:tcPr>
            <w:tcW w:w="798" w:type="dxa"/>
            <w:vAlign w:val="center"/>
          </w:tcPr>
          <w:p w:rsidR="00013EC7" w:rsidRDefault="00575CDB">
            <w:pPr>
              <w:spacing w:line="280" w:lineRule="exact"/>
              <w:jc w:val="center"/>
              <w:rPr>
                <w:rFonts w:ascii="黑体" w:eastAsia="黑体"/>
                <w:sz w:val="24"/>
              </w:rPr>
            </w:pPr>
            <w:r>
              <w:rPr>
                <w:rFonts w:ascii="黑体" w:eastAsia="黑体" w:hint="eastAsia"/>
                <w:sz w:val="24"/>
              </w:rPr>
              <w:t>优化后</w:t>
            </w:r>
          </w:p>
        </w:tc>
        <w:tc>
          <w:tcPr>
            <w:tcW w:w="958" w:type="dxa"/>
            <w:vMerge/>
            <w:vAlign w:val="center"/>
          </w:tcPr>
          <w:p w:rsidR="00013EC7" w:rsidRDefault="00013EC7">
            <w:pPr>
              <w:rPr>
                <w:sz w:val="24"/>
              </w:rPr>
            </w:pPr>
          </w:p>
        </w:tc>
        <w:tc>
          <w:tcPr>
            <w:tcW w:w="1104" w:type="dxa"/>
            <w:vMerge/>
            <w:vAlign w:val="center"/>
          </w:tcPr>
          <w:p w:rsidR="00013EC7" w:rsidRDefault="00013EC7">
            <w:pPr>
              <w:rPr>
                <w:sz w:val="24"/>
              </w:rPr>
            </w:pPr>
          </w:p>
        </w:tc>
        <w:tc>
          <w:tcPr>
            <w:tcW w:w="1476" w:type="dxa"/>
            <w:vMerge/>
            <w:vAlign w:val="center"/>
          </w:tcPr>
          <w:p w:rsidR="00013EC7" w:rsidRDefault="00013EC7">
            <w:pPr>
              <w:rPr>
                <w:sz w:val="24"/>
              </w:rPr>
            </w:pPr>
          </w:p>
        </w:tc>
      </w:tr>
      <w:tr w:rsidR="00013EC7">
        <w:trPr>
          <w:trHeight w:val="1475"/>
          <w:jc w:val="center"/>
        </w:trPr>
        <w:tc>
          <w:tcPr>
            <w:tcW w:w="1250" w:type="dxa"/>
            <w:vMerge w:val="restart"/>
            <w:vAlign w:val="center"/>
          </w:tcPr>
          <w:p w:rsidR="00013EC7" w:rsidRDefault="00575CDB">
            <w:pPr>
              <w:jc w:val="center"/>
              <w:rPr>
                <w:rFonts w:ascii="仿宋" w:eastAsia="仿宋" w:hAnsi="仿宋" w:cs="仿宋"/>
                <w:kern w:val="1"/>
                <w:sz w:val="24"/>
              </w:rPr>
            </w:pPr>
            <w:r>
              <w:rPr>
                <w:rFonts w:ascii="仿宋" w:eastAsia="仿宋" w:hAnsi="仿宋" w:cs="仿宋" w:hint="eastAsia"/>
                <w:kern w:val="1"/>
                <w:sz w:val="24"/>
              </w:rPr>
              <w:t>29.出口退（免）税事项办理</w:t>
            </w:r>
          </w:p>
        </w:tc>
        <w:tc>
          <w:tcPr>
            <w:tcW w:w="1316" w:type="dxa"/>
            <w:vMerge w:val="restart"/>
            <w:vAlign w:val="center"/>
          </w:tcPr>
          <w:p w:rsidR="00013EC7" w:rsidRDefault="00575CDB">
            <w:pPr>
              <w:jc w:val="center"/>
              <w:rPr>
                <w:rFonts w:ascii="仿宋" w:eastAsia="仿宋" w:hAnsi="仿宋" w:cs="仿宋"/>
                <w:kern w:val="1"/>
                <w:sz w:val="24"/>
              </w:rPr>
            </w:pPr>
            <w:r>
              <w:rPr>
                <w:rFonts w:ascii="仿宋" w:eastAsia="仿宋" w:hAnsi="仿宋" w:cs="仿宋" w:hint="eastAsia"/>
                <w:kern w:val="1"/>
                <w:sz w:val="24"/>
              </w:rPr>
              <w:t>29.7《委托出口货物证明》开具</w:t>
            </w:r>
          </w:p>
        </w:tc>
        <w:tc>
          <w:tcPr>
            <w:tcW w:w="2114" w:type="dxa"/>
            <w:vMerge w:val="restart"/>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（一）</w:t>
            </w:r>
            <w:r>
              <w:rPr>
                <w:rFonts w:ascii="仿宋" w:eastAsia="仿宋" w:hAnsi="仿宋" w:cs="仿宋"/>
                <w:kern w:val="1"/>
                <w:sz w:val="24"/>
              </w:rPr>
              <w:t>《国家税务总局关于出口货物劳务增值税和消费税有关问题的公告》（国家税务总局公告2013年第65号）</w:t>
            </w:r>
            <w:r>
              <w:rPr>
                <w:rFonts w:ascii="仿宋" w:eastAsia="仿宋" w:hAnsi="仿宋" w:cs="仿宋" w:hint="eastAsia"/>
                <w:kern w:val="1"/>
                <w:sz w:val="24"/>
              </w:rPr>
              <w:t>第十一条</w:t>
            </w:r>
            <w:r>
              <w:rPr>
                <w:rFonts w:ascii="仿宋" w:eastAsia="仿宋" w:hAnsi="仿宋" w:cs="仿宋"/>
                <w:kern w:val="1"/>
                <w:sz w:val="24"/>
              </w:rPr>
              <w:t>。</w:t>
            </w:r>
          </w:p>
          <w:p w:rsidR="00013EC7" w:rsidRDefault="00575CDB">
            <w:pPr>
              <w:rPr>
                <w:rFonts w:ascii="仿宋" w:eastAsia="仿宋" w:hAnsi="仿宋" w:cs="仿宋"/>
                <w:kern w:val="1"/>
                <w:sz w:val="24"/>
              </w:rPr>
            </w:pPr>
            <w:r>
              <w:rPr>
                <w:rFonts w:ascii="仿宋" w:eastAsia="仿宋" w:hAnsi="仿宋" w:cs="仿宋" w:hint="eastAsia"/>
                <w:kern w:val="1"/>
                <w:sz w:val="24"/>
              </w:rPr>
              <w:t>（二）《浙江省国家税务局关于出口退（免）税无纸化申报的公告》（浙江省国家税务局公告</w:t>
            </w:r>
            <w:r>
              <w:rPr>
                <w:rFonts w:ascii="仿宋" w:eastAsia="仿宋" w:hAnsi="仿宋" w:cs="仿宋"/>
                <w:kern w:val="1"/>
                <w:sz w:val="24"/>
              </w:rPr>
              <w:t>2015</w:t>
            </w:r>
            <w:r>
              <w:rPr>
                <w:rFonts w:ascii="仿宋" w:eastAsia="仿宋" w:hAnsi="仿宋" w:cs="仿宋" w:hint="eastAsia"/>
                <w:kern w:val="1"/>
                <w:sz w:val="24"/>
              </w:rPr>
              <w:t>年第</w:t>
            </w:r>
            <w:r>
              <w:rPr>
                <w:rFonts w:ascii="仿宋" w:eastAsia="仿宋" w:hAnsi="仿宋" w:cs="仿宋"/>
                <w:kern w:val="1"/>
                <w:sz w:val="24"/>
              </w:rPr>
              <w:t>9</w:t>
            </w:r>
            <w:r>
              <w:rPr>
                <w:rFonts w:ascii="仿宋" w:eastAsia="仿宋" w:hAnsi="仿宋" w:cs="仿宋" w:hint="eastAsia"/>
                <w:kern w:val="1"/>
                <w:sz w:val="24"/>
              </w:rPr>
              <w:t>号）全文。</w:t>
            </w:r>
          </w:p>
          <w:p w:rsidR="00013EC7" w:rsidRDefault="00575CDB">
            <w:pPr>
              <w:rPr>
                <w:rFonts w:ascii="仿宋" w:eastAsia="仿宋" w:hAnsi="仿宋" w:cs="仿宋"/>
                <w:kern w:val="1"/>
                <w:sz w:val="24"/>
              </w:rPr>
            </w:pPr>
            <w:r>
              <w:rPr>
                <w:rFonts w:ascii="仿宋" w:eastAsia="仿宋" w:hAnsi="仿宋" w:cs="仿宋" w:hint="eastAsia"/>
                <w:kern w:val="1"/>
                <w:sz w:val="24"/>
              </w:rPr>
              <w:t>（三）</w:t>
            </w:r>
            <w:r>
              <w:rPr>
                <w:rFonts w:ascii="仿宋" w:eastAsia="仿宋" w:hAnsi="仿宋" w:cs="仿宋"/>
                <w:kern w:val="1"/>
                <w:sz w:val="24"/>
              </w:rPr>
              <w:t>《国家税务总局关于出口退（免）税有关问题的公告》（国家税务总局公告2015年第29号）</w:t>
            </w:r>
            <w:r>
              <w:rPr>
                <w:rFonts w:ascii="仿宋" w:eastAsia="仿宋" w:hAnsi="仿宋" w:cs="仿宋" w:hint="eastAsia"/>
                <w:kern w:val="1"/>
                <w:sz w:val="24"/>
              </w:rPr>
              <w:t>第三条</w:t>
            </w:r>
            <w:r>
              <w:rPr>
                <w:rFonts w:ascii="仿宋" w:eastAsia="仿宋" w:hAnsi="仿宋" w:cs="仿宋"/>
                <w:kern w:val="1"/>
                <w:sz w:val="24"/>
              </w:rPr>
              <w:t>。</w:t>
            </w:r>
          </w:p>
          <w:p w:rsidR="00013EC7" w:rsidRDefault="00013EC7">
            <w:pPr>
              <w:rPr>
                <w:shd w:val="clear" w:color="FFFFFF" w:fill="D9D9D9"/>
              </w:rPr>
            </w:pPr>
          </w:p>
        </w:tc>
        <w:tc>
          <w:tcPr>
            <w:tcW w:w="2785" w:type="dxa"/>
            <w:tcBorders>
              <w:top w:val="single" w:sz="4" w:space="0" w:color="auto"/>
              <w:bottom w:val="single" w:sz="4" w:space="0" w:color="auto"/>
            </w:tcBorders>
            <w:vAlign w:val="center"/>
          </w:tcPr>
          <w:p w:rsidR="00013EC7" w:rsidRDefault="00575CDB">
            <w:pPr>
              <w:rPr>
                <w:rFonts w:ascii="仿宋" w:eastAsia="仿宋" w:hAnsi="仿宋" w:cs="仿宋"/>
                <w:kern w:val="1"/>
                <w:sz w:val="24"/>
              </w:rPr>
            </w:pPr>
            <w:r>
              <w:rPr>
                <w:rFonts w:ascii="仿宋" w:eastAsia="仿宋" w:hAnsi="仿宋" w:cs="仿宋"/>
                <w:kern w:val="1"/>
                <w:sz w:val="24"/>
              </w:rPr>
              <w:t>（一）</w:t>
            </w:r>
            <w:r>
              <w:rPr>
                <w:rFonts w:ascii="仿宋" w:eastAsia="仿宋" w:hAnsi="仿宋" w:cs="仿宋" w:hint="eastAsia"/>
                <w:kern w:val="1"/>
                <w:sz w:val="24"/>
              </w:rPr>
              <w:t>（A05066）《委托出口货物证明》及相应的电子数据。</w:t>
            </w:r>
          </w:p>
        </w:tc>
        <w:tc>
          <w:tcPr>
            <w:tcW w:w="1118" w:type="dxa"/>
            <w:vMerge w:val="restart"/>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kern w:val="1"/>
                <w:sz w:val="24"/>
              </w:rPr>
              <w:t>委托出口国家取消出口退税货物的</w:t>
            </w:r>
            <w:r>
              <w:rPr>
                <w:rFonts w:ascii="仿宋" w:eastAsia="仿宋" w:hAnsi="仿宋" w:cs="仿宋" w:hint="eastAsia"/>
                <w:sz w:val="24"/>
              </w:rPr>
              <w:t>出口企业纳税人提交</w:t>
            </w:r>
          </w:p>
        </w:tc>
        <w:tc>
          <w:tcPr>
            <w:tcW w:w="2403" w:type="dxa"/>
            <w:vAlign w:val="center"/>
          </w:tcPr>
          <w:p w:rsidR="00013EC7" w:rsidRDefault="00575CDB">
            <w:pPr>
              <w:rPr>
                <w:rFonts w:ascii="仿宋" w:eastAsia="仿宋" w:hAnsi="仿宋" w:cs="仿宋"/>
                <w:kern w:val="1"/>
                <w:sz w:val="24"/>
              </w:rPr>
            </w:pPr>
            <w:r>
              <w:rPr>
                <w:rFonts w:ascii="仿宋" w:eastAsia="仿宋" w:hAnsi="仿宋" w:cs="仿宋"/>
                <w:kern w:val="1"/>
                <w:sz w:val="24"/>
              </w:rPr>
              <w:t>（一）</w:t>
            </w:r>
            <w:r>
              <w:rPr>
                <w:rFonts w:ascii="仿宋" w:eastAsia="仿宋" w:hAnsi="仿宋" w:cs="仿宋" w:hint="eastAsia"/>
                <w:kern w:val="1"/>
                <w:sz w:val="24"/>
              </w:rPr>
              <w:t>（A05066）《委托出口货物证明》1份及相应的电子数据。</w:t>
            </w:r>
          </w:p>
        </w:tc>
        <w:tc>
          <w:tcPr>
            <w:tcW w:w="1196" w:type="dxa"/>
            <w:vMerge w:val="restart"/>
            <w:vAlign w:val="center"/>
          </w:tcPr>
          <w:p w:rsidR="00013EC7" w:rsidRDefault="00575CDB">
            <w:pPr>
              <w:jc w:val="center"/>
              <w:rPr>
                <w:rFonts w:ascii="仿宋" w:eastAsia="仿宋" w:hAnsi="仿宋" w:cs="仿宋"/>
                <w:sz w:val="24"/>
              </w:rPr>
            </w:pPr>
            <w:r>
              <w:rPr>
                <w:rFonts w:ascii="仿宋" w:eastAsia="仿宋" w:hAnsi="仿宋" w:cs="仿宋" w:hint="eastAsia"/>
                <w:kern w:val="1"/>
                <w:sz w:val="24"/>
              </w:rPr>
              <w:t>委托出口国家取消出口退税货物的</w:t>
            </w:r>
            <w:r>
              <w:rPr>
                <w:rFonts w:ascii="仿宋" w:eastAsia="仿宋" w:hAnsi="仿宋" w:cs="仿宋" w:hint="eastAsia"/>
                <w:sz w:val="24"/>
              </w:rPr>
              <w:t>出口企业纳税人提交</w:t>
            </w:r>
          </w:p>
          <w:p w:rsidR="00013EC7" w:rsidRDefault="00013EC7">
            <w:pPr>
              <w:jc w:val="center"/>
              <w:rPr>
                <w:rFonts w:ascii="仿宋" w:eastAsia="仿宋" w:hAnsi="仿宋" w:cs="仿宋"/>
                <w:b/>
                <w:bCs/>
                <w:i/>
                <w:iCs/>
                <w:sz w:val="24"/>
                <w:highlight w:val="yellow"/>
              </w:rPr>
            </w:pPr>
          </w:p>
        </w:tc>
        <w:tc>
          <w:tcPr>
            <w:tcW w:w="3318" w:type="dxa"/>
            <w:vAlign w:val="center"/>
          </w:tcPr>
          <w:p w:rsidR="00013EC7" w:rsidRDefault="00575CDB">
            <w:pPr>
              <w:spacing w:line="300" w:lineRule="exact"/>
              <w:rPr>
                <w:rFonts w:ascii="仿宋" w:eastAsia="仿宋" w:hAnsi="仿宋" w:cs="仿宋"/>
                <w:sz w:val="24"/>
                <w:highlight w:val="yellow"/>
              </w:rPr>
            </w:pPr>
            <w:r>
              <w:rPr>
                <w:rFonts w:ascii="仿宋" w:eastAsia="仿宋" w:hAnsi="仿宋" w:cs="仿宋" w:hint="eastAsia"/>
                <w:b/>
                <w:sz w:val="24"/>
              </w:rPr>
              <w:t>现场办理：</w:t>
            </w:r>
            <w:r>
              <w:rPr>
                <w:rFonts w:ascii="仿宋" w:eastAsia="仿宋" w:hAnsi="仿宋" w:cs="仿宋" w:hint="eastAsia"/>
                <w:sz w:val="24"/>
              </w:rPr>
              <w:t>纳税人提交书面材料（无纸化企业留存备查）。</w:t>
            </w:r>
            <w:r>
              <w:rPr>
                <w:rFonts w:ascii="仿宋" w:eastAsia="仿宋" w:hAnsi="仿宋" w:cs="仿宋" w:hint="eastAsia"/>
                <w:b/>
                <w:sz w:val="24"/>
              </w:rPr>
              <w:t>网上办理：</w:t>
            </w:r>
            <w:r>
              <w:rPr>
                <w:rFonts w:ascii="仿宋" w:eastAsia="仿宋" w:hAnsi="仿宋" w:cs="仿宋" w:hint="eastAsia"/>
                <w:sz w:val="24"/>
              </w:rPr>
              <w:t>登录浙江省国家税务局电子税务局提交电子数据。</w:t>
            </w:r>
          </w:p>
        </w:tc>
        <w:tc>
          <w:tcPr>
            <w:tcW w:w="868" w:type="dxa"/>
            <w:vMerge w:val="restart"/>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sz w:val="24"/>
              </w:rPr>
              <w:t>即时办结</w:t>
            </w:r>
          </w:p>
        </w:tc>
        <w:tc>
          <w:tcPr>
            <w:tcW w:w="798" w:type="dxa"/>
            <w:vMerge w:val="restart"/>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sz w:val="24"/>
              </w:rPr>
              <w:t>即时办结</w:t>
            </w:r>
          </w:p>
        </w:tc>
        <w:tc>
          <w:tcPr>
            <w:tcW w:w="958" w:type="dxa"/>
            <w:vMerge w:val="restart"/>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sz w:val="24"/>
              </w:rPr>
              <w:t>无纸化企业已实现跑零次</w:t>
            </w:r>
          </w:p>
        </w:tc>
        <w:tc>
          <w:tcPr>
            <w:tcW w:w="1104" w:type="dxa"/>
            <w:vMerge w:val="restart"/>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sz w:val="24"/>
              </w:rPr>
              <w:t>进出口处</w:t>
            </w:r>
          </w:p>
        </w:tc>
        <w:tc>
          <w:tcPr>
            <w:tcW w:w="1476" w:type="dxa"/>
            <w:vMerge w:val="restart"/>
            <w:vAlign w:val="center"/>
          </w:tcPr>
          <w:p w:rsidR="00013EC7" w:rsidRDefault="00013EC7">
            <w:pPr>
              <w:spacing w:line="300" w:lineRule="exact"/>
              <w:rPr>
                <w:rFonts w:ascii="仿宋" w:eastAsia="仿宋" w:hAnsi="仿宋" w:cs="仿宋"/>
                <w:sz w:val="24"/>
              </w:rPr>
            </w:pPr>
          </w:p>
        </w:tc>
      </w:tr>
      <w:tr w:rsidR="00013EC7">
        <w:trPr>
          <w:trHeight w:val="1699"/>
          <w:jc w:val="center"/>
        </w:trPr>
        <w:tc>
          <w:tcPr>
            <w:tcW w:w="1250" w:type="dxa"/>
            <w:vMerge/>
            <w:textDirection w:val="tbRlV"/>
            <w:vAlign w:val="center"/>
          </w:tcPr>
          <w:p w:rsidR="00013EC7" w:rsidRDefault="00013EC7">
            <w:pPr>
              <w:rPr>
                <w:rFonts w:ascii="仿宋" w:eastAsia="仿宋" w:hAnsi="仿宋" w:cs="仿宋"/>
                <w:sz w:val="24"/>
              </w:rPr>
            </w:pPr>
          </w:p>
        </w:tc>
        <w:tc>
          <w:tcPr>
            <w:tcW w:w="1316" w:type="dxa"/>
            <w:vMerge/>
            <w:vAlign w:val="center"/>
          </w:tcPr>
          <w:p w:rsidR="00013EC7" w:rsidRDefault="00013EC7">
            <w:pPr>
              <w:rPr>
                <w:rFonts w:ascii="仿宋" w:eastAsia="仿宋" w:hAnsi="仿宋" w:cs="仿宋"/>
                <w:sz w:val="24"/>
              </w:rPr>
            </w:pPr>
          </w:p>
        </w:tc>
        <w:tc>
          <w:tcPr>
            <w:tcW w:w="2114" w:type="dxa"/>
            <w:vMerge/>
            <w:vAlign w:val="center"/>
          </w:tcPr>
          <w:p w:rsidR="00013EC7" w:rsidRDefault="00013EC7">
            <w:pPr>
              <w:rPr>
                <w:rFonts w:ascii="仿宋" w:eastAsia="仿宋" w:hAnsi="仿宋" w:cs="仿宋"/>
                <w:sz w:val="24"/>
              </w:rPr>
            </w:pPr>
          </w:p>
        </w:tc>
        <w:tc>
          <w:tcPr>
            <w:tcW w:w="2785" w:type="dxa"/>
            <w:tcBorders>
              <w:top w:val="single" w:sz="4" w:space="0" w:color="auto"/>
            </w:tcBorders>
            <w:vAlign w:val="center"/>
          </w:tcPr>
          <w:p w:rsidR="00013EC7" w:rsidRDefault="00575CDB">
            <w:pPr>
              <w:rPr>
                <w:rFonts w:ascii="仿宋" w:eastAsia="仿宋" w:hAnsi="仿宋" w:cs="仿宋"/>
                <w:kern w:val="1"/>
                <w:sz w:val="24"/>
              </w:rPr>
            </w:pPr>
            <w:r>
              <w:rPr>
                <w:rFonts w:ascii="仿宋" w:eastAsia="仿宋" w:hAnsi="仿宋" w:cs="仿宋"/>
                <w:kern w:val="1"/>
                <w:sz w:val="24"/>
              </w:rPr>
              <w:t>（二）</w:t>
            </w:r>
            <w:r>
              <w:rPr>
                <w:rFonts w:ascii="仿宋" w:eastAsia="仿宋" w:hAnsi="仿宋" w:cs="仿宋" w:hint="eastAsia"/>
                <w:kern w:val="1"/>
                <w:sz w:val="24"/>
              </w:rPr>
              <w:t>委托代理出口协议原件及复印件（注明与原件一致，并加盖公章）。</w:t>
            </w:r>
          </w:p>
        </w:tc>
        <w:tc>
          <w:tcPr>
            <w:tcW w:w="1118" w:type="dxa"/>
            <w:vMerge/>
            <w:vAlign w:val="center"/>
          </w:tcPr>
          <w:p w:rsidR="00013EC7" w:rsidRDefault="00013EC7">
            <w:pPr>
              <w:spacing w:line="300" w:lineRule="exact"/>
              <w:jc w:val="center"/>
              <w:rPr>
                <w:rFonts w:ascii="仿宋" w:eastAsia="仿宋" w:hAnsi="仿宋" w:cs="仿宋"/>
                <w:sz w:val="24"/>
              </w:rPr>
            </w:pPr>
          </w:p>
        </w:tc>
        <w:tc>
          <w:tcPr>
            <w:tcW w:w="2403" w:type="dxa"/>
            <w:vAlign w:val="center"/>
          </w:tcPr>
          <w:p w:rsidR="00013EC7" w:rsidRDefault="00575CDB">
            <w:pPr>
              <w:rPr>
                <w:rFonts w:ascii="仿宋" w:eastAsia="仿宋" w:hAnsi="仿宋" w:cs="仿宋"/>
                <w:kern w:val="1"/>
                <w:sz w:val="24"/>
              </w:rPr>
            </w:pPr>
            <w:r>
              <w:rPr>
                <w:rFonts w:ascii="仿宋" w:eastAsia="仿宋" w:hAnsi="仿宋" w:cs="仿宋"/>
                <w:kern w:val="1"/>
                <w:sz w:val="24"/>
              </w:rPr>
              <w:t>（二）</w:t>
            </w:r>
            <w:r>
              <w:rPr>
                <w:rFonts w:ascii="仿宋" w:eastAsia="仿宋" w:hAnsi="仿宋" w:cs="仿宋" w:hint="eastAsia"/>
                <w:kern w:val="1"/>
                <w:sz w:val="24"/>
              </w:rPr>
              <w:t>委托代理出口协议原件及复印件（注明与原件一致，并加盖公章）1份。</w:t>
            </w:r>
          </w:p>
        </w:tc>
        <w:tc>
          <w:tcPr>
            <w:tcW w:w="1196" w:type="dxa"/>
            <w:vMerge/>
            <w:vAlign w:val="center"/>
          </w:tcPr>
          <w:p w:rsidR="00013EC7" w:rsidRDefault="00013EC7">
            <w:pPr>
              <w:jc w:val="center"/>
              <w:rPr>
                <w:rFonts w:ascii="仿宋" w:eastAsia="仿宋" w:hAnsi="仿宋" w:cs="仿宋"/>
                <w:sz w:val="24"/>
              </w:rPr>
            </w:pPr>
          </w:p>
        </w:tc>
        <w:tc>
          <w:tcPr>
            <w:tcW w:w="3318"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纳税人提交书面材料（无纸化企业留存备查）。</w:t>
            </w:r>
          </w:p>
        </w:tc>
        <w:tc>
          <w:tcPr>
            <w:tcW w:w="868" w:type="dxa"/>
            <w:vMerge/>
            <w:vAlign w:val="center"/>
          </w:tcPr>
          <w:p w:rsidR="00013EC7" w:rsidRDefault="00013EC7">
            <w:pPr>
              <w:rPr>
                <w:rFonts w:ascii="仿宋" w:eastAsia="仿宋" w:hAnsi="仿宋" w:cs="仿宋"/>
                <w:sz w:val="24"/>
              </w:rPr>
            </w:pPr>
          </w:p>
        </w:tc>
        <w:tc>
          <w:tcPr>
            <w:tcW w:w="798" w:type="dxa"/>
            <w:vMerge/>
            <w:vAlign w:val="center"/>
          </w:tcPr>
          <w:p w:rsidR="00013EC7" w:rsidRDefault="00013EC7">
            <w:pPr>
              <w:rPr>
                <w:rFonts w:ascii="仿宋" w:eastAsia="仿宋" w:hAnsi="仿宋" w:cs="仿宋"/>
                <w:sz w:val="24"/>
              </w:rPr>
            </w:pP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2189"/>
          <w:jc w:val="center"/>
        </w:trPr>
        <w:tc>
          <w:tcPr>
            <w:tcW w:w="1250" w:type="dxa"/>
            <w:vMerge/>
            <w:tcBorders>
              <w:bottom w:val="single" w:sz="8" w:space="0" w:color="auto"/>
            </w:tcBorders>
            <w:textDirection w:val="tbRlV"/>
            <w:vAlign w:val="center"/>
          </w:tcPr>
          <w:p w:rsidR="00013EC7" w:rsidRDefault="00013EC7">
            <w:pPr>
              <w:rPr>
                <w:rFonts w:ascii="仿宋" w:eastAsia="仿宋" w:hAnsi="仿宋" w:cs="仿宋"/>
                <w:sz w:val="24"/>
              </w:rPr>
            </w:pPr>
          </w:p>
        </w:tc>
        <w:tc>
          <w:tcPr>
            <w:tcW w:w="1316" w:type="dxa"/>
            <w:vMerge/>
            <w:tcBorders>
              <w:bottom w:val="single" w:sz="8" w:space="0" w:color="auto"/>
            </w:tcBorders>
            <w:vAlign w:val="center"/>
          </w:tcPr>
          <w:p w:rsidR="00013EC7" w:rsidRDefault="00013EC7">
            <w:pPr>
              <w:rPr>
                <w:rFonts w:ascii="仿宋" w:eastAsia="仿宋" w:hAnsi="仿宋" w:cs="仿宋"/>
                <w:sz w:val="24"/>
              </w:rPr>
            </w:pPr>
          </w:p>
        </w:tc>
        <w:tc>
          <w:tcPr>
            <w:tcW w:w="2114" w:type="dxa"/>
            <w:vMerge/>
            <w:tcBorders>
              <w:bottom w:val="single" w:sz="8" w:space="0" w:color="auto"/>
            </w:tcBorders>
            <w:vAlign w:val="center"/>
          </w:tcPr>
          <w:p w:rsidR="00013EC7" w:rsidRDefault="00013EC7">
            <w:pPr>
              <w:rPr>
                <w:rFonts w:ascii="仿宋" w:eastAsia="仿宋" w:hAnsi="仿宋" w:cs="仿宋"/>
                <w:sz w:val="24"/>
              </w:rPr>
            </w:pPr>
          </w:p>
        </w:tc>
        <w:tc>
          <w:tcPr>
            <w:tcW w:w="2785" w:type="dxa"/>
            <w:tcBorders>
              <w:bottom w:val="single" w:sz="8" w:space="0" w:color="auto"/>
            </w:tcBorders>
            <w:vAlign w:val="center"/>
          </w:tcPr>
          <w:p w:rsidR="00013EC7" w:rsidRDefault="00013EC7">
            <w:pPr>
              <w:rPr>
                <w:rFonts w:ascii="仿宋" w:eastAsia="仿宋" w:hAnsi="仿宋" w:cs="仿宋"/>
                <w:kern w:val="1"/>
                <w:sz w:val="24"/>
              </w:rPr>
            </w:pPr>
          </w:p>
        </w:tc>
        <w:tc>
          <w:tcPr>
            <w:tcW w:w="1118" w:type="dxa"/>
            <w:vMerge/>
            <w:tcBorders>
              <w:bottom w:val="single" w:sz="8" w:space="0" w:color="auto"/>
            </w:tcBorders>
            <w:vAlign w:val="center"/>
          </w:tcPr>
          <w:p w:rsidR="00013EC7" w:rsidRDefault="00013EC7">
            <w:pPr>
              <w:rPr>
                <w:rFonts w:ascii="仿宋" w:eastAsia="仿宋" w:hAnsi="仿宋" w:cs="仿宋"/>
                <w:sz w:val="24"/>
              </w:rPr>
            </w:pPr>
          </w:p>
        </w:tc>
        <w:tc>
          <w:tcPr>
            <w:tcW w:w="2403" w:type="dxa"/>
            <w:tcBorders>
              <w:bottom w:val="single" w:sz="8" w:space="0" w:color="auto"/>
            </w:tcBorders>
            <w:vAlign w:val="center"/>
          </w:tcPr>
          <w:p w:rsidR="00013EC7" w:rsidRDefault="00575CDB">
            <w:pPr>
              <w:rPr>
                <w:rFonts w:ascii="仿宋" w:eastAsia="仿宋" w:hAnsi="仿宋" w:cs="仿宋"/>
                <w:kern w:val="1"/>
                <w:sz w:val="24"/>
              </w:rPr>
            </w:pPr>
            <w:r>
              <w:rPr>
                <w:rFonts w:ascii="仿宋" w:eastAsia="仿宋" w:hAnsi="仿宋" w:cs="仿宋"/>
                <w:kern w:val="1"/>
                <w:sz w:val="24"/>
              </w:rPr>
              <w:t>（三）</w:t>
            </w:r>
            <w:r>
              <w:rPr>
                <w:rFonts w:ascii="仿宋" w:eastAsia="仿宋" w:hAnsi="仿宋" w:cs="仿宋" w:hint="eastAsia"/>
                <w:kern w:val="1"/>
                <w:sz w:val="24"/>
              </w:rPr>
              <w:t>受托方税务登记证副本复印件（三证合一的提供营业执照副本复印件，注明与原件一致，并加盖公章）。</w:t>
            </w:r>
          </w:p>
        </w:tc>
        <w:tc>
          <w:tcPr>
            <w:tcW w:w="1196" w:type="dxa"/>
            <w:vMerge/>
            <w:tcBorders>
              <w:bottom w:val="single" w:sz="8" w:space="0" w:color="auto"/>
            </w:tcBorders>
            <w:vAlign w:val="center"/>
          </w:tcPr>
          <w:p w:rsidR="00013EC7" w:rsidRDefault="00013EC7">
            <w:pPr>
              <w:spacing w:line="300" w:lineRule="exact"/>
              <w:jc w:val="center"/>
              <w:rPr>
                <w:rFonts w:ascii="仿宋" w:eastAsia="仿宋" w:hAnsi="仿宋" w:cs="仿宋"/>
                <w:b/>
                <w:i/>
                <w:sz w:val="24"/>
              </w:rPr>
            </w:pPr>
          </w:p>
        </w:tc>
        <w:tc>
          <w:tcPr>
            <w:tcW w:w="3318" w:type="dxa"/>
            <w:tcBorders>
              <w:bottom w:val="single" w:sz="8" w:space="0" w:color="auto"/>
            </w:tcBorders>
            <w:vAlign w:val="center"/>
          </w:tcPr>
          <w:p w:rsidR="00013EC7" w:rsidRDefault="00575CDB">
            <w:pPr>
              <w:spacing w:line="300" w:lineRule="exac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纳税人提交书面材料（无纸化企业留存备查）。</w:t>
            </w:r>
          </w:p>
        </w:tc>
        <w:tc>
          <w:tcPr>
            <w:tcW w:w="868" w:type="dxa"/>
            <w:vMerge/>
            <w:tcBorders>
              <w:bottom w:val="single" w:sz="8" w:space="0" w:color="auto"/>
            </w:tcBorders>
            <w:vAlign w:val="center"/>
          </w:tcPr>
          <w:p w:rsidR="00013EC7" w:rsidRDefault="00013EC7">
            <w:pPr>
              <w:rPr>
                <w:rFonts w:ascii="仿宋" w:eastAsia="仿宋" w:hAnsi="仿宋" w:cs="仿宋"/>
                <w:sz w:val="24"/>
              </w:rPr>
            </w:pPr>
          </w:p>
        </w:tc>
        <w:tc>
          <w:tcPr>
            <w:tcW w:w="798" w:type="dxa"/>
            <w:vMerge/>
            <w:tcBorders>
              <w:bottom w:val="single" w:sz="8" w:space="0" w:color="auto"/>
            </w:tcBorders>
            <w:vAlign w:val="center"/>
          </w:tcPr>
          <w:p w:rsidR="00013EC7" w:rsidRDefault="00013EC7">
            <w:pPr>
              <w:rPr>
                <w:rFonts w:ascii="仿宋" w:eastAsia="仿宋" w:hAnsi="仿宋" w:cs="仿宋"/>
                <w:sz w:val="24"/>
              </w:rPr>
            </w:pPr>
          </w:p>
        </w:tc>
        <w:tc>
          <w:tcPr>
            <w:tcW w:w="958" w:type="dxa"/>
            <w:vMerge/>
            <w:tcBorders>
              <w:bottom w:val="single" w:sz="8" w:space="0" w:color="auto"/>
            </w:tcBorders>
            <w:vAlign w:val="center"/>
          </w:tcPr>
          <w:p w:rsidR="00013EC7" w:rsidRDefault="00013EC7">
            <w:pPr>
              <w:rPr>
                <w:rFonts w:ascii="仿宋" w:eastAsia="仿宋" w:hAnsi="仿宋" w:cs="仿宋"/>
                <w:sz w:val="24"/>
              </w:rPr>
            </w:pPr>
          </w:p>
        </w:tc>
        <w:tc>
          <w:tcPr>
            <w:tcW w:w="1104" w:type="dxa"/>
            <w:vMerge/>
            <w:tcBorders>
              <w:bottom w:val="single" w:sz="8" w:space="0" w:color="auto"/>
            </w:tcBorders>
            <w:vAlign w:val="center"/>
          </w:tcPr>
          <w:p w:rsidR="00013EC7" w:rsidRDefault="00013EC7">
            <w:pPr>
              <w:rPr>
                <w:rFonts w:ascii="仿宋" w:eastAsia="仿宋" w:hAnsi="仿宋" w:cs="仿宋"/>
                <w:sz w:val="24"/>
              </w:rPr>
            </w:pPr>
          </w:p>
        </w:tc>
        <w:tc>
          <w:tcPr>
            <w:tcW w:w="1476" w:type="dxa"/>
            <w:vMerge/>
            <w:tcBorders>
              <w:bottom w:val="single" w:sz="8" w:space="0" w:color="auto"/>
            </w:tcBorders>
            <w:vAlign w:val="center"/>
          </w:tcPr>
          <w:p w:rsidR="00013EC7" w:rsidRDefault="00013EC7">
            <w:pPr>
              <w:rPr>
                <w:rFonts w:ascii="仿宋" w:eastAsia="仿宋" w:hAnsi="仿宋" w:cs="仿宋"/>
                <w:sz w:val="24"/>
              </w:rPr>
            </w:pPr>
          </w:p>
        </w:tc>
      </w:tr>
    </w:tbl>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575CDB">
      <w:pPr>
        <w:jc w:val="center"/>
        <w:rPr>
          <w:rFonts w:eastAsia="方正书宋简体"/>
          <w:szCs w:val="21"/>
        </w:rPr>
      </w:pPr>
      <w:r>
        <w:object w:dxaOrig="8227" w:dyaOrig="11563">
          <v:shape id="_x0000_i1208" type="#_x0000_t75" style="width:411.35pt;height:578.15pt" o:ole="">
            <v:imagedata r:id="rId486" o:title=""/>
          </v:shape>
          <o:OLEObject Type="Embed" ProgID="Visio.Drawing.11" ShapeID="_x0000_i1208" DrawAspect="Content" ObjectID="_1577296128" r:id="rId487"/>
        </w:object>
      </w:r>
      <w:r>
        <w:object w:dxaOrig="8184" w:dyaOrig="11392">
          <v:shape id="_x0000_i1209" type="#_x0000_t75" style="width:409.6pt;height:569.6pt" o:ole="">
            <v:imagedata r:id="rId488" o:title=""/>
          </v:shape>
          <o:OLEObject Type="Embed" ProgID="Visio.Drawing.11" ShapeID="_x0000_i1209" DrawAspect="Content" ObjectID="_1577296129" r:id="rId489"/>
        </w:object>
      </w:r>
    </w:p>
    <w:p w:rsidR="00013EC7" w:rsidRDefault="00013EC7">
      <w:pPr>
        <w:rPr>
          <w:rFonts w:ascii="宋体" w:hAnsi="宋体" w:cs="仿宋"/>
          <w:sz w:val="28"/>
          <w:szCs w:val="28"/>
        </w:rPr>
      </w:pPr>
    </w:p>
    <w:p w:rsidR="00013EC7" w:rsidRDefault="00575CDB">
      <w:pPr>
        <w:pStyle w:val="2"/>
      </w:pPr>
      <w:bookmarkStart w:id="606" w:name="_Toc20005"/>
      <w:bookmarkStart w:id="607" w:name="_Toc19985"/>
      <w:bookmarkStart w:id="608" w:name="_Toc32317"/>
      <w:bookmarkStart w:id="609" w:name="_Toc503467489"/>
      <w:r>
        <w:rPr>
          <w:rFonts w:hint="eastAsia"/>
        </w:rPr>
        <w:lastRenderedPageBreak/>
        <w:t>29.8</w:t>
      </w:r>
      <w:r>
        <w:rPr>
          <w:rFonts w:hint="eastAsia"/>
        </w:rPr>
        <w:t>《代理出口货物证明》开具</w:t>
      </w:r>
      <w:bookmarkEnd w:id="606"/>
      <w:bookmarkEnd w:id="607"/>
      <w:bookmarkEnd w:id="608"/>
      <w:bookmarkEnd w:id="609"/>
    </w:p>
    <w:p w:rsidR="00013EC7" w:rsidRDefault="00575CDB">
      <w:pPr>
        <w:jc w:val="center"/>
        <w:rPr>
          <w:rFonts w:ascii="宋体" w:hAnsi="宋体" w:cs="宋体"/>
          <w:b/>
          <w:bCs/>
          <w:sz w:val="52"/>
          <w:szCs w:val="52"/>
        </w:rPr>
      </w:pPr>
      <w:r>
        <w:rPr>
          <w:rFonts w:ascii="宋体" w:hAnsi="宋体" w:cs="宋体" w:hint="eastAsia"/>
          <w:b/>
          <w:bCs/>
          <w:sz w:val="52"/>
          <w:szCs w:val="52"/>
        </w:rPr>
        <w:t>全省“最多跑一次”事项“八统一”梳理表</w:t>
      </w:r>
    </w:p>
    <w:p w:rsidR="00013EC7" w:rsidRDefault="00013EC7">
      <w:pPr>
        <w:rPr>
          <w:rFonts w:ascii="宋体" w:hAnsi="宋体" w:cs="宋体"/>
          <w:b/>
          <w:bCs/>
          <w:sz w:val="44"/>
          <w:szCs w:val="44"/>
        </w:rPr>
      </w:pPr>
    </w:p>
    <w:tbl>
      <w:tblPr>
        <w:tblW w:w="20838"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1250"/>
        <w:gridCol w:w="1316"/>
        <w:gridCol w:w="2114"/>
        <w:gridCol w:w="2785"/>
        <w:gridCol w:w="1118"/>
        <w:gridCol w:w="2537"/>
        <w:gridCol w:w="1196"/>
        <w:gridCol w:w="3318"/>
        <w:gridCol w:w="868"/>
        <w:gridCol w:w="789"/>
        <w:gridCol w:w="967"/>
        <w:gridCol w:w="1104"/>
        <w:gridCol w:w="1476"/>
      </w:tblGrid>
      <w:tr w:rsidR="00013EC7">
        <w:trPr>
          <w:trHeight w:val="340"/>
          <w:tblHeader/>
          <w:jc w:val="center"/>
        </w:trPr>
        <w:tc>
          <w:tcPr>
            <w:tcW w:w="1250"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主项名称</w:t>
            </w:r>
          </w:p>
        </w:tc>
        <w:tc>
          <w:tcPr>
            <w:tcW w:w="1316"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子项名称</w:t>
            </w:r>
          </w:p>
        </w:tc>
        <w:tc>
          <w:tcPr>
            <w:tcW w:w="2114"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经办依据</w:t>
            </w:r>
          </w:p>
        </w:tc>
        <w:tc>
          <w:tcPr>
            <w:tcW w:w="3903"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原经办所需材料</w:t>
            </w:r>
          </w:p>
        </w:tc>
        <w:tc>
          <w:tcPr>
            <w:tcW w:w="7051" w:type="dxa"/>
            <w:gridSpan w:val="3"/>
            <w:vAlign w:val="center"/>
          </w:tcPr>
          <w:p w:rsidR="00013EC7" w:rsidRDefault="00575CDB">
            <w:pPr>
              <w:spacing w:line="280" w:lineRule="exact"/>
              <w:jc w:val="center"/>
              <w:rPr>
                <w:rFonts w:ascii="黑体" w:eastAsia="黑体"/>
                <w:sz w:val="24"/>
              </w:rPr>
            </w:pPr>
            <w:r>
              <w:rPr>
                <w:rFonts w:ascii="黑体" w:eastAsia="黑体" w:hint="eastAsia"/>
                <w:sz w:val="24"/>
              </w:rPr>
              <w:t>梳理后经办所需材料</w:t>
            </w:r>
          </w:p>
        </w:tc>
        <w:tc>
          <w:tcPr>
            <w:tcW w:w="1657"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办理时限</w:t>
            </w:r>
          </w:p>
        </w:tc>
        <w:tc>
          <w:tcPr>
            <w:tcW w:w="967"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是否实现跑零次</w:t>
            </w:r>
          </w:p>
        </w:tc>
        <w:tc>
          <w:tcPr>
            <w:tcW w:w="1104"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省厅对口</w:t>
            </w:r>
          </w:p>
          <w:p w:rsidR="00013EC7" w:rsidRDefault="00575CDB">
            <w:pPr>
              <w:spacing w:line="280" w:lineRule="exact"/>
              <w:jc w:val="center"/>
              <w:rPr>
                <w:rFonts w:ascii="黑体" w:eastAsia="黑体"/>
                <w:sz w:val="24"/>
              </w:rPr>
            </w:pPr>
            <w:r>
              <w:rPr>
                <w:rFonts w:ascii="黑体" w:eastAsia="黑体" w:hint="eastAsia"/>
                <w:sz w:val="24"/>
              </w:rPr>
              <w:t>指导处室</w:t>
            </w:r>
          </w:p>
          <w:p w:rsidR="00013EC7" w:rsidRDefault="00575CDB">
            <w:pPr>
              <w:spacing w:line="280" w:lineRule="exact"/>
              <w:jc w:val="center"/>
              <w:rPr>
                <w:rFonts w:ascii="黑体" w:eastAsia="黑体"/>
                <w:sz w:val="24"/>
              </w:rPr>
            </w:pPr>
            <w:r>
              <w:rPr>
                <w:rFonts w:ascii="黑体" w:eastAsia="黑体" w:hint="eastAsia"/>
                <w:sz w:val="24"/>
              </w:rPr>
              <w:t>（单位）</w:t>
            </w:r>
          </w:p>
        </w:tc>
        <w:tc>
          <w:tcPr>
            <w:tcW w:w="1476"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进一步精简、</w:t>
            </w:r>
          </w:p>
          <w:p w:rsidR="00013EC7" w:rsidRDefault="00575CDB">
            <w:pPr>
              <w:spacing w:line="280" w:lineRule="exact"/>
              <w:jc w:val="center"/>
              <w:rPr>
                <w:rFonts w:ascii="黑体" w:eastAsia="黑体"/>
                <w:sz w:val="24"/>
              </w:rPr>
            </w:pPr>
            <w:r>
              <w:rPr>
                <w:rFonts w:ascii="黑体" w:eastAsia="黑体" w:hint="eastAsia"/>
                <w:sz w:val="24"/>
              </w:rPr>
              <w:t>规范建议</w:t>
            </w:r>
          </w:p>
        </w:tc>
      </w:tr>
      <w:tr w:rsidR="00013EC7">
        <w:trPr>
          <w:trHeight w:val="340"/>
          <w:tblHeader/>
          <w:jc w:val="center"/>
        </w:trPr>
        <w:tc>
          <w:tcPr>
            <w:tcW w:w="1250" w:type="dxa"/>
            <w:vMerge/>
            <w:vAlign w:val="center"/>
          </w:tcPr>
          <w:p w:rsidR="00013EC7" w:rsidRDefault="00013EC7">
            <w:pPr>
              <w:rPr>
                <w:sz w:val="24"/>
              </w:rPr>
            </w:pPr>
          </w:p>
        </w:tc>
        <w:tc>
          <w:tcPr>
            <w:tcW w:w="1316" w:type="dxa"/>
            <w:vMerge/>
          </w:tcPr>
          <w:p w:rsidR="00013EC7" w:rsidRDefault="00013EC7">
            <w:pPr>
              <w:rPr>
                <w:sz w:val="24"/>
              </w:rPr>
            </w:pPr>
          </w:p>
        </w:tc>
        <w:tc>
          <w:tcPr>
            <w:tcW w:w="2114" w:type="dxa"/>
            <w:vMerge/>
          </w:tcPr>
          <w:p w:rsidR="00013EC7" w:rsidRDefault="00013EC7">
            <w:pPr>
              <w:rPr>
                <w:sz w:val="24"/>
              </w:rPr>
            </w:pPr>
          </w:p>
        </w:tc>
        <w:tc>
          <w:tcPr>
            <w:tcW w:w="2785" w:type="dxa"/>
            <w:tcBorders>
              <w:bottom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118"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2537" w:type="dxa"/>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196"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3318" w:type="dxa"/>
            <w:vAlign w:val="center"/>
          </w:tcPr>
          <w:p w:rsidR="00013EC7" w:rsidRDefault="00575CDB">
            <w:pPr>
              <w:spacing w:line="280" w:lineRule="exact"/>
              <w:jc w:val="center"/>
              <w:rPr>
                <w:rFonts w:ascii="黑体" w:eastAsia="黑体"/>
                <w:sz w:val="24"/>
              </w:rPr>
            </w:pPr>
            <w:r>
              <w:rPr>
                <w:rFonts w:ascii="黑体" w:eastAsia="黑体" w:hint="eastAsia"/>
                <w:sz w:val="24"/>
              </w:rPr>
              <w:t>办理方式及材料</w:t>
            </w:r>
          </w:p>
          <w:p w:rsidR="00013EC7" w:rsidRDefault="00575CDB">
            <w:pPr>
              <w:spacing w:line="280" w:lineRule="exact"/>
              <w:jc w:val="center"/>
              <w:rPr>
                <w:rFonts w:ascii="黑体" w:eastAsia="黑体"/>
                <w:sz w:val="24"/>
              </w:rPr>
            </w:pPr>
            <w:r>
              <w:rPr>
                <w:rFonts w:ascii="黑体" w:eastAsia="黑体" w:hint="eastAsia"/>
                <w:sz w:val="24"/>
              </w:rPr>
              <w:t>信息获取方式说明</w:t>
            </w:r>
          </w:p>
        </w:tc>
        <w:tc>
          <w:tcPr>
            <w:tcW w:w="868" w:type="dxa"/>
            <w:vAlign w:val="center"/>
          </w:tcPr>
          <w:p w:rsidR="00013EC7" w:rsidRDefault="00575CDB">
            <w:pPr>
              <w:spacing w:line="280" w:lineRule="exact"/>
              <w:jc w:val="center"/>
              <w:rPr>
                <w:rFonts w:ascii="黑体" w:eastAsia="黑体"/>
                <w:sz w:val="24"/>
              </w:rPr>
            </w:pPr>
            <w:r>
              <w:rPr>
                <w:rFonts w:ascii="黑体" w:eastAsia="黑体" w:hint="eastAsia"/>
                <w:sz w:val="24"/>
              </w:rPr>
              <w:t>优化前</w:t>
            </w:r>
          </w:p>
        </w:tc>
        <w:tc>
          <w:tcPr>
            <w:tcW w:w="789" w:type="dxa"/>
            <w:vAlign w:val="center"/>
          </w:tcPr>
          <w:p w:rsidR="00013EC7" w:rsidRDefault="00575CDB">
            <w:pPr>
              <w:spacing w:line="280" w:lineRule="exact"/>
              <w:jc w:val="center"/>
              <w:rPr>
                <w:rFonts w:ascii="黑体" w:eastAsia="黑体"/>
                <w:sz w:val="24"/>
              </w:rPr>
            </w:pPr>
            <w:r>
              <w:rPr>
                <w:rFonts w:ascii="黑体" w:eastAsia="黑体" w:hint="eastAsia"/>
                <w:sz w:val="24"/>
              </w:rPr>
              <w:t>优化后</w:t>
            </w:r>
          </w:p>
        </w:tc>
        <w:tc>
          <w:tcPr>
            <w:tcW w:w="967" w:type="dxa"/>
            <w:vMerge/>
            <w:vAlign w:val="center"/>
          </w:tcPr>
          <w:p w:rsidR="00013EC7" w:rsidRDefault="00013EC7">
            <w:pPr>
              <w:rPr>
                <w:sz w:val="24"/>
              </w:rPr>
            </w:pPr>
          </w:p>
        </w:tc>
        <w:tc>
          <w:tcPr>
            <w:tcW w:w="1104" w:type="dxa"/>
            <w:vMerge/>
            <w:vAlign w:val="center"/>
          </w:tcPr>
          <w:p w:rsidR="00013EC7" w:rsidRDefault="00013EC7">
            <w:pPr>
              <w:rPr>
                <w:sz w:val="24"/>
              </w:rPr>
            </w:pPr>
          </w:p>
        </w:tc>
        <w:tc>
          <w:tcPr>
            <w:tcW w:w="1476" w:type="dxa"/>
            <w:vMerge/>
            <w:vAlign w:val="center"/>
          </w:tcPr>
          <w:p w:rsidR="00013EC7" w:rsidRDefault="00013EC7">
            <w:pPr>
              <w:rPr>
                <w:sz w:val="24"/>
              </w:rPr>
            </w:pPr>
          </w:p>
        </w:tc>
      </w:tr>
      <w:tr w:rsidR="00013EC7">
        <w:trPr>
          <w:trHeight w:val="1475"/>
          <w:jc w:val="center"/>
        </w:trPr>
        <w:tc>
          <w:tcPr>
            <w:tcW w:w="1250" w:type="dxa"/>
            <w:vMerge w:val="restart"/>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29.出口退（免）税事项办理</w:t>
            </w:r>
          </w:p>
        </w:tc>
        <w:tc>
          <w:tcPr>
            <w:tcW w:w="1316" w:type="dxa"/>
            <w:vMerge w:val="restart"/>
            <w:vAlign w:val="center"/>
          </w:tcPr>
          <w:p w:rsidR="00013EC7" w:rsidRDefault="00575CDB">
            <w:pPr>
              <w:spacing w:line="310" w:lineRule="exact"/>
              <w:rPr>
                <w:rFonts w:ascii="仿宋" w:eastAsia="仿宋" w:hAnsi="仿宋" w:cs="仿宋"/>
                <w:sz w:val="24"/>
              </w:rPr>
            </w:pPr>
            <w:r>
              <w:rPr>
                <w:rFonts w:ascii="仿宋" w:eastAsia="仿宋" w:hAnsi="仿宋" w:cs="仿宋" w:hint="eastAsia"/>
                <w:sz w:val="24"/>
              </w:rPr>
              <w:t>29.8《代理出口货物证明》开具</w:t>
            </w:r>
          </w:p>
        </w:tc>
        <w:tc>
          <w:tcPr>
            <w:tcW w:w="2114" w:type="dxa"/>
            <w:vMerge w:val="restart"/>
            <w:vAlign w:val="center"/>
          </w:tcPr>
          <w:p w:rsidR="00013EC7" w:rsidRDefault="00575CDB">
            <w:pPr>
              <w:jc w:val="left"/>
              <w:rPr>
                <w:rFonts w:ascii="仿宋" w:eastAsia="仿宋" w:hAnsi="仿宋" w:cs="仿宋"/>
                <w:kern w:val="1"/>
                <w:sz w:val="24"/>
              </w:rPr>
            </w:pPr>
            <w:r>
              <w:rPr>
                <w:rFonts w:ascii="仿宋" w:eastAsia="仿宋" w:hAnsi="仿宋" w:cs="仿宋" w:hint="eastAsia"/>
                <w:kern w:val="1"/>
                <w:sz w:val="24"/>
              </w:rPr>
              <w:t>（一）</w:t>
            </w:r>
            <w:r>
              <w:rPr>
                <w:rFonts w:ascii="仿宋" w:eastAsia="仿宋" w:hAnsi="仿宋" w:cs="仿宋"/>
                <w:kern w:val="1"/>
                <w:sz w:val="24"/>
              </w:rPr>
              <w:t>《财政部 国家税务总局关于出口货物劳务增值税和消费税政策的通知》（财税〔2012〕39号）</w:t>
            </w:r>
            <w:r>
              <w:rPr>
                <w:rFonts w:ascii="仿宋" w:eastAsia="仿宋" w:hAnsi="仿宋" w:cs="仿宋" w:hint="eastAsia"/>
                <w:kern w:val="1"/>
                <w:sz w:val="24"/>
              </w:rPr>
              <w:t>第六条第九款</w:t>
            </w:r>
            <w:r>
              <w:rPr>
                <w:rFonts w:ascii="仿宋" w:eastAsia="仿宋" w:hAnsi="仿宋" w:cs="仿宋"/>
                <w:kern w:val="1"/>
                <w:sz w:val="24"/>
              </w:rPr>
              <w:t>。</w:t>
            </w:r>
          </w:p>
          <w:p w:rsidR="00013EC7" w:rsidRDefault="00575CDB">
            <w:pPr>
              <w:jc w:val="left"/>
              <w:rPr>
                <w:rFonts w:ascii="仿宋" w:eastAsia="仿宋" w:hAnsi="仿宋" w:cs="仿宋"/>
                <w:kern w:val="1"/>
                <w:sz w:val="24"/>
              </w:rPr>
            </w:pPr>
            <w:r>
              <w:rPr>
                <w:rFonts w:ascii="仿宋" w:eastAsia="仿宋" w:hAnsi="仿宋" w:cs="仿宋" w:hint="eastAsia"/>
                <w:kern w:val="1"/>
                <w:sz w:val="24"/>
              </w:rPr>
              <w:t>（二）</w:t>
            </w:r>
            <w:r>
              <w:rPr>
                <w:rFonts w:ascii="仿宋" w:eastAsia="仿宋" w:hAnsi="仿宋" w:cs="仿宋"/>
                <w:kern w:val="1"/>
                <w:sz w:val="24"/>
              </w:rPr>
              <w:t>《国家税务总局关于发布&lt;出口货物劳务增值税和消费税管理办法&gt;的公告》（国家税务总局公告2012年第24号）</w:t>
            </w:r>
            <w:r>
              <w:rPr>
                <w:rFonts w:ascii="仿宋" w:eastAsia="仿宋" w:hAnsi="仿宋" w:cs="仿宋" w:hint="eastAsia"/>
                <w:kern w:val="1"/>
                <w:sz w:val="24"/>
              </w:rPr>
              <w:t>全文</w:t>
            </w:r>
            <w:r>
              <w:rPr>
                <w:rFonts w:ascii="仿宋" w:eastAsia="仿宋" w:hAnsi="仿宋" w:cs="仿宋"/>
                <w:kern w:val="1"/>
                <w:sz w:val="24"/>
              </w:rPr>
              <w:t>。</w:t>
            </w:r>
          </w:p>
          <w:p w:rsidR="00013EC7" w:rsidRDefault="00575CDB">
            <w:pPr>
              <w:jc w:val="left"/>
              <w:rPr>
                <w:rFonts w:ascii="仿宋" w:eastAsia="仿宋" w:hAnsi="仿宋" w:cs="仿宋"/>
                <w:kern w:val="1"/>
                <w:sz w:val="24"/>
              </w:rPr>
            </w:pPr>
            <w:r>
              <w:rPr>
                <w:rFonts w:ascii="仿宋" w:eastAsia="仿宋" w:hAnsi="仿宋" w:cs="仿宋" w:hint="eastAsia"/>
                <w:kern w:val="1"/>
                <w:sz w:val="24"/>
              </w:rPr>
              <w:t>（三）</w:t>
            </w:r>
            <w:r>
              <w:rPr>
                <w:rFonts w:ascii="仿宋" w:eastAsia="仿宋" w:hAnsi="仿宋" w:cs="仿宋"/>
                <w:kern w:val="1"/>
                <w:sz w:val="24"/>
              </w:rPr>
              <w:t>《国家税务总局关于&lt;出口货物劳务增值税和消费税管理办法&gt;有关问题的公告》（国家税务总局公告2013年第12号）</w:t>
            </w:r>
            <w:r>
              <w:rPr>
                <w:rFonts w:ascii="仿宋" w:eastAsia="仿宋" w:hAnsi="仿宋" w:cs="仿宋" w:hint="eastAsia"/>
                <w:kern w:val="1"/>
                <w:sz w:val="24"/>
              </w:rPr>
              <w:t>第三条第二款</w:t>
            </w:r>
            <w:r>
              <w:rPr>
                <w:rFonts w:ascii="仿宋" w:eastAsia="仿宋" w:hAnsi="仿宋" w:cs="仿宋"/>
                <w:kern w:val="1"/>
                <w:sz w:val="24"/>
              </w:rPr>
              <w:t>。</w:t>
            </w:r>
          </w:p>
          <w:p w:rsidR="00013EC7" w:rsidRDefault="00575CDB">
            <w:pPr>
              <w:jc w:val="left"/>
              <w:rPr>
                <w:rFonts w:ascii="仿宋" w:eastAsia="仿宋" w:hAnsi="仿宋" w:cs="仿宋"/>
                <w:kern w:val="1"/>
                <w:sz w:val="24"/>
              </w:rPr>
            </w:pPr>
            <w:r>
              <w:rPr>
                <w:rFonts w:ascii="仿宋" w:eastAsia="仿宋" w:hAnsi="仿宋" w:cs="仿宋" w:hint="eastAsia"/>
                <w:kern w:val="1"/>
                <w:sz w:val="24"/>
              </w:rPr>
              <w:t>（四）</w:t>
            </w:r>
            <w:r>
              <w:rPr>
                <w:rFonts w:ascii="仿宋" w:eastAsia="仿宋" w:hAnsi="仿宋" w:cs="仿宋"/>
                <w:kern w:val="1"/>
                <w:sz w:val="24"/>
              </w:rPr>
              <w:t>《国家税务总局关于出口货物劳务增值税和消费税有关问题的公告》（国家税务总局公告2013年第65号）</w:t>
            </w:r>
            <w:r>
              <w:rPr>
                <w:rFonts w:ascii="仿宋" w:eastAsia="仿宋" w:hAnsi="仿宋" w:cs="仿宋" w:hint="eastAsia"/>
                <w:kern w:val="1"/>
                <w:sz w:val="24"/>
              </w:rPr>
              <w:t>第十二条</w:t>
            </w:r>
            <w:r>
              <w:rPr>
                <w:rFonts w:ascii="仿宋" w:eastAsia="仿宋" w:hAnsi="仿宋" w:cs="仿宋"/>
                <w:kern w:val="1"/>
                <w:sz w:val="24"/>
              </w:rPr>
              <w:t>。</w:t>
            </w:r>
          </w:p>
          <w:p w:rsidR="00013EC7" w:rsidRDefault="00575CDB">
            <w:pPr>
              <w:jc w:val="left"/>
              <w:rPr>
                <w:rFonts w:ascii="仿宋" w:eastAsia="仿宋" w:hAnsi="仿宋" w:cs="仿宋"/>
                <w:kern w:val="1"/>
                <w:sz w:val="24"/>
              </w:rPr>
            </w:pPr>
            <w:r>
              <w:rPr>
                <w:rFonts w:ascii="仿宋" w:eastAsia="仿宋" w:hAnsi="仿宋" w:cs="仿宋" w:hint="eastAsia"/>
                <w:kern w:val="1"/>
                <w:sz w:val="24"/>
              </w:rPr>
              <w:lastRenderedPageBreak/>
              <w:t>（五）</w:t>
            </w:r>
            <w:r>
              <w:rPr>
                <w:rFonts w:ascii="仿宋" w:eastAsia="仿宋" w:hAnsi="仿宋" w:cs="仿宋"/>
                <w:kern w:val="1"/>
                <w:sz w:val="24"/>
              </w:rPr>
              <w:t>《国家税务总局关于出口退（免）税有关问题的公告》（国家税务总局公告2015年第29号）</w:t>
            </w:r>
            <w:r>
              <w:rPr>
                <w:rFonts w:ascii="仿宋" w:eastAsia="仿宋" w:hAnsi="仿宋" w:cs="仿宋" w:hint="eastAsia"/>
                <w:kern w:val="1"/>
                <w:sz w:val="24"/>
              </w:rPr>
              <w:t>第三条</w:t>
            </w:r>
            <w:r>
              <w:rPr>
                <w:rFonts w:ascii="仿宋" w:eastAsia="仿宋" w:hAnsi="仿宋" w:cs="仿宋"/>
                <w:kern w:val="1"/>
                <w:sz w:val="24"/>
              </w:rPr>
              <w:t>。</w:t>
            </w:r>
          </w:p>
          <w:p w:rsidR="00013EC7" w:rsidRDefault="00575CDB">
            <w:pPr>
              <w:jc w:val="left"/>
              <w:rPr>
                <w:rFonts w:ascii="仿宋" w:eastAsia="仿宋" w:hAnsi="仿宋" w:cs="仿宋"/>
                <w:kern w:val="1"/>
                <w:sz w:val="24"/>
              </w:rPr>
            </w:pPr>
            <w:r>
              <w:rPr>
                <w:rFonts w:ascii="仿宋" w:eastAsia="仿宋" w:hAnsi="仿宋" w:cs="仿宋" w:hint="eastAsia"/>
                <w:kern w:val="1"/>
                <w:sz w:val="24"/>
              </w:rPr>
              <w:t>（六）</w:t>
            </w:r>
            <w:r>
              <w:rPr>
                <w:rFonts w:ascii="仿宋" w:eastAsia="仿宋" w:hAnsi="仿宋" w:cs="仿宋"/>
                <w:kern w:val="1"/>
                <w:sz w:val="24"/>
              </w:rPr>
              <w:t>《国家税务总局关于出口退（免）税免予提供纸质出口货物报关单的公告》（国家税务总局公告2015年第26号）</w:t>
            </w:r>
            <w:r>
              <w:rPr>
                <w:rFonts w:ascii="仿宋" w:eastAsia="仿宋" w:hAnsi="仿宋" w:cs="仿宋" w:hint="eastAsia"/>
                <w:kern w:val="1"/>
                <w:sz w:val="24"/>
              </w:rPr>
              <w:t>全文。</w:t>
            </w:r>
          </w:p>
          <w:p w:rsidR="00013EC7" w:rsidRDefault="00575CDB">
            <w:pPr>
              <w:jc w:val="left"/>
              <w:rPr>
                <w:rFonts w:ascii="仿宋" w:eastAsia="仿宋" w:hAnsi="仿宋" w:cs="仿宋"/>
                <w:kern w:val="1"/>
                <w:sz w:val="24"/>
              </w:rPr>
            </w:pPr>
            <w:r>
              <w:rPr>
                <w:rFonts w:ascii="仿宋" w:eastAsia="仿宋" w:hAnsi="仿宋" w:cs="仿宋" w:hint="eastAsia"/>
                <w:kern w:val="1"/>
                <w:sz w:val="24"/>
              </w:rPr>
              <w:t>（七）《浙江省国家税务局关于出口退（免）税无纸化申报的公告》（浙江省国家税务局公告</w:t>
            </w:r>
            <w:r>
              <w:rPr>
                <w:rFonts w:ascii="仿宋" w:eastAsia="仿宋" w:hAnsi="仿宋" w:cs="仿宋"/>
                <w:kern w:val="1"/>
                <w:sz w:val="24"/>
              </w:rPr>
              <w:t>2015</w:t>
            </w:r>
            <w:r>
              <w:rPr>
                <w:rFonts w:ascii="仿宋" w:eastAsia="仿宋" w:hAnsi="仿宋" w:cs="仿宋" w:hint="eastAsia"/>
                <w:kern w:val="1"/>
                <w:sz w:val="24"/>
              </w:rPr>
              <w:t>年第</w:t>
            </w:r>
            <w:r>
              <w:rPr>
                <w:rFonts w:ascii="仿宋" w:eastAsia="仿宋" w:hAnsi="仿宋" w:cs="仿宋"/>
                <w:kern w:val="1"/>
                <w:sz w:val="24"/>
              </w:rPr>
              <w:t>9</w:t>
            </w:r>
            <w:r>
              <w:rPr>
                <w:rFonts w:ascii="仿宋" w:eastAsia="仿宋" w:hAnsi="仿宋" w:cs="仿宋" w:hint="eastAsia"/>
                <w:kern w:val="1"/>
                <w:sz w:val="24"/>
              </w:rPr>
              <w:t>号）全文。</w:t>
            </w:r>
          </w:p>
          <w:p w:rsidR="00013EC7" w:rsidRDefault="00575CDB">
            <w:pPr>
              <w:jc w:val="left"/>
              <w:rPr>
                <w:rFonts w:ascii="仿宋" w:eastAsia="仿宋" w:hAnsi="仿宋" w:cs="仿宋"/>
                <w:kern w:val="1"/>
                <w:sz w:val="24"/>
              </w:rPr>
            </w:pPr>
            <w:r>
              <w:rPr>
                <w:rFonts w:ascii="仿宋" w:eastAsia="仿宋" w:hAnsi="仿宋" w:cs="仿宋" w:hint="eastAsia"/>
                <w:kern w:val="1"/>
                <w:sz w:val="24"/>
              </w:rPr>
              <w:t>（八）《国家税务总局关于进一步优化外贸综合服务企业出口货物退（免）税管理的公告》（国家税务总局公告2016年第61号）第五条。</w:t>
            </w:r>
          </w:p>
        </w:tc>
        <w:tc>
          <w:tcPr>
            <w:tcW w:w="2785" w:type="dxa"/>
            <w:tcBorders>
              <w:top w:val="single" w:sz="4" w:space="0" w:color="auto"/>
              <w:bottom w:val="single" w:sz="4" w:space="0" w:color="auto"/>
            </w:tcBorders>
            <w:vAlign w:val="center"/>
          </w:tcPr>
          <w:p w:rsidR="00013EC7" w:rsidRDefault="00575CDB">
            <w:pPr>
              <w:rPr>
                <w:rFonts w:ascii="仿宋" w:eastAsia="仿宋" w:hAnsi="仿宋" w:cs="仿宋"/>
                <w:kern w:val="1"/>
                <w:sz w:val="24"/>
              </w:rPr>
            </w:pPr>
            <w:r>
              <w:rPr>
                <w:rFonts w:ascii="仿宋" w:eastAsia="仿宋" w:hAnsi="仿宋" w:cs="仿宋"/>
                <w:kern w:val="1"/>
                <w:sz w:val="24"/>
              </w:rPr>
              <w:lastRenderedPageBreak/>
              <w:t>（一）</w:t>
            </w:r>
            <w:r>
              <w:rPr>
                <w:rFonts w:ascii="仿宋" w:eastAsia="仿宋" w:hAnsi="仿宋" w:cs="仿宋" w:hint="eastAsia"/>
                <w:kern w:val="1"/>
                <w:sz w:val="24"/>
              </w:rPr>
              <w:t>（A05015）《代理出口货物证明申请表》及申报电子数据。</w:t>
            </w:r>
          </w:p>
        </w:tc>
        <w:tc>
          <w:tcPr>
            <w:tcW w:w="1118" w:type="dxa"/>
            <w:vMerge w:val="restart"/>
            <w:vAlign w:val="center"/>
          </w:tcPr>
          <w:p w:rsidR="00013EC7" w:rsidRDefault="00575CDB">
            <w:pPr>
              <w:spacing w:line="300" w:lineRule="exact"/>
              <w:jc w:val="center"/>
              <w:rPr>
                <w:rFonts w:ascii="仿宋" w:eastAsia="仿宋" w:hAnsi="仿宋" w:cs="仿宋"/>
                <w:kern w:val="1"/>
                <w:sz w:val="24"/>
              </w:rPr>
            </w:pPr>
            <w:r>
              <w:rPr>
                <w:rFonts w:ascii="仿宋" w:eastAsia="仿宋" w:hAnsi="仿宋" w:cs="仿宋" w:hint="eastAsia"/>
                <w:sz w:val="24"/>
              </w:rPr>
              <w:t>办理《代理出口货物证明》的出口企业纳税人提交</w:t>
            </w:r>
          </w:p>
        </w:tc>
        <w:tc>
          <w:tcPr>
            <w:tcW w:w="2537" w:type="dxa"/>
            <w:vAlign w:val="center"/>
          </w:tcPr>
          <w:p w:rsidR="00013EC7" w:rsidRDefault="00575CDB">
            <w:pPr>
              <w:rPr>
                <w:rFonts w:ascii="仿宋" w:eastAsia="仿宋" w:hAnsi="仿宋" w:cs="仿宋"/>
                <w:kern w:val="1"/>
                <w:sz w:val="24"/>
              </w:rPr>
            </w:pPr>
            <w:r>
              <w:rPr>
                <w:rFonts w:ascii="仿宋" w:eastAsia="仿宋" w:hAnsi="仿宋" w:cs="仿宋"/>
                <w:kern w:val="1"/>
                <w:sz w:val="24"/>
              </w:rPr>
              <w:t>（一）</w:t>
            </w:r>
            <w:r>
              <w:rPr>
                <w:rFonts w:ascii="仿宋" w:eastAsia="仿宋" w:hAnsi="仿宋" w:cs="仿宋" w:hint="eastAsia"/>
                <w:kern w:val="1"/>
                <w:sz w:val="24"/>
              </w:rPr>
              <w:t>（A05015）《代理出口货物证明申请表》及其电子数据。</w:t>
            </w:r>
          </w:p>
        </w:tc>
        <w:tc>
          <w:tcPr>
            <w:tcW w:w="1196" w:type="dxa"/>
            <w:vAlign w:val="center"/>
          </w:tcPr>
          <w:p w:rsidR="00013EC7" w:rsidRDefault="00575CDB">
            <w:pPr>
              <w:spacing w:line="300" w:lineRule="exact"/>
              <w:jc w:val="center"/>
              <w:rPr>
                <w:rFonts w:ascii="仿宋" w:eastAsia="仿宋" w:hAnsi="仿宋" w:cs="仿宋"/>
                <w:sz w:val="24"/>
                <w:highlight w:val="yellow"/>
              </w:rPr>
            </w:pPr>
            <w:r>
              <w:rPr>
                <w:rFonts w:ascii="仿宋" w:eastAsia="仿宋" w:hAnsi="仿宋" w:cs="仿宋" w:hint="eastAsia"/>
                <w:sz w:val="24"/>
              </w:rPr>
              <w:t>办理《代理出口货物证明》的出口企业纳税人提交</w:t>
            </w:r>
          </w:p>
        </w:tc>
        <w:tc>
          <w:tcPr>
            <w:tcW w:w="3318" w:type="dxa"/>
            <w:vAlign w:val="center"/>
          </w:tcPr>
          <w:p w:rsidR="00013EC7" w:rsidRDefault="00575CDB">
            <w:pPr>
              <w:spacing w:line="300" w:lineRule="exact"/>
              <w:rPr>
                <w:rFonts w:ascii="仿宋" w:eastAsia="仿宋" w:hAnsi="仿宋" w:cs="仿宋"/>
                <w:sz w:val="24"/>
                <w:highlight w:val="yellow"/>
              </w:rPr>
            </w:pPr>
            <w:r>
              <w:rPr>
                <w:rFonts w:ascii="仿宋" w:eastAsia="仿宋" w:hAnsi="仿宋" w:cs="仿宋" w:hint="eastAsia"/>
                <w:b/>
                <w:sz w:val="24"/>
              </w:rPr>
              <w:t>现场办理：</w:t>
            </w:r>
            <w:r>
              <w:rPr>
                <w:rFonts w:ascii="仿宋" w:eastAsia="仿宋" w:hAnsi="仿宋" w:cs="仿宋" w:hint="eastAsia"/>
                <w:sz w:val="24"/>
              </w:rPr>
              <w:t>纳税人提交书面材料（无纸化企业留存备查）。</w:t>
            </w:r>
            <w:r>
              <w:rPr>
                <w:rFonts w:ascii="仿宋" w:eastAsia="仿宋" w:hAnsi="仿宋" w:cs="仿宋" w:hint="eastAsia"/>
                <w:b/>
                <w:sz w:val="24"/>
              </w:rPr>
              <w:t>网上办理：</w:t>
            </w:r>
            <w:r>
              <w:rPr>
                <w:rFonts w:ascii="仿宋" w:eastAsia="仿宋" w:hAnsi="仿宋" w:cs="仿宋" w:hint="eastAsia"/>
                <w:sz w:val="24"/>
              </w:rPr>
              <w:t>登录浙江省国家税务局电子税务局提交电子数据。</w:t>
            </w:r>
          </w:p>
        </w:tc>
        <w:tc>
          <w:tcPr>
            <w:tcW w:w="868" w:type="dxa"/>
            <w:vMerge w:val="restart"/>
            <w:vAlign w:val="center"/>
          </w:tcPr>
          <w:p w:rsidR="00013EC7" w:rsidRDefault="00575CDB">
            <w:pPr>
              <w:jc w:val="center"/>
              <w:rPr>
                <w:rFonts w:ascii="仿宋" w:eastAsia="仿宋" w:hAnsi="仿宋" w:cs="仿宋"/>
                <w:sz w:val="24"/>
              </w:rPr>
            </w:pPr>
            <w:r>
              <w:rPr>
                <w:rFonts w:ascii="仿宋" w:eastAsia="仿宋" w:hAnsi="仿宋" w:cs="仿宋" w:hint="eastAsia"/>
                <w:sz w:val="24"/>
              </w:rPr>
              <w:t>5个工作日</w:t>
            </w:r>
          </w:p>
        </w:tc>
        <w:tc>
          <w:tcPr>
            <w:tcW w:w="789" w:type="dxa"/>
            <w:vMerge w:val="restart"/>
            <w:vAlign w:val="center"/>
          </w:tcPr>
          <w:p w:rsidR="00013EC7" w:rsidRDefault="00575CDB">
            <w:pPr>
              <w:jc w:val="center"/>
              <w:rPr>
                <w:rFonts w:ascii="仿宋" w:eastAsia="仿宋" w:hAnsi="仿宋" w:cs="仿宋"/>
                <w:sz w:val="24"/>
              </w:rPr>
            </w:pPr>
            <w:r>
              <w:rPr>
                <w:rFonts w:ascii="仿宋" w:eastAsia="仿宋" w:hAnsi="仿宋" w:cs="仿宋" w:hint="eastAsia"/>
                <w:sz w:val="24"/>
              </w:rPr>
              <w:t>对符合条件的，当场办结。相关资料信息等需进一步核实的，出具受理通知并自受理申请之日起5个工作日内办结。</w:t>
            </w:r>
          </w:p>
        </w:tc>
        <w:tc>
          <w:tcPr>
            <w:tcW w:w="967" w:type="dxa"/>
            <w:vMerge w:val="restart"/>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sz w:val="24"/>
              </w:rPr>
              <w:t>无纸化企业已实现跑零次</w:t>
            </w:r>
          </w:p>
        </w:tc>
        <w:tc>
          <w:tcPr>
            <w:tcW w:w="1104" w:type="dxa"/>
            <w:vMerge w:val="restart"/>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sz w:val="24"/>
              </w:rPr>
              <w:t>进出口处</w:t>
            </w:r>
          </w:p>
        </w:tc>
        <w:tc>
          <w:tcPr>
            <w:tcW w:w="1476" w:type="dxa"/>
            <w:vMerge w:val="restart"/>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邮寄回执</w:t>
            </w:r>
          </w:p>
        </w:tc>
      </w:tr>
      <w:tr w:rsidR="00013EC7">
        <w:trPr>
          <w:trHeight w:val="1699"/>
          <w:jc w:val="center"/>
        </w:trPr>
        <w:tc>
          <w:tcPr>
            <w:tcW w:w="1250" w:type="dxa"/>
            <w:vMerge/>
            <w:textDirection w:val="tbRlV"/>
            <w:vAlign w:val="center"/>
          </w:tcPr>
          <w:p w:rsidR="00013EC7" w:rsidRDefault="00013EC7">
            <w:pPr>
              <w:rPr>
                <w:rFonts w:ascii="仿宋" w:eastAsia="仿宋" w:hAnsi="仿宋" w:cs="仿宋"/>
                <w:sz w:val="24"/>
              </w:rPr>
            </w:pPr>
          </w:p>
        </w:tc>
        <w:tc>
          <w:tcPr>
            <w:tcW w:w="1316" w:type="dxa"/>
            <w:vMerge/>
            <w:vAlign w:val="center"/>
          </w:tcPr>
          <w:p w:rsidR="00013EC7" w:rsidRDefault="00013EC7">
            <w:pPr>
              <w:rPr>
                <w:rFonts w:ascii="仿宋" w:eastAsia="仿宋" w:hAnsi="仿宋" w:cs="仿宋"/>
                <w:sz w:val="24"/>
              </w:rPr>
            </w:pPr>
          </w:p>
        </w:tc>
        <w:tc>
          <w:tcPr>
            <w:tcW w:w="2114" w:type="dxa"/>
            <w:vMerge/>
            <w:vAlign w:val="center"/>
          </w:tcPr>
          <w:p w:rsidR="00013EC7" w:rsidRDefault="00013EC7">
            <w:pPr>
              <w:rPr>
                <w:rFonts w:ascii="仿宋" w:eastAsia="仿宋" w:hAnsi="仿宋" w:cs="仿宋"/>
                <w:sz w:val="24"/>
              </w:rPr>
            </w:pPr>
          </w:p>
        </w:tc>
        <w:tc>
          <w:tcPr>
            <w:tcW w:w="2785" w:type="dxa"/>
            <w:tcBorders>
              <w:top w:val="single" w:sz="4" w:space="0" w:color="auto"/>
            </w:tcBorders>
            <w:vAlign w:val="center"/>
          </w:tcPr>
          <w:p w:rsidR="00013EC7" w:rsidRDefault="00575CDB">
            <w:pPr>
              <w:rPr>
                <w:rFonts w:ascii="仿宋" w:eastAsia="仿宋" w:hAnsi="仿宋" w:cs="仿宋"/>
                <w:kern w:val="1"/>
                <w:sz w:val="24"/>
              </w:rPr>
            </w:pPr>
            <w:r>
              <w:rPr>
                <w:rFonts w:ascii="仿宋" w:eastAsia="仿宋" w:hAnsi="仿宋" w:cs="仿宋"/>
                <w:kern w:val="1"/>
                <w:sz w:val="24"/>
              </w:rPr>
              <w:t>（二）</w:t>
            </w:r>
            <w:r>
              <w:rPr>
                <w:rFonts w:ascii="仿宋" w:eastAsia="仿宋" w:hAnsi="仿宋" w:cs="仿宋" w:hint="eastAsia"/>
                <w:kern w:val="1"/>
                <w:sz w:val="24"/>
              </w:rPr>
              <w:t>委托方主管税务机关签章的（A05066）《委托出口货物证明》（国家取消出口退税的货物提供）。</w:t>
            </w:r>
          </w:p>
        </w:tc>
        <w:tc>
          <w:tcPr>
            <w:tcW w:w="1118" w:type="dxa"/>
            <w:vMerge/>
            <w:vAlign w:val="center"/>
          </w:tcPr>
          <w:p w:rsidR="00013EC7" w:rsidRDefault="00013EC7">
            <w:pPr>
              <w:rPr>
                <w:rFonts w:ascii="仿宋" w:eastAsia="仿宋" w:hAnsi="仿宋" w:cs="仿宋"/>
                <w:kern w:val="1"/>
                <w:sz w:val="24"/>
              </w:rPr>
            </w:pPr>
          </w:p>
        </w:tc>
        <w:tc>
          <w:tcPr>
            <w:tcW w:w="2537" w:type="dxa"/>
            <w:vAlign w:val="center"/>
          </w:tcPr>
          <w:p w:rsidR="00013EC7" w:rsidRDefault="00575CDB">
            <w:pPr>
              <w:rPr>
                <w:rFonts w:ascii="仿宋" w:eastAsia="仿宋" w:hAnsi="仿宋" w:cs="仿宋"/>
                <w:kern w:val="1"/>
                <w:sz w:val="24"/>
              </w:rPr>
            </w:pPr>
            <w:r>
              <w:rPr>
                <w:rFonts w:ascii="仿宋" w:eastAsia="仿宋" w:hAnsi="仿宋" w:cs="仿宋"/>
                <w:kern w:val="1"/>
                <w:sz w:val="24"/>
              </w:rPr>
              <w:t>（二）</w:t>
            </w:r>
            <w:r>
              <w:rPr>
                <w:rFonts w:ascii="仿宋" w:eastAsia="仿宋" w:hAnsi="仿宋" w:cs="仿宋" w:hint="eastAsia"/>
                <w:kern w:val="1"/>
                <w:sz w:val="24"/>
              </w:rPr>
              <w:t>委托方主管税务机关签章的（A05066）《委托出口货物证明》（国家取消出口退税的货物提供）。</w:t>
            </w:r>
          </w:p>
        </w:tc>
        <w:tc>
          <w:tcPr>
            <w:tcW w:w="1196" w:type="dxa"/>
            <w:vAlign w:val="center"/>
          </w:tcPr>
          <w:p w:rsidR="00013EC7" w:rsidRDefault="00575CDB">
            <w:pPr>
              <w:spacing w:line="300" w:lineRule="exact"/>
              <w:jc w:val="center"/>
              <w:rPr>
                <w:rFonts w:ascii="仿宋" w:eastAsia="仿宋" w:hAnsi="仿宋" w:cs="仿宋"/>
                <w:b/>
                <w:i/>
                <w:sz w:val="24"/>
              </w:rPr>
            </w:pPr>
            <w:r>
              <w:rPr>
                <w:rFonts w:ascii="仿宋" w:eastAsia="仿宋" w:hAnsi="仿宋" w:cs="仿宋" w:hint="eastAsia"/>
                <w:b/>
                <w:i/>
                <w:sz w:val="24"/>
              </w:rPr>
              <w:t>经办机构自行获取</w:t>
            </w:r>
          </w:p>
        </w:tc>
        <w:tc>
          <w:tcPr>
            <w:tcW w:w="3318"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b/>
                <w:sz w:val="24"/>
              </w:rPr>
              <w:t>内部共享：</w:t>
            </w:r>
            <w:r>
              <w:rPr>
                <w:rFonts w:ascii="仿宋" w:eastAsia="仿宋" w:hAnsi="仿宋" w:cs="仿宋" w:hint="eastAsia"/>
                <w:sz w:val="24"/>
              </w:rPr>
              <w:t>内部共享获取相关信息（无纸化企业留存备查，非无纸化企业需提供书面材料）。</w:t>
            </w:r>
          </w:p>
        </w:tc>
        <w:tc>
          <w:tcPr>
            <w:tcW w:w="868" w:type="dxa"/>
            <w:vMerge/>
            <w:vAlign w:val="center"/>
          </w:tcPr>
          <w:p w:rsidR="00013EC7" w:rsidRDefault="00013EC7">
            <w:pPr>
              <w:rPr>
                <w:rFonts w:ascii="仿宋" w:eastAsia="仿宋" w:hAnsi="仿宋" w:cs="仿宋"/>
                <w:sz w:val="24"/>
              </w:rPr>
            </w:pPr>
          </w:p>
        </w:tc>
        <w:tc>
          <w:tcPr>
            <w:tcW w:w="789" w:type="dxa"/>
            <w:vMerge/>
            <w:vAlign w:val="center"/>
          </w:tcPr>
          <w:p w:rsidR="00013EC7" w:rsidRDefault="00013EC7">
            <w:pPr>
              <w:rPr>
                <w:rFonts w:ascii="仿宋" w:eastAsia="仿宋" w:hAnsi="仿宋" w:cs="仿宋"/>
                <w:sz w:val="24"/>
              </w:rPr>
            </w:pPr>
          </w:p>
        </w:tc>
        <w:tc>
          <w:tcPr>
            <w:tcW w:w="967"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340"/>
          <w:jc w:val="center"/>
        </w:trPr>
        <w:tc>
          <w:tcPr>
            <w:tcW w:w="1250" w:type="dxa"/>
            <w:vMerge/>
            <w:textDirection w:val="tbRlV"/>
            <w:vAlign w:val="center"/>
          </w:tcPr>
          <w:p w:rsidR="00013EC7" w:rsidRDefault="00013EC7">
            <w:pPr>
              <w:rPr>
                <w:rFonts w:ascii="仿宋" w:eastAsia="仿宋" w:hAnsi="仿宋" w:cs="仿宋"/>
                <w:sz w:val="24"/>
              </w:rPr>
            </w:pPr>
          </w:p>
        </w:tc>
        <w:tc>
          <w:tcPr>
            <w:tcW w:w="1316" w:type="dxa"/>
            <w:vMerge/>
            <w:vAlign w:val="center"/>
          </w:tcPr>
          <w:p w:rsidR="00013EC7" w:rsidRDefault="00013EC7">
            <w:pPr>
              <w:rPr>
                <w:rFonts w:ascii="仿宋" w:eastAsia="仿宋" w:hAnsi="仿宋" w:cs="仿宋"/>
                <w:sz w:val="24"/>
              </w:rPr>
            </w:pPr>
          </w:p>
        </w:tc>
        <w:tc>
          <w:tcPr>
            <w:tcW w:w="2114" w:type="dxa"/>
            <w:vMerge/>
            <w:vAlign w:val="center"/>
          </w:tcPr>
          <w:p w:rsidR="00013EC7" w:rsidRDefault="00013EC7">
            <w:pPr>
              <w:rPr>
                <w:rFonts w:ascii="仿宋" w:eastAsia="仿宋" w:hAnsi="仿宋" w:cs="仿宋"/>
                <w:sz w:val="24"/>
              </w:rPr>
            </w:pPr>
          </w:p>
        </w:tc>
        <w:tc>
          <w:tcPr>
            <w:tcW w:w="2785" w:type="dxa"/>
            <w:vAlign w:val="center"/>
          </w:tcPr>
          <w:p w:rsidR="00013EC7" w:rsidRDefault="00575CDB">
            <w:pPr>
              <w:rPr>
                <w:rFonts w:ascii="仿宋" w:eastAsia="仿宋" w:hAnsi="仿宋" w:cs="仿宋"/>
                <w:kern w:val="1"/>
                <w:sz w:val="24"/>
              </w:rPr>
            </w:pPr>
            <w:r>
              <w:rPr>
                <w:rFonts w:ascii="仿宋" w:eastAsia="仿宋" w:hAnsi="仿宋" w:cs="仿宋"/>
                <w:kern w:val="1"/>
                <w:sz w:val="24"/>
              </w:rPr>
              <w:t>（三）</w:t>
            </w:r>
            <w:r>
              <w:rPr>
                <w:rFonts w:ascii="仿宋" w:eastAsia="仿宋" w:hAnsi="仿宋" w:cs="仿宋" w:hint="eastAsia"/>
                <w:kern w:val="1"/>
                <w:sz w:val="24"/>
              </w:rPr>
              <w:t>代理出口协议原件及复印件（注明与原件一致，并加盖公章）。</w:t>
            </w:r>
          </w:p>
        </w:tc>
        <w:tc>
          <w:tcPr>
            <w:tcW w:w="1118" w:type="dxa"/>
            <w:vMerge/>
            <w:vAlign w:val="center"/>
          </w:tcPr>
          <w:p w:rsidR="00013EC7" w:rsidRDefault="00013EC7">
            <w:pPr>
              <w:rPr>
                <w:rFonts w:ascii="仿宋" w:eastAsia="仿宋" w:hAnsi="仿宋" w:cs="仿宋"/>
                <w:kern w:val="1"/>
                <w:sz w:val="24"/>
              </w:rPr>
            </w:pPr>
          </w:p>
        </w:tc>
        <w:tc>
          <w:tcPr>
            <w:tcW w:w="2537" w:type="dxa"/>
            <w:vAlign w:val="center"/>
          </w:tcPr>
          <w:p w:rsidR="00013EC7" w:rsidRDefault="00575CDB">
            <w:pPr>
              <w:rPr>
                <w:rFonts w:ascii="仿宋" w:eastAsia="仿宋" w:hAnsi="仿宋" w:cs="仿宋"/>
                <w:kern w:val="1"/>
                <w:sz w:val="24"/>
              </w:rPr>
            </w:pPr>
            <w:r>
              <w:rPr>
                <w:rFonts w:ascii="仿宋" w:eastAsia="仿宋" w:hAnsi="仿宋" w:cs="仿宋"/>
                <w:kern w:val="1"/>
                <w:sz w:val="24"/>
              </w:rPr>
              <w:t>（三）</w:t>
            </w:r>
            <w:r>
              <w:rPr>
                <w:rFonts w:ascii="仿宋" w:eastAsia="仿宋" w:hAnsi="仿宋" w:cs="仿宋" w:hint="eastAsia"/>
                <w:kern w:val="1"/>
                <w:sz w:val="24"/>
              </w:rPr>
              <w:t>代理出口协议原件及复印件（注明与原件一致，并加盖公章）。</w:t>
            </w:r>
          </w:p>
        </w:tc>
        <w:tc>
          <w:tcPr>
            <w:tcW w:w="1196" w:type="dxa"/>
            <w:vMerge w:val="restart"/>
            <w:vAlign w:val="center"/>
          </w:tcPr>
          <w:p w:rsidR="00013EC7" w:rsidRDefault="00575CDB">
            <w:pPr>
              <w:rPr>
                <w:rFonts w:ascii="仿宋" w:eastAsia="仿宋" w:hAnsi="仿宋" w:cs="仿宋"/>
                <w:sz w:val="24"/>
              </w:rPr>
            </w:pPr>
            <w:r>
              <w:rPr>
                <w:rFonts w:ascii="仿宋" w:eastAsia="仿宋" w:hAnsi="仿宋" w:cs="仿宋" w:hint="eastAsia"/>
                <w:sz w:val="24"/>
              </w:rPr>
              <w:t>办理《代理出口货物证明》的出口企业纳税人提交</w:t>
            </w:r>
          </w:p>
        </w:tc>
        <w:tc>
          <w:tcPr>
            <w:tcW w:w="3318" w:type="dxa"/>
            <w:vMerge w:val="restart"/>
            <w:vAlign w:val="center"/>
          </w:tcPr>
          <w:p w:rsidR="00013EC7" w:rsidRDefault="00575CDB">
            <w:pPr>
              <w:spacing w:line="300" w:lineRule="exac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纳税人提交书面材料（无纸化企业留存备查）。</w:t>
            </w:r>
          </w:p>
        </w:tc>
        <w:tc>
          <w:tcPr>
            <w:tcW w:w="868" w:type="dxa"/>
            <w:vMerge/>
            <w:vAlign w:val="center"/>
          </w:tcPr>
          <w:p w:rsidR="00013EC7" w:rsidRDefault="00013EC7">
            <w:pPr>
              <w:rPr>
                <w:rFonts w:ascii="仿宋" w:eastAsia="仿宋" w:hAnsi="仿宋" w:cs="仿宋"/>
                <w:sz w:val="24"/>
              </w:rPr>
            </w:pPr>
          </w:p>
        </w:tc>
        <w:tc>
          <w:tcPr>
            <w:tcW w:w="789" w:type="dxa"/>
            <w:vMerge/>
            <w:vAlign w:val="center"/>
          </w:tcPr>
          <w:p w:rsidR="00013EC7" w:rsidRDefault="00013EC7">
            <w:pPr>
              <w:rPr>
                <w:rFonts w:ascii="仿宋" w:eastAsia="仿宋" w:hAnsi="仿宋" w:cs="仿宋"/>
                <w:sz w:val="24"/>
              </w:rPr>
            </w:pPr>
          </w:p>
        </w:tc>
        <w:tc>
          <w:tcPr>
            <w:tcW w:w="967"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340"/>
          <w:jc w:val="center"/>
        </w:trPr>
        <w:tc>
          <w:tcPr>
            <w:tcW w:w="1250" w:type="dxa"/>
            <w:vMerge/>
            <w:vAlign w:val="center"/>
          </w:tcPr>
          <w:p w:rsidR="00013EC7" w:rsidRDefault="00013EC7">
            <w:pPr>
              <w:rPr>
                <w:rFonts w:ascii="仿宋" w:eastAsia="仿宋" w:hAnsi="仿宋" w:cs="仿宋"/>
                <w:sz w:val="24"/>
              </w:rPr>
            </w:pPr>
          </w:p>
        </w:tc>
        <w:tc>
          <w:tcPr>
            <w:tcW w:w="1316" w:type="dxa"/>
            <w:vMerge/>
            <w:vAlign w:val="center"/>
          </w:tcPr>
          <w:p w:rsidR="00013EC7" w:rsidRDefault="00013EC7">
            <w:pPr>
              <w:rPr>
                <w:rFonts w:ascii="仿宋" w:eastAsia="仿宋" w:hAnsi="仿宋" w:cs="仿宋"/>
                <w:sz w:val="24"/>
              </w:rPr>
            </w:pPr>
          </w:p>
        </w:tc>
        <w:tc>
          <w:tcPr>
            <w:tcW w:w="2114" w:type="dxa"/>
            <w:vMerge/>
            <w:vAlign w:val="center"/>
          </w:tcPr>
          <w:p w:rsidR="00013EC7" w:rsidRDefault="00013EC7">
            <w:pPr>
              <w:rPr>
                <w:rFonts w:ascii="仿宋" w:eastAsia="仿宋" w:hAnsi="仿宋" w:cs="仿宋"/>
                <w:sz w:val="24"/>
              </w:rPr>
            </w:pPr>
          </w:p>
        </w:tc>
        <w:tc>
          <w:tcPr>
            <w:tcW w:w="2785" w:type="dxa"/>
            <w:vAlign w:val="center"/>
          </w:tcPr>
          <w:p w:rsidR="00013EC7" w:rsidRDefault="00575CDB">
            <w:pPr>
              <w:rPr>
                <w:rFonts w:ascii="仿宋" w:eastAsia="仿宋" w:hAnsi="仿宋" w:cs="仿宋"/>
                <w:kern w:val="1"/>
                <w:sz w:val="24"/>
              </w:rPr>
            </w:pPr>
            <w:r>
              <w:rPr>
                <w:rFonts w:ascii="仿宋" w:eastAsia="仿宋" w:hAnsi="仿宋" w:cs="仿宋"/>
                <w:kern w:val="1"/>
                <w:sz w:val="24"/>
              </w:rPr>
              <w:t>（四）</w:t>
            </w:r>
            <w:r>
              <w:rPr>
                <w:rFonts w:ascii="仿宋" w:eastAsia="仿宋" w:hAnsi="仿宋" w:cs="仿宋" w:hint="eastAsia"/>
                <w:kern w:val="1"/>
                <w:sz w:val="24"/>
              </w:rPr>
              <w:t>委托方税务登记证副本或加载统一社会信用代码的营业执照复印件（注明与原件一致，并加盖公章）。</w:t>
            </w:r>
          </w:p>
        </w:tc>
        <w:tc>
          <w:tcPr>
            <w:tcW w:w="1118" w:type="dxa"/>
            <w:vMerge/>
            <w:vAlign w:val="center"/>
          </w:tcPr>
          <w:p w:rsidR="00013EC7" w:rsidRDefault="00013EC7">
            <w:pPr>
              <w:rPr>
                <w:rFonts w:ascii="仿宋" w:eastAsia="仿宋" w:hAnsi="仿宋" w:cs="仿宋"/>
                <w:kern w:val="1"/>
                <w:sz w:val="24"/>
              </w:rPr>
            </w:pPr>
          </w:p>
        </w:tc>
        <w:tc>
          <w:tcPr>
            <w:tcW w:w="2537" w:type="dxa"/>
            <w:vAlign w:val="center"/>
          </w:tcPr>
          <w:p w:rsidR="00013EC7" w:rsidRDefault="00575CDB">
            <w:pPr>
              <w:rPr>
                <w:rFonts w:ascii="仿宋" w:eastAsia="仿宋" w:hAnsi="仿宋" w:cs="仿宋"/>
                <w:kern w:val="1"/>
                <w:sz w:val="24"/>
              </w:rPr>
            </w:pPr>
            <w:r>
              <w:rPr>
                <w:rFonts w:ascii="仿宋" w:eastAsia="仿宋" w:hAnsi="仿宋" w:cs="仿宋"/>
                <w:kern w:val="1"/>
                <w:sz w:val="24"/>
              </w:rPr>
              <w:t>（四）</w:t>
            </w:r>
            <w:r>
              <w:rPr>
                <w:rFonts w:ascii="仿宋" w:eastAsia="仿宋" w:hAnsi="仿宋" w:cs="仿宋" w:hint="eastAsia"/>
                <w:kern w:val="1"/>
                <w:sz w:val="24"/>
              </w:rPr>
              <w:t>委托方税务登记证副本或加载统一社会信用代码的营业执照复印件（注明与原件一致，并加盖公章）。</w:t>
            </w:r>
          </w:p>
        </w:tc>
        <w:tc>
          <w:tcPr>
            <w:tcW w:w="1196" w:type="dxa"/>
            <w:vMerge/>
            <w:vAlign w:val="center"/>
          </w:tcPr>
          <w:p w:rsidR="00013EC7" w:rsidRDefault="00013EC7">
            <w:pPr>
              <w:spacing w:line="300" w:lineRule="exact"/>
              <w:jc w:val="center"/>
              <w:rPr>
                <w:rFonts w:ascii="仿宋" w:eastAsia="仿宋" w:hAnsi="仿宋" w:cs="仿宋"/>
                <w:b/>
                <w:i/>
                <w:color w:val="0000FF"/>
                <w:sz w:val="24"/>
              </w:rPr>
            </w:pPr>
          </w:p>
        </w:tc>
        <w:tc>
          <w:tcPr>
            <w:tcW w:w="3318" w:type="dxa"/>
            <w:vMerge/>
            <w:vAlign w:val="center"/>
          </w:tcPr>
          <w:p w:rsidR="00013EC7" w:rsidRDefault="00013EC7">
            <w:pPr>
              <w:spacing w:line="300" w:lineRule="exact"/>
              <w:rPr>
                <w:rFonts w:ascii="仿宋" w:eastAsia="仿宋" w:hAnsi="仿宋" w:cs="仿宋"/>
                <w:color w:val="0000FF"/>
                <w:sz w:val="24"/>
              </w:rPr>
            </w:pPr>
          </w:p>
        </w:tc>
        <w:tc>
          <w:tcPr>
            <w:tcW w:w="868" w:type="dxa"/>
            <w:vMerge/>
            <w:vAlign w:val="center"/>
          </w:tcPr>
          <w:p w:rsidR="00013EC7" w:rsidRDefault="00013EC7">
            <w:pPr>
              <w:rPr>
                <w:rFonts w:ascii="仿宋" w:eastAsia="仿宋" w:hAnsi="仿宋" w:cs="仿宋"/>
                <w:sz w:val="24"/>
              </w:rPr>
            </w:pPr>
          </w:p>
        </w:tc>
        <w:tc>
          <w:tcPr>
            <w:tcW w:w="789" w:type="dxa"/>
            <w:vMerge/>
            <w:vAlign w:val="center"/>
          </w:tcPr>
          <w:p w:rsidR="00013EC7" w:rsidRDefault="00013EC7">
            <w:pPr>
              <w:rPr>
                <w:rFonts w:ascii="仿宋" w:eastAsia="仿宋" w:hAnsi="仿宋" w:cs="仿宋"/>
                <w:sz w:val="24"/>
              </w:rPr>
            </w:pPr>
          </w:p>
        </w:tc>
        <w:tc>
          <w:tcPr>
            <w:tcW w:w="967"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bl>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jc w:val="center"/>
        <w:rPr>
          <w:rFonts w:eastAsia="方正书宋简体"/>
          <w:szCs w:val="21"/>
        </w:rPr>
      </w:pPr>
    </w:p>
    <w:p w:rsidR="00013EC7" w:rsidRDefault="00575CDB">
      <w:pPr>
        <w:jc w:val="center"/>
        <w:rPr>
          <w:rFonts w:eastAsia="方正书宋简体"/>
          <w:szCs w:val="21"/>
        </w:rPr>
      </w:pPr>
      <w:r>
        <w:object w:dxaOrig="8227" w:dyaOrig="11534">
          <v:shape id="_x0000_i1210" type="#_x0000_t75" style="width:411.35pt;height:576.7pt" o:ole="">
            <v:imagedata r:id="rId490" o:title=""/>
          </v:shape>
          <o:OLEObject Type="Embed" ProgID="Visio.Drawing.11" ShapeID="_x0000_i1210" DrawAspect="Content" ObjectID="_1577296130" r:id="rId491"/>
        </w:object>
      </w:r>
      <w:r>
        <w:rPr>
          <w:noProof/>
        </w:rPr>
        <w:drawing>
          <wp:inline distT="0" distB="0" distL="0" distR="0">
            <wp:extent cx="5205730" cy="7233920"/>
            <wp:effectExtent l="0" t="0" r="0" b="0"/>
            <wp:docPr id="189" name="图片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图片 189"/>
                    <pic:cNvPicPr>
                      <a:picLocks noChangeAspect="1" noChangeArrowheads="1"/>
                    </pic:cNvPicPr>
                  </pic:nvPicPr>
                  <pic:blipFill>
                    <a:blip r:embed="rId492">
                      <a:extLst>
                        <a:ext uri="{28A0092B-C50C-407E-A947-70E740481C1C}">
                          <a14:useLocalDpi xmlns:a14="http://schemas.microsoft.com/office/drawing/2010/main" val="0"/>
                        </a:ext>
                      </a:extLst>
                    </a:blip>
                    <a:srcRect/>
                    <a:stretch>
                      <a:fillRect/>
                    </a:stretch>
                  </pic:blipFill>
                  <pic:spPr>
                    <a:xfrm>
                      <a:off x="0" y="0"/>
                      <a:ext cx="5205730" cy="7233920"/>
                    </a:xfrm>
                    <a:prstGeom prst="rect">
                      <a:avLst/>
                    </a:prstGeom>
                    <a:noFill/>
                    <a:ln>
                      <a:noFill/>
                    </a:ln>
                  </pic:spPr>
                </pic:pic>
              </a:graphicData>
            </a:graphic>
          </wp:inline>
        </w:drawing>
      </w:r>
    </w:p>
    <w:p w:rsidR="00013EC7" w:rsidRDefault="00013EC7">
      <w:pPr>
        <w:rPr>
          <w:rFonts w:eastAsia="方正书宋简体"/>
          <w:szCs w:val="21"/>
        </w:rPr>
      </w:pPr>
    </w:p>
    <w:p w:rsidR="00013EC7" w:rsidRDefault="00013EC7">
      <w:pPr>
        <w:rPr>
          <w:rFonts w:ascii="宋体" w:hAnsi="宋体" w:cs="仿宋"/>
          <w:sz w:val="28"/>
          <w:szCs w:val="28"/>
        </w:rPr>
      </w:pPr>
    </w:p>
    <w:p w:rsidR="00013EC7" w:rsidRDefault="00013EC7">
      <w:pPr>
        <w:rPr>
          <w:rFonts w:ascii="宋体" w:hAnsi="宋体" w:cs="仿宋"/>
          <w:sz w:val="28"/>
          <w:szCs w:val="28"/>
        </w:rPr>
      </w:pPr>
    </w:p>
    <w:p w:rsidR="00013EC7" w:rsidRDefault="00575CDB">
      <w:pPr>
        <w:pStyle w:val="2"/>
      </w:pPr>
      <w:bookmarkStart w:id="610" w:name="_Toc503467490"/>
      <w:bookmarkStart w:id="611" w:name="_Toc17841"/>
      <w:bookmarkStart w:id="612" w:name="_Toc24986"/>
      <w:bookmarkStart w:id="613" w:name="_Toc15940"/>
      <w:r>
        <w:rPr>
          <w:rFonts w:hint="eastAsia"/>
        </w:rPr>
        <w:t>29.9</w:t>
      </w:r>
      <w:r>
        <w:rPr>
          <w:rFonts w:hint="eastAsia"/>
        </w:rPr>
        <w:t>《出口货物退运已补税（未退税）证明》开具</w:t>
      </w:r>
      <w:bookmarkEnd w:id="610"/>
      <w:bookmarkEnd w:id="611"/>
      <w:bookmarkEnd w:id="612"/>
      <w:bookmarkEnd w:id="613"/>
    </w:p>
    <w:p w:rsidR="00013EC7" w:rsidRDefault="00575CDB">
      <w:pPr>
        <w:jc w:val="center"/>
        <w:rPr>
          <w:rFonts w:ascii="宋体" w:hAnsi="宋体" w:cs="宋体"/>
          <w:b/>
          <w:bCs/>
          <w:sz w:val="52"/>
          <w:szCs w:val="52"/>
        </w:rPr>
      </w:pPr>
      <w:r>
        <w:rPr>
          <w:rFonts w:ascii="宋体" w:hAnsi="宋体" w:cs="宋体" w:hint="eastAsia"/>
          <w:b/>
          <w:bCs/>
          <w:sz w:val="52"/>
          <w:szCs w:val="52"/>
        </w:rPr>
        <w:t>全省“最多跑一次”事项“八统一”梳理表</w:t>
      </w:r>
    </w:p>
    <w:p w:rsidR="00013EC7" w:rsidRDefault="00013EC7">
      <w:pPr>
        <w:rPr>
          <w:rFonts w:ascii="宋体" w:hAnsi="宋体" w:cs="宋体"/>
          <w:b/>
          <w:bCs/>
          <w:sz w:val="44"/>
          <w:szCs w:val="44"/>
        </w:rPr>
      </w:pPr>
    </w:p>
    <w:tbl>
      <w:tblPr>
        <w:tblW w:w="20838"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1250"/>
        <w:gridCol w:w="1316"/>
        <w:gridCol w:w="2114"/>
        <w:gridCol w:w="2785"/>
        <w:gridCol w:w="1118"/>
        <w:gridCol w:w="2537"/>
        <w:gridCol w:w="1196"/>
        <w:gridCol w:w="3318"/>
        <w:gridCol w:w="868"/>
        <w:gridCol w:w="789"/>
        <w:gridCol w:w="967"/>
        <w:gridCol w:w="1104"/>
        <w:gridCol w:w="1476"/>
      </w:tblGrid>
      <w:tr w:rsidR="00013EC7">
        <w:trPr>
          <w:trHeight w:val="340"/>
          <w:tblHeader/>
          <w:jc w:val="center"/>
        </w:trPr>
        <w:tc>
          <w:tcPr>
            <w:tcW w:w="1250"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主项名称</w:t>
            </w:r>
          </w:p>
        </w:tc>
        <w:tc>
          <w:tcPr>
            <w:tcW w:w="1316"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子项名称</w:t>
            </w:r>
          </w:p>
        </w:tc>
        <w:tc>
          <w:tcPr>
            <w:tcW w:w="2114"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经办依据</w:t>
            </w:r>
          </w:p>
        </w:tc>
        <w:tc>
          <w:tcPr>
            <w:tcW w:w="3903"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原经办所需材料</w:t>
            </w:r>
          </w:p>
        </w:tc>
        <w:tc>
          <w:tcPr>
            <w:tcW w:w="7051" w:type="dxa"/>
            <w:gridSpan w:val="3"/>
            <w:vAlign w:val="center"/>
          </w:tcPr>
          <w:p w:rsidR="00013EC7" w:rsidRDefault="00575CDB">
            <w:pPr>
              <w:spacing w:line="280" w:lineRule="exact"/>
              <w:jc w:val="center"/>
              <w:rPr>
                <w:rFonts w:ascii="黑体" w:eastAsia="黑体"/>
                <w:sz w:val="24"/>
              </w:rPr>
            </w:pPr>
            <w:r>
              <w:rPr>
                <w:rFonts w:ascii="黑体" w:eastAsia="黑体" w:hint="eastAsia"/>
                <w:sz w:val="24"/>
              </w:rPr>
              <w:t>梳理后经办所需材料</w:t>
            </w:r>
          </w:p>
        </w:tc>
        <w:tc>
          <w:tcPr>
            <w:tcW w:w="1657"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办理时限</w:t>
            </w:r>
          </w:p>
        </w:tc>
        <w:tc>
          <w:tcPr>
            <w:tcW w:w="967"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是否实现跑零次</w:t>
            </w:r>
          </w:p>
        </w:tc>
        <w:tc>
          <w:tcPr>
            <w:tcW w:w="1104"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省厅对口</w:t>
            </w:r>
          </w:p>
          <w:p w:rsidR="00013EC7" w:rsidRDefault="00575CDB">
            <w:pPr>
              <w:spacing w:line="280" w:lineRule="exact"/>
              <w:jc w:val="center"/>
              <w:rPr>
                <w:rFonts w:ascii="黑体" w:eastAsia="黑体"/>
                <w:sz w:val="24"/>
              </w:rPr>
            </w:pPr>
            <w:r>
              <w:rPr>
                <w:rFonts w:ascii="黑体" w:eastAsia="黑体" w:hint="eastAsia"/>
                <w:sz w:val="24"/>
              </w:rPr>
              <w:t>指导处室</w:t>
            </w:r>
          </w:p>
          <w:p w:rsidR="00013EC7" w:rsidRDefault="00575CDB">
            <w:pPr>
              <w:spacing w:line="280" w:lineRule="exact"/>
              <w:jc w:val="center"/>
              <w:rPr>
                <w:rFonts w:ascii="黑体" w:eastAsia="黑体"/>
                <w:sz w:val="24"/>
              </w:rPr>
            </w:pPr>
            <w:r>
              <w:rPr>
                <w:rFonts w:ascii="黑体" w:eastAsia="黑体" w:hint="eastAsia"/>
                <w:sz w:val="24"/>
              </w:rPr>
              <w:t>（单位）</w:t>
            </w:r>
          </w:p>
        </w:tc>
        <w:tc>
          <w:tcPr>
            <w:tcW w:w="1476"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进一步精简、</w:t>
            </w:r>
          </w:p>
          <w:p w:rsidR="00013EC7" w:rsidRDefault="00575CDB">
            <w:pPr>
              <w:spacing w:line="280" w:lineRule="exact"/>
              <w:jc w:val="center"/>
              <w:rPr>
                <w:rFonts w:ascii="黑体" w:eastAsia="黑体"/>
                <w:sz w:val="24"/>
              </w:rPr>
            </w:pPr>
            <w:r>
              <w:rPr>
                <w:rFonts w:ascii="黑体" w:eastAsia="黑体" w:hint="eastAsia"/>
                <w:sz w:val="24"/>
              </w:rPr>
              <w:t>规范建议</w:t>
            </w:r>
          </w:p>
        </w:tc>
      </w:tr>
      <w:tr w:rsidR="00013EC7">
        <w:trPr>
          <w:trHeight w:val="340"/>
          <w:tblHeader/>
          <w:jc w:val="center"/>
        </w:trPr>
        <w:tc>
          <w:tcPr>
            <w:tcW w:w="1250" w:type="dxa"/>
            <w:vMerge/>
            <w:vAlign w:val="center"/>
          </w:tcPr>
          <w:p w:rsidR="00013EC7" w:rsidRDefault="00013EC7">
            <w:pPr>
              <w:rPr>
                <w:sz w:val="24"/>
              </w:rPr>
            </w:pPr>
          </w:p>
        </w:tc>
        <w:tc>
          <w:tcPr>
            <w:tcW w:w="1316" w:type="dxa"/>
            <w:vMerge/>
          </w:tcPr>
          <w:p w:rsidR="00013EC7" w:rsidRDefault="00013EC7">
            <w:pPr>
              <w:rPr>
                <w:sz w:val="24"/>
              </w:rPr>
            </w:pPr>
          </w:p>
        </w:tc>
        <w:tc>
          <w:tcPr>
            <w:tcW w:w="2114" w:type="dxa"/>
            <w:vMerge/>
          </w:tcPr>
          <w:p w:rsidR="00013EC7" w:rsidRDefault="00013EC7">
            <w:pPr>
              <w:rPr>
                <w:sz w:val="24"/>
              </w:rPr>
            </w:pPr>
          </w:p>
        </w:tc>
        <w:tc>
          <w:tcPr>
            <w:tcW w:w="2785" w:type="dxa"/>
            <w:tcBorders>
              <w:bottom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118"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2537" w:type="dxa"/>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196"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3318" w:type="dxa"/>
            <w:vAlign w:val="center"/>
          </w:tcPr>
          <w:p w:rsidR="00013EC7" w:rsidRDefault="00575CDB">
            <w:pPr>
              <w:spacing w:line="280" w:lineRule="exact"/>
              <w:jc w:val="center"/>
              <w:rPr>
                <w:rFonts w:ascii="黑体" w:eastAsia="黑体"/>
                <w:sz w:val="24"/>
              </w:rPr>
            </w:pPr>
            <w:r>
              <w:rPr>
                <w:rFonts w:ascii="黑体" w:eastAsia="黑体" w:hint="eastAsia"/>
                <w:sz w:val="24"/>
              </w:rPr>
              <w:t>办理方式及材料</w:t>
            </w:r>
          </w:p>
          <w:p w:rsidR="00013EC7" w:rsidRDefault="00575CDB">
            <w:pPr>
              <w:spacing w:line="280" w:lineRule="exact"/>
              <w:jc w:val="center"/>
              <w:rPr>
                <w:rFonts w:ascii="黑体" w:eastAsia="黑体"/>
                <w:sz w:val="24"/>
              </w:rPr>
            </w:pPr>
            <w:r>
              <w:rPr>
                <w:rFonts w:ascii="黑体" w:eastAsia="黑体" w:hint="eastAsia"/>
                <w:sz w:val="24"/>
              </w:rPr>
              <w:t>信息获取方式说明</w:t>
            </w:r>
          </w:p>
        </w:tc>
        <w:tc>
          <w:tcPr>
            <w:tcW w:w="868" w:type="dxa"/>
            <w:vAlign w:val="center"/>
          </w:tcPr>
          <w:p w:rsidR="00013EC7" w:rsidRDefault="00575CDB">
            <w:pPr>
              <w:spacing w:line="280" w:lineRule="exact"/>
              <w:jc w:val="center"/>
              <w:rPr>
                <w:rFonts w:ascii="黑体" w:eastAsia="黑体"/>
                <w:sz w:val="24"/>
              </w:rPr>
            </w:pPr>
            <w:r>
              <w:rPr>
                <w:rFonts w:ascii="黑体" w:eastAsia="黑体" w:hint="eastAsia"/>
                <w:sz w:val="24"/>
              </w:rPr>
              <w:t>优化前</w:t>
            </w:r>
          </w:p>
        </w:tc>
        <w:tc>
          <w:tcPr>
            <w:tcW w:w="789" w:type="dxa"/>
            <w:vAlign w:val="center"/>
          </w:tcPr>
          <w:p w:rsidR="00013EC7" w:rsidRDefault="00575CDB">
            <w:pPr>
              <w:spacing w:line="280" w:lineRule="exact"/>
              <w:jc w:val="center"/>
              <w:rPr>
                <w:rFonts w:ascii="黑体" w:eastAsia="黑体"/>
                <w:sz w:val="24"/>
              </w:rPr>
            </w:pPr>
            <w:r>
              <w:rPr>
                <w:rFonts w:ascii="黑体" w:eastAsia="黑体" w:hint="eastAsia"/>
                <w:sz w:val="24"/>
              </w:rPr>
              <w:t>优化后</w:t>
            </w:r>
          </w:p>
        </w:tc>
        <w:tc>
          <w:tcPr>
            <w:tcW w:w="967" w:type="dxa"/>
            <w:vMerge/>
            <w:vAlign w:val="center"/>
          </w:tcPr>
          <w:p w:rsidR="00013EC7" w:rsidRDefault="00013EC7">
            <w:pPr>
              <w:rPr>
                <w:sz w:val="24"/>
              </w:rPr>
            </w:pPr>
          </w:p>
        </w:tc>
        <w:tc>
          <w:tcPr>
            <w:tcW w:w="1104" w:type="dxa"/>
            <w:vMerge/>
            <w:vAlign w:val="center"/>
          </w:tcPr>
          <w:p w:rsidR="00013EC7" w:rsidRDefault="00013EC7">
            <w:pPr>
              <w:rPr>
                <w:sz w:val="24"/>
              </w:rPr>
            </w:pPr>
          </w:p>
        </w:tc>
        <w:tc>
          <w:tcPr>
            <w:tcW w:w="1476" w:type="dxa"/>
            <w:vMerge/>
            <w:vAlign w:val="center"/>
          </w:tcPr>
          <w:p w:rsidR="00013EC7" w:rsidRDefault="00013EC7">
            <w:pPr>
              <w:rPr>
                <w:sz w:val="24"/>
              </w:rPr>
            </w:pPr>
          </w:p>
        </w:tc>
      </w:tr>
      <w:tr w:rsidR="00013EC7">
        <w:trPr>
          <w:trHeight w:val="1475"/>
          <w:jc w:val="center"/>
        </w:trPr>
        <w:tc>
          <w:tcPr>
            <w:tcW w:w="1250" w:type="dxa"/>
            <w:vMerge w:val="restart"/>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29.出口退（免）税事项办理</w:t>
            </w:r>
          </w:p>
        </w:tc>
        <w:tc>
          <w:tcPr>
            <w:tcW w:w="1316" w:type="dxa"/>
            <w:vMerge w:val="restart"/>
            <w:vAlign w:val="center"/>
          </w:tcPr>
          <w:p w:rsidR="00013EC7" w:rsidRDefault="00575CDB">
            <w:pPr>
              <w:spacing w:line="310" w:lineRule="exact"/>
              <w:rPr>
                <w:rFonts w:ascii="仿宋" w:eastAsia="仿宋" w:hAnsi="仿宋" w:cs="仿宋"/>
                <w:sz w:val="24"/>
              </w:rPr>
            </w:pPr>
            <w:r>
              <w:rPr>
                <w:rFonts w:ascii="仿宋" w:eastAsia="仿宋" w:hAnsi="仿宋" w:cs="仿宋" w:hint="eastAsia"/>
                <w:sz w:val="24"/>
              </w:rPr>
              <w:t>29.9《出口货物退运已补税（未退税）证明》开具</w:t>
            </w:r>
          </w:p>
        </w:tc>
        <w:tc>
          <w:tcPr>
            <w:tcW w:w="2114" w:type="dxa"/>
            <w:vMerge w:val="restart"/>
            <w:vAlign w:val="center"/>
          </w:tcPr>
          <w:p w:rsidR="00013EC7" w:rsidRDefault="00575CDB">
            <w:pPr>
              <w:jc w:val="left"/>
              <w:rPr>
                <w:rFonts w:ascii="仿宋" w:eastAsia="仿宋" w:hAnsi="仿宋" w:cs="仿宋"/>
                <w:kern w:val="1"/>
                <w:sz w:val="24"/>
              </w:rPr>
            </w:pPr>
            <w:r>
              <w:rPr>
                <w:rFonts w:ascii="仿宋" w:eastAsia="仿宋" w:hAnsi="仿宋" w:cs="仿宋" w:hint="eastAsia"/>
                <w:kern w:val="1"/>
                <w:sz w:val="24"/>
              </w:rPr>
              <w:t>（一）</w:t>
            </w:r>
            <w:r>
              <w:rPr>
                <w:rFonts w:ascii="仿宋" w:eastAsia="仿宋" w:hAnsi="仿宋" w:cs="仿宋"/>
                <w:kern w:val="1"/>
                <w:sz w:val="24"/>
              </w:rPr>
              <w:t>《国家税务总局关于发布&lt;出口货物劳务增值税和消费税管理办法&gt;的公告》（国家税务总局公告2012年第24号）</w:t>
            </w:r>
            <w:r>
              <w:rPr>
                <w:rFonts w:ascii="仿宋" w:eastAsia="仿宋" w:hAnsi="仿宋" w:cs="仿宋" w:hint="eastAsia"/>
                <w:kern w:val="1"/>
                <w:sz w:val="24"/>
              </w:rPr>
              <w:t>第十条第(三)项。</w:t>
            </w:r>
          </w:p>
          <w:p w:rsidR="00013EC7" w:rsidRDefault="00575CDB">
            <w:pPr>
              <w:jc w:val="left"/>
              <w:rPr>
                <w:rFonts w:ascii="仿宋" w:eastAsia="仿宋" w:hAnsi="仿宋" w:cs="仿宋"/>
                <w:kern w:val="1"/>
                <w:sz w:val="24"/>
              </w:rPr>
            </w:pPr>
            <w:r>
              <w:rPr>
                <w:rFonts w:ascii="仿宋" w:eastAsia="仿宋" w:hAnsi="仿宋" w:cs="仿宋" w:hint="eastAsia"/>
                <w:kern w:val="1"/>
                <w:sz w:val="24"/>
              </w:rPr>
              <w:t>（二）</w:t>
            </w:r>
            <w:r>
              <w:rPr>
                <w:rFonts w:ascii="仿宋" w:eastAsia="仿宋" w:hAnsi="仿宋" w:cs="仿宋"/>
                <w:kern w:val="1"/>
                <w:sz w:val="24"/>
              </w:rPr>
              <w:t>《国家税务总局关于&lt;出口货物劳务增值税和消费税管理办法&gt;有关问题的公告》（国家税务总局公告2013年第12号）</w:t>
            </w:r>
            <w:r>
              <w:rPr>
                <w:rFonts w:ascii="仿宋" w:eastAsia="仿宋" w:hAnsi="仿宋" w:cs="仿宋" w:hint="eastAsia"/>
                <w:kern w:val="1"/>
                <w:sz w:val="24"/>
              </w:rPr>
              <w:t>第四条。</w:t>
            </w:r>
          </w:p>
          <w:p w:rsidR="00013EC7" w:rsidRDefault="00575CDB">
            <w:pPr>
              <w:jc w:val="left"/>
              <w:rPr>
                <w:rFonts w:ascii="仿宋" w:eastAsia="仿宋" w:hAnsi="仿宋" w:cs="仿宋"/>
                <w:kern w:val="1"/>
                <w:sz w:val="24"/>
              </w:rPr>
            </w:pPr>
            <w:r>
              <w:rPr>
                <w:rFonts w:ascii="仿宋" w:eastAsia="仿宋" w:hAnsi="仿宋" w:cs="仿宋" w:hint="eastAsia"/>
                <w:kern w:val="1"/>
                <w:sz w:val="24"/>
              </w:rPr>
              <w:t>（三）《浙江省国家税务局关于出口退（免）税无纸化申报的公告》（浙江省国家税务局公告</w:t>
            </w:r>
            <w:r>
              <w:rPr>
                <w:rFonts w:ascii="仿宋" w:eastAsia="仿宋" w:hAnsi="仿宋" w:cs="仿宋"/>
                <w:kern w:val="1"/>
                <w:sz w:val="24"/>
              </w:rPr>
              <w:t>2015</w:t>
            </w:r>
            <w:r>
              <w:rPr>
                <w:rFonts w:ascii="仿宋" w:eastAsia="仿宋" w:hAnsi="仿宋" w:cs="仿宋" w:hint="eastAsia"/>
                <w:kern w:val="1"/>
                <w:sz w:val="24"/>
              </w:rPr>
              <w:t>年第</w:t>
            </w:r>
            <w:r>
              <w:rPr>
                <w:rFonts w:ascii="仿宋" w:eastAsia="仿宋" w:hAnsi="仿宋" w:cs="仿宋"/>
                <w:kern w:val="1"/>
                <w:sz w:val="24"/>
              </w:rPr>
              <w:t>9</w:t>
            </w:r>
            <w:r>
              <w:rPr>
                <w:rFonts w:ascii="仿宋" w:eastAsia="仿宋" w:hAnsi="仿宋" w:cs="仿宋" w:hint="eastAsia"/>
                <w:kern w:val="1"/>
                <w:sz w:val="24"/>
              </w:rPr>
              <w:t>号）全文。</w:t>
            </w:r>
          </w:p>
        </w:tc>
        <w:tc>
          <w:tcPr>
            <w:tcW w:w="2785" w:type="dxa"/>
            <w:tcBorders>
              <w:top w:val="single" w:sz="4" w:space="0" w:color="auto"/>
              <w:bottom w:val="single" w:sz="4" w:space="0" w:color="auto"/>
            </w:tcBorders>
            <w:vAlign w:val="center"/>
          </w:tcPr>
          <w:p w:rsidR="00013EC7" w:rsidRDefault="005262E6">
            <w:pPr>
              <w:rPr>
                <w:rFonts w:ascii="仿宋" w:eastAsia="仿宋" w:hAnsi="仿宋" w:cs="仿宋"/>
                <w:kern w:val="1"/>
                <w:sz w:val="24"/>
              </w:rPr>
            </w:pPr>
            <w:hyperlink r:id="rId493" w:history="1">
              <w:r w:rsidR="00575CDB">
                <w:rPr>
                  <w:rFonts w:ascii="仿宋" w:eastAsia="仿宋" w:hAnsi="仿宋" w:cs="仿宋"/>
                  <w:kern w:val="1"/>
                  <w:sz w:val="24"/>
                </w:rPr>
                <w:t>（一）</w:t>
              </w:r>
              <w:r w:rsidR="00575CDB">
                <w:rPr>
                  <w:rFonts w:ascii="仿宋" w:eastAsia="仿宋" w:hAnsi="仿宋" w:cs="仿宋" w:hint="eastAsia"/>
                  <w:kern w:val="1"/>
                  <w:sz w:val="24"/>
                </w:rPr>
                <w:t>（A05016）《退运已补税（未退税）证明申请表》及申报电子数据。</w:t>
              </w:r>
            </w:hyperlink>
          </w:p>
        </w:tc>
        <w:tc>
          <w:tcPr>
            <w:tcW w:w="1118" w:type="dxa"/>
            <w:vMerge w:val="restart"/>
            <w:vAlign w:val="center"/>
          </w:tcPr>
          <w:p w:rsidR="00013EC7" w:rsidRDefault="00575CDB">
            <w:pPr>
              <w:spacing w:line="300" w:lineRule="exact"/>
              <w:jc w:val="center"/>
              <w:rPr>
                <w:rFonts w:ascii="仿宋" w:eastAsia="仿宋" w:hAnsi="仿宋" w:cs="仿宋"/>
                <w:kern w:val="1"/>
                <w:sz w:val="24"/>
              </w:rPr>
            </w:pPr>
            <w:r>
              <w:rPr>
                <w:rFonts w:ascii="仿宋" w:eastAsia="仿宋" w:hAnsi="仿宋" w:cs="仿宋" w:hint="eastAsia"/>
                <w:sz w:val="24"/>
              </w:rPr>
              <w:t>办理《出口货物退运已补税（未退税）证明》的出口企业纳税人提交</w:t>
            </w:r>
          </w:p>
        </w:tc>
        <w:tc>
          <w:tcPr>
            <w:tcW w:w="2537" w:type="dxa"/>
            <w:vAlign w:val="center"/>
          </w:tcPr>
          <w:p w:rsidR="00013EC7" w:rsidRDefault="005262E6">
            <w:pPr>
              <w:rPr>
                <w:rFonts w:ascii="仿宋" w:eastAsia="仿宋" w:hAnsi="仿宋" w:cs="仿宋"/>
                <w:kern w:val="1"/>
                <w:sz w:val="24"/>
              </w:rPr>
            </w:pPr>
            <w:hyperlink r:id="rId494" w:history="1">
              <w:r w:rsidR="00575CDB">
                <w:rPr>
                  <w:rFonts w:ascii="仿宋" w:eastAsia="仿宋" w:hAnsi="仿宋" w:cs="仿宋"/>
                  <w:kern w:val="1"/>
                  <w:sz w:val="24"/>
                </w:rPr>
                <w:t>（一）</w:t>
              </w:r>
              <w:r w:rsidR="00575CDB">
                <w:rPr>
                  <w:rFonts w:ascii="仿宋" w:eastAsia="仿宋" w:hAnsi="仿宋" w:cs="仿宋" w:hint="eastAsia"/>
                  <w:kern w:val="1"/>
                  <w:sz w:val="24"/>
                </w:rPr>
                <w:t>（A05016）《退运已补税（未退税）证明申请表》1份及其电子数据。</w:t>
              </w:r>
            </w:hyperlink>
          </w:p>
        </w:tc>
        <w:tc>
          <w:tcPr>
            <w:tcW w:w="1196" w:type="dxa"/>
            <w:vMerge w:val="restart"/>
            <w:vAlign w:val="center"/>
          </w:tcPr>
          <w:p w:rsidR="00013EC7" w:rsidRDefault="00575CDB">
            <w:pPr>
              <w:spacing w:line="300" w:lineRule="exact"/>
              <w:jc w:val="center"/>
              <w:rPr>
                <w:rFonts w:ascii="仿宋" w:eastAsia="仿宋" w:hAnsi="仿宋" w:cs="仿宋"/>
                <w:bCs/>
                <w:iCs/>
                <w:sz w:val="24"/>
                <w:highlight w:val="yellow"/>
              </w:rPr>
            </w:pPr>
            <w:r>
              <w:rPr>
                <w:rFonts w:ascii="仿宋" w:eastAsia="仿宋" w:hAnsi="仿宋" w:cs="仿宋" w:hint="eastAsia"/>
                <w:sz w:val="24"/>
              </w:rPr>
              <w:t>办理《出口货物退运已补税（未退税）证明》的出口企业纳税人提交</w:t>
            </w:r>
          </w:p>
        </w:tc>
        <w:tc>
          <w:tcPr>
            <w:tcW w:w="3318" w:type="dxa"/>
            <w:vAlign w:val="center"/>
          </w:tcPr>
          <w:p w:rsidR="00013EC7" w:rsidRDefault="00575CDB">
            <w:pPr>
              <w:spacing w:line="300" w:lineRule="exact"/>
              <w:rPr>
                <w:rFonts w:ascii="仿宋" w:eastAsia="仿宋" w:hAnsi="仿宋" w:cs="仿宋"/>
                <w:sz w:val="24"/>
                <w:highlight w:val="yellow"/>
              </w:rPr>
            </w:pPr>
            <w:r>
              <w:rPr>
                <w:rFonts w:ascii="仿宋" w:eastAsia="仿宋" w:hAnsi="仿宋" w:cs="仿宋" w:hint="eastAsia"/>
                <w:b/>
                <w:sz w:val="24"/>
              </w:rPr>
              <w:t>现场办理：</w:t>
            </w:r>
            <w:r>
              <w:rPr>
                <w:rFonts w:ascii="仿宋" w:eastAsia="仿宋" w:hAnsi="仿宋" w:cs="仿宋" w:hint="eastAsia"/>
                <w:sz w:val="24"/>
              </w:rPr>
              <w:t>纳税人提交书面材料（无纸化企业留存备查）。</w:t>
            </w:r>
            <w:r>
              <w:rPr>
                <w:rFonts w:ascii="仿宋" w:eastAsia="仿宋" w:hAnsi="仿宋" w:cs="仿宋" w:hint="eastAsia"/>
                <w:b/>
                <w:sz w:val="24"/>
              </w:rPr>
              <w:t>网上办理：</w:t>
            </w:r>
            <w:r>
              <w:rPr>
                <w:rFonts w:ascii="仿宋" w:eastAsia="仿宋" w:hAnsi="仿宋" w:cs="仿宋" w:hint="eastAsia"/>
                <w:sz w:val="24"/>
              </w:rPr>
              <w:t>登录浙江省国家税务局电子税务局提交电子数据。</w:t>
            </w:r>
          </w:p>
        </w:tc>
        <w:tc>
          <w:tcPr>
            <w:tcW w:w="868" w:type="dxa"/>
            <w:vMerge w:val="restart"/>
            <w:vAlign w:val="center"/>
          </w:tcPr>
          <w:p w:rsidR="00013EC7" w:rsidRDefault="00575CDB">
            <w:pPr>
              <w:jc w:val="center"/>
              <w:rPr>
                <w:rFonts w:ascii="仿宋" w:eastAsia="仿宋" w:hAnsi="仿宋" w:cs="仿宋"/>
                <w:sz w:val="24"/>
              </w:rPr>
            </w:pPr>
            <w:r>
              <w:rPr>
                <w:rFonts w:ascii="仿宋" w:eastAsia="仿宋" w:hAnsi="仿宋" w:cs="仿宋" w:hint="eastAsia"/>
                <w:sz w:val="24"/>
              </w:rPr>
              <w:t>5个工作日</w:t>
            </w:r>
          </w:p>
        </w:tc>
        <w:tc>
          <w:tcPr>
            <w:tcW w:w="789" w:type="dxa"/>
            <w:vMerge w:val="restart"/>
            <w:vAlign w:val="center"/>
          </w:tcPr>
          <w:p w:rsidR="00013EC7" w:rsidRDefault="00575CDB">
            <w:pPr>
              <w:jc w:val="center"/>
              <w:rPr>
                <w:rFonts w:ascii="仿宋" w:eastAsia="仿宋" w:hAnsi="仿宋" w:cs="仿宋"/>
                <w:sz w:val="24"/>
              </w:rPr>
            </w:pPr>
            <w:r>
              <w:rPr>
                <w:rFonts w:ascii="仿宋" w:eastAsia="仿宋" w:hAnsi="仿宋" w:cs="仿宋" w:hint="eastAsia"/>
                <w:sz w:val="24"/>
              </w:rPr>
              <w:t>对符合条件的，当场办结。相关资料信息等需进一步核实的，出具受理通知并自受理申请之日起5个工作日内办结。</w:t>
            </w:r>
          </w:p>
        </w:tc>
        <w:tc>
          <w:tcPr>
            <w:tcW w:w="967" w:type="dxa"/>
            <w:vMerge w:val="restart"/>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sz w:val="24"/>
              </w:rPr>
              <w:t>无纸化企业已实现跑零次</w:t>
            </w:r>
          </w:p>
        </w:tc>
        <w:tc>
          <w:tcPr>
            <w:tcW w:w="1104" w:type="dxa"/>
            <w:vMerge w:val="restart"/>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sz w:val="24"/>
              </w:rPr>
              <w:t>进出口处</w:t>
            </w:r>
          </w:p>
        </w:tc>
        <w:tc>
          <w:tcPr>
            <w:tcW w:w="1476" w:type="dxa"/>
            <w:vMerge w:val="restart"/>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邮寄回执</w:t>
            </w:r>
          </w:p>
        </w:tc>
      </w:tr>
      <w:tr w:rsidR="00013EC7">
        <w:trPr>
          <w:trHeight w:val="1699"/>
          <w:jc w:val="center"/>
        </w:trPr>
        <w:tc>
          <w:tcPr>
            <w:tcW w:w="1250" w:type="dxa"/>
            <w:vMerge/>
            <w:textDirection w:val="tbRlV"/>
            <w:vAlign w:val="center"/>
          </w:tcPr>
          <w:p w:rsidR="00013EC7" w:rsidRDefault="00013EC7">
            <w:pPr>
              <w:rPr>
                <w:rFonts w:ascii="仿宋" w:eastAsia="仿宋" w:hAnsi="仿宋" w:cs="仿宋"/>
                <w:sz w:val="24"/>
              </w:rPr>
            </w:pPr>
          </w:p>
        </w:tc>
        <w:tc>
          <w:tcPr>
            <w:tcW w:w="1316" w:type="dxa"/>
            <w:vMerge/>
            <w:vAlign w:val="center"/>
          </w:tcPr>
          <w:p w:rsidR="00013EC7" w:rsidRDefault="00013EC7">
            <w:pPr>
              <w:rPr>
                <w:rFonts w:ascii="仿宋" w:eastAsia="仿宋" w:hAnsi="仿宋" w:cs="仿宋"/>
                <w:sz w:val="24"/>
              </w:rPr>
            </w:pPr>
          </w:p>
        </w:tc>
        <w:tc>
          <w:tcPr>
            <w:tcW w:w="2114" w:type="dxa"/>
            <w:vMerge/>
            <w:vAlign w:val="center"/>
          </w:tcPr>
          <w:p w:rsidR="00013EC7" w:rsidRDefault="00013EC7">
            <w:pPr>
              <w:rPr>
                <w:rFonts w:ascii="仿宋" w:eastAsia="仿宋" w:hAnsi="仿宋" w:cs="仿宋"/>
                <w:sz w:val="24"/>
              </w:rPr>
            </w:pPr>
          </w:p>
        </w:tc>
        <w:tc>
          <w:tcPr>
            <w:tcW w:w="2785" w:type="dxa"/>
            <w:tcBorders>
              <w:top w:val="single" w:sz="4" w:space="0" w:color="auto"/>
            </w:tcBorders>
            <w:vAlign w:val="center"/>
          </w:tcPr>
          <w:p w:rsidR="00013EC7" w:rsidRDefault="00575CDB">
            <w:pPr>
              <w:rPr>
                <w:rFonts w:ascii="仿宋" w:eastAsia="仿宋" w:hAnsi="仿宋" w:cs="仿宋"/>
                <w:kern w:val="1"/>
                <w:sz w:val="24"/>
              </w:rPr>
            </w:pPr>
            <w:r>
              <w:rPr>
                <w:rFonts w:ascii="仿宋" w:eastAsia="仿宋" w:hAnsi="仿宋" w:cs="仿宋"/>
                <w:kern w:val="1"/>
                <w:sz w:val="24"/>
              </w:rPr>
              <w:t>（二）</w:t>
            </w:r>
            <w:r>
              <w:rPr>
                <w:rFonts w:ascii="仿宋" w:eastAsia="仿宋" w:hAnsi="仿宋" w:cs="仿宋" w:hint="eastAsia"/>
                <w:kern w:val="1"/>
                <w:sz w:val="24"/>
              </w:rPr>
              <w:t>出口发票（外贸企业不需提供）。</w:t>
            </w:r>
          </w:p>
        </w:tc>
        <w:tc>
          <w:tcPr>
            <w:tcW w:w="1118" w:type="dxa"/>
            <w:vMerge/>
            <w:vAlign w:val="center"/>
          </w:tcPr>
          <w:p w:rsidR="00013EC7" w:rsidRDefault="00013EC7">
            <w:pPr>
              <w:rPr>
                <w:rFonts w:ascii="仿宋" w:eastAsia="仿宋" w:hAnsi="仿宋" w:cs="仿宋"/>
                <w:kern w:val="1"/>
                <w:sz w:val="24"/>
              </w:rPr>
            </w:pPr>
          </w:p>
        </w:tc>
        <w:tc>
          <w:tcPr>
            <w:tcW w:w="2537" w:type="dxa"/>
            <w:vAlign w:val="center"/>
          </w:tcPr>
          <w:p w:rsidR="00013EC7" w:rsidRDefault="00575CDB">
            <w:pPr>
              <w:rPr>
                <w:rFonts w:ascii="仿宋" w:eastAsia="仿宋" w:hAnsi="仿宋" w:cs="仿宋"/>
                <w:kern w:val="1"/>
                <w:sz w:val="24"/>
              </w:rPr>
            </w:pPr>
            <w:r>
              <w:rPr>
                <w:rFonts w:ascii="仿宋" w:eastAsia="仿宋" w:hAnsi="仿宋" w:cs="仿宋"/>
                <w:kern w:val="1"/>
                <w:sz w:val="24"/>
              </w:rPr>
              <w:t>（二）</w:t>
            </w:r>
            <w:r>
              <w:rPr>
                <w:rFonts w:ascii="仿宋" w:eastAsia="仿宋" w:hAnsi="仿宋" w:cs="仿宋" w:hint="eastAsia"/>
                <w:kern w:val="1"/>
                <w:sz w:val="24"/>
              </w:rPr>
              <w:t>出口发票（外贸企业不需提供）。</w:t>
            </w:r>
          </w:p>
        </w:tc>
        <w:tc>
          <w:tcPr>
            <w:tcW w:w="1196" w:type="dxa"/>
            <w:vMerge/>
            <w:vAlign w:val="center"/>
          </w:tcPr>
          <w:p w:rsidR="00013EC7" w:rsidRDefault="00013EC7">
            <w:pPr>
              <w:spacing w:line="300" w:lineRule="exact"/>
              <w:jc w:val="center"/>
              <w:rPr>
                <w:rFonts w:ascii="仿宋" w:eastAsia="仿宋" w:hAnsi="仿宋" w:cs="仿宋"/>
                <w:sz w:val="24"/>
                <w:highlight w:val="yellow"/>
              </w:rPr>
            </w:pPr>
          </w:p>
        </w:tc>
        <w:tc>
          <w:tcPr>
            <w:tcW w:w="3318" w:type="dxa"/>
            <w:vAlign w:val="center"/>
          </w:tcPr>
          <w:p w:rsidR="00013EC7" w:rsidRDefault="00575CDB">
            <w:pPr>
              <w:spacing w:line="300" w:lineRule="exact"/>
              <w:rPr>
                <w:rFonts w:ascii="仿宋" w:eastAsia="仿宋" w:hAnsi="仿宋" w:cs="仿宋"/>
                <w:sz w:val="24"/>
                <w:highlight w:val="yellow"/>
              </w:rPr>
            </w:pPr>
            <w:r>
              <w:rPr>
                <w:rFonts w:ascii="仿宋" w:eastAsia="仿宋" w:hAnsi="仿宋" w:cs="仿宋" w:hint="eastAsia"/>
                <w:b/>
                <w:sz w:val="24"/>
              </w:rPr>
              <w:t>现场办理：</w:t>
            </w:r>
            <w:r>
              <w:rPr>
                <w:rFonts w:ascii="仿宋" w:eastAsia="仿宋" w:hAnsi="仿宋" w:cs="仿宋" w:hint="eastAsia"/>
                <w:sz w:val="24"/>
              </w:rPr>
              <w:t>纳税人提交书面材料（无纸化企业留存备查）。</w:t>
            </w:r>
          </w:p>
        </w:tc>
        <w:tc>
          <w:tcPr>
            <w:tcW w:w="868" w:type="dxa"/>
            <w:vMerge/>
            <w:vAlign w:val="center"/>
          </w:tcPr>
          <w:p w:rsidR="00013EC7" w:rsidRDefault="00013EC7">
            <w:pPr>
              <w:rPr>
                <w:rFonts w:ascii="仿宋" w:eastAsia="仿宋" w:hAnsi="仿宋" w:cs="仿宋"/>
                <w:sz w:val="24"/>
              </w:rPr>
            </w:pPr>
          </w:p>
        </w:tc>
        <w:tc>
          <w:tcPr>
            <w:tcW w:w="789" w:type="dxa"/>
            <w:vMerge/>
            <w:vAlign w:val="center"/>
          </w:tcPr>
          <w:p w:rsidR="00013EC7" w:rsidRDefault="00013EC7">
            <w:pPr>
              <w:rPr>
                <w:rFonts w:ascii="仿宋" w:eastAsia="仿宋" w:hAnsi="仿宋" w:cs="仿宋"/>
                <w:sz w:val="24"/>
              </w:rPr>
            </w:pPr>
          </w:p>
        </w:tc>
        <w:tc>
          <w:tcPr>
            <w:tcW w:w="967"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340"/>
          <w:jc w:val="center"/>
        </w:trPr>
        <w:tc>
          <w:tcPr>
            <w:tcW w:w="1250" w:type="dxa"/>
            <w:vMerge/>
            <w:textDirection w:val="tbRlV"/>
            <w:vAlign w:val="center"/>
          </w:tcPr>
          <w:p w:rsidR="00013EC7" w:rsidRDefault="00013EC7">
            <w:pPr>
              <w:rPr>
                <w:rFonts w:ascii="仿宋" w:eastAsia="仿宋" w:hAnsi="仿宋" w:cs="仿宋"/>
                <w:sz w:val="24"/>
              </w:rPr>
            </w:pPr>
          </w:p>
        </w:tc>
        <w:tc>
          <w:tcPr>
            <w:tcW w:w="1316" w:type="dxa"/>
            <w:vMerge/>
            <w:vAlign w:val="center"/>
          </w:tcPr>
          <w:p w:rsidR="00013EC7" w:rsidRDefault="00013EC7">
            <w:pPr>
              <w:rPr>
                <w:rFonts w:ascii="仿宋" w:eastAsia="仿宋" w:hAnsi="仿宋" w:cs="仿宋"/>
                <w:sz w:val="24"/>
              </w:rPr>
            </w:pPr>
          </w:p>
        </w:tc>
        <w:tc>
          <w:tcPr>
            <w:tcW w:w="2114" w:type="dxa"/>
            <w:vMerge/>
            <w:vAlign w:val="center"/>
          </w:tcPr>
          <w:p w:rsidR="00013EC7" w:rsidRDefault="00013EC7">
            <w:pPr>
              <w:rPr>
                <w:rFonts w:ascii="仿宋" w:eastAsia="仿宋" w:hAnsi="仿宋" w:cs="仿宋"/>
                <w:sz w:val="24"/>
              </w:rPr>
            </w:pPr>
          </w:p>
        </w:tc>
        <w:tc>
          <w:tcPr>
            <w:tcW w:w="2785" w:type="dxa"/>
            <w:vAlign w:val="center"/>
          </w:tcPr>
          <w:p w:rsidR="00013EC7" w:rsidRDefault="00575CDB">
            <w:pPr>
              <w:rPr>
                <w:rFonts w:ascii="仿宋" w:eastAsia="仿宋" w:hAnsi="仿宋" w:cs="仿宋"/>
                <w:kern w:val="1"/>
                <w:sz w:val="24"/>
              </w:rPr>
            </w:pPr>
            <w:r>
              <w:rPr>
                <w:rFonts w:ascii="仿宋" w:eastAsia="仿宋" w:hAnsi="仿宋" w:cs="仿宋"/>
                <w:kern w:val="1"/>
                <w:sz w:val="24"/>
              </w:rPr>
              <w:t>（三）</w:t>
            </w:r>
            <w:r>
              <w:rPr>
                <w:rFonts w:ascii="仿宋" w:eastAsia="仿宋" w:hAnsi="仿宋" w:cs="仿宋" w:hint="eastAsia"/>
                <w:kern w:val="1"/>
                <w:sz w:val="24"/>
              </w:rPr>
              <w:t>税收通用缴款书原件及复印件（退运发生时未申报退税的，以及生产企业发生退运的，不需提供）（注明与原件一致，并加盖公章）。</w:t>
            </w:r>
          </w:p>
        </w:tc>
        <w:tc>
          <w:tcPr>
            <w:tcW w:w="1118" w:type="dxa"/>
            <w:vMerge/>
            <w:vAlign w:val="center"/>
          </w:tcPr>
          <w:p w:rsidR="00013EC7" w:rsidRDefault="00013EC7">
            <w:pPr>
              <w:rPr>
                <w:rFonts w:ascii="仿宋" w:eastAsia="仿宋" w:hAnsi="仿宋" w:cs="仿宋"/>
                <w:kern w:val="1"/>
                <w:sz w:val="24"/>
              </w:rPr>
            </w:pPr>
          </w:p>
        </w:tc>
        <w:tc>
          <w:tcPr>
            <w:tcW w:w="2537" w:type="dxa"/>
            <w:vAlign w:val="center"/>
          </w:tcPr>
          <w:p w:rsidR="00013EC7" w:rsidRDefault="00575CDB">
            <w:pPr>
              <w:rPr>
                <w:rFonts w:ascii="仿宋" w:eastAsia="仿宋" w:hAnsi="仿宋" w:cs="仿宋"/>
                <w:kern w:val="1"/>
                <w:sz w:val="24"/>
              </w:rPr>
            </w:pPr>
            <w:r>
              <w:rPr>
                <w:rFonts w:ascii="仿宋" w:eastAsia="仿宋" w:hAnsi="仿宋" w:cs="仿宋"/>
                <w:kern w:val="1"/>
                <w:sz w:val="24"/>
              </w:rPr>
              <w:t>（三）</w:t>
            </w:r>
            <w:r>
              <w:rPr>
                <w:rFonts w:ascii="仿宋" w:eastAsia="仿宋" w:hAnsi="仿宋" w:cs="仿宋" w:hint="eastAsia"/>
                <w:kern w:val="1"/>
                <w:sz w:val="24"/>
              </w:rPr>
              <w:t>税收通用缴款书复印件（退运发生时未申报退税的，以及生产企业发生退运的，不需提供）（注明与原件一致，并加盖公章）。</w:t>
            </w:r>
          </w:p>
        </w:tc>
        <w:tc>
          <w:tcPr>
            <w:tcW w:w="1196" w:type="dxa"/>
            <w:vAlign w:val="center"/>
          </w:tcPr>
          <w:p w:rsidR="00013EC7" w:rsidRDefault="00575CDB">
            <w:pPr>
              <w:rPr>
                <w:rFonts w:ascii="仿宋" w:eastAsia="仿宋" w:hAnsi="仿宋" w:cs="仿宋"/>
                <w:b/>
                <w:i/>
                <w:sz w:val="24"/>
              </w:rPr>
            </w:pPr>
            <w:r>
              <w:rPr>
                <w:rFonts w:ascii="仿宋" w:eastAsia="仿宋" w:hAnsi="仿宋" w:cs="仿宋" w:hint="eastAsia"/>
                <w:b/>
                <w:i/>
                <w:sz w:val="24"/>
              </w:rPr>
              <w:t>经办机构自行获取</w:t>
            </w:r>
          </w:p>
        </w:tc>
        <w:tc>
          <w:tcPr>
            <w:tcW w:w="3318"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b/>
                <w:sz w:val="24"/>
              </w:rPr>
              <w:t>内部共享：</w:t>
            </w:r>
            <w:r>
              <w:rPr>
                <w:rFonts w:ascii="仿宋" w:eastAsia="仿宋" w:hAnsi="仿宋" w:cs="仿宋" w:hint="eastAsia"/>
                <w:sz w:val="24"/>
              </w:rPr>
              <w:t>内部共享获取相关信息（无纸化企业留存备查，非无纸化企业需提供书面材料）。</w:t>
            </w:r>
          </w:p>
        </w:tc>
        <w:tc>
          <w:tcPr>
            <w:tcW w:w="868" w:type="dxa"/>
            <w:vMerge/>
            <w:vAlign w:val="center"/>
          </w:tcPr>
          <w:p w:rsidR="00013EC7" w:rsidRDefault="00013EC7">
            <w:pPr>
              <w:rPr>
                <w:rFonts w:ascii="仿宋" w:eastAsia="仿宋" w:hAnsi="仿宋" w:cs="仿宋"/>
                <w:sz w:val="24"/>
              </w:rPr>
            </w:pPr>
          </w:p>
        </w:tc>
        <w:tc>
          <w:tcPr>
            <w:tcW w:w="789" w:type="dxa"/>
            <w:vMerge/>
            <w:vAlign w:val="center"/>
          </w:tcPr>
          <w:p w:rsidR="00013EC7" w:rsidRDefault="00013EC7">
            <w:pPr>
              <w:rPr>
                <w:rFonts w:ascii="仿宋" w:eastAsia="仿宋" w:hAnsi="仿宋" w:cs="仿宋"/>
                <w:sz w:val="24"/>
              </w:rPr>
            </w:pPr>
          </w:p>
        </w:tc>
        <w:tc>
          <w:tcPr>
            <w:tcW w:w="967"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340"/>
          <w:jc w:val="center"/>
        </w:trPr>
        <w:tc>
          <w:tcPr>
            <w:tcW w:w="1250" w:type="dxa"/>
            <w:vMerge/>
            <w:vAlign w:val="center"/>
          </w:tcPr>
          <w:p w:rsidR="00013EC7" w:rsidRDefault="00013EC7">
            <w:pPr>
              <w:rPr>
                <w:rFonts w:ascii="仿宋" w:eastAsia="仿宋" w:hAnsi="仿宋" w:cs="仿宋"/>
                <w:sz w:val="24"/>
              </w:rPr>
            </w:pPr>
          </w:p>
        </w:tc>
        <w:tc>
          <w:tcPr>
            <w:tcW w:w="1316" w:type="dxa"/>
            <w:vMerge/>
            <w:vAlign w:val="center"/>
          </w:tcPr>
          <w:p w:rsidR="00013EC7" w:rsidRDefault="00013EC7">
            <w:pPr>
              <w:rPr>
                <w:rFonts w:ascii="仿宋" w:eastAsia="仿宋" w:hAnsi="仿宋" w:cs="仿宋"/>
                <w:sz w:val="24"/>
              </w:rPr>
            </w:pPr>
          </w:p>
        </w:tc>
        <w:tc>
          <w:tcPr>
            <w:tcW w:w="2114" w:type="dxa"/>
            <w:vMerge/>
            <w:vAlign w:val="center"/>
          </w:tcPr>
          <w:p w:rsidR="00013EC7" w:rsidRDefault="00013EC7">
            <w:pPr>
              <w:rPr>
                <w:rFonts w:ascii="仿宋" w:eastAsia="仿宋" w:hAnsi="仿宋" w:cs="仿宋"/>
                <w:sz w:val="24"/>
              </w:rPr>
            </w:pPr>
          </w:p>
        </w:tc>
        <w:tc>
          <w:tcPr>
            <w:tcW w:w="2785" w:type="dxa"/>
            <w:vAlign w:val="center"/>
          </w:tcPr>
          <w:p w:rsidR="00013EC7" w:rsidRDefault="00575CDB">
            <w:pPr>
              <w:rPr>
                <w:rFonts w:ascii="仿宋" w:eastAsia="仿宋" w:hAnsi="仿宋" w:cs="仿宋"/>
                <w:kern w:val="1"/>
                <w:sz w:val="24"/>
              </w:rPr>
            </w:pPr>
            <w:r>
              <w:rPr>
                <w:rFonts w:ascii="仿宋" w:eastAsia="仿宋" w:hAnsi="仿宋" w:cs="仿宋"/>
                <w:kern w:val="1"/>
                <w:sz w:val="24"/>
              </w:rPr>
              <w:t>（四）</w:t>
            </w:r>
            <w:r>
              <w:rPr>
                <w:rFonts w:ascii="仿宋" w:eastAsia="仿宋" w:hAnsi="仿宋" w:cs="仿宋" w:hint="eastAsia"/>
                <w:kern w:val="1"/>
                <w:sz w:val="24"/>
              </w:rPr>
              <w:t>委托方主管税务机关开具的（A05026）《出口货物退运已补税（未退税）证明》 （涉及委托出口货物的企业提供）。</w:t>
            </w:r>
          </w:p>
        </w:tc>
        <w:tc>
          <w:tcPr>
            <w:tcW w:w="1118" w:type="dxa"/>
            <w:vMerge/>
            <w:vAlign w:val="center"/>
          </w:tcPr>
          <w:p w:rsidR="00013EC7" w:rsidRDefault="00013EC7">
            <w:pPr>
              <w:rPr>
                <w:rFonts w:ascii="仿宋" w:eastAsia="仿宋" w:hAnsi="仿宋" w:cs="仿宋"/>
                <w:kern w:val="1"/>
                <w:sz w:val="24"/>
              </w:rPr>
            </w:pPr>
          </w:p>
        </w:tc>
        <w:tc>
          <w:tcPr>
            <w:tcW w:w="2537" w:type="dxa"/>
            <w:vAlign w:val="center"/>
          </w:tcPr>
          <w:p w:rsidR="00013EC7" w:rsidRDefault="00575CDB">
            <w:pPr>
              <w:rPr>
                <w:rFonts w:ascii="仿宋" w:eastAsia="仿宋" w:hAnsi="仿宋" w:cs="仿宋"/>
                <w:kern w:val="1"/>
                <w:sz w:val="24"/>
              </w:rPr>
            </w:pPr>
            <w:r>
              <w:rPr>
                <w:rFonts w:ascii="仿宋" w:eastAsia="仿宋" w:hAnsi="仿宋" w:cs="仿宋"/>
                <w:kern w:val="1"/>
                <w:sz w:val="24"/>
              </w:rPr>
              <w:t>（四）</w:t>
            </w:r>
            <w:r>
              <w:rPr>
                <w:rFonts w:ascii="仿宋" w:eastAsia="仿宋" w:hAnsi="仿宋" w:cs="仿宋" w:hint="eastAsia"/>
                <w:kern w:val="1"/>
                <w:sz w:val="24"/>
              </w:rPr>
              <w:t>受托方主管税务机关开具的（A05066）《代理出口货物证明》 （涉及委托出口货物的企业提供）1份。</w:t>
            </w:r>
          </w:p>
        </w:tc>
        <w:tc>
          <w:tcPr>
            <w:tcW w:w="1196" w:type="dxa"/>
            <w:vAlign w:val="center"/>
          </w:tcPr>
          <w:p w:rsidR="00013EC7" w:rsidRDefault="00575CDB">
            <w:pPr>
              <w:rPr>
                <w:rFonts w:ascii="仿宋" w:eastAsia="仿宋" w:hAnsi="仿宋" w:cs="仿宋"/>
                <w:b/>
                <w:i/>
                <w:sz w:val="24"/>
              </w:rPr>
            </w:pPr>
            <w:r>
              <w:rPr>
                <w:rFonts w:ascii="仿宋" w:eastAsia="仿宋" w:hAnsi="仿宋" w:cs="仿宋" w:hint="eastAsia"/>
                <w:b/>
                <w:i/>
                <w:sz w:val="24"/>
              </w:rPr>
              <w:t>经办机构自行获取</w:t>
            </w:r>
          </w:p>
        </w:tc>
        <w:tc>
          <w:tcPr>
            <w:tcW w:w="3318"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b/>
                <w:sz w:val="24"/>
              </w:rPr>
              <w:t>内部共享：</w:t>
            </w:r>
            <w:r>
              <w:rPr>
                <w:rFonts w:ascii="仿宋" w:eastAsia="仿宋" w:hAnsi="仿宋" w:cs="仿宋" w:hint="eastAsia"/>
                <w:sz w:val="24"/>
              </w:rPr>
              <w:t>内部共享获取相关信息（无纸化企业留存备查，非无纸化企业需提供书面材料）。</w:t>
            </w:r>
          </w:p>
        </w:tc>
        <w:tc>
          <w:tcPr>
            <w:tcW w:w="868" w:type="dxa"/>
            <w:vMerge/>
            <w:vAlign w:val="center"/>
          </w:tcPr>
          <w:p w:rsidR="00013EC7" w:rsidRDefault="00013EC7">
            <w:pPr>
              <w:rPr>
                <w:rFonts w:ascii="仿宋" w:eastAsia="仿宋" w:hAnsi="仿宋" w:cs="仿宋"/>
                <w:sz w:val="24"/>
              </w:rPr>
            </w:pPr>
          </w:p>
        </w:tc>
        <w:tc>
          <w:tcPr>
            <w:tcW w:w="789" w:type="dxa"/>
            <w:vMerge/>
            <w:vAlign w:val="center"/>
          </w:tcPr>
          <w:p w:rsidR="00013EC7" w:rsidRDefault="00013EC7">
            <w:pPr>
              <w:rPr>
                <w:rFonts w:ascii="仿宋" w:eastAsia="仿宋" w:hAnsi="仿宋" w:cs="仿宋"/>
                <w:sz w:val="24"/>
              </w:rPr>
            </w:pPr>
          </w:p>
        </w:tc>
        <w:tc>
          <w:tcPr>
            <w:tcW w:w="967"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bl>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575CDB">
      <w:pPr>
        <w:jc w:val="center"/>
        <w:rPr>
          <w:rFonts w:eastAsia="方正书宋简体"/>
          <w:szCs w:val="21"/>
        </w:rPr>
      </w:pPr>
      <w:r>
        <w:object w:dxaOrig="8227" w:dyaOrig="11577">
          <v:shape id="_x0000_i1211" type="#_x0000_t75" style="width:411.35pt;height:579.45pt" o:ole="">
            <v:imagedata r:id="rId495" o:title=""/>
          </v:shape>
          <o:OLEObject Type="Embed" ProgID="Visio.Drawing.11" ShapeID="_x0000_i1211" DrawAspect="Content" ObjectID="_1577296131" r:id="rId496"/>
        </w:object>
      </w:r>
      <w:r>
        <w:object w:dxaOrig="8184" w:dyaOrig="11392">
          <v:shape id="_x0000_i1212" type="#_x0000_t75" style="width:409.6pt;height:569.6pt" o:ole="">
            <v:imagedata r:id="rId497" o:title=""/>
          </v:shape>
          <o:OLEObject Type="Embed" ProgID="Visio.Drawing.11" ShapeID="_x0000_i1212" DrawAspect="Content" ObjectID="_1577296132" r:id="rId498"/>
        </w:object>
      </w:r>
    </w:p>
    <w:p w:rsidR="00013EC7" w:rsidRDefault="00013EC7">
      <w:pPr>
        <w:rPr>
          <w:rFonts w:ascii="宋体" w:hAnsi="宋体" w:cs="仿宋"/>
          <w:sz w:val="28"/>
          <w:szCs w:val="28"/>
        </w:rPr>
      </w:pPr>
    </w:p>
    <w:p w:rsidR="00013EC7" w:rsidRDefault="00013EC7">
      <w:pPr>
        <w:rPr>
          <w:rFonts w:ascii="宋体" w:hAnsi="宋体" w:cs="仿宋"/>
          <w:sz w:val="28"/>
          <w:szCs w:val="28"/>
        </w:rPr>
      </w:pPr>
    </w:p>
    <w:p w:rsidR="00013EC7" w:rsidRDefault="00575CDB">
      <w:pPr>
        <w:pStyle w:val="2"/>
      </w:pPr>
      <w:bookmarkStart w:id="614" w:name="_Toc503467491"/>
      <w:bookmarkStart w:id="615" w:name="_Toc32743"/>
      <w:bookmarkStart w:id="616" w:name="_Toc9760"/>
      <w:bookmarkStart w:id="617" w:name="_Toc23686"/>
      <w:r>
        <w:rPr>
          <w:rFonts w:hint="eastAsia"/>
        </w:rPr>
        <w:t>29.10</w:t>
      </w:r>
      <w:r>
        <w:rPr>
          <w:rFonts w:hint="eastAsia"/>
        </w:rPr>
        <w:t>《出口货物转内销证明》开具</w:t>
      </w:r>
      <w:bookmarkEnd w:id="614"/>
      <w:bookmarkEnd w:id="615"/>
      <w:bookmarkEnd w:id="616"/>
      <w:bookmarkEnd w:id="617"/>
    </w:p>
    <w:p w:rsidR="00013EC7" w:rsidRDefault="00575CDB">
      <w:pPr>
        <w:jc w:val="center"/>
        <w:rPr>
          <w:rFonts w:ascii="宋体" w:hAnsi="宋体" w:cs="宋体"/>
          <w:b/>
          <w:bCs/>
          <w:sz w:val="52"/>
          <w:szCs w:val="52"/>
        </w:rPr>
      </w:pPr>
      <w:r>
        <w:rPr>
          <w:rFonts w:ascii="宋体" w:hAnsi="宋体" w:cs="宋体" w:hint="eastAsia"/>
          <w:b/>
          <w:bCs/>
          <w:sz w:val="52"/>
          <w:szCs w:val="52"/>
        </w:rPr>
        <w:t>全省“最多跑一次”事项“八统一”梳理表</w:t>
      </w:r>
    </w:p>
    <w:p w:rsidR="00013EC7" w:rsidRDefault="00013EC7">
      <w:pPr>
        <w:rPr>
          <w:rFonts w:ascii="宋体" w:hAnsi="宋体" w:cs="宋体"/>
          <w:b/>
          <w:bCs/>
          <w:sz w:val="44"/>
          <w:szCs w:val="44"/>
        </w:rPr>
      </w:pPr>
    </w:p>
    <w:tbl>
      <w:tblPr>
        <w:tblW w:w="20838"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1250"/>
        <w:gridCol w:w="1316"/>
        <w:gridCol w:w="2114"/>
        <w:gridCol w:w="2785"/>
        <w:gridCol w:w="1118"/>
        <w:gridCol w:w="2537"/>
        <w:gridCol w:w="1196"/>
        <w:gridCol w:w="3350"/>
        <w:gridCol w:w="836"/>
        <w:gridCol w:w="789"/>
        <w:gridCol w:w="967"/>
        <w:gridCol w:w="1104"/>
        <w:gridCol w:w="1476"/>
      </w:tblGrid>
      <w:tr w:rsidR="00013EC7">
        <w:trPr>
          <w:trHeight w:val="340"/>
          <w:tblHeader/>
          <w:jc w:val="center"/>
        </w:trPr>
        <w:tc>
          <w:tcPr>
            <w:tcW w:w="1250"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主项名称</w:t>
            </w:r>
          </w:p>
        </w:tc>
        <w:tc>
          <w:tcPr>
            <w:tcW w:w="1316"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子项名称</w:t>
            </w:r>
          </w:p>
        </w:tc>
        <w:tc>
          <w:tcPr>
            <w:tcW w:w="2114"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经办依据</w:t>
            </w:r>
          </w:p>
        </w:tc>
        <w:tc>
          <w:tcPr>
            <w:tcW w:w="3903"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原经办所需材料</w:t>
            </w:r>
          </w:p>
        </w:tc>
        <w:tc>
          <w:tcPr>
            <w:tcW w:w="7083" w:type="dxa"/>
            <w:gridSpan w:val="3"/>
            <w:vAlign w:val="center"/>
          </w:tcPr>
          <w:p w:rsidR="00013EC7" w:rsidRDefault="00575CDB">
            <w:pPr>
              <w:spacing w:line="280" w:lineRule="exact"/>
              <w:jc w:val="center"/>
              <w:rPr>
                <w:rFonts w:ascii="黑体" w:eastAsia="黑体"/>
                <w:sz w:val="24"/>
              </w:rPr>
            </w:pPr>
            <w:r>
              <w:rPr>
                <w:rFonts w:ascii="黑体" w:eastAsia="黑体" w:hint="eastAsia"/>
                <w:sz w:val="24"/>
              </w:rPr>
              <w:t>梳理后经办所需材料</w:t>
            </w:r>
          </w:p>
        </w:tc>
        <w:tc>
          <w:tcPr>
            <w:tcW w:w="1625"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办理时限</w:t>
            </w:r>
          </w:p>
        </w:tc>
        <w:tc>
          <w:tcPr>
            <w:tcW w:w="967"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是否实现跑零次</w:t>
            </w:r>
          </w:p>
        </w:tc>
        <w:tc>
          <w:tcPr>
            <w:tcW w:w="1104"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省厅对口</w:t>
            </w:r>
          </w:p>
          <w:p w:rsidR="00013EC7" w:rsidRDefault="00575CDB">
            <w:pPr>
              <w:spacing w:line="280" w:lineRule="exact"/>
              <w:jc w:val="center"/>
              <w:rPr>
                <w:rFonts w:ascii="黑体" w:eastAsia="黑体"/>
                <w:sz w:val="24"/>
              </w:rPr>
            </w:pPr>
            <w:r>
              <w:rPr>
                <w:rFonts w:ascii="黑体" w:eastAsia="黑体" w:hint="eastAsia"/>
                <w:sz w:val="24"/>
              </w:rPr>
              <w:t>指导处室</w:t>
            </w:r>
          </w:p>
          <w:p w:rsidR="00013EC7" w:rsidRDefault="00575CDB">
            <w:pPr>
              <w:spacing w:line="280" w:lineRule="exact"/>
              <w:jc w:val="center"/>
              <w:rPr>
                <w:rFonts w:ascii="黑体" w:eastAsia="黑体"/>
                <w:sz w:val="24"/>
              </w:rPr>
            </w:pPr>
            <w:r>
              <w:rPr>
                <w:rFonts w:ascii="黑体" w:eastAsia="黑体" w:hint="eastAsia"/>
                <w:sz w:val="24"/>
              </w:rPr>
              <w:t>（单位）</w:t>
            </w:r>
          </w:p>
        </w:tc>
        <w:tc>
          <w:tcPr>
            <w:tcW w:w="1476"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进一步精简、</w:t>
            </w:r>
          </w:p>
          <w:p w:rsidR="00013EC7" w:rsidRDefault="00575CDB">
            <w:pPr>
              <w:spacing w:line="280" w:lineRule="exact"/>
              <w:jc w:val="center"/>
              <w:rPr>
                <w:rFonts w:ascii="黑体" w:eastAsia="黑体"/>
                <w:sz w:val="24"/>
              </w:rPr>
            </w:pPr>
            <w:r>
              <w:rPr>
                <w:rFonts w:ascii="黑体" w:eastAsia="黑体" w:hint="eastAsia"/>
                <w:sz w:val="24"/>
              </w:rPr>
              <w:t>规范建议</w:t>
            </w:r>
          </w:p>
        </w:tc>
      </w:tr>
      <w:tr w:rsidR="00013EC7">
        <w:trPr>
          <w:trHeight w:val="340"/>
          <w:tblHeader/>
          <w:jc w:val="center"/>
        </w:trPr>
        <w:tc>
          <w:tcPr>
            <w:tcW w:w="1250" w:type="dxa"/>
            <w:vMerge/>
            <w:vAlign w:val="center"/>
          </w:tcPr>
          <w:p w:rsidR="00013EC7" w:rsidRDefault="00013EC7">
            <w:pPr>
              <w:rPr>
                <w:sz w:val="24"/>
              </w:rPr>
            </w:pPr>
          </w:p>
        </w:tc>
        <w:tc>
          <w:tcPr>
            <w:tcW w:w="1316" w:type="dxa"/>
            <w:vMerge/>
          </w:tcPr>
          <w:p w:rsidR="00013EC7" w:rsidRDefault="00013EC7">
            <w:pPr>
              <w:rPr>
                <w:sz w:val="24"/>
              </w:rPr>
            </w:pPr>
          </w:p>
        </w:tc>
        <w:tc>
          <w:tcPr>
            <w:tcW w:w="2114" w:type="dxa"/>
            <w:vMerge/>
          </w:tcPr>
          <w:p w:rsidR="00013EC7" w:rsidRDefault="00013EC7">
            <w:pPr>
              <w:rPr>
                <w:sz w:val="24"/>
              </w:rPr>
            </w:pPr>
          </w:p>
        </w:tc>
        <w:tc>
          <w:tcPr>
            <w:tcW w:w="2785" w:type="dxa"/>
            <w:tcBorders>
              <w:bottom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118"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2537" w:type="dxa"/>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196"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3350" w:type="dxa"/>
            <w:vAlign w:val="center"/>
          </w:tcPr>
          <w:p w:rsidR="00013EC7" w:rsidRDefault="00575CDB">
            <w:pPr>
              <w:spacing w:line="280" w:lineRule="exact"/>
              <w:jc w:val="center"/>
              <w:rPr>
                <w:rFonts w:ascii="黑体" w:eastAsia="黑体"/>
                <w:sz w:val="24"/>
              </w:rPr>
            </w:pPr>
            <w:r>
              <w:rPr>
                <w:rFonts w:ascii="黑体" w:eastAsia="黑体" w:hint="eastAsia"/>
                <w:sz w:val="24"/>
              </w:rPr>
              <w:t>办理方式及材料</w:t>
            </w:r>
          </w:p>
          <w:p w:rsidR="00013EC7" w:rsidRDefault="00575CDB">
            <w:pPr>
              <w:spacing w:line="280" w:lineRule="exact"/>
              <w:jc w:val="center"/>
              <w:rPr>
                <w:rFonts w:ascii="黑体" w:eastAsia="黑体"/>
                <w:sz w:val="24"/>
              </w:rPr>
            </w:pPr>
            <w:r>
              <w:rPr>
                <w:rFonts w:ascii="黑体" w:eastAsia="黑体" w:hint="eastAsia"/>
                <w:sz w:val="24"/>
              </w:rPr>
              <w:t>信息获取方式说明</w:t>
            </w:r>
          </w:p>
        </w:tc>
        <w:tc>
          <w:tcPr>
            <w:tcW w:w="836" w:type="dxa"/>
            <w:vAlign w:val="center"/>
          </w:tcPr>
          <w:p w:rsidR="00013EC7" w:rsidRDefault="00575CDB">
            <w:pPr>
              <w:spacing w:line="280" w:lineRule="exact"/>
              <w:jc w:val="center"/>
              <w:rPr>
                <w:rFonts w:ascii="黑体" w:eastAsia="黑体"/>
                <w:sz w:val="24"/>
              </w:rPr>
            </w:pPr>
            <w:r>
              <w:rPr>
                <w:rFonts w:ascii="黑体" w:eastAsia="黑体" w:hint="eastAsia"/>
                <w:sz w:val="24"/>
              </w:rPr>
              <w:t>优化前</w:t>
            </w:r>
          </w:p>
        </w:tc>
        <w:tc>
          <w:tcPr>
            <w:tcW w:w="789" w:type="dxa"/>
            <w:vAlign w:val="center"/>
          </w:tcPr>
          <w:p w:rsidR="00013EC7" w:rsidRDefault="00575CDB">
            <w:pPr>
              <w:spacing w:line="280" w:lineRule="exact"/>
              <w:jc w:val="center"/>
              <w:rPr>
                <w:rFonts w:ascii="黑体" w:eastAsia="黑体"/>
                <w:sz w:val="24"/>
              </w:rPr>
            </w:pPr>
            <w:r>
              <w:rPr>
                <w:rFonts w:ascii="黑体" w:eastAsia="黑体" w:hint="eastAsia"/>
                <w:sz w:val="24"/>
              </w:rPr>
              <w:t>优化后</w:t>
            </w:r>
          </w:p>
        </w:tc>
        <w:tc>
          <w:tcPr>
            <w:tcW w:w="967" w:type="dxa"/>
            <w:vMerge/>
            <w:vAlign w:val="center"/>
          </w:tcPr>
          <w:p w:rsidR="00013EC7" w:rsidRDefault="00013EC7">
            <w:pPr>
              <w:rPr>
                <w:sz w:val="24"/>
              </w:rPr>
            </w:pPr>
          </w:p>
        </w:tc>
        <w:tc>
          <w:tcPr>
            <w:tcW w:w="1104" w:type="dxa"/>
            <w:vMerge/>
            <w:vAlign w:val="center"/>
          </w:tcPr>
          <w:p w:rsidR="00013EC7" w:rsidRDefault="00013EC7">
            <w:pPr>
              <w:rPr>
                <w:sz w:val="24"/>
              </w:rPr>
            </w:pPr>
          </w:p>
        </w:tc>
        <w:tc>
          <w:tcPr>
            <w:tcW w:w="1476" w:type="dxa"/>
            <w:vMerge/>
            <w:vAlign w:val="center"/>
          </w:tcPr>
          <w:p w:rsidR="00013EC7" w:rsidRDefault="00013EC7">
            <w:pPr>
              <w:rPr>
                <w:sz w:val="24"/>
              </w:rPr>
            </w:pPr>
          </w:p>
        </w:tc>
      </w:tr>
      <w:tr w:rsidR="00013EC7">
        <w:trPr>
          <w:trHeight w:val="1475"/>
          <w:jc w:val="center"/>
        </w:trPr>
        <w:tc>
          <w:tcPr>
            <w:tcW w:w="1250" w:type="dxa"/>
            <w:vMerge w:val="restart"/>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29.出口退（免）税事项办理</w:t>
            </w:r>
          </w:p>
        </w:tc>
        <w:tc>
          <w:tcPr>
            <w:tcW w:w="1316" w:type="dxa"/>
            <w:vMerge w:val="restart"/>
            <w:vAlign w:val="center"/>
          </w:tcPr>
          <w:p w:rsidR="00013EC7" w:rsidRDefault="00575CDB">
            <w:pPr>
              <w:spacing w:line="310" w:lineRule="exact"/>
              <w:rPr>
                <w:rFonts w:ascii="仿宋" w:eastAsia="仿宋" w:hAnsi="仿宋" w:cs="仿宋"/>
                <w:sz w:val="24"/>
              </w:rPr>
            </w:pPr>
            <w:r>
              <w:rPr>
                <w:rFonts w:ascii="仿宋" w:eastAsia="仿宋" w:hAnsi="仿宋" w:cs="仿宋" w:hint="eastAsia"/>
                <w:sz w:val="24"/>
              </w:rPr>
              <w:t>29.10《出口货物转内销证明》开具</w:t>
            </w:r>
          </w:p>
        </w:tc>
        <w:tc>
          <w:tcPr>
            <w:tcW w:w="2114" w:type="dxa"/>
            <w:vMerge w:val="restart"/>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（一）</w:t>
            </w:r>
            <w:r>
              <w:rPr>
                <w:rFonts w:ascii="仿宋" w:eastAsia="仿宋" w:hAnsi="仿宋" w:cs="仿宋"/>
                <w:kern w:val="1"/>
                <w:sz w:val="24"/>
              </w:rPr>
              <w:t>《国家税务总局关于发布&lt;出口货物劳务增值税和消费税管理办法&gt;的公告》（国家税务总局公告2012年第24号）</w:t>
            </w:r>
            <w:r>
              <w:rPr>
                <w:rFonts w:ascii="仿宋" w:eastAsia="仿宋" w:hAnsi="仿宋" w:cs="仿宋" w:hint="eastAsia"/>
                <w:kern w:val="1"/>
                <w:sz w:val="24"/>
              </w:rPr>
              <w:t>第十条第(六)项</w:t>
            </w:r>
            <w:r>
              <w:rPr>
                <w:rFonts w:ascii="仿宋" w:eastAsia="仿宋" w:hAnsi="仿宋" w:cs="仿宋"/>
                <w:kern w:val="1"/>
                <w:sz w:val="24"/>
              </w:rPr>
              <w:t>。</w:t>
            </w:r>
          </w:p>
          <w:p w:rsidR="00013EC7" w:rsidRDefault="00575CDB">
            <w:pPr>
              <w:rPr>
                <w:rFonts w:ascii="仿宋" w:eastAsia="仿宋" w:hAnsi="仿宋" w:cs="仿宋"/>
                <w:kern w:val="1"/>
                <w:sz w:val="24"/>
              </w:rPr>
            </w:pPr>
            <w:r>
              <w:rPr>
                <w:rFonts w:ascii="仿宋" w:eastAsia="仿宋" w:hAnsi="仿宋" w:cs="仿宋" w:hint="eastAsia"/>
                <w:kern w:val="1"/>
                <w:sz w:val="24"/>
              </w:rPr>
              <w:t>（二）</w:t>
            </w:r>
            <w:bookmarkStart w:id="618" w:name="OLE_LINK5"/>
            <w:r>
              <w:rPr>
                <w:rFonts w:ascii="仿宋" w:eastAsia="仿宋" w:hAnsi="仿宋" w:cs="仿宋"/>
                <w:kern w:val="1"/>
                <w:sz w:val="24"/>
              </w:rPr>
              <w:t>《国家税务总局关于出口货物劳务增值税和消费税有关问题的公告》（国家税务总局公告2013年第65号）</w:t>
            </w:r>
            <w:r>
              <w:rPr>
                <w:rFonts w:ascii="仿宋" w:eastAsia="仿宋" w:hAnsi="仿宋" w:cs="仿宋" w:hint="eastAsia"/>
                <w:kern w:val="1"/>
                <w:sz w:val="24"/>
              </w:rPr>
              <w:t>第十二条</w:t>
            </w:r>
            <w:bookmarkEnd w:id="618"/>
            <w:r>
              <w:rPr>
                <w:rFonts w:ascii="仿宋" w:eastAsia="仿宋" w:hAnsi="仿宋" w:cs="仿宋"/>
                <w:kern w:val="1"/>
                <w:sz w:val="24"/>
              </w:rPr>
              <w:t>。</w:t>
            </w:r>
          </w:p>
          <w:p w:rsidR="00013EC7" w:rsidRDefault="00575CDB">
            <w:pPr>
              <w:rPr>
                <w:rFonts w:ascii="仿宋" w:eastAsia="仿宋" w:hAnsi="仿宋" w:cs="仿宋"/>
                <w:kern w:val="1"/>
                <w:sz w:val="24"/>
              </w:rPr>
            </w:pPr>
            <w:r>
              <w:rPr>
                <w:rFonts w:ascii="仿宋" w:eastAsia="仿宋" w:hAnsi="仿宋" w:cs="仿宋" w:hint="eastAsia"/>
                <w:kern w:val="1"/>
                <w:sz w:val="24"/>
              </w:rPr>
              <w:t>（三）《浙江省国家税务局关于出口退（免）税无纸化申报的公告》（浙江省国家税务局公告</w:t>
            </w:r>
            <w:r>
              <w:rPr>
                <w:rFonts w:ascii="仿宋" w:eastAsia="仿宋" w:hAnsi="仿宋" w:cs="仿宋"/>
                <w:kern w:val="1"/>
                <w:sz w:val="24"/>
              </w:rPr>
              <w:t>2015</w:t>
            </w:r>
            <w:r>
              <w:rPr>
                <w:rFonts w:ascii="仿宋" w:eastAsia="仿宋" w:hAnsi="仿宋" w:cs="仿宋" w:hint="eastAsia"/>
                <w:kern w:val="1"/>
                <w:sz w:val="24"/>
              </w:rPr>
              <w:t>年第</w:t>
            </w:r>
            <w:r>
              <w:rPr>
                <w:rFonts w:ascii="仿宋" w:eastAsia="仿宋" w:hAnsi="仿宋" w:cs="仿宋"/>
                <w:kern w:val="1"/>
                <w:sz w:val="24"/>
              </w:rPr>
              <w:t>9</w:t>
            </w:r>
            <w:r>
              <w:rPr>
                <w:rFonts w:ascii="仿宋" w:eastAsia="仿宋" w:hAnsi="仿宋" w:cs="仿宋" w:hint="eastAsia"/>
                <w:kern w:val="1"/>
                <w:sz w:val="24"/>
              </w:rPr>
              <w:t>号）全文。</w:t>
            </w:r>
          </w:p>
        </w:tc>
        <w:tc>
          <w:tcPr>
            <w:tcW w:w="2785" w:type="dxa"/>
            <w:tcBorders>
              <w:top w:val="single" w:sz="4" w:space="0" w:color="auto"/>
              <w:bottom w:val="single" w:sz="4" w:space="0" w:color="auto"/>
            </w:tcBorders>
            <w:vAlign w:val="center"/>
          </w:tcPr>
          <w:p w:rsidR="00013EC7" w:rsidRDefault="00575CDB">
            <w:pPr>
              <w:rPr>
                <w:rFonts w:ascii="仿宋" w:eastAsia="仿宋" w:hAnsi="仿宋" w:cs="仿宋"/>
                <w:kern w:val="1"/>
                <w:sz w:val="24"/>
              </w:rPr>
            </w:pPr>
            <w:r>
              <w:rPr>
                <w:rFonts w:ascii="仿宋" w:eastAsia="仿宋" w:hAnsi="仿宋" w:cs="仿宋"/>
                <w:kern w:val="1"/>
                <w:sz w:val="24"/>
              </w:rPr>
              <w:t>（一）</w:t>
            </w:r>
            <w:r>
              <w:rPr>
                <w:rFonts w:ascii="仿宋" w:eastAsia="仿宋" w:hAnsi="仿宋" w:cs="仿宋" w:hint="eastAsia"/>
                <w:kern w:val="1"/>
                <w:sz w:val="24"/>
              </w:rPr>
              <w:t>（A05018）《出口货物转内销证明申报表》及申报电子数据。</w:t>
            </w:r>
          </w:p>
        </w:tc>
        <w:tc>
          <w:tcPr>
            <w:tcW w:w="1118" w:type="dxa"/>
            <w:vMerge w:val="restart"/>
            <w:vAlign w:val="center"/>
          </w:tcPr>
          <w:p w:rsidR="00013EC7" w:rsidRDefault="00575CDB">
            <w:pPr>
              <w:spacing w:line="300" w:lineRule="exact"/>
              <w:jc w:val="center"/>
              <w:rPr>
                <w:rFonts w:ascii="仿宋" w:eastAsia="仿宋" w:hAnsi="仿宋" w:cs="仿宋"/>
                <w:kern w:val="1"/>
                <w:sz w:val="24"/>
              </w:rPr>
            </w:pPr>
            <w:r>
              <w:rPr>
                <w:rFonts w:ascii="仿宋" w:eastAsia="仿宋" w:hAnsi="仿宋" w:cs="仿宋" w:hint="eastAsia"/>
                <w:sz w:val="24"/>
              </w:rPr>
              <w:t>办理《出口货物转内销证明》的出口企业纳税人提交</w:t>
            </w:r>
          </w:p>
        </w:tc>
        <w:tc>
          <w:tcPr>
            <w:tcW w:w="2537" w:type="dxa"/>
            <w:vAlign w:val="center"/>
          </w:tcPr>
          <w:p w:rsidR="00013EC7" w:rsidRDefault="00575CDB">
            <w:pPr>
              <w:rPr>
                <w:rFonts w:ascii="仿宋" w:eastAsia="仿宋" w:hAnsi="仿宋" w:cs="仿宋"/>
                <w:kern w:val="1"/>
                <w:sz w:val="24"/>
              </w:rPr>
            </w:pPr>
            <w:r>
              <w:rPr>
                <w:rFonts w:ascii="仿宋" w:eastAsia="仿宋" w:hAnsi="仿宋" w:cs="仿宋"/>
                <w:kern w:val="1"/>
                <w:sz w:val="24"/>
              </w:rPr>
              <w:t>（一）</w:t>
            </w:r>
            <w:r>
              <w:rPr>
                <w:rFonts w:ascii="仿宋" w:eastAsia="仿宋" w:hAnsi="仿宋" w:cs="仿宋" w:hint="eastAsia"/>
                <w:kern w:val="1"/>
                <w:sz w:val="24"/>
              </w:rPr>
              <w:t>（A05018）《出口货物转内销证明申报表》1份及其电子数据。</w:t>
            </w:r>
          </w:p>
        </w:tc>
        <w:tc>
          <w:tcPr>
            <w:tcW w:w="1196" w:type="dxa"/>
            <w:vAlign w:val="center"/>
          </w:tcPr>
          <w:p w:rsidR="00013EC7" w:rsidRDefault="00575CDB">
            <w:pPr>
              <w:jc w:val="center"/>
              <w:rPr>
                <w:rFonts w:ascii="仿宋" w:eastAsia="仿宋" w:hAnsi="仿宋" w:cs="仿宋"/>
                <w:sz w:val="24"/>
              </w:rPr>
            </w:pPr>
            <w:r>
              <w:rPr>
                <w:rFonts w:ascii="仿宋" w:eastAsia="仿宋" w:hAnsi="仿宋" w:cs="仿宋" w:hint="eastAsia"/>
                <w:sz w:val="24"/>
              </w:rPr>
              <w:t>办理《出口货物转内销证明》的出口企业纳税人提交</w:t>
            </w:r>
          </w:p>
        </w:tc>
        <w:tc>
          <w:tcPr>
            <w:tcW w:w="3350" w:type="dxa"/>
            <w:vAlign w:val="center"/>
          </w:tcPr>
          <w:p w:rsidR="00013EC7" w:rsidRDefault="00575CDB">
            <w:pPr>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纳税人提交书面材料（无纸化企业留存备查）。</w:t>
            </w:r>
            <w:r>
              <w:rPr>
                <w:rFonts w:ascii="仿宋" w:eastAsia="仿宋" w:hAnsi="仿宋" w:cs="仿宋" w:hint="eastAsia"/>
                <w:b/>
                <w:sz w:val="24"/>
              </w:rPr>
              <w:t>网上办理：</w:t>
            </w:r>
            <w:r>
              <w:rPr>
                <w:rFonts w:ascii="仿宋" w:eastAsia="仿宋" w:hAnsi="仿宋" w:cs="仿宋" w:hint="eastAsia"/>
                <w:sz w:val="24"/>
              </w:rPr>
              <w:t>登录浙江省国家税务局电子税务局提交电子数据。</w:t>
            </w:r>
          </w:p>
        </w:tc>
        <w:tc>
          <w:tcPr>
            <w:tcW w:w="836" w:type="dxa"/>
            <w:vMerge w:val="restart"/>
            <w:vAlign w:val="center"/>
          </w:tcPr>
          <w:p w:rsidR="00013EC7" w:rsidRDefault="00575CDB">
            <w:pPr>
              <w:jc w:val="center"/>
              <w:rPr>
                <w:rFonts w:ascii="仿宋" w:eastAsia="仿宋" w:hAnsi="仿宋" w:cs="仿宋"/>
                <w:sz w:val="24"/>
              </w:rPr>
            </w:pPr>
            <w:r>
              <w:rPr>
                <w:rFonts w:ascii="仿宋" w:eastAsia="仿宋" w:hAnsi="仿宋" w:cs="仿宋" w:hint="eastAsia"/>
                <w:sz w:val="24"/>
              </w:rPr>
              <w:t>5个工作日</w:t>
            </w:r>
          </w:p>
        </w:tc>
        <w:tc>
          <w:tcPr>
            <w:tcW w:w="789" w:type="dxa"/>
            <w:vMerge w:val="restart"/>
            <w:vAlign w:val="center"/>
          </w:tcPr>
          <w:p w:rsidR="00013EC7" w:rsidRDefault="00575CDB">
            <w:pPr>
              <w:jc w:val="center"/>
              <w:rPr>
                <w:rFonts w:ascii="仿宋" w:eastAsia="仿宋" w:hAnsi="仿宋" w:cs="仿宋"/>
                <w:sz w:val="24"/>
              </w:rPr>
            </w:pPr>
            <w:r>
              <w:rPr>
                <w:rFonts w:ascii="仿宋" w:eastAsia="仿宋" w:hAnsi="仿宋" w:cs="仿宋" w:hint="eastAsia"/>
                <w:sz w:val="24"/>
              </w:rPr>
              <w:t>对符合条件的，当场办结。相关资料信息等需进一步核实的，出具受理通知并自受理申请之日起5个工作日内办结。</w:t>
            </w:r>
          </w:p>
        </w:tc>
        <w:tc>
          <w:tcPr>
            <w:tcW w:w="967" w:type="dxa"/>
            <w:vMerge w:val="restart"/>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sz w:val="24"/>
              </w:rPr>
              <w:t>无纸化企业已实现跑零次</w:t>
            </w:r>
          </w:p>
        </w:tc>
        <w:tc>
          <w:tcPr>
            <w:tcW w:w="1104" w:type="dxa"/>
            <w:vMerge w:val="restart"/>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sz w:val="24"/>
              </w:rPr>
              <w:t>进出口处</w:t>
            </w:r>
          </w:p>
        </w:tc>
        <w:tc>
          <w:tcPr>
            <w:tcW w:w="1476" w:type="dxa"/>
            <w:vMerge w:val="restart"/>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邮寄回执</w:t>
            </w:r>
          </w:p>
        </w:tc>
      </w:tr>
      <w:tr w:rsidR="00013EC7">
        <w:trPr>
          <w:trHeight w:val="571"/>
          <w:jc w:val="center"/>
        </w:trPr>
        <w:tc>
          <w:tcPr>
            <w:tcW w:w="1250" w:type="dxa"/>
            <w:vMerge/>
            <w:textDirection w:val="tbRlV"/>
            <w:vAlign w:val="center"/>
          </w:tcPr>
          <w:p w:rsidR="00013EC7" w:rsidRDefault="00013EC7">
            <w:pPr>
              <w:rPr>
                <w:rFonts w:ascii="仿宋" w:eastAsia="仿宋" w:hAnsi="仿宋" w:cs="仿宋"/>
                <w:sz w:val="24"/>
              </w:rPr>
            </w:pPr>
          </w:p>
        </w:tc>
        <w:tc>
          <w:tcPr>
            <w:tcW w:w="1316" w:type="dxa"/>
            <w:vMerge/>
            <w:vAlign w:val="center"/>
          </w:tcPr>
          <w:p w:rsidR="00013EC7" w:rsidRDefault="00013EC7">
            <w:pPr>
              <w:rPr>
                <w:rFonts w:ascii="仿宋" w:eastAsia="仿宋" w:hAnsi="仿宋" w:cs="仿宋"/>
                <w:sz w:val="24"/>
              </w:rPr>
            </w:pPr>
          </w:p>
        </w:tc>
        <w:tc>
          <w:tcPr>
            <w:tcW w:w="2114" w:type="dxa"/>
            <w:vMerge/>
            <w:vAlign w:val="center"/>
          </w:tcPr>
          <w:p w:rsidR="00013EC7" w:rsidRDefault="00013EC7">
            <w:pPr>
              <w:rPr>
                <w:rFonts w:ascii="仿宋" w:eastAsia="仿宋" w:hAnsi="仿宋" w:cs="仿宋"/>
                <w:sz w:val="24"/>
              </w:rPr>
            </w:pPr>
          </w:p>
        </w:tc>
        <w:tc>
          <w:tcPr>
            <w:tcW w:w="2785" w:type="dxa"/>
            <w:tcBorders>
              <w:top w:val="single" w:sz="4" w:space="0" w:color="auto"/>
            </w:tcBorders>
            <w:vAlign w:val="center"/>
          </w:tcPr>
          <w:p w:rsidR="00013EC7" w:rsidRDefault="00575CDB">
            <w:pPr>
              <w:rPr>
                <w:rFonts w:ascii="仿宋" w:eastAsia="仿宋" w:hAnsi="仿宋" w:cs="仿宋"/>
                <w:kern w:val="1"/>
                <w:sz w:val="24"/>
              </w:rPr>
            </w:pPr>
            <w:r>
              <w:rPr>
                <w:rFonts w:ascii="仿宋" w:eastAsia="仿宋" w:hAnsi="仿宋" w:cs="仿宋"/>
                <w:kern w:val="1"/>
                <w:sz w:val="24"/>
              </w:rPr>
              <w:t>（二）</w:t>
            </w:r>
            <w:r>
              <w:rPr>
                <w:rFonts w:ascii="仿宋" w:eastAsia="仿宋" w:hAnsi="仿宋" w:cs="仿宋" w:hint="eastAsia"/>
                <w:kern w:val="1"/>
                <w:sz w:val="24"/>
              </w:rPr>
              <w:t>增值税专用发票（抵扣联）原件及复印件（注明与原件一致，并加盖公章）。</w:t>
            </w:r>
          </w:p>
        </w:tc>
        <w:tc>
          <w:tcPr>
            <w:tcW w:w="1118" w:type="dxa"/>
            <w:vMerge/>
            <w:vAlign w:val="center"/>
          </w:tcPr>
          <w:p w:rsidR="00013EC7" w:rsidRDefault="00013EC7">
            <w:pPr>
              <w:rPr>
                <w:rFonts w:ascii="仿宋" w:eastAsia="仿宋" w:hAnsi="仿宋" w:cs="仿宋"/>
                <w:kern w:val="1"/>
                <w:sz w:val="24"/>
              </w:rPr>
            </w:pPr>
          </w:p>
        </w:tc>
        <w:tc>
          <w:tcPr>
            <w:tcW w:w="2537" w:type="dxa"/>
            <w:vAlign w:val="center"/>
          </w:tcPr>
          <w:p w:rsidR="00013EC7" w:rsidRDefault="00575CDB">
            <w:pPr>
              <w:rPr>
                <w:rFonts w:ascii="仿宋" w:eastAsia="仿宋" w:hAnsi="仿宋" w:cs="仿宋"/>
                <w:kern w:val="1"/>
                <w:sz w:val="24"/>
              </w:rPr>
            </w:pPr>
            <w:r>
              <w:rPr>
                <w:rFonts w:ascii="仿宋" w:eastAsia="仿宋" w:hAnsi="仿宋" w:cs="仿宋"/>
                <w:kern w:val="1"/>
                <w:sz w:val="24"/>
              </w:rPr>
              <w:t>（二）</w:t>
            </w:r>
            <w:r>
              <w:rPr>
                <w:rFonts w:ascii="仿宋" w:eastAsia="仿宋" w:hAnsi="仿宋" w:cs="仿宋" w:hint="eastAsia"/>
                <w:kern w:val="1"/>
                <w:sz w:val="24"/>
              </w:rPr>
              <w:t>增值税专用发票（抵扣联）原件及复印件（注明与原件一致，并加盖公章）。</w:t>
            </w:r>
          </w:p>
        </w:tc>
        <w:tc>
          <w:tcPr>
            <w:tcW w:w="1196" w:type="dxa"/>
            <w:vAlign w:val="center"/>
          </w:tcPr>
          <w:p w:rsidR="00013EC7" w:rsidRDefault="00575CDB">
            <w:pPr>
              <w:spacing w:line="300" w:lineRule="exact"/>
              <w:jc w:val="center"/>
              <w:rPr>
                <w:rFonts w:ascii="仿宋" w:eastAsia="仿宋" w:hAnsi="仿宋" w:cs="仿宋"/>
                <w:b/>
                <w:i/>
                <w:sz w:val="24"/>
              </w:rPr>
            </w:pPr>
            <w:r>
              <w:rPr>
                <w:rFonts w:ascii="仿宋" w:eastAsia="仿宋" w:hAnsi="仿宋" w:cs="仿宋" w:hint="eastAsia"/>
                <w:b/>
                <w:i/>
                <w:sz w:val="24"/>
              </w:rPr>
              <w:t>经办机构自行获取</w:t>
            </w:r>
          </w:p>
        </w:tc>
        <w:tc>
          <w:tcPr>
            <w:tcW w:w="3350"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b/>
                <w:sz w:val="24"/>
              </w:rPr>
              <w:t>内部共享：</w:t>
            </w:r>
            <w:r>
              <w:rPr>
                <w:rFonts w:ascii="仿宋" w:eastAsia="仿宋" w:hAnsi="仿宋" w:cs="仿宋" w:hint="eastAsia"/>
                <w:sz w:val="24"/>
              </w:rPr>
              <w:t>内部共享获取相关信息（无纸化企业留存备查，非无纸化企业需提供书面材料）。</w:t>
            </w:r>
          </w:p>
        </w:tc>
        <w:tc>
          <w:tcPr>
            <w:tcW w:w="836" w:type="dxa"/>
            <w:vMerge/>
            <w:vAlign w:val="center"/>
          </w:tcPr>
          <w:p w:rsidR="00013EC7" w:rsidRDefault="00013EC7">
            <w:pPr>
              <w:rPr>
                <w:rFonts w:ascii="仿宋" w:eastAsia="仿宋" w:hAnsi="仿宋" w:cs="仿宋"/>
                <w:sz w:val="24"/>
              </w:rPr>
            </w:pPr>
          </w:p>
        </w:tc>
        <w:tc>
          <w:tcPr>
            <w:tcW w:w="789" w:type="dxa"/>
            <w:vMerge/>
            <w:vAlign w:val="center"/>
          </w:tcPr>
          <w:p w:rsidR="00013EC7" w:rsidRDefault="00013EC7">
            <w:pPr>
              <w:rPr>
                <w:rFonts w:ascii="仿宋" w:eastAsia="仿宋" w:hAnsi="仿宋" w:cs="仿宋"/>
                <w:sz w:val="24"/>
              </w:rPr>
            </w:pPr>
          </w:p>
        </w:tc>
        <w:tc>
          <w:tcPr>
            <w:tcW w:w="967"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569"/>
          <w:jc w:val="center"/>
        </w:trPr>
        <w:tc>
          <w:tcPr>
            <w:tcW w:w="1250" w:type="dxa"/>
            <w:vMerge/>
            <w:textDirection w:val="tbRlV"/>
            <w:vAlign w:val="center"/>
          </w:tcPr>
          <w:p w:rsidR="00013EC7" w:rsidRDefault="00013EC7">
            <w:pPr>
              <w:rPr>
                <w:rFonts w:ascii="仿宋" w:eastAsia="仿宋" w:hAnsi="仿宋" w:cs="仿宋"/>
                <w:sz w:val="24"/>
              </w:rPr>
            </w:pPr>
          </w:p>
        </w:tc>
        <w:tc>
          <w:tcPr>
            <w:tcW w:w="1316" w:type="dxa"/>
            <w:vMerge/>
            <w:vAlign w:val="center"/>
          </w:tcPr>
          <w:p w:rsidR="00013EC7" w:rsidRDefault="00013EC7">
            <w:pPr>
              <w:rPr>
                <w:rFonts w:ascii="仿宋" w:eastAsia="仿宋" w:hAnsi="仿宋" w:cs="仿宋"/>
                <w:sz w:val="24"/>
              </w:rPr>
            </w:pPr>
          </w:p>
        </w:tc>
        <w:tc>
          <w:tcPr>
            <w:tcW w:w="2114" w:type="dxa"/>
            <w:vMerge/>
            <w:vAlign w:val="center"/>
          </w:tcPr>
          <w:p w:rsidR="00013EC7" w:rsidRDefault="00013EC7">
            <w:pPr>
              <w:rPr>
                <w:rFonts w:ascii="仿宋" w:eastAsia="仿宋" w:hAnsi="仿宋" w:cs="仿宋"/>
                <w:sz w:val="24"/>
              </w:rPr>
            </w:pPr>
          </w:p>
        </w:tc>
        <w:tc>
          <w:tcPr>
            <w:tcW w:w="2785" w:type="dxa"/>
            <w:vAlign w:val="center"/>
          </w:tcPr>
          <w:p w:rsidR="00013EC7" w:rsidRDefault="00575CDB">
            <w:pPr>
              <w:rPr>
                <w:rFonts w:ascii="仿宋" w:eastAsia="仿宋" w:hAnsi="仿宋" w:cs="仿宋"/>
                <w:kern w:val="1"/>
                <w:sz w:val="24"/>
              </w:rPr>
            </w:pPr>
            <w:r>
              <w:rPr>
                <w:rFonts w:ascii="仿宋" w:eastAsia="仿宋" w:hAnsi="仿宋" w:cs="仿宋"/>
                <w:kern w:val="1"/>
                <w:sz w:val="24"/>
              </w:rPr>
              <w:t>（三）</w:t>
            </w:r>
            <w:r>
              <w:rPr>
                <w:rFonts w:ascii="仿宋" w:eastAsia="仿宋" w:hAnsi="仿宋" w:cs="仿宋" w:hint="eastAsia"/>
                <w:kern w:val="1"/>
                <w:sz w:val="24"/>
              </w:rPr>
              <w:t>海关进口增值税专用缴款书原件及复印件（注明与原件一致，并加盖公章）。</w:t>
            </w:r>
          </w:p>
        </w:tc>
        <w:tc>
          <w:tcPr>
            <w:tcW w:w="1118" w:type="dxa"/>
            <w:vMerge/>
            <w:vAlign w:val="center"/>
          </w:tcPr>
          <w:p w:rsidR="00013EC7" w:rsidRDefault="00013EC7">
            <w:pPr>
              <w:rPr>
                <w:rFonts w:ascii="仿宋" w:eastAsia="仿宋" w:hAnsi="仿宋" w:cs="仿宋"/>
                <w:kern w:val="1"/>
                <w:sz w:val="24"/>
              </w:rPr>
            </w:pPr>
          </w:p>
        </w:tc>
        <w:tc>
          <w:tcPr>
            <w:tcW w:w="2537" w:type="dxa"/>
            <w:vAlign w:val="center"/>
          </w:tcPr>
          <w:p w:rsidR="00013EC7" w:rsidRDefault="00575CDB">
            <w:pPr>
              <w:rPr>
                <w:rFonts w:ascii="仿宋" w:eastAsia="仿宋" w:hAnsi="仿宋" w:cs="仿宋"/>
                <w:kern w:val="1"/>
                <w:sz w:val="24"/>
              </w:rPr>
            </w:pPr>
            <w:r>
              <w:rPr>
                <w:rFonts w:ascii="仿宋" w:eastAsia="仿宋" w:hAnsi="仿宋" w:cs="仿宋"/>
                <w:kern w:val="1"/>
                <w:sz w:val="24"/>
              </w:rPr>
              <w:t>（三）</w:t>
            </w:r>
            <w:r>
              <w:rPr>
                <w:rFonts w:ascii="仿宋" w:eastAsia="仿宋" w:hAnsi="仿宋" w:cs="仿宋" w:hint="eastAsia"/>
                <w:kern w:val="1"/>
                <w:sz w:val="24"/>
              </w:rPr>
              <w:t>海关进口增值税专用缴款书原件及复印件（注明与原件一致，并加盖公章）。</w:t>
            </w:r>
          </w:p>
        </w:tc>
        <w:tc>
          <w:tcPr>
            <w:tcW w:w="1196" w:type="dxa"/>
            <w:vAlign w:val="center"/>
          </w:tcPr>
          <w:p w:rsidR="00013EC7" w:rsidRDefault="00575CDB">
            <w:pPr>
              <w:spacing w:line="300" w:lineRule="exact"/>
              <w:jc w:val="center"/>
              <w:rPr>
                <w:rFonts w:ascii="仿宋" w:eastAsia="仿宋" w:hAnsi="仿宋" w:cs="仿宋"/>
                <w:b/>
                <w:i/>
                <w:sz w:val="24"/>
              </w:rPr>
            </w:pPr>
            <w:r>
              <w:rPr>
                <w:rFonts w:ascii="仿宋" w:eastAsia="仿宋" w:hAnsi="仿宋" w:cs="仿宋" w:hint="eastAsia"/>
                <w:b/>
                <w:i/>
                <w:sz w:val="24"/>
              </w:rPr>
              <w:t>经办机构自行获取</w:t>
            </w:r>
          </w:p>
        </w:tc>
        <w:tc>
          <w:tcPr>
            <w:tcW w:w="3350"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b/>
                <w:sz w:val="24"/>
              </w:rPr>
              <w:t>内部共享：</w:t>
            </w:r>
            <w:r>
              <w:rPr>
                <w:rFonts w:ascii="仿宋" w:eastAsia="仿宋" w:hAnsi="仿宋" w:cs="仿宋" w:hint="eastAsia"/>
                <w:sz w:val="24"/>
              </w:rPr>
              <w:t>内部共享获取相关信息（无纸化企业留存备查，非无纸化企业需提供书面材料）。</w:t>
            </w:r>
          </w:p>
        </w:tc>
        <w:tc>
          <w:tcPr>
            <w:tcW w:w="836" w:type="dxa"/>
            <w:vMerge/>
            <w:vAlign w:val="center"/>
          </w:tcPr>
          <w:p w:rsidR="00013EC7" w:rsidRDefault="00013EC7">
            <w:pPr>
              <w:rPr>
                <w:rFonts w:ascii="仿宋" w:eastAsia="仿宋" w:hAnsi="仿宋" w:cs="仿宋"/>
                <w:sz w:val="24"/>
              </w:rPr>
            </w:pPr>
          </w:p>
        </w:tc>
        <w:tc>
          <w:tcPr>
            <w:tcW w:w="789" w:type="dxa"/>
            <w:vMerge/>
            <w:vAlign w:val="center"/>
          </w:tcPr>
          <w:p w:rsidR="00013EC7" w:rsidRDefault="00013EC7">
            <w:pPr>
              <w:rPr>
                <w:rFonts w:ascii="仿宋" w:eastAsia="仿宋" w:hAnsi="仿宋" w:cs="仿宋"/>
                <w:sz w:val="24"/>
              </w:rPr>
            </w:pPr>
          </w:p>
        </w:tc>
        <w:tc>
          <w:tcPr>
            <w:tcW w:w="967"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569"/>
          <w:jc w:val="center"/>
        </w:trPr>
        <w:tc>
          <w:tcPr>
            <w:tcW w:w="1250" w:type="dxa"/>
            <w:vMerge/>
            <w:textDirection w:val="tbRlV"/>
            <w:vAlign w:val="center"/>
          </w:tcPr>
          <w:p w:rsidR="00013EC7" w:rsidRDefault="00013EC7">
            <w:pPr>
              <w:rPr>
                <w:rFonts w:ascii="仿宋" w:eastAsia="仿宋" w:hAnsi="仿宋" w:cs="仿宋"/>
                <w:sz w:val="24"/>
              </w:rPr>
            </w:pPr>
          </w:p>
        </w:tc>
        <w:tc>
          <w:tcPr>
            <w:tcW w:w="1316" w:type="dxa"/>
            <w:vMerge/>
            <w:vAlign w:val="center"/>
          </w:tcPr>
          <w:p w:rsidR="00013EC7" w:rsidRDefault="00013EC7">
            <w:pPr>
              <w:rPr>
                <w:rFonts w:ascii="仿宋" w:eastAsia="仿宋" w:hAnsi="仿宋" w:cs="仿宋"/>
                <w:sz w:val="24"/>
              </w:rPr>
            </w:pPr>
          </w:p>
        </w:tc>
        <w:tc>
          <w:tcPr>
            <w:tcW w:w="2114" w:type="dxa"/>
            <w:vMerge/>
            <w:vAlign w:val="center"/>
          </w:tcPr>
          <w:p w:rsidR="00013EC7" w:rsidRDefault="00013EC7">
            <w:pPr>
              <w:rPr>
                <w:rFonts w:ascii="仿宋" w:eastAsia="仿宋" w:hAnsi="仿宋" w:cs="仿宋"/>
                <w:sz w:val="24"/>
              </w:rPr>
            </w:pPr>
          </w:p>
        </w:tc>
        <w:tc>
          <w:tcPr>
            <w:tcW w:w="2785" w:type="dxa"/>
            <w:vAlign w:val="center"/>
          </w:tcPr>
          <w:p w:rsidR="00013EC7" w:rsidRDefault="00575CDB">
            <w:pPr>
              <w:rPr>
                <w:rFonts w:ascii="仿宋" w:eastAsia="仿宋" w:hAnsi="仿宋" w:cs="仿宋"/>
                <w:kern w:val="1"/>
                <w:sz w:val="24"/>
              </w:rPr>
            </w:pPr>
            <w:r>
              <w:rPr>
                <w:rFonts w:ascii="仿宋" w:eastAsia="仿宋" w:hAnsi="仿宋" w:cs="仿宋"/>
                <w:kern w:val="1"/>
                <w:sz w:val="24"/>
              </w:rPr>
              <w:t>（四）</w:t>
            </w:r>
            <w:r>
              <w:rPr>
                <w:rFonts w:ascii="仿宋" w:eastAsia="仿宋" w:hAnsi="仿宋" w:cs="仿宋" w:hint="eastAsia"/>
                <w:kern w:val="1"/>
                <w:sz w:val="24"/>
              </w:rPr>
              <w:t>进货分批申报单原件及复印件（注明与原件一致，并加盖公章）。</w:t>
            </w:r>
          </w:p>
        </w:tc>
        <w:tc>
          <w:tcPr>
            <w:tcW w:w="1118" w:type="dxa"/>
            <w:vMerge/>
            <w:vAlign w:val="center"/>
          </w:tcPr>
          <w:p w:rsidR="00013EC7" w:rsidRDefault="00013EC7">
            <w:pPr>
              <w:rPr>
                <w:rFonts w:ascii="仿宋" w:eastAsia="仿宋" w:hAnsi="仿宋" w:cs="仿宋"/>
                <w:kern w:val="1"/>
                <w:sz w:val="24"/>
              </w:rPr>
            </w:pPr>
          </w:p>
        </w:tc>
        <w:tc>
          <w:tcPr>
            <w:tcW w:w="2537" w:type="dxa"/>
            <w:vAlign w:val="center"/>
          </w:tcPr>
          <w:p w:rsidR="00013EC7" w:rsidRDefault="00575CDB">
            <w:pPr>
              <w:rPr>
                <w:rFonts w:ascii="仿宋" w:eastAsia="仿宋" w:hAnsi="仿宋" w:cs="仿宋"/>
                <w:kern w:val="1"/>
                <w:sz w:val="24"/>
              </w:rPr>
            </w:pPr>
            <w:r>
              <w:rPr>
                <w:rFonts w:ascii="仿宋" w:eastAsia="仿宋" w:hAnsi="仿宋" w:cs="仿宋"/>
                <w:kern w:val="1"/>
                <w:sz w:val="24"/>
              </w:rPr>
              <w:t>（四）</w:t>
            </w:r>
            <w:r>
              <w:rPr>
                <w:rFonts w:ascii="仿宋" w:eastAsia="仿宋" w:hAnsi="仿宋" w:cs="仿宋" w:hint="eastAsia"/>
                <w:kern w:val="1"/>
                <w:sz w:val="24"/>
              </w:rPr>
              <w:t>进货分批申报单原件及复印件（注明与原件一致，并加盖公章）。</w:t>
            </w:r>
          </w:p>
        </w:tc>
        <w:tc>
          <w:tcPr>
            <w:tcW w:w="1196" w:type="dxa"/>
            <w:vAlign w:val="center"/>
          </w:tcPr>
          <w:p w:rsidR="00013EC7" w:rsidRDefault="00575CDB">
            <w:pPr>
              <w:jc w:val="center"/>
              <w:rPr>
                <w:rFonts w:ascii="仿宋" w:eastAsia="仿宋" w:hAnsi="仿宋" w:cs="仿宋"/>
                <w:sz w:val="24"/>
              </w:rPr>
            </w:pPr>
            <w:r>
              <w:rPr>
                <w:rFonts w:ascii="仿宋" w:eastAsia="仿宋" w:hAnsi="仿宋" w:cs="仿宋" w:hint="eastAsia"/>
                <w:sz w:val="24"/>
              </w:rPr>
              <w:t>办理《出口货物转内销证明》的出口企业纳税人提交</w:t>
            </w:r>
          </w:p>
        </w:tc>
        <w:tc>
          <w:tcPr>
            <w:tcW w:w="3350" w:type="dxa"/>
            <w:vAlign w:val="center"/>
          </w:tcPr>
          <w:p w:rsidR="00013EC7" w:rsidRDefault="00575CDB">
            <w:pPr>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纳税人提交书面材料（无纸化企业留存备查）。</w:t>
            </w:r>
          </w:p>
        </w:tc>
        <w:tc>
          <w:tcPr>
            <w:tcW w:w="836" w:type="dxa"/>
            <w:vMerge/>
            <w:vAlign w:val="center"/>
          </w:tcPr>
          <w:p w:rsidR="00013EC7" w:rsidRDefault="00013EC7">
            <w:pPr>
              <w:rPr>
                <w:rFonts w:ascii="仿宋" w:eastAsia="仿宋" w:hAnsi="仿宋" w:cs="仿宋"/>
                <w:sz w:val="24"/>
              </w:rPr>
            </w:pPr>
          </w:p>
        </w:tc>
        <w:tc>
          <w:tcPr>
            <w:tcW w:w="789" w:type="dxa"/>
            <w:vMerge/>
            <w:vAlign w:val="center"/>
          </w:tcPr>
          <w:p w:rsidR="00013EC7" w:rsidRDefault="00013EC7">
            <w:pPr>
              <w:rPr>
                <w:rFonts w:ascii="仿宋" w:eastAsia="仿宋" w:hAnsi="仿宋" w:cs="仿宋"/>
                <w:sz w:val="24"/>
              </w:rPr>
            </w:pPr>
          </w:p>
        </w:tc>
        <w:tc>
          <w:tcPr>
            <w:tcW w:w="967"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569"/>
          <w:jc w:val="center"/>
        </w:trPr>
        <w:tc>
          <w:tcPr>
            <w:tcW w:w="1250" w:type="dxa"/>
            <w:vMerge/>
            <w:textDirection w:val="tbRlV"/>
            <w:vAlign w:val="center"/>
          </w:tcPr>
          <w:p w:rsidR="00013EC7" w:rsidRDefault="00013EC7">
            <w:pPr>
              <w:rPr>
                <w:rFonts w:ascii="仿宋" w:eastAsia="仿宋" w:hAnsi="仿宋" w:cs="仿宋"/>
                <w:sz w:val="24"/>
              </w:rPr>
            </w:pPr>
          </w:p>
        </w:tc>
        <w:tc>
          <w:tcPr>
            <w:tcW w:w="1316" w:type="dxa"/>
            <w:vMerge/>
            <w:vAlign w:val="center"/>
          </w:tcPr>
          <w:p w:rsidR="00013EC7" w:rsidRDefault="00013EC7">
            <w:pPr>
              <w:rPr>
                <w:rFonts w:ascii="仿宋" w:eastAsia="仿宋" w:hAnsi="仿宋" w:cs="仿宋"/>
                <w:sz w:val="24"/>
              </w:rPr>
            </w:pPr>
          </w:p>
        </w:tc>
        <w:tc>
          <w:tcPr>
            <w:tcW w:w="2114" w:type="dxa"/>
            <w:vMerge/>
            <w:vAlign w:val="center"/>
          </w:tcPr>
          <w:p w:rsidR="00013EC7" w:rsidRDefault="00013EC7">
            <w:pPr>
              <w:rPr>
                <w:rFonts w:ascii="仿宋" w:eastAsia="仿宋" w:hAnsi="仿宋" w:cs="仿宋"/>
                <w:sz w:val="24"/>
              </w:rPr>
            </w:pPr>
          </w:p>
        </w:tc>
        <w:tc>
          <w:tcPr>
            <w:tcW w:w="2785" w:type="dxa"/>
            <w:vAlign w:val="center"/>
          </w:tcPr>
          <w:p w:rsidR="00013EC7" w:rsidRDefault="00575CDB">
            <w:pPr>
              <w:rPr>
                <w:rFonts w:ascii="仿宋" w:eastAsia="仿宋" w:hAnsi="仿宋" w:cs="仿宋"/>
                <w:kern w:val="1"/>
                <w:sz w:val="24"/>
              </w:rPr>
            </w:pPr>
            <w:r>
              <w:rPr>
                <w:rFonts w:ascii="仿宋" w:eastAsia="仿宋" w:hAnsi="仿宋" w:cs="仿宋"/>
                <w:kern w:val="1"/>
                <w:sz w:val="24"/>
              </w:rPr>
              <w:t>（五）</w:t>
            </w:r>
            <w:r>
              <w:rPr>
                <w:rFonts w:ascii="仿宋" w:eastAsia="仿宋" w:hAnsi="仿宋" w:cs="仿宋" w:hint="eastAsia"/>
                <w:kern w:val="1"/>
                <w:sz w:val="24"/>
              </w:rPr>
              <w:t>出口货物退运已补税（未退税）证明原件及复印件（注明与原件一致，并加盖公章）。</w:t>
            </w:r>
          </w:p>
        </w:tc>
        <w:tc>
          <w:tcPr>
            <w:tcW w:w="1118" w:type="dxa"/>
            <w:vMerge/>
            <w:vAlign w:val="center"/>
          </w:tcPr>
          <w:p w:rsidR="00013EC7" w:rsidRDefault="00013EC7">
            <w:pPr>
              <w:rPr>
                <w:rFonts w:ascii="仿宋" w:eastAsia="仿宋" w:hAnsi="仿宋" w:cs="仿宋"/>
                <w:kern w:val="1"/>
                <w:sz w:val="24"/>
              </w:rPr>
            </w:pPr>
          </w:p>
        </w:tc>
        <w:tc>
          <w:tcPr>
            <w:tcW w:w="2537" w:type="dxa"/>
            <w:vAlign w:val="center"/>
          </w:tcPr>
          <w:p w:rsidR="00013EC7" w:rsidRDefault="00575CDB">
            <w:pPr>
              <w:rPr>
                <w:rFonts w:ascii="仿宋" w:eastAsia="仿宋" w:hAnsi="仿宋" w:cs="仿宋"/>
                <w:kern w:val="1"/>
                <w:sz w:val="24"/>
              </w:rPr>
            </w:pPr>
            <w:r>
              <w:rPr>
                <w:rFonts w:ascii="仿宋" w:eastAsia="仿宋" w:hAnsi="仿宋" w:cs="仿宋"/>
                <w:kern w:val="1"/>
                <w:sz w:val="24"/>
              </w:rPr>
              <w:t>（五）</w:t>
            </w:r>
            <w:r>
              <w:rPr>
                <w:rFonts w:ascii="仿宋" w:eastAsia="仿宋" w:hAnsi="仿宋" w:cs="仿宋" w:hint="eastAsia"/>
                <w:kern w:val="1"/>
                <w:sz w:val="24"/>
              </w:rPr>
              <w:t>出口货物退运已补税（未退税）证明原件及复印件（注明与原件一致，并加盖公章）。</w:t>
            </w:r>
          </w:p>
        </w:tc>
        <w:tc>
          <w:tcPr>
            <w:tcW w:w="1196" w:type="dxa"/>
            <w:vAlign w:val="center"/>
          </w:tcPr>
          <w:p w:rsidR="00013EC7" w:rsidRDefault="00575CDB">
            <w:pPr>
              <w:spacing w:line="300" w:lineRule="exact"/>
              <w:jc w:val="center"/>
              <w:rPr>
                <w:rFonts w:ascii="仿宋" w:eastAsia="仿宋" w:hAnsi="仿宋" w:cs="仿宋"/>
                <w:b/>
                <w:i/>
                <w:sz w:val="24"/>
              </w:rPr>
            </w:pPr>
            <w:r>
              <w:rPr>
                <w:rFonts w:ascii="仿宋" w:eastAsia="仿宋" w:hAnsi="仿宋" w:cs="仿宋" w:hint="eastAsia"/>
                <w:b/>
                <w:i/>
                <w:sz w:val="24"/>
              </w:rPr>
              <w:t>经办机构自行获取</w:t>
            </w:r>
          </w:p>
        </w:tc>
        <w:tc>
          <w:tcPr>
            <w:tcW w:w="3350"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b/>
                <w:sz w:val="24"/>
              </w:rPr>
              <w:t>内部共享：</w:t>
            </w:r>
            <w:r>
              <w:rPr>
                <w:rFonts w:ascii="仿宋" w:eastAsia="仿宋" w:hAnsi="仿宋" w:cs="仿宋" w:hint="eastAsia"/>
                <w:sz w:val="24"/>
              </w:rPr>
              <w:t>内部共享获取相关信息（无纸化企业留存备查，非无纸化企业需提供书面材料）。</w:t>
            </w:r>
          </w:p>
        </w:tc>
        <w:tc>
          <w:tcPr>
            <w:tcW w:w="836" w:type="dxa"/>
            <w:vMerge/>
            <w:vAlign w:val="center"/>
          </w:tcPr>
          <w:p w:rsidR="00013EC7" w:rsidRDefault="00013EC7">
            <w:pPr>
              <w:rPr>
                <w:rFonts w:ascii="仿宋" w:eastAsia="仿宋" w:hAnsi="仿宋" w:cs="仿宋"/>
                <w:sz w:val="24"/>
              </w:rPr>
            </w:pPr>
          </w:p>
        </w:tc>
        <w:tc>
          <w:tcPr>
            <w:tcW w:w="789" w:type="dxa"/>
            <w:vMerge/>
            <w:vAlign w:val="center"/>
          </w:tcPr>
          <w:p w:rsidR="00013EC7" w:rsidRDefault="00013EC7">
            <w:pPr>
              <w:rPr>
                <w:rFonts w:ascii="仿宋" w:eastAsia="仿宋" w:hAnsi="仿宋" w:cs="仿宋"/>
                <w:sz w:val="24"/>
              </w:rPr>
            </w:pPr>
          </w:p>
        </w:tc>
        <w:tc>
          <w:tcPr>
            <w:tcW w:w="967"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340"/>
          <w:jc w:val="center"/>
        </w:trPr>
        <w:tc>
          <w:tcPr>
            <w:tcW w:w="1250" w:type="dxa"/>
            <w:vMerge/>
            <w:textDirection w:val="tbRlV"/>
            <w:vAlign w:val="center"/>
          </w:tcPr>
          <w:p w:rsidR="00013EC7" w:rsidRDefault="00013EC7">
            <w:pPr>
              <w:rPr>
                <w:rFonts w:ascii="仿宋" w:eastAsia="仿宋" w:hAnsi="仿宋" w:cs="仿宋"/>
                <w:sz w:val="24"/>
              </w:rPr>
            </w:pPr>
          </w:p>
        </w:tc>
        <w:tc>
          <w:tcPr>
            <w:tcW w:w="1316" w:type="dxa"/>
            <w:vMerge/>
            <w:vAlign w:val="center"/>
          </w:tcPr>
          <w:p w:rsidR="00013EC7" w:rsidRDefault="00013EC7">
            <w:pPr>
              <w:rPr>
                <w:rFonts w:ascii="仿宋" w:eastAsia="仿宋" w:hAnsi="仿宋" w:cs="仿宋"/>
                <w:sz w:val="24"/>
              </w:rPr>
            </w:pPr>
          </w:p>
        </w:tc>
        <w:tc>
          <w:tcPr>
            <w:tcW w:w="2114" w:type="dxa"/>
            <w:vMerge/>
            <w:vAlign w:val="center"/>
          </w:tcPr>
          <w:p w:rsidR="00013EC7" w:rsidRDefault="00013EC7">
            <w:pPr>
              <w:rPr>
                <w:rFonts w:ascii="仿宋" w:eastAsia="仿宋" w:hAnsi="仿宋" w:cs="仿宋"/>
                <w:sz w:val="24"/>
              </w:rPr>
            </w:pPr>
          </w:p>
        </w:tc>
        <w:tc>
          <w:tcPr>
            <w:tcW w:w="2785" w:type="dxa"/>
            <w:vAlign w:val="center"/>
          </w:tcPr>
          <w:p w:rsidR="00013EC7" w:rsidRDefault="00575CDB">
            <w:pPr>
              <w:rPr>
                <w:rFonts w:ascii="仿宋" w:eastAsia="仿宋" w:hAnsi="仿宋" w:cs="仿宋"/>
                <w:kern w:val="1"/>
                <w:sz w:val="24"/>
              </w:rPr>
            </w:pPr>
            <w:r>
              <w:rPr>
                <w:rFonts w:ascii="仿宋" w:eastAsia="仿宋" w:hAnsi="仿宋" w:cs="仿宋"/>
                <w:kern w:val="1"/>
                <w:sz w:val="24"/>
              </w:rPr>
              <w:t>（六）</w:t>
            </w:r>
            <w:r>
              <w:rPr>
                <w:rFonts w:ascii="仿宋" w:eastAsia="仿宋" w:hAnsi="仿宋" w:cs="仿宋" w:hint="eastAsia"/>
                <w:kern w:val="1"/>
                <w:sz w:val="24"/>
              </w:rPr>
              <w:t>内销货物发票（记账联）原件及复印件外贸</w:t>
            </w:r>
            <w:r>
              <w:rPr>
                <w:rFonts w:ascii="仿宋" w:eastAsia="仿宋" w:hAnsi="仿宋" w:cs="仿宋" w:hint="eastAsia"/>
                <w:kern w:val="1"/>
                <w:sz w:val="24"/>
              </w:rPr>
              <w:lastRenderedPageBreak/>
              <w:t>企业出口视同内销征税的货物时不需提供）（注明与原件一致，并加盖公章）（。</w:t>
            </w:r>
          </w:p>
        </w:tc>
        <w:tc>
          <w:tcPr>
            <w:tcW w:w="1118" w:type="dxa"/>
            <w:vMerge/>
            <w:vAlign w:val="center"/>
          </w:tcPr>
          <w:p w:rsidR="00013EC7" w:rsidRDefault="00013EC7">
            <w:pPr>
              <w:rPr>
                <w:rFonts w:ascii="仿宋" w:eastAsia="仿宋" w:hAnsi="仿宋" w:cs="仿宋"/>
                <w:kern w:val="1"/>
                <w:sz w:val="24"/>
              </w:rPr>
            </w:pPr>
          </w:p>
        </w:tc>
        <w:tc>
          <w:tcPr>
            <w:tcW w:w="2537" w:type="dxa"/>
            <w:vAlign w:val="center"/>
          </w:tcPr>
          <w:p w:rsidR="00013EC7" w:rsidRDefault="00575CDB">
            <w:pPr>
              <w:rPr>
                <w:rFonts w:ascii="仿宋" w:eastAsia="仿宋" w:hAnsi="仿宋" w:cs="仿宋"/>
                <w:kern w:val="1"/>
                <w:sz w:val="24"/>
              </w:rPr>
            </w:pPr>
            <w:r>
              <w:rPr>
                <w:rFonts w:ascii="仿宋" w:eastAsia="仿宋" w:hAnsi="仿宋" w:cs="仿宋"/>
                <w:kern w:val="1"/>
                <w:sz w:val="24"/>
              </w:rPr>
              <w:t>（六）</w:t>
            </w:r>
            <w:r>
              <w:rPr>
                <w:rFonts w:ascii="仿宋" w:eastAsia="仿宋" w:hAnsi="仿宋" w:cs="仿宋" w:hint="eastAsia"/>
                <w:kern w:val="1"/>
                <w:sz w:val="24"/>
              </w:rPr>
              <w:t>内销货物发票（记账联）原件及复印件（外</w:t>
            </w:r>
            <w:r>
              <w:rPr>
                <w:rFonts w:ascii="仿宋" w:eastAsia="仿宋" w:hAnsi="仿宋" w:cs="仿宋" w:hint="eastAsia"/>
                <w:kern w:val="1"/>
                <w:sz w:val="24"/>
              </w:rPr>
              <w:lastRenderedPageBreak/>
              <w:t>贸企业出口视同内销征税的货物时不需提供）（注明与原件一致，并加盖公章）。</w:t>
            </w:r>
          </w:p>
        </w:tc>
        <w:tc>
          <w:tcPr>
            <w:tcW w:w="1196" w:type="dxa"/>
            <w:vAlign w:val="center"/>
          </w:tcPr>
          <w:p w:rsidR="00013EC7" w:rsidRDefault="00575CDB">
            <w:pPr>
              <w:rPr>
                <w:rFonts w:ascii="仿宋" w:eastAsia="仿宋" w:hAnsi="仿宋" w:cs="仿宋"/>
                <w:b/>
                <w:i/>
                <w:sz w:val="24"/>
              </w:rPr>
            </w:pPr>
            <w:r>
              <w:rPr>
                <w:rFonts w:ascii="仿宋" w:eastAsia="仿宋" w:hAnsi="仿宋" w:cs="仿宋" w:hint="eastAsia"/>
                <w:b/>
                <w:i/>
                <w:sz w:val="24"/>
              </w:rPr>
              <w:lastRenderedPageBreak/>
              <w:t>经办机构自行获取</w:t>
            </w:r>
          </w:p>
        </w:tc>
        <w:tc>
          <w:tcPr>
            <w:tcW w:w="3350"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b/>
                <w:sz w:val="24"/>
              </w:rPr>
              <w:t>内部共享：</w:t>
            </w:r>
            <w:r>
              <w:rPr>
                <w:rFonts w:ascii="仿宋" w:eastAsia="仿宋" w:hAnsi="仿宋" w:cs="仿宋" w:hint="eastAsia"/>
                <w:sz w:val="24"/>
              </w:rPr>
              <w:t>内部共享获取相关信息（无纸化企业留存备查，非</w:t>
            </w:r>
            <w:r>
              <w:rPr>
                <w:rFonts w:ascii="仿宋" w:eastAsia="仿宋" w:hAnsi="仿宋" w:cs="仿宋" w:hint="eastAsia"/>
                <w:sz w:val="24"/>
              </w:rPr>
              <w:lastRenderedPageBreak/>
              <w:t>无纸化企业需提供书面材料）。</w:t>
            </w:r>
          </w:p>
        </w:tc>
        <w:tc>
          <w:tcPr>
            <w:tcW w:w="836" w:type="dxa"/>
            <w:vMerge/>
            <w:vAlign w:val="center"/>
          </w:tcPr>
          <w:p w:rsidR="00013EC7" w:rsidRDefault="00013EC7">
            <w:pPr>
              <w:rPr>
                <w:rFonts w:ascii="仿宋" w:eastAsia="仿宋" w:hAnsi="仿宋" w:cs="仿宋"/>
                <w:sz w:val="24"/>
              </w:rPr>
            </w:pPr>
          </w:p>
        </w:tc>
        <w:tc>
          <w:tcPr>
            <w:tcW w:w="789" w:type="dxa"/>
            <w:vMerge/>
            <w:vAlign w:val="center"/>
          </w:tcPr>
          <w:p w:rsidR="00013EC7" w:rsidRDefault="00013EC7">
            <w:pPr>
              <w:rPr>
                <w:rFonts w:ascii="仿宋" w:eastAsia="仿宋" w:hAnsi="仿宋" w:cs="仿宋"/>
                <w:sz w:val="24"/>
              </w:rPr>
            </w:pPr>
          </w:p>
        </w:tc>
        <w:tc>
          <w:tcPr>
            <w:tcW w:w="967"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340"/>
          <w:jc w:val="center"/>
        </w:trPr>
        <w:tc>
          <w:tcPr>
            <w:tcW w:w="1250" w:type="dxa"/>
            <w:vMerge/>
            <w:vAlign w:val="center"/>
          </w:tcPr>
          <w:p w:rsidR="00013EC7" w:rsidRDefault="00013EC7">
            <w:pPr>
              <w:rPr>
                <w:rFonts w:ascii="仿宋" w:eastAsia="仿宋" w:hAnsi="仿宋" w:cs="仿宋"/>
                <w:sz w:val="24"/>
              </w:rPr>
            </w:pPr>
          </w:p>
        </w:tc>
        <w:tc>
          <w:tcPr>
            <w:tcW w:w="1316" w:type="dxa"/>
            <w:vMerge/>
            <w:vAlign w:val="center"/>
          </w:tcPr>
          <w:p w:rsidR="00013EC7" w:rsidRDefault="00013EC7">
            <w:pPr>
              <w:rPr>
                <w:rFonts w:ascii="仿宋" w:eastAsia="仿宋" w:hAnsi="仿宋" w:cs="仿宋"/>
                <w:sz w:val="24"/>
              </w:rPr>
            </w:pPr>
          </w:p>
        </w:tc>
        <w:tc>
          <w:tcPr>
            <w:tcW w:w="2114" w:type="dxa"/>
            <w:vMerge/>
            <w:vAlign w:val="center"/>
          </w:tcPr>
          <w:p w:rsidR="00013EC7" w:rsidRDefault="00013EC7">
            <w:pPr>
              <w:rPr>
                <w:rFonts w:ascii="仿宋" w:eastAsia="仿宋" w:hAnsi="仿宋" w:cs="仿宋"/>
                <w:sz w:val="24"/>
              </w:rPr>
            </w:pPr>
          </w:p>
        </w:tc>
        <w:tc>
          <w:tcPr>
            <w:tcW w:w="2785" w:type="dxa"/>
            <w:vAlign w:val="center"/>
          </w:tcPr>
          <w:p w:rsidR="00013EC7" w:rsidRDefault="00575CDB">
            <w:pPr>
              <w:rPr>
                <w:rFonts w:ascii="仿宋" w:eastAsia="仿宋" w:hAnsi="仿宋" w:cs="仿宋"/>
                <w:kern w:val="1"/>
                <w:sz w:val="24"/>
              </w:rPr>
            </w:pPr>
            <w:r>
              <w:rPr>
                <w:rFonts w:ascii="仿宋" w:eastAsia="仿宋" w:hAnsi="仿宋" w:cs="仿宋"/>
                <w:kern w:val="1"/>
                <w:sz w:val="24"/>
              </w:rPr>
              <w:t>（七）</w:t>
            </w:r>
            <w:r>
              <w:rPr>
                <w:rFonts w:ascii="仿宋" w:eastAsia="仿宋" w:hAnsi="仿宋" w:cs="仿宋" w:hint="eastAsia"/>
                <w:kern w:val="1"/>
                <w:sz w:val="24"/>
              </w:rPr>
              <w:t>计提销项税的记账凭证复印件（外贸企业出口视同内销征税的货物时提供）（注明与原件一致，并加盖公章）。</w:t>
            </w:r>
          </w:p>
        </w:tc>
        <w:tc>
          <w:tcPr>
            <w:tcW w:w="1118" w:type="dxa"/>
            <w:vMerge/>
            <w:vAlign w:val="center"/>
          </w:tcPr>
          <w:p w:rsidR="00013EC7" w:rsidRDefault="00013EC7">
            <w:pPr>
              <w:rPr>
                <w:rFonts w:ascii="仿宋" w:eastAsia="仿宋" w:hAnsi="仿宋" w:cs="仿宋"/>
                <w:kern w:val="1"/>
                <w:sz w:val="24"/>
              </w:rPr>
            </w:pPr>
          </w:p>
        </w:tc>
        <w:tc>
          <w:tcPr>
            <w:tcW w:w="2537" w:type="dxa"/>
            <w:vAlign w:val="center"/>
          </w:tcPr>
          <w:p w:rsidR="00013EC7" w:rsidRDefault="00575CDB">
            <w:pPr>
              <w:rPr>
                <w:rFonts w:ascii="仿宋" w:eastAsia="仿宋" w:hAnsi="仿宋" w:cs="仿宋"/>
                <w:kern w:val="1"/>
                <w:sz w:val="24"/>
              </w:rPr>
            </w:pPr>
            <w:r>
              <w:rPr>
                <w:rFonts w:ascii="仿宋" w:eastAsia="仿宋" w:hAnsi="仿宋" w:cs="仿宋"/>
                <w:kern w:val="1"/>
                <w:sz w:val="24"/>
              </w:rPr>
              <w:t>（七）</w:t>
            </w:r>
            <w:r>
              <w:rPr>
                <w:rFonts w:ascii="仿宋" w:eastAsia="仿宋" w:hAnsi="仿宋" w:cs="仿宋" w:hint="eastAsia"/>
                <w:kern w:val="1"/>
                <w:sz w:val="24"/>
              </w:rPr>
              <w:t>计提销项税的记账凭证复印件（外贸企业出口视同内销征税的货物时提供）（注明与原件一致，并加盖公章）。</w:t>
            </w:r>
          </w:p>
        </w:tc>
        <w:tc>
          <w:tcPr>
            <w:tcW w:w="1196" w:type="dxa"/>
            <w:vAlign w:val="center"/>
          </w:tcPr>
          <w:p w:rsidR="00013EC7" w:rsidRDefault="00575CDB">
            <w:pPr>
              <w:jc w:val="center"/>
              <w:rPr>
                <w:rFonts w:ascii="仿宋" w:eastAsia="仿宋" w:hAnsi="仿宋" w:cs="仿宋"/>
                <w:sz w:val="24"/>
              </w:rPr>
            </w:pPr>
            <w:r>
              <w:rPr>
                <w:rFonts w:ascii="仿宋" w:eastAsia="仿宋" w:hAnsi="仿宋" w:cs="仿宋" w:hint="eastAsia"/>
                <w:sz w:val="24"/>
              </w:rPr>
              <w:t>办理《出口货物转内销证明》的出口企业纳税人提交</w:t>
            </w:r>
          </w:p>
        </w:tc>
        <w:tc>
          <w:tcPr>
            <w:tcW w:w="3350" w:type="dxa"/>
            <w:vAlign w:val="center"/>
          </w:tcPr>
          <w:p w:rsidR="00013EC7" w:rsidRDefault="00575CDB">
            <w:pPr>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纳税人提交书面材料（无纸化企业留存备查）。</w:t>
            </w:r>
          </w:p>
          <w:p w:rsidR="00013EC7" w:rsidRDefault="00013EC7">
            <w:pPr>
              <w:spacing w:line="300" w:lineRule="exact"/>
              <w:rPr>
                <w:rFonts w:ascii="仿宋" w:eastAsia="仿宋" w:hAnsi="仿宋" w:cs="仿宋"/>
                <w:sz w:val="24"/>
              </w:rPr>
            </w:pPr>
          </w:p>
        </w:tc>
        <w:tc>
          <w:tcPr>
            <w:tcW w:w="836" w:type="dxa"/>
            <w:vMerge/>
            <w:vAlign w:val="center"/>
          </w:tcPr>
          <w:p w:rsidR="00013EC7" w:rsidRDefault="00013EC7">
            <w:pPr>
              <w:rPr>
                <w:rFonts w:ascii="仿宋" w:eastAsia="仿宋" w:hAnsi="仿宋" w:cs="仿宋"/>
                <w:sz w:val="24"/>
              </w:rPr>
            </w:pPr>
          </w:p>
        </w:tc>
        <w:tc>
          <w:tcPr>
            <w:tcW w:w="789" w:type="dxa"/>
            <w:vMerge/>
            <w:vAlign w:val="center"/>
          </w:tcPr>
          <w:p w:rsidR="00013EC7" w:rsidRDefault="00013EC7">
            <w:pPr>
              <w:rPr>
                <w:rFonts w:ascii="仿宋" w:eastAsia="仿宋" w:hAnsi="仿宋" w:cs="仿宋"/>
                <w:sz w:val="24"/>
              </w:rPr>
            </w:pPr>
          </w:p>
        </w:tc>
        <w:tc>
          <w:tcPr>
            <w:tcW w:w="967"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bl>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575CDB">
      <w:pPr>
        <w:jc w:val="center"/>
        <w:rPr>
          <w:rFonts w:eastAsia="方正书宋简体"/>
          <w:szCs w:val="21"/>
        </w:rPr>
      </w:pPr>
      <w:r>
        <w:object w:dxaOrig="8227" w:dyaOrig="11577">
          <v:shape id="_x0000_i1213" type="#_x0000_t75" style="width:411.35pt;height:579.45pt" o:ole="">
            <v:imagedata r:id="rId499" o:title=""/>
          </v:shape>
          <o:OLEObject Type="Embed" ProgID="Visio.Drawing.11" ShapeID="_x0000_i1213" DrawAspect="Content" ObjectID="_1577296133" r:id="rId500"/>
        </w:object>
      </w:r>
      <w:r>
        <w:object w:dxaOrig="8184" w:dyaOrig="11392">
          <v:shape id="_x0000_i1214" type="#_x0000_t75" style="width:409.6pt;height:569.6pt" o:ole="">
            <v:imagedata r:id="rId501" o:title=""/>
          </v:shape>
          <o:OLEObject Type="Embed" ProgID="Visio.Drawing.11" ShapeID="_x0000_i1214" DrawAspect="Content" ObjectID="_1577296134" r:id="rId502"/>
        </w:object>
      </w:r>
    </w:p>
    <w:p w:rsidR="00013EC7" w:rsidRDefault="00013EC7">
      <w:pPr>
        <w:rPr>
          <w:rFonts w:ascii="宋体" w:hAnsi="宋体" w:cs="仿宋"/>
          <w:sz w:val="28"/>
          <w:szCs w:val="28"/>
        </w:rPr>
      </w:pPr>
    </w:p>
    <w:p w:rsidR="00013EC7" w:rsidRDefault="00013EC7">
      <w:pPr>
        <w:rPr>
          <w:rFonts w:ascii="宋体" w:hAnsi="宋体" w:cs="仿宋"/>
          <w:sz w:val="28"/>
          <w:szCs w:val="28"/>
        </w:rPr>
      </w:pPr>
    </w:p>
    <w:p w:rsidR="00013EC7" w:rsidRDefault="00575CDB">
      <w:pPr>
        <w:pStyle w:val="2"/>
      </w:pPr>
      <w:bookmarkStart w:id="619" w:name="_Toc503467492"/>
      <w:bookmarkStart w:id="620" w:name="_Toc19980"/>
      <w:bookmarkStart w:id="621" w:name="_Toc28072"/>
      <w:bookmarkStart w:id="622" w:name="_Toc8246"/>
      <w:r>
        <w:rPr>
          <w:rFonts w:hint="eastAsia"/>
        </w:rPr>
        <w:lastRenderedPageBreak/>
        <w:t>29.11</w:t>
      </w:r>
      <w:r>
        <w:rPr>
          <w:rFonts w:hint="eastAsia"/>
        </w:rPr>
        <w:t>《来料加工免税证明》开具</w:t>
      </w:r>
      <w:bookmarkEnd w:id="619"/>
      <w:bookmarkEnd w:id="620"/>
      <w:bookmarkEnd w:id="621"/>
      <w:bookmarkEnd w:id="622"/>
    </w:p>
    <w:p w:rsidR="00013EC7" w:rsidRDefault="00575CDB">
      <w:pPr>
        <w:jc w:val="center"/>
        <w:rPr>
          <w:rFonts w:ascii="宋体" w:hAnsi="宋体" w:cs="宋体"/>
          <w:b/>
          <w:bCs/>
          <w:sz w:val="52"/>
          <w:szCs w:val="52"/>
        </w:rPr>
      </w:pPr>
      <w:r>
        <w:rPr>
          <w:rFonts w:ascii="宋体" w:hAnsi="宋体" w:cs="宋体" w:hint="eastAsia"/>
          <w:b/>
          <w:bCs/>
          <w:sz w:val="52"/>
          <w:szCs w:val="52"/>
        </w:rPr>
        <w:t>全省“最多跑一次”事项“八统一”梳理表</w:t>
      </w:r>
    </w:p>
    <w:p w:rsidR="00013EC7" w:rsidRDefault="00013EC7">
      <w:pPr>
        <w:rPr>
          <w:rFonts w:ascii="宋体" w:hAnsi="宋体" w:cs="宋体"/>
          <w:b/>
          <w:bCs/>
          <w:sz w:val="44"/>
          <w:szCs w:val="44"/>
        </w:rPr>
      </w:pPr>
    </w:p>
    <w:tbl>
      <w:tblPr>
        <w:tblW w:w="20838"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787"/>
        <w:gridCol w:w="1222"/>
        <w:gridCol w:w="2671"/>
        <w:gridCol w:w="2785"/>
        <w:gridCol w:w="1118"/>
        <w:gridCol w:w="2537"/>
        <w:gridCol w:w="1196"/>
        <w:gridCol w:w="3318"/>
        <w:gridCol w:w="868"/>
        <w:gridCol w:w="789"/>
        <w:gridCol w:w="967"/>
        <w:gridCol w:w="1104"/>
        <w:gridCol w:w="1476"/>
      </w:tblGrid>
      <w:tr w:rsidR="00013EC7">
        <w:trPr>
          <w:trHeight w:val="340"/>
          <w:tblHeader/>
          <w:jc w:val="center"/>
        </w:trPr>
        <w:tc>
          <w:tcPr>
            <w:tcW w:w="787"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主项名称</w:t>
            </w:r>
          </w:p>
        </w:tc>
        <w:tc>
          <w:tcPr>
            <w:tcW w:w="1222"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子项名称</w:t>
            </w:r>
          </w:p>
        </w:tc>
        <w:tc>
          <w:tcPr>
            <w:tcW w:w="2671"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经办依据</w:t>
            </w:r>
          </w:p>
        </w:tc>
        <w:tc>
          <w:tcPr>
            <w:tcW w:w="3903"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原经办所需材料</w:t>
            </w:r>
          </w:p>
        </w:tc>
        <w:tc>
          <w:tcPr>
            <w:tcW w:w="7051" w:type="dxa"/>
            <w:gridSpan w:val="3"/>
            <w:vAlign w:val="center"/>
          </w:tcPr>
          <w:p w:rsidR="00013EC7" w:rsidRDefault="00575CDB">
            <w:pPr>
              <w:spacing w:line="280" w:lineRule="exact"/>
              <w:jc w:val="center"/>
              <w:rPr>
                <w:rFonts w:ascii="黑体" w:eastAsia="黑体"/>
                <w:sz w:val="24"/>
              </w:rPr>
            </w:pPr>
            <w:r>
              <w:rPr>
                <w:rFonts w:ascii="黑体" w:eastAsia="黑体" w:hint="eastAsia"/>
                <w:sz w:val="24"/>
              </w:rPr>
              <w:t>梳理后经办所需材料</w:t>
            </w:r>
          </w:p>
        </w:tc>
        <w:tc>
          <w:tcPr>
            <w:tcW w:w="1657"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办理时限</w:t>
            </w:r>
          </w:p>
        </w:tc>
        <w:tc>
          <w:tcPr>
            <w:tcW w:w="967"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是否实现跑零次</w:t>
            </w:r>
          </w:p>
        </w:tc>
        <w:tc>
          <w:tcPr>
            <w:tcW w:w="1104"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省厅对口</w:t>
            </w:r>
          </w:p>
          <w:p w:rsidR="00013EC7" w:rsidRDefault="00575CDB">
            <w:pPr>
              <w:spacing w:line="280" w:lineRule="exact"/>
              <w:jc w:val="center"/>
              <w:rPr>
                <w:rFonts w:ascii="黑体" w:eastAsia="黑体"/>
                <w:sz w:val="24"/>
              </w:rPr>
            </w:pPr>
            <w:r>
              <w:rPr>
                <w:rFonts w:ascii="黑体" w:eastAsia="黑体" w:hint="eastAsia"/>
                <w:sz w:val="24"/>
              </w:rPr>
              <w:t>指导处室</w:t>
            </w:r>
          </w:p>
          <w:p w:rsidR="00013EC7" w:rsidRDefault="00575CDB">
            <w:pPr>
              <w:spacing w:line="280" w:lineRule="exact"/>
              <w:jc w:val="center"/>
              <w:rPr>
                <w:rFonts w:ascii="黑体" w:eastAsia="黑体"/>
                <w:sz w:val="24"/>
              </w:rPr>
            </w:pPr>
            <w:r>
              <w:rPr>
                <w:rFonts w:ascii="黑体" w:eastAsia="黑体" w:hint="eastAsia"/>
                <w:sz w:val="24"/>
              </w:rPr>
              <w:t>（单位）</w:t>
            </w:r>
          </w:p>
        </w:tc>
        <w:tc>
          <w:tcPr>
            <w:tcW w:w="1476"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进一步精简、</w:t>
            </w:r>
          </w:p>
          <w:p w:rsidR="00013EC7" w:rsidRDefault="00575CDB">
            <w:pPr>
              <w:spacing w:line="280" w:lineRule="exact"/>
              <w:jc w:val="center"/>
              <w:rPr>
                <w:rFonts w:ascii="黑体" w:eastAsia="黑体"/>
                <w:sz w:val="24"/>
              </w:rPr>
            </w:pPr>
            <w:r>
              <w:rPr>
                <w:rFonts w:ascii="黑体" w:eastAsia="黑体" w:hint="eastAsia"/>
                <w:sz w:val="24"/>
              </w:rPr>
              <w:t>规范建议</w:t>
            </w:r>
          </w:p>
        </w:tc>
      </w:tr>
      <w:tr w:rsidR="00013EC7">
        <w:trPr>
          <w:trHeight w:val="340"/>
          <w:tblHeader/>
          <w:jc w:val="center"/>
        </w:trPr>
        <w:tc>
          <w:tcPr>
            <w:tcW w:w="787" w:type="dxa"/>
            <w:vMerge/>
            <w:vAlign w:val="center"/>
          </w:tcPr>
          <w:p w:rsidR="00013EC7" w:rsidRDefault="00013EC7">
            <w:pPr>
              <w:rPr>
                <w:sz w:val="24"/>
              </w:rPr>
            </w:pPr>
          </w:p>
        </w:tc>
        <w:tc>
          <w:tcPr>
            <w:tcW w:w="1222" w:type="dxa"/>
            <w:vMerge/>
          </w:tcPr>
          <w:p w:rsidR="00013EC7" w:rsidRDefault="00013EC7">
            <w:pPr>
              <w:rPr>
                <w:sz w:val="24"/>
              </w:rPr>
            </w:pPr>
          </w:p>
        </w:tc>
        <w:tc>
          <w:tcPr>
            <w:tcW w:w="2671" w:type="dxa"/>
            <w:vMerge/>
          </w:tcPr>
          <w:p w:rsidR="00013EC7" w:rsidRDefault="00013EC7">
            <w:pPr>
              <w:rPr>
                <w:sz w:val="24"/>
              </w:rPr>
            </w:pPr>
          </w:p>
        </w:tc>
        <w:tc>
          <w:tcPr>
            <w:tcW w:w="2785" w:type="dxa"/>
            <w:tcBorders>
              <w:bottom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118"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2537" w:type="dxa"/>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196"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3318" w:type="dxa"/>
            <w:vAlign w:val="center"/>
          </w:tcPr>
          <w:p w:rsidR="00013EC7" w:rsidRDefault="00575CDB">
            <w:pPr>
              <w:spacing w:line="280" w:lineRule="exact"/>
              <w:jc w:val="center"/>
              <w:rPr>
                <w:rFonts w:ascii="黑体" w:eastAsia="黑体"/>
                <w:sz w:val="24"/>
              </w:rPr>
            </w:pPr>
            <w:r>
              <w:rPr>
                <w:rFonts w:ascii="黑体" w:eastAsia="黑体" w:hint="eastAsia"/>
                <w:sz w:val="24"/>
              </w:rPr>
              <w:t>办理方式及材料</w:t>
            </w:r>
          </w:p>
          <w:p w:rsidR="00013EC7" w:rsidRDefault="00575CDB">
            <w:pPr>
              <w:spacing w:line="280" w:lineRule="exact"/>
              <w:jc w:val="center"/>
              <w:rPr>
                <w:rFonts w:ascii="黑体" w:eastAsia="黑体"/>
                <w:sz w:val="24"/>
              </w:rPr>
            </w:pPr>
            <w:r>
              <w:rPr>
                <w:rFonts w:ascii="黑体" w:eastAsia="黑体" w:hint="eastAsia"/>
                <w:sz w:val="24"/>
              </w:rPr>
              <w:t>信息获取方式说明</w:t>
            </w:r>
          </w:p>
        </w:tc>
        <w:tc>
          <w:tcPr>
            <w:tcW w:w="868" w:type="dxa"/>
            <w:vAlign w:val="center"/>
          </w:tcPr>
          <w:p w:rsidR="00013EC7" w:rsidRDefault="00575CDB">
            <w:pPr>
              <w:spacing w:line="280" w:lineRule="exact"/>
              <w:jc w:val="center"/>
              <w:rPr>
                <w:rFonts w:ascii="黑体" w:eastAsia="黑体"/>
                <w:sz w:val="24"/>
              </w:rPr>
            </w:pPr>
            <w:r>
              <w:rPr>
                <w:rFonts w:ascii="黑体" w:eastAsia="黑体" w:hint="eastAsia"/>
                <w:sz w:val="24"/>
              </w:rPr>
              <w:t>优化前</w:t>
            </w:r>
          </w:p>
        </w:tc>
        <w:tc>
          <w:tcPr>
            <w:tcW w:w="789" w:type="dxa"/>
            <w:vAlign w:val="center"/>
          </w:tcPr>
          <w:p w:rsidR="00013EC7" w:rsidRDefault="00575CDB">
            <w:pPr>
              <w:spacing w:line="280" w:lineRule="exact"/>
              <w:jc w:val="center"/>
              <w:rPr>
                <w:rFonts w:ascii="黑体" w:eastAsia="黑体"/>
                <w:sz w:val="24"/>
              </w:rPr>
            </w:pPr>
            <w:r>
              <w:rPr>
                <w:rFonts w:ascii="黑体" w:eastAsia="黑体" w:hint="eastAsia"/>
                <w:sz w:val="24"/>
              </w:rPr>
              <w:t>优化后</w:t>
            </w:r>
          </w:p>
        </w:tc>
        <w:tc>
          <w:tcPr>
            <w:tcW w:w="967" w:type="dxa"/>
            <w:vMerge/>
            <w:vAlign w:val="center"/>
          </w:tcPr>
          <w:p w:rsidR="00013EC7" w:rsidRDefault="00013EC7">
            <w:pPr>
              <w:rPr>
                <w:sz w:val="24"/>
              </w:rPr>
            </w:pPr>
          </w:p>
        </w:tc>
        <w:tc>
          <w:tcPr>
            <w:tcW w:w="1104" w:type="dxa"/>
            <w:vMerge/>
            <w:vAlign w:val="center"/>
          </w:tcPr>
          <w:p w:rsidR="00013EC7" w:rsidRDefault="00013EC7">
            <w:pPr>
              <w:rPr>
                <w:sz w:val="24"/>
              </w:rPr>
            </w:pPr>
          </w:p>
        </w:tc>
        <w:tc>
          <w:tcPr>
            <w:tcW w:w="1476" w:type="dxa"/>
            <w:vMerge/>
            <w:vAlign w:val="center"/>
          </w:tcPr>
          <w:p w:rsidR="00013EC7" w:rsidRDefault="00013EC7">
            <w:pPr>
              <w:rPr>
                <w:sz w:val="24"/>
              </w:rPr>
            </w:pPr>
          </w:p>
        </w:tc>
      </w:tr>
      <w:tr w:rsidR="00013EC7">
        <w:trPr>
          <w:trHeight w:val="1475"/>
          <w:jc w:val="center"/>
        </w:trPr>
        <w:tc>
          <w:tcPr>
            <w:tcW w:w="787" w:type="dxa"/>
            <w:vMerge w:val="restart"/>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29.出口退（免）税事项办理</w:t>
            </w:r>
          </w:p>
        </w:tc>
        <w:tc>
          <w:tcPr>
            <w:tcW w:w="1222" w:type="dxa"/>
            <w:vMerge w:val="restart"/>
            <w:vAlign w:val="center"/>
          </w:tcPr>
          <w:p w:rsidR="00013EC7" w:rsidRDefault="00575CDB">
            <w:pPr>
              <w:spacing w:line="310" w:lineRule="exact"/>
              <w:rPr>
                <w:rFonts w:ascii="仿宋" w:eastAsia="仿宋" w:hAnsi="仿宋" w:cs="仿宋"/>
                <w:sz w:val="24"/>
              </w:rPr>
            </w:pPr>
            <w:r>
              <w:rPr>
                <w:rFonts w:ascii="仿宋" w:eastAsia="仿宋" w:hAnsi="仿宋" w:cs="仿宋" w:hint="eastAsia"/>
                <w:sz w:val="24"/>
              </w:rPr>
              <w:t>29.11《来料加工免税证明》开具</w:t>
            </w:r>
          </w:p>
        </w:tc>
        <w:tc>
          <w:tcPr>
            <w:tcW w:w="2671" w:type="dxa"/>
            <w:vMerge w:val="restart"/>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（一）</w:t>
            </w:r>
            <w:r>
              <w:rPr>
                <w:rFonts w:ascii="仿宋" w:eastAsia="仿宋" w:hAnsi="仿宋" w:cs="仿宋"/>
                <w:kern w:val="1"/>
                <w:sz w:val="24"/>
              </w:rPr>
              <w:t>《国家税务总局关于发布&lt;出口货物劳务增值税和消费税管理办法&gt;的公告》（国家税务总局公告2012年第24号）</w:t>
            </w:r>
            <w:r>
              <w:rPr>
                <w:rFonts w:ascii="仿宋" w:eastAsia="仿宋" w:hAnsi="仿宋" w:cs="仿宋" w:hint="eastAsia"/>
                <w:kern w:val="1"/>
                <w:sz w:val="24"/>
              </w:rPr>
              <w:t>第九条第（四）项</w:t>
            </w:r>
            <w:r>
              <w:rPr>
                <w:rFonts w:ascii="仿宋" w:eastAsia="仿宋" w:hAnsi="仿宋" w:cs="仿宋"/>
                <w:kern w:val="1"/>
                <w:sz w:val="24"/>
              </w:rPr>
              <w:t>。</w:t>
            </w:r>
          </w:p>
          <w:p w:rsidR="00013EC7" w:rsidRDefault="00575CDB">
            <w:pPr>
              <w:rPr>
                <w:rFonts w:ascii="仿宋" w:eastAsia="仿宋" w:hAnsi="仿宋" w:cs="仿宋"/>
                <w:kern w:val="1"/>
                <w:sz w:val="24"/>
              </w:rPr>
            </w:pPr>
            <w:r>
              <w:rPr>
                <w:rFonts w:ascii="仿宋" w:eastAsia="仿宋" w:hAnsi="仿宋" w:cs="仿宋" w:hint="eastAsia"/>
                <w:kern w:val="1"/>
                <w:sz w:val="24"/>
              </w:rPr>
              <w:t>（二）</w:t>
            </w:r>
            <w:r>
              <w:rPr>
                <w:rFonts w:ascii="仿宋" w:eastAsia="仿宋" w:hAnsi="仿宋" w:cs="仿宋"/>
                <w:kern w:val="1"/>
                <w:sz w:val="24"/>
              </w:rPr>
              <w:t>《国家税务总局关于出口货物劳务增值税和消费税有关问题的公告》（国家税务总局公告2013年第65号）</w:t>
            </w:r>
            <w:r>
              <w:rPr>
                <w:rFonts w:ascii="仿宋" w:eastAsia="仿宋" w:hAnsi="仿宋" w:cs="仿宋" w:hint="eastAsia"/>
                <w:kern w:val="1"/>
                <w:sz w:val="24"/>
              </w:rPr>
              <w:t>第四条</w:t>
            </w:r>
            <w:r>
              <w:rPr>
                <w:rFonts w:ascii="仿宋" w:eastAsia="仿宋" w:hAnsi="仿宋" w:cs="仿宋"/>
                <w:kern w:val="1"/>
                <w:sz w:val="24"/>
              </w:rPr>
              <w:t>。</w:t>
            </w:r>
          </w:p>
          <w:p w:rsidR="00013EC7" w:rsidRDefault="00575CDB">
            <w:pPr>
              <w:rPr>
                <w:rFonts w:ascii="仿宋" w:eastAsia="仿宋" w:hAnsi="仿宋" w:cs="仿宋"/>
                <w:kern w:val="1"/>
                <w:sz w:val="24"/>
              </w:rPr>
            </w:pPr>
            <w:r>
              <w:rPr>
                <w:rFonts w:ascii="仿宋" w:eastAsia="仿宋" w:hAnsi="仿宋" w:cs="仿宋" w:hint="eastAsia"/>
                <w:kern w:val="1"/>
                <w:sz w:val="24"/>
              </w:rPr>
              <w:t>（三）</w:t>
            </w:r>
            <w:r>
              <w:rPr>
                <w:rFonts w:ascii="仿宋" w:eastAsia="仿宋" w:hAnsi="仿宋" w:cs="仿宋"/>
                <w:kern w:val="1"/>
                <w:sz w:val="24"/>
              </w:rPr>
              <w:t>《国家税务总局关于出口退（免）税有关问题的公告》（国家税务总局公告2015年第29号）</w:t>
            </w:r>
            <w:r>
              <w:rPr>
                <w:rFonts w:ascii="仿宋" w:eastAsia="仿宋" w:hAnsi="仿宋" w:cs="仿宋" w:hint="eastAsia"/>
                <w:kern w:val="1"/>
                <w:sz w:val="24"/>
              </w:rPr>
              <w:t>第五条。</w:t>
            </w:r>
          </w:p>
          <w:p w:rsidR="00013EC7" w:rsidRDefault="00575CDB">
            <w:pPr>
              <w:rPr>
                <w:rFonts w:ascii="仿宋" w:eastAsia="仿宋" w:hAnsi="仿宋" w:cs="仿宋"/>
                <w:kern w:val="1"/>
                <w:sz w:val="24"/>
              </w:rPr>
            </w:pPr>
            <w:r>
              <w:rPr>
                <w:rFonts w:ascii="仿宋" w:eastAsia="仿宋" w:hAnsi="仿宋" w:cs="仿宋" w:hint="eastAsia"/>
                <w:kern w:val="1"/>
                <w:sz w:val="24"/>
              </w:rPr>
              <w:t>（四）</w:t>
            </w:r>
            <w:r>
              <w:rPr>
                <w:rFonts w:ascii="仿宋" w:eastAsia="仿宋" w:hAnsi="仿宋" w:cs="仿宋"/>
                <w:kern w:val="1"/>
                <w:sz w:val="24"/>
              </w:rPr>
              <w:t>《</w:t>
            </w:r>
            <w:r>
              <w:rPr>
                <w:rFonts w:ascii="仿宋" w:eastAsia="仿宋" w:hAnsi="仿宋" w:cs="仿宋" w:hint="eastAsia"/>
                <w:kern w:val="1"/>
                <w:sz w:val="24"/>
              </w:rPr>
              <w:t>国家税务总局关于进一步加强出口退（免）税事中事后管理有关问题的公告</w:t>
            </w:r>
            <w:r>
              <w:rPr>
                <w:rFonts w:ascii="仿宋" w:eastAsia="仿宋" w:hAnsi="仿宋" w:cs="仿宋"/>
                <w:kern w:val="1"/>
                <w:sz w:val="24"/>
              </w:rPr>
              <w:t>》（国家税务总局公告201</w:t>
            </w:r>
            <w:r>
              <w:rPr>
                <w:rFonts w:ascii="仿宋" w:eastAsia="仿宋" w:hAnsi="仿宋" w:cs="仿宋" w:hint="eastAsia"/>
                <w:kern w:val="1"/>
                <w:sz w:val="24"/>
              </w:rPr>
              <w:t>6</w:t>
            </w:r>
            <w:r>
              <w:rPr>
                <w:rFonts w:ascii="仿宋" w:eastAsia="仿宋" w:hAnsi="仿宋" w:cs="仿宋"/>
                <w:kern w:val="1"/>
                <w:sz w:val="24"/>
              </w:rPr>
              <w:t>年第</w:t>
            </w:r>
            <w:r>
              <w:rPr>
                <w:rFonts w:ascii="仿宋" w:eastAsia="仿宋" w:hAnsi="仿宋" w:cs="仿宋" w:hint="eastAsia"/>
                <w:kern w:val="1"/>
                <w:sz w:val="24"/>
              </w:rPr>
              <w:t>1</w:t>
            </w:r>
            <w:r>
              <w:rPr>
                <w:rFonts w:ascii="仿宋" w:eastAsia="仿宋" w:hAnsi="仿宋" w:cs="仿宋"/>
                <w:kern w:val="1"/>
                <w:sz w:val="24"/>
              </w:rPr>
              <w:t>号）</w:t>
            </w:r>
            <w:r>
              <w:rPr>
                <w:rFonts w:ascii="仿宋" w:eastAsia="仿宋" w:hAnsi="仿宋" w:cs="仿宋" w:hint="eastAsia"/>
                <w:kern w:val="1"/>
                <w:sz w:val="24"/>
              </w:rPr>
              <w:t>第四条。</w:t>
            </w:r>
          </w:p>
          <w:p w:rsidR="00013EC7" w:rsidRDefault="00575CDB">
            <w:pPr>
              <w:rPr>
                <w:rFonts w:ascii="仿宋" w:eastAsia="仿宋" w:hAnsi="仿宋" w:cs="仿宋"/>
                <w:kern w:val="1"/>
                <w:sz w:val="24"/>
              </w:rPr>
            </w:pPr>
            <w:r>
              <w:rPr>
                <w:rFonts w:ascii="仿宋" w:eastAsia="仿宋" w:hAnsi="仿宋" w:cs="仿宋" w:hint="eastAsia"/>
                <w:kern w:val="1"/>
                <w:sz w:val="24"/>
              </w:rPr>
              <w:t>（五）《浙江省国家税务局关于出口退（免）税无纸化申报的公告》（浙江省国家税务局公告</w:t>
            </w:r>
            <w:r>
              <w:rPr>
                <w:rFonts w:ascii="仿宋" w:eastAsia="仿宋" w:hAnsi="仿宋" w:cs="仿宋"/>
                <w:kern w:val="1"/>
                <w:sz w:val="24"/>
              </w:rPr>
              <w:t>2015</w:t>
            </w:r>
            <w:r>
              <w:rPr>
                <w:rFonts w:ascii="仿宋" w:eastAsia="仿宋" w:hAnsi="仿宋" w:cs="仿宋" w:hint="eastAsia"/>
                <w:kern w:val="1"/>
                <w:sz w:val="24"/>
              </w:rPr>
              <w:t>年第</w:t>
            </w:r>
            <w:r>
              <w:rPr>
                <w:rFonts w:ascii="仿宋" w:eastAsia="仿宋" w:hAnsi="仿宋" w:cs="仿宋"/>
                <w:kern w:val="1"/>
                <w:sz w:val="24"/>
              </w:rPr>
              <w:t>9</w:t>
            </w:r>
            <w:r>
              <w:rPr>
                <w:rFonts w:ascii="仿宋" w:eastAsia="仿宋" w:hAnsi="仿宋" w:cs="仿宋" w:hint="eastAsia"/>
                <w:kern w:val="1"/>
                <w:sz w:val="24"/>
              </w:rPr>
              <w:t>号）全文。</w:t>
            </w:r>
          </w:p>
        </w:tc>
        <w:tc>
          <w:tcPr>
            <w:tcW w:w="2785" w:type="dxa"/>
            <w:tcBorders>
              <w:top w:val="single" w:sz="4" w:space="0" w:color="auto"/>
              <w:bottom w:val="single" w:sz="4" w:space="0" w:color="auto"/>
            </w:tcBorders>
            <w:vAlign w:val="center"/>
          </w:tcPr>
          <w:p w:rsidR="00013EC7" w:rsidRDefault="00575CDB">
            <w:pPr>
              <w:rPr>
                <w:rFonts w:ascii="仿宋" w:eastAsia="仿宋" w:hAnsi="仿宋" w:cs="仿宋"/>
                <w:kern w:val="1"/>
                <w:sz w:val="24"/>
              </w:rPr>
            </w:pPr>
            <w:r>
              <w:rPr>
                <w:rFonts w:ascii="仿宋" w:eastAsia="仿宋" w:hAnsi="仿宋" w:cs="仿宋"/>
                <w:kern w:val="1"/>
                <w:sz w:val="24"/>
              </w:rPr>
              <w:t>（一）</w:t>
            </w:r>
            <w:r>
              <w:rPr>
                <w:rFonts w:ascii="仿宋" w:eastAsia="仿宋" w:hAnsi="仿宋" w:cs="仿宋" w:hint="eastAsia"/>
                <w:kern w:val="1"/>
                <w:sz w:val="24"/>
              </w:rPr>
              <w:t>（A05019）《来料加工免税证明申请表》及申报电子数据。</w:t>
            </w:r>
          </w:p>
        </w:tc>
        <w:tc>
          <w:tcPr>
            <w:tcW w:w="1118" w:type="dxa"/>
            <w:vMerge w:val="restart"/>
            <w:vAlign w:val="center"/>
          </w:tcPr>
          <w:p w:rsidR="00013EC7" w:rsidRDefault="00575CDB">
            <w:pPr>
              <w:spacing w:line="300" w:lineRule="exact"/>
              <w:jc w:val="center"/>
              <w:rPr>
                <w:rFonts w:ascii="仿宋" w:eastAsia="仿宋" w:hAnsi="仿宋" w:cs="仿宋"/>
                <w:kern w:val="1"/>
                <w:sz w:val="24"/>
              </w:rPr>
            </w:pPr>
            <w:r>
              <w:rPr>
                <w:rFonts w:ascii="仿宋" w:eastAsia="仿宋" w:hAnsi="仿宋" w:cs="仿宋" w:hint="eastAsia"/>
                <w:sz w:val="24"/>
              </w:rPr>
              <w:t>办理《来料加工免税证明》的出口企业纳税人提交</w:t>
            </w:r>
          </w:p>
        </w:tc>
        <w:tc>
          <w:tcPr>
            <w:tcW w:w="2537" w:type="dxa"/>
            <w:vAlign w:val="center"/>
          </w:tcPr>
          <w:p w:rsidR="00013EC7" w:rsidRDefault="00575CDB">
            <w:pPr>
              <w:rPr>
                <w:rFonts w:ascii="仿宋" w:eastAsia="仿宋" w:hAnsi="仿宋" w:cs="仿宋"/>
                <w:kern w:val="1"/>
                <w:sz w:val="24"/>
              </w:rPr>
            </w:pPr>
            <w:r>
              <w:rPr>
                <w:rFonts w:ascii="仿宋" w:eastAsia="仿宋" w:hAnsi="仿宋" w:cs="仿宋"/>
                <w:kern w:val="1"/>
                <w:sz w:val="24"/>
              </w:rPr>
              <w:t>（一）</w:t>
            </w:r>
            <w:r>
              <w:rPr>
                <w:rFonts w:ascii="仿宋" w:eastAsia="仿宋" w:hAnsi="仿宋" w:cs="仿宋" w:hint="eastAsia"/>
                <w:kern w:val="1"/>
                <w:sz w:val="24"/>
              </w:rPr>
              <w:t>（A05019）《来料加工免税证明申请表》及其电子数据。</w:t>
            </w:r>
          </w:p>
        </w:tc>
        <w:tc>
          <w:tcPr>
            <w:tcW w:w="1196" w:type="dxa"/>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sz w:val="24"/>
              </w:rPr>
              <w:t>办理《来料加工免税证明》的出口企业纳税人提交</w:t>
            </w:r>
          </w:p>
        </w:tc>
        <w:tc>
          <w:tcPr>
            <w:tcW w:w="3318"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纳税人提交书面材料（无纸化企业留存备查）。</w:t>
            </w:r>
            <w:r>
              <w:rPr>
                <w:rFonts w:ascii="仿宋" w:eastAsia="仿宋" w:hAnsi="仿宋" w:cs="仿宋" w:hint="eastAsia"/>
                <w:b/>
                <w:sz w:val="24"/>
              </w:rPr>
              <w:t>网上办理：</w:t>
            </w:r>
            <w:r>
              <w:rPr>
                <w:rFonts w:ascii="仿宋" w:eastAsia="仿宋" w:hAnsi="仿宋" w:cs="仿宋" w:hint="eastAsia"/>
                <w:sz w:val="24"/>
              </w:rPr>
              <w:t>登录浙江省国家税务局电子税务局提交电子数据。</w:t>
            </w:r>
          </w:p>
        </w:tc>
        <w:tc>
          <w:tcPr>
            <w:tcW w:w="868" w:type="dxa"/>
            <w:vMerge w:val="restart"/>
            <w:vAlign w:val="center"/>
          </w:tcPr>
          <w:p w:rsidR="00013EC7" w:rsidRDefault="00575CDB">
            <w:pPr>
              <w:spacing w:line="300" w:lineRule="exact"/>
              <w:jc w:val="center"/>
              <w:rPr>
                <w:rFonts w:ascii="仿宋" w:eastAsia="仿宋" w:hAnsi="仿宋" w:cs="仿宋"/>
                <w:kern w:val="1"/>
                <w:sz w:val="24"/>
              </w:rPr>
            </w:pPr>
            <w:r>
              <w:rPr>
                <w:rFonts w:ascii="仿宋" w:eastAsia="仿宋" w:hAnsi="仿宋" w:cs="仿宋" w:hint="eastAsia"/>
                <w:kern w:val="1"/>
                <w:sz w:val="24"/>
              </w:rPr>
              <w:t>5个工作日</w:t>
            </w:r>
          </w:p>
        </w:tc>
        <w:tc>
          <w:tcPr>
            <w:tcW w:w="789" w:type="dxa"/>
            <w:vMerge w:val="restart"/>
            <w:vAlign w:val="center"/>
          </w:tcPr>
          <w:p w:rsidR="00013EC7" w:rsidRDefault="00575CDB">
            <w:pPr>
              <w:spacing w:line="300" w:lineRule="exact"/>
              <w:jc w:val="center"/>
              <w:rPr>
                <w:rFonts w:ascii="仿宋" w:eastAsia="仿宋" w:hAnsi="仿宋" w:cs="仿宋"/>
                <w:kern w:val="1"/>
                <w:sz w:val="24"/>
              </w:rPr>
            </w:pPr>
            <w:r>
              <w:rPr>
                <w:rFonts w:ascii="仿宋" w:eastAsia="仿宋" w:hAnsi="仿宋" w:cs="仿宋" w:hint="eastAsia"/>
                <w:kern w:val="1"/>
                <w:sz w:val="24"/>
              </w:rPr>
              <w:t>对符合条件的，当场办结。相关资料信息等需进一步核实的，出具受理通知并自受理申请之日起5个工作日内办结。</w:t>
            </w:r>
          </w:p>
        </w:tc>
        <w:tc>
          <w:tcPr>
            <w:tcW w:w="967" w:type="dxa"/>
            <w:vMerge w:val="restart"/>
            <w:vAlign w:val="center"/>
          </w:tcPr>
          <w:p w:rsidR="00013EC7" w:rsidRDefault="00575CDB">
            <w:pPr>
              <w:spacing w:line="300" w:lineRule="exact"/>
              <w:jc w:val="center"/>
              <w:rPr>
                <w:rFonts w:ascii="仿宋" w:eastAsia="仿宋" w:hAnsi="仿宋" w:cs="仿宋"/>
                <w:kern w:val="1"/>
                <w:sz w:val="24"/>
              </w:rPr>
            </w:pPr>
            <w:r>
              <w:rPr>
                <w:rFonts w:ascii="仿宋" w:eastAsia="仿宋" w:hAnsi="仿宋" w:cs="仿宋" w:hint="eastAsia"/>
                <w:kern w:val="1"/>
                <w:sz w:val="24"/>
              </w:rPr>
              <w:t>无纸化企业已实现跑零次</w:t>
            </w:r>
          </w:p>
        </w:tc>
        <w:tc>
          <w:tcPr>
            <w:tcW w:w="1104" w:type="dxa"/>
            <w:vMerge w:val="restart"/>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sz w:val="24"/>
              </w:rPr>
              <w:t>进出口处</w:t>
            </w:r>
          </w:p>
        </w:tc>
        <w:tc>
          <w:tcPr>
            <w:tcW w:w="1476" w:type="dxa"/>
            <w:vMerge w:val="restart"/>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邮寄回执</w:t>
            </w:r>
          </w:p>
        </w:tc>
      </w:tr>
      <w:tr w:rsidR="00013EC7">
        <w:trPr>
          <w:trHeight w:val="1699"/>
          <w:jc w:val="center"/>
        </w:trPr>
        <w:tc>
          <w:tcPr>
            <w:tcW w:w="787" w:type="dxa"/>
            <w:vMerge/>
            <w:textDirection w:val="tbRlV"/>
            <w:vAlign w:val="center"/>
          </w:tcPr>
          <w:p w:rsidR="00013EC7" w:rsidRDefault="00013EC7">
            <w:pPr>
              <w:rPr>
                <w:rFonts w:ascii="仿宋" w:eastAsia="仿宋" w:hAnsi="仿宋" w:cs="仿宋"/>
                <w:sz w:val="24"/>
              </w:rPr>
            </w:pPr>
          </w:p>
        </w:tc>
        <w:tc>
          <w:tcPr>
            <w:tcW w:w="1222" w:type="dxa"/>
            <w:vMerge/>
            <w:vAlign w:val="center"/>
          </w:tcPr>
          <w:p w:rsidR="00013EC7" w:rsidRDefault="00013EC7">
            <w:pPr>
              <w:rPr>
                <w:rFonts w:ascii="仿宋" w:eastAsia="仿宋" w:hAnsi="仿宋" w:cs="仿宋"/>
                <w:sz w:val="24"/>
              </w:rPr>
            </w:pPr>
          </w:p>
        </w:tc>
        <w:tc>
          <w:tcPr>
            <w:tcW w:w="2671" w:type="dxa"/>
            <w:vMerge/>
            <w:vAlign w:val="center"/>
          </w:tcPr>
          <w:p w:rsidR="00013EC7" w:rsidRDefault="00013EC7">
            <w:pPr>
              <w:rPr>
                <w:rFonts w:ascii="仿宋" w:eastAsia="仿宋" w:hAnsi="仿宋" w:cs="仿宋"/>
                <w:sz w:val="24"/>
              </w:rPr>
            </w:pPr>
          </w:p>
        </w:tc>
        <w:tc>
          <w:tcPr>
            <w:tcW w:w="2785" w:type="dxa"/>
            <w:tcBorders>
              <w:top w:val="single" w:sz="4" w:space="0" w:color="auto"/>
            </w:tcBorders>
            <w:vAlign w:val="center"/>
          </w:tcPr>
          <w:p w:rsidR="00013EC7" w:rsidRDefault="00575CDB">
            <w:pPr>
              <w:rPr>
                <w:rFonts w:ascii="仿宋" w:eastAsia="仿宋" w:hAnsi="仿宋" w:cs="仿宋"/>
                <w:kern w:val="1"/>
                <w:sz w:val="24"/>
              </w:rPr>
            </w:pPr>
            <w:r>
              <w:rPr>
                <w:rFonts w:ascii="仿宋" w:eastAsia="仿宋" w:hAnsi="仿宋" w:cs="仿宋"/>
                <w:kern w:val="1"/>
                <w:sz w:val="24"/>
              </w:rPr>
              <w:t>（二）</w:t>
            </w:r>
            <w:r>
              <w:rPr>
                <w:rFonts w:ascii="仿宋" w:eastAsia="仿宋" w:hAnsi="仿宋" w:cs="仿宋" w:hint="eastAsia"/>
                <w:kern w:val="1"/>
                <w:sz w:val="24"/>
              </w:rPr>
              <w:t>进口货物报关单原件及复印件（注明与原件一致，并加盖公章）。</w:t>
            </w:r>
          </w:p>
        </w:tc>
        <w:tc>
          <w:tcPr>
            <w:tcW w:w="1118" w:type="dxa"/>
            <w:vMerge/>
            <w:vAlign w:val="center"/>
          </w:tcPr>
          <w:p w:rsidR="00013EC7" w:rsidRDefault="00013EC7">
            <w:pPr>
              <w:rPr>
                <w:rFonts w:ascii="仿宋" w:eastAsia="仿宋" w:hAnsi="仿宋" w:cs="仿宋"/>
                <w:kern w:val="1"/>
                <w:sz w:val="24"/>
              </w:rPr>
            </w:pPr>
          </w:p>
        </w:tc>
        <w:tc>
          <w:tcPr>
            <w:tcW w:w="2537" w:type="dxa"/>
            <w:vAlign w:val="center"/>
          </w:tcPr>
          <w:p w:rsidR="00013EC7" w:rsidRDefault="00575CDB">
            <w:pPr>
              <w:rPr>
                <w:rFonts w:ascii="仿宋" w:eastAsia="仿宋" w:hAnsi="仿宋" w:cs="仿宋"/>
                <w:kern w:val="1"/>
                <w:sz w:val="24"/>
              </w:rPr>
            </w:pPr>
            <w:r>
              <w:rPr>
                <w:rFonts w:ascii="仿宋" w:eastAsia="仿宋" w:hAnsi="仿宋" w:cs="仿宋"/>
                <w:kern w:val="1"/>
                <w:sz w:val="24"/>
              </w:rPr>
              <w:t>（二）</w:t>
            </w:r>
            <w:r>
              <w:rPr>
                <w:rFonts w:ascii="仿宋" w:eastAsia="仿宋" w:hAnsi="仿宋" w:cs="仿宋" w:hint="eastAsia"/>
                <w:kern w:val="1"/>
                <w:sz w:val="24"/>
              </w:rPr>
              <w:t>进口货物报关单原件及复印件（注明与原件一致，并加盖公章）。</w:t>
            </w:r>
          </w:p>
        </w:tc>
        <w:tc>
          <w:tcPr>
            <w:tcW w:w="1196" w:type="dxa"/>
            <w:vAlign w:val="center"/>
          </w:tcPr>
          <w:p w:rsidR="00013EC7" w:rsidRDefault="00575CDB">
            <w:pPr>
              <w:spacing w:line="300" w:lineRule="exact"/>
              <w:jc w:val="center"/>
              <w:rPr>
                <w:rFonts w:ascii="仿宋" w:eastAsia="仿宋" w:hAnsi="仿宋" w:cs="仿宋"/>
                <w:b/>
                <w:i/>
                <w:sz w:val="24"/>
              </w:rPr>
            </w:pPr>
            <w:r>
              <w:rPr>
                <w:rFonts w:ascii="仿宋" w:eastAsia="仿宋" w:hAnsi="仿宋" w:cs="仿宋" w:hint="eastAsia"/>
                <w:b/>
                <w:i/>
                <w:sz w:val="24"/>
              </w:rPr>
              <w:t>经办机构自行获取</w:t>
            </w:r>
          </w:p>
        </w:tc>
        <w:tc>
          <w:tcPr>
            <w:tcW w:w="3318"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b/>
                <w:sz w:val="24"/>
              </w:rPr>
              <w:t>内部共享：</w:t>
            </w:r>
            <w:r>
              <w:rPr>
                <w:rFonts w:ascii="仿宋" w:eastAsia="仿宋" w:hAnsi="仿宋" w:cs="仿宋" w:hint="eastAsia"/>
                <w:sz w:val="24"/>
              </w:rPr>
              <w:t>内部共享获取相关信息（无纸化企业留存备查，非无纸化企业需提供书面材料）。</w:t>
            </w:r>
          </w:p>
        </w:tc>
        <w:tc>
          <w:tcPr>
            <w:tcW w:w="868" w:type="dxa"/>
            <w:vMerge/>
            <w:vAlign w:val="center"/>
          </w:tcPr>
          <w:p w:rsidR="00013EC7" w:rsidRDefault="00013EC7">
            <w:pPr>
              <w:rPr>
                <w:rFonts w:ascii="仿宋" w:eastAsia="仿宋" w:hAnsi="仿宋" w:cs="仿宋"/>
                <w:sz w:val="24"/>
              </w:rPr>
            </w:pPr>
          </w:p>
        </w:tc>
        <w:tc>
          <w:tcPr>
            <w:tcW w:w="789" w:type="dxa"/>
            <w:vMerge/>
            <w:vAlign w:val="center"/>
          </w:tcPr>
          <w:p w:rsidR="00013EC7" w:rsidRDefault="00013EC7">
            <w:pPr>
              <w:rPr>
                <w:rFonts w:ascii="仿宋" w:eastAsia="仿宋" w:hAnsi="仿宋" w:cs="仿宋"/>
                <w:sz w:val="24"/>
              </w:rPr>
            </w:pPr>
          </w:p>
        </w:tc>
        <w:tc>
          <w:tcPr>
            <w:tcW w:w="967"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340"/>
          <w:jc w:val="center"/>
        </w:trPr>
        <w:tc>
          <w:tcPr>
            <w:tcW w:w="787" w:type="dxa"/>
            <w:vMerge/>
            <w:textDirection w:val="tbRlV"/>
            <w:vAlign w:val="center"/>
          </w:tcPr>
          <w:p w:rsidR="00013EC7" w:rsidRDefault="00013EC7">
            <w:pPr>
              <w:rPr>
                <w:rFonts w:ascii="仿宋" w:eastAsia="仿宋" w:hAnsi="仿宋" w:cs="仿宋"/>
                <w:sz w:val="24"/>
              </w:rPr>
            </w:pPr>
          </w:p>
        </w:tc>
        <w:tc>
          <w:tcPr>
            <w:tcW w:w="1222" w:type="dxa"/>
            <w:vMerge/>
            <w:vAlign w:val="center"/>
          </w:tcPr>
          <w:p w:rsidR="00013EC7" w:rsidRDefault="00013EC7">
            <w:pPr>
              <w:rPr>
                <w:rFonts w:ascii="仿宋" w:eastAsia="仿宋" w:hAnsi="仿宋" w:cs="仿宋"/>
                <w:sz w:val="24"/>
              </w:rPr>
            </w:pPr>
          </w:p>
        </w:tc>
        <w:tc>
          <w:tcPr>
            <w:tcW w:w="2671" w:type="dxa"/>
            <w:vMerge/>
            <w:vAlign w:val="center"/>
          </w:tcPr>
          <w:p w:rsidR="00013EC7" w:rsidRDefault="00013EC7">
            <w:pPr>
              <w:rPr>
                <w:rFonts w:ascii="仿宋" w:eastAsia="仿宋" w:hAnsi="仿宋" w:cs="仿宋"/>
                <w:sz w:val="24"/>
              </w:rPr>
            </w:pPr>
          </w:p>
        </w:tc>
        <w:tc>
          <w:tcPr>
            <w:tcW w:w="2785" w:type="dxa"/>
            <w:vAlign w:val="center"/>
          </w:tcPr>
          <w:p w:rsidR="00013EC7" w:rsidRDefault="00575CDB">
            <w:pPr>
              <w:rPr>
                <w:rFonts w:ascii="仿宋" w:eastAsia="仿宋" w:hAnsi="仿宋" w:cs="仿宋"/>
                <w:kern w:val="1"/>
                <w:sz w:val="24"/>
              </w:rPr>
            </w:pPr>
            <w:r>
              <w:rPr>
                <w:rFonts w:ascii="仿宋" w:eastAsia="仿宋" w:hAnsi="仿宋" w:cs="仿宋"/>
                <w:kern w:val="1"/>
                <w:sz w:val="24"/>
              </w:rPr>
              <w:t>（三）</w:t>
            </w:r>
            <w:r>
              <w:rPr>
                <w:rFonts w:ascii="仿宋" w:eastAsia="仿宋" w:hAnsi="仿宋" w:cs="仿宋" w:hint="eastAsia"/>
                <w:kern w:val="1"/>
                <w:sz w:val="24"/>
              </w:rPr>
              <w:t>加工企业开具的加工费的普通发票原件及复印件（注明与原件一致，并加盖公章）。</w:t>
            </w:r>
          </w:p>
        </w:tc>
        <w:tc>
          <w:tcPr>
            <w:tcW w:w="1118" w:type="dxa"/>
            <w:vMerge/>
            <w:vAlign w:val="center"/>
          </w:tcPr>
          <w:p w:rsidR="00013EC7" w:rsidRDefault="00013EC7">
            <w:pPr>
              <w:rPr>
                <w:rFonts w:ascii="仿宋" w:eastAsia="仿宋" w:hAnsi="仿宋" w:cs="仿宋"/>
                <w:kern w:val="1"/>
                <w:sz w:val="24"/>
              </w:rPr>
            </w:pPr>
          </w:p>
        </w:tc>
        <w:tc>
          <w:tcPr>
            <w:tcW w:w="2537" w:type="dxa"/>
            <w:vAlign w:val="center"/>
          </w:tcPr>
          <w:p w:rsidR="00013EC7" w:rsidRDefault="00575CDB">
            <w:pPr>
              <w:rPr>
                <w:rFonts w:ascii="仿宋" w:eastAsia="仿宋" w:hAnsi="仿宋" w:cs="仿宋"/>
                <w:kern w:val="1"/>
                <w:sz w:val="24"/>
              </w:rPr>
            </w:pPr>
            <w:r>
              <w:rPr>
                <w:rFonts w:ascii="仿宋" w:eastAsia="仿宋" w:hAnsi="仿宋" w:cs="仿宋"/>
                <w:kern w:val="1"/>
                <w:sz w:val="24"/>
              </w:rPr>
              <w:t>（三）</w:t>
            </w:r>
            <w:r>
              <w:rPr>
                <w:rFonts w:ascii="仿宋" w:eastAsia="仿宋" w:hAnsi="仿宋" w:cs="仿宋" w:hint="eastAsia"/>
                <w:kern w:val="1"/>
                <w:sz w:val="24"/>
              </w:rPr>
              <w:t>加工企业开具的加工费的普通发票原件及复印件（注明与原件一致，并加盖公章）。</w:t>
            </w:r>
          </w:p>
        </w:tc>
        <w:tc>
          <w:tcPr>
            <w:tcW w:w="1196" w:type="dxa"/>
            <w:vAlign w:val="center"/>
          </w:tcPr>
          <w:p w:rsidR="00013EC7" w:rsidRDefault="00575CDB">
            <w:pPr>
              <w:spacing w:line="300" w:lineRule="exact"/>
              <w:jc w:val="center"/>
              <w:rPr>
                <w:rFonts w:ascii="仿宋" w:eastAsia="仿宋" w:hAnsi="仿宋" w:cs="仿宋"/>
                <w:b/>
                <w:i/>
                <w:sz w:val="24"/>
              </w:rPr>
            </w:pPr>
            <w:r>
              <w:rPr>
                <w:rFonts w:ascii="仿宋" w:eastAsia="仿宋" w:hAnsi="仿宋" w:cs="仿宋" w:hint="eastAsia"/>
                <w:b/>
                <w:i/>
                <w:sz w:val="24"/>
              </w:rPr>
              <w:t>经办机构自行获取</w:t>
            </w:r>
          </w:p>
        </w:tc>
        <w:tc>
          <w:tcPr>
            <w:tcW w:w="3318"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b/>
                <w:sz w:val="24"/>
              </w:rPr>
              <w:t>内部共享：</w:t>
            </w:r>
            <w:r>
              <w:rPr>
                <w:rFonts w:ascii="仿宋" w:eastAsia="仿宋" w:hAnsi="仿宋" w:cs="仿宋" w:hint="eastAsia"/>
                <w:sz w:val="24"/>
              </w:rPr>
              <w:t>内部共享获取相关信息（无纸化企业留存备查，非无纸化企业需提供书面材料）。</w:t>
            </w:r>
          </w:p>
        </w:tc>
        <w:tc>
          <w:tcPr>
            <w:tcW w:w="868" w:type="dxa"/>
            <w:vMerge/>
            <w:vAlign w:val="center"/>
          </w:tcPr>
          <w:p w:rsidR="00013EC7" w:rsidRDefault="00013EC7">
            <w:pPr>
              <w:rPr>
                <w:rFonts w:ascii="仿宋" w:eastAsia="仿宋" w:hAnsi="仿宋" w:cs="仿宋"/>
                <w:sz w:val="24"/>
              </w:rPr>
            </w:pPr>
          </w:p>
        </w:tc>
        <w:tc>
          <w:tcPr>
            <w:tcW w:w="789" w:type="dxa"/>
            <w:vMerge/>
            <w:vAlign w:val="center"/>
          </w:tcPr>
          <w:p w:rsidR="00013EC7" w:rsidRDefault="00013EC7">
            <w:pPr>
              <w:rPr>
                <w:rFonts w:ascii="仿宋" w:eastAsia="仿宋" w:hAnsi="仿宋" w:cs="仿宋"/>
                <w:sz w:val="24"/>
              </w:rPr>
            </w:pPr>
          </w:p>
        </w:tc>
        <w:tc>
          <w:tcPr>
            <w:tcW w:w="967"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340"/>
          <w:jc w:val="center"/>
        </w:trPr>
        <w:tc>
          <w:tcPr>
            <w:tcW w:w="787" w:type="dxa"/>
            <w:vMerge/>
            <w:vAlign w:val="center"/>
          </w:tcPr>
          <w:p w:rsidR="00013EC7" w:rsidRDefault="00013EC7">
            <w:pPr>
              <w:rPr>
                <w:rFonts w:ascii="仿宋" w:eastAsia="仿宋" w:hAnsi="仿宋" w:cs="仿宋"/>
                <w:sz w:val="24"/>
              </w:rPr>
            </w:pPr>
          </w:p>
        </w:tc>
        <w:tc>
          <w:tcPr>
            <w:tcW w:w="1222" w:type="dxa"/>
            <w:vMerge/>
            <w:vAlign w:val="center"/>
          </w:tcPr>
          <w:p w:rsidR="00013EC7" w:rsidRDefault="00013EC7">
            <w:pPr>
              <w:rPr>
                <w:rFonts w:ascii="仿宋" w:eastAsia="仿宋" w:hAnsi="仿宋" w:cs="仿宋"/>
                <w:sz w:val="24"/>
              </w:rPr>
            </w:pPr>
          </w:p>
        </w:tc>
        <w:tc>
          <w:tcPr>
            <w:tcW w:w="2671" w:type="dxa"/>
            <w:vMerge/>
            <w:vAlign w:val="center"/>
          </w:tcPr>
          <w:p w:rsidR="00013EC7" w:rsidRDefault="00013EC7">
            <w:pPr>
              <w:rPr>
                <w:rFonts w:ascii="仿宋" w:eastAsia="仿宋" w:hAnsi="仿宋" w:cs="仿宋"/>
                <w:sz w:val="24"/>
              </w:rPr>
            </w:pPr>
          </w:p>
        </w:tc>
        <w:tc>
          <w:tcPr>
            <w:tcW w:w="2785" w:type="dxa"/>
            <w:vAlign w:val="center"/>
          </w:tcPr>
          <w:p w:rsidR="00013EC7" w:rsidRDefault="00575CDB">
            <w:pPr>
              <w:rPr>
                <w:rFonts w:ascii="仿宋" w:eastAsia="仿宋" w:hAnsi="仿宋" w:cs="仿宋"/>
                <w:kern w:val="1"/>
                <w:sz w:val="24"/>
              </w:rPr>
            </w:pPr>
            <w:r>
              <w:rPr>
                <w:rFonts w:ascii="仿宋" w:eastAsia="仿宋" w:hAnsi="仿宋" w:cs="仿宋"/>
                <w:kern w:val="1"/>
                <w:sz w:val="24"/>
              </w:rPr>
              <w:t>（四）</w:t>
            </w:r>
            <w:r>
              <w:rPr>
                <w:rFonts w:ascii="仿宋" w:eastAsia="仿宋" w:hAnsi="仿宋" w:cs="仿宋" w:hint="eastAsia"/>
                <w:kern w:val="1"/>
                <w:sz w:val="24"/>
              </w:rPr>
              <w:t>出口企业将加工贸易进口料件，采取委托加工收回方式出口的，如提供的加工费发票不是由加工贸易手（账）册上注明的加工单位开具的，出口企业还须出具说明文件，并提供主管海关出具的书面证明材料。</w:t>
            </w:r>
          </w:p>
        </w:tc>
        <w:tc>
          <w:tcPr>
            <w:tcW w:w="1118" w:type="dxa"/>
            <w:vMerge/>
            <w:vAlign w:val="center"/>
          </w:tcPr>
          <w:p w:rsidR="00013EC7" w:rsidRDefault="00013EC7">
            <w:pPr>
              <w:rPr>
                <w:rFonts w:ascii="仿宋" w:eastAsia="仿宋" w:hAnsi="仿宋" w:cs="仿宋"/>
                <w:kern w:val="1"/>
                <w:sz w:val="24"/>
              </w:rPr>
            </w:pPr>
          </w:p>
        </w:tc>
        <w:tc>
          <w:tcPr>
            <w:tcW w:w="2537" w:type="dxa"/>
            <w:vAlign w:val="center"/>
          </w:tcPr>
          <w:p w:rsidR="00013EC7" w:rsidRDefault="00575CDB">
            <w:pPr>
              <w:rPr>
                <w:rFonts w:ascii="仿宋" w:eastAsia="仿宋" w:hAnsi="仿宋" w:cs="仿宋"/>
                <w:kern w:val="1"/>
                <w:sz w:val="24"/>
              </w:rPr>
            </w:pPr>
            <w:r>
              <w:rPr>
                <w:rFonts w:ascii="仿宋" w:eastAsia="仿宋" w:hAnsi="仿宋" w:cs="仿宋"/>
                <w:kern w:val="1"/>
                <w:sz w:val="24"/>
              </w:rPr>
              <w:t>（四）</w:t>
            </w:r>
            <w:r>
              <w:rPr>
                <w:rFonts w:ascii="仿宋" w:eastAsia="仿宋" w:hAnsi="仿宋" w:cs="仿宋" w:hint="eastAsia"/>
                <w:kern w:val="1"/>
                <w:sz w:val="24"/>
              </w:rPr>
              <w:t>说明文件，主管海关出具的书面证明材料（出口企业将加工贸易进口料件，采取委托加工收回方式出口的，如提供的加工费发票不是由加工贸易手（账）册上注明的加工单位开具的，出口企业还须提供上述材料）</w:t>
            </w:r>
          </w:p>
        </w:tc>
        <w:tc>
          <w:tcPr>
            <w:tcW w:w="1196" w:type="dxa"/>
            <w:vAlign w:val="center"/>
          </w:tcPr>
          <w:p w:rsidR="00013EC7" w:rsidRDefault="00575CDB">
            <w:pPr>
              <w:jc w:val="center"/>
              <w:rPr>
                <w:rFonts w:ascii="仿宋" w:eastAsia="仿宋" w:hAnsi="仿宋" w:cs="仿宋"/>
                <w:sz w:val="24"/>
              </w:rPr>
            </w:pPr>
            <w:r>
              <w:rPr>
                <w:rFonts w:ascii="仿宋" w:eastAsia="仿宋" w:hAnsi="仿宋" w:cs="仿宋" w:hint="eastAsia"/>
                <w:sz w:val="24"/>
              </w:rPr>
              <w:t>办理《来料加工免税证明》的出口企业纳税人提交</w:t>
            </w:r>
          </w:p>
        </w:tc>
        <w:tc>
          <w:tcPr>
            <w:tcW w:w="3318" w:type="dxa"/>
            <w:vAlign w:val="center"/>
          </w:tcPr>
          <w:p w:rsidR="00013EC7" w:rsidRDefault="00575CDB">
            <w:pPr>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纳税人提交书面材料（无纸化企业留存备查）。</w:t>
            </w:r>
          </w:p>
        </w:tc>
        <w:tc>
          <w:tcPr>
            <w:tcW w:w="868" w:type="dxa"/>
            <w:vMerge/>
            <w:vAlign w:val="center"/>
          </w:tcPr>
          <w:p w:rsidR="00013EC7" w:rsidRDefault="00013EC7">
            <w:pPr>
              <w:rPr>
                <w:rFonts w:ascii="仿宋" w:eastAsia="仿宋" w:hAnsi="仿宋" w:cs="仿宋"/>
                <w:sz w:val="24"/>
              </w:rPr>
            </w:pPr>
          </w:p>
        </w:tc>
        <w:tc>
          <w:tcPr>
            <w:tcW w:w="789" w:type="dxa"/>
            <w:vMerge/>
            <w:vAlign w:val="center"/>
          </w:tcPr>
          <w:p w:rsidR="00013EC7" w:rsidRDefault="00013EC7">
            <w:pPr>
              <w:rPr>
                <w:rFonts w:ascii="仿宋" w:eastAsia="仿宋" w:hAnsi="仿宋" w:cs="仿宋"/>
                <w:sz w:val="24"/>
              </w:rPr>
            </w:pPr>
          </w:p>
        </w:tc>
        <w:tc>
          <w:tcPr>
            <w:tcW w:w="967"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bl>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575CDB">
      <w:pPr>
        <w:jc w:val="center"/>
        <w:rPr>
          <w:rFonts w:eastAsia="方正书宋简体"/>
          <w:szCs w:val="21"/>
        </w:rPr>
      </w:pPr>
      <w:r>
        <w:object w:dxaOrig="8227" w:dyaOrig="11563">
          <v:shape id="_x0000_i1215" type="#_x0000_t75" style="width:411.35pt;height:578.15pt" o:ole="">
            <v:imagedata r:id="rId503" o:title=""/>
          </v:shape>
          <o:OLEObject Type="Embed" ProgID="Visio.Drawing.11" ShapeID="_x0000_i1215" DrawAspect="Content" ObjectID="_1577296135" r:id="rId504"/>
        </w:object>
      </w:r>
      <w:r>
        <w:rPr>
          <w:noProof/>
        </w:rPr>
        <w:drawing>
          <wp:inline distT="0" distB="0" distL="0" distR="0">
            <wp:extent cx="5205730" cy="7233920"/>
            <wp:effectExtent l="0" t="0" r="0" b="0"/>
            <wp:docPr id="195"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图片 195"/>
                    <pic:cNvPicPr>
                      <a:picLocks noChangeAspect="1" noChangeArrowheads="1"/>
                    </pic:cNvPicPr>
                  </pic:nvPicPr>
                  <pic:blipFill>
                    <a:blip r:embed="rId505">
                      <a:extLst>
                        <a:ext uri="{28A0092B-C50C-407E-A947-70E740481C1C}">
                          <a14:useLocalDpi xmlns:a14="http://schemas.microsoft.com/office/drawing/2010/main" val="0"/>
                        </a:ext>
                      </a:extLst>
                    </a:blip>
                    <a:srcRect/>
                    <a:stretch>
                      <a:fillRect/>
                    </a:stretch>
                  </pic:blipFill>
                  <pic:spPr>
                    <a:xfrm>
                      <a:off x="0" y="0"/>
                      <a:ext cx="5205730" cy="7233920"/>
                    </a:xfrm>
                    <a:prstGeom prst="rect">
                      <a:avLst/>
                    </a:prstGeom>
                    <a:noFill/>
                    <a:ln>
                      <a:noFill/>
                    </a:ln>
                  </pic:spPr>
                </pic:pic>
              </a:graphicData>
            </a:graphic>
          </wp:inline>
        </w:drawing>
      </w:r>
    </w:p>
    <w:p w:rsidR="00013EC7" w:rsidRDefault="00013EC7">
      <w:pPr>
        <w:rPr>
          <w:rStyle w:val="20"/>
        </w:rPr>
        <w:sectPr w:rsidR="00013EC7">
          <w:pgSz w:w="23814" w:h="16840" w:orient="landscape"/>
          <w:pgMar w:top="1701" w:right="1843" w:bottom="1985" w:left="1843" w:header="851" w:footer="1701" w:gutter="0"/>
          <w:pgNumType w:fmt="numberInDash"/>
          <w:cols w:space="720"/>
          <w:docGrid w:type="lines" w:linePitch="312"/>
        </w:sectPr>
      </w:pPr>
      <w:bookmarkStart w:id="623" w:name="_Toc503467493"/>
      <w:bookmarkStart w:id="624" w:name="_Toc31703"/>
    </w:p>
    <w:p w:rsidR="00013EC7" w:rsidRDefault="00575CDB">
      <w:pPr>
        <w:rPr>
          <w:rFonts w:ascii="宋体" w:hAnsi="宋体" w:cs="仿宋"/>
          <w:sz w:val="28"/>
          <w:szCs w:val="28"/>
        </w:rPr>
      </w:pPr>
      <w:bookmarkStart w:id="625" w:name="_Toc3097"/>
      <w:bookmarkStart w:id="626" w:name="_Toc29928"/>
      <w:r>
        <w:rPr>
          <w:rStyle w:val="20"/>
          <w:rFonts w:hint="eastAsia"/>
        </w:rPr>
        <w:lastRenderedPageBreak/>
        <w:t>29.12</w:t>
      </w:r>
      <w:r>
        <w:rPr>
          <w:rStyle w:val="20"/>
          <w:rFonts w:hint="eastAsia"/>
        </w:rPr>
        <w:t>《代理进口货物证明》开具</w:t>
      </w:r>
      <w:bookmarkEnd w:id="623"/>
      <w:bookmarkEnd w:id="625"/>
      <w:r>
        <w:rPr>
          <w:rStyle w:val="20"/>
          <w:rFonts w:hint="eastAsia"/>
        </w:rPr>
        <w:t xml:space="preserve"> </w:t>
      </w:r>
      <w:bookmarkEnd w:id="624"/>
      <w:bookmarkEnd w:id="626"/>
    </w:p>
    <w:p w:rsidR="00013EC7" w:rsidRDefault="00575CDB">
      <w:pPr>
        <w:jc w:val="center"/>
        <w:rPr>
          <w:rFonts w:ascii="宋体" w:hAnsi="宋体" w:cs="宋体"/>
          <w:b/>
          <w:bCs/>
          <w:sz w:val="52"/>
          <w:szCs w:val="52"/>
        </w:rPr>
      </w:pPr>
      <w:r>
        <w:rPr>
          <w:rFonts w:ascii="宋体" w:hAnsi="宋体" w:cs="宋体" w:hint="eastAsia"/>
          <w:b/>
          <w:bCs/>
          <w:sz w:val="52"/>
          <w:szCs w:val="52"/>
        </w:rPr>
        <w:t>全省“最多跑一次”事项“八统一”梳理表</w:t>
      </w:r>
    </w:p>
    <w:p w:rsidR="00013EC7" w:rsidRDefault="00013EC7">
      <w:pPr>
        <w:rPr>
          <w:rFonts w:ascii="宋体" w:hAnsi="宋体" w:cs="宋体"/>
          <w:b/>
          <w:bCs/>
          <w:sz w:val="44"/>
          <w:szCs w:val="44"/>
        </w:rPr>
      </w:pPr>
    </w:p>
    <w:tbl>
      <w:tblPr>
        <w:tblW w:w="20838"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1250"/>
        <w:gridCol w:w="1316"/>
        <w:gridCol w:w="2114"/>
        <w:gridCol w:w="2785"/>
        <w:gridCol w:w="1118"/>
        <w:gridCol w:w="2537"/>
        <w:gridCol w:w="1196"/>
        <w:gridCol w:w="3318"/>
        <w:gridCol w:w="868"/>
        <w:gridCol w:w="789"/>
        <w:gridCol w:w="967"/>
        <w:gridCol w:w="1104"/>
        <w:gridCol w:w="1476"/>
      </w:tblGrid>
      <w:tr w:rsidR="00013EC7">
        <w:trPr>
          <w:trHeight w:val="340"/>
          <w:tblHeader/>
          <w:jc w:val="center"/>
        </w:trPr>
        <w:tc>
          <w:tcPr>
            <w:tcW w:w="1250"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主项名称</w:t>
            </w:r>
          </w:p>
        </w:tc>
        <w:tc>
          <w:tcPr>
            <w:tcW w:w="1316"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子项名称</w:t>
            </w:r>
          </w:p>
        </w:tc>
        <w:tc>
          <w:tcPr>
            <w:tcW w:w="2114"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经办依据</w:t>
            </w:r>
          </w:p>
        </w:tc>
        <w:tc>
          <w:tcPr>
            <w:tcW w:w="3903"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原经办所需材料</w:t>
            </w:r>
          </w:p>
        </w:tc>
        <w:tc>
          <w:tcPr>
            <w:tcW w:w="7051" w:type="dxa"/>
            <w:gridSpan w:val="3"/>
            <w:vAlign w:val="center"/>
          </w:tcPr>
          <w:p w:rsidR="00013EC7" w:rsidRDefault="00575CDB">
            <w:pPr>
              <w:spacing w:line="280" w:lineRule="exact"/>
              <w:jc w:val="center"/>
              <w:rPr>
                <w:rFonts w:ascii="黑体" w:eastAsia="黑体"/>
                <w:sz w:val="24"/>
              </w:rPr>
            </w:pPr>
            <w:r>
              <w:rPr>
                <w:rFonts w:ascii="黑体" w:eastAsia="黑体" w:hint="eastAsia"/>
                <w:sz w:val="24"/>
              </w:rPr>
              <w:t>梳理后经办所需材料</w:t>
            </w:r>
          </w:p>
        </w:tc>
        <w:tc>
          <w:tcPr>
            <w:tcW w:w="1657"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办理时限</w:t>
            </w:r>
          </w:p>
        </w:tc>
        <w:tc>
          <w:tcPr>
            <w:tcW w:w="967"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是否实现跑零次</w:t>
            </w:r>
          </w:p>
        </w:tc>
        <w:tc>
          <w:tcPr>
            <w:tcW w:w="1104"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省厅对口</w:t>
            </w:r>
          </w:p>
          <w:p w:rsidR="00013EC7" w:rsidRDefault="00575CDB">
            <w:pPr>
              <w:spacing w:line="280" w:lineRule="exact"/>
              <w:jc w:val="center"/>
              <w:rPr>
                <w:rFonts w:ascii="黑体" w:eastAsia="黑体"/>
                <w:sz w:val="24"/>
              </w:rPr>
            </w:pPr>
            <w:r>
              <w:rPr>
                <w:rFonts w:ascii="黑体" w:eastAsia="黑体" w:hint="eastAsia"/>
                <w:sz w:val="24"/>
              </w:rPr>
              <w:t>指导处室</w:t>
            </w:r>
          </w:p>
          <w:p w:rsidR="00013EC7" w:rsidRDefault="00575CDB">
            <w:pPr>
              <w:spacing w:line="280" w:lineRule="exact"/>
              <w:jc w:val="center"/>
              <w:rPr>
                <w:rFonts w:ascii="黑体" w:eastAsia="黑体"/>
                <w:sz w:val="24"/>
              </w:rPr>
            </w:pPr>
            <w:r>
              <w:rPr>
                <w:rFonts w:ascii="黑体" w:eastAsia="黑体" w:hint="eastAsia"/>
                <w:sz w:val="24"/>
              </w:rPr>
              <w:t>（单位）</w:t>
            </w:r>
          </w:p>
        </w:tc>
        <w:tc>
          <w:tcPr>
            <w:tcW w:w="1476"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进一步精简、</w:t>
            </w:r>
          </w:p>
          <w:p w:rsidR="00013EC7" w:rsidRDefault="00575CDB">
            <w:pPr>
              <w:spacing w:line="280" w:lineRule="exact"/>
              <w:jc w:val="center"/>
              <w:rPr>
                <w:rFonts w:ascii="黑体" w:eastAsia="黑体"/>
                <w:sz w:val="24"/>
              </w:rPr>
            </w:pPr>
            <w:r>
              <w:rPr>
                <w:rFonts w:ascii="黑体" w:eastAsia="黑体" w:hint="eastAsia"/>
                <w:sz w:val="24"/>
              </w:rPr>
              <w:t>规范建议</w:t>
            </w:r>
          </w:p>
        </w:tc>
      </w:tr>
      <w:tr w:rsidR="00013EC7">
        <w:trPr>
          <w:trHeight w:val="340"/>
          <w:tblHeader/>
          <w:jc w:val="center"/>
        </w:trPr>
        <w:tc>
          <w:tcPr>
            <w:tcW w:w="1250" w:type="dxa"/>
            <w:vMerge/>
            <w:vAlign w:val="center"/>
          </w:tcPr>
          <w:p w:rsidR="00013EC7" w:rsidRDefault="00013EC7">
            <w:pPr>
              <w:rPr>
                <w:sz w:val="24"/>
              </w:rPr>
            </w:pPr>
          </w:p>
        </w:tc>
        <w:tc>
          <w:tcPr>
            <w:tcW w:w="1316" w:type="dxa"/>
            <w:vMerge/>
          </w:tcPr>
          <w:p w:rsidR="00013EC7" w:rsidRDefault="00013EC7">
            <w:pPr>
              <w:rPr>
                <w:sz w:val="24"/>
              </w:rPr>
            </w:pPr>
          </w:p>
        </w:tc>
        <w:tc>
          <w:tcPr>
            <w:tcW w:w="2114" w:type="dxa"/>
            <w:vMerge/>
          </w:tcPr>
          <w:p w:rsidR="00013EC7" w:rsidRDefault="00013EC7">
            <w:pPr>
              <w:rPr>
                <w:sz w:val="24"/>
              </w:rPr>
            </w:pPr>
          </w:p>
        </w:tc>
        <w:tc>
          <w:tcPr>
            <w:tcW w:w="2785" w:type="dxa"/>
            <w:tcBorders>
              <w:bottom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118"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2537" w:type="dxa"/>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196"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3318" w:type="dxa"/>
            <w:vAlign w:val="center"/>
          </w:tcPr>
          <w:p w:rsidR="00013EC7" w:rsidRDefault="00575CDB">
            <w:pPr>
              <w:spacing w:line="280" w:lineRule="exact"/>
              <w:jc w:val="center"/>
              <w:rPr>
                <w:rFonts w:ascii="黑体" w:eastAsia="黑体"/>
                <w:sz w:val="24"/>
              </w:rPr>
            </w:pPr>
            <w:r>
              <w:rPr>
                <w:rFonts w:ascii="黑体" w:eastAsia="黑体" w:hint="eastAsia"/>
                <w:sz w:val="24"/>
              </w:rPr>
              <w:t>办理方式及材料</w:t>
            </w:r>
          </w:p>
          <w:p w:rsidR="00013EC7" w:rsidRDefault="00575CDB">
            <w:pPr>
              <w:spacing w:line="280" w:lineRule="exact"/>
              <w:jc w:val="center"/>
              <w:rPr>
                <w:rFonts w:ascii="黑体" w:eastAsia="黑体"/>
                <w:sz w:val="24"/>
              </w:rPr>
            </w:pPr>
            <w:r>
              <w:rPr>
                <w:rFonts w:ascii="黑体" w:eastAsia="黑体" w:hint="eastAsia"/>
                <w:sz w:val="24"/>
              </w:rPr>
              <w:t>信息获取方式说明</w:t>
            </w:r>
          </w:p>
        </w:tc>
        <w:tc>
          <w:tcPr>
            <w:tcW w:w="868" w:type="dxa"/>
            <w:vAlign w:val="center"/>
          </w:tcPr>
          <w:p w:rsidR="00013EC7" w:rsidRDefault="00575CDB">
            <w:pPr>
              <w:spacing w:line="280" w:lineRule="exact"/>
              <w:jc w:val="center"/>
              <w:rPr>
                <w:rFonts w:ascii="黑体" w:eastAsia="黑体"/>
                <w:sz w:val="24"/>
              </w:rPr>
            </w:pPr>
            <w:r>
              <w:rPr>
                <w:rFonts w:ascii="黑体" w:eastAsia="黑体" w:hint="eastAsia"/>
                <w:sz w:val="24"/>
              </w:rPr>
              <w:t>优化前</w:t>
            </w:r>
          </w:p>
        </w:tc>
        <w:tc>
          <w:tcPr>
            <w:tcW w:w="789" w:type="dxa"/>
            <w:vAlign w:val="center"/>
          </w:tcPr>
          <w:p w:rsidR="00013EC7" w:rsidRDefault="00575CDB">
            <w:pPr>
              <w:spacing w:line="280" w:lineRule="exact"/>
              <w:jc w:val="center"/>
              <w:rPr>
                <w:rFonts w:ascii="黑体" w:eastAsia="黑体"/>
                <w:sz w:val="24"/>
              </w:rPr>
            </w:pPr>
            <w:r>
              <w:rPr>
                <w:rFonts w:ascii="黑体" w:eastAsia="黑体" w:hint="eastAsia"/>
                <w:sz w:val="24"/>
              </w:rPr>
              <w:t>优化后</w:t>
            </w:r>
          </w:p>
        </w:tc>
        <w:tc>
          <w:tcPr>
            <w:tcW w:w="967" w:type="dxa"/>
            <w:vMerge/>
            <w:vAlign w:val="center"/>
          </w:tcPr>
          <w:p w:rsidR="00013EC7" w:rsidRDefault="00013EC7">
            <w:pPr>
              <w:rPr>
                <w:sz w:val="24"/>
              </w:rPr>
            </w:pPr>
          </w:p>
        </w:tc>
        <w:tc>
          <w:tcPr>
            <w:tcW w:w="1104" w:type="dxa"/>
            <w:vMerge/>
            <w:vAlign w:val="center"/>
          </w:tcPr>
          <w:p w:rsidR="00013EC7" w:rsidRDefault="00013EC7">
            <w:pPr>
              <w:rPr>
                <w:sz w:val="24"/>
              </w:rPr>
            </w:pPr>
          </w:p>
        </w:tc>
        <w:tc>
          <w:tcPr>
            <w:tcW w:w="1476" w:type="dxa"/>
            <w:vMerge/>
            <w:vAlign w:val="center"/>
          </w:tcPr>
          <w:p w:rsidR="00013EC7" w:rsidRDefault="00013EC7">
            <w:pPr>
              <w:rPr>
                <w:sz w:val="24"/>
              </w:rPr>
            </w:pPr>
          </w:p>
        </w:tc>
      </w:tr>
      <w:tr w:rsidR="00013EC7">
        <w:trPr>
          <w:trHeight w:val="1475"/>
          <w:jc w:val="center"/>
        </w:trPr>
        <w:tc>
          <w:tcPr>
            <w:tcW w:w="1250" w:type="dxa"/>
            <w:vMerge w:val="restart"/>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29.出口退（免）税事项办理</w:t>
            </w:r>
          </w:p>
        </w:tc>
        <w:tc>
          <w:tcPr>
            <w:tcW w:w="1316" w:type="dxa"/>
            <w:vMerge w:val="restart"/>
            <w:vAlign w:val="center"/>
          </w:tcPr>
          <w:p w:rsidR="00013EC7" w:rsidRDefault="00575CDB">
            <w:pPr>
              <w:spacing w:line="310" w:lineRule="exact"/>
              <w:rPr>
                <w:rFonts w:ascii="仿宋" w:eastAsia="仿宋" w:hAnsi="仿宋" w:cs="仿宋"/>
                <w:sz w:val="24"/>
              </w:rPr>
            </w:pPr>
            <w:r>
              <w:rPr>
                <w:rFonts w:ascii="仿宋" w:eastAsia="仿宋" w:hAnsi="仿宋" w:cs="仿宋" w:hint="eastAsia"/>
                <w:sz w:val="24"/>
              </w:rPr>
              <w:t xml:space="preserve">29.12《代理进口货物证明》开具  </w:t>
            </w:r>
          </w:p>
        </w:tc>
        <w:tc>
          <w:tcPr>
            <w:tcW w:w="2114" w:type="dxa"/>
            <w:vMerge w:val="restart"/>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（一）《国家税务总局关于发布&lt;出口货物劳务增值税和消费税管理办法&gt;的公告》（国家税务总局公告2012年第24号）第十条第（二）项。</w:t>
            </w:r>
          </w:p>
          <w:p w:rsidR="00013EC7" w:rsidRDefault="00575CDB">
            <w:pPr>
              <w:rPr>
                <w:rFonts w:ascii="仿宋" w:eastAsia="仿宋" w:hAnsi="仿宋" w:cs="仿宋"/>
                <w:kern w:val="1"/>
                <w:sz w:val="24"/>
              </w:rPr>
            </w:pPr>
            <w:r>
              <w:rPr>
                <w:rFonts w:ascii="仿宋" w:eastAsia="仿宋" w:hAnsi="仿宋" w:cs="仿宋" w:hint="eastAsia"/>
                <w:kern w:val="1"/>
                <w:sz w:val="24"/>
              </w:rPr>
              <w:t>（二）《浙江省国家税务局关于出口退（免）税无纸化申报的公告》（浙江省国家税务局公告2015年第9号）全文。</w:t>
            </w:r>
          </w:p>
        </w:tc>
        <w:tc>
          <w:tcPr>
            <w:tcW w:w="2785" w:type="dxa"/>
            <w:tcBorders>
              <w:top w:val="single" w:sz="4" w:space="0" w:color="auto"/>
              <w:bottom w:val="single" w:sz="4" w:space="0" w:color="auto"/>
            </w:tcBorders>
            <w:vAlign w:val="center"/>
          </w:tcPr>
          <w:p w:rsidR="00013EC7" w:rsidRDefault="00575CDB">
            <w:pPr>
              <w:rPr>
                <w:rFonts w:ascii="仿宋" w:eastAsia="仿宋" w:hAnsi="仿宋" w:cs="仿宋"/>
                <w:kern w:val="1"/>
                <w:sz w:val="24"/>
              </w:rPr>
            </w:pPr>
            <w:r>
              <w:rPr>
                <w:rFonts w:ascii="仿宋" w:eastAsia="仿宋" w:hAnsi="仿宋" w:cs="仿宋"/>
                <w:kern w:val="1"/>
                <w:sz w:val="24"/>
              </w:rPr>
              <w:t>（一）</w:t>
            </w:r>
            <w:r>
              <w:rPr>
                <w:rFonts w:ascii="仿宋" w:eastAsia="仿宋" w:hAnsi="仿宋" w:cs="仿宋" w:hint="eastAsia"/>
                <w:kern w:val="1"/>
                <w:sz w:val="24"/>
              </w:rPr>
              <w:t>（A05022）《代理进口货物证明申请表》及申报电子数据。</w:t>
            </w:r>
          </w:p>
        </w:tc>
        <w:tc>
          <w:tcPr>
            <w:tcW w:w="1118" w:type="dxa"/>
            <w:vMerge w:val="restart"/>
            <w:vAlign w:val="center"/>
          </w:tcPr>
          <w:p w:rsidR="00013EC7" w:rsidRDefault="00575CDB">
            <w:pPr>
              <w:spacing w:line="300" w:lineRule="exact"/>
              <w:jc w:val="center"/>
              <w:rPr>
                <w:rFonts w:ascii="仿宋" w:eastAsia="仿宋" w:hAnsi="仿宋" w:cs="仿宋"/>
                <w:kern w:val="1"/>
                <w:sz w:val="24"/>
              </w:rPr>
            </w:pPr>
            <w:r>
              <w:rPr>
                <w:rFonts w:ascii="仿宋" w:eastAsia="仿宋" w:hAnsi="仿宋" w:cs="仿宋" w:hint="eastAsia"/>
                <w:sz w:val="24"/>
              </w:rPr>
              <w:t>办理《代理进口货物证明》的出口企业纳税人提交</w:t>
            </w:r>
          </w:p>
        </w:tc>
        <w:tc>
          <w:tcPr>
            <w:tcW w:w="2537" w:type="dxa"/>
            <w:vAlign w:val="center"/>
          </w:tcPr>
          <w:p w:rsidR="00013EC7" w:rsidRDefault="00575CDB">
            <w:pPr>
              <w:rPr>
                <w:rFonts w:ascii="仿宋" w:eastAsia="仿宋" w:hAnsi="仿宋" w:cs="仿宋"/>
                <w:kern w:val="1"/>
                <w:sz w:val="24"/>
              </w:rPr>
            </w:pPr>
            <w:r>
              <w:rPr>
                <w:rFonts w:ascii="仿宋" w:eastAsia="仿宋" w:hAnsi="仿宋" w:cs="仿宋"/>
                <w:kern w:val="1"/>
                <w:sz w:val="24"/>
              </w:rPr>
              <w:t>（一）</w:t>
            </w:r>
            <w:r>
              <w:rPr>
                <w:rFonts w:ascii="仿宋" w:eastAsia="仿宋" w:hAnsi="仿宋" w:cs="仿宋" w:hint="eastAsia"/>
                <w:kern w:val="1"/>
                <w:sz w:val="24"/>
              </w:rPr>
              <w:t>（A05022）《代理进口货物证明申请表》及其电子数据。</w:t>
            </w:r>
          </w:p>
        </w:tc>
        <w:tc>
          <w:tcPr>
            <w:tcW w:w="1196" w:type="dxa"/>
            <w:vMerge w:val="restart"/>
            <w:vAlign w:val="center"/>
          </w:tcPr>
          <w:p w:rsidR="00013EC7" w:rsidRDefault="00575CDB">
            <w:pPr>
              <w:jc w:val="center"/>
              <w:rPr>
                <w:rFonts w:ascii="仿宋" w:eastAsia="仿宋" w:hAnsi="仿宋" w:cs="仿宋"/>
                <w:sz w:val="24"/>
              </w:rPr>
            </w:pPr>
            <w:r>
              <w:rPr>
                <w:rFonts w:ascii="仿宋" w:eastAsia="仿宋" w:hAnsi="仿宋" w:cs="仿宋" w:hint="eastAsia"/>
                <w:sz w:val="24"/>
              </w:rPr>
              <w:t>办理《代理进口货物证明》的出口企业纳税人提交</w:t>
            </w:r>
          </w:p>
        </w:tc>
        <w:tc>
          <w:tcPr>
            <w:tcW w:w="3318"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纳税人提交书面材料（无纸化企业留存备查）。</w:t>
            </w:r>
            <w:r>
              <w:rPr>
                <w:rFonts w:ascii="仿宋" w:eastAsia="仿宋" w:hAnsi="仿宋" w:cs="仿宋" w:hint="eastAsia"/>
                <w:b/>
                <w:sz w:val="24"/>
              </w:rPr>
              <w:t>网上办理：</w:t>
            </w:r>
            <w:r>
              <w:rPr>
                <w:rFonts w:ascii="仿宋" w:eastAsia="仿宋" w:hAnsi="仿宋" w:cs="仿宋" w:hint="eastAsia"/>
                <w:sz w:val="24"/>
              </w:rPr>
              <w:t>登录浙江省国家税务局电子税务局提交电子数据。</w:t>
            </w:r>
          </w:p>
        </w:tc>
        <w:tc>
          <w:tcPr>
            <w:tcW w:w="868" w:type="dxa"/>
            <w:vMerge w:val="restart"/>
            <w:vAlign w:val="center"/>
          </w:tcPr>
          <w:p w:rsidR="00013EC7" w:rsidRDefault="00575CDB">
            <w:pPr>
              <w:jc w:val="center"/>
              <w:rPr>
                <w:rFonts w:ascii="仿宋" w:eastAsia="仿宋" w:hAnsi="仿宋" w:cs="仿宋"/>
                <w:sz w:val="24"/>
              </w:rPr>
            </w:pPr>
            <w:r>
              <w:rPr>
                <w:rFonts w:ascii="仿宋" w:eastAsia="仿宋" w:hAnsi="仿宋" w:cs="仿宋" w:hint="eastAsia"/>
                <w:sz w:val="24"/>
              </w:rPr>
              <w:t>5个工作日</w:t>
            </w:r>
          </w:p>
        </w:tc>
        <w:tc>
          <w:tcPr>
            <w:tcW w:w="789" w:type="dxa"/>
            <w:vMerge w:val="restart"/>
            <w:vAlign w:val="center"/>
          </w:tcPr>
          <w:p w:rsidR="00013EC7" w:rsidRDefault="00575CDB">
            <w:pPr>
              <w:jc w:val="center"/>
              <w:rPr>
                <w:rFonts w:ascii="仿宋" w:eastAsia="仿宋" w:hAnsi="仿宋" w:cs="仿宋"/>
                <w:sz w:val="24"/>
              </w:rPr>
            </w:pPr>
            <w:r>
              <w:rPr>
                <w:rFonts w:ascii="仿宋" w:eastAsia="仿宋" w:hAnsi="仿宋" w:cs="仿宋" w:hint="eastAsia"/>
                <w:sz w:val="24"/>
              </w:rPr>
              <w:t>对符合条件的，当场办结。相关资料信息等需进一步核实的，出具受理通知并自受理申请之日起5个工作日内办结。</w:t>
            </w:r>
          </w:p>
        </w:tc>
        <w:tc>
          <w:tcPr>
            <w:tcW w:w="967" w:type="dxa"/>
            <w:vMerge w:val="restart"/>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sz w:val="24"/>
              </w:rPr>
              <w:t>无纸化企业已实现跑零次</w:t>
            </w:r>
          </w:p>
        </w:tc>
        <w:tc>
          <w:tcPr>
            <w:tcW w:w="1104" w:type="dxa"/>
            <w:vMerge w:val="restart"/>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sz w:val="24"/>
              </w:rPr>
              <w:t>进出口处</w:t>
            </w:r>
          </w:p>
        </w:tc>
        <w:tc>
          <w:tcPr>
            <w:tcW w:w="1476" w:type="dxa"/>
            <w:vMerge w:val="restart"/>
            <w:vAlign w:val="center"/>
          </w:tcPr>
          <w:p w:rsidR="00013EC7" w:rsidRDefault="00013EC7">
            <w:pPr>
              <w:spacing w:line="300" w:lineRule="exact"/>
              <w:rPr>
                <w:rFonts w:ascii="仿宋" w:eastAsia="仿宋" w:hAnsi="仿宋" w:cs="仿宋"/>
                <w:sz w:val="24"/>
              </w:rPr>
            </w:pPr>
          </w:p>
        </w:tc>
      </w:tr>
      <w:tr w:rsidR="00013EC7">
        <w:trPr>
          <w:trHeight w:val="1699"/>
          <w:jc w:val="center"/>
        </w:trPr>
        <w:tc>
          <w:tcPr>
            <w:tcW w:w="1250" w:type="dxa"/>
            <w:vMerge/>
            <w:textDirection w:val="tbRlV"/>
            <w:vAlign w:val="center"/>
          </w:tcPr>
          <w:p w:rsidR="00013EC7" w:rsidRDefault="00013EC7">
            <w:pPr>
              <w:rPr>
                <w:rFonts w:ascii="仿宋" w:eastAsia="仿宋" w:hAnsi="仿宋" w:cs="仿宋"/>
                <w:sz w:val="24"/>
              </w:rPr>
            </w:pPr>
          </w:p>
        </w:tc>
        <w:tc>
          <w:tcPr>
            <w:tcW w:w="1316" w:type="dxa"/>
            <w:vMerge/>
            <w:vAlign w:val="center"/>
          </w:tcPr>
          <w:p w:rsidR="00013EC7" w:rsidRDefault="00013EC7">
            <w:pPr>
              <w:rPr>
                <w:rFonts w:ascii="仿宋" w:eastAsia="仿宋" w:hAnsi="仿宋" w:cs="仿宋"/>
                <w:sz w:val="24"/>
              </w:rPr>
            </w:pPr>
          </w:p>
        </w:tc>
        <w:tc>
          <w:tcPr>
            <w:tcW w:w="2114" w:type="dxa"/>
            <w:vMerge/>
            <w:vAlign w:val="center"/>
          </w:tcPr>
          <w:p w:rsidR="00013EC7" w:rsidRDefault="00013EC7">
            <w:pPr>
              <w:rPr>
                <w:rFonts w:ascii="仿宋" w:eastAsia="仿宋" w:hAnsi="仿宋" w:cs="仿宋"/>
                <w:sz w:val="24"/>
              </w:rPr>
            </w:pPr>
          </w:p>
        </w:tc>
        <w:tc>
          <w:tcPr>
            <w:tcW w:w="2785" w:type="dxa"/>
            <w:tcBorders>
              <w:top w:val="single" w:sz="4" w:space="0" w:color="auto"/>
            </w:tcBorders>
            <w:vAlign w:val="center"/>
          </w:tcPr>
          <w:p w:rsidR="00013EC7" w:rsidRDefault="00575CDB">
            <w:pPr>
              <w:rPr>
                <w:rFonts w:ascii="仿宋" w:eastAsia="仿宋" w:hAnsi="仿宋" w:cs="仿宋"/>
                <w:kern w:val="1"/>
                <w:sz w:val="24"/>
              </w:rPr>
            </w:pPr>
            <w:r>
              <w:rPr>
                <w:rFonts w:ascii="仿宋" w:eastAsia="仿宋" w:hAnsi="仿宋" w:cs="仿宋"/>
                <w:kern w:val="1"/>
                <w:sz w:val="24"/>
              </w:rPr>
              <w:t>（二）</w:t>
            </w:r>
            <w:r>
              <w:rPr>
                <w:rFonts w:ascii="仿宋" w:eastAsia="仿宋" w:hAnsi="仿宋" w:cs="仿宋" w:hint="eastAsia"/>
                <w:kern w:val="1"/>
                <w:sz w:val="24"/>
              </w:rPr>
              <w:t>加工贸易手册原件及复印件（注明与原件一致，并加盖公章）。</w:t>
            </w:r>
          </w:p>
        </w:tc>
        <w:tc>
          <w:tcPr>
            <w:tcW w:w="1118" w:type="dxa"/>
            <w:vMerge/>
            <w:vAlign w:val="center"/>
          </w:tcPr>
          <w:p w:rsidR="00013EC7" w:rsidRDefault="00013EC7">
            <w:pPr>
              <w:rPr>
                <w:rFonts w:ascii="仿宋" w:eastAsia="仿宋" w:hAnsi="仿宋" w:cs="仿宋"/>
                <w:kern w:val="1"/>
                <w:sz w:val="24"/>
              </w:rPr>
            </w:pPr>
          </w:p>
        </w:tc>
        <w:tc>
          <w:tcPr>
            <w:tcW w:w="2537" w:type="dxa"/>
            <w:vAlign w:val="center"/>
          </w:tcPr>
          <w:p w:rsidR="00013EC7" w:rsidRDefault="00575CDB">
            <w:pPr>
              <w:rPr>
                <w:rFonts w:ascii="仿宋" w:eastAsia="仿宋" w:hAnsi="仿宋" w:cs="仿宋"/>
                <w:kern w:val="1"/>
                <w:sz w:val="24"/>
              </w:rPr>
            </w:pPr>
            <w:r>
              <w:rPr>
                <w:rFonts w:ascii="仿宋" w:eastAsia="仿宋" w:hAnsi="仿宋" w:cs="仿宋"/>
                <w:kern w:val="1"/>
                <w:sz w:val="24"/>
              </w:rPr>
              <w:t>（二）</w:t>
            </w:r>
            <w:r>
              <w:rPr>
                <w:rFonts w:ascii="仿宋" w:eastAsia="仿宋" w:hAnsi="仿宋" w:cs="仿宋" w:hint="eastAsia"/>
                <w:kern w:val="1"/>
                <w:sz w:val="24"/>
              </w:rPr>
              <w:t>加工贸易手册原件及复印件（注明与原件一致，并加盖公章）。</w:t>
            </w:r>
          </w:p>
        </w:tc>
        <w:tc>
          <w:tcPr>
            <w:tcW w:w="1196" w:type="dxa"/>
            <w:vMerge/>
            <w:vAlign w:val="center"/>
          </w:tcPr>
          <w:p w:rsidR="00013EC7" w:rsidRDefault="00013EC7">
            <w:pPr>
              <w:spacing w:line="300" w:lineRule="exact"/>
              <w:jc w:val="center"/>
              <w:rPr>
                <w:rFonts w:ascii="仿宋" w:eastAsia="仿宋" w:hAnsi="仿宋" w:cs="仿宋"/>
                <w:sz w:val="24"/>
              </w:rPr>
            </w:pPr>
          </w:p>
        </w:tc>
        <w:tc>
          <w:tcPr>
            <w:tcW w:w="3318"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纳税人提交书面材料（无纸化企业留存备查）。</w:t>
            </w:r>
          </w:p>
        </w:tc>
        <w:tc>
          <w:tcPr>
            <w:tcW w:w="868" w:type="dxa"/>
            <w:vMerge/>
            <w:vAlign w:val="center"/>
          </w:tcPr>
          <w:p w:rsidR="00013EC7" w:rsidRDefault="00013EC7">
            <w:pPr>
              <w:rPr>
                <w:rFonts w:ascii="仿宋" w:eastAsia="仿宋" w:hAnsi="仿宋" w:cs="仿宋"/>
                <w:sz w:val="24"/>
              </w:rPr>
            </w:pPr>
          </w:p>
        </w:tc>
        <w:tc>
          <w:tcPr>
            <w:tcW w:w="789" w:type="dxa"/>
            <w:vMerge/>
            <w:vAlign w:val="center"/>
          </w:tcPr>
          <w:p w:rsidR="00013EC7" w:rsidRDefault="00013EC7">
            <w:pPr>
              <w:rPr>
                <w:rFonts w:ascii="仿宋" w:eastAsia="仿宋" w:hAnsi="仿宋" w:cs="仿宋"/>
                <w:sz w:val="24"/>
              </w:rPr>
            </w:pPr>
          </w:p>
        </w:tc>
        <w:tc>
          <w:tcPr>
            <w:tcW w:w="967"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340"/>
          <w:jc w:val="center"/>
        </w:trPr>
        <w:tc>
          <w:tcPr>
            <w:tcW w:w="1250" w:type="dxa"/>
            <w:vMerge/>
            <w:textDirection w:val="tbRlV"/>
            <w:vAlign w:val="center"/>
          </w:tcPr>
          <w:p w:rsidR="00013EC7" w:rsidRDefault="00013EC7">
            <w:pPr>
              <w:rPr>
                <w:rFonts w:ascii="仿宋" w:eastAsia="仿宋" w:hAnsi="仿宋" w:cs="仿宋"/>
                <w:sz w:val="24"/>
              </w:rPr>
            </w:pPr>
          </w:p>
        </w:tc>
        <w:tc>
          <w:tcPr>
            <w:tcW w:w="1316" w:type="dxa"/>
            <w:vMerge/>
            <w:vAlign w:val="center"/>
          </w:tcPr>
          <w:p w:rsidR="00013EC7" w:rsidRDefault="00013EC7">
            <w:pPr>
              <w:rPr>
                <w:rFonts w:ascii="仿宋" w:eastAsia="仿宋" w:hAnsi="仿宋" w:cs="仿宋"/>
                <w:sz w:val="24"/>
              </w:rPr>
            </w:pPr>
          </w:p>
        </w:tc>
        <w:tc>
          <w:tcPr>
            <w:tcW w:w="2114" w:type="dxa"/>
            <w:vMerge/>
            <w:vAlign w:val="center"/>
          </w:tcPr>
          <w:p w:rsidR="00013EC7" w:rsidRDefault="00013EC7">
            <w:pPr>
              <w:rPr>
                <w:rFonts w:ascii="仿宋" w:eastAsia="仿宋" w:hAnsi="仿宋" w:cs="仿宋"/>
                <w:sz w:val="24"/>
              </w:rPr>
            </w:pPr>
          </w:p>
        </w:tc>
        <w:tc>
          <w:tcPr>
            <w:tcW w:w="2785" w:type="dxa"/>
            <w:vAlign w:val="center"/>
          </w:tcPr>
          <w:p w:rsidR="00013EC7" w:rsidRDefault="00575CDB">
            <w:pPr>
              <w:rPr>
                <w:rFonts w:ascii="仿宋" w:eastAsia="仿宋" w:hAnsi="仿宋" w:cs="仿宋"/>
                <w:kern w:val="1"/>
                <w:sz w:val="24"/>
              </w:rPr>
            </w:pPr>
            <w:r>
              <w:rPr>
                <w:rFonts w:ascii="仿宋" w:eastAsia="仿宋" w:hAnsi="仿宋" w:cs="仿宋"/>
                <w:kern w:val="1"/>
                <w:sz w:val="24"/>
              </w:rPr>
              <w:t>（三）</w:t>
            </w:r>
            <w:r>
              <w:rPr>
                <w:rFonts w:ascii="仿宋" w:eastAsia="仿宋" w:hAnsi="仿宋" w:cs="仿宋" w:hint="eastAsia"/>
                <w:kern w:val="1"/>
                <w:sz w:val="24"/>
              </w:rPr>
              <w:t>进口货物报关单（加工贸易专用）。</w:t>
            </w:r>
          </w:p>
        </w:tc>
        <w:tc>
          <w:tcPr>
            <w:tcW w:w="1118" w:type="dxa"/>
            <w:vMerge/>
            <w:vAlign w:val="center"/>
          </w:tcPr>
          <w:p w:rsidR="00013EC7" w:rsidRDefault="00013EC7">
            <w:pPr>
              <w:rPr>
                <w:rFonts w:ascii="仿宋" w:eastAsia="仿宋" w:hAnsi="仿宋" w:cs="仿宋"/>
                <w:kern w:val="1"/>
                <w:sz w:val="24"/>
              </w:rPr>
            </w:pPr>
          </w:p>
        </w:tc>
        <w:tc>
          <w:tcPr>
            <w:tcW w:w="2537" w:type="dxa"/>
            <w:vAlign w:val="center"/>
          </w:tcPr>
          <w:p w:rsidR="00013EC7" w:rsidRDefault="00575CDB">
            <w:pPr>
              <w:rPr>
                <w:rFonts w:ascii="仿宋" w:eastAsia="仿宋" w:hAnsi="仿宋" w:cs="仿宋"/>
                <w:kern w:val="1"/>
                <w:sz w:val="24"/>
              </w:rPr>
            </w:pPr>
            <w:r>
              <w:rPr>
                <w:rFonts w:ascii="仿宋" w:eastAsia="仿宋" w:hAnsi="仿宋" w:cs="仿宋"/>
                <w:kern w:val="1"/>
                <w:sz w:val="24"/>
              </w:rPr>
              <w:t>（三）</w:t>
            </w:r>
            <w:r>
              <w:rPr>
                <w:rFonts w:ascii="仿宋" w:eastAsia="仿宋" w:hAnsi="仿宋" w:cs="仿宋" w:hint="eastAsia"/>
                <w:kern w:val="1"/>
                <w:sz w:val="24"/>
              </w:rPr>
              <w:t>进口货物报关单（加工贸易专用）。</w:t>
            </w:r>
          </w:p>
        </w:tc>
        <w:tc>
          <w:tcPr>
            <w:tcW w:w="1196" w:type="dxa"/>
            <w:vAlign w:val="center"/>
          </w:tcPr>
          <w:p w:rsidR="00013EC7" w:rsidRDefault="00575CDB">
            <w:pPr>
              <w:spacing w:line="300" w:lineRule="exact"/>
              <w:jc w:val="center"/>
              <w:rPr>
                <w:rFonts w:ascii="仿宋" w:eastAsia="仿宋" w:hAnsi="仿宋" w:cs="仿宋"/>
                <w:b/>
                <w:i/>
                <w:sz w:val="24"/>
              </w:rPr>
            </w:pPr>
            <w:r>
              <w:rPr>
                <w:rFonts w:ascii="仿宋" w:eastAsia="仿宋" w:hAnsi="仿宋" w:cs="仿宋" w:hint="eastAsia"/>
                <w:b/>
                <w:i/>
                <w:sz w:val="24"/>
              </w:rPr>
              <w:t>经办机构自行获取</w:t>
            </w:r>
          </w:p>
        </w:tc>
        <w:tc>
          <w:tcPr>
            <w:tcW w:w="3318"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b/>
                <w:sz w:val="24"/>
              </w:rPr>
              <w:t>内部共享：</w:t>
            </w:r>
            <w:r>
              <w:rPr>
                <w:rFonts w:ascii="仿宋" w:eastAsia="仿宋" w:hAnsi="仿宋" w:cs="仿宋" w:hint="eastAsia"/>
                <w:sz w:val="24"/>
              </w:rPr>
              <w:t>内部共享获取相关信息（无纸化企业留存备查，非无纸化企业需提供书面材料）。</w:t>
            </w:r>
          </w:p>
        </w:tc>
        <w:tc>
          <w:tcPr>
            <w:tcW w:w="868" w:type="dxa"/>
            <w:vMerge/>
            <w:vAlign w:val="center"/>
          </w:tcPr>
          <w:p w:rsidR="00013EC7" w:rsidRDefault="00013EC7">
            <w:pPr>
              <w:rPr>
                <w:rFonts w:ascii="仿宋" w:eastAsia="仿宋" w:hAnsi="仿宋" w:cs="仿宋"/>
                <w:sz w:val="24"/>
              </w:rPr>
            </w:pPr>
          </w:p>
        </w:tc>
        <w:tc>
          <w:tcPr>
            <w:tcW w:w="789" w:type="dxa"/>
            <w:vMerge/>
            <w:vAlign w:val="center"/>
          </w:tcPr>
          <w:p w:rsidR="00013EC7" w:rsidRDefault="00013EC7">
            <w:pPr>
              <w:rPr>
                <w:rFonts w:ascii="仿宋" w:eastAsia="仿宋" w:hAnsi="仿宋" w:cs="仿宋"/>
                <w:sz w:val="24"/>
              </w:rPr>
            </w:pPr>
          </w:p>
        </w:tc>
        <w:tc>
          <w:tcPr>
            <w:tcW w:w="967"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340"/>
          <w:jc w:val="center"/>
        </w:trPr>
        <w:tc>
          <w:tcPr>
            <w:tcW w:w="1250" w:type="dxa"/>
            <w:vMerge/>
            <w:vAlign w:val="center"/>
          </w:tcPr>
          <w:p w:rsidR="00013EC7" w:rsidRDefault="00013EC7">
            <w:pPr>
              <w:rPr>
                <w:rFonts w:ascii="仿宋" w:eastAsia="仿宋" w:hAnsi="仿宋" w:cs="仿宋"/>
                <w:sz w:val="24"/>
              </w:rPr>
            </w:pPr>
          </w:p>
        </w:tc>
        <w:tc>
          <w:tcPr>
            <w:tcW w:w="1316" w:type="dxa"/>
            <w:vMerge/>
            <w:vAlign w:val="center"/>
          </w:tcPr>
          <w:p w:rsidR="00013EC7" w:rsidRDefault="00013EC7">
            <w:pPr>
              <w:rPr>
                <w:rFonts w:ascii="仿宋" w:eastAsia="仿宋" w:hAnsi="仿宋" w:cs="仿宋"/>
                <w:sz w:val="24"/>
              </w:rPr>
            </w:pPr>
          </w:p>
        </w:tc>
        <w:tc>
          <w:tcPr>
            <w:tcW w:w="2114" w:type="dxa"/>
            <w:vMerge/>
            <w:vAlign w:val="center"/>
          </w:tcPr>
          <w:p w:rsidR="00013EC7" w:rsidRDefault="00013EC7">
            <w:pPr>
              <w:rPr>
                <w:rFonts w:ascii="仿宋" w:eastAsia="仿宋" w:hAnsi="仿宋" w:cs="仿宋"/>
                <w:sz w:val="24"/>
              </w:rPr>
            </w:pPr>
          </w:p>
        </w:tc>
        <w:tc>
          <w:tcPr>
            <w:tcW w:w="2785" w:type="dxa"/>
            <w:vAlign w:val="center"/>
          </w:tcPr>
          <w:p w:rsidR="00013EC7" w:rsidRDefault="00575CDB">
            <w:pPr>
              <w:rPr>
                <w:rFonts w:ascii="仿宋" w:eastAsia="仿宋" w:hAnsi="仿宋" w:cs="仿宋"/>
                <w:kern w:val="1"/>
                <w:sz w:val="24"/>
              </w:rPr>
            </w:pPr>
            <w:r>
              <w:rPr>
                <w:rFonts w:ascii="仿宋" w:eastAsia="仿宋" w:hAnsi="仿宋" w:cs="仿宋"/>
                <w:kern w:val="1"/>
                <w:sz w:val="24"/>
              </w:rPr>
              <w:t>（四）</w:t>
            </w:r>
            <w:r>
              <w:rPr>
                <w:rFonts w:ascii="仿宋" w:eastAsia="仿宋" w:hAnsi="仿宋" w:cs="仿宋" w:hint="eastAsia"/>
                <w:kern w:val="1"/>
                <w:sz w:val="24"/>
              </w:rPr>
              <w:t>代理进口协议原件及复印件（注明与原件一致，并加盖公章）。</w:t>
            </w:r>
          </w:p>
        </w:tc>
        <w:tc>
          <w:tcPr>
            <w:tcW w:w="1118" w:type="dxa"/>
            <w:vMerge/>
            <w:vAlign w:val="center"/>
          </w:tcPr>
          <w:p w:rsidR="00013EC7" w:rsidRDefault="00013EC7">
            <w:pPr>
              <w:rPr>
                <w:rFonts w:ascii="仿宋" w:eastAsia="仿宋" w:hAnsi="仿宋" w:cs="仿宋"/>
                <w:kern w:val="1"/>
                <w:sz w:val="24"/>
              </w:rPr>
            </w:pPr>
          </w:p>
        </w:tc>
        <w:tc>
          <w:tcPr>
            <w:tcW w:w="2537" w:type="dxa"/>
            <w:vAlign w:val="center"/>
          </w:tcPr>
          <w:p w:rsidR="00013EC7" w:rsidRDefault="00575CDB">
            <w:pPr>
              <w:rPr>
                <w:rFonts w:ascii="仿宋" w:eastAsia="仿宋" w:hAnsi="仿宋" w:cs="仿宋"/>
                <w:kern w:val="1"/>
                <w:sz w:val="24"/>
              </w:rPr>
            </w:pPr>
            <w:r>
              <w:rPr>
                <w:rFonts w:ascii="仿宋" w:eastAsia="仿宋" w:hAnsi="仿宋" w:cs="仿宋"/>
                <w:kern w:val="1"/>
                <w:sz w:val="24"/>
              </w:rPr>
              <w:t>（四）</w:t>
            </w:r>
            <w:r>
              <w:rPr>
                <w:rFonts w:ascii="仿宋" w:eastAsia="仿宋" w:hAnsi="仿宋" w:cs="仿宋" w:hint="eastAsia"/>
                <w:kern w:val="1"/>
                <w:sz w:val="24"/>
              </w:rPr>
              <w:t>代理进口协议原件及复印件（注明与原件一致，并加盖公章）。</w:t>
            </w:r>
          </w:p>
        </w:tc>
        <w:tc>
          <w:tcPr>
            <w:tcW w:w="1196" w:type="dxa"/>
            <w:vAlign w:val="center"/>
          </w:tcPr>
          <w:p w:rsidR="00013EC7" w:rsidRDefault="00575CDB">
            <w:pPr>
              <w:jc w:val="center"/>
              <w:rPr>
                <w:rFonts w:ascii="仿宋" w:eastAsia="仿宋" w:hAnsi="仿宋" w:cs="仿宋"/>
                <w:sz w:val="24"/>
              </w:rPr>
            </w:pPr>
            <w:r>
              <w:rPr>
                <w:rFonts w:ascii="仿宋" w:eastAsia="仿宋" w:hAnsi="仿宋" w:cs="仿宋" w:hint="eastAsia"/>
                <w:sz w:val="24"/>
              </w:rPr>
              <w:t>办理《代理进口货物证明》的出口企业纳税人提交</w:t>
            </w:r>
          </w:p>
        </w:tc>
        <w:tc>
          <w:tcPr>
            <w:tcW w:w="3318" w:type="dxa"/>
            <w:vAlign w:val="center"/>
          </w:tcPr>
          <w:p w:rsidR="00013EC7" w:rsidRDefault="00575CDB">
            <w:pPr>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纳税人提交书面材料（无纸化企业留存备查）。</w:t>
            </w:r>
          </w:p>
        </w:tc>
        <w:tc>
          <w:tcPr>
            <w:tcW w:w="868" w:type="dxa"/>
            <w:vMerge/>
            <w:vAlign w:val="center"/>
          </w:tcPr>
          <w:p w:rsidR="00013EC7" w:rsidRDefault="00013EC7">
            <w:pPr>
              <w:rPr>
                <w:rFonts w:ascii="仿宋" w:eastAsia="仿宋" w:hAnsi="仿宋" w:cs="仿宋"/>
                <w:sz w:val="24"/>
              </w:rPr>
            </w:pPr>
          </w:p>
        </w:tc>
        <w:tc>
          <w:tcPr>
            <w:tcW w:w="789" w:type="dxa"/>
            <w:vMerge/>
            <w:vAlign w:val="center"/>
          </w:tcPr>
          <w:p w:rsidR="00013EC7" w:rsidRDefault="00013EC7">
            <w:pPr>
              <w:rPr>
                <w:rFonts w:ascii="仿宋" w:eastAsia="仿宋" w:hAnsi="仿宋" w:cs="仿宋"/>
                <w:sz w:val="24"/>
              </w:rPr>
            </w:pPr>
          </w:p>
        </w:tc>
        <w:tc>
          <w:tcPr>
            <w:tcW w:w="967"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bl>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jc w:val="center"/>
        <w:rPr>
          <w:rFonts w:eastAsia="方正书宋简体"/>
          <w:szCs w:val="21"/>
        </w:rPr>
      </w:pPr>
    </w:p>
    <w:p w:rsidR="00013EC7" w:rsidRDefault="00013EC7">
      <w:pPr>
        <w:rPr>
          <w:rFonts w:eastAsia="方正书宋简体"/>
          <w:szCs w:val="21"/>
        </w:rPr>
      </w:pPr>
    </w:p>
    <w:p w:rsidR="00013EC7" w:rsidRDefault="00575CDB">
      <w:pPr>
        <w:jc w:val="center"/>
        <w:rPr>
          <w:rFonts w:eastAsia="方正书宋简体"/>
          <w:szCs w:val="21"/>
        </w:rPr>
      </w:pPr>
      <w:r>
        <w:object w:dxaOrig="8227" w:dyaOrig="11905">
          <v:shape id="_x0000_i1216" type="#_x0000_t75" style="width:411.35pt;height:595.25pt" o:ole="">
            <v:imagedata r:id="rId506" o:title=""/>
          </v:shape>
          <o:OLEObject Type="Embed" ProgID="Visio.Drawing.11" ShapeID="_x0000_i1216" DrawAspect="Content" ObjectID="_1577296136" r:id="rId507"/>
        </w:object>
      </w:r>
      <w:r>
        <w:object w:dxaOrig="8184" w:dyaOrig="11720">
          <v:shape id="_x0000_i1217" type="#_x0000_t75" style="width:409.6pt;height:586pt" o:ole="">
            <v:imagedata r:id="rId508" o:title=""/>
          </v:shape>
          <o:OLEObject Type="Embed" ProgID="Visio.Drawing.11" ShapeID="_x0000_i1217" DrawAspect="Content" ObjectID="_1577296137" r:id="rId509"/>
        </w:object>
      </w:r>
    </w:p>
    <w:p w:rsidR="00013EC7" w:rsidRDefault="00013EC7">
      <w:pPr>
        <w:rPr>
          <w:rFonts w:eastAsia="方正书宋简体"/>
          <w:szCs w:val="21"/>
        </w:rPr>
      </w:pPr>
    </w:p>
    <w:p w:rsidR="00013EC7" w:rsidRDefault="00575CDB">
      <w:pPr>
        <w:pStyle w:val="2"/>
      </w:pPr>
      <w:bookmarkStart w:id="627" w:name="_Toc15363"/>
      <w:bookmarkStart w:id="628" w:name="_Toc26808"/>
      <w:bookmarkStart w:id="629" w:name="_Toc503467494"/>
      <w:bookmarkStart w:id="630" w:name="_Toc29711"/>
      <w:r>
        <w:rPr>
          <w:rFonts w:hint="eastAsia"/>
        </w:rPr>
        <w:lastRenderedPageBreak/>
        <w:t>29.13</w:t>
      </w:r>
      <w:r>
        <w:rPr>
          <w:rFonts w:hint="eastAsia"/>
        </w:rPr>
        <w:t>《准予免税购进出口卷烟证明》开具</w:t>
      </w:r>
      <w:bookmarkEnd w:id="627"/>
      <w:bookmarkEnd w:id="628"/>
      <w:bookmarkEnd w:id="629"/>
      <w:bookmarkEnd w:id="630"/>
    </w:p>
    <w:p w:rsidR="00013EC7" w:rsidRDefault="00575CDB">
      <w:pPr>
        <w:jc w:val="center"/>
        <w:rPr>
          <w:rFonts w:ascii="宋体" w:hAnsi="宋体" w:cs="宋体"/>
          <w:b/>
          <w:bCs/>
          <w:sz w:val="52"/>
          <w:szCs w:val="52"/>
        </w:rPr>
      </w:pPr>
      <w:r>
        <w:rPr>
          <w:rFonts w:ascii="宋体" w:hAnsi="宋体" w:cs="宋体" w:hint="eastAsia"/>
          <w:b/>
          <w:bCs/>
          <w:sz w:val="52"/>
          <w:szCs w:val="52"/>
        </w:rPr>
        <w:t>全省“最多跑一次”事项“八统一”梳理表</w:t>
      </w:r>
    </w:p>
    <w:p w:rsidR="00013EC7" w:rsidRDefault="00013EC7">
      <w:pPr>
        <w:rPr>
          <w:rFonts w:ascii="宋体" w:hAnsi="宋体" w:cs="宋体"/>
          <w:b/>
          <w:bCs/>
          <w:sz w:val="44"/>
          <w:szCs w:val="44"/>
        </w:rPr>
      </w:pPr>
    </w:p>
    <w:tbl>
      <w:tblPr>
        <w:tblW w:w="20838"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1250"/>
        <w:gridCol w:w="1316"/>
        <w:gridCol w:w="2114"/>
        <w:gridCol w:w="2785"/>
        <w:gridCol w:w="1118"/>
        <w:gridCol w:w="2537"/>
        <w:gridCol w:w="1196"/>
        <w:gridCol w:w="3318"/>
        <w:gridCol w:w="868"/>
        <w:gridCol w:w="789"/>
        <w:gridCol w:w="967"/>
        <w:gridCol w:w="1104"/>
        <w:gridCol w:w="1476"/>
      </w:tblGrid>
      <w:tr w:rsidR="00013EC7">
        <w:trPr>
          <w:trHeight w:val="340"/>
          <w:tblHeader/>
          <w:jc w:val="center"/>
        </w:trPr>
        <w:tc>
          <w:tcPr>
            <w:tcW w:w="1250"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主项名称</w:t>
            </w:r>
          </w:p>
        </w:tc>
        <w:tc>
          <w:tcPr>
            <w:tcW w:w="1316"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子项名称</w:t>
            </w:r>
          </w:p>
        </w:tc>
        <w:tc>
          <w:tcPr>
            <w:tcW w:w="2114"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经办依据</w:t>
            </w:r>
          </w:p>
        </w:tc>
        <w:tc>
          <w:tcPr>
            <w:tcW w:w="3903"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原经办所需材料</w:t>
            </w:r>
          </w:p>
        </w:tc>
        <w:tc>
          <w:tcPr>
            <w:tcW w:w="7051" w:type="dxa"/>
            <w:gridSpan w:val="3"/>
            <w:vAlign w:val="center"/>
          </w:tcPr>
          <w:p w:rsidR="00013EC7" w:rsidRDefault="00575CDB">
            <w:pPr>
              <w:spacing w:line="280" w:lineRule="exact"/>
              <w:jc w:val="center"/>
              <w:rPr>
                <w:rFonts w:ascii="黑体" w:eastAsia="黑体"/>
                <w:sz w:val="24"/>
              </w:rPr>
            </w:pPr>
            <w:r>
              <w:rPr>
                <w:rFonts w:ascii="黑体" w:eastAsia="黑体" w:hint="eastAsia"/>
                <w:sz w:val="24"/>
              </w:rPr>
              <w:t>梳理后经办所需材料</w:t>
            </w:r>
          </w:p>
        </w:tc>
        <w:tc>
          <w:tcPr>
            <w:tcW w:w="1657"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办理时限</w:t>
            </w:r>
          </w:p>
        </w:tc>
        <w:tc>
          <w:tcPr>
            <w:tcW w:w="967"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是否实现跑零次</w:t>
            </w:r>
          </w:p>
        </w:tc>
        <w:tc>
          <w:tcPr>
            <w:tcW w:w="1104"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省厅对口</w:t>
            </w:r>
          </w:p>
          <w:p w:rsidR="00013EC7" w:rsidRDefault="00575CDB">
            <w:pPr>
              <w:spacing w:line="280" w:lineRule="exact"/>
              <w:jc w:val="center"/>
              <w:rPr>
                <w:rFonts w:ascii="黑体" w:eastAsia="黑体"/>
                <w:sz w:val="24"/>
              </w:rPr>
            </w:pPr>
            <w:r>
              <w:rPr>
                <w:rFonts w:ascii="黑体" w:eastAsia="黑体" w:hint="eastAsia"/>
                <w:sz w:val="24"/>
              </w:rPr>
              <w:t>指导处室</w:t>
            </w:r>
          </w:p>
          <w:p w:rsidR="00013EC7" w:rsidRDefault="00575CDB">
            <w:pPr>
              <w:spacing w:line="280" w:lineRule="exact"/>
              <w:jc w:val="center"/>
              <w:rPr>
                <w:rFonts w:ascii="黑体" w:eastAsia="黑体"/>
                <w:sz w:val="24"/>
              </w:rPr>
            </w:pPr>
            <w:r>
              <w:rPr>
                <w:rFonts w:ascii="黑体" w:eastAsia="黑体" w:hint="eastAsia"/>
                <w:sz w:val="24"/>
              </w:rPr>
              <w:t>（单位）</w:t>
            </w:r>
          </w:p>
        </w:tc>
        <w:tc>
          <w:tcPr>
            <w:tcW w:w="1476"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进一步精简、</w:t>
            </w:r>
          </w:p>
          <w:p w:rsidR="00013EC7" w:rsidRDefault="00575CDB">
            <w:pPr>
              <w:spacing w:line="280" w:lineRule="exact"/>
              <w:jc w:val="center"/>
              <w:rPr>
                <w:rFonts w:ascii="黑体" w:eastAsia="黑体"/>
                <w:sz w:val="24"/>
              </w:rPr>
            </w:pPr>
            <w:r>
              <w:rPr>
                <w:rFonts w:ascii="黑体" w:eastAsia="黑体" w:hint="eastAsia"/>
                <w:sz w:val="24"/>
              </w:rPr>
              <w:t>规范建议</w:t>
            </w:r>
          </w:p>
        </w:tc>
      </w:tr>
      <w:tr w:rsidR="00013EC7">
        <w:trPr>
          <w:trHeight w:val="340"/>
          <w:tblHeader/>
          <w:jc w:val="center"/>
        </w:trPr>
        <w:tc>
          <w:tcPr>
            <w:tcW w:w="1250" w:type="dxa"/>
            <w:vMerge/>
            <w:vAlign w:val="center"/>
          </w:tcPr>
          <w:p w:rsidR="00013EC7" w:rsidRDefault="00013EC7">
            <w:pPr>
              <w:rPr>
                <w:sz w:val="24"/>
              </w:rPr>
            </w:pPr>
          </w:p>
        </w:tc>
        <w:tc>
          <w:tcPr>
            <w:tcW w:w="1316" w:type="dxa"/>
            <w:vMerge/>
          </w:tcPr>
          <w:p w:rsidR="00013EC7" w:rsidRDefault="00013EC7">
            <w:pPr>
              <w:rPr>
                <w:sz w:val="24"/>
              </w:rPr>
            </w:pPr>
          </w:p>
        </w:tc>
        <w:tc>
          <w:tcPr>
            <w:tcW w:w="2114" w:type="dxa"/>
            <w:vMerge/>
          </w:tcPr>
          <w:p w:rsidR="00013EC7" w:rsidRDefault="00013EC7">
            <w:pPr>
              <w:rPr>
                <w:sz w:val="24"/>
              </w:rPr>
            </w:pPr>
          </w:p>
        </w:tc>
        <w:tc>
          <w:tcPr>
            <w:tcW w:w="2785" w:type="dxa"/>
            <w:tcBorders>
              <w:bottom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118"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2537" w:type="dxa"/>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196"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3318" w:type="dxa"/>
            <w:vAlign w:val="center"/>
          </w:tcPr>
          <w:p w:rsidR="00013EC7" w:rsidRDefault="00575CDB">
            <w:pPr>
              <w:spacing w:line="280" w:lineRule="exact"/>
              <w:jc w:val="center"/>
              <w:rPr>
                <w:rFonts w:ascii="黑体" w:eastAsia="黑体"/>
                <w:sz w:val="24"/>
              </w:rPr>
            </w:pPr>
            <w:r>
              <w:rPr>
                <w:rFonts w:ascii="黑体" w:eastAsia="黑体" w:hint="eastAsia"/>
                <w:sz w:val="24"/>
              </w:rPr>
              <w:t>办理方式及材料</w:t>
            </w:r>
          </w:p>
          <w:p w:rsidR="00013EC7" w:rsidRDefault="00575CDB">
            <w:pPr>
              <w:spacing w:line="280" w:lineRule="exact"/>
              <w:jc w:val="center"/>
              <w:rPr>
                <w:rFonts w:ascii="黑体" w:eastAsia="黑体"/>
                <w:sz w:val="24"/>
              </w:rPr>
            </w:pPr>
            <w:r>
              <w:rPr>
                <w:rFonts w:ascii="黑体" w:eastAsia="黑体" w:hint="eastAsia"/>
                <w:sz w:val="24"/>
              </w:rPr>
              <w:t>信息获取方式说明</w:t>
            </w:r>
          </w:p>
        </w:tc>
        <w:tc>
          <w:tcPr>
            <w:tcW w:w="868" w:type="dxa"/>
            <w:vAlign w:val="center"/>
          </w:tcPr>
          <w:p w:rsidR="00013EC7" w:rsidRDefault="00575CDB">
            <w:pPr>
              <w:spacing w:line="280" w:lineRule="exact"/>
              <w:jc w:val="center"/>
              <w:rPr>
                <w:rFonts w:ascii="黑体" w:eastAsia="黑体"/>
                <w:sz w:val="24"/>
              </w:rPr>
            </w:pPr>
            <w:r>
              <w:rPr>
                <w:rFonts w:ascii="黑体" w:eastAsia="黑体" w:hint="eastAsia"/>
                <w:sz w:val="24"/>
              </w:rPr>
              <w:t>优化前</w:t>
            </w:r>
          </w:p>
        </w:tc>
        <w:tc>
          <w:tcPr>
            <w:tcW w:w="789" w:type="dxa"/>
            <w:vAlign w:val="center"/>
          </w:tcPr>
          <w:p w:rsidR="00013EC7" w:rsidRDefault="00575CDB">
            <w:pPr>
              <w:spacing w:line="280" w:lineRule="exact"/>
              <w:jc w:val="center"/>
              <w:rPr>
                <w:rFonts w:ascii="黑体" w:eastAsia="黑体"/>
                <w:sz w:val="24"/>
              </w:rPr>
            </w:pPr>
            <w:r>
              <w:rPr>
                <w:rFonts w:ascii="黑体" w:eastAsia="黑体" w:hint="eastAsia"/>
                <w:sz w:val="24"/>
              </w:rPr>
              <w:t>优化后</w:t>
            </w:r>
          </w:p>
        </w:tc>
        <w:tc>
          <w:tcPr>
            <w:tcW w:w="967" w:type="dxa"/>
            <w:vMerge/>
            <w:vAlign w:val="center"/>
          </w:tcPr>
          <w:p w:rsidR="00013EC7" w:rsidRDefault="00013EC7">
            <w:pPr>
              <w:rPr>
                <w:sz w:val="24"/>
              </w:rPr>
            </w:pPr>
          </w:p>
        </w:tc>
        <w:tc>
          <w:tcPr>
            <w:tcW w:w="1104" w:type="dxa"/>
            <w:vMerge/>
            <w:vAlign w:val="center"/>
          </w:tcPr>
          <w:p w:rsidR="00013EC7" w:rsidRDefault="00013EC7">
            <w:pPr>
              <w:rPr>
                <w:sz w:val="24"/>
              </w:rPr>
            </w:pPr>
          </w:p>
        </w:tc>
        <w:tc>
          <w:tcPr>
            <w:tcW w:w="1476" w:type="dxa"/>
            <w:vMerge/>
            <w:vAlign w:val="center"/>
          </w:tcPr>
          <w:p w:rsidR="00013EC7" w:rsidRDefault="00013EC7">
            <w:pPr>
              <w:rPr>
                <w:sz w:val="24"/>
              </w:rPr>
            </w:pPr>
          </w:p>
        </w:tc>
      </w:tr>
      <w:tr w:rsidR="00013EC7">
        <w:trPr>
          <w:trHeight w:val="1475"/>
          <w:jc w:val="center"/>
        </w:trPr>
        <w:tc>
          <w:tcPr>
            <w:tcW w:w="1250"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29.出口退（免）税事项办理</w:t>
            </w:r>
          </w:p>
        </w:tc>
        <w:tc>
          <w:tcPr>
            <w:tcW w:w="1316" w:type="dxa"/>
            <w:vAlign w:val="center"/>
          </w:tcPr>
          <w:p w:rsidR="00013EC7" w:rsidRDefault="00575CDB">
            <w:pPr>
              <w:spacing w:line="310" w:lineRule="exact"/>
              <w:rPr>
                <w:rFonts w:ascii="仿宋" w:eastAsia="仿宋" w:hAnsi="仿宋" w:cs="仿宋"/>
                <w:sz w:val="24"/>
              </w:rPr>
            </w:pPr>
            <w:r>
              <w:rPr>
                <w:rFonts w:ascii="仿宋" w:eastAsia="仿宋" w:hAnsi="仿宋" w:cs="仿宋" w:hint="eastAsia"/>
                <w:sz w:val="24"/>
              </w:rPr>
              <w:t xml:space="preserve">29.13《准予免税购进出口卷烟证明》开具  </w:t>
            </w:r>
          </w:p>
        </w:tc>
        <w:tc>
          <w:tcPr>
            <w:tcW w:w="2114"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（一）</w:t>
            </w:r>
            <w:r>
              <w:rPr>
                <w:rFonts w:ascii="仿宋" w:eastAsia="仿宋" w:hAnsi="仿宋" w:cs="仿宋"/>
                <w:kern w:val="1"/>
                <w:sz w:val="24"/>
              </w:rPr>
              <w:t>《国家税务总局关于发布&lt;出口货物劳务增值税和消费税管理办法&gt;的公告》（国家税务总局公告2012年第24号）</w:t>
            </w:r>
            <w:r>
              <w:rPr>
                <w:rFonts w:ascii="仿宋" w:eastAsia="仿宋" w:hAnsi="仿宋" w:cs="仿宋" w:hint="eastAsia"/>
                <w:kern w:val="1"/>
                <w:sz w:val="24"/>
              </w:rPr>
              <w:t>第九条第（四）项。</w:t>
            </w:r>
            <w:r>
              <w:rPr>
                <w:rFonts w:ascii="仿宋" w:eastAsia="仿宋" w:hAnsi="仿宋" w:cs="仿宋"/>
                <w:kern w:val="1"/>
                <w:sz w:val="24"/>
              </w:rPr>
              <w:t>。</w:t>
            </w:r>
          </w:p>
          <w:p w:rsidR="00013EC7" w:rsidRDefault="00575CDB">
            <w:pPr>
              <w:rPr>
                <w:rFonts w:ascii="仿宋" w:eastAsia="仿宋" w:hAnsi="仿宋" w:cs="仿宋"/>
                <w:kern w:val="1"/>
                <w:sz w:val="24"/>
              </w:rPr>
            </w:pPr>
            <w:r>
              <w:rPr>
                <w:rFonts w:ascii="仿宋" w:eastAsia="仿宋" w:hAnsi="仿宋" w:cs="仿宋" w:hint="eastAsia"/>
                <w:kern w:val="1"/>
                <w:sz w:val="24"/>
              </w:rPr>
              <w:t>（二）《浙江省国家税务局关于出口退（免）税无纸化申报的公告》（浙江省国家税务局公告</w:t>
            </w:r>
            <w:r>
              <w:rPr>
                <w:rFonts w:ascii="仿宋" w:eastAsia="仿宋" w:hAnsi="仿宋" w:cs="仿宋"/>
                <w:kern w:val="1"/>
                <w:sz w:val="24"/>
              </w:rPr>
              <w:t>2015</w:t>
            </w:r>
            <w:r>
              <w:rPr>
                <w:rFonts w:ascii="仿宋" w:eastAsia="仿宋" w:hAnsi="仿宋" w:cs="仿宋" w:hint="eastAsia"/>
                <w:kern w:val="1"/>
                <w:sz w:val="24"/>
              </w:rPr>
              <w:t>年第</w:t>
            </w:r>
            <w:r>
              <w:rPr>
                <w:rFonts w:ascii="仿宋" w:eastAsia="仿宋" w:hAnsi="仿宋" w:cs="仿宋"/>
                <w:kern w:val="1"/>
                <w:sz w:val="24"/>
              </w:rPr>
              <w:t>9</w:t>
            </w:r>
            <w:r>
              <w:rPr>
                <w:rFonts w:ascii="仿宋" w:eastAsia="仿宋" w:hAnsi="仿宋" w:cs="仿宋" w:hint="eastAsia"/>
                <w:kern w:val="1"/>
                <w:sz w:val="24"/>
              </w:rPr>
              <w:t>号）全文。</w:t>
            </w:r>
          </w:p>
        </w:tc>
        <w:tc>
          <w:tcPr>
            <w:tcW w:w="2785" w:type="dxa"/>
            <w:tcBorders>
              <w:top w:val="single" w:sz="4" w:space="0" w:color="auto"/>
              <w:bottom w:val="single" w:sz="4" w:space="0" w:color="auto"/>
            </w:tcBorders>
            <w:vAlign w:val="center"/>
          </w:tcPr>
          <w:p w:rsidR="00013EC7" w:rsidRDefault="00575CDB">
            <w:pPr>
              <w:rPr>
                <w:rFonts w:ascii="仿宋" w:eastAsia="仿宋" w:hAnsi="仿宋" w:cs="仿宋"/>
                <w:kern w:val="1"/>
                <w:sz w:val="24"/>
              </w:rPr>
            </w:pPr>
            <w:r>
              <w:rPr>
                <w:rFonts w:ascii="仿宋" w:eastAsia="仿宋" w:hAnsi="仿宋" w:cs="仿宋"/>
                <w:kern w:val="1"/>
                <w:sz w:val="24"/>
              </w:rPr>
              <w:t>（一）</w:t>
            </w:r>
            <w:r>
              <w:rPr>
                <w:rFonts w:ascii="仿宋" w:eastAsia="仿宋" w:hAnsi="仿宋" w:cs="仿宋" w:hint="eastAsia"/>
                <w:kern w:val="1"/>
                <w:sz w:val="24"/>
              </w:rPr>
              <w:t>（A05021）《准予免税购进出口卷烟证明申请表》及申报电子数据。</w:t>
            </w:r>
          </w:p>
        </w:tc>
        <w:tc>
          <w:tcPr>
            <w:tcW w:w="1118" w:type="dxa"/>
            <w:vAlign w:val="center"/>
          </w:tcPr>
          <w:p w:rsidR="00013EC7" w:rsidRDefault="00575CDB">
            <w:pPr>
              <w:spacing w:line="300" w:lineRule="exact"/>
              <w:jc w:val="center"/>
              <w:rPr>
                <w:rFonts w:ascii="仿宋" w:eastAsia="仿宋" w:hAnsi="仿宋" w:cs="仿宋"/>
                <w:kern w:val="1"/>
                <w:sz w:val="24"/>
              </w:rPr>
            </w:pPr>
            <w:r>
              <w:rPr>
                <w:rFonts w:ascii="仿宋" w:eastAsia="仿宋" w:hAnsi="仿宋" w:cs="仿宋" w:hint="eastAsia"/>
                <w:sz w:val="24"/>
              </w:rPr>
              <w:t>办理《准予免税购进出口卷烟证明》的出口企业纳税人提交</w:t>
            </w:r>
          </w:p>
        </w:tc>
        <w:tc>
          <w:tcPr>
            <w:tcW w:w="2537" w:type="dxa"/>
            <w:vAlign w:val="center"/>
          </w:tcPr>
          <w:p w:rsidR="00013EC7" w:rsidRDefault="00575CDB">
            <w:pPr>
              <w:rPr>
                <w:rFonts w:ascii="仿宋" w:eastAsia="仿宋" w:hAnsi="仿宋" w:cs="仿宋"/>
                <w:kern w:val="1"/>
                <w:sz w:val="24"/>
              </w:rPr>
            </w:pPr>
            <w:r>
              <w:rPr>
                <w:rFonts w:ascii="仿宋" w:eastAsia="仿宋" w:hAnsi="仿宋" w:cs="仿宋"/>
                <w:kern w:val="1"/>
                <w:sz w:val="24"/>
              </w:rPr>
              <w:t>（一）</w:t>
            </w:r>
            <w:r>
              <w:rPr>
                <w:rFonts w:ascii="仿宋" w:eastAsia="仿宋" w:hAnsi="仿宋" w:cs="仿宋" w:hint="eastAsia"/>
                <w:kern w:val="1"/>
                <w:sz w:val="24"/>
              </w:rPr>
              <w:t>（A05021）《准予免税购进出口卷烟证明申请表》1份及其电子数据。</w:t>
            </w:r>
          </w:p>
        </w:tc>
        <w:tc>
          <w:tcPr>
            <w:tcW w:w="1196" w:type="dxa"/>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sz w:val="24"/>
              </w:rPr>
              <w:t>办理《准予免税购进出口卷烟证明》的出口企业纳税人提交</w:t>
            </w:r>
          </w:p>
        </w:tc>
        <w:tc>
          <w:tcPr>
            <w:tcW w:w="3318"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纳税人提交书面材料（无纸化企业留存备查）。</w:t>
            </w:r>
            <w:r>
              <w:rPr>
                <w:rFonts w:ascii="仿宋" w:eastAsia="仿宋" w:hAnsi="仿宋" w:cs="仿宋" w:hint="eastAsia"/>
                <w:b/>
                <w:sz w:val="24"/>
              </w:rPr>
              <w:t>网上办理：</w:t>
            </w:r>
            <w:r>
              <w:rPr>
                <w:rFonts w:ascii="仿宋" w:eastAsia="仿宋" w:hAnsi="仿宋" w:cs="仿宋" w:hint="eastAsia"/>
                <w:sz w:val="24"/>
              </w:rPr>
              <w:t>登录浙江省国家税务局电子税务局提交电子数据。</w:t>
            </w:r>
          </w:p>
        </w:tc>
        <w:tc>
          <w:tcPr>
            <w:tcW w:w="868" w:type="dxa"/>
            <w:vAlign w:val="center"/>
          </w:tcPr>
          <w:p w:rsidR="00013EC7" w:rsidRDefault="00575CDB">
            <w:pPr>
              <w:jc w:val="center"/>
              <w:rPr>
                <w:rFonts w:ascii="仿宋" w:eastAsia="仿宋" w:hAnsi="仿宋" w:cs="仿宋"/>
                <w:sz w:val="24"/>
              </w:rPr>
            </w:pPr>
            <w:r>
              <w:rPr>
                <w:rFonts w:ascii="仿宋" w:eastAsia="仿宋" w:hAnsi="仿宋" w:cs="仿宋" w:hint="eastAsia"/>
                <w:sz w:val="24"/>
              </w:rPr>
              <w:t>5个工作日</w:t>
            </w:r>
          </w:p>
        </w:tc>
        <w:tc>
          <w:tcPr>
            <w:tcW w:w="789" w:type="dxa"/>
            <w:vAlign w:val="center"/>
          </w:tcPr>
          <w:p w:rsidR="00013EC7" w:rsidRDefault="00575CDB">
            <w:pPr>
              <w:jc w:val="center"/>
              <w:rPr>
                <w:rFonts w:ascii="仿宋" w:eastAsia="仿宋" w:hAnsi="仿宋" w:cs="仿宋"/>
                <w:sz w:val="24"/>
              </w:rPr>
            </w:pPr>
            <w:r>
              <w:rPr>
                <w:rFonts w:ascii="仿宋" w:eastAsia="仿宋" w:hAnsi="仿宋" w:cs="仿宋" w:hint="eastAsia"/>
                <w:sz w:val="24"/>
              </w:rPr>
              <w:t>对符合条件的，当场办结。相关资料信息等需进一步核实的，出具受理通知并自受理申请之日起5个工作日内办结。</w:t>
            </w:r>
          </w:p>
        </w:tc>
        <w:tc>
          <w:tcPr>
            <w:tcW w:w="967" w:type="dxa"/>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sz w:val="24"/>
              </w:rPr>
              <w:t>无纸化企业已实现跑零次</w:t>
            </w:r>
          </w:p>
        </w:tc>
        <w:tc>
          <w:tcPr>
            <w:tcW w:w="1104" w:type="dxa"/>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sz w:val="24"/>
              </w:rPr>
              <w:t>进出口处</w:t>
            </w:r>
          </w:p>
        </w:tc>
        <w:tc>
          <w:tcPr>
            <w:tcW w:w="1476"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邮寄回执</w:t>
            </w:r>
          </w:p>
        </w:tc>
      </w:tr>
    </w:tbl>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jc w:val="center"/>
        <w:rPr>
          <w:rFonts w:eastAsia="方正书宋简体"/>
          <w:szCs w:val="21"/>
        </w:rPr>
      </w:pPr>
    </w:p>
    <w:p w:rsidR="00013EC7" w:rsidRDefault="00013EC7">
      <w:pPr>
        <w:rPr>
          <w:rFonts w:eastAsia="方正书宋简体"/>
          <w:szCs w:val="21"/>
        </w:rPr>
      </w:pPr>
    </w:p>
    <w:p w:rsidR="00013EC7" w:rsidRDefault="00575CDB">
      <w:pPr>
        <w:jc w:val="center"/>
        <w:rPr>
          <w:rFonts w:eastAsia="方正书宋简体"/>
          <w:szCs w:val="21"/>
        </w:rPr>
      </w:pPr>
      <w:r>
        <w:object w:dxaOrig="8227" w:dyaOrig="11634">
          <v:shape id="_x0000_i1218" type="#_x0000_t75" style="width:411.35pt;height:581.7pt" o:ole="">
            <v:imagedata r:id="rId510" o:title=""/>
          </v:shape>
          <o:OLEObject Type="Embed" ProgID="Visio.Drawing.11" ShapeID="_x0000_i1218" DrawAspect="Content" ObjectID="_1577296138" r:id="rId511"/>
        </w:object>
      </w:r>
      <w:r>
        <w:object w:dxaOrig="8184" w:dyaOrig="11392">
          <v:shape id="_x0000_i1219" type="#_x0000_t75" style="width:409.6pt;height:569.6pt" o:ole="">
            <v:imagedata r:id="rId512" o:title=""/>
          </v:shape>
          <o:OLEObject Type="Embed" ProgID="Visio.Drawing.11" ShapeID="_x0000_i1219" DrawAspect="Content" ObjectID="_1577296139" r:id="rId513"/>
        </w:object>
      </w:r>
    </w:p>
    <w:p w:rsidR="00013EC7" w:rsidRDefault="00013EC7">
      <w:pPr>
        <w:rPr>
          <w:rFonts w:eastAsia="方正书宋简体"/>
          <w:szCs w:val="21"/>
        </w:rPr>
      </w:pPr>
    </w:p>
    <w:p w:rsidR="00013EC7" w:rsidRDefault="00013EC7">
      <w:pPr>
        <w:rPr>
          <w:rFonts w:eastAsia="方正书宋简体"/>
          <w:szCs w:val="21"/>
        </w:rPr>
      </w:pPr>
    </w:p>
    <w:p w:rsidR="00013EC7" w:rsidRDefault="00013EC7">
      <w:pPr>
        <w:pStyle w:val="2"/>
        <w:sectPr w:rsidR="00013EC7">
          <w:pgSz w:w="23814" w:h="16840" w:orient="landscape"/>
          <w:pgMar w:top="1701" w:right="1843" w:bottom="1985" w:left="1843" w:header="851" w:footer="1701" w:gutter="0"/>
          <w:pgNumType w:fmt="numberInDash"/>
          <w:cols w:space="720"/>
          <w:docGrid w:type="lines" w:linePitch="312"/>
        </w:sectPr>
      </w:pPr>
    </w:p>
    <w:p w:rsidR="00013EC7" w:rsidRDefault="00575CDB">
      <w:pPr>
        <w:pStyle w:val="2"/>
      </w:pPr>
      <w:bookmarkStart w:id="631" w:name="_Toc27800"/>
      <w:bookmarkStart w:id="632" w:name="_Toc503467495"/>
      <w:bookmarkStart w:id="633" w:name="_Toc18498"/>
      <w:bookmarkStart w:id="634" w:name="_Toc17016"/>
      <w:r>
        <w:rPr>
          <w:rFonts w:hint="eastAsia"/>
        </w:rPr>
        <w:lastRenderedPageBreak/>
        <w:t xml:space="preserve">29.14 </w:t>
      </w:r>
      <w:r>
        <w:rPr>
          <w:rFonts w:hint="eastAsia"/>
        </w:rPr>
        <w:t>《出口卷烟已免税证明》开具</w:t>
      </w:r>
      <w:bookmarkEnd w:id="631"/>
      <w:bookmarkEnd w:id="632"/>
      <w:bookmarkEnd w:id="633"/>
      <w:bookmarkEnd w:id="634"/>
    </w:p>
    <w:p w:rsidR="00013EC7" w:rsidRDefault="00575CDB">
      <w:pPr>
        <w:jc w:val="center"/>
        <w:rPr>
          <w:rFonts w:ascii="宋体" w:hAnsi="宋体" w:cs="宋体"/>
          <w:b/>
          <w:bCs/>
          <w:sz w:val="52"/>
          <w:szCs w:val="52"/>
        </w:rPr>
      </w:pPr>
      <w:r>
        <w:rPr>
          <w:rFonts w:ascii="宋体" w:hAnsi="宋体" w:cs="宋体" w:hint="eastAsia"/>
          <w:b/>
          <w:bCs/>
          <w:sz w:val="52"/>
          <w:szCs w:val="52"/>
        </w:rPr>
        <w:t>全省“最多跑一次”事项“八统一”梳理表</w:t>
      </w:r>
    </w:p>
    <w:p w:rsidR="00013EC7" w:rsidRDefault="00013EC7">
      <w:pPr>
        <w:rPr>
          <w:rFonts w:ascii="宋体" w:hAnsi="宋体" w:cs="宋体"/>
          <w:b/>
          <w:bCs/>
          <w:sz w:val="44"/>
          <w:szCs w:val="44"/>
        </w:rPr>
      </w:pPr>
    </w:p>
    <w:tbl>
      <w:tblPr>
        <w:tblW w:w="20838"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1250"/>
        <w:gridCol w:w="1316"/>
        <w:gridCol w:w="2114"/>
        <w:gridCol w:w="2785"/>
        <w:gridCol w:w="1118"/>
        <w:gridCol w:w="2537"/>
        <w:gridCol w:w="1196"/>
        <w:gridCol w:w="3318"/>
        <w:gridCol w:w="868"/>
        <w:gridCol w:w="789"/>
        <w:gridCol w:w="967"/>
        <w:gridCol w:w="1104"/>
        <w:gridCol w:w="1476"/>
      </w:tblGrid>
      <w:tr w:rsidR="00013EC7">
        <w:trPr>
          <w:trHeight w:val="340"/>
          <w:tblHeader/>
          <w:jc w:val="center"/>
        </w:trPr>
        <w:tc>
          <w:tcPr>
            <w:tcW w:w="1250"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主项名称</w:t>
            </w:r>
          </w:p>
        </w:tc>
        <w:tc>
          <w:tcPr>
            <w:tcW w:w="1316"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子项名称</w:t>
            </w:r>
          </w:p>
        </w:tc>
        <w:tc>
          <w:tcPr>
            <w:tcW w:w="2114"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经办依据</w:t>
            </w:r>
          </w:p>
        </w:tc>
        <w:tc>
          <w:tcPr>
            <w:tcW w:w="3903"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原经办所需材料</w:t>
            </w:r>
          </w:p>
        </w:tc>
        <w:tc>
          <w:tcPr>
            <w:tcW w:w="7051" w:type="dxa"/>
            <w:gridSpan w:val="3"/>
            <w:vAlign w:val="center"/>
          </w:tcPr>
          <w:p w:rsidR="00013EC7" w:rsidRDefault="00575CDB">
            <w:pPr>
              <w:spacing w:line="280" w:lineRule="exact"/>
              <w:jc w:val="center"/>
              <w:rPr>
                <w:rFonts w:ascii="黑体" w:eastAsia="黑体"/>
                <w:sz w:val="24"/>
              </w:rPr>
            </w:pPr>
            <w:r>
              <w:rPr>
                <w:rFonts w:ascii="黑体" w:eastAsia="黑体" w:hint="eastAsia"/>
                <w:sz w:val="24"/>
              </w:rPr>
              <w:t>梳理后经办所需材料</w:t>
            </w:r>
          </w:p>
        </w:tc>
        <w:tc>
          <w:tcPr>
            <w:tcW w:w="1657"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办理时限</w:t>
            </w:r>
          </w:p>
        </w:tc>
        <w:tc>
          <w:tcPr>
            <w:tcW w:w="967"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是否实现跑零次</w:t>
            </w:r>
          </w:p>
        </w:tc>
        <w:tc>
          <w:tcPr>
            <w:tcW w:w="1104"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省厅对口</w:t>
            </w:r>
          </w:p>
          <w:p w:rsidR="00013EC7" w:rsidRDefault="00575CDB">
            <w:pPr>
              <w:spacing w:line="280" w:lineRule="exact"/>
              <w:jc w:val="center"/>
              <w:rPr>
                <w:rFonts w:ascii="黑体" w:eastAsia="黑体"/>
                <w:sz w:val="24"/>
              </w:rPr>
            </w:pPr>
            <w:r>
              <w:rPr>
                <w:rFonts w:ascii="黑体" w:eastAsia="黑体" w:hint="eastAsia"/>
                <w:sz w:val="24"/>
              </w:rPr>
              <w:t>指导处室</w:t>
            </w:r>
          </w:p>
          <w:p w:rsidR="00013EC7" w:rsidRDefault="00575CDB">
            <w:pPr>
              <w:spacing w:line="280" w:lineRule="exact"/>
              <w:jc w:val="center"/>
              <w:rPr>
                <w:rFonts w:ascii="黑体" w:eastAsia="黑体"/>
                <w:sz w:val="24"/>
              </w:rPr>
            </w:pPr>
            <w:r>
              <w:rPr>
                <w:rFonts w:ascii="黑体" w:eastAsia="黑体" w:hint="eastAsia"/>
                <w:sz w:val="24"/>
              </w:rPr>
              <w:t>（单位）</w:t>
            </w:r>
          </w:p>
        </w:tc>
        <w:tc>
          <w:tcPr>
            <w:tcW w:w="1476"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进一步精简、</w:t>
            </w:r>
          </w:p>
          <w:p w:rsidR="00013EC7" w:rsidRDefault="00575CDB">
            <w:pPr>
              <w:spacing w:line="280" w:lineRule="exact"/>
              <w:jc w:val="center"/>
              <w:rPr>
                <w:rFonts w:ascii="黑体" w:eastAsia="黑体"/>
                <w:sz w:val="24"/>
              </w:rPr>
            </w:pPr>
            <w:r>
              <w:rPr>
                <w:rFonts w:ascii="黑体" w:eastAsia="黑体" w:hint="eastAsia"/>
                <w:sz w:val="24"/>
              </w:rPr>
              <w:t>规范建议</w:t>
            </w:r>
          </w:p>
        </w:tc>
      </w:tr>
      <w:tr w:rsidR="00013EC7">
        <w:trPr>
          <w:trHeight w:val="340"/>
          <w:tblHeader/>
          <w:jc w:val="center"/>
        </w:trPr>
        <w:tc>
          <w:tcPr>
            <w:tcW w:w="1250" w:type="dxa"/>
            <w:vMerge/>
            <w:vAlign w:val="center"/>
          </w:tcPr>
          <w:p w:rsidR="00013EC7" w:rsidRDefault="00013EC7">
            <w:pPr>
              <w:rPr>
                <w:sz w:val="24"/>
              </w:rPr>
            </w:pPr>
          </w:p>
        </w:tc>
        <w:tc>
          <w:tcPr>
            <w:tcW w:w="1316" w:type="dxa"/>
            <w:vMerge/>
          </w:tcPr>
          <w:p w:rsidR="00013EC7" w:rsidRDefault="00013EC7">
            <w:pPr>
              <w:rPr>
                <w:sz w:val="24"/>
              </w:rPr>
            </w:pPr>
          </w:p>
        </w:tc>
        <w:tc>
          <w:tcPr>
            <w:tcW w:w="2114" w:type="dxa"/>
            <w:vMerge/>
          </w:tcPr>
          <w:p w:rsidR="00013EC7" w:rsidRDefault="00013EC7">
            <w:pPr>
              <w:rPr>
                <w:sz w:val="24"/>
              </w:rPr>
            </w:pPr>
          </w:p>
        </w:tc>
        <w:tc>
          <w:tcPr>
            <w:tcW w:w="2785" w:type="dxa"/>
            <w:tcBorders>
              <w:bottom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118"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2537" w:type="dxa"/>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196"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3318" w:type="dxa"/>
            <w:vAlign w:val="center"/>
          </w:tcPr>
          <w:p w:rsidR="00013EC7" w:rsidRDefault="00575CDB">
            <w:pPr>
              <w:spacing w:line="280" w:lineRule="exact"/>
              <w:jc w:val="center"/>
              <w:rPr>
                <w:rFonts w:ascii="黑体" w:eastAsia="黑体"/>
                <w:sz w:val="24"/>
              </w:rPr>
            </w:pPr>
            <w:r>
              <w:rPr>
                <w:rFonts w:ascii="黑体" w:eastAsia="黑体" w:hint="eastAsia"/>
                <w:sz w:val="24"/>
              </w:rPr>
              <w:t>办理方式及材料</w:t>
            </w:r>
          </w:p>
          <w:p w:rsidR="00013EC7" w:rsidRDefault="00575CDB">
            <w:pPr>
              <w:spacing w:line="280" w:lineRule="exact"/>
              <w:jc w:val="center"/>
              <w:rPr>
                <w:rFonts w:ascii="黑体" w:eastAsia="黑体"/>
                <w:sz w:val="24"/>
              </w:rPr>
            </w:pPr>
            <w:r>
              <w:rPr>
                <w:rFonts w:ascii="黑体" w:eastAsia="黑体" w:hint="eastAsia"/>
                <w:sz w:val="24"/>
              </w:rPr>
              <w:t>信息获取方式说明</w:t>
            </w:r>
          </w:p>
        </w:tc>
        <w:tc>
          <w:tcPr>
            <w:tcW w:w="868" w:type="dxa"/>
            <w:vAlign w:val="center"/>
          </w:tcPr>
          <w:p w:rsidR="00013EC7" w:rsidRDefault="00575CDB">
            <w:pPr>
              <w:spacing w:line="280" w:lineRule="exact"/>
              <w:jc w:val="center"/>
              <w:rPr>
                <w:rFonts w:ascii="黑体" w:eastAsia="黑体"/>
                <w:sz w:val="24"/>
              </w:rPr>
            </w:pPr>
            <w:r>
              <w:rPr>
                <w:rFonts w:ascii="黑体" w:eastAsia="黑体" w:hint="eastAsia"/>
                <w:sz w:val="24"/>
              </w:rPr>
              <w:t>优化前</w:t>
            </w:r>
          </w:p>
        </w:tc>
        <w:tc>
          <w:tcPr>
            <w:tcW w:w="789" w:type="dxa"/>
            <w:vAlign w:val="center"/>
          </w:tcPr>
          <w:p w:rsidR="00013EC7" w:rsidRDefault="00575CDB">
            <w:pPr>
              <w:spacing w:line="280" w:lineRule="exact"/>
              <w:jc w:val="center"/>
              <w:rPr>
                <w:rFonts w:ascii="黑体" w:eastAsia="黑体"/>
                <w:sz w:val="24"/>
              </w:rPr>
            </w:pPr>
            <w:r>
              <w:rPr>
                <w:rFonts w:ascii="黑体" w:eastAsia="黑体" w:hint="eastAsia"/>
                <w:sz w:val="24"/>
              </w:rPr>
              <w:t>优化后</w:t>
            </w:r>
          </w:p>
        </w:tc>
        <w:tc>
          <w:tcPr>
            <w:tcW w:w="967" w:type="dxa"/>
            <w:vMerge/>
            <w:vAlign w:val="center"/>
          </w:tcPr>
          <w:p w:rsidR="00013EC7" w:rsidRDefault="00013EC7">
            <w:pPr>
              <w:rPr>
                <w:sz w:val="24"/>
              </w:rPr>
            </w:pPr>
          </w:p>
        </w:tc>
        <w:tc>
          <w:tcPr>
            <w:tcW w:w="1104" w:type="dxa"/>
            <w:vMerge/>
            <w:vAlign w:val="center"/>
          </w:tcPr>
          <w:p w:rsidR="00013EC7" w:rsidRDefault="00013EC7">
            <w:pPr>
              <w:rPr>
                <w:sz w:val="24"/>
              </w:rPr>
            </w:pPr>
          </w:p>
        </w:tc>
        <w:tc>
          <w:tcPr>
            <w:tcW w:w="1476" w:type="dxa"/>
            <w:vMerge/>
            <w:vAlign w:val="center"/>
          </w:tcPr>
          <w:p w:rsidR="00013EC7" w:rsidRDefault="00013EC7">
            <w:pPr>
              <w:rPr>
                <w:sz w:val="24"/>
              </w:rPr>
            </w:pPr>
          </w:p>
        </w:tc>
      </w:tr>
      <w:tr w:rsidR="00013EC7">
        <w:trPr>
          <w:trHeight w:val="4163"/>
          <w:jc w:val="center"/>
        </w:trPr>
        <w:tc>
          <w:tcPr>
            <w:tcW w:w="1250"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29.出口退（免）税事项办理</w:t>
            </w:r>
          </w:p>
        </w:tc>
        <w:tc>
          <w:tcPr>
            <w:tcW w:w="1316" w:type="dxa"/>
            <w:vAlign w:val="center"/>
          </w:tcPr>
          <w:p w:rsidR="00013EC7" w:rsidRDefault="00575CDB">
            <w:pPr>
              <w:spacing w:line="310" w:lineRule="exact"/>
              <w:rPr>
                <w:rFonts w:ascii="仿宋" w:eastAsia="仿宋" w:hAnsi="仿宋" w:cs="仿宋"/>
                <w:sz w:val="24"/>
              </w:rPr>
            </w:pPr>
            <w:r>
              <w:rPr>
                <w:rFonts w:ascii="仿宋" w:eastAsia="仿宋" w:hAnsi="仿宋" w:cs="仿宋" w:hint="eastAsia"/>
                <w:sz w:val="24"/>
              </w:rPr>
              <w:t xml:space="preserve">29.14 《出口卷烟已免税证明》开具 </w:t>
            </w:r>
          </w:p>
        </w:tc>
        <w:tc>
          <w:tcPr>
            <w:tcW w:w="2114"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（一）《国家税务总局关于发布&lt;出口货物劳务增值税和消费税管理办法&gt;的公告》（国家税务总局公告2012年第24号）第九条第（四）项。</w:t>
            </w:r>
          </w:p>
          <w:p w:rsidR="00013EC7" w:rsidRDefault="00575CDB">
            <w:pPr>
              <w:rPr>
                <w:rFonts w:ascii="仿宋" w:eastAsia="仿宋" w:hAnsi="仿宋" w:cs="仿宋"/>
                <w:kern w:val="1"/>
                <w:sz w:val="24"/>
              </w:rPr>
            </w:pPr>
            <w:r>
              <w:rPr>
                <w:rFonts w:ascii="仿宋" w:eastAsia="仿宋" w:hAnsi="仿宋" w:cs="仿宋" w:hint="eastAsia"/>
                <w:kern w:val="1"/>
                <w:sz w:val="24"/>
              </w:rPr>
              <w:t>（二）《浙江省国家税务局关于出口退（免）税无纸化申报的公告》（浙江省国家税务局公告</w:t>
            </w:r>
            <w:r>
              <w:rPr>
                <w:rFonts w:ascii="仿宋" w:eastAsia="仿宋" w:hAnsi="仿宋" w:cs="仿宋"/>
                <w:kern w:val="1"/>
                <w:sz w:val="24"/>
              </w:rPr>
              <w:t>2015</w:t>
            </w:r>
            <w:r>
              <w:rPr>
                <w:rFonts w:ascii="仿宋" w:eastAsia="仿宋" w:hAnsi="仿宋" w:cs="仿宋" w:hint="eastAsia"/>
                <w:kern w:val="1"/>
                <w:sz w:val="24"/>
              </w:rPr>
              <w:t>年第</w:t>
            </w:r>
            <w:r>
              <w:rPr>
                <w:rFonts w:ascii="仿宋" w:eastAsia="仿宋" w:hAnsi="仿宋" w:cs="仿宋"/>
                <w:kern w:val="1"/>
                <w:sz w:val="24"/>
              </w:rPr>
              <w:t>9</w:t>
            </w:r>
            <w:r>
              <w:rPr>
                <w:rFonts w:ascii="仿宋" w:eastAsia="仿宋" w:hAnsi="仿宋" w:cs="仿宋" w:hint="eastAsia"/>
                <w:kern w:val="1"/>
                <w:sz w:val="24"/>
              </w:rPr>
              <w:t>号）全文。</w:t>
            </w:r>
          </w:p>
        </w:tc>
        <w:tc>
          <w:tcPr>
            <w:tcW w:w="2785" w:type="dxa"/>
            <w:tcBorders>
              <w:top w:val="single" w:sz="4" w:space="0" w:color="auto"/>
              <w:bottom w:val="single" w:sz="4" w:space="0" w:color="auto"/>
            </w:tcBorders>
            <w:vAlign w:val="center"/>
          </w:tcPr>
          <w:p w:rsidR="00013EC7" w:rsidRDefault="00575CDB">
            <w:pPr>
              <w:rPr>
                <w:rFonts w:ascii="仿宋" w:eastAsia="仿宋" w:hAnsi="仿宋" w:cs="仿宋"/>
                <w:kern w:val="1"/>
                <w:sz w:val="24"/>
              </w:rPr>
            </w:pPr>
            <w:r>
              <w:rPr>
                <w:rFonts w:ascii="仿宋" w:eastAsia="仿宋" w:hAnsi="仿宋" w:cs="仿宋"/>
                <w:kern w:val="1"/>
                <w:sz w:val="24"/>
              </w:rPr>
              <w:t>（一）</w:t>
            </w:r>
            <w:r>
              <w:rPr>
                <w:rFonts w:ascii="仿宋" w:eastAsia="仿宋" w:hAnsi="仿宋" w:cs="仿宋" w:hint="eastAsia"/>
                <w:kern w:val="1"/>
                <w:sz w:val="24"/>
              </w:rPr>
              <w:t>（A05052）《出口卷烟已免税证明申请表》及申报电子数据。</w:t>
            </w:r>
          </w:p>
        </w:tc>
        <w:tc>
          <w:tcPr>
            <w:tcW w:w="1118" w:type="dxa"/>
            <w:vAlign w:val="center"/>
          </w:tcPr>
          <w:p w:rsidR="00013EC7" w:rsidRDefault="00575CDB">
            <w:pPr>
              <w:spacing w:line="300" w:lineRule="exact"/>
              <w:jc w:val="center"/>
              <w:rPr>
                <w:rFonts w:ascii="仿宋" w:eastAsia="仿宋" w:hAnsi="仿宋" w:cs="仿宋"/>
                <w:kern w:val="1"/>
                <w:sz w:val="24"/>
              </w:rPr>
            </w:pPr>
            <w:r>
              <w:rPr>
                <w:rFonts w:ascii="仿宋" w:eastAsia="仿宋" w:hAnsi="仿宋" w:cs="仿宋" w:hint="eastAsia"/>
                <w:kern w:val="1"/>
                <w:sz w:val="24"/>
              </w:rPr>
              <w:t>纳税人提交</w:t>
            </w:r>
          </w:p>
        </w:tc>
        <w:tc>
          <w:tcPr>
            <w:tcW w:w="2537" w:type="dxa"/>
            <w:vAlign w:val="center"/>
          </w:tcPr>
          <w:p w:rsidR="00013EC7" w:rsidRDefault="00575CDB">
            <w:pPr>
              <w:rPr>
                <w:rFonts w:ascii="仿宋" w:eastAsia="仿宋" w:hAnsi="仿宋" w:cs="仿宋"/>
                <w:kern w:val="1"/>
                <w:sz w:val="24"/>
              </w:rPr>
            </w:pPr>
            <w:r>
              <w:rPr>
                <w:rFonts w:ascii="仿宋" w:eastAsia="仿宋" w:hAnsi="仿宋" w:cs="仿宋"/>
                <w:kern w:val="1"/>
                <w:sz w:val="24"/>
              </w:rPr>
              <w:t>（一）</w:t>
            </w:r>
            <w:r>
              <w:rPr>
                <w:rFonts w:ascii="仿宋" w:eastAsia="仿宋" w:hAnsi="仿宋" w:cs="仿宋" w:hint="eastAsia"/>
                <w:kern w:val="1"/>
                <w:sz w:val="24"/>
              </w:rPr>
              <w:t>（A05052）《出口卷烟已免税证明申请表》及其电子数据</w:t>
            </w:r>
          </w:p>
        </w:tc>
        <w:tc>
          <w:tcPr>
            <w:tcW w:w="1196" w:type="dxa"/>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kern w:val="1"/>
                <w:sz w:val="24"/>
              </w:rPr>
              <w:t>纳税人提交</w:t>
            </w:r>
          </w:p>
        </w:tc>
        <w:tc>
          <w:tcPr>
            <w:tcW w:w="3318"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纳税人提交书面材料（无纸化企业留存备查）。</w:t>
            </w:r>
            <w:r>
              <w:rPr>
                <w:rFonts w:ascii="仿宋" w:eastAsia="仿宋" w:hAnsi="仿宋" w:cs="仿宋" w:hint="eastAsia"/>
                <w:b/>
                <w:sz w:val="24"/>
              </w:rPr>
              <w:t>网上办理：</w:t>
            </w:r>
            <w:r>
              <w:rPr>
                <w:rFonts w:ascii="仿宋" w:eastAsia="仿宋" w:hAnsi="仿宋" w:cs="仿宋" w:hint="eastAsia"/>
                <w:sz w:val="24"/>
              </w:rPr>
              <w:t>登录浙江省国家税务局电子税务局提交电子数据。</w:t>
            </w:r>
          </w:p>
        </w:tc>
        <w:tc>
          <w:tcPr>
            <w:tcW w:w="868" w:type="dxa"/>
            <w:vAlign w:val="center"/>
          </w:tcPr>
          <w:p w:rsidR="00013EC7" w:rsidRDefault="00575CDB">
            <w:pPr>
              <w:jc w:val="center"/>
              <w:rPr>
                <w:rFonts w:ascii="仿宋" w:eastAsia="仿宋" w:hAnsi="仿宋" w:cs="仿宋"/>
                <w:sz w:val="24"/>
              </w:rPr>
            </w:pPr>
            <w:r>
              <w:rPr>
                <w:rFonts w:ascii="仿宋" w:eastAsia="仿宋" w:hAnsi="仿宋" w:cs="仿宋" w:hint="eastAsia"/>
                <w:sz w:val="24"/>
              </w:rPr>
              <w:t>5个工作日</w:t>
            </w:r>
          </w:p>
        </w:tc>
        <w:tc>
          <w:tcPr>
            <w:tcW w:w="789" w:type="dxa"/>
            <w:vAlign w:val="center"/>
          </w:tcPr>
          <w:p w:rsidR="00013EC7" w:rsidRDefault="00575CDB">
            <w:pPr>
              <w:jc w:val="center"/>
              <w:rPr>
                <w:rFonts w:ascii="仿宋" w:eastAsia="仿宋" w:hAnsi="仿宋" w:cs="仿宋"/>
                <w:sz w:val="24"/>
              </w:rPr>
            </w:pPr>
            <w:r>
              <w:rPr>
                <w:rFonts w:ascii="仿宋" w:eastAsia="仿宋" w:hAnsi="仿宋" w:cs="仿宋" w:hint="eastAsia"/>
                <w:sz w:val="24"/>
              </w:rPr>
              <w:t>对符合条件的，当场办结。相关资料信息等需进一步核实的，出具受理通知并自受理申请之日起5个工作日内办结。</w:t>
            </w:r>
          </w:p>
        </w:tc>
        <w:tc>
          <w:tcPr>
            <w:tcW w:w="967" w:type="dxa"/>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sz w:val="24"/>
              </w:rPr>
              <w:t>无纸化企业已实现跑零次</w:t>
            </w:r>
          </w:p>
        </w:tc>
        <w:tc>
          <w:tcPr>
            <w:tcW w:w="1104" w:type="dxa"/>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sz w:val="24"/>
              </w:rPr>
              <w:t>进出口处</w:t>
            </w:r>
          </w:p>
        </w:tc>
        <w:tc>
          <w:tcPr>
            <w:tcW w:w="1476"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邮寄回执</w:t>
            </w:r>
          </w:p>
        </w:tc>
      </w:tr>
    </w:tbl>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jc w:val="center"/>
        <w:rPr>
          <w:rFonts w:eastAsia="方正书宋简体"/>
          <w:szCs w:val="21"/>
        </w:rPr>
      </w:pPr>
    </w:p>
    <w:p w:rsidR="00013EC7" w:rsidRDefault="00575CDB">
      <w:pPr>
        <w:jc w:val="center"/>
        <w:rPr>
          <w:rFonts w:eastAsia="方正书宋简体"/>
          <w:szCs w:val="21"/>
        </w:rPr>
      </w:pPr>
      <w:r>
        <w:object w:dxaOrig="8227" w:dyaOrig="11905">
          <v:shape id="_x0000_i1220" type="#_x0000_t75" style="width:411.35pt;height:595.25pt" o:ole="">
            <v:imagedata r:id="rId514" o:title=""/>
          </v:shape>
          <o:OLEObject Type="Embed" ProgID="Visio.Drawing.11" ShapeID="_x0000_i1220" DrawAspect="Content" ObjectID="_1577296140" r:id="rId515"/>
        </w:object>
      </w:r>
      <w:r>
        <w:rPr>
          <w:noProof/>
        </w:rPr>
        <w:drawing>
          <wp:inline distT="0" distB="0" distL="0" distR="0">
            <wp:extent cx="5205730" cy="7233920"/>
            <wp:effectExtent l="0" t="0" r="0" b="0"/>
            <wp:docPr id="201"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图片 201"/>
                    <pic:cNvPicPr>
                      <a:picLocks noChangeAspect="1" noChangeArrowheads="1"/>
                    </pic:cNvPicPr>
                  </pic:nvPicPr>
                  <pic:blipFill>
                    <a:blip r:embed="rId516">
                      <a:extLst>
                        <a:ext uri="{28A0092B-C50C-407E-A947-70E740481C1C}">
                          <a14:useLocalDpi xmlns:a14="http://schemas.microsoft.com/office/drawing/2010/main" val="0"/>
                        </a:ext>
                      </a:extLst>
                    </a:blip>
                    <a:srcRect/>
                    <a:stretch>
                      <a:fillRect/>
                    </a:stretch>
                  </pic:blipFill>
                  <pic:spPr>
                    <a:xfrm>
                      <a:off x="0" y="0"/>
                      <a:ext cx="5205730" cy="7233920"/>
                    </a:xfrm>
                    <a:prstGeom prst="rect">
                      <a:avLst/>
                    </a:prstGeom>
                    <a:noFill/>
                    <a:ln>
                      <a:noFill/>
                    </a:ln>
                  </pic:spPr>
                </pic:pic>
              </a:graphicData>
            </a:graphic>
          </wp:inline>
        </w:drawing>
      </w:r>
    </w:p>
    <w:p w:rsidR="00013EC7" w:rsidRDefault="00013EC7">
      <w:pPr>
        <w:rPr>
          <w:rFonts w:eastAsia="方正书宋简体"/>
          <w:szCs w:val="21"/>
        </w:rPr>
      </w:pPr>
    </w:p>
    <w:p w:rsidR="00013EC7" w:rsidRDefault="00575CDB">
      <w:pPr>
        <w:rPr>
          <w:rFonts w:eastAsia="方正小标宋_GBK"/>
          <w:sz w:val="52"/>
          <w:szCs w:val="52"/>
        </w:rPr>
      </w:pPr>
      <w:bookmarkStart w:id="635" w:name="_Toc503467496"/>
      <w:bookmarkStart w:id="636" w:name="_Toc253"/>
      <w:bookmarkStart w:id="637" w:name="_Toc13567"/>
      <w:bookmarkStart w:id="638" w:name="_Toc17134"/>
      <w:r>
        <w:rPr>
          <w:rStyle w:val="20"/>
          <w:rFonts w:hint="eastAsia"/>
        </w:rPr>
        <w:t>29.15</w:t>
      </w:r>
      <w:r>
        <w:rPr>
          <w:rStyle w:val="20"/>
          <w:rFonts w:hint="eastAsia"/>
        </w:rPr>
        <w:t>《中标证明通知书》开具</w:t>
      </w:r>
      <w:bookmarkEnd w:id="635"/>
      <w:bookmarkEnd w:id="636"/>
      <w:r>
        <w:rPr>
          <w:rStyle w:val="20"/>
          <w:rFonts w:hint="eastAsia"/>
        </w:rPr>
        <w:t xml:space="preserve">  </w:t>
      </w:r>
      <w:bookmarkEnd w:id="637"/>
      <w:bookmarkEnd w:id="638"/>
    </w:p>
    <w:p w:rsidR="00013EC7" w:rsidRDefault="00575CDB">
      <w:pPr>
        <w:jc w:val="center"/>
        <w:rPr>
          <w:rFonts w:ascii="宋体" w:hAnsi="宋体" w:cs="宋体"/>
          <w:b/>
          <w:bCs/>
          <w:sz w:val="52"/>
          <w:szCs w:val="52"/>
        </w:rPr>
      </w:pPr>
      <w:r>
        <w:rPr>
          <w:rFonts w:ascii="宋体" w:hAnsi="宋体" w:cs="宋体" w:hint="eastAsia"/>
          <w:b/>
          <w:bCs/>
          <w:sz w:val="52"/>
          <w:szCs w:val="52"/>
        </w:rPr>
        <w:lastRenderedPageBreak/>
        <w:t>全省“最多跑一次”事项“八统一”梳理表</w:t>
      </w:r>
    </w:p>
    <w:p w:rsidR="00013EC7" w:rsidRDefault="00013EC7">
      <w:pPr>
        <w:rPr>
          <w:rFonts w:ascii="宋体" w:hAnsi="宋体" w:cs="宋体"/>
          <w:b/>
          <w:bCs/>
          <w:sz w:val="44"/>
          <w:szCs w:val="44"/>
        </w:rPr>
      </w:pPr>
    </w:p>
    <w:tbl>
      <w:tblPr>
        <w:tblW w:w="20838"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1250"/>
        <w:gridCol w:w="1316"/>
        <w:gridCol w:w="2114"/>
        <w:gridCol w:w="2785"/>
        <w:gridCol w:w="1118"/>
        <w:gridCol w:w="2537"/>
        <w:gridCol w:w="1196"/>
        <w:gridCol w:w="3318"/>
        <w:gridCol w:w="868"/>
        <w:gridCol w:w="789"/>
        <w:gridCol w:w="967"/>
        <w:gridCol w:w="1104"/>
        <w:gridCol w:w="1476"/>
      </w:tblGrid>
      <w:tr w:rsidR="00013EC7">
        <w:trPr>
          <w:trHeight w:val="340"/>
          <w:tblHeader/>
          <w:jc w:val="center"/>
        </w:trPr>
        <w:tc>
          <w:tcPr>
            <w:tcW w:w="1250"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主项名称</w:t>
            </w:r>
          </w:p>
        </w:tc>
        <w:tc>
          <w:tcPr>
            <w:tcW w:w="1316"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子项名称</w:t>
            </w:r>
          </w:p>
        </w:tc>
        <w:tc>
          <w:tcPr>
            <w:tcW w:w="2114"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经办依据</w:t>
            </w:r>
          </w:p>
        </w:tc>
        <w:tc>
          <w:tcPr>
            <w:tcW w:w="3903"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原经办所需材料</w:t>
            </w:r>
          </w:p>
        </w:tc>
        <w:tc>
          <w:tcPr>
            <w:tcW w:w="7051" w:type="dxa"/>
            <w:gridSpan w:val="3"/>
            <w:vAlign w:val="center"/>
          </w:tcPr>
          <w:p w:rsidR="00013EC7" w:rsidRDefault="00575CDB">
            <w:pPr>
              <w:spacing w:line="280" w:lineRule="exact"/>
              <w:jc w:val="center"/>
              <w:rPr>
                <w:rFonts w:ascii="黑体" w:eastAsia="黑体"/>
                <w:sz w:val="24"/>
              </w:rPr>
            </w:pPr>
            <w:r>
              <w:rPr>
                <w:rFonts w:ascii="黑体" w:eastAsia="黑体" w:hint="eastAsia"/>
                <w:sz w:val="24"/>
              </w:rPr>
              <w:t>梳理后经办所需材料</w:t>
            </w:r>
          </w:p>
        </w:tc>
        <w:tc>
          <w:tcPr>
            <w:tcW w:w="1657"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办理时限</w:t>
            </w:r>
          </w:p>
        </w:tc>
        <w:tc>
          <w:tcPr>
            <w:tcW w:w="967"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是否实现跑零次</w:t>
            </w:r>
          </w:p>
        </w:tc>
        <w:tc>
          <w:tcPr>
            <w:tcW w:w="1104"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省厅对口</w:t>
            </w:r>
          </w:p>
          <w:p w:rsidR="00013EC7" w:rsidRDefault="00575CDB">
            <w:pPr>
              <w:spacing w:line="280" w:lineRule="exact"/>
              <w:jc w:val="center"/>
              <w:rPr>
                <w:rFonts w:ascii="黑体" w:eastAsia="黑体"/>
                <w:sz w:val="24"/>
              </w:rPr>
            </w:pPr>
            <w:r>
              <w:rPr>
                <w:rFonts w:ascii="黑体" w:eastAsia="黑体" w:hint="eastAsia"/>
                <w:sz w:val="24"/>
              </w:rPr>
              <w:t>指导处室</w:t>
            </w:r>
          </w:p>
          <w:p w:rsidR="00013EC7" w:rsidRDefault="00575CDB">
            <w:pPr>
              <w:spacing w:line="280" w:lineRule="exact"/>
              <w:jc w:val="center"/>
              <w:rPr>
                <w:rFonts w:ascii="黑体" w:eastAsia="黑体"/>
                <w:sz w:val="24"/>
              </w:rPr>
            </w:pPr>
            <w:r>
              <w:rPr>
                <w:rFonts w:ascii="黑体" w:eastAsia="黑体" w:hint="eastAsia"/>
                <w:sz w:val="24"/>
              </w:rPr>
              <w:t>（单位）</w:t>
            </w:r>
          </w:p>
        </w:tc>
        <w:tc>
          <w:tcPr>
            <w:tcW w:w="1476"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进一步精简、</w:t>
            </w:r>
          </w:p>
          <w:p w:rsidR="00013EC7" w:rsidRDefault="00575CDB">
            <w:pPr>
              <w:spacing w:line="280" w:lineRule="exact"/>
              <w:jc w:val="center"/>
              <w:rPr>
                <w:rFonts w:ascii="黑体" w:eastAsia="黑体"/>
                <w:sz w:val="24"/>
              </w:rPr>
            </w:pPr>
            <w:r>
              <w:rPr>
                <w:rFonts w:ascii="黑体" w:eastAsia="黑体" w:hint="eastAsia"/>
                <w:sz w:val="24"/>
              </w:rPr>
              <w:t>规范建议</w:t>
            </w:r>
          </w:p>
        </w:tc>
      </w:tr>
      <w:tr w:rsidR="00013EC7">
        <w:trPr>
          <w:trHeight w:val="340"/>
          <w:tblHeader/>
          <w:jc w:val="center"/>
        </w:trPr>
        <w:tc>
          <w:tcPr>
            <w:tcW w:w="1250" w:type="dxa"/>
            <w:vMerge/>
            <w:vAlign w:val="center"/>
          </w:tcPr>
          <w:p w:rsidR="00013EC7" w:rsidRDefault="00013EC7">
            <w:pPr>
              <w:rPr>
                <w:sz w:val="24"/>
              </w:rPr>
            </w:pPr>
          </w:p>
        </w:tc>
        <w:tc>
          <w:tcPr>
            <w:tcW w:w="1316" w:type="dxa"/>
            <w:vMerge/>
          </w:tcPr>
          <w:p w:rsidR="00013EC7" w:rsidRDefault="00013EC7">
            <w:pPr>
              <w:rPr>
                <w:sz w:val="24"/>
              </w:rPr>
            </w:pPr>
          </w:p>
        </w:tc>
        <w:tc>
          <w:tcPr>
            <w:tcW w:w="2114" w:type="dxa"/>
            <w:vMerge/>
          </w:tcPr>
          <w:p w:rsidR="00013EC7" w:rsidRDefault="00013EC7">
            <w:pPr>
              <w:rPr>
                <w:sz w:val="24"/>
              </w:rPr>
            </w:pPr>
          </w:p>
        </w:tc>
        <w:tc>
          <w:tcPr>
            <w:tcW w:w="2785" w:type="dxa"/>
            <w:tcBorders>
              <w:bottom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118"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2537" w:type="dxa"/>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196"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3318" w:type="dxa"/>
            <w:vAlign w:val="center"/>
          </w:tcPr>
          <w:p w:rsidR="00013EC7" w:rsidRDefault="00575CDB">
            <w:pPr>
              <w:spacing w:line="280" w:lineRule="exact"/>
              <w:jc w:val="center"/>
              <w:rPr>
                <w:rFonts w:ascii="黑体" w:eastAsia="黑体"/>
                <w:sz w:val="24"/>
              </w:rPr>
            </w:pPr>
            <w:r>
              <w:rPr>
                <w:rFonts w:ascii="黑体" w:eastAsia="黑体" w:hint="eastAsia"/>
                <w:sz w:val="24"/>
              </w:rPr>
              <w:t>办理方式及材料</w:t>
            </w:r>
          </w:p>
          <w:p w:rsidR="00013EC7" w:rsidRDefault="00575CDB">
            <w:pPr>
              <w:spacing w:line="280" w:lineRule="exact"/>
              <w:jc w:val="center"/>
              <w:rPr>
                <w:rFonts w:ascii="黑体" w:eastAsia="黑体"/>
                <w:sz w:val="24"/>
              </w:rPr>
            </w:pPr>
            <w:r>
              <w:rPr>
                <w:rFonts w:ascii="黑体" w:eastAsia="黑体" w:hint="eastAsia"/>
                <w:sz w:val="24"/>
              </w:rPr>
              <w:t>信息获取方式说明</w:t>
            </w:r>
          </w:p>
        </w:tc>
        <w:tc>
          <w:tcPr>
            <w:tcW w:w="868" w:type="dxa"/>
            <w:vAlign w:val="center"/>
          </w:tcPr>
          <w:p w:rsidR="00013EC7" w:rsidRDefault="00575CDB">
            <w:pPr>
              <w:spacing w:line="280" w:lineRule="exact"/>
              <w:jc w:val="center"/>
              <w:rPr>
                <w:rFonts w:ascii="黑体" w:eastAsia="黑体"/>
                <w:sz w:val="24"/>
              </w:rPr>
            </w:pPr>
            <w:r>
              <w:rPr>
                <w:rFonts w:ascii="黑体" w:eastAsia="黑体" w:hint="eastAsia"/>
                <w:sz w:val="24"/>
              </w:rPr>
              <w:t>优化前</w:t>
            </w:r>
          </w:p>
        </w:tc>
        <w:tc>
          <w:tcPr>
            <w:tcW w:w="789" w:type="dxa"/>
            <w:vAlign w:val="center"/>
          </w:tcPr>
          <w:p w:rsidR="00013EC7" w:rsidRDefault="00575CDB">
            <w:pPr>
              <w:spacing w:line="280" w:lineRule="exact"/>
              <w:jc w:val="center"/>
              <w:rPr>
                <w:rFonts w:ascii="黑体" w:eastAsia="黑体"/>
                <w:sz w:val="24"/>
              </w:rPr>
            </w:pPr>
            <w:r>
              <w:rPr>
                <w:rFonts w:ascii="黑体" w:eastAsia="黑体" w:hint="eastAsia"/>
                <w:sz w:val="24"/>
              </w:rPr>
              <w:t>优化后</w:t>
            </w:r>
          </w:p>
        </w:tc>
        <w:tc>
          <w:tcPr>
            <w:tcW w:w="967" w:type="dxa"/>
            <w:vMerge/>
            <w:vAlign w:val="center"/>
          </w:tcPr>
          <w:p w:rsidR="00013EC7" w:rsidRDefault="00013EC7">
            <w:pPr>
              <w:rPr>
                <w:sz w:val="24"/>
              </w:rPr>
            </w:pPr>
          </w:p>
        </w:tc>
        <w:tc>
          <w:tcPr>
            <w:tcW w:w="1104" w:type="dxa"/>
            <w:vMerge/>
            <w:vAlign w:val="center"/>
          </w:tcPr>
          <w:p w:rsidR="00013EC7" w:rsidRDefault="00013EC7">
            <w:pPr>
              <w:rPr>
                <w:sz w:val="24"/>
              </w:rPr>
            </w:pPr>
          </w:p>
        </w:tc>
        <w:tc>
          <w:tcPr>
            <w:tcW w:w="1476" w:type="dxa"/>
            <w:vMerge/>
            <w:vAlign w:val="center"/>
          </w:tcPr>
          <w:p w:rsidR="00013EC7" w:rsidRDefault="00013EC7">
            <w:pPr>
              <w:rPr>
                <w:sz w:val="24"/>
              </w:rPr>
            </w:pPr>
          </w:p>
        </w:tc>
      </w:tr>
      <w:tr w:rsidR="00013EC7">
        <w:trPr>
          <w:trHeight w:val="2208"/>
          <w:jc w:val="center"/>
        </w:trPr>
        <w:tc>
          <w:tcPr>
            <w:tcW w:w="1250" w:type="dxa"/>
            <w:vMerge w:val="restart"/>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29.出口退（免）税事项办理</w:t>
            </w:r>
          </w:p>
        </w:tc>
        <w:tc>
          <w:tcPr>
            <w:tcW w:w="1316" w:type="dxa"/>
            <w:vMerge w:val="restart"/>
            <w:vAlign w:val="center"/>
          </w:tcPr>
          <w:p w:rsidR="00013EC7" w:rsidRDefault="00575CDB">
            <w:pPr>
              <w:spacing w:line="310" w:lineRule="exact"/>
              <w:rPr>
                <w:rFonts w:ascii="仿宋" w:eastAsia="仿宋" w:hAnsi="仿宋" w:cs="仿宋"/>
                <w:sz w:val="24"/>
              </w:rPr>
            </w:pPr>
            <w:r>
              <w:rPr>
                <w:rFonts w:ascii="仿宋" w:eastAsia="仿宋" w:hAnsi="仿宋" w:cs="仿宋" w:hint="eastAsia"/>
                <w:sz w:val="24"/>
              </w:rPr>
              <w:t xml:space="preserve">29.15《中标证明通知书》开具 </w:t>
            </w:r>
          </w:p>
        </w:tc>
        <w:tc>
          <w:tcPr>
            <w:tcW w:w="2114" w:type="dxa"/>
            <w:vMerge w:val="restart"/>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（一）</w:t>
            </w:r>
            <w:r>
              <w:rPr>
                <w:rFonts w:ascii="仿宋" w:eastAsia="仿宋" w:hAnsi="仿宋" w:cs="仿宋"/>
                <w:kern w:val="1"/>
                <w:sz w:val="24"/>
              </w:rPr>
              <w:t>《国家税务总局关于发布&lt;出口货物劳务增值税和消费税管理办法&gt;的公告》（国家税务总局公告2012年第24号）</w:t>
            </w:r>
            <w:r>
              <w:rPr>
                <w:rFonts w:ascii="仿宋" w:eastAsia="仿宋" w:hAnsi="仿宋" w:cs="仿宋" w:hint="eastAsia"/>
                <w:kern w:val="1"/>
                <w:sz w:val="24"/>
              </w:rPr>
              <w:t>第六条第（五）项，第十条第（七）项</w:t>
            </w:r>
            <w:r>
              <w:rPr>
                <w:rFonts w:ascii="仿宋" w:eastAsia="仿宋" w:hAnsi="仿宋" w:cs="仿宋"/>
                <w:kern w:val="1"/>
                <w:sz w:val="24"/>
              </w:rPr>
              <w:t>。</w:t>
            </w:r>
          </w:p>
          <w:p w:rsidR="00013EC7" w:rsidRDefault="00575CDB">
            <w:pPr>
              <w:rPr>
                <w:rFonts w:ascii="仿宋" w:eastAsia="仿宋" w:hAnsi="仿宋" w:cs="仿宋"/>
                <w:kern w:val="1"/>
                <w:sz w:val="24"/>
              </w:rPr>
            </w:pPr>
            <w:r>
              <w:rPr>
                <w:rFonts w:ascii="仿宋" w:eastAsia="仿宋" w:hAnsi="仿宋" w:cs="仿宋" w:hint="eastAsia"/>
                <w:kern w:val="1"/>
                <w:sz w:val="24"/>
              </w:rPr>
              <w:t>（二）</w:t>
            </w:r>
            <w:r>
              <w:rPr>
                <w:rFonts w:ascii="仿宋" w:eastAsia="仿宋" w:hAnsi="仿宋" w:cs="仿宋"/>
                <w:kern w:val="1"/>
                <w:sz w:val="24"/>
              </w:rPr>
              <w:t>《</w:t>
            </w:r>
            <w:r>
              <w:rPr>
                <w:rFonts w:ascii="仿宋" w:eastAsia="仿宋" w:hAnsi="仿宋" w:cs="仿宋" w:hint="eastAsia"/>
                <w:kern w:val="1"/>
                <w:sz w:val="24"/>
              </w:rPr>
              <w:t>国家税务总局关于出口货物劳务退（免）税管理有关问题的公告</w:t>
            </w:r>
            <w:r>
              <w:rPr>
                <w:rFonts w:ascii="仿宋" w:eastAsia="仿宋" w:hAnsi="仿宋" w:cs="仿宋"/>
                <w:kern w:val="1"/>
                <w:sz w:val="24"/>
              </w:rPr>
              <w:t>》（国家税务总局公告201</w:t>
            </w:r>
            <w:r>
              <w:rPr>
                <w:rFonts w:ascii="仿宋" w:eastAsia="仿宋" w:hAnsi="仿宋" w:cs="仿宋" w:hint="eastAsia"/>
                <w:kern w:val="1"/>
                <w:sz w:val="24"/>
              </w:rPr>
              <w:t>4</w:t>
            </w:r>
            <w:r>
              <w:rPr>
                <w:rFonts w:ascii="仿宋" w:eastAsia="仿宋" w:hAnsi="仿宋" w:cs="仿宋"/>
                <w:kern w:val="1"/>
                <w:sz w:val="24"/>
              </w:rPr>
              <w:t>年第</w:t>
            </w:r>
            <w:r>
              <w:rPr>
                <w:rFonts w:ascii="仿宋" w:eastAsia="仿宋" w:hAnsi="仿宋" w:cs="仿宋" w:hint="eastAsia"/>
                <w:kern w:val="1"/>
                <w:sz w:val="24"/>
              </w:rPr>
              <w:t>51</w:t>
            </w:r>
            <w:r>
              <w:rPr>
                <w:rFonts w:ascii="仿宋" w:eastAsia="仿宋" w:hAnsi="仿宋" w:cs="仿宋"/>
                <w:kern w:val="1"/>
                <w:sz w:val="24"/>
              </w:rPr>
              <w:t>号）</w:t>
            </w:r>
            <w:r>
              <w:rPr>
                <w:rFonts w:ascii="仿宋" w:eastAsia="仿宋" w:hAnsi="仿宋" w:cs="仿宋" w:hint="eastAsia"/>
                <w:kern w:val="1"/>
                <w:sz w:val="24"/>
              </w:rPr>
              <w:t>第三条。</w:t>
            </w:r>
          </w:p>
        </w:tc>
        <w:tc>
          <w:tcPr>
            <w:tcW w:w="2785" w:type="dxa"/>
            <w:tcBorders>
              <w:top w:val="single" w:sz="4" w:space="0" w:color="auto"/>
              <w:bottom w:val="single" w:sz="4" w:space="0" w:color="auto"/>
            </w:tcBorders>
            <w:vAlign w:val="center"/>
          </w:tcPr>
          <w:p w:rsidR="00013EC7" w:rsidRDefault="00575CDB">
            <w:pPr>
              <w:spacing w:line="300" w:lineRule="exact"/>
              <w:jc w:val="center"/>
              <w:rPr>
                <w:rFonts w:ascii="仿宋" w:eastAsia="仿宋" w:hAnsi="仿宋" w:cs="仿宋"/>
                <w:sz w:val="24"/>
              </w:rPr>
            </w:pPr>
            <w:r>
              <w:rPr>
                <w:rFonts w:ascii="仿宋" w:eastAsia="仿宋" w:hAnsi="仿宋" w:cs="仿宋"/>
                <w:sz w:val="24"/>
              </w:rPr>
              <w:t>（一）</w:t>
            </w:r>
            <w:r>
              <w:rPr>
                <w:rFonts w:ascii="仿宋" w:eastAsia="仿宋" w:hAnsi="仿宋" w:cs="仿宋" w:hint="eastAsia"/>
                <w:sz w:val="24"/>
              </w:rPr>
              <w:t>（A13077）《中标证明通知书》及中标设备清单表。</w:t>
            </w:r>
          </w:p>
        </w:tc>
        <w:tc>
          <w:tcPr>
            <w:tcW w:w="1118" w:type="dxa"/>
            <w:vMerge w:val="restart"/>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sz w:val="24"/>
              </w:rPr>
              <w:t>办理《中标证明通知书》的出口企业纳税人提交</w:t>
            </w:r>
          </w:p>
        </w:tc>
        <w:tc>
          <w:tcPr>
            <w:tcW w:w="2537" w:type="dxa"/>
            <w:vAlign w:val="center"/>
          </w:tcPr>
          <w:p w:rsidR="00013EC7" w:rsidRDefault="00575CDB">
            <w:pPr>
              <w:rPr>
                <w:rFonts w:ascii="仿宋" w:eastAsia="仿宋" w:hAnsi="仿宋" w:cs="仿宋"/>
                <w:kern w:val="1"/>
                <w:sz w:val="24"/>
              </w:rPr>
            </w:pPr>
            <w:r>
              <w:rPr>
                <w:rFonts w:ascii="仿宋" w:eastAsia="仿宋" w:hAnsi="仿宋" w:cs="仿宋"/>
                <w:kern w:val="1"/>
                <w:sz w:val="24"/>
              </w:rPr>
              <w:t>（</w:t>
            </w:r>
            <w:r>
              <w:rPr>
                <w:rFonts w:ascii="仿宋" w:eastAsia="仿宋" w:hAnsi="仿宋" w:cs="仿宋" w:hint="eastAsia"/>
                <w:kern w:val="1"/>
                <w:sz w:val="24"/>
              </w:rPr>
              <w:t>一）</w:t>
            </w:r>
            <w:hyperlink r:id="rId517" w:history="1">
              <w:r>
                <w:rPr>
                  <w:rFonts w:ascii="仿宋" w:eastAsia="仿宋" w:hAnsi="仿宋" w:cs="仿宋" w:hint="eastAsia"/>
                  <w:kern w:val="1"/>
                  <w:sz w:val="24"/>
                </w:rPr>
                <w:t>（A13077）《中标证明通知书》</w:t>
              </w:r>
            </w:hyperlink>
            <w:r>
              <w:rPr>
                <w:rFonts w:ascii="仿宋" w:eastAsia="仿宋" w:hAnsi="仿宋" w:cs="仿宋" w:hint="eastAsia"/>
                <w:kern w:val="1"/>
                <w:sz w:val="24"/>
              </w:rPr>
              <w:t>及中标设备清单表均一式四份。</w:t>
            </w:r>
          </w:p>
        </w:tc>
        <w:tc>
          <w:tcPr>
            <w:tcW w:w="1196" w:type="dxa"/>
            <w:vMerge w:val="restart"/>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sz w:val="24"/>
              </w:rPr>
              <w:t>办理《中标证明通知书》的出口企业纳税人提交</w:t>
            </w:r>
          </w:p>
        </w:tc>
        <w:tc>
          <w:tcPr>
            <w:tcW w:w="3318"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纳税人提交书面材料</w:t>
            </w:r>
            <w:r>
              <w:rPr>
                <w:rFonts w:ascii="仿宋" w:eastAsia="仿宋" w:hAnsi="仿宋" w:cs="仿宋"/>
                <w:sz w:val="24"/>
              </w:rPr>
              <w:t>。</w:t>
            </w:r>
          </w:p>
        </w:tc>
        <w:tc>
          <w:tcPr>
            <w:tcW w:w="868" w:type="dxa"/>
            <w:vMerge w:val="restart"/>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sz w:val="24"/>
              </w:rPr>
              <w:t>5个工作日</w:t>
            </w:r>
          </w:p>
        </w:tc>
        <w:tc>
          <w:tcPr>
            <w:tcW w:w="789" w:type="dxa"/>
            <w:vMerge w:val="restart"/>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sz w:val="24"/>
              </w:rPr>
              <w:t>对符合条件的，当场办结。相关资料信息等需进一步核实的，出具受理通知并自受理申请之日起5个工作日内办结。</w:t>
            </w:r>
          </w:p>
        </w:tc>
        <w:tc>
          <w:tcPr>
            <w:tcW w:w="967" w:type="dxa"/>
            <w:vMerge w:val="restart"/>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sz w:val="24"/>
              </w:rPr>
              <w:t>否</w:t>
            </w:r>
          </w:p>
        </w:tc>
        <w:tc>
          <w:tcPr>
            <w:tcW w:w="1104" w:type="dxa"/>
            <w:vMerge w:val="restart"/>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sz w:val="24"/>
              </w:rPr>
              <w:t>进出口处</w:t>
            </w:r>
          </w:p>
        </w:tc>
        <w:tc>
          <w:tcPr>
            <w:tcW w:w="1476" w:type="dxa"/>
            <w:vMerge w:val="restart"/>
            <w:vAlign w:val="center"/>
          </w:tcPr>
          <w:p w:rsidR="00013EC7" w:rsidRDefault="00013EC7">
            <w:pPr>
              <w:spacing w:line="300" w:lineRule="exact"/>
              <w:rPr>
                <w:rFonts w:ascii="仿宋" w:eastAsia="仿宋" w:hAnsi="仿宋" w:cs="仿宋"/>
                <w:sz w:val="24"/>
              </w:rPr>
            </w:pPr>
          </w:p>
        </w:tc>
      </w:tr>
      <w:tr w:rsidR="00013EC7">
        <w:trPr>
          <w:trHeight w:val="2204"/>
          <w:jc w:val="center"/>
        </w:trPr>
        <w:tc>
          <w:tcPr>
            <w:tcW w:w="1250" w:type="dxa"/>
            <w:vMerge/>
            <w:vAlign w:val="center"/>
          </w:tcPr>
          <w:p w:rsidR="00013EC7" w:rsidRDefault="00013EC7">
            <w:pPr>
              <w:spacing w:line="300" w:lineRule="exact"/>
              <w:rPr>
                <w:rFonts w:ascii="仿宋" w:eastAsia="仿宋" w:hAnsi="仿宋" w:cs="仿宋"/>
                <w:sz w:val="24"/>
              </w:rPr>
            </w:pPr>
          </w:p>
        </w:tc>
        <w:tc>
          <w:tcPr>
            <w:tcW w:w="1316" w:type="dxa"/>
            <w:vMerge/>
            <w:vAlign w:val="center"/>
          </w:tcPr>
          <w:p w:rsidR="00013EC7" w:rsidRDefault="00013EC7">
            <w:pPr>
              <w:spacing w:line="310" w:lineRule="exact"/>
              <w:rPr>
                <w:rFonts w:ascii="仿宋" w:eastAsia="仿宋" w:hAnsi="仿宋" w:cs="仿宋"/>
                <w:sz w:val="24"/>
              </w:rPr>
            </w:pPr>
          </w:p>
        </w:tc>
        <w:tc>
          <w:tcPr>
            <w:tcW w:w="2114" w:type="dxa"/>
            <w:vMerge/>
            <w:vAlign w:val="center"/>
          </w:tcPr>
          <w:p w:rsidR="00013EC7" w:rsidRDefault="00013EC7">
            <w:pPr>
              <w:rPr>
                <w:rFonts w:ascii="仿宋" w:eastAsia="仿宋" w:hAnsi="仿宋" w:cs="仿宋"/>
                <w:kern w:val="1"/>
                <w:sz w:val="24"/>
              </w:rPr>
            </w:pPr>
          </w:p>
        </w:tc>
        <w:tc>
          <w:tcPr>
            <w:tcW w:w="2785" w:type="dxa"/>
            <w:tcBorders>
              <w:top w:val="single" w:sz="4" w:space="0" w:color="auto"/>
              <w:bottom w:val="single" w:sz="4" w:space="0" w:color="auto"/>
            </w:tcBorders>
            <w:vAlign w:val="center"/>
          </w:tcPr>
          <w:p w:rsidR="00013EC7" w:rsidRDefault="00575CDB">
            <w:pPr>
              <w:spacing w:line="300" w:lineRule="exact"/>
              <w:jc w:val="center"/>
              <w:rPr>
                <w:rFonts w:ascii="仿宋" w:eastAsia="仿宋" w:hAnsi="仿宋" w:cs="仿宋"/>
                <w:sz w:val="24"/>
              </w:rPr>
            </w:pPr>
            <w:r>
              <w:rPr>
                <w:rFonts w:ascii="仿宋" w:eastAsia="仿宋" w:hAnsi="仿宋" w:cs="仿宋"/>
                <w:sz w:val="24"/>
              </w:rPr>
              <w:t>（二）</w:t>
            </w:r>
            <w:r>
              <w:rPr>
                <w:rFonts w:ascii="仿宋" w:eastAsia="仿宋" w:hAnsi="仿宋" w:cs="仿宋" w:hint="eastAsia"/>
                <w:sz w:val="24"/>
              </w:rPr>
              <w:t>财政部门《关于外国政府贷款备选项目的通知》或财政部门与项目的主管部门或政府签订的《关于××行（国际金融组织）贷款“××项目”转贷协议（或分贷协议、执行协议）》的原件和注明有与原件一致字样的复印件。（利用国际金融组织或外国政府贷款通过国际招标建设的项目，招标单位向其所在地主管税务机关申请开具《中标证明通知书》时提供）。</w:t>
            </w:r>
          </w:p>
        </w:tc>
        <w:tc>
          <w:tcPr>
            <w:tcW w:w="1118" w:type="dxa"/>
            <w:vMerge/>
            <w:vAlign w:val="center"/>
          </w:tcPr>
          <w:p w:rsidR="00013EC7" w:rsidRDefault="00013EC7">
            <w:pPr>
              <w:spacing w:line="300" w:lineRule="exact"/>
              <w:jc w:val="center"/>
              <w:rPr>
                <w:rFonts w:ascii="仿宋" w:eastAsia="仿宋" w:hAnsi="仿宋" w:cs="仿宋"/>
                <w:sz w:val="24"/>
              </w:rPr>
            </w:pPr>
          </w:p>
        </w:tc>
        <w:tc>
          <w:tcPr>
            <w:tcW w:w="2537" w:type="dxa"/>
            <w:vAlign w:val="center"/>
          </w:tcPr>
          <w:p w:rsidR="00013EC7" w:rsidRDefault="00575CDB">
            <w:pPr>
              <w:rPr>
                <w:rFonts w:ascii="仿宋" w:eastAsia="仿宋" w:hAnsi="仿宋" w:cs="仿宋"/>
                <w:kern w:val="1"/>
                <w:sz w:val="24"/>
              </w:rPr>
            </w:pPr>
            <w:r>
              <w:rPr>
                <w:rFonts w:ascii="仿宋" w:eastAsia="仿宋" w:hAnsi="仿宋" w:cs="仿宋"/>
                <w:kern w:val="1"/>
                <w:sz w:val="24"/>
              </w:rPr>
              <w:t>（二）</w:t>
            </w:r>
            <w:r>
              <w:rPr>
                <w:rFonts w:ascii="仿宋" w:eastAsia="仿宋" w:hAnsi="仿宋" w:cs="仿宋" w:hint="eastAsia"/>
                <w:kern w:val="1"/>
                <w:sz w:val="24"/>
              </w:rPr>
              <w:t>财政部门《关于外国政府贷款备选项目的通知》或财政部门与项目的主管部门或政府签订的《关于××行（国际金融组织）贷款“××项目”转贷协议（或分贷协议、执行协议）》的原件和注明有与原件一致字样的复印件。（利用国际金融组织或外国政府贷款通过国际招标建设的项目，招标单位向其所在地主管税务机关申请开具《中标证明通知书》时提供）。</w:t>
            </w:r>
          </w:p>
        </w:tc>
        <w:tc>
          <w:tcPr>
            <w:tcW w:w="1196" w:type="dxa"/>
            <w:vMerge/>
            <w:vAlign w:val="center"/>
          </w:tcPr>
          <w:p w:rsidR="00013EC7" w:rsidRDefault="00013EC7">
            <w:pPr>
              <w:spacing w:line="300" w:lineRule="exact"/>
              <w:jc w:val="center"/>
              <w:rPr>
                <w:rFonts w:ascii="仿宋" w:eastAsia="仿宋" w:hAnsi="仿宋" w:cs="仿宋"/>
                <w:sz w:val="24"/>
              </w:rPr>
            </w:pPr>
          </w:p>
        </w:tc>
        <w:tc>
          <w:tcPr>
            <w:tcW w:w="3318" w:type="dxa"/>
            <w:vAlign w:val="center"/>
          </w:tcPr>
          <w:p w:rsidR="00013EC7" w:rsidRDefault="00575CDB">
            <w:pPr>
              <w:spacing w:line="300" w:lineRule="exact"/>
              <w:rPr>
                <w:rFonts w:ascii="仿宋" w:eastAsia="仿宋" w:hAnsi="仿宋" w:cs="仿宋"/>
                <w:b/>
                <w:sz w:val="24"/>
              </w:rPr>
            </w:pPr>
            <w:r>
              <w:rPr>
                <w:rFonts w:ascii="仿宋" w:eastAsia="仿宋" w:hAnsi="仿宋" w:cs="仿宋" w:hint="eastAsia"/>
                <w:b/>
                <w:sz w:val="24"/>
              </w:rPr>
              <w:t>现场办理：</w:t>
            </w:r>
            <w:r>
              <w:rPr>
                <w:rFonts w:ascii="仿宋" w:eastAsia="仿宋" w:hAnsi="仿宋" w:cs="仿宋" w:hint="eastAsia"/>
                <w:sz w:val="24"/>
              </w:rPr>
              <w:t>纳税人提交书面材料</w:t>
            </w:r>
            <w:r>
              <w:rPr>
                <w:rFonts w:ascii="仿宋" w:eastAsia="仿宋" w:hAnsi="仿宋" w:cs="仿宋"/>
                <w:sz w:val="24"/>
              </w:rPr>
              <w:t>。</w:t>
            </w:r>
          </w:p>
        </w:tc>
        <w:tc>
          <w:tcPr>
            <w:tcW w:w="868" w:type="dxa"/>
            <w:vMerge/>
            <w:vAlign w:val="center"/>
          </w:tcPr>
          <w:p w:rsidR="00013EC7" w:rsidRDefault="00013EC7">
            <w:pPr>
              <w:jc w:val="center"/>
              <w:rPr>
                <w:color w:val="000000"/>
                <w:sz w:val="22"/>
                <w:szCs w:val="22"/>
              </w:rPr>
            </w:pPr>
          </w:p>
        </w:tc>
        <w:tc>
          <w:tcPr>
            <w:tcW w:w="789" w:type="dxa"/>
            <w:vMerge/>
            <w:vAlign w:val="center"/>
          </w:tcPr>
          <w:p w:rsidR="00013EC7" w:rsidRDefault="00013EC7">
            <w:pPr>
              <w:jc w:val="center"/>
              <w:rPr>
                <w:color w:val="000000"/>
                <w:sz w:val="22"/>
                <w:szCs w:val="22"/>
              </w:rPr>
            </w:pPr>
          </w:p>
        </w:tc>
        <w:tc>
          <w:tcPr>
            <w:tcW w:w="967" w:type="dxa"/>
            <w:vMerge/>
            <w:vAlign w:val="center"/>
          </w:tcPr>
          <w:p w:rsidR="00013EC7" w:rsidRDefault="00013EC7">
            <w:pPr>
              <w:spacing w:line="300" w:lineRule="exact"/>
              <w:jc w:val="center"/>
              <w:rPr>
                <w:rFonts w:ascii="仿宋" w:eastAsia="仿宋" w:hAnsi="仿宋" w:cs="仿宋"/>
                <w:sz w:val="24"/>
              </w:rPr>
            </w:pPr>
          </w:p>
        </w:tc>
        <w:tc>
          <w:tcPr>
            <w:tcW w:w="1104" w:type="dxa"/>
            <w:vMerge/>
            <w:vAlign w:val="center"/>
          </w:tcPr>
          <w:p w:rsidR="00013EC7" w:rsidRDefault="00013EC7">
            <w:pPr>
              <w:spacing w:line="300" w:lineRule="exact"/>
              <w:jc w:val="center"/>
              <w:rPr>
                <w:rFonts w:ascii="仿宋" w:eastAsia="仿宋" w:hAnsi="仿宋" w:cs="仿宋"/>
                <w:sz w:val="24"/>
              </w:rPr>
            </w:pPr>
          </w:p>
        </w:tc>
        <w:tc>
          <w:tcPr>
            <w:tcW w:w="1476" w:type="dxa"/>
            <w:vMerge/>
            <w:vAlign w:val="center"/>
          </w:tcPr>
          <w:p w:rsidR="00013EC7" w:rsidRDefault="00013EC7">
            <w:pPr>
              <w:spacing w:line="300" w:lineRule="exact"/>
              <w:rPr>
                <w:rFonts w:ascii="仿宋" w:eastAsia="仿宋" w:hAnsi="仿宋" w:cs="仿宋"/>
                <w:sz w:val="24"/>
              </w:rPr>
            </w:pPr>
          </w:p>
        </w:tc>
      </w:tr>
      <w:tr w:rsidR="00013EC7">
        <w:trPr>
          <w:trHeight w:val="2204"/>
          <w:jc w:val="center"/>
        </w:trPr>
        <w:tc>
          <w:tcPr>
            <w:tcW w:w="1250" w:type="dxa"/>
            <w:vMerge/>
            <w:vAlign w:val="center"/>
          </w:tcPr>
          <w:p w:rsidR="00013EC7" w:rsidRDefault="00013EC7">
            <w:pPr>
              <w:spacing w:line="300" w:lineRule="exact"/>
              <w:rPr>
                <w:rFonts w:ascii="仿宋" w:eastAsia="仿宋" w:hAnsi="仿宋" w:cs="仿宋"/>
                <w:sz w:val="24"/>
              </w:rPr>
            </w:pPr>
          </w:p>
        </w:tc>
        <w:tc>
          <w:tcPr>
            <w:tcW w:w="1316" w:type="dxa"/>
            <w:vMerge/>
            <w:vAlign w:val="center"/>
          </w:tcPr>
          <w:p w:rsidR="00013EC7" w:rsidRDefault="00013EC7">
            <w:pPr>
              <w:spacing w:line="310" w:lineRule="exact"/>
              <w:rPr>
                <w:rFonts w:ascii="仿宋" w:eastAsia="仿宋" w:hAnsi="仿宋" w:cs="仿宋"/>
                <w:sz w:val="24"/>
              </w:rPr>
            </w:pPr>
          </w:p>
        </w:tc>
        <w:tc>
          <w:tcPr>
            <w:tcW w:w="2114" w:type="dxa"/>
            <w:vMerge/>
            <w:vAlign w:val="center"/>
          </w:tcPr>
          <w:p w:rsidR="00013EC7" w:rsidRDefault="00013EC7">
            <w:pPr>
              <w:rPr>
                <w:rFonts w:ascii="仿宋" w:eastAsia="仿宋" w:hAnsi="仿宋" w:cs="仿宋"/>
                <w:kern w:val="1"/>
                <w:sz w:val="24"/>
              </w:rPr>
            </w:pPr>
          </w:p>
        </w:tc>
        <w:tc>
          <w:tcPr>
            <w:tcW w:w="2785" w:type="dxa"/>
            <w:tcBorders>
              <w:top w:val="single" w:sz="4" w:space="0" w:color="auto"/>
              <w:bottom w:val="single" w:sz="4" w:space="0" w:color="auto"/>
            </w:tcBorders>
            <w:vAlign w:val="center"/>
          </w:tcPr>
          <w:p w:rsidR="00013EC7" w:rsidRDefault="00575CDB">
            <w:pPr>
              <w:rPr>
                <w:rFonts w:ascii="仿宋" w:eastAsia="仿宋" w:hAnsi="仿宋" w:cs="仿宋"/>
                <w:kern w:val="1"/>
                <w:sz w:val="24"/>
              </w:rPr>
            </w:pPr>
            <w:r>
              <w:rPr>
                <w:rFonts w:ascii="仿宋" w:eastAsia="仿宋" w:hAnsi="仿宋" w:cs="仿宋"/>
                <w:kern w:val="1"/>
                <w:sz w:val="24"/>
              </w:rPr>
              <w:t>（三）</w:t>
            </w:r>
            <w:r>
              <w:rPr>
                <w:rFonts w:ascii="仿宋" w:eastAsia="仿宋" w:hAnsi="仿宋" w:cs="仿宋" w:hint="eastAsia"/>
                <w:kern w:val="1"/>
                <w:sz w:val="24"/>
              </w:rPr>
              <w:t>中标项目不退税货物清单。</w:t>
            </w:r>
          </w:p>
        </w:tc>
        <w:tc>
          <w:tcPr>
            <w:tcW w:w="1118" w:type="dxa"/>
            <w:vMerge/>
            <w:vAlign w:val="center"/>
          </w:tcPr>
          <w:p w:rsidR="00013EC7" w:rsidRDefault="00013EC7">
            <w:pPr>
              <w:spacing w:line="300" w:lineRule="exact"/>
              <w:jc w:val="center"/>
              <w:rPr>
                <w:rFonts w:ascii="仿宋" w:eastAsia="仿宋" w:hAnsi="仿宋" w:cs="仿宋"/>
                <w:kern w:val="1"/>
                <w:sz w:val="24"/>
              </w:rPr>
            </w:pPr>
          </w:p>
        </w:tc>
        <w:tc>
          <w:tcPr>
            <w:tcW w:w="2537" w:type="dxa"/>
            <w:vAlign w:val="center"/>
          </w:tcPr>
          <w:p w:rsidR="00013EC7" w:rsidRDefault="00575CDB">
            <w:pPr>
              <w:rPr>
                <w:rFonts w:ascii="仿宋" w:eastAsia="仿宋" w:hAnsi="仿宋" w:cs="仿宋"/>
                <w:kern w:val="1"/>
                <w:sz w:val="24"/>
              </w:rPr>
            </w:pPr>
            <w:r>
              <w:rPr>
                <w:rFonts w:ascii="仿宋" w:eastAsia="仿宋" w:hAnsi="仿宋" w:cs="仿宋"/>
                <w:kern w:val="1"/>
                <w:sz w:val="24"/>
              </w:rPr>
              <w:t>（三）</w:t>
            </w:r>
            <w:r>
              <w:rPr>
                <w:rFonts w:ascii="仿宋" w:eastAsia="仿宋" w:hAnsi="仿宋" w:cs="仿宋" w:hint="eastAsia"/>
                <w:kern w:val="1"/>
                <w:sz w:val="24"/>
              </w:rPr>
              <w:t>中标项目不退税货物清单。</w:t>
            </w:r>
          </w:p>
        </w:tc>
        <w:tc>
          <w:tcPr>
            <w:tcW w:w="1196" w:type="dxa"/>
            <w:vMerge/>
            <w:vAlign w:val="center"/>
          </w:tcPr>
          <w:p w:rsidR="00013EC7" w:rsidRDefault="00013EC7">
            <w:pPr>
              <w:spacing w:line="300" w:lineRule="exact"/>
              <w:jc w:val="center"/>
              <w:rPr>
                <w:rFonts w:ascii="仿宋" w:eastAsia="仿宋" w:hAnsi="仿宋" w:cs="仿宋"/>
                <w:sz w:val="24"/>
              </w:rPr>
            </w:pPr>
          </w:p>
        </w:tc>
        <w:tc>
          <w:tcPr>
            <w:tcW w:w="3318" w:type="dxa"/>
            <w:vAlign w:val="center"/>
          </w:tcPr>
          <w:p w:rsidR="00013EC7" w:rsidRDefault="00575CDB">
            <w:pPr>
              <w:spacing w:line="300" w:lineRule="exact"/>
              <w:rPr>
                <w:rFonts w:ascii="仿宋" w:eastAsia="仿宋" w:hAnsi="仿宋" w:cs="仿宋"/>
                <w:b/>
                <w:sz w:val="24"/>
              </w:rPr>
            </w:pPr>
            <w:r>
              <w:rPr>
                <w:rFonts w:ascii="仿宋" w:eastAsia="仿宋" w:hAnsi="仿宋" w:cs="仿宋" w:hint="eastAsia"/>
                <w:b/>
                <w:sz w:val="24"/>
              </w:rPr>
              <w:t>现场办理：</w:t>
            </w:r>
            <w:r>
              <w:rPr>
                <w:rFonts w:ascii="仿宋" w:eastAsia="仿宋" w:hAnsi="仿宋" w:cs="仿宋" w:hint="eastAsia"/>
                <w:sz w:val="24"/>
              </w:rPr>
              <w:t>纳税人提交书面材料</w:t>
            </w:r>
            <w:r>
              <w:rPr>
                <w:rFonts w:ascii="仿宋" w:eastAsia="仿宋" w:hAnsi="仿宋" w:cs="仿宋"/>
                <w:sz w:val="24"/>
              </w:rPr>
              <w:t>。</w:t>
            </w:r>
          </w:p>
        </w:tc>
        <w:tc>
          <w:tcPr>
            <w:tcW w:w="868" w:type="dxa"/>
            <w:vMerge/>
            <w:vAlign w:val="center"/>
          </w:tcPr>
          <w:p w:rsidR="00013EC7" w:rsidRDefault="00013EC7">
            <w:pPr>
              <w:jc w:val="center"/>
              <w:rPr>
                <w:color w:val="000000"/>
                <w:sz w:val="22"/>
                <w:szCs w:val="22"/>
              </w:rPr>
            </w:pPr>
          </w:p>
        </w:tc>
        <w:tc>
          <w:tcPr>
            <w:tcW w:w="789" w:type="dxa"/>
            <w:vMerge/>
            <w:vAlign w:val="center"/>
          </w:tcPr>
          <w:p w:rsidR="00013EC7" w:rsidRDefault="00013EC7">
            <w:pPr>
              <w:jc w:val="center"/>
              <w:rPr>
                <w:color w:val="000000"/>
                <w:sz w:val="22"/>
                <w:szCs w:val="22"/>
              </w:rPr>
            </w:pPr>
          </w:p>
        </w:tc>
        <w:tc>
          <w:tcPr>
            <w:tcW w:w="967" w:type="dxa"/>
            <w:vMerge/>
            <w:vAlign w:val="center"/>
          </w:tcPr>
          <w:p w:rsidR="00013EC7" w:rsidRDefault="00013EC7">
            <w:pPr>
              <w:spacing w:line="300" w:lineRule="exact"/>
              <w:jc w:val="center"/>
              <w:rPr>
                <w:rFonts w:ascii="仿宋" w:eastAsia="仿宋" w:hAnsi="仿宋" w:cs="仿宋"/>
                <w:sz w:val="24"/>
              </w:rPr>
            </w:pPr>
          </w:p>
        </w:tc>
        <w:tc>
          <w:tcPr>
            <w:tcW w:w="1104" w:type="dxa"/>
            <w:vMerge/>
            <w:vAlign w:val="center"/>
          </w:tcPr>
          <w:p w:rsidR="00013EC7" w:rsidRDefault="00013EC7">
            <w:pPr>
              <w:spacing w:line="300" w:lineRule="exact"/>
              <w:jc w:val="center"/>
              <w:rPr>
                <w:rFonts w:ascii="仿宋" w:eastAsia="仿宋" w:hAnsi="仿宋" w:cs="仿宋"/>
                <w:sz w:val="24"/>
              </w:rPr>
            </w:pPr>
          </w:p>
        </w:tc>
        <w:tc>
          <w:tcPr>
            <w:tcW w:w="1476" w:type="dxa"/>
            <w:vMerge/>
            <w:vAlign w:val="center"/>
          </w:tcPr>
          <w:p w:rsidR="00013EC7" w:rsidRDefault="00013EC7">
            <w:pPr>
              <w:spacing w:line="300" w:lineRule="exact"/>
              <w:rPr>
                <w:rFonts w:ascii="仿宋" w:eastAsia="仿宋" w:hAnsi="仿宋" w:cs="仿宋"/>
                <w:sz w:val="24"/>
              </w:rPr>
            </w:pPr>
          </w:p>
        </w:tc>
      </w:tr>
      <w:tr w:rsidR="00013EC7">
        <w:trPr>
          <w:trHeight w:val="2204"/>
          <w:jc w:val="center"/>
        </w:trPr>
        <w:tc>
          <w:tcPr>
            <w:tcW w:w="1250" w:type="dxa"/>
            <w:vMerge/>
            <w:vAlign w:val="center"/>
          </w:tcPr>
          <w:p w:rsidR="00013EC7" w:rsidRDefault="00013EC7">
            <w:pPr>
              <w:spacing w:line="300" w:lineRule="exact"/>
              <w:rPr>
                <w:rFonts w:ascii="仿宋" w:eastAsia="仿宋" w:hAnsi="仿宋" w:cs="仿宋"/>
                <w:sz w:val="24"/>
              </w:rPr>
            </w:pPr>
          </w:p>
        </w:tc>
        <w:tc>
          <w:tcPr>
            <w:tcW w:w="1316" w:type="dxa"/>
            <w:vMerge/>
            <w:vAlign w:val="center"/>
          </w:tcPr>
          <w:p w:rsidR="00013EC7" w:rsidRDefault="00013EC7">
            <w:pPr>
              <w:spacing w:line="310" w:lineRule="exact"/>
              <w:rPr>
                <w:rFonts w:ascii="仿宋" w:eastAsia="仿宋" w:hAnsi="仿宋" w:cs="仿宋"/>
                <w:sz w:val="24"/>
              </w:rPr>
            </w:pPr>
          </w:p>
        </w:tc>
        <w:tc>
          <w:tcPr>
            <w:tcW w:w="2114" w:type="dxa"/>
            <w:vMerge/>
            <w:vAlign w:val="center"/>
          </w:tcPr>
          <w:p w:rsidR="00013EC7" w:rsidRDefault="00013EC7">
            <w:pPr>
              <w:rPr>
                <w:rFonts w:ascii="仿宋" w:eastAsia="仿宋" w:hAnsi="仿宋" w:cs="仿宋"/>
                <w:kern w:val="1"/>
                <w:sz w:val="24"/>
              </w:rPr>
            </w:pPr>
          </w:p>
        </w:tc>
        <w:tc>
          <w:tcPr>
            <w:tcW w:w="2785" w:type="dxa"/>
            <w:tcBorders>
              <w:top w:val="single" w:sz="4" w:space="0" w:color="auto"/>
              <w:bottom w:val="single" w:sz="4" w:space="0" w:color="auto"/>
            </w:tcBorders>
            <w:vAlign w:val="center"/>
          </w:tcPr>
          <w:p w:rsidR="00013EC7" w:rsidRDefault="00575CDB">
            <w:pPr>
              <w:rPr>
                <w:rFonts w:ascii="仿宋" w:eastAsia="仿宋" w:hAnsi="仿宋" w:cs="仿宋"/>
                <w:kern w:val="1"/>
                <w:sz w:val="24"/>
              </w:rPr>
            </w:pPr>
            <w:r>
              <w:rPr>
                <w:rFonts w:ascii="仿宋" w:eastAsia="仿宋" w:hAnsi="仿宋" w:cs="仿宋"/>
                <w:kern w:val="1"/>
                <w:sz w:val="24"/>
              </w:rPr>
              <w:t>（四）</w:t>
            </w:r>
            <w:r>
              <w:rPr>
                <w:rFonts w:ascii="仿宋" w:eastAsia="仿宋" w:hAnsi="仿宋" w:cs="仿宋" w:hint="eastAsia"/>
                <w:kern w:val="1"/>
                <w:sz w:val="24"/>
              </w:rPr>
              <w:t>中标企业所在地主管税务机关的名称、地址、邮政编码。</w:t>
            </w:r>
          </w:p>
        </w:tc>
        <w:tc>
          <w:tcPr>
            <w:tcW w:w="1118" w:type="dxa"/>
            <w:vMerge/>
            <w:vAlign w:val="center"/>
          </w:tcPr>
          <w:p w:rsidR="00013EC7" w:rsidRDefault="00013EC7">
            <w:pPr>
              <w:spacing w:line="300" w:lineRule="exact"/>
              <w:jc w:val="center"/>
              <w:rPr>
                <w:rFonts w:ascii="仿宋" w:eastAsia="仿宋" w:hAnsi="仿宋" w:cs="仿宋"/>
                <w:kern w:val="1"/>
                <w:sz w:val="24"/>
              </w:rPr>
            </w:pPr>
          </w:p>
        </w:tc>
        <w:tc>
          <w:tcPr>
            <w:tcW w:w="2537" w:type="dxa"/>
            <w:vAlign w:val="center"/>
          </w:tcPr>
          <w:p w:rsidR="00013EC7" w:rsidRDefault="00575CDB">
            <w:pPr>
              <w:rPr>
                <w:rFonts w:ascii="仿宋" w:eastAsia="仿宋" w:hAnsi="仿宋" w:cs="仿宋"/>
                <w:kern w:val="1"/>
                <w:sz w:val="24"/>
              </w:rPr>
            </w:pPr>
            <w:r>
              <w:rPr>
                <w:rFonts w:ascii="仿宋" w:eastAsia="仿宋" w:hAnsi="仿宋" w:cs="仿宋"/>
                <w:kern w:val="1"/>
                <w:sz w:val="24"/>
              </w:rPr>
              <w:t>（四）</w:t>
            </w:r>
            <w:r>
              <w:rPr>
                <w:rFonts w:ascii="仿宋" w:eastAsia="仿宋" w:hAnsi="仿宋" w:cs="仿宋" w:hint="eastAsia"/>
                <w:kern w:val="1"/>
                <w:sz w:val="24"/>
              </w:rPr>
              <w:t>中标企业所在地主管税务机关的名称、地址、邮政编码。</w:t>
            </w:r>
          </w:p>
        </w:tc>
        <w:tc>
          <w:tcPr>
            <w:tcW w:w="1196" w:type="dxa"/>
            <w:vAlign w:val="center"/>
          </w:tcPr>
          <w:p w:rsidR="00013EC7" w:rsidRDefault="00575CDB">
            <w:pPr>
              <w:spacing w:line="300" w:lineRule="exact"/>
              <w:jc w:val="center"/>
              <w:rPr>
                <w:rFonts w:ascii="仿宋" w:eastAsia="仿宋" w:hAnsi="仿宋" w:cs="仿宋"/>
                <w:b/>
                <w:i/>
                <w:sz w:val="24"/>
              </w:rPr>
            </w:pPr>
            <w:r>
              <w:rPr>
                <w:rFonts w:ascii="仿宋" w:eastAsia="仿宋" w:hAnsi="仿宋" w:cs="仿宋" w:hint="eastAsia"/>
                <w:b/>
                <w:i/>
                <w:sz w:val="24"/>
              </w:rPr>
              <w:t>经办机构自行获取</w:t>
            </w:r>
          </w:p>
        </w:tc>
        <w:tc>
          <w:tcPr>
            <w:tcW w:w="3318"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b/>
                <w:sz w:val="24"/>
              </w:rPr>
              <w:t>内部共享：</w:t>
            </w:r>
            <w:r>
              <w:rPr>
                <w:rFonts w:ascii="仿宋" w:eastAsia="仿宋" w:hAnsi="仿宋" w:cs="仿宋" w:hint="eastAsia"/>
                <w:sz w:val="24"/>
              </w:rPr>
              <w:t>内部共享获取相关信息（无纸化企业留存备查，非无纸化企业需提供书面材料）。</w:t>
            </w:r>
          </w:p>
        </w:tc>
        <w:tc>
          <w:tcPr>
            <w:tcW w:w="868" w:type="dxa"/>
            <w:vMerge/>
            <w:vAlign w:val="center"/>
          </w:tcPr>
          <w:p w:rsidR="00013EC7" w:rsidRDefault="00013EC7">
            <w:pPr>
              <w:jc w:val="center"/>
              <w:rPr>
                <w:color w:val="000000"/>
                <w:sz w:val="22"/>
                <w:szCs w:val="22"/>
              </w:rPr>
            </w:pPr>
          </w:p>
        </w:tc>
        <w:tc>
          <w:tcPr>
            <w:tcW w:w="789" w:type="dxa"/>
            <w:vMerge/>
            <w:vAlign w:val="center"/>
          </w:tcPr>
          <w:p w:rsidR="00013EC7" w:rsidRDefault="00013EC7">
            <w:pPr>
              <w:jc w:val="center"/>
              <w:rPr>
                <w:color w:val="000000"/>
                <w:sz w:val="22"/>
                <w:szCs w:val="22"/>
              </w:rPr>
            </w:pPr>
          </w:p>
        </w:tc>
        <w:tc>
          <w:tcPr>
            <w:tcW w:w="967" w:type="dxa"/>
            <w:vMerge/>
            <w:vAlign w:val="center"/>
          </w:tcPr>
          <w:p w:rsidR="00013EC7" w:rsidRDefault="00013EC7">
            <w:pPr>
              <w:spacing w:line="300" w:lineRule="exact"/>
              <w:jc w:val="center"/>
              <w:rPr>
                <w:rFonts w:ascii="仿宋" w:eastAsia="仿宋" w:hAnsi="仿宋" w:cs="仿宋"/>
                <w:sz w:val="24"/>
              </w:rPr>
            </w:pPr>
          </w:p>
        </w:tc>
        <w:tc>
          <w:tcPr>
            <w:tcW w:w="1104" w:type="dxa"/>
            <w:vMerge/>
            <w:vAlign w:val="center"/>
          </w:tcPr>
          <w:p w:rsidR="00013EC7" w:rsidRDefault="00013EC7">
            <w:pPr>
              <w:spacing w:line="300" w:lineRule="exact"/>
              <w:jc w:val="center"/>
              <w:rPr>
                <w:rFonts w:ascii="仿宋" w:eastAsia="仿宋" w:hAnsi="仿宋" w:cs="仿宋"/>
                <w:sz w:val="24"/>
              </w:rPr>
            </w:pPr>
          </w:p>
        </w:tc>
        <w:tc>
          <w:tcPr>
            <w:tcW w:w="1476" w:type="dxa"/>
            <w:vMerge/>
            <w:vAlign w:val="center"/>
          </w:tcPr>
          <w:p w:rsidR="00013EC7" w:rsidRDefault="00013EC7">
            <w:pPr>
              <w:spacing w:line="300" w:lineRule="exact"/>
              <w:rPr>
                <w:rFonts w:ascii="仿宋" w:eastAsia="仿宋" w:hAnsi="仿宋" w:cs="仿宋"/>
                <w:sz w:val="24"/>
              </w:rPr>
            </w:pPr>
          </w:p>
        </w:tc>
      </w:tr>
      <w:tr w:rsidR="00013EC7">
        <w:trPr>
          <w:trHeight w:val="2204"/>
          <w:jc w:val="center"/>
        </w:trPr>
        <w:tc>
          <w:tcPr>
            <w:tcW w:w="1250" w:type="dxa"/>
            <w:vMerge/>
            <w:vAlign w:val="center"/>
          </w:tcPr>
          <w:p w:rsidR="00013EC7" w:rsidRDefault="00013EC7">
            <w:pPr>
              <w:spacing w:line="300" w:lineRule="exact"/>
              <w:rPr>
                <w:rFonts w:ascii="仿宋" w:eastAsia="仿宋" w:hAnsi="仿宋" w:cs="仿宋"/>
                <w:sz w:val="24"/>
              </w:rPr>
            </w:pPr>
          </w:p>
        </w:tc>
        <w:tc>
          <w:tcPr>
            <w:tcW w:w="1316" w:type="dxa"/>
            <w:vMerge/>
            <w:vAlign w:val="center"/>
          </w:tcPr>
          <w:p w:rsidR="00013EC7" w:rsidRDefault="00013EC7">
            <w:pPr>
              <w:spacing w:line="310" w:lineRule="exact"/>
              <w:rPr>
                <w:rFonts w:ascii="仿宋" w:eastAsia="仿宋" w:hAnsi="仿宋" w:cs="仿宋"/>
                <w:sz w:val="24"/>
              </w:rPr>
            </w:pPr>
          </w:p>
        </w:tc>
        <w:tc>
          <w:tcPr>
            <w:tcW w:w="2114" w:type="dxa"/>
            <w:vMerge/>
            <w:vAlign w:val="center"/>
          </w:tcPr>
          <w:p w:rsidR="00013EC7" w:rsidRDefault="00013EC7">
            <w:pPr>
              <w:rPr>
                <w:rFonts w:ascii="仿宋" w:eastAsia="仿宋" w:hAnsi="仿宋" w:cs="仿宋"/>
                <w:kern w:val="1"/>
                <w:sz w:val="24"/>
              </w:rPr>
            </w:pPr>
          </w:p>
        </w:tc>
        <w:tc>
          <w:tcPr>
            <w:tcW w:w="2785" w:type="dxa"/>
            <w:tcBorders>
              <w:top w:val="single" w:sz="4" w:space="0" w:color="auto"/>
              <w:bottom w:val="single" w:sz="4" w:space="0" w:color="auto"/>
            </w:tcBorders>
            <w:vAlign w:val="center"/>
          </w:tcPr>
          <w:p w:rsidR="00013EC7" w:rsidRDefault="00575CDB">
            <w:pPr>
              <w:rPr>
                <w:rFonts w:ascii="仿宋" w:eastAsia="仿宋" w:hAnsi="仿宋" w:cs="仿宋"/>
                <w:kern w:val="1"/>
                <w:sz w:val="24"/>
              </w:rPr>
            </w:pPr>
            <w:r>
              <w:rPr>
                <w:rFonts w:ascii="仿宋" w:eastAsia="仿宋" w:hAnsi="仿宋" w:cs="仿宋"/>
                <w:kern w:val="1"/>
                <w:sz w:val="24"/>
              </w:rPr>
              <w:t>（五）</w:t>
            </w:r>
            <w:r>
              <w:rPr>
                <w:rFonts w:ascii="仿宋" w:eastAsia="仿宋" w:hAnsi="仿宋" w:cs="仿宋" w:hint="eastAsia"/>
                <w:kern w:val="1"/>
                <w:sz w:val="24"/>
              </w:rPr>
              <w:t>贷款项目中，属于外国企业中标再分包给国内企业供应的机电产品，还需提供招标机构对分包合同出具的验证证明。</w:t>
            </w:r>
          </w:p>
        </w:tc>
        <w:tc>
          <w:tcPr>
            <w:tcW w:w="1118" w:type="dxa"/>
            <w:vAlign w:val="center"/>
          </w:tcPr>
          <w:p w:rsidR="00013EC7" w:rsidRDefault="00575CDB">
            <w:pPr>
              <w:spacing w:line="300" w:lineRule="exact"/>
              <w:jc w:val="center"/>
              <w:rPr>
                <w:rFonts w:ascii="仿宋" w:eastAsia="仿宋" w:hAnsi="仿宋" w:cs="仿宋"/>
                <w:kern w:val="1"/>
                <w:sz w:val="24"/>
              </w:rPr>
            </w:pPr>
            <w:r>
              <w:rPr>
                <w:rFonts w:ascii="仿宋" w:eastAsia="仿宋" w:hAnsi="仿宋" w:cs="仿宋" w:hint="eastAsia"/>
                <w:kern w:val="1"/>
                <w:sz w:val="24"/>
              </w:rPr>
              <w:t>贷款项目中属于外国企业中标再分包给国内企业供应的机电产品</w:t>
            </w:r>
            <w:r>
              <w:rPr>
                <w:rFonts w:ascii="仿宋" w:eastAsia="仿宋" w:hAnsi="仿宋" w:cs="仿宋" w:hint="eastAsia"/>
                <w:sz w:val="24"/>
              </w:rPr>
              <w:t>办理《中标证明通知书》的出口企业纳税人提交</w:t>
            </w:r>
          </w:p>
        </w:tc>
        <w:tc>
          <w:tcPr>
            <w:tcW w:w="2537" w:type="dxa"/>
            <w:vAlign w:val="center"/>
          </w:tcPr>
          <w:p w:rsidR="00013EC7" w:rsidRDefault="00575CDB">
            <w:pPr>
              <w:rPr>
                <w:rFonts w:ascii="仿宋" w:eastAsia="仿宋" w:hAnsi="仿宋" w:cs="仿宋"/>
                <w:kern w:val="1"/>
                <w:sz w:val="24"/>
              </w:rPr>
            </w:pPr>
            <w:r>
              <w:rPr>
                <w:rFonts w:ascii="仿宋" w:eastAsia="仿宋" w:hAnsi="仿宋" w:cs="仿宋"/>
                <w:kern w:val="1"/>
                <w:sz w:val="24"/>
              </w:rPr>
              <w:t>（五）</w:t>
            </w:r>
            <w:r>
              <w:rPr>
                <w:rFonts w:ascii="仿宋" w:eastAsia="仿宋" w:hAnsi="仿宋" w:cs="仿宋" w:hint="eastAsia"/>
                <w:kern w:val="1"/>
                <w:sz w:val="24"/>
              </w:rPr>
              <w:t>招标机构对分包合同出具的验证证明。</w:t>
            </w:r>
          </w:p>
        </w:tc>
        <w:tc>
          <w:tcPr>
            <w:tcW w:w="1196" w:type="dxa"/>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kern w:val="1"/>
                <w:sz w:val="24"/>
              </w:rPr>
              <w:t>贷款项目中属于外国企业中标再分包给国内企业供应的机电产品</w:t>
            </w:r>
            <w:r>
              <w:rPr>
                <w:rFonts w:ascii="仿宋" w:eastAsia="仿宋" w:hAnsi="仿宋" w:cs="仿宋" w:hint="eastAsia"/>
                <w:sz w:val="24"/>
              </w:rPr>
              <w:t>办理《中标证明通知书》的出口企业纳税人提交</w:t>
            </w:r>
          </w:p>
        </w:tc>
        <w:tc>
          <w:tcPr>
            <w:tcW w:w="3318" w:type="dxa"/>
            <w:vAlign w:val="center"/>
          </w:tcPr>
          <w:p w:rsidR="00013EC7" w:rsidRDefault="00575CDB">
            <w:pPr>
              <w:spacing w:line="300" w:lineRule="exact"/>
              <w:rPr>
                <w:rFonts w:ascii="仿宋" w:eastAsia="仿宋" w:hAnsi="仿宋" w:cs="仿宋"/>
                <w:b/>
                <w:sz w:val="24"/>
              </w:rPr>
            </w:pPr>
            <w:r>
              <w:rPr>
                <w:rFonts w:ascii="仿宋" w:eastAsia="仿宋" w:hAnsi="仿宋" w:cs="仿宋" w:hint="eastAsia"/>
                <w:b/>
                <w:sz w:val="24"/>
              </w:rPr>
              <w:t>现场办理：</w:t>
            </w:r>
            <w:r>
              <w:rPr>
                <w:rFonts w:ascii="仿宋" w:eastAsia="仿宋" w:hAnsi="仿宋" w:cs="仿宋" w:hint="eastAsia"/>
                <w:sz w:val="24"/>
              </w:rPr>
              <w:t>纳税人提交书面材料</w:t>
            </w:r>
            <w:r>
              <w:rPr>
                <w:rFonts w:ascii="仿宋" w:eastAsia="仿宋" w:hAnsi="仿宋" w:cs="仿宋"/>
                <w:sz w:val="24"/>
              </w:rPr>
              <w:t>。</w:t>
            </w:r>
          </w:p>
        </w:tc>
        <w:tc>
          <w:tcPr>
            <w:tcW w:w="868" w:type="dxa"/>
            <w:vMerge/>
            <w:vAlign w:val="center"/>
          </w:tcPr>
          <w:p w:rsidR="00013EC7" w:rsidRDefault="00013EC7">
            <w:pPr>
              <w:jc w:val="center"/>
              <w:rPr>
                <w:color w:val="000000"/>
                <w:sz w:val="22"/>
                <w:szCs w:val="22"/>
              </w:rPr>
            </w:pPr>
          </w:p>
        </w:tc>
        <w:tc>
          <w:tcPr>
            <w:tcW w:w="789" w:type="dxa"/>
            <w:vMerge/>
            <w:vAlign w:val="center"/>
          </w:tcPr>
          <w:p w:rsidR="00013EC7" w:rsidRDefault="00013EC7">
            <w:pPr>
              <w:jc w:val="center"/>
              <w:rPr>
                <w:color w:val="000000"/>
                <w:sz w:val="22"/>
                <w:szCs w:val="22"/>
              </w:rPr>
            </w:pPr>
          </w:p>
        </w:tc>
        <w:tc>
          <w:tcPr>
            <w:tcW w:w="967" w:type="dxa"/>
            <w:vMerge/>
            <w:vAlign w:val="center"/>
          </w:tcPr>
          <w:p w:rsidR="00013EC7" w:rsidRDefault="00013EC7">
            <w:pPr>
              <w:spacing w:line="300" w:lineRule="exact"/>
              <w:jc w:val="center"/>
              <w:rPr>
                <w:rFonts w:ascii="仿宋" w:eastAsia="仿宋" w:hAnsi="仿宋" w:cs="仿宋"/>
                <w:sz w:val="24"/>
              </w:rPr>
            </w:pPr>
          </w:p>
        </w:tc>
        <w:tc>
          <w:tcPr>
            <w:tcW w:w="1104" w:type="dxa"/>
            <w:vMerge/>
            <w:vAlign w:val="center"/>
          </w:tcPr>
          <w:p w:rsidR="00013EC7" w:rsidRDefault="00013EC7">
            <w:pPr>
              <w:spacing w:line="300" w:lineRule="exact"/>
              <w:jc w:val="center"/>
              <w:rPr>
                <w:rFonts w:ascii="仿宋" w:eastAsia="仿宋" w:hAnsi="仿宋" w:cs="仿宋"/>
                <w:sz w:val="24"/>
              </w:rPr>
            </w:pPr>
          </w:p>
        </w:tc>
        <w:tc>
          <w:tcPr>
            <w:tcW w:w="1476" w:type="dxa"/>
            <w:vMerge/>
            <w:vAlign w:val="center"/>
          </w:tcPr>
          <w:p w:rsidR="00013EC7" w:rsidRDefault="00013EC7">
            <w:pPr>
              <w:spacing w:line="300" w:lineRule="exact"/>
              <w:rPr>
                <w:rFonts w:ascii="仿宋" w:eastAsia="仿宋" w:hAnsi="仿宋" w:cs="仿宋"/>
                <w:sz w:val="24"/>
              </w:rPr>
            </w:pPr>
          </w:p>
        </w:tc>
      </w:tr>
      <w:tr w:rsidR="00013EC7">
        <w:trPr>
          <w:trHeight w:val="2204"/>
          <w:jc w:val="center"/>
        </w:trPr>
        <w:tc>
          <w:tcPr>
            <w:tcW w:w="1250" w:type="dxa"/>
            <w:vMerge/>
            <w:vAlign w:val="center"/>
          </w:tcPr>
          <w:p w:rsidR="00013EC7" w:rsidRDefault="00013EC7">
            <w:pPr>
              <w:spacing w:line="300" w:lineRule="exact"/>
              <w:rPr>
                <w:rFonts w:ascii="仿宋" w:eastAsia="仿宋" w:hAnsi="仿宋" w:cs="仿宋"/>
                <w:sz w:val="24"/>
              </w:rPr>
            </w:pPr>
          </w:p>
        </w:tc>
        <w:tc>
          <w:tcPr>
            <w:tcW w:w="1316" w:type="dxa"/>
            <w:vMerge/>
            <w:vAlign w:val="center"/>
          </w:tcPr>
          <w:p w:rsidR="00013EC7" w:rsidRDefault="00013EC7">
            <w:pPr>
              <w:spacing w:line="310" w:lineRule="exact"/>
              <w:rPr>
                <w:rFonts w:ascii="仿宋" w:eastAsia="仿宋" w:hAnsi="仿宋" w:cs="仿宋"/>
                <w:sz w:val="24"/>
              </w:rPr>
            </w:pPr>
          </w:p>
        </w:tc>
        <w:tc>
          <w:tcPr>
            <w:tcW w:w="2114" w:type="dxa"/>
            <w:vMerge/>
            <w:vAlign w:val="center"/>
          </w:tcPr>
          <w:p w:rsidR="00013EC7" w:rsidRDefault="00013EC7">
            <w:pPr>
              <w:rPr>
                <w:rFonts w:ascii="仿宋" w:eastAsia="仿宋" w:hAnsi="仿宋" w:cs="仿宋"/>
                <w:kern w:val="1"/>
                <w:sz w:val="24"/>
              </w:rPr>
            </w:pPr>
          </w:p>
        </w:tc>
        <w:tc>
          <w:tcPr>
            <w:tcW w:w="2785" w:type="dxa"/>
            <w:tcBorders>
              <w:top w:val="single" w:sz="4" w:space="0" w:color="auto"/>
              <w:bottom w:val="single" w:sz="4" w:space="0" w:color="auto"/>
            </w:tcBorders>
            <w:vAlign w:val="center"/>
          </w:tcPr>
          <w:p w:rsidR="00013EC7" w:rsidRDefault="00575CDB">
            <w:pPr>
              <w:rPr>
                <w:rFonts w:ascii="仿宋" w:eastAsia="仿宋" w:hAnsi="仿宋" w:cs="仿宋"/>
                <w:kern w:val="1"/>
                <w:sz w:val="24"/>
              </w:rPr>
            </w:pPr>
            <w:r>
              <w:rPr>
                <w:rFonts w:ascii="仿宋" w:eastAsia="仿宋" w:hAnsi="仿宋" w:cs="仿宋"/>
                <w:kern w:val="1"/>
                <w:sz w:val="24"/>
              </w:rPr>
              <w:t>（六）</w:t>
            </w:r>
            <w:r>
              <w:rPr>
                <w:rFonts w:ascii="仿宋" w:eastAsia="仿宋" w:hAnsi="仿宋" w:cs="仿宋" w:hint="eastAsia"/>
                <w:kern w:val="1"/>
                <w:sz w:val="24"/>
              </w:rPr>
              <w:t>贷款项目中属于联合体中标的，还需提供招标机构对联合体协议出具的验证证明。</w:t>
            </w:r>
          </w:p>
        </w:tc>
        <w:tc>
          <w:tcPr>
            <w:tcW w:w="1118" w:type="dxa"/>
            <w:vAlign w:val="center"/>
          </w:tcPr>
          <w:p w:rsidR="00013EC7" w:rsidRDefault="00575CDB">
            <w:pPr>
              <w:spacing w:line="300" w:lineRule="exact"/>
              <w:jc w:val="center"/>
              <w:rPr>
                <w:rFonts w:ascii="仿宋" w:eastAsia="仿宋" w:hAnsi="仿宋" w:cs="仿宋"/>
                <w:kern w:val="1"/>
                <w:sz w:val="24"/>
              </w:rPr>
            </w:pPr>
            <w:r>
              <w:rPr>
                <w:rFonts w:ascii="仿宋" w:eastAsia="仿宋" w:hAnsi="仿宋" w:cs="仿宋" w:hint="eastAsia"/>
                <w:kern w:val="1"/>
                <w:sz w:val="24"/>
              </w:rPr>
              <w:t>贷款项目中属于联合体中标</w:t>
            </w:r>
            <w:r>
              <w:rPr>
                <w:rFonts w:ascii="仿宋" w:eastAsia="仿宋" w:hAnsi="仿宋" w:cs="仿宋" w:hint="eastAsia"/>
                <w:sz w:val="24"/>
              </w:rPr>
              <w:t>办理《中标证明通知书》的出口企业纳税人提交</w:t>
            </w:r>
          </w:p>
        </w:tc>
        <w:tc>
          <w:tcPr>
            <w:tcW w:w="2537" w:type="dxa"/>
            <w:vAlign w:val="center"/>
          </w:tcPr>
          <w:p w:rsidR="00013EC7" w:rsidRDefault="00575CDB">
            <w:pPr>
              <w:rPr>
                <w:rFonts w:ascii="仿宋" w:eastAsia="仿宋" w:hAnsi="仿宋" w:cs="仿宋"/>
                <w:kern w:val="1"/>
                <w:sz w:val="24"/>
              </w:rPr>
            </w:pPr>
            <w:r>
              <w:rPr>
                <w:rFonts w:ascii="仿宋" w:eastAsia="仿宋" w:hAnsi="仿宋" w:cs="仿宋"/>
                <w:kern w:val="1"/>
                <w:sz w:val="24"/>
              </w:rPr>
              <w:t>（六）</w:t>
            </w:r>
            <w:r>
              <w:rPr>
                <w:rFonts w:ascii="仿宋" w:eastAsia="仿宋" w:hAnsi="仿宋" w:cs="仿宋" w:hint="eastAsia"/>
                <w:kern w:val="1"/>
                <w:sz w:val="24"/>
              </w:rPr>
              <w:t>招标机构对联合体协议出具的验证证明。</w:t>
            </w:r>
          </w:p>
        </w:tc>
        <w:tc>
          <w:tcPr>
            <w:tcW w:w="1196" w:type="dxa"/>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kern w:val="1"/>
                <w:sz w:val="24"/>
              </w:rPr>
              <w:t>贷款项目中属于联合体中标</w:t>
            </w:r>
            <w:r>
              <w:rPr>
                <w:rFonts w:ascii="仿宋" w:eastAsia="仿宋" w:hAnsi="仿宋" w:cs="仿宋" w:hint="eastAsia"/>
                <w:sz w:val="24"/>
              </w:rPr>
              <w:t>办理《中标证明通知书》的出口企业纳税人提交</w:t>
            </w:r>
          </w:p>
        </w:tc>
        <w:tc>
          <w:tcPr>
            <w:tcW w:w="3318" w:type="dxa"/>
            <w:vAlign w:val="center"/>
          </w:tcPr>
          <w:p w:rsidR="00013EC7" w:rsidRDefault="00575CDB">
            <w:pPr>
              <w:spacing w:line="300" w:lineRule="exact"/>
              <w:rPr>
                <w:rFonts w:ascii="仿宋" w:eastAsia="仿宋" w:hAnsi="仿宋" w:cs="仿宋"/>
                <w:b/>
                <w:sz w:val="24"/>
              </w:rPr>
            </w:pPr>
            <w:r>
              <w:rPr>
                <w:rFonts w:ascii="仿宋" w:eastAsia="仿宋" w:hAnsi="仿宋" w:cs="仿宋" w:hint="eastAsia"/>
                <w:b/>
                <w:sz w:val="24"/>
              </w:rPr>
              <w:t>现场办理：</w:t>
            </w:r>
            <w:r>
              <w:rPr>
                <w:rFonts w:ascii="仿宋" w:eastAsia="仿宋" w:hAnsi="仿宋" w:cs="仿宋" w:hint="eastAsia"/>
                <w:sz w:val="24"/>
              </w:rPr>
              <w:t>纳税人提交书面材料。</w:t>
            </w:r>
          </w:p>
        </w:tc>
        <w:tc>
          <w:tcPr>
            <w:tcW w:w="868" w:type="dxa"/>
            <w:vMerge/>
            <w:vAlign w:val="center"/>
          </w:tcPr>
          <w:p w:rsidR="00013EC7" w:rsidRDefault="00013EC7">
            <w:pPr>
              <w:jc w:val="center"/>
              <w:rPr>
                <w:color w:val="000000"/>
                <w:sz w:val="22"/>
                <w:szCs w:val="22"/>
              </w:rPr>
            </w:pPr>
          </w:p>
        </w:tc>
        <w:tc>
          <w:tcPr>
            <w:tcW w:w="789" w:type="dxa"/>
            <w:vMerge/>
            <w:vAlign w:val="center"/>
          </w:tcPr>
          <w:p w:rsidR="00013EC7" w:rsidRDefault="00013EC7">
            <w:pPr>
              <w:jc w:val="center"/>
              <w:rPr>
                <w:color w:val="000000"/>
                <w:sz w:val="22"/>
                <w:szCs w:val="22"/>
              </w:rPr>
            </w:pPr>
          </w:p>
        </w:tc>
        <w:tc>
          <w:tcPr>
            <w:tcW w:w="967" w:type="dxa"/>
            <w:vMerge/>
            <w:vAlign w:val="center"/>
          </w:tcPr>
          <w:p w:rsidR="00013EC7" w:rsidRDefault="00013EC7">
            <w:pPr>
              <w:spacing w:line="300" w:lineRule="exact"/>
              <w:jc w:val="center"/>
              <w:rPr>
                <w:rFonts w:ascii="仿宋" w:eastAsia="仿宋" w:hAnsi="仿宋" w:cs="仿宋"/>
                <w:sz w:val="24"/>
              </w:rPr>
            </w:pPr>
          </w:p>
        </w:tc>
        <w:tc>
          <w:tcPr>
            <w:tcW w:w="1104" w:type="dxa"/>
            <w:vMerge/>
            <w:vAlign w:val="center"/>
          </w:tcPr>
          <w:p w:rsidR="00013EC7" w:rsidRDefault="00013EC7">
            <w:pPr>
              <w:spacing w:line="300" w:lineRule="exact"/>
              <w:jc w:val="center"/>
              <w:rPr>
                <w:rFonts w:ascii="仿宋" w:eastAsia="仿宋" w:hAnsi="仿宋" w:cs="仿宋"/>
                <w:sz w:val="24"/>
              </w:rPr>
            </w:pPr>
          </w:p>
        </w:tc>
        <w:tc>
          <w:tcPr>
            <w:tcW w:w="1476" w:type="dxa"/>
            <w:vMerge/>
            <w:vAlign w:val="center"/>
          </w:tcPr>
          <w:p w:rsidR="00013EC7" w:rsidRDefault="00013EC7">
            <w:pPr>
              <w:spacing w:line="300" w:lineRule="exact"/>
              <w:rPr>
                <w:rFonts w:ascii="仿宋" w:eastAsia="仿宋" w:hAnsi="仿宋" w:cs="仿宋"/>
                <w:sz w:val="24"/>
              </w:rPr>
            </w:pPr>
          </w:p>
        </w:tc>
      </w:tr>
    </w:tbl>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5262E6">
      <w:pPr>
        <w:jc w:val="center"/>
      </w:pPr>
      <w:r>
        <w:lastRenderedPageBreak/>
        <w:object w:dxaOrig="1440" w:dyaOrig="1440">
          <v:shape id="_x0000_s1415" type="#_x0000_t75" style="position:absolute;left:0;text-align:left;margin-left:43.6pt;margin-top:120pt;width:449.25pt;height:569.5pt;z-index:251742208;mso-wrap-distance-top:0;mso-wrap-distance-bottom:0;mso-position-vertical-relative:page;mso-width-relative:page;mso-height-relative:page">
            <v:imagedata r:id="rId518" o:title=""/>
            <w10:wrap type="topAndBottom" anchory="page"/>
          </v:shape>
          <o:OLEObject Type="Embed" ProgID="Visio.Drawing.11" ShapeID="_x0000_s1415" DrawAspect="Content" ObjectID="_1577296314" r:id="rId519"/>
        </w:object>
      </w:r>
    </w:p>
    <w:p w:rsidR="00013EC7" w:rsidRDefault="00013EC7">
      <w:pPr>
        <w:jc w:val="center"/>
      </w:pPr>
    </w:p>
    <w:p w:rsidR="00013EC7" w:rsidRDefault="00013EC7">
      <w:pPr>
        <w:jc w:val="center"/>
      </w:pPr>
    </w:p>
    <w:p w:rsidR="00013EC7" w:rsidRDefault="00013EC7">
      <w:pPr>
        <w:jc w:val="center"/>
      </w:pPr>
    </w:p>
    <w:p w:rsidR="00013EC7" w:rsidRDefault="00013EC7"/>
    <w:p w:rsidR="00013EC7" w:rsidRDefault="00013EC7">
      <w:pPr>
        <w:rPr>
          <w:rFonts w:ascii="宋体" w:hAnsi="宋体" w:cs="仿宋"/>
          <w:sz w:val="28"/>
          <w:szCs w:val="28"/>
        </w:rPr>
        <w:sectPr w:rsidR="00013EC7">
          <w:pgSz w:w="23814" w:h="16840" w:orient="landscape"/>
          <w:pgMar w:top="1701" w:right="1843" w:bottom="1985" w:left="1843" w:header="851" w:footer="1701" w:gutter="0"/>
          <w:pgNumType w:fmt="numberInDash"/>
          <w:cols w:space="720"/>
          <w:docGrid w:type="lines" w:linePitch="312"/>
        </w:sectPr>
      </w:pPr>
    </w:p>
    <w:p w:rsidR="00013EC7" w:rsidRDefault="00575CDB">
      <w:pPr>
        <w:pStyle w:val="2"/>
      </w:pPr>
      <w:bookmarkStart w:id="639" w:name="_Toc31559"/>
      <w:bookmarkStart w:id="640" w:name="_Toc503467497"/>
      <w:bookmarkStart w:id="641" w:name="_Toc23113"/>
      <w:bookmarkStart w:id="642" w:name="_Toc27159"/>
      <w:r>
        <w:rPr>
          <w:rFonts w:hint="eastAsia"/>
        </w:rPr>
        <w:lastRenderedPageBreak/>
        <w:t>29.16</w:t>
      </w:r>
      <w:r>
        <w:rPr>
          <w:rFonts w:hint="eastAsia"/>
        </w:rPr>
        <w:t>丢失出口退（免）税有关证明补办</w:t>
      </w:r>
      <w:bookmarkEnd w:id="639"/>
      <w:bookmarkEnd w:id="640"/>
      <w:bookmarkEnd w:id="641"/>
      <w:bookmarkEnd w:id="642"/>
    </w:p>
    <w:p w:rsidR="00013EC7" w:rsidRDefault="00575CDB">
      <w:pPr>
        <w:jc w:val="center"/>
        <w:rPr>
          <w:rFonts w:ascii="宋体" w:hAnsi="宋体" w:cs="宋体"/>
          <w:b/>
          <w:bCs/>
          <w:sz w:val="52"/>
          <w:szCs w:val="52"/>
        </w:rPr>
      </w:pPr>
      <w:r>
        <w:rPr>
          <w:rFonts w:ascii="宋体" w:hAnsi="宋体" w:cs="宋体" w:hint="eastAsia"/>
          <w:b/>
          <w:bCs/>
          <w:sz w:val="52"/>
          <w:szCs w:val="52"/>
        </w:rPr>
        <w:t>全省“最多跑一次”事项“八统一”梳理表</w:t>
      </w:r>
    </w:p>
    <w:p w:rsidR="00013EC7" w:rsidRDefault="00013EC7">
      <w:pPr>
        <w:rPr>
          <w:rFonts w:ascii="宋体" w:hAnsi="宋体" w:cs="宋体"/>
          <w:b/>
          <w:bCs/>
          <w:sz w:val="44"/>
          <w:szCs w:val="44"/>
        </w:rPr>
      </w:pPr>
    </w:p>
    <w:tbl>
      <w:tblPr>
        <w:tblW w:w="20704"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1250"/>
        <w:gridCol w:w="1316"/>
        <w:gridCol w:w="2114"/>
        <w:gridCol w:w="2785"/>
        <w:gridCol w:w="1118"/>
        <w:gridCol w:w="2403"/>
        <w:gridCol w:w="1196"/>
        <w:gridCol w:w="3318"/>
        <w:gridCol w:w="868"/>
        <w:gridCol w:w="791"/>
        <w:gridCol w:w="965"/>
        <w:gridCol w:w="1104"/>
        <w:gridCol w:w="1476"/>
      </w:tblGrid>
      <w:tr w:rsidR="00013EC7">
        <w:trPr>
          <w:trHeight w:val="340"/>
          <w:tblHeader/>
          <w:jc w:val="center"/>
        </w:trPr>
        <w:tc>
          <w:tcPr>
            <w:tcW w:w="1250"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主项名称</w:t>
            </w:r>
          </w:p>
        </w:tc>
        <w:tc>
          <w:tcPr>
            <w:tcW w:w="1316"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子项名称</w:t>
            </w:r>
          </w:p>
        </w:tc>
        <w:tc>
          <w:tcPr>
            <w:tcW w:w="2114"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经办依据</w:t>
            </w:r>
          </w:p>
        </w:tc>
        <w:tc>
          <w:tcPr>
            <w:tcW w:w="3903"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原经办所需材料</w:t>
            </w:r>
          </w:p>
        </w:tc>
        <w:tc>
          <w:tcPr>
            <w:tcW w:w="6917" w:type="dxa"/>
            <w:gridSpan w:val="3"/>
            <w:vAlign w:val="center"/>
          </w:tcPr>
          <w:p w:rsidR="00013EC7" w:rsidRDefault="00575CDB">
            <w:pPr>
              <w:spacing w:line="280" w:lineRule="exact"/>
              <w:jc w:val="center"/>
              <w:rPr>
                <w:rFonts w:ascii="黑体" w:eastAsia="黑体"/>
                <w:sz w:val="24"/>
              </w:rPr>
            </w:pPr>
            <w:r>
              <w:rPr>
                <w:rFonts w:ascii="黑体" w:eastAsia="黑体" w:hint="eastAsia"/>
                <w:sz w:val="24"/>
              </w:rPr>
              <w:t>梳理后经办所需材料</w:t>
            </w:r>
          </w:p>
        </w:tc>
        <w:tc>
          <w:tcPr>
            <w:tcW w:w="1659"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办理时限</w:t>
            </w:r>
          </w:p>
        </w:tc>
        <w:tc>
          <w:tcPr>
            <w:tcW w:w="965"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是否实现跑零次</w:t>
            </w:r>
          </w:p>
        </w:tc>
        <w:tc>
          <w:tcPr>
            <w:tcW w:w="1104"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省厅对口</w:t>
            </w:r>
          </w:p>
          <w:p w:rsidR="00013EC7" w:rsidRDefault="00575CDB">
            <w:pPr>
              <w:spacing w:line="280" w:lineRule="exact"/>
              <w:jc w:val="center"/>
              <w:rPr>
                <w:rFonts w:ascii="黑体" w:eastAsia="黑体"/>
                <w:sz w:val="24"/>
              </w:rPr>
            </w:pPr>
            <w:r>
              <w:rPr>
                <w:rFonts w:ascii="黑体" w:eastAsia="黑体" w:hint="eastAsia"/>
                <w:sz w:val="24"/>
              </w:rPr>
              <w:t>指导处室</w:t>
            </w:r>
          </w:p>
          <w:p w:rsidR="00013EC7" w:rsidRDefault="00575CDB">
            <w:pPr>
              <w:spacing w:line="280" w:lineRule="exact"/>
              <w:jc w:val="center"/>
              <w:rPr>
                <w:rFonts w:ascii="黑体" w:eastAsia="黑体"/>
                <w:sz w:val="24"/>
              </w:rPr>
            </w:pPr>
            <w:r>
              <w:rPr>
                <w:rFonts w:ascii="黑体" w:eastAsia="黑体" w:hint="eastAsia"/>
                <w:sz w:val="24"/>
              </w:rPr>
              <w:t>（单位）</w:t>
            </w:r>
          </w:p>
        </w:tc>
        <w:tc>
          <w:tcPr>
            <w:tcW w:w="1476"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进一步精简、</w:t>
            </w:r>
          </w:p>
          <w:p w:rsidR="00013EC7" w:rsidRDefault="00575CDB">
            <w:pPr>
              <w:spacing w:line="280" w:lineRule="exact"/>
              <w:jc w:val="center"/>
              <w:rPr>
                <w:rFonts w:ascii="黑体" w:eastAsia="黑体"/>
                <w:sz w:val="24"/>
              </w:rPr>
            </w:pPr>
            <w:r>
              <w:rPr>
                <w:rFonts w:ascii="黑体" w:eastAsia="黑体" w:hint="eastAsia"/>
                <w:sz w:val="24"/>
              </w:rPr>
              <w:t>规范建议</w:t>
            </w:r>
          </w:p>
        </w:tc>
      </w:tr>
      <w:tr w:rsidR="00013EC7">
        <w:trPr>
          <w:trHeight w:val="340"/>
          <w:tblHeader/>
          <w:jc w:val="center"/>
        </w:trPr>
        <w:tc>
          <w:tcPr>
            <w:tcW w:w="1250" w:type="dxa"/>
            <w:vMerge/>
            <w:vAlign w:val="center"/>
          </w:tcPr>
          <w:p w:rsidR="00013EC7" w:rsidRDefault="00013EC7">
            <w:pPr>
              <w:rPr>
                <w:sz w:val="24"/>
              </w:rPr>
            </w:pPr>
          </w:p>
        </w:tc>
        <w:tc>
          <w:tcPr>
            <w:tcW w:w="1316" w:type="dxa"/>
            <w:vMerge/>
          </w:tcPr>
          <w:p w:rsidR="00013EC7" w:rsidRDefault="00013EC7">
            <w:pPr>
              <w:rPr>
                <w:sz w:val="24"/>
              </w:rPr>
            </w:pPr>
          </w:p>
        </w:tc>
        <w:tc>
          <w:tcPr>
            <w:tcW w:w="2114" w:type="dxa"/>
            <w:vMerge/>
          </w:tcPr>
          <w:p w:rsidR="00013EC7" w:rsidRDefault="00013EC7">
            <w:pPr>
              <w:rPr>
                <w:sz w:val="24"/>
              </w:rPr>
            </w:pPr>
          </w:p>
        </w:tc>
        <w:tc>
          <w:tcPr>
            <w:tcW w:w="2785" w:type="dxa"/>
            <w:tcBorders>
              <w:bottom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118"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2403" w:type="dxa"/>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196"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3318" w:type="dxa"/>
            <w:vAlign w:val="center"/>
          </w:tcPr>
          <w:p w:rsidR="00013EC7" w:rsidRDefault="00575CDB">
            <w:pPr>
              <w:spacing w:line="280" w:lineRule="exact"/>
              <w:jc w:val="center"/>
              <w:rPr>
                <w:rFonts w:ascii="黑体" w:eastAsia="黑体"/>
                <w:sz w:val="24"/>
              </w:rPr>
            </w:pPr>
            <w:r>
              <w:rPr>
                <w:rFonts w:ascii="黑体" w:eastAsia="黑体" w:hint="eastAsia"/>
                <w:sz w:val="24"/>
              </w:rPr>
              <w:t>办理方式及材料</w:t>
            </w:r>
          </w:p>
          <w:p w:rsidR="00013EC7" w:rsidRDefault="00575CDB">
            <w:pPr>
              <w:spacing w:line="280" w:lineRule="exact"/>
              <w:jc w:val="center"/>
              <w:rPr>
                <w:rFonts w:ascii="黑体" w:eastAsia="黑体"/>
                <w:sz w:val="24"/>
              </w:rPr>
            </w:pPr>
            <w:r>
              <w:rPr>
                <w:rFonts w:ascii="黑体" w:eastAsia="黑体" w:hint="eastAsia"/>
                <w:sz w:val="24"/>
              </w:rPr>
              <w:t>信息获取方式说明</w:t>
            </w:r>
          </w:p>
        </w:tc>
        <w:tc>
          <w:tcPr>
            <w:tcW w:w="868" w:type="dxa"/>
            <w:vAlign w:val="center"/>
          </w:tcPr>
          <w:p w:rsidR="00013EC7" w:rsidRDefault="00575CDB">
            <w:pPr>
              <w:spacing w:line="280" w:lineRule="exact"/>
              <w:jc w:val="center"/>
              <w:rPr>
                <w:rFonts w:ascii="黑体" w:eastAsia="黑体"/>
                <w:sz w:val="24"/>
              </w:rPr>
            </w:pPr>
            <w:r>
              <w:rPr>
                <w:rFonts w:ascii="黑体" w:eastAsia="黑体" w:hint="eastAsia"/>
                <w:sz w:val="24"/>
              </w:rPr>
              <w:t>优化前</w:t>
            </w:r>
          </w:p>
        </w:tc>
        <w:tc>
          <w:tcPr>
            <w:tcW w:w="791" w:type="dxa"/>
            <w:vAlign w:val="center"/>
          </w:tcPr>
          <w:p w:rsidR="00013EC7" w:rsidRDefault="00575CDB">
            <w:pPr>
              <w:spacing w:line="280" w:lineRule="exact"/>
              <w:jc w:val="center"/>
              <w:rPr>
                <w:rFonts w:ascii="黑体" w:eastAsia="黑体"/>
                <w:sz w:val="24"/>
              </w:rPr>
            </w:pPr>
            <w:r>
              <w:rPr>
                <w:rFonts w:ascii="黑体" w:eastAsia="黑体" w:hint="eastAsia"/>
                <w:sz w:val="24"/>
              </w:rPr>
              <w:t>优化后</w:t>
            </w:r>
          </w:p>
        </w:tc>
        <w:tc>
          <w:tcPr>
            <w:tcW w:w="965" w:type="dxa"/>
            <w:vMerge/>
            <w:vAlign w:val="center"/>
          </w:tcPr>
          <w:p w:rsidR="00013EC7" w:rsidRDefault="00013EC7">
            <w:pPr>
              <w:rPr>
                <w:sz w:val="24"/>
              </w:rPr>
            </w:pPr>
          </w:p>
        </w:tc>
        <w:tc>
          <w:tcPr>
            <w:tcW w:w="1104" w:type="dxa"/>
            <w:vMerge/>
            <w:vAlign w:val="center"/>
          </w:tcPr>
          <w:p w:rsidR="00013EC7" w:rsidRDefault="00013EC7">
            <w:pPr>
              <w:rPr>
                <w:sz w:val="24"/>
              </w:rPr>
            </w:pPr>
          </w:p>
        </w:tc>
        <w:tc>
          <w:tcPr>
            <w:tcW w:w="1476" w:type="dxa"/>
            <w:vMerge/>
            <w:vAlign w:val="center"/>
          </w:tcPr>
          <w:p w:rsidR="00013EC7" w:rsidRDefault="00013EC7">
            <w:pPr>
              <w:rPr>
                <w:sz w:val="24"/>
              </w:rPr>
            </w:pPr>
          </w:p>
        </w:tc>
      </w:tr>
      <w:tr w:rsidR="00013EC7">
        <w:trPr>
          <w:trHeight w:val="1475"/>
          <w:jc w:val="center"/>
        </w:trPr>
        <w:tc>
          <w:tcPr>
            <w:tcW w:w="1250"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29.出口退（免）税事项办理</w:t>
            </w:r>
          </w:p>
        </w:tc>
        <w:tc>
          <w:tcPr>
            <w:tcW w:w="1316" w:type="dxa"/>
            <w:vAlign w:val="center"/>
          </w:tcPr>
          <w:p w:rsidR="00013EC7" w:rsidRDefault="00575CDB">
            <w:pPr>
              <w:spacing w:line="310" w:lineRule="exact"/>
              <w:rPr>
                <w:rFonts w:ascii="仿宋" w:eastAsia="仿宋" w:hAnsi="仿宋" w:cs="仿宋"/>
                <w:sz w:val="24"/>
              </w:rPr>
            </w:pPr>
            <w:r>
              <w:rPr>
                <w:rFonts w:ascii="仿宋" w:eastAsia="仿宋" w:hAnsi="仿宋" w:cs="仿宋" w:hint="eastAsia"/>
                <w:sz w:val="24"/>
              </w:rPr>
              <w:t>29.16丢失出口退（免）税有关证明补办</w:t>
            </w:r>
          </w:p>
        </w:tc>
        <w:tc>
          <w:tcPr>
            <w:tcW w:w="2114"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（一）</w:t>
            </w:r>
            <w:r>
              <w:rPr>
                <w:rFonts w:ascii="仿宋" w:eastAsia="仿宋" w:hAnsi="仿宋" w:cs="仿宋"/>
                <w:kern w:val="1"/>
                <w:sz w:val="24"/>
              </w:rPr>
              <w:t>《国家税务总局关于发布&lt;出口货物劳务增值税和消费税管理办法&gt;的公告》（国家税务总局公告2012年第24号）</w:t>
            </w:r>
            <w:r>
              <w:rPr>
                <w:rFonts w:ascii="仿宋" w:eastAsia="仿宋" w:hAnsi="仿宋" w:cs="仿宋" w:hint="eastAsia"/>
                <w:kern w:val="1"/>
                <w:sz w:val="24"/>
              </w:rPr>
              <w:t>第十条第（八）项</w:t>
            </w:r>
            <w:r>
              <w:rPr>
                <w:rFonts w:ascii="仿宋" w:eastAsia="仿宋" w:hAnsi="仿宋" w:cs="仿宋"/>
                <w:kern w:val="1"/>
                <w:sz w:val="24"/>
              </w:rPr>
              <w:t>。</w:t>
            </w:r>
          </w:p>
          <w:p w:rsidR="00013EC7" w:rsidRDefault="00575CDB">
            <w:pPr>
              <w:rPr>
                <w:rFonts w:ascii="仿宋" w:eastAsia="仿宋" w:hAnsi="仿宋" w:cs="仿宋"/>
                <w:kern w:val="1"/>
                <w:sz w:val="24"/>
              </w:rPr>
            </w:pPr>
            <w:r>
              <w:rPr>
                <w:rFonts w:ascii="仿宋" w:eastAsia="仿宋" w:hAnsi="仿宋" w:cs="仿宋" w:hint="eastAsia"/>
                <w:kern w:val="1"/>
                <w:sz w:val="24"/>
              </w:rPr>
              <w:t>（二）《浙江省国家税务局关于出口退（免）税无纸化申报的公告》（浙江省国家税务局公告</w:t>
            </w:r>
            <w:r>
              <w:rPr>
                <w:rFonts w:ascii="仿宋" w:eastAsia="仿宋" w:hAnsi="仿宋" w:cs="仿宋"/>
                <w:kern w:val="1"/>
                <w:sz w:val="24"/>
              </w:rPr>
              <w:t>2015</w:t>
            </w:r>
            <w:r>
              <w:rPr>
                <w:rFonts w:ascii="仿宋" w:eastAsia="仿宋" w:hAnsi="仿宋" w:cs="仿宋" w:hint="eastAsia"/>
                <w:kern w:val="1"/>
                <w:sz w:val="24"/>
              </w:rPr>
              <w:t>年第</w:t>
            </w:r>
            <w:r>
              <w:rPr>
                <w:rFonts w:ascii="仿宋" w:eastAsia="仿宋" w:hAnsi="仿宋" w:cs="仿宋"/>
                <w:kern w:val="1"/>
                <w:sz w:val="24"/>
              </w:rPr>
              <w:t>9</w:t>
            </w:r>
            <w:r>
              <w:rPr>
                <w:rFonts w:ascii="仿宋" w:eastAsia="仿宋" w:hAnsi="仿宋" w:cs="仿宋" w:hint="eastAsia"/>
                <w:kern w:val="1"/>
                <w:sz w:val="24"/>
              </w:rPr>
              <w:t>号）全文。</w:t>
            </w:r>
          </w:p>
        </w:tc>
        <w:tc>
          <w:tcPr>
            <w:tcW w:w="2785" w:type="dxa"/>
            <w:tcBorders>
              <w:top w:val="single" w:sz="4" w:space="0" w:color="auto"/>
              <w:bottom w:val="single" w:sz="4" w:space="0" w:color="auto"/>
            </w:tcBorders>
            <w:vAlign w:val="center"/>
          </w:tcPr>
          <w:p w:rsidR="00013EC7" w:rsidRDefault="00575CDB">
            <w:pPr>
              <w:rPr>
                <w:rFonts w:ascii="宋体" w:hAnsi="宋体" w:cs="宋体"/>
                <w:sz w:val="22"/>
                <w:szCs w:val="22"/>
              </w:rPr>
            </w:pPr>
            <w:r>
              <w:rPr>
                <w:sz w:val="22"/>
                <w:szCs w:val="22"/>
              </w:rPr>
              <w:t>（一）</w:t>
            </w:r>
            <w:r>
              <w:rPr>
                <w:rFonts w:ascii="仿宋" w:eastAsia="仿宋" w:hAnsi="仿宋" w:cs="仿宋" w:hint="eastAsia"/>
                <w:kern w:val="1"/>
                <w:sz w:val="24"/>
              </w:rPr>
              <w:t>（A05023）《关于补办出口退税有关证明的申请》及申报电子数据。</w:t>
            </w:r>
          </w:p>
          <w:p w:rsidR="00013EC7" w:rsidRDefault="00013EC7">
            <w:pPr>
              <w:rPr>
                <w:rFonts w:ascii="仿宋" w:eastAsia="仿宋" w:hAnsi="仿宋" w:cs="仿宋"/>
                <w:kern w:val="1"/>
                <w:sz w:val="24"/>
              </w:rPr>
            </w:pPr>
          </w:p>
        </w:tc>
        <w:tc>
          <w:tcPr>
            <w:tcW w:w="1118" w:type="dxa"/>
            <w:vAlign w:val="center"/>
          </w:tcPr>
          <w:p w:rsidR="00013EC7" w:rsidRDefault="00575CDB">
            <w:pPr>
              <w:spacing w:line="300" w:lineRule="exact"/>
              <w:jc w:val="center"/>
              <w:rPr>
                <w:rFonts w:ascii="仿宋" w:eastAsia="仿宋" w:hAnsi="仿宋" w:cs="仿宋"/>
                <w:kern w:val="1"/>
                <w:sz w:val="24"/>
              </w:rPr>
            </w:pPr>
            <w:r>
              <w:rPr>
                <w:rFonts w:ascii="仿宋" w:eastAsia="仿宋" w:hAnsi="仿宋" w:cs="仿宋" w:hint="eastAsia"/>
                <w:sz w:val="24"/>
              </w:rPr>
              <w:t>办理丢失出口退（免）税有关证明补办的出口企业纳税人提交</w:t>
            </w:r>
          </w:p>
        </w:tc>
        <w:tc>
          <w:tcPr>
            <w:tcW w:w="2403" w:type="dxa"/>
            <w:vAlign w:val="center"/>
          </w:tcPr>
          <w:p w:rsidR="00013EC7" w:rsidRDefault="00575CDB">
            <w:pPr>
              <w:rPr>
                <w:rFonts w:ascii="宋体" w:hAnsi="宋体" w:cs="宋体"/>
                <w:sz w:val="22"/>
                <w:szCs w:val="22"/>
              </w:rPr>
            </w:pPr>
            <w:r>
              <w:rPr>
                <w:sz w:val="22"/>
                <w:szCs w:val="22"/>
              </w:rPr>
              <w:t>（一）</w:t>
            </w:r>
            <w:r>
              <w:rPr>
                <w:rFonts w:ascii="仿宋" w:eastAsia="仿宋" w:hAnsi="仿宋" w:cs="仿宋" w:hint="eastAsia"/>
                <w:kern w:val="1"/>
                <w:sz w:val="24"/>
              </w:rPr>
              <w:t xml:space="preserve"> （A05023）《关于补办出口退税有关证明的申请》及其电子数据。</w:t>
            </w:r>
          </w:p>
          <w:p w:rsidR="00013EC7" w:rsidRDefault="00013EC7">
            <w:pPr>
              <w:rPr>
                <w:rFonts w:ascii="仿宋" w:eastAsia="仿宋" w:hAnsi="仿宋" w:cs="仿宋"/>
                <w:kern w:val="1"/>
                <w:sz w:val="24"/>
              </w:rPr>
            </w:pPr>
          </w:p>
        </w:tc>
        <w:tc>
          <w:tcPr>
            <w:tcW w:w="1196" w:type="dxa"/>
            <w:vAlign w:val="center"/>
          </w:tcPr>
          <w:p w:rsidR="00013EC7" w:rsidRDefault="00575CDB">
            <w:pPr>
              <w:jc w:val="center"/>
            </w:pPr>
            <w:r>
              <w:rPr>
                <w:rFonts w:ascii="仿宋" w:eastAsia="仿宋" w:hAnsi="仿宋" w:cs="仿宋" w:hint="eastAsia"/>
                <w:sz w:val="24"/>
              </w:rPr>
              <w:t>办理丢失出口退（免）税有关证明补办的出口企业纳税人提交</w:t>
            </w:r>
          </w:p>
        </w:tc>
        <w:tc>
          <w:tcPr>
            <w:tcW w:w="3318" w:type="dxa"/>
            <w:vAlign w:val="center"/>
          </w:tcPr>
          <w:p w:rsidR="00013EC7" w:rsidRDefault="00575CDB">
            <w:pPr>
              <w:jc w:val="left"/>
            </w:pPr>
            <w:r>
              <w:rPr>
                <w:rFonts w:ascii="仿宋" w:eastAsia="仿宋" w:hAnsi="仿宋" w:cs="仿宋" w:hint="eastAsia"/>
                <w:b/>
                <w:sz w:val="24"/>
              </w:rPr>
              <w:t>现场办理：</w:t>
            </w:r>
            <w:r>
              <w:rPr>
                <w:rFonts w:ascii="仿宋" w:eastAsia="仿宋" w:hAnsi="仿宋" w:cs="仿宋" w:hint="eastAsia"/>
                <w:sz w:val="24"/>
              </w:rPr>
              <w:t>纳税人提交书面材料（无纸化企业留存备查）。</w:t>
            </w:r>
            <w:r>
              <w:rPr>
                <w:rFonts w:ascii="仿宋" w:eastAsia="仿宋" w:hAnsi="仿宋" w:cs="仿宋" w:hint="eastAsia"/>
                <w:b/>
                <w:sz w:val="24"/>
              </w:rPr>
              <w:t>网上办理：</w:t>
            </w:r>
            <w:r>
              <w:rPr>
                <w:rFonts w:ascii="仿宋" w:eastAsia="仿宋" w:hAnsi="仿宋" w:cs="仿宋" w:hint="eastAsia"/>
                <w:sz w:val="24"/>
              </w:rPr>
              <w:t>登录浙江省国家税务局电子税务局提交电子数据。</w:t>
            </w:r>
          </w:p>
        </w:tc>
        <w:tc>
          <w:tcPr>
            <w:tcW w:w="868" w:type="dxa"/>
            <w:vAlign w:val="center"/>
          </w:tcPr>
          <w:p w:rsidR="00013EC7" w:rsidRDefault="00575CDB">
            <w:pPr>
              <w:jc w:val="center"/>
              <w:rPr>
                <w:rFonts w:ascii="仿宋" w:eastAsia="仿宋" w:hAnsi="仿宋" w:cs="仿宋"/>
                <w:sz w:val="24"/>
              </w:rPr>
            </w:pPr>
            <w:r>
              <w:rPr>
                <w:rFonts w:ascii="仿宋" w:eastAsia="仿宋" w:hAnsi="仿宋" w:cs="仿宋" w:hint="eastAsia"/>
                <w:sz w:val="24"/>
              </w:rPr>
              <w:t>5个工作日</w:t>
            </w:r>
          </w:p>
        </w:tc>
        <w:tc>
          <w:tcPr>
            <w:tcW w:w="791" w:type="dxa"/>
            <w:vAlign w:val="center"/>
          </w:tcPr>
          <w:p w:rsidR="00013EC7" w:rsidRDefault="00013EC7">
            <w:pPr>
              <w:spacing w:line="300" w:lineRule="exact"/>
              <w:jc w:val="center"/>
              <w:rPr>
                <w:rFonts w:ascii="仿宋" w:eastAsia="仿宋" w:hAnsi="仿宋" w:cs="仿宋"/>
                <w:sz w:val="24"/>
              </w:rPr>
            </w:pPr>
          </w:p>
          <w:p w:rsidR="00013EC7" w:rsidRDefault="00013EC7">
            <w:pPr>
              <w:spacing w:line="300" w:lineRule="exact"/>
              <w:jc w:val="center"/>
              <w:rPr>
                <w:rFonts w:ascii="仿宋" w:eastAsia="仿宋" w:hAnsi="仿宋" w:cs="仿宋"/>
                <w:sz w:val="24"/>
              </w:rPr>
            </w:pPr>
          </w:p>
          <w:p w:rsidR="00013EC7" w:rsidRDefault="00575CDB">
            <w:pPr>
              <w:rPr>
                <w:rFonts w:ascii="仿宋" w:eastAsia="仿宋" w:hAnsi="仿宋" w:cs="仿宋"/>
                <w:sz w:val="24"/>
              </w:rPr>
            </w:pPr>
            <w:r>
              <w:rPr>
                <w:rFonts w:ascii="仿宋" w:eastAsia="仿宋" w:hAnsi="仿宋" w:cs="仿宋" w:hint="eastAsia"/>
                <w:sz w:val="24"/>
              </w:rPr>
              <w:t>即时办结</w:t>
            </w:r>
          </w:p>
          <w:p w:rsidR="00013EC7" w:rsidRDefault="00013EC7">
            <w:pPr>
              <w:jc w:val="center"/>
              <w:rPr>
                <w:rFonts w:ascii="仿宋" w:eastAsia="仿宋" w:hAnsi="仿宋" w:cs="仿宋"/>
                <w:sz w:val="24"/>
              </w:rPr>
            </w:pPr>
          </w:p>
          <w:p w:rsidR="00013EC7" w:rsidRDefault="00013EC7">
            <w:pPr>
              <w:jc w:val="center"/>
              <w:rPr>
                <w:rFonts w:ascii="仿宋" w:eastAsia="仿宋" w:hAnsi="仿宋" w:cs="仿宋"/>
                <w:sz w:val="24"/>
              </w:rPr>
            </w:pPr>
          </w:p>
        </w:tc>
        <w:tc>
          <w:tcPr>
            <w:tcW w:w="965" w:type="dxa"/>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sz w:val="24"/>
              </w:rPr>
              <w:t>无纸化企业已实现跑零次</w:t>
            </w:r>
          </w:p>
        </w:tc>
        <w:tc>
          <w:tcPr>
            <w:tcW w:w="1104" w:type="dxa"/>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sz w:val="24"/>
              </w:rPr>
              <w:t>进出口处</w:t>
            </w:r>
          </w:p>
        </w:tc>
        <w:tc>
          <w:tcPr>
            <w:tcW w:w="1476" w:type="dxa"/>
            <w:vAlign w:val="center"/>
          </w:tcPr>
          <w:p w:rsidR="00013EC7" w:rsidRDefault="00013EC7">
            <w:pPr>
              <w:spacing w:line="300" w:lineRule="exact"/>
              <w:rPr>
                <w:rFonts w:ascii="仿宋" w:eastAsia="仿宋" w:hAnsi="仿宋" w:cs="仿宋"/>
                <w:sz w:val="24"/>
              </w:rPr>
            </w:pPr>
          </w:p>
        </w:tc>
      </w:tr>
    </w:tbl>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jc w:val="center"/>
        <w:rPr>
          <w:rFonts w:eastAsia="方正书宋简体"/>
          <w:szCs w:val="21"/>
        </w:rPr>
      </w:pPr>
    </w:p>
    <w:p w:rsidR="00013EC7" w:rsidRDefault="00575CDB">
      <w:pPr>
        <w:jc w:val="center"/>
        <w:rPr>
          <w:rFonts w:eastAsia="方正书宋简体"/>
          <w:szCs w:val="21"/>
        </w:rPr>
      </w:pPr>
      <w:r>
        <w:object w:dxaOrig="8227" w:dyaOrig="11933">
          <v:shape id="_x0000_i1222" type="#_x0000_t75" style="width:411.35pt;height:596.65pt" o:ole="">
            <v:imagedata r:id="rId520" o:title=""/>
          </v:shape>
          <o:OLEObject Type="Embed" ProgID="Visio.Drawing.11" ShapeID="_x0000_i1222" DrawAspect="Content" ObjectID="_1577296141" r:id="rId521"/>
        </w:object>
      </w:r>
      <w:r>
        <w:object w:dxaOrig="8184" w:dyaOrig="11392">
          <v:shape id="_x0000_i1223" type="#_x0000_t75" style="width:409.6pt;height:569.6pt" o:ole="">
            <v:imagedata r:id="rId522" o:title=""/>
          </v:shape>
          <o:OLEObject Type="Embed" ProgID="Visio.Drawing.11" ShapeID="_x0000_i1223" DrawAspect="Content" ObjectID="_1577296142" r:id="rId523"/>
        </w:object>
      </w:r>
    </w:p>
    <w:p w:rsidR="00013EC7" w:rsidRDefault="00013EC7">
      <w:pPr>
        <w:rPr>
          <w:rFonts w:ascii="宋体" w:hAnsi="宋体" w:cs="仿宋"/>
          <w:sz w:val="28"/>
          <w:szCs w:val="28"/>
        </w:rPr>
      </w:pPr>
    </w:p>
    <w:p w:rsidR="00013EC7" w:rsidRDefault="00013EC7">
      <w:pPr>
        <w:rPr>
          <w:rFonts w:ascii="宋体" w:hAnsi="宋体" w:cs="仿宋"/>
          <w:sz w:val="28"/>
          <w:szCs w:val="28"/>
        </w:rPr>
        <w:sectPr w:rsidR="00013EC7">
          <w:pgSz w:w="23814" w:h="16840" w:orient="landscape"/>
          <w:pgMar w:top="1701" w:right="1843" w:bottom="1985" w:left="1843" w:header="851" w:footer="1701" w:gutter="0"/>
          <w:pgNumType w:fmt="numberInDash"/>
          <w:cols w:space="720"/>
          <w:docGrid w:type="lines" w:linePitch="312"/>
        </w:sectPr>
      </w:pPr>
    </w:p>
    <w:p w:rsidR="00013EC7" w:rsidRDefault="00575CDB">
      <w:pPr>
        <w:pStyle w:val="2"/>
      </w:pPr>
      <w:bookmarkStart w:id="643" w:name="_Toc30353"/>
      <w:bookmarkStart w:id="644" w:name="_Toc503467498"/>
      <w:bookmarkStart w:id="645" w:name="_Toc14146"/>
      <w:bookmarkStart w:id="646" w:name="_Toc12762"/>
      <w:r>
        <w:rPr>
          <w:rFonts w:hint="eastAsia"/>
        </w:rPr>
        <w:lastRenderedPageBreak/>
        <w:t>29.17</w:t>
      </w:r>
      <w:r>
        <w:rPr>
          <w:rFonts w:hint="eastAsia"/>
        </w:rPr>
        <w:t>《来料加工免税证明》核销</w:t>
      </w:r>
      <w:bookmarkEnd w:id="643"/>
      <w:bookmarkEnd w:id="644"/>
      <w:bookmarkEnd w:id="645"/>
      <w:bookmarkEnd w:id="646"/>
    </w:p>
    <w:p w:rsidR="00013EC7" w:rsidRDefault="00575CDB">
      <w:pPr>
        <w:jc w:val="center"/>
        <w:rPr>
          <w:rFonts w:ascii="宋体" w:hAnsi="宋体" w:cs="宋体"/>
          <w:b/>
          <w:bCs/>
          <w:sz w:val="52"/>
          <w:szCs w:val="52"/>
        </w:rPr>
      </w:pPr>
      <w:r>
        <w:rPr>
          <w:rFonts w:ascii="宋体" w:hAnsi="宋体" w:cs="宋体" w:hint="eastAsia"/>
          <w:b/>
          <w:bCs/>
          <w:sz w:val="52"/>
          <w:szCs w:val="52"/>
        </w:rPr>
        <w:t>全省“最多跑一次”事项“八统一”梳理表</w:t>
      </w:r>
    </w:p>
    <w:p w:rsidR="00013EC7" w:rsidRDefault="00013EC7">
      <w:pPr>
        <w:rPr>
          <w:rFonts w:ascii="宋体" w:hAnsi="宋体" w:cs="宋体"/>
          <w:b/>
          <w:bCs/>
          <w:sz w:val="44"/>
          <w:szCs w:val="44"/>
        </w:rPr>
      </w:pPr>
    </w:p>
    <w:tbl>
      <w:tblPr>
        <w:tblW w:w="20704"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1250"/>
        <w:gridCol w:w="1316"/>
        <w:gridCol w:w="2114"/>
        <w:gridCol w:w="2785"/>
        <w:gridCol w:w="1118"/>
        <w:gridCol w:w="2403"/>
        <w:gridCol w:w="1196"/>
        <w:gridCol w:w="3318"/>
        <w:gridCol w:w="868"/>
        <w:gridCol w:w="1281"/>
        <w:gridCol w:w="814"/>
        <w:gridCol w:w="1050"/>
        <w:gridCol w:w="1191"/>
      </w:tblGrid>
      <w:tr w:rsidR="00013EC7">
        <w:trPr>
          <w:trHeight w:val="340"/>
          <w:tblHeader/>
          <w:jc w:val="center"/>
        </w:trPr>
        <w:tc>
          <w:tcPr>
            <w:tcW w:w="1250"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主项名称</w:t>
            </w:r>
          </w:p>
        </w:tc>
        <w:tc>
          <w:tcPr>
            <w:tcW w:w="1316"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子项名称</w:t>
            </w:r>
          </w:p>
        </w:tc>
        <w:tc>
          <w:tcPr>
            <w:tcW w:w="2114"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经办依据</w:t>
            </w:r>
          </w:p>
        </w:tc>
        <w:tc>
          <w:tcPr>
            <w:tcW w:w="3903"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原经办所需材料</w:t>
            </w:r>
          </w:p>
        </w:tc>
        <w:tc>
          <w:tcPr>
            <w:tcW w:w="6917" w:type="dxa"/>
            <w:gridSpan w:val="3"/>
            <w:vAlign w:val="center"/>
          </w:tcPr>
          <w:p w:rsidR="00013EC7" w:rsidRDefault="00575CDB">
            <w:pPr>
              <w:spacing w:line="280" w:lineRule="exact"/>
              <w:jc w:val="center"/>
              <w:rPr>
                <w:rFonts w:ascii="黑体" w:eastAsia="黑体"/>
                <w:sz w:val="24"/>
              </w:rPr>
            </w:pPr>
            <w:r>
              <w:rPr>
                <w:rFonts w:ascii="黑体" w:eastAsia="黑体" w:hint="eastAsia"/>
                <w:sz w:val="24"/>
              </w:rPr>
              <w:t>梳理后经办所需材料</w:t>
            </w:r>
          </w:p>
        </w:tc>
        <w:tc>
          <w:tcPr>
            <w:tcW w:w="2149"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办理时限</w:t>
            </w:r>
          </w:p>
        </w:tc>
        <w:tc>
          <w:tcPr>
            <w:tcW w:w="814"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是否实现跑零次</w:t>
            </w:r>
          </w:p>
        </w:tc>
        <w:tc>
          <w:tcPr>
            <w:tcW w:w="1050"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省厅对口</w:t>
            </w:r>
          </w:p>
          <w:p w:rsidR="00013EC7" w:rsidRDefault="00575CDB">
            <w:pPr>
              <w:spacing w:line="280" w:lineRule="exact"/>
              <w:jc w:val="center"/>
              <w:rPr>
                <w:rFonts w:ascii="黑体" w:eastAsia="黑体"/>
                <w:sz w:val="24"/>
              </w:rPr>
            </w:pPr>
            <w:r>
              <w:rPr>
                <w:rFonts w:ascii="黑体" w:eastAsia="黑体" w:hint="eastAsia"/>
                <w:sz w:val="24"/>
              </w:rPr>
              <w:t>指导处室</w:t>
            </w:r>
          </w:p>
          <w:p w:rsidR="00013EC7" w:rsidRDefault="00575CDB">
            <w:pPr>
              <w:spacing w:line="280" w:lineRule="exact"/>
              <w:jc w:val="center"/>
              <w:rPr>
                <w:rFonts w:ascii="黑体" w:eastAsia="黑体"/>
                <w:sz w:val="24"/>
              </w:rPr>
            </w:pPr>
            <w:r>
              <w:rPr>
                <w:rFonts w:ascii="黑体" w:eastAsia="黑体" w:hint="eastAsia"/>
                <w:sz w:val="24"/>
              </w:rPr>
              <w:t>（单位）</w:t>
            </w:r>
          </w:p>
        </w:tc>
        <w:tc>
          <w:tcPr>
            <w:tcW w:w="1191"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进一步精简、</w:t>
            </w:r>
          </w:p>
          <w:p w:rsidR="00013EC7" w:rsidRDefault="00575CDB">
            <w:pPr>
              <w:spacing w:line="280" w:lineRule="exact"/>
              <w:jc w:val="center"/>
              <w:rPr>
                <w:rFonts w:ascii="黑体" w:eastAsia="黑体"/>
                <w:sz w:val="24"/>
              </w:rPr>
            </w:pPr>
            <w:r>
              <w:rPr>
                <w:rFonts w:ascii="黑体" w:eastAsia="黑体" w:hint="eastAsia"/>
                <w:sz w:val="24"/>
              </w:rPr>
              <w:t>规范建议</w:t>
            </w:r>
          </w:p>
        </w:tc>
      </w:tr>
      <w:tr w:rsidR="00013EC7">
        <w:trPr>
          <w:trHeight w:val="340"/>
          <w:tblHeader/>
          <w:jc w:val="center"/>
        </w:trPr>
        <w:tc>
          <w:tcPr>
            <w:tcW w:w="1250" w:type="dxa"/>
            <w:vMerge/>
            <w:vAlign w:val="center"/>
          </w:tcPr>
          <w:p w:rsidR="00013EC7" w:rsidRDefault="00013EC7">
            <w:pPr>
              <w:rPr>
                <w:sz w:val="24"/>
              </w:rPr>
            </w:pPr>
          </w:p>
        </w:tc>
        <w:tc>
          <w:tcPr>
            <w:tcW w:w="1316" w:type="dxa"/>
            <w:vMerge/>
          </w:tcPr>
          <w:p w:rsidR="00013EC7" w:rsidRDefault="00013EC7">
            <w:pPr>
              <w:rPr>
                <w:sz w:val="24"/>
              </w:rPr>
            </w:pPr>
          </w:p>
        </w:tc>
        <w:tc>
          <w:tcPr>
            <w:tcW w:w="2114" w:type="dxa"/>
            <w:vMerge/>
          </w:tcPr>
          <w:p w:rsidR="00013EC7" w:rsidRDefault="00013EC7">
            <w:pPr>
              <w:rPr>
                <w:sz w:val="24"/>
              </w:rPr>
            </w:pPr>
          </w:p>
        </w:tc>
        <w:tc>
          <w:tcPr>
            <w:tcW w:w="2785" w:type="dxa"/>
            <w:tcBorders>
              <w:bottom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118"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2403" w:type="dxa"/>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196"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3318" w:type="dxa"/>
            <w:vAlign w:val="center"/>
          </w:tcPr>
          <w:p w:rsidR="00013EC7" w:rsidRDefault="00575CDB">
            <w:pPr>
              <w:spacing w:line="280" w:lineRule="exact"/>
              <w:jc w:val="center"/>
              <w:rPr>
                <w:rFonts w:ascii="黑体" w:eastAsia="黑体"/>
                <w:sz w:val="24"/>
              </w:rPr>
            </w:pPr>
            <w:r>
              <w:rPr>
                <w:rFonts w:ascii="黑体" w:eastAsia="黑体" w:hint="eastAsia"/>
                <w:sz w:val="24"/>
              </w:rPr>
              <w:t>办理方式及材料</w:t>
            </w:r>
          </w:p>
          <w:p w:rsidR="00013EC7" w:rsidRDefault="00575CDB">
            <w:pPr>
              <w:spacing w:line="280" w:lineRule="exact"/>
              <w:jc w:val="center"/>
              <w:rPr>
                <w:rFonts w:ascii="黑体" w:eastAsia="黑体"/>
                <w:sz w:val="24"/>
              </w:rPr>
            </w:pPr>
            <w:r>
              <w:rPr>
                <w:rFonts w:ascii="黑体" w:eastAsia="黑体" w:hint="eastAsia"/>
                <w:sz w:val="24"/>
              </w:rPr>
              <w:t>信息获取方式说明</w:t>
            </w:r>
          </w:p>
        </w:tc>
        <w:tc>
          <w:tcPr>
            <w:tcW w:w="868" w:type="dxa"/>
            <w:vAlign w:val="center"/>
          </w:tcPr>
          <w:p w:rsidR="00013EC7" w:rsidRDefault="00575CDB">
            <w:pPr>
              <w:spacing w:line="280" w:lineRule="exact"/>
              <w:jc w:val="center"/>
              <w:rPr>
                <w:rFonts w:ascii="黑体" w:eastAsia="黑体"/>
                <w:sz w:val="24"/>
              </w:rPr>
            </w:pPr>
            <w:r>
              <w:rPr>
                <w:rFonts w:ascii="黑体" w:eastAsia="黑体" w:hint="eastAsia"/>
                <w:sz w:val="24"/>
              </w:rPr>
              <w:t>优化前</w:t>
            </w:r>
          </w:p>
        </w:tc>
        <w:tc>
          <w:tcPr>
            <w:tcW w:w="1281" w:type="dxa"/>
            <w:vAlign w:val="center"/>
          </w:tcPr>
          <w:p w:rsidR="00013EC7" w:rsidRDefault="00575CDB">
            <w:pPr>
              <w:spacing w:line="280" w:lineRule="exact"/>
              <w:jc w:val="center"/>
              <w:rPr>
                <w:rFonts w:ascii="黑体" w:eastAsia="黑体"/>
                <w:sz w:val="24"/>
              </w:rPr>
            </w:pPr>
            <w:r>
              <w:rPr>
                <w:rFonts w:ascii="黑体" w:eastAsia="黑体" w:hint="eastAsia"/>
                <w:sz w:val="24"/>
              </w:rPr>
              <w:t>优化后</w:t>
            </w:r>
          </w:p>
        </w:tc>
        <w:tc>
          <w:tcPr>
            <w:tcW w:w="814" w:type="dxa"/>
            <w:vMerge/>
            <w:vAlign w:val="center"/>
          </w:tcPr>
          <w:p w:rsidR="00013EC7" w:rsidRDefault="00013EC7">
            <w:pPr>
              <w:rPr>
                <w:sz w:val="24"/>
              </w:rPr>
            </w:pPr>
          </w:p>
        </w:tc>
        <w:tc>
          <w:tcPr>
            <w:tcW w:w="1050" w:type="dxa"/>
            <w:vMerge/>
            <w:vAlign w:val="center"/>
          </w:tcPr>
          <w:p w:rsidR="00013EC7" w:rsidRDefault="00013EC7">
            <w:pPr>
              <w:rPr>
                <w:sz w:val="24"/>
              </w:rPr>
            </w:pPr>
          </w:p>
        </w:tc>
        <w:tc>
          <w:tcPr>
            <w:tcW w:w="1191" w:type="dxa"/>
            <w:vMerge/>
            <w:vAlign w:val="center"/>
          </w:tcPr>
          <w:p w:rsidR="00013EC7" w:rsidRDefault="00013EC7">
            <w:pPr>
              <w:rPr>
                <w:sz w:val="24"/>
              </w:rPr>
            </w:pPr>
          </w:p>
        </w:tc>
      </w:tr>
      <w:tr w:rsidR="00013EC7">
        <w:trPr>
          <w:trHeight w:val="478"/>
          <w:jc w:val="center"/>
        </w:trPr>
        <w:tc>
          <w:tcPr>
            <w:tcW w:w="1250" w:type="dxa"/>
            <w:vMerge w:val="restart"/>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29.出口退（免）税事项办理</w:t>
            </w:r>
          </w:p>
        </w:tc>
        <w:tc>
          <w:tcPr>
            <w:tcW w:w="1316" w:type="dxa"/>
            <w:vMerge w:val="restart"/>
            <w:vAlign w:val="center"/>
          </w:tcPr>
          <w:p w:rsidR="00013EC7" w:rsidRDefault="00575CDB">
            <w:pPr>
              <w:spacing w:line="310" w:lineRule="exact"/>
              <w:rPr>
                <w:rFonts w:ascii="仿宋" w:eastAsia="仿宋" w:hAnsi="仿宋" w:cs="仿宋"/>
                <w:sz w:val="24"/>
              </w:rPr>
            </w:pPr>
            <w:r>
              <w:rPr>
                <w:rFonts w:ascii="仿宋" w:eastAsia="仿宋" w:hAnsi="仿宋" w:cs="仿宋" w:hint="eastAsia"/>
                <w:sz w:val="24"/>
              </w:rPr>
              <w:t>29.17《来料加工免税证明》核销</w:t>
            </w:r>
          </w:p>
        </w:tc>
        <w:tc>
          <w:tcPr>
            <w:tcW w:w="2114" w:type="dxa"/>
            <w:vMerge w:val="restart"/>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（一）</w:t>
            </w:r>
            <w:r>
              <w:rPr>
                <w:rFonts w:ascii="仿宋" w:eastAsia="仿宋" w:hAnsi="仿宋" w:cs="仿宋"/>
                <w:kern w:val="1"/>
                <w:sz w:val="24"/>
              </w:rPr>
              <w:t>《国家税务总局关于发布&lt;出口货物劳务增值税和消费税管理办法&gt;的公告》（国家税务总局公告2012年第24号）</w:t>
            </w:r>
            <w:r>
              <w:rPr>
                <w:rFonts w:ascii="仿宋" w:eastAsia="仿宋" w:hAnsi="仿宋" w:cs="仿宋" w:hint="eastAsia"/>
                <w:kern w:val="1"/>
                <w:sz w:val="24"/>
              </w:rPr>
              <w:t>第九条第（四）项第2目</w:t>
            </w:r>
            <w:r>
              <w:rPr>
                <w:rFonts w:ascii="仿宋" w:eastAsia="仿宋" w:hAnsi="仿宋" w:cs="仿宋"/>
                <w:kern w:val="1"/>
                <w:sz w:val="24"/>
              </w:rPr>
              <w:t>。</w:t>
            </w:r>
          </w:p>
          <w:p w:rsidR="00013EC7" w:rsidRDefault="00575CDB">
            <w:pPr>
              <w:rPr>
                <w:rFonts w:ascii="仿宋" w:eastAsia="仿宋" w:hAnsi="仿宋" w:cs="仿宋"/>
                <w:kern w:val="1"/>
                <w:sz w:val="24"/>
              </w:rPr>
            </w:pPr>
            <w:r>
              <w:rPr>
                <w:rFonts w:ascii="仿宋" w:eastAsia="仿宋" w:hAnsi="仿宋" w:cs="仿宋" w:hint="eastAsia"/>
                <w:kern w:val="1"/>
                <w:sz w:val="24"/>
              </w:rPr>
              <w:t>（二）《国家税务总局关于出口退（免）税有关问题的公告》（国家税务总局公告2015年第29号）第五条。</w:t>
            </w:r>
          </w:p>
          <w:p w:rsidR="00013EC7" w:rsidRDefault="00575CDB">
            <w:pPr>
              <w:rPr>
                <w:rFonts w:ascii="仿宋" w:eastAsia="仿宋" w:hAnsi="仿宋" w:cs="仿宋"/>
                <w:kern w:val="1"/>
                <w:sz w:val="24"/>
              </w:rPr>
            </w:pPr>
            <w:r>
              <w:rPr>
                <w:rFonts w:ascii="仿宋" w:eastAsia="仿宋" w:hAnsi="仿宋" w:cs="仿宋" w:hint="eastAsia"/>
                <w:kern w:val="1"/>
                <w:sz w:val="24"/>
              </w:rPr>
              <w:t>（三）《浙江省国家税务局关于出口退（免）税无纸化申报的公告》（浙江省国家税务局公告</w:t>
            </w:r>
            <w:r>
              <w:rPr>
                <w:rFonts w:ascii="仿宋" w:eastAsia="仿宋" w:hAnsi="仿宋" w:cs="仿宋"/>
                <w:kern w:val="1"/>
                <w:sz w:val="24"/>
              </w:rPr>
              <w:t>2015</w:t>
            </w:r>
            <w:r>
              <w:rPr>
                <w:rFonts w:ascii="仿宋" w:eastAsia="仿宋" w:hAnsi="仿宋" w:cs="仿宋" w:hint="eastAsia"/>
                <w:kern w:val="1"/>
                <w:sz w:val="24"/>
              </w:rPr>
              <w:t>年第</w:t>
            </w:r>
            <w:r>
              <w:rPr>
                <w:rFonts w:ascii="仿宋" w:eastAsia="仿宋" w:hAnsi="仿宋" w:cs="仿宋"/>
                <w:kern w:val="1"/>
                <w:sz w:val="24"/>
              </w:rPr>
              <w:t>9</w:t>
            </w:r>
            <w:r>
              <w:rPr>
                <w:rFonts w:ascii="仿宋" w:eastAsia="仿宋" w:hAnsi="仿宋" w:cs="仿宋" w:hint="eastAsia"/>
                <w:kern w:val="1"/>
                <w:sz w:val="24"/>
              </w:rPr>
              <w:t>号）全文。</w:t>
            </w:r>
          </w:p>
        </w:tc>
        <w:tc>
          <w:tcPr>
            <w:tcW w:w="2785" w:type="dxa"/>
            <w:tcBorders>
              <w:top w:val="single" w:sz="4" w:space="0" w:color="auto"/>
              <w:bottom w:val="single" w:sz="4" w:space="0" w:color="auto"/>
            </w:tcBorders>
            <w:vAlign w:val="center"/>
          </w:tcPr>
          <w:p w:rsidR="00013EC7" w:rsidRDefault="00575CDB">
            <w:pPr>
              <w:rPr>
                <w:rFonts w:ascii="仿宋" w:eastAsia="仿宋" w:hAnsi="仿宋" w:cs="仿宋"/>
                <w:kern w:val="1"/>
                <w:sz w:val="24"/>
              </w:rPr>
            </w:pPr>
            <w:r>
              <w:rPr>
                <w:rFonts w:ascii="仿宋" w:eastAsia="仿宋" w:hAnsi="仿宋" w:cs="仿宋"/>
                <w:kern w:val="1"/>
                <w:sz w:val="24"/>
              </w:rPr>
              <w:t>（一）</w:t>
            </w:r>
            <w:r>
              <w:rPr>
                <w:rFonts w:ascii="仿宋" w:eastAsia="仿宋" w:hAnsi="仿宋" w:cs="仿宋" w:hint="eastAsia"/>
                <w:kern w:val="1"/>
                <w:sz w:val="24"/>
              </w:rPr>
              <w:t>（A05027）《来料加工出口货物免税证明核销申请表》及申报电子数据。</w:t>
            </w:r>
          </w:p>
        </w:tc>
        <w:tc>
          <w:tcPr>
            <w:tcW w:w="1118" w:type="dxa"/>
            <w:vMerge w:val="restart"/>
            <w:vAlign w:val="center"/>
          </w:tcPr>
          <w:p w:rsidR="00013EC7" w:rsidRDefault="00575CDB">
            <w:pPr>
              <w:spacing w:line="300" w:lineRule="exact"/>
              <w:jc w:val="center"/>
              <w:rPr>
                <w:rFonts w:ascii="仿宋" w:eastAsia="仿宋" w:hAnsi="仿宋" w:cs="仿宋"/>
                <w:kern w:val="1"/>
                <w:sz w:val="24"/>
              </w:rPr>
            </w:pPr>
            <w:r>
              <w:rPr>
                <w:rFonts w:ascii="仿宋" w:eastAsia="仿宋" w:hAnsi="仿宋" w:cs="仿宋" w:hint="eastAsia"/>
                <w:sz w:val="24"/>
              </w:rPr>
              <w:t>办理《来料加工免税证明》核销的出口企业纳税人提交</w:t>
            </w:r>
          </w:p>
        </w:tc>
        <w:tc>
          <w:tcPr>
            <w:tcW w:w="2403" w:type="dxa"/>
            <w:vAlign w:val="center"/>
          </w:tcPr>
          <w:p w:rsidR="00013EC7" w:rsidRDefault="00575CDB">
            <w:pPr>
              <w:rPr>
                <w:rFonts w:ascii="仿宋" w:eastAsia="仿宋" w:hAnsi="仿宋" w:cs="仿宋"/>
                <w:kern w:val="1"/>
                <w:sz w:val="24"/>
              </w:rPr>
            </w:pPr>
            <w:r>
              <w:rPr>
                <w:rFonts w:ascii="仿宋" w:eastAsia="仿宋" w:hAnsi="仿宋" w:cs="仿宋"/>
                <w:kern w:val="1"/>
                <w:sz w:val="24"/>
              </w:rPr>
              <w:t>（一）</w:t>
            </w:r>
            <w:r>
              <w:rPr>
                <w:rFonts w:ascii="仿宋" w:eastAsia="仿宋" w:hAnsi="仿宋" w:cs="仿宋" w:hint="eastAsia"/>
                <w:kern w:val="1"/>
                <w:sz w:val="24"/>
              </w:rPr>
              <w:t>（A05027）《来料加工出口货物免税证明核销申请表》及其电子数据。</w:t>
            </w:r>
          </w:p>
        </w:tc>
        <w:tc>
          <w:tcPr>
            <w:tcW w:w="1196" w:type="dxa"/>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sz w:val="24"/>
              </w:rPr>
              <w:t>办理《来料加工免税证明》核销的出口企业纳税人提交</w:t>
            </w:r>
          </w:p>
        </w:tc>
        <w:tc>
          <w:tcPr>
            <w:tcW w:w="3318" w:type="dxa"/>
            <w:vAlign w:val="center"/>
          </w:tcPr>
          <w:p w:rsidR="00013EC7" w:rsidRDefault="00575CDB">
            <w:pPr>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纳税人提交书面材料（无纸化企业留存备查）。</w:t>
            </w:r>
            <w:r>
              <w:rPr>
                <w:rFonts w:ascii="仿宋" w:eastAsia="仿宋" w:hAnsi="仿宋" w:cs="仿宋" w:hint="eastAsia"/>
                <w:b/>
                <w:sz w:val="24"/>
              </w:rPr>
              <w:t>网上办理：</w:t>
            </w:r>
            <w:r>
              <w:rPr>
                <w:rFonts w:ascii="仿宋" w:eastAsia="仿宋" w:hAnsi="仿宋" w:cs="仿宋" w:hint="eastAsia"/>
                <w:sz w:val="24"/>
              </w:rPr>
              <w:t>登录浙江省国家税务局电子税务局提交电子数据。</w:t>
            </w:r>
          </w:p>
        </w:tc>
        <w:tc>
          <w:tcPr>
            <w:tcW w:w="868" w:type="dxa"/>
            <w:vMerge w:val="restart"/>
            <w:vAlign w:val="center"/>
          </w:tcPr>
          <w:p w:rsidR="00013EC7" w:rsidRDefault="00575CDB">
            <w:pPr>
              <w:jc w:val="center"/>
              <w:rPr>
                <w:rFonts w:ascii="仿宋" w:eastAsia="仿宋" w:hAnsi="仿宋" w:cs="仿宋"/>
                <w:sz w:val="24"/>
              </w:rPr>
            </w:pPr>
            <w:r>
              <w:rPr>
                <w:rFonts w:ascii="仿宋" w:eastAsia="仿宋" w:hAnsi="仿宋" w:cs="仿宋" w:hint="eastAsia"/>
                <w:sz w:val="24"/>
              </w:rPr>
              <w:t>5个工作日</w:t>
            </w:r>
          </w:p>
        </w:tc>
        <w:tc>
          <w:tcPr>
            <w:tcW w:w="1281" w:type="dxa"/>
            <w:vMerge w:val="restart"/>
            <w:vAlign w:val="center"/>
          </w:tcPr>
          <w:p w:rsidR="00013EC7" w:rsidRDefault="00575CDB">
            <w:pPr>
              <w:rPr>
                <w:rFonts w:ascii="仿宋" w:eastAsia="仿宋" w:hAnsi="仿宋" w:cs="仿宋"/>
                <w:sz w:val="24"/>
              </w:rPr>
            </w:pPr>
            <w:r>
              <w:rPr>
                <w:rFonts w:ascii="仿宋" w:eastAsia="仿宋" w:hAnsi="仿宋" w:cs="仿宋" w:hint="eastAsia"/>
                <w:sz w:val="24"/>
              </w:rPr>
              <w:t>对符合条件的，当场</w:t>
            </w:r>
            <w:r>
              <w:rPr>
                <w:rFonts w:ascii="仿宋" w:eastAsia="仿宋" w:hAnsi="仿宋" w:cs="仿宋" w:hint="eastAsia"/>
                <w:kern w:val="1"/>
                <w:sz w:val="24"/>
              </w:rPr>
              <w:t>办结</w:t>
            </w:r>
            <w:r>
              <w:rPr>
                <w:rFonts w:ascii="仿宋" w:eastAsia="仿宋" w:hAnsi="仿宋" w:cs="仿宋" w:hint="eastAsia"/>
                <w:sz w:val="24"/>
              </w:rPr>
              <w:t>。相关资料信息等需进一步核实的，出具受理通知并自受理申请之日起5个工作日内办结。</w:t>
            </w:r>
          </w:p>
        </w:tc>
        <w:tc>
          <w:tcPr>
            <w:tcW w:w="814" w:type="dxa"/>
            <w:vMerge w:val="restart"/>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sz w:val="24"/>
              </w:rPr>
              <w:t>无纸化企业已实现跑零次</w:t>
            </w:r>
          </w:p>
        </w:tc>
        <w:tc>
          <w:tcPr>
            <w:tcW w:w="1050" w:type="dxa"/>
            <w:vMerge w:val="restart"/>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sz w:val="24"/>
              </w:rPr>
              <w:t>进出口处</w:t>
            </w:r>
          </w:p>
        </w:tc>
        <w:tc>
          <w:tcPr>
            <w:tcW w:w="1191" w:type="dxa"/>
            <w:vMerge w:val="restart"/>
            <w:vAlign w:val="center"/>
          </w:tcPr>
          <w:p w:rsidR="00013EC7" w:rsidRDefault="00013EC7">
            <w:pPr>
              <w:spacing w:line="300" w:lineRule="exact"/>
              <w:rPr>
                <w:rFonts w:ascii="仿宋" w:eastAsia="仿宋" w:hAnsi="仿宋" w:cs="仿宋"/>
                <w:sz w:val="24"/>
              </w:rPr>
            </w:pPr>
          </w:p>
        </w:tc>
      </w:tr>
      <w:tr w:rsidR="00013EC7">
        <w:trPr>
          <w:trHeight w:val="1699"/>
          <w:jc w:val="center"/>
        </w:trPr>
        <w:tc>
          <w:tcPr>
            <w:tcW w:w="1250" w:type="dxa"/>
            <w:vMerge/>
            <w:textDirection w:val="tbRlV"/>
            <w:vAlign w:val="center"/>
          </w:tcPr>
          <w:p w:rsidR="00013EC7" w:rsidRDefault="00013EC7">
            <w:pPr>
              <w:rPr>
                <w:rFonts w:ascii="仿宋" w:eastAsia="仿宋" w:hAnsi="仿宋" w:cs="仿宋"/>
                <w:sz w:val="24"/>
              </w:rPr>
            </w:pPr>
          </w:p>
        </w:tc>
        <w:tc>
          <w:tcPr>
            <w:tcW w:w="1316" w:type="dxa"/>
            <w:vMerge/>
            <w:vAlign w:val="center"/>
          </w:tcPr>
          <w:p w:rsidR="00013EC7" w:rsidRDefault="00013EC7">
            <w:pPr>
              <w:rPr>
                <w:rFonts w:ascii="仿宋" w:eastAsia="仿宋" w:hAnsi="仿宋" w:cs="仿宋"/>
                <w:sz w:val="24"/>
              </w:rPr>
            </w:pPr>
          </w:p>
        </w:tc>
        <w:tc>
          <w:tcPr>
            <w:tcW w:w="2114" w:type="dxa"/>
            <w:vMerge/>
            <w:vAlign w:val="center"/>
          </w:tcPr>
          <w:p w:rsidR="00013EC7" w:rsidRDefault="00013EC7">
            <w:pPr>
              <w:rPr>
                <w:rFonts w:ascii="仿宋" w:eastAsia="仿宋" w:hAnsi="仿宋" w:cs="仿宋"/>
                <w:sz w:val="24"/>
              </w:rPr>
            </w:pPr>
          </w:p>
        </w:tc>
        <w:tc>
          <w:tcPr>
            <w:tcW w:w="2785" w:type="dxa"/>
            <w:tcBorders>
              <w:top w:val="single" w:sz="4" w:space="0" w:color="auto"/>
            </w:tcBorders>
            <w:vAlign w:val="center"/>
          </w:tcPr>
          <w:p w:rsidR="00013EC7" w:rsidRDefault="00575CDB">
            <w:pPr>
              <w:rPr>
                <w:rFonts w:ascii="仿宋" w:eastAsia="仿宋" w:hAnsi="仿宋" w:cs="仿宋"/>
                <w:kern w:val="1"/>
                <w:sz w:val="24"/>
              </w:rPr>
            </w:pPr>
            <w:r>
              <w:rPr>
                <w:rFonts w:ascii="仿宋" w:eastAsia="仿宋" w:hAnsi="仿宋" w:cs="仿宋"/>
                <w:kern w:val="1"/>
                <w:sz w:val="24"/>
              </w:rPr>
              <w:t>（二）</w:t>
            </w:r>
            <w:r>
              <w:rPr>
                <w:rFonts w:ascii="仿宋" w:eastAsia="仿宋" w:hAnsi="仿宋" w:cs="仿宋" w:hint="eastAsia"/>
                <w:kern w:val="1"/>
                <w:sz w:val="24"/>
              </w:rPr>
              <w:t>海关签发的核销结案通知书。</w:t>
            </w:r>
          </w:p>
        </w:tc>
        <w:tc>
          <w:tcPr>
            <w:tcW w:w="1118" w:type="dxa"/>
            <w:vMerge/>
            <w:vAlign w:val="center"/>
          </w:tcPr>
          <w:p w:rsidR="00013EC7" w:rsidRDefault="00013EC7">
            <w:pPr>
              <w:rPr>
                <w:rFonts w:ascii="仿宋" w:eastAsia="仿宋" w:hAnsi="仿宋" w:cs="仿宋"/>
                <w:kern w:val="1"/>
                <w:sz w:val="24"/>
              </w:rPr>
            </w:pPr>
          </w:p>
        </w:tc>
        <w:tc>
          <w:tcPr>
            <w:tcW w:w="2403" w:type="dxa"/>
            <w:vAlign w:val="center"/>
          </w:tcPr>
          <w:p w:rsidR="00013EC7" w:rsidRDefault="00575CDB">
            <w:pPr>
              <w:rPr>
                <w:rFonts w:ascii="仿宋" w:eastAsia="仿宋" w:hAnsi="仿宋" w:cs="仿宋"/>
                <w:kern w:val="1"/>
                <w:sz w:val="24"/>
              </w:rPr>
            </w:pPr>
            <w:r>
              <w:rPr>
                <w:rFonts w:ascii="仿宋" w:eastAsia="仿宋" w:hAnsi="仿宋" w:cs="仿宋"/>
                <w:kern w:val="1"/>
                <w:sz w:val="24"/>
              </w:rPr>
              <w:t>（二）</w:t>
            </w:r>
            <w:r>
              <w:rPr>
                <w:rFonts w:ascii="仿宋" w:eastAsia="仿宋" w:hAnsi="仿宋" w:cs="仿宋" w:hint="eastAsia"/>
                <w:kern w:val="1"/>
                <w:sz w:val="24"/>
              </w:rPr>
              <w:t>海关签发的核销结案通知书。</w:t>
            </w:r>
          </w:p>
        </w:tc>
        <w:tc>
          <w:tcPr>
            <w:tcW w:w="1196" w:type="dxa"/>
            <w:vAlign w:val="center"/>
          </w:tcPr>
          <w:p w:rsidR="00013EC7" w:rsidRDefault="00575CDB">
            <w:pPr>
              <w:spacing w:line="300" w:lineRule="exact"/>
              <w:jc w:val="center"/>
              <w:rPr>
                <w:rFonts w:ascii="仿宋" w:eastAsia="仿宋" w:hAnsi="仿宋" w:cs="仿宋"/>
                <w:b/>
                <w:i/>
                <w:color w:val="4F81BD"/>
                <w:sz w:val="24"/>
              </w:rPr>
            </w:pPr>
            <w:r>
              <w:rPr>
                <w:rFonts w:ascii="仿宋" w:eastAsia="仿宋" w:hAnsi="仿宋" w:cs="仿宋" w:hint="eastAsia"/>
                <w:b/>
                <w:i/>
                <w:sz w:val="24"/>
              </w:rPr>
              <w:t>经办机构自行获取</w:t>
            </w:r>
          </w:p>
        </w:tc>
        <w:tc>
          <w:tcPr>
            <w:tcW w:w="3318" w:type="dxa"/>
            <w:vAlign w:val="center"/>
          </w:tcPr>
          <w:p w:rsidR="00013EC7" w:rsidRDefault="00575CDB">
            <w:pPr>
              <w:spacing w:line="300" w:lineRule="exact"/>
              <w:rPr>
                <w:rFonts w:ascii="仿宋" w:eastAsia="仿宋" w:hAnsi="仿宋" w:cs="仿宋"/>
                <w:color w:val="4F81BD"/>
                <w:sz w:val="24"/>
              </w:rPr>
            </w:pPr>
            <w:r>
              <w:rPr>
                <w:rFonts w:ascii="仿宋" w:eastAsia="仿宋" w:hAnsi="仿宋" w:cs="仿宋" w:hint="eastAsia"/>
                <w:b/>
                <w:sz w:val="24"/>
              </w:rPr>
              <w:t>内部共享：</w:t>
            </w:r>
            <w:r>
              <w:rPr>
                <w:rFonts w:ascii="仿宋" w:eastAsia="仿宋" w:hAnsi="仿宋" w:cs="仿宋" w:hint="eastAsia"/>
                <w:sz w:val="24"/>
              </w:rPr>
              <w:t>内部共享获取相关信息（无纸化企业留存备查，非无纸化企业需提供书面材料）。（总局）</w:t>
            </w:r>
          </w:p>
        </w:tc>
        <w:tc>
          <w:tcPr>
            <w:tcW w:w="868" w:type="dxa"/>
            <w:vMerge/>
            <w:vAlign w:val="center"/>
          </w:tcPr>
          <w:p w:rsidR="00013EC7" w:rsidRDefault="00013EC7">
            <w:pPr>
              <w:rPr>
                <w:rFonts w:ascii="仿宋" w:eastAsia="仿宋" w:hAnsi="仿宋" w:cs="仿宋"/>
                <w:sz w:val="24"/>
              </w:rPr>
            </w:pPr>
          </w:p>
        </w:tc>
        <w:tc>
          <w:tcPr>
            <w:tcW w:w="1281" w:type="dxa"/>
            <w:vMerge/>
            <w:vAlign w:val="center"/>
          </w:tcPr>
          <w:p w:rsidR="00013EC7" w:rsidRDefault="00013EC7">
            <w:pPr>
              <w:rPr>
                <w:rFonts w:ascii="仿宋" w:eastAsia="仿宋" w:hAnsi="仿宋" w:cs="仿宋"/>
                <w:sz w:val="24"/>
              </w:rPr>
            </w:pPr>
          </w:p>
        </w:tc>
        <w:tc>
          <w:tcPr>
            <w:tcW w:w="814" w:type="dxa"/>
            <w:vMerge/>
            <w:vAlign w:val="center"/>
          </w:tcPr>
          <w:p w:rsidR="00013EC7" w:rsidRDefault="00013EC7">
            <w:pPr>
              <w:rPr>
                <w:rFonts w:ascii="仿宋" w:eastAsia="仿宋" w:hAnsi="仿宋" w:cs="仿宋"/>
                <w:sz w:val="24"/>
              </w:rPr>
            </w:pPr>
          </w:p>
        </w:tc>
        <w:tc>
          <w:tcPr>
            <w:tcW w:w="1050" w:type="dxa"/>
            <w:vMerge/>
            <w:vAlign w:val="center"/>
          </w:tcPr>
          <w:p w:rsidR="00013EC7" w:rsidRDefault="00013EC7">
            <w:pPr>
              <w:rPr>
                <w:rFonts w:ascii="仿宋" w:eastAsia="仿宋" w:hAnsi="仿宋" w:cs="仿宋"/>
                <w:sz w:val="24"/>
              </w:rPr>
            </w:pPr>
          </w:p>
        </w:tc>
        <w:tc>
          <w:tcPr>
            <w:tcW w:w="1191" w:type="dxa"/>
            <w:vMerge/>
            <w:vAlign w:val="center"/>
          </w:tcPr>
          <w:p w:rsidR="00013EC7" w:rsidRDefault="00013EC7">
            <w:pPr>
              <w:rPr>
                <w:rFonts w:ascii="仿宋" w:eastAsia="仿宋" w:hAnsi="仿宋" w:cs="仿宋"/>
                <w:sz w:val="24"/>
              </w:rPr>
            </w:pPr>
          </w:p>
        </w:tc>
      </w:tr>
      <w:tr w:rsidR="00013EC7">
        <w:trPr>
          <w:trHeight w:val="340"/>
          <w:jc w:val="center"/>
        </w:trPr>
        <w:tc>
          <w:tcPr>
            <w:tcW w:w="1250" w:type="dxa"/>
            <w:vMerge/>
            <w:textDirection w:val="tbRlV"/>
            <w:vAlign w:val="center"/>
          </w:tcPr>
          <w:p w:rsidR="00013EC7" w:rsidRDefault="00013EC7">
            <w:pPr>
              <w:rPr>
                <w:rFonts w:ascii="仿宋" w:eastAsia="仿宋" w:hAnsi="仿宋" w:cs="仿宋"/>
                <w:sz w:val="24"/>
              </w:rPr>
            </w:pPr>
          </w:p>
        </w:tc>
        <w:tc>
          <w:tcPr>
            <w:tcW w:w="1316" w:type="dxa"/>
            <w:vMerge/>
            <w:vAlign w:val="center"/>
          </w:tcPr>
          <w:p w:rsidR="00013EC7" w:rsidRDefault="00013EC7">
            <w:pPr>
              <w:rPr>
                <w:rFonts w:ascii="仿宋" w:eastAsia="仿宋" w:hAnsi="仿宋" w:cs="仿宋"/>
                <w:sz w:val="24"/>
              </w:rPr>
            </w:pPr>
          </w:p>
        </w:tc>
        <w:tc>
          <w:tcPr>
            <w:tcW w:w="2114" w:type="dxa"/>
            <w:vMerge/>
            <w:vAlign w:val="center"/>
          </w:tcPr>
          <w:p w:rsidR="00013EC7" w:rsidRDefault="00013EC7">
            <w:pPr>
              <w:rPr>
                <w:rFonts w:ascii="仿宋" w:eastAsia="仿宋" w:hAnsi="仿宋" w:cs="仿宋"/>
                <w:sz w:val="24"/>
              </w:rPr>
            </w:pPr>
          </w:p>
        </w:tc>
        <w:tc>
          <w:tcPr>
            <w:tcW w:w="2785" w:type="dxa"/>
            <w:vAlign w:val="center"/>
          </w:tcPr>
          <w:p w:rsidR="00013EC7" w:rsidRDefault="00575CDB">
            <w:pPr>
              <w:rPr>
                <w:rFonts w:ascii="仿宋" w:eastAsia="仿宋" w:hAnsi="仿宋" w:cs="仿宋"/>
                <w:kern w:val="1"/>
                <w:sz w:val="24"/>
              </w:rPr>
            </w:pPr>
            <w:r>
              <w:rPr>
                <w:rFonts w:ascii="仿宋" w:eastAsia="仿宋" w:hAnsi="仿宋" w:cs="仿宋"/>
                <w:kern w:val="1"/>
                <w:sz w:val="24"/>
              </w:rPr>
              <w:t>（三）</w:t>
            </w:r>
            <w:r>
              <w:rPr>
                <w:rFonts w:ascii="仿宋" w:eastAsia="仿宋" w:hAnsi="仿宋" w:cs="仿宋" w:hint="eastAsia"/>
                <w:kern w:val="1"/>
                <w:sz w:val="24"/>
              </w:rPr>
              <w:t>（A05029）《来料加工免税证明》。</w:t>
            </w:r>
          </w:p>
        </w:tc>
        <w:tc>
          <w:tcPr>
            <w:tcW w:w="1118" w:type="dxa"/>
            <w:vMerge/>
            <w:vAlign w:val="center"/>
          </w:tcPr>
          <w:p w:rsidR="00013EC7" w:rsidRDefault="00013EC7">
            <w:pPr>
              <w:rPr>
                <w:rFonts w:ascii="仿宋" w:eastAsia="仿宋" w:hAnsi="仿宋" w:cs="仿宋"/>
                <w:kern w:val="1"/>
                <w:sz w:val="24"/>
              </w:rPr>
            </w:pPr>
          </w:p>
        </w:tc>
        <w:tc>
          <w:tcPr>
            <w:tcW w:w="2403" w:type="dxa"/>
            <w:vAlign w:val="center"/>
          </w:tcPr>
          <w:p w:rsidR="00013EC7" w:rsidRDefault="00575CDB">
            <w:pPr>
              <w:rPr>
                <w:rFonts w:ascii="仿宋" w:eastAsia="仿宋" w:hAnsi="仿宋" w:cs="仿宋"/>
                <w:kern w:val="1"/>
                <w:sz w:val="24"/>
              </w:rPr>
            </w:pPr>
            <w:r>
              <w:rPr>
                <w:rFonts w:ascii="仿宋" w:eastAsia="仿宋" w:hAnsi="仿宋" w:cs="仿宋"/>
                <w:kern w:val="1"/>
                <w:sz w:val="24"/>
              </w:rPr>
              <w:t>（三）</w:t>
            </w:r>
            <w:r>
              <w:rPr>
                <w:rFonts w:ascii="仿宋" w:eastAsia="仿宋" w:hAnsi="仿宋" w:cs="仿宋" w:hint="eastAsia"/>
                <w:kern w:val="1"/>
                <w:sz w:val="24"/>
              </w:rPr>
              <w:t>（A05029）《来料加工免税证明》。</w:t>
            </w:r>
          </w:p>
        </w:tc>
        <w:tc>
          <w:tcPr>
            <w:tcW w:w="1196" w:type="dxa"/>
            <w:vAlign w:val="center"/>
          </w:tcPr>
          <w:p w:rsidR="00013EC7" w:rsidRDefault="00575CDB">
            <w:pPr>
              <w:spacing w:line="300" w:lineRule="exact"/>
              <w:jc w:val="center"/>
              <w:rPr>
                <w:rFonts w:ascii="仿宋" w:eastAsia="仿宋" w:hAnsi="仿宋" w:cs="仿宋"/>
                <w:b/>
                <w:i/>
                <w:sz w:val="24"/>
              </w:rPr>
            </w:pPr>
            <w:r>
              <w:rPr>
                <w:rFonts w:ascii="仿宋" w:eastAsia="仿宋" w:hAnsi="仿宋" w:cs="仿宋" w:hint="eastAsia"/>
                <w:b/>
                <w:i/>
                <w:sz w:val="24"/>
              </w:rPr>
              <w:t>经办机构自行获取</w:t>
            </w:r>
          </w:p>
        </w:tc>
        <w:tc>
          <w:tcPr>
            <w:tcW w:w="3318"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b/>
                <w:sz w:val="24"/>
              </w:rPr>
              <w:t>内部共享：</w:t>
            </w:r>
            <w:r>
              <w:rPr>
                <w:rFonts w:ascii="仿宋" w:eastAsia="仿宋" w:hAnsi="仿宋" w:cs="仿宋" w:hint="eastAsia"/>
                <w:sz w:val="24"/>
              </w:rPr>
              <w:t>内部共享获取相关信息（无纸化企业留存备查，非无纸化企业需提供书面材料）。</w:t>
            </w:r>
          </w:p>
        </w:tc>
        <w:tc>
          <w:tcPr>
            <w:tcW w:w="868" w:type="dxa"/>
            <w:vMerge/>
            <w:vAlign w:val="center"/>
          </w:tcPr>
          <w:p w:rsidR="00013EC7" w:rsidRDefault="00013EC7">
            <w:pPr>
              <w:rPr>
                <w:rFonts w:ascii="仿宋" w:eastAsia="仿宋" w:hAnsi="仿宋" w:cs="仿宋"/>
                <w:sz w:val="24"/>
              </w:rPr>
            </w:pPr>
          </w:p>
        </w:tc>
        <w:tc>
          <w:tcPr>
            <w:tcW w:w="1281" w:type="dxa"/>
            <w:vMerge/>
            <w:vAlign w:val="center"/>
          </w:tcPr>
          <w:p w:rsidR="00013EC7" w:rsidRDefault="00013EC7">
            <w:pPr>
              <w:rPr>
                <w:rFonts w:ascii="仿宋" w:eastAsia="仿宋" w:hAnsi="仿宋" w:cs="仿宋"/>
                <w:sz w:val="24"/>
              </w:rPr>
            </w:pPr>
          </w:p>
        </w:tc>
        <w:tc>
          <w:tcPr>
            <w:tcW w:w="814" w:type="dxa"/>
            <w:vMerge/>
            <w:vAlign w:val="center"/>
          </w:tcPr>
          <w:p w:rsidR="00013EC7" w:rsidRDefault="00013EC7">
            <w:pPr>
              <w:rPr>
                <w:rFonts w:ascii="仿宋" w:eastAsia="仿宋" w:hAnsi="仿宋" w:cs="仿宋"/>
                <w:sz w:val="24"/>
              </w:rPr>
            </w:pPr>
          </w:p>
        </w:tc>
        <w:tc>
          <w:tcPr>
            <w:tcW w:w="1050" w:type="dxa"/>
            <w:vMerge/>
            <w:vAlign w:val="center"/>
          </w:tcPr>
          <w:p w:rsidR="00013EC7" w:rsidRDefault="00013EC7">
            <w:pPr>
              <w:rPr>
                <w:rFonts w:ascii="仿宋" w:eastAsia="仿宋" w:hAnsi="仿宋" w:cs="仿宋"/>
                <w:sz w:val="24"/>
              </w:rPr>
            </w:pPr>
          </w:p>
        </w:tc>
        <w:tc>
          <w:tcPr>
            <w:tcW w:w="1191" w:type="dxa"/>
            <w:vMerge/>
            <w:vAlign w:val="center"/>
          </w:tcPr>
          <w:p w:rsidR="00013EC7" w:rsidRDefault="00013EC7">
            <w:pPr>
              <w:rPr>
                <w:rFonts w:ascii="仿宋" w:eastAsia="仿宋" w:hAnsi="仿宋" w:cs="仿宋"/>
                <w:sz w:val="24"/>
              </w:rPr>
            </w:pPr>
          </w:p>
        </w:tc>
      </w:tr>
      <w:tr w:rsidR="00013EC7">
        <w:trPr>
          <w:trHeight w:val="2752"/>
          <w:jc w:val="center"/>
        </w:trPr>
        <w:tc>
          <w:tcPr>
            <w:tcW w:w="1250" w:type="dxa"/>
            <w:vMerge/>
            <w:vAlign w:val="center"/>
          </w:tcPr>
          <w:p w:rsidR="00013EC7" w:rsidRDefault="00013EC7">
            <w:pPr>
              <w:rPr>
                <w:rFonts w:ascii="仿宋" w:eastAsia="仿宋" w:hAnsi="仿宋" w:cs="仿宋"/>
                <w:sz w:val="24"/>
              </w:rPr>
            </w:pPr>
          </w:p>
        </w:tc>
        <w:tc>
          <w:tcPr>
            <w:tcW w:w="1316" w:type="dxa"/>
            <w:vMerge/>
            <w:vAlign w:val="center"/>
          </w:tcPr>
          <w:p w:rsidR="00013EC7" w:rsidRDefault="00013EC7">
            <w:pPr>
              <w:rPr>
                <w:rFonts w:ascii="仿宋" w:eastAsia="仿宋" w:hAnsi="仿宋" w:cs="仿宋"/>
                <w:sz w:val="24"/>
              </w:rPr>
            </w:pPr>
          </w:p>
        </w:tc>
        <w:tc>
          <w:tcPr>
            <w:tcW w:w="2114" w:type="dxa"/>
            <w:vMerge/>
            <w:vAlign w:val="center"/>
          </w:tcPr>
          <w:p w:rsidR="00013EC7" w:rsidRDefault="00013EC7">
            <w:pPr>
              <w:rPr>
                <w:rFonts w:ascii="仿宋" w:eastAsia="仿宋" w:hAnsi="仿宋" w:cs="仿宋"/>
                <w:sz w:val="24"/>
              </w:rPr>
            </w:pPr>
          </w:p>
        </w:tc>
        <w:tc>
          <w:tcPr>
            <w:tcW w:w="2785" w:type="dxa"/>
            <w:vAlign w:val="center"/>
          </w:tcPr>
          <w:p w:rsidR="00013EC7" w:rsidRDefault="00575CDB">
            <w:pPr>
              <w:rPr>
                <w:rFonts w:ascii="仿宋" w:eastAsia="仿宋" w:hAnsi="仿宋" w:cs="仿宋"/>
                <w:kern w:val="1"/>
                <w:sz w:val="24"/>
              </w:rPr>
            </w:pPr>
            <w:r>
              <w:rPr>
                <w:rFonts w:ascii="仿宋" w:eastAsia="仿宋" w:hAnsi="仿宋" w:cs="仿宋"/>
                <w:kern w:val="1"/>
                <w:sz w:val="24"/>
              </w:rPr>
              <w:t>（四）</w:t>
            </w:r>
            <w:r>
              <w:rPr>
                <w:rFonts w:ascii="仿宋" w:eastAsia="仿宋" w:hAnsi="仿宋" w:cs="仿宋" w:hint="eastAsia"/>
                <w:kern w:val="1"/>
                <w:sz w:val="24"/>
              </w:rPr>
              <w:t>加工企业开具的加工费的普通发票原件及复印件（注明与原件一致，并加盖公章）。</w:t>
            </w:r>
          </w:p>
        </w:tc>
        <w:tc>
          <w:tcPr>
            <w:tcW w:w="1118" w:type="dxa"/>
            <w:vMerge/>
            <w:vAlign w:val="center"/>
          </w:tcPr>
          <w:p w:rsidR="00013EC7" w:rsidRDefault="00013EC7">
            <w:pPr>
              <w:rPr>
                <w:rFonts w:ascii="仿宋" w:eastAsia="仿宋" w:hAnsi="仿宋" w:cs="仿宋"/>
                <w:kern w:val="1"/>
                <w:sz w:val="24"/>
              </w:rPr>
            </w:pPr>
          </w:p>
        </w:tc>
        <w:tc>
          <w:tcPr>
            <w:tcW w:w="2403" w:type="dxa"/>
            <w:vAlign w:val="center"/>
          </w:tcPr>
          <w:p w:rsidR="00013EC7" w:rsidRDefault="00575CDB">
            <w:pPr>
              <w:rPr>
                <w:rFonts w:ascii="仿宋" w:eastAsia="仿宋" w:hAnsi="仿宋" w:cs="仿宋"/>
                <w:kern w:val="1"/>
                <w:sz w:val="24"/>
              </w:rPr>
            </w:pPr>
            <w:r>
              <w:rPr>
                <w:rFonts w:ascii="仿宋" w:eastAsia="仿宋" w:hAnsi="仿宋" w:cs="仿宋"/>
                <w:kern w:val="1"/>
                <w:sz w:val="24"/>
              </w:rPr>
              <w:t>（四）</w:t>
            </w:r>
            <w:r>
              <w:rPr>
                <w:rFonts w:ascii="仿宋" w:eastAsia="仿宋" w:hAnsi="仿宋" w:cs="仿宋" w:hint="eastAsia"/>
                <w:kern w:val="1"/>
                <w:sz w:val="24"/>
              </w:rPr>
              <w:t>加工企业开具的加工费的普通发票原件及复印件（注明与原件一致，并加盖公章）。</w:t>
            </w:r>
          </w:p>
        </w:tc>
        <w:tc>
          <w:tcPr>
            <w:tcW w:w="1196" w:type="dxa"/>
            <w:vAlign w:val="center"/>
          </w:tcPr>
          <w:p w:rsidR="00013EC7" w:rsidRDefault="00575CDB">
            <w:pPr>
              <w:spacing w:line="300" w:lineRule="exact"/>
              <w:jc w:val="center"/>
              <w:rPr>
                <w:rFonts w:ascii="仿宋" w:eastAsia="仿宋" w:hAnsi="仿宋" w:cs="仿宋"/>
                <w:b/>
                <w:i/>
                <w:sz w:val="24"/>
              </w:rPr>
            </w:pPr>
            <w:r>
              <w:rPr>
                <w:rFonts w:ascii="仿宋" w:eastAsia="仿宋" w:hAnsi="仿宋" w:cs="仿宋" w:hint="eastAsia"/>
                <w:b/>
                <w:i/>
                <w:sz w:val="24"/>
              </w:rPr>
              <w:t>经办机构自行获取</w:t>
            </w:r>
          </w:p>
        </w:tc>
        <w:tc>
          <w:tcPr>
            <w:tcW w:w="3318"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b/>
                <w:sz w:val="24"/>
              </w:rPr>
              <w:t>内部共享：</w:t>
            </w:r>
            <w:r>
              <w:rPr>
                <w:rFonts w:ascii="仿宋" w:eastAsia="仿宋" w:hAnsi="仿宋" w:cs="仿宋" w:hint="eastAsia"/>
                <w:sz w:val="24"/>
              </w:rPr>
              <w:t>内部共享获取相关信息（无纸化企业留存备查，非无纸化企业需提供书面材料）。（省外加工企业开具发票由纳税人提供）</w:t>
            </w:r>
          </w:p>
        </w:tc>
        <w:tc>
          <w:tcPr>
            <w:tcW w:w="868" w:type="dxa"/>
            <w:vMerge/>
            <w:vAlign w:val="center"/>
          </w:tcPr>
          <w:p w:rsidR="00013EC7" w:rsidRDefault="00013EC7">
            <w:pPr>
              <w:rPr>
                <w:rFonts w:ascii="仿宋" w:eastAsia="仿宋" w:hAnsi="仿宋" w:cs="仿宋"/>
                <w:sz w:val="24"/>
              </w:rPr>
            </w:pPr>
          </w:p>
        </w:tc>
        <w:tc>
          <w:tcPr>
            <w:tcW w:w="1281" w:type="dxa"/>
            <w:vMerge/>
            <w:vAlign w:val="center"/>
          </w:tcPr>
          <w:p w:rsidR="00013EC7" w:rsidRDefault="00013EC7">
            <w:pPr>
              <w:rPr>
                <w:rFonts w:ascii="仿宋" w:eastAsia="仿宋" w:hAnsi="仿宋" w:cs="仿宋"/>
                <w:sz w:val="24"/>
              </w:rPr>
            </w:pPr>
          </w:p>
        </w:tc>
        <w:tc>
          <w:tcPr>
            <w:tcW w:w="814" w:type="dxa"/>
            <w:vMerge/>
            <w:vAlign w:val="center"/>
          </w:tcPr>
          <w:p w:rsidR="00013EC7" w:rsidRDefault="00013EC7">
            <w:pPr>
              <w:rPr>
                <w:rFonts w:ascii="仿宋" w:eastAsia="仿宋" w:hAnsi="仿宋" w:cs="仿宋"/>
                <w:sz w:val="24"/>
              </w:rPr>
            </w:pPr>
          </w:p>
        </w:tc>
        <w:tc>
          <w:tcPr>
            <w:tcW w:w="1050" w:type="dxa"/>
            <w:vMerge/>
            <w:vAlign w:val="center"/>
          </w:tcPr>
          <w:p w:rsidR="00013EC7" w:rsidRDefault="00013EC7">
            <w:pPr>
              <w:rPr>
                <w:rFonts w:ascii="仿宋" w:eastAsia="仿宋" w:hAnsi="仿宋" w:cs="仿宋"/>
                <w:sz w:val="24"/>
              </w:rPr>
            </w:pPr>
          </w:p>
        </w:tc>
        <w:tc>
          <w:tcPr>
            <w:tcW w:w="1191" w:type="dxa"/>
            <w:vMerge/>
            <w:vAlign w:val="center"/>
          </w:tcPr>
          <w:p w:rsidR="00013EC7" w:rsidRDefault="00013EC7">
            <w:pPr>
              <w:rPr>
                <w:rFonts w:ascii="仿宋" w:eastAsia="仿宋" w:hAnsi="仿宋" w:cs="仿宋"/>
                <w:sz w:val="24"/>
              </w:rPr>
            </w:pPr>
          </w:p>
        </w:tc>
      </w:tr>
    </w:tbl>
    <w:p w:rsidR="00013EC7" w:rsidRDefault="00575CDB">
      <w:pPr>
        <w:jc w:val="center"/>
        <w:rPr>
          <w:rFonts w:eastAsia="方正书宋简体"/>
          <w:szCs w:val="21"/>
        </w:rPr>
      </w:pPr>
      <w:r>
        <w:object w:dxaOrig="8227" w:dyaOrig="11919">
          <v:shape id="_x0000_i1224" type="#_x0000_t75" style="width:411.35pt;height:595.95pt" o:ole="">
            <v:imagedata r:id="rId524" o:title=""/>
          </v:shape>
          <o:OLEObject Type="Embed" ProgID="Visio.Drawing.11" ShapeID="_x0000_i1224" DrawAspect="Content" ObjectID="_1577296143" r:id="rId525"/>
        </w:object>
      </w:r>
      <w:r>
        <w:object w:dxaOrig="8184" w:dyaOrig="11392">
          <v:shape id="_x0000_i1225" type="#_x0000_t75" style="width:409.6pt;height:569.6pt" o:ole="">
            <v:imagedata r:id="rId526" o:title=""/>
          </v:shape>
          <o:OLEObject Type="Embed" ProgID="Visio.Drawing.11" ShapeID="_x0000_i1225" DrawAspect="Content" ObjectID="_1577296144" r:id="rId527"/>
        </w:object>
      </w:r>
    </w:p>
    <w:p w:rsidR="00013EC7" w:rsidRDefault="00013EC7">
      <w:pPr>
        <w:rPr>
          <w:rFonts w:ascii="宋体" w:hAnsi="宋体" w:cs="仿宋"/>
          <w:sz w:val="28"/>
          <w:szCs w:val="28"/>
        </w:rPr>
      </w:pPr>
    </w:p>
    <w:p w:rsidR="00013EC7" w:rsidRDefault="00575CDB">
      <w:pPr>
        <w:pStyle w:val="2"/>
      </w:pPr>
      <w:bookmarkStart w:id="647" w:name="_Toc503467499"/>
      <w:bookmarkStart w:id="648" w:name="_Toc9828"/>
      <w:bookmarkStart w:id="649" w:name="_Toc23949"/>
      <w:bookmarkStart w:id="650" w:name="_Toc23181"/>
      <w:r>
        <w:rPr>
          <w:rFonts w:hint="eastAsia"/>
        </w:rPr>
        <w:lastRenderedPageBreak/>
        <w:t>29.18</w:t>
      </w:r>
      <w:r>
        <w:rPr>
          <w:rFonts w:hint="eastAsia"/>
        </w:rPr>
        <w:t>《出口卷烟已免税证明》核销</w:t>
      </w:r>
      <w:bookmarkEnd w:id="647"/>
      <w:bookmarkEnd w:id="648"/>
      <w:bookmarkEnd w:id="649"/>
      <w:bookmarkEnd w:id="650"/>
    </w:p>
    <w:p w:rsidR="00013EC7" w:rsidRDefault="00575CDB">
      <w:pPr>
        <w:jc w:val="center"/>
        <w:rPr>
          <w:rFonts w:ascii="宋体" w:hAnsi="宋体" w:cs="宋体"/>
          <w:b/>
          <w:bCs/>
          <w:sz w:val="52"/>
          <w:szCs w:val="52"/>
        </w:rPr>
      </w:pPr>
      <w:r>
        <w:rPr>
          <w:rFonts w:ascii="宋体" w:hAnsi="宋体" w:cs="宋体" w:hint="eastAsia"/>
          <w:b/>
          <w:bCs/>
          <w:sz w:val="52"/>
          <w:szCs w:val="52"/>
        </w:rPr>
        <w:t>全省“最多跑一次”事项“八统一”梳理表</w:t>
      </w:r>
    </w:p>
    <w:p w:rsidR="00013EC7" w:rsidRDefault="00013EC7">
      <w:pPr>
        <w:rPr>
          <w:rFonts w:ascii="宋体" w:hAnsi="宋体" w:cs="宋体"/>
          <w:b/>
          <w:bCs/>
          <w:sz w:val="44"/>
          <w:szCs w:val="44"/>
        </w:rPr>
      </w:pPr>
    </w:p>
    <w:tbl>
      <w:tblPr>
        <w:tblW w:w="20704"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1250"/>
        <w:gridCol w:w="1316"/>
        <w:gridCol w:w="2114"/>
        <w:gridCol w:w="2785"/>
        <w:gridCol w:w="1118"/>
        <w:gridCol w:w="2403"/>
        <w:gridCol w:w="1196"/>
        <w:gridCol w:w="3318"/>
        <w:gridCol w:w="868"/>
        <w:gridCol w:w="789"/>
        <w:gridCol w:w="967"/>
        <w:gridCol w:w="1104"/>
        <w:gridCol w:w="1476"/>
      </w:tblGrid>
      <w:tr w:rsidR="00013EC7">
        <w:trPr>
          <w:trHeight w:val="340"/>
          <w:tblHeader/>
          <w:jc w:val="center"/>
        </w:trPr>
        <w:tc>
          <w:tcPr>
            <w:tcW w:w="1250"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主项名称</w:t>
            </w:r>
          </w:p>
        </w:tc>
        <w:tc>
          <w:tcPr>
            <w:tcW w:w="1316"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子项名称</w:t>
            </w:r>
          </w:p>
        </w:tc>
        <w:tc>
          <w:tcPr>
            <w:tcW w:w="2114"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经办依据</w:t>
            </w:r>
          </w:p>
        </w:tc>
        <w:tc>
          <w:tcPr>
            <w:tcW w:w="3903"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原经办所需材料</w:t>
            </w:r>
          </w:p>
        </w:tc>
        <w:tc>
          <w:tcPr>
            <w:tcW w:w="6917" w:type="dxa"/>
            <w:gridSpan w:val="3"/>
            <w:vAlign w:val="center"/>
          </w:tcPr>
          <w:p w:rsidR="00013EC7" w:rsidRDefault="00575CDB">
            <w:pPr>
              <w:spacing w:line="280" w:lineRule="exact"/>
              <w:jc w:val="center"/>
              <w:rPr>
                <w:rFonts w:ascii="黑体" w:eastAsia="黑体"/>
                <w:sz w:val="24"/>
              </w:rPr>
            </w:pPr>
            <w:r>
              <w:rPr>
                <w:rFonts w:ascii="黑体" w:eastAsia="黑体" w:hint="eastAsia"/>
                <w:sz w:val="24"/>
              </w:rPr>
              <w:t>梳理后经办所需材料</w:t>
            </w:r>
          </w:p>
        </w:tc>
        <w:tc>
          <w:tcPr>
            <w:tcW w:w="1657"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办理时限</w:t>
            </w:r>
          </w:p>
        </w:tc>
        <w:tc>
          <w:tcPr>
            <w:tcW w:w="967"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是否实现跑零次</w:t>
            </w:r>
          </w:p>
        </w:tc>
        <w:tc>
          <w:tcPr>
            <w:tcW w:w="1104"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省厅对口</w:t>
            </w:r>
          </w:p>
          <w:p w:rsidR="00013EC7" w:rsidRDefault="00575CDB">
            <w:pPr>
              <w:spacing w:line="280" w:lineRule="exact"/>
              <w:jc w:val="center"/>
              <w:rPr>
                <w:rFonts w:ascii="黑体" w:eastAsia="黑体"/>
                <w:sz w:val="24"/>
              </w:rPr>
            </w:pPr>
            <w:r>
              <w:rPr>
                <w:rFonts w:ascii="黑体" w:eastAsia="黑体" w:hint="eastAsia"/>
                <w:sz w:val="24"/>
              </w:rPr>
              <w:t>指导处室</w:t>
            </w:r>
          </w:p>
          <w:p w:rsidR="00013EC7" w:rsidRDefault="00575CDB">
            <w:pPr>
              <w:spacing w:line="280" w:lineRule="exact"/>
              <w:jc w:val="center"/>
              <w:rPr>
                <w:rFonts w:ascii="黑体" w:eastAsia="黑体"/>
                <w:sz w:val="24"/>
              </w:rPr>
            </w:pPr>
            <w:r>
              <w:rPr>
                <w:rFonts w:ascii="黑体" w:eastAsia="黑体" w:hint="eastAsia"/>
                <w:sz w:val="24"/>
              </w:rPr>
              <w:t>（单位）</w:t>
            </w:r>
          </w:p>
        </w:tc>
        <w:tc>
          <w:tcPr>
            <w:tcW w:w="1476"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进一步精简、</w:t>
            </w:r>
          </w:p>
          <w:p w:rsidR="00013EC7" w:rsidRDefault="00575CDB">
            <w:pPr>
              <w:spacing w:line="280" w:lineRule="exact"/>
              <w:jc w:val="center"/>
              <w:rPr>
                <w:rFonts w:ascii="黑体" w:eastAsia="黑体"/>
                <w:sz w:val="24"/>
              </w:rPr>
            </w:pPr>
            <w:r>
              <w:rPr>
                <w:rFonts w:ascii="黑体" w:eastAsia="黑体" w:hint="eastAsia"/>
                <w:sz w:val="24"/>
              </w:rPr>
              <w:t>规范建议</w:t>
            </w:r>
          </w:p>
        </w:tc>
      </w:tr>
      <w:tr w:rsidR="00013EC7">
        <w:trPr>
          <w:trHeight w:val="340"/>
          <w:tblHeader/>
          <w:jc w:val="center"/>
        </w:trPr>
        <w:tc>
          <w:tcPr>
            <w:tcW w:w="1250" w:type="dxa"/>
            <w:vMerge/>
            <w:vAlign w:val="center"/>
          </w:tcPr>
          <w:p w:rsidR="00013EC7" w:rsidRDefault="00013EC7">
            <w:pPr>
              <w:rPr>
                <w:sz w:val="24"/>
              </w:rPr>
            </w:pPr>
          </w:p>
        </w:tc>
        <w:tc>
          <w:tcPr>
            <w:tcW w:w="1316" w:type="dxa"/>
            <w:vMerge/>
          </w:tcPr>
          <w:p w:rsidR="00013EC7" w:rsidRDefault="00013EC7">
            <w:pPr>
              <w:rPr>
                <w:sz w:val="24"/>
              </w:rPr>
            </w:pPr>
          </w:p>
        </w:tc>
        <w:tc>
          <w:tcPr>
            <w:tcW w:w="2114" w:type="dxa"/>
            <w:vMerge/>
          </w:tcPr>
          <w:p w:rsidR="00013EC7" w:rsidRDefault="00013EC7">
            <w:pPr>
              <w:rPr>
                <w:sz w:val="24"/>
              </w:rPr>
            </w:pPr>
          </w:p>
        </w:tc>
        <w:tc>
          <w:tcPr>
            <w:tcW w:w="2785" w:type="dxa"/>
            <w:tcBorders>
              <w:bottom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118"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2403" w:type="dxa"/>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196"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3318" w:type="dxa"/>
            <w:vAlign w:val="center"/>
          </w:tcPr>
          <w:p w:rsidR="00013EC7" w:rsidRDefault="00575CDB">
            <w:pPr>
              <w:spacing w:line="280" w:lineRule="exact"/>
              <w:jc w:val="center"/>
              <w:rPr>
                <w:rFonts w:ascii="黑体" w:eastAsia="黑体"/>
                <w:sz w:val="24"/>
              </w:rPr>
            </w:pPr>
            <w:r>
              <w:rPr>
                <w:rFonts w:ascii="黑体" w:eastAsia="黑体" w:hint="eastAsia"/>
                <w:sz w:val="24"/>
              </w:rPr>
              <w:t>办理方式及材料</w:t>
            </w:r>
          </w:p>
          <w:p w:rsidR="00013EC7" w:rsidRDefault="00575CDB">
            <w:pPr>
              <w:spacing w:line="280" w:lineRule="exact"/>
              <w:jc w:val="center"/>
              <w:rPr>
                <w:rFonts w:ascii="黑体" w:eastAsia="黑体"/>
                <w:sz w:val="24"/>
              </w:rPr>
            </w:pPr>
            <w:r>
              <w:rPr>
                <w:rFonts w:ascii="黑体" w:eastAsia="黑体" w:hint="eastAsia"/>
                <w:sz w:val="24"/>
              </w:rPr>
              <w:t>信息获取方式说明</w:t>
            </w:r>
          </w:p>
        </w:tc>
        <w:tc>
          <w:tcPr>
            <w:tcW w:w="868" w:type="dxa"/>
            <w:vAlign w:val="center"/>
          </w:tcPr>
          <w:p w:rsidR="00013EC7" w:rsidRDefault="00575CDB">
            <w:pPr>
              <w:spacing w:line="280" w:lineRule="exact"/>
              <w:jc w:val="center"/>
              <w:rPr>
                <w:rFonts w:ascii="黑体" w:eastAsia="黑体"/>
                <w:sz w:val="24"/>
              </w:rPr>
            </w:pPr>
            <w:r>
              <w:rPr>
                <w:rFonts w:ascii="黑体" w:eastAsia="黑体" w:hint="eastAsia"/>
                <w:sz w:val="24"/>
              </w:rPr>
              <w:t>优化前</w:t>
            </w:r>
          </w:p>
        </w:tc>
        <w:tc>
          <w:tcPr>
            <w:tcW w:w="789" w:type="dxa"/>
            <w:vAlign w:val="center"/>
          </w:tcPr>
          <w:p w:rsidR="00013EC7" w:rsidRDefault="00575CDB">
            <w:pPr>
              <w:spacing w:line="280" w:lineRule="exact"/>
              <w:jc w:val="center"/>
              <w:rPr>
                <w:rFonts w:ascii="黑体" w:eastAsia="黑体"/>
                <w:sz w:val="24"/>
              </w:rPr>
            </w:pPr>
            <w:r>
              <w:rPr>
                <w:rFonts w:ascii="黑体" w:eastAsia="黑体" w:hint="eastAsia"/>
                <w:sz w:val="24"/>
              </w:rPr>
              <w:t>优化后</w:t>
            </w:r>
          </w:p>
        </w:tc>
        <w:tc>
          <w:tcPr>
            <w:tcW w:w="967" w:type="dxa"/>
            <w:vMerge/>
            <w:vAlign w:val="center"/>
          </w:tcPr>
          <w:p w:rsidR="00013EC7" w:rsidRDefault="00013EC7">
            <w:pPr>
              <w:rPr>
                <w:sz w:val="24"/>
              </w:rPr>
            </w:pPr>
          </w:p>
        </w:tc>
        <w:tc>
          <w:tcPr>
            <w:tcW w:w="1104" w:type="dxa"/>
            <w:vMerge/>
            <w:vAlign w:val="center"/>
          </w:tcPr>
          <w:p w:rsidR="00013EC7" w:rsidRDefault="00013EC7">
            <w:pPr>
              <w:rPr>
                <w:sz w:val="24"/>
              </w:rPr>
            </w:pPr>
          </w:p>
        </w:tc>
        <w:tc>
          <w:tcPr>
            <w:tcW w:w="1476" w:type="dxa"/>
            <w:vMerge/>
            <w:vAlign w:val="center"/>
          </w:tcPr>
          <w:p w:rsidR="00013EC7" w:rsidRDefault="00013EC7">
            <w:pPr>
              <w:rPr>
                <w:sz w:val="24"/>
              </w:rPr>
            </w:pPr>
          </w:p>
        </w:tc>
      </w:tr>
      <w:tr w:rsidR="00013EC7">
        <w:trPr>
          <w:trHeight w:val="1475"/>
          <w:jc w:val="center"/>
        </w:trPr>
        <w:tc>
          <w:tcPr>
            <w:tcW w:w="1250" w:type="dxa"/>
            <w:vMerge w:val="restart"/>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29.出口退（免）税事项办理</w:t>
            </w:r>
          </w:p>
        </w:tc>
        <w:tc>
          <w:tcPr>
            <w:tcW w:w="1316" w:type="dxa"/>
            <w:vMerge w:val="restart"/>
            <w:vAlign w:val="center"/>
          </w:tcPr>
          <w:p w:rsidR="00013EC7" w:rsidRDefault="00575CDB">
            <w:pPr>
              <w:spacing w:line="310" w:lineRule="exact"/>
              <w:rPr>
                <w:rFonts w:ascii="仿宋" w:eastAsia="仿宋" w:hAnsi="仿宋" w:cs="仿宋"/>
                <w:sz w:val="24"/>
              </w:rPr>
            </w:pPr>
            <w:r>
              <w:rPr>
                <w:rFonts w:ascii="仿宋" w:eastAsia="仿宋" w:hAnsi="仿宋" w:cs="仿宋" w:hint="eastAsia"/>
                <w:sz w:val="24"/>
              </w:rPr>
              <w:t>29.18《出口卷烟已免税证明》核销</w:t>
            </w:r>
          </w:p>
        </w:tc>
        <w:tc>
          <w:tcPr>
            <w:tcW w:w="2114" w:type="dxa"/>
            <w:vMerge w:val="restart"/>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（一）</w:t>
            </w:r>
            <w:r>
              <w:rPr>
                <w:rFonts w:ascii="仿宋" w:eastAsia="仿宋" w:hAnsi="仿宋" w:cs="仿宋"/>
                <w:kern w:val="1"/>
                <w:sz w:val="24"/>
              </w:rPr>
              <w:t>《国家税务总局关于发布&lt;出口货物劳务增值税和消费税管理办法&gt;的公告》（国家税务总局公告2012年第24号）</w:t>
            </w:r>
            <w:r>
              <w:rPr>
                <w:rFonts w:ascii="仿宋" w:eastAsia="仿宋" w:hAnsi="仿宋" w:cs="仿宋" w:hint="eastAsia"/>
                <w:kern w:val="1"/>
                <w:sz w:val="24"/>
              </w:rPr>
              <w:t>第九条第（四）项。</w:t>
            </w:r>
          </w:p>
          <w:p w:rsidR="00013EC7" w:rsidRDefault="00575CDB">
            <w:pPr>
              <w:rPr>
                <w:rFonts w:ascii="仿宋" w:eastAsia="仿宋" w:hAnsi="仿宋" w:cs="仿宋"/>
                <w:kern w:val="1"/>
                <w:sz w:val="24"/>
              </w:rPr>
            </w:pPr>
            <w:r>
              <w:rPr>
                <w:rFonts w:ascii="仿宋" w:eastAsia="仿宋" w:hAnsi="仿宋" w:cs="仿宋" w:hint="eastAsia"/>
                <w:kern w:val="1"/>
                <w:sz w:val="24"/>
              </w:rPr>
              <w:t>（二）《浙江省国家税务局关于出口退（免）税无纸化申报的公告》（浙江省国家税务局公告</w:t>
            </w:r>
            <w:r>
              <w:rPr>
                <w:rFonts w:ascii="仿宋" w:eastAsia="仿宋" w:hAnsi="仿宋" w:cs="仿宋"/>
                <w:kern w:val="1"/>
                <w:sz w:val="24"/>
              </w:rPr>
              <w:t>2015</w:t>
            </w:r>
            <w:r>
              <w:rPr>
                <w:rFonts w:ascii="仿宋" w:eastAsia="仿宋" w:hAnsi="仿宋" w:cs="仿宋" w:hint="eastAsia"/>
                <w:kern w:val="1"/>
                <w:sz w:val="24"/>
              </w:rPr>
              <w:t>年第</w:t>
            </w:r>
            <w:r>
              <w:rPr>
                <w:rFonts w:ascii="仿宋" w:eastAsia="仿宋" w:hAnsi="仿宋" w:cs="仿宋"/>
                <w:kern w:val="1"/>
                <w:sz w:val="24"/>
              </w:rPr>
              <w:t>9</w:t>
            </w:r>
            <w:r>
              <w:rPr>
                <w:rFonts w:ascii="仿宋" w:eastAsia="仿宋" w:hAnsi="仿宋" w:cs="仿宋" w:hint="eastAsia"/>
                <w:kern w:val="1"/>
                <w:sz w:val="24"/>
              </w:rPr>
              <w:t>号）全文。</w:t>
            </w:r>
          </w:p>
        </w:tc>
        <w:tc>
          <w:tcPr>
            <w:tcW w:w="2785" w:type="dxa"/>
            <w:tcBorders>
              <w:top w:val="single" w:sz="4" w:space="0" w:color="auto"/>
              <w:bottom w:val="single" w:sz="4" w:space="0" w:color="auto"/>
            </w:tcBorders>
            <w:vAlign w:val="center"/>
          </w:tcPr>
          <w:p w:rsidR="00013EC7" w:rsidRDefault="00575CDB">
            <w:pPr>
              <w:rPr>
                <w:rFonts w:ascii="仿宋" w:eastAsia="仿宋" w:hAnsi="仿宋" w:cs="仿宋"/>
                <w:kern w:val="1"/>
                <w:sz w:val="24"/>
              </w:rPr>
            </w:pPr>
            <w:r>
              <w:rPr>
                <w:rFonts w:ascii="仿宋" w:eastAsia="仿宋" w:hAnsi="仿宋" w:cs="仿宋"/>
                <w:kern w:val="1"/>
                <w:sz w:val="24"/>
              </w:rPr>
              <w:t>（一）</w:t>
            </w:r>
            <w:r>
              <w:rPr>
                <w:rFonts w:ascii="仿宋" w:eastAsia="仿宋" w:hAnsi="仿宋" w:cs="仿宋" w:hint="eastAsia"/>
                <w:kern w:val="1"/>
                <w:sz w:val="24"/>
              </w:rPr>
              <w:t>（A06191）《出口卷烟免税核销申报表》及申报电子数据。</w:t>
            </w:r>
          </w:p>
        </w:tc>
        <w:tc>
          <w:tcPr>
            <w:tcW w:w="1118" w:type="dxa"/>
            <w:vMerge w:val="restart"/>
            <w:vAlign w:val="center"/>
          </w:tcPr>
          <w:p w:rsidR="00013EC7" w:rsidRDefault="00575CDB">
            <w:pPr>
              <w:spacing w:line="300" w:lineRule="exact"/>
              <w:jc w:val="center"/>
              <w:rPr>
                <w:rFonts w:ascii="仿宋" w:eastAsia="仿宋" w:hAnsi="仿宋" w:cs="仿宋"/>
                <w:kern w:val="1"/>
                <w:sz w:val="24"/>
              </w:rPr>
            </w:pPr>
            <w:r>
              <w:rPr>
                <w:rFonts w:ascii="仿宋" w:eastAsia="仿宋" w:hAnsi="仿宋" w:cs="仿宋" w:hint="eastAsia"/>
                <w:sz w:val="24"/>
              </w:rPr>
              <w:t>办理《出口卷烟已免税证明》核销的出口企业纳税人提交</w:t>
            </w:r>
          </w:p>
        </w:tc>
        <w:tc>
          <w:tcPr>
            <w:tcW w:w="2403" w:type="dxa"/>
            <w:vAlign w:val="center"/>
          </w:tcPr>
          <w:p w:rsidR="00013EC7" w:rsidRDefault="00575CDB">
            <w:pPr>
              <w:rPr>
                <w:rFonts w:ascii="仿宋" w:eastAsia="仿宋" w:hAnsi="仿宋" w:cs="仿宋"/>
                <w:kern w:val="1"/>
                <w:sz w:val="24"/>
              </w:rPr>
            </w:pPr>
            <w:r>
              <w:rPr>
                <w:rFonts w:ascii="仿宋" w:eastAsia="仿宋" w:hAnsi="仿宋" w:cs="仿宋"/>
                <w:kern w:val="1"/>
                <w:sz w:val="24"/>
              </w:rPr>
              <w:t>（一）</w:t>
            </w:r>
            <w:r>
              <w:rPr>
                <w:rFonts w:ascii="仿宋" w:eastAsia="仿宋" w:hAnsi="仿宋" w:cs="仿宋" w:hint="eastAsia"/>
                <w:kern w:val="1"/>
                <w:sz w:val="24"/>
              </w:rPr>
              <w:t>（A06191）《出口卷烟免税核销申报表》1份及其电子数据。</w:t>
            </w:r>
          </w:p>
        </w:tc>
        <w:tc>
          <w:tcPr>
            <w:tcW w:w="1196" w:type="dxa"/>
            <w:vMerge w:val="restart"/>
            <w:vAlign w:val="center"/>
          </w:tcPr>
          <w:p w:rsidR="00013EC7" w:rsidRDefault="00575CDB">
            <w:pPr>
              <w:rPr>
                <w:rFonts w:ascii="仿宋" w:eastAsia="仿宋" w:hAnsi="仿宋" w:cs="仿宋"/>
                <w:sz w:val="24"/>
              </w:rPr>
            </w:pPr>
            <w:r>
              <w:rPr>
                <w:rFonts w:ascii="仿宋" w:eastAsia="仿宋" w:hAnsi="仿宋" w:cs="仿宋" w:hint="eastAsia"/>
                <w:sz w:val="24"/>
              </w:rPr>
              <w:t>办理《出口卷烟已免税证明》核销的出口企业纳税人提交</w:t>
            </w:r>
          </w:p>
        </w:tc>
        <w:tc>
          <w:tcPr>
            <w:tcW w:w="3318" w:type="dxa"/>
            <w:vMerge w:val="restart"/>
            <w:vAlign w:val="center"/>
          </w:tcPr>
          <w:p w:rsidR="00013EC7" w:rsidRDefault="00575CDB">
            <w:pPr>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纳税人提交书面材料（无纸化企业留存备查）。</w:t>
            </w:r>
            <w:r>
              <w:rPr>
                <w:rFonts w:ascii="仿宋" w:eastAsia="仿宋" w:hAnsi="仿宋" w:cs="仿宋" w:hint="eastAsia"/>
                <w:b/>
                <w:sz w:val="24"/>
              </w:rPr>
              <w:t>网上办理：</w:t>
            </w:r>
            <w:r>
              <w:rPr>
                <w:rFonts w:ascii="仿宋" w:eastAsia="仿宋" w:hAnsi="仿宋" w:cs="仿宋" w:hint="eastAsia"/>
                <w:sz w:val="24"/>
              </w:rPr>
              <w:t>登录浙江省国家税务局电子税务局提交电子数据。</w:t>
            </w:r>
          </w:p>
        </w:tc>
        <w:tc>
          <w:tcPr>
            <w:tcW w:w="868" w:type="dxa"/>
            <w:vMerge w:val="restart"/>
            <w:vAlign w:val="center"/>
          </w:tcPr>
          <w:p w:rsidR="00013EC7" w:rsidRDefault="00575CDB">
            <w:pPr>
              <w:jc w:val="center"/>
              <w:rPr>
                <w:rFonts w:ascii="仿宋" w:eastAsia="仿宋" w:hAnsi="仿宋" w:cs="仿宋"/>
                <w:sz w:val="24"/>
              </w:rPr>
            </w:pPr>
            <w:r>
              <w:rPr>
                <w:rFonts w:ascii="仿宋" w:eastAsia="仿宋" w:hAnsi="仿宋" w:cs="仿宋" w:hint="eastAsia"/>
                <w:sz w:val="24"/>
              </w:rPr>
              <w:t>5个工作日</w:t>
            </w:r>
          </w:p>
        </w:tc>
        <w:tc>
          <w:tcPr>
            <w:tcW w:w="789" w:type="dxa"/>
            <w:vMerge w:val="restart"/>
            <w:vAlign w:val="center"/>
          </w:tcPr>
          <w:p w:rsidR="00013EC7" w:rsidRDefault="00575CDB">
            <w:pPr>
              <w:jc w:val="center"/>
              <w:rPr>
                <w:rFonts w:ascii="仿宋" w:eastAsia="仿宋" w:hAnsi="仿宋" w:cs="仿宋"/>
                <w:sz w:val="24"/>
              </w:rPr>
            </w:pPr>
            <w:r>
              <w:rPr>
                <w:rFonts w:ascii="仿宋" w:eastAsia="仿宋" w:hAnsi="仿宋" w:cs="仿宋" w:hint="eastAsia"/>
                <w:sz w:val="24"/>
              </w:rPr>
              <w:t>对符合条件的，当场办结。相关资料信息等需进一步核实的，出具受理通知并自受理申请之日起5个工作日内办结。</w:t>
            </w:r>
          </w:p>
        </w:tc>
        <w:tc>
          <w:tcPr>
            <w:tcW w:w="967" w:type="dxa"/>
            <w:vMerge w:val="restart"/>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sz w:val="24"/>
              </w:rPr>
              <w:t>无纸化企业已实现跑零次</w:t>
            </w:r>
          </w:p>
        </w:tc>
        <w:tc>
          <w:tcPr>
            <w:tcW w:w="1104" w:type="dxa"/>
            <w:vMerge w:val="restart"/>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sz w:val="24"/>
              </w:rPr>
              <w:t>进出口处</w:t>
            </w:r>
          </w:p>
        </w:tc>
        <w:tc>
          <w:tcPr>
            <w:tcW w:w="1476" w:type="dxa"/>
            <w:vMerge w:val="restart"/>
            <w:vAlign w:val="center"/>
          </w:tcPr>
          <w:p w:rsidR="00013EC7" w:rsidRDefault="00575CDB">
            <w:pPr>
              <w:spacing w:line="300" w:lineRule="exact"/>
              <w:rPr>
                <w:rFonts w:ascii="仿宋" w:eastAsia="仿宋" w:hAnsi="仿宋" w:cs="仿宋"/>
                <w:sz w:val="24"/>
              </w:rPr>
            </w:pPr>
            <w:r>
              <w:rPr>
                <w:rFonts w:ascii="仿宋" w:eastAsia="仿宋" w:hAnsi="仿宋" w:cs="仿宋" w:hint="eastAsia"/>
                <w:sz w:val="24"/>
              </w:rPr>
              <w:t>邮寄回执</w:t>
            </w:r>
          </w:p>
        </w:tc>
      </w:tr>
      <w:tr w:rsidR="00013EC7">
        <w:trPr>
          <w:trHeight w:val="399"/>
          <w:jc w:val="center"/>
        </w:trPr>
        <w:tc>
          <w:tcPr>
            <w:tcW w:w="1250" w:type="dxa"/>
            <w:vMerge/>
            <w:textDirection w:val="tbRlV"/>
            <w:vAlign w:val="center"/>
          </w:tcPr>
          <w:p w:rsidR="00013EC7" w:rsidRDefault="00013EC7">
            <w:pPr>
              <w:rPr>
                <w:rFonts w:ascii="仿宋" w:eastAsia="仿宋" w:hAnsi="仿宋" w:cs="仿宋"/>
                <w:sz w:val="24"/>
              </w:rPr>
            </w:pPr>
          </w:p>
        </w:tc>
        <w:tc>
          <w:tcPr>
            <w:tcW w:w="1316" w:type="dxa"/>
            <w:vMerge/>
            <w:vAlign w:val="center"/>
          </w:tcPr>
          <w:p w:rsidR="00013EC7" w:rsidRDefault="00013EC7">
            <w:pPr>
              <w:rPr>
                <w:rFonts w:ascii="仿宋" w:eastAsia="仿宋" w:hAnsi="仿宋" w:cs="仿宋"/>
                <w:sz w:val="24"/>
              </w:rPr>
            </w:pPr>
          </w:p>
        </w:tc>
        <w:tc>
          <w:tcPr>
            <w:tcW w:w="2114" w:type="dxa"/>
            <w:vMerge/>
            <w:vAlign w:val="center"/>
          </w:tcPr>
          <w:p w:rsidR="00013EC7" w:rsidRDefault="00013EC7">
            <w:pPr>
              <w:rPr>
                <w:rFonts w:ascii="仿宋" w:eastAsia="仿宋" w:hAnsi="仿宋" w:cs="仿宋"/>
                <w:sz w:val="24"/>
              </w:rPr>
            </w:pPr>
          </w:p>
        </w:tc>
        <w:tc>
          <w:tcPr>
            <w:tcW w:w="2785" w:type="dxa"/>
            <w:tcBorders>
              <w:top w:val="single" w:sz="4" w:space="0" w:color="auto"/>
            </w:tcBorders>
            <w:vAlign w:val="center"/>
          </w:tcPr>
          <w:p w:rsidR="00013EC7" w:rsidRDefault="00575CDB">
            <w:pPr>
              <w:rPr>
                <w:rFonts w:ascii="仿宋" w:eastAsia="仿宋" w:hAnsi="仿宋" w:cs="仿宋"/>
                <w:kern w:val="1"/>
                <w:sz w:val="24"/>
              </w:rPr>
            </w:pPr>
            <w:r>
              <w:rPr>
                <w:rFonts w:ascii="仿宋" w:eastAsia="仿宋" w:hAnsi="仿宋" w:cs="仿宋"/>
                <w:kern w:val="1"/>
                <w:sz w:val="24"/>
              </w:rPr>
              <w:t>（二）</w:t>
            </w:r>
            <w:r>
              <w:rPr>
                <w:rFonts w:ascii="仿宋" w:eastAsia="仿宋" w:hAnsi="仿宋" w:cs="仿宋" w:hint="eastAsia"/>
                <w:kern w:val="1"/>
                <w:sz w:val="24"/>
              </w:rPr>
              <w:t>出口发票。</w:t>
            </w:r>
          </w:p>
        </w:tc>
        <w:tc>
          <w:tcPr>
            <w:tcW w:w="1118" w:type="dxa"/>
            <w:vMerge/>
            <w:vAlign w:val="center"/>
          </w:tcPr>
          <w:p w:rsidR="00013EC7" w:rsidRDefault="00013EC7">
            <w:pPr>
              <w:rPr>
                <w:rFonts w:ascii="仿宋" w:eastAsia="仿宋" w:hAnsi="仿宋" w:cs="仿宋"/>
                <w:kern w:val="1"/>
                <w:sz w:val="24"/>
              </w:rPr>
            </w:pPr>
          </w:p>
        </w:tc>
        <w:tc>
          <w:tcPr>
            <w:tcW w:w="2403" w:type="dxa"/>
            <w:vAlign w:val="center"/>
          </w:tcPr>
          <w:p w:rsidR="00013EC7" w:rsidRDefault="00575CDB">
            <w:pPr>
              <w:rPr>
                <w:rFonts w:ascii="仿宋" w:eastAsia="仿宋" w:hAnsi="仿宋" w:cs="仿宋"/>
                <w:kern w:val="1"/>
                <w:sz w:val="24"/>
              </w:rPr>
            </w:pPr>
            <w:r>
              <w:rPr>
                <w:rFonts w:ascii="仿宋" w:eastAsia="仿宋" w:hAnsi="仿宋" w:cs="仿宋"/>
                <w:kern w:val="1"/>
                <w:sz w:val="24"/>
              </w:rPr>
              <w:t>（二）</w:t>
            </w:r>
            <w:r>
              <w:rPr>
                <w:rFonts w:ascii="仿宋" w:eastAsia="仿宋" w:hAnsi="仿宋" w:cs="仿宋" w:hint="eastAsia"/>
                <w:kern w:val="1"/>
                <w:sz w:val="24"/>
              </w:rPr>
              <w:t>出口发票。</w:t>
            </w:r>
          </w:p>
        </w:tc>
        <w:tc>
          <w:tcPr>
            <w:tcW w:w="1196" w:type="dxa"/>
            <w:vMerge/>
            <w:vAlign w:val="center"/>
          </w:tcPr>
          <w:p w:rsidR="00013EC7" w:rsidRDefault="00013EC7">
            <w:pPr>
              <w:rPr>
                <w:rFonts w:ascii="仿宋" w:eastAsia="仿宋" w:hAnsi="仿宋" w:cs="仿宋"/>
                <w:sz w:val="24"/>
              </w:rPr>
            </w:pPr>
          </w:p>
        </w:tc>
        <w:tc>
          <w:tcPr>
            <w:tcW w:w="3318" w:type="dxa"/>
            <w:vMerge/>
            <w:vAlign w:val="center"/>
          </w:tcPr>
          <w:p w:rsidR="00013EC7" w:rsidRDefault="00013EC7">
            <w:pPr>
              <w:rPr>
                <w:rFonts w:ascii="仿宋" w:eastAsia="仿宋" w:hAnsi="仿宋" w:cs="仿宋"/>
                <w:sz w:val="24"/>
              </w:rPr>
            </w:pPr>
          </w:p>
        </w:tc>
        <w:tc>
          <w:tcPr>
            <w:tcW w:w="868" w:type="dxa"/>
            <w:vMerge/>
            <w:vAlign w:val="center"/>
          </w:tcPr>
          <w:p w:rsidR="00013EC7" w:rsidRDefault="00013EC7">
            <w:pPr>
              <w:rPr>
                <w:rFonts w:ascii="仿宋" w:eastAsia="仿宋" w:hAnsi="仿宋" w:cs="仿宋"/>
                <w:sz w:val="24"/>
              </w:rPr>
            </w:pPr>
          </w:p>
        </w:tc>
        <w:tc>
          <w:tcPr>
            <w:tcW w:w="789" w:type="dxa"/>
            <w:vMerge/>
            <w:vAlign w:val="center"/>
          </w:tcPr>
          <w:p w:rsidR="00013EC7" w:rsidRDefault="00013EC7">
            <w:pPr>
              <w:rPr>
                <w:rFonts w:ascii="仿宋" w:eastAsia="仿宋" w:hAnsi="仿宋" w:cs="仿宋"/>
                <w:sz w:val="24"/>
              </w:rPr>
            </w:pPr>
          </w:p>
        </w:tc>
        <w:tc>
          <w:tcPr>
            <w:tcW w:w="967"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340"/>
          <w:jc w:val="center"/>
        </w:trPr>
        <w:tc>
          <w:tcPr>
            <w:tcW w:w="1250" w:type="dxa"/>
            <w:vMerge/>
            <w:textDirection w:val="tbRlV"/>
            <w:vAlign w:val="center"/>
          </w:tcPr>
          <w:p w:rsidR="00013EC7" w:rsidRDefault="00013EC7">
            <w:pPr>
              <w:rPr>
                <w:rFonts w:ascii="仿宋" w:eastAsia="仿宋" w:hAnsi="仿宋" w:cs="仿宋"/>
                <w:sz w:val="24"/>
              </w:rPr>
            </w:pPr>
          </w:p>
        </w:tc>
        <w:tc>
          <w:tcPr>
            <w:tcW w:w="1316" w:type="dxa"/>
            <w:vMerge/>
            <w:vAlign w:val="center"/>
          </w:tcPr>
          <w:p w:rsidR="00013EC7" w:rsidRDefault="00013EC7">
            <w:pPr>
              <w:rPr>
                <w:rFonts w:ascii="仿宋" w:eastAsia="仿宋" w:hAnsi="仿宋" w:cs="仿宋"/>
                <w:sz w:val="24"/>
              </w:rPr>
            </w:pPr>
          </w:p>
        </w:tc>
        <w:tc>
          <w:tcPr>
            <w:tcW w:w="2114" w:type="dxa"/>
            <w:vMerge/>
            <w:vAlign w:val="center"/>
          </w:tcPr>
          <w:p w:rsidR="00013EC7" w:rsidRDefault="00013EC7">
            <w:pPr>
              <w:rPr>
                <w:rFonts w:ascii="仿宋" w:eastAsia="仿宋" w:hAnsi="仿宋" w:cs="仿宋"/>
                <w:sz w:val="24"/>
              </w:rPr>
            </w:pPr>
          </w:p>
        </w:tc>
        <w:tc>
          <w:tcPr>
            <w:tcW w:w="2785" w:type="dxa"/>
            <w:vAlign w:val="center"/>
          </w:tcPr>
          <w:p w:rsidR="00013EC7" w:rsidRDefault="00575CDB">
            <w:pPr>
              <w:rPr>
                <w:rFonts w:ascii="仿宋" w:eastAsia="仿宋" w:hAnsi="仿宋" w:cs="仿宋"/>
                <w:kern w:val="1"/>
                <w:sz w:val="24"/>
              </w:rPr>
            </w:pPr>
            <w:r>
              <w:rPr>
                <w:rFonts w:ascii="仿宋" w:eastAsia="仿宋" w:hAnsi="仿宋" w:cs="仿宋"/>
                <w:kern w:val="1"/>
                <w:sz w:val="24"/>
              </w:rPr>
              <w:t>（三）</w:t>
            </w:r>
            <w:r>
              <w:rPr>
                <w:rFonts w:ascii="仿宋" w:eastAsia="仿宋" w:hAnsi="仿宋" w:cs="仿宋" w:hint="eastAsia"/>
                <w:kern w:val="1"/>
                <w:sz w:val="24"/>
              </w:rPr>
              <w:t>出口合同。</w:t>
            </w:r>
          </w:p>
        </w:tc>
        <w:tc>
          <w:tcPr>
            <w:tcW w:w="1118" w:type="dxa"/>
            <w:vMerge/>
            <w:vAlign w:val="center"/>
          </w:tcPr>
          <w:p w:rsidR="00013EC7" w:rsidRDefault="00013EC7">
            <w:pPr>
              <w:rPr>
                <w:rFonts w:ascii="仿宋" w:eastAsia="仿宋" w:hAnsi="仿宋" w:cs="仿宋"/>
                <w:kern w:val="1"/>
                <w:sz w:val="24"/>
              </w:rPr>
            </w:pPr>
          </w:p>
        </w:tc>
        <w:tc>
          <w:tcPr>
            <w:tcW w:w="2403" w:type="dxa"/>
            <w:vAlign w:val="center"/>
          </w:tcPr>
          <w:p w:rsidR="00013EC7" w:rsidRDefault="00575CDB">
            <w:pPr>
              <w:rPr>
                <w:rFonts w:ascii="仿宋" w:eastAsia="仿宋" w:hAnsi="仿宋" w:cs="仿宋"/>
                <w:kern w:val="1"/>
                <w:sz w:val="24"/>
              </w:rPr>
            </w:pPr>
            <w:r>
              <w:rPr>
                <w:rFonts w:ascii="仿宋" w:eastAsia="仿宋" w:hAnsi="仿宋" w:cs="仿宋"/>
                <w:kern w:val="1"/>
                <w:sz w:val="24"/>
              </w:rPr>
              <w:t>（三）</w:t>
            </w:r>
            <w:r>
              <w:rPr>
                <w:rFonts w:ascii="仿宋" w:eastAsia="仿宋" w:hAnsi="仿宋" w:cs="仿宋" w:hint="eastAsia"/>
                <w:kern w:val="1"/>
                <w:sz w:val="24"/>
              </w:rPr>
              <w:t>出口合同。</w:t>
            </w:r>
          </w:p>
        </w:tc>
        <w:tc>
          <w:tcPr>
            <w:tcW w:w="1196" w:type="dxa"/>
            <w:vMerge/>
            <w:vAlign w:val="center"/>
          </w:tcPr>
          <w:p w:rsidR="00013EC7" w:rsidRDefault="00013EC7">
            <w:pPr>
              <w:rPr>
                <w:rFonts w:ascii="仿宋" w:eastAsia="仿宋" w:hAnsi="仿宋" w:cs="仿宋"/>
                <w:sz w:val="24"/>
              </w:rPr>
            </w:pPr>
          </w:p>
        </w:tc>
        <w:tc>
          <w:tcPr>
            <w:tcW w:w="3318" w:type="dxa"/>
            <w:vMerge/>
            <w:vAlign w:val="center"/>
          </w:tcPr>
          <w:p w:rsidR="00013EC7" w:rsidRDefault="00013EC7">
            <w:pPr>
              <w:rPr>
                <w:rFonts w:ascii="仿宋" w:eastAsia="仿宋" w:hAnsi="仿宋" w:cs="仿宋"/>
                <w:sz w:val="24"/>
              </w:rPr>
            </w:pPr>
          </w:p>
        </w:tc>
        <w:tc>
          <w:tcPr>
            <w:tcW w:w="868" w:type="dxa"/>
            <w:vMerge/>
            <w:vAlign w:val="center"/>
          </w:tcPr>
          <w:p w:rsidR="00013EC7" w:rsidRDefault="00013EC7">
            <w:pPr>
              <w:rPr>
                <w:rFonts w:ascii="仿宋" w:eastAsia="仿宋" w:hAnsi="仿宋" w:cs="仿宋"/>
                <w:sz w:val="24"/>
              </w:rPr>
            </w:pPr>
          </w:p>
        </w:tc>
        <w:tc>
          <w:tcPr>
            <w:tcW w:w="789" w:type="dxa"/>
            <w:vMerge/>
            <w:vAlign w:val="center"/>
          </w:tcPr>
          <w:p w:rsidR="00013EC7" w:rsidRDefault="00013EC7">
            <w:pPr>
              <w:rPr>
                <w:rFonts w:ascii="仿宋" w:eastAsia="仿宋" w:hAnsi="仿宋" w:cs="仿宋"/>
                <w:sz w:val="24"/>
              </w:rPr>
            </w:pPr>
          </w:p>
        </w:tc>
        <w:tc>
          <w:tcPr>
            <w:tcW w:w="967"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340"/>
          <w:jc w:val="center"/>
        </w:trPr>
        <w:tc>
          <w:tcPr>
            <w:tcW w:w="1250" w:type="dxa"/>
            <w:vMerge/>
            <w:vAlign w:val="center"/>
          </w:tcPr>
          <w:p w:rsidR="00013EC7" w:rsidRDefault="00013EC7">
            <w:pPr>
              <w:rPr>
                <w:rFonts w:ascii="仿宋" w:eastAsia="仿宋" w:hAnsi="仿宋" w:cs="仿宋"/>
                <w:sz w:val="24"/>
              </w:rPr>
            </w:pPr>
          </w:p>
        </w:tc>
        <w:tc>
          <w:tcPr>
            <w:tcW w:w="1316" w:type="dxa"/>
            <w:vMerge/>
            <w:vAlign w:val="center"/>
          </w:tcPr>
          <w:p w:rsidR="00013EC7" w:rsidRDefault="00013EC7">
            <w:pPr>
              <w:rPr>
                <w:rFonts w:ascii="仿宋" w:eastAsia="仿宋" w:hAnsi="仿宋" w:cs="仿宋"/>
                <w:sz w:val="24"/>
              </w:rPr>
            </w:pPr>
          </w:p>
        </w:tc>
        <w:tc>
          <w:tcPr>
            <w:tcW w:w="2114" w:type="dxa"/>
            <w:vMerge/>
            <w:vAlign w:val="center"/>
          </w:tcPr>
          <w:p w:rsidR="00013EC7" w:rsidRDefault="00013EC7">
            <w:pPr>
              <w:rPr>
                <w:rFonts w:ascii="仿宋" w:eastAsia="仿宋" w:hAnsi="仿宋" w:cs="仿宋"/>
                <w:sz w:val="24"/>
              </w:rPr>
            </w:pPr>
          </w:p>
        </w:tc>
        <w:tc>
          <w:tcPr>
            <w:tcW w:w="2785" w:type="dxa"/>
            <w:vAlign w:val="center"/>
          </w:tcPr>
          <w:p w:rsidR="00013EC7" w:rsidRDefault="00575CDB">
            <w:pPr>
              <w:rPr>
                <w:rFonts w:ascii="仿宋" w:eastAsia="仿宋" w:hAnsi="仿宋" w:cs="仿宋"/>
                <w:kern w:val="1"/>
                <w:sz w:val="24"/>
              </w:rPr>
            </w:pPr>
            <w:r>
              <w:rPr>
                <w:rFonts w:ascii="仿宋" w:eastAsia="仿宋" w:hAnsi="仿宋" w:cs="仿宋"/>
                <w:kern w:val="1"/>
                <w:sz w:val="24"/>
              </w:rPr>
              <w:t>（四）</w:t>
            </w:r>
            <w:r>
              <w:rPr>
                <w:rFonts w:ascii="仿宋" w:eastAsia="仿宋" w:hAnsi="仿宋" w:cs="仿宋" w:hint="eastAsia"/>
                <w:kern w:val="1"/>
                <w:sz w:val="24"/>
              </w:rPr>
              <w:t>（A05053）《出口卷烟已免税证明》 （购进免税卷烟出口的企业提供）。</w:t>
            </w:r>
          </w:p>
        </w:tc>
        <w:tc>
          <w:tcPr>
            <w:tcW w:w="1118" w:type="dxa"/>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购进免税卷烟出口的企业</w:t>
            </w:r>
            <w:r>
              <w:rPr>
                <w:rFonts w:ascii="仿宋" w:eastAsia="仿宋" w:hAnsi="仿宋" w:cs="仿宋" w:hint="eastAsia"/>
                <w:sz w:val="24"/>
              </w:rPr>
              <w:t>办理《出口卷烟已免税证明》核销的出口企业纳税人提交</w:t>
            </w:r>
          </w:p>
        </w:tc>
        <w:tc>
          <w:tcPr>
            <w:tcW w:w="2403" w:type="dxa"/>
            <w:vAlign w:val="center"/>
          </w:tcPr>
          <w:p w:rsidR="00013EC7" w:rsidRDefault="00575CDB">
            <w:pPr>
              <w:rPr>
                <w:rFonts w:ascii="仿宋" w:eastAsia="仿宋" w:hAnsi="仿宋" w:cs="仿宋"/>
                <w:kern w:val="1"/>
                <w:sz w:val="24"/>
              </w:rPr>
            </w:pPr>
            <w:r>
              <w:rPr>
                <w:rFonts w:ascii="仿宋" w:eastAsia="仿宋" w:hAnsi="仿宋" w:cs="仿宋"/>
                <w:kern w:val="1"/>
                <w:sz w:val="24"/>
              </w:rPr>
              <w:t>（四）</w:t>
            </w:r>
            <w:r>
              <w:rPr>
                <w:rFonts w:ascii="仿宋" w:eastAsia="仿宋" w:hAnsi="仿宋" w:cs="仿宋" w:hint="eastAsia"/>
                <w:kern w:val="1"/>
                <w:sz w:val="24"/>
              </w:rPr>
              <w:t>（A05053）《出口卷烟已免税证明》1份（购进免税卷烟出口的企业提供）。</w:t>
            </w:r>
          </w:p>
        </w:tc>
        <w:tc>
          <w:tcPr>
            <w:tcW w:w="1196" w:type="dxa"/>
            <w:vAlign w:val="center"/>
          </w:tcPr>
          <w:p w:rsidR="00013EC7" w:rsidRDefault="00575CDB">
            <w:pPr>
              <w:spacing w:line="300" w:lineRule="exact"/>
              <w:jc w:val="center"/>
              <w:rPr>
                <w:rFonts w:ascii="仿宋" w:eastAsia="仿宋" w:hAnsi="仿宋" w:cs="仿宋"/>
                <w:b/>
                <w:i/>
                <w:sz w:val="24"/>
              </w:rPr>
            </w:pPr>
            <w:r>
              <w:rPr>
                <w:rFonts w:ascii="仿宋" w:eastAsia="仿宋" w:hAnsi="仿宋" w:cs="仿宋" w:hint="eastAsia"/>
                <w:b/>
                <w:i/>
                <w:sz w:val="24"/>
              </w:rPr>
              <w:t>经办机构自行获取</w:t>
            </w:r>
          </w:p>
        </w:tc>
        <w:tc>
          <w:tcPr>
            <w:tcW w:w="3318"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b/>
                <w:sz w:val="24"/>
              </w:rPr>
              <w:t>内部共享：</w:t>
            </w:r>
            <w:r>
              <w:rPr>
                <w:rFonts w:ascii="仿宋" w:eastAsia="仿宋" w:hAnsi="仿宋" w:cs="仿宋" w:hint="eastAsia"/>
                <w:sz w:val="24"/>
              </w:rPr>
              <w:t>内部共享获取相关信息（无纸化企业留存备查，非无纸化企业需提供书面材料）。</w:t>
            </w:r>
          </w:p>
        </w:tc>
        <w:tc>
          <w:tcPr>
            <w:tcW w:w="868" w:type="dxa"/>
            <w:vMerge/>
            <w:vAlign w:val="center"/>
          </w:tcPr>
          <w:p w:rsidR="00013EC7" w:rsidRDefault="00013EC7">
            <w:pPr>
              <w:rPr>
                <w:rFonts w:ascii="仿宋" w:eastAsia="仿宋" w:hAnsi="仿宋" w:cs="仿宋"/>
                <w:sz w:val="24"/>
              </w:rPr>
            </w:pPr>
          </w:p>
        </w:tc>
        <w:tc>
          <w:tcPr>
            <w:tcW w:w="789" w:type="dxa"/>
            <w:vMerge/>
            <w:vAlign w:val="center"/>
          </w:tcPr>
          <w:p w:rsidR="00013EC7" w:rsidRDefault="00013EC7">
            <w:pPr>
              <w:rPr>
                <w:rFonts w:ascii="仿宋" w:eastAsia="仿宋" w:hAnsi="仿宋" w:cs="仿宋"/>
                <w:sz w:val="24"/>
              </w:rPr>
            </w:pPr>
          </w:p>
        </w:tc>
        <w:tc>
          <w:tcPr>
            <w:tcW w:w="967"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1422"/>
          <w:jc w:val="center"/>
        </w:trPr>
        <w:tc>
          <w:tcPr>
            <w:tcW w:w="1250" w:type="dxa"/>
            <w:vMerge/>
            <w:vAlign w:val="center"/>
          </w:tcPr>
          <w:p w:rsidR="00013EC7" w:rsidRDefault="00013EC7">
            <w:pPr>
              <w:rPr>
                <w:rFonts w:ascii="仿宋" w:eastAsia="仿宋" w:hAnsi="仿宋" w:cs="仿宋"/>
                <w:sz w:val="24"/>
              </w:rPr>
            </w:pPr>
          </w:p>
        </w:tc>
        <w:tc>
          <w:tcPr>
            <w:tcW w:w="1316" w:type="dxa"/>
            <w:vMerge/>
            <w:vAlign w:val="center"/>
          </w:tcPr>
          <w:p w:rsidR="00013EC7" w:rsidRDefault="00013EC7">
            <w:pPr>
              <w:rPr>
                <w:rFonts w:ascii="仿宋" w:eastAsia="仿宋" w:hAnsi="仿宋" w:cs="仿宋"/>
                <w:sz w:val="24"/>
              </w:rPr>
            </w:pPr>
          </w:p>
        </w:tc>
        <w:tc>
          <w:tcPr>
            <w:tcW w:w="2114" w:type="dxa"/>
            <w:vMerge/>
            <w:vAlign w:val="center"/>
          </w:tcPr>
          <w:p w:rsidR="00013EC7" w:rsidRDefault="00013EC7">
            <w:pPr>
              <w:rPr>
                <w:rFonts w:ascii="仿宋" w:eastAsia="仿宋" w:hAnsi="仿宋" w:cs="仿宋"/>
                <w:sz w:val="24"/>
              </w:rPr>
            </w:pPr>
          </w:p>
        </w:tc>
        <w:tc>
          <w:tcPr>
            <w:tcW w:w="2785" w:type="dxa"/>
            <w:vAlign w:val="center"/>
          </w:tcPr>
          <w:p w:rsidR="00013EC7" w:rsidRDefault="00575CDB">
            <w:pPr>
              <w:rPr>
                <w:rFonts w:ascii="仿宋" w:eastAsia="仿宋" w:hAnsi="仿宋" w:cs="仿宋"/>
                <w:kern w:val="1"/>
                <w:sz w:val="24"/>
              </w:rPr>
            </w:pPr>
            <w:r>
              <w:rPr>
                <w:rFonts w:ascii="仿宋" w:eastAsia="仿宋" w:hAnsi="仿宋" w:cs="仿宋"/>
                <w:kern w:val="1"/>
                <w:sz w:val="24"/>
              </w:rPr>
              <w:t>（五）</w:t>
            </w:r>
            <w:r>
              <w:rPr>
                <w:rFonts w:ascii="仿宋" w:eastAsia="仿宋" w:hAnsi="仿宋" w:cs="仿宋" w:hint="eastAsia"/>
                <w:kern w:val="1"/>
                <w:sz w:val="24"/>
              </w:rPr>
              <w:t>代理出口货物证明。</w:t>
            </w:r>
          </w:p>
        </w:tc>
        <w:tc>
          <w:tcPr>
            <w:tcW w:w="1118" w:type="dxa"/>
            <w:vMerge w:val="restart"/>
            <w:vAlign w:val="center"/>
          </w:tcPr>
          <w:p w:rsidR="00013EC7" w:rsidRDefault="00575CDB">
            <w:pPr>
              <w:rPr>
                <w:rFonts w:ascii="仿宋" w:eastAsia="仿宋" w:hAnsi="仿宋" w:cs="仿宋"/>
                <w:kern w:val="1"/>
                <w:sz w:val="24"/>
              </w:rPr>
            </w:pPr>
            <w:r>
              <w:rPr>
                <w:rFonts w:ascii="仿宋" w:eastAsia="仿宋" w:hAnsi="仿宋" w:cs="仿宋" w:hint="eastAsia"/>
                <w:kern w:val="1"/>
                <w:sz w:val="24"/>
              </w:rPr>
              <w:t>委托出口自产卷烟的生产企业</w:t>
            </w:r>
            <w:r>
              <w:rPr>
                <w:rFonts w:ascii="仿宋" w:eastAsia="仿宋" w:hAnsi="仿宋" w:cs="仿宋" w:hint="eastAsia"/>
                <w:sz w:val="24"/>
              </w:rPr>
              <w:t>办理《出口卷烟已免税证明》核销的出口企业纳税人提交</w:t>
            </w:r>
          </w:p>
        </w:tc>
        <w:tc>
          <w:tcPr>
            <w:tcW w:w="2403" w:type="dxa"/>
            <w:vAlign w:val="center"/>
          </w:tcPr>
          <w:p w:rsidR="00013EC7" w:rsidRDefault="00575CDB">
            <w:pPr>
              <w:rPr>
                <w:rFonts w:ascii="仿宋" w:eastAsia="仿宋" w:hAnsi="仿宋" w:cs="仿宋"/>
                <w:kern w:val="1"/>
                <w:sz w:val="24"/>
              </w:rPr>
            </w:pPr>
            <w:r>
              <w:rPr>
                <w:rFonts w:ascii="仿宋" w:eastAsia="仿宋" w:hAnsi="仿宋" w:cs="仿宋"/>
                <w:kern w:val="1"/>
                <w:sz w:val="24"/>
              </w:rPr>
              <w:t>（五）</w:t>
            </w:r>
            <w:r>
              <w:rPr>
                <w:rFonts w:ascii="仿宋" w:eastAsia="仿宋" w:hAnsi="仿宋" w:cs="仿宋" w:hint="eastAsia"/>
                <w:kern w:val="1"/>
                <w:sz w:val="24"/>
              </w:rPr>
              <w:t>代理出口货物证明。</w:t>
            </w:r>
          </w:p>
        </w:tc>
        <w:tc>
          <w:tcPr>
            <w:tcW w:w="1196" w:type="dxa"/>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b/>
                <w:i/>
                <w:sz w:val="24"/>
              </w:rPr>
              <w:t>经办机构自行获取</w:t>
            </w:r>
          </w:p>
        </w:tc>
        <w:tc>
          <w:tcPr>
            <w:tcW w:w="3318" w:type="dxa"/>
            <w:vAlign w:val="center"/>
          </w:tcPr>
          <w:p w:rsidR="00013EC7" w:rsidRDefault="00575CDB">
            <w:pPr>
              <w:rPr>
                <w:rFonts w:ascii="仿宋" w:eastAsia="仿宋" w:hAnsi="仿宋" w:cs="仿宋"/>
                <w:sz w:val="24"/>
              </w:rPr>
            </w:pPr>
            <w:r>
              <w:rPr>
                <w:rFonts w:ascii="仿宋" w:eastAsia="仿宋" w:hAnsi="仿宋" w:cs="仿宋" w:hint="eastAsia"/>
                <w:b/>
                <w:sz w:val="24"/>
              </w:rPr>
              <w:t>内部共享：</w:t>
            </w:r>
            <w:r>
              <w:rPr>
                <w:rFonts w:ascii="仿宋" w:eastAsia="仿宋" w:hAnsi="仿宋" w:cs="仿宋" w:hint="eastAsia"/>
                <w:sz w:val="24"/>
              </w:rPr>
              <w:t>内部共享获取相关信息（无纸化企业留存备查，非无纸化企业需提供书面材料）。</w:t>
            </w:r>
          </w:p>
        </w:tc>
        <w:tc>
          <w:tcPr>
            <w:tcW w:w="868" w:type="dxa"/>
            <w:vMerge/>
            <w:vAlign w:val="center"/>
          </w:tcPr>
          <w:p w:rsidR="00013EC7" w:rsidRDefault="00013EC7">
            <w:pPr>
              <w:rPr>
                <w:rFonts w:ascii="仿宋" w:eastAsia="仿宋" w:hAnsi="仿宋" w:cs="仿宋"/>
                <w:sz w:val="24"/>
              </w:rPr>
            </w:pPr>
          </w:p>
        </w:tc>
        <w:tc>
          <w:tcPr>
            <w:tcW w:w="789" w:type="dxa"/>
            <w:vMerge/>
            <w:vAlign w:val="center"/>
          </w:tcPr>
          <w:p w:rsidR="00013EC7" w:rsidRDefault="00013EC7">
            <w:pPr>
              <w:rPr>
                <w:rFonts w:ascii="仿宋" w:eastAsia="仿宋" w:hAnsi="仿宋" w:cs="仿宋"/>
                <w:sz w:val="24"/>
              </w:rPr>
            </w:pPr>
          </w:p>
        </w:tc>
        <w:tc>
          <w:tcPr>
            <w:tcW w:w="967"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1422"/>
          <w:jc w:val="center"/>
        </w:trPr>
        <w:tc>
          <w:tcPr>
            <w:tcW w:w="1250" w:type="dxa"/>
            <w:vMerge/>
            <w:vAlign w:val="center"/>
          </w:tcPr>
          <w:p w:rsidR="00013EC7" w:rsidRDefault="00013EC7">
            <w:pPr>
              <w:rPr>
                <w:rFonts w:ascii="仿宋" w:eastAsia="仿宋" w:hAnsi="仿宋" w:cs="仿宋"/>
                <w:sz w:val="24"/>
              </w:rPr>
            </w:pPr>
          </w:p>
        </w:tc>
        <w:tc>
          <w:tcPr>
            <w:tcW w:w="1316" w:type="dxa"/>
            <w:vMerge/>
            <w:vAlign w:val="center"/>
          </w:tcPr>
          <w:p w:rsidR="00013EC7" w:rsidRDefault="00013EC7">
            <w:pPr>
              <w:rPr>
                <w:rFonts w:ascii="仿宋" w:eastAsia="仿宋" w:hAnsi="仿宋" w:cs="仿宋"/>
                <w:sz w:val="24"/>
              </w:rPr>
            </w:pPr>
          </w:p>
        </w:tc>
        <w:tc>
          <w:tcPr>
            <w:tcW w:w="2114" w:type="dxa"/>
            <w:vMerge/>
            <w:vAlign w:val="center"/>
          </w:tcPr>
          <w:p w:rsidR="00013EC7" w:rsidRDefault="00013EC7">
            <w:pPr>
              <w:rPr>
                <w:rFonts w:ascii="仿宋" w:eastAsia="仿宋" w:hAnsi="仿宋" w:cs="仿宋"/>
                <w:sz w:val="24"/>
              </w:rPr>
            </w:pPr>
          </w:p>
        </w:tc>
        <w:tc>
          <w:tcPr>
            <w:tcW w:w="2785" w:type="dxa"/>
            <w:vAlign w:val="center"/>
          </w:tcPr>
          <w:p w:rsidR="00013EC7" w:rsidRDefault="00575CDB">
            <w:pPr>
              <w:rPr>
                <w:rFonts w:ascii="仿宋" w:eastAsia="仿宋" w:hAnsi="仿宋" w:cs="仿宋"/>
                <w:kern w:val="1"/>
                <w:sz w:val="24"/>
              </w:rPr>
            </w:pPr>
            <w:r>
              <w:rPr>
                <w:rFonts w:ascii="仿宋" w:eastAsia="仿宋" w:hAnsi="仿宋" w:cs="仿宋"/>
                <w:kern w:val="1"/>
                <w:sz w:val="24"/>
              </w:rPr>
              <w:t>（六）</w:t>
            </w:r>
            <w:r>
              <w:rPr>
                <w:rFonts w:ascii="仿宋" w:eastAsia="仿宋" w:hAnsi="仿宋" w:cs="仿宋" w:hint="eastAsia"/>
                <w:kern w:val="1"/>
                <w:sz w:val="24"/>
              </w:rPr>
              <w:t>代理出口协议副本。</w:t>
            </w:r>
          </w:p>
        </w:tc>
        <w:tc>
          <w:tcPr>
            <w:tcW w:w="1118" w:type="dxa"/>
            <w:vMerge/>
            <w:vAlign w:val="center"/>
          </w:tcPr>
          <w:p w:rsidR="00013EC7" w:rsidRDefault="00013EC7">
            <w:pPr>
              <w:rPr>
                <w:rFonts w:ascii="仿宋" w:eastAsia="仿宋" w:hAnsi="仿宋" w:cs="仿宋"/>
                <w:kern w:val="1"/>
                <w:sz w:val="24"/>
              </w:rPr>
            </w:pPr>
          </w:p>
        </w:tc>
        <w:tc>
          <w:tcPr>
            <w:tcW w:w="2403" w:type="dxa"/>
            <w:vAlign w:val="center"/>
          </w:tcPr>
          <w:p w:rsidR="00013EC7" w:rsidRDefault="00575CDB">
            <w:pPr>
              <w:rPr>
                <w:rFonts w:ascii="仿宋" w:eastAsia="仿宋" w:hAnsi="仿宋" w:cs="仿宋"/>
                <w:kern w:val="1"/>
                <w:sz w:val="24"/>
              </w:rPr>
            </w:pPr>
            <w:r>
              <w:rPr>
                <w:rFonts w:ascii="仿宋" w:eastAsia="仿宋" w:hAnsi="仿宋" w:cs="仿宋"/>
                <w:kern w:val="1"/>
                <w:sz w:val="24"/>
              </w:rPr>
              <w:t>（六）</w:t>
            </w:r>
            <w:r>
              <w:rPr>
                <w:rFonts w:ascii="仿宋" w:eastAsia="仿宋" w:hAnsi="仿宋" w:cs="仿宋" w:hint="eastAsia"/>
                <w:kern w:val="1"/>
                <w:sz w:val="24"/>
              </w:rPr>
              <w:t>代理出口协议副本。</w:t>
            </w:r>
          </w:p>
        </w:tc>
        <w:tc>
          <w:tcPr>
            <w:tcW w:w="1196" w:type="dxa"/>
            <w:vAlign w:val="center"/>
          </w:tcPr>
          <w:p w:rsidR="00013EC7" w:rsidRDefault="00575CDB">
            <w:pPr>
              <w:spacing w:line="300" w:lineRule="exact"/>
              <w:jc w:val="center"/>
              <w:rPr>
                <w:rFonts w:ascii="仿宋" w:eastAsia="仿宋" w:hAnsi="仿宋" w:cs="仿宋"/>
                <w:sz w:val="24"/>
              </w:rPr>
            </w:pPr>
            <w:r>
              <w:rPr>
                <w:rFonts w:ascii="仿宋" w:eastAsia="仿宋" w:hAnsi="仿宋" w:cs="仿宋" w:hint="eastAsia"/>
                <w:kern w:val="1"/>
                <w:sz w:val="24"/>
              </w:rPr>
              <w:t>委托出口自产卷烟的生产企业</w:t>
            </w:r>
            <w:r>
              <w:rPr>
                <w:rFonts w:ascii="仿宋" w:eastAsia="仿宋" w:hAnsi="仿宋" w:cs="仿宋" w:hint="eastAsia"/>
                <w:sz w:val="24"/>
              </w:rPr>
              <w:t>办理《出口卷烟已免税证明》核销的出口企业纳税人提交</w:t>
            </w:r>
          </w:p>
        </w:tc>
        <w:tc>
          <w:tcPr>
            <w:tcW w:w="3318" w:type="dxa"/>
            <w:vAlign w:val="center"/>
          </w:tcPr>
          <w:p w:rsidR="00013EC7" w:rsidRDefault="00575CDB">
            <w:pPr>
              <w:rPr>
                <w:rFonts w:ascii="仿宋" w:eastAsia="仿宋" w:hAnsi="仿宋" w:cs="仿宋"/>
                <w:b/>
                <w:sz w:val="24"/>
              </w:rPr>
            </w:pPr>
            <w:r>
              <w:rPr>
                <w:rFonts w:ascii="仿宋" w:eastAsia="仿宋" w:hAnsi="仿宋" w:cs="仿宋" w:hint="eastAsia"/>
                <w:b/>
                <w:sz w:val="24"/>
              </w:rPr>
              <w:t>现场办理：</w:t>
            </w:r>
            <w:r>
              <w:rPr>
                <w:rFonts w:ascii="仿宋" w:eastAsia="仿宋" w:hAnsi="仿宋" w:cs="仿宋" w:hint="eastAsia"/>
                <w:sz w:val="24"/>
              </w:rPr>
              <w:t>纳税人提交书面材料（无纸化企业留存备查）。</w:t>
            </w:r>
          </w:p>
        </w:tc>
        <w:tc>
          <w:tcPr>
            <w:tcW w:w="868" w:type="dxa"/>
            <w:vMerge/>
            <w:vAlign w:val="center"/>
          </w:tcPr>
          <w:p w:rsidR="00013EC7" w:rsidRDefault="00013EC7">
            <w:pPr>
              <w:rPr>
                <w:rFonts w:ascii="仿宋" w:eastAsia="仿宋" w:hAnsi="仿宋" w:cs="仿宋"/>
                <w:sz w:val="24"/>
              </w:rPr>
            </w:pPr>
          </w:p>
        </w:tc>
        <w:tc>
          <w:tcPr>
            <w:tcW w:w="789" w:type="dxa"/>
            <w:vMerge/>
            <w:vAlign w:val="center"/>
          </w:tcPr>
          <w:p w:rsidR="00013EC7" w:rsidRDefault="00013EC7">
            <w:pPr>
              <w:rPr>
                <w:rFonts w:ascii="仿宋" w:eastAsia="仿宋" w:hAnsi="仿宋" w:cs="仿宋"/>
                <w:sz w:val="24"/>
              </w:rPr>
            </w:pPr>
          </w:p>
        </w:tc>
        <w:tc>
          <w:tcPr>
            <w:tcW w:w="967"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bl>
    <w:p w:rsidR="00013EC7" w:rsidRDefault="00013EC7">
      <w:pPr>
        <w:rPr>
          <w:rFonts w:eastAsia="方正书宋简体"/>
          <w:szCs w:val="21"/>
        </w:rPr>
      </w:pPr>
    </w:p>
    <w:p w:rsidR="00013EC7" w:rsidRDefault="00575CDB">
      <w:pPr>
        <w:jc w:val="center"/>
        <w:rPr>
          <w:rFonts w:eastAsia="方正书宋简体"/>
          <w:szCs w:val="21"/>
        </w:rPr>
      </w:pPr>
      <w:r>
        <w:rPr>
          <w:noProof/>
        </w:rPr>
        <w:drawing>
          <wp:inline distT="0" distB="0" distL="0" distR="0">
            <wp:extent cx="5224145" cy="7586980"/>
            <wp:effectExtent l="0" t="0" r="0" b="0"/>
            <wp:docPr id="207"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图片 207"/>
                    <pic:cNvPicPr>
                      <a:picLocks noChangeAspect="1" noChangeArrowheads="1"/>
                    </pic:cNvPicPr>
                  </pic:nvPicPr>
                  <pic:blipFill>
                    <a:blip r:embed="rId528">
                      <a:extLst>
                        <a:ext uri="{28A0092B-C50C-407E-A947-70E740481C1C}">
                          <a14:useLocalDpi xmlns:a14="http://schemas.microsoft.com/office/drawing/2010/main" val="0"/>
                        </a:ext>
                      </a:extLst>
                    </a:blip>
                    <a:srcRect/>
                    <a:stretch>
                      <a:fillRect/>
                    </a:stretch>
                  </pic:blipFill>
                  <pic:spPr>
                    <a:xfrm>
                      <a:off x="0" y="0"/>
                      <a:ext cx="5224145" cy="7586980"/>
                    </a:xfrm>
                    <a:prstGeom prst="rect">
                      <a:avLst/>
                    </a:prstGeom>
                    <a:noFill/>
                    <a:ln>
                      <a:noFill/>
                    </a:ln>
                  </pic:spPr>
                </pic:pic>
              </a:graphicData>
            </a:graphic>
          </wp:inline>
        </w:drawing>
      </w:r>
      <w:r>
        <w:object w:dxaOrig="8184" w:dyaOrig="11392">
          <v:shape id="_x0000_i1226" type="#_x0000_t75" style="width:409.6pt;height:569.6pt" o:ole="">
            <v:imagedata r:id="rId529" o:title=""/>
          </v:shape>
          <o:OLEObject Type="Embed" ProgID="Visio.Drawing.11" ShapeID="_x0000_i1226" DrawAspect="Content" ObjectID="_1577296145" r:id="rId530"/>
        </w:object>
      </w:r>
    </w:p>
    <w:p w:rsidR="00013EC7" w:rsidRDefault="00013EC7">
      <w:pPr>
        <w:rPr>
          <w:rFonts w:eastAsia="方正书宋简体"/>
          <w:szCs w:val="21"/>
        </w:rPr>
      </w:pPr>
    </w:p>
    <w:p w:rsidR="00013EC7" w:rsidRDefault="00013EC7">
      <w:pPr>
        <w:rPr>
          <w:rFonts w:eastAsia="方正书宋简体"/>
          <w:szCs w:val="21"/>
        </w:rPr>
      </w:pPr>
    </w:p>
    <w:p w:rsidR="00013EC7" w:rsidRDefault="00575CDB">
      <w:pPr>
        <w:pStyle w:val="1"/>
      </w:pPr>
      <w:bookmarkStart w:id="651" w:name="_Toc1258"/>
      <w:bookmarkStart w:id="652" w:name="_Toc503467500"/>
      <w:bookmarkStart w:id="653" w:name="_Toc17883"/>
      <w:bookmarkStart w:id="654" w:name="_Toc2029"/>
      <w:bookmarkStart w:id="655" w:name="_Toc498705749"/>
      <w:r>
        <w:rPr>
          <w:rFonts w:hint="eastAsia"/>
        </w:rPr>
        <w:lastRenderedPageBreak/>
        <w:t>三十、车辆购置税事项办理</w:t>
      </w:r>
      <w:bookmarkEnd w:id="651"/>
      <w:bookmarkEnd w:id="652"/>
      <w:bookmarkEnd w:id="653"/>
      <w:bookmarkEnd w:id="654"/>
    </w:p>
    <w:p w:rsidR="00013EC7" w:rsidRDefault="00575CDB">
      <w:pPr>
        <w:pStyle w:val="2"/>
      </w:pPr>
      <w:bookmarkStart w:id="656" w:name="_Toc27960"/>
      <w:bookmarkStart w:id="657" w:name="_Toc25555"/>
      <w:bookmarkStart w:id="658" w:name="_Toc27430"/>
      <w:bookmarkStart w:id="659" w:name="_Toc503467501"/>
      <w:r>
        <w:rPr>
          <w:rFonts w:hint="eastAsia"/>
        </w:rPr>
        <w:t>30.1</w:t>
      </w:r>
      <w:bookmarkEnd w:id="655"/>
      <w:r>
        <w:rPr>
          <w:rFonts w:hint="eastAsia"/>
        </w:rPr>
        <w:t>车辆购置税纳税申报</w:t>
      </w:r>
      <w:bookmarkEnd w:id="656"/>
      <w:bookmarkEnd w:id="657"/>
      <w:bookmarkEnd w:id="658"/>
      <w:bookmarkEnd w:id="659"/>
    </w:p>
    <w:p w:rsidR="00013EC7" w:rsidRDefault="00575CDB">
      <w:pPr>
        <w:jc w:val="center"/>
        <w:rPr>
          <w:rFonts w:eastAsia="仿宋_GB2312"/>
          <w:szCs w:val="21"/>
        </w:rPr>
      </w:pPr>
      <w:r>
        <w:rPr>
          <w:rFonts w:ascii="宋体" w:hAnsi="宋体" w:hint="eastAsia"/>
          <w:b/>
          <w:sz w:val="52"/>
          <w:szCs w:val="52"/>
        </w:rPr>
        <w:t>全省“最多跑一次”事项“八统一”梳理表</w:t>
      </w:r>
    </w:p>
    <w:tbl>
      <w:tblPr>
        <w:tblW w:w="19845"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605"/>
        <w:gridCol w:w="1417"/>
        <w:gridCol w:w="5126"/>
        <w:gridCol w:w="1275"/>
        <w:gridCol w:w="3686"/>
        <w:gridCol w:w="1546"/>
        <w:gridCol w:w="983"/>
        <w:gridCol w:w="851"/>
        <w:gridCol w:w="850"/>
        <w:gridCol w:w="851"/>
        <w:gridCol w:w="992"/>
        <w:gridCol w:w="991"/>
      </w:tblGrid>
      <w:tr w:rsidR="00013EC7">
        <w:trPr>
          <w:trHeight w:val="340"/>
          <w:tblHeader/>
          <w:jc w:val="center"/>
        </w:trPr>
        <w:tc>
          <w:tcPr>
            <w:tcW w:w="672" w:type="dxa"/>
            <w:vMerge w:val="restart"/>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主项名称</w:t>
            </w:r>
          </w:p>
        </w:tc>
        <w:tc>
          <w:tcPr>
            <w:tcW w:w="605" w:type="dxa"/>
            <w:vMerge w:val="restart"/>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子项名称</w:t>
            </w:r>
          </w:p>
        </w:tc>
        <w:tc>
          <w:tcPr>
            <w:tcW w:w="1417" w:type="dxa"/>
            <w:vMerge w:val="restart"/>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经办依据</w:t>
            </w:r>
          </w:p>
        </w:tc>
        <w:tc>
          <w:tcPr>
            <w:tcW w:w="6401" w:type="dxa"/>
            <w:gridSpan w:val="2"/>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原经办所需材料</w:t>
            </w:r>
          </w:p>
        </w:tc>
        <w:tc>
          <w:tcPr>
            <w:tcW w:w="6215" w:type="dxa"/>
            <w:gridSpan w:val="3"/>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精简后经办所需材料</w:t>
            </w:r>
          </w:p>
        </w:tc>
        <w:tc>
          <w:tcPr>
            <w:tcW w:w="1701" w:type="dxa"/>
            <w:gridSpan w:val="2"/>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办理时限</w:t>
            </w:r>
          </w:p>
        </w:tc>
        <w:tc>
          <w:tcPr>
            <w:tcW w:w="851" w:type="dxa"/>
            <w:vMerge w:val="restart"/>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是否实现跑零次</w:t>
            </w:r>
          </w:p>
        </w:tc>
        <w:tc>
          <w:tcPr>
            <w:tcW w:w="992" w:type="dxa"/>
            <w:vMerge w:val="restart"/>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责任处室（单位）</w:t>
            </w:r>
          </w:p>
        </w:tc>
        <w:tc>
          <w:tcPr>
            <w:tcW w:w="991" w:type="dxa"/>
            <w:vMerge w:val="restart"/>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进一步精简、规范建议</w:t>
            </w:r>
          </w:p>
        </w:tc>
      </w:tr>
      <w:tr w:rsidR="00013EC7">
        <w:trPr>
          <w:trHeight w:val="90"/>
          <w:tblHeader/>
          <w:jc w:val="center"/>
        </w:trPr>
        <w:tc>
          <w:tcPr>
            <w:tcW w:w="672" w:type="dxa"/>
            <w:vMerge/>
            <w:vAlign w:val="center"/>
          </w:tcPr>
          <w:p w:rsidR="00013EC7" w:rsidRDefault="00013EC7">
            <w:pPr>
              <w:rPr>
                <w:rFonts w:ascii="黑体" w:eastAsia="黑体" w:hAnsi="黑体"/>
                <w:sz w:val="24"/>
              </w:rPr>
            </w:pPr>
          </w:p>
        </w:tc>
        <w:tc>
          <w:tcPr>
            <w:tcW w:w="605" w:type="dxa"/>
            <w:vMerge/>
          </w:tcPr>
          <w:p w:rsidR="00013EC7" w:rsidRDefault="00013EC7">
            <w:pPr>
              <w:rPr>
                <w:rFonts w:ascii="黑体" w:eastAsia="黑体" w:hAnsi="黑体"/>
                <w:sz w:val="24"/>
              </w:rPr>
            </w:pPr>
          </w:p>
        </w:tc>
        <w:tc>
          <w:tcPr>
            <w:tcW w:w="1417" w:type="dxa"/>
            <w:vMerge/>
          </w:tcPr>
          <w:p w:rsidR="00013EC7" w:rsidRDefault="00013EC7">
            <w:pPr>
              <w:rPr>
                <w:rFonts w:ascii="黑体" w:eastAsia="黑体" w:hAnsi="黑体"/>
                <w:sz w:val="24"/>
              </w:rPr>
            </w:pPr>
          </w:p>
        </w:tc>
        <w:tc>
          <w:tcPr>
            <w:tcW w:w="5126" w:type="dxa"/>
            <w:tcBorders>
              <w:bottom w:val="single" w:sz="4" w:space="0" w:color="auto"/>
            </w:tcBorders>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材料明细</w:t>
            </w:r>
          </w:p>
        </w:tc>
        <w:tc>
          <w:tcPr>
            <w:tcW w:w="1275" w:type="dxa"/>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材料来源</w:t>
            </w:r>
          </w:p>
        </w:tc>
        <w:tc>
          <w:tcPr>
            <w:tcW w:w="3686" w:type="dxa"/>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材料明细</w:t>
            </w:r>
          </w:p>
        </w:tc>
        <w:tc>
          <w:tcPr>
            <w:tcW w:w="1546" w:type="dxa"/>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材料来源</w:t>
            </w:r>
          </w:p>
        </w:tc>
        <w:tc>
          <w:tcPr>
            <w:tcW w:w="983" w:type="dxa"/>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办理方式及材料信息获取方式说明</w:t>
            </w:r>
          </w:p>
        </w:tc>
        <w:tc>
          <w:tcPr>
            <w:tcW w:w="851" w:type="dxa"/>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优化前</w:t>
            </w:r>
          </w:p>
        </w:tc>
        <w:tc>
          <w:tcPr>
            <w:tcW w:w="850" w:type="dxa"/>
            <w:vAlign w:val="center"/>
          </w:tcPr>
          <w:p w:rsidR="00013EC7" w:rsidRDefault="00575CDB">
            <w:pPr>
              <w:spacing w:line="280" w:lineRule="exact"/>
              <w:jc w:val="center"/>
              <w:rPr>
                <w:rFonts w:ascii="黑体" w:eastAsia="黑体" w:hAnsi="黑体"/>
                <w:sz w:val="24"/>
              </w:rPr>
            </w:pPr>
            <w:r>
              <w:rPr>
                <w:rFonts w:ascii="黑体" w:eastAsia="黑体" w:hAnsi="黑体" w:hint="eastAsia"/>
                <w:sz w:val="24"/>
              </w:rPr>
              <w:t>优化后</w:t>
            </w:r>
          </w:p>
        </w:tc>
        <w:tc>
          <w:tcPr>
            <w:tcW w:w="851" w:type="dxa"/>
            <w:vMerge/>
            <w:vAlign w:val="center"/>
          </w:tcPr>
          <w:p w:rsidR="00013EC7" w:rsidRDefault="00013EC7">
            <w:pPr>
              <w:rPr>
                <w:rFonts w:ascii="黑体" w:eastAsia="黑体" w:hAnsi="黑体"/>
                <w:sz w:val="24"/>
              </w:rPr>
            </w:pPr>
          </w:p>
        </w:tc>
        <w:tc>
          <w:tcPr>
            <w:tcW w:w="992" w:type="dxa"/>
            <w:vMerge/>
            <w:vAlign w:val="center"/>
          </w:tcPr>
          <w:p w:rsidR="00013EC7" w:rsidRDefault="00013EC7">
            <w:pPr>
              <w:rPr>
                <w:rFonts w:ascii="黑体" w:eastAsia="黑体" w:hAnsi="黑体"/>
                <w:sz w:val="24"/>
              </w:rPr>
            </w:pPr>
          </w:p>
        </w:tc>
        <w:tc>
          <w:tcPr>
            <w:tcW w:w="991" w:type="dxa"/>
            <w:vMerge/>
            <w:vAlign w:val="center"/>
          </w:tcPr>
          <w:p w:rsidR="00013EC7" w:rsidRDefault="00013EC7">
            <w:pPr>
              <w:rPr>
                <w:rFonts w:ascii="黑体" w:eastAsia="黑体" w:hAnsi="黑体"/>
                <w:sz w:val="24"/>
              </w:rPr>
            </w:pPr>
          </w:p>
        </w:tc>
      </w:tr>
      <w:tr w:rsidR="00013EC7">
        <w:trPr>
          <w:trHeight w:val="925"/>
          <w:jc w:val="center"/>
        </w:trPr>
        <w:tc>
          <w:tcPr>
            <w:tcW w:w="672" w:type="dxa"/>
            <w:vMerge w:val="restart"/>
            <w:vAlign w:val="center"/>
          </w:tcPr>
          <w:p w:rsidR="00013EC7" w:rsidRDefault="00575CDB">
            <w:pPr>
              <w:jc w:val="left"/>
              <w:rPr>
                <w:rFonts w:ascii="仿宋" w:eastAsia="仿宋" w:hAnsi="仿宋"/>
                <w:sz w:val="24"/>
              </w:rPr>
            </w:pPr>
            <w:r>
              <w:rPr>
                <w:rFonts w:ascii="仿宋" w:eastAsia="仿宋" w:hAnsi="仿宋" w:hint="eastAsia"/>
                <w:sz w:val="24"/>
              </w:rPr>
              <w:t>30车辆购置税事项办理</w:t>
            </w:r>
          </w:p>
        </w:tc>
        <w:tc>
          <w:tcPr>
            <w:tcW w:w="605" w:type="dxa"/>
            <w:vMerge w:val="restart"/>
            <w:vAlign w:val="center"/>
          </w:tcPr>
          <w:p w:rsidR="00013EC7" w:rsidRDefault="00575CDB">
            <w:pPr>
              <w:jc w:val="left"/>
              <w:rPr>
                <w:rFonts w:ascii="仿宋" w:eastAsia="仿宋" w:hAnsi="仿宋"/>
                <w:sz w:val="24"/>
              </w:rPr>
            </w:pPr>
            <w:r>
              <w:rPr>
                <w:rFonts w:ascii="仿宋" w:eastAsia="仿宋" w:hAnsi="仿宋" w:hint="eastAsia"/>
                <w:sz w:val="24"/>
              </w:rPr>
              <w:t>30.1车辆购置税纳税申报</w:t>
            </w:r>
          </w:p>
        </w:tc>
        <w:tc>
          <w:tcPr>
            <w:tcW w:w="1417" w:type="dxa"/>
            <w:vMerge w:val="restart"/>
          </w:tcPr>
          <w:p w:rsidR="00013EC7" w:rsidRDefault="00575CDB">
            <w:pPr>
              <w:spacing w:line="240" w:lineRule="atLeast"/>
              <w:jc w:val="left"/>
              <w:rPr>
                <w:rFonts w:ascii="仿宋" w:eastAsia="仿宋" w:hAnsi="仿宋"/>
                <w:sz w:val="24"/>
              </w:rPr>
            </w:pPr>
            <w:r>
              <w:rPr>
                <w:rFonts w:ascii="仿宋" w:eastAsia="仿宋" w:hAnsi="仿宋" w:hint="eastAsia"/>
                <w:sz w:val="24"/>
              </w:rPr>
              <w:t>（一）《中华人民共和国车辆购置税暂行条例》（2000年中华人民共和国国务院令294号）全文。</w:t>
            </w:r>
          </w:p>
          <w:p w:rsidR="00013EC7" w:rsidRDefault="00575CDB">
            <w:pPr>
              <w:spacing w:line="240" w:lineRule="atLeast"/>
              <w:jc w:val="left"/>
              <w:rPr>
                <w:rFonts w:ascii="仿宋" w:eastAsia="仿宋" w:hAnsi="仿宋"/>
                <w:sz w:val="24"/>
              </w:rPr>
            </w:pPr>
            <w:r>
              <w:rPr>
                <w:rFonts w:ascii="仿宋" w:eastAsia="仿宋" w:hAnsi="仿宋" w:hint="eastAsia"/>
                <w:sz w:val="24"/>
              </w:rPr>
              <w:t>（二）《国家税务总局车辆购置税征收管理办法》（2014年国家税务总局令第33号）全文。</w:t>
            </w:r>
          </w:p>
          <w:p w:rsidR="00013EC7" w:rsidRDefault="00575CDB">
            <w:pPr>
              <w:spacing w:line="240" w:lineRule="atLeast"/>
              <w:jc w:val="left"/>
              <w:rPr>
                <w:rFonts w:ascii="仿宋" w:eastAsia="仿宋" w:hAnsi="仿宋"/>
                <w:sz w:val="24"/>
              </w:rPr>
            </w:pPr>
            <w:r>
              <w:rPr>
                <w:rFonts w:ascii="仿宋" w:eastAsia="仿宋" w:hAnsi="仿宋" w:hint="eastAsia"/>
                <w:sz w:val="24"/>
              </w:rPr>
              <w:t>（三）《国家税务总局关于修改〈车辆购置税征收管理办法〉的决定》（2015年国家税务</w:t>
            </w:r>
            <w:r>
              <w:rPr>
                <w:rFonts w:ascii="仿宋" w:eastAsia="仿宋" w:hAnsi="仿宋" w:hint="eastAsia"/>
                <w:sz w:val="24"/>
              </w:rPr>
              <w:lastRenderedPageBreak/>
              <w:t>总局令第38号）全文。</w:t>
            </w:r>
          </w:p>
          <w:p w:rsidR="00013EC7" w:rsidRDefault="00575CDB">
            <w:pPr>
              <w:spacing w:line="240" w:lineRule="atLeast"/>
              <w:jc w:val="left"/>
              <w:rPr>
                <w:rFonts w:ascii="仿宋" w:eastAsia="仿宋" w:hAnsi="仿宋"/>
                <w:sz w:val="24"/>
              </w:rPr>
            </w:pPr>
            <w:r>
              <w:rPr>
                <w:rFonts w:ascii="仿宋" w:eastAsia="仿宋" w:hAnsi="仿宋" w:hint="eastAsia"/>
                <w:sz w:val="24"/>
              </w:rPr>
              <w:t>（四）《国家税务总局关于车辆购置税征收管理有关问题的公告》（国家税务总局公告2015年第4号）全文。</w:t>
            </w:r>
          </w:p>
          <w:p w:rsidR="00013EC7" w:rsidRDefault="00575CDB">
            <w:pPr>
              <w:spacing w:line="240" w:lineRule="atLeast"/>
              <w:jc w:val="left"/>
              <w:rPr>
                <w:rFonts w:ascii="仿宋" w:eastAsia="仿宋" w:hAnsi="仿宋"/>
                <w:sz w:val="24"/>
              </w:rPr>
            </w:pPr>
            <w:r>
              <w:rPr>
                <w:rFonts w:ascii="仿宋" w:eastAsia="仿宋" w:hAnsi="仿宋" w:hint="eastAsia"/>
                <w:sz w:val="24"/>
              </w:rPr>
              <w:t>(五)《国家税务总局关于车辆购置税征收管理有关问题的补充公告》（国家税务总局公告2016第52号）全文。</w:t>
            </w:r>
          </w:p>
        </w:tc>
        <w:tc>
          <w:tcPr>
            <w:tcW w:w="5126" w:type="dxa"/>
            <w:tcBorders>
              <w:top w:val="single" w:sz="4" w:space="0" w:color="auto"/>
              <w:bottom w:val="single" w:sz="4" w:space="0" w:color="auto"/>
            </w:tcBorders>
            <w:vAlign w:val="center"/>
          </w:tcPr>
          <w:p w:rsidR="00013EC7" w:rsidRDefault="00575CDB">
            <w:pPr>
              <w:spacing w:line="300" w:lineRule="exact"/>
              <w:jc w:val="left"/>
              <w:rPr>
                <w:rFonts w:ascii="仿宋" w:eastAsia="仿宋" w:hAnsi="仿宋"/>
                <w:color w:val="000000"/>
                <w:sz w:val="24"/>
              </w:rPr>
            </w:pPr>
            <w:r>
              <w:rPr>
                <w:rFonts w:ascii="仿宋" w:eastAsia="仿宋" w:hAnsi="仿宋" w:hint="eastAsia"/>
                <w:color w:val="000000"/>
                <w:sz w:val="24"/>
                <w:highlight w:val="lightGray"/>
              </w:rPr>
              <w:lastRenderedPageBreak/>
              <w:t>（一）（A06121）《车辆购置税纳税申报表》2份。</w:t>
            </w:r>
          </w:p>
        </w:tc>
        <w:tc>
          <w:tcPr>
            <w:tcW w:w="1275" w:type="dxa"/>
            <w:vMerge w:val="restart"/>
            <w:vAlign w:val="center"/>
          </w:tcPr>
          <w:p w:rsidR="00013EC7" w:rsidRDefault="00575CDB">
            <w:pPr>
              <w:spacing w:line="300" w:lineRule="exact"/>
              <w:jc w:val="left"/>
              <w:rPr>
                <w:rFonts w:ascii="仿宋" w:eastAsia="仿宋" w:hAnsi="仿宋"/>
                <w:color w:val="000000"/>
                <w:sz w:val="24"/>
              </w:rPr>
            </w:pPr>
            <w:r>
              <w:rPr>
                <w:rFonts w:ascii="仿宋" w:eastAsia="仿宋" w:hAnsi="仿宋" w:hint="eastAsia"/>
                <w:color w:val="000000"/>
                <w:sz w:val="24"/>
              </w:rPr>
              <w:t>纳税人提交</w:t>
            </w:r>
          </w:p>
        </w:tc>
        <w:tc>
          <w:tcPr>
            <w:tcW w:w="3686" w:type="dxa"/>
            <w:vAlign w:val="center"/>
          </w:tcPr>
          <w:p w:rsidR="00013EC7" w:rsidRDefault="00575CDB">
            <w:pPr>
              <w:spacing w:line="300" w:lineRule="exact"/>
              <w:jc w:val="left"/>
              <w:rPr>
                <w:rFonts w:ascii="仿宋" w:eastAsia="仿宋" w:hAnsi="仿宋"/>
                <w:color w:val="000000"/>
                <w:sz w:val="24"/>
              </w:rPr>
            </w:pPr>
            <w:r>
              <w:rPr>
                <w:rFonts w:ascii="仿宋" w:eastAsia="仿宋" w:hAnsi="仿宋" w:hint="eastAsia"/>
                <w:color w:val="000000"/>
                <w:sz w:val="24"/>
              </w:rPr>
              <w:t>（一）（A06121）《车辆购置税纳税申报表》1份。</w:t>
            </w:r>
          </w:p>
        </w:tc>
        <w:tc>
          <w:tcPr>
            <w:tcW w:w="1546" w:type="dxa"/>
            <w:vAlign w:val="center"/>
          </w:tcPr>
          <w:p w:rsidR="00013EC7" w:rsidRDefault="00575CDB">
            <w:pPr>
              <w:spacing w:line="300" w:lineRule="exact"/>
              <w:jc w:val="left"/>
              <w:rPr>
                <w:rFonts w:ascii="仿宋" w:eastAsia="仿宋" w:hAnsi="仿宋"/>
                <w:iCs/>
                <w:sz w:val="24"/>
              </w:rPr>
            </w:pPr>
            <w:r>
              <w:rPr>
                <w:rFonts w:ascii="仿宋" w:eastAsia="仿宋" w:hAnsi="仿宋" w:hint="eastAsia"/>
                <w:sz w:val="24"/>
              </w:rPr>
              <w:t>纳税人提交</w:t>
            </w:r>
          </w:p>
        </w:tc>
        <w:tc>
          <w:tcPr>
            <w:tcW w:w="983" w:type="dxa"/>
            <w:vMerge w:val="restart"/>
            <w:vAlign w:val="center"/>
          </w:tcPr>
          <w:p w:rsidR="00013EC7" w:rsidRDefault="00575CDB">
            <w:pPr>
              <w:jc w:val="left"/>
              <w:rPr>
                <w:rFonts w:ascii="仿宋" w:eastAsia="仿宋" w:hAnsi="仿宋"/>
                <w:sz w:val="24"/>
              </w:rPr>
            </w:pPr>
            <w:r>
              <w:rPr>
                <w:rFonts w:ascii="仿宋" w:eastAsia="仿宋" w:hAnsi="仿宋"/>
                <w:b/>
                <w:sz w:val="24"/>
              </w:rPr>
              <w:t>现场办理：</w:t>
            </w:r>
            <w:r>
              <w:rPr>
                <w:rFonts w:ascii="仿宋" w:eastAsia="仿宋" w:hAnsi="仿宋" w:hint="eastAsia"/>
                <w:bCs/>
                <w:sz w:val="24"/>
              </w:rPr>
              <w:t>纳税人</w:t>
            </w:r>
            <w:r>
              <w:rPr>
                <w:rFonts w:ascii="仿宋" w:eastAsia="仿宋" w:hAnsi="仿宋" w:hint="eastAsia"/>
                <w:sz w:val="24"/>
              </w:rPr>
              <w:t>提交书面材料，符合受理条件的当场受理办结。</w:t>
            </w:r>
          </w:p>
          <w:p w:rsidR="00013EC7" w:rsidRDefault="00013EC7">
            <w:pPr>
              <w:spacing w:line="300" w:lineRule="exact"/>
              <w:jc w:val="left"/>
              <w:rPr>
                <w:rFonts w:ascii="仿宋" w:eastAsia="仿宋" w:hAnsi="仿宋"/>
                <w:sz w:val="24"/>
              </w:rPr>
            </w:pPr>
          </w:p>
        </w:tc>
        <w:tc>
          <w:tcPr>
            <w:tcW w:w="851" w:type="dxa"/>
            <w:vMerge w:val="restart"/>
            <w:vAlign w:val="center"/>
          </w:tcPr>
          <w:p w:rsidR="00013EC7" w:rsidRDefault="00575CDB">
            <w:pPr>
              <w:spacing w:line="300" w:lineRule="exact"/>
              <w:jc w:val="left"/>
              <w:rPr>
                <w:rFonts w:ascii="仿宋" w:eastAsia="仿宋" w:hAnsi="仿宋"/>
                <w:sz w:val="24"/>
              </w:rPr>
            </w:pPr>
            <w:r>
              <w:rPr>
                <w:rFonts w:ascii="仿宋" w:eastAsia="仿宋" w:hAnsi="仿宋" w:hint="eastAsia"/>
                <w:sz w:val="24"/>
              </w:rPr>
              <w:t>即时办结</w:t>
            </w:r>
          </w:p>
        </w:tc>
        <w:tc>
          <w:tcPr>
            <w:tcW w:w="850" w:type="dxa"/>
            <w:vMerge w:val="restart"/>
            <w:vAlign w:val="center"/>
          </w:tcPr>
          <w:p w:rsidR="00013EC7" w:rsidRDefault="00575CDB">
            <w:pPr>
              <w:spacing w:line="300" w:lineRule="exact"/>
              <w:jc w:val="left"/>
              <w:rPr>
                <w:rFonts w:ascii="仿宋" w:eastAsia="仿宋" w:hAnsi="仿宋"/>
                <w:sz w:val="24"/>
              </w:rPr>
            </w:pPr>
            <w:r>
              <w:rPr>
                <w:rFonts w:ascii="仿宋" w:eastAsia="仿宋" w:hAnsi="仿宋" w:hint="eastAsia"/>
                <w:sz w:val="24"/>
              </w:rPr>
              <w:t>即时办结</w:t>
            </w:r>
          </w:p>
        </w:tc>
        <w:tc>
          <w:tcPr>
            <w:tcW w:w="851" w:type="dxa"/>
            <w:vMerge w:val="restart"/>
            <w:vAlign w:val="center"/>
          </w:tcPr>
          <w:p w:rsidR="00013EC7" w:rsidRDefault="00575CDB">
            <w:pPr>
              <w:spacing w:line="300" w:lineRule="exact"/>
              <w:jc w:val="left"/>
              <w:rPr>
                <w:rFonts w:ascii="仿宋" w:eastAsia="仿宋" w:hAnsi="仿宋"/>
                <w:sz w:val="24"/>
              </w:rPr>
            </w:pPr>
            <w:r>
              <w:rPr>
                <w:rFonts w:ascii="仿宋" w:eastAsia="仿宋" w:hAnsi="仿宋" w:hint="eastAsia"/>
                <w:sz w:val="24"/>
              </w:rPr>
              <w:t>否</w:t>
            </w:r>
          </w:p>
        </w:tc>
        <w:tc>
          <w:tcPr>
            <w:tcW w:w="992" w:type="dxa"/>
            <w:vMerge w:val="restart"/>
            <w:vAlign w:val="center"/>
          </w:tcPr>
          <w:p w:rsidR="00013EC7" w:rsidRDefault="00575CDB">
            <w:pPr>
              <w:spacing w:line="300" w:lineRule="exact"/>
              <w:jc w:val="left"/>
              <w:rPr>
                <w:rFonts w:ascii="仿宋" w:eastAsia="仿宋" w:hAnsi="仿宋"/>
                <w:sz w:val="24"/>
              </w:rPr>
            </w:pPr>
            <w:r>
              <w:rPr>
                <w:rFonts w:ascii="仿宋" w:eastAsia="仿宋" w:hAnsi="仿宋" w:hint="eastAsia"/>
                <w:sz w:val="24"/>
              </w:rPr>
              <w:t>货物劳务税处</w:t>
            </w:r>
          </w:p>
        </w:tc>
        <w:tc>
          <w:tcPr>
            <w:tcW w:w="991" w:type="dxa"/>
            <w:vMerge w:val="restart"/>
            <w:vAlign w:val="center"/>
          </w:tcPr>
          <w:p w:rsidR="00013EC7" w:rsidRDefault="00013EC7">
            <w:pPr>
              <w:spacing w:line="300" w:lineRule="exact"/>
              <w:jc w:val="left"/>
              <w:rPr>
                <w:rFonts w:ascii="仿宋" w:eastAsia="仿宋" w:hAnsi="仿宋"/>
                <w:sz w:val="24"/>
              </w:rPr>
            </w:pPr>
          </w:p>
        </w:tc>
      </w:tr>
      <w:tr w:rsidR="00013EC7">
        <w:trPr>
          <w:trHeight w:val="286"/>
          <w:jc w:val="center"/>
        </w:trPr>
        <w:tc>
          <w:tcPr>
            <w:tcW w:w="672" w:type="dxa"/>
            <w:vMerge/>
            <w:textDirection w:val="tbRlV"/>
            <w:vAlign w:val="center"/>
          </w:tcPr>
          <w:p w:rsidR="00013EC7" w:rsidRDefault="00013EC7">
            <w:pPr>
              <w:rPr>
                <w:rFonts w:ascii="仿宋" w:eastAsia="仿宋" w:hAnsi="仿宋"/>
                <w:sz w:val="24"/>
              </w:rPr>
            </w:pPr>
          </w:p>
        </w:tc>
        <w:tc>
          <w:tcPr>
            <w:tcW w:w="605" w:type="dxa"/>
            <w:vMerge/>
            <w:vAlign w:val="center"/>
          </w:tcPr>
          <w:p w:rsidR="00013EC7" w:rsidRDefault="00013EC7">
            <w:pPr>
              <w:rPr>
                <w:rFonts w:ascii="仿宋" w:eastAsia="仿宋" w:hAnsi="仿宋"/>
                <w:sz w:val="24"/>
              </w:rPr>
            </w:pPr>
          </w:p>
        </w:tc>
        <w:tc>
          <w:tcPr>
            <w:tcW w:w="1417" w:type="dxa"/>
            <w:vMerge/>
            <w:vAlign w:val="center"/>
          </w:tcPr>
          <w:p w:rsidR="00013EC7" w:rsidRDefault="00013EC7">
            <w:pPr>
              <w:jc w:val="left"/>
              <w:rPr>
                <w:rFonts w:ascii="仿宋" w:eastAsia="仿宋" w:hAnsi="仿宋"/>
                <w:sz w:val="24"/>
              </w:rPr>
            </w:pPr>
          </w:p>
        </w:tc>
        <w:tc>
          <w:tcPr>
            <w:tcW w:w="5126" w:type="dxa"/>
            <w:tcBorders>
              <w:top w:val="single" w:sz="4" w:space="0" w:color="auto"/>
            </w:tcBorders>
            <w:vAlign w:val="center"/>
          </w:tcPr>
          <w:p w:rsidR="00013EC7" w:rsidRDefault="00575CDB">
            <w:pPr>
              <w:spacing w:line="300" w:lineRule="exact"/>
              <w:jc w:val="left"/>
              <w:rPr>
                <w:rFonts w:ascii="仿宋" w:eastAsia="仿宋" w:hAnsi="仿宋"/>
                <w:color w:val="000000"/>
                <w:sz w:val="24"/>
              </w:rPr>
            </w:pPr>
            <w:r>
              <w:rPr>
                <w:rFonts w:ascii="仿宋" w:eastAsia="仿宋" w:hAnsi="仿宋" w:hint="eastAsia"/>
                <w:color w:val="000000"/>
                <w:sz w:val="24"/>
                <w:highlight w:val="lightGray"/>
              </w:rPr>
              <w:t>（二）内地居民，提供内地《居民身份证》。</w:t>
            </w:r>
          </w:p>
        </w:tc>
        <w:tc>
          <w:tcPr>
            <w:tcW w:w="1275" w:type="dxa"/>
            <w:vMerge/>
            <w:vAlign w:val="center"/>
          </w:tcPr>
          <w:p w:rsidR="00013EC7" w:rsidRDefault="00013EC7">
            <w:pPr>
              <w:jc w:val="left"/>
              <w:rPr>
                <w:rFonts w:ascii="仿宋" w:eastAsia="仿宋" w:hAnsi="仿宋"/>
                <w:color w:val="000000"/>
                <w:sz w:val="24"/>
              </w:rPr>
            </w:pPr>
          </w:p>
        </w:tc>
        <w:tc>
          <w:tcPr>
            <w:tcW w:w="3686" w:type="dxa"/>
            <w:vAlign w:val="center"/>
          </w:tcPr>
          <w:p w:rsidR="00013EC7" w:rsidRDefault="00013EC7">
            <w:pPr>
              <w:spacing w:line="300" w:lineRule="exact"/>
              <w:jc w:val="left"/>
              <w:rPr>
                <w:rFonts w:ascii="仿宋" w:eastAsia="仿宋" w:hAnsi="仿宋"/>
                <w:color w:val="000000"/>
                <w:sz w:val="24"/>
              </w:rPr>
            </w:pPr>
          </w:p>
        </w:tc>
        <w:tc>
          <w:tcPr>
            <w:tcW w:w="1546" w:type="dxa"/>
            <w:vMerge w:val="restart"/>
            <w:vAlign w:val="center"/>
          </w:tcPr>
          <w:p w:rsidR="00013EC7" w:rsidRDefault="00575CDB">
            <w:pPr>
              <w:spacing w:line="300" w:lineRule="exact"/>
              <w:jc w:val="left"/>
              <w:rPr>
                <w:rFonts w:ascii="仿宋" w:eastAsia="仿宋" w:hAnsi="仿宋"/>
                <w:b/>
                <w:bCs/>
                <w:i/>
                <w:sz w:val="24"/>
              </w:rPr>
            </w:pPr>
            <w:r>
              <w:rPr>
                <w:rFonts w:ascii="仿宋" w:eastAsia="仿宋" w:hAnsi="仿宋" w:hint="eastAsia"/>
                <w:b/>
                <w:bCs/>
                <w:i/>
                <w:sz w:val="24"/>
              </w:rPr>
              <w:t>取消</w:t>
            </w:r>
          </w:p>
          <w:p w:rsidR="00013EC7" w:rsidRDefault="00013EC7">
            <w:pPr>
              <w:jc w:val="left"/>
              <w:rPr>
                <w:rFonts w:ascii="仿宋" w:eastAsia="仿宋" w:hAnsi="仿宋"/>
                <w:sz w:val="24"/>
              </w:rPr>
            </w:pPr>
          </w:p>
        </w:tc>
        <w:tc>
          <w:tcPr>
            <w:tcW w:w="983" w:type="dxa"/>
            <w:vMerge/>
            <w:vAlign w:val="center"/>
          </w:tcPr>
          <w:p w:rsidR="00013EC7" w:rsidRDefault="00013EC7">
            <w:pPr>
              <w:spacing w:line="300" w:lineRule="exact"/>
              <w:rPr>
                <w:rFonts w:ascii="仿宋" w:eastAsia="仿宋" w:hAnsi="仿宋"/>
                <w:sz w:val="24"/>
              </w:rPr>
            </w:pPr>
          </w:p>
        </w:tc>
        <w:tc>
          <w:tcPr>
            <w:tcW w:w="851" w:type="dxa"/>
            <w:vMerge/>
            <w:vAlign w:val="center"/>
          </w:tcPr>
          <w:p w:rsidR="00013EC7" w:rsidRDefault="00013EC7">
            <w:pPr>
              <w:rPr>
                <w:rFonts w:ascii="仿宋" w:eastAsia="仿宋" w:hAnsi="仿宋"/>
                <w:sz w:val="24"/>
              </w:rPr>
            </w:pPr>
          </w:p>
        </w:tc>
        <w:tc>
          <w:tcPr>
            <w:tcW w:w="850" w:type="dxa"/>
            <w:vMerge/>
            <w:vAlign w:val="center"/>
          </w:tcPr>
          <w:p w:rsidR="00013EC7" w:rsidRDefault="00013EC7">
            <w:pPr>
              <w:rPr>
                <w:rFonts w:ascii="仿宋" w:eastAsia="仿宋" w:hAnsi="仿宋"/>
                <w:sz w:val="24"/>
              </w:rPr>
            </w:pPr>
          </w:p>
        </w:tc>
        <w:tc>
          <w:tcPr>
            <w:tcW w:w="851" w:type="dxa"/>
            <w:vMerge/>
            <w:vAlign w:val="center"/>
          </w:tcPr>
          <w:p w:rsidR="00013EC7" w:rsidRDefault="00013EC7">
            <w:pPr>
              <w:rPr>
                <w:rFonts w:ascii="仿宋" w:eastAsia="仿宋" w:hAnsi="仿宋"/>
                <w:sz w:val="24"/>
              </w:rPr>
            </w:pPr>
          </w:p>
        </w:tc>
        <w:tc>
          <w:tcPr>
            <w:tcW w:w="992" w:type="dxa"/>
            <w:vMerge/>
            <w:vAlign w:val="center"/>
          </w:tcPr>
          <w:p w:rsidR="00013EC7" w:rsidRDefault="00013EC7">
            <w:pPr>
              <w:rPr>
                <w:rFonts w:ascii="仿宋" w:eastAsia="仿宋" w:hAnsi="仿宋"/>
                <w:sz w:val="24"/>
              </w:rPr>
            </w:pPr>
          </w:p>
        </w:tc>
        <w:tc>
          <w:tcPr>
            <w:tcW w:w="991" w:type="dxa"/>
            <w:vMerge/>
            <w:vAlign w:val="center"/>
          </w:tcPr>
          <w:p w:rsidR="00013EC7" w:rsidRDefault="00013EC7">
            <w:pPr>
              <w:rPr>
                <w:rFonts w:ascii="仿宋" w:eastAsia="仿宋" w:hAnsi="仿宋"/>
                <w:sz w:val="24"/>
              </w:rPr>
            </w:pPr>
          </w:p>
        </w:tc>
      </w:tr>
      <w:tr w:rsidR="00013EC7">
        <w:trPr>
          <w:trHeight w:val="340"/>
          <w:jc w:val="center"/>
        </w:trPr>
        <w:tc>
          <w:tcPr>
            <w:tcW w:w="672" w:type="dxa"/>
            <w:vMerge/>
            <w:textDirection w:val="tbRlV"/>
            <w:vAlign w:val="center"/>
          </w:tcPr>
          <w:p w:rsidR="00013EC7" w:rsidRDefault="00013EC7">
            <w:pPr>
              <w:rPr>
                <w:rFonts w:ascii="仿宋" w:eastAsia="仿宋" w:hAnsi="仿宋"/>
                <w:sz w:val="24"/>
              </w:rPr>
            </w:pPr>
          </w:p>
        </w:tc>
        <w:tc>
          <w:tcPr>
            <w:tcW w:w="605" w:type="dxa"/>
            <w:vMerge/>
            <w:vAlign w:val="center"/>
          </w:tcPr>
          <w:p w:rsidR="00013EC7" w:rsidRDefault="00013EC7">
            <w:pPr>
              <w:rPr>
                <w:rFonts w:ascii="仿宋" w:eastAsia="仿宋" w:hAnsi="仿宋"/>
                <w:sz w:val="24"/>
              </w:rPr>
            </w:pPr>
          </w:p>
        </w:tc>
        <w:tc>
          <w:tcPr>
            <w:tcW w:w="1417" w:type="dxa"/>
            <w:vMerge/>
            <w:vAlign w:val="center"/>
          </w:tcPr>
          <w:p w:rsidR="00013EC7" w:rsidRDefault="00013EC7">
            <w:pPr>
              <w:jc w:val="left"/>
              <w:rPr>
                <w:rFonts w:ascii="仿宋" w:eastAsia="仿宋" w:hAnsi="仿宋"/>
                <w:sz w:val="24"/>
              </w:rPr>
            </w:pPr>
          </w:p>
        </w:tc>
        <w:tc>
          <w:tcPr>
            <w:tcW w:w="5126" w:type="dxa"/>
            <w:vAlign w:val="center"/>
          </w:tcPr>
          <w:p w:rsidR="00013EC7" w:rsidRDefault="00575CDB">
            <w:pPr>
              <w:spacing w:line="300" w:lineRule="exact"/>
              <w:jc w:val="left"/>
              <w:rPr>
                <w:rFonts w:ascii="仿宋" w:eastAsia="仿宋" w:hAnsi="仿宋"/>
                <w:sz w:val="24"/>
              </w:rPr>
            </w:pPr>
            <w:r>
              <w:rPr>
                <w:rFonts w:ascii="仿宋" w:eastAsia="仿宋" w:hAnsi="仿宋" w:hint="eastAsia"/>
                <w:sz w:val="24"/>
                <w:highlight w:val="lightGray"/>
              </w:rPr>
              <w:t>（三）香港、澳门特别行政区、台湾地区居民，提供入境的身份证明和居住证明。</w:t>
            </w:r>
          </w:p>
        </w:tc>
        <w:tc>
          <w:tcPr>
            <w:tcW w:w="1275" w:type="dxa"/>
            <w:vMerge/>
            <w:vAlign w:val="center"/>
          </w:tcPr>
          <w:p w:rsidR="00013EC7" w:rsidRDefault="00013EC7">
            <w:pPr>
              <w:jc w:val="left"/>
              <w:rPr>
                <w:rFonts w:ascii="仿宋" w:eastAsia="仿宋" w:hAnsi="仿宋"/>
                <w:sz w:val="24"/>
              </w:rPr>
            </w:pPr>
          </w:p>
        </w:tc>
        <w:tc>
          <w:tcPr>
            <w:tcW w:w="3686" w:type="dxa"/>
            <w:vAlign w:val="center"/>
          </w:tcPr>
          <w:p w:rsidR="00013EC7" w:rsidRDefault="00013EC7">
            <w:pPr>
              <w:spacing w:line="300" w:lineRule="exact"/>
              <w:jc w:val="left"/>
              <w:rPr>
                <w:rFonts w:ascii="仿宋" w:eastAsia="仿宋" w:hAnsi="仿宋"/>
                <w:sz w:val="24"/>
              </w:rPr>
            </w:pPr>
          </w:p>
        </w:tc>
        <w:tc>
          <w:tcPr>
            <w:tcW w:w="1546" w:type="dxa"/>
            <w:vMerge/>
            <w:vAlign w:val="center"/>
          </w:tcPr>
          <w:p w:rsidR="00013EC7" w:rsidRDefault="00013EC7">
            <w:pPr>
              <w:jc w:val="left"/>
              <w:rPr>
                <w:rFonts w:ascii="仿宋" w:eastAsia="仿宋" w:hAnsi="仿宋"/>
                <w:sz w:val="24"/>
              </w:rPr>
            </w:pPr>
          </w:p>
        </w:tc>
        <w:tc>
          <w:tcPr>
            <w:tcW w:w="983" w:type="dxa"/>
            <w:vMerge/>
            <w:vAlign w:val="center"/>
          </w:tcPr>
          <w:p w:rsidR="00013EC7" w:rsidRDefault="00013EC7">
            <w:pPr>
              <w:spacing w:line="300" w:lineRule="exact"/>
              <w:rPr>
                <w:rFonts w:ascii="仿宋" w:eastAsia="仿宋" w:hAnsi="仿宋"/>
                <w:sz w:val="24"/>
              </w:rPr>
            </w:pPr>
          </w:p>
        </w:tc>
        <w:tc>
          <w:tcPr>
            <w:tcW w:w="851" w:type="dxa"/>
            <w:vMerge/>
            <w:vAlign w:val="center"/>
          </w:tcPr>
          <w:p w:rsidR="00013EC7" w:rsidRDefault="00013EC7">
            <w:pPr>
              <w:rPr>
                <w:rFonts w:ascii="仿宋" w:eastAsia="仿宋" w:hAnsi="仿宋"/>
                <w:sz w:val="24"/>
              </w:rPr>
            </w:pPr>
          </w:p>
        </w:tc>
        <w:tc>
          <w:tcPr>
            <w:tcW w:w="850" w:type="dxa"/>
            <w:vMerge/>
            <w:vAlign w:val="center"/>
          </w:tcPr>
          <w:p w:rsidR="00013EC7" w:rsidRDefault="00013EC7">
            <w:pPr>
              <w:rPr>
                <w:rFonts w:ascii="仿宋" w:eastAsia="仿宋" w:hAnsi="仿宋"/>
                <w:sz w:val="24"/>
              </w:rPr>
            </w:pPr>
          </w:p>
        </w:tc>
        <w:tc>
          <w:tcPr>
            <w:tcW w:w="851" w:type="dxa"/>
            <w:vMerge/>
            <w:vAlign w:val="center"/>
          </w:tcPr>
          <w:p w:rsidR="00013EC7" w:rsidRDefault="00013EC7">
            <w:pPr>
              <w:rPr>
                <w:rFonts w:ascii="仿宋" w:eastAsia="仿宋" w:hAnsi="仿宋"/>
                <w:sz w:val="24"/>
              </w:rPr>
            </w:pPr>
          </w:p>
        </w:tc>
        <w:tc>
          <w:tcPr>
            <w:tcW w:w="992" w:type="dxa"/>
            <w:vMerge/>
            <w:vAlign w:val="center"/>
          </w:tcPr>
          <w:p w:rsidR="00013EC7" w:rsidRDefault="00013EC7">
            <w:pPr>
              <w:rPr>
                <w:rFonts w:ascii="仿宋" w:eastAsia="仿宋" w:hAnsi="仿宋"/>
                <w:sz w:val="24"/>
              </w:rPr>
            </w:pPr>
          </w:p>
        </w:tc>
        <w:tc>
          <w:tcPr>
            <w:tcW w:w="991" w:type="dxa"/>
            <w:vMerge/>
            <w:vAlign w:val="center"/>
          </w:tcPr>
          <w:p w:rsidR="00013EC7" w:rsidRDefault="00013EC7">
            <w:pPr>
              <w:rPr>
                <w:rFonts w:ascii="仿宋" w:eastAsia="仿宋" w:hAnsi="仿宋"/>
                <w:sz w:val="24"/>
              </w:rPr>
            </w:pPr>
          </w:p>
        </w:tc>
      </w:tr>
      <w:tr w:rsidR="00013EC7">
        <w:trPr>
          <w:trHeight w:val="340"/>
          <w:jc w:val="center"/>
        </w:trPr>
        <w:tc>
          <w:tcPr>
            <w:tcW w:w="672" w:type="dxa"/>
            <w:vMerge/>
            <w:vAlign w:val="center"/>
          </w:tcPr>
          <w:p w:rsidR="00013EC7" w:rsidRDefault="00013EC7">
            <w:pPr>
              <w:rPr>
                <w:rFonts w:ascii="仿宋" w:eastAsia="仿宋" w:hAnsi="仿宋"/>
                <w:sz w:val="24"/>
              </w:rPr>
            </w:pPr>
          </w:p>
        </w:tc>
        <w:tc>
          <w:tcPr>
            <w:tcW w:w="605" w:type="dxa"/>
            <w:vMerge/>
            <w:vAlign w:val="center"/>
          </w:tcPr>
          <w:p w:rsidR="00013EC7" w:rsidRDefault="00013EC7">
            <w:pPr>
              <w:rPr>
                <w:rFonts w:ascii="仿宋" w:eastAsia="仿宋" w:hAnsi="仿宋"/>
                <w:sz w:val="24"/>
              </w:rPr>
            </w:pPr>
          </w:p>
        </w:tc>
        <w:tc>
          <w:tcPr>
            <w:tcW w:w="1417" w:type="dxa"/>
            <w:vMerge/>
            <w:vAlign w:val="center"/>
          </w:tcPr>
          <w:p w:rsidR="00013EC7" w:rsidRDefault="00013EC7">
            <w:pPr>
              <w:jc w:val="left"/>
              <w:rPr>
                <w:rFonts w:ascii="仿宋" w:eastAsia="仿宋" w:hAnsi="仿宋"/>
                <w:sz w:val="24"/>
              </w:rPr>
            </w:pPr>
          </w:p>
        </w:tc>
        <w:tc>
          <w:tcPr>
            <w:tcW w:w="5126" w:type="dxa"/>
            <w:vAlign w:val="center"/>
          </w:tcPr>
          <w:p w:rsidR="00013EC7" w:rsidRDefault="00575CDB">
            <w:pPr>
              <w:spacing w:line="300" w:lineRule="exact"/>
              <w:jc w:val="left"/>
              <w:rPr>
                <w:rFonts w:ascii="仿宋" w:eastAsia="仿宋" w:hAnsi="仿宋"/>
                <w:sz w:val="24"/>
              </w:rPr>
            </w:pPr>
            <w:r>
              <w:rPr>
                <w:rFonts w:ascii="仿宋" w:eastAsia="仿宋" w:hAnsi="仿宋" w:hint="eastAsia"/>
                <w:sz w:val="24"/>
                <w:highlight w:val="lightGray"/>
              </w:rPr>
              <w:t>（四）外国人，提供入境的身份证明和居住证明。</w:t>
            </w:r>
          </w:p>
        </w:tc>
        <w:tc>
          <w:tcPr>
            <w:tcW w:w="1275" w:type="dxa"/>
            <w:vMerge/>
            <w:vAlign w:val="center"/>
          </w:tcPr>
          <w:p w:rsidR="00013EC7" w:rsidRDefault="00013EC7">
            <w:pPr>
              <w:jc w:val="left"/>
              <w:rPr>
                <w:rFonts w:ascii="仿宋" w:eastAsia="仿宋" w:hAnsi="仿宋"/>
                <w:sz w:val="24"/>
              </w:rPr>
            </w:pPr>
          </w:p>
        </w:tc>
        <w:tc>
          <w:tcPr>
            <w:tcW w:w="3686" w:type="dxa"/>
            <w:vAlign w:val="center"/>
          </w:tcPr>
          <w:p w:rsidR="00013EC7" w:rsidRDefault="00013EC7">
            <w:pPr>
              <w:spacing w:line="300" w:lineRule="exact"/>
              <w:jc w:val="left"/>
              <w:rPr>
                <w:rFonts w:ascii="仿宋" w:eastAsia="仿宋" w:hAnsi="仿宋"/>
                <w:sz w:val="24"/>
              </w:rPr>
            </w:pPr>
          </w:p>
        </w:tc>
        <w:tc>
          <w:tcPr>
            <w:tcW w:w="1546" w:type="dxa"/>
            <w:vMerge/>
            <w:vAlign w:val="center"/>
          </w:tcPr>
          <w:p w:rsidR="00013EC7" w:rsidRDefault="00013EC7">
            <w:pPr>
              <w:jc w:val="left"/>
              <w:rPr>
                <w:rFonts w:ascii="仿宋" w:eastAsia="仿宋" w:hAnsi="仿宋"/>
                <w:sz w:val="24"/>
              </w:rPr>
            </w:pPr>
          </w:p>
        </w:tc>
        <w:tc>
          <w:tcPr>
            <w:tcW w:w="983" w:type="dxa"/>
            <w:vMerge/>
            <w:vAlign w:val="center"/>
          </w:tcPr>
          <w:p w:rsidR="00013EC7" w:rsidRDefault="00013EC7">
            <w:pPr>
              <w:spacing w:line="300" w:lineRule="exact"/>
              <w:rPr>
                <w:rFonts w:ascii="仿宋" w:eastAsia="仿宋" w:hAnsi="仿宋"/>
                <w:sz w:val="24"/>
              </w:rPr>
            </w:pPr>
          </w:p>
        </w:tc>
        <w:tc>
          <w:tcPr>
            <w:tcW w:w="851" w:type="dxa"/>
            <w:vMerge/>
            <w:vAlign w:val="center"/>
          </w:tcPr>
          <w:p w:rsidR="00013EC7" w:rsidRDefault="00013EC7">
            <w:pPr>
              <w:rPr>
                <w:rFonts w:ascii="仿宋" w:eastAsia="仿宋" w:hAnsi="仿宋"/>
                <w:sz w:val="24"/>
              </w:rPr>
            </w:pPr>
          </w:p>
        </w:tc>
        <w:tc>
          <w:tcPr>
            <w:tcW w:w="850" w:type="dxa"/>
            <w:vMerge/>
            <w:vAlign w:val="center"/>
          </w:tcPr>
          <w:p w:rsidR="00013EC7" w:rsidRDefault="00013EC7">
            <w:pPr>
              <w:rPr>
                <w:rFonts w:ascii="仿宋" w:eastAsia="仿宋" w:hAnsi="仿宋"/>
                <w:sz w:val="24"/>
              </w:rPr>
            </w:pPr>
          </w:p>
        </w:tc>
        <w:tc>
          <w:tcPr>
            <w:tcW w:w="851" w:type="dxa"/>
            <w:vMerge/>
            <w:vAlign w:val="center"/>
          </w:tcPr>
          <w:p w:rsidR="00013EC7" w:rsidRDefault="00013EC7">
            <w:pPr>
              <w:rPr>
                <w:rFonts w:ascii="仿宋" w:eastAsia="仿宋" w:hAnsi="仿宋"/>
                <w:sz w:val="24"/>
              </w:rPr>
            </w:pPr>
          </w:p>
        </w:tc>
        <w:tc>
          <w:tcPr>
            <w:tcW w:w="992" w:type="dxa"/>
            <w:vMerge/>
            <w:vAlign w:val="center"/>
          </w:tcPr>
          <w:p w:rsidR="00013EC7" w:rsidRDefault="00013EC7">
            <w:pPr>
              <w:rPr>
                <w:rFonts w:ascii="仿宋" w:eastAsia="仿宋" w:hAnsi="仿宋"/>
                <w:sz w:val="24"/>
              </w:rPr>
            </w:pPr>
          </w:p>
        </w:tc>
        <w:tc>
          <w:tcPr>
            <w:tcW w:w="991" w:type="dxa"/>
            <w:vMerge/>
            <w:vAlign w:val="center"/>
          </w:tcPr>
          <w:p w:rsidR="00013EC7" w:rsidRDefault="00013EC7">
            <w:pPr>
              <w:rPr>
                <w:rFonts w:ascii="仿宋" w:eastAsia="仿宋" w:hAnsi="仿宋"/>
                <w:sz w:val="24"/>
              </w:rPr>
            </w:pPr>
          </w:p>
        </w:tc>
      </w:tr>
      <w:tr w:rsidR="00013EC7">
        <w:trPr>
          <w:trHeight w:val="340"/>
          <w:jc w:val="center"/>
        </w:trPr>
        <w:tc>
          <w:tcPr>
            <w:tcW w:w="672" w:type="dxa"/>
            <w:vMerge/>
            <w:vAlign w:val="center"/>
          </w:tcPr>
          <w:p w:rsidR="00013EC7" w:rsidRDefault="00013EC7">
            <w:pPr>
              <w:rPr>
                <w:rFonts w:ascii="仿宋" w:eastAsia="仿宋" w:hAnsi="仿宋"/>
                <w:sz w:val="24"/>
              </w:rPr>
            </w:pPr>
          </w:p>
        </w:tc>
        <w:tc>
          <w:tcPr>
            <w:tcW w:w="605" w:type="dxa"/>
            <w:vMerge/>
            <w:vAlign w:val="center"/>
          </w:tcPr>
          <w:p w:rsidR="00013EC7" w:rsidRDefault="00013EC7">
            <w:pPr>
              <w:rPr>
                <w:rFonts w:ascii="仿宋" w:eastAsia="仿宋" w:hAnsi="仿宋"/>
                <w:sz w:val="24"/>
              </w:rPr>
            </w:pPr>
          </w:p>
        </w:tc>
        <w:tc>
          <w:tcPr>
            <w:tcW w:w="1417" w:type="dxa"/>
            <w:vMerge/>
            <w:vAlign w:val="center"/>
          </w:tcPr>
          <w:p w:rsidR="00013EC7" w:rsidRDefault="00013EC7">
            <w:pPr>
              <w:jc w:val="left"/>
              <w:rPr>
                <w:rFonts w:ascii="仿宋" w:eastAsia="仿宋" w:hAnsi="仿宋"/>
                <w:sz w:val="24"/>
              </w:rPr>
            </w:pPr>
          </w:p>
        </w:tc>
        <w:tc>
          <w:tcPr>
            <w:tcW w:w="5126" w:type="dxa"/>
            <w:vAlign w:val="center"/>
          </w:tcPr>
          <w:p w:rsidR="00013EC7" w:rsidRDefault="00575CDB">
            <w:pPr>
              <w:spacing w:line="300" w:lineRule="exact"/>
              <w:jc w:val="left"/>
              <w:rPr>
                <w:rFonts w:ascii="仿宋" w:eastAsia="仿宋" w:hAnsi="仿宋"/>
                <w:sz w:val="24"/>
              </w:rPr>
            </w:pPr>
            <w:r>
              <w:rPr>
                <w:rFonts w:ascii="仿宋" w:eastAsia="仿宋" w:hAnsi="仿宋" w:hint="eastAsia"/>
                <w:sz w:val="24"/>
                <w:highlight w:val="lightGray"/>
              </w:rPr>
              <w:t>（五）驻外使领馆工作人员进口自用车辆的，还应提供：1.护照原件和复印件。2.驻外使领馆出具的《我国驻外使领馆人员离任回国证明书》或者《驻外使领馆人员身份证明》。</w:t>
            </w:r>
          </w:p>
        </w:tc>
        <w:tc>
          <w:tcPr>
            <w:tcW w:w="1275" w:type="dxa"/>
            <w:vMerge/>
            <w:vAlign w:val="center"/>
          </w:tcPr>
          <w:p w:rsidR="00013EC7" w:rsidRDefault="00013EC7">
            <w:pPr>
              <w:jc w:val="left"/>
              <w:rPr>
                <w:rFonts w:ascii="仿宋" w:eastAsia="仿宋" w:hAnsi="仿宋"/>
                <w:sz w:val="24"/>
              </w:rPr>
            </w:pPr>
          </w:p>
        </w:tc>
        <w:tc>
          <w:tcPr>
            <w:tcW w:w="3686" w:type="dxa"/>
            <w:vAlign w:val="center"/>
          </w:tcPr>
          <w:p w:rsidR="00013EC7" w:rsidRDefault="00013EC7">
            <w:pPr>
              <w:spacing w:line="300" w:lineRule="exact"/>
              <w:jc w:val="left"/>
              <w:rPr>
                <w:rFonts w:ascii="仿宋" w:eastAsia="仿宋" w:hAnsi="仿宋"/>
                <w:sz w:val="24"/>
              </w:rPr>
            </w:pPr>
          </w:p>
        </w:tc>
        <w:tc>
          <w:tcPr>
            <w:tcW w:w="1546" w:type="dxa"/>
            <w:vMerge/>
            <w:vAlign w:val="center"/>
          </w:tcPr>
          <w:p w:rsidR="00013EC7" w:rsidRDefault="00013EC7">
            <w:pPr>
              <w:jc w:val="left"/>
              <w:rPr>
                <w:rFonts w:ascii="仿宋" w:eastAsia="仿宋" w:hAnsi="仿宋"/>
                <w:sz w:val="24"/>
              </w:rPr>
            </w:pPr>
          </w:p>
        </w:tc>
        <w:tc>
          <w:tcPr>
            <w:tcW w:w="983" w:type="dxa"/>
            <w:vMerge/>
            <w:vAlign w:val="center"/>
          </w:tcPr>
          <w:p w:rsidR="00013EC7" w:rsidRDefault="00013EC7">
            <w:pPr>
              <w:spacing w:line="300" w:lineRule="exact"/>
              <w:rPr>
                <w:rFonts w:ascii="仿宋" w:eastAsia="仿宋" w:hAnsi="仿宋"/>
                <w:sz w:val="24"/>
              </w:rPr>
            </w:pPr>
          </w:p>
        </w:tc>
        <w:tc>
          <w:tcPr>
            <w:tcW w:w="851" w:type="dxa"/>
            <w:vMerge/>
            <w:vAlign w:val="center"/>
          </w:tcPr>
          <w:p w:rsidR="00013EC7" w:rsidRDefault="00013EC7">
            <w:pPr>
              <w:rPr>
                <w:rFonts w:ascii="仿宋" w:eastAsia="仿宋" w:hAnsi="仿宋"/>
                <w:sz w:val="24"/>
              </w:rPr>
            </w:pPr>
          </w:p>
        </w:tc>
        <w:tc>
          <w:tcPr>
            <w:tcW w:w="850" w:type="dxa"/>
            <w:vMerge/>
            <w:vAlign w:val="center"/>
          </w:tcPr>
          <w:p w:rsidR="00013EC7" w:rsidRDefault="00013EC7">
            <w:pPr>
              <w:rPr>
                <w:rFonts w:ascii="仿宋" w:eastAsia="仿宋" w:hAnsi="仿宋"/>
                <w:sz w:val="24"/>
              </w:rPr>
            </w:pPr>
          </w:p>
        </w:tc>
        <w:tc>
          <w:tcPr>
            <w:tcW w:w="851" w:type="dxa"/>
            <w:vMerge/>
            <w:vAlign w:val="center"/>
          </w:tcPr>
          <w:p w:rsidR="00013EC7" w:rsidRDefault="00013EC7">
            <w:pPr>
              <w:rPr>
                <w:rFonts w:ascii="仿宋" w:eastAsia="仿宋" w:hAnsi="仿宋"/>
                <w:sz w:val="24"/>
              </w:rPr>
            </w:pPr>
          </w:p>
        </w:tc>
        <w:tc>
          <w:tcPr>
            <w:tcW w:w="992" w:type="dxa"/>
            <w:vMerge/>
            <w:vAlign w:val="center"/>
          </w:tcPr>
          <w:p w:rsidR="00013EC7" w:rsidRDefault="00013EC7">
            <w:pPr>
              <w:rPr>
                <w:rFonts w:ascii="仿宋" w:eastAsia="仿宋" w:hAnsi="仿宋"/>
                <w:sz w:val="24"/>
              </w:rPr>
            </w:pPr>
          </w:p>
        </w:tc>
        <w:tc>
          <w:tcPr>
            <w:tcW w:w="991" w:type="dxa"/>
            <w:vMerge/>
            <w:vAlign w:val="center"/>
          </w:tcPr>
          <w:p w:rsidR="00013EC7" w:rsidRDefault="00013EC7">
            <w:pPr>
              <w:rPr>
                <w:rFonts w:ascii="仿宋" w:eastAsia="仿宋" w:hAnsi="仿宋"/>
                <w:sz w:val="24"/>
              </w:rPr>
            </w:pPr>
          </w:p>
        </w:tc>
      </w:tr>
      <w:tr w:rsidR="00013EC7">
        <w:trPr>
          <w:trHeight w:val="989"/>
          <w:jc w:val="center"/>
        </w:trPr>
        <w:tc>
          <w:tcPr>
            <w:tcW w:w="672" w:type="dxa"/>
            <w:vMerge/>
            <w:vAlign w:val="center"/>
          </w:tcPr>
          <w:p w:rsidR="00013EC7" w:rsidRDefault="00013EC7">
            <w:pPr>
              <w:rPr>
                <w:rFonts w:ascii="仿宋" w:eastAsia="仿宋" w:hAnsi="仿宋"/>
                <w:sz w:val="24"/>
              </w:rPr>
            </w:pPr>
          </w:p>
        </w:tc>
        <w:tc>
          <w:tcPr>
            <w:tcW w:w="605" w:type="dxa"/>
            <w:vMerge/>
            <w:vAlign w:val="center"/>
          </w:tcPr>
          <w:p w:rsidR="00013EC7" w:rsidRDefault="00013EC7">
            <w:pPr>
              <w:rPr>
                <w:rFonts w:ascii="仿宋" w:eastAsia="仿宋" w:hAnsi="仿宋"/>
                <w:sz w:val="24"/>
              </w:rPr>
            </w:pPr>
          </w:p>
        </w:tc>
        <w:tc>
          <w:tcPr>
            <w:tcW w:w="1417" w:type="dxa"/>
            <w:vMerge/>
            <w:vAlign w:val="center"/>
          </w:tcPr>
          <w:p w:rsidR="00013EC7" w:rsidRDefault="00013EC7">
            <w:pPr>
              <w:jc w:val="left"/>
              <w:rPr>
                <w:rFonts w:ascii="仿宋" w:eastAsia="仿宋" w:hAnsi="仿宋"/>
                <w:sz w:val="24"/>
              </w:rPr>
            </w:pPr>
          </w:p>
        </w:tc>
        <w:tc>
          <w:tcPr>
            <w:tcW w:w="5126" w:type="dxa"/>
            <w:vMerge w:val="restart"/>
            <w:vAlign w:val="center"/>
          </w:tcPr>
          <w:p w:rsidR="00013EC7" w:rsidRDefault="00575CDB">
            <w:pPr>
              <w:spacing w:line="300" w:lineRule="exact"/>
              <w:jc w:val="left"/>
              <w:rPr>
                <w:rFonts w:ascii="仿宋" w:eastAsia="仿宋" w:hAnsi="仿宋"/>
                <w:sz w:val="24"/>
              </w:rPr>
            </w:pPr>
            <w:r>
              <w:rPr>
                <w:rFonts w:ascii="仿宋" w:eastAsia="仿宋" w:hAnsi="仿宋" w:hint="eastAsia"/>
                <w:sz w:val="24"/>
              </w:rPr>
              <w:t>（六）车辆价格证明：</w:t>
            </w:r>
          </w:p>
          <w:p w:rsidR="00013EC7" w:rsidRDefault="00575CDB">
            <w:pPr>
              <w:spacing w:line="300" w:lineRule="exact"/>
              <w:jc w:val="left"/>
              <w:rPr>
                <w:rFonts w:ascii="仿宋" w:eastAsia="仿宋" w:hAnsi="仿宋"/>
                <w:sz w:val="24"/>
              </w:rPr>
            </w:pPr>
            <w:r>
              <w:rPr>
                <w:rFonts w:ascii="仿宋" w:eastAsia="仿宋" w:hAnsi="仿宋" w:hint="eastAsia"/>
                <w:sz w:val="24"/>
              </w:rPr>
              <w:t>境内购置车辆，提供销售者开具给纳税人购买应税车辆所支付的全部价款和价外费用的凭证，包括统一发票（发票联和报税联）或者其他有效凭证。</w:t>
            </w:r>
          </w:p>
          <w:p w:rsidR="00013EC7" w:rsidRDefault="00575CDB">
            <w:pPr>
              <w:spacing w:line="300" w:lineRule="exact"/>
              <w:jc w:val="left"/>
              <w:rPr>
                <w:rFonts w:ascii="仿宋" w:eastAsia="仿宋" w:hAnsi="仿宋"/>
                <w:sz w:val="24"/>
              </w:rPr>
            </w:pPr>
            <w:r>
              <w:rPr>
                <w:rFonts w:ascii="仿宋" w:eastAsia="仿宋" w:hAnsi="仿宋" w:hint="eastAsia"/>
                <w:sz w:val="24"/>
              </w:rPr>
              <w:t>进口自用车辆，提供《海关进口关税专用缴款书》、《海关进口消费税专用缴款书》或者海关进出口货物征免税证明。</w:t>
            </w:r>
          </w:p>
        </w:tc>
        <w:tc>
          <w:tcPr>
            <w:tcW w:w="1275" w:type="dxa"/>
            <w:vMerge w:val="restart"/>
            <w:vAlign w:val="center"/>
          </w:tcPr>
          <w:p w:rsidR="00013EC7" w:rsidRDefault="00575CDB">
            <w:pPr>
              <w:jc w:val="left"/>
              <w:rPr>
                <w:rFonts w:ascii="仿宋" w:eastAsia="仿宋" w:hAnsi="仿宋"/>
                <w:sz w:val="24"/>
              </w:rPr>
            </w:pPr>
            <w:r>
              <w:rPr>
                <w:rFonts w:ascii="仿宋" w:eastAsia="仿宋" w:hAnsi="仿宋" w:hint="eastAsia"/>
                <w:sz w:val="24"/>
              </w:rPr>
              <w:t>新车申报纳税人提交</w:t>
            </w:r>
          </w:p>
        </w:tc>
        <w:tc>
          <w:tcPr>
            <w:tcW w:w="3686" w:type="dxa"/>
            <w:vAlign w:val="center"/>
          </w:tcPr>
          <w:p w:rsidR="00013EC7" w:rsidRDefault="00575CDB">
            <w:pPr>
              <w:spacing w:line="300" w:lineRule="exact"/>
              <w:jc w:val="left"/>
              <w:rPr>
                <w:rFonts w:ascii="仿宋" w:eastAsia="仿宋" w:hAnsi="仿宋"/>
                <w:color w:val="000000"/>
                <w:sz w:val="24"/>
              </w:rPr>
            </w:pPr>
            <w:r>
              <w:rPr>
                <w:rFonts w:ascii="仿宋" w:eastAsia="仿宋" w:hAnsi="仿宋" w:hint="eastAsia"/>
                <w:color w:val="000000"/>
                <w:sz w:val="24"/>
              </w:rPr>
              <w:t>（二）销售者开具给纳税人购买应税车辆所支付的全部价款和价外费用的凭证，包括统一发票（报税联）或者其他有效凭证。</w:t>
            </w:r>
          </w:p>
        </w:tc>
        <w:tc>
          <w:tcPr>
            <w:tcW w:w="1546" w:type="dxa"/>
            <w:vAlign w:val="center"/>
          </w:tcPr>
          <w:p w:rsidR="00013EC7" w:rsidRDefault="00575CDB">
            <w:pPr>
              <w:spacing w:line="300" w:lineRule="exact"/>
              <w:jc w:val="left"/>
              <w:rPr>
                <w:rFonts w:ascii="仿宋" w:eastAsia="仿宋" w:hAnsi="仿宋"/>
                <w:sz w:val="24"/>
              </w:rPr>
            </w:pPr>
            <w:r>
              <w:rPr>
                <w:rFonts w:ascii="仿宋" w:eastAsia="仿宋" w:hAnsi="仿宋" w:hint="eastAsia"/>
                <w:sz w:val="24"/>
              </w:rPr>
              <w:t>境内购置国产或进口新车的纳税人提交</w:t>
            </w:r>
          </w:p>
        </w:tc>
        <w:tc>
          <w:tcPr>
            <w:tcW w:w="983" w:type="dxa"/>
            <w:vMerge/>
            <w:vAlign w:val="center"/>
          </w:tcPr>
          <w:p w:rsidR="00013EC7" w:rsidRDefault="00013EC7">
            <w:pPr>
              <w:spacing w:line="300" w:lineRule="exact"/>
              <w:rPr>
                <w:rFonts w:ascii="仿宋" w:eastAsia="仿宋" w:hAnsi="仿宋"/>
                <w:sz w:val="24"/>
              </w:rPr>
            </w:pPr>
          </w:p>
        </w:tc>
        <w:tc>
          <w:tcPr>
            <w:tcW w:w="851" w:type="dxa"/>
            <w:vMerge/>
            <w:vAlign w:val="center"/>
          </w:tcPr>
          <w:p w:rsidR="00013EC7" w:rsidRDefault="00013EC7">
            <w:pPr>
              <w:rPr>
                <w:rFonts w:ascii="仿宋" w:eastAsia="仿宋" w:hAnsi="仿宋"/>
                <w:sz w:val="24"/>
              </w:rPr>
            </w:pPr>
          </w:p>
        </w:tc>
        <w:tc>
          <w:tcPr>
            <w:tcW w:w="850" w:type="dxa"/>
            <w:vMerge/>
            <w:vAlign w:val="center"/>
          </w:tcPr>
          <w:p w:rsidR="00013EC7" w:rsidRDefault="00013EC7">
            <w:pPr>
              <w:rPr>
                <w:rFonts w:ascii="仿宋" w:eastAsia="仿宋" w:hAnsi="仿宋"/>
                <w:sz w:val="24"/>
              </w:rPr>
            </w:pPr>
          </w:p>
        </w:tc>
        <w:tc>
          <w:tcPr>
            <w:tcW w:w="851" w:type="dxa"/>
            <w:vMerge/>
            <w:vAlign w:val="center"/>
          </w:tcPr>
          <w:p w:rsidR="00013EC7" w:rsidRDefault="00013EC7">
            <w:pPr>
              <w:rPr>
                <w:rFonts w:ascii="仿宋" w:eastAsia="仿宋" w:hAnsi="仿宋"/>
                <w:sz w:val="24"/>
              </w:rPr>
            </w:pPr>
          </w:p>
        </w:tc>
        <w:tc>
          <w:tcPr>
            <w:tcW w:w="992" w:type="dxa"/>
            <w:vMerge/>
            <w:vAlign w:val="center"/>
          </w:tcPr>
          <w:p w:rsidR="00013EC7" w:rsidRDefault="00013EC7">
            <w:pPr>
              <w:rPr>
                <w:rFonts w:ascii="仿宋" w:eastAsia="仿宋" w:hAnsi="仿宋"/>
                <w:sz w:val="24"/>
              </w:rPr>
            </w:pPr>
          </w:p>
        </w:tc>
        <w:tc>
          <w:tcPr>
            <w:tcW w:w="991" w:type="dxa"/>
            <w:vMerge/>
            <w:vAlign w:val="center"/>
          </w:tcPr>
          <w:p w:rsidR="00013EC7" w:rsidRDefault="00013EC7">
            <w:pPr>
              <w:rPr>
                <w:rFonts w:ascii="仿宋" w:eastAsia="仿宋" w:hAnsi="仿宋"/>
                <w:sz w:val="24"/>
              </w:rPr>
            </w:pPr>
          </w:p>
        </w:tc>
      </w:tr>
      <w:tr w:rsidR="00013EC7">
        <w:trPr>
          <w:trHeight w:val="839"/>
          <w:jc w:val="center"/>
        </w:trPr>
        <w:tc>
          <w:tcPr>
            <w:tcW w:w="672" w:type="dxa"/>
            <w:vMerge/>
            <w:vAlign w:val="center"/>
          </w:tcPr>
          <w:p w:rsidR="00013EC7" w:rsidRDefault="00013EC7">
            <w:pPr>
              <w:rPr>
                <w:rFonts w:ascii="仿宋" w:eastAsia="仿宋" w:hAnsi="仿宋"/>
                <w:sz w:val="24"/>
              </w:rPr>
            </w:pPr>
          </w:p>
        </w:tc>
        <w:tc>
          <w:tcPr>
            <w:tcW w:w="605" w:type="dxa"/>
            <w:vMerge/>
            <w:vAlign w:val="center"/>
          </w:tcPr>
          <w:p w:rsidR="00013EC7" w:rsidRDefault="00013EC7">
            <w:pPr>
              <w:rPr>
                <w:rFonts w:ascii="仿宋" w:eastAsia="仿宋" w:hAnsi="仿宋"/>
                <w:sz w:val="24"/>
              </w:rPr>
            </w:pPr>
          </w:p>
        </w:tc>
        <w:tc>
          <w:tcPr>
            <w:tcW w:w="1417" w:type="dxa"/>
            <w:vMerge/>
            <w:vAlign w:val="center"/>
          </w:tcPr>
          <w:p w:rsidR="00013EC7" w:rsidRDefault="00013EC7">
            <w:pPr>
              <w:jc w:val="left"/>
              <w:rPr>
                <w:rFonts w:ascii="仿宋" w:eastAsia="仿宋" w:hAnsi="仿宋"/>
                <w:sz w:val="24"/>
              </w:rPr>
            </w:pPr>
          </w:p>
        </w:tc>
        <w:tc>
          <w:tcPr>
            <w:tcW w:w="5126" w:type="dxa"/>
            <w:vMerge/>
            <w:vAlign w:val="center"/>
          </w:tcPr>
          <w:p w:rsidR="00013EC7" w:rsidRDefault="00013EC7">
            <w:pPr>
              <w:spacing w:line="300" w:lineRule="exact"/>
              <w:jc w:val="left"/>
              <w:rPr>
                <w:rFonts w:ascii="仿宋" w:eastAsia="仿宋" w:hAnsi="仿宋"/>
                <w:sz w:val="24"/>
              </w:rPr>
            </w:pPr>
          </w:p>
        </w:tc>
        <w:tc>
          <w:tcPr>
            <w:tcW w:w="1275" w:type="dxa"/>
            <w:vMerge/>
            <w:vAlign w:val="center"/>
          </w:tcPr>
          <w:p w:rsidR="00013EC7" w:rsidRDefault="00013EC7">
            <w:pPr>
              <w:jc w:val="left"/>
              <w:rPr>
                <w:rFonts w:ascii="仿宋" w:eastAsia="仿宋" w:hAnsi="仿宋"/>
                <w:sz w:val="24"/>
              </w:rPr>
            </w:pPr>
          </w:p>
        </w:tc>
        <w:tc>
          <w:tcPr>
            <w:tcW w:w="3686" w:type="dxa"/>
            <w:vAlign w:val="center"/>
          </w:tcPr>
          <w:p w:rsidR="00013EC7" w:rsidRDefault="00575CDB">
            <w:pPr>
              <w:spacing w:line="300" w:lineRule="exact"/>
              <w:jc w:val="left"/>
              <w:rPr>
                <w:rFonts w:ascii="仿宋" w:eastAsia="仿宋" w:hAnsi="仿宋"/>
                <w:color w:val="000000"/>
                <w:sz w:val="24"/>
              </w:rPr>
            </w:pPr>
            <w:r>
              <w:rPr>
                <w:rFonts w:ascii="仿宋" w:eastAsia="仿宋" w:hAnsi="仿宋" w:hint="eastAsia"/>
                <w:color w:val="000000"/>
                <w:sz w:val="24"/>
              </w:rPr>
              <w:t>（三）整车出厂合格证明（查验）或者车辆电子信息单（查验）。</w:t>
            </w:r>
          </w:p>
        </w:tc>
        <w:tc>
          <w:tcPr>
            <w:tcW w:w="1546" w:type="dxa"/>
            <w:vAlign w:val="center"/>
          </w:tcPr>
          <w:p w:rsidR="00013EC7" w:rsidRDefault="00575CDB">
            <w:pPr>
              <w:spacing w:line="300" w:lineRule="exact"/>
              <w:jc w:val="left"/>
              <w:rPr>
                <w:rFonts w:ascii="仿宋" w:eastAsia="仿宋" w:hAnsi="仿宋"/>
                <w:sz w:val="24"/>
              </w:rPr>
            </w:pPr>
            <w:r>
              <w:rPr>
                <w:rFonts w:ascii="仿宋" w:eastAsia="仿宋" w:hAnsi="仿宋" w:hint="eastAsia"/>
                <w:sz w:val="24"/>
              </w:rPr>
              <w:t>境内购置国产新车的纳税人提交</w:t>
            </w:r>
          </w:p>
        </w:tc>
        <w:tc>
          <w:tcPr>
            <w:tcW w:w="983" w:type="dxa"/>
            <w:vMerge/>
            <w:vAlign w:val="center"/>
          </w:tcPr>
          <w:p w:rsidR="00013EC7" w:rsidRDefault="00013EC7">
            <w:pPr>
              <w:spacing w:line="300" w:lineRule="exact"/>
              <w:rPr>
                <w:rFonts w:ascii="仿宋" w:eastAsia="仿宋" w:hAnsi="仿宋"/>
                <w:sz w:val="24"/>
              </w:rPr>
            </w:pPr>
          </w:p>
        </w:tc>
        <w:tc>
          <w:tcPr>
            <w:tcW w:w="851" w:type="dxa"/>
            <w:vMerge/>
            <w:vAlign w:val="center"/>
          </w:tcPr>
          <w:p w:rsidR="00013EC7" w:rsidRDefault="00013EC7">
            <w:pPr>
              <w:rPr>
                <w:rFonts w:ascii="仿宋" w:eastAsia="仿宋" w:hAnsi="仿宋"/>
                <w:sz w:val="24"/>
              </w:rPr>
            </w:pPr>
          </w:p>
        </w:tc>
        <w:tc>
          <w:tcPr>
            <w:tcW w:w="850" w:type="dxa"/>
            <w:vMerge/>
            <w:vAlign w:val="center"/>
          </w:tcPr>
          <w:p w:rsidR="00013EC7" w:rsidRDefault="00013EC7">
            <w:pPr>
              <w:rPr>
                <w:rFonts w:ascii="仿宋" w:eastAsia="仿宋" w:hAnsi="仿宋"/>
                <w:sz w:val="24"/>
              </w:rPr>
            </w:pPr>
          </w:p>
        </w:tc>
        <w:tc>
          <w:tcPr>
            <w:tcW w:w="851" w:type="dxa"/>
            <w:vMerge/>
            <w:vAlign w:val="center"/>
          </w:tcPr>
          <w:p w:rsidR="00013EC7" w:rsidRDefault="00013EC7">
            <w:pPr>
              <w:rPr>
                <w:rFonts w:ascii="仿宋" w:eastAsia="仿宋" w:hAnsi="仿宋"/>
                <w:sz w:val="24"/>
              </w:rPr>
            </w:pPr>
          </w:p>
        </w:tc>
        <w:tc>
          <w:tcPr>
            <w:tcW w:w="992" w:type="dxa"/>
            <w:vMerge/>
            <w:vAlign w:val="center"/>
          </w:tcPr>
          <w:p w:rsidR="00013EC7" w:rsidRDefault="00013EC7">
            <w:pPr>
              <w:rPr>
                <w:rFonts w:ascii="仿宋" w:eastAsia="仿宋" w:hAnsi="仿宋"/>
                <w:sz w:val="24"/>
              </w:rPr>
            </w:pPr>
          </w:p>
        </w:tc>
        <w:tc>
          <w:tcPr>
            <w:tcW w:w="991" w:type="dxa"/>
            <w:vMerge/>
            <w:vAlign w:val="center"/>
          </w:tcPr>
          <w:p w:rsidR="00013EC7" w:rsidRDefault="00013EC7">
            <w:pPr>
              <w:rPr>
                <w:rFonts w:ascii="仿宋" w:eastAsia="仿宋" w:hAnsi="仿宋"/>
                <w:sz w:val="24"/>
              </w:rPr>
            </w:pPr>
          </w:p>
        </w:tc>
      </w:tr>
      <w:tr w:rsidR="00013EC7">
        <w:trPr>
          <w:trHeight w:val="700"/>
          <w:jc w:val="center"/>
        </w:trPr>
        <w:tc>
          <w:tcPr>
            <w:tcW w:w="672" w:type="dxa"/>
            <w:vMerge/>
            <w:textDirection w:val="tbRlV"/>
            <w:vAlign w:val="center"/>
          </w:tcPr>
          <w:p w:rsidR="00013EC7" w:rsidRDefault="00013EC7">
            <w:pPr>
              <w:rPr>
                <w:rFonts w:ascii="仿宋" w:eastAsia="仿宋" w:hAnsi="仿宋"/>
                <w:sz w:val="24"/>
              </w:rPr>
            </w:pPr>
          </w:p>
        </w:tc>
        <w:tc>
          <w:tcPr>
            <w:tcW w:w="605" w:type="dxa"/>
            <w:vMerge/>
            <w:vAlign w:val="center"/>
          </w:tcPr>
          <w:p w:rsidR="00013EC7" w:rsidRDefault="00013EC7">
            <w:pPr>
              <w:rPr>
                <w:rFonts w:ascii="仿宋" w:eastAsia="仿宋" w:hAnsi="仿宋"/>
                <w:sz w:val="24"/>
              </w:rPr>
            </w:pPr>
          </w:p>
        </w:tc>
        <w:tc>
          <w:tcPr>
            <w:tcW w:w="1417" w:type="dxa"/>
            <w:vMerge/>
            <w:vAlign w:val="center"/>
          </w:tcPr>
          <w:p w:rsidR="00013EC7" w:rsidRDefault="00013EC7">
            <w:pPr>
              <w:jc w:val="left"/>
              <w:rPr>
                <w:rFonts w:ascii="仿宋" w:eastAsia="仿宋" w:hAnsi="仿宋"/>
                <w:sz w:val="24"/>
              </w:rPr>
            </w:pPr>
          </w:p>
        </w:tc>
        <w:tc>
          <w:tcPr>
            <w:tcW w:w="5126" w:type="dxa"/>
            <w:vMerge/>
            <w:vAlign w:val="center"/>
          </w:tcPr>
          <w:p w:rsidR="00013EC7" w:rsidRDefault="00013EC7">
            <w:pPr>
              <w:spacing w:line="300" w:lineRule="exact"/>
              <w:jc w:val="left"/>
              <w:rPr>
                <w:rFonts w:ascii="仿宋" w:eastAsia="仿宋" w:hAnsi="仿宋"/>
                <w:sz w:val="24"/>
              </w:rPr>
            </w:pPr>
          </w:p>
        </w:tc>
        <w:tc>
          <w:tcPr>
            <w:tcW w:w="1275" w:type="dxa"/>
            <w:vMerge/>
            <w:vAlign w:val="center"/>
          </w:tcPr>
          <w:p w:rsidR="00013EC7" w:rsidRDefault="00013EC7">
            <w:pPr>
              <w:jc w:val="left"/>
              <w:rPr>
                <w:rFonts w:ascii="仿宋" w:eastAsia="仿宋" w:hAnsi="仿宋"/>
                <w:sz w:val="24"/>
              </w:rPr>
            </w:pPr>
          </w:p>
        </w:tc>
        <w:tc>
          <w:tcPr>
            <w:tcW w:w="3686" w:type="dxa"/>
            <w:vAlign w:val="center"/>
          </w:tcPr>
          <w:p w:rsidR="00013EC7" w:rsidRDefault="00575CDB">
            <w:pPr>
              <w:spacing w:line="300" w:lineRule="exact"/>
              <w:jc w:val="left"/>
              <w:rPr>
                <w:rFonts w:ascii="仿宋" w:eastAsia="仿宋" w:hAnsi="仿宋"/>
                <w:color w:val="000000"/>
                <w:sz w:val="24"/>
              </w:rPr>
            </w:pPr>
            <w:r>
              <w:rPr>
                <w:rFonts w:ascii="仿宋" w:eastAsia="仿宋" w:hAnsi="仿宋" w:hint="eastAsia"/>
                <w:color w:val="000000"/>
                <w:sz w:val="24"/>
              </w:rPr>
              <w:t>（四）《海关进口关税专用缴款书》、《海关进口消费税专用缴款书》或者海关进出口货物征免税证明（查验原件并留存复印件，复印件需注明与原件一致并加盖公章）。</w:t>
            </w:r>
          </w:p>
        </w:tc>
        <w:tc>
          <w:tcPr>
            <w:tcW w:w="1546" w:type="dxa"/>
            <w:vAlign w:val="center"/>
          </w:tcPr>
          <w:p w:rsidR="00013EC7" w:rsidRDefault="00575CDB">
            <w:pPr>
              <w:spacing w:line="300" w:lineRule="exact"/>
              <w:jc w:val="left"/>
              <w:rPr>
                <w:rFonts w:ascii="仿宋" w:eastAsia="仿宋" w:hAnsi="仿宋"/>
                <w:sz w:val="24"/>
              </w:rPr>
            </w:pPr>
            <w:r>
              <w:rPr>
                <w:rFonts w:ascii="仿宋" w:eastAsia="仿宋" w:hAnsi="仿宋" w:hint="eastAsia"/>
                <w:sz w:val="24"/>
              </w:rPr>
              <w:t>内部共享</w:t>
            </w:r>
          </w:p>
        </w:tc>
        <w:tc>
          <w:tcPr>
            <w:tcW w:w="983" w:type="dxa"/>
            <w:vMerge/>
            <w:vAlign w:val="center"/>
          </w:tcPr>
          <w:p w:rsidR="00013EC7" w:rsidRDefault="00013EC7">
            <w:pPr>
              <w:spacing w:line="300" w:lineRule="exact"/>
              <w:rPr>
                <w:rFonts w:ascii="仿宋" w:eastAsia="仿宋" w:hAnsi="仿宋"/>
                <w:sz w:val="24"/>
              </w:rPr>
            </w:pPr>
          </w:p>
        </w:tc>
        <w:tc>
          <w:tcPr>
            <w:tcW w:w="851" w:type="dxa"/>
            <w:vMerge/>
            <w:vAlign w:val="center"/>
          </w:tcPr>
          <w:p w:rsidR="00013EC7" w:rsidRDefault="00013EC7">
            <w:pPr>
              <w:rPr>
                <w:rFonts w:ascii="仿宋" w:eastAsia="仿宋" w:hAnsi="仿宋"/>
                <w:sz w:val="24"/>
              </w:rPr>
            </w:pPr>
          </w:p>
        </w:tc>
        <w:tc>
          <w:tcPr>
            <w:tcW w:w="850" w:type="dxa"/>
            <w:vMerge/>
            <w:vAlign w:val="center"/>
          </w:tcPr>
          <w:p w:rsidR="00013EC7" w:rsidRDefault="00013EC7">
            <w:pPr>
              <w:rPr>
                <w:rFonts w:ascii="仿宋" w:eastAsia="仿宋" w:hAnsi="仿宋"/>
                <w:sz w:val="24"/>
              </w:rPr>
            </w:pPr>
          </w:p>
        </w:tc>
        <w:tc>
          <w:tcPr>
            <w:tcW w:w="851" w:type="dxa"/>
            <w:vMerge/>
            <w:vAlign w:val="center"/>
          </w:tcPr>
          <w:p w:rsidR="00013EC7" w:rsidRDefault="00013EC7">
            <w:pPr>
              <w:rPr>
                <w:rFonts w:ascii="仿宋" w:eastAsia="仿宋" w:hAnsi="仿宋"/>
                <w:sz w:val="24"/>
              </w:rPr>
            </w:pPr>
          </w:p>
        </w:tc>
        <w:tc>
          <w:tcPr>
            <w:tcW w:w="992" w:type="dxa"/>
            <w:vMerge/>
            <w:vAlign w:val="center"/>
          </w:tcPr>
          <w:p w:rsidR="00013EC7" w:rsidRDefault="00013EC7">
            <w:pPr>
              <w:rPr>
                <w:rFonts w:ascii="仿宋" w:eastAsia="仿宋" w:hAnsi="仿宋"/>
                <w:sz w:val="24"/>
              </w:rPr>
            </w:pPr>
          </w:p>
        </w:tc>
        <w:tc>
          <w:tcPr>
            <w:tcW w:w="991" w:type="dxa"/>
            <w:vMerge/>
            <w:vAlign w:val="center"/>
          </w:tcPr>
          <w:p w:rsidR="00013EC7" w:rsidRDefault="00013EC7">
            <w:pPr>
              <w:rPr>
                <w:rFonts w:ascii="仿宋" w:eastAsia="仿宋" w:hAnsi="仿宋"/>
                <w:sz w:val="24"/>
              </w:rPr>
            </w:pPr>
          </w:p>
        </w:tc>
      </w:tr>
      <w:tr w:rsidR="00013EC7">
        <w:trPr>
          <w:trHeight w:val="700"/>
          <w:jc w:val="center"/>
        </w:trPr>
        <w:tc>
          <w:tcPr>
            <w:tcW w:w="672" w:type="dxa"/>
            <w:vMerge/>
            <w:textDirection w:val="tbRlV"/>
            <w:vAlign w:val="center"/>
          </w:tcPr>
          <w:p w:rsidR="00013EC7" w:rsidRDefault="00013EC7">
            <w:pPr>
              <w:rPr>
                <w:rFonts w:ascii="仿宋" w:eastAsia="仿宋" w:hAnsi="仿宋"/>
                <w:sz w:val="24"/>
              </w:rPr>
            </w:pPr>
          </w:p>
        </w:tc>
        <w:tc>
          <w:tcPr>
            <w:tcW w:w="605" w:type="dxa"/>
            <w:vMerge/>
            <w:vAlign w:val="center"/>
          </w:tcPr>
          <w:p w:rsidR="00013EC7" w:rsidRDefault="00013EC7">
            <w:pPr>
              <w:rPr>
                <w:rFonts w:ascii="仿宋" w:eastAsia="仿宋" w:hAnsi="仿宋"/>
                <w:sz w:val="24"/>
              </w:rPr>
            </w:pPr>
          </w:p>
        </w:tc>
        <w:tc>
          <w:tcPr>
            <w:tcW w:w="1417" w:type="dxa"/>
            <w:vMerge/>
            <w:vAlign w:val="center"/>
          </w:tcPr>
          <w:p w:rsidR="00013EC7" w:rsidRDefault="00013EC7">
            <w:pPr>
              <w:jc w:val="left"/>
              <w:rPr>
                <w:rFonts w:ascii="仿宋" w:eastAsia="仿宋" w:hAnsi="仿宋"/>
                <w:sz w:val="24"/>
              </w:rPr>
            </w:pPr>
          </w:p>
        </w:tc>
        <w:tc>
          <w:tcPr>
            <w:tcW w:w="5126" w:type="dxa"/>
            <w:vMerge/>
            <w:vAlign w:val="center"/>
          </w:tcPr>
          <w:p w:rsidR="00013EC7" w:rsidRDefault="00013EC7">
            <w:pPr>
              <w:spacing w:line="300" w:lineRule="exact"/>
              <w:jc w:val="left"/>
              <w:rPr>
                <w:rFonts w:ascii="仿宋" w:eastAsia="仿宋" w:hAnsi="仿宋"/>
                <w:sz w:val="24"/>
              </w:rPr>
            </w:pPr>
          </w:p>
        </w:tc>
        <w:tc>
          <w:tcPr>
            <w:tcW w:w="1275" w:type="dxa"/>
            <w:vMerge/>
            <w:vAlign w:val="center"/>
          </w:tcPr>
          <w:p w:rsidR="00013EC7" w:rsidRDefault="00013EC7">
            <w:pPr>
              <w:jc w:val="left"/>
              <w:rPr>
                <w:rFonts w:ascii="仿宋" w:eastAsia="仿宋" w:hAnsi="仿宋"/>
                <w:sz w:val="24"/>
              </w:rPr>
            </w:pPr>
          </w:p>
        </w:tc>
        <w:tc>
          <w:tcPr>
            <w:tcW w:w="3686" w:type="dxa"/>
            <w:vAlign w:val="center"/>
          </w:tcPr>
          <w:p w:rsidR="00013EC7" w:rsidRDefault="00575CDB">
            <w:pPr>
              <w:spacing w:line="300" w:lineRule="exact"/>
              <w:jc w:val="left"/>
              <w:rPr>
                <w:rFonts w:ascii="仿宋" w:eastAsia="仿宋" w:hAnsi="仿宋"/>
                <w:color w:val="000000"/>
                <w:sz w:val="24"/>
              </w:rPr>
            </w:pPr>
            <w:r>
              <w:rPr>
                <w:rFonts w:ascii="仿宋" w:eastAsia="仿宋" w:hAnsi="仿宋" w:hint="eastAsia"/>
                <w:color w:val="000000"/>
                <w:sz w:val="24"/>
              </w:rPr>
              <w:t>（五）车辆电子信息单（查验）、《中华人民共和国海关货物进口证明书》（查验）或者《中华人民共和国海关监管车辆进（出）境领（销）牌照通知书》（复印件, 且需注明与原件一致并加盖公章）或者《没收走私汽车、摩托车证明书》（复印件, 且需注明与原件一致并加盖公章）。</w:t>
            </w:r>
          </w:p>
        </w:tc>
        <w:tc>
          <w:tcPr>
            <w:tcW w:w="1546" w:type="dxa"/>
            <w:vAlign w:val="center"/>
          </w:tcPr>
          <w:p w:rsidR="00013EC7" w:rsidRDefault="00575CDB">
            <w:pPr>
              <w:spacing w:line="300" w:lineRule="exact"/>
              <w:jc w:val="left"/>
              <w:rPr>
                <w:rFonts w:ascii="仿宋" w:eastAsia="仿宋" w:hAnsi="仿宋"/>
                <w:sz w:val="24"/>
              </w:rPr>
            </w:pPr>
            <w:r>
              <w:rPr>
                <w:rFonts w:ascii="仿宋" w:eastAsia="仿宋" w:hAnsi="仿宋" w:hint="eastAsia"/>
                <w:sz w:val="24"/>
              </w:rPr>
              <w:t>境内购置进口新车、进口自用新车的纳税人提交</w:t>
            </w:r>
          </w:p>
        </w:tc>
        <w:tc>
          <w:tcPr>
            <w:tcW w:w="983" w:type="dxa"/>
            <w:vMerge/>
            <w:vAlign w:val="center"/>
          </w:tcPr>
          <w:p w:rsidR="00013EC7" w:rsidRDefault="00013EC7">
            <w:pPr>
              <w:spacing w:line="300" w:lineRule="exact"/>
              <w:rPr>
                <w:rFonts w:ascii="仿宋" w:eastAsia="仿宋" w:hAnsi="仿宋"/>
                <w:sz w:val="24"/>
              </w:rPr>
            </w:pPr>
          </w:p>
        </w:tc>
        <w:tc>
          <w:tcPr>
            <w:tcW w:w="851" w:type="dxa"/>
            <w:vMerge/>
            <w:vAlign w:val="center"/>
          </w:tcPr>
          <w:p w:rsidR="00013EC7" w:rsidRDefault="00013EC7">
            <w:pPr>
              <w:rPr>
                <w:rFonts w:ascii="仿宋" w:eastAsia="仿宋" w:hAnsi="仿宋"/>
                <w:sz w:val="24"/>
              </w:rPr>
            </w:pPr>
          </w:p>
        </w:tc>
        <w:tc>
          <w:tcPr>
            <w:tcW w:w="850" w:type="dxa"/>
            <w:vMerge/>
            <w:vAlign w:val="center"/>
          </w:tcPr>
          <w:p w:rsidR="00013EC7" w:rsidRDefault="00013EC7">
            <w:pPr>
              <w:rPr>
                <w:rFonts w:ascii="仿宋" w:eastAsia="仿宋" w:hAnsi="仿宋"/>
                <w:sz w:val="24"/>
              </w:rPr>
            </w:pPr>
          </w:p>
        </w:tc>
        <w:tc>
          <w:tcPr>
            <w:tcW w:w="851" w:type="dxa"/>
            <w:vMerge/>
            <w:vAlign w:val="center"/>
          </w:tcPr>
          <w:p w:rsidR="00013EC7" w:rsidRDefault="00013EC7">
            <w:pPr>
              <w:rPr>
                <w:rFonts w:ascii="仿宋" w:eastAsia="仿宋" w:hAnsi="仿宋"/>
                <w:sz w:val="24"/>
              </w:rPr>
            </w:pPr>
          </w:p>
        </w:tc>
        <w:tc>
          <w:tcPr>
            <w:tcW w:w="992" w:type="dxa"/>
            <w:vMerge/>
            <w:vAlign w:val="center"/>
          </w:tcPr>
          <w:p w:rsidR="00013EC7" w:rsidRDefault="00013EC7">
            <w:pPr>
              <w:rPr>
                <w:rFonts w:ascii="仿宋" w:eastAsia="仿宋" w:hAnsi="仿宋"/>
                <w:sz w:val="24"/>
              </w:rPr>
            </w:pPr>
          </w:p>
        </w:tc>
        <w:tc>
          <w:tcPr>
            <w:tcW w:w="991" w:type="dxa"/>
            <w:vMerge/>
            <w:vAlign w:val="center"/>
          </w:tcPr>
          <w:p w:rsidR="00013EC7" w:rsidRDefault="00013EC7">
            <w:pPr>
              <w:rPr>
                <w:rFonts w:ascii="仿宋" w:eastAsia="仿宋" w:hAnsi="仿宋"/>
                <w:sz w:val="24"/>
              </w:rPr>
            </w:pPr>
          </w:p>
        </w:tc>
      </w:tr>
      <w:tr w:rsidR="00013EC7">
        <w:trPr>
          <w:trHeight w:val="992"/>
          <w:jc w:val="center"/>
        </w:trPr>
        <w:tc>
          <w:tcPr>
            <w:tcW w:w="672" w:type="dxa"/>
            <w:vMerge/>
            <w:textDirection w:val="tbRlV"/>
            <w:vAlign w:val="center"/>
          </w:tcPr>
          <w:p w:rsidR="00013EC7" w:rsidRDefault="00013EC7">
            <w:pPr>
              <w:rPr>
                <w:rFonts w:ascii="仿宋" w:eastAsia="仿宋" w:hAnsi="仿宋"/>
                <w:sz w:val="24"/>
              </w:rPr>
            </w:pPr>
          </w:p>
        </w:tc>
        <w:tc>
          <w:tcPr>
            <w:tcW w:w="605" w:type="dxa"/>
            <w:vMerge/>
            <w:vAlign w:val="center"/>
          </w:tcPr>
          <w:p w:rsidR="00013EC7" w:rsidRDefault="00013EC7">
            <w:pPr>
              <w:rPr>
                <w:rFonts w:ascii="仿宋" w:eastAsia="仿宋" w:hAnsi="仿宋"/>
                <w:sz w:val="24"/>
              </w:rPr>
            </w:pPr>
          </w:p>
        </w:tc>
        <w:tc>
          <w:tcPr>
            <w:tcW w:w="1417" w:type="dxa"/>
            <w:vMerge/>
            <w:vAlign w:val="center"/>
          </w:tcPr>
          <w:p w:rsidR="00013EC7" w:rsidRDefault="00013EC7">
            <w:pPr>
              <w:jc w:val="left"/>
              <w:rPr>
                <w:rFonts w:ascii="仿宋" w:eastAsia="仿宋" w:hAnsi="仿宋"/>
                <w:sz w:val="24"/>
              </w:rPr>
            </w:pPr>
          </w:p>
        </w:tc>
        <w:tc>
          <w:tcPr>
            <w:tcW w:w="5126" w:type="dxa"/>
            <w:vAlign w:val="center"/>
          </w:tcPr>
          <w:p w:rsidR="00013EC7" w:rsidRDefault="00575CDB">
            <w:pPr>
              <w:spacing w:line="300" w:lineRule="exact"/>
              <w:jc w:val="left"/>
              <w:rPr>
                <w:rFonts w:ascii="仿宋" w:eastAsia="仿宋" w:hAnsi="仿宋"/>
                <w:sz w:val="24"/>
              </w:rPr>
            </w:pPr>
            <w:r>
              <w:rPr>
                <w:rFonts w:ascii="仿宋" w:eastAsia="仿宋" w:hAnsi="仿宋" w:hint="eastAsia"/>
                <w:sz w:val="24"/>
                <w:highlight w:val="lightGray"/>
              </w:rPr>
              <w:t>（七）符合免（减）税规定的车辆，纳税人在办理纳税申报时，应报送车辆购置税免（减）税证明资料。</w:t>
            </w:r>
          </w:p>
        </w:tc>
        <w:tc>
          <w:tcPr>
            <w:tcW w:w="1275" w:type="dxa"/>
            <w:vAlign w:val="center"/>
          </w:tcPr>
          <w:p w:rsidR="00013EC7" w:rsidRDefault="00575CDB">
            <w:pPr>
              <w:jc w:val="left"/>
              <w:rPr>
                <w:rFonts w:ascii="仿宋" w:eastAsia="仿宋" w:hAnsi="仿宋"/>
                <w:sz w:val="24"/>
              </w:rPr>
            </w:pPr>
            <w:r>
              <w:rPr>
                <w:rFonts w:ascii="仿宋" w:eastAsia="仿宋" w:hAnsi="仿宋" w:hint="eastAsia"/>
                <w:sz w:val="24"/>
              </w:rPr>
              <w:t>纳税人提交</w:t>
            </w:r>
          </w:p>
        </w:tc>
        <w:tc>
          <w:tcPr>
            <w:tcW w:w="3686" w:type="dxa"/>
            <w:vAlign w:val="center"/>
          </w:tcPr>
          <w:p w:rsidR="00013EC7" w:rsidRDefault="00013EC7">
            <w:pPr>
              <w:spacing w:line="300" w:lineRule="exact"/>
              <w:jc w:val="left"/>
              <w:rPr>
                <w:rFonts w:ascii="仿宋" w:eastAsia="仿宋" w:hAnsi="仿宋"/>
                <w:sz w:val="24"/>
              </w:rPr>
            </w:pPr>
          </w:p>
        </w:tc>
        <w:tc>
          <w:tcPr>
            <w:tcW w:w="1546" w:type="dxa"/>
            <w:vAlign w:val="center"/>
          </w:tcPr>
          <w:p w:rsidR="00013EC7" w:rsidRDefault="00575CDB">
            <w:pPr>
              <w:spacing w:line="300" w:lineRule="exact"/>
              <w:jc w:val="left"/>
              <w:rPr>
                <w:rFonts w:ascii="仿宋" w:eastAsia="仿宋" w:hAnsi="仿宋"/>
                <w:i/>
                <w:sz w:val="24"/>
              </w:rPr>
            </w:pPr>
            <w:r>
              <w:rPr>
                <w:rFonts w:ascii="仿宋" w:eastAsia="仿宋" w:hAnsi="仿宋" w:hint="eastAsia"/>
                <w:b/>
                <w:bCs/>
                <w:i/>
                <w:sz w:val="24"/>
              </w:rPr>
              <w:t>取消</w:t>
            </w:r>
          </w:p>
        </w:tc>
        <w:tc>
          <w:tcPr>
            <w:tcW w:w="983" w:type="dxa"/>
            <w:vMerge/>
            <w:vAlign w:val="center"/>
          </w:tcPr>
          <w:p w:rsidR="00013EC7" w:rsidRDefault="00013EC7">
            <w:pPr>
              <w:spacing w:line="300" w:lineRule="exact"/>
              <w:rPr>
                <w:rFonts w:ascii="仿宋" w:eastAsia="仿宋" w:hAnsi="仿宋"/>
                <w:sz w:val="24"/>
              </w:rPr>
            </w:pPr>
          </w:p>
        </w:tc>
        <w:tc>
          <w:tcPr>
            <w:tcW w:w="851" w:type="dxa"/>
            <w:vMerge/>
            <w:vAlign w:val="center"/>
          </w:tcPr>
          <w:p w:rsidR="00013EC7" w:rsidRDefault="00013EC7">
            <w:pPr>
              <w:rPr>
                <w:rFonts w:ascii="仿宋" w:eastAsia="仿宋" w:hAnsi="仿宋"/>
                <w:sz w:val="24"/>
              </w:rPr>
            </w:pPr>
          </w:p>
        </w:tc>
        <w:tc>
          <w:tcPr>
            <w:tcW w:w="850" w:type="dxa"/>
            <w:vMerge/>
            <w:vAlign w:val="center"/>
          </w:tcPr>
          <w:p w:rsidR="00013EC7" w:rsidRDefault="00013EC7">
            <w:pPr>
              <w:rPr>
                <w:rFonts w:ascii="仿宋" w:eastAsia="仿宋" w:hAnsi="仿宋"/>
                <w:sz w:val="24"/>
              </w:rPr>
            </w:pPr>
          </w:p>
        </w:tc>
        <w:tc>
          <w:tcPr>
            <w:tcW w:w="851" w:type="dxa"/>
            <w:vMerge/>
            <w:vAlign w:val="center"/>
          </w:tcPr>
          <w:p w:rsidR="00013EC7" w:rsidRDefault="00013EC7">
            <w:pPr>
              <w:rPr>
                <w:rFonts w:ascii="仿宋" w:eastAsia="仿宋" w:hAnsi="仿宋"/>
                <w:sz w:val="24"/>
              </w:rPr>
            </w:pPr>
          </w:p>
        </w:tc>
        <w:tc>
          <w:tcPr>
            <w:tcW w:w="992" w:type="dxa"/>
            <w:vMerge/>
            <w:vAlign w:val="center"/>
          </w:tcPr>
          <w:p w:rsidR="00013EC7" w:rsidRDefault="00013EC7">
            <w:pPr>
              <w:rPr>
                <w:rFonts w:ascii="仿宋" w:eastAsia="仿宋" w:hAnsi="仿宋"/>
                <w:sz w:val="24"/>
              </w:rPr>
            </w:pPr>
          </w:p>
        </w:tc>
        <w:tc>
          <w:tcPr>
            <w:tcW w:w="991" w:type="dxa"/>
            <w:vMerge/>
            <w:vAlign w:val="center"/>
          </w:tcPr>
          <w:p w:rsidR="00013EC7" w:rsidRDefault="00013EC7">
            <w:pPr>
              <w:rPr>
                <w:rFonts w:ascii="仿宋" w:eastAsia="仿宋" w:hAnsi="仿宋"/>
                <w:sz w:val="24"/>
              </w:rPr>
            </w:pPr>
          </w:p>
        </w:tc>
      </w:tr>
      <w:tr w:rsidR="00013EC7" w:rsidTr="002C074D">
        <w:trPr>
          <w:trHeight w:val="960"/>
          <w:jc w:val="center"/>
        </w:trPr>
        <w:tc>
          <w:tcPr>
            <w:tcW w:w="672" w:type="dxa"/>
            <w:vMerge/>
            <w:textDirection w:val="tbRlV"/>
            <w:vAlign w:val="center"/>
          </w:tcPr>
          <w:p w:rsidR="00013EC7" w:rsidRDefault="00013EC7">
            <w:pPr>
              <w:rPr>
                <w:rFonts w:ascii="仿宋" w:eastAsia="仿宋" w:hAnsi="仿宋"/>
                <w:sz w:val="24"/>
              </w:rPr>
            </w:pPr>
          </w:p>
        </w:tc>
        <w:tc>
          <w:tcPr>
            <w:tcW w:w="605" w:type="dxa"/>
            <w:vMerge/>
            <w:vAlign w:val="center"/>
          </w:tcPr>
          <w:p w:rsidR="00013EC7" w:rsidRDefault="00013EC7">
            <w:pPr>
              <w:rPr>
                <w:rFonts w:ascii="仿宋" w:eastAsia="仿宋" w:hAnsi="仿宋"/>
                <w:sz w:val="24"/>
              </w:rPr>
            </w:pPr>
          </w:p>
        </w:tc>
        <w:tc>
          <w:tcPr>
            <w:tcW w:w="1417" w:type="dxa"/>
            <w:vMerge/>
            <w:vAlign w:val="center"/>
          </w:tcPr>
          <w:p w:rsidR="00013EC7" w:rsidRDefault="00013EC7">
            <w:pPr>
              <w:jc w:val="left"/>
              <w:rPr>
                <w:rFonts w:ascii="仿宋" w:eastAsia="仿宋" w:hAnsi="仿宋"/>
                <w:sz w:val="24"/>
              </w:rPr>
            </w:pPr>
          </w:p>
        </w:tc>
        <w:tc>
          <w:tcPr>
            <w:tcW w:w="5126" w:type="dxa"/>
            <w:vAlign w:val="center"/>
          </w:tcPr>
          <w:p w:rsidR="00013EC7" w:rsidRDefault="00575CDB">
            <w:pPr>
              <w:spacing w:line="300" w:lineRule="exact"/>
              <w:jc w:val="left"/>
              <w:rPr>
                <w:rFonts w:ascii="仿宋" w:eastAsia="仿宋" w:hAnsi="仿宋"/>
                <w:sz w:val="24"/>
              </w:rPr>
            </w:pPr>
            <w:r>
              <w:rPr>
                <w:rFonts w:ascii="仿宋" w:eastAsia="仿宋" w:hAnsi="仿宋" w:hint="eastAsia"/>
                <w:sz w:val="24"/>
              </w:rPr>
              <w:t>（八）《二手车销售统一发票》。</w:t>
            </w:r>
          </w:p>
        </w:tc>
        <w:tc>
          <w:tcPr>
            <w:tcW w:w="1275" w:type="dxa"/>
            <w:vMerge w:val="restart"/>
            <w:vAlign w:val="center"/>
          </w:tcPr>
          <w:p w:rsidR="00013EC7" w:rsidRDefault="00575CDB">
            <w:pPr>
              <w:jc w:val="left"/>
              <w:rPr>
                <w:rFonts w:ascii="仿宋" w:eastAsia="仿宋" w:hAnsi="仿宋"/>
                <w:sz w:val="24"/>
              </w:rPr>
            </w:pPr>
            <w:r>
              <w:rPr>
                <w:rFonts w:ascii="仿宋" w:eastAsia="仿宋" w:hAnsi="仿宋" w:hint="eastAsia"/>
                <w:sz w:val="24"/>
              </w:rPr>
              <w:t>二手车转让重新申报的纳税人提交</w:t>
            </w:r>
          </w:p>
        </w:tc>
        <w:tc>
          <w:tcPr>
            <w:tcW w:w="3686" w:type="dxa"/>
            <w:vAlign w:val="center"/>
          </w:tcPr>
          <w:p w:rsidR="00013EC7" w:rsidRDefault="00575CDB">
            <w:pPr>
              <w:spacing w:line="300" w:lineRule="exact"/>
              <w:jc w:val="left"/>
              <w:rPr>
                <w:rFonts w:ascii="仿宋" w:eastAsia="仿宋" w:hAnsi="仿宋"/>
                <w:color w:val="000000"/>
                <w:sz w:val="24"/>
              </w:rPr>
            </w:pPr>
            <w:r>
              <w:rPr>
                <w:rFonts w:ascii="仿宋" w:eastAsia="仿宋" w:hAnsi="仿宋" w:hint="eastAsia"/>
                <w:color w:val="000000"/>
                <w:sz w:val="24"/>
              </w:rPr>
              <w:t>（六）《二手车销售统一发票》</w:t>
            </w:r>
            <w:r>
              <w:rPr>
                <w:rFonts w:ascii="仿宋" w:eastAsia="仿宋" w:hAnsi="仿宋" w:hint="eastAsia"/>
                <w:sz w:val="24"/>
              </w:rPr>
              <w:t>（查验原件并留复印件，复印件需注明与原件一致并加盖公章）</w:t>
            </w:r>
            <w:r>
              <w:rPr>
                <w:rFonts w:ascii="仿宋" w:eastAsia="仿宋" w:hAnsi="仿宋" w:hint="eastAsia"/>
                <w:color w:val="000000"/>
                <w:sz w:val="24"/>
              </w:rPr>
              <w:t>。</w:t>
            </w:r>
          </w:p>
        </w:tc>
        <w:tc>
          <w:tcPr>
            <w:tcW w:w="1546" w:type="dxa"/>
            <w:vMerge w:val="restart"/>
            <w:vAlign w:val="center"/>
          </w:tcPr>
          <w:p w:rsidR="00013EC7" w:rsidRDefault="00575CDB">
            <w:pPr>
              <w:spacing w:line="300" w:lineRule="exact"/>
              <w:jc w:val="left"/>
              <w:rPr>
                <w:rFonts w:ascii="仿宋" w:eastAsia="仿宋" w:hAnsi="仿宋"/>
                <w:sz w:val="24"/>
              </w:rPr>
            </w:pPr>
            <w:r>
              <w:rPr>
                <w:rFonts w:ascii="仿宋" w:eastAsia="仿宋" w:hAnsi="仿宋" w:hint="eastAsia"/>
                <w:sz w:val="24"/>
              </w:rPr>
              <w:t>二手车转让重新申报的纳税人提交</w:t>
            </w:r>
          </w:p>
        </w:tc>
        <w:tc>
          <w:tcPr>
            <w:tcW w:w="983" w:type="dxa"/>
            <w:vMerge/>
            <w:vAlign w:val="center"/>
          </w:tcPr>
          <w:p w:rsidR="00013EC7" w:rsidRDefault="00013EC7">
            <w:pPr>
              <w:spacing w:line="300" w:lineRule="exact"/>
              <w:rPr>
                <w:rFonts w:ascii="仿宋" w:eastAsia="仿宋" w:hAnsi="仿宋"/>
                <w:sz w:val="24"/>
              </w:rPr>
            </w:pPr>
          </w:p>
        </w:tc>
        <w:tc>
          <w:tcPr>
            <w:tcW w:w="851" w:type="dxa"/>
            <w:vMerge/>
            <w:vAlign w:val="center"/>
          </w:tcPr>
          <w:p w:rsidR="00013EC7" w:rsidRDefault="00013EC7">
            <w:pPr>
              <w:rPr>
                <w:rFonts w:ascii="仿宋" w:eastAsia="仿宋" w:hAnsi="仿宋"/>
                <w:sz w:val="24"/>
              </w:rPr>
            </w:pPr>
          </w:p>
        </w:tc>
        <w:tc>
          <w:tcPr>
            <w:tcW w:w="850" w:type="dxa"/>
            <w:vMerge/>
            <w:vAlign w:val="center"/>
          </w:tcPr>
          <w:p w:rsidR="00013EC7" w:rsidRDefault="00013EC7">
            <w:pPr>
              <w:rPr>
                <w:rFonts w:ascii="仿宋" w:eastAsia="仿宋" w:hAnsi="仿宋"/>
                <w:sz w:val="24"/>
              </w:rPr>
            </w:pPr>
          </w:p>
        </w:tc>
        <w:tc>
          <w:tcPr>
            <w:tcW w:w="851" w:type="dxa"/>
            <w:vMerge/>
            <w:vAlign w:val="center"/>
          </w:tcPr>
          <w:p w:rsidR="00013EC7" w:rsidRDefault="00013EC7">
            <w:pPr>
              <w:rPr>
                <w:rFonts w:ascii="仿宋" w:eastAsia="仿宋" w:hAnsi="仿宋"/>
                <w:sz w:val="24"/>
              </w:rPr>
            </w:pPr>
          </w:p>
        </w:tc>
        <w:tc>
          <w:tcPr>
            <w:tcW w:w="992" w:type="dxa"/>
            <w:vMerge/>
            <w:vAlign w:val="center"/>
          </w:tcPr>
          <w:p w:rsidR="00013EC7" w:rsidRDefault="00013EC7">
            <w:pPr>
              <w:rPr>
                <w:rFonts w:ascii="仿宋" w:eastAsia="仿宋" w:hAnsi="仿宋"/>
                <w:sz w:val="24"/>
              </w:rPr>
            </w:pPr>
          </w:p>
        </w:tc>
        <w:tc>
          <w:tcPr>
            <w:tcW w:w="991" w:type="dxa"/>
            <w:vMerge/>
            <w:vAlign w:val="center"/>
          </w:tcPr>
          <w:p w:rsidR="00013EC7" w:rsidRDefault="00013EC7">
            <w:pPr>
              <w:rPr>
                <w:rFonts w:ascii="仿宋" w:eastAsia="仿宋" w:hAnsi="仿宋"/>
                <w:sz w:val="24"/>
              </w:rPr>
            </w:pPr>
          </w:p>
        </w:tc>
      </w:tr>
      <w:tr w:rsidR="00013EC7" w:rsidTr="002C074D">
        <w:trPr>
          <w:trHeight w:val="781"/>
          <w:jc w:val="center"/>
        </w:trPr>
        <w:tc>
          <w:tcPr>
            <w:tcW w:w="672" w:type="dxa"/>
            <w:vMerge/>
            <w:textDirection w:val="tbRlV"/>
            <w:vAlign w:val="center"/>
          </w:tcPr>
          <w:p w:rsidR="00013EC7" w:rsidRDefault="00013EC7">
            <w:pPr>
              <w:rPr>
                <w:rFonts w:ascii="仿宋" w:eastAsia="仿宋" w:hAnsi="仿宋"/>
                <w:sz w:val="24"/>
              </w:rPr>
            </w:pPr>
          </w:p>
        </w:tc>
        <w:tc>
          <w:tcPr>
            <w:tcW w:w="605" w:type="dxa"/>
            <w:vMerge/>
            <w:vAlign w:val="center"/>
          </w:tcPr>
          <w:p w:rsidR="00013EC7" w:rsidRDefault="00013EC7">
            <w:pPr>
              <w:rPr>
                <w:rFonts w:ascii="仿宋" w:eastAsia="仿宋" w:hAnsi="仿宋"/>
                <w:sz w:val="24"/>
              </w:rPr>
            </w:pPr>
          </w:p>
        </w:tc>
        <w:tc>
          <w:tcPr>
            <w:tcW w:w="1417" w:type="dxa"/>
            <w:vMerge/>
            <w:vAlign w:val="center"/>
          </w:tcPr>
          <w:p w:rsidR="00013EC7" w:rsidRDefault="00013EC7">
            <w:pPr>
              <w:jc w:val="left"/>
              <w:rPr>
                <w:rFonts w:ascii="仿宋" w:eastAsia="仿宋" w:hAnsi="仿宋"/>
                <w:sz w:val="24"/>
              </w:rPr>
            </w:pPr>
          </w:p>
        </w:tc>
        <w:tc>
          <w:tcPr>
            <w:tcW w:w="5126" w:type="dxa"/>
            <w:vAlign w:val="center"/>
          </w:tcPr>
          <w:p w:rsidR="00013EC7" w:rsidRDefault="00575CDB">
            <w:pPr>
              <w:spacing w:line="300" w:lineRule="exact"/>
              <w:jc w:val="left"/>
              <w:rPr>
                <w:rFonts w:ascii="仿宋" w:eastAsia="仿宋" w:hAnsi="仿宋"/>
                <w:sz w:val="24"/>
              </w:rPr>
            </w:pPr>
            <w:r>
              <w:rPr>
                <w:rFonts w:ascii="仿宋" w:eastAsia="仿宋" w:hAnsi="仿宋" w:hint="eastAsia"/>
                <w:sz w:val="24"/>
              </w:rPr>
              <w:t>（九）《车辆购置税完税证明》正本原件。</w:t>
            </w:r>
          </w:p>
        </w:tc>
        <w:tc>
          <w:tcPr>
            <w:tcW w:w="1275" w:type="dxa"/>
            <w:vMerge/>
            <w:vAlign w:val="center"/>
          </w:tcPr>
          <w:p w:rsidR="00013EC7" w:rsidRDefault="00013EC7">
            <w:pPr>
              <w:jc w:val="left"/>
              <w:rPr>
                <w:rFonts w:ascii="仿宋" w:eastAsia="仿宋" w:hAnsi="仿宋"/>
                <w:sz w:val="24"/>
              </w:rPr>
            </w:pPr>
          </w:p>
        </w:tc>
        <w:tc>
          <w:tcPr>
            <w:tcW w:w="3686" w:type="dxa"/>
            <w:vAlign w:val="center"/>
          </w:tcPr>
          <w:p w:rsidR="00013EC7" w:rsidRDefault="00575CDB">
            <w:pPr>
              <w:spacing w:line="300" w:lineRule="exact"/>
              <w:jc w:val="left"/>
              <w:rPr>
                <w:rFonts w:ascii="仿宋" w:eastAsia="仿宋" w:hAnsi="仿宋"/>
                <w:color w:val="000000"/>
                <w:sz w:val="24"/>
              </w:rPr>
            </w:pPr>
            <w:r>
              <w:rPr>
                <w:rFonts w:ascii="仿宋" w:eastAsia="仿宋" w:hAnsi="仿宋" w:hint="eastAsia"/>
                <w:color w:val="000000"/>
                <w:sz w:val="24"/>
              </w:rPr>
              <w:t>（七）完税证明正本</w:t>
            </w:r>
            <w:r w:rsidR="006C58B0">
              <w:rPr>
                <w:rFonts w:ascii="仿宋" w:eastAsia="仿宋" w:hAnsi="仿宋" w:hint="eastAsia"/>
                <w:color w:val="000000"/>
                <w:sz w:val="24"/>
              </w:rPr>
              <w:t>〔</w:t>
            </w:r>
            <w:r>
              <w:rPr>
                <w:rFonts w:ascii="仿宋" w:eastAsia="仿宋" w:hAnsi="仿宋" w:hint="eastAsia"/>
                <w:color w:val="000000"/>
                <w:sz w:val="24"/>
              </w:rPr>
              <w:t>省外（含）宁波转入车辆需提供</w:t>
            </w:r>
            <w:r w:rsidR="006C58B0">
              <w:rPr>
                <w:rFonts w:ascii="仿宋" w:eastAsia="仿宋" w:hAnsi="仿宋" w:hint="eastAsia"/>
                <w:color w:val="000000"/>
                <w:sz w:val="24"/>
              </w:rPr>
              <w:t>〕</w:t>
            </w:r>
            <w:r>
              <w:rPr>
                <w:rFonts w:ascii="仿宋" w:eastAsia="仿宋" w:hAnsi="仿宋" w:hint="eastAsia"/>
                <w:color w:val="000000"/>
                <w:sz w:val="24"/>
              </w:rPr>
              <w:t>。</w:t>
            </w:r>
          </w:p>
        </w:tc>
        <w:tc>
          <w:tcPr>
            <w:tcW w:w="1546" w:type="dxa"/>
            <w:vMerge/>
            <w:vAlign w:val="center"/>
          </w:tcPr>
          <w:p w:rsidR="00013EC7" w:rsidRDefault="00013EC7">
            <w:pPr>
              <w:spacing w:line="300" w:lineRule="exact"/>
              <w:jc w:val="left"/>
              <w:rPr>
                <w:rFonts w:ascii="仿宋" w:eastAsia="仿宋" w:hAnsi="仿宋"/>
                <w:sz w:val="24"/>
              </w:rPr>
            </w:pPr>
          </w:p>
        </w:tc>
        <w:tc>
          <w:tcPr>
            <w:tcW w:w="983" w:type="dxa"/>
            <w:vMerge/>
            <w:vAlign w:val="center"/>
          </w:tcPr>
          <w:p w:rsidR="00013EC7" w:rsidRDefault="00013EC7">
            <w:pPr>
              <w:spacing w:line="300" w:lineRule="exact"/>
              <w:rPr>
                <w:rFonts w:ascii="仿宋" w:eastAsia="仿宋" w:hAnsi="仿宋"/>
                <w:sz w:val="24"/>
              </w:rPr>
            </w:pPr>
          </w:p>
        </w:tc>
        <w:tc>
          <w:tcPr>
            <w:tcW w:w="851" w:type="dxa"/>
            <w:vMerge/>
            <w:vAlign w:val="center"/>
          </w:tcPr>
          <w:p w:rsidR="00013EC7" w:rsidRDefault="00013EC7">
            <w:pPr>
              <w:rPr>
                <w:rFonts w:ascii="仿宋" w:eastAsia="仿宋" w:hAnsi="仿宋"/>
                <w:sz w:val="24"/>
              </w:rPr>
            </w:pPr>
          </w:p>
        </w:tc>
        <w:tc>
          <w:tcPr>
            <w:tcW w:w="850" w:type="dxa"/>
            <w:vMerge/>
            <w:vAlign w:val="center"/>
          </w:tcPr>
          <w:p w:rsidR="00013EC7" w:rsidRDefault="00013EC7">
            <w:pPr>
              <w:rPr>
                <w:rFonts w:ascii="仿宋" w:eastAsia="仿宋" w:hAnsi="仿宋"/>
                <w:sz w:val="24"/>
              </w:rPr>
            </w:pPr>
          </w:p>
        </w:tc>
        <w:tc>
          <w:tcPr>
            <w:tcW w:w="851" w:type="dxa"/>
            <w:vMerge/>
            <w:vAlign w:val="center"/>
          </w:tcPr>
          <w:p w:rsidR="00013EC7" w:rsidRDefault="00013EC7">
            <w:pPr>
              <w:rPr>
                <w:rFonts w:ascii="仿宋" w:eastAsia="仿宋" w:hAnsi="仿宋"/>
                <w:sz w:val="24"/>
              </w:rPr>
            </w:pPr>
          </w:p>
        </w:tc>
        <w:tc>
          <w:tcPr>
            <w:tcW w:w="992" w:type="dxa"/>
            <w:vMerge/>
            <w:vAlign w:val="center"/>
          </w:tcPr>
          <w:p w:rsidR="00013EC7" w:rsidRDefault="00013EC7">
            <w:pPr>
              <w:rPr>
                <w:rFonts w:ascii="仿宋" w:eastAsia="仿宋" w:hAnsi="仿宋"/>
                <w:sz w:val="24"/>
              </w:rPr>
            </w:pPr>
          </w:p>
        </w:tc>
        <w:tc>
          <w:tcPr>
            <w:tcW w:w="991" w:type="dxa"/>
            <w:vMerge/>
            <w:vAlign w:val="center"/>
          </w:tcPr>
          <w:p w:rsidR="00013EC7" w:rsidRDefault="00013EC7">
            <w:pPr>
              <w:rPr>
                <w:rFonts w:ascii="仿宋" w:eastAsia="仿宋" w:hAnsi="仿宋"/>
                <w:sz w:val="24"/>
              </w:rPr>
            </w:pPr>
          </w:p>
        </w:tc>
      </w:tr>
      <w:tr w:rsidR="00013EC7">
        <w:trPr>
          <w:trHeight w:val="992"/>
          <w:jc w:val="center"/>
        </w:trPr>
        <w:tc>
          <w:tcPr>
            <w:tcW w:w="672" w:type="dxa"/>
            <w:vMerge/>
            <w:textDirection w:val="tbRlV"/>
            <w:vAlign w:val="center"/>
          </w:tcPr>
          <w:p w:rsidR="00013EC7" w:rsidRDefault="00013EC7">
            <w:pPr>
              <w:rPr>
                <w:rFonts w:ascii="仿宋" w:eastAsia="仿宋" w:hAnsi="仿宋"/>
                <w:sz w:val="24"/>
              </w:rPr>
            </w:pPr>
          </w:p>
        </w:tc>
        <w:tc>
          <w:tcPr>
            <w:tcW w:w="605" w:type="dxa"/>
            <w:vMerge/>
            <w:vAlign w:val="center"/>
          </w:tcPr>
          <w:p w:rsidR="00013EC7" w:rsidRDefault="00013EC7">
            <w:pPr>
              <w:rPr>
                <w:rFonts w:ascii="仿宋" w:eastAsia="仿宋" w:hAnsi="仿宋"/>
                <w:sz w:val="24"/>
              </w:rPr>
            </w:pPr>
          </w:p>
        </w:tc>
        <w:tc>
          <w:tcPr>
            <w:tcW w:w="1417" w:type="dxa"/>
            <w:vMerge/>
            <w:vAlign w:val="center"/>
          </w:tcPr>
          <w:p w:rsidR="00013EC7" w:rsidRDefault="00013EC7">
            <w:pPr>
              <w:jc w:val="left"/>
              <w:rPr>
                <w:rFonts w:ascii="仿宋" w:eastAsia="仿宋" w:hAnsi="仿宋"/>
                <w:sz w:val="24"/>
              </w:rPr>
            </w:pPr>
          </w:p>
        </w:tc>
        <w:tc>
          <w:tcPr>
            <w:tcW w:w="5126" w:type="dxa"/>
            <w:vAlign w:val="center"/>
          </w:tcPr>
          <w:p w:rsidR="00013EC7" w:rsidRDefault="00575CDB">
            <w:pPr>
              <w:spacing w:line="300" w:lineRule="exact"/>
              <w:jc w:val="left"/>
              <w:rPr>
                <w:rFonts w:ascii="仿宋" w:eastAsia="仿宋" w:hAnsi="仿宋"/>
                <w:sz w:val="24"/>
                <w:highlight w:val="lightGray"/>
              </w:rPr>
            </w:pPr>
            <w:r>
              <w:rPr>
                <w:rFonts w:ascii="仿宋" w:eastAsia="仿宋" w:hAnsi="仿宋" w:hint="eastAsia"/>
                <w:sz w:val="24"/>
                <w:highlight w:val="lightGray"/>
              </w:rPr>
              <w:t>（十）《车辆购置税完税证明》正本原件及有效证明资料。</w:t>
            </w:r>
          </w:p>
        </w:tc>
        <w:tc>
          <w:tcPr>
            <w:tcW w:w="1275" w:type="dxa"/>
            <w:vAlign w:val="center"/>
          </w:tcPr>
          <w:p w:rsidR="00013EC7" w:rsidRDefault="00575CDB">
            <w:pPr>
              <w:jc w:val="left"/>
              <w:rPr>
                <w:rFonts w:ascii="仿宋" w:eastAsia="仿宋" w:hAnsi="仿宋"/>
                <w:sz w:val="24"/>
              </w:rPr>
            </w:pPr>
            <w:r>
              <w:rPr>
                <w:rFonts w:ascii="仿宋" w:eastAsia="仿宋" w:hAnsi="仿宋" w:hint="eastAsia"/>
                <w:sz w:val="24"/>
              </w:rPr>
              <w:t>免税条件消失未发生二手车转让重新申报的纳税人提交</w:t>
            </w:r>
          </w:p>
        </w:tc>
        <w:tc>
          <w:tcPr>
            <w:tcW w:w="3686" w:type="dxa"/>
            <w:vAlign w:val="center"/>
          </w:tcPr>
          <w:p w:rsidR="00013EC7" w:rsidRDefault="00013EC7">
            <w:pPr>
              <w:spacing w:line="300" w:lineRule="exact"/>
              <w:jc w:val="left"/>
              <w:rPr>
                <w:rFonts w:ascii="仿宋" w:eastAsia="仿宋" w:hAnsi="仿宋"/>
                <w:sz w:val="24"/>
              </w:rPr>
            </w:pPr>
          </w:p>
        </w:tc>
        <w:tc>
          <w:tcPr>
            <w:tcW w:w="1546" w:type="dxa"/>
            <w:vAlign w:val="center"/>
          </w:tcPr>
          <w:p w:rsidR="00013EC7" w:rsidRDefault="00575CDB">
            <w:pPr>
              <w:spacing w:line="300" w:lineRule="exact"/>
              <w:jc w:val="left"/>
              <w:rPr>
                <w:rFonts w:ascii="仿宋" w:eastAsia="仿宋" w:hAnsi="仿宋"/>
                <w:i/>
                <w:sz w:val="24"/>
              </w:rPr>
            </w:pPr>
            <w:r>
              <w:rPr>
                <w:rFonts w:ascii="仿宋" w:eastAsia="仿宋" w:hAnsi="仿宋" w:hint="eastAsia"/>
                <w:b/>
                <w:bCs/>
                <w:i/>
                <w:sz w:val="24"/>
              </w:rPr>
              <w:t>取消</w:t>
            </w:r>
          </w:p>
        </w:tc>
        <w:tc>
          <w:tcPr>
            <w:tcW w:w="983" w:type="dxa"/>
            <w:vMerge/>
            <w:vAlign w:val="center"/>
          </w:tcPr>
          <w:p w:rsidR="00013EC7" w:rsidRDefault="00013EC7">
            <w:pPr>
              <w:spacing w:line="300" w:lineRule="exact"/>
              <w:rPr>
                <w:rFonts w:ascii="仿宋" w:eastAsia="仿宋" w:hAnsi="仿宋"/>
                <w:sz w:val="24"/>
              </w:rPr>
            </w:pPr>
          </w:p>
        </w:tc>
        <w:tc>
          <w:tcPr>
            <w:tcW w:w="851" w:type="dxa"/>
            <w:vMerge/>
            <w:vAlign w:val="center"/>
          </w:tcPr>
          <w:p w:rsidR="00013EC7" w:rsidRDefault="00013EC7">
            <w:pPr>
              <w:rPr>
                <w:rFonts w:ascii="仿宋" w:eastAsia="仿宋" w:hAnsi="仿宋"/>
                <w:sz w:val="24"/>
              </w:rPr>
            </w:pPr>
          </w:p>
        </w:tc>
        <w:tc>
          <w:tcPr>
            <w:tcW w:w="850" w:type="dxa"/>
            <w:vMerge/>
            <w:vAlign w:val="center"/>
          </w:tcPr>
          <w:p w:rsidR="00013EC7" w:rsidRDefault="00013EC7">
            <w:pPr>
              <w:rPr>
                <w:rFonts w:ascii="仿宋" w:eastAsia="仿宋" w:hAnsi="仿宋"/>
                <w:sz w:val="24"/>
              </w:rPr>
            </w:pPr>
          </w:p>
        </w:tc>
        <w:tc>
          <w:tcPr>
            <w:tcW w:w="851" w:type="dxa"/>
            <w:vMerge/>
            <w:vAlign w:val="center"/>
          </w:tcPr>
          <w:p w:rsidR="00013EC7" w:rsidRDefault="00013EC7">
            <w:pPr>
              <w:rPr>
                <w:rFonts w:ascii="仿宋" w:eastAsia="仿宋" w:hAnsi="仿宋"/>
                <w:sz w:val="24"/>
              </w:rPr>
            </w:pPr>
          </w:p>
        </w:tc>
        <w:tc>
          <w:tcPr>
            <w:tcW w:w="992" w:type="dxa"/>
            <w:vMerge/>
            <w:vAlign w:val="center"/>
          </w:tcPr>
          <w:p w:rsidR="00013EC7" w:rsidRDefault="00013EC7">
            <w:pPr>
              <w:rPr>
                <w:rFonts w:ascii="仿宋" w:eastAsia="仿宋" w:hAnsi="仿宋"/>
                <w:sz w:val="24"/>
              </w:rPr>
            </w:pPr>
          </w:p>
        </w:tc>
        <w:tc>
          <w:tcPr>
            <w:tcW w:w="991" w:type="dxa"/>
            <w:vMerge/>
            <w:vAlign w:val="center"/>
          </w:tcPr>
          <w:p w:rsidR="00013EC7" w:rsidRDefault="00013EC7">
            <w:pPr>
              <w:rPr>
                <w:rFonts w:ascii="仿宋" w:eastAsia="仿宋" w:hAnsi="仿宋"/>
                <w:sz w:val="24"/>
              </w:rPr>
            </w:pPr>
          </w:p>
        </w:tc>
      </w:tr>
      <w:tr w:rsidR="00013EC7">
        <w:trPr>
          <w:trHeight w:val="830"/>
          <w:jc w:val="center"/>
        </w:trPr>
        <w:tc>
          <w:tcPr>
            <w:tcW w:w="672" w:type="dxa"/>
            <w:vMerge/>
            <w:textDirection w:val="tbRlV"/>
            <w:vAlign w:val="center"/>
          </w:tcPr>
          <w:p w:rsidR="00013EC7" w:rsidRDefault="00013EC7">
            <w:pPr>
              <w:rPr>
                <w:rFonts w:ascii="仿宋" w:eastAsia="仿宋" w:hAnsi="仿宋"/>
                <w:sz w:val="24"/>
              </w:rPr>
            </w:pPr>
          </w:p>
        </w:tc>
        <w:tc>
          <w:tcPr>
            <w:tcW w:w="605" w:type="dxa"/>
            <w:vMerge/>
            <w:vAlign w:val="center"/>
          </w:tcPr>
          <w:p w:rsidR="00013EC7" w:rsidRDefault="00013EC7">
            <w:pPr>
              <w:rPr>
                <w:rFonts w:ascii="仿宋" w:eastAsia="仿宋" w:hAnsi="仿宋"/>
                <w:sz w:val="24"/>
              </w:rPr>
            </w:pPr>
          </w:p>
        </w:tc>
        <w:tc>
          <w:tcPr>
            <w:tcW w:w="1417" w:type="dxa"/>
            <w:vMerge/>
            <w:vAlign w:val="center"/>
          </w:tcPr>
          <w:p w:rsidR="00013EC7" w:rsidRDefault="00013EC7">
            <w:pPr>
              <w:jc w:val="left"/>
              <w:rPr>
                <w:rFonts w:ascii="仿宋" w:eastAsia="仿宋" w:hAnsi="仿宋"/>
                <w:sz w:val="24"/>
              </w:rPr>
            </w:pPr>
          </w:p>
        </w:tc>
        <w:tc>
          <w:tcPr>
            <w:tcW w:w="5126" w:type="dxa"/>
            <w:vAlign w:val="center"/>
          </w:tcPr>
          <w:p w:rsidR="00013EC7" w:rsidRDefault="00013EC7">
            <w:pPr>
              <w:spacing w:line="300" w:lineRule="exact"/>
              <w:jc w:val="left"/>
              <w:rPr>
                <w:rFonts w:ascii="仿宋" w:eastAsia="仿宋" w:hAnsi="仿宋"/>
                <w:sz w:val="24"/>
              </w:rPr>
            </w:pPr>
          </w:p>
        </w:tc>
        <w:tc>
          <w:tcPr>
            <w:tcW w:w="1275" w:type="dxa"/>
            <w:vAlign w:val="center"/>
          </w:tcPr>
          <w:p w:rsidR="00013EC7" w:rsidRDefault="00013EC7">
            <w:pPr>
              <w:jc w:val="left"/>
              <w:rPr>
                <w:rFonts w:ascii="仿宋" w:eastAsia="仿宋" w:hAnsi="仿宋"/>
                <w:sz w:val="24"/>
              </w:rPr>
            </w:pPr>
          </w:p>
        </w:tc>
        <w:tc>
          <w:tcPr>
            <w:tcW w:w="3686" w:type="dxa"/>
            <w:vAlign w:val="center"/>
          </w:tcPr>
          <w:p w:rsidR="00013EC7" w:rsidRDefault="00575CDB">
            <w:pPr>
              <w:spacing w:line="300" w:lineRule="exact"/>
              <w:jc w:val="left"/>
              <w:rPr>
                <w:rFonts w:ascii="仿宋" w:eastAsia="仿宋" w:hAnsi="仿宋"/>
                <w:sz w:val="24"/>
              </w:rPr>
            </w:pPr>
            <w:r>
              <w:rPr>
                <w:rFonts w:ascii="仿宋" w:eastAsia="仿宋" w:hAnsi="仿宋" w:cs="宋体" w:hint="eastAsia"/>
                <w:sz w:val="24"/>
              </w:rPr>
              <w:t>（八）（A03049）</w:t>
            </w:r>
            <w:r>
              <w:rPr>
                <w:rFonts w:ascii="仿宋" w:eastAsia="仿宋" w:hAnsi="仿宋" w:hint="eastAsia"/>
                <w:sz w:val="24"/>
              </w:rPr>
              <w:t>《车辆购置税免（减）税申报表》1份。</w:t>
            </w:r>
          </w:p>
        </w:tc>
        <w:tc>
          <w:tcPr>
            <w:tcW w:w="1546" w:type="dxa"/>
            <w:vAlign w:val="center"/>
          </w:tcPr>
          <w:p w:rsidR="00013EC7" w:rsidRDefault="00575CDB">
            <w:pPr>
              <w:jc w:val="left"/>
              <w:rPr>
                <w:rFonts w:ascii="仿宋" w:eastAsia="仿宋" w:hAnsi="仿宋"/>
                <w:sz w:val="24"/>
              </w:rPr>
            </w:pPr>
            <w:r>
              <w:rPr>
                <w:rFonts w:ascii="仿宋" w:eastAsia="仿宋" w:hAnsi="仿宋" w:hint="eastAsia"/>
                <w:sz w:val="24"/>
              </w:rPr>
              <w:t>二手车转让免税条件未消失车辆重新申报的纳税人提交</w:t>
            </w:r>
          </w:p>
        </w:tc>
        <w:tc>
          <w:tcPr>
            <w:tcW w:w="983" w:type="dxa"/>
            <w:vMerge/>
            <w:vAlign w:val="center"/>
          </w:tcPr>
          <w:p w:rsidR="00013EC7" w:rsidRDefault="00013EC7">
            <w:pPr>
              <w:spacing w:line="300" w:lineRule="exact"/>
              <w:rPr>
                <w:rFonts w:ascii="仿宋" w:eastAsia="仿宋" w:hAnsi="仿宋"/>
                <w:sz w:val="24"/>
              </w:rPr>
            </w:pPr>
          </w:p>
        </w:tc>
        <w:tc>
          <w:tcPr>
            <w:tcW w:w="851" w:type="dxa"/>
            <w:vMerge/>
            <w:vAlign w:val="center"/>
          </w:tcPr>
          <w:p w:rsidR="00013EC7" w:rsidRDefault="00013EC7">
            <w:pPr>
              <w:rPr>
                <w:rFonts w:ascii="仿宋" w:eastAsia="仿宋" w:hAnsi="仿宋"/>
                <w:sz w:val="24"/>
              </w:rPr>
            </w:pPr>
          </w:p>
        </w:tc>
        <w:tc>
          <w:tcPr>
            <w:tcW w:w="850" w:type="dxa"/>
            <w:vMerge/>
            <w:vAlign w:val="center"/>
          </w:tcPr>
          <w:p w:rsidR="00013EC7" w:rsidRDefault="00013EC7">
            <w:pPr>
              <w:rPr>
                <w:rFonts w:ascii="仿宋" w:eastAsia="仿宋" w:hAnsi="仿宋"/>
                <w:sz w:val="24"/>
              </w:rPr>
            </w:pPr>
          </w:p>
        </w:tc>
        <w:tc>
          <w:tcPr>
            <w:tcW w:w="851" w:type="dxa"/>
            <w:vMerge/>
            <w:vAlign w:val="center"/>
          </w:tcPr>
          <w:p w:rsidR="00013EC7" w:rsidRDefault="00013EC7">
            <w:pPr>
              <w:rPr>
                <w:rFonts w:ascii="仿宋" w:eastAsia="仿宋" w:hAnsi="仿宋"/>
                <w:sz w:val="24"/>
              </w:rPr>
            </w:pPr>
          </w:p>
        </w:tc>
        <w:tc>
          <w:tcPr>
            <w:tcW w:w="992" w:type="dxa"/>
            <w:vMerge/>
            <w:vAlign w:val="center"/>
          </w:tcPr>
          <w:p w:rsidR="00013EC7" w:rsidRDefault="00013EC7">
            <w:pPr>
              <w:rPr>
                <w:rFonts w:ascii="仿宋" w:eastAsia="仿宋" w:hAnsi="仿宋"/>
                <w:sz w:val="24"/>
              </w:rPr>
            </w:pPr>
          </w:p>
        </w:tc>
        <w:tc>
          <w:tcPr>
            <w:tcW w:w="991" w:type="dxa"/>
            <w:vMerge/>
            <w:vAlign w:val="center"/>
          </w:tcPr>
          <w:p w:rsidR="00013EC7" w:rsidRDefault="00013EC7">
            <w:pPr>
              <w:rPr>
                <w:rFonts w:ascii="仿宋" w:eastAsia="仿宋" w:hAnsi="仿宋"/>
                <w:sz w:val="24"/>
              </w:rPr>
            </w:pPr>
          </w:p>
        </w:tc>
      </w:tr>
      <w:tr w:rsidR="00013EC7">
        <w:trPr>
          <w:trHeight w:val="758"/>
          <w:jc w:val="center"/>
        </w:trPr>
        <w:tc>
          <w:tcPr>
            <w:tcW w:w="672" w:type="dxa"/>
            <w:vMerge/>
            <w:textDirection w:val="tbRlV"/>
            <w:vAlign w:val="center"/>
          </w:tcPr>
          <w:p w:rsidR="00013EC7" w:rsidRDefault="00013EC7">
            <w:pPr>
              <w:rPr>
                <w:rFonts w:ascii="仿宋" w:eastAsia="仿宋" w:hAnsi="仿宋"/>
                <w:sz w:val="24"/>
              </w:rPr>
            </w:pPr>
          </w:p>
        </w:tc>
        <w:tc>
          <w:tcPr>
            <w:tcW w:w="605" w:type="dxa"/>
            <w:vMerge/>
            <w:vAlign w:val="center"/>
          </w:tcPr>
          <w:p w:rsidR="00013EC7" w:rsidRDefault="00013EC7">
            <w:pPr>
              <w:rPr>
                <w:rFonts w:ascii="仿宋" w:eastAsia="仿宋" w:hAnsi="仿宋"/>
                <w:sz w:val="24"/>
              </w:rPr>
            </w:pPr>
          </w:p>
        </w:tc>
        <w:tc>
          <w:tcPr>
            <w:tcW w:w="1417" w:type="dxa"/>
            <w:vMerge/>
            <w:vAlign w:val="center"/>
          </w:tcPr>
          <w:p w:rsidR="00013EC7" w:rsidRDefault="00013EC7">
            <w:pPr>
              <w:rPr>
                <w:rFonts w:ascii="仿宋" w:eastAsia="仿宋" w:hAnsi="仿宋"/>
                <w:sz w:val="24"/>
              </w:rPr>
            </w:pPr>
          </w:p>
        </w:tc>
        <w:tc>
          <w:tcPr>
            <w:tcW w:w="5126" w:type="dxa"/>
            <w:vAlign w:val="center"/>
          </w:tcPr>
          <w:p w:rsidR="00013EC7" w:rsidRDefault="00575CDB">
            <w:pPr>
              <w:spacing w:line="300" w:lineRule="exact"/>
              <w:jc w:val="left"/>
              <w:rPr>
                <w:rFonts w:ascii="仿宋" w:eastAsia="仿宋" w:hAnsi="仿宋"/>
                <w:sz w:val="24"/>
              </w:rPr>
            </w:pPr>
            <w:r>
              <w:rPr>
                <w:rFonts w:ascii="仿宋" w:eastAsia="仿宋" w:hAnsi="仿宋" w:hint="eastAsia"/>
                <w:sz w:val="24"/>
                <w:highlight w:val="lightGray"/>
              </w:rPr>
              <w:t>（十一）车辆价格证明。</w:t>
            </w:r>
          </w:p>
        </w:tc>
        <w:tc>
          <w:tcPr>
            <w:tcW w:w="1275" w:type="dxa"/>
            <w:vMerge w:val="restart"/>
            <w:vAlign w:val="center"/>
          </w:tcPr>
          <w:p w:rsidR="00013EC7" w:rsidRDefault="00575CDB">
            <w:pPr>
              <w:spacing w:line="300" w:lineRule="exact"/>
              <w:jc w:val="left"/>
              <w:rPr>
                <w:rFonts w:ascii="仿宋" w:eastAsia="仿宋" w:hAnsi="仿宋"/>
                <w:sz w:val="24"/>
              </w:rPr>
            </w:pPr>
            <w:r>
              <w:rPr>
                <w:rFonts w:ascii="仿宋" w:eastAsia="仿宋" w:hAnsi="仿宋" w:hint="eastAsia"/>
                <w:sz w:val="24"/>
              </w:rPr>
              <w:t>补税车辆申报的纳</w:t>
            </w:r>
            <w:r>
              <w:rPr>
                <w:rFonts w:ascii="仿宋" w:eastAsia="仿宋" w:hAnsi="仿宋" w:hint="eastAsia"/>
                <w:sz w:val="24"/>
              </w:rPr>
              <w:lastRenderedPageBreak/>
              <w:t>税人提交</w:t>
            </w:r>
          </w:p>
        </w:tc>
        <w:tc>
          <w:tcPr>
            <w:tcW w:w="3686" w:type="dxa"/>
            <w:vAlign w:val="center"/>
          </w:tcPr>
          <w:p w:rsidR="00013EC7" w:rsidRDefault="00013EC7">
            <w:pPr>
              <w:spacing w:line="300" w:lineRule="exact"/>
              <w:jc w:val="left"/>
              <w:rPr>
                <w:rFonts w:ascii="仿宋" w:eastAsia="仿宋" w:hAnsi="仿宋"/>
                <w:sz w:val="24"/>
              </w:rPr>
            </w:pPr>
          </w:p>
        </w:tc>
        <w:tc>
          <w:tcPr>
            <w:tcW w:w="1546" w:type="dxa"/>
            <w:vAlign w:val="center"/>
          </w:tcPr>
          <w:p w:rsidR="00013EC7" w:rsidRDefault="00575CDB">
            <w:pPr>
              <w:jc w:val="left"/>
              <w:rPr>
                <w:rFonts w:ascii="仿宋" w:eastAsia="仿宋" w:hAnsi="仿宋"/>
                <w:i/>
                <w:sz w:val="24"/>
              </w:rPr>
            </w:pPr>
            <w:r>
              <w:rPr>
                <w:rFonts w:ascii="仿宋" w:eastAsia="仿宋" w:hAnsi="仿宋" w:hint="eastAsia"/>
                <w:b/>
                <w:bCs/>
                <w:i/>
                <w:sz w:val="24"/>
              </w:rPr>
              <w:t>取消</w:t>
            </w:r>
          </w:p>
        </w:tc>
        <w:tc>
          <w:tcPr>
            <w:tcW w:w="983" w:type="dxa"/>
            <w:vMerge/>
            <w:vAlign w:val="center"/>
          </w:tcPr>
          <w:p w:rsidR="00013EC7" w:rsidRDefault="00013EC7">
            <w:pPr>
              <w:spacing w:line="300" w:lineRule="exact"/>
              <w:rPr>
                <w:rFonts w:ascii="仿宋" w:eastAsia="仿宋" w:hAnsi="仿宋"/>
                <w:sz w:val="24"/>
              </w:rPr>
            </w:pPr>
          </w:p>
        </w:tc>
        <w:tc>
          <w:tcPr>
            <w:tcW w:w="851" w:type="dxa"/>
            <w:vMerge/>
            <w:vAlign w:val="center"/>
          </w:tcPr>
          <w:p w:rsidR="00013EC7" w:rsidRDefault="00013EC7">
            <w:pPr>
              <w:rPr>
                <w:rFonts w:ascii="仿宋" w:eastAsia="仿宋" w:hAnsi="仿宋"/>
                <w:sz w:val="24"/>
              </w:rPr>
            </w:pPr>
          </w:p>
        </w:tc>
        <w:tc>
          <w:tcPr>
            <w:tcW w:w="850" w:type="dxa"/>
            <w:vMerge/>
            <w:vAlign w:val="center"/>
          </w:tcPr>
          <w:p w:rsidR="00013EC7" w:rsidRDefault="00013EC7">
            <w:pPr>
              <w:rPr>
                <w:rFonts w:ascii="仿宋" w:eastAsia="仿宋" w:hAnsi="仿宋"/>
                <w:sz w:val="24"/>
              </w:rPr>
            </w:pPr>
          </w:p>
        </w:tc>
        <w:tc>
          <w:tcPr>
            <w:tcW w:w="851" w:type="dxa"/>
            <w:vMerge/>
            <w:vAlign w:val="center"/>
          </w:tcPr>
          <w:p w:rsidR="00013EC7" w:rsidRDefault="00013EC7">
            <w:pPr>
              <w:rPr>
                <w:rFonts w:ascii="仿宋" w:eastAsia="仿宋" w:hAnsi="仿宋"/>
                <w:sz w:val="24"/>
              </w:rPr>
            </w:pPr>
          </w:p>
        </w:tc>
        <w:tc>
          <w:tcPr>
            <w:tcW w:w="992" w:type="dxa"/>
            <w:vMerge/>
            <w:vAlign w:val="center"/>
          </w:tcPr>
          <w:p w:rsidR="00013EC7" w:rsidRDefault="00013EC7">
            <w:pPr>
              <w:rPr>
                <w:rFonts w:ascii="仿宋" w:eastAsia="仿宋" w:hAnsi="仿宋"/>
                <w:sz w:val="24"/>
              </w:rPr>
            </w:pPr>
          </w:p>
        </w:tc>
        <w:tc>
          <w:tcPr>
            <w:tcW w:w="991" w:type="dxa"/>
            <w:vMerge/>
            <w:vAlign w:val="center"/>
          </w:tcPr>
          <w:p w:rsidR="00013EC7" w:rsidRDefault="00013EC7">
            <w:pPr>
              <w:rPr>
                <w:rFonts w:ascii="仿宋" w:eastAsia="仿宋" w:hAnsi="仿宋"/>
                <w:sz w:val="24"/>
              </w:rPr>
            </w:pPr>
          </w:p>
        </w:tc>
      </w:tr>
      <w:tr w:rsidR="00013EC7">
        <w:trPr>
          <w:trHeight w:val="757"/>
          <w:jc w:val="center"/>
        </w:trPr>
        <w:tc>
          <w:tcPr>
            <w:tcW w:w="672" w:type="dxa"/>
            <w:vMerge/>
            <w:tcBorders>
              <w:bottom w:val="single" w:sz="4" w:space="0" w:color="auto"/>
            </w:tcBorders>
            <w:textDirection w:val="tbRlV"/>
            <w:vAlign w:val="center"/>
          </w:tcPr>
          <w:p w:rsidR="00013EC7" w:rsidRDefault="00013EC7">
            <w:pPr>
              <w:rPr>
                <w:rFonts w:ascii="仿宋" w:eastAsia="仿宋" w:hAnsi="仿宋"/>
                <w:sz w:val="24"/>
              </w:rPr>
            </w:pPr>
          </w:p>
        </w:tc>
        <w:tc>
          <w:tcPr>
            <w:tcW w:w="605" w:type="dxa"/>
            <w:vMerge/>
            <w:tcBorders>
              <w:bottom w:val="single" w:sz="4" w:space="0" w:color="auto"/>
            </w:tcBorders>
            <w:vAlign w:val="center"/>
          </w:tcPr>
          <w:p w:rsidR="00013EC7" w:rsidRDefault="00013EC7">
            <w:pPr>
              <w:rPr>
                <w:rFonts w:ascii="仿宋" w:eastAsia="仿宋" w:hAnsi="仿宋"/>
                <w:sz w:val="24"/>
              </w:rPr>
            </w:pPr>
          </w:p>
        </w:tc>
        <w:tc>
          <w:tcPr>
            <w:tcW w:w="1417" w:type="dxa"/>
            <w:vMerge/>
            <w:tcBorders>
              <w:bottom w:val="single" w:sz="4" w:space="0" w:color="auto"/>
            </w:tcBorders>
            <w:vAlign w:val="center"/>
          </w:tcPr>
          <w:p w:rsidR="00013EC7" w:rsidRDefault="00013EC7">
            <w:pPr>
              <w:rPr>
                <w:rFonts w:ascii="仿宋" w:eastAsia="仿宋" w:hAnsi="仿宋"/>
                <w:sz w:val="24"/>
              </w:rPr>
            </w:pPr>
          </w:p>
        </w:tc>
        <w:tc>
          <w:tcPr>
            <w:tcW w:w="5126" w:type="dxa"/>
            <w:tcBorders>
              <w:bottom w:val="single" w:sz="4" w:space="0" w:color="auto"/>
            </w:tcBorders>
            <w:vAlign w:val="center"/>
          </w:tcPr>
          <w:p w:rsidR="00013EC7" w:rsidRDefault="00575CDB">
            <w:pPr>
              <w:spacing w:line="300" w:lineRule="exact"/>
              <w:jc w:val="left"/>
              <w:rPr>
                <w:rFonts w:ascii="仿宋" w:eastAsia="仿宋" w:hAnsi="仿宋"/>
                <w:sz w:val="24"/>
                <w:highlight w:val="lightGray"/>
              </w:rPr>
            </w:pPr>
            <w:r>
              <w:rPr>
                <w:rFonts w:ascii="仿宋" w:eastAsia="仿宋" w:hAnsi="仿宋" w:hint="eastAsia"/>
                <w:sz w:val="24"/>
              </w:rPr>
              <w:t>（十二）补税相关资料。</w:t>
            </w:r>
          </w:p>
        </w:tc>
        <w:tc>
          <w:tcPr>
            <w:tcW w:w="1275" w:type="dxa"/>
            <w:vMerge/>
            <w:vAlign w:val="center"/>
          </w:tcPr>
          <w:p w:rsidR="00013EC7" w:rsidRDefault="00013EC7">
            <w:pPr>
              <w:spacing w:line="300" w:lineRule="exact"/>
              <w:jc w:val="left"/>
              <w:rPr>
                <w:rFonts w:ascii="仿宋" w:eastAsia="仿宋" w:hAnsi="仿宋"/>
                <w:sz w:val="24"/>
              </w:rPr>
            </w:pPr>
          </w:p>
        </w:tc>
        <w:tc>
          <w:tcPr>
            <w:tcW w:w="3686" w:type="dxa"/>
            <w:tcBorders>
              <w:bottom w:val="single" w:sz="4" w:space="0" w:color="auto"/>
            </w:tcBorders>
            <w:vAlign w:val="center"/>
          </w:tcPr>
          <w:p w:rsidR="00013EC7" w:rsidRDefault="00575CDB">
            <w:pPr>
              <w:spacing w:line="300" w:lineRule="exact"/>
              <w:jc w:val="left"/>
              <w:rPr>
                <w:rFonts w:ascii="仿宋" w:eastAsia="仿宋" w:hAnsi="仿宋"/>
                <w:color w:val="000000"/>
                <w:sz w:val="24"/>
              </w:rPr>
            </w:pPr>
            <w:r>
              <w:rPr>
                <w:rFonts w:ascii="仿宋" w:eastAsia="仿宋" w:hAnsi="仿宋" w:hint="eastAsia"/>
                <w:color w:val="000000"/>
                <w:sz w:val="24"/>
              </w:rPr>
              <w:t>（九）补税资料。</w:t>
            </w:r>
          </w:p>
        </w:tc>
        <w:tc>
          <w:tcPr>
            <w:tcW w:w="1546" w:type="dxa"/>
            <w:vAlign w:val="center"/>
          </w:tcPr>
          <w:p w:rsidR="00013EC7" w:rsidRDefault="00575CDB">
            <w:pPr>
              <w:jc w:val="left"/>
              <w:rPr>
                <w:rFonts w:ascii="仿宋" w:eastAsia="仿宋" w:hAnsi="仿宋"/>
                <w:sz w:val="24"/>
              </w:rPr>
            </w:pPr>
            <w:r>
              <w:rPr>
                <w:rFonts w:ascii="仿宋" w:eastAsia="仿宋" w:hAnsi="仿宋" w:hint="eastAsia"/>
                <w:sz w:val="24"/>
              </w:rPr>
              <w:t>补税车辆申报的纳税人提交</w:t>
            </w:r>
          </w:p>
        </w:tc>
        <w:tc>
          <w:tcPr>
            <w:tcW w:w="983" w:type="dxa"/>
            <w:vMerge/>
            <w:vAlign w:val="center"/>
          </w:tcPr>
          <w:p w:rsidR="00013EC7" w:rsidRDefault="00013EC7">
            <w:pPr>
              <w:spacing w:line="300" w:lineRule="exact"/>
              <w:rPr>
                <w:rFonts w:ascii="仿宋" w:eastAsia="仿宋" w:hAnsi="仿宋"/>
                <w:sz w:val="24"/>
              </w:rPr>
            </w:pPr>
          </w:p>
        </w:tc>
        <w:tc>
          <w:tcPr>
            <w:tcW w:w="851" w:type="dxa"/>
            <w:vMerge/>
            <w:tcBorders>
              <w:bottom w:val="single" w:sz="4" w:space="0" w:color="auto"/>
            </w:tcBorders>
            <w:vAlign w:val="center"/>
          </w:tcPr>
          <w:p w:rsidR="00013EC7" w:rsidRDefault="00013EC7">
            <w:pPr>
              <w:rPr>
                <w:rFonts w:ascii="仿宋" w:eastAsia="仿宋" w:hAnsi="仿宋"/>
                <w:sz w:val="24"/>
              </w:rPr>
            </w:pPr>
          </w:p>
        </w:tc>
        <w:tc>
          <w:tcPr>
            <w:tcW w:w="850" w:type="dxa"/>
            <w:vMerge/>
            <w:vAlign w:val="center"/>
          </w:tcPr>
          <w:p w:rsidR="00013EC7" w:rsidRDefault="00013EC7">
            <w:pPr>
              <w:rPr>
                <w:rFonts w:ascii="仿宋" w:eastAsia="仿宋" w:hAnsi="仿宋"/>
                <w:sz w:val="24"/>
              </w:rPr>
            </w:pPr>
          </w:p>
        </w:tc>
        <w:tc>
          <w:tcPr>
            <w:tcW w:w="851" w:type="dxa"/>
            <w:vMerge/>
            <w:vAlign w:val="center"/>
          </w:tcPr>
          <w:p w:rsidR="00013EC7" w:rsidRDefault="00013EC7">
            <w:pPr>
              <w:rPr>
                <w:rFonts w:ascii="仿宋" w:eastAsia="仿宋" w:hAnsi="仿宋"/>
                <w:sz w:val="24"/>
              </w:rPr>
            </w:pPr>
          </w:p>
        </w:tc>
        <w:tc>
          <w:tcPr>
            <w:tcW w:w="992" w:type="dxa"/>
            <w:vMerge/>
            <w:vAlign w:val="center"/>
          </w:tcPr>
          <w:p w:rsidR="00013EC7" w:rsidRDefault="00013EC7">
            <w:pPr>
              <w:rPr>
                <w:rFonts w:ascii="仿宋" w:eastAsia="仿宋" w:hAnsi="仿宋"/>
                <w:sz w:val="24"/>
              </w:rPr>
            </w:pPr>
          </w:p>
        </w:tc>
        <w:tc>
          <w:tcPr>
            <w:tcW w:w="991" w:type="dxa"/>
            <w:vMerge/>
            <w:vAlign w:val="center"/>
          </w:tcPr>
          <w:p w:rsidR="00013EC7" w:rsidRDefault="00013EC7">
            <w:pPr>
              <w:rPr>
                <w:rFonts w:ascii="仿宋" w:eastAsia="仿宋" w:hAnsi="仿宋"/>
                <w:sz w:val="24"/>
              </w:rPr>
            </w:pPr>
          </w:p>
        </w:tc>
      </w:tr>
    </w:tbl>
    <w:p w:rsidR="00013EC7" w:rsidRDefault="00013EC7"/>
    <w:p w:rsidR="00013EC7" w:rsidRDefault="005262E6">
      <w:r>
        <w:lastRenderedPageBreak/>
        <w:object w:dxaOrig="1440" w:dyaOrig="1440">
          <v:shape id="对象 133" o:spid="_x0000_s1185" type="#_x0000_t75" style="position:absolute;left:0;text-align:left;margin-left:23.5pt;margin-top:80.5pt;width:481.95pt;height:544.65pt;z-index:251574272;mso-wrap-distance-top:0;mso-wrap-distance-bottom:0;mso-position-vertical-relative:page;mso-width-relative:page;mso-height-relative:page">
            <v:imagedata r:id="rId531" o:title=""/>
            <w10:wrap type="topAndBottom" anchory="page"/>
          </v:shape>
          <o:OLEObject Type="Embed" ProgID="Visio.Drawing.11" ShapeID="对象 133" DrawAspect="Content" ObjectID="_1577296315" r:id="rId532"/>
        </w:object>
      </w:r>
    </w:p>
    <w:p w:rsidR="00013EC7" w:rsidRDefault="00013EC7"/>
    <w:p w:rsidR="00013EC7" w:rsidRDefault="00013EC7"/>
    <w:p w:rsidR="00013EC7" w:rsidRDefault="00013EC7"/>
    <w:p w:rsidR="00013EC7" w:rsidRDefault="00013EC7"/>
    <w:p w:rsidR="00013EC7" w:rsidRDefault="00575CDB">
      <w:pPr>
        <w:pStyle w:val="2"/>
      </w:pPr>
      <w:bookmarkStart w:id="660" w:name="_Toc14656"/>
      <w:bookmarkStart w:id="661" w:name="_Toc7044"/>
      <w:bookmarkStart w:id="662" w:name="_Toc20589"/>
      <w:bookmarkStart w:id="663" w:name="_Toc503467502"/>
      <w:r>
        <w:rPr>
          <w:rFonts w:hint="eastAsia"/>
        </w:rPr>
        <w:lastRenderedPageBreak/>
        <w:t>30.2</w:t>
      </w:r>
      <w:r>
        <w:rPr>
          <w:rFonts w:hint="eastAsia"/>
        </w:rPr>
        <w:t>车辆购置税退税办理</w:t>
      </w:r>
      <w:bookmarkEnd w:id="660"/>
      <w:bookmarkEnd w:id="661"/>
      <w:bookmarkEnd w:id="662"/>
      <w:bookmarkEnd w:id="663"/>
    </w:p>
    <w:p w:rsidR="00013EC7" w:rsidRDefault="00575CDB">
      <w:pPr>
        <w:jc w:val="center"/>
        <w:rPr>
          <w:rFonts w:eastAsia="仿宋_GB2312"/>
          <w:szCs w:val="21"/>
        </w:rPr>
      </w:pPr>
      <w:r>
        <w:rPr>
          <w:rFonts w:ascii="宋体" w:hAnsi="宋体" w:hint="eastAsia"/>
          <w:b/>
          <w:sz w:val="52"/>
          <w:szCs w:val="52"/>
        </w:rPr>
        <w:t>全省“最多跑一次”事项“八统一”梳理表</w:t>
      </w:r>
    </w:p>
    <w:tbl>
      <w:tblPr>
        <w:tblW w:w="19845"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755"/>
        <w:gridCol w:w="3493"/>
        <w:gridCol w:w="2310"/>
        <w:gridCol w:w="1418"/>
        <w:gridCol w:w="3118"/>
        <w:gridCol w:w="1418"/>
        <w:gridCol w:w="2126"/>
        <w:gridCol w:w="992"/>
        <w:gridCol w:w="851"/>
        <w:gridCol w:w="850"/>
        <w:gridCol w:w="851"/>
        <w:gridCol w:w="991"/>
      </w:tblGrid>
      <w:tr w:rsidR="00013EC7">
        <w:trPr>
          <w:trHeight w:val="340"/>
          <w:tblHeader/>
          <w:jc w:val="center"/>
        </w:trPr>
        <w:tc>
          <w:tcPr>
            <w:tcW w:w="672" w:type="dxa"/>
            <w:vMerge w:val="restart"/>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主项名称</w:t>
            </w:r>
          </w:p>
        </w:tc>
        <w:tc>
          <w:tcPr>
            <w:tcW w:w="755" w:type="dxa"/>
            <w:vMerge w:val="restart"/>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子项名称</w:t>
            </w:r>
          </w:p>
        </w:tc>
        <w:tc>
          <w:tcPr>
            <w:tcW w:w="3493" w:type="dxa"/>
            <w:vMerge w:val="restart"/>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经办依据</w:t>
            </w:r>
          </w:p>
        </w:tc>
        <w:tc>
          <w:tcPr>
            <w:tcW w:w="3728" w:type="dxa"/>
            <w:gridSpan w:val="2"/>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原经办所需材料</w:t>
            </w:r>
          </w:p>
        </w:tc>
        <w:tc>
          <w:tcPr>
            <w:tcW w:w="6662" w:type="dxa"/>
            <w:gridSpan w:val="3"/>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精简后经办所需材料</w:t>
            </w:r>
          </w:p>
        </w:tc>
        <w:tc>
          <w:tcPr>
            <w:tcW w:w="1843" w:type="dxa"/>
            <w:gridSpan w:val="2"/>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办理时限</w:t>
            </w:r>
          </w:p>
        </w:tc>
        <w:tc>
          <w:tcPr>
            <w:tcW w:w="850" w:type="dxa"/>
            <w:vMerge w:val="restart"/>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是否实现跑零次</w:t>
            </w:r>
          </w:p>
        </w:tc>
        <w:tc>
          <w:tcPr>
            <w:tcW w:w="851" w:type="dxa"/>
            <w:vMerge w:val="restart"/>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责任处室（单位）</w:t>
            </w:r>
          </w:p>
        </w:tc>
        <w:tc>
          <w:tcPr>
            <w:tcW w:w="991" w:type="dxa"/>
            <w:vMerge w:val="restart"/>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进一步精简、规范建议</w:t>
            </w:r>
          </w:p>
        </w:tc>
      </w:tr>
      <w:tr w:rsidR="00013EC7">
        <w:trPr>
          <w:trHeight w:val="90"/>
          <w:tblHeader/>
          <w:jc w:val="center"/>
        </w:trPr>
        <w:tc>
          <w:tcPr>
            <w:tcW w:w="672" w:type="dxa"/>
            <w:vMerge/>
            <w:vAlign w:val="center"/>
          </w:tcPr>
          <w:p w:rsidR="00013EC7" w:rsidRDefault="00013EC7">
            <w:pPr>
              <w:jc w:val="center"/>
              <w:rPr>
                <w:rFonts w:ascii="黑体" w:eastAsia="黑体" w:hAnsi="黑体" w:cs="黑体"/>
                <w:sz w:val="24"/>
              </w:rPr>
            </w:pPr>
          </w:p>
        </w:tc>
        <w:tc>
          <w:tcPr>
            <w:tcW w:w="755" w:type="dxa"/>
            <w:vMerge/>
            <w:vAlign w:val="center"/>
          </w:tcPr>
          <w:p w:rsidR="00013EC7" w:rsidRDefault="00013EC7">
            <w:pPr>
              <w:jc w:val="center"/>
              <w:rPr>
                <w:rFonts w:ascii="黑体" w:eastAsia="黑体" w:hAnsi="黑体" w:cs="黑体"/>
                <w:sz w:val="24"/>
              </w:rPr>
            </w:pPr>
          </w:p>
        </w:tc>
        <w:tc>
          <w:tcPr>
            <w:tcW w:w="3493" w:type="dxa"/>
            <w:vMerge/>
            <w:vAlign w:val="center"/>
          </w:tcPr>
          <w:p w:rsidR="00013EC7" w:rsidRDefault="00013EC7">
            <w:pPr>
              <w:jc w:val="center"/>
              <w:rPr>
                <w:rFonts w:ascii="黑体" w:eastAsia="黑体" w:hAnsi="黑体" w:cs="黑体"/>
                <w:sz w:val="24"/>
              </w:rPr>
            </w:pPr>
          </w:p>
        </w:tc>
        <w:tc>
          <w:tcPr>
            <w:tcW w:w="2310" w:type="dxa"/>
            <w:tcBorders>
              <w:bottom w:val="single" w:sz="4" w:space="0" w:color="auto"/>
            </w:tcBorders>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材料明细</w:t>
            </w:r>
          </w:p>
        </w:tc>
        <w:tc>
          <w:tcPr>
            <w:tcW w:w="1418"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材料来源</w:t>
            </w:r>
          </w:p>
        </w:tc>
        <w:tc>
          <w:tcPr>
            <w:tcW w:w="3118"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材料明细</w:t>
            </w:r>
          </w:p>
        </w:tc>
        <w:tc>
          <w:tcPr>
            <w:tcW w:w="1418"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材料来源</w:t>
            </w:r>
          </w:p>
        </w:tc>
        <w:tc>
          <w:tcPr>
            <w:tcW w:w="2126"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办理方式及材料</w:t>
            </w:r>
          </w:p>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信息获取方式说明</w:t>
            </w:r>
          </w:p>
        </w:tc>
        <w:tc>
          <w:tcPr>
            <w:tcW w:w="992"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优化前</w:t>
            </w:r>
          </w:p>
        </w:tc>
        <w:tc>
          <w:tcPr>
            <w:tcW w:w="851"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优化后</w:t>
            </w:r>
          </w:p>
        </w:tc>
        <w:tc>
          <w:tcPr>
            <w:tcW w:w="850" w:type="dxa"/>
            <w:vMerge/>
            <w:vAlign w:val="center"/>
          </w:tcPr>
          <w:p w:rsidR="00013EC7" w:rsidRDefault="00013EC7">
            <w:pPr>
              <w:jc w:val="center"/>
              <w:rPr>
                <w:rFonts w:ascii="黑体" w:eastAsia="黑体" w:hAnsi="黑体" w:cs="黑体"/>
                <w:sz w:val="24"/>
              </w:rPr>
            </w:pPr>
          </w:p>
        </w:tc>
        <w:tc>
          <w:tcPr>
            <w:tcW w:w="851" w:type="dxa"/>
            <w:vMerge/>
            <w:vAlign w:val="center"/>
          </w:tcPr>
          <w:p w:rsidR="00013EC7" w:rsidRDefault="00013EC7">
            <w:pPr>
              <w:jc w:val="center"/>
              <w:rPr>
                <w:rFonts w:ascii="黑体" w:eastAsia="黑体" w:hAnsi="黑体" w:cs="黑体"/>
                <w:sz w:val="24"/>
              </w:rPr>
            </w:pPr>
          </w:p>
        </w:tc>
        <w:tc>
          <w:tcPr>
            <w:tcW w:w="991" w:type="dxa"/>
            <w:vMerge/>
            <w:vAlign w:val="center"/>
          </w:tcPr>
          <w:p w:rsidR="00013EC7" w:rsidRDefault="00013EC7">
            <w:pPr>
              <w:jc w:val="center"/>
              <w:rPr>
                <w:rFonts w:ascii="黑体" w:eastAsia="黑体" w:hAnsi="黑体" w:cs="黑体"/>
                <w:sz w:val="24"/>
              </w:rPr>
            </w:pPr>
          </w:p>
        </w:tc>
      </w:tr>
      <w:tr w:rsidR="00013EC7">
        <w:trPr>
          <w:trHeight w:val="1093"/>
          <w:jc w:val="center"/>
        </w:trPr>
        <w:tc>
          <w:tcPr>
            <w:tcW w:w="672" w:type="dxa"/>
            <w:vMerge w:val="restart"/>
            <w:vAlign w:val="center"/>
          </w:tcPr>
          <w:p w:rsidR="00013EC7" w:rsidRDefault="00575CDB">
            <w:pPr>
              <w:jc w:val="left"/>
              <w:rPr>
                <w:rFonts w:ascii="仿宋" w:eastAsia="仿宋" w:hAnsi="仿宋" w:cs="仿宋"/>
                <w:sz w:val="24"/>
              </w:rPr>
            </w:pPr>
            <w:r>
              <w:rPr>
                <w:rFonts w:ascii="仿宋" w:eastAsia="仿宋" w:hAnsi="仿宋" w:cs="仿宋" w:hint="eastAsia"/>
                <w:sz w:val="24"/>
              </w:rPr>
              <w:t>30车辆购置税事项办理</w:t>
            </w:r>
          </w:p>
        </w:tc>
        <w:tc>
          <w:tcPr>
            <w:tcW w:w="755" w:type="dxa"/>
            <w:vMerge w:val="restart"/>
            <w:vAlign w:val="center"/>
          </w:tcPr>
          <w:p w:rsidR="00013EC7" w:rsidRDefault="00575CDB">
            <w:pPr>
              <w:jc w:val="left"/>
              <w:rPr>
                <w:rFonts w:ascii="仿宋" w:eastAsia="仿宋" w:hAnsi="仿宋" w:cs="仿宋"/>
                <w:sz w:val="24"/>
              </w:rPr>
            </w:pPr>
            <w:r>
              <w:rPr>
                <w:rFonts w:ascii="仿宋" w:eastAsia="仿宋" w:hAnsi="仿宋" w:cs="仿宋" w:hint="eastAsia"/>
                <w:sz w:val="24"/>
              </w:rPr>
              <w:t>30.2车辆购置税退税办理</w:t>
            </w:r>
          </w:p>
        </w:tc>
        <w:tc>
          <w:tcPr>
            <w:tcW w:w="3493" w:type="dxa"/>
            <w:vMerge w:val="restart"/>
            <w:vAlign w:val="center"/>
          </w:tcPr>
          <w:p w:rsidR="00013EC7" w:rsidRDefault="00575CDB">
            <w:pPr>
              <w:spacing w:line="240" w:lineRule="atLeast"/>
              <w:jc w:val="left"/>
              <w:rPr>
                <w:rFonts w:ascii="仿宋" w:eastAsia="仿宋" w:hAnsi="仿宋"/>
                <w:sz w:val="24"/>
              </w:rPr>
            </w:pPr>
            <w:r>
              <w:rPr>
                <w:rFonts w:ascii="仿宋" w:eastAsia="仿宋" w:hAnsi="仿宋" w:hint="eastAsia"/>
                <w:sz w:val="24"/>
              </w:rPr>
              <w:t>（一）</w:t>
            </w:r>
            <w:r>
              <w:rPr>
                <w:rFonts w:ascii="仿宋" w:eastAsia="仿宋" w:hAnsi="仿宋"/>
                <w:sz w:val="24"/>
              </w:rPr>
              <w:t>《税款缴库退库工作规程》（</w:t>
            </w:r>
            <w:r>
              <w:rPr>
                <w:rFonts w:ascii="仿宋" w:eastAsia="仿宋" w:hAnsi="仿宋" w:hint="eastAsia"/>
                <w:sz w:val="24"/>
              </w:rPr>
              <w:t>2014年</w:t>
            </w:r>
            <w:r>
              <w:rPr>
                <w:rFonts w:ascii="仿宋" w:eastAsia="仿宋" w:hAnsi="仿宋"/>
                <w:sz w:val="24"/>
              </w:rPr>
              <w:t>国家税务总局令第31号）</w:t>
            </w:r>
            <w:r>
              <w:rPr>
                <w:rFonts w:ascii="仿宋" w:eastAsia="仿宋" w:hAnsi="仿宋" w:hint="eastAsia"/>
                <w:sz w:val="24"/>
              </w:rPr>
              <w:t>全文</w:t>
            </w:r>
            <w:r>
              <w:rPr>
                <w:rFonts w:ascii="仿宋" w:eastAsia="仿宋" w:hAnsi="仿宋"/>
                <w:sz w:val="24"/>
              </w:rPr>
              <w:t>。</w:t>
            </w:r>
          </w:p>
          <w:p w:rsidR="00013EC7" w:rsidRDefault="00575CDB">
            <w:pPr>
              <w:spacing w:line="240" w:lineRule="atLeast"/>
              <w:jc w:val="left"/>
              <w:rPr>
                <w:rFonts w:ascii="仿宋" w:eastAsia="仿宋" w:hAnsi="仿宋"/>
                <w:sz w:val="24"/>
              </w:rPr>
            </w:pPr>
            <w:r>
              <w:rPr>
                <w:rFonts w:ascii="仿宋" w:eastAsia="仿宋" w:hAnsi="仿宋" w:hint="eastAsia"/>
                <w:sz w:val="24"/>
              </w:rPr>
              <w:t>（二）</w:t>
            </w:r>
            <w:r>
              <w:rPr>
                <w:rFonts w:ascii="仿宋" w:eastAsia="仿宋" w:hAnsi="仿宋"/>
                <w:sz w:val="24"/>
              </w:rPr>
              <w:t>《国家税务总局关于严格执行税款退库办理制度的通知》（国税函〔2011〕19号）</w:t>
            </w:r>
            <w:r>
              <w:rPr>
                <w:rFonts w:ascii="仿宋" w:eastAsia="仿宋" w:hAnsi="仿宋" w:hint="eastAsia"/>
                <w:sz w:val="24"/>
              </w:rPr>
              <w:t>全文</w:t>
            </w:r>
            <w:r>
              <w:rPr>
                <w:rFonts w:ascii="仿宋" w:eastAsia="仿宋" w:hAnsi="仿宋"/>
                <w:sz w:val="24"/>
              </w:rPr>
              <w:t>。</w:t>
            </w:r>
          </w:p>
          <w:p w:rsidR="00013EC7" w:rsidRDefault="00575CDB">
            <w:pPr>
              <w:spacing w:line="240" w:lineRule="atLeast"/>
              <w:jc w:val="left"/>
              <w:rPr>
                <w:rFonts w:ascii="仿宋" w:eastAsia="仿宋" w:hAnsi="仿宋"/>
                <w:sz w:val="24"/>
              </w:rPr>
            </w:pPr>
            <w:r>
              <w:rPr>
                <w:rFonts w:ascii="仿宋" w:eastAsia="仿宋" w:hAnsi="仿宋" w:hint="eastAsia"/>
                <w:sz w:val="24"/>
              </w:rPr>
              <w:t>（三）</w:t>
            </w:r>
            <w:r>
              <w:rPr>
                <w:rFonts w:ascii="仿宋" w:eastAsia="仿宋" w:hAnsi="仿宋"/>
                <w:sz w:val="24"/>
              </w:rPr>
              <w:t>《中华人民共和国车辆购置税暂行条例》（</w:t>
            </w:r>
            <w:r>
              <w:rPr>
                <w:rFonts w:ascii="仿宋" w:eastAsia="仿宋" w:hAnsi="仿宋" w:hint="eastAsia"/>
                <w:sz w:val="24"/>
              </w:rPr>
              <w:t>2000年中华人民共和国国务院令第294号</w:t>
            </w:r>
            <w:r>
              <w:rPr>
                <w:rFonts w:ascii="仿宋" w:eastAsia="仿宋" w:hAnsi="仿宋"/>
                <w:sz w:val="24"/>
              </w:rPr>
              <w:t>）</w:t>
            </w:r>
            <w:r>
              <w:rPr>
                <w:rFonts w:ascii="仿宋" w:eastAsia="仿宋" w:hAnsi="仿宋" w:hint="eastAsia"/>
                <w:sz w:val="24"/>
              </w:rPr>
              <w:t>全文</w:t>
            </w:r>
            <w:r>
              <w:rPr>
                <w:rFonts w:ascii="仿宋" w:eastAsia="仿宋" w:hAnsi="仿宋"/>
                <w:sz w:val="24"/>
              </w:rPr>
              <w:t>。</w:t>
            </w:r>
          </w:p>
          <w:p w:rsidR="00013EC7" w:rsidRDefault="00575CDB">
            <w:pPr>
              <w:spacing w:line="240" w:lineRule="atLeast"/>
              <w:jc w:val="left"/>
              <w:rPr>
                <w:rFonts w:ascii="仿宋" w:eastAsia="仿宋" w:hAnsi="仿宋"/>
                <w:sz w:val="24"/>
              </w:rPr>
            </w:pPr>
            <w:r>
              <w:rPr>
                <w:rFonts w:ascii="仿宋" w:eastAsia="仿宋" w:hAnsi="仿宋" w:hint="eastAsia"/>
                <w:sz w:val="24"/>
              </w:rPr>
              <w:t>（四）</w:t>
            </w:r>
            <w:r>
              <w:rPr>
                <w:rFonts w:ascii="仿宋" w:eastAsia="仿宋" w:hAnsi="仿宋"/>
                <w:sz w:val="24"/>
              </w:rPr>
              <w:t>《车辆购置税征收管理办法》（</w:t>
            </w:r>
            <w:r>
              <w:rPr>
                <w:rFonts w:ascii="仿宋" w:eastAsia="仿宋" w:hAnsi="仿宋" w:hint="eastAsia"/>
                <w:sz w:val="24"/>
              </w:rPr>
              <w:t>2014年</w:t>
            </w:r>
            <w:r>
              <w:rPr>
                <w:rFonts w:ascii="仿宋" w:eastAsia="仿宋" w:hAnsi="仿宋"/>
                <w:sz w:val="24"/>
              </w:rPr>
              <w:t>国家税务总局令第33号）</w:t>
            </w:r>
            <w:r>
              <w:rPr>
                <w:rFonts w:ascii="仿宋" w:eastAsia="仿宋" w:hAnsi="仿宋" w:hint="eastAsia"/>
                <w:sz w:val="24"/>
              </w:rPr>
              <w:t>第十五条、第十六条，第十七条</w:t>
            </w:r>
            <w:r>
              <w:rPr>
                <w:rFonts w:ascii="仿宋" w:eastAsia="仿宋" w:hAnsi="仿宋"/>
                <w:sz w:val="24"/>
              </w:rPr>
              <w:t>。</w:t>
            </w:r>
          </w:p>
          <w:p w:rsidR="00013EC7" w:rsidRDefault="00575CDB">
            <w:pPr>
              <w:spacing w:line="240" w:lineRule="atLeast"/>
              <w:jc w:val="left"/>
              <w:rPr>
                <w:rFonts w:ascii="仿宋" w:eastAsia="仿宋" w:hAnsi="仿宋"/>
                <w:sz w:val="24"/>
              </w:rPr>
            </w:pPr>
            <w:r>
              <w:rPr>
                <w:rFonts w:ascii="仿宋" w:eastAsia="仿宋" w:hAnsi="仿宋" w:hint="eastAsia"/>
                <w:sz w:val="24"/>
              </w:rPr>
              <w:t>（五）</w:t>
            </w:r>
            <w:r>
              <w:rPr>
                <w:rFonts w:ascii="仿宋" w:eastAsia="仿宋" w:hAnsi="仿宋"/>
                <w:sz w:val="24"/>
              </w:rPr>
              <w:t>《国家税务总局关于修改〈车辆购置税征收管理办法〉的决定》（</w:t>
            </w:r>
            <w:r>
              <w:rPr>
                <w:rFonts w:ascii="仿宋" w:eastAsia="仿宋" w:hAnsi="仿宋" w:hint="eastAsia"/>
                <w:sz w:val="24"/>
              </w:rPr>
              <w:t>2015年</w:t>
            </w:r>
            <w:r>
              <w:rPr>
                <w:rFonts w:ascii="仿宋" w:eastAsia="仿宋" w:hAnsi="仿宋"/>
                <w:sz w:val="24"/>
              </w:rPr>
              <w:t>国家税务总局令第38号）</w:t>
            </w:r>
            <w:r>
              <w:rPr>
                <w:rFonts w:ascii="仿宋" w:eastAsia="仿宋" w:hAnsi="仿宋" w:hint="eastAsia"/>
                <w:sz w:val="24"/>
              </w:rPr>
              <w:t>第十五条，第十六条，第十七条</w:t>
            </w:r>
            <w:r>
              <w:rPr>
                <w:rFonts w:ascii="仿宋" w:eastAsia="仿宋" w:hAnsi="仿宋"/>
                <w:sz w:val="24"/>
              </w:rPr>
              <w:t>。</w:t>
            </w:r>
          </w:p>
          <w:p w:rsidR="00013EC7" w:rsidRDefault="00575CDB">
            <w:pPr>
              <w:spacing w:line="240" w:lineRule="atLeast"/>
              <w:jc w:val="left"/>
              <w:rPr>
                <w:rFonts w:ascii="仿宋" w:eastAsia="仿宋" w:hAnsi="仿宋"/>
                <w:sz w:val="24"/>
              </w:rPr>
            </w:pPr>
            <w:r>
              <w:rPr>
                <w:rFonts w:ascii="仿宋" w:eastAsia="仿宋" w:hAnsi="仿宋" w:hint="eastAsia"/>
                <w:sz w:val="24"/>
              </w:rPr>
              <w:t>（六）</w:t>
            </w:r>
            <w:r>
              <w:rPr>
                <w:rFonts w:ascii="仿宋" w:eastAsia="仿宋" w:hAnsi="仿宋"/>
                <w:sz w:val="24"/>
              </w:rPr>
              <w:t>《国家税务总局关于车辆购置税征收管理有关问题的公告》（国家税务总局公告2015年第4号）</w:t>
            </w:r>
            <w:r>
              <w:rPr>
                <w:rFonts w:ascii="仿宋" w:eastAsia="仿宋" w:hAnsi="仿宋" w:hint="eastAsia"/>
                <w:sz w:val="24"/>
              </w:rPr>
              <w:t>第十四条。</w:t>
            </w:r>
          </w:p>
          <w:p w:rsidR="00013EC7" w:rsidRDefault="00575CDB">
            <w:pPr>
              <w:spacing w:line="240" w:lineRule="atLeast"/>
              <w:jc w:val="left"/>
              <w:rPr>
                <w:rFonts w:ascii="仿宋" w:eastAsia="仿宋" w:hAnsi="仿宋"/>
                <w:sz w:val="24"/>
              </w:rPr>
            </w:pPr>
            <w:r>
              <w:rPr>
                <w:rFonts w:ascii="仿宋" w:eastAsia="仿宋" w:hAnsi="仿宋" w:hint="eastAsia"/>
                <w:sz w:val="24"/>
              </w:rPr>
              <w:t>（七）《国家税务总局关于车辆购置税征收管理有关问题的补充公告》（国家税务总局公告2016年第52号）第五条，第七条。</w:t>
            </w:r>
          </w:p>
          <w:p w:rsidR="00013EC7" w:rsidRDefault="00575CDB">
            <w:pPr>
              <w:spacing w:line="240" w:lineRule="atLeast"/>
              <w:jc w:val="left"/>
              <w:rPr>
                <w:rFonts w:ascii="仿宋" w:eastAsia="仿宋" w:hAnsi="仿宋"/>
                <w:sz w:val="24"/>
              </w:rPr>
            </w:pPr>
            <w:r>
              <w:rPr>
                <w:rFonts w:ascii="仿宋" w:eastAsia="仿宋" w:hAnsi="仿宋" w:hint="eastAsia"/>
                <w:sz w:val="24"/>
              </w:rPr>
              <w:t>（八）</w:t>
            </w:r>
            <w:r>
              <w:rPr>
                <w:rFonts w:ascii="仿宋" w:eastAsia="仿宋" w:hAnsi="仿宋"/>
                <w:sz w:val="24"/>
              </w:rPr>
              <w:t>《</w:t>
            </w:r>
            <w:r>
              <w:rPr>
                <w:rFonts w:ascii="仿宋" w:eastAsia="仿宋" w:hAnsi="仿宋" w:hint="eastAsia"/>
                <w:sz w:val="24"/>
              </w:rPr>
              <w:t>国家税务总局关于进一步规范增值税、消费税车辆购置税有关涉税事项办理的通知</w:t>
            </w:r>
            <w:r>
              <w:rPr>
                <w:rFonts w:ascii="仿宋" w:eastAsia="仿宋" w:hAnsi="仿宋"/>
                <w:sz w:val="24"/>
              </w:rPr>
              <w:t>》</w:t>
            </w:r>
            <w:r>
              <w:rPr>
                <w:rFonts w:ascii="仿宋" w:eastAsia="仿宋" w:hAnsi="仿宋" w:hint="eastAsia"/>
                <w:sz w:val="24"/>
              </w:rPr>
              <w:lastRenderedPageBreak/>
              <w:t>（税总函〔2017〕426号）第八条，第九条。</w:t>
            </w:r>
          </w:p>
        </w:tc>
        <w:tc>
          <w:tcPr>
            <w:tcW w:w="2310" w:type="dxa"/>
            <w:tcBorders>
              <w:top w:val="single" w:sz="4" w:space="0" w:color="auto"/>
              <w:bottom w:val="single" w:sz="4" w:space="0" w:color="auto"/>
            </w:tcBorders>
            <w:vAlign w:val="center"/>
          </w:tcPr>
          <w:p w:rsidR="00013EC7" w:rsidRDefault="00575CDB">
            <w:pPr>
              <w:spacing w:line="300" w:lineRule="exact"/>
              <w:jc w:val="left"/>
              <w:rPr>
                <w:rFonts w:ascii="仿宋" w:eastAsia="仿宋" w:hAnsi="仿宋" w:cs="仿宋"/>
                <w:color w:val="000000"/>
                <w:sz w:val="24"/>
              </w:rPr>
            </w:pPr>
            <w:r>
              <w:rPr>
                <w:rFonts w:ascii="仿宋" w:eastAsia="仿宋" w:hAnsi="仿宋" w:cs="仿宋" w:hint="eastAsia"/>
                <w:sz w:val="24"/>
                <w:highlight w:val="lightGray"/>
              </w:rPr>
              <w:lastRenderedPageBreak/>
              <w:t>（一）</w:t>
            </w:r>
            <w:hyperlink r:id="rId533" w:history="1">
              <w:r>
                <w:rPr>
                  <w:rFonts w:ascii="仿宋" w:eastAsia="仿宋" w:hAnsi="仿宋" w:cs="仿宋" w:hint="eastAsia"/>
                  <w:sz w:val="24"/>
                  <w:highlight w:val="lightGray"/>
                </w:rPr>
                <w:t>（A07035）《车辆购置税退税申请表》</w:t>
              </w:r>
            </w:hyperlink>
            <w:r>
              <w:rPr>
                <w:rFonts w:ascii="仿宋" w:eastAsia="仿宋" w:hAnsi="仿宋" w:cs="仿宋" w:hint="eastAsia"/>
                <w:sz w:val="24"/>
                <w:highlight w:val="lightGray"/>
              </w:rPr>
              <w:t>3份</w:t>
            </w:r>
            <w:r>
              <w:rPr>
                <w:rFonts w:ascii="仿宋" w:eastAsia="仿宋" w:hAnsi="仿宋" w:cs="仿宋" w:hint="eastAsia"/>
                <w:sz w:val="24"/>
              </w:rPr>
              <w:t>。</w:t>
            </w:r>
          </w:p>
        </w:tc>
        <w:tc>
          <w:tcPr>
            <w:tcW w:w="1418" w:type="dxa"/>
            <w:vMerge w:val="restart"/>
            <w:vAlign w:val="center"/>
          </w:tcPr>
          <w:p w:rsidR="00013EC7" w:rsidRDefault="00575CDB">
            <w:pPr>
              <w:spacing w:line="300" w:lineRule="exact"/>
              <w:jc w:val="left"/>
              <w:rPr>
                <w:rFonts w:ascii="仿宋" w:eastAsia="仿宋" w:hAnsi="仿宋" w:cs="仿宋"/>
                <w:color w:val="000000"/>
                <w:sz w:val="24"/>
              </w:rPr>
            </w:pPr>
            <w:r>
              <w:rPr>
                <w:rFonts w:ascii="仿宋" w:eastAsia="仿宋" w:hAnsi="仿宋" w:cs="仿宋" w:hint="eastAsia"/>
                <w:color w:val="000000"/>
                <w:sz w:val="24"/>
              </w:rPr>
              <w:t>纳税人提交</w:t>
            </w:r>
          </w:p>
        </w:tc>
        <w:tc>
          <w:tcPr>
            <w:tcW w:w="3118" w:type="dxa"/>
            <w:vAlign w:val="center"/>
          </w:tcPr>
          <w:p w:rsidR="00013EC7" w:rsidRDefault="00575CDB">
            <w:pPr>
              <w:spacing w:line="300" w:lineRule="exact"/>
              <w:jc w:val="left"/>
              <w:rPr>
                <w:rFonts w:ascii="仿宋" w:eastAsia="仿宋" w:hAnsi="仿宋" w:cs="仿宋"/>
                <w:color w:val="000000"/>
                <w:sz w:val="24"/>
              </w:rPr>
            </w:pPr>
            <w:r>
              <w:rPr>
                <w:rFonts w:ascii="仿宋" w:eastAsia="仿宋" w:hAnsi="仿宋" w:cs="仿宋" w:hint="eastAsia"/>
                <w:sz w:val="24"/>
              </w:rPr>
              <w:t>（一）</w:t>
            </w:r>
            <w:hyperlink r:id="rId534" w:history="1">
              <w:r>
                <w:rPr>
                  <w:rFonts w:ascii="仿宋" w:eastAsia="仿宋" w:hAnsi="仿宋" w:cs="仿宋" w:hint="eastAsia"/>
                  <w:sz w:val="24"/>
                </w:rPr>
                <w:t>（A07035）《车辆购置税退税申请表》</w:t>
              </w:r>
            </w:hyperlink>
            <w:r>
              <w:rPr>
                <w:rFonts w:ascii="仿宋" w:eastAsia="仿宋" w:hAnsi="仿宋" w:cs="仿宋" w:hint="eastAsia"/>
                <w:sz w:val="24"/>
              </w:rPr>
              <w:t>2份。</w:t>
            </w:r>
          </w:p>
        </w:tc>
        <w:tc>
          <w:tcPr>
            <w:tcW w:w="1418" w:type="dxa"/>
            <w:vMerge w:val="restart"/>
            <w:shd w:val="clear" w:color="auto" w:fill="auto"/>
            <w:vAlign w:val="center"/>
          </w:tcPr>
          <w:p w:rsidR="00013EC7" w:rsidRDefault="00575CDB">
            <w:pPr>
              <w:spacing w:line="300" w:lineRule="exact"/>
              <w:jc w:val="left"/>
              <w:rPr>
                <w:rFonts w:ascii="仿宋" w:eastAsia="仿宋" w:hAnsi="仿宋" w:cs="仿宋"/>
                <w:iCs/>
                <w:sz w:val="24"/>
              </w:rPr>
            </w:pPr>
            <w:r>
              <w:rPr>
                <w:rFonts w:ascii="仿宋" w:eastAsia="仿宋" w:hAnsi="仿宋" w:cs="仿宋" w:hint="eastAsia"/>
                <w:sz w:val="24"/>
              </w:rPr>
              <w:t>纳税人提交</w:t>
            </w:r>
          </w:p>
        </w:tc>
        <w:tc>
          <w:tcPr>
            <w:tcW w:w="2126" w:type="dxa"/>
            <w:vMerge w:val="restart"/>
            <w:vAlign w:val="center"/>
          </w:tcPr>
          <w:p w:rsidR="00013EC7" w:rsidRDefault="00575CDB">
            <w:pPr>
              <w:jc w:val="lef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bCs/>
                <w:sz w:val="24"/>
              </w:rPr>
              <w:t>纳税人</w:t>
            </w:r>
            <w:r>
              <w:rPr>
                <w:rFonts w:ascii="仿宋" w:eastAsia="仿宋" w:hAnsi="仿宋" w:cs="仿宋" w:hint="eastAsia"/>
                <w:sz w:val="24"/>
              </w:rPr>
              <w:t>提交书面材料，符合受理条件的当场受理办结。</w:t>
            </w:r>
          </w:p>
          <w:p w:rsidR="00013EC7" w:rsidRDefault="00013EC7">
            <w:pPr>
              <w:spacing w:line="300" w:lineRule="exact"/>
              <w:jc w:val="left"/>
              <w:rPr>
                <w:rFonts w:ascii="仿宋" w:eastAsia="仿宋" w:hAnsi="仿宋" w:cs="仿宋"/>
                <w:sz w:val="24"/>
              </w:rPr>
            </w:pPr>
          </w:p>
        </w:tc>
        <w:tc>
          <w:tcPr>
            <w:tcW w:w="992"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20个工作日</w:t>
            </w:r>
          </w:p>
        </w:tc>
        <w:tc>
          <w:tcPr>
            <w:tcW w:w="851"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15个工作日</w:t>
            </w:r>
          </w:p>
        </w:tc>
        <w:tc>
          <w:tcPr>
            <w:tcW w:w="850"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否</w:t>
            </w:r>
          </w:p>
        </w:tc>
        <w:tc>
          <w:tcPr>
            <w:tcW w:w="851"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货物和劳务税处</w:t>
            </w:r>
          </w:p>
        </w:tc>
        <w:tc>
          <w:tcPr>
            <w:tcW w:w="991" w:type="dxa"/>
            <w:vMerge w:val="restart"/>
            <w:vAlign w:val="center"/>
          </w:tcPr>
          <w:p w:rsidR="00013EC7" w:rsidRDefault="00013EC7">
            <w:pPr>
              <w:spacing w:line="300" w:lineRule="exact"/>
              <w:jc w:val="left"/>
              <w:rPr>
                <w:rFonts w:ascii="仿宋" w:eastAsia="仿宋" w:hAnsi="仿宋" w:cs="仿宋"/>
                <w:sz w:val="24"/>
              </w:rPr>
            </w:pPr>
          </w:p>
        </w:tc>
      </w:tr>
      <w:tr w:rsidR="00013EC7">
        <w:trPr>
          <w:trHeight w:val="1475"/>
          <w:jc w:val="center"/>
        </w:trPr>
        <w:tc>
          <w:tcPr>
            <w:tcW w:w="672" w:type="dxa"/>
            <w:vMerge/>
            <w:vAlign w:val="center"/>
          </w:tcPr>
          <w:p w:rsidR="00013EC7" w:rsidRDefault="00013EC7">
            <w:pPr>
              <w:jc w:val="left"/>
              <w:rPr>
                <w:rFonts w:ascii="仿宋" w:eastAsia="仿宋" w:hAnsi="仿宋" w:cs="仿宋"/>
                <w:sz w:val="24"/>
              </w:rPr>
            </w:pPr>
          </w:p>
        </w:tc>
        <w:tc>
          <w:tcPr>
            <w:tcW w:w="755" w:type="dxa"/>
            <w:vMerge/>
            <w:vAlign w:val="center"/>
          </w:tcPr>
          <w:p w:rsidR="00013EC7" w:rsidRDefault="00013EC7">
            <w:pPr>
              <w:jc w:val="left"/>
              <w:rPr>
                <w:rFonts w:ascii="仿宋" w:eastAsia="仿宋" w:hAnsi="仿宋" w:cs="仿宋"/>
                <w:sz w:val="24"/>
              </w:rPr>
            </w:pPr>
          </w:p>
        </w:tc>
        <w:tc>
          <w:tcPr>
            <w:tcW w:w="3493" w:type="dxa"/>
            <w:vMerge/>
            <w:vAlign w:val="center"/>
          </w:tcPr>
          <w:p w:rsidR="00013EC7" w:rsidRDefault="00013EC7">
            <w:pPr>
              <w:spacing w:line="240" w:lineRule="atLeast"/>
              <w:jc w:val="left"/>
              <w:rPr>
                <w:rFonts w:ascii="仿宋" w:eastAsia="仿宋" w:hAnsi="仿宋" w:cs="仿宋"/>
                <w:sz w:val="24"/>
              </w:rPr>
            </w:pPr>
          </w:p>
        </w:tc>
        <w:tc>
          <w:tcPr>
            <w:tcW w:w="2310" w:type="dxa"/>
            <w:tcBorders>
              <w:top w:val="single" w:sz="4" w:space="0" w:color="auto"/>
              <w:bottom w:val="single" w:sz="4" w:space="0" w:color="auto"/>
            </w:tcBorders>
            <w:vAlign w:val="center"/>
          </w:tcPr>
          <w:p w:rsidR="00013EC7" w:rsidRDefault="00575CDB">
            <w:pPr>
              <w:spacing w:line="300" w:lineRule="exact"/>
              <w:jc w:val="left"/>
              <w:rPr>
                <w:rFonts w:ascii="仿宋" w:eastAsia="仿宋" w:hAnsi="仿宋" w:cs="仿宋"/>
                <w:color w:val="000000"/>
                <w:sz w:val="24"/>
                <w:highlight w:val="lightGray"/>
              </w:rPr>
            </w:pPr>
            <w:r>
              <w:rPr>
                <w:rFonts w:ascii="仿宋" w:eastAsia="仿宋" w:hAnsi="仿宋" w:cs="仿宋" w:hint="eastAsia"/>
                <w:color w:val="000000"/>
                <w:sz w:val="24"/>
                <w:highlight w:val="lightGray"/>
              </w:rPr>
              <w:t>（二）纳税人身份证明，授权办理的，还需提供授权委托书及代理人身份证件。</w:t>
            </w:r>
          </w:p>
        </w:tc>
        <w:tc>
          <w:tcPr>
            <w:tcW w:w="1418" w:type="dxa"/>
            <w:vMerge/>
            <w:vAlign w:val="center"/>
          </w:tcPr>
          <w:p w:rsidR="00013EC7" w:rsidRDefault="00013EC7">
            <w:pPr>
              <w:jc w:val="left"/>
              <w:rPr>
                <w:rFonts w:ascii="仿宋" w:eastAsia="仿宋" w:hAnsi="仿宋" w:cs="仿宋"/>
                <w:color w:val="000000"/>
                <w:sz w:val="24"/>
              </w:rPr>
            </w:pPr>
          </w:p>
        </w:tc>
        <w:tc>
          <w:tcPr>
            <w:tcW w:w="3118" w:type="dxa"/>
            <w:vAlign w:val="center"/>
          </w:tcPr>
          <w:p w:rsidR="00013EC7" w:rsidRDefault="00575CDB">
            <w:pPr>
              <w:spacing w:line="300" w:lineRule="exact"/>
              <w:jc w:val="left"/>
              <w:rPr>
                <w:rFonts w:ascii="仿宋" w:eastAsia="仿宋" w:hAnsi="仿宋" w:cs="仿宋"/>
                <w:color w:val="FF0000"/>
                <w:sz w:val="24"/>
              </w:rPr>
            </w:pPr>
            <w:r>
              <w:rPr>
                <w:rFonts w:ascii="仿宋" w:eastAsia="仿宋" w:hAnsi="仿宋" w:cs="仿宋" w:hint="eastAsia"/>
                <w:sz w:val="24"/>
              </w:rPr>
              <w:t>（二）纳税人身份证明（查验原件并留存复印件，复印件需注明与原件一致并加盖公章），如为单位纳税人，还需提供授权委托书及代理人身份证件（查验原件并留存复印件，复印件需注明与原件一致并加盖公章）。</w:t>
            </w:r>
          </w:p>
        </w:tc>
        <w:tc>
          <w:tcPr>
            <w:tcW w:w="1418" w:type="dxa"/>
            <w:vMerge/>
            <w:shd w:val="clear" w:color="auto" w:fill="auto"/>
            <w:vAlign w:val="center"/>
          </w:tcPr>
          <w:p w:rsidR="00013EC7" w:rsidRDefault="00013EC7">
            <w:pPr>
              <w:jc w:val="left"/>
              <w:rPr>
                <w:rFonts w:ascii="仿宋" w:eastAsia="仿宋" w:hAnsi="仿宋" w:cs="仿宋"/>
                <w:sz w:val="24"/>
              </w:rPr>
            </w:pPr>
          </w:p>
        </w:tc>
        <w:tc>
          <w:tcPr>
            <w:tcW w:w="2126" w:type="dxa"/>
            <w:vMerge/>
            <w:vAlign w:val="center"/>
          </w:tcPr>
          <w:p w:rsidR="00013EC7" w:rsidRDefault="00013EC7">
            <w:pPr>
              <w:jc w:val="left"/>
              <w:rPr>
                <w:rFonts w:ascii="仿宋" w:eastAsia="仿宋" w:hAnsi="仿宋" w:cs="仿宋"/>
                <w:b/>
                <w:sz w:val="24"/>
              </w:rPr>
            </w:pPr>
          </w:p>
        </w:tc>
        <w:tc>
          <w:tcPr>
            <w:tcW w:w="992" w:type="dxa"/>
            <w:vMerge/>
            <w:vAlign w:val="center"/>
          </w:tcPr>
          <w:p w:rsidR="00013EC7" w:rsidRDefault="00013EC7">
            <w:pPr>
              <w:spacing w:line="300" w:lineRule="exact"/>
              <w:jc w:val="left"/>
              <w:rPr>
                <w:rFonts w:ascii="仿宋" w:eastAsia="仿宋" w:hAnsi="仿宋" w:cs="仿宋"/>
                <w:sz w:val="24"/>
              </w:rPr>
            </w:pPr>
          </w:p>
        </w:tc>
        <w:tc>
          <w:tcPr>
            <w:tcW w:w="851" w:type="dxa"/>
            <w:vMerge/>
            <w:vAlign w:val="center"/>
          </w:tcPr>
          <w:p w:rsidR="00013EC7" w:rsidRDefault="00013EC7">
            <w:pPr>
              <w:spacing w:line="300" w:lineRule="exact"/>
              <w:jc w:val="left"/>
              <w:rPr>
                <w:rFonts w:ascii="仿宋" w:eastAsia="仿宋" w:hAnsi="仿宋" w:cs="仿宋"/>
                <w:sz w:val="24"/>
              </w:rPr>
            </w:pPr>
          </w:p>
        </w:tc>
        <w:tc>
          <w:tcPr>
            <w:tcW w:w="850" w:type="dxa"/>
            <w:vMerge/>
            <w:vAlign w:val="center"/>
          </w:tcPr>
          <w:p w:rsidR="00013EC7" w:rsidRDefault="00013EC7">
            <w:pPr>
              <w:spacing w:line="300" w:lineRule="exact"/>
              <w:jc w:val="left"/>
              <w:rPr>
                <w:rFonts w:ascii="仿宋" w:eastAsia="仿宋" w:hAnsi="仿宋" w:cs="仿宋"/>
                <w:sz w:val="24"/>
              </w:rPr>
            </w:pPr>
          </w:p>
        </w:tc>
        <w:tc>
          <w:tcPr>
            <w:tcW w:w="851" w:type="dxa"/>
            <w:vMerge/>
            <w:vAlign w:val="center"/>
          </w:tcPr>
          <w:p w:rsidR="00013EC7" w:rsidRDefault="00013EC7">
            <w:pPr>
              <w:spacing w:line="300" w:lineRule="exact"/>
              <w:jc w:val="left"/>
              <w:rPr>
                <w:rFonts w:ascii="仿宋" w:eastAsia="仿宋" w:hAnsi="仿宋" w:cs="仿宋"/>
                <w:sz w:val="24"/>
              </w:rPr>
            </w:pPr>
          </w:p>
        </w:tc>
        <w:tc>
          <w:tcPr>
            <w:tcW w:w="991" w:type="dxa"/>
            <w:vMerge/>
            <w:vAlign w:val="center"/>
          </w:tcPr>
          <w:p w:rsidR="00013EC7" w:rsidRDefault="00013EC7">
            <w:pPr>
              <w:spacing w:line="300" w:lineRule="exact"/>
              <w:jc w:val="left"/>
              <w:rPr>
                <w:rFonts w:ascii="仿宋" w:eastAsia="仿宋" w:hAnsi="仿宋" w:cs="仿宋"/>
                <w:color w:val="FF0000"/>
                <w:sz w:val="24"/>
              </w:rPr>
            </w:pPr>
          </w:p>
        </w:tc>
      </w:tr>
      <w:tr w:rsidR="00013EC7">
        <w:trPr>
          <w:trHeight w:val="893"/>
          <w:jc w:val="center"/>
        </w:trPr>
        <w:tc>
          <w:tcPr>
            <w:tcW w:w="672" w:type="dxa"/>
            <w:vMerge/>
            <w:textDirection w:val="tbRlV"/>
            <w:vAlign w:val="center"/>
          </w:tcPr>
          <w:p w:rsidR="00013EC7" w:rsidRDefault="00013EC7">
            <w:pPr>
              <w:jc w:val="left"/>
              <w:rPr>
                <w:rFonts w:ascii="仿宋" w:eastAsia="仿宋" w:hAnsi="仿宋" w:cs="仿宋"/>
                <w:sz w:val="24"/>
              </w:rPr>
            </w:pPr>
          </w:p>
        </w:tc>
        <w:tc>
          <w:tcPr>
            <w:tcW w:w="755" w:type="dxa"/>
            <w:vMerge/>
            <w:vAlign w:val="center"/>
          </w:tcPr>
          <w:p w:rsidR="00013EC7" w:rsidRDefault="00013EC7">
            <w:pPr>
              <w:jc w:val="left"/>
              <w:rPr>
                <w:rFonts w:ascii="仿宋" w:eastAsia="仿宋" w:hAnsi="仿宋" w:cs="仿宋"/>
                <w:sz w:val="24"/>
              </w:rPr>
            </w:pPr>
          </w:p>
        </w:tc>
        <w:tc>
          <w:tcPr>
            <w:tcW w:w="3493" w:type="dxa"/>
            <w:vMerge/>
            <w:vAlign w:val="center"/>
          </w:tcPr>
          <w:p w:rsidR="00013EC7" w:rsidRDefault="00013EC7">
            <w:pPr>
              <w:jc w:val="left"/>
              <w:rPr>
                <w:rFonts w:ascii="仿宋" w:eastAsia="仿宋" w:hAnsi="仿宋" w:cs="仿宋"/>
                <w:sz w:val="24"/>
              </w:rPr>
            </w:pPr>
          </w:p>
        </w:tc>
        <w:tc>
          <w:tcPr>
            <w:tcW w:w="2310" w:type="dxa"/>
            <w:tcBorders>
              <w:top w:val="single" w:sz="4" w:space="0" w:color="auto"/>
            </w:tcBorders>
            <w:vAlign w:val="center"/>
          </w:tcPr>
          <w:p w:rsidR="00013EC7" w:rsidRDefault="00575CDB">
            <w:pPr>
              <w:jc w:val="left"/>
              <w:rPr>
                <w:rFonts w:ascii="仿宋" w:eastAsia="仿宋" w:hAnsi="仿宋" w:cs="仿宋"/>
                <w:sz w:val="24"/>
              </w:rPr>
            </w:pPr>
            <w:r>
              <w:rPr>
                <w:rFonts w:ascii="仿宋" w:eastAsia="仿宋" w:hAnsi="仿宋" w:cs="仿宋" w:hint="eastAsia"/>
                <w:color w:val="000000"/>
                <w:sz w:val="24"/>
                <w:highlight w:val="lightGray"/>
              </w:rPr>
              <w:t>（三）原完</w:t>
            </w:r>
            <w:r>
              <w:rPr>
                <w:rFonts w:ascii="仿宋" w:eastAsia="仿宋" w:hAnsi="仿宋" w:cs="仿宋" w:hint="eastAsia"/>
                <w:sz w:val="24"/>
                <w:highlight w:val="lightGray"/>
              </w:rPr>
              <w:t>税凭证。</w:t>
            </w:r>
          </w:p>
        </w:tc>
        <w:tc>
          <w:tcPr>
            <w:tcW w:w="1418" w:type="dxa"/>
            <w:vMerge/>
            <w:vAlign w:val="center"/>
          </w:tcPr>
          <w:p w:rsidR="00013EC7" w:rsidRDefault="00013EC7">
            <w:pPr>
              <w:jc w:val="left"/>
              <w:rPr>
                <w:rFonts w:ascii="仿宋" w:eastAsia="仿宋" w:hAnsi="仿宋" w:cs="仿宋"/>
                <w:color w:val="000000"/>
                <w:sz w:val="24"/>
              </w:rPr>
            </w:pPr>
          </w:p>
        </w:tc>
        <w:tc>
          <w:tcPr>
            <w:tcW w:w="3118" w:type="dxa"/>
            <w:vAlign w:val="center"/>
          </w:tcPr>
          <w:p w:rsidR="00013EC7" w:rsidRDefault="00013EC7">
            <w:pPr>
              <w:jc w:val="left"/>
              <w:rPr>
                <w:rFonts w:ascii="仿宋" w:eastAsia="仿宋" w:hAnsi="仿宋" w:cs="仿宋"/>
                <w:b/>
                <w:i/>
                <w:color w:val="000000"/>
                <w:sz w:val="24"/>
              </w:rPr>
            </w:pPr>
          </w:p>
        </w:tc>
        <w:tc>
          <w:tcPr>
            <w:tcW w:w="1418" w:type="dxa"/>
            <w:shd w:val="clear" w:color="auto" w:fill="auto"/>
            <w:vAlign w:val="center"/>
          </w:tcPr>
          <w:p w:rsidR="00013EC7" w:rsidRDefault="00575CDB">
            <w:pPr>
              <w:jc w:val="left"/>
              <w:rPr>
                <w:rFonts w:ascii="仿宋" w:eastAsia="仿宋" w:hAnsi="仿宋" w:cs="仿宋"/>
                <w:color w:val="000000"/>
                <w:sz w:val="24"/>
              </w:rPr>
            </w:pPr>
            <w:r>
              <w:rPr>
                <w:rFonts w:ascii="仿宋" w:eastAsia="仿宋" w:hAnsi="仿宋" w:cs="仿宋" w:hint="eastAsia"/>
                <w:b/>
                <w:i/>
                <w:color w:val="000000"/>
                <w:sz w:val="24"/>
              </w:rPr>
              <w:t>取消</w:t>
            </w:r>
          </w:p>
        </w:tc>
        <w:tc>
          <w:tcPr>
            <w:tcW w:w="2126" w:type="dxa"/>
            <w:vMerge/>
            <w:vAlign w:val="center"/>
          </w:tcPr>
          <w:p w:rsidR="00013EC7" w:rsidRDefault="00013EC7">
            <w:pPr>
              <w:spacing w:line="300" w:lineRule="exact"/>
              <w:jc w:val="left"/>
              <w:rPr>
                <w:rFonts w:ascii="仿宋" w:eastAsia="仿宋" w:hAnsi="仿宋" w:cs="仿宋"/>
                <w:sz w:val="24"/>
              </w:rPr>
            </w:pPr>
          </w:p>
        </w:tc>
        <w:tc>
          <w:tcPr>
            <w:tcW w:w="992" w:type="dxa"/>
            <w:vMerge/>
            <w:vAlign w:val="center"/>
          </w:tcPr>
          <w:p w:rsidR="00013EC7" w:rsidRDefault="00013EC7">
            <w:pPr>
              <w:jc w:val="left"/>
              <w:rPr>
                <w:rFonts w:ascii="仿宋" w:eastAsia="仿宋" w:hAnsi="仿宋" w:cs="仿宋"/>
                <w:sz w:val="24"/>
              </w:rPr>
            </w:pPr>
          </w:p>
        </w:tc>
        <w:tc>
          <w:tcPr>
            <w:tcW w:w="851" w:type="dxa"/>
            <w:vMerge/>
            <w:vAlign w:val="center"/>
          </w:tcPr>
          <w:p w:rsidR="00013EC7" w:rsidRDefault="00013EC7">
            <w:pPr>
              <w:jc w:val="left"/>
              <w:rPr>
                <w:rFonts w:ascii="仿宋" w:eastAsia="仿宋" w:hAnsi="仿宋" w:cs="仿宋"/>
                <w:sz w:val="24"/>
              </w:rPr>
            </w:pPr>
          </w:p>
        </w:tc>
        <w:tc>
          <w:tcPr>
            <w:tcW w:w="850" w:type="dxa"/>
            <w:vMerge/>
            <w:vAlign w:val="center"/>
          </w:tcPr>
          <w:p w:rsidR="00013EC7" w:rsidRDefault="00013EC7">
            <w:pPr>
              <w:jc w:val="left"/>
              <w:rPr>
                <w:rFonts w:ascii="仿宋" w:eastAsia="仿宋" w:hAnsi="仿宋" w:cs="仿宋"/>
                <w:sz w:val="24"/>
              </w:rPr>
            </w:pPr>
          </w:p>
        </w:tc>
        <w:tc>
          <w:tcPr>
            <w:tcW w:w="851" w:type="dxa"/>
            <w:vMerge/>
            <w:vAlign w:val="center"/>
          </w:tcPr>
          <w:p w:rsidR="00013EC7" w:rsidRDefault="00013EC7">
            <w:pPr>
              <w:jc w:val="left"/>
              <w:rPr>
                <w:rFonts w:ascii="仿宋" w:eastAsia="仿宋" w:hAnsi="仿宋" w:cs="仿宋"/>
                <w:sz w:val="24"/>
              </w:rPr>
            </w:pPr>
          </w:p>
        </w:tc>
        <w:tc>
          <w:tcPr>
            <w:tcW w:w="991" w:type="dxa"/>
            <w:vMerge/>
            <w:vAlign w:val="center"/>
          </w:tcPr>
          <w:p w:rsidR="00013EC7" w:rsidRDefault="00013EC7">
            <w:pPr>
              <w:jc w:val="left"/>
              <w:rPr>
                <w:rFonts w:ascii="仿宋" w:eastAsia="仿宋" w:hAnsi="仿宋" w:cs="仿宋"/>
                <w:sz w:val="24"/>
              </w:rPr>
            </w:pPr>
          </w:p>
        </w:tc>
      </w:tr>
      <w:tr w:rsidR="00013EC7">
        <w:trPr>
          <w:trHeight w:val="783"/>
          <w:jc w:val="center"/>
        </w:trPr>
        <w:tc>
          <w:tcPr>
            <w:tcW w:w="672" w:type="dxa"/>
            <w:vMerge/>
            <w:textDirection w:val="tbRlV"/>
            <w:vAlign w:val="center"/>
          </w:tcPr>
          <w:p w:rsidR="00013EC7" w:rsidRDefault="00013EC7">
            <w:pPr>
              <w:jc w:val="left"/>
              <w:rPr>
                <w:rFonts w:ascii="仿宋" w:eastAsia="仿宋" w:hAnsi="仿宋" w:cs="仿宋"/>
                <w:sz w:val="24"/>
              </w:rPr>
            </w:pPr>
          </w:p>
        </w:tc>
        <w:tc>
          <w:tcPr>
            <w:tcW w:w="755" w:type="dxa"/>
            <w:vMerge/>
            <w:vAlign w:val="center"/>
          </w:tcPr>
          <w:p w:rsidR="00013EC7" w:rsidRDefault="00013EC7">
            <w:pPr>
              <w:jc w:val="left"/>
              <w:rPr>
                <w:rFonts w:ascii="仿宋" w:eastAsia="仿宋" w:hAnsi="仿宋" w:cs="仿宋"/>
                <w:sz w:val="24"/>
              </w:rPr>
            </w:pPr>
          </w:p>
        </w:tc>
        <w:tc>
          <w:tcPr>
            <w:tcW w:w="3493" w:type="dxa"/>
            <w:vMerge/>
            <w:vAlign w:val="center"/>
          </w:tcPr>
          <w:p w:rsidR="00013EC7" w:rsidRDefault="00013EC7">
            <w:pPr>
              <w:jc w:val="left"/>
              <w:rPr>
                <w:rFonts w:ascii="仿宋" w:eastAsia="仿宋" w:hAnsi="仿宋" w:cs="仿宋"/>
                <w:sz w:val="24"/>
              </w:rPr>
            </w:pPr>
          </w:p>
        </w:tc>
        <w:tc>
          <w:tcPr>
            <w:tcW w:w="2310" w:type="dxa"/>
            <w:vAlign w:val="center"/>
          </w:tcPr>
          <w:p w:rsidR="00013EC7" w:rsidRDefault="00575CDB">
            <w:pPr>
              <w:jc w:val="left"/>
              <w:rPr>
                <w:rFonts w:ascii="仿宋" w:eastAsia="仿宋" w:hAnsi="仿宋" w:cs="仿宋"/>
                <w:sz w:val="24"/>
              </w:rPr>
            </w:pPr>
            <w:r>
              <w:rPr>
                <w:rFonts w:ascii="仿宋" w:eastAsia="仿宋" w:hAnsi="仿宋" w:cs="仿宋" w:hint="eastAsia"/>
                <w:sz w:val="24"/>
              </w:rPr>
              <w:t>（四）</w:t>
            </w:r>
            <w:r>
              <w:rPr>
                <w:rFonts w:ascii="仿宋" w:eastAsia="仿宋" w:hAnsi="仿宋" w:cs="仿宋" w:hint="eastAsia"/>
                <w:color w:val="000000"/>
                <w:sz w:val="24"/>
              </w:rPr>
              <w:t>《车辆购置税完税证明》正本。</w:t>
            </w:r>
          </w:p>
        </w:tc>
        <w:tc>
          <w:tcPr>
            <w:tcW w:w="1418" w:type="dxa"/>
            <w:vMerge/>
            <w:vAlign w:val="center"/>
          </w:tcPr>
          <w:p w:rsidR="00013EC7" w:rsidRDefault="00013EC7">
            <w:pPr>
              <w:jc w:val="left"/>
              <w:rPr>
                <w:rFonts w:ascii="仿宋" w:eastAsia="仿宋" w:hAnsi="仿宋" w:cs="仿宋"/>
                <w:sz w:val="24"/>
              </w:rPr>
            </w:pPr>
          </w:p>
        </w:tc>
        <w:tc>
          <w:tcPr>
            <w:tcW w:w="3118" w:type="dxa"/>
            <w:shd w:val="clear" w:color="auto" w:fill="auto"/>
            <w:vAlign w:val="center"/>
          </w:tcPr>
          <w:p w:rsidR="00013EC7" w:rsidRDefault="00575CDB">
            <w:pPr>
              <w:jc w:val="left"/>
              <w:rPr>
                <w:rFonts w:ascii="仿宋" w:eastAsia="仿宋" w:hAnsi="仿宋" w:cs="仿宋"/>
                <w:color w:val="000000"/>
                <w:sz w:val="24"/>
              </w:rPr>
            </w:pPr>
            <w:r>
              <w:rPr>
                <w:rFonts w:ascii="仿宋" w:eastAsia="仿宋" w:hAnsi="仿宋" w:cs="仿宋" w:hint="eastAsia"/>
                <w:color w:val="000000"/>
                <w:sz w:val="24"/>
              </w:rPr>
              <w:t>（三）《车辆购置税完税证明》正本。</w:t>
            </w:r>
          </w:p>
        </w:tc>
        <w:tc>
          <w:tcPr>
            <w:tcW w:w="1418" w:type="dxa"/>
            <w:vMerge w:val="restart"/>
            <w:shd w:val="clear" w:color="auto" w:fill="auto"/>
            <w:vAlign w:val="center"/>
          </w:tcPr>
          <w:p w:rsidR="00013EC7" w:rsidRDefault="00575CDB">
            <w:pPr>
              <w:jc w:val="left"/>
              <w:rPr>
                <w:rFonts w:ascii="仿宋" w:eastAsia="仿宋" w:hAnsi="仿宋" w:cs="仿宋"/>
                <w:sz w:val="24"/>
              </w:rPr>
            </w:pPr>
            <w:r>
              <w:rPr>
                <w:rFonts w:ascii="仿宋" w:eastAsia="仿宋" w:hAnsi="仿宋" w:cs="仿宋" w:hint="eastAsia"/>
                <w:sz w:val="24"/>
              </w:rPr>
              <w:t>纳税人提交</w:t>
            </w:r>
          </w:p>
        </w:tc>
        <w:tc>
          <w:tcPr>
            <w:tcW w:w="2126" w:type="dxa"/>
            <w:vMerge/>
            <w:vAlign w:val="center"/>
          </w:tcPr>
          <w:p w:rsidR="00013EC7" w:rsidRDefault="00013EC7">
            <w:pPr>
              <w:spacing w:line="300" w:lineRule="exact"/>
              <w:jc w:val="left"/>
              <w:rPr>
                <w:rFonts w:ascii="仿宋" w:eastAsia="仿宋" w:hAnsi="仿宋" w:cs="仿宋"/>
                <w:sz w:val="24"/>
              </w:rPr>
            </w:pPr>
          </w:p>
        </w:tc>
        <w:tc>
          <w:tcPr>
            <w:tcW w:w="992" w:type="dxa"/>
            <w:vMerge/>
            <w:vAlign w:val="center"/>
          </w:tcPr>
          <w:p w:rsidR="00013EC7" w:rsidRDefault="00013EC7">
            <w:pPr>
              <w:jc w:val="left"/>
              <w:rPr>
                <w:rFonts w:ascii="仿宋" w:eastAsia="仿宋" w:hAnsi="仿宋" w:cs="仿宋"/>
                <w:sz w:val="24"/>
              </w:rPr>
            </w:pPr>
          </w:p>
        </w:tc>
        <w:tc>
          <w:tcPr>
            <w:tcW w:w="851" w:type="dxa"/>
            <w:vMerge/>
            <w:vAlign w:val="center"/>
          </w:tcPr>
          <w:p w:rsidR="00013EC7" w:rsidRDefault="00013EC7">
            <w:pPr>
              <w:jc w:val="left"/>
              <w:rPr>
                <w:rFonts w:ascii="仿宋" w:eastAsia="仿宋" w:hAnsi="仿宋" w:cs="仿宋"/>
                <w:sz w:val="24"/>
              </w:rPr>
            </w:pPr>
          </w:p>
        </w:tc>
        <w:tc>
          <w:tcPr>
            <w:tcW w:w="850" w:type="dxa"/>
            <w:vMerge/>
            <w:vAlign w:val="center"/>
          </w:tcPr>
          <w:p w:rsidR="00013EC7" w:rsidRDefault="00013EC7">
            <w:pPr>
              <w:jc w:val="left"/>
              <w:rPr>
                <w:rFonts w:ascii="仿宋" w:eastAsia="仿宋" w:hAnsi="仿宋" w:cs="仿宋"/>
                <w:sz w:val="24"/>
              </w:rPr>
            </w:pPr>
          </w:p>
        </w:tc>
        <w:tc>
          <w:tcPr>
            <w:tcW w:w="851" w:type="dxa"/>
            <w:vMerge/>
            <w:vAlign w:val="center"/>
          </w:tcPr>
          <w:p w:rsidR="00013EC7" w:rsidRDefault="00013EC7">
            <w:pPr>
              <w:jc w:val="left"/>
              <w:rPr>
                <w:rFonts w:ascii="仿宋" w:eastAsia="仿宋" w:hAnsi="仿宋" w:cs="仿宋"/>
                <w:sz w:val="24"/>
              </w:rPr>
            </w:pPr>
          </w:p>
        </w:tc>
        <w:tc>
          <w:tcPr>
            <w:tcW w:w="991" w:type="dxa"/>
            <w:vMerge/>
            <w:vAlign w:val="center"/>
          </w:tcPr>
          <w:p w:rsidR="00013EC7" w:rsidRDefault="00013EC7">
            <w:pPr>
              <w:jc w:val="left"/>
              <w:rPr>
                <w:rFonts w:ascii="仿宋" w:eastAsia="仿宋" w:hAnsi="仿宋" w:cs="仿宋"/>
                <w:sz w:val="24"/>
              </w:rPr>
            </w:pPr>
          </w:p>
        </w:tc>
      </w:tr>
      <w:tr w:rsidR="00013EC7">
        <w:trPr>
          <w:trHeight w:val="782"/>
          <w:jc w:val="center"/>
        </w:trPr>
        <w:tc>
          <w:tcPr>
            <w:tcW w:w="672" w:type="dxa"/>
            <w:vMerge/>
            <w:textDirection w:val="tbRlV"/>
            <w:vAlign w:val="center"/>
          </w:tcPr>
          <w:p w:rsidR="00013EC7" w:rsidRDefault="00013EC7">
            <w:pPr>
              <w:jc w:val="left"/>
              <w:rPr>
                <w:rFonts w:ascii="仿宋" w:eastAsia="仿宋" w:hAnsi="仿宋" w:cs="仿宋"/>
                <w:sz w:val="24"/>
              </w:rPr>
            </w:pPr>
          </w:p>
        </w:tc>
        <w:tc>
          <w:tcPr>
            <w:tcW w:w="755" w:type="dxa"/>
            <w:vMerge/>
            <w:vAlign w:val="center"/>
          </w:tcPr>
          <w:p w:rsidR="00013EC7" w:rsidRDefault="00013EC7">
            <w:pPr>
              <w:jc w:val="left"/>
              <w:rPr>
                <w:rFonts w:ascii="仿宋" w:eastAsia="仿宋" w:hAnsi="仿宋" w:cs="仿宋"/>
                <w:sz w:val="24"/>
              </w:rPr>
            </w:pPr>
          </w:p>
        </w:tc>
        <w:tc>
          <w:tcPr>
            <w:tcW w:w="3493" w:type="dxa"/>
            <w:vMerge/>
            <w:vAlign w:val="center"/>
          </w:tcPr>
          <w:p w:rsidR="00013EC7" w:rsidRDefault="00013EC7">
            <w:pPr>
              <w:jc w:val="left"/>
              <w:rPr>
                <w:rFonts w:ascii="仿宋" w:eastAsia="仿宋" w:hAnsi="仿宋" w:cs="仿宋"/>
                <w:sz w:val="24"/>
              </w:rPr>
            </w:pPr>
          </w:p>
        </w:tc>
        <w:tc>
          <w:tcPr>
            <w:tcW w:w="2310" w:type="dxa"/>
            <w:vAlign w:val="center"/>
          </w:tcPr>
          <w:p w:rsidR="00013EC7" w:rsidRDefault="00575CDB">
            <w:pPr>
              <w:jc w:val="left"/>
              <w:rPr>
                <w:rFonts w:ascii="仿宋" w:eastAsia="仿宋" w:hAnsi="仿宋" w:cs="仿宋"/>
                <w:sz w:val="24"/>
              </w:rPr>
            </w:pPr>
            <w:r>
              <w:rPr>
                <w:rFonts w:ascii="仿宋" w:eastAsia="仿宋" w:hAnsi="仿宋" w:cs="仿宋" w:hint="eastAsia"/>
                <w:sz w:val="24"/>
              </w:rPr>
              <w:t>（五）《车辆购置税完税证明》副本（</w:t>
            </w:r>
            <w:r>
              <w:rPr>
                <w:rFonts w:ascii="仿宋" w:eastAsia="仿宋" w:hAnsi="仿宋" w:cs="仿宋"/>
                <w:color w:val="000000"/>
                <w:sz w:val="24"/>
              </w:rPr>
              <w:t>未办理车辆登记注册</w:t>
            </w:r>
            <w:r>
              <w:rPr>
                <w:rFonts w:ascii="仿宋" w:eastAsia="仿宋" w:hAnsi="仿宋" w:cs="仿宋" w:hint="eastAsia"/>
                <w:sz w:val="24"/>
              </w:rPr>
              <w:t>）或公安机关车辆管理机构出具的机动车注销证明（</w:t>
            </w:r>
            <w:r>
              <w:rPr>
                <w:rFonts w:ascii="仿宋" w:eastAsia="仿宋" w:hAnsi="仿宋" w:cs="仿宋" w:hint="eastAsia"/>
                <w:color w:val="000000"/>
                <w:sz w:val="24"/>
              </w:rPr>
              <w:t>已</w:t>
            </w:r>
            <w:r>
              <w:rPr>
                <w:rFonts w:ascii="仿宋" w:eastAsia="仿宋" w:hAnsi="仿宋" w:cs="仿宋"/>
                <w:color w:val="000000"/>
                <w:sz w:val="24"/>
              </w:rPr>
              <w:t>办理车辆登记注册</w:t>
            </w:r>
            <w:r>
              <w:rPr>
                <w:rFonts w:ascii="仿宋" w:eastAsia="仿宋" w:hAnsi="仿宋" w:cs="仿宋" w:hint="eastAsia"/>
                <w:sz w:val="24"/>
              </w:rPr>
              <w:t>）。</w:t>
            </w:r>
          </w:p>
        </w:tc>
        <w:tc>
          <w:tcPr>
            <w:tcW w:w="1418" w:type="dxa"/>
            <w:vMerge/>
            <w:vAlign w:val="center"/>
          </w:tcPr>
          <w:p w:rsidR="00013EC7" w:rsidRDefault="00013EC7">
            <w:pPr>
              <w:jc w:val="left"/>
              <w:rPr>
                <w:rFonts w:ascii="仿宋" w:eastAsia="仿宋" w:hAnsi="仿宋" w:cs="仿宋"/>
                <w:sz w:val="24"/>
              </w:rPr>
            </w:pPr>
          </w:p>
        </w:tc>
        <w:tc>
          <w:tcPr>
            <w:tcW w:w="3118" w:type="dxa"/>
            <w:shd w:val="clear" w:color="auto" w:fill="auto"/>
            <w:vAlign w:val="center"/>
          </w:tcPr>
          <w:p w:rsidR="00013EC7" w:rsidRDefault="00575CDB">
            <w:pPr>
              <w:jc w:val="left"/>
              <w:rPr>
                <w:rFonts w:ascii="仿宋" w:eastAsia="仿宋" w:hAnsi="仿宋" w:cs="仿宋"/>
                <w:sz w:val="24"/>
              </w:rPr>
            </w:pPr>
            <w:r>
              <w:rPr>
                <w:rFonts w:ascii="仿宋" w:eastAsia="仿宋" w:hAnsi="仿宋" w:cs="仿宋" w:hint="eastAsia"/>
                <w:sz w:val="24"/>
              </w:rPr>
              <w:t>（四）《车辆购置税完税证明》副本（</w:t>
            </w:r>
            <w:r>
              <w:rPr>
                <w:rFonts w:ascii="仿宋" w:eastAsia="仿宋" w:hAnsi="仿宋" w:cs="仿宋"/>
                <w:color w:val="000000"/>
                <w:sz w:val="24"/>
              </w:rPr>
              <w:t>未办理车辆登记注册</w:t>
            </w:r>
            <w:r>
              <w:rPr>
                <w:rFonts w:ascii="仿宋" w:eastAsia="仿宋" w:hAnsi="仿宋" w:cs="仿宋" w:hint="eastAsia"/>
                <w:sz w:val="24"/>
              </w:rPr>
              <w:t>）或公安机关车辆管理机构出具的机动车注销证明（</w:t>
            </w:r>
            <w:r>
              <w:rPr>
                <w:rFonts w:ascii="仿宋" w:eastAsia="仿宋" w:hAnsi="仿宋" w:cs="仿宋" w:hint="eastAsia"/>
                <w:color w:val="000000"/>
                <w:sz w:val="24"/>
              </w:rPr>
              <w:t>已</w:t>
            </w:r>
            <w:r>
              <w:rPr>
                <w:rFonts w:ascii="仿宋" w:eastAsia="仿宋" w:hAnsi="仿宋" w:cs="仿宋"/>
                <w:color w:val="000000"/>
                <w:sz w:val="24"/>
              </w:rPr>
              <w:t>办理车辆登记注册</w:t>
            </w:r>
            <w:r>
              <w:rPr>
                <w:rFonts w:ascii="仿宋" w:eastAsia="仿宋" w:hAnsi="仿宋" w:cs="仿宋" w:hint="eastAsia"/>
                <w:sz w:val="24"/>
              </w:rPr>
              <w:t>）。</w:t>
            </w:r>
          </w:p>
        </w:tc>
        <w:tc>
          <w:tcPr>
            <w:tcW w:w="1418" w:type="dxa"/>
            <w:vMerge/>
            <w:shd w:val="clear" w:color="auto" w:fill="auto"/>
            <w:vAlign w:val="center"/>
          </w:tcPr>
          <w:p w:rsidR="00013EC7" w:rsidRDefault="00013EC7">
            <w:pPr>
              <w:jc w:val="left"/>
              <w:rPr>
                <w:rFonts w:ascii="仿宋" w:eastAsia="仿宋" w:hAnsi="仿宋" w:cs="仿宋"/>
                <w:sz w:val="24"/>
              </w:rPr>
            </w:pPr>
          </w:p>
        </w:tc>
        <w:tc>
          <w:tcPr>
            <w:tcW w:w="2126" w:type="dxa"/>
            <w:vMerge/>
            <w:vAlign w:val="center"/>
          </w:tcPr>
          <w:p w:rsidR="00013EC7" w:rsidRDefault="00013EC7">
            <w:pPr>
              <w:spacing w:line="300" w:lineRule="exact"/>
              <w:jc w:val="left"/>
              <w:rPr>
                <w:rFonts w:ascii="仿宋" w:eastAsia="仿宋" w:hAnsi="仿宋" w:cs="仿宋"/>
                <w:sz w:val="24"/>
              </w:rPr>
            </w:pPr>
          </w:p>
        </w:tc>
        <w:tc>
          <w:tcPr>
            <w:tcW w:w="992" w:type="dxa"/>
            <w:vMerge/>
            <w:vAlign w:val="center"/>
          </w:tcPr>
          <w:p w:rsidR="00013EC7" w:rsidRDefault="00013EC7">
            <w:pPr>
              <w:jc w:val="left"/>
              <w:rPr>
                <w:rFonts w:ascii="仿宋" w:eastAsia="仿宋" w:hAnsi="仿宋" w:cs="仿宋"/>
                <w:sz w:val="24"/>
              </w:rPr>
            </w:pPr>
          </w:p>
        </w:tc>
        <w:tc>
          <w:tcPr>
            <w:tcW w:w="851" w:type="dxa"/>
            <w:vMerge/>
            <w:vAlign w:val="center"/>
          </w:tcPr>
          <w:p w:rsidR="00013EC7" w:rsidRDefault="00013EC7">
            <w:pPr>
              <w:jc w:val="left"/>
              <w:rPr>
                <w:rFonts w:ascii="仿宋" w:eastAsia="仿宋" w:hAnsi="仿宋" w:cs="仿宋"/>
                <w:sz w:val="24"/>
              </w:rPr>
            </w:pPr>
          </w:p>
        </w:tc>
        <w:tc>
          <w:tcPr>
            <w:tcW w:w="850" w:type="dxa"/>
            <w:vMerge/>
            <w:vAlign w:val="center"/>
          </w:tcPr>
          <w:p w:rsidR="00013EC7" w:rsidRDefault="00013EC7">
            <w:pPr>
              <w:jc w:val="left"/>
              <w:rPr>
                <w:rFonts w:ascii="仿宋" w:eastAsia="仿宋" w:hAnsi="仿宋" w:cs="仿宋"/>
                <w:sz w:val="24"/>
              </w:rPr>
            </w:pPr>
          </w:p>
        </w:tc>
        <w:tc>
          <w:tcPr>
            <w:tcW w:w="851" w:type="dxa"/>
            <w:vMerge/>
            <w:vAlign w:val="center"/>
          </w:tcPr>
          <w:p w:rsidR="00013EC7" w:rsidRDefault="00013EC7">
            <w:pPr>
              <w:jc w:val="left"/>
              <w:rPr>
                <w:rFonts w:ascii="仿宋" w:eastAsia="仿宋" w:hAnsi="仿宋" w:cs="仿宋"/>
                <w:sz w:val="24"/>
              </w:rPr>
            </w:pPr>
          </w:p>
        </w:tc>
        <w:tc>
          <w:tcPr>
            <w:tcW w:w="991" w:type="dxa"/>
            <w:vMerge/>
            <w:vAlign w:val="center"/>
          </w:tcPr>
          <w:p w:rsidR="00013EC7" w:rsidRDefault="00013EC7">
            <w:pPr>
              <w:jc w:val="left"/>
              <w:rPr>
                <w:rFonts w:ascii="仿宋" w:eastAsia="仿宋" w:hAnsi="仿宋" w:cs="仿宋"/>
                <w:sz w:val="24"/>
              </w:rPr>
            </w:pPr>
          </w:p>
        </w:tc>
      </w:tr>
      <w:tr w:rsidR="00013EC7">
        <w:trPr>
          <w:trHeight w:val="340"/>
          <w:jc w:val="center"/>
        </w:trPr>
        <w:tc>
          <w:tcPr>
            <w:tcW w:w="672" w:type="dxa"/>
            <w:vMerge/>
            <w:vAlign w:val="center"/>
          </w:tcPr>
          <w:p w:rsidR="00013EC7" w:rsidRDefault="00013EC7">
            <w:pPr>
              <w:jc w:val="left"/>
              <w:rPr>
                <w:rFonts w:ascii="仿宋" w:eastAsia="仿宋" w:hAnsi="仿宋" w:cs="仿宋"/>
                <w:sz w:val="24"/>
              </w:rPr>
            </w:pPr>
          </w:p>
        </w:tc>
        <w:tc>
          <w:tcPr>
            <w:tcW w:w="755" w:type="dxa"/>
            <w:vMerge/>
            <w:vAlign w:val="center"/>
          </w:tcPr>
          <w:p w:rsidR="00013EC7" w:rsidRDefault="00013EC7">
            <w:pPr>
              <w:jc w:val="left"/>
              <w:rPr>
                <w:rFonts w:ascii="仿宋" w:eastAsia="仿宋" w:hAnsi="仿宋" w:cs="仿宋"/>
                <w:sz w:val="24"/>
              </w:rPr>
            </w:pPr>
          </w:p>
        </w:tc>
        <w:tc>
          <w:tcPr>
            <w:tcW w:w="3493" w:type="dxa"/>
            <w:vMerge/>
            <w:vAlign w:val="center"/>
          </w:tcPr>
          <w:p w:rsidR="00013EC7" w:rsidRDefault="00013EC7">
            <w:pPr>
              <w:jc w:val="left"/>
              <w:rPr>
                <w:rFonts w:ascii="仿宋" w:eastAsia="仿宋" w:hAnsi="仿宋" w:cs="仿宋"/>
                <w:sz w:val="24"/>
              </w:rPr>
            </w:pPr>
          </w:p>
        </w:tc>
        <w:tc>
          <w:tcPr>
            <w:tcW w:w="2310" w:type="dxa"/>
            <w:vAlign w:val="center"/>
          </w:tcPr>
          <w:p w:rsidR="00013EC7" w:rsidRDefault="00575CDB">
            <w:pPr>
              <w:jc w:val="left"/>
              <w:rPr>
                <w:rFonts w:ascii="仿宋" w:eastAsia="仿宋" w:hAnsi="仿宋" w:cs="仿宋"/>
                <w:sz w:val="24"/>
              </w:rPr>
            </w:pPr>
            <w:r>
              <w:rPr>
                <w:rFonts w:ascii="仿宋" w:eastAsia="仿宋" w:hAnsi="仿宋" w:cs="仿宋" w:hint="eastAsia"/>
                <w:color w:val="000000"/>
                <w:sz w:val="24"/>
                <w:highlight w:val="lightGray"/>
              </w:rPr>
              <w:t>（六）生产企业或经销商开具的退车</w:t>
            </w:r>
            <w:r>
              <w:rPr>
                <w:rFonts w:ascii="仿宋" w:eastAsia="仿宋" w:hAnsi="仿宋" w:cs="仿宋" w:hint="eastAsia"/>
                <w:sz w:val="24"/>
                <w:highlight w:val="lightGray"/>
              </w:rPr>
              <w:t>证明</w:t>
            </w:r>
            <w:r>
              <w:rPr>
                <w:rFonts w:ascii="仿宋" w:eastAsia="仿宋" w:hAnsi="仿宋" w:cs="仿宋" w:hint="eastAsia"/>
                <w:sz w:val="24"/>
              </w:rPr>
              <w:t>。</w:t>
            </w:r>
          </w:p>
        </w:tc>
        <w:tc>
          <w:tcPr>
            <w:tcW w:w="1418" w:type="dxa"/>
            <w:vAlign w:val="center"/>
          </w:tcPr>
          <w:p w:rsidR="00013EC7" w:rsidRDefault="00575CDB">
            <w:pPr>
              <w:jc w:val="left"/>
              <w:rPr>
                <w:rFonts w:ascii="仿宋" w:eastAsia="仿宋" w:hAnsi="仿宋" w:cs="仿宋"/>
                <w:sz w:val="24"/>
              </w:rPr>
            </w:pPr>
            <w:r>
              <w:rPr>
                <w:rFonts w:ascii="仿宋" w:eastAsia="仿宋" w:hAnsi="仿宋" w:cs="仿宋" w:hint="eastAsia"/>
                <w:sz w:val="24"/>
              </w:rPr>
              <w:t>车辆退回生产企业或者经销商的</w:t>
            </w:r>
            <w:r>
              <w:rPr>
                <w:rFonts w:ascii="仿宋" w:eastAsia="仿宋" w:hAnsi="仿宋" w:cs="仿宋" w:hint="eastAsia"/>
                <w:sz w:val="24"/>
                <w:lang w:val="zh-CN"/>
              </w:rPr>
              <w:t>提交</w:t>
            </w:r>
          </w:p>
        </w:tc>
        <w:tc>
          <w:tcPr>
            <w:tcW w:w="3118" w:type="dxa"/>
            <w:vAlign w:val="center"/>
          </w:tcPr>
          <w:p w:rsidR="00013EC7" w:rsidRDefault="00013EC7">
            <w:pPr>
              <w:jc w:val="left"/>
              <w:rPr>
                <w:rFonts w:ascii="仿宋" w:eastAsia="仿宋" w:hAnsi="仿宋" w:cs="仿宋"/>
                <w:sz w:val="24"/>
              </w:rPr>
            </w:pPr>
          </w:p>
        </w:tc>
        <w:tc>
          <w:tcPr>
            <w:tcW w:w="1418" w:type="dxa"/>
            <w:shd w:val="clear" w:color="auto" w:fill="auto"/>
            <w:vAlign w:val="center"/>
          </w:tcPr>
          <w:p w:rsidR="00013EC7" w:rsidRDefault="00575CDB">
            <w:pPr>
              <w:jc w:val="left"/>
              <w:rPr>
                <w:rFonts w:ascii="仿宋" w:eastAsia="仿宋" w:hAnsi="仿宋" w:cs="仿宋"/>
                <w:sz w:val="24"/>
              </w:rPr>
            </w:pPr>
            <w:r>
              <w:rPr>
                <w:rFonts w:ascii="仿宋" w:eastAsia="仿宋" w:hAnsi="仿宋" w:cs="仿宋" w:hint="eastAsia"/>
                <w:b/>
                <w:i/>
                <w:color w:val="000000"/>
                <w:sz w:val="24"/>
              </w:rPr>
              <w:t>取消</w:t>
            </w:r>
          </w:p>
        </w:tc>
        <w:tc>
          <w:tcPr>
            <w:tcW w:w="2126" w:type="dxa"/>
            <w:vMerge/>
            <w:vAlign w:val="center"/>
          </w:tcPr>
          <w:p w:rsidR="00013EC7" w:rsidRDefault="00013EC7">
            <w:pPr>
              <w:spacing w:line="300" w:lineRule="exact"/>
              <w:jc w:val="left"/>
              <w:rPr>
                <w:rFonts w:ascii="仿宋" w:eastAsia="仿宋" w:hAnsi="仿宋" w:cs="仿宋"/>
                <w:sz w:val="24"/>
              </w:rPr>
            </w:pPr>
          </w:p>
        </w:tc>
        <w:tc>
          <w:tcPr>
            <w:tcW w:w="992" w:type="dxa"/>
            <w:vMerge/>
            <w:vAlign w:val="center"/>
          </w:tcPr>
          <w:p w:rsidR="00013EC7" w:rsidRDefault="00013EC7">
            <w:pPr>
              <w:jc w:val="left"/>
              <w:rPr>
                <w:rFonts w:ascii="仿宋" w:eastAsia="仿宋" w:hAnsi="仿宋" w:cs="仿宋"/>
                <w:sz w:val="24"/>
              </w:rPr>
            </w:pPr>
          </w:p>
        </w:tc>
        <w:tc>
          <w:tcPr>
            <w:tcW w:w="851" w:type="dxa"/>
            <w:vMerge/>
            <w:vAlign w:val="center"/>
          </w:tcPr>
          <w:p w:rsidR="00013EC7" w:rsidRDefault="00013EC7">
            <w:pPr>
              <w:jc w:val="left"/>
              <w:rPr>
                <w:rFonts w:ascii="仿宋" w:eastAsia="仿宋" w:hAnsi="仿宋" w:cs="仿宋"/>
                <w:sz w:val="24"/>
              </w:rPr>
            </w:pPr>
          </w:p>
        </w:tc>
        <w:tc>
          <w:tcPr>
            <w:tcW w:w="850" w:type="dxa"/>
            <w:vMerge/>
            <w:vAlign w:val="center"/>
          </w:tcPr>
          <w:p w:rsidR="00013EC7" w:rsidRDefault="00013EC7">
            <w:pPr>
              <w:jc w:val="left"/>
              <w:rPr>
                <w:rFonts w:ascii="仿宋" w:eastAsia="仿宋" w:hAnsi="仿宋" w:cs="仿宋"/>
                <w:sz w:val="24"/>
              </w:rPr>
            </w:pPr>
          </w:p>
        </w:tc>
        <w:tc>
          <w:tcPr>
            <w:tcW w:w="851" w:type="dxa"/>
            <w:vMerge/>
            <w:vAlign w:val="center"/>
          </w:tcPr>
          <w:p w:rsidR="00013EC7" w:rsidRDefault="00013EC7">
            <w:pPr>
              <w:jc w:val="left"/>
              <w:rPr>
                <w:rFonts w:ascii="仿宋" w:eastAsia="仿宋" w:hAnsi="仿宋" w:cs="仿宋"/>
                <w:sz w:val="24"/>
              </w:rPr>
            </w:pPr>
          </w:p>
        </w:tc>
        <w:tc>
          <w:tcPr>
            <w:tcW w:w="991" w:type="dxa"/>
            <w:vMerge/>
            <w:vAlign w:val="center"/>
          </w:tcPr>
          <w:p w:rsidR="00013EC7" w:rsidRDefault="00013EC7">
            <w:pPr>
              <w:jc w:val="left"/>
              <w:rPr>
                <w:rFonts w:ascii="仿宋" w:eastAsia="仿宋" w:hAnsi="仿宋" w:cs="仿宋"/>
                <w:sz w:val="24"/>
              </w:rPr>
            </w:pPr>
          </w:p>
        </w:tc>
      </w:tr>
      <w:tr w:rsidR="00013EC7">
        <w:trPr>
          <w:trHeight w:val="992"/>
          <w:jc w:val="center"/>
        </w:trPr>
        <w:tc>
          <w:tcPr>
            <w:tcW w:w="672" w:type="dxa"/>
            <w:vMerge/>
            <w:textDirection w:val="tbRlV"/>
            <w:vAlign w:val="center"/>
          </w:tcPr>
          <w:p w:rsidR="00013EC7" w:rsidRDefault="00013EC7">
            <w:pPr>
              <w:jc w:val="left"/>
              <w:rPr>
                <w:rFonts w:ascii="仿宋" w:eastAsia="仿宋" w:hAnsi="仿宋" w:cs="仿宋"/>
                <w:sz w:val="24"/>
              </w:rPr>
            </w:pPr>
          </w:p>
        </w:tc>
        <w:tc>
          <w:tcPr>
            <w:tcW w:w="755" w:type="dxa"/>
            <w:vMerge/>
            <w:vAlign w:val="center"/>
          </w:tcPr>
          <w:p w:rsidR="00013EC7" w:rsidRDefault="00013EC7">
            <w:pPr>
              <w:jc w:val="left"/>
              <w:rPr>
                <w:rFonts w:ascii="仿宋" w:eastAsia="仿宋" w:hAnsi="仿宋" w:cs="仿宋"/>
                <w:sz w:val="24"/>
              </w:rPr>
            </w:pPr>
          </w:p>
        </w:tc>
        <w:tc>
          <w:tcPr>
            <w:tcW w:w="3493" w:type="dxa"/>
            <w:vMerge/>
            <w:vAlign w:val="center"/>
          </w:tcPr>
          <w:p w:rsidR="00013EC7" w:rsidRDefault="00013EC7">
            <w:pPr>
              <w:jc w:val="left"/>
              <w:rPr>
                <w:rFonts w:ascii="仿宋" w:eastAsia="仿宋" w:hAnsi="仿宋" w:cs="仿宋"/>
                <w:sz w:val="24"/>
              </w:rPr>
            </w:pPr>
          </w:p>
        </w:tc>
        <w:tc>
          <w:tcPr>
            <w:tcW w:w="2310" w:type="dxa"/>
            <w:vAlign w:val="center"/>
          </w:tcPr>
          <w:p w:rsidR="00013EC7" w:rsidRDefault="00575CDB">
            <w:pPr>
              <w:jc w:val="left"/>
              <w:rPr>
                <w:rFonts w:ascii="仿宋" w:eastAsia="仿宋" w:hAnsi="仿宋" w:cs="仿宋"/>
                <w:sz w:val="24"/>
              </w:rPr>
            </w:pPr>
            <w:r>
              <w:rPr>
                <w:rFonts w:ascii="仿宋" w:eastAsia="仿宋" w:hAnsi="仿宋" w:cs="仿宋" w:hint="eastAsia"/>
                <w:sz w:val="24"/>
              </w:rPr>
              <w:t>（七）生产企业或经销商开具的退车发票。</w:t>
            </w:r>
          </w:p>
        </w:tc>
        <w:tc>
          <w:tcPr>
            <w:tcW w:w="1418" w:type="dxa"/>
            <w:vAlign w:val="center"/>
          </w:tcPr>
          <w:p w:rsidR="00013EC7" w:rsidRDefault="00013EC7">
            <w:pPr>
              <w:jc w:val="left"/>
              <w:rPr>
                <w:rFonts w:ascii="仿宋" w:eastAsia="仿宋" w:hAnsi="仿宋" w:cs="仿宋"/>
                <w:sz w:val="24"/>
              </w:rPr>
            </w:pPr>
          </w:p>
        </w:tc>
        <w:tc>
          <w:tcPr>
            <w:tcW w:w="3118" w:type="dxa"/>
            <w:vAlign w:val="center"/>
          </w:tcPr>
          <w:p w:rsidR="00013EC7" w:rsidRDefault="00575CDB">
            <w:pPr>
              <w:jc w:val="left"/>
              <w:rPr>
                <w:rFonts w:ascii="仿宋" w:eastAsia="仿宋" w:hAnsi="仿宋" w:cs="仿宋"/>
                <w:sz w:val="24"/>
              </w:rPr>
            </w:pPr>
            <w:r>
              <w:rPr>
                <w:rFonts w:ascii="仿宋" w:eastAsia="仿宋" w:hAnsi="仿宋" w:cs="仿宋" w:hint="eastAsia"/>
                <w:sz w:val="24"/>
              </w:rPr>
              <w:t>（五）生产企业或经销商开具的退车发票(报税联)。</w:t>
            </w:r>
          </w:p>
        </w:tc>
        <w:tc>
          <w:tcPr>
            <w:tcW w:w="1418" w:type="dxa"/>
            <w:shd w:val="clear" w:color="auto" w:fill="auto"/>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车辆退回生产企业或者经销商的</w:t>
            </w:r>
            <w:r>
              <w:rPr>
                <w:rFonts w:ascii="仿宋" w:eastAsia="仿宋" w:hAnsi="仿宋" w:cs="仿宋" w:hint="eastAsia"/>
                <w:sz w:val="24"/>
                <w:lang w:val="zh-CN"/>
              </w:rPr>
              <w:t>提交</w:t>
            </w:r>
          </w:p>
        </w:tc>
        <w:tc>
          <w:tcPr>
            <w:tcW w:w="2126" w:type="dxa"/>
            <w:vMerge/>
            <w:vAlign w:val="center"/>
          </w:tcPr>
          <w:p w:rsidR="00013EC7" w:rsidRDefault="00013EC7">
            <w:pPr>
              <w:spacing w:line="300" w:lineRule="exact"/>
              <w:jc w:val="left"/>
              <w:rPr>
                <w:rFonts w:ascii="仿宋" w:eastAsia="仿宋" w:hAnsi="仿宋" w:cs="仿宋"/>
                <w:sz w:val="24"/>
              </w:rPr>
            </w:pPr>
          </w:p>
        </w:tc>
        <w:tc>
          <w:tcPr>
            <w:tcW w:w="992" w:type="dxa"/>
            <w:vMerge/>
            <w:vAlign w:val="center"/>
          </w:tcPr>
          <w:p w:rsidR="00013EC7" w:rsidRDefault="00013EC7">
            <w:pPr>
              <w:jc w:val="left"/>
              <w:rPr>
                <w:rFonts w:ascii="仿宋" w:eastAsia="仿宋" w:hAnsi="仿宋" w:cs="仿宋"/>
                <w:sz w:val="24"/>
              </w:rPr>
            </w:pPr>
          </w:p>
        </w:tc>
        <w:tc>
          <w:tcPr>
            <w:tcW w:w="851" w:type="dxa"/>
            <w:vMerge/>
            <w:vAlign w:val="center"/>
          </w:tcPr>
          <w:p w:rsidR="00013EC7" w:rsidRDefault="00013EC7">
            <w:pPr>
              <w:jc w:val="left"/>
              <w:rPr>
                <w:rFonts w:ascii="仿宋" w:eastAsia="仿宋" w:hAnsi="仿宋" w:cs="仿宋"/>
                <w:sz w:val="24"/>
              </w:rPr>
            </w:pPr>
          </w:p>
        </w:tc>
        <w:tc>
          <w:tcPr>
            <w:tcW w:w="850" w:type="dxa"/>
            <w:vMerge/>
            <w:vAlign w:val="center"/>
          </w:tcPr>
          <w:p w:rsidR="00013EC7" w:rsidRDefault="00013EC7">
            <w:pPr>
              <w:jc w:val="left"/>
              <w:rPr>
                <w:rFonts w:ascii="仿宋" w:eastAsia="仿宋" w:hAnsi="仿宋" w:cs="仿宋"/>
                <w:sz w:val="24"/>
              </w:rPr>
            </w:pPr>
          </w:p>
        </w:tc>
        <w:tc>
          <w:tcPr>
            <w:tcW w:w="851" w:type="dxa"/>
            <w:vMerge/>
            <w:vAlign w:val="center"/>
          </w:tcPr>
          <w:p w:rsidR="00013EC7" w:rsidRDefault="00013EC7">
            <w:pPr>
              <w:jc w:val="left"/>
              <w:rPr>
                <w:rFonts w:ascii="仿宋" w:eastAsia="仿宋" w:hAnsi="仿宋" w:cs="仿宋"/>
                <w:sz w:val="24"/>
              </w:rPr>
            </w:pPr>
          </w:p>
        </w:tc>
        <w:tc>
          <w:tcPr>
            <w:tcW w:w="991" w:type="dxa"/>
            <w:vMerge/>
            <w:vAlign w:val="center"/>
          </w:tcPr>
          <w:p w:rsidR="00013EC7" w:rsidRDefault="00013EC7">
            <w:pPr>
              <w:jc w:val="left"/>
              <w:rPr>
                <w:rFonts w:ascii="仿宋" w:eastAsia="仿宋" w:hAnsi="仿宋" w:cs="仿宋"/>
                <w:sz w:val="24"/>
              </w:rPr>
            </w:pPr>
          </w:p>
        </w:tc>
      </w:tr>
    </w:tbl>
    <w:p w:rsidR="00013EC7" w:rsidRDefault="00013EC7"/>
    <w:p w:rsidR="00013EC7" w:rsidRDefault="00013EC7"/>
    <w:p w:rsidR="00013EC7" w:rsidRDefault="005262E6">
      <w:pPr>
        <w:rPr>
          <w:rFonts w:ascii="宋体" w:hAnsi="宋体" w:cs="仿宋"/>
          <w:sz w:val="28"/>
          <w:szCs w:val="28"/>
        </w:rPr>
      </w:pPr>
      <w:r>
        <w:lastRenderedPageBreak/>
        <w:object w:dxaOrig="1440" w:dyaOrig="1440">
          <v:shape id="对象 130" o:spid="_x0000_s1188" type="#_x0000_t75" style="position:absolute;left:0;text-align:left;margin-left:16.2pt;margin-top:102.75pt;width:449.1pt;height:570.85pt;z-index:251577344;mso-wrap-distance-top:0;mso-wrap-distance-bottom:0;mso-position-vertical-relative:page;mso-width-relative:page;mso-height-relative:page">
            <v:imagedata r:id="rId535" o:title=""/>
            <w10:wrap type="topAndBottom" anchory="page"/>
          </v:shape>
          <o:OLEObject Type="Embed" ProgID="Visio.Drawing.11" ShapeID="对象 130" DrawAspect="Content" ObjectID="_1577296316" r:id="rId536"/>
        </w:object>
      </w:r>
    </w:p>
    <w:p w:rsidR="00013EC7" w:rsidRDefault="00013EC7">
      <w:pPr>
        <w:rPr>
          <w:rFonts w:ascii="宋体" w:hAnsi="宋体" w:cs="仿宋"/>
          <w:sz w:val="28"/>
          <w:szCs w:val="28"/>
        </w:rPr>
        <w:sectPr w:rsidR="00013EC7">
          <w:pgSz w:w="23814" w:h="16840" w:orient="landscape"/>
          <w:pgMar w:top="1701" w:right="1843" w:bottom="1985" w:left="1843" w:header="851" w:footer="1701" w:gutter="0"/>
          <w:pgNumType w:fmt="numberInDash"/>
          <w:cols w:space="720"/>
          <w:docGrid w:type="lines" w:linePitch="312"/>
        </w:sectPr>
      </w:pPr>
    </w:p>
    <w:p w:rsidR="00013EC7" w:rsidRDefault="00575CDB">
      <w:pPr>
        <w:pStyle w:val="2"/>
      </w:pPr>
      <w:bookmarkStart w:id="664" w:name="_Toc32171"/>
      <w:bookmarkStart w:id="665" w:name="_Toc503467503"/>
      <w:bookmarkStart w:id="666" w:name="_Toc5067"/>
      <w:bookmarkStart w:id="667" w:name="_Toc16595"/>
      <w:r>
        <w:rPr>
          <w:rFonts w:hint="eastAsia"/>
        </w:rPr>
        <w:lastRenderedPageBreak/>
        <w:t>30.3</w:t>
      </w:r>
      <w:r>
        <w:rPr>
          <w:rFonts w:hint="eastAsia"/>
        </w:rPr>
        <w:t>车辆购置税优惠备案</w:t>
      </w:r>
      <w:bookmarkEnd w:id="664"/>
      <w:bookmarkEnd w:id="665"/>
      <w:bookmarkEnd w:id="666"/>
      <w:bookmarkEnd w:id="667"/>
    </w:p>
    <w:p w:rsidR="00013EC7" w:rsidRDefault="00575CDB">
      <w:pPr>
        <w:jc w:val="center"/>
        <w:rPr>
          <w:rFonts w:eastAsia="仿宋_GB2312"/>
          <w:szCs w:val="21"/>
        </w:rPr>
      </w:pPr>
      <w:r>
        <w:rPr>
          <w:rFonts w:ascii="宋体" w:hAnsi="宋体" w:hint="eastAsia"/>
          <w:b/>
          <w:sz w:val="52"/>
          <w:szCs w:val="52"/>
        </w:rPr>
        <w:t>全省“最多跑一次”事项“八统一”梳理表</w:t>
      </w:r>
    </w:p>
    <w:tbl>
      <w:tblPr>
        <w:tblW w:w="19845"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888"/>
        <w:gridCol w:w="2619"/>
        <w:gridCol w:w="2910"/>
        <w:gridCol w:w="1417"/>
        <w:gridCol w:w="3119"/>
        <w:gridCol w:w="1842"/>
        <w:gridCol w:w="2127"/>
        <w:gridCol w:w="708"/>
        <w:gridCol w:w="709"/>
        <w:gridCol w:w="851"/>
        <w:gridCol w:w="992"/>
        <w:gridCol w:w="991"/>
      </w:tblGrid>
      <w:tr w:rsidR="00013EC7">
        <w:trPr>
          <w:trHeight w:val="340"/>
          <w:tblHeader/>
          <w:jc w:val="center"/>
        </w:trPr>
        <w:tc>
          <w:tcPr>
            <w:tcW w:w="672" w:type="dxa"/>
            <w:vMerge w:val="restart"/>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主项名称</w:t>
            </w:r>
          </w:p>
        </w:tc>
        <w:tc>
          <w:tcPr>
            <w:tcW w:w="888" w:type="dxa"/>
            <w:vMerge w:val="restart"/>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子项名称</w:t>
            </w:r>
          </w:p>
        </w:tc>
        <w:tc>
          <w:tcPr>
            <w:tcW w:w="2619" w:type="dxa"/>
            <w:vMerge w:val="restart"/>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经办依据</w:t>
            </w:r>
          </w:p>
        </w:tc>
        <w:tc>
          <w:tcPr>
            <w:tcW w:w="4327" w:type="dxa"/>
            <w:gridSpan w:val="2"/>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原经办所需材料</w:t>
            </w:r>
          </w:p>
        </w:tc>
        <w:tc>
          <w:tcPr>
            <w:tcW w:w="7088" w:type="dxa"/>
            <w:gridSpan w:val="3"/>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精简后经办所需材料</w:t>
            </w:r>
          </w:p>
        </w:tc>
        <w:tc>
          <w:tcPr>
            <w:tcW w:w="1417" w:type="dxa"/>
            <w:gridSpan w:val="2"/>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办理时限</w:t>
            </w:r>
          </w:p>
        </w:tc>
        <w:tc>
          <w:tcPr>
            <w:tcW w:w="851" w:type="dxa"/>
            <w:vMerge w:val="restart"/>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是否实现跑零次</w:t>
            </w:r>
          </w:p>
        </w:tc>
        <w:tc>
          <w:tcPr>
            <w:tcW w:w="992" w:type="dxa"/>
            <w:vMerge w:val="restart"/>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责任处室（单位）</w:t>
            </w:r>
          </w:p>
        </w:tc>
        <w:tc>
          <w:tcPr>
            <w:tcW w:w="991" w:type="dxa"/>
            <w:vMerge w:val="restart"/>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进一步精简、规范建议</w:t>
            </w:r>
          </w:p>
        </w:tc>
      </w:tr>
      <w:tr w:rsidR="00013EC7">
        <w:trPr>
          <w:trHeight w:val="90"/>
          <w:tblHeader/>
          <w:jc w:val="center"/>
        </w:trPr>
        <w:tc>
          <w:tcPr>
            <w:tcW w:w="672" w:type="dxa"/>
            <w:vMerge/>
            <w:vAlign w:val="center"/>
          </w:tcPr>
          <w:p w:rsidR="00013EC7" w:rsidRDefault="00013EC7">
            <w:pPr>
              <w:jc w:val="center"/>
              <w:rPr>
                <w:rFonts w:ascii="黑体" w:eastAsia="黑体" w:hAnsi="黑体" w:cs="黑体"/>
                <w:sz w:val="24"/>
              </w:rPr>
            </w:pPr>
          </w:p>
        </w:tc>
        <w:tc>
          <w:tcPr>
            <w:tcW w:w="888" w:type="dxa"/>
            <w:vMerge/>
            <w:vAlign w:val="center"/>
          </w:tcPr>
          <w:p w:rsidR="00013EC7" w:rsidRDefault="00013EC7">
            <w:pPr>
              <w:jc w:val="center"/>
              <w:rPr>
                <w:rFonts w:ascii="黑体" w:eastAsia="黑体" w:hAnsi="黑体" w:cs="黑体"/>
                <w:sz w:val="24"/>
              </w:rPr>
            </w:pPr>
          </w:p>
        </w:tc>
        <w:tc>
          <w:tcPr>
            <w:tcW w:w="2619" w:type="dxa"/>
            <w:vMerge/>
            <w:vAlign w:val="center"/>
          </w:tcPr>
          <w:p w:rsidR="00013EC7" w:rsidRDefault="00013EC7">
            <w:pPr>
              <w:jc w:val="center"/>
              <w:rPr>
                <w:rFonts w:ascii="黑体" w:eastAsia="黑体" w:hAnsi="黑体" w:cs="黑体"/>
                <w:sz w:val="24"/>
              </w:rPr>
            </w:pPr>
          </w:p>
        </w:tc>
        <w:tc>
          <w:tcPr>
            <w:tcW w:w="2910" w:type="dxa"/>
            <w:tcBorders>
              <w:bottom w:val="single" w:sz="4" w:space="0" w:color="auto"/>
            </w:tcBorders>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材料明细</w:t>
            </w:r>
          </w:p>
        </w:tc>
        <w:tc>
          <w:tcPr>
            <w:tcW w:w="1417"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材料来源</w:t>
            </w:r>
          </w:p>
        </w:tc>
        <w:tc>
          <w:tcPr>
            <w:tcW w:w="3119"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材料明细</w:t>
            </w:r>
          </w:p>
        </w:tc>
        <w:tc>
          <w:tcPr>
            <w:tcW w:w="1842"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材料来源</w:t>
            </w:r>
          </w:p>
        </w:tc>
        <w:tc>
          <w:tcPr>
            <w:tcW w:w="2127"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办理方式及材料</w:t>
            </w:r>
          </w:p>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信息获取方式说明</w:t>
            </w:r>
          </w:p>
        </w:tc>
        <w:tc>
          <w:tcPr>
            <w:tcW w:w="708"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优化前</w:t>
            </w:r>
          </w:p>
        </w:tc>
        <w:tc>
          <w:tcPr>
            <w:tcW w:w="709"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优化后</w:t>
            </w:r>
          </w:p>
        </w:tc>
        <w:tc>
          <w:tcPr>
            <w:tcW w:w="851" w:type="dxa"/>
            <w:vMerge/>
            <w:vAlign w:val="center"/>
          </w:tcPr>
          <w:p w:rsidR="00013EC7" w:rsidRDefault="00013EC7">
            <w:pPr>
              <w:jc w:val="center"/>
              <w:rPr>
                <w:rFonts w:ascii="黑体" w:eastAsia="黑体" w:hAnsi="黑体" w:cs="黑体"/>
                <w:sz w:val="24"/>
              </w:rPr>
            </w:pPr>
          </w:p>
        </w:tc>
        <w:tc>
          <w:tcPr>
            <w:tcW w:w="992" w:type="dxa"/>
            <w:vMerge/>
            <w:vAlign w:val="center"/>
          </w:tcPr>
          <w:p w:rsidR="00013EC7" w:rsidRDefault="00013EC7">
            <w:pPr>
              <w:jc w:val="center"/>
              <w:rPr>
                <w:rFonts w:ascii="黑体" w:eastAsia="黑体" w:hAnsi="黑体" w:cs="黑体"/>
                <w:sz w:val="24"/>
              </w:rPr>
            </w:pPr>
          </w:p>
        </w:tc>
        <w:tc>
          <w:tcPr>
            <w:tcW w:w="991" w:type="dxa"/>
            <w:vMerge/>
            <w:vAlign w:val="center"/>
          </w:tcPr>
          <w:p w:rsidR="00013EC7" w:rsidRDefault="00013EC7">
            <w:pPr>
              <w:jc w:val="center"/>
              <w:rPr>
                <w:rFonts w:ascii="黑体" w:eastAsia="黑体" w:hAnsi="黑体" w:cs="黑体"/>
                <w:sz w:val="24"/>
              </w:rPr>
            </w:pPr>
          </w:p>
        </w:tc>
      </w:tr>
      <w:tr w:rsidR="00013EC7">
        <w:trPr>
          <w:jc w:val="center"/>
        </w:trPr>
        <w:tc>
          <w:tcPr>
            <w:tcW w:w="672" w:type="dxa"/>
            <w:vMerge w:val="restart"/>
            <w:vAlign w:val="center"/>
          </w:tcPr>
          <w:p w:rsidR="00013EC7" w:rsidRDefault="00575CDB">
            <w:pPr>
              <w:jc w:val="left"/>
              <w:rPr>
                <w:rFonts w:ascii="仿宋" w:eastAsia="仿宋" w:hAnsi="仿宋" w:cs="仿宋"/>
                <w:sz w:val="24"/>
              </w:rPr>
            </w:pPr>
            <w:r>
              <w:rPr>
                <w:rFonts w:ascii="仿宋" w:eastAsia="仿宋" w:hAnsi="仿宋" w:cs="仿宋" w:hint="eastAsia"/>
                <w:sz w:val="24"/>
              </w:rPr>
              <w:t>30车辆购置税事项办理</w:t>
            </w:r>
          </w:p>
        </w:tc>
        <w:tc>
          <w:tcPr>
            <w:tcW w:w="888" w:type="dxa"/>
            <w:vMerge w:val="restart"/>
            <w:vAlign w:val="center"/>
          </w:tcPr>
          <w:p w:rsidR="00013EC7" w:rsidRDefault="00575CDB">
            <w:pPr>
              <w:jc w:val="left"/>
              <w:rPr>
                <w:rFonts w:ascii="仿宋" w:eastAsia="仿宋" w:hAnsi="仿宋" w:cs="仿宋"/>
                <w:sz w:val="24"/>
              </w:rPr>
            </w:pPr>
            <w:r>
              <w:rPr>
                <w:rFonts w:ascii="仿宋" w:eastAsia="仿宋" w:hAnsi="仿宋" w:cs="仿宋" w:hint="eastAsia"/>
                <w:sz w:val="24"/>
              </w:rPr>
              <w:t>30.3车辆购置税优惠备案</w:t>
            </w:r>
          </w:p>
        </w:tc>
        <w:tc>
          <w:tcPr>
            <w:tcW w:w="2619" w:type="dxa"/>
            <w:vMerge w:val="restart"/>
            <w:vAlign w:val="center"/>
          </w:tcPr>
          <w:p w:rsidR="00013EC7" w:rsidRDefault="00575CDB">
            <w:pPr>
              <w:spacing w:line="240" w:lineRule="atLeast"/>
              <w:jc w:val="left"/>
              <w:rPr>
                <w:rFonts w:ascii="仿宋" w:eastAsia="仿宋" w:hAnsi="仿宋"/>
                <w:sz w:val="24"/>
              </w:rPr>
            </w:pPr>
            <w:r>
              <w:rPr>
                <w:rFonts w:ascii="仿宋" w:eastAsia="仿宋" w:hAnsi="仿宋" w:hint="eastAsia"/>
                <w:sz w:val="24"/>
              </w:rPr>
              <w:t>（一）《中华人民共和国车辆购置税暂行条例》（2000年中华人民共和国国务院令第294号）第九条，第十五条。</w:t>
            </w:r>
          </w:p>
          <w:p w:rsidR="00013EC7" w:rsidRDefault="00575CDB">
            <w:pPr>
              <w:spacing w:line="240" w:lineRule="atLeast"/>
              <w:jc w:val="left"/>
              <w:rPr>
                <w:rFonts w:ascii="仿宋" w:eastAsia="仿宋" w:hAnsi="仿宋"/>
                <w:sz w:val="24"/>
              </w:rPr>
            </w:pPr>
            <w:r>
              <w:rPr>
                <w:rFonts w:ascii="仿宋" w:eastAsia="仿宋" w:hAnsi="仿宋" w:hint="eastAsia"/>
                <w:sz w:val="24"/>
              </w:rPr>
              <w:t>（二）《国家税务总局关于修改〈车辆购置税征收管理办法〉的决定》（2015年国家税务总局令第38号）第十八条，第十九条，第二十条，第二十一条。</w:t>
            </w:r>
          </w:p>
          <w:p w:rsidR="00013EC7" w:rsidRDefault="00575CDB">
            <w:pPr>
              <w:spacing w:line="240" w:lineRule="atLeast"/>
              <w:jc w:val="left"/>
              <w:rPr>
                <w:rFonts w:ascii="仿宋" w:eastAsia="仿宋" w:hAnsi="仿宋"/>
                <w:sz w:val="24"/>
              </w:rPr>
            </w:pPr>
            <w:r>
              <w:rPr>
                <w:rFonts w:ascii="仿宋" w:eastAsia="仿宋" w:hAnsi="仿宋" w:hint="eastAsia"/>
                <w:sz w:val="24"/>
              </w:rPr>
              <w:t>（三）《国家税务总局关于设有固定装置非运输车辆免征车辆购置税有关事项的公告》（国家税务总局公告2016年第43号）第六条。</w:t>
            </w:r>
          </w:p>
          <w:p w:rsidR="00013EC7" w:rsidRDefault="00575CDB">
            <w:pPr>
              <w:spacing w:line="240" w:lineRule="atLeast"/>
              <w:jc w:val="left"/>
              <w:rPr>
                <w:rFonts w:ascii="仿宋" w:eastAsia="仿宋" w:hAnsi="仿宋"/>
                <w:sz w:val="24"/>
              </w:rPr>
            </w:pPr>
            <w:r>
              <w:rPr>
                <w:rFonts w:ascii="仿宋" w:eastAsia="仿宋" w:hAnsi="仿宋" w:hint="eastAsia"/>
                <w:sz w:val="24"/>
              </w:rPr>
              <w:t>（四）《国家税务总局关于部分税务行政审批事项取消后有关管理问题的公告》（国家税务总局公告2015年第56号）第四条。</w:t>
            </w:r>
          </w:p>
          <w:p w:rsidR="00013EC7" w:rsidRDefault="00575CDB">
            <w:pPr>
              <w:spacing w:line="240" w:lineRule="atLeast"/>
              <w:jc w:val="left"/>
              <w:rPr>
                <w:rFonts w:ascii="仿宋" w:eastAsia="仿宋" w:hAnsi="仿宋"/>
                <w:sz w:val="24"/>
              </w:rPr>
            </w:pPr>
            <w:r>
              <w:rPr>
                <w:rFonts w:ascii="仿宋" w:eastAsia="仿宋" w:hAnsi="仿宋" w:hint="eastAsia"/>
                <w:sz w:val="24"/>
              </w:rPr>
              <w:t>（五）《国家税务总局关于车辆购置税征收管理有关问题的公告》（国家税务总局公告2015年第4号）第十三条，第十四条，第十五条，第十六条，第十七</w:t>
            </w:r>
            <w:r>
              <w:rPr>
                <w:rFonts w:ascii="仿宋" w:eastAsia="仿宋" w:hAnsi="仿宋" w:hint="eastAsia"/>
                <w:sz w:val="24"/>
              </w:rPr>
              <w:lastRenderedPageBreak/>
              <w:t>条，第十八条，第十九条。</w:t>
            </w:r>
          </w:p>
          <w:p w:rsidR="00013EC7" w:rsidRDefault="00575CDB">
            <w:pPr>
              <w:spacing w:line="240" w:lineRule="atLeast"/>
              <w:jc w:val="left"/>
              <w:rPr>
                <w:rFonts w:ascii="仿宋" w:eastAsia="仿宋" w:hAnsi="仿宋"/>
                <w:sz w:val="24"/>
              </w:rPr>
            </w:pPr>
            <w:r>
              <w:rPr>
                <w:rFonts w:ascii="仿宋" w:eastAsia="仿宋" w:hAnsi="仿宋" w:hint="eastAsia"/>
                <w:sz w:val="24"/>
              </w:rPr>
              <w:t>（六）《财政部 国家税务总局关于防汛专用等车辆免征车辆购置税的通知》（财税〔2001〕39号）全文。</w:t>
            </w:r>
          </w:p>
          <w:p w:rsidR="00013EC7" w:rsidRDefault="00575CDB">
            <w:pPr>
              <w:spacing w:line="240" w:lineRule="atLeast"/>
              <w:jc w:val="left"/>
              <w:rPr>
                <w:rFonts w:ascii="仿宋" w:eastAsia="仿宋" w:hAnsi="仿宋"/>
                <w:sz w:val="24"/>
              </w:rPr>
            </w:pPr>
            <w:r>
              <w:rPr>
                <w:rFonts w:ascii="仿宋" w:eastAsia="仿宋" w:hAnsi="仿宋" w:hint="eastAsia"/>
                <w:sz w:val="24"/>
              </w:rPr>
              <w:t>（七）《国家税务总局 交通运输部关于城市公交企业购置公共汽电车辆办理免征车辆购置税手续问题的公告》（国家税务总局交通运输部公告2015年第57号）全文。</w:t>
            </w:r>
          </w:p>
          <w:p w:rsidR="00013EC7" w:rsidRDefault="00575CDB">
            <w:pPr>
              <w:spacing w:line="240" w:lineRule="atLeast"/>
              <w:jc w:val="left"/>
              <w:rPr>
                <w:rFonts w:ascii="仿宋" w:eastAsia="仿宋" w:hAnsi="仿宋"/>
                <w:sz w:val="24"/>
              </w:rPr>
            </w:pPr>
            <w:r>
              <w:rPr>
                <w:rFonts w:ascii="仿宋" w:eastAsia="仿宋" w:hAnsi="仿宋" w:hint="eastAsia"/>
                <w:sz w:val="24"/>
              </w:rPr>
              <w:t>（八）《财政部 税务总局 工业和信息化部 科技部关于免征新能源汽车车辆购置税的公告》（财政部公告2017年第172号）全文。</w:t>
            </w:r>
          </w:p>
          <w:p w:rsidR="00013EC7" w:rsidRDefault="00575CDB">
            <w:pPr>
              <w:spacing w:line="240" w:lineRule="atLeast"/>
              <w:jc w:val="left"/>
              <w:rPr>
                <w:rFonts w:ascii="仿宋" w:eastAsia="仿宋" w:hAnsi="仿宋"/>
                <w:sz w:val="24"/>
              </w:rPr>
            </w:pPr>
            <w:r>
              <w:rPr>
                <w:rFonts w:ascii="仿宋" w:eastAsia="仿宋" w:hAnsi="仿宋" w:hint="eastAsia"/>
                <w:sz w:val="24"/>
              </w:rPr>
              <w:t>（九）《财政部 国家税务总局关于农用三轮车免征车辆购置税的通知》（财税〔2004〕66号）全文。</w:t>
            </w:r>
          </w:p>
          <w:p w:rsidR="00013EC7" w:rsidRDefault="00575CDB">
            <w:pPr>
              <w:spacing w:line="240" w:lineRule="atLeast"/>
              <w:jc w:val="left"/>
              <w:rPr>
                <w:rFonts w:ascii="仿宋" w:eastAsia="仿宋" w:hAnsi="仿宋"/>
                <w:sz w:val="24"/>
              </w:rPr>
            </w:pPr>
            <w:r>
              <w:rPr>
                <w:rFonts w:ascii="仿宋" w:eastAsia="仿宋" w:hAnsi="仿宋" w:hint="eastAsia"/>
                <w:sz w:val="24"/>
              </w:rPr>
              <w:t>（十）《财政部 国家税务总局关于“母亲健康快车”项目专用车辆免征车辆购置税的通知》（财税〔2006〕176号）全文。</w:t>
            </w:r>
          </w:p>
          <w:p w:rsidR="00013EC7" w:rsidRDefault="00575CDB">
            <w:pPr>
              <w:spacing w:line="240" w:lineRule="atLeast"/>
              <w:jc w:val="left"/>
              <w:rPr>
                <w:rFonts w:ascii="仿宋" w:eastAsia="仿宋" w:hAnsi="仿宋"/>
                <w:sz w:val="24"/>
              </w:rPr>
            </w:pPr>
            <w:r>
              <w:rPr>
                <w:rFonts w:ascii="仿宋" w:eastAsia="仿宋" w:hAnsi="仿宋" w:hint="eastAsia"/>
                <w:sz w:val="24"/>
              </w:rPr>
              <w:t>（十一）《财政部 国家税务总局关于免征计划生育流动服务车车辆</w:t>
            </w:r>
            <w:r>
              <w:rPr>
                <w:rFonts w:ascii="仿宋" w:eastAsia="仿宋" w:hAnsi="仿宋" w:hint="eastAsia"/>
                <w:sz w:val="24"/>
              </w:rPr>
              <w:lastRenderedPageBreak/>
              <w:t>购置税的通知》（财税〔2010〕78号）全文。</w:t>
            </w:r>
          </w:p>
          <w:p w:rsidR="00013EC7" w:rsidRDefault="00575CDB">
            <w:pPr>
              <w:spacing w:line="240" w:lineRule="atLeast"/>
              <w:jc w:val="left"/>
              <w:rPr>
                <w:rFonts w:ascii="仿宋" w:eastAsia="仿宋" w:hAnsi="仿宋"/>
                <w:sz w:val="24"/>
              </w:rPr>
            </w:pPr>
            <w:r>
              <w:rPr>
                <w:rFonts w:ascii="仿宋" w:eastAsia="仿宋" w:hAnsi="仿宋" w:hint="eastAsia"/>
                <w:sz w:val="24"/>
              </w:rPr>
              <w:t>（十二）《关于城市公交企业购置公共汽电车辆免征车辆购置税的通知》（财税〔2016〕84号）第三条。</w:t>
            </w:r>
          </w:p>
          <w:p w:rsidR="00013EC7" w:rsidRDefault="00575CDB">
            <w:pPr>
              <w:spacing w:line="240" w:lineRule="atLeast"/>
              <w:jc w:val="left"/>
              <w:rPr>
                <w:rFonts w:ascii="仿宋" w:eastAsia="仿宋" w:hAnsi="仿宋"/>
                <w:sz w:val="24"/>
              </w:rPr>
            </w:pPr>
            <w:r>
              <w:rPr>
                <w:rFonts w:ascii="仿宋" w:eastAsia="仿宋" w:hAnsi="仿宋" w:hint="eastAsia"/>
                <w:sz w:val="24"/>
              </w:rPr>
              <w:t>（十三）《国家税务总局关于车辆购置税征收管理有关问题的补充公告》（国家税务总局公告2016年第52号）第四条，第五条，第六条。</w:t>
            </w:r>
          </w:p>
          <w:p w:rsidR="00013EC7" w:rsidRDefault="00575CDB">
            <w:pPr>
              <w:spacing w:line="240" w:lineRule="atLeast"/>
              <w:jc w:val="left"/>
              <w:rPr>
                <w:rFonts w:ascii="仿宋" w:eastAsia="仿宋" w:hAnsi="仿宋"/>
                <w:sz w:val="24"/>
              </w:rPr>
            </w:pPr>
            <w:r>
              <w:rPr>
                <w:rFonts w:ascii="仿宋" w:eastAsia="仿宋" w:hAnsi="仿宋" w:hint="eastAsia"/>
                <w:sz w:val="24"/>
              </w:rPr>
              <w:t>（十四）《财政部 税务总局关于下达2017年森林消防专用车免征车辆购置税指标的通知》（财税〔2017〕91号）全文。</w:t>
            </w:r>
          </w:p>
          <w:p w:rsidR="00013EC7" w:rsidRDefault="00575CDB">
            <w:pPr>
              <w:spacing w:line="240" w:lineRule="atLeast"/>
              <w:jc w:val="left"/>
              <w:rPr>
                <w:rFonts w:ascii="仿宋" w:eastAsia="仿宋" w:hAnsi="仿宋"/>
                <w:sz w:val="24"/>
              </w:rPr>
            </w:pPr>
            <w:r>
              <w:rPr>
                <w:rFonts w:ascii="仿宋" w:eastAsia="仿宋" w:hAnsi="仿宋" w:hint="eastAsia"/>
                <w:sz w:val="24"/>
              </w:rPr>
              <w:t>（十五）《国家税务总局关于长期来华定居专家免征车辆购置税有关问题的公告》（国家税务总局公告2018年第2号）全文。</w:t>
            </w:r>
          </w:p>
        </w:tc>
        <w:tc>
          <w:tcPr>
            <w:tcW w:w="2910" w:type="dxa"/>
            <w:tcBorders>
              <w:top w:val="single" w:sz="4" w:space="0" w:color="auto"/>
              <w:bottom w:val="single" w:sz="4" w:space="0" w:color="auto"/>
            </w:tcBorders>
            <w:vAlign w:val="center"/>
          </w:tcPr>
          <w:p w:rsidR="00013EC7" w:rsidRDefault="00575CDB">
            <w:pPr>
              <w:spacing w:line="300" w:lineRule="exact"/>
              <w:jc w:val="left"/>
              <w:rPr>
                <w:rFonts w:ascii="仿宋" w:eastAsia="仿宋" w:hAnsi="仿宋" w:cs="仿宋"/>
                <w:sz w:val="24"/>
                <w:highlight w:val="lightGray"/>
              </w:rPr>
            </w:pPr>
            <w:r>
              <w:rPr>
                <w:rFonts w:ascii="仿宋" w:eastAsia="仿宋" w:hAnsi="仿宋" w:cs="仿宋" w:hint="eastAsia"/>
                <w:sz w:val="24"/>
                <w:highlight w:val="lightGray"/>
              </w:rPr>
              <w:lastRenderedPageBreak/>
              <w:t>（一）（A06121）《车辆购置税纳税申报表》2份。</w:t>
            </w:r>
          </w:p>
        </w:tc>
        <w:tc>
          <w:tcPr>
            <w:tcW w:w="1417" w:type="dxa"/>
            <w:vMerge w:val="restart"/>
            <w:vAlign w:val="center"/>
          </w:tcPr>
          <w:p w:rsidR="00013EC7" w:rsidRDefault="00575CDB">
            <w:pPr>
              <w:spacing w:line="300" w:lineRule="exact"/>
              <w:jc w:val="left"/>
              <w:rPr>
                <w:rFonts w:ascii="仿宋" w:eastAsia="仿宋" w:hAnsi="仿宋" w:cs="仿宋"/>
                <w:color w:val="000000"/>
                <w:sz w:val="24"/>
              </w:rPr>
            </w:pPr>
            <w:r>
              <w:rPr>
                <w:rFonts w:ascii="仿宋" w:eastAsia="仿宋" w:hAnsi="仿宋" w:cs="仿宋" w:hint="eastAsia"/>
                <w:color w:val="000000"/>
                <w:sz w:val="24"/>
              </w:rPr>
              <w:t>纳税人提交</w:t>
            </w:r>
          </w:p>
        </w:tc>
        <w:tc>
          <w:tcPr>
            <w:tcW w:w="3119"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（一）（A06121）《车辆购置税纳税申报表》1份。</w:t>
            </w:r>
          </w:p>
        </w:tc>
        <w:tc>
          <w:tcPr>
            <w:tcW w:w="1842" w:type="dxa"/>
            <w:vMerge w:val="restart"/>
            <w:vAlign w:val="center"/>
          </w:tcPr>
          <w:p w:rsidR="00013EC7" w:rsidRDefault="00575CDB">
            <w:pPr>
              <w:spacing w:line="300" w:lineRule="exact"/>
              <w:jc w:val="left"/>
              <w:rPr>
                <w:rFonts w:ascii="仿宋" w:eastAsia="仿宋" w:hAnsi="仿宋" w:cs="仿宋"/>
                <w:iCs/>
                <w:sz w:val="24"/>
              </w:rPr>
            </w:pPr>
            <w:r>
              <w:rPr>
                <w:rFonts w:ascii="仿宋" w:eastAsia="仿宋" w:hAnsi="仿宋" w:cs="仿宋" w:hint="eastAsia"/>
                <w:sz w:val="24"/>
              </w:rPr>
              <w:t>纳税人提交</w:t>
            </w:r>
          </w:p>
        </w:tc>
        <w:tc>
          <w:tcPr>
            <w:tcW w:w="2127" w:type="dxa"/>
            <w:vMerge w:val="restart"/>
            <w:vAlign w:val="center"/>
          </w:tcPr>
          <w:p w:rsidR="00013EC7" w:rsidRDefault="00575CDB">
            <w:pPr>
              <w:jc w:val="lef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bCs/>
                <w:sz w:val="24"/>
              </w:rPr>
              <w:t>纳税人</w:t>
            </w:r>
            <w:r>
              <w:rPr>
                <w:rFonts w:ascii="仿宋" w:eastAsia="仿宋" w:hAnsi="仿宋" w:cs="仿宋" w:hint="eastAsia"/>
                <w:sz w:val="24"/>
              </w:rPr>
              <w:t>提交书面材料，符合受理条件的当场受理办结。</w:t>
            </w:r>
          </w:p>
          <w:p w:rsidR="00013EC7" w:rsidRDefault="00013EC7">
            <w:pPr>
              <w:spacing w:line="300" w:lineRule="exact"/>
              <w:jc w:val="left"/>
              <w:rPr>
                <w:rFonts w:ascii="仿宋" w:eastAsia="仿宋" w:hAnsi="仿宋" w:cs="仿宋"/>
                <w:sz w:val="24"/>
              </w:rPr>
            </w:pPr>
          </w:p>
        </w:tc>
        <w:tc>
          <w:tcPr>
            <w:tcW w:w="708"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即时办结</w:t>
            </w:r>
          </w:p>
        </w:tc>
        <w:tc>
          <w:tcPr>
            <w:tcW w:w="709"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即时办结</w:t>
            </w:r>
          </w:p>
        </w:tc>
        <w:tc>
          <w:tcPr>
            <w:tcW w:w="851"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否</w:t>
            </w:r>
          </w:p>
        </w:tc>
        <w:tc>
          <w:tcPr>
            <w:tcW w:w="992"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货物劳务税处</w:t>
            </w:r>
          </w:p>
        </w:tc>
        <w:tc>
          <w:tcPr>
            <w:tcW w:w="991" w:type="dxa"/>
            <w:vMerge w:val="restart"/>
            <w:vAlign w:val="center"/>
          </w:tcPr>
          <w:p w:rsidR="00013EC7" w:rsidRDefault="00013EC7">
            <w:pPr>
              <w:spacing w:line="240" w:lineRule="atLeast"/>
              <w:jc w:val="left"/>
              <w:rPr>
                <w:rFonts w:ascii="仿宋" w:eastAsia="仿宋" w:hAnsi="仿宋" w:cs="仿宋"/>
                <w:sz w:val="24"/>
              </w:rPr>
            </w:pPr>
          </w:p>
        </w:tc>
      </w:tr>
      <w:tr w:rsidR="00013EC7">
        <w:trPr>
          <w:trHeight w:val="932"/>
          <w:jc w:val="center"/>
        </w:trPr>
        <w:tc>
          <w:tcPr>
            <w:tcW w:w="672" w:type="dxa"/>
            <w:vMerge/>
            <w:vAlign w:val="center"/>
          </w:tcPr>
          <w:p w:rsidR="00013EC7" w:rsidRDefault="00013EC7">
            <w:pPr>
              <w:rPr>
                <w:rFonts w:ascii="仿宋" w:eastAsia="仿宋" w:hAnsi="仿宋" w:cs="仿宋"/>
                <w:sz w:val="24"/>
              </w:rPr>
            </w:pPr>
          </w:p>
        </w:tc>
        <w:tc>
          <w:tcPr>
            <w:tcW w:w="888" w:type="dxa"/>
            <w:vMerge/>
            <w:vAlign w:val="center"/>
          </w:tcPr>
          <w:p w:rsidR="00013EC7" w:rsidRDefault="00013EC7">
            <w:pPr>
              <w:rPr>
                <w:rFonts w:ascii="仿宋" w:eastAsia="仿宋" w:hAnsi="仿宋" w:cs="仿宋"/>
                <w:sz w:val="24"/>
              </w:rPr>
            </w:pPr>
          </w:p>
        </w:tc>
        <w:tc>
          <w:tcPr>
            <w:tcW w:w="2619" w:type="dxa"/>
            <w:vMerge/>
            <w:vAlign w:val="center"/>
          </w:tcPr>
          <w:p w:rsidR="00013EC7" w:rsidRDefault="00013EC7">
            <w:pPr>
              <w:spacing w:line="240" w:lineRule="atLeast"/>
              <w:jc w:val="left"/>
              <w:rPr>
                <w:rFonts w:ascii="仿宋" w:eastAsia="仿宋" w:hAnsi="仿宋" w:cs="仿宋"/>
                <w:sz w:val="24"/>
              </w:rPr>
            </w:pPr>
          </w:p>
        </w:tc>
        <w:tc>
          <w:tcPr>
            <w:tcW w:w="2910" w:type="dxa"/>
            <w:tcBorders>
              <w:top w:val="single" w:sz="4" w:space="0" w:color="auto"/>
              <w:bottom w:val="single" w:sz="4" w:space="0" w:color="auto"/>
            </w:tcBorders>
            <w:vAlign w:val="center"/>
          </w:tcPr>
          <w:p w:rsidR="00013EC7" w:rsidRDefault="00575CDB">
            <w:pPr>
              <w:spacing w:line="300" w:lineRule="exact"/>
              <w:jc w:val="left"/>
              <w:rPr>
                <w:rFonts w:ascii="仿宋" w:eastAsia="仿宋" w:hAnsi="仿宋" w:cs="仿宋"/>
                <w:sz w:val="24"/>
                <w:highlight w:val="lightGray"/>
              </w:rPr>
            </w:pPr>
            <w:r>
              <w:rPr>
                <w:rFonts w:ascii="仿宋" w:eastAsia="仿宋" w:hAnsi="仿宋" w:cs="仿宋" w:hint="eastAsia"/>
                <w:sz w:val="24"/>
                <w:highlight w:val="lightGray"/>
              </w:rPr>
              <w:t>（二）（A03049）《车辆购置税免（减）税申报表》2份。</w:t>
            </w:r>
          </w:p>
        </w:tc>
        <w:tc>
          <w:tcPr>
            <w:tcW w:w="1417" w:type="dxa"/>
            <w:vMerge/>
            <w:vAlign w:val="center"/>
          </w:tcPr>
          <w:p w:rsidR="00013EC7" w:rsidRDefault="00013EC7">
            <w:pPr>
              <w:spacing w:line="300" w:lineRule="exact"/>
              <w:jc w:val="left"/>
              <w:rPr>
                <w:rFonts w:ascii="仿宋" w:eastAsia="仿宋" w:hAnsi="仿宋" w:cs="仿宋"/>
                <w:color w:val="000000"/>
                <w:sz w:val="24"/>
              </w:rPr>
            </w:pPr>
          </w:p>
        </w:tc>
        <w:tc>
          <w:tcPr>
            <w:tcW w:w="3119"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（二）（A03049）《车辆购置税免（减）税申报表》1份。</w:t>
            </w:r>
          </w:p>
        </w:tc>
        <w:tc>
          <w:tcPr>
            <w:tcW w:w="1842" w:type="dxa"/>
            <w:vMerge/>
            <w:vAlign w:val="center"/>
          </w:tcPr>
          <w:p w:rsidR="00013EC7" w:rsidRDefault="00013EC7">
            <w:pPr>
              <w:spacing w:line="300" w:lineRule="exact"/>
              <w:jc w:val="left"/>
              <w:rPr>
                <w:rFonts w:ascii="仿宋" w:eastAsia="仿宋" w:hAnsi="仿宋" w:cs="仿宋"/>
                <w:sz w:val="24"/>
              </w:rPr>
            </w:pPr>
          </w:p>
        </w:tc>
        <w:tc>
          <w:tcPr>
            <w:tcW w:w="2127" w:type="dxa"/>
            <w:vMerge/>
            <w:vAlign w:val="center"/>
          </w:tcPr>
          <w:p w:rsidR="00013EC7" w:rsidRDefault="00013EC7">
            <w:pPr>
              <w:rPr>
                <w:rFonts w:ascii="仿宋" w:eastAsia="仿宋" w:hAnsi="仿宋" w:cs="仿宋"/>
                <w:b/>
                <w:sz w:val="24"/>
              </w:rPr>
            </w:pPr>
          </w:p>
        </w:tc>
        <w:tc>
          <w:tcPr>
            <w:tcW w:w="708" w:type="dxa"/>
            <w:vMerge/>
            <w:vAlign w:val="center"/>
          </w:tcPr>
          <w:p w:rsidR="00013EC7" w:rsidRDefault="00013EC7">
            <w:pPr>
              <w:spacing w:line="300" w:lineRule="exact"/>
              <w:rPr>
                <w:rFonts w:ascii="仿宋" w:eastAsia="仿宋" w:hAnsi="仿宋" w:cs="仿宋"/>
                <w:sz w:val="24"/>
              </w:rPr>
            </w:pPr>
          </w:p>
        </w:tc>
        <w:tc>
          <w:tcPr>
            <w:tcW w:w="709" w:type="dxa"/>
            <w:vMerge/>
            <w:vAlign w:val="center"/>
          </w:tcPr>
          <w:p w:rsidR="00013EC7" w:rsidRDefault="00013EC7">
            <w:pPr>
              <w:spacing w:line="300" w:lineRule="exact"/>
              <w:rPr>
                <w:rFonts w:ascii="仿宋" w:eastAsia="仿宋" w:hAnsi="仿宋" w:cs="仿宋"/>
                <w:sz w:val="24"/>
              </w:rPr>
            </w:pPr>
          </w:p>
        </w:tc>
        <w:tc>
          <w:tcPr>
            <w:tcW w:w="851" w:type="dxa"/>
            <w:vMerge/>
            <w:vAlign w:val="center"/>
          </w:tcPr>
          <w:p w:rsidR="00013EC7" w:rsidRDefault="00013EC7">
            <w:pPr>
              <w:spacing w:line="300" w:lineRule="exact"/>
              <w:rPr>
                <w:rFonts w:ascii="仿宋" w:eastAsia="仿宋" w:hAnsi="仿宋" w:cs="仿宋"/>
                <w:sz w:val="24"/>
              </w:rPr>
            </w:pPr>
          </w:p>
        </w:tc>
        <w:tc>
          <w:tcPr>
            <w:tcW w:w="992" w:type="dxa"/>
            <w:vMerge/>
            <w:vAlign w:val="center"/>
          </w:tcPr>
          <w:p w:rsidR="00013EC7" w:rsidRDefault="00013EC7">
            <w:pPr>
              <w:spacing w:line="300" w:lineRule="exact"/>
              <w:rPr>
                <w:rFonts w:ascii="仿宋" w:eastAsia="仿宋" w:hAnsi="仿宋" w:cs="仿宋"/>
                <w:sz w:val="24"/>
              </w:rPr>
            </w:pPr>
          </w:p>
        </w:tc>
        <w:tc>
          <w:tcPr>
            <w:tcW w:w="991" w:type="dxa"/>
            <w:vMerge/>
            <w:vAlign w:val="center"/>
          </w:tcPr>
          <w:p w:rsidR="00013EC7" w:rsidRDefault="00013EC7">
            <w:pPr>
              <w:spacing w:line="240" w:lineRule="atLeast"/>
              <w:rPr>
                <w:rFonts w:ascii="仿宋" w:eastAsia="仿宋" w:hAnsi="仿宋" w:cs="仿宋"/>
                <w:sz w:val="24"/>
              </w:rPr>
            </w:pPr>
          </w:p>
        </w:tc>
      </w:tr>
      <w:tr w:rsidR="00013EC7">
        <w:trPr>
          <w:trHeight w:val="1699"/>
          <w:jc w:val="center"/>
        </w:trPr>
        <w:tc>
          <w:tcPr>
            <w:tcW w:w="672" w:type="dxa"/>
            <w:vMerge/>
            <w:textDirection w:val="tbRlV"/>
            <w:vAlign w:val="center"/>
          </w:tcPr>
          <w:p w:rsidR="00013EC7" w:rsidRDefault="00013EC7">
            <w:pPr>
              <w:rPr>
                <w:rFonts w:ascii="仿宋" w:eastAsia="仿宋" w:hAnsi="仿宋" w:cs="仿宋"/>
                <w:sz w:val="24"/>
              </w:rPr>
            </w:pPr>
          </w:p>
        </w:tc>
        <w:tc>
          <w:tcPr>
            <w:tcW w:w="888" w:type="dxa"/>
            <w:vMerge/>
            <w:vAlign w:val="center"/>
          </w:tcPr>
          <w:p w:rsidR="00013EC7" w:rsidRDefault="00013EC7">
            <w:pPr>
              <w:rPr>
                <w:rFonts w:ascii="仿宋" w:eastAsia="仿宋" w:hAnsi="仿宋" w:cs="仿宋"/>
                <w:sz w:val="24"/>
              </w:rPr>
            </w:pPr>
          </w:p>
        </w:tc>
        <w:tc>
          <w:tcPr>
            <w:tcW w:w="2619" w:type="dxa"/>
            <w:vMerge/>
            <w:vAlign w:val="center"/>
          </w:tcPr>
          <w:p w:rsidR="00013EC7" w:rsidRDefault="00013EC7">
            <w:pPr>
              <w:jc w:val="left"/>
              <w:rPr>
                <w:rFonts w:ascii="仿宋" w:eastAsia="仿宋" w:hAnsi="仿宋" w:cs="仿宋"/>
                <w:sz w:val="24"/>
              </w:rPr>
            </w:pPr>
          </w:p>
        </w:tc>
        <w:tc>
          <w:tcPr>
            <w:tcW w:w="2910" w:type="dxa"/>
            <w:tcBorders>
              <w:top w:val="single" w:sz="4" w:space="0" w:color="auto"/>
            </w:tcBorders>
            <w:vAlign w:val="center"/>
          </w:tcPr>
          <w:p w:rsidR="00013EC7" w:rsidRDefault="00575CDB">
            <w:pPr>
              <w:spacing w:line="300" w:lineRule="exact"/>
              <w:jc w:val="left"/>
              <w:rPr>
                <w:rFonts w:ascii="仿宋" w:eastAsia="仿宋" w:hAnsi="仿宋" w:cs="仿宋"/>
                <w:color w:val="000000"/>
                <w:sz w:val="24"/>
              </w:rPr>
            </w:pPr>
            <w:r>
              <w:rPr>
                <w:rFonts w:ascii="仿宋" w:eastAsia="仿宋" w:hAnsi="仿宋" w:cs="仿宋" w:hint="eastAsia"/>
                <w:sz w:val="24"/>
                <w:highlight w:val="lightGray"/>
              </w:rPr>
              <w:t>（三）内地居民，提供内地《居民身份证》或者《居民户口簿》（上述证件上的签发机关所在地与车辆登记注册地不一致的，纳税人在申报纳税时需同时提供车辆登记注册地户籍管理部门出具的居住证明或者其他相关证明文书）或者军人（含武警）身份证明。</w:t>
            </w:r>
          </w:p>
        </w:tc>
        <w:tc>
          <w:tcPr>
            <w:tcW w:w="1417" w:type="dxa"/>
            <w:vMerge/>
            <w:vAlign w:val="center"/>
          </w:tcPr>
          <w:p w:rsidR="00013EC7" w:rsidRDefault="00013EC7">
            <w:pPr>
              <w:jc w:val="left"/>
              <w:rPr>
                <w:rFonts w:ascii="仿宋" w:eastAsia="仿宋" w:hAnsi="仿宋" w:cs="仿宋"/>
                <w:color w:val="000000"/>
                <w:sz w:val="24"/>
              </w:rPr>
            </w:pPr>
          </w:p>
        </w:tc>
        <w:tc>
          <w:tcPr>
            <w:tcW w:w="3119" w:type="dxa"/>
            <w:vAlign w:val="center"/>
          </w:tcPr>
          <w:p w:rsidR="00013EC7" w:rsidRDefault="00013EC7">
            <w:pPr>
              <w:spacing w:line="300" w:lineRule="exact"/>
              <w:jc w:val="left"/>
              <w:rPr>
                <w:rFonts w:ascii="仿宋" w:eastAsia="仿宋" w:hAnsi="仿宋" w:cs="仿宋"/>
                <w:color w:val="000000"/>
                <w:sz w:val="24"/>
              </w:rPr>
            </w:pPr>
          </w:p>
        </w:tc>
        <w:tc>
          <w:tcPr>
            <w:tcW w:w="1842" w:type="dxa"/>
            <w:vMerge w:val="restart"/>
            <w:vAlign w:val="center"/>
          </w:tcPr>
          <w:p w:rsidR="00013EC7" w:rsidRDefault="00575CDB">
            <w:pPr>
              <w:spacing w:line="300" w:lineRule="exact"/>
              <w:jc w:val="left"/>
              <w:rPr>
                <w:rFonts w:ascii="仿宋" w:eastAsia="仿宋" w:hAnsi="仿宋" w:cs="仿宋"/>
                <w:b/>
                <w:bCs/>
                <w:i/>
                <w:sz w:val="24"/>
              </w:rPr>
            </w:pPr>
            <w:r>
              <w:rPr>
                <w:rFonts w:ascii="仿宋" w:eastAsia="仿宋" w:hAnsi="仿宋" w:cs="仿宋" w:hint="eastAsia"/>
                <w:b/>
                <w:bCs/>
                <w:i/>
                <w:sz w:val="24"/>
              </w:rPr>
              <w:t>取消</w:t>
            </w:r>
          </w:p>
        </w:tc>
        <w:tc>
          <w:tcPr>
            <w:tcW w:w="2127" w:type="dxa"/>
            <w:vMerge/>
            <w:vAlign w:val="center"/>
          </w:tcPr>
          <w:p w:rsidR="00013EC7" w:rsidRDefault="00013EC7">
            <w:pPr>
              <w:spacing w:line="300" w:lineRule="exact"/>
              <w:rPr>
                <w:rFonts w:ascii="仿宋" w:eastAsia="仿宋" w:hAnsi="仿宋" w:cs="仿宋"/>
                <w:sz w:val="24"/>
              </w:rPr>
            </w:pPr>
          </w:p>
        </w:tc>
        <w:tc>
          <w:tcPr>
            <w:tcW w:w="708" w:type="dxa"/>
            <w:vMerge/>
            <w:vAlign w:val="center"/>
          </w:tcPr>
          <w:p w:rsidR="00013EC7" w:rsidRDefault="00013EC7">
            <w:pPr>
              <w:rPr>
                <w:rFonts w:ascii="仿宋" w:eastAsia="仿宋" w:hAnsi="仿宋" w:cs="仿宋"/>
                <w:sz w:val="24"/>
              </w:rPr>
            </w:pPr>
          </w:p>
        </w:tc>
        <w:tc>
          <w:tcPr>
            <w:tcW w:w="709" w:type="dxa"/>
            <w:vMerge/>
            <w:vAlign w:val="center"/>
          </w:tcPr>
          <w:p w:rsidR="00013EC7" w:rsidRDefault="00013EC7">
            <w:pPr>
              <w:rPr>
                <w:rFonts w:ascii="仿宋" w:eastAsia="仿宋" w:hAnsi="仿宋" w:cs="仿宋"/>
                <w:sz w:val="24"/>
              </w:rPr>
            </w:pPr>
          </w:p>
        </w:tc>
        <w:tc>
          <w:tcPr>
            <w:tcW w:w="851" w:type="dxa"/>
            <w:vMerge/>
            <w:vAlign w:val="center"/>
          </w:tcPr>
          <w:p w:rsidR="00013EC7" w:rsidRDefault="00013EC7">
            <w:pPr>
              <w:rPr>
                <w:rFonts w:ascii="仿宋" w:eastAsia="仿宋" w:hAnsi="仿宋" w:cs="仿宋"/>
                <w:sz w:val="24"/>
              </w:rPr>
            </w:pPr>
          </w:p>
        </w:tc>
        <w:tc>
          <w:tcPr>
            <w:tcW w:w="992" w:type="dxa"/>
            <w:vMerge/>
            <w:vAlign w:val="center"/>
          </w:tcPr>
          <w:p w:rsidR="00013EC7" w:rsidRDefault="00013EC7">
            <w:pPr>
              <w:rPr>
                <w:rFonts w:ascii="仿宋" w:eastAsia="仿宋" w:hAnsi="仿宋" w:cs="仿宋"/>
                <w:sz w:val="24"/>
              </w:rPr>
            </w:pPr>
          </w:p>
        </w:tc>
        <w:tc>
          <w:tcPr>
            <w:tcW w:w="991" w:type="dxa"/>
            <w:vMerge/>
            <w:vAlign w:val="center"/>
          </w:tcPr>
          <w:p w:rsidR="00013EC7" w:rsidRDefault="00013EC7">
            <w:pPr>
              <w:rPr>
                <w:rFonts w:ascii="仿宋" w:eastAsia="仿宋" w:hAnsi="仿宋" w:cs="仿宋"/>
                <w:sz w:val="24"/>
              </w:rPr>
            </w:pPr>
          </w:p>
        </w:tc>
      </w:tr>
      <w:tr w:rsidR="00013EC7">
        <w:trPr>
          <w:trHeight w:val="340"/>
          <w:jc w:val="center"/>
        </w:trPr>
        <w:tc>
          <w:tcPr>
            <w:tcW w:w="672" w:type="dxa"/>
            <w:vMerge/>
            <w:textDirection w:val="tbRlV"/>
            <w:vAlign w:val="center"/>
          </w:tcPr>
          <w:p w:rsidR="00013EC7" w:rsidRDefault="00013EC7">
            <w:pPr>
              <w:rPr>
                <w:rFonts w:ascii="仿宋" w:eastAsia="仿宋" w:hAnsi="仿宋" w:cs="仿宋"/>
                <w:sz w:val="24"/>
              </w:rPr>
            </w:pPr>
          </w:p>
        </w:tc>
        <w:tc>
          <w:tcPr>
            <w:tcW w:w="888" w:type="dxa"/>
            <w:vMerge/>
            <w:vAlign w:val="center"/>
          </w:tcPr>
          <w:p w:rsidR="00013EC7" w:rsidRDefault="00013EC7">
            <w:pPr>
              <w:rPr>
                <w:rFonts w:ascii="仿宋" w:eastAsia="仿宋" w:hAnsi="仿宋" w:cs="仿宋"/>
                <w:sz w:val="24"/>
              </w:rPr>
            </w:pPr>
          </w:p>
        </w:tc>
        <w:tc>
          <w:tcPr>
            <w:tcW w:w="2619" w:type="dxa"/>
            <w:vMerge/>
            <w:vAlign w:val="center"/>
          </w:tcPr>
          <w:p w:rsidR="00013EC7" w:rsidRDefault="00013EC7">
            <w:pPr>
              <w:jc w:val="left"/>
              <w:rPr>
                <w:rFonts w:ascii="仿宋" w:eastAsia="仿宋" w:hAnsi="仿宋" w:cs="仿宋"/>
                <w:sz w:val="24"/>
              </w:rPr>
            </w:pPr>
          </w:p>
        </w:tc>
        <w:tc>
          <w:tcPr>
            <w:tcW w:w="2910" w:type="dxa"/>
            <w:vAlign w:val="center"/>
          </w:tcPr>
          <w:p w:rsidR="00013EC7" w:rsidRDefault="00575CDB">
            <w:pPr>
              <w:spacing w:line="300" w:lineRule="exact"/>
              <w:jc w:val="left"/>
              <w:rPr>
                <w:rFonts w:ascii="仿宋" w:eastAsia="仿宋" w:hAnsi="仿宋" w:cs="仿宋"/>
                <w:sz w:val="24"/>
                <w:highlight w:val="lightGray"/>
              </w:rPr>
            </w:pPr>
            <w:r>
              <w:rPr>
                <w:rFonts w:ascii="仿宋" w:eastAsia="仿宋" w:hAnsi="仿宋" w:cs="仿宋" w:hint="eastAsia"/>
                <w:sz w:val="24"/>
                <w:highlight w:val="lightGray"/>
              </w:rPr>
              <w:t>（四）香港、澳门特别行政区、台湾地区居民，提供入境的身份证明和居住证明。</w:t>
            </w:r>
          </w:p>
        </w:tc>
        <w:tc>
          <w:tcPr>
            <w:tcW w:w="1417" w:type="dxa"/>
            <w:vMerge/>
            <w:vAlign w:val="center"/>
          </w:tcPr>
          <w:p w:rsidR="00013EC7" w:rsidRDefault="00013EC7">
            <w:pPr>
              <w:jc w:val="left"/>
              <w:rPr>
                <w:rFonts w:ascii="仿宋" w:eastAsia="仿宋" w:hAnsi="仿宋" w:cs="仿宋"/>
                <w:sz w:val="24"/>
              </w:rPr>
            </w:pPr>
          </w:p>
        </w:tc>
        <w:tc>
          <w:tcPr>
            <w:tcW w:w="3119" w:type="dxa"/>
            <w:vAlign w:val="center"/>
          </w:tcPr>
          <w:p w:rsidR="00013EC7" w:rsidRDefault="00013EC7">
            <w:pPr>
              <w:spacing w:line="300" w:lineRule="exact"/>
              <w:jc w:val="left"/>
              <w:rPr>
                <w:rFonts w:ascii="仿宋" w:eastAsia="仿宋" w:hAnsi="仿宋" w:cs="仿宋"/>
                <w:sz w:val="24"/>
              </w:rPr>
            </w:pPr>
          </w:p>
        </w:tc>
        <w:tc>
          <w:tcPr>
            <w:tcW w:w="1842" w:type="dxa"/>
            <w:vMerge/>
            <w:vAlign w:val="center"/>
          </w:tcPr>
          <w:p w:rsidR="00013EC7" w:rsidRDefault="00013EC7">
            <w:pPr>
              <w:jc w:val="left"/>
              <w:rPr>
                <w:rFonts w:ascii="仿宋" w:eastAsia="仿宋" w:hAnsi="仿宋" w:cs="仿宋"/>
                <w:sz w:val="24"/>
              </w:rPr>
            </w:pPr>
          </w:p>
        </w:tc>
        <w:tc>
          <w:tcPr>
            <w:tcW w:w="2127" w:type="dxa"/>
            <w:vMerge/>
            <w:vAlign w:val="center"/>
          </w:tcPr>
          <w:p w:rsidR="00013EC7" w:rsidRDefault="00013EC7">
            <w:pPr>
              <w:spacing w:line="300" w:lineRule="exact"/>
              <w:rPr>
                <w:rFonts w:ascii="仿宋" w:eastAsia="仿宋" w:hAnsi="仿宋" w:cs="仿宋"/>
                <w:sz w:val="24"/>
              </w:rPr>
            </w:pPr>
          </w:p>
        </w:tc>
        <w:tc>
          <w:tcPr>
            <w:tcW w:w="708" w:type="dxa"/>
            <w:vMerge/>
            <w:vAlign w:val="center"/>
          </w:tcPr>
          <w:p w:rsidR="00013EC7" w:rsidRDefault="00013EC7">
            <w:pPr>
              <w:rPr>
                <w:rFonts w:ascii="仿宋" w:eastAsia="仿宋" w:hAnsi="仿宋" w:cs="仿宋"/>
                <w:sz w:val="24"/>
              </w:rPr>
            </w:pPr>
          </w:p>
        </w:tc>
        <w:tc>
          <w:tcPr>
            <w:tcW w:w="709" w:type="dxa"/>
            <w:vMerge/>
            <w:vAlign w:val="center"/>
          </w:tcPr>
          <w:p w:rsidR="00013EC7" w:rsidRDefault="00013EC7">
            <w:pPr>
              <w:rPr>
                <w:rFonts w:ascii="仿宋" w:eastAsia="仿宋" w:hAnsi="仿宋" w:cs="仿宋"/>
                <w:sz w:val="24"/>
              </w:rPr>
            </w:pPr>
          </w:p>
        </w:tc>
        <w:tc>
          <w:tcPr>
            <w:tcW w:w="851" w:type="dxa"/>
            <w:vMerge/>
            <w:vAlign w:val="center"/>
          </w:tcPr>
          <w:p w:rsidR="00013EC7" w:rsidRDefault="00013EC7">
            <w:pPr>
              <w:rPr>
                <w:rFonts w:ascii="仿宋" w:eastAsia="仿宋" w:hAnsi="仿宋" w:cs="仿宋"/>
                <w:sz w:val="24"/>
              </w:rPr>
            </w:pPr>
          </w:p>
        </w:tc>
        <w:tc>
          <w:tcPr>
            <w:tcW w:w="992" w:type="dxa"/>
            <w:vMerge/>
            <w:vAlign w:val="center"/>
          </w:tcPr>
          <w:p w:rsidR="00013EC7" w:rsidRDefault="00013EC7">
            <w:pPr>
              <w:rPr>
                <w:rFonts w:ascii="仿宋" w:eastAsia="仿宋" w:hAnsi="仿宋" w:cs="仿宋"/>
                <w:sz w:val="24"/>
              </w:rPr>
            </w:pPr>
          </w:p>
        </w:tc>
        <w:tc>
          <w:tcPr>
            <w:tcW w:w="991" w:type="dxa"/>
            <w:vMerge/>
            <w:vAlign w:val="center"/>
          </w:tcPr>
          <w:p w:rsidR="00013EC7" w:rsidRDefault="00013EC7">
            <w:pPr>
              <w:rPr>
                <w:rFonts w:ascii="仿宋" w:eastAsia="仿宋" w:hAnsi="仿宋" w:cs="仿宋"/>
                <w:sz w:val="24"/>
              </w:rPr>
            </w:pPr>
          </w:p>
        </w:tc>
      </w:tr>
      <w:tr w:rsidR="00013EC7">
        <w:trPr>
          <w:trHeight w:val="340"/>
          <w:jc w:val="center"/>
        </w:trPr>
        <w:tc>
          <w:tcPr>
            <w:tcW w:w="672" w:type="dxa"/>
            <w:vMerge/>
            <w:vAlign w:val="center"/>
          </w:tcPr>
          <w:p w:rsidR="00013EC7" w:rsidRDefault="00013EC7">
            <w:pPr>
              <w:rPr>
                <w:rFonts w:ascii="仿宋" w:eastAsia="仿宋" w:hAnsi="仿宋" w:cs="仿宋"/>
                <w:sz w:val="24"/>
              </w:rPr>
            </w:pPr>
          </w:p>
        </w:tc>
        <w:tc>
          <w:tcPr>
            <w:tcW w:w="888" w:type="dxa"/>
            <w:vMerge/>
            <w:vAlign w:val="center"/>
          </w:tcPr>
          <w:p w:rsidR="00013EC7" w:rsidRDefault="00013EC7">
            <w:pPr>
              <w:rPr>
                <w:rFonts w:ascii="仿宋" w:eastAsia="仿宋" w:hAnsi="仿宋" w:cs="仿宋"/>
                <w:sz w:val="24"/>
              </w:rPr>
            </w:pPr>
          </w:p>
        </w:tc>
        <w:tc>
          <w:tcPr>
            <w:tcW w:w="2619" w:type="dxa"/>
            <w:vMerge/>
            <w:vAlign w:val="center"/>
          </w:tcPr>
          <w:p w:rsidR="00013EC7" w:rsidRDefault="00013EC7">
            <w:pPr>
              <w:jc w:val="left"/>
              <w:rPr>
                <w:rFonts w:ascii="仿宋" w:eastAsia="仿宋" w:hAnsi="仿宋" w:cs="仿宋"/>
                <w:sz w:val="24"/>
              </w:rPr>
            </w:pPr>
          </w:p>
        </w:tc>
        <w:tc>
          <w:tcPr>
            <w:tcW w:w="2910" w:type="dxa"/>
            <w:vAlign w:val="center"/>
          </w:tcPr>
          <w:p w:rsidR="00013EC7" w:rsidRDefault="00575CDB">
            <w:pPr>
              <w:spacing w:line="300" w:lineRule="exact"/>
              <w:jc w:val="left"/>
              <w:rPr>
                <w:rFonts w:ascii="仿宋" w:eastAsia="仿宋" w:hAnsi="仿宋" w:cs="仿宋"/>
                <w:sz w:val="24"/>
                <w:highlight w:val="lightGray"/>
              </w:rPr>
            </w:pPr>
            <w:r>
              <w:rPr>
                <w:rFonts w:ascii="仿宋" w:eastAsia="仿宋" w:hAnsi="仿宋" w:cs="仿宋" w:hint="eastAsia"/>
                <w:sz w:val="24"/>
                <w:highlight w:val="lightGray"/>
              </w:rPr>
              <w:t>（五）外国人，提供入境的身份证明和居住证明。</w:t>
            </w:r>
          </w:p>
        </w:tc>
        <w:tc>
          <w:tcPr>
            <w:tcW w:w="1417" w:type="dxa"/>
            <w:vMerge/>
            <w:vAlign w:val="center"/>
          </w:tcPr>
          <w:p w:rsidR="00013EC7" w:rsidRDefault="00013EC7">
            <w:pPr>
              <w:jc w:val="left"/>
              <w:rPr>
                <w:rFonts w:ascii="仿宋" w:eastAsia="仿宋" w:hAnsi="仿宋" w:cs="仿宋"/>
                <w:sz w:val="24"/>
              </w:rPr>
            </w:pPr>
          </w:p>
        </w:tc>
        <w:tc>
          <w:tcPr>
            <w:tcW w:w="3119" w:type="dxa"/>
            <w:vAlign w:val="center"/>
          </w:tcPr>
          <w:p w:rsidR="00013EC7" w:rsidRDefault="00013EC7">
            <w:pPr>
              <w:spacing w:line="300" w:lineRule="exact"/>
              <w:jc w:val="left"/>
              <w:rPr>
                <w:rFonts w:ascii="仿宋" w:eastAsia="仿宋" w:hAnsi="仿宋" w:cs="仿宋"/>
                <w:sz w:val="24"/>
              </w:rPr>
            </w:pPr>
          </w:p>
        </w:tc>
        <w:tc>
          <w:tcPr>
            <w:tcW w:w="1842" w:type="dxa"/>
            <w:vMerge/>
            <w:vAlign w:val="center"/>
          </w:tcPr>
          <w:p w:rsidR="00013EC7" w:rsidRDefault="00013EC7">
            <w:pPr>
              <w:jc w:val="left"/>
              <w:rPr>
                <w:rFonts w:ascii="仿宋" w:eastAsia="仿宋" w:hAnsi="仿宋" w:cs="仿宋"/>
                <w:sz w:val="24"/>
              </w:rPr>
            </w:pPr>
          </w:p>
        </w:tc>
        <w:tc>
          <w:tcPr>
            <w:tcW w:w="2127" w:type="dxa"/>
            <w:vMerge/>
            <w:vAlign w:val="center"/>
          </w:tcPr>
          <w:p w:rsidR="00013EC7" w:rsidRDefault="00013EC7">
            <w:pPr>
              <w:spacing w:line="300" w:lineRule="exact"/>
              <w:rPr>
                <w:rFonts w:ascii="仿宋" w:eastAsia="仿宋" w:hAnsi="仿宋" w:cs="仿宋"/>
                <w:sz w:val="24"/>
              </w:rPr>
            </w:pPr>
          </w:p>
        </w:tc>
        <w:tc>
          <w:tcPr>
            <w:tcW w:w="708" w:type="dxa"/>
            <w:vMerge/>
            <w:vAlign w:val="center"/>
          </w:tcPr>
          <w:p w:rsidR="00013EC7" w:rsidRDefault="00013EC7">
            <w:pPr>
              <w:rPr>
                <w:rFonts w:ascii="仿宋" w:eastAsia="仿宋" w:hAnsi="仿宋" w:cs="仿宋"/>
                <w:sz w:val="24"/>
              </w:rPr>
            </w:pPr>
          </w:p>
        </w:tc>
        <w:tc>
          <w:tcPr>
            <w:tcW w:w="709" w:type="dxa"/>
            <w:vMerge/>
            <w:vAlign w:val="center"/>
          </w:tcPr>
          <w:p w:rsidR="00013EC7" w:rsidRDefault="00013EC7">
            <w:pPr>
              <w:rPr>
                <w:rFonts w:ascii="仿宋" w:eastAsia="仿宋" w:hAnsi="仿宋" w:cs="仿宋"/>
                <w:sz w:val="24"/>
              </w:rPr>
            </w:pPr>
          </w:p>
        </w:tc>
        <w:tc>
          <w:tcPr>
            <w:tcW w:w="851" w:type="dxa"/>
            <w:vMerge/>
            <w:vAlign w:val="center"/>
          </w:tcPr>
          <w:p w:rsidR="00013EC7" w:rsidRDefault="00013EC7">
            <w:pPr>
              <w:rPr>
                <w:rFonts w:ascii="仿宋" w:eastAsia="仿宋" w:hAnsi="仿宋" w:cs="仿宋"/>
                <w:sz w:val="24"/>
              </w:rPr>
            </w:pPr>
          </w:p>
        </w:tc>
        <w:tc>
          <w:tcPr>
            <w:tcW w:w="992" w:type="dxa"/>
            <w:vMerge/>
            <w:vAlign w:val="center"/>
          </w:tcPr>
          <w:p w:rsidR="00013EC7" w:rsidRDefault="00013EC7">
            <w:pPr>
              <w:rPr>
                <w:rFonts w:ascii="仿宋" w:eastAsia="仿宋" w:hAnsi="仿宋" w:cs="仿宋"/>
                <w:sz w:val="24"/>
              </w:rPr>
            </w:pPr>
          </w:p>
        </w:tc>
        <w:tc>
          <w:tcPr>
            <w:tcW w:w="991" w:type="dxa"/>
            <w:vMerge/>
            <w:vAlign w:val="center"/>
          </w:tcPr>
          <w:p w:rsidR="00013EC7" w:rsidRDefault="00013EC7">
            <w:pPr>
              <w:rPr>
                <w:rFonts w:ascii="仿宋" w:eastAsia="仿宋" w:hAnsi="仿宋" w:cs="仿宋"/>
                <w:sz w:val="24"/>
              </w:rPr>
            </w:pPr>
          </w:p>
        </w:tc>
      </w:tr>
      <w:tr w:rsidR="00013EC7">
        <w:trPr>
          <w:trHeight w:val="340"/>
          <w:jc w:val="center"/>
        </w:trPr>
        <w:tc>
          <w:tcPr>
            <w:tcW w:w="672" w:type="dxa"/>
            <w:vMerge/>
            <w:vAlign w:val="center"/>
          </w:tcPr>
          <w:p w:rsidR="00013EC7" w:rsidRDefault="00013EC7">
            <w:pPr>
              <w:rPr>
                <w:rFonts w:ascii="仿宋" w:eastAsia="仿宋" w:hAnsi="仿宋" w:cs="仿宋"/>
                <w:sz w:val="24"/>
              </w:rPr>
            </w:pPr>
          </w:p>
        </w:tc>
        <w:tc>
          <w:tcPr>
            <w:tcW w:w="888" w:type="dxa"/>
            <w:vMerge/>
            <w:vAlign w:val="center"/>
          </w:tcPr>
          <w:p w:rsidR="00013EC7" w:rsidRDefault="00013EC7">
            <w:pPr>
              <w:rPr>
                <w:rFonts w:ascii="仿宋" w:eastAsia="仿宋" w:hAnsi="仿宋" w:cs="仿宋"/>
                <w:sz w:val="24"/>
              </w:rPr>
            </w:pPr>
          </w:p>
        </w:tc>
        <w:tc>
          <w:tcPr>
            <w:tcW w:w="2619" w:type="dxa"/>
            <w:vMerge/>
            <w:vAlign w:val="center"/>
          </w:tcPr>
          <w:p w:rsidR="00013EC7" w:rsidRDefault="00013EC7">
            <w:pPr>
              <w:jc w:val="left"/>
              <w:rPr>
                <w:rFonts w:ascii="仿宋" w:eastAsia="仿宋" w:hAnsi="仿宋" w:cs="仿宋"/>
                <w:sz w:val="24"/>
              </w:rPr>
            </w:pPr>
          </w:p>
        </w:tc>
        <w:tc>
          <w:tcPr>
            <w:tcW w:w="2910" w:type="dxa"/>
            <w:vAlign w:val="center"/>
          </w:tcPr>
          <w:p w:rsidR="00013EC7" w:rsidRDefault="00575CDB">
            <w:pPr>
              <w:spacing w:line="300" w:lineRule="exact"/>
              <w:jc w:val="left"/>
              <w:rPr>
                <w:rFonts w:ascii="仿宋" w:eastAsia="仿宋" w:hAnsi="仿宋" w:cs="仿宋"/>
                <w:sz w:val="24"/>
                <w:highlight w:val="lightGray"/>
              </w:rPr>
            </w:pPr>
            <w:r>
              <w:rPr>
                <w:rFonts w:ascii="仿宋" w:eastAsia="仿宋" w:hAnsi="仿宋" w:cs="仿宋" w:hint="eastAsia"/>
                <w:sz w:val="24"/>
                <w:highlight w:val="lightGray"/>
              </w:rPr>
              <w:t>（六）组织机构，提供《营业执照》或者《税务登记证》或者《组织机构代码证》或者其他有效机构证明。</w:t>
            </w:r>
          </w:p>
        </w:tc>
        <w:tc>
          <w:tcPr>
            <w:tcW w:w="1417" w:type="dxa"/>
            <w:vMerge/>
            <w:vAlign w:val="center"/>
          </w:tcPr>
          <w:p w:rsidR="00013EC7" w:rsidRDefault="00013EC7">
            <w:pPr>
              <w:jc w:val="left"/>
              <w:rPr>
                <w:rFonts w:ascii="仿宋" w:eastAsia="仿宋" w:hAnsi="仿宋" w:cs="仿宋"/>
                <w:sz w:val="24"/>
              </w:rPr>
            </w:pPr>
          </w:p>
        </w:tc>
        <w:tc>
          <w:tcPr>
            <w:tcW w:w="3119" w:type="dxa"/>
            <w:vAlign w:val="center"/>
          </w:tcPr>
          <w:p w:rsidR="00013EC7" w:rsidRDefault="00013EC7">
            <w:pPr>
              <w:spacing w:line="300" w:lineRule="exact"/>
              <w:jc w:val="left"/>
              <w:rPr>
                <w:rFonts w:ascii="仿宋" w:eastAsia="仿宋" w:hAnsi="仿宋" w:cs="仿宋"/>
                <w:sz w:val="24"/>
              </w:rPr>
            </w:pPr>
          </w:p>
        </w:tc>
        <w:tc>
          <w:tcPr>
            <w:tcW w:w="1842" w:type="dxa"/>
            <w:vMerge/>
            <w:vAlign w:val="center"/>
          </w:tcPr>
          <w:p w:rsidR="00013EC7" w:rsidRDefault="00013EC7">
            <w:pPr>
              <w:jc w:val="left"/>
              <w:rPr>
                <w:rFonts w:ascii="仿宋" w:eastAsia="仿宋" w:hAnsi="仿宋" w:cs="仿宋"/>
                <w:sz w:val="24"/>
              </w:rPr>
            </w:pPr>
          </w:p>
        </w:tc>
        <w:tc>
          <w:tcPr>
            <w:tcW w:w="2127" w:type="dxa"/>
            <w:vMerge/>
            <w:vAlign w:val="center"/>
          </w:tcPr>
          <w:p w:rsidR="00013EC7" w:rsidRDefault="00013EC7">
            <w:pPr>
              <w:spacing w:line="300" w:lineRule="exact"/>
              <w:rPr>
                <w:rFonts w:ascii="仿宋" w:eastAsia="仿宋" w:hAnsi="仿宋" w:cs="仿宋"/>
                <w:sz w:val="24"/>
              </w:rPr>
            </w:pPr>
          </w:p>
        </w:tc>
        <w:tc>
          <w:tcPr>
            <w:tcW w:w="708" w:type="dxa"/>
            <w:vMerge/>
            <w:vAlign w:val="center"/>
          </w:tcPr>
          <w:p w:rsidR="00013EC7" w:rsidRDefault="00013EC7">
            <w:pPr>
              <w:rPr>
                <w:rFonts w:ascii="仿宋" w:eastAsia="仿宋" w:hAnsi="仿宋" w:cs="仿宋"/>
                <w:sz w:val="24"/>
              </w:rPr>
            </w:pPr>
          </w:p>
        </w:tc>
        <w:tc>
          <w:tcPr>
            <w:tcW w:w="709" w:type="dxa"/>
            <w:vMerge/>
            <w:vAlign w:val="center"/>
          </w:tcPr>
          <w:p w:rsidR="00013EC7" w:rsidRDefault="00013EC7">
            <w:pPr>
              <w:rPr>
                <w:rFonts w:ascii="仿宋" w:eastAsia="仿宋" w:hAnsi="仿宋" w:cs="仿宋"/>
                <w:sz w:val="24"/>
              </w:rPr>
            </w:pPr>
          </w:p>
        </w:tc>
        <w:tc>
          <w:tcPr>
            <w:tcW w:w="851" w:type="dxa"/>
            <w:vMerge/>
            <w:vAlign w:val="center"/>
          </w:tcPr>
          <w:p w:rsidR="00013EC7" w:rsidRDefault="00013EC7">
            <w:pPr>
              <w:rPr>
                <w:rFonts w:ascii="仿宋" w:eastAsia="仿宋" w:hAnsi="仿宋" w:cs="仿宋"/>
                <w:sz w:val="24"/>
              </w:rPr>
            </w:pPr>
          </w:p>
        </w:tc>
        <w:tc>
          <w:tcPr>
            <w:tcW w:w="992" w:type="dxa"/>
            <w:vMerge/>
            <w:vAlign w:val="center"/>
          </w:tcPr>
          <w:p w:rsidR="00013EC7" w:rsidRDefault="00013EC7">
            <w:pPr>
              <w:rPr>
                <w:rFonts w:ascii="仿宋" w:eastAsia="仿宋" w:hAnsi="仿宋" w:cs="仿宋"/>
                <w:sz w:val="24"/>
              </w:rPr>
            </w:pPr>
          </w:p>
        </w:tc>
        <w:tc>
          <w:tcPr>
            <w:tcW w:w="991" w:type="dxa"/>
            <w:vMerge/>
            <w:vAlign w:val="center"/>
          </w:tcPr>
          <w:p w:rsidR="00013EC7" w:rsidRDefault="00013EC7">
            <w:pPr>
              <w:rPr>
                <w:rFonts w:ascii="仿宋" w:eastAsia="仿宋" w:hAnsi="仿宋" w:cs="仿宋"/>
                <w:sz w:val="24"/>
              </w:rPr>
            </w:pPr>
          </w:p>
        </w:tc>
      </w:tr>
      <w:tr w:rsidR="00013EC7">
        <w:trPr>
          <w:trHeight w:val="1050"/>
          <w:jc w:val="center"/>
        </w:trPr>
        <w:tc>
          <w:tcPr>
            <w:tcW w:w="672" w:type="dxa"/>
            <w:vMerge/>
            <w:vAlign w:val="center"/>
          </w:tcPr>
          <w:p w:rsidR="00013EC7" w:rsidRDefault="00013EC7">
            <w:pPr>
              <w:rPr>
                <w:rFonts w:ascii="仿宋" w:eastAsia="仿宋" w:hAnsi="仿宋" w:cs="仿宋"/>
                <w:sz w:val="24"/>
              </w:rPr>
            </w:pPr>
          </w:p>
        </w:tc>
        <w:tc>
          <w:tcPr>
            <w:tcW w:w="888" w:type="dxa"/>
            <w:vMerge/>
            <w:vAlign w:val="center"/>
          </w:tcPr>
          <w:p w:rsidR="00013EC7" w:rsidRDefault="00013EC7">
            <w:pPr>
              <w:rPr>
                <w:rFonts w:ascii="仿宋" w:eastAsia="仿宋" w:hAnsi="仿宋" w:cs="仿宋"/>
                <w:sz w:val="24"/>
              </w:rPr>
            </w:pPr>
          </w:p>
        </w:tc>
        <w:tc>
          <w:tcPr>
            <w:tcW w:w="2619" w:type="dxa"/>
            <w:vMerge/>
            <w:vAlign w:val="center"/>
          </w:tcPr>
          <w:p w:rsidR="00013EC7" w:rsidRDefault="00013EC7">
            <w:pPr>
              <w:jc w:val="left"/>
              <w:rPr>
                <w:rFonts w:ascii="仿宋" w:eastAsia="仿宋" w:hAnsi="仿宋" w:cs="仿宋"/>
                <w:sz w:val="24"/>
              </w:rPr>
            </w:pPr>
          </w:p>
        </w:tc>
        <w:tc>
          <w:tcPr>
            <w:tcW w:w="2910"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（七）车辆价格证明：</w:t>
            </w:r>
          </w:p>
          <w:p w:rsidR="00013EC7" w:rsidRDefault="00575CDB">
            <w:pPr>
              <w:spacing w:line="300" w:lineRule="exact"/>
              <w:jc w:val="left"/>
              <w:rPr>
                <w:rFonts w:ascii="仿宋" w:eastAsia="仿宋" w:hAnsi="仿宋" w:cs="仿宋"/>
                <w:sz w:val="24"/>
              </w:rPr>
            </w:pPr>
            <w:r>
              <w:rPr>
                <w:rFonts w:ascii="仿宋" w:eastAsia="仿宋" w:hAnsi="仿宋" w:cs="仿宋" w:hint="eastAsia"/>
                <w:sz w:val="24"/>
              </w:rPr>
              <w:t>境内购置车辆，提供销售者开具给纳税人购买应税车辆所支付的全部价款和</w:t>
            </w:r>
            <w:r>
              <w:rPr>
                <w:rFonts w:ascii="仿宋" w:eastAsia="仿宋" w:hAnsi="仿宋" w:cs="仿宋" w:hint="eastAsia"/>
                <w:sz w:val="24"/>
              </w:rPr>
              <w:lastRenderedPageBreak/>
              <w:t>价外费用的凭证，包括统一发票（发票联和报税联）或者其他有效凭证。</w:t>
            </w:r>
          </w:p>
          <w:p w:rsidR="00013EC7" w:rsidRDefault="00575CDB">
            <w:pPr>
              <w:spacing w:line="300" w:lineRule="exact"/>
              <w:jc w:val="left"/>
              <w:rPr>
                <w:rFonts w:ascii="仿宋" w:eastAsia="仿宋" w:hAnsi="仿宋" w:cs="仿宋"/>
                <w:sz w:val="24"/>
              </w:rPr>
            </w:pPr>
            <w:r>
              <w:rPr>
                <w:rFonts w:ascii="仿宋" w:eastAsia="仿宋" w:hAnsi="仿宋" w:cs="仿宋" w:hint="eastAsia"/>
                <w:sz w:val="24"/>
              </w:rPr>
              <w:t>进口自用车辆，提供《海关进口关税专用缴款书》或者《海关进口消费税专用缴款书》或者海关进出口货物征免税证明。</w:t>
            </w:r>
          </w:p>
        </w:tc>
        <w:tc>
          <w:tcPr>
            <w:tcW w:w="1417" w:type="dxa"/>
            <w:vMerge/>
            <w:vAlign w:val="center"/>
          </w:tcPr>
          <w:p w:rsidR="00013EC7" w:rsidRDefault="00013EC7">
            <w:pPr>
              <w:spacing w:line="300" w:lineRule="exact"/>
              <w:jc w:val="left"/>
              <w:rPr>
                <w:rFonts w:ascii="仿宋" w:eastAsia="仿宋" w:hAnsi="仿宋" w:cs="仿宋"/>
                <w:sz w:val="24"/>
              </w:rPr>
            </w:pPr>
          </w:p>
        </w:tc>
        <w:tc>
          <w:tcPr>
            <w:tcW w:w="3119" w:type="dxa"/>
            <w:vAlign w:val="center"/>
          </w:tcPr>
          <w:p w:rsidR="00013EC7" w:rsidRDefault="00575CDB">
            <w:pPr>
              <w:spacing w:line="300" w:lineRule="exact"/>
              <w:jc w:val="left"/>
              <w:rPr>
                <w:rFonts w:ascii="仿宋" w:eastAsia="仿宋" w:hAnsi="仿宋"/>
                <w:color w:val="000000"/>
                <w:sz w:val="24"/>
              </w:rPr>
            </w:pPr>
            <w:r>
              <w:rPr>
                <w:rFonts w:ascii="仿宋" w:eastAsia="仿宋" w:hAnsi="仿宋" w:hint="eastAsia"/>
                <w:color w:val="000000"/>
                <w:sz w:val="24"/>
              </w:rPr>
              <w:t>（三）销售者开具给纳税人购买应税车辆所支付的全部价款和价外费用的凭证，包括统一发票（报税联）或者</w:t>
            </w:r>
            <w:r>
              <w:rPr>
                <w:rFonts w:ascii="仿宋" w:eastAsia="仿宋" w:hAnsi="仿宋" w:hint="eastAsia"/>
                <w:color w:val="000000"/>
                <w:sz w:val="24"/>
              </w:rPr>
              <w:lastRenderedPageBreak/>
              <w:t>其他有效凭证。</w:t>
            </w:r>
          </w:p>
        </w:tc>
        <w:tc>
          <w:tcPr>
            <w:tcW w:w="1842" w:type="dxa"/>
            <w:vAlign w:val="center"/>
          </w:tcPr>
          <w:p w:rsidR="00013EC7" w:rsidRDefault="00575CDB">
            <w:pPr>
              <w:spacing w:line="300" w:lineRule="exact"/>
              <w:jc w:val="left"/>
              <w:rPr>
                <w:rFonts w:ascii="仿宋" w:eastAsia="仿宋" w:hAnsi="仿宋"/>
                <w:sz w:val="24"/>
              </w:rPr>
            </w:pPr>
            <w:r>
              <w:rPr>
                <w:rFonts w:ascii="仿宋" w:eastAsia="仿宋" w:hAnsi="仿宋" w:hint="eastAsia"/>
                <w:sz w:val="24"/>
              </w:rPr>
              <w:lastRenderedPageBreak/>
              <w:t>境内购置国产或进口新车的纳税人提交</w:t>
            </w:r>
          </w:p>
        </w:tc>
        <w:tc>
          <w:tcPr>
            <w:tcW w:w="2127" w:type="dxa"/>
            <w:vMerge/>
            <w:vAlign w:val="center"/>
          </w:tcPr>
          <w:p w:rsidR="00013EC7" w:rsidRDefault="00013EC7">
            <w:pPr>
              <w:spacing w:line="300" w:lineRule="exact"/>
              <w:rPr>
                <w:rFonts w:ascii="仿宋" w:eastAsia="仿宋" w:hAnsi="仿宋" w:cs="仿宋"/>
                <w:sz w:val="24"/>
              </w:rPr>
            </w:pPr>
          </w:p>
        </w:tc>
        <w:tc>
          <w:tcPr>
            <w:tcW w:w="708" w:type="dxa"/>
            <w:vMerge/>
            <w:vAlign w:val="center"/>
          </w:tcPr>
          <w:p w:rsidR="00013EC7" w:rsidRDefault="00013EC7">
            <w:pPr>
              <w:rPr>
                <w:rFonts w:ascii="仿宋" w:eastAsia="仿宋" w:hAnsi="仿宋" w:cs="仿宋"/>
                <w:sz w:val="24"/>
              </w:rPr>
            </w:pPr>
          </w:p>
        </w:tc>
        <w:tc>
          <w:tcPr>
            <w:tcW w:w="709" w:type="dxa"/>
            <w:vMerge/>
            <w:vAlign w:val="center"/>
          </w:tcPr>
          <w:p w:rsidR="00013EC7" w:rsidRDefault="00013EC7">
            <w:pPr>
              <w:rPr>
                <w:rFonts w:ascii="仿宋" w:eastAsia="仿宋" w:hAnsi="仿宋" w:cs="仿宋"/>
                <w:sz w:val="24"/>
              </w:rPr>
            </w:pPr>
          </w:p>
        </w:tc>
        <w:tc>
          <w:tcPr>
            <w:tcW w:w="851" w:type="dxa"/>
            <w:vMerge/>
            <w:vAlign w:val="center"/>
          </w:tcPr>
          <w:p w:rsidR="00013EC7" w:rsidRDefault="00013EC7">
            <w:pPr>
              <w:rPr>
                <w:rFonts w:ascii="仿宋" w:eastAsia="仿宋" w:hAnsi="仿宋" w:cs="仿宋"/>
                <w:sz w:val="24"/>
              </w:rPr>
            </w:pPr>
          </w:p>
        </w:tc>
        <w:tc>
          <w:tcPr>
            <w:tcW w:w="992" w:type="dxa"/>
            <w:vMerge/>
            <w:vAlign w:val="center"/>
          </w:tcPr>
          <w:p w:rsidR="00013EC7" w:rsidRDefault="00013EC7">
            <w:pPr>
              <w:rPr>
                <w:rFonts w:ascii="仿宋" w:eastAsia="仿宋" w:hAnsi="仿宋" w:cs="仿宋"/>
                <w:sz w:val="24"/>
              </w:rPr>
            </w:pPr>
          </w:p>
        </w:tc>
        <w:tc>
          <w:tcPr>
            <w:tcW w:w="991" w:type="dxa"/>
            <w:vMerge/>
            <w:vAlign w:val="center"/>
          </w:tcPr>
          <w:p w:rsidR="00013EC7" w:rsidRDefault="00013EC7">
            <w:pPr>
              <w:rPr>
                <w:rFonts w:ascii="仿宋" w:eastAsia="仿宋" w:hAnsi="仿宋" w:cs="仿宋"/>
                <w:sz w:val="24"/>
              </w:rPr>
            </w:pPr>
          </w:p>
        </w:tc>
      </w:tr>
      <w:tr w:rsidR="00013EC7">
        <w:trPr>
          <w:trHeight w:val="1050"/>
          <w:jc w:val="center"/>
        </w:trPr>
        <w:tc>
          <w:tcPr>
            <w:tcW w:w="672" w:type="dxa"/>
            <w:vMerge/>
            <w:vAlign w:val="center"/>
          </w:tcPr>
          <w:p w:rsidR="00013EC7" w:rsidRDefault="00013EC7">
            <w:pPr>
              <w:rPr>
                <w:rFonts w:ascii="仿宋" w:eastAsia="仿宋" w:hAnsi="仿宋" w:cs="仿宋"/>
                <w:sz w:val="24"/>
              </w:rPr>
            </w:pPr>
          </w:p>
        </w:tc>
        <w:tc>
          <w:tcPr>
            <w:tcW w:w="888" w:type="dxa"/>
            <w:vMerge/>
            <w:vAlign w:val="center"/>
          </w:tcPr>
          <w:p w:rsidR="00013EC7" w:rsidRDefault="00013EC7">
            <w:pPr>
              <w:rPr>
                <w:rFonts w:ascii="仿宋" w:eastAsia="仿宋" w:hAnsi="仿宋" w:cs="仿宋"/>
                <w:sz w:val="24"/>
              </w:rPr>
            </w:pPr>
          </w:p>
        </w:tc>
        <w:tc>
          <w:tcPr>
            <w:tcW w:w="2619" w:type="dxa"/>
            <w:vMerge/>
            <w:vAlign w:val="center"/>
          </w:tcPr>
          <w:p w:rsidR="00013EC7" w:rsidRDefault="00013EC7">
            <w:pPr>
              <w:jc w:val="left"/>
              <w:rPr>
                <w:rFonts w:ascii="仿宋" w:eastAsia="仿宋" w:hAnsi="仿宋" w:cs="仿宋"/>
                <w:sz w:val="24"/>
              </w:rPr>
            </w:pPr>
          </w:p>
        </w:tc>
        <w:tc>
          <w:tcPr>
            <w:tcW w:w="2910" w:type="dxa"/>
            <w:vMerge/>
            <w:vAlign w:val="center"/>
          </w:tcPr>
          <w:p w:rsidR="00013EC7" w:rsidRDefault="00013EC7">
            <w:pPr>
              <w:spacing w:line="300" w:lineRule="exact"/>
              <w:jc w:val="left"/>
              <w:rPr>
                <w:rFonts w:ascii="仿宋" w:eastAsia="仿宋" w:hAnsi="仿宋" w:cs="仿宋"/>
                <w:sz w:val="24"/>
              </w:rPr>
            </w:pPr>
          </w:p>
        </w:tc>
        <w:tc>
          <w:tcPr>
            <w:tcW w:w="1417" w:type="dxa"/>
            <w:vMerge/>
            <w:vAlign w:val="center"/>
          </w:tcPr>
          <w:p w:rsidR="00013EC7" w:rsidRDefault="00013EC7">
            <w:pPr>
              <w:spacing w:line="300" w:lineRule="exact"/>
              <w:jc w:val="left"/>
              <w:rPr>
                <w:rFonts w:ascii="仿宋" w:eastAsia="仿宋" w:hAnsi="仿宋" w:cs="仿宋"/>
                <w:sz w:val="24"/>
              </w:rPr>
            </w:pPr>
          </w:p>
        </w:tc>
        <w:tc>
          <w:tcPr>
            <w:tcW w:w="3119" w:type="dxa"/>
            <w:vAlign w:val="center"/>
          </w:tcPr>
          <w:p w:rsidR="00013EC7" w:rsidRDefault="00575CDB">
            <w:pPr>
              <w:spacing w:line="300" w:lineRule="exact"/>
              <w:jc w:val="left"/>
              <w:rPr>
                <w:rFonts w:ascii="仿宋" w:eastAsia="仿宋" w:hAnsi="仿宋"/>
                <w:color w:val="000000"/>
                <w:sz w:val="24"/>
              </w:rPr>
            </w:pPr>
            <w:r>
              <w:rPr>
                <w:rFonts w:ascii="仿宋" w:eastAsia="仿宋" w:hAnsi="仿宋" w:hint="eastAsia"/>
                <w:color w:val="000000"/>
                <w:sz w:val="24"/>
              </w:rPr>
              <w:t>（四）整车出厂合格证明（查验）或者车辆电子信息单（查验）。</w:t>
            </w:r>
          </w:p>
        </w:tc>
        <w:tc>
          <w:tcPr>
            <w:tcW w:w="1842" w:type="dxa"/>
            <w:vAlign w:val="center"/>
          </w:tcPr>
          <w:p w:rsidR="00013EC7" w:rsidRDefault="00575CDB">
            <w:pPr>
              <w:spacing w:line="300" w:lineRule="exact"/>
              <w:jc w:val="left"/>
              <w:rPr>
                <w:rFonts w:ascii="仿宋" w:eastAsia="仿宋" w:hAnsi="仿宋"/>
                <w:sz w:val="24"/>
              </w:rPr>
            </w:pPr>
            <w:r>
              <w:rPr>
                <w:rFonts w:ascii="仿宋" w:eastAsia="仿宋" w:hAnsi="仿宋" w:hint="eastAsia"/>
                <w:sz w:val="24"/>
              </w:rPr>
              <w:t>境内购置国产新车的纳税人提交</w:t>
            </w:r>
          </w:p>
        </w:tc>
        <w:tc>
          <w:tcPr>
            <w:tcW w:w="2127" w:type="dxa"/>
            <w:vMerge/>
            <w:vAlign w:val="center"/>
          </w:tcPr>
          <w:p w:rsidR="00013EC7" w:rsidRDefault="00013EC7">
            <w:pPr>
              <w:spacing w:line="300" w:lineRule="exact"/>
              <w:rPr>
                <w:rFonts w:ascii="仿宋" w:eastAsia="仿宋" w:hAnsi="仿宋" w:cs="仿宋"/>
                <w:sz w:val="24"/>
              </w:rPr>
            </w:pPr>
          </w:p>
        </w:tc>
        <w:tc>
          <w:tcPr>
            <w:tcW w:w="708" w:type="dxa"/>
            <w:vMerge/>
            <w:vAlign w:val="center"/>
          </w:tcPr>
          <w:p w:rsidR="00013EC7" w:rsidRDefault="00013EC7">
            <w:pPr>
              <w:rPr>
                <w:rFonts w:ascii="仿宋" w:eastAsia="仿宋" w:hAnsi="仿宋" w:cs="仿宋"/>
                <w:sz w:val="24"/>
              </w:rPr>
            </w:pPr>
          </w:p>
        </w:tc>
        <w:tc>
          <w:tcPr>
            <w:tcW w:w="709" w:type="dxa"/>
            <w:vMerge/>
            <w:vAlign w:val="center"/>
          </w:tcPr>
          <w:p w:rsidR="00013EC7" w:rsidRDefault="00013EC7">
            <w:pPr>
              <w:rPr>
                <w:rFonts w:ascii="仿宋" w:eastAsia="仿宋" w:hAnsi="仿宋" w:cs="仿宋"/>
                <w:sz w:val="24"/>
              </w:rPr>
            </w:pPr>
          </w:p>
        </w:tc>
        <w:tc>
          <w:tcPr>
            <w:tcW w:w="851" w:type="dxa"/>
            <w:vMerge/>
            <w:vAlign w:val="center"/>
          </w:tcPr>
          <w:p w:rsidR="00013EC7" w:rsidRDefault="00013EC7">
            <w:pPr>
              <w:rPr>
                <w:rFonts w:ascii="仿宋" w:eastAsia="仿宋" w:hAnsi="仿宋" w:cs="仿宋"/>
                <w:sz w:val="24"/>
              </w:rPr>
            </w:pPr>
          </w:p>
        </w:tc>
        <w:tc>
          <w:tcPr>
            <w:tcW w:w="992" w:type="dxa"/>
            <w:vMerge/>
            <w:vAlign w:val="center"/>
          </w:tcPr>
          <w:p w:rsidR="00013EC7" w:rsidRDefault="00013EC7">
            <w:pPr>
              <w:rPr>
                <w:rFonts w:ascii="仿宋" w:eastAsia="仿宋" w:hAnsi="仿宋" w:cs="仿宋"/>
                <w:sz w:val="24"/>
              </w:rPr>
            </w:pPr>
          </w:p>
        </w:tc>
        <w:tc>
          <w:tcPr>
            <w:tcW w:w="991" w:type="dxa"/>
            <w:vMerge/>
            <w:vAlign w:val="center"/>
          </w:tcPr>
          <w:p w:rsidR="00013EC7" w:rsidRDefault="00013EC7">
            <w:pPr>
              <w:rPr>
                <w:rFonts w:ascii="仿宋" w:eastAsia="仿宋" w:hAnsi="仿宋" w:cs="仿宋"/>
                <w:sz w:val="24"/>
              </w:rPr>
            </w:pPr>
          </w:p>
        </w:tc>
      </w:tr>
      <w:tr w:rsidR="00013EC7">
        <w:trPr>
          <w:trHeight w:val="2100"/>
          <w:jc w:val="center"/>
        </w:trPr>
        <w:tc>
          <w:tcPr>
            <w:tcW w:w="672" w:type="dxa"/>
            <w:vMerge/>
            <w:vAlign w:val="center"/>
          </w:tcPr>
          <w:p w:rsidR="00013EC7" w:rsidRDefault="00013EC7">
            <w:pPr>
              <w:rPr>
                <w:rFonts w:ascii="仿宋" w:eastAsia="仿宋" w:hAnsi="仿宋" w:cs="仿宋"/>
                <w:sz w:val="24"/>
              </w:rPr>
            </w:pPr>
          </w:p>
        </w:tc>
        <w:tc>
          <w:tcPr>
            <w:tcW w:w="888" w:type="dxa"/>
            <w:vMerge/>
            <w:vAlign w:val="center"/>
          </w:tcPr>
          <w:p w:rsidR="00013EC7" w:rsidRDefault="00013EC7">
            <w:pPr>
              <w:rPr>
                <w:rFonts w:ascii="仿宋" w:eastAsia="仿宋" w:hAnsi="仿宋" w:cs="仿宋"/>
                <w:sz w:val="24"/>
              </w:rPr>
            </w:pPr>
          </w:p>
        </w:tc>
        <w:tc>
          <w:tcPr>
            <w:tcW w:w="2619" w:type="dxa"/>
            <w:vMerge/>
            <w:vAlign w:val="center"/>
          </w:tcPr>
          <w:p w:rsidR="00013EC7" w:rsidRDefault="00013EC7">
            <w:pPr>
              <w:jc w:val="left"/>
              <w:rPr>
                <w:rFonts w:ascii="仿宋" w:eastAsia="仿宋" w:hAnsi="仿宋" w:cs="仿宋"/>
                <w:sz w:val="24"/>
              </w:rPr>
            </w:pPr>
          </w:p>
        </w:tc>
        <w:tc>
          <w:tcPr>
            <w:tcW w:w="2910" w:type="dxa"/>
            <w:vMerge/>
            <w:vAlign w:val="center"/>
          </w:tcPr>
          <w:p w:rsidR="00013EC7" w:rsidRDefault="00013EC7">
            <w:pPr>
              <w:spacing w:line="300" w:lineRule="exact"/>
              <w:jc w:val="left"/>
              <w:rPr>
                <w:rFonts w:ascii="仿宋" w:eastAsia="仿宋" w:hAnsi="仿宋" w:cs="仿宋"/>
                <w:sz w:val="24"/>
              </w:rPr>
            </w:pPr>
          </w:p>
        </w:tc>
        <w:tc>
          <w:tcPr>
            <w:tcW w:w="1417" w:type="dxa"/>
            <w:vMerge/>
            <w:vAlign w:val="center"/>
          </w:tcPr>
          <w:p w:rsidR="00013EC7" w:rsidRDefault="00013EC7">
            <w:pPr>
              <w:spacing w:line="300" w:lineRule="exact"/>
              <w:jc w:val="left"/>
              <w:rPr>
                <w:rFonts w:ascii="仿宋" w:eastAsia="仿宋" w:hAnsi="仿宋" w:cs="仿宋"/>
                <w:sz w:val="24"/>
              </w:rPr>
            </w:pPr>
          </w:p>
        </w:tc>
        <w:tc>
          <w:tcPr>
            <w:tcW w:w="3119" w:type="dxa"/>
            <w:vAlign w:val="center"/>
          </w:tcPr>
          <w:p w:rsidR="00013EC7" w:rsidRDefault="00575CDB">
            <w:pPr>
              <w:spacing w:line="300" w:lineRule="exact"/>
              <w:jc w:val="left"/>
              <w:rPr>
                <w:rFonts w:ascii="仿宋" w:eastAsia="仿宋" w:hAnsi="仿宋"/>
                <w:color w:val="000000"/>
                <w:sz w:val="24"/>
              </w:rPr>
            </w:pPr>
            <w:r>
              <w:rPr>
                <w:rFonts w:ascii="仿宋" w:eastAsia="仿宋" w:hAnsi="仿宋" w:hint="eastAsia"/>
                <w:color w:val="000000"/>
                <w:sz w:val="24"/>
              </w:rPr>
              <w:t>（五）《海关进口关税专用缴款书》、《海关进口消费税专用缴款书》或者海关进出口货物征免税证明（查验原件并留存复印件，复印件需注明与原件一致并加盖公章）。</w:t>
            </w:r>
          </w:p>
        </w:tc>
        <w:tc>
          <w:tcPr>
            <w:tcW w:w="1842" w:type="dxa"/>
            <w:vAlign w:val="center"/>
          </w:tcPr>
          <w:p w:rsidR="00013EC7" w:rsidRDefault="00575CDB">
            <w:pPr>
              <w:spacing w:line="300" w:lineRule="exact"/>
              <w:jc w:val="left"/>
              <w:rPr>
                <w:rFonts w:ascii="仿宋" w:eastAsia="仿宋" w:hAnsi="仿宋"/>
                <w:sz w:val="24"/>
              </w:rPr>
            </w:pPr>
            <w:r>
              <w:rPr>
                <w:rFonts w:ascii="仿宋" w:eastAsia="仿宋" w:hAnsi="仿宋" w:hint="eastAsia"/>
                <w:sz w:val="24"/>
              </w:rPr>
              <w:t>内部共享</w:t>
            </w:r>
          </w:p>
        </w:tc>
        <w:tc>
          <w:tcPr>
            <w:tcW w:w="2127" w:type="dxa"/>
            <w:vMerge/>
            <w:vAlign w:val="center"/>
          </w:tcPr>
          <w:p w:rsidR="00013EC7" w:rsidRDefault="00013EC7">
            <w:pPr>
              <w:spacing w:line="300" w:lineRule="exact"/>
              <w:rPr>
                <w:rFonts w:ascii="仿宋" w:eastAsia="仿宋" w:hAnsi="仿宋" w:cs="仿宋"/>
                <w:sz w:val="24"/>
              </w:rPr>
            </w:pPr>
          </w:p>
        </w:tc>
        <w:tc>
          <w:tcPr>
            <w:tcW w:w="708" w:type="dxa"/>
            <w:vMerge/>
            <w:vAlign w:val="center"/>
          </w:tcPr>
          <w:p w:rsidR="00013EC7" w:rsidRDefault="00013EC7">
            <w:pPr>
              <w:rPr>
                <w:rFonts w:ascii="仿宋" w:eastAsia="仿宋" w:hAnsi="仿宋" w:cs="仿宋"/>
                <w:sz w:val="24"/>
              </w:rPr>
            </w:pPr>
          </w:p>
        </w:tc>
        <w:tc>
          <w:tcPr>
            <w:tcW w:w="709" w:type="dxa"/>
            <w:vMerge/>
            <w:vAlign w:val="center"/>
          </w:tcPr>
          <w:p w:rsidR="00013EC7" w:rsidRDefault="00013EC7">
            <w:pPr>
              <w:rPr>
                <w:rFonts w:ascii="仿宋" w:eastAsia="仿宋" w:hAnsi="仿宋" w:cs="仿宋"/>
                <w:sz w:val="24"/>
              </w:rPr>
            </w:pPr>
          </w:p>
        </w:tc>
        <w:tc>
          <w:tcPr>
            <w:tcW w:w="851" w:type="dxa"/>
            <w:vMerge/>
            <w:vAlign w:val="center"/>
          </w:tcPr>
          <w:p w:rsidR="00013EC7" w:rsidRDefault="00013EC7">
            <w:pPr>
              <w:rPr>
                <w:rFonts w:ascii="仿宋" w:eastAsia="仿宋" w:hAnsi="仿宋" w:cs="仿宋"/>
                <w:sz w:val="24"/>
              </w:rPr>
            </w:pPr>
          </w:p>
        </w:tc>
        <w:tc>
          <w:tcPr>
            <w:tcW w:w="992" w:type="dxa"/>
            <w:vMerge/>
            <w:vAlign w:val="center"/>
          </w:tcPr>
          <w:p w:rsidR="00013EC7" w:rsidRDefault="00013EC7">
            <w:pPr>
              <w:rPr>
                <w:rFonts w:ascii="仿宋" w:eastAsia="仿宋" w:hAnsi="仿宋" w:cs="仿宋"/>
                <w:sz w:val="24"/>
              </w:rPr>
            </w:pPr>
          </w:p>
        </w:tc>
        <w:tc>
          <w:tcPr>
            <w:tcW w:w="991" w:type="dxa"/>
            <w:vMerge/>
            <w:vAlign w:val="center"/>
          </w:tcPr>
          <w:p w:rsidR="00013EC7" w:rsidRDefault="00013EC7">
            <w:pPr>
              <w:rPr>
                <w:rFonts w:ascii="仿宋" w:eastAsia="仿宋" w:hAnsi="仿宋" w:cs="仿宋"/>
                <w:sz w:val="24"/>
              </w:rPr>
            </w:pPr>
          </w:p>
        </w:tc>
      </w:tr>
      <w:tr w:rsidR="00013EC7">
        <w:trPr>
          <w:trHeight w:val="2280"/>
          <w:jc w:val="center"/>
        </w:trPr>
        <w:tc>
          <w:tcPr>
            <w:tcW w:w="672" w:type="dxa"/>
            <w:vMerge/>
            <w:textDirection w:val="tbRlV"/>
            <w:vAlign w:val="center"/>
          </w:tcPr>
          <w:p w:rsidR="00013EC7" w:rsidRDefault="00013EC7">
            <w:pPr>
              <w:rPr>
                <w:rFonts w:ascii="仿宋" w:eastAsia="仿宋" w:hAnsi="仿宋" w:cs="仿宋"/>
                <w:sz w:val="24"/>
              </w:rPr>
            </w:pPr>
          </w:p>
        </w:tc>
        <w:tc>
          <w:tcPr>
            <w:tcW w:w="888" w:type="dxa"/>
            <w:vMerge/>
            <w:vAlign w:val="center"/>
          </w:tcPr>
          <w:p w:rsidR="00013EC7" w:rsidRDefault="00013EC7">
            <w:pPr>
              <w:rPr>
                <w:rFonts w:ascii="仿宋" w:eastAsia="仿宋" w:hAnsi="仿宋" w:cs="仿宋"/>
                <w:sz w:val="24"/>
              </w:rPr>
            </w:pPr>
          </w:p>
        </w:tc>
        <w:tc>
          <w:tcPr>
            <w:tcW w:w="2619" w:type="dxa"/>
            <w:vMerge/>
            <w:vAlign w:val="center"/>
          </w:tcPr>
          <w:p w:rsidR="00013EC7" w:rsidRDefault="00013EC7">
            <w:pPr>
              <w:jc w:val="left"/>
              <w:rPr>
                <w:rFonts w:ascii="仿宋" w:eastAsia="仿宋" w:hAnsi="仿宋" w:cs="仿宋"/>
                <w:sz w:val="24"/>
              </w:rPr>
            </w:pPr>
          </w:p>
        </w:tc>
        <w:tc>
          <w:tcPr>
            <w:tcW w:w="2910"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（八）车辆合格证明</w:t>
            </w:r>
            <w:r>
              <w:rPr>
                <w:rFonts w:ascii="仿宋" w:eastAsia="仿宋" w:hAnsi="仿宋" w:cs="仿宋" w:hint="eastAsia"/>
                <w:sz w:val="24"/>
                <w:highlight w:val="lightGray"/>
              </w:rPr>
              <w:t>原件及复印件</w:t>
            </w:r>
            <w:r>
              <w:rPr>
                <w:rFonts w:ascii="仿宋" w:eastAsia="仿宋" w:hAnsi="仿宋" w:cs="仿宋" w:hint="eastAsia"/>
                <w:sz w:val="24"/>
              </w:rPr>
              <w:t>。</w:t>
            </w:r>
          </w:p>
          <w:p w:rsidR="00013EC7" w:rsidRDefault="00575CDB">
            <w:pPr>
              <w:spacing w:line="300" w:lineRule="exact"/>
              <w:jc w:val="left"/>
              <w:rPr>
                <w:rFonts w:ascii="仿宋" w:eastAsia="仿宋" w:hAnsi="仿宋" w:cs="仿宋"/>
                <w:sz w:val="24"/>
              </w:rPr>
            </w:pPr>
            <w:r>
              <w:rPr>
                <w:rFonts w:ascii="仿宋" w:eastAsia="仿宋" w:hAnsi="仿宋" w:cs="仿宋" w:hint="eastAsia"/>
                <w:sz w:val="24"/>
              </w:rPr>
              <w:t>国产车辆，提供整车出厂合格证明或者车辆电子信息单。</w:t>
            </w:r>
          </w:p>
          <w:p w:rsidR="00013EC7" w:rsidRDefault="00575CDB">
            <w:pPr>
              <w:spacing w:line="300" w:lineRule="exact"/>
              <w:jc w:val="left"/>
              <w:rPr>
                <w:rFonts w:ascii="仿宋" w:eastAsia="仿宋" w:hAnsi="仿宋" w:cs="仿宋"/>
                <w:sz w:val="24"/>
              </w:rPr>
            </w:pPr>
            <w:r>
              <w:rPr>
                <w:rFonts w:ascii="仿宋" w:eastAsia="仿宋" w:hAnsi="仿宋" w:cs="仿宋" w:hint="eastAsia"/>
                <w:sz w:val="24"/>
              </w:rPr>
              <w:t>进口车辆，提供车辆电子信息单、车辆一致性证书、《中华人民共和国海关货物进口证明书》或者《中华人民共和国海关监管车辆进（出）境领（销）牌照通知书》或者《没收走私汽车、摩托车证明书》。</w:t>
            </w:r>
          </w:p>
        </w:tc>
        <w:tc>
          <w:tcPr>
            <w:tcW w:w="1417" w:type="dxa"/>
            <w:vMerge/>
            <w:vAlign w:val="center"/>
          </w:tcPr>
          <w:p w:rsidR="00013EC7" w:rsidRDefault="00013EC7">
            <w:pPr>
              <w:spacing w:line="300" w:lineRule="exact"/>
              <w:jc w:val="left"/>
              <w:rPr>
                <w:rFonts w:ascii="仿宋" w:eastAsia="仿宋" w:hAnsi="仿宋" w:cs="仿宋"/>
                <w:sz w:val="24"/>
              </w:rPr>
            </w:pPr>
          </w:p>
        </w:tc>
        <w:tc>
          <w:tcPr>
            <w:tcW w:w="3119" w:type="dxa"/>
            <w:tcBorders>
              <w:bottom w:val="single" w:sz="8" w:space="0" w:color="auto"/>
            </w:tcBorders>
            <w:vAlign w:val="center"/>
          </w:tcPr>
          <w:p w:rsidR="00013EC7" w:rsidRDefault="00575CDB">
            <w:pPr>
              <w:spacing w:line="300" w:lineRule="exact"/>
              <w:jc w:val="left"/>
              <w:rPr>
                <w:rFonts w:ascii="仿宋" w:eastAsia="仿宋" w:hAnsi="仿宋"/>
                <w:color w:val="000000"/>
                <w:sz w:val="24"/>
              </w:rPr>
            </w:pPr>
            <w:r>
              <w:rPr>
                <w:rFonts w:ascii="仿宋" w:eastAsia="仿宋" w:hAnsi="仿宋" w:hint="eastAsia"/>
                <w:color w:val="000000"/>
                <w:sz w:val="24"/>
              </w:rPr>
              <w:t>（六）车辆电子信息单（查验）、《中华人民共和国海关货物进口证明书》（查验）或者《中华人民共和国海关监管车辆进（出）境领（销）牌照通知书》（复印件, 且需注明与原件一致并加盖公章）或者《没收走私汽车、摩托车证明书》（复印件, 且需注明与原件一致并加盖公章）。</w:t>
            </w:r>
          </w:p>
        </w:tc>
        <w:tc>
          <w:tcPr>
            <w:tcW w:w="1842" w:type="dxa"/>
            <w:vAlign w:val="center"/>
          </w:tcPr>
          <w:p w:rsidR="00013EC7" w:rsidRDefault="00575CDB">
            <w:pPr>
              <w:spacing w:line="300" w:lineRule="exact"/>
              <w:jc w:val="left"/>
              <w:rPr>
                <w:rFonts w:ascii="仿宋" w:eastAsia="仿宋" w:hAnsi="仿宋"/>
                <w:sz w:val="24"/>
              </w:rPr>
            </w:pPr>
            <w:r>
              <w:rPr>
                <w:rFonts w:ascii="仿宋" w:eastAsia="仿宋" w:hAnsi="仿宋" w:hint="eastAsia"/>
                <w:sz w:val="24"/>
              </w:rPr>
              <w:t>境内购置进口新车、进口自用新车的纳税人提交</w:t>
            </w:r>
          </w:p>
        </w:tc>
        <w:tc>
          <w:tcPr>
            <w:tcW w:w="2127" w:type="dxa"/>
            <w:vMerge/>
            <w:vAlign w:val="center"/>
          </w:tcPr>
          <w:p w:rsidR="00013EC7" w:rsidRDefault="00013EC7">
            <w:pPr>
              <w:spacing w:line="300" w:lineRule="exact"/>
              <w:rPr>
                <w:rFonts w:ascii="仿宋" w:eastAsia="仿宋" w:hAnsi="仿宋" w:cs="仿宋"/>
                <w:sz w:val="24"/>
              </w:rPr>
            </w:pPr>
          </w:p>
        </w:tc>
        <w:tc>
          <w:tcPr>
            <w:tcW w:w="708" w:type="dxa"/>
            <w:vMerge/>
            <w:vAlign w:val="center"/>
          </w:tcPr>
          <w:p w:rsidR="00013EC7" w:rsidRDefault="00013EC7">
            <w:pPr>
              <w:rPr>
                <w:rFonts w:ascii="仿宋" w:eastAsia="仿宋" w:hAnsi="仿宋" w:cs="仿宋"/>
                <w:sz w:val="24"/>
              </w:rPr>
            </w:pPr>
          </w:p>
        </w:tc>
        <w:tc>
          <w:tcPr>
            <w:tcW w:w="709" w:type="dxa"/>
            <w:vMerge/>
            <w:vAlign w:val="center"/>
          </w:tcPr>
          <w:p w:rsidR="00013EC7" w:rsidRDefault="00013EC7">
            <w:pPr>
              <w:rPr>
                <w:rFonts w:ascii="仿宋" w:eastAsia="仿宋" w:hAnsi="仿宋" w:cs="仿宋"/>
                <w:sz w:val="24"/>
              </w:rPr>
            </w:pPr>
          </w:p>
        </w:tc>
        <w:tc>
          <w:tcPr>
            <w:tcW w:w="851" w:type="dxa"/>
            <w:vMerge/>
            <w:vAlign w:val="center"/>
          </w:tcPr>
          <w:p w:rsidR="00013EC7" w:rsidRDefault="00013EC7">
            <w:pPr>
              <w:rPr>
                <w:rFonts w:ascii="仿宋" w:eastAsia="仿宋" w:hAnsi="仿宋" w:cs="仿宋"/>
                <w:sz w:val="24"/>
              </w:rPr>
            </w:pPr>
          </w:p>
        </w:tc>
        <w:tc>
          <w:tcPr>
            <w:tcW w:w="992" w:type="dxa"/>
            <w:vMerge/>
            <w:vAlign w:val="center"/>
          </w:tcPr>
          <w:p w:rsidR="00013EC7" w:rsidRDefault="00013EC7">
            <w:pPr>
              <w:rPr>
                <w:rFonts w:ascii="仿宋" w:eastAsia="仿宋" w:hAnsi="仿宋" w:cs="仿宋"/>
                <w:sz w:val="24"/>
              </w:rPr>
            </w:pPr>
          </w:p>
        </w:tc>
        <w:tc>
          <w:tcPr>
            <w:tcW w:w="991" w:type="dxa"/>
            <w:vMerge/>
            <w:vAlign w:val="center"/>
          </w:tcPr>
          <w:p w:rsidR="00013EC7" w:rsidRDefault="00013EC7">
            <w:pPr>
              <w:rPr>
                <w:rFonts w:ascii="仿宋" w:eastAsia="仿宋" w:hAnsi="仿宋" w:cs="仿宋"/>
                <w:sz w:val="24"/>
              </w:rPr>
            </w:pPr>
          </w:p>
        </w:tc>
      </w:tr>
      <w:tr w:rsidR="00013EC7">
        <w:trPr>
          <w:jc w:val="center"/>
        </w:trPr>
        <w:tc>
          <w:tcPr>
            <w:tcW w:w="672" w:type="dxa"/>
            <w:vMerge/>
            <w:textDirection w:val="tbRlV"/>
            <w:vAlign w:val="center"/>
          </w:tcPr>
          <w:p w:rsidR="00013EC7" w:rsidRDefault="00013EC7">
            <w:pPr>
              <w:rPr>
                <w:rFonts w:ascii="仿宋" w:eastAsia="仿宋" w:hAnsi="仿宋" w:cs="仿宋"/>
                <w:sz w:val="24"/>
              </w:rPr>
            </w:pPr>
          </w:p>
        </w:tc>
        <w:tc>
          <w:tcPr>
            <w:tcW w:w="888" w:type="dxa"/>
            <w:vMerge/>
            <w:vAlign w:val="center"/>
          </w:tcPr>
          <w:p w:rsidR="00013EC7" w:rsidRDefault="00013EC7">
            <w:pPr>
              <w:rPr>
                <w:rFonts w:ascii="仿宋" w:eastAsia="仿宋" w:hAnsi="仿宋" w:cs="仿宋"/>
                <w:sz w:val="24"/>
              </w:rPr>
            </w:pPr>
          </w:p>
        </w:tc>
        <w:tc>
          <w:tcPr>
            <w:tcW w:w="2619" w:type="dxa"/>
            <w:vMerge/>
            <w:vAlign w:val="center"/>
          </w:tcPr>
          <w:p w:rsidR="00013EC7" w:rsidRDefault="00013EC7">
            <w:pPr>
              <w:jc w:val="left"/>
              <w:rPr>
                <w:rFonts w:ascii="仿宋" w:eastAsia="仿宋" w:hAnsi="仿宋" w:cs="仿宋"/>
                <w:sz w:val="24"/>
              </w:rPr>
            </w:pPr>
          </w:p>
        </w:tc>
        <w:tc>
          <w:tcPr>
            <w:tcW w:w="2910"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（九）机构证明。</w:t>
            </w:r>
          </w:p>
        </w:tc>
        <w:tc>
          <w:tcPr>
            <w:tcW w:w="1417"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购置自用车辆的外国驻华使馆、领事馆和国际组织驻华机构及其外交人员提交</w:t>
            </w:r>
          </w:p>
        </w:tc>
        <w:tc>
          <w:tcPr>
            <w:tcW w:w="3119"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（七）机构证明。</w:t>
            </w:r>
          </w:p>
        </w:tc>
        <w:tc>
          <w:tcPr>
            <w:tcW w:w="1842"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购置自用车辆的外国驻华使馆、领事馆和国际组织驻华机构及其外交人员提交</w:t>
            </w:r>
          </w:p>
        </w:tc>
        <w:tc>
          <w:tcPr>
            <w:tcW w:w="2127" w:type="dxa"/>
            <w:vMerge/>
            <w:vAlign w:val="center"/>
          </w:tcPr>
          <w:p w:rsidR="00013EC7" w:rsidRDefault="00013EC7">
            <w:pPr>
              <w:spacing w:line="300" w:lineRule="exact"/>
              <w:rPr>
                <w:rFonts w:ascii="仿宋" w:eastAsia="仿宋" w:hAnsi="仿宋" w:cs="仿宋"/>
                <w:sz w:val="24"/>
              </w:rPr>
            </w:pPr>
          </w:p>
        </w:tc>
        <w:tc>
          <w:tcPr>
            <w:tcW w:w="708" w:type="dxa"/>
            <w:vMerge/>
            <w:vAlign w:val="center"/>
          </w:tcPr>
          <w:p w:rsidR="00013EC7" w:rsidRDefault="00013EC7">
            <w:pPr>
              <w:rPr>
                <w:rFonts w:ascii="仿宋" w:eastAsia="仿宋" w:hAnsi="仿宋" w:cs="仿宋"/>
                <w:sz w:val="24"/>
              </w:rPr>
            </w:pPr>
          </w:p>
        </w:tc>
        <w:tc>
          <w:tcPr>
            <w:tcW w:w="709" w:type="dxa"/>
            <w:vMerge/>
            <w:vAlign w:val="center"/>
          </w:tcPr>
          <w:p w:rsidR="00013EC7" w:rsidRDefault="00013EC7">
            <w:pPr>
              <w:rPr>
                <w:rFonts w:ascii="仿宋" w:eastAsia="仿宋" w:hAnsi="仿宋" w:cs="仿宋"/>
                <w:sz w:val="24"/>
              </w:rPr>
            </w:pPr>
          </w:p>
        </w:tc>
        <w:tc>
          <w:tcPr>
            <w:tcW w:w="851" w:type="dxa"/>
            <w:vMerge/>
            <w:vAlign w:val="center"/>
          </w:tcPr>
          <w:p w:rsidR="00013EC7" w:rsidRDefault="00013EC7">
            <w:pPr>
              <w:rPr>
                <w:rFonts w:ascii="仿宋" w:eastAsia="仿宋" w:hAnsi="仿宋" w:cs="仿宋"/>
                <w:sz w:val="24"/>
              </w:rPr>
            </w:pPr>
          </w:p>
        </w:tc>
        <w:tc>
          <w:tcPr>
            <w:tcW w:w="992" w:type="dxa"/>
            <w:vMerge/>
            <w:vAlign w:val="center"/>
          </w:tcPr>
          <w:p w:rsidR="00013EC7" w:rsidRDefault="00013EC7">
            <w:pPr>
              <w:rPr>
                <w:rFonts w:ascii="仿宋" w:eastAsia="仿宋" w:hAnsi="仿宋" w:cs="仿宋"/>
                <w:sz w:val="24"/>
              </w:rPr>
            </w:pPr>
          </w:p>
        </w:tc>
        <w:tc>
          <w:tcPr>
            <w:tcW w:w="991" w:type="dxa"/>
            <w:vMerge/>
            <w:vAlign w:val="center"/>
          </w:tcPr>
          <w:p w:rsidR="00013EC7" w:rsidRDefault="00013EC7">
            <w:pPr>
              <w:rPr>
                <w:rFonts w:ascii="仿宋" w:eastAsia="仿宋" w:hAnsi="仿宋" w:cs="仿宋"/>
                <w:sz w:val="24"/>
              </w:rPr>
            </w:pPr>
          </w:p>
        </w:tc>
      </w:tr>
      <w:tr w:rsidR="00013EC7">
        <w:trPr>
          <w:trHeight w:val="900"/>
          <w:jc w:val="center"/>
        </w:trPr>
        <w:tc>
          <w:tcPr>
            <w:tcW w:w="672" w:type="dxa"/>
            <w:vMerge/>
            <w:textDirection w:val="tbRlV"/>
            <w:vAlign w:val="center"/>
          </w:tcPr>
          <w:p w:rsidR="00013EC7" w:rsidRDefault="00013EC7">
            <w:pPr>
              <w:rPr>
                <w:rFonts w:ascii="仿宋" w:eastAsia="仿宋" w:hAnsi="仿宋" w:cs="仿宋"/>
                <w:sz w:val="24"/>
              </w:rPr>
            </w:pPr>
          </w:p>
        </w:tc>
        <w:tc>
          <w:tcPr>
            <w:tcW w:w="888" w:type="dxa"/>
            <w:vMerge/>
            <w:vAlign w:val="center"/>
          </w:tcPr>
          <w:p w:rsidR="00013EC7" w:rsidRDefault="00013EC7">
            <w:pPr>
              <w:rPr>
                <w:rFonts w:ascii="仿宋" w:eastAsia="仿宋" w:hAnsi="仿宋" w:cs="仿宋"/>
                <w:sz w:val="24"/>
              </w:rPr>
            </w:pPr>
          </w:p>
        </w:tc>
        <w:tc>
          <w:tcPr>
            <w:tcW w:w="2619" w:type="dxa"/>
            <w:vMerge/>
            <w:vAlign w:val="center"/>
          </w:tcPr>
          <w:p w:rsidR="00013EC7" w:rsidRDefault="00013EC7">
            <w:pPr>
              <w:jc w:val="left"/>
              <w:rPr>
                <w:rFonts w:ascii="仿宋" w:eastAsia="仿宋" w:hAnsi="仿宋" w:cs="仿宋"/>
                <w:sz w:val="24"/>
              </w:rPr>
            </w:pPr>
          </w:p>
        </w:tc>
        <w:tc>
          <w:tcPr>
            <w:tcW w:w="2910"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（十）外交部门出具的身份证明。</w:t>
            </w:r>
          </w:p>
        </w:tc>
        <w:tc>
          <w:tcPr>
            <w:tcW w:w="1417" w:type="dxa"/>
            <w:vMerge/>
            <w:vAlign w:val="center"/>
          </w:tcPr>
          <w:p w:rsidR="00013EC7" w:rsidRDefault="00013EC7">
            <w:pPr>
              <w:spacing w:line="300" w:lineRule="exact"/>
              <w:jc w:val="left"/>
              <w:rPr>
                <w:rFonts w:ascii="仿宋" w:eastAsia="仿宋" w:hAnsi="仿宋" w:cs="仿宋"/>
                <w:sz w:val="24"/>
              </w:rPr>
            </w:pPr>
          </w:p>
        </w:tc>
        <w:tc>
          <w:tcPr>
            <w:tcW w:w="3119"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（八）外交部门出具的身份证明。</w:t>
            </w:r>
          </w:p>
        </w:tc>
        <w:tc>
          <w:tcPr>
            <w:tcW w:w="1842" w:type="dxa"/>
            <w:vMerge/>
            <w:vAlign w:val="center"/>
          </w:tcPr>
          <w:p w:rsidR="00013EC7" w:rsidRDefault="00013EC7">
            <w:pPr>
              <w:spacing w:line="300" w:lineRule="exact"/>
              <w:jc w:val="left"/>
              <w:rPr>
                <w:rFonts w:ascii="仿宋" w:eastAsia="仿宋" w:hAnsi="仿宋" w:cs="仿宋"/>
                <w:sz w:val="24"/>
              </w:rPr>
            </w:pPr>
          </w:p>
        </w:tc>
        <w:tc>
          <w:tcPr>
            <w:tcW w:w="2127" w:type="dxa"/>
            <w:vMerge/>
            <w:vAlign w:val="center"/>
          </w:tcPr>
          <w:p w:rsidR="00013EC7" w:rsidRDefault="00013EC7">
            <w:pPr>
              <w:spacing w:line="300" w:lineRule="exact"/>
              <w:rPr>
                <w:rFonts w:ascii="仿宋" w:eastAsia="仿宋" w:hAnsi="仿宋" w:cs="仿宋"/>
                <w:sz w:val="24"/>
              </w:rPr>
            </w:pPr>
          </w:p>
        </w:tc>
        <w:tc>
          <w:tcPr>
            <w:tcW w:w="708" w:type="dxa"/>
            <w:vMerge/>
            <w:vAlign w:val="center"/>
          </w:tcPr>
          <w:p w:rsidR="00013EC7" w:rsidRDefault="00013EC7">
            <w:pPr>
              <w:rPr>
                <w:rFonts w:ascii="仿宋" w:eastAsia="仿宋" w:hAnsi="仿宋" w:cs="仿宋"/>
                <w:sz w:val="24"/>
              </w:rPr>
            </w:pPr>
          </w:p>
        </w:tc>
        <w:tc>
          <w:tcPr>
            <w:tcW w:w="709" w:type="dxa"/>
            <w:vMerge/>
            <w:vAlign w:val="center"/>
          </w:tcPr>
          <w:p w:rsidR="00013EC7" w:rsidRDefault="00013EC7">
            <w:pPr>
              <w:rPr>
                <w:rFonts w:ascii="仿宋" w:eastAsia="仿宋" w:hAnsi="仿宋" w:cs="仿宋"/>
                <w:sz w:val="24"/>
              </w:rPr>
            </w:pPr>
          </w:p>
        </w:tc>
        <w:tc>
          <w:tcPr>
            <w:tcW w:w="851" w:type="dxa"/>
            <w:vMerge/>
            <w:vAlign w:val="center"/>
          </w:tcPr>
          <w:p w:rsidR="00013EC7" w:rsidRDefault="00013EC7">
            <w:pPr>
              <w:rPr>
                <w:rFonts w:ascii="仿宋" w:eastAsia="仿宋" w:hAnsi="仿宋" w:cs="仿宋"/>
                <w:sz w:val="24"/>
              </w:rPr>
            </w:pPr>
          </w:p>
        </w:tc>
        <w:tc>
          <w:tcPr>
            <w:tcW w:w="992" w:type="dxa"/>
            <w:vMerge/>
            <w:vAlign w:val="center"/>
          </w:tcPr>
          <w:p w:rsidR="00013EC7" w:rsidRDefault="00013EC7">
            <w:pPr>
              <w:rPr>
                <w:rFonts w:ascii="仿宋" w:eastAsia="仿宋" w:hAnsi="仿宋" w:cs="仿宋"/>
                <w:sz w:val="24"/>
              </w:rPr>
            </w:pPr>
          </w:p>
        </w:tc>
        <w:tc>
          <w:tcPr>
            <w:tcW w:w="991" w:type="dxa"/>
            <w:vMerge/>
            <w:vAlign w:val="center"/>
          </w:tcPr>
          <w:p w:rsidR="00013EC7" w:rsidRDefault="00013EC7">
            <w:pPr>
              <w:rPr>
                <w:rFonts w:ascii="仿宋" w:eastAsia="仿宋" w:hAnsi="仿宋" w:cs="仿宋"/>
                <w:sz w:val="24"/>
              </w:rPr>
            </w:pPr>
          </w:p>
        </w:tc>
      </w:tr>
      <w:tr w:rsidR="00013EC7">
        <w:trPr>
          <w:trHeight w:val="900"/>
          <w:jc w:val="center"/>
        </w:trPr>
        <w:tc>
          <w:tcPr>
            <w:tcW w:w="672" w:type="dxa"/>
            <w:vMerge/>
            <w:textDirection w:val="tbRlV"/>
            <w:vAlign w:val="center"/>
          </w:tcPr>
          <w:p w:rsidR="00013EC7" w:rsidRDefault="00013EC7">
            <w:pPr>
              <w:rPr>
                <w:rFonts w:ascii="仿宋" w:eastAsia="仿宋" w:hAnsi="仿宋" w:cs="仿宋"/>
                <w:sz w:val="24"/>
              </w:rPr>
            </w:pPr>
          </w:p>
        </w:tc>
        <w:tc>
          <w:tcPr>
            <w:tcW w:w="888" w:type="dxa"/>
            <w:vMerge/>
            <w:vAlign w:val="center"/>
          </w:tcPr>
          <w:p w:rsidR="00013EC7" w:rsidRDefault="00013EC7">
            <w:pPr>
              <w:rPr>
                <w:rFonts w:ascii="仿宋" w:eastAsia="仿宋" w:hAnsi="仿宋" w:cs="仿宋"/>
                <w:sz w:val="24"/>
              </w:rPr>
            </w:pPr>
          </w:p>
        </w:tc>
        <w:tc>
          <w:tcPr>
            <w:tcW w:w="2619" w:type="dxa"/>
            <w:vMerge/>
            <w:vAlign w:val="center"/>
          </w:tcPr>
          <w:p w:rsidR="00013EC7" w:rsidRDefault="00013EC7">
            <w:pPr>
              <w:jc w:val="left"/>
              <w:rPr>
                <w:rFonts w:ascii="仿宋" w:eastAsia="仿宋" w:hAnsi="仿宋" w:cs="仿宋"/>
                <w:sz w:val="24"/>
              </w:rPr>
            </w:pPr>
          </w:p>
        </w:tc>
        <w:tc>
          <w:tcPr>
            <w:tcW w:w="2910" w:type="dxa"/>
            <w:vAlign w:val="center"/>
          </w:tcPr>
          <w:p w:rsidR="00013EC7" w:rsidRDefault="00013EC7">
            <w:pPr>
              <w:spacing w:line="300" w:lineRule="exact"/>
              <w:jc w:val="left"/>
              <w:rPr>
                <w:rFonts w:ascii="仿宋" w:eastAsia="仿宋" w:hAnsi="仿宋" w:cs="仿宋"/>
                <w:sz w:val="24"/>
              </w:rPr>
            </w:pPr>
          </w:p>
        </w:tc>
        <w:tc>
          <w:tcPr>
            <w:tcW w:w="1417" w:type="dxa"/>
            <w:vMerge/>
            <w:vAlign w:val="center"/>
          </w:tcPr>
          <w:p w:rsidR="00013EC7" w:rsidRDefault="00013EC7">
            <w:pPr>
              <w:spacing w:line="300" w:lineRule="exact"/>
              <w:jc w:val="left"/>
              <w:rPr>
                <w:rFonts w:ascii="仿宋" w:eastAsia="仿宋" w:hAnsi="仿宋" w:cs="仿宋"/>
                <w:sz w:val="24"/>
              </w:rPr>
            </w:pPr>
          </w:p>
        </w:tc>
        <w:tc>
          <w:tcPr>
            <w:tcW w:w="3119"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（九）《自带物品申请表》（查验原件并留存复印件，复印件需注明与原件一致并加盖公章）。</w:t>
            </w:r>
          </w:p>
        </w:tc>
        <w:tc>
          <w:tcPr>
            <w:tcW w:w="1842" w:type="dxa"/>
            <w:vMerge/>
            <w:vAlign w:val="center"/>
          </w:tcPr>
          <w:p w:rsidR="00013EC7" w:rsidRDefault="00013EC7">
            <w:pPr>
              <w:spacing w:line="300" w:lineRule="exact"/>
              <w:jc w:val="left"/>
              <w:rPr>
                <w:rFonts w:ascii="仿宋" w:eastAsia="仿宋" w:hAnsi="仿宋" w:cs="仿宋"/>
                <w:sz w:val="24"/>
              </w:rPr>
            </w:pPr>
          </w:p>
        </w:tc>
        <w:tc>
          <w:tcPr>
            <w:tcW w:w="2127" w:type="dxa"/>
            <w:vMerge/>
            <w:vAlign w:val="center"/>
          </w:tcPr>
          <w:p w:rsidR="00013EC7" w:rsidRDefault="00013EC7">
            <w:pPr>
              <w:spacing w:line="300" w:lineRule="exact"/>
              <w:rPr>
                <w:rFonts w:ascii="仿宋" w:eastAsia="仿宋" w:hAnsi="仿宋" w:cs="仿宋"/>
                <w:sz w:val="24"/>
              </w:rPr>
            </w:pPr>
          </w:p>
        </w:tc>
        <w:tc>
          <w:tcPr>
            <w:tcW w:w="708" w:type="dxa"/>
            <w:vMerge/>
            <w:vAlign w:val="center"/>
          </w:tcPr>
          <w:p w:rsidR="00013EC7" w:rsidRDefault="00013EC7">
            <w:pPr>
              <w:rPr>
                <w:rFonts w:ascii="仿宋" w:eastAsia="仿宋" w:hAnsi="仿宋" w:cs="仿宋"/>
                <w:sz w:val="24"/>
              </w:rPr>
            </w:pPr>
          </w:p>
        </w:tc>
        <w:tc>
          <w:tcPr>
            <w:tcW w:w="709" w:type="dxa"/>
            <w:vMerge/>
            <w:vAlign w:val="center"/>
          </w:tcPr>
          <w:p w:rsidR="00013EC7" w:rsidRDefault="00013EC7">
            <w:pPr>
              <w:rPr>
                <w:rFonts w:ascii="仿宋" w:eastAsia="仿宋" w:hAnsi="仿宋" w:cs="仿宋"/>
                <w:sz w:val="24"/>
              </w:rPr>
            </w:pPr>
          </w:p>
        </w:tc>
        <w:tc>
          <w:tcPr>
            <w:tcW w:w="851" w:type="dxa"/>
            <w:vMerge/>
            <w:vAlign w:val="center"/>
          </w:tcPr>
          <w:p w:rsidR="00013EC7" w:rsidRDefault="00013EC7">
            <w:pPr>
              <w:rPr>
                <w:rFonts w:ascii="仿宋" w:eastAsia="仿宋" w:hAnsi="仿宋" w:cs="仿宋"/>
                <w:sz w:val="24"/>
              </w:rPr>
            </w:pPr>
          </w:p>
        </w:tc>
        <w:tc>
          <w:tcPr>
            <w:tcW w:w="992" w:type="dxa"/>
            <w:vMerge/>
            <w:vAlign w:val="center"/>
          </w:tcPr>
          <w:p w:rsidR="00013EC7" w:rsidRDefault="00013EC7">
            <w:pPr>
              <w:rPr>
                <w:rFonts w:ascii="仿宋" w:eastAsia="仿宋" w:hAnsi="仿宋" w:cs="仿宋"/>
                <w:sz w:val="24"/>
              </w:rPr>
            </w:pPr>
          </w:p>
        </w:tc>
        <w:tc>
          <w:tcPr>
            <w:tcW w:w="991" w:type="dxa"/>
            <w:vMerge/>
            <w:vAlign w:val="center"/>
          </w:tcPr>
          <w:p w:rsidR="00013EC7" w:rsidRDefault="00013EC7">
            <w:pPr>
              <w:rPr>
                <w:rFonts w:ascii="仿宋" w:eastAsia="仿宋" w:hAnsi="仿宋" w:cs="仿宋"/>
                <w:sz w:val="24"/>
              </w:rPr>
            </w:pPr>
          </w:p>
        </w:tc>
      </w:tr>
      <w:tr w:rsidR="00013EC7">
        <w:trPr>
          <w:trHeight w:val="992"/>
          <w:jc w:val="center"/>
        </w:trPr>
        <w:tc>
          <w:tcPr>
            <w:tcW w:w="672" w:type="dxa"/>
            <w:vMerge/>
            <w:textDirection w:val="tbRlV"/>
            <w:vAlign w:val="center"/>
          </w:tcPr>
          <w:p w:rsidR="00013EC7" w:rsidRDefault="00013EC7">
            <w:pPr>
              <w:rPr>
                <w:rFonts w:ascii="仿宋" w:eastAsia="仿宋" w:hAnsi="仿宋" w:cs="仿宋"/>
                <w:sz w:val="24"/>
              </w:rPr>
            </w:pPr>
          </w:p>
        </w:tc>
        <w:tc>
          <w:tcPr>
            <w:tcW w:w="888" w:type="dxa"/>
            <w:vMerge/>
            <w:vAlign w:val="center"/>
          </w:tcPr>
          <w:p w:rsidR="00013EC7" w:rsidRDefault="00013EC7">
            <w:pPr>
              <w:rPr>
                <w:rFonts w:ascii="仿宋" w:eastAsia="仿宋" w:hAnsi="仿宋" w:cs="仿宋"/>
                <w:sz w:val="24"/>
              </w:rPr>
            </w:pPr>
          </w:p>
        </w:tc>
        <w:tc>
          <w:tcPr>
            <w:tcW w:w="2619" w:type="dxa"/>
            <w:vMerge/>
            <w:vAlign w:val="center"/>
          </w:tcPr>
          <w:p w:rsidR="00013EC7" w:rsidRDefault="00013EC7">
            <w:pPr>
              <w:jc w:val="left"/>
              <w:rPr>
                <w:rFonts w:ascii="仿宋" w:eastAsia="仿宋" w:hAnsi="仿宋" w:cs="仿宋"/>
                <w:sz w:val="24"/>
              </w:rPr>
            </w:pPr>
          </w:p>
        </w:tc>
        <w:tc>
          <w:tcPr>
            <w:tcW w:w="2910"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（十一）订货计划的证明。</w:t>
            </w:r>
          </w:p>
        </w:tc>
        <w:tc>
          <w:tcPr>
            <w:tcW w:w="1417"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购置车辆的中国人民解放军和中国人民武装警察部队提交</w:t>
            </w:r>
          </w:p>
        </w:tc>
        <w:tc>
          <w:tcPr>
            <w:tcW w:w="3119"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（十）订货计划的证明（查验原件并留存复印件，复印件需注明与原件一致并加盖公章）</w:t>
            </w:r>
          </w:p>
        </w:tc>
        <w:tc>
          <w:tcPr>
            <w:tcW w:w="1842"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购置车辆的中国人民解放军和中国人民武装警察部队提交</w:t>
            </w:r>
          </w:p>
        </w:tc>
        <w:tc>
          <w:tcPr>
            <w:tcW w:w="2127" w:type="dxa"/>
            <w:vMerge/>
            <w:vAlign w:val="center"/>
          </w:tcPr>
          <w:p w:rsidR="00013EC7" w:rsidRDefault="00013EC7">
            <w:pPr>
              <w:spacing w:line="300" w:lineRule="exact"/>
              <w:rPr>
                <w:rFonts w:ascii="仿宋" w:eastAsia="仿宋" w:hAnsi="仿宋" w:cs="仿宋"/>
                <w:sz w:val="24"/>
              </w:rPr>
            </w:pPr>
          </w:p>
        </w:tc>
        <w:tc>
          <w:tcPr>
            <w:tcW w:w="708" w:type="dxa"/>
            <w:vMerge/>
            <w:vAlign w:val="center"/>
          </w:tcPr>
          <w:p w:rsidR="00013EC7" w:rsidRDefault="00013EC7">
            <w:pPr>
              <w:rPr>
                <w:rFonts w:ascii="仿宋" w:eastAsia="仿宋" w:hAnsi="仿宋" w:cs="仿宋"/>
                <w:sz w:val="24"/>
              </w:rPr>
            </w:pPr>
          </w:p>
        </w:tc>
        <w:tc>
          <w:tcPr>
            <w:tcW w:w="709" w:type="dxa"/>
            <w:vMerge/>
            <w:vAlign w:val="center"/>
          </w:tcPr>
          <w:p w:rsidR="00013EC7" w:rsidRDefault="00013EC7">
            <w:pPr>
              <w:rPr>
                <w:rFonts w:ascii="仿宋" w:eastAsia="仿宋" w:hAnsi="仿宋" w:cs="仿宋"/>
                <w:sz w:val="24"/>
              </w:rPr>
            </w:pPr>
          </w:p>
        </w:tc>
        <w:tc>
          <w:tcPr>
            <w:tcW w:w="851" w:type="dxa"/>
            <w:vMerge/>
            <w:vAlign w:val="center"/>
          </w:tcPr>
          <w:p w:rsidR="00013EC7" w:rsidRDefault="00013EC7">
            <w:pPr>
              <w:rPr>
                <w:rFonts w:ascii="仿宋" w:eastAsia="仿宋" w:hAnsi="仿宋" w:cs="仿宋"/>
                <w:sz w:val="24"/>
              </w:rPr>
            </w:pPr>
          </w:p>
        </w:tc>
        <w:tc>
          <w:tcPr>
            <w:tcW w:w="992" w:type="dxa"/>
            <w:vMerge/>
            <w:vAlign w:val="center"/>
          </w:tcPr>
          <w:p w:rsidR="00013EC7" w:rsidRDefault="00013EC7">
            <w:pPr>
              <w:rPr>
                <w:rFonts w:ascii="仿宋" w:eastAsia="仿宋" w:hAnsi="仿宋" w:cs="仿宋"/>
                <w:sz w:val="24"/>
              </w:rPr>
            </w:pPr>
          </w:p>
        </w:tc>
        <w:tc>
          <w:tcPr>
            <w:tcW w:w="991" w:type="dxa"/>
            <w:vMerge/>
            <w:vAlign w:val="center"/>
          </w:tcPr>
          <w:p w:rsidR="00013EC7" w:rsidRDefault="00013EC7">
            <w:pPr>
              <w:rPr>
                <w:rFonts w:ascii="仿宋" w:eastAsia="仿宋" w:hAnsi="仿宋" w:cs="仿宋"/>
                <w:sz w:val="24"/>
              </w:rPr>
            </w:pPr>
          </w:p>
        </w:tc>
      </w:tr>
      <w:tr w:rsidR="00013EC7">
        <w:trPr>
          <w:trHeight w:val="992"/>
          <w:jc w:val="center"/>
        </w:trPr>
        <w:tc>
          <w:tcPr>
            <w:tcW w:w="672" w:type="dxa"/>
            <w:vMerge/>
            <w:textDirection w:val="tbRlV"/>
            <w:vAlign w:val="center"/>
          </w:tcPr>
          <w:p w:rsidR="00013EC7" w:rsidRDefault="00013EC7">
            <w:pPr>
              <w:rPr>
                <w:rFonts w:ascii="仿宋" w:eastAsia="仿宋" w:hAnsi="仿宋" w:cs="仿宋"/>
                <w:sz w:val="24"/>
              </w:rPr>
            </w:pPr>
          </w:p>
        </w:tc>
        <w:tc>
          <w:tcPr>
            <w:tcW w:w="888" w:type="dxa"/>
            <w:vMerge/>
            <w:vAlign w:val="center"/>
          </w:tcPr>
          <w:p w:rsidR="00013EC7" w:rsidRDefault="00013EC7">
            <w:pPr>
              <w:rPr>
                <w:rFonts w:ascii="仿宋" w:eastAsia="仿宋" w:hAnsi="仿宋" w:cs="仿宋"/>
                <w:sz w:val="24"/>
              </w:rPr>
            </w:pPr>
          </w:p>
        </w:tc>
        <w:tc>
          <w:tcPr>
            <w:tcW w:w="2619" w:type="dxa"/>
            <w:vMerge/>
            <w:vAlign w:val="center"/>
          </w:tcPr>
          <w:p w:rsidR="00013EC7" w:rsidRDefault="00013EC7">
            <w:pPr>
              <w:jc w:val="left"/>
              <w:rPr>
                <w:rFonts w:ascii="仿宋" w:eastAsia="仿宋" w:hAnsi="仿宋" w:cs="仿宋"/>
                <w:sz w:val="24"/>
              </w:rPr>
            </w:pPr>
          </w:p>
        </w:tc>
        <w:tc>
          <w:tcPr>
            <w:tcW w:w="2910"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highlight w:val="lightGray"/>
              </w:rPr>
              <w:t>（十二）车辆内、外观彩色5寸照片。</w:t>
            </w:r>
          </w:p>
        </w:tc>
        <w:tc>
          <w:tcPr>
            <w:tcW w:w="1417"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购置固定装置的非运输车辆的纳税人提交</w:t>
            </w:r>
          </w:p>
        </w:tc>
        <w:tc>
          <w:tcPr>
            <w:tcW w:w="3119" w:type="dxa"/>
            <w:vAlign w:val="center"/>
          </w:tcPr>
          <w:p w:rsidR="00013EC7" w:rsidRDefault="00013EC7">
            <w:pPr>
              <w:spacing w:line="300" w:lineRule="exact"/>
              <w:jc w:val="left"/>
              <w:rPr>
                <w:rFonts w:ascii="仿宋" w:eastAsia="仿宋" w:hAnsi="仿宋" w:cs="仿宋"/>
                <w:sz w:val="24"/>
              </w:rPr>
            </w:pPr>
          </w:p>
        </w:tc>
        <w:tc>
          <w:tcPr>
            <w:tcW w:w="1842" w:type="dxa"/>
            <w:vAlign w:val="center"/>
          </w:tcPr>
          <w:p w:rsidR="00013EC7" w:rsidRDefault="00575CDB">
            <w:pPr>
              <w:spacing w:line="300" w:lineRule="exact"/>
              <w:jc w:val="left"/>
              <w:rPr>
                <w:rFonts w:ascii="仿宋" w:eastAsia="仿宋" w:hAnsi="仿宋" w:cs="仿宋"/>
                <w:i/>
                <w:sz w:val="24"/>
              </w:rPr>
            </w:pPr>
            <w:r>
              <w:rPr>
                <w:rFonts w:ascii="仿宋" w:eastAsia="仿宋" w:hAnsi="仿宋" w:cs="仿宋" w:hint="eastAsia"/>
                <w:b/>
                <w:bCs/>
                <w:i/>
                <w:sz w:val="24"/>
              </w:rPr>
              <w:t>取消</w:t>
            </w:r>
          </w:p>
        </w:tc>
        <w:tc>
          <w:tcPr>
            <w:tcW w:w="2127" w:type="dxa"/>
            <w:vMerge/>
            <w:vAlign w:val="center"/>
          </w:tcPr>
          <w:p w:rsidR="00013EC7" w:rsidRDefault="00013EC7">
            <w:pPr>
              <w:spacing w:line="300" w:lineRule="exact"/>
              <w:rPr>
                <w:rFonts w:ascii="仿宋" w:eastAsia="仿宋" w:hAnsi="仿宋" w:cs="仿宋"/>
                <w:sz w:val="24"/>
              </w:rPr>
            </w:pPr>
          </w:p>
        </w:tc>
        <w:tc>
          <w:tcPr>
            <w:tcW w:w="708" w:type="dxa"/>
            <w:vMerge/>
            <w:vAlign w:val="center"/>
          </w:tcPr>
          <w:p w:rsidR="00013EC7" w:rsidRDefault="00013EC7">
            <w:pPr>
              <w:rPr>
                <w:rFonts w:ascii="仿宋" w:eastAsia="仿宋" w:hAnsi="仿宋" w:cs="仿宋"/>
                <w:sz w:val="24"/>
              </w:rPr>
            </w:pPr>
          </w:p>
        </w:tc>
        <w:tc>
          <w:tcPr>
            <w:tcW w:w="709" w:type="dxa"/>
            <w:vMerge/>
            <w:vAlign w:val="center"/>
          </w:tcPr>
          <w:p w:rsidR="00013EC7" w:rsidRDefault="00013EC7">
            <w:pPr>
              <w:rPr>
                <w:rFonts w:ascii="仿宋" w:eastAsia="仿宋" w:hAnsi="仿宋" w:cs="仿宋"/>
                <w:sz w:val="24"/>
              </w:rPr>
            </w:pPr>
          </w:p>
        </w:tc>
        <w:tc>
          <w:tcPr>
            <w:tcW w:w="851" w:type="dxa"/>
            <w:vMerge/>
            <w:vAlign w:val="center"/>
          </w:tcPr>
          <w:p w:rsidR="00013EC7" w:rsidRDefault="00013EC7">
            <w:pPr>
              <w:rPr>
                <w:rFonts w:ascii="仿宋" w:eastAsia="仿宋" w:hAnsi="仿宋" w:cs="仿宋"/>
                <w:sz w:val="24"/>
              </w:rPr>
            </w:pPr>
          </w:p>
        </w:tc>
        <w:tc>
          <w:tcPr>
            <w:tcW w:w="992" w:type="dxa"/>
            <w:vMerge/>
            <w:vAlign w:val="center"/>
          </w:tcPr>
          <w:p w:rsidR="00013EC7" w:rsidRDefault="00013EC7">
            <w:pPr>
              <w:rPr>
                <w:rFonts w:ascii="仿宋" w:eastAsia="仿宋" w:hAnsi="仿宋" w:cs="仿宋"/>
                <w:sz w:val="24"/>
              </w:rPr>
            </w:pPr>
          </w:p>
        </w:tc>
        <w:tc>
          <w:tcPr>
            <w:tcW w:w="991" w:type="dxa"/>
            <w:vMerge/>
            <w:vAlign w:val="center"/>
          </w:tcPr>
          <w:p w:rsidR="00013EC7" w:rsidRDefault="00013EC7">
            <w:pPr>
              <w:rPr>
                <w:rFonts w:ascii="仿宋" w:eastAsia="仿宋" w:hAnsi="仿宋" w:cs="仿宋"/>
                <w:sz w:val="24"/>
              </w:rPr>
            </w:pPr>
          </w:p>
        </w:tc>
      </w:tr>
      <w:tr w:rsidR="00013EC7">
        <w:trPr>
          <w:trHeight w:val="992"/>
          <w:jc w:val="center"/>
        </w:trPr>
        <w:tc>
          <w:tcPr>
            <w:tcW w:w="672" w:type="dxa"/>
            <w:vMerge/>
            <w:textDirection w:val="tbRlV"/>
            <w:vAlign w:val="center"/>
          </w:tcPr>
          <w:p w:rsidR="00013EC7" w:rsidRDefault="00013EC7">
            <w:pPr>
              <w:rPr>
                <w:rFonts w:ascii="仿宋" w:eastAsia="仿宋" w:hAnsi="仿宋" w:cs="仿宋"/>
                <w:sz w:val="24"/>
              </w:rPr>
            </w:pPr>
          </w:p>
        </w:tc>
        <w:tc>
          <w:tcPr>
            <w:tcW w:w="888" w:type="dxa"/>
            <w:vMerge/>
            <w:vAlign w:val="center"/>
          </w:tcPr>
          <w:p w:rsidR="00013EC7" w:rsidRDefault="00013EC7">
            <w:pPr>
              <w:rPr>
                <w:rFonts w:ascii="仿宋" w:eastAsia="仿宋" w:hAnsi="仿宋" w:cs="仿宋"/>
                <w:sz w:val="24"/>
              </w:rPr>
            </w:pPr>
          </w:p>
        </w:tc>
        <w:tc>
          <w:tcPr>
            <w:tcW w:w="2619" w:type="dxa"/>
            <w:vMerge/>
            <w:vAlign w:val="center"/>
          </w:tcPr>
          <w:p w:rsidR="00013EC7" w:rsidRDefault="00013EC7">
            <w:pPr>
              <w:jc w:val="left"/>
              <w:rPr>
                <w:rFonts w:ascii="仿宋" w:eastAsia="仿宋" w:hAnsi="仿宋" w:cs="仿宋"/>
                <w:sz w:val="24"/>
              </w:rPr>
            </w:pPr>
          </w:p>
        </w:tc>
        <w:tc>
          <w:tcPr>
            <w:tcW w:w="2910"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（十三）中华人民共和国驻留学人员学习所在国的大使馆或者领事馆（中央人民政府驻香港联络办公室、中央人民政府驻澳门联络办公室）出具的留学证明。</w:t>
            </w:r>
          </w:p>
        </w:tc>
        <w:tc>
          <w:tcPr>
            <w:tcW w:w="1417"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回国服务的在外留学人员提交</w:t>
            </w:r>
          </w:p>
        </w:tc>
        <w:tc>
          <w:tcPr>
            <w:tcW w:w="3119"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（十一）海关核发的《中华人民共和国海关回国人员购买国产汽车准购单》（查验原件并留存复印件，复印件需注明与原件一致并加盖公章）。</w:t>
            </w:r>
          </w:p>
        </w:tc>
        <w:tc>
          <w:tcPr>
            <w:tcW w:w="1842"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回国服务的在外留学人员提交</w:t>
            </w:r>
          </w:p>
        </w:tc>
        <w:tc>
          <w:tcPr>
            <w:tcW w:w="2127" w:type="dxa"/>
            <w:vMerge/>
            <w:vAlign w:val="center"/>
          </w:tcPr>
          <w:p w:rsidR="00013EC7" w:rsidRDefault="00013EC7">
            <w:pPr>
              <w:spacing w:line="300" w:lineRule="exact"/>
              <w:rPr>
                <w:rFonts w:ascii="仿宋" w:eastAsia="仿宋" w:hAnsi="仿宋" w:cs="仿宋"/>
                <w:sz w:val="24"/>
              </w:rPr>
            </w:pPr>
          </w:p>
        </w:tc>
        <w:tc>
          <w:tcPr>
            <w:tcW w:w="708" w:type="dxa"/>
            <w:vMerge/>
            <w:vAlign w:val="center"/>
          </w:tcPr>
          <w:p w:rsidR="00013EC7" w:rsidRDefault="00013EC7">
            <w:pPr>
              <w:rPr>
                <w:rFonts w:ascii="仿宋" w:eastAsia="仿宋" w:hAnsi="仿宋" w:cs="仿宋"/>
                <w:sz w:val="24"/>
              </w:rPr>
            </w:pPr>
          </w:p>
        </w:tc>
        <w:tc>
          <w:tcPr>
            <w:tcW w:w="709" w:type="dxa"/>
            <w:vMerge/>
            <w:vAlign w:val="center"/>
          </w:tcPr>
          <w:p w:rsidR="00013EC7" w:rsidRDefault="00013EC7">
            <w:pPr>
              <w:rPr>
                <w:rFonts w:ascii="仿宋" w:eastAsia="仿宋" w:hAnsi="仿宋" w:cs="仿宋"/>
                <w:sz w:val="24"/>
              </w:rPr>
            </w:pPr>
          </w:p>
        </w:tc>
        <w:tc>
          <w:tcPr>
            <w:tcW w:w="851" w:type="dxa"/>
            <w:vMerge/>
            <w:vAlign w:val="center"/>
          </w:tcPr>
          <w:p w:rsidR="00013EC7" w:rsidRDefault="00013EC7">
            <w:pPr>
              <w:rPr>
                <w:rFonts w:ascii="仿宋" w:eastAsia="仿宋" w:hAnsi="仿宋" w:cs="仿宋"/>
                <w:sz w:val="24"/>
              </w:rPr>
            </w:pPr>
          </w:p>
        </w:tc>
        <w:tc>
          <w:tcPr>
            <w:tcW w:w="992" w:type="dxa"/>
            <w:vMerge/>
            <w:vAlign w:val="center"/>
          </w:tcPr>
          <w:p w:rsidR="00013EC7" w:rsidRDefault="00013EC7">
            <w:pPr>
              <w:rPr>
                <w:rFonts w:ascii="仿宋" w:eastAsia="仿宋" w:hAnsi="仿宋" w:cs="仿宋"/>
                <w:sz w:val="24"/>
              </w:rPr>
            </w:pPr>
          </w:p>
        </w:tc>
        <w:tc>
          <w:tcPr>
            <w:tcW w:w="991" w:type="dxa"/>
            <w:vMerge/>
            <w:vAlign w:val="center"/>
          </w:tcPr>
          <w:p w:rsidR="00013EC7" w:rsidRDefault="00013EC7">
            <w:pPr>
              <w:rPr>
                <w:rFonts w:ascii="仿宋" w:eastAsia="仿宋" w:hAnsi="仿宋" w:cs="仿宋"/>
                <w:sz w:val="24"/>
              </w:rPr>
            </w:pPr>
          </w:p>
        </w:tc>
      </w:tr>
      <w:tr w:rsidR="00013EC7">
        <w:trPr>
          <w:trHeight w:val="1200"/>
          <w:jc w:val="center"/>
        </w:trPr>
        <w:tc>
          <w:tcPr>
            <w:tcW w:w="672" w:type="dxa"/>
            <w:vMerge/>
            <w:textDirection w:val="tbRlV"/>
            <w:vAlign w:val="center"/>
          </w:tcPr>
          <w:p w:rsidR="00013EC7" w:rsidRDefault="00013EC7">
            <w:pPr>
              <w:rPr>
                <w:rFonts w:ascii="仿宋" w:eastAsia="仿宋" w:hAnsi="仿宋" w:cs="仿宋"/>
                <w:sz w:val="24"/>
              </w:rPr>
            </w:pPr>
          </w:p>
        </w:tc>
        <w:tc>
          <w:tcPr>
            <w:tcW w:w="888" w:type="dxa"/>
            <w:vMerge/>
            <w:vAlign w:val="center"/>
          </w:tcPr>
          <w:p w:rsidR="00013EC7" w:rsidRDefault="00013EC7">
            <w:pPr>
              <w:rPr>
                <w:rFonts w:ascii="仿宋" w:eastAsia="仿宋" w:hAnsi="仿宋" w:cs="仿宋"/>
                <w:sz w:val="24"/>
              </w:rPr>
            </w:pPr>
          </w:p>
        </w:tc>
        <w:tc>
          <w:tcPr>
            <w:tcW w:w="2619" w:type="dxa"/>
            <w:vMerge/>
            <w:vAlign w:val="center"/>
          </w:tcPr>
          <w:p w:rsidR="00013EC7" w:rsidRDefault="00013EC7">
            <w:pPr>
              <w:jc w:val="left"/>
              <w:rPr>
                <w:rFonts w:ascii="仿宋" w:eastAsia="仿宋" w:hAnsi="仿宋" w:cs="仿宋"/>
                <w:sz w:val="24"/>
              </w:rPr>
            </w:pPr>
          </w:p>
        </w:tc>
        <w:tc>
          <w:tcPr>
            <w:tcW w:w="2910"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（十四）国家外国专家局或者其授权单位核发的专家证</w:t>
            </w:r>
          </w:p>
        </w:tc>
        <w:tc>
          <w:tcPr>
            <w:tcW w:w="1417" w:type="dxa"/>
            <w:vMerge w:val="restart"/>
            <w:vAlign w:val="center"/>
          </w:tcPr>
          <w:p w:rsidR="00013EC7" w:rsidRDefault="00575CDB">
            <w:pPr>
              <w:jc w:val="left"/>
              <w:rPr>
                <w:rFonts w:ascii="仿宋" w:eastAsia="仿宋" w:hAnsi="仿宋" w:cs="仿宋"/>
                <w:sz w:val="24"/>
              </w:rPr>
            </w:pPr>
            <w:r>
              <w:rPr>
                <w:rFonts w:ascii="仿宋" w:eastAsia="仿宋" w:hAnsi="仿宋" w:cs="仿宋" w:hint="eastAsia"/>
                <w:sz w:val="24"/>
              </w:rPr>
              <w:t>长期来华定居专家提交</w:t>
            </w:r>
          </w:p>
        </w:tc>
        <w:tc>
          <w:tcPr>
            <w:tcW w:w="3119"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（十二）国家外国专家局或者其授权单位核发的有效期内的专家证或者《中华人民共和国外国人工作许可证》(A、B类)（查验原件并留存复印件）</w:t>
            </w:r>
          </w:p>
        </w:tc>
        <w:tc>
          <w:tcPr>
            <w:tcW w:w="1842"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长期来华定居专家提交</w:t>
            </w:r>
          </w:p>
        </w:tc>
        <w:tc>
          <w:tcPr>
            <w:tcW w:w="2127" w:type="dxa"/>
            <w:vMerge/>
            <w:vAlign w:val="center"/>
          </w:tcPr>
          <w:p w:rsidR="00013EC7" w:rsidRDefault="00013EC7">
            <w:pPr>
              <w:spacing w:line="300" w:lineRule="exact"/>
              <w:rPr>
                <w:rFonts w:ascii="仿宋" w:eastAsia="仿宋" w:hAnsi="仿宋" w:cs="仿宋"/>
                <w:sz w:val="24"/>
              </w:rPr>
            </w:pPr>
          </w:p>
        </w:tc>
        <w:tc>
          <w:tcPr>
            <w:tcW w:w="708" w:type="dxa"/>
            <w:vMerge/>
            <w:vAlign w:val="center"/>
          </w:tcPr>
          <w:p w:rsidR="00013EC7" w:rsidRDefault="00013EC7">
            <w:pPr>
              <w:rPr>
                <w:rFonts w:ascii="仿宋" w:eastAsia="仿宋" w:hAnsi="仿宋" w:cs="仿宋"/>
                <w:sz w:val="24"/>
              </w:rPr>
            </w:pPr>
          </w:p>
        </w:tc>
        <w:tc>
          <w:tcPr>
            <w:tcW w:w="709" w:type="dxa"/>
            <w:vMerge/>
            <w:vAlign w:val="center"/>
          </w:tcPr>
          <w:p w:rsidR="00013EC7" w:rsidRDefault="00013EC7">
            <w:pPr>
              <w:rPr>
                <w:rFonts w:ascii="仿宋" w:eastAsia="仿宋" w:hAnsi="仿宋" w:cs="仿宋"/>
                <w:sz w:val="24"/>
              </w:rPr>
            </w:pPr>
          </w:p>
        </w:tc>
        <w:tc>
          <w:tcPr>
            <w:tcW w:w="851" w:type="dxa"/>
            <w:vMerge/>
            <w:vAlign w:val="center"/>
          </w:tcPr>
          <w:p w:rsidR="00013EC7" w:rsidRDefault="00013EC7">
            <w:pPr>
              <w:rPr>
                <w:rFonts w:ascii="仿宋" w:eastAsia="仿宋" w:hAnsi="仿宋" w:cs="仿宋"/>
                <w:sz w:val="24"/>
              </w:rPr>
            </w:pPr>
          </w:p>
        </w:tc>
        <w:tc>
          <w:tcPr>
            <w:tcW w:w="992" w:type="dxa"/>
            <w:vMerge/>
            <w:vAlign w:val="center"/>
          </w:tcPr>
          <w:p w:rsidR="00013EC7" w:rsidRDefault="00013EC7">
            <w:pPr>
              <w:rPr>
                <w:rFonts w:ascii="仿宋" w:eastAsia="仿宋" w:hAnsi="仿宋" w:cs="仿宋"/>
                <w:sz w:val="24"/>
              </w:rPr>
            </w:pPr>
          </w:p>
        </w:tc>
        <w:tc>
          <w:tcPr>
            <w:tcW w:w="991" w:type="dxa"/>
            <w:vMerge/>
            <w:vAlign w:val="center"/>
          </w:tcPr>
          <w:p w:rsidR="00013EC7" w:rsidRDefault="00013EC7">
            <w:pPr>
              <w:rPr>
                <w:rFonts w:ascii="仿宋" w:eastAsia="仿宋" w:hAnsi="仿宋" w:cs="仿宋"/>
                <w:sz w:val="24"/>
              </w:rPr>
            </w:pPr>
          </w:p>
        </w:tc>
      </w:tr>
      <w:tr w:rsidR="00013EC7">
        <w:trPr>
          <w:trHeight w:val="600"/>
          <w:jc w:val="center"/>
        </w:trPr>
        <w:tc>
          <w:tcPr>
            <w:tcW w:w="672" w:type="dxa"/>
            <w:vMerge/>
            <w:textDirection w:val="tbRlV"/>
            <w:vAlign w:val="center"/>
          </w:tcPr>
          <w:p w:rsidR="00013EC7" w:rsidRDefault="00013EC7">
            <w:pPr>
              <w:rPr>
                <w:rFonts w:ascii="仿宋" w:eastAsia="仿宋" w:hAnsi="仿宋" w:cs="仿宋"/>
                <w:sz w:val="24"/>
              </w:rPr>
            </w:pPr>
          </w:p>
        </w:tc>
        <w:tc>
          <w:tcPr>
            <w:tcW w:w="888" w:type="dxa"/>
            <w:vMerge/>
            <w:vAlign w:val="center"/>
          </w:tcPr>
          <w:p w:rsidR="00013EC7" w:rsidRDefault="00013EC7">
            <w:pPr>
              <w:rPr>
                <w:rFonts w:ascii="仿宋" w:eastAsia="仿宋" w:hAnsi="仿宋" w:cs="仿宋"/>
                <w:sz w:val="24"/>
              </w:rPr>
            </w:pPr>
          </w:p>
        </w:tc>
        <w:tc>
          <w:tcPr>
            <w:tcW w:w="2619" w:type="dxa"/>
            <w:vMerge/>
            <w:vAlign w:val="center"/>
          </w:tcPr>
          <w:p w:rsidR="00013EC7" w:rsidRDefault="00013EC7">
            <w:pPr>
              <w:jc w:val="left"/>
              <w:rPr>
                <w:rFonts w:ascii="仿宋" w:eastAsia="仿宋" w:hAnsi="仿宋" w:cs="仿宋"/>
                <w:sz w:val="24"/>
              </w:rPr>
            </w:pPr>
          </w:p>
        </w:tc>
        <w:tc>
          <w:tcPr>
            <w:tcW w:w="2910"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（十五）公安部门出具的境内居住证明。</w:t>
            </w:r>
          </w:p>
        </w:tc>
        <w:tc>
          <w:tcPr>
            <w:tcW w:w="1417" w:type="dxa"/>
            <w:vMerge/>
            <w:vAlign w:val="center"/>
          </w:tcPr>
          <w:p w:rsidR="00013EC7" w:rsidRDefault="00013EC7">
            <w:pPr>
              <w:jc w:val="left"/>
              <w:rPr>
                <w:rFonts w:ascii="仿宋" w:eastAsia="仿宋" w:hAnsi="仿宋" w:cs="仿宋"/>
                <w:sz w:val="24"/>
              </w:rPr>
            </w:pPr>
          </w:p>
        </w:tc>
        <w:tc>
          <w:tcPr>
            <w:tcW w:w="3119"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（十三）公安部门出具的境内居住证明（查验原件并留存复印件，复印件需注明与原件一致并加盖公章）。</w:t>
            </w:r>
          </w:p>
        </w:tc>
        <w:tc>
          <w:tcPr>
            <w:tcW w:w="1842" w:type="dxa"/>
            <w:vMerge/>
            <w:vAlign w:val="center"/>
          </w:tcPr>
          <w:p w:rsidR="00013EC7" w:rsidRDefault="00013EC7">
            <w:pPr>
              <w:spacing w:line="300" w:lineRule="exact"/>
              <w:jc w:val="left"/>
              <w:rPr>
                <w:rFonts w:ascii="仿宋" w:eastAsia="仿宋" w:hAnsi="仿宋" w:cs="仿宋"/>
                <w:sz w:val="24"/>
              </w:rPr>
            </w:pPr>
          </w:p>
        </w:tc>
        <w:tc>
          <w:tcPr>
            <w:tcW w:w="2127" w:type="dxa"/>
            <w:vMerge/>
            <w:vAlign w:val="center"/>
          </w:tcPr>
          <w:p w:rsidR="00013EC7" w:rsidRDefault="00013EC7">
            <w:pPr>
              <w:spacing w:line="300" w:lineRule="exact"/>
              <w:rPr>
                <w:rFonts w:ascii="仿宋" w:eastAsia="仿宋" w:hAnsi="仿宋" w:cs="仿宋"/>
                <w:sz w:val="24"/>
              </w:rPr>
            </w:pPr>
          </w:p>
        </w:tc>
        <w:tc>
          <w:tcPr>
            <w:tcW w:w="708" w:type="dxa"/>
            <w:vMerge/>
            <w:vAlign w:val="center"/>
          </w:tcPr>
          <w:p w:rsidR="00013EC7" w:rsidRDefault="00013EC7">
            <w:pPr>
              <w:rPr>
                <w:rFonts w:ascii="仿宋" w:eastAsia="仿宋" w:hAnsi="仿宋" w:cs="仿宋"/>
                <w:sz w:val="24"/>
              </w:rPr>
            </w:pPr>
          </w:p>
        </w:tc>
        <w:tc>
          <w:tcPr>
            <w:tcW w:w="709" w:type="dxa"/>
            <w:vMerge/>
            <w:vAlign w:val="center"/>
          </w:tcPr>
          <w:p w:rsidR="00013EC7" w:rsidRDefault="00013EC7">
            <w:pPr>
              <w:rPr>
                <w:rFonts w:ascii="仿宋" w:eastAsia="仿宋" w:hAnsi="仿宋" w:cs="仿宋"/>
                <w:sz w:val="24"/>
              </w:rPr>
            </w:pPr>
          </w:p>
        </w:tc>
        <w:tc>
          <w:tcPr>
            <w:tcW w:w="851" w:type="dxa"/>
            <w:vMerge/>
            <w:vAlign w:val="center"/>
          </w:tcPr>
          <w:p w:rsidR="00013EC7" w:rsidRDefault="00013EC7">
            <w:pPr>
              <w:rPr>
                <w:rFonts w:ascii="仿宋" w:eastAsia="仿宋" w:hAnsi="仿宋" w:cs="仿宋"/>
                <w:sz w:val="24"/>
              </w:rPr>
            </w:pPr>
          </w:p>
        </w:tc>
        <w:tc>
          <w:tcPr>
            <w:tcW w:w="992" w:type="dxa"/>
            <w:vMerge/>
            <w:vAlign w:val="center"/>
          </w:tcPr>
          <w:p w:rsidR="00013EC7" w:rsidRDefault="00013EC7">
            <w:pPr>
              <w:rPr>
                <w:rFonts w:ascii="仿宋" w:eastAsia="仿宋" w:hAnsi="仿宋" w:cs="仿宋"/>
                <w:sz w:val="24"/>
              </w:rPr>
            </w:pPr>
          </w:p>
        </w:tc>
        <w:tc>
          <w:tcPr>
            <w:tcW w:w="991" w:type="dxa"/>
            <w:vMerge/>
            <w:vAlign w:val="center"/>
          </w:tcPr>
          <w:p w:rsidR="00013EC7" w:rsidRDefault="00013EC7">
            <w:pPr>
              <w:rPr>
                <w:rFonts w:ascii="仿宋" w:eastAsia="仿宋" w:hAnsi="仿宋" w:cs="仿宋"/>
                <w:sz w:val="24"/>
              </w:rPr>
            </w:pPr>
          </w:p>
        </w:tc>
      </w:tr>
      <w:tr w:rsidR="00013EC7">
        <w:trPr>
          <w:trHeight w:val="600"/>
          <w:jc w:val="center"/>
        </w:trPr>
        <w:tc>
          <w:tcPr>
            <w:tcW w:w="672" w:type="dxa"/>
            <w:vMerge/>
            <w:textDirection w:val="tbRlV"/>
            <w:vAlign w:val="center"/>
          </w:tcPr>
          <w:p w:rsidR="00013EC7" w:rsidRDefault="00013EC7">
            <w:pPr>
              <w:rPr>
                <w:rFonts w:ascii="仿宋" w:eastAsia="仿宋" w:hAnsi="仿宋" w:cs="仿宋"/>
                <w:sz w:val="24"/>
              </w:rPr>
            </w:pPr>
          </w:p>
        </w:tc>
        <w:tc>
          <w:tcPr>
            <w:tcW w:w="888" w:type="dxa"/>
            <w:vMerge/>
            <w:vAlign w:val="center"/>
          </w:tcPr>
          <w:p w:rsidR="00013EC7" w:rsidRDefault="00013EC7">
            <w:pPr>
              <w:rPr>
                <w:rFonts w:ascii="仿宋" w:eastAsia="仿宋" w:hAnsi="仿宋" w:cs="仿宋"/>
                <w:sz w:val="24"/>
              </w:rPr>
            </w:pPr>
          </w:p>
        </w:tc>
        <w:tc>
          <w:tcPr>
            <w:tcW w:w="2619" w:type="dxa"/>
            <w:vMerge/>
            <w:vAlign w:val="center"/>
          </w:tcPr>
          <w:p w:rsidR="00013EC7" w:rsidRDefault="00013EC7">
            <w:pPr>
              <w:jc w:val="left"/>
              <w:rPr>
                <w:rFonts w:ascii="仿宋" w:eastAsia="仿宋" w:hAnsi="仿宋" w:cs="仿宋"/>
                <w:sz w:val="24"/>
              </w:rPr>
            </w:pPr>
          </w:p>
        </w:tc>
        <w:tc>
          <w:tcPr>
            <w:tcW w:w="2910"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highlight w:val="lightGray"/>
              </w:rPr>
              <w:t>（十六）本人护照</w:t>
            </w:r>
            <w:r>
              <w:rPr>
                <w:rFonts w:ascii="仿宋" w:eastAsia="仿宋" w:hAnsi="仿宋" w:cs="仿宋" w:hint="eastAsia"/>
                <w:sz w:val="24"/>
              </w:rPr>
              <w:t>。</w:t>
            </w:r>
          </w:p>
        </w:tc>
        <w:tc>
          <w:tcPr>
            <w:tcW w:w="1417" w:type="dxa"/>
            <w:vMerge/>
            <w:vAlign w:val="center"/>
          </w:tcPr>
          <w:p w:rsidR="00013EC7" w:rsidRDefault="00013EC7">
            <w:pPr>
              <w:jc w:val="left"/>
              <w:rPr>
                <w:rFonts w:ascii="仿宋" w:eastAsia="仿宋" w:hAnsi="仿宋" w:cs="仿宋"/>
                <w:sz w:val="24"/>
              </w:rPr>
            </w:pPr>
          </w:p>
        </w:tc>
        <w:tc>
          <w:tcPr>
            <w:tcW w:w="3119" w:type="dxa"/>
            <w:vAlign w:val="center"/>
          </w:tcPr>
          <w:p w:rsidR="00013EC7" w:rsidRDefault="00013EC7">
            <w:pPr>
              <w:spacing w:line="300" w:lineRule="exact"/>
              <w:jc w:val="left"/>
              <w:rPr>
                <w:rFonts w:ascii="仿宋" w:eastAsia="仿宋" w:hAnsi="仿宋" w:cs="仿宋"/>
                <w:sz w:val="24"/>
              </w:rPr>
            </w:pPr>
          </w:p>
        </w:tc>
        <w:tc>
          <w:tcPr>
            <w:tcW w:w="1842" w:type="dxa"/>
            <w:vAlign w:val="center"/>
          </w:tcPr>
          <w:p w:rsidR="00013EC7" w:rsidRDefault="00575CDB">
            <w:pPr>
              <w:spacing w:line="300" w:lineRule="exact"/>
              <w:jc w:val="left"/>
              <w:rPr>
                <w:rFonts w:ascii="仿宋" w:eastAsia="仿宋" w:hAnsi="仿宋" w:cs="仿宋"/>
                <w:i/>
                <w:sz w:val="24"/>
              </w:rPr>
            </w:pPr>
            <w:r>
              <w:rPr>
                <w:rFonts w:ascii="仿宋" w:eastAsia="仿宋" w:hAnsi="仿宋" w:cs="仿宋" w:hint="eastAsia"/>
                <w:b/>
                <w:bCs/>
                <w:i/>
                <w:sz w:val="24"/>
              </w:rPr>
              <w:t>取消</w:t>
            </w:r>
          </w:p>
        </w:tc>
        <w:tc>
          <w:tcPr>
            <w:tcW w:w="2127" w:type="dxa"/>
            <w:vMerge/>
            <w:vAlign w:val="center"/>
          </w:tcPr>
          <w:p w:rsidR="00013EC7" w:rsidRDefault="00013EC7">
            <w:pPr>
              <w:spacing w:line="300" w:lineRule="exact"/>
              <w:rPr>
                <w:rFonts w:ascii="仿宋" w:eastAsia="仿宋" w:hAnsi="仿宋" w:cs="仿宋"/>
                <w:sz w:val="24"/>
              </w:rPr>
            </w:pPr>
          </w:p>
        </w:tc>
        <w:tc>
          <w:tcPr>
            <w:tcW w:w="708" w:type="dxa"/>
            <w:vMerge/>
            <w:vAlign w:val="center"/>
          </w:tcPr>
          <w:p w:rsidR="00013EC7" w:rsidRDefault="00013EC7">
            <w:pPr>
              <w:rPr>
                <w:rFonts w:ascii="仿宋" w:eastAsia="仿宋" w:hAnsi="仿宋" w:cs="仿宋"/>
                <w:sz w:val="24"/>
              </w:rPr>
            </w:pPr>
          </w:p>
        </w:tc>
        <w:tc>
          <w:tcPr>
            <w:tcW w:w="709" w:type="dxa"/>
            <w:vMerge/>
            <w:vAlign w:val="center"/>
          </w:tcPr>
          <w:p w:rsidR="00013EC7" w:rsidRDefault="00013EC7">
            <w:pPr>
              <w:rPr>
                <w:rFonts w:ascii="仿宋" w:eastAsia="仿宋" w:hAnsi="仿宋" w:cs="仿宋"/>
                <w:sz w:val="24"/>
              </w:rPr>
            </w:pPr>
          </w:p>
        </w:tc>
        <w:tc>
          <w:tcPr>
            <w:tcW w:w="851" w:type="dxa"/>
            <w:vMerge/>
            <w:vAlign w:val="center"/>
          </w:tcPr>
          <w:p w:rsidR="00013EC7" w:rsidRDefault="00013EC7">
            <w:pPr>
              <w:rPr>
                <w:rFonts w:ascii="仿宋" w:eastAsia="仿宋" w:hAnsi="仿宋" w:cs="仿宋"/>
                <w:sz w:val="24"/>
              </w:rPr>
            </w:pPr>
          </w:p>
        </w:tc>
        <w:tc>
          <w:tcPr>
            <w:tcW w:w="992" w:type="dxa"/>
            <w:vMerge/>
            <w:vAlign w:val="center"/>
          </w:tcPr>
          <w:p w:rsidR="00013EC7" w:rsidRDefault="00013EC7">
            <w:pPr>
              <w:rPr>
                <w:rFonts w:ascii="仿宋" w:eastAsia="仿宋" w:hAnsi="仿宋" w:cs="仿宋"/>
                <w:sz w:val="24"/>
              </w:rPr>
            </w:pPr>
          </w:p>
        </w:tc>
        <w:tc>
          <w:tcPr>
            <w:tcW w:w="991" w:type="dxa"/>
            <w:vMerge/>
            <w:vAlign w:val="center"/>
          </w:tcPr>
          <w:p w:rsidR="00013EC7" w:rsidRDefault="00013EC7">
            <w:pPr>
              <w:rPr>
                <w:rFonts w:ascii="仿宋" w:eastAsia="仿宋" w:hAnsi="仿宋" w:cs="仿宋"/>
                <w:sz w:val="24"/>
              </w:rPr>
            </w:pPr>
          </w:p>
        </w:tc>
      </w:tr>
      <w:tr w:rsidR="00013EC7">
        <w:trPr>
          <w:trHeight w:val="992"/>
          <w:jc w:val="center"/>
        </w:trPr>
        <w:tc>
          <w:tcPr>
            <w:tcW w:w="672" w:type="dxa"/>
            <w:vMerge/>
            <w:textDirection w:val="tbRlV"/>
            <w:vAlign w:val="center"/>
          </w:tcPr>
          <w:p w:rsidR="00013EC7" w:rsidRDefault="00013EC7">
            <w:pPr>
              <w:rPr>
                <w:rFonts w:ascii="仿宋" w:eastAsia="仿宋" w:hAnsi="仿宋" w:cs="仿宋"/>
                <w:sz w:val="24"/>
              </w:rPr>
            </w:pPr>
          </w:p>
        </w:tc>
        <w:tc>
          <w:tcPr>
            <w:tcW w:w="888" w:type="dxa"/>
            <w:vMerge/>
            <w:vAlign w:val="center"/>
          </w:tcPr>
          <w:p w:rsidR="00013EC7" w:rsidRDefault="00013EC7">
            <w:pPr>
              <w:rPr>
                <w:rFonts w:ascii="仿宋" w:eastAsia="仿宋" w:hAnsi="仿宋" w:cs="仿宋"/>
                <w:sz w:val="24"/>
              </w:rPr>
            </w:pPr>
          </w:p>
        </w:tc>
        <w:tc>
          <w:tcPr>
            <w:tcW w:w="2619" w:type="dxa"/>
            <w:vMerge/>
            <w:vAlign w:val="center"/>
          </w:tcPr>
          <w:p w:rsidR="00013EC7" w:rsidRDefault="00013EC7">
            <w:pPr>
              <w:jc w:val="left"/>
              <w:rPr>
                <w:rFonts w:ascii="仿宋" w:eastAsia="仿宋" w:hAnsi="仿宋" w:cs="仿宋"/>
                <w:sz w:val="24"/>
              </w:rPr>
            </w:pPr>
          </w:p>
        </w:tc>
        <w:tc>
          <w:tcPr>
            <w:tcW w:w="2910"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（十七）母亲健康快车专用车证。</w:t>
            </w:r>
          </w:p>
        </w:tc>
        <w:tc>
          <w:tcPr>
            <w:tcW w:w="1417" w:type="dxa"/>
            <w:vAlign w:val="center"/>
          </w:tcPr>
          <w:p w:rsidR="00013EC7" w:rsidRDefault="00575CDB">
            <w:pPr>
              <w:jc w:val="left"/>
              <w:rPr>
                <w:rFonts w:ascii="仿宋" w:eastAsia="仿宋" w:hAnsi="仿宋" w:cs="仿宋"/>
                <w:sz w:val="24"/>
              </w:rPr>
            </w:pPr>
            <w:r>
              <w:rPr>
                <w:rFonts w:ascii="仿宋" w:eastAsia="仿宋" w:hAnsi="仿宋" w:cs="仿宋" w:hint="eastAsia"/>
                <w:sz w:val="24"/>
              </w:rPr>
              <w:t>购置“母亲健康快车”项目专用车辆的纳税人提交</w:t>
            </w:r>
          </w:p>
        </w:tc>
        <w:tc>
          <w:tcPr>
            <w:tcW w:w="3119"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（十四）省级主管部门车辆分配或调拨文书（复印件，且需注明与原件一致并加盖公章）。</w:t>
            </w:r>
          </w:p>
        </w:tc>
        <w:tc>
          <w:tcPr>
            <w:tcW w:w="1842"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购置防汛专用车、森林消防专用车、计划生育流动服务车和“母亲健康快车”项目流动医疗车的纳税人提交</w:t>
            </w:r>
          </w:p>
        </w:tc>
        <w:tc>
          <w:tcPr>
            <w:tcW w:w="2127" w:type="dxa"/>
            <w:vMerge/>
            <w:vAlign w:val="center"/>
          </w:tcPr>
          <w:p w:rsidR="00013EC7" w:rsidRDefault="00013EC7">
            <w:pPr>
              <w:spacing w:line="300" w:lineRule="exact"/>
              <w:rPr>
                <w:rFonts w:ascii="仿宋" w:eastAsia="仿宋" w:hAnsi="仿宋" w:cs="仿宋"/>
                <w:sz w:val="24"/>
              </w:rPr>
            </w:pPr>
          </w:p>
        </w:tc>
        <w:tc>
          <w:tcPr>
            <w:tcW w:w="708" w:type="dxa"/>
            <w:vMerge/>
            <w:vAlign w:val="center"/>
          </w:tcPr>
          <w:p w:rsidR="00013EC7" w:rsidRDefault="00013EC7">
            <w:pPr>
              <w:rPr>
                <w:rFonts w:ascii="仿宋" w:eastAsia="仿宋" w:hAnsi="仿宋" w:cs="仿宋"/>
                <w:sz w:val="24"/>
              </w:rPr>
            </w:pPr>
          </w:p>
        </w:tc>
        <w:tc>
          <w:tcPr>
            <w:tcW w:w="709" w:type="dxa"/>
            <w:vMerge/>
            <w:vAlign w:val="center"/>
          </w:tcPr>
          <w:p w:rsidR="00013EC7" w:rsidRDefault="00013EC7">
            <w:pPr>
              <w:rPr>
                <w:rFonts w:ascii="仿宋" w:eastAsia="仿宋" w:hAnsi="仿宋" w:cs="仿宋"/>
                <w:sz w:val="24"/>
              </w:rPr>
            </w:pPr>
          </w:p>
        </w:tc>
        <w:tc>
          <w:tcPr>
            <w:tcW w:w="851" w:type="dxa"/>
            <w:vMerge/>
            <w:vAlign w:val="center"/>
          </w:tcPr>
          <w:p w:rsidR="00013EC7" w:rsidRDefault="00013EC7">
            <w:pPr>
              <w:rPr>
                <w:rFonts w:ascii="仿宋" w:eastAsia="仿宋" w:hAnsi="仿宋" w:cs="仿宋"/>
                <w:sz w:val="24"/>
              </w:rPr>
            </w:pPr>
          </w:p>
        </w:tc>
        <w:tc>
          <w:tcPr>
            <w:tcW w:w="992" w:type="dxa"/>
            <w:vMerge/>
            <w:vAlign w:val="center"/>
          </w:tcPr>
          <w:p w:rsidR="00013EC7" w:rsidRDefault="00013EC7">
            <w:pPr>
              <w:rPr>
                <w:rFonts w:ascii="仿宋" w:eastAsia="仿宋" w:hAnsi="仿宋" w:cs="仿宋"/>
                <w:sz w:val="24"/>
              </w:rPr>
            </w:pPr>
          </w:p>
        </w:tc>
        <w:tc>
          <w:tcPr>
            <w:tcW w:w="991" w:type="dxa"/>
            <w:vMerge/>
            <w:vAlign w:val="center"/>
          </w:tcPr>
          <w:p w:rsidR="00013EC7" w:rsidRDefault="00013EC7">
            <w:pPr>
              <w:rPr>
                <w:rFonts w:ascii="仿宋" w:eastAsia="仿宋" w:hAnsi="仿宋" w:cs="仿宋"/>
                <w:sz w:val="24"/>
              </w:rPr>
            </w:pPr>
          </w:p>
        </w:tc>
      </w:tr>
      <w:tr w:rsidR="00013EC7">
        <w:trPr>
          <w:trHeight w:val="992"/>
          <w:jc w:val="center"/>
        </w:trPr>
        <w:tc>
          <w:tcPr>
            <w:tcW w:w="672" w:type="dxa"/>
            <w:vMerge/>
            <w:textDirection w:val="tbRlV"/>
            <w:vAlign w:val="center"/>
          </w:tcPr>
          <w:p w:rsidR="00013EC7" w:rsidRDefault="00013EC7">
            <w:pPr>
              <w:rPr>
                <w:rFonts w:ascii="仿宋" w:eastAsia="仿宋" w:hAnsi="仿宋" w:cs="仿宋"/>
                <w:sz w:val="24"/>
              </w:rPr>
            </w:pPr>
          </w:p>
        </w:tc>
        <w:tc>
          <w:tcPr>
            <w:tcW w:w="888" w:type="dxa"/>
            <w:vMerge/>
            <w:vAlign w:val="center"/>
          </w:tcPr>
          <w:p w:rsidR="00013EC7" w:rsidRDefault="00013EC7">
            <w:pPr>
              <w:rPr>
                <w:rFonts w:ascii="仿宋" w:eastAsia="仿宋" w:hAnsi="仿宋" w:cs="仿宋"/>
                <w:sz w:val="24"/>
              </w:rPr>
            </w:pPr>
          </w:p>
        </w:tc>
        <w:tc>
          <w:tcPr>
            <w:tcW w:w="2619" w:type="dxa"/>
            <w:vMerge/>
            <w:vAlign w:val="center"/>
          </w:tcPr>
          <w:p w:rsidR="00013EC7" w:rsidRDefault="00013EC7">
            <w:pPr>
              <w:jc w:val="left"/>
              <w:rPr>
                <w:rFonts w:ascii="仿宋" w:eastAsia="仿宋" w:hAnsi="仿宋" w:cs="仿宋"/>
                <w:sz w:val="24"/>
              </w:rPr>
            </w:pPr>
          </w:p>
        </w:tc>
        <w:tc>
          <w:tcPr>
            <w:tcW w:w="2910"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（十八）国家人口和计划生育委员会和国家发展改革委下发的“计划生育流动服务车项目分配方</w:t>
            </w:r>
            <w:r>
              <w:rPr>
                <w:rFonts w:ascii="仿宋" w:eastAsia="仿宋" w:hAnsi="仿宋" w:cs="仿宋" w:hint="eastAsia"/>
                <w:sz w:val="24"/>
              </w:rPr>
              <w:lastRenderedPageBreak/>
              <w:t>案”。</w:t>
            </w:r>
          </w:p>
        </w:tc>
        <w:tc>
          <w:tcPr>
            <w:tcW w:w="1417" w:type="dxa"/>
            <w:vAlign w:val="center"/>
          </w:tcPr>
          <w:p w:rsidR="00013EC7" w:rsidRDefault="00575CDB">
            <w:pPr>
              <w:jc w:val="left"/>
              <w:rPr>
                <w:rFonts w:ascii="仿宋" w:eastAsia="仿宋" w:hAnsi="仿宋" w:cs="仿宋"/>
                <w:sz w:val="24"/>
              </w:rPr>
            </w:pPr>
            <w:r>
              <w:rPr>
                <w:rFonts w:ascii="仿宋" w:eastAsia="仿宋" w:hAnsi="仿宋" w:cs="仿宋" w:hint="eastAsia"/>
                <w:sz w:val="24"/>
              </w:rPr>
              <w:lastRenderedPageBreak/>
              <w:t>购置计划生育流动服务车的纳税人提交</w:t>
            </w:r>
          </w:p>
        </w:tc>
        <w:tc>
          <w:tcPr>
            <w:tcW w:w="3119" w:type="dxa"/>
            <w:vMerge/>
            <w:vAlign w:val="center"/>
          </w:tcPr>
          <w:p w:rsidR="00013EC7" w:rsidRDefault="00013EC7">
            <w:pPr>
              <w:spacing w:line="300" w:lineRule="exact"/>
              <w:jc w:val="left"/>
              <w:rPr>
                <w:rFonts w:ascii="仿宋" w:eastAsia="仿宋" w:hAnsi="仿宋" w:cs="仿宋"/>
                <w:sz w:val="24"/>
              </w:rPr>
            </w:pPr>
          </w:p>
        </w:tc>
        <w:tc>
          <w:tcPr>
            <w:tcW w:w="1842" w:type="dxa"/>
            <w:vMerge/>
            <w:vAlign w:val="center"/>
          </w:tcPr>
          <w:p w:rsidR="00013EC7" w:rsidRDefault="00013EC7">
            <w:pPr>
              <w:spacing w:line="300" w:lineRule="exact"/>
              <w:jc w:val="left"/>
              <w:rPr>
                <w:rFonts w:ascii="仿宋" w:eastAsia="仿宋" w:hAnsi="仿宋" w:cs="仿宋"/>
                <w:sz w:val="24"/>
              </w:rPr>
            </w:pPr>
          </w:p>
        </w:tc>
        <w:tc>
          <w:tcPr>
            <w:tcW w:w="2127" w:type="dxa"/>
            <w:vMerge/>
            <w:vAlign w:val="center"/>
          </w:tcPr>
          <w:p w:rsidR="00013EC7" w:rsidRDefault="00013EC7">
            <w:pPr>
              <w:spacing w:line="300" w:lineRule="exact"/>
              <w:rPr>
                <w:rFonts w:ascii="仿宋" w:eastAsia="仿宋" w:hAnsi="仿宋" w:cs="仿宋"/>
                <w:sz w:val="24"/>
              </w:rPr>
            </w:pPr>
          </w:p>
        </w:tc>
        <w:tc>
          <w:tcPr>
            <w:tcW w:w="708" w:type="dxa"/>
            <w:vMerge/>
            <w:vAlign w:val="center"/>
          </w:tcPr>
          <w:p w:rsidR="00013EC7" w:rsidRDefault="00013EC7">
            <w:pPr>
              <w:rPr>
                <w:rFonts w:ascii="仿宋" w:eastAsia="仿宋" w:hAnsi="仿宋" w:cs="仿宋"/>
                <w:sz w:val="24"/>
              </w:rPr>
            </w:pPr>
          </w:p>
        </w:tc>
        <w:tc>
          <w:tcPr>
            <w:tcW w:w="709" w:type="dxa"/>
            <w:vMerge/>
            <w:vAlign w:val="center"/>
          </w:tcPr>
          <w:p w:rsidR="00013EC7" w:rsidRDefault="00013EC7">
            <w:pPr>
              <w:rPr>
                <w:rFonts w:ascii="仿宋" w:eastAsia="仿宋" w:hAnsi="仿宋" w:cs="仿宋"/>
                <w:sz w:val="24"/>
              </w:rPr>
            </w:pPr>
          </w:p>
        </w:tc>
        <w:tc>
          <w:tcPr>
            <w:tcW w:w="851" w:type="dxa"/>
            <w:vMerge/>
            <w:vAlign w:val="center"/>
          </w:tcPr>
          <w:p w:rsidR="00013EC7" w:rsidRDefault="00013EC7">
            <w:pPr>
              <w:rPr>
                <w:rFonts w:ascii="仿宋" w:eastAsia="仿宋" w:hAnsi="仿宋" w:cs="仿宋"/>
                <w:sz w:val="24"/>
              </w:rPr>
            </w:pPr>
          </w:p>
        </w:tc>
        <w:tc>
          <w:tcPr>
            <w:tcW w:w="992" w:type="dxa"/>
            <w:vMerge/>
            <w:vAlign w:val="center"/>
          </w:tcPr>
          <w:p w:rsidR="00013EC7" w:rsidRDefault="00013EC7">
            <w:pPr>
              <w:rPr>
                <w:rFonts w:ascii="仿宋" w:eastAsia="仿宋" w:hAnsi="仿宋" w:cs="仿宋"/>
                <w:sz w:val="24"/>
              </w:rPr>
            </w:pPr>
          </w:p>
        </w:tc>
        <w:tc>
          <w:tcPr>
            <w:tcW w:w="991" w:type="dxa"/>
            <w:vMerge/>
            <w:vAlign w:val="center"/>
          </w:tcPr>
          <w:p w:rsidR="00013EC7" w:rsidRDefault="00013EC7">
            <w:pPr>
              <w:rPr>
                <w:rFonts w:ascii="仿宋" w:eastAsia="仿宋" w:hAnsi="仿宋" w:cs="仿宋"/>
                <w:sz w:val="24"/>
              </w:rPr>
            </w:pPr>
          </w:p>
        </w:tc>
      </w:tr>
      <w:tr w:rsidR="00013EC7">
        <w:trPr>
          <w:trHeight w:val="992"/>
          <w:jc w:val="center"/>
        </w:trPr>
        <w:tc>
          <w:tcPr>
            <w:tcW w:w="672" w:type="dxa"/>
            <w:vMerge/>
            <w:textDirection w:val="tbRlV"/>
            <w:vAlign w:val="center"/>
          </w:tcPr>
          <w:p w:rsidR="00013EC7" w:rsidRDefault="00013EC7">
            <w:pPr>
              <w:rPr>
                <w:rFonts w:ascii="仿宋" w:eastAsia="仿宋" w:hAnsi="仿宋" w:cs="仿宋"/>
                <w:sz w:val="24"/>
              </w:rPr>
            </w:pPr>
          </w:p>
        </w:tc>
        <w:tc>
          <w:tcPr>
            <w:tcW w:w="888" w:type="dxa"/>
            <w:vMerge/>
            <w:vAlign w:val="center"/>
          </w:tcPr>
          <w:p w:rsidR="00013EC7" w:rsidRDefault="00013EC7">
            <w:pPr>
              <w:rPr>
                <w:rFonts w:ascii="仿宋" w:eastAsia="仿宋" w:hAnsi="仿宋" w:cs="仿宋"/>
                <w:sz w:val="24"/>
              </w:rPr>
            </w:pPr>
          </w:p>
        </w:tc>
        <w:tc>
          <w:tcPr>
            <w:tcW w:w="2619" w:type="dxa"/>
            <w:vMerge/>
            <w:vAlign w:val="center"/>
          </w:tcPr>
          <w:p w:rsidR="00013EC7" w:rsidRDefault="00013EC7">
            <w:pPr>
              <w:jc w:val="left"/>
              <w:rPr>
                <w:rFonts w:ascii="仿宋" w:eastAsia="仿宋" w:hAnsi="仿宋" w:cs="仿宋"/>
                <w:sz w:val="24"/>
              </w:rPr>
            </w:pPr>
          </w:p>
        </w:tc>
        <w:tc>
          <w:tcPr>
            <w:tcW w:w="2910" w:type="dxa"/>
            <w:vAlign w:val="center"/>
          </w:tcPr>
          <w:p w:rsidR="00013EC7" w:rsidRDefault="00013EC7">
            <w:pPr>
              <w:spacing w:line="300" w:lineRule="exact"/>
              <w:jc w:val="left"/>
              <w:rPr>
                <w:rFonts w:ascii="仿宋" w:eastAsia="仿宋" w:hAnsi="仿宋" w:cs="仿宋"/>
                <w:sz w:val="24"/>
              </w:rPr>
            </w:pPr>
          </w:p>
        </w:tc>
        <w:tc>
          <w:tcPr>
            <w:tcW w:w="1417" w:type="dxa"/>
            <w:vAlign w:val="center"/>
          </w:tcPr>
          <w:p w:rsidR="00013EC7" w:rsidRDefault="00013EC7">
            <w:pPr>
              <w:jc w:val="left"/>
              <w:rPr>
                <w:rFonts w:ascii="仿宋" w:eastAsia="仿宋" w:hAnsi="仿宋" w:cs="仿宋"/>
                <w:sz w:val="24"/>
              </w:rPr>
            </w:pPr>
          </w:p>
        </w:tc>
        <w:tc>
          <w:tcPr>
            <w:tcW w:w="3119"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（十五）所在地县级以上（含县级）交通运输主管部门出具的城市公交企业（首次申请提供）和公共汽电车辆认定证明。</w:t>
            </w:r>
          </w:p>
        </w:tc>
        <w:tc>
          <w:tcPr>
            <w:tcW w:w="1842"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购置公共汽电车辆的城市公交企业提交</w:t>
            </w:r>
          </w:p>
        </w:tc>
        <w:tc>
          <w:tcPr>
            <w:tcW w:w="2127" w:type="dxa"/>
            <w:vMerge/>
            <w:vAlign w:val="center"/>
          </w:tcPr>
          <w:p w:rsidR="00013EC7" w:rsidRDefault="00013EC7">
            <w:pPr>
              <w:spacing w:line="300" w:lineRule="exact"/>
              <w:rPr>
                <w:rFonts w:ascii="仿宋" w:eastAsia="仿宋" w:hAnsi="仿宋" w:cs="仿宋"/>
                <w:sz w:val="24"/>
              </w:rPr>
            </w:pPr>
          </w:p>
        </w:tc>
        <w:tc>
          <w:tcPr>
            <w:tcW w:w="708" w:type="dxa"/>
            <w:vMerge/>
            <w:vAlign w:val="center"/>
          </w:tcPr>
          <w:p w:rsidR="00013EC7" w:rsidRDefault="00013EC7">
            <w:pPr>
              <w:rPr>
                <w:rFonts w:ascii="仿宋" w:eastAsia="仿宋" w:hAnsi="仿宋" w:cs="仿宋"/>
                <w:sz w:val="24"/>
              </w:rPr>
            </w:pPr>
          </w:p>
        </w:tc>
        <w:tc>
          <w:tcPr>
            <w:tcW w:w="709" w:type="dxa"/>
            <w:vMerge/>
            <w:vAlign w:val="center"/>
          </w:tcPr>
          <w:p w:rsidR="00013EC7" w:rsidRDefault="00013EC7">
            <w:pPr>
              <w:rPr>
                <w:rFonts w:ascii="仿宋" w:eastAsia="仿宋" w:hAnsi="仿宋" w:cs="仿宋"/>
                <w:sz w:val="24"/>
              </w:rPr>
            </w:pPr>
          </w:p>
        </w:tc>
        <w:tc>
          <w:tcPr>
            <w:tcW w:w="851" w:type="dxa"/>
            <w:vMerge/>
            <w:vAlign w:val="center"/>
          </w:tcPr>
          <w:p w:rsidR="00013EC7" w:rsidRDefault="00013EC7">
            <w:pPr>
              <w:rPr>
                <w:rFonts w:ascii="仿宋" w:eastAsia="仿宋" w:hAnsi="仿宋" w:cs="仿宋"/>
                <w:sz w:val="24"/>
              </w:rPr>
            </w:pPr>
          </w:p>
        </w:tc>
        <w:tc>
          <w:tcPr>
            <w:tcW w:w="992" w:type="dxa"/>
            <w:vMerge/>
            <w:vAlign w:val="center"/>
          </w:tcPr>
          <w:p w:rsidR="00013EC7" w:rsidRDefault="00013EC7">
            <w:pPr>
              <w:rPr>
                <w:rFonts w:ascii="仿宋" w:eastAsia="仿宋" w:hAnsi="仿宋" w:cs="仿宋"/>
                <w:sz w:val="24"/>
              </w:rPr>
            </w:pPr>
          </w:p>
        </w:tc>
        <w:tc>
          <w:tcPr>
            <w:tcW w:w="991" w:type="dxa"/>
            <w:vMerge/>
            <w:vAlign w:val="center"/>
          </w:tcPr>
          <w:p w:rsidR="00013EC7" w:rsidRDefault="00013EC7">
            <w:pPr>
              <w:rPr>
                <w:rFonts w:ascii="仿宋" w:eastAsia="仿宋" w:hAnsi="仿宋" w:cs="仿宋"/>
                <w:sz w:val="24"/>
              </w:rPr>
            </w:pPr>
          </w:p>
        </w:tc>
      </w:tr>
      <w:tr w:rsidR="00013EC7">
        <w:trPr>
          <w:trHeight w:val="992"/>
          <w:jc w:val="center"/>
        </w:trPr>
        <w:tc>
          <w:tcPr>
            <w:tcW w:w="672" w:type="dxa"/>
            <w:vMerge/>
            <w:textDirection w:val="tbRlV"/>
            <w:vAlign w:val="center"/>
          </w:tcPr>
          <w:p w:rsidR="00013EC7" w:rsidRDefault="00013EC7">
            <w:pPr>
              <w:rPr>
                <w:rFonts w:ascii="仿宋" w:eastAsia="仿宋" w:hAnsi="仿宋" w:cs="仿宋"/>
                <w:sz w:val="24"/>
              </w:rPr>
            </w:pPr>
          </w:p>
        </w:tc>
        <w:tc>
          <w:tcPr>
            <w:tcW w:w="888" w:type="dxa"/>
            <w:vMerge/>
            <w:vAlign w:val="center"/>
          </w:tcPr>
          <w:p w:rsidR="00013EC7" w:rsidRDefault="00013EC7">
            <w:pPr>
              <w:rPr>
                <w:rFonts w:ascii="仿宋" w:eastAsia="仿宋" w:hAnsi="仿宋" w:cs="仿宋"/>
                <w:sz w:val="24"/>
              </w:rPr>
            </w:pPr>
          </w:p>
        </w:tc>
        <w:tc>
          <w:tcPr>
            <w:tcW w:w="2619" w:type="dxa"/>
            <w:vMerge/>
            <w:vAlign w:val="center"/>
          </w:tcPr>
          <w:p w:rsidR="00013EC7" w:rsidRDefault="00013EC7">
            <w:pPr>
              <w:jc w:val="left"/>
              <w:rPr>
                <w:rFonts w:ascii="仿宋" w:eastAsia="仿宋" w:hAnsi="仿宋" w:cs="仿宋"/>
                <w:sz w:val="24"/>
              </w:rPr>
            </w:pPr>
          </w:p>
        </w:tc>
        <w:tc>
          <w:tcPr>
            <w:tcW w:w="2910"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（十九）国务院或者国务院授权的主管部门的批准文件。</w:t>
            </w:r>
          </w:p>
        </w:tc>
        <w:tc>
          <w:tcPr>
            <w:tcW w:w="1417" w:type="dxa"/>
            <w:vAlign w:val="center"/>
          </w:tcPr>
          <w:p w:rsidR="00013EC7" w:rsidRDefault="00575CDB">
            <w:pPr>
              <w:jc w:val="left"/>
              <w:rPr>
                <w:rFonts w:ascii="仿宋" w:eastAsia="仿宋" w:hAnsi="仿宋" w:cs="仿宋"/>
                <w:sz w:val="24"/>
              </w:rPr>
            </w:pPr>
            <w:r>
              <w:rPr>
                <w:rFonts w:ascii="仿宋" w:eastAsia="仿宋" w:hAnsi="仿宋" w:cs="仿宋" w:hint="eastAsia"/>
                <w:sz w:val="24"/>
              </w:rPr>
              <w:t>购置其他车辆的纳税人提交</w:t>
            </w:r>
          </w:p>
        </w:tc>
        <w:tc>
          <w:tcPr>
            <w:tcW w:w="3119"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（十六）国务院或者国务院授权的主管部门的批准文件。</w:t>
            </w:r>
          </w:p>
        </w:tc>
        <w:tc>
          <w:tcPr>
            <w:tcW w:w="1842"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购置其他车辆的纳税人提交</w:t>
            </w:r>
          </w:p>
        </w:tc>
        <w:tc>
          <w:tcPr>
            <w:tcW w:w="2127" w:type="dxa"/>
            <w:vMerge/>
            <w:vAlign w:val="center"/>
          </w:tcPr>
          <w:p w:rsidR="00013EC7" w:rsidRDefault="00013EC7">
            <w:pPr>
              <w:spacing w:line="300" w:lineRule="exact"/>
              <w:rPr>
                <w:rFonts w:ascii="仿宋" w:eastAsia="仿宋" w:hAnsi="仿宋" w:cs="仿宋"/>
                <w:sz w:val="24"/>
              </w:rPr>
            </w:pPr>
          </w:p>
        </w:tc>
        <w:tc>
          <w:tcPr>
            <w:tcW w:w="708" w:type="dxa"/>
            <w:vMerge/>
            <w:vAlign w:val="center"/>
          </w:tcPr>
          <w:p w:rsidR="00013EC7" w:rsidRDefault="00013EC7">
            <w:pPr>
              <w:rPr>
                <w:rFonts w:ascii="仿宋" w:eastAsia="仿宋" w:hAnsi="仿宋" w:cs="仿宋"/>
                <w:sz w:val="24"/>
              </w:rPr>
            </w:pPr>
          </w:p>
        </w:tc>
        <w:tc>
          <w:tcPr>
            <w:tcW w:w="709" w:type="dxa"/>
            <w:vMerge/>
            <w:vAlign w:val="center"/>
          </w:tcPr>
          <w:p w:rsidR="00013EC7" w:rsidRDefault="00013EC7">
            <w:pPr>
              <w:rPr>
                <w:rFonts w:ascii="仿宋" w:eastAsia="仿宋" w:hAnsi="仿宋" w:cs="仿宋"/>
                <w:sz w:val="24"/>
              </w:rPr>
            </w:pPr>
          </w:p>
        </w:tc>
        <w:tc>
          <w:tcPr>
            <w:tcW w:w="851" w:type="dxa"/>
            <w:vMerge/>
            <w:vAlign w:val="center"/>
          </w:tcPr>
          <w:p w:rsidR="00013EC7" w:rsidRDefault="00013EC7">
            <w:pPr>
              <w:rPr>
                <w:rFonts w:ascii="仿宋" w:eastAsia="仿宋" w:hAnsi="仿宋" w:cs="仿宋"/>
                <w:sz w:val="24"/>
              </w:rPr>
            </w:pPr>
          </w:p>
        </w:tc>
        <w:tc>
          <w:tcPr>
            <w:tcW w:w="992" w:type="dxa"/>
            <w:vMerge/>
            <w:vAlign w:val="center"/>
          </w:tcPr>
          <w:p w:rsidR="00013EC7" w:rsidRDefault="00013EC7">
            <w:pPr>
              <w:rPr>
                <w:rFonts w:ascii="仿宋" w:eastAsia="仿宋" w:hAnsi="仿宋" w:cs="仿宋"/>
                <w:sz w:val="24"/>
              </w:rPr>
            </w:pPr>
          </w:p>
        </w:tc>
        <w:tc>
          <w:tcPr>
            <w:tcW w:w="991" w:type="dxa"/>
            <w:vMerge/>
            <w:vAlign w:val="center"/>
          </w:tcPr>
          <w:p w:rsidR="00013EC7" w:rsidRDefault="00013EC7">
            <w:pPr>
              <w:rPr>
                <w:rFonts w:ascii="仿宋" w:eastAsia="仿宋" w:hAnsi="仿宋" w:cs="仿宋"/>
                <w:sz w:val="24"/>
              </w:rPr>
            </w:pPr>
          </w:p>
        </w:tc>
      </w:tr>
    </w:tbl>
    <w:p w:rsidR="00013EC7" w:rsidRDefault="005262E6">
      <w:pPr>
        <w:rPr>
          <w:szCs w:val="21"/>
        </w:rPr>
      </w:pPr>
      <w:r>
        <w:lastRenderedPageBreak/>
        <w:object w:dxaOrig="1440" w:dyaOrig="1440">
          <v:shape id="_x0000_s1416" type="#_x0000_t75" style="position:absolute;left:0;text-align:left;margin-left:-15.95pt;margin-top:95.3pt;width:529.3pt;height:746.7pt;z-index:251743232;mso-wrap-distance-top:0;mso-wrap-distance-bottom:0;mso-position-horizontal-relative:text;mso-position-vertical-relative:page;mso-width-relative:page;mso-height-relative:page">
            <v:imagedata r:id="rId537" o:title=""/>
            <w10:wrap type="topAndBottom" anchory="page"/>
          </v:shape>
          <o:OLEObject Type="Embed" ProgID="Visio.Drawing.11" ShapeID="_x0000_s1416" DrawAspect="Content" ObjectID="_1577296317" r:id="rId538"/>
        </w:object>
      </w:r>
    </w:p>
    <w:p w:rsidR="00013EC7" w:rsidRDefault="00575CDB">
      <w:pPr>
        <w:pStyle w:val="2"/>
      </w:pPr>
      <w:bookmarkStart w:id="668" w:name="_Toc10822"/>
      <w:bookmarkStart w:id="669" w:name="_Toc5729"/>
      <w:bookmarkStart w:id="670" w:name="_Toc2142"/>
      <w:bookmarkStart w:id="671" w:name="_Toc498705781"/>
      <w:bookmarkStart w:id="672" w:name="_Toc503467504"/>
      <w:r>
        <w:rPr>
          <w:rFonts w:hint="eastAsia"/>
        </w:rPr>
        <w:lastRenderedPageBreak/>
        <w:t>30.4</w:t>
      </w:r>
      <w:r>
        <w:rPr>
          <w:rFonts w:hint="eastAsia"/>
        </w:rPr>
        <w:t>《车辆购置税完税证明》补办</w:t>
      </w:r>
      <w:bookmarkEnd w:id="668"/>
      <w:bookmarkEnd w:id="669"/>
      <w:bookmarkEnd w:id="670"/>
      <w:bookmarkEnd w:id="671"/>
      <w:bookmarkEnd w:id="672"/>
    </w:p>
    <w:p w:rsidR="00013EC7" w:rsidRDefault="00575CDB">
      <w:pPr>
        <w:jc w:val="center"/>
        <w:rPr>
          <w:rFonts w:ascii="宋体" w:hAnsi="宋体" w:cs="宋体"/>
          <w:b/>
          <w:bCs/>
          <w:sz w:val="52"/>
          <w:szCs w:val="52"/>
        </w:rPr>
      </w:pPr>
      <w:r>
        <w:rPr>
          <w:rFonts w:ascii="宋体" w:hAnsi="宋体" w:cs="宋体" w:hint="eastAsia"/>
          <w:b/>
          <w:bCs/>
          <w:sz w:val="52"/>
          <w:szCs w:val="52"/>
        </w:rPr>
        <w:t>全省“最多跑一次”事项“八统一”梳理表</w:t>
      </w:r>
    </w:p>
    <w:tbl>
      <w:tblPr>
        <w:tblW w:w="19845"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2656"/>
        <w:gridCol w:w="3278"/>
        <w:gridCol w:w="1329"/>
        <w:gridCol w:w="2507"/>
        <w:gridCol w:w="1371"/>
        <w:gridCol w:w="1793"/>
        <w:gridCol w:w="868"/>
        <w:gridCol w:w="798"/>
        <w:gridCol w:w="958"/>
        <w:gridCol w:w="1104"/>
        <w:gridCol w:w="1476"/>
      </w:tblGrid>
      <w:tr w:rsidR="00013EC7">
        <w:trPr>
          <w:trHeight w:val="340"/>
          <w:tblHeader/>
          <w:jc w:val="center"/>
        </w:trPr>
        <w:tc>
          <w:tcPr>
            <w:tcW w:w="672" w:type="dxa"/>
            <w:vMerge w:val="restart"/>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主项名称</w:t>
            </w:r>
          </w:p>
        </w:tc>
        <w:tc>
          <w:tcPr>
            <w:tcW w:w="1035" w:type="dxa"/>
            <w:vMerge w:val="restart"/>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子项名称</w:t>
            </w:r>
          </w:p>
        </w:tc>
        <w:tc>
          <w:tcPr>
            <w:tcW w:w="2656" w:type="dxa"/>
            <w:vMerge w:val="restart"/>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经办依据</w:t>
            </w:r>
          </w:p>
        </w:tc>
        <w:tc>
          <w:tcPr>
            <w:tcW w:w="4607" w:type="dxa"/>
            <w:gridSpan w:val="2"/>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原经办所需材料</w:t>
            </w:r>
          </w:p>
        </w:tc>
        <w:tc>
          <w:tcPr>
            <w:tcW w:w="5671" w:type="dxa"/>
            <w:gridSpan w:val="3"/>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精简后经办所需材料</w:t>
            </w:r>
          </w:p>
        </w:tc>
        <w:tc>
          <w:tcPr>
            <w:tcW w:w="1666" w:type="dxa"/>
            <w:gridSpan w:val="2"/>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办理时限</w:t>
            </w:r>
          </w:p>
        </w:tc>
        <w:tc>
          <w:tcPr>
            <w:tcW w:w="958" w:type="dxa"/>
            <w:vMerge w:val="restart"/>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是否实现跑零次</w:t>
            </w:r>
          </w:p>
        </w:tc>
        <w:tc>
          <w:tcPr>
            <w:tcW w:w="1104" w:type="dxa"/>
            <w:vMerge w:val="restart"/>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责任处室</w:t>
            </w:r>
          </w:p>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（单位）</w:t>
            </w:r>
          </w:p>
        </w:tc>
        <w:tc>
          <w:tcPr>
            <w:tcW w:w="1476" w:type="dxa"/>
            <w:vMerge w:val="restart"/>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进一步精简、</w:t>
            </w:r>
          </w:p>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规范建议</w:t>
            </w:r>
          </w:p>
        </w:tc>
      </w:tr>
      <w:tr w:rsidR="00013EC7">
        <w:trPr>
          <w:trHeight w:val="90"/>
          <w:tblHeader/>
          <w:jc w:val="center"/>
        </w:trPr>
        <w:tc>
          <w:tcPr>
            <w:tcW w:w="672" w:type="dxa"/>
            <w:vMerge/>
            <w:vAlign w:val="center"/>
          </w:tcPr>
          <w:p w:rsidR="00013EC7" w:rsidRDefault="00013EC7">
            <w:pPr>
              <w:jc w:val="center"/>
              <w:rPr>
                <w:rFonts w:ascii="黑体" w:eastAsia="黑体" w:hAnsi="黑体" w:cs="黑体"/>
                <w:sz w:val="24"/>
              </w:rPr>
            </w:pPr>
          </w:p>
        </w:tc>
        <w:tc>
          <w:tcPr>
            <w:tcW w:w="1035" w:type="dxa"/>
            <w:vMerge/>
          </w:tcPr>
          <w:p w:rsidR="00013EC7" w:rsidRDefault="00013EC7">
            <w:pPr>
              <w:jc w:val="center"/>
              <w:rPr>
                <w:rFonts w:ascii="黑体" w:eastAsia="黑体" w:hAnsi="黑体" w:cs="黑体"/>
                <w:sz w:val="24"/>
              </w:rPr>
            </w:pPr>
          </w:p>
        </w:tc>
        <w:tc>
          <w:tcPr>
            <w:tcW w:w="2656" w:type="dxa"/>
            <w:vMerge/>
          </w:tcPr>
          <w:p w:rsidR="00013EC7" w:rsidRDefault="00013EC7">
            <w:pPr>
              <w:jc w:val="center"/>
              <w:rPr>
                <w:rFonts w:ascii="黑体" w:eastAsia="黑体" w:hAnsi="黑体" w:cs="黑体"/>
                <w:sz w:val="24"/>
              </w:rPr>
            </w:pPr>
          </w:p>
        </w:tc>
        <w:tc>
          <w:tcPr>
            <w:tcW w:w="3278" w:type="dxa"/>
            <w:tcBorders>
              <w:bottom w:val="single" w:sz="4" w:space="0" w:color="auto"/>
            </w:tcBorders>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材料明细</w:t>
            </w:r>
          </w:p>
        </w:tc>
        <w:tc>
          <w:tcPr>
            <w:tcW w:w="1329"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材料来源</w:t>
            </w:r>
          </w:p>
        </w:tc>
        <w:tc>
          <w:tcPr>
            <w:tcW w:w="2507"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材料明细</w:t>
            </w:r>
          </w:p>
        </w:tc>
        <w:tc>
          <w:tcPr>
            <w:tcW w:w="1371"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材料来源</w:t>
            </w:r>
          </w:p>
        </w:tc>
        <w:tc>
          <w:tcPr>
            <w:tcW w:w="1793"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办理方式及材料</w:t>
            </w:r>
          </w:p>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信息获取方式说明</w:t>
            </w:r>
          </w:p>
        </w:tc>
        <w:tc>
          <w:tcPr>
            <w:tcW w:w="868"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优化前</w:t>
            </w:r>
          </w:p>
        </w:tc>
        <w:tc>
          <w:tcPr>
            <w:tcW w:w="798"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优化后</w:t>
            </w:r>
          </w:p>
        </w:tc>
        <w:tc>
          <w:tcPr>
            <w:tcW w:w="958" w:type="dxa"/>
            <w:vMerge/>
            <w:vAlign w:val="center"/>
          </w:tcPr>
          <w:p w:rsidR="00013EC7" w:rsidRDefault="00013EC7">
            <w:pPr>
              <w:jc w:val="center"/>
              <w:rPr>
                <w:rFonts w:ascii="黑体" w:eastAsia="黑体" w:hAnsi="黑体" w:cs="黑体"/>
                <w:sz w:val="24"/>
              </w:rPr>
            </w:pPr>
          </w:p>
        </w:tc>
        <w:tc>
          <w:tcPr>
            <w:tcW w:w="1104" w:type="dxa"/>
            <w:vMerge/>
            <w:vAlign w:val="center"/>
          </w:tcPr>
          <w:p w:rsidR="00013EC7" w:rsidRDefault="00013EC7">
            <w:pPr>
              <w:jc w:val="center"/>
              <w:rPr>
                <w:rFonts w:ascii="黑体" w:eastAsia="黑体" w:hAnsi="黑体" w:cs="黑体"/>
                <w:sz w:val="24"/>
              </w:rPr>
            </w:pPr>
          </w:p>
        </w:tc>
        <w:tc>
          <w:tcPr>
            <w:tcW w:w="1476" w:type="dxa"/>
            <w:vMerge/>
            <w:vAlign w:val="center"/>
          </w:tcPr>
          <w:p w:rsidR="00013EC7" w:rsidRDefault="00013EC7">
            <w:pPr>
              <w:jc w:val="center"/>
              <w:rPr>
                <w:rFonts w:ascii="黑体" w:eastAsia="黑体" w:hAnsi="黑体" w:cs="黑体"/>
                <w:sz w:val="24"/>
              </w:rPr>
            </w:pPr>
          </w:p>
        </w:tc>
      </w:tr>
      <w:tr w:rsidR="00013EC7">
        <w:trPr>
          <w:trHeight w:val="691"/>
          <w:jc w:val="center"/>
        </w:trPr>
        <w:tc>
          <w:tcPr>
            <w:tcW w:w="672" w:type="dxa"/>
            <w:vMerge w:val="restart"/>
            <w:vAlign w:val="center"/>
          </w:tcPr>
          <w:p w:rsidR="00013EC7" w:rsidRDefault="00575CDB">
            <w:pPr>
              <w:jc w:val="left"/>
              <w:rPr>
                <w:rFonts w:ascii="仿宋" w:eastAsia="仿宋" w:hAnsi="仿宋" w:cs="仿宋"/>
                <w:sz w:val="24"/>
              </w:rPr>
            </w:pPr>
            <w:r>
              <w:rPr>
                <w:rFonts w:ascii="仿宋" w:eastAsia="仿宋" w:hAnsi="仿宋" w:cs="仿宋" w:hint="eastAsia"/>
                <w:sz w:val="24"/>
              </w:rPr>
              <w:t>30车辆购置税事项办理</w:t>
            </w:r>
          </w:p>
        </w:tc>
        <w:tc>
          <w:tcPr>
            <w:tcW w:w="1035" w:type="dxa"/>
            <w:vMerge w:val="restart"/>
            <w:vAlign w:val="center"/>
          </w:tcPr>
          <w:p w:rsidR="00013EC7" w:rsidRDefault="00575CDB">
            <w:pPr>
              <w:jc w:val="left"/>
              <w:rPr>
                <w:rFonts w:ascii="仿宋" w:eastAsia="仿宋" w:hAnsi="仿宋" w:cs="仿宋"/>
                <w:sz w:val="24"/>
              </w:rPr>
            </w:pPr>
            <w:r>
              <w:rPr>
                <w:rFonts w:ascii="仿宋" w:eastAsia="仿宋" w:hAnsi="仿宋" w:cs="仿宋" w:hint="eastAsia"/>
                <w:sz w:val="24"/>
              </w:rPr>
              <w:t>30.4《车辆购置税完税证明》补办</w:t>
            </w:r>
          </w:p>
        </w:tc>
        <w:tc>
          <w:tcPr>
            <w:tcW w:w="2656" w:type="dxa"/>
            <w:vMerge w:val="restart"/>
          </w:tcPr>
          <w:p w:rsidR="00013EC7" w:rsidRDefault="00575CDB">
            <w:pPr>
              <w:jc w:val="left"/>
              <w:rPr>
                <w:rFonts w:ascii="仿宋" w:eastAsia="仿宋" w:hAnsi="仿宋" w:cs="仿宋"/>
                <w:sz w:val="24"/>
              </w:rPr>
            </w:pPr>
            <w:r>
              <w:rPr>
                <w:rFonts w:ascii="仿宋" w:eastAsia="仿宋" w:hAnsi="仿宋" w:cs="仿宋" w:hint="eastAsia"/>
                <w:sz w:val="24"/>
              </w:rPr>
              <w:t>（一）《中华人民共和国车辆购置税暂行条例》（2000年中华人民共和国国务院令294号）全文。</w:t>
            </w:r>
            <w:r>
              <w:rPr>
                <w:rFonts w:ascii="仿宋" w:eastAsia="仿宋" w:hAnsi="仿宋" w:cs="仿宋" w:hint="eastAsia"/>
                <w:sz w:val="24"/>
              </w:rPr>
              <w:br/>
              <w:t>（二）《车辆购置税征收管理办法》（2014年国家税务总局令第33号）第二十二条至第二十九条。</w:t>
            </w:r>
            <w:r>
              <w:rPr>
                <w:rFonts w:ascii="仿宋" w:eastAsia="仿宋" w:hAnsi="仿宋" w:cs="仿宋" w:hint="eastAsia"/>
                <w:sz w:val="24"/>
              </w:rPr>
              <w:br/>
              <w:t>（三）《国家税务总局关于修改〈车辆购置税征收管理办法〉的决定》（2015年国家税务总局令第38号）第二十二条、第二十三条、第二十四条、第二十五条、第二十六条、第二十七条。</w:t>
            </w:r>
            <w:r>
              <w:rPr>
                <w:rFonts w:ascii="仿宋" w:eastAsia="仿宋" w:hAnsi="仿宋" w:cs="仿宋" w:hint="eastAsia"/>
                <w:sz w:val="24"/>
              </w:rPr>
              <w:br/>
              <w:t>（四）《国家税务总局关于车辆购置税征收管理有关问题的公告》（国家税务总局公告2015年第4号）第二十条。</w:t>
            </w:r>
            <w:r>
              <w:rPr>
                <w:rFonts w:ascii="仿宋" w:eastAsia="仿宋" w:hAnsi="仿宋" w:cs="仿宋" w:hint="eastAsia"/>
                <w:sz w:val="24"/>
              </w:rPr>
              <w:br/>
              <w:t>（五）《国家税务总局关于启用新版&lt;车辆购置税完税证明&gt;有关问题的通知》（国税函〔2012〕567号）全文。</w:t>
            </w:r>
          </w:p>
          <w:p w:rsidR="00013EC7" w:rsidRDefault="00013EC7">
            <w:pPr>
              <w:spacing w:line="200" w:lineRule="atLeast"/>
              <w:jc w:val="left"/>
              <w:rPr>
                <w:rFonts w:ascii="仿宋" w:eastAsia="仿宋" w:hAnsi="仿宋" w:cs="仿宋"/>
                <w:sz w:val="24"/>
              </w:rPr>
            </w:pPr>
          </w:p>
        </w:tc>
        <w:tc>
          <w:tcPr>
            <w:tcW w:w="3278" w:type="dxa"/>
            <w:tcBorders>
              <w:top w:val="single" w:sz="4" w:space="0" w:color="auto"/>
              <w:bottom w:val="single" w:sz="4" w:space="0" w:color="auto"/>
            </w:tcBorders>
          </w:tcPr>
          <w:p w:rsidR="00013EC7" w:rsidRDefault="00575CDB">
            <w:pPr>
              <w:spacing w:line="300" w:lineRule="exact"/>
              <w:jc w:val="left"/>
              <w:rPr>
                <w:rFonts w:ascii="仿宋" w:eastAsia="仿宋" w:hAnsi="仿宋" w:cs="仿宋"/>
                <w:sz w:val="24"/>
                <w:highlight w:val="lightGray"/>
              </w:rPr>
            </w:pPr>
            <w:r>
              <w:rPr>
                <w:rFonts w:ascii="仿宋" w:eastAsia="仿宋" w:hAnsi="仿宋" w:cs="仿宋" w:hint="eastAsia"/>
                <w:sz w:val="24"/>
              </w:rPr>
              <w:lastRenderedPageBreak/>
              <w:t>(一) （A01054）《车辆购置税完税证明补办表》1份。</w:t>
            </w:r>
          </w:p>
        </w:tc>
        <w:tc>
          <w:tcPr>
            <w:tcW w:w="1329" w:type="dxa"/>
            <w:vMerge w:val="restart"/>
            <w:vAlign w:val="center"/>
          </w:tcPr>
          <w:p w:rsidR="00013EC7" w:rsidRDefault="00575CDB">
            <w:pPr>
              <w:spacing w:line="300" w:lineRule="exact"/>
              <w:jc w:val="left"/>
              <w:rPr>
                <w:rFonts w:ascii="仿宋" w:eastAsia="仿宋" w:hAnsi="仿宋" w:cs="仿宋"/>
                <w:color w:val="000000"/>
                <w:sz w:val="24"/>
              </w:rPr>
            </w:pPr>
            <w:r>
              <w:rPr>
                <w:rFonts w:ascii="仿宋" w:eastAsia="仿宋" w:hAnsi="仿宋" w:cs="仿宋" w:hint="eastAsia"/>
                <w:color w:val="000000"/>
                <w:sz w:val="24"/>
              </w:rPr>
              <w:t>纳税人提交</w:t>
            </w:r>
          </w:p>
        </w:tc>
        <w:tc>
          <w:tcPr>
            <w:tcW w:w="2507" w:type="dxa"/>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（一）（A01054）《车辆购置税完税证明补办表》1份。</w:t>
            </w:r>
          </w:p>
        </w:tc>
        <w:tc>
          <w:tcPr>
            <w:tcW w:w="1371" w:type="dxa"/>
            <w:vMerge w:val="restart"/>
            <w:vAlign w:val="center"/>
          </w:tcPr>
          <w:p w:rsidR="00013EC7" w:rsidRDefault="00575CDB">
            <w:pPr>
              <w:spacing w:line="300" w:lineRule="exact"/>
              <w:jc w:val="left"/>
              <w:rPr>
                <w:rFonts w:ascii="仿宋" w:eastAsia="仿宋" w:hAnsi="仿宋" w:cs="仿宋"/>
                <w:iCs/>
                <w:sz w:val="24"/>
              </w:rPr>
            </w:pPr>
            <w:r>
              <w:rPr>
                <w:rFonts w:ascii="仿宋" w:eastAsia="仿宋" w:hAnsi="仿宋" w:cs="仿宋" w:hint="eastAsia"/>
                <w:sz w:val="24"/>
              </w:rPr>
              <w:t>纳税人提交</w:t>
            </w:r>
          </w:p>
        </w:tc>
        <w:tc>
          <w:tcPr>
            <w:tcW w:w="1793" w:type="dxa"/>
            <w:vMerge w:val="restart"/>
            <w:vAlign w:val="center"/>
          </w:tcPr>
          <w:p w:rsidR="00013EC7" w:rsidRDefault="00575CDB">
            <w:pPr>
              <w:jc w:val="lef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bCs/>
                <w:sz w:val="24"/>
              </w:rPr>
              <w:t>纳税人</w:t>
            </w:r>
            <w:r>
              <w:rPr>
                <w:rFonts w:ascii="仿宋" w:eastAsia="仿宋" w:hAnsi="仿宋" w:cs="仿宋" w:hint="eastAsia"/>
                <w:sz w:val="24"/>
              </w:rPr>
              <w:t>提交书面材料，符合受理条件的当场受理办结。</w:t>
            </w:r>
          </w:p>
          <w:p w:rsidR="00013EC7" w:rsidRDefault="00013EC7">
            <w:pPr>
              <w:spacing w:line="300" w:lineRule="exact"/>
              <w:jc w:val="left"/>
              <w:rPr>
                <w:rFonts w:ascii="仿宋" w:eastAsia="仿宋" w:hAnsi="仿宋" w:cs="仿宋"/>
                <w:sz w:val="24"/>
              </w:rPr>
            </w:pPr>
          </w:p>
        </w:tc>
        <w:tc>
          <w:tcPr>
            <w:tcW w:w="868"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即时办结</w:t>
            </w:r>
          </w:p>
        </w:tc>
        <w:tc>
          <w:tcPr>
            <w:tcW w:w="798"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即时办结</w:t>
            </w:r>
          </w:p>
        </w:tc>
        <w:tc>
          <w:tcPr>
            <w:tcW w:w="958"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否</w:t>
            </w:r>
          </w:p>
        </w:tc>
        <w:tc>
          <w:tcPr>
            <w:tcW w:w="1104"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货物和劳务税处</w:t>
            </w:r>
          </w:p>
        </w:tc>
        <w:tc>
          <w:tcPr>
            <w:tcW w:w="1476" w:type="dxa"/>
            <w:vMerge w:val="restart"/>
            <w:vAlign w:val="center"/>
          </w:tcPr>
          <w:p w:rsidR="00013EC7" w:rsidRDefault="00013EC7">
            <w:pPr>
              <w:spacing w:line="240" w:lineRule="atLeast"/>
              <w:jc w:val="left"/>
              <w:rPr>
                <w:rFonts w:ascii="仿宋" w:eastAsia="仿宋" w:hAnsi="仿宋" w:cs="仿宋"/>
                <w:sz w:val="24"/>
              </w:rPr>
            </w:pPr>
          </w:p>
        </w:tc>
      </w:tr>
      <w:tr w:rsidR="00013EC7">
        <w:trPr>
          <w:trHeight w:val="1355"/>
          <w:jc w:val="center"/>
        </w:trPr>
        <w:tc>
          <w:tcPr>
            <w:tcW w:w="672" w:type="dxa"/>
            <w:vMerge/>
            <w:textDirection w:val="tbRlV"/>
            <w:vAlign w:val="center"/>
          </w:tcPr>
          <w:p w:rsidR="00013EC7" w:rsidRDefault="00013EC7">
            <w:pPr>
              <w:jc w:val="left"/>
              <w:rPr>
                <w:rFonts w:ascii="仿宋" w:eastAsia="仿宋" w:hAnsi="仿宋" w:cs="仿宋"/>
                <w:sz w:val="24"/>
              </w:rPr>
            </w:pPr>
          </w:p>
        </w:tc>
        <w:tc>
          <w:tcPr>
            <w:tcW w:w="1035" w:type="dxa"/>
            <w:vMerge/>
            <w:vAlign w:val="center"/>
          </w:tcPr>
          <w:p w:rsidR="00013EC7" w:rsidRDefault="00013EC7">
            <w:pPr>
              <w:jc w:val="left"/>
              <w:rPr>
                <w:rFonts w:ascii="仿宋" w:eastAsia="仿宋" w:hAnsi="仿宋" w:cs="仿宋"/>
                <w:sz w:val="24"/>
              </w:rPr>
            </w:pPr>
          </w:p>
        </w:tc>
        <w:tc>
          <w:tcPr>
            <w:tcW w:w="2656" w:type="dxa"/>
            <w:vMerge/>
            <w:vAlign w:val="center"/>
          </w:tcPr>
          <w:p w:rsidR="00013EC7" w:rsidRDefault="00013EC7">
            <w:pPr>
              <w:jc w:val="left"/>
              <w:rPr>
                <w:rFonts w:ascii="仿宋" w:eastAsia="仿宋" w:hAnsi="仿宋" w:cs="仿宋"/>
                <w:sz w:val="24"/>
              </w:rPr>
            </w:pPr>
          </w:p>
        </w:tc>
        <w:tc>
          <w:tcPr>
            <w:tcW w:w="3278" w:type="dxa"/>
            <w:tcBorders>
              <w:top w:val="single" w:sz="4" w:space="0" w:color="auto"/>
            </w:tcBorders>
            <w:vAlign w:val="center"/>
          </w:tcPr>
          <w:p w:rsidR="00013EC7" w:rsidRDefault="00575CDB">
            <w:pPr>
              <w:spacing w:line="300" w:lineRule="exact"/>
              <w:jc w:val="left"/>
              <w:rPr>
                <w:rFonts w:ascii="仿宋" w:eastAsia="仿宋" w:hAnsi="仿宋" w:cs="仿宋"/>
                <w:color w:val="000000"/>
                <w:sz w:val="24"/>
              </w:rPr>
            </w:pPr>
            <w:r>
              <w:rPr>
                <w:rFonts w:ascii="仿宋" w:eastAsia="仿宋" w:hAnsi="仿宋" w:cs="仿宋" w:hint="eastAsia"/>
                <w:sz w:val="24"/>
              </w:rPr>
              <w:t>（二）车辆购置税完税凭证以及车辆合格证明</w:t>
            </w:r>
            <w:r>
              <w:rPr>
                <w:rFonts w:ascii="仿宋" w:eastAsia="仿宋" w:hAnsi="仿宋" w:cs="仿宋" w:hint="eastAsia"/>
                <w:sz w:val="24"/>
                <w:lang w:val="zh-CN"/>
              </w:rPr>
              <w:t>原件及复印件</w:t>
            </w:r>
            <w:r>
              <w:rPr>
                <w:rFonts w:ascii="仿宋" w:eastAsia="仿宋" w:hAnsi="仿宋" w:cs="仿宋" w:hint="eastAsia"/>
                <w:color w:val="000000"/>
                <w:sz w:val="24"/>
                <w:lang w:val="zh-CN"/>
              </w:rPr>
              <w:t>（注明与原件一致，并加盖公章）</w:t>
            </w:r>
            <w:r>
              <w:rPr>
                <w:rFonts w:ascii="仿宋" w:eastAsia="仿宋" w:hAnsi="仿宋" w:cs="仿宋" w:hint="eastAsia"/>
                <w:sz w:val="24"/>
              </w:rPr>
              <w:t>（</w:t>
            </w:r>
            <w:r>
              <w:rPr>
                <w:rFonts w:ascii="仿宋" w:eastAsia="仿宋" w:hAnsi="仿宋" w:cs="仿宋"/>
                <w:color w:val="000000"/>
                <w:sz w:val="24"/>
              </w:rPr>
              <w:t>未办理车辆登记注册</w:t>
            </w:r>
            <w:r>
              <w:rPr>
                <w:rFonts w:ascii="仿宋" w:eastAsia="仿宋" w:hAnsi="仿宋" w:cs="仿宋" w:hint="eastAsia"/>
                <w:sz w:val="24"/>
              </w:rPr>
              <w:t>）。</w:t>
            </w:r>
            <w:r>
              <w:rPr>
                <w:rFonts w:ascii="仿宋" w:eastAsia="仿宋" w:hAnsi="仿宋" w:cs="仿宋" w:hint="eastAsia"/>
                <w:sz w:val="24"/>
                <w:lang w:val="zh-CN"/>
              </w:rPr>
              <w:t>《机动车行驶证》（或者《机动车</w:t>
            </w:r>
            <w:r>
              <w:rPr>
                <w:rFonts w:ascii="仿宋" w:eastAsia="仿宋" w:hAnsi="仿宋" w:cs="仿宋" w:hint="eastAsia"/>
                <w:color w:val="000000"/>
                <w:sz w:val="24"/>
                <w:lang w:val="zh-CN"/>
              </w:rPr>
              <w:t>登记证书》）复印件（注明与原件一致，并加盖公章）（</w:t>
            </w:r>
            <w:r>
              <w:rPr>
                <w:rFonts w:ascii="仿宋" w:eastAsia="仿宋" w:hAnsi="仿宋" w:cs="仿宋" w:hint="eastAsia"/>
                <w:color w:val="000000"/>
                <w:sz w:val="24"/>
              </w:rPr>
              <w:t>已</w:t>
            </w:r>
            <w:r>
              <w:rPr>
                <w:rFonts w:ascii="仿宋" w:eastAsia="仿宋" w:hAnsi="仿宋" w:cs="仿宋"/>
                <w:color w:val="000000"/>
                <w:sz w:val="24"/>
              </w:rPr>
              <w:t>办理车辆登记注册</w:t>
            </w:r>
            <w:r>
              <w:rPr>
                <w:rFonts w:ascii="仿宋" w:eastAsia="仿宋" w:hAnsi="仿宋" w:cs="仿宋" w:hint="eastAsia"/>
                <w:color w:val="000000"/>
                <w:sz w:val="24"/>
                <w:lang w:val="zh-CN"/>
              </w:rPr>
              <w:t>）</w:t>
            </w:r>
            <w:r>
              <w:rPr>
                <w:rFonts w:ascii="仿宋" w:eastAsia="仿宋" w:hAnsi="仿宋" w:cs="仿宋" w:hint="eastAsia"/>
                <w:sz w:val="24"/>
                <w:lang w:val="zh-CN"/>
              </w:rPr>
              <w:t>。</w:t>
            </w:r>
          </w:p>
        </w:tc>
        <w:tc>
          <w:tcPr>
            <w:tcW w:w="1329" w:type="dxa"/>
            <w:vMerge/>
            <w:vAlign w:val="center"/>
          </w:tcPr>
          <w:p w:rsidR="00013EC7" w:rsidRDefault="00013EC7">
            <w:pPr>
              <w:jc w:val="left"/>
              <w:rPr>
                <w:rFonts w:ascii="仿宋" w:eastAsia="仿宋" w:hAnsi="仿宋" w:cs="仿宋"/>
                <w:color w:val="000000"/>
                <w:sz w:val="24"/>
              </w:rPr>
            </w:pPr>
          </w:p>
        </w:tc>
        <w:tc>
          <w:tcPr>
            <w:tcW w:w="2507" w:type="dxa"/>
            <w:vAlign w:val="center"/>
          </w:tcPr>
          <w:p w:rsidR="00013EC7" w:rsidRDefault="00575CDB">
            <w:pPr>
              <w:spacing w:line="300" w:lineRule="exact"/>
              <w:jc w:val="left"/>
              <w:rPr>
                <w:rFonts w:ascii="仿宋" w:eastAsia="仿宋" w:hAnsi="仿宋" w:cs="仿宋"/>
                <w:color w:val="000000"/>
                <w:sz w:val="24"/>
              </w:rPr>
            </w:pPr>
            <w:r>
              <w:rPr>
                <w:rFonts w:ascii="仿宋" w:eastAsia="仿宋" w:hAnsi="仿宋" w:cs="仿宋" w:hint="eastAsia"/>
                <w:sz w:val="24"/>
              </w:rPr>
              <w:t>（二）车辆购置税完税凭证以及车辆合格证明</w:t>
            </w:r>
            <w:r>
              <w:rPr>
                <w:rFonts w:ascii="仿宋" w:eastAsia="仿宋" w:hAnsi="仿宋" w:cs="仿宋" w:hint="eastAsia"/>
                <w:sz w:val="24"/>
                <w:lang w:val="zh-CN"/>
              </w:rPr>
              <w:t>原件及复印件</w:t>
            </w:r>
            <w:r>
              <w:rPr>
                <w:rFonts w:ascii="仿宋" w:eastAsia="仿宋" w:hAnsi="仿宋" w:cs="仿宋" w:hint="eastAsia"/>
                <w:color w:val="000000"/>
                <w:sz w:val="24"/>
                <w:lang w:val="zh-CN"/>
              </w:rPr>
              <w:t>（注明与原件一致，并加盖公章）</w:t>
            </w:r>
            <w:r>
              <w:rPr>
                <w:rFonts w:ascii="仿宋" w:eastAsia="仿宋" w:hAnsi="仿宋" w:cs="仿宋" w:hint="eastAsia"/>
                <w:sz w:val="24"/>
              </w:rPr>
              <w:t>（</w:t>
            </w:r>
            <w:r>
              <w:rPr>
                <w:rFonts w:ascii="仿宋" w:eastAsia="仿宋" w:hAnsi="仿宋" w:cs="仿宋"/>
                <w:color w:val="000000"/>
                <w:sz w:val="24"/>
              </w:rPr>
              <w:t>未办理车辆登记注册</w:t>
            </w:r>
            <w:r>
              <w:rPr>
                <w:rFonts w:ascii="仿宋" w:eastAsia="仿宋" w:hAnsi="仿宋" w:cs="仿宋" w:hint="eastAsia"/>
                <w:sz w:val="24"/>
              </w:rPr>
              <w:t>）。</w:t>
            </w:r>
            <w:r>
              <w:rPr>
                <w:rFonts w:ascii="仿宋" w:eastAsia="仿宋" w:hAnsi="仿宋" w:cs="仿宋" w:hint="eastAsia"/>
                <w:sz w:val="24"/>
                <w:lang w:val="zh-CN"/>
              </w:rPr>
              <w:t>《机动车行驶证》（或者《机动车</w:t>
            </w:r>
            <w:r>
              <w:rPr>
                <w:rFonts w:ascii="仿宋" w:eastAsia="仿宋" w:hAnsi="仿宋" w:cs="仿宋" w:hint="eastAsia"/>
                <w:color w:val="000000"/>
                <w:sz w:val="24"/>
                <w:lang w:val="zh-CN"/>
              </w:rPr>
              <w:t>登记证书》）复印件（注明与原件一致，并加盖公章）（</w:t>
            </w:r>
            <w:r>
              <w:rPr>
                <w:rFonts w:ascii="仿宋" w:eastAsia="仿宋" w:hAnsi="仿宋" w:cs="仿宋" w:hint="eastAsia"/>
                <w:color w:val="000000"/>
                <w:sz w:val="24"/>
              </w:rPr>
              <w:t>已</w:t>
            </w:r>
            <w:r>
              <w:rPr>
                <w:rFonts w:ascii="仿宋" w:eastAsia="仿宋" w:hAnsi="仿宋" w:cs="仿宋"/>
                <w:color w:val="000000"/>
                <w:sz w:val="24"/>
              </w:rPr>
              <w:t>办理车辆登记注册</w:t>
            </w:r>
            <w:r>
              <w:rPr>
                <w:rFonts w:ascii="仿宋" w:eastAsia="仿宋" w:hAnsi="仿宋" w:cs="仿宋" w:hint="eastAsia"/>
                <w:color w:val="000000"/>
                <w:sz w:val="24"/>
                <w:lang w:val="zh-CN"/>
              </w:rPr>
              <w:t>）</w:t>
            </w:r>
            <w:r>
              <w:rPr>
                <w:rFonts w:ascii="仿宋" w:eastAsia="仿宋" w:hAnsi="仿宋" w:cs="仿宋" w:hint="eastAsia"/>
                <w:sz w:val="24"/>
                <w:lang w:val="zh-CN"/>
              </w:rPr>
              <w:t>。</w:t>
            </w:r>
          </w:p>
        </w:tc>
        <w:tc>
          <w:tcPr>
            <w:tcW w:w="1371" w:type="dxa"/>
            <w:vMerge/>
            <w:vAlign w:val="center"/>
          </w:tcPr>
          <w:p w:rsidR="00013EC7" w:rsidRDefault="00013EC7">
            <w:pPr>
              <w:spacing w:line="300" w:lineRule="exact"/>
              <w:jc w:val="center"/>
              <w:rPr>
                <w:rFonts w:ascii="仿宋" w:eastAsia="仿宋" w:hAnsi="仿宋" w:cs="仿宋"/>
                <w:sz w:val="24"/>
              </w:rPr>
            </w:pPr>
          </w:p>
        </w:tc>
        <w:tc>
          <w:tcPr>
            <w:tcW w:w="1793" w:type="dxa"/>
            <w:vMerge/>
            <w:vAlign w:val="center"/>
          </w:tcPr>
          <w:p w:rsidR="00013EC7" w:rsidRDefault="00013EC7">
            <w:pPr>
              <w:spacing w:line="300" w:lineRule="exact"/>
              <w:rPr>
                <w:rFonts w:ascii="仿宋" w:eastAsia="仿宋" w:hAnsi="仿宋" w:cs="仿宋"/>
                <w:sz w:val="24"/>
              </w:rPr>
            </w:pPr>
          </w:p>
        </w:tc>
        <w:tc>
          <w:tcPr>
            <w:tcW w:w="868" w:type="dxa"/>
            <w:vMerge/>
            <w:vAlign w:val="center"/>
          </w:tcPr>
          <w:p w:rsidR="00013EC7" w:rsidRDefault="00013EC7">
            <w:pPr>
              <w:rPr>
                <w:rFonts w:ascii="仿宋" w:eastAsia="仿宋" w:hAnsi="仿宋" w:cs="仿宋"/>
                <w:sz w:val="24"/>
              </w:rPr>
            </w:pPr>
          </w:p>
        </w:tc>
        <w:tc>
          <w:tcPr>
            <w:tcW w:w="798" w:type="dxa"/>
            <w:vMerge/>
            <w:vAlign w:val="center"/>
          </w:tcPr>
          <w:p w:rsidR="00013EC7" w:rsidRDefault="00013EC7">
            <w:pPr>
              <w:rPr>
                <w:rFonts w:ascii="仿宋" w:eastAsia="仿宋" w:hAnsi="仿宋" w:cs="仿宋"/>
                <w:sz w:val="24"/>
              </w:rPr>
            </w:pP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340"/>
          <w:jc w:val="center"/>
        </w:trPr>
        <w:tc>
          <w:tcPr>
            <w:tcW w:w="672" w:type="dxa"/>
            <w:vMerge/>
            <w:vAlign w:val="center"/>
          </w:tcPr>
          <w:p w:rsidR="00013EC7" w:rsidRDefault="00013EC7">
            <w:pPr>
              <w:jc w:val="left"/>
              <w:rPr>
                <w:rFonts w:ascii="仿宋" w:eastAsia="仿宋" w:hAnsi="仿宋" w:cs="仿宋"/>
                <w:sz w:val="24"/>
              </w:rPr>
            </w:pPr>
          </w:p>
        </w:tc>
        <w:tc>
          <w:tcPr>
            <w:tcW w:w="1035" w:type="dxa"/>
            <w:vMerge/>
            <w:vAlign w:val="center"/>
          </w:tcPr>
          <w:p w:rsidR="00013EC7" w:rsidRDefault="00013EC7">
            <w:pPr>
              <w:jc w:val="left"/>
              <w:rPr>
                <w:rFonts w:ascii="仿宋" w:eastAsia="仿宋" w:hAnsi="仿宋" w:cs="仿宋"/>
                <w:sz w:val="24"/>
              </w:rPr>
            </w:pPr>
          </w:p>
        </w:tc>
        <w:tc>
          <w:tcPr>
            <w:tcW w:w="2656" w:type="dxa"/>
            <w:vMerge/>
            <w:vAlign w:val="center"/>
          </w:tcPr>
          <w:p w:rsidR="00013EC7" w:rsidRDefault="00013EC7">
            <w:pPr>
              <w:jc w:val="left"/>
              <w:rPr>
                <w:rFonts w:ascii="仿宋" w:eastAsia="仿宋" w:hAnsi="仿宋" w:cs="仿宋"/>
                <w:sz w:val="24"/>
              </w:rPr>
            </w:pPr>
          </w:p>
        </w:tc>
        <w:tc>
          <w:tcPr>
            <w:tcW w:w="3278"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四）提供内地《居民身份证》或者《居民户口簿》（上述证件上的签发机关所在地与车辆登记注册地不一致的，纳税人在申报纳税时需同时提供车辆登记注册地户籍管理部门出具的居住证明或者其他相关证明文书）或者军人（含武警）身份证明。</w:t>
            </w:r>
          </w:p>
        </w:tc>
        <w:tc>
          <w:tcPr>
            <w:tcW w:w="1329" w:type="dxa"/>
            <w:vAlign w:val="center"/>
          </w:tcPr>
          <w:p w:rsidR="00013EC7" w:rsidRDefault="00575CDB">
            <w:pPr>
              <w:jc w:val="left"/>
              <w:rPr>
                <w:rFonts w:ascii="仿宋" w:eastAsia="仿宋" w:hAnsi="仿宋" w:cs="仿宋"/>
                <w:sz w:val="24"/>
              </w:rPr>
            </w:pPr>
            <w:r>
              <w:rPr>
                <w:rFonts w:ascii="仿宋" w:eastAsia="仿宋" w:hAnsi="仿宋" w:cs="仿宋" w:hint="eastAsia"/>
                <w:sz w:val="24"/>
              </w:rPr>
              <w:t>内地居民提交</w:t>
            </w:r>
          </w:p>
        </w:tc>
        <w:tc>
          <w:tcPr>
            <w:tcW w:w="2507" w:type="dxa"/>
            <w:vAlign w:val="center"/>
          </w:tcPr>
          <w:p w:rsidR="00013EC7" w:rsidRDefault="00013EC7">
            <w:pPr>
              <w:spacing w:line="300" w:lineRule="exact"/>
              <w:jc w:val="left"/>
              <w:rPr>
                <w:rFonts w:ascii="仿宋" w:eastAsia="仿宋" w:hAnsi="仿宋" w:cs="仿宋"/>
                <w:sz w:val="24"/>
              </w:rPr>
            </w:pPr>
          </w:p>
        </w:tc>
        <w:tc>
          <w:tcPr>
            <w:tcW w:w="1371" w:type="dxa"/>
            <w:vMerge w:val="restart"/>
            <w:vAlign w:val="center"/>
          </w:tcPr>
          <w:p w:rsidR="00013EC7" w:rsidRDefault="00575CDB">
            <w:pPr>
              <w:jc w:val="center"/>
              <w:rPr>
                <w:rFonts w:ascii="仿宋" w:eastAsia="仿宋" w:hAnsi="仿宋" w:cs="仿宋"/>
                <w:sz w:val="24"/>
              </w:rPr>
            </w:pPr>
            <w:r>
              <w:rPr>
                <w:rFonts w:ascii="仿宋" w:eastAsia="仿宋" w:hAnsi="仿宋" w:cs="仿宋" w:hint="eastAsia"/>
                <w:b/>
                <w:bCs/>
                <w:i/>
                <w:iCs/>
                <w:sz w:val="24"/>
              </w:rPr>
              <w:t>取消</w:t>
            </w:r>
          </w:p>
        </w:tc>
        <w:tc>
          <w:tcPr>
            <w:tcW w:w="1793" w:type="dxa"/>
            <w:vMerge/>
            <w:vAlign w:val="center"/>
          </w:tcPr>
          <w:p w:rsidR="00013EC7" w:rsidRDefault="00013EC7">
            <w:pPr>
              <w:spacing w:line="300" w:lineRule="exact"/>
              <w:rPr>
                <w:rFonts w:ascii="仿宋" w:eastAsia="仿宋" w:hAnsi="仿宋" w:cs="仿宋"/>
                <w:sz w:val="24"/>
              </w:rPr>
            </w:pPr>
          </w:p>
        </w:tc>
        <w:tc>
          <w:tcPr>
            <w:tcW w:w="868" w:type="dxa"/>
            <w:vMerge/>
            <w:vAlign w:val="center"/>
          </w:tcPr>
          <w:p w:rsidR="00013EC7" w:rsidRDefault="00013EC7">
            <w:pPr>
              <w:rPr>
                <w:rFonts w:ascii="仿宋" w:eastAsia="仿宋" w:hAnsi="仿宋" w:cs="仿宋"/>
                <w:sz w:val="24"/>
              </w:rPr>
            </w:pPr>
          </w:p>
        </w:tc>
        <w:tc>
          <w:tcPr>
            <w:tcW w:w="798" w:type="dxa"/>
            <w:vMerge/>
            <w:vAlign w:val="center"/>
          </w:tcPr>
          <w:p w:rsidR="00013EC7" w:rsidRDefault="00013EC7">
            <w:pPr>
              <w:rPr>
                <w:rFonts w:ascii="仿宋" w:eastAsia="仿宋" w:hAnsi="仿宋" w:cs="仿宋"/>
                <w:sz w:val="24"/>
              </w:rPr>
            </w:pP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340"/>
          <w:jc w:val="center"/>
        </w:trPr>
        <w:tc>
          <w:tcPr>
            <w:tcW w:w="672" w:type="dxa"/>
            <w:vMerge/>
            <w:vAlign w:val="center"/>
          </w:tcPr>
          <w:p w:rsidR="00013EC7" w:rsidRDefault="00013EC7">
            <w:pPr>
              <w:jc w:val="left"/>
              <w:rPr>
                <w:rFonts w:ascii="仿宋" w:eastAsia="仿宋" w:hAnsi="仿宋" w:cs="仿宋"/>
                <w:sz w:val="24"/>
              </w:rPr>
            </w:pPr>
          </w:p>
        </w:tc>
        <w:tc>
          <w:tcPr>
            <w:tcW w:w="1035" w:type="dxa"/>
            <w:vMerge/>
            <w:vAlign w:val="center"/>
          </w:tcPr>
          <w:p w:rsidR="00013EC7" w:rsidRDefault="00013EC7">
            <w:pPr>
              <w:jc w:val="left"/>
              <w:rPr>
                <w:rFonts w:ascii="仿宋" w:eastAsia="仿宋" w:hAnsi="仿宋" w:cs="仿宋"/>
                <w:sz w:val="24"/>
              </w:rPr>
            </w:pPr>
          </w:p>
        </w:tc>
        <w:tc>
          <w:tcPr>
            <w:tcW w:w="2656" w:type="dxa"/>
            <w:vMerge/>
            <w:vAlign w:val="center"/>
          </w:tcPr>
          <w:p w:rsidR="00013EC7" w:rsidRDefault="00013EC7">
            <w:pPr>
              <w:jc w:val="left"/>
              <w:rPr>
                <w:rFonts w:ascii="仿宋" w:eastAsia="仿宋" w:hAnsi="仿宋" w:cs="仿宋"/>
                <w:sz w:val="24"/>
              </w:rPr>
            </w:pPr>
          </w:p>
        </w:tc>
        <w:tc>
          <w:tcPr>
            <w:tcW w:w="3278"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（五）提供入境的身份证明和居住证明。</w:t>
            </w:r>
          </w:p>
          <w:p w:rsidR="00013EC7" w:rsidRDefault="00013EC7">
            <w:pPr>
              <w:spacing w:line="300" w:lineRule="exact"/>
              <w:jc w:val="left"/>
              <w:rPr>
                <w:rFonts w:ascii="仿宋" w:eastAsia="仿宋" w:hAnsi="仿宋" w:cs="仿宋"/>
                <w:sz w:val="24"/>
                <w:highlight w:val="lightGray"/>
              </w:rPr>
            </w:pPr>
          </w:p>
        </w:tc>
        <w:tc>
          <w:tcPr>
            <w:tcW w:w="1329" w:type="dxa"/>
            <w:vAlign w:val="center"/>
          </w:tcPr>
          <w:p w:rsidR="00013EC7" w:rsidRDefault="00575CDB">
            <w:pPr>
              <w:jc w:val="left"/>
              <w:rPr>
                <w:rFonts w:ascii="仿宋" w:eastAsia="仿宋" w:hAnsi="仿宋" w:cs="仿宋"/>
                <w:sz w:val="24"/>
              </w:rPr>
            </w:pPr>
            <w:r>
              <w:rPr>
                <w:rFonts w:ascii="仿宋" w:eastAsia="仿宋" w:hAnsi="仿宋" w:cs="仿宋" w:hint="eastAsia"/>
                <w:sz w:val="24"/>
              </w:rPr>
              <w:t>香港、澳门特别行政区、台湾地区居民提交</w:t>
            </w:r>
          </w:p>
        </w:tc>
        <w:tc>
          <w:tcPr>
            <w:tcW w:w="2507" w:type="dxa"/>
            <w:vAlign w:val="center"/>
          </w:tcPr>
          <w:p w:rsidR="00013EC7" w:rsidRDefault="00013EC7">
            <w:pPr>
              <w:spacing w:line="300" w:lineRule="exact"/>
              <w:jc w:val="left"/>
              <w:rPr>
                <w:rFonts w:ascii="仿宋" w:eastAsia="仿宋" w:hAnsi="仿宋" w:cs="仿宋"/>
                <w:sz w:val="24"/>
              </w:rPr>
            </w:pPr>
          </w:p>
        </w:tc>
        <w:tc>
          <w:tcPr>
            <w:tcW w:w="1371" w:type="dxa"/>
            <w:vMerge/>
            <w:vAlign w:val="center"/>
          </w:tcPr>
          <w:p w:rsidR="00013EC7" w:rsidRDefault="00013EC7">
            <w:pPr>
              <w:jc w:val="center"/>
              <w:rPr>
                <w:rFonts w:ascii="仿宋" w:eastAsia="仿宋" w:hAnsi="仿宋" w:cs="仿宋"/>
                <w:sz w:val="24"/>
              </w:rPr>
            </w:pPr>
          </w:p>
        </w:tc>
        <w:tc>
          <w:tcPr>
            <w:tcW w:w="1793" w:type="dxa"/>
            <w:vMerge/>
            <w:vAlign w:val="center"/>
          </w:tcPr>
          <w:p w:rsidR="00013EC7" w:rsidRDefault="00013EC7">
            <w:pPr>
              <w:spacing w:line="300" w:lineRule="exact"/>
              <w:rPr>
                <w:rFonts w:ascii="仿宋" w:eastAsia="仿宋" w:hAnsi="仿宋" w:cs="仿宋"/>
                <w:sz w:val="24"/>
              </w:rPr>
            </w:pPr>
          </w:p>
        </w:tc>
        <w:tc>
          <w:tcPr>
            <w:tcW w:w="868" w:type="dxa"/>
            <w:vMerge/>
            <w:vAlign w:val="center"/>
          </w:tcPr>
          <w:p w:rsidR="00013EC7" w:rsidRDefault="00013EC7">
            <w:pPr>
              <w:rPr>
                <w:rFonts w:ascii="仿宋" w:eastAsia="仿宋" w:hAnsi="仿宋" w:cs="仿宋"/>
                <w:sz w:val="24"/>
              </w:rPr>
            </w:pPr>
          </w:p>
        </w:tc>
        <w:tc>
          <w:tcPr>
            <w:tcW w:w="798" w:type="dxa"/>
            <w:vMerge/>
            <w:vAlign w:val="center"/>
          </w:tcPr>
          <w:p w:rsidR="00013EC7" w:rsidRDefault="00013EC7">
            <w:pPr>
              <w:rPr>
                <w:rFonts w:ascii="仿宋" w:eastAsia="仿宋" w:hAnsi="仿宋" w:cs="仿宋"/>
                <w:sz w:val="24"/>
              </w:rPr>
            </w:pP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1987"/>
          <w:jc w:val="center"/>
        </w:trPr>
        <w:tc>
          <w:tcPr>
            <w:tcW w:w="672" w:type="dxa"/>
            <w:vMerge/>
            <w:vAlign w:val="center"/>
          </w:tcPr>
          <w:p w:rsidR="00013EC7" w:rsidRDefault="00013EC7">
            <w:pPr>
              <w:rPr>
                <w:rFonts w:ascii="仿宋" w:eastAsia="仿宋" w:hAnsi="仿宋" w:cs="仿宋"/>
                <w:sz w:val="24"/>
              </w:rPr>
            </w:pPr>
          </w:p>
        </w:tc>
        <w:tc>
          <w:tcPr>
            <w:tcW w:w="1035" w:type="dxa"/>
            <w:vMerge/>
            <w:vAlign w:val="center"/>
          </w:tcPr>
          <w:p w:rsidR="00013EC7" w:rsidRDefault="00013EC7">
            <w:pPr>
              <w:rPr>
                <w:rFonts w:ascii="仿宋" w:eastAsia="仿宋" w:hAnsi="仿宋" w:cs="仿宋"/>
                <w:sz w:val="24"/>
              </w:rPr>
            </w:pPr>
          </w:p>
        </w:tc>
        <w:tc>
          <w:tcPr>
            <w:tcW w:w="2656" w:type="dxa"/>
            <w:vMerge w:val="restart"/>
            <w:vAlign w:val="center"/>
          </w:tcPr>
          <w:p w:rsidR="00013EC7" w:rsidRDefault="00013EC7">
            <w:pPr>
              <w:rPr>
                <w:rFonts w:ascii="仿宋" w:eastAsia="仿宋" w:hAnsi="仿宋" w:cs="仿宋"/>
                <w:sz w:val="24"/>
              </w:rPr>
            </w:pPr>
          </w:p>
        </w:tc>
        <w:tc>
          <w:tcPr>
            <w:tcW w:w="3278"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（六）提供入境的身份证明和居住证明。</w:t>
            </w:r>
          </w:p>
        </w:tc>
        <w:tc>
          <w:tcPr>
            <w:tcW w:w="1329"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外国人提交</w:t>
            </w:r>
          </w:p>
        </w:tc>
        <w:tc>
          <w:tcPr>
            <w:tcW w:w="2507" w:type="dxa"/>
            <w:vAlign w:val="center"/>
          </w:tcPr>
          <w:p w:rsidR="00013EC7" w:rsidRDefault="00013EC7">
            <w:pPr>
              <w:spacing w:line="300" w:lineRule="exact"/>
              <w:jc w:val="left"/>
              <w:rPr>
                <w:rFonts w:ascii="仿宋" w:eastAsia="仿宋" w:hAnsi="仿宋" w:cs="仿宋"/>
                <w:sz w:val="24"/>
              </w:rPr>
            </w:pPr>
          </w:p>
        </w:tc>
        <w:tc>
          <w:tcPr>
            <w:tcW w:w="1371" w:type="dxa"/>
            <w:vMerge/>
            <w:vAlign w:val="center"/>
          </w:tcPr>
          <w:p w:rsidR="00013EC7" w:rsidRDefault="00013EC7">
            <w:pPr>
              <w:spacing w:line="300" w:lineRule="exact"/>
              <w:jc w:val="center"/>
              <w:rPr>
                <w:rFonts w:ascii="仿宋" w:eastAsia="仿宋" w:hAnsi="仿宋" w:cs="仿宋"/>
                <w:sz w:val="24"/>
              </w:rPr>
            </w:pPr>
          </w:p>
        </w:tc>
        <w:tc>
          <w:tcPr>
            <w:tcW w:w="1793" w:type="dxa"/>
            <w:vMerge/>
            <w:vAlign w:val="center"/>
          </w:tcPr>
          <w:p w:rsidR="00013EC7" w:rsidRDefault="00013EC7">
            <w:pPr>
              <w:spacing w:line="300" w:lineRule="exact"/>
              <w:rPr>
                <w:rFonts w:ascii="仿宋" w:eastAsia="仿宋" w:hAnsi="仿宋" w:cs="仿宋"/>
                <w:sz w:val="24"/>
              </w:rPr>
            </w:pPr>
          </w:p>
        </w:tc>
        <w:tc>
          <w:tcPr>
            <w:tcW w:w="868" w:type="dxa"/>
            <w:vMerge/>
            <w:vAlign w:val="center"/>
          </w:tcPr>
          <w:p w:rsidR="00013EC7" w:rsidRDefault="00013EC7">
            <w:pPr>
              <w:rPr>
                <w:rFonts w:ascii="仿宋" w:eastAsia="仿宋" w:hAnsi="仿宋" w:cs="仿宋"/>
                <w:sz w:val="24"/>
              </w:rPr>
            </w:pPr>
          </w:p>
        </w:tc>
        <w:tc>
          <w:tcPr>
            <w:tcW w:w="798" w:type="dxa"/>
            <w:vMerge/>
            <w:vAlign w:val="center"/>
          </w:tcPr>
          <w:p w:rsidR="00013EC7" w:rsidRDefault="00013EC7">
            <w:pPr>
              <w:rPr>
                <w:rFonts w:ascii="仿宋" w:eastAsia="仿宋" w:hAnsi="仿宋" w:cs="仿宋"/>
                <w:sz w:val="24"/>
              </w:rPr>
            </w:pP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r w:rsidR="00013EC7">
        <w:trPr>
          <w:trHeight w:val="2188"/>
          <w:jc w:val="center"/>
        </w:trPr>
        <w:tc>
          <w:tcPr>
            <w:tcW w:w="672" w:type="dxa"/>
            <w:vMerge/>
            <w:textDirection w:val="tbRlV"/>
            <w:vAlign w:val="center"/>
          </w:tcPr>
          <w:p w:rsidR="00013EC7" w:rsidRDefault="00013EC7">
            <w:pPr>
              <w:rPr>
                <w:rFonts w:ascii="仿宋" w:eastAsia="仿宋" w:hAnsi="仿宋" w:cs="仿宋"/>
                <w:sz w:val="24"/>
              </w:rPr>
            </w:pPr>
          </w:p>
        </w:tc>
        <w:tc>
          <w:tcPr>
            <w:tcW w:w="1035" w:type="dxa"/>
            <w:vMerge/>
            <w:vAlign w:val="center"/>
          </w:tcPr>
          <w:p w:rsidR="00013EC7" w:rsidRDefault="00013EC7">
            <w:pPr>
              <w:rPr>
                <w:rFonts w:ascii="仿宋" w:eastAsia="仿宋" w:hAnsi="仿宋" w:cs="仿宋"/>
                <w:sz w:val="24"/>
              </w:rPr>
            </w:pPr>
          </w:p>
        </w:tc>
        <w:tc>
          <w:tcPr>
            <w:tcW w:w="2656" w:type="dxa"/>
            <w:vMerge/>
            <w:vAlign w:val="center"/>
          </w:tcPr>
          <w:p w:rsidR="00013EC7" w:rsidRDefault="00013EC7">
            <w:pPr>
              <w:rPr>
                <w:rFonts w:ascii="仿宋" w:eastAsia="仿宋" w:hAnsi="仿宋" w:cs="仿宋"/>
                <w:sz w:val="24"/>
              </w:rPr>
            </w:pPr>
          </w:p>
        </w:tc>
        <w:tc>
          <w:tcPr>
            <w:tcW w:w="3278"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（七）提供《营业执照》或者《税务登记证》或者《组织机构代码证》或者其他有效机构证明。</w:t>
            </w:r>
          </w:p>
          <w:p w:rsidR="00013EC7" w:rsidRDefault="00013EC7">
            <w:pPr>
              <w:spacing w:line="300" w:lineRule="exact"/>
              <w:jc w:val="left"/>
              <w:rPr>
                <w:rFonts w:ascii="仿宋" w:eastAsia="仿宋" w:hAnsi="仿宋" w:cs="仿宋"/>
                <w:sz w:val="24"/>
                <w:lang w:val="zh-CN"/>
              </w:rPr>
            </w:pPr>
          </w:p>
        </w:tc>
        <w:tc>
          <w:tcPr>
            <w:tcW w:w="1329" w:type="dxa"/>
            <w:vAlign w:val="center"/>
          </w:tcPr>
          <w:p w:rsidR="00013EC7" w:rsidRDefault="00575CDB">
            <w:pPr>
              <w:spacing w:line="300" w:lineRule="exact"/>
              <w:jc w:val="left"/>
              <w:rPr>
                <w:rFonts w:ascii="仿宋" w:eastAsia="仿宋" w:hAnsi="仿宋" w:cs="仿宋"/>
                <w:sz w:val="24"/>
                <w:lang w:val="zh-CN"/>
              </w:rPr>
            </w:pPr>
            <w:r>
              <w:rPr>
                <w:rFonts w:ascii="仿宋" w:eastAsia="仿宋" w:hAnsi="仿宋" w:cs="仿宋" w:hint="eastAsia"/>
                <w:sz w:val="24"/>
                <w:lang w:val="zh-CN"/>
              </w:rPr>
              <w:t>组织机构提交</w:t>
            </w:r>
          </w:p>
        </w:tc>
        <w:tc>
          <w:tcPr>
            <w:tcW w:w="2507" w:type="dxa"/>
            <w:vAlign w:val="center"/>
          </w:tcPr>
          <w:p w:rsidR="00013EC7" w:rsidRDefault="00013EC7">
            <w:pPr>
              <w:spacing w:line="300" w:lineRule="exact"/>
              <w:jc w:val="left"/>
              <w:rPr>
                <w:rFonts w:ascii="仿宋" w:eastAsia="仿宋" w:hAnsi="仿宋" w:cs="仿宋"/>
                <w:sz w:val="24"/>
                <w:lang w:val="zh-CN"/>
              </w:rPr>
            </w:pPr>
          </w:p>
        </w:tc>
        <w:tc>
          <w:tcPr>
            <w:tcW w:w="1371" w:type="dxa"/>
            <w:vMerge/>
            <w:vAlign w:val="center"/>
          </w:tcPr>
          <w:p w:rsidR="00013EC7" w:rsidRDefault="00013EC7">
            <w:pPr>
              <w:spacing w:line="300" w:lineRule="exact"/>
              <w:jc w:val="center"/>
              <w:rPr>
                <w:rFonts w:ascii="仿宋" w:eastAsia="仿宋" w:hAnsi="仿宋" w:cs="仿宋"/>
                <w:sz w:val="24"/>
              </w:rPr>
            </w:pPr>
          </w:p>
        </w:tc>
        <w:tc>
          <w:tcPr>
            <w:tcW w:w="1793" w:type="dxa"/>
            <w:vMerge/>
            <w:vAlign w:val="center"/>
          </w:tcPr>
          <w:p w:rsidR="00013EC7" w:rsidRDefault="00013EC7">
            <w:pPr>
              <w:spacing w:line="300" w:lineRule="exact"/>
              <w:rPr>
                <w:rFonts w:ascii="仿宋" w:eastAsia="仿宋" w:hAnsi="仿宋" w:cs="仿宋"/>
                <w:sz w:val="24"/>
              </w:rPr>
            </w:pPr>
          </w:p>
        </w:tc>
        <w:tc>
          <w:tcPr>
            <w:tcW w:w="868" w:type="dxa"/>
            <w:vMerge/>
            <w:vAlign w:val="center"/>
          </w:tcPr>
          <w:p w:rsidR="00013EC7" w:rsidRDefault="00013EC7">
            <w:pPr>
              <w:rPr>
                <w:rFonts w:ascii="仿宋" w:eastAsia="仿宋" w:hAnsi="仿宋" w:cs="仿宋"/>
                <w:sz w:val="24"/>
              </w:rPr>
            </w:pPr>
          </w:p>
        </w:tc>
        <w:tc>
          <w:tcPr>
            <w:tcW w:w="798" w:type="dxa"/>
            <w:vMerge/>
            <w:vAlign w:val="center"/>
          </w:tcPr>
          <w:p w:rsidR="00013EC7" w:rsidRDefault="00013EC7">
            <w:pPr>
              <w:rPr>
                <w:rFonts w:ascii="仿宋" w:eastAsia="仿宋" w:hAnsi="仿宋" w:cs="仿宋"/>
                <w:sz w:val="24"/>
              </w:rPr>
            </w:pP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bl>
    <w:p w:rsidR="00013EC7" w:rsidRDefault="00013EC7"/>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5262E6">
      <w:r>
        <w:lastRenderedPageBreak/>
        <w:object w:dxaOrig="1440" w:dyaOrig="1440">
          <v:shape id="对象 134" o:spid="_x0000_s1186" type="#_x0000_t75" style="position:absolute;left:0;text-align:left;margin-left:21.75pt;margin-top:84.4pt;width:481.95pt;height:628.8pt;z-index:251575296;mso-wrap-distance-top:0;mso-wrap-distance-bottom:0;mso-position-vertical-relative:page;mso-width-relative:page;mso-height-relative:page">
            <v:imagedata r:id="rId539" o:title=""/>
            <w10:wrap type="topAndBottom" anchory="page"/>
          </v:shape>
          <o:OLEObject Type="Embed" ProgID="Visio.Drawing.11" ShapeID="对象 134" DrawAspect="Content" ObjectID="_1577296318" r:id="rId540"/>
        </w:object>
      </w:r>
    </w:p>
    <w:p w:rsidR="00013EC7" w:rsidRDefault="00575CDB">
      <w:pPr>
        <w:pStyle w:val="2"/>
      </w:pPr>
      <w:bookmarkStart w:id="673" w:name="_Toc498705782"/>
      <w:bookmarkStart w:id="674" w:name="_Toc503467505"/>
      <w:bookmarkStart w:id="675" w:name="_Toc7578"/>
      <w:bookmarkStart w:id="676" w:name="_Toc19242"/>
      <w:bookmarkStart w:id="677" w:name="_Toc7954"/>
      <w:r>
        <w:rPr>
          <w:rFonts w:hint="eastAsia"/>
        </w:rPr>
        <w:lastRenderedPageBreak/>
        <w:t>30.5</w:t>
      </w:r>
      <w:r>
        <w:rPr>
          <w:rFonts w:hint="eastAsia"/>
        </w:rPr>
        <w:t>《车辆购置税完税证明》更正</w:t>
      </w:r>
      <w:bookmarkEnd w:id="673"/>
      <w:bookmarkEnd w:id="674"/>
      <w:bookmarkEnd w:id="675"/>
      <w:bookmarkEnd w:id="676"/>
      <w:bookmarkEnd w:id="677"/>
    </w:p>
    <w:p w:rsidR="00013EC7" w:rsidRDefault="00575CDB">
      <w:pPr>
        <w:jc w:val="center"/>
        <w:rPr>
          <w:rFonts w:eastAsia="仿宋_GB2312"/>
          <w:szCs w:val="21"/>
        </w:rPr>
      </w:pPr>
      <w:r>
        <w:rPr>
          <w:rFonts w:ascii="宋体" w:hAnsi="宋体" w:cs="宋体" w:hint="eastAsia"/>
          <w:b/>
          <w:bCs/>
          <w:sz w:val="52"/>
          <w:szCs w:val="52"/>
        </w:rPr>
        <w:t>全省“最多跑一次”事项“八统一”梳理表</w:t>
      </w:r>
    </w:p>
    <w:tbl>
      <w:tblPr>
        <w:tblW w:w="19845"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672"/>
        <w:gridCol w:w="1035"/>
        <w:gridCol w:w="3114"/>
        <w:gridCol w:w="2126"/>
        <w:gridCol w:w="1276"/>
        <w:gridCol w:w="2409"/>
        <w:gridCol w:w="1276"/>
        <w:gridCol w:w="2733"/>
        <w:gridCol w:w="868"/>
        <w:gridCol w:w="798"/>
        <w:gridCol w:w="958"/>
        <w:gridCol w:w="1104"/>
        <w:gridCol w:w="1476"/>
      </w:tblGrid>
      <w:tr w:rsidR="00013EC7">
        <w:trPr>
          <w:trHeight w:val="340"/>
          <w:tblHeader/>
          <w:jc w:val="center"/>
        </w:trPr>
        <w:tc>
          <w:tcPr>
            <w:tcW w:w="672" w:type="dxa"/>
            <w:vMerge w:val="restart"/>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主项名称</w:t>
            </w:r>
          </w:p>
        </w:tc>
        <w:tc>
          <w:tcPr>
            <w:tcW w:w="1035" w:type="dxa"/>
            <w:vMerge w:val="restart"/>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子项名称</w:t>
            </w:r>
          </w:p>
        </w:tc>
        <w:tc>
          <w:tcPr>
            <w:tcW w:w="3114" w:type="dxa"/>
            <w:vMerge w:val="restart"/>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经办依据</w:t>
            </w:r>
          </w:p>
        </w:tc>
        <w:tc>
          <w:tcPr>
            <w:tcW w:w="3402" w:type="dxa"/>
            <w:gridSpan w:val="2"/>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原经办所需材料</w:t>
            </w:r>
          </w:p>
        </w:tc>
        <w:tc>
          <w:tcPr>
            <w:tcW w:w="6418" w:type="dxa"/>
            <w:gridSpan w:val="3"/>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精简后经办所需材料</w:t>
            </w:r>
          </w:p>
        </w:tc>
        <w:tc>
          <w:tcPr>
            <w:tcW w:w="1666" w:type="dxa"/>
            <w:gridSpan w:val="2"/>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办理时限</w:t>
            </w:r>
          </w:p>
        </w:tc>
        <w:tc>
          <w:tcPr>
            <w:tcW w:w="958" w:type="dxa"/>
            <w:vMerge w:val="restart"/>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是否实现跑零次</w:t>
            </w:r>
          </w:p>
        </w:tc>
        <w:tc>
          <w:tcPr>
            <w:tcW w:w="1104" w:type="dxa"/>
            <w:vMerge w:val="restart"/>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责任处室</w:t>
            </w:r>
          </w:p>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（单位）</w:t>
            </w:r>
          </w:p>
        </w:tc>
        <w:tc>
          <w:tcPr>
            <w:tcW w:w="1476" w:type="dxa"/>
            <w:vMerge w:val="restart"/>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进一步精简、</w:t>
            </w:r>
          </w:p>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规范建议</w:t>
            </w:r>
          </w:p>
        </w:tc>
      </w:tr>
      <w:tr w:rsidR="00013EC7">
        <w:trPr>
          <w:trHeight w:val="90"/>
          <w:tblHeader/>
          <w:jc w:val="center"/>
        </w:trPr>
        <w:tc>
          <w:tcPr>
            <w:tcW w:w="672" w:type="dxa"/>
            <w:vMerge/>
            <w:vAlign w:val="center"/>
          </w:tcPr>
          <w:p w:rsidR="00013EC7" w:rsidRDefault="00013EC7">
            <w:pPr>
              <w:jc w:val="center"/>
              <w:rPr>
                <w:rFonts w:ascii="黑体" w:eastAsia="黑体" w:hAnsi="黑体" w:cs="黑体"/>
                <w:sz w:val="24"/>
              </w:rPr>
            </w:pPr>
          </w:p>
        </w:tc>
        <w:tc>
          <w:tcPr>
            <w:tcW w:w="1035" w:type="dxa"/>
            <w:vMerge/>
            <w:vAlign w:val="center"/>
          </w:tcPr>
          <w:p w:rsidR="00013EC7" w:rsidRDefault="00013EC7">
            <w:pPr>
              <w:jc w:val="center"/>
              <w:rPr>
                <w:rFonts w:ascii="黑体" w:eastAsia="黑体" w:hAnsi="黑体" w:cs="黑体"/>
                <w:sz w:val="24"/>
              </w:rPr>
            </w:pPr>
          </w:p>
        </w:tc>
        <w:tc>
          <w:tcPr>
            <w:tcW w:w="3114" w:type="dxa"/>
            <w:vMerge/>
            <w:vAlign w:val="center"/>
          </w:tcPr>
          <w:p w:rsidR="00013EC7" w:rsidRDefault="00013EC7">
            <w:pPr>
              <w:jc w:val="center"/>
              <w:rPr>
                <w:rFonts w:ascii="黑体" w:eastAsia="黑体" w:hAnsi="黑体" w:cs="黑体"/>
                <w:sz w:val="24"/>
              </w:rPr>
            </w:pPr>
          </w:p>
        </w:tc>
        <w:tc>
          <w:tcPr>
            <w:tcW w:w="2126" w:type="dxa"/>
            <w:tcBorders>
              <w:bottom w:val="single" w:sz="4" w:space="0" w:color="auto"/>
            </w:tcBorders>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材料明细</w:t>
            </w:r>
          </w:p>
        </w:tc>
        <w:tc>
          <w:tcPr>
            <w:tcW w:w="1276"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材料来源</w:t>
            </w:r>
          </w:p>
        </w:tc>
        <w:tc>
          <w:tcPr>
            <w:tcW w:w="2409"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材料明细</w:t>
            </w:r>
          </w:p>
        </w:tc>
        <w:tc>
          <w:tcPr>
            <w:tcW w:w="1276"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材料来源</w:t>
            </w:r>
          </w:p>
        </w:tc>
        <w:tc>
          <w:tcPr>
            <w:tcW w:w="2733"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办理方式及材料</w:t>
            </w:r>
          </w:p>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信息获取方式说明</w:t>
            </w:r>
          </w:p>
        </w:tc>
        <w:tc>
          <w:tcPr>
            <w:tcW w:w="868"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优化前</w:t>
            </w:r>
          </w:p>
        </w:tc>
        <w:tc>
          <w:tcPr>
            <w:tcW w:w="798" w:type="dxa"/>
            <w:vAlign w:val="center"/>
          </w:tcPr>
          <w:p w:rsidR="00013EC7" w:rsidRDefault="00575CDB">
            <w:pPr>
              <w:spacing w:line="280" w:lineRule="exact"/>
              <w:jc w:val="center"/>
              <w:rPr>
                <w:rFonts w:ascii="黑体" w:eastAsia="黑体" w:hAnsi="黑体" w:cs="黑体"/>
                <w:sz w:val="24"/>
              </w:rPr>
            </w:pPr>
            <w:r>
              <w:rPr>
                <w:rFonts w:ascii="黑体" w:eastAsia="黑体" w:hAnsi="黑体" w:cs="黑体" w:hint="eastAsia"/>
                <w:sz w:val="24"/>
              </w:rPr>
              <w:t>优化后</w:t>
            </w:r>
          </w:p>
        </w:tc>
        <w:tc>
          <w:tcPr>
            <w:tcW w:w="958" w:type="dxa"/>
            <w:vMerge/>
            <w:vAlign w:val="center"/>
          </w:tcPr>
          <w:p w:rsidR="00013EC7" w:rsidRDefault="00013EC7">
            <w:pPr>
              <w:jc w:val="center"/>
              <w:rPr>
                <w:rFonts w:ascii="黑体" w:eastAsia="黑体" w:hAnsi="黑体" w:cs="黑体"/>
                <w:sz w:val="24"/>
              </w:rPr>
            </w:pPr>
          </w:p>
        </w:tc>
        <w:tc>
          <w:tcPr>
            <w:tcW w:w="1104" w:type="dxa"/>
            <w:vMerge/>
            <w:vAlign w:val="center"/>
          </w:tcPr>
          <w:p w:rsidR="00013EC7" w:rsidRDefault="00013EC7">
            <w:pPr>
              <w:jc w:val="center"/>
              <w:rPr>
                <w:rFonts w:ascii="黑体" w:eastAsia="黑体" w:hAnsi="黑体" w:cs="黑体"/>
                <w:sz w:val="24"/>
              </w:rPr>
            </w:pPr>
          </w:p>
        </w:tc>
        <w:tc>
          <w:tcPr>
            <w:tcW w:w="1476" w:type="dxa"/>
            <w:vMerge/>
            <w:vAlign w:val="center"/>
          </w:tcPr>
          <w:p w:rsidR="00013EC7" w:rsidRDefault="00013EC7">
            <w:pPr>
              <w:jc w:val="center"/>
              <w:rPr>
                <w:rFonts w:ascii="黑体" w:eastAsia="黑体" w:hAnsi="黑体" w:cs="黑体"/>
                <w:sz w:val="24"/>
              </w:rPr>
            </w:pPr>
          </w:p>
        </w:tc>
      </w:tr>
      <w:tr w:rsidR="00013EC7">
        <w:trPr>
          <w:trHeight w:val="2702"/>
          <w:jc w:val="center"/>
        </w:trPr>
        <w:tc>
          <w:tcPr>
            <w:tcW w:w="672" w:type="dxa"/>
            <w:vMerge w:val="restart"/>
            <w:vAlign w:val="center"/>
          </w:tcPr>
          <w:p w:rsidR="00013EC7" w:rsidRDefault="00575CDB">
            <w:pPr>
              <w:jc w:val="left"/>
              <w:rPr>
                <w:rFonts w:ascii="仿宋" w:eastAsia="仿宋" w:hAnsi="仿宋" w:cs="仿宋"/>
                <w:sz w:val="24"/>
              </w:rPr>
            </w:pPr>
            <w:r>
              <w:rPr>
                <w:rFonts w:ascii="仿宋" w:eastAsia="仿宋" w:hAnsi="仿宋" w:cs="仿宋" w:hint="eastAsia"/>
                <w:sz w:val="24"/>
              </w:rPr>
              <w:t>30车辆购置税事项办理</w:t>
            </w:r>
          </w:p>
        </w:tc>
        <w:tc>
          <w:tcPr>
            <w:tcW w:w="1035" w:type="dxa"/>
            <w:vMerge w:val="restart"/>
            <w:vAlign w:val="center"/>
          </w:tcPr>
          <w:p w:rsidR="00013EC7" w:rsidRDefault="00575CDB">
            <w:pPr>
              <w:jc w:val="left"/>
              <w:rPr>
                <w:rFonts w:ascii="仿宋" w:eastAsia="仿宋" w:hAnsi="仿宋" w:cs="仿宋"/>
                <w:sz w:val="24"/>
              </w:rPr>
            </w:pPr>
            <w:r>
              <w:rPr>
                <w:rFonts w:ascii="仿宋" w:eastAsia="仿宋" w:hAnsi="仿宋" w:cs="仿宋" w:hint="eastAsia"/>
                <w:sz w:val="24"/>
              </w:rPr>
              <w:t>30.5《车辆购置税完税证明》更正</w:t>
            </w:r>
          </w:p>
        </w:tc>
        <w:tc>
          <w:tcPr>
            <w:tcW w:w="3114" w:type="dxa"/>
            <w:vMerge w:val="restart"/>
            <w:vAlign w:val="center"/>
          </w:tcPr>
          <w:p w:rsidR="00013EC7" w:rsidRDefault="00575CDB">
            <w:pPr>
              <w:jc w:val="left"/>
              <w:rPr>
                <w:rFonts w:ascii="仿宋" w:eastAsia="仿宋" w:hAnsi="仿宋" w:cs="仿宋"/>
                <w:sz w:val="24"/>
              </w:rPr>
            </w:pPr>
            <w:r>
              <w:rPr>
                <w:rFonts w:ascii="仿宋" w:eastAsia="仿宋" w:hAnsi="仿宋" w:cs="仿宋" w:hint="eastAsia"/>
                <w:sz w:val="24"/>
              </w:rPr>
              <w:t>（一）《车辆购置税征收管理办法》（2014国家税务总局令第33号）第二十二条、第二十三条、第二十四条、第二十五条、第二十六条、第二十七条、第二十八条、第二十九条。</w:t>
            </w:r>
            <w:r>
              <w:rPr>
                <w:rFonts w:ascii="仿宋" w:eastAsia="仿宋" w:hAnsi="仿宋" w:cs="仿宋" w:hint="eastAsia"/>
                <w:sz w:val="24"/>
              </w:rPr>
              <w:br/>
              <w:t>（二）《国家税务总局关于启用新版〈车辆购置税完税证明〉有关问题的通知》（国税函〔2012〕567号）全文。</w:t>
            </w:r>
            <w:r>
              <w:rPr>
                <w:rFonts w:ascii="仿宋" w:eastAsia="仿宋" w:hAnsi="仿宋" w:cs="仿宋" w:hint="eastAsia"/>
                <w:sz w:val="24"/>
              </w:rPr>
              <w:br/>
              <w:t>（三）《国家税务总局关于车辆购置税征收管理有关问题的公告》（国家税务总局公告2015年第4号）第二十条。</w:t>
            </w:r>
            <w:r>
              <w:rPr>
                <w:rFonts w:ascii="仿宋" w:eastAsia="仿宋" w:hAnsi="仿宋" w:cs="仿宋" w:hint="eastAsia"/>
                <w:sz w:val="24"/>
              </w:rPr>
              <w:br/>
              <w:t>(四)《国家税务总局关于车辆购置税征收管理有关问题的补充公告》（国家税务总局公告2016第52号）第六条。</w:t>
            </w:r>
          </w:p>
          <w:p w:rsidR="00013EC7" w:rsidRDefault="00013EC7">
            <w:pPr>
              <w:spacing w:line="200" w:lineRule="atLeast"/>
              <w:jc w:val="left"/>
              <w:rPr>
                <w:rFonts w:ascii="仿宋" w:eastAsia="仿宋" w:hAnsi="仿宋" w:cs="仿宋"/>
                <w:sz w:val="24"/>
              </w:rPr>
            </w:pPr>
          </w:p>
        </w:tc>
        <w:tc>
          <w:tcPr>
            <w:tcW w:w="2126" w:type="dxa"/>
            <w:tcBorders>
              <w:top w:val="single" w:sz="4" w:space="0" w:color="auto"/>
              <w:bottom w:val="single" w:sz="4" w:space="0" w:color="auto"/>
            </w:tcBorders>
            <w:vAlign w:val="center"/>
          </w:tcPr>
          <w:p w:rsidR="00013EC7" w:rsidRDefault="00575CDB">
            <w:pPr>
              <w:spacing w:line="300" w:lineRule="exact"/>
              <w:jc w:val="left"/>
              <w:rPr>
                <w:rFonts w:ascii="仿宋" w:eastAsia="仿宋" w:hAnsi="仿宋" w:cs="仿宋"/>
                <w:sz w:val="24"/>
                <w:highlight w:val="lightGray"/>
              </w:rPr>
            </w:pPr>
            <w:r>
              <w:rPr>
                <w:rFonts w:ascii="仿宋" w:eastAsia="仿宋" w:hAnsi="仿宋" w:cs="仿宋" w:hint="eastAsia"/>
                <w:sz w:val="24"/>
              </w:rPr>
              <w:t>（一）《车辆购置税完税证明》正本及副本。</w:t>
            </w:r>
          </w:p>
        </w:tc>
        <w:tc>
          <w:tcPr>
            <w:tcW w:w="1276" w:type="dxa"/>
            <w:vMerge w:val="restart"/>
            <w:vAlign w:val="center"/>
          </w:tcPr>
          <w:p w:rsidR="00013EC7" w:rsidRDefault="00575CDB">
            <w:pPr>
              <w:spacing w:line="300" w:lineRule="exact"/>
              <w:jc w:val="left"/>
              <w:rPr>
                <w:rFonts w:ascii="仿宋" w:eastAsia="仿宋" w:hAnsi="仿宋" w:cs="仿宋"/>
                <w:color w:val="000000"/>
                <w:sz w:val="24"/>
              </w:rPr>
            </w:pPr>
            <w:r>
              <w:rPr>
                <w:rFonts w:ascii="仿宋" w:eastAsia="仿宋" w:hAnsi="仿宋" w:cs="仿宋" w:hint="eastAsia"/>
                <w:color w:val="000000"/>
                <w:sz w:val="24"/>
              </w:rPr>
              <w:t>纳税人提交</w:t>
            </w:r>
          </w:p>
        </w:tc>
        <w:tc>
          <w:tcPr>
            <w:tcW w:w="2409" w:type="dxa"/>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（一）《车辆购置税完税证明》正本及副本。</w:t>
            </w:r>
          </w:p>
        </w:tc>
        <w:tc>
          <w:tcPr>
            <w:tcW w:w="1276" w:type="dxa"/>
            <w:vAlign w:val="center"/>
          </w:tcPr>
          <w:p w:rsidR="00013EC7" w:rsidRDefault="00575CDB">
            <w:pPr>
              <w:spacing w:line="300" w:lineRule="exact"/>
              <w:jc w:val="left"/>
              <w:rPr>
                <w:rFonts w:ascii="仿宋" w:eastAsia="仿宋" w:hAnsi="仿宋" w:cs="仿宋"/>
                <w:iCs/>
                <w:sz w:val="24"/>
              </w:rPr>
            </w:pPr>
            <w:r>
              <w:rPr>
                <w:rFonts w:ascii="仿宋" w:eastAsia="仿宋" w:hAnsi="仿宋" w:cs="仿宋" w:hint="eastAsia"/>
                <w:sz w:val="24"/>
              </w:rPr>
              <w:t>纳税人提交</w:t>
            </w:r>
          </w:p>
        </w:tc>
        <w:tc>
          <w:tcPr>
            <w:tcW w:w="2733" w:type="dxa"/>
            <w:vMerge w:val="restart"/>
            <w:vAlign w:val="center"/>
          </w:tcPr>
          <w:p w:rsidR="00013EC7" w:rsidRDefault="00575CDB">
            <w:pPr>
              <w:jc w:val="lef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bCs/>
                <w:sz w:val="24"/>
              </w:rPr>
              <w:t>纳税人</w:t>
            </w:r>
            <w:r>
              <w:rPr>
                <w:rFonts w:ascii="仿宋" w:eastAsia="仿宋" w:hAnsi="仿宋" w:cs="仿宋" w:hint="eastAsia"/>
                <w:sz w:val="24"/>
              </w:rPr>
              <w:t>提交书面材料，符合受理条件的当场受理办结。</w:t>
            </w:r>
          </w:p>
          <w:p w:rsidR="00013EC7" w:rsidRDefault="00013EC7">
            <w:pPr>
              <w:spacing w:line="300" w:lineRule="exact"/>
              <w:jc w:val="left"/>
              <w:rPr>
                <w:rFonts w:ascii="仿宋" w:eastAsia="仿宋" w:hAnsi="仿宋" w:cs="仿宋"/>
                <w:sz w:val="24"/>
              </w:rPr>
            </w:pPr>
          </w:p>
        </w:tc>
        <w:tc>
          <w:tcPr>
            <w:tcW w:w="868"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即时办结</w:t>
            </w:r>
          </w:p>
        </w:tc>
        <w:tc>
          <w:tcPr>
            <w:tcW w:w="798"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即时办结</w:t>
            </w:r>
          </w:p>
        </w:tc>
        <w:tc>
          <w:tcPr>
            <w:tcW w:w="958"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否</w:t>
            </w:r>
          </w:p>
        </w:tc>
        <w:tc>
          <w:tcPr>
            <w:tcW w:w="1104"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sz w:val="24"/>
              </w:rPr>
              <w:t>货物和劳务税处</w:t>
            </w:r>
          </w:p>
        </w:tc>
        <w:tc>
          <w:tcPr>
            <w:tcW w:w="1476" w:type="dxa"/>
            <w:vMerge w:val="restart"/>
            <w:vAlign w:val="center"/>
          </w:tcPr>
          <w:p w:rsidR="00013EC7" w:rsidRDefault="00013EC7">
            <w:pPr>
              <w:spacing w:line="240" w:lineRule="atLeast"/>
              <w:jc w:val="left"/>
              <w:rPr>
                <w:rFonts w:ascii="仿宋" w:eastAsia="仿宋" w:hAnsi="仿宋" w:cs="仿宋"/>
                <w:color w:val="000000"/>
                <w:sz w:val="24"/>
              </w:rPr>
            </w:pPr>
          </w:p>
        </w:tc>
      </w:tr>
      <w:tr w:rsidR="00013EC7">
        <w:trPr>
          <w:trHeight w:val="1699"/>
          <w:jc w:val="center"/>
        </w:trPr>
        <w:tc>
          <w:tcPr>
            <w:tcW w:w="672" w:type="dxa"/>
            <w:vMerge/>
            <w:textDirection w:val="tbRlV"/>
            <w:vAlign w:val="center"/>
          </w:tcPr>
          <w:p w:rsidR="00013EC7" w:rsidRDefault="00013EC7">
            <w:pPr>
              <w:rPr>
                <w:rFonts w:ascii="仿宋" w:eastAsia="仿宋" w:hAnsi="仿宋" w:cs="仿宋"/>
                <w:sz w:val="24"/>
              </w:rPr>
            </w:pPr>
          </w:p>
        </w:tc>
        <w:tc>
          <w:tcPr>
            <w:tcW w:w="1035" w:type="dxa"/>
            <w:vMerge/>
            <w:vAlign w:val="center"/>
          </w:tcPr>
          <w:p w:rsidR="00013EC7" w:rsidRDefault="00013EC7">
            <w:pPr>
              <w:rPr>
                <w:rFonts w:ascii="仿宋" w:eastAsia="仿宋" w:hAnsi="仿宋" w:cs="仿宋"/>
                <w:sz w:val="24"/>
              </w:rPr>
            </w:pPr>
          </w:p>
        </w:tc>
        <w:tc>
          <w:tcPr>
            <w:tcW w:w="3114" w:type="dxa"/>
            <w:vMerge/>
            <w:vAlign w:val="center"/>
          </w:tcPr>
          <w:p w:rsidR="00013EC7" w:rsidRDefault="00013EC7">
            <w:pPr>
              <w:rPr>
                <w:rFonts w:ascii="仿宋" w:eastAsia="仿宋" w:hAnsi="仿宋" w:cs="仿宋"/>
                <w:sz w:val="24"/>
              </w:rPr>
            </w:pPr>
          </w:p>
        </w:tc>
        <w:tc>
          <w:tcPr>
            <w:tcW w:w="2126" w:type="dxa"/>
            <w:tcBorders>
              <w:top w:val="single" w:sz="4" w:space="0" w:color="auto"/>
            </w:tcBorders>
            <w:vAlign w:val="center"/>
          </w:tcPr>
          <w:p w:rsidR="00013EC7" w:rsidRDefault="00575CDB">
            <w:pPr>
              <w:spacing w:line="300" w:lineRule="exact"/>
              <w:jc w:val="left"/>
              <w:rPr>
                <w:rFonts w:ascii="仿宋" w:eastAsia="仿宋" w:hAnsi="仿宋" w:cs="仿宋"/>
                <w:color w:val="000000"/>
                <w:sz w:val="24"/>
              </w:rPr>
            </w:pPr>
            <w:r>
              <w:rPr>
                <w:rFonts w:ascii="仿宋" w:eastAsia="仿宋" w:hAnsi="仿宋" w:cs="仿宋" w:hint="eastAsia"/>
                <w:sz w:val="24"/>
              </w:rPr>
              <w:t>（二）完税证明更正相关材料（完税证明更正相关材料的报送条件为当原申报资料不能证明完税证明打印错误时提供）。</w:t>
            </w:r>
          </w:p>
        </w:tc>
        <w:tc>
          <w:tcPr>
            <w:tcW w:w="1276" w:type="dxa"/>
            <w:vMerge/>
            <w:vAlign w:val="center"/>
          </w:tcPr>
          <w:p w:rsidR="00013EC7" w:rsidRDefault="00013EC7">
            <w:pPr>
              <w:rPr>
                <w:rFonts w:ascii="仿宋" w:eastAsia="仿宋" w:hAnsi="仿宋" w:cs="仿宋"/>
                <w:color w:val="000000"/>
                <w:sz w:val="24"/>
              </w:rPr>
            </w:pPr>
          </w:p>
        </w:tc>
        <w:tc>
          <w:tcPr>
            <w:tcW w:w="2409" w:type="dxa"/>
            <w:vAlign w:val="center"/>
          </w:tcPr>
          <w:p w:rsidR="00013EC7" w:rsidRDefault="00013EC7">
            <w:pPr>
              <w:spacing w:line="300" w:lineRule="exact"/>
              <w:rPr>
                <w:rFonts w:ascii="仿宋" w:eastAsia="仿宋" w:hAnsi="仿宋" w:cs="仿宋"/>
                <w:color w:val="000000"/>
                <w:sz w:val="24"/>
              </w:rPr>
            </w:pPr>
          </w:p>
        </w:tc>
        <w:tc>
          <w:tcPr>
            <w:tcW w:w="1276" w:type="dxa"/>
            <w:vAlign w:val="center"/>
          </w:tcPr>
          <w:p w:rsidR="00013EC7" w:rsidRDefault="00575CDB">
            <w:pPr>
              <w:spacing w:line="300" w:lineRule="exact"/>
              <w:rPr>
                <w:rFonts w:ascii="仿宋" w:eastAsia="仿宋" w:hAnsi="仿宋" w:cs="仿宋"/>
                <w:sz w:val="24"/>
              </w:rPr>
            </w:pPr>
            <w:r>
              <w:rPr>
                <w:rFonts w:ascii="仿宋" w:eastAsia="仿宋" w:hAnsi="仿宋" w:cs="仿宋" w:hint="eastAsia"/>
                <w:b/>
                <w:bCs/>
                <w:i/>
                <w:iCs/>
                <w:sz w:val="24"/>
              </w:rPr>
              <w:t>取消</w:t>
            </w:r>
          </w:p>
        </w:tc>
        <w:tc>
          <w:tcPr>
            <w:tcW w:w="2733" w:type="dxa"/>
            <w:vMerge/>
            <w:vAlign w:val="center"/>
          </w:tcPr>
          <w:p w:rsidR="00013EC7" w:rsidRDefault="00013EC7">
            <w:pPr>
              <w:spacing w:line="300" w:lineRule="exact"/>
              <w:rPr>
                <w:rFonts w:ascii="仿宋" w:eastAsia="仿宋" w:hAnsi="仿宋" w:cs="仿宋"/>
                <w:sz w:val="24"/>
              </w:rPr>
            </w:pPr>
          </w:p>
        </w:tc>
        <w:tc>
          <w:tcPr>
            <w:tcW w:w="868" w:type="dxa"/>
            <w:vMerge/>
            <w:vAlign w:val="center"/>
          </w:tcPr>
          <w:p w:rsidR="00013EC7" w:rsidRDefault="00013EC7">
            <w:pPr>
              <w:rPr>
                <w:rFonts w:ascii="仿宋" w:eastAsia="仿宋" w:hAnsi="仿宋" w:cs="仿宋"/>
                <w:sz w:val="24"/>
              </w:rPr>
            </w:pPr>
          </w:p>
        </w:tc>
        <w:tc>
          <w:tcPr>
            <w:tcW w:w="798" w:type="dxa"/>
            <w:vMerge/>
            <w:vAlign w:val="center"/>
          </w:tcPr>
          <w:p w:rsidR="00013EC7" w:rsidRDefault="00013EC7">
            <w:pPr>
              <w:rPr>
                <w:rFonts w:ascii="仿宋" w:eastAsia="仿宋" w:hAnsi="仿宋" w:cs="仿宋"/>
                <w:sz w:val="24"/>
              </w:rPr>
            </w:pPr>
          </w:p>
        </w:tc>
        <w:tc>
          <w:tcPr>
            <w:tcW w:w="958" w:type="dxa"/>
            <w:vMerge/>
            <w:vAlign w:val="center"/>
          </w:tcPr>
          <w:p w:rsidR="00013EC7" w:rsidRDefault="00013EC7">
            <w:pPr>
              <w:rPr>
                <w:rFonts w:ascii="仿宋" w:eastAsia="仿宋" w:hAnsi="仿宋" w:cs="仿宋"/>
                <w:sz w:val="24"/>
              </w:rPr>
            </w:pPr>
          </w:p>
        </w:tc>
        <w:tc>
          <w:tcPr>
            <w:tcW w:w="1104" w:type="dxa"/>
            <w:vMerge/>
            <w:vAlign w:val="center"/>
          </w:tcPr>
          <w:p w:rsidR="00013EC7" w:rsidRDefault="00013EC7">
            <w:pPr>
              <w:rPr>
                <w:rFonts w:ascii="仿宋" w:eastAsia="仿宋" w:hAnsi="仿宋" w:cs="仿宋"/>
                <w:sz w:val="24"/>
              </w:rPr>
            </w:pPr>
          </w:p>
        </w:tc>
        <w:tc>
          <w:tcPr>
            <w:tcW w:w="1476" w:type="dxa"/>
            <w:vMerge/>
            <w:vAlign w:val="center"/>
          </w:tcPr>
          <w:p w:rsidR="00013EC7" w:rsidRDefault="00013EC7">
            <w:pPr>
              <w:rPr>
                <w:rFonts w:ascii="仿宋" w:eastAsia="仿宋" w:hAnsi="仿宋" w:cs="仿宋"/>
                <w:sz w:val="24"/>
              </w:rPr>
            </w:pPr>
          </w:p>
        </w:tc>
      </w:tr>
    </w:tbl>
    <w:p w:rsidR="00013EC7" w:rsidRDefault="00013EC7"/>
    <w:p w:rsidR="00013EC7" w:rsidRDefault="00575CDB">
      <w:pPr>
        <w:tabs>
          <w:tab w:val="left" w:pos="7668"/>
        </w:tabs>
        <w:rPr>
          <w:rFonts w:eastAsia="方正书宋简体"/>
          <w:szCs w:val="21"/>
        </w:rPr>
      </w:pPr>
      <w:r>
        <w:rPr>
          <w:rFonts w:eastAsia="方正书宋简体"/>
          <w:szCs w:val="21"/>
        </w:rPr>
        <w:tab/>
      </w:r>
    </w:p>
    <w:p w:rsidR="00013EC7" w:rsidRDefault="00013EC7">
      <w:pPr>
        <w:rPr>
          <w:rFonts w:eastAsia="方正书宋简体"/>
          <w:szCs w:val="21"/>
        </w:rPr>
      </w:pPr>
    </w:p>
    <w:p w:rsidR="00013EC7" w:rsidRDefault="00013EC7">
      <w:pPr>
        <w:rPr>
          <w:rFonts w:eastAsia="方正书宋简体"/>
          <w:szCs w:val="21"/>
        </w:rPr>
      </w:pPr>
    </w:p>
    <w:p w:rsidR="00013EC7" w:rsidRDefault="00013EC7">
      <w:pPr>
        <w:rPr>
          <w:rFonts w:eastAsia="方正书宋简体"/>
          <w:szCs w:val="21"/>
        </w:rPr>
      </w:pPr>
    </w:p>
    <w:p w:rsidR="00013EC7" w:rsidRDefault="005262E6">
      <w:pPr>
        <w:rPr>
          <w:rFonts w:eastAsia="方正书宋简体"/>
          <w:szCs w:val="21"/>
        </w:rPr>
      </w:pPr>
      <w:r>
        <w:lastRenderedPageBreak/>
        <w:object w:dxaOrig="1440" w:dyaOrig="1440">
          <v:shape id="对象 135" o:spid="_x0000_s1187" type="#_x0000_t75" style="position:absolute;left:0;text-align:left;margin-left:14.8pt;margin-top:78.55pt;width:481.95pt;height:632.3pt;z-index:251576320;mso-wrap-distance-top:0;mso-wrap-distance-bottom:0;mso-position-vertical-relative:page;mso-width-relative:page;mso-height-relative:page">
            <v:imagedata r:id="rId541" o:title=""/>
            <w10:wrap type="topAndBottom" anchory="page"/>
          </v:shape>
          <o:OLEObject Type="Embed" ProgID="Visio.Drawing.11" ShapeID="对象 135" DrawAspect="Content" ObjectID="_1577296319" r:id="rId542"/>
        </w:object>
      </w:r>
    </w:p>
    <w:p w:rsidR="00013EC7" w:rsidRDefault="00013EC7">
      <w:pPr>
        <w:rPr>
          <w:szCs w:val="21"/>
        </w:rPr>
      </w:pPr>
    </w:p>
    <w:p w:rsidR="00013EC7" w:rsidRDefault="00575CDB">
      <w:pPr>
        <w:pStyle w:val="1"/>
      </w:pPr>
      <w:bookmarkStart w:id="678" w:name="_Toc22604"/>
      <w:bookmarkStart w:id="679" w:name="_Toc9081"/>
      <w:bookmarkStart w:id="680" w:name="_Toc503467506"/>
      <w:bookmarkStart w:id="681" w:name="_Toc498705795"/>
      <w:r>
        <w:rPr>
          <w:rFonts w:hint="eastAsia"/>
        </w:rPr>
        <w:lastRenderedPageBreak/>
        <w:t>三十一、对纳税人延期缴纳税款的核准（行政许可事项，编码</w:t>
      </w:r>
      <w:r>
        <w:rPr>
          <w:rFonts w:hint="eastAsia"/>
        </w:rPr>
        <w:t>24002</w:t>
      </w:r>
      <w:r>
        <w:rPr>
          <w:rFonts w:hint="eastAsia"/>
        </w:rPr>
        <w:t>）</w:t>
      </w:r>
      <w:bookmarkEnd w:id="678"/>
      <w:bookmarkEnd w:id="679"/>
      <w:bookmarkEnd w:id="680"/>
    </w:p>
    <w:p w:rsidR="00013EC7" w:rsidRDefault="00575CDB">
      <w:pPr>
        <w:pStyle w:val="2"/>
      </w:pPr>
      <w:bookmarkStart w:id="682" w:name="_Toc20324"/>
      <w:bookmarkStart w:id="683" w:name="_Toc503467507"/>
      <w:bookmarkStart w:id="684" w:name="_Toc9688"/>
      <w:bookmarkStart w:id="685" w:name="_Toc3953"/>
      <w:r>
        <w:rPr>
          <w:rFonts w:hint="eastAsia"/>
        </w:rPr>
        <w:t>31.1</w:t>
      </w:r>
      <w:r>
        <w:rPr>
          <w:rFonts w:hint="eastAsia"/>
        </w:rPr>
        <w:t>对纳税人延期缴纳税款的核准（行政许可事项，编码</w:t>
      </w:r>
      <w:r>
        <w:rPr>
          <w:rFonts w:hint="eastAsia"/>
        </w:rPr>
        <w:t>24002</w:t>
      </w:r>
      <w:r>
        <w:rPr>
          <w:rFonts w:hint="eastAsia"/>
        </w:rPr>
        <w:t>）</w:t>
      </w:r>
      <w:bookmarkEnd w:id="681"/>
      <w:bookmarkEnd w:id="682"/>
      <w:bookmarkEnd w:id="683"/>
      <w:bookmarkEnd w:id="684"/>
      <w:bookmarkEnd w:id="685"/>
    </w:p>
    <w:p w:rsidR="00013EC7" w:rsidRDefault="00575CDB">
      <w:pPr>
        <w:jc w:val="center"/>
        <w:rPr>
          <w:rFonts w:ascii="宋体" w:cs="宋体"/>
          <w:b/>
          <w:bCs/>
          <w:sz w:val="44"/>
          <w:szCs w:val="44"/>
        </w:rPr>
      </w:pPr>
      <w:r>
        <w:rPr>
          <w:rFonts w:ascii="宋体" w:hAnsi="宋体" w:cs="宋体" w:hint="eastAsia"/>
          <w:b/>
          <w:bCs/>
          <w:sz w:val="52"/>
          <w:szCs w:val="52"/>
        </w:rPr>
        <w:t>全省“最多跑一次”事项“八统一”梳理表</w:t>
      </w:r>
    </w:p>
    <w:tbl>
      <w:tblPr>
        <w:tblW w:w="20704"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1250"/>
        <w:gridCol w:w="863"/>
        <w:gridCol w:w="3013"/>
        <w:gridCol w:w="3287"/>
        <w:gridCol w:w="947"/>
        <w:gridCol w:w="3575"/>
        <w:gridCol w:w="1478"/>
        <w:gridCol w:w="1993"/>
        <w:gridCol w:w="557"/>
        <w:gridCol w:w="643"/>
        <w:gridCol w:w="685"/>
        <w:gridCol w:w="1134"/>
        <w:gridCol w:w="1279"/>
      </w:tblGrid>
      <w:tr w:rsidR="00013EC7">
        <w:trPr>
          <w:trHeight w:val="340"/>
          <w:tblHeader/>
          <w:jc w:val="center"/>
        </w:trPr>
        <w:tc>
          <w:tcPr>
            <w:tcW w:w="1250" w:type="dxa"/>
            <w:vMerge w:val="restart"/>
            <w:tcBorders>
              <w:top w:val="single" w:sz="8" w:space="0" w:color="auto"/>
              <w:left w:val="single" w:sz="8"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主项名称</w:t>
            </w:r>
          </w:p>
        </w:tc>
        <w:tc>
          <w:tcPr>
            <w:tcW w:w="863" w:type="dxa"/>
            <w:vMerge w:val="restart"/>
            <w:tcBorders>
              <w:top w:val="single" w:sz="8"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子项名称</w:t>
            </w:r>
          </w:p>
        </w:tc>
        <w:tc>
          <w:tcPr>
            <w:tcW w:w="3013" w:type="dxa"/>
            <w:vMerge w:val="restart"/>
            <w:tcBorders>
              <w:top w:val="single" w:sz="8"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经办依据</w:t>
            </w:r>
          </w:p>
        </w:tc>
        <w:tc>
          <w:tcPr>
            <w:tcW w:w="4234" w:type="dxa"/>
            <w:gridSpan w:val="2"/>
            <w:tcBorders>
              <w:top w:val="single" w:sz="8"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原经办所需材料</w:t>
            </w:r>
          </w:p>
        </w:tc>
        <w:tc>
          <w:tcPr>
            <w:tcW w:w="7046" w:type="dxa"/>
            <w:gridSpan w:val="3"/>
            <w:tcBorders>
              <w:top w:val="single" w:sz="8"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梳理后经办所需材料</w:t>
            </w:r>
          </w:p>
        </w:tc>
        <w:tc>
          <w:tcPr>
            <w:tcW w:w="1200" w:type="dxa"/>
            <w:gridSpan w:val="2"/>
            <w:tcBorders>
              <w:top w:val="single" w:sz="8"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办理时限</w:t>
            </w:r>
          </w:p>
        </w:tc>
        <w:tc>
          <w:tcPr>
            <w:tcW w:w="685" w:type="dxa"/>
            <w:vMerge w:val="restart"/>
            <w:tcBorders>
              <w:top w:val="single" w:sz="8"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是否实现跑零次</w:t>
            </w:r>
          </w:p>
        </w:tc>
        <w:tc>
          <w:tcPr>
            <w:tcW w:w="1134" w:type="dxa"/>
            <w:vMerge w:val="restart"/>
            <w:tcBorders>
              <w:top w:val="single" w:sz="8"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省厅对口</w:t>
            </w:r>
          </w:p>
          <w:p w:rsidR="00013EC7" w:rsidRDefault="00575CDB">
            <w:pPr>
              <w:spacing w:line="280" w:lineRule="exact"/>
              <w:jc w:val="center"/>
              <w:rPr>
                <w:rFonts w:ascii="黑体" w:eastAsia="黑体"/>
                <w:sz w:val="24"/>
              </w:rPr>
            </w:pPr>
            <w:r>
              <w:rPr>
                <w:rFonts w:ascii="黑体" w:eastAsia="黑体" w:hint="eastAsia"/>
                <w:sz w:val="24"/>
              </w:rPr>
              <w:t>指导处室</w:t>
            </w:r>
          </w:p>
          <w:p w:rsidR="00013EC7" w:rsidRDefault="00575CDB">
            <w:pPr>
              <w:spacing w:line="280" w:lineRule="exact"/>
              <w:jc w:val="center"/>
              <w:rPr>
                <w:rFonts w:ascii="黑体" w:eastAsia="黑体" w:hAnsi="Calibri"/>
                <w:sz w:val="24"/>
              </w:rPr>
            </w:pPr>
            <w:r>
              <w:rPr>
                <w:rFonts w:ascii="黑体" w:eastAsia="黑体" w:hint="eastAsia"/>
                <w:sz w:val="24"/>
              </w:rPr>
              <w:t>（单位）</w:t>
            </w:r>
          </w:p>
        </w:tc>
        <w:tc>
          <w:tcPr>
            <w:tcW w:w="1279" w:type="dxa"/>
            <w:vMerge w:val="restart"/>
            <w:tcBorders>
              <w:top w:val="single" w:sz="8" w:space="0" w:color="auto"/>
              <w:left w:val="single" w:sz="4" w:space="0" w:color="auto"/>
              <w:bottom w:val="single" w:sz="4" w:space="0" w:color="auto"/>
              <w:right w:val="single" w:sz="8"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进一步精简、规范建议</w:t>
            </w:r>
          </w:p>
        </w:tc>
      </w:tr>
      <w:tr w:rsidR="00013EC7">
        <w:trPr>
          <w:trHeight w:val="340"/>
          <w:tblHeader/>
          <w:jc w:val="center"/>
        </w:trPr>
        <w:tc>
          <w:tcPr>
            <w:tcW w:w="1250" w:type="dxa"/>
            <w:vMerge/>
            <w:tcBorders>
              <w:top w:val="single" w:sz="8" w:space="0" w:color="auto"/>
              <w:left w:val="single" w:sz="8" w:space="0" w:color="auto"/>
              <w:bottom w:val="single" w:sz="4" w:space="0" w:color="auto"/>
              <w:right w:val="single" w:sz="4" w:space="0" w:color="auto"/>
            </w:tcBorders>
            <w:vAlign w:val="center"/>
          </w:tcPr>
          <w:p w:rsidR="00013EC7" w:rsidRDefault="00013EC7">
            <w:pPr>
              <w:widowControl/>
              <w:jc w:val="left"/>
              <w:rPr>
                <w:rFonts w:ascii="黑体" w:eastAsia="黑体" w:hAnsi="Calibri"/>
                <w:sz w:val="24"/>
              </w:rPr>
            </w:pPr>
          </w:p>
        </w:tc>
        <w:tc>
          <w:tcPr>
            <w:tcW w:w="863" w:type="dxa"/>
            <w:vMerge/>
            <w:tcBorders>
              <w:top w:val="single" w:sz="8" w:space="0" w:color="auto"/>
              <w:left w:val="single" w:sz="4" w:space="0" w:color="auto"/>
              <w:bottom w:val="single" w:sz="4" w:space="0" w:color="auto"/>
              <w:right w:val="single" w:sz="4" w:space="0" w:color="auto"/>
            </w:tcBorders>
            <w:vAlign w:val="center"/>
          </w:tcPr>
          <w:p w:rsidR="00013EC7" w:rsidRDefault="00013EC7">
            <w:pPr>
              <w:widowControl/>
              <w:jc w:val="left"/>
              <w:rPr>
                <w:rFonts w:ascii="黑体" w:eastAsia="黑体" w:hAnsi="Calibri"/>
                <w:sz w:val="24"/>
              </w:rPr>
            </w:pPr>
          </w:p>
        </w:tc>
        <w:tc>
          <w:tcPr>
            <w:tcW w:w="3013" w:type="dxa"/>
            <w:vMerge/>
            <w:tcBorders>
              <w:top w:val="single" w:sz="8" w:space="0" w:color="auto"/>
              <w:left w:val="single" w:sz="4" w:space="0" w:color="auto"/>
              <w:bottom w:val="single" w:sz="4" w:space="0" w:color="auto"/>
              <w:right w:val="single" w:sz="4" w:space="0" w:color="auto"/>
            </w:tcBorders>
            <w:vAlign w:val="center"/>
          </w:tcPr>
          <w:p w:rsidR="00013EC7" w:rsidRDefault="00013EC7">
            <w:pPr>
              <w:widowControl/>
              <w:jc w:val="left"/>
              <w:rPr>
                <w:rFonts w:ascii="黑体" w:eastAsia="黑体" w:hAnsi="Calibri"/>
                <w:sz w:val="24"/>
              </w:rPr>
            </w:pPr>
          </w:p>
        </w:tc>
        <w:tc>
          <w:tcPr>
            <w:tcW w:w="3287"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材料明细</w:t>
            </w:r>
          </w:p>
        </w:tc>
        <w:tc>
          <w:tcPr>
            <w:tcW w:w="947"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材料来源</w:t>
            </w:r>
          </w:p>
        </w:tc>
        <w:tc>
          <w:tcPr>
            <w:tcW w:w="3575"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材料明细</w:t>
            </w:r>
          </w:p>
        </w:tc>
        <w:tc>
          <w:tcPr>
            <w:tcW w:w="1478"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材料来源</w:t>
            </w:r>
          </w:p>
        </w:tc>
        <w:tc>
          <w:tcPr>
            <w:tcW w:w="1993"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办理方式及材料</w:t>
            </w:r>
          </w:p>
          <w:p w:rsidR="00013EC7" w:rsidRDefault="00575CDB">
            <w:pPr>
              <w:spacing w:line="280" w:lineRule="exact"/>
              <w:jc w:val="center"/>
              <w:rPr>
                <w:rFonts w:ascii="黑体" w:eastAsia="黑体" w:hAnsi="Calibri"/>
                <w:sz w:val="24"/>
              </w:rPr>
            </w:pPr>
            <w:r>
              <w:rPr>
                <w:rFonts w:ascii="黑体" w:eastAsia="黑体" w:hint="eastAsia"/>
                <w:sz w:val="24"/>
              </w:rPr>
              <w:t>信息获取方式说明</w:t>
            </w:r>
          </w:p>
        </w:tc>
        <w:tc>
          <w:tcPr>
            <w:tcW w:w="557"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优化前</w:t>
            </w:r>
          </w:p>
        </w:tc>
        <w:tc>
          <w:tcPr>
            <w:tcW w:w="643"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优化后</w:t>
            </w:r>
          </w:p>
        </w:tc>
        <w:tc>
          <w:tcPr>
            <w:tcW w:w="685" w:type="dxa"/>
            <w:vMerge/>
            <w:tcBorders>
              <w:top w:val="single" w:sz="8" w:space="0" w:color="auto"/>
              <w:left w:val="single" w:sz="4" w:space="0" w:color="auto"/>
              <w:bottom w:val="single" w:sz="4" w:space="0" w:color="auto"/>
              <w:right w:val="single" w:sz="4" w:space="0" w:color="auto"/>
            </w:tcBorders>
            <w:vAlign w:val="center"/>
          </w:tcPr>
          <w:p w:rsidR="00013EC7" w:rsidRDefault="00013EC7">
            <w:pPr>
              <w:widowControl/>
              <w:jc w:val="left"/>
              <w:rPr>
                <w:rFonts w:ascii="黑体" w:eastAsia="黑体" w:hAnsi="Calibri"/>
                <w:sz w:val="24"/>
              </w:rPr>
            </w:pPr>
          </w:p>
        </w:tc>
        <w:tc>
          <w:tcPr>
            <w:tcW w:w="1134" w:type="dxa"/>
            <w:vMerge/>
            <w:tcBorders>
              <w:top w:val="single" w:sz="8" w:space="0" w:color="auto"/>
              <w:left w:val="single" w:sz="4" w:space="0" w:color="auto"/>
              <w:bottom w:val="single" w:sz="4" w:space="0" w:color="auto"/>
              <w:right w:val="single" w:sz="4" w:space="0" w:color="auto"/>
            </w:tcBorders>
            <w:vAlign w:val="center"/>
          </w:tcPr>
          <w:p w:rsidR="00013EC7" w:rsidRDefault="00013EC7">
            <w:pPr>
              <w:widowControl/>
              <w:jc w:val="left"/>
              <w:rPr>
                <w:rFonts w:ascii="黑体" w:eastAsia="黑体" w:hAnsi="Calibri"/>
                <w:sz w:val="24"/>
              </w:rPr>
            </w:pPr>
          </w:p>
        </w:tc>
        <w:tc>
          <w:tcPr>
            <w:tcW w:w="1279" w:type="dxa"/>
            <w:vMerge/>
            <w:tcBorders>
              <w:top w:val="single" w:sz="8" w:space="0" w:color="auto"/>
              <w:left w:val="single" w:sz="4" w:space="0" w:color="auto"/>
              <w:bottom w:val="single" w:sz="4" w:space="0" w:color="auto"/>
              <w:right w:val="single" w:sz="8" w:space="0" w:color="auto"/>
            </w:tcBorders>
            <w:vAlign w:val="center"/>
          </w:tcPr>
          <w:p w:rsidR="00013EC7" w:rsidRDefault="00013EC7">
            <w:pPr>
              <w:widowControl/>
              <w:jc w:val="left"/>
              <w:rPr>
                <w:rFonts w:ascii="黑体" w:eastAsia="黑体" w:hAnsi="Calibri"/>
                <w:sz w:val="24"/>
              </w:rPr>
            </w:pPr>
          </w:p>
        </w:tc>
      </w:tr>
      <w:tr w:rsidR="009A1EE1" w:rsidTr="00DC08AA">
        <w:trPr>
          <w:trHeight w:val="785"/>
          <w:jc w:val="center"/>
        </w:trPr>
        <w:tc>
          <w:tcPr>
            <w:tcW w:w="1250" w:type="dxa"/>
            <w:vMerge w:val="restart"/>
            <w:tcBorders>
              <w:top w:val="single" w:sz="4" w:space="0" w:color="auto"/>
              <w:left w:val="single" w:sz="8" w:space="0" w:color="auto"/>
              <w:bottom w:val="single" w:sz="8" w:space="0" w:color="auto"/>
              <w:right w:val="single" w:sz="4" w:space="0" w:color="auto"/>
            </w:tcBorders>
            <w:vAlign w:val="center"/>
          </w:tcPr>
          <w:p w:rsidR="009A1EE1" w:rsidRDefault="009A1EE1">
            <w:pPr>
              <w:widowControl/>
              <w:jc w:val="left"/>
              <w:textAlignment w:val="center"/>
              <w:rPr>
                <w:rFonts w:ascii="仿宋" w:eastAsia="仿宋" w:hAnsi="仿宋" w:cs="仿宋"/>
                <w:sz w:val="24"/>
              </w:rPr>
            </w:pPr>
            <w:r>
              <w:rPr>
                <w:rFonts w:ascii="仿宋" w:eastAsia="仿宋" w:hAnsi="仿宋" w:cs="仿宋" w:hint="eastAsia"/>
                <w:color w:val="000000"/>
                <w:kern w:val="0"/>
                <w:sz w:val="24"/>
              </w:rPr>
              <w:t>31对纳税人延期缴纳税款的核准（行政许可事项，编码24002）</w:t>
            </w:r>
          </w:p>
        </w:tc>
        <w:tc>
          <w:tcPr>
            <w:tcW w:w="863" w:type="dxa"/>
            <w:vMerge w:val="restart"/>
            <w:tcBorders>
              <w:top w:val="single" w:sz="4" w:space="0" w:color="auto"/>
              <w:left w:val="single" w:sz="4" w:space="0" w:color="auto"/>
              <w:bottom w:val="single" w:sz="8" w:space="0" w:color="auto"/>
              <w:right w:val="single" w:sz="4" w:space="0" w:color="auto"/>
            </w:tcBorders>
            <w:vAlign w:val="center"/>
          </w:tcPr>
          <w:p w:rsidR="009A1EE1" w:rsidRDefault="009A1EE1">
            <w:pPr>
              <w:widowControl/>
              <w:jc w:val="left"/>
              <w:textAlignment w:val="center"/>
              <w:rPr>
                <w:rFonts w:ascii="仿宋" w:eastAsia="仿宋" w:hAnsi="仿宋" w:cs="仿宋"/>
                <w:sz w:val="24"/>
              </w:rPr>
            </w:pPr>
            <w:r>
              <w:rPr>
                <w:rFonts w:ascii="仿宋" w:eastAsia="仿宋" w:hAnsi="仿宋" w:cs="仿宋" w:hint="eastAsia"/>
                <w:color w:val="000000"/>
                <w:kern w:val="0"/>
                <w:sz w:val="24"/>
              </w:rPr>
              <w:t>31.1对纳税人延期缴纳税款的核准（行政许可事项，编码24002）</w:t>
            </w:r>
          </w:p>
        </w:tc>
        <w:tc>
          <w:tcPr>
            <w:tcW w:w="3013" w:type="dxa"/>
            <w:vMerge w:val="restart"/>
            <w:tcBorders>
              <w:top w:val="single" w:sz="4" w:space="0" w:color="auto"/>
              <w:left w:val="single" w:sz="4" w:space="0" w:color="auto"/>
              <w:bottom w:val="single" w:sz="8" w:space="0" w:color="auto"/>
              <w:right w:val="single" w:sz="4" w:space="0" w:color="auto"/>
            </w:tcBorders>
            <w:vAlign w:val="center"/>
          </w:tcPr>
          <w:p w:rsidR="009A1EE1" w:rsidRDefault="009A1EE1">
            <w:pPr>
              <w:widowControl/>
              <w:jc w:val="left"/>
              <w:textAlignment w:val="center"/>
              <w:rPr>
                <w:rFonts w:ascii="仿宋" w:eastAsia="仿宋" w:hAnsi="仿宋" w:cs="仿宋"/>
                <w:bCs/>
                <w:sz w:val="24"/>
              </w:rPr>
            </w:pPr>
            <w:r>
              <w:rPr>
                <w:rFonts w:ascii="仿宋" w:eastAsia="仿宋" w:hAnsi="仿宋" w:cs="仿宋" w:hint="eastAsia"/>
                <w:bCs/>
                <w:sz w:val="24"/>
              </w:rPr>
              <w:t xml:space="preserve">（一）《中华人民共和国税收征收管理法》（2001年中华人民共和国主席令第49号）第三十一条第二款。 </w:t>
            </w:r>
          </w:p>
          <w:p w:rsidR="009A1EE1" w:rsidRDefault="009A1EE1">
            <w:pPr>
              <w:widowControl/>
              <w:jc w:val="left"/>
              <w:textAlignment w:val="center"/>
              <w:rPr>
                <w:rFonts w:ascii="仿宋" w:eastAsia="仿宋" w:hAnsi="仿宋" w:cs="仿宋"/>
                <w:bCs/>
                <w:sz w:val="24"/>
              </w:rPr>
            </w:pPr>
            <w:r>
              <w:rPr>
                <w:rFonts w:ascii="仿宋" w:eastAsia="仿宋" w:hAnsi="仿宋" w:cs="仿宋" w:hint="eastAsia"/>
                <w:bCs/>
                <w:sz w:val="24"/>
              </w:rPr>
              <w:t>（二）《中华人民共和国税收征收管理法实施细则》（2002年中华人民共和国国务院令第362号）第四十一条、第四十二条。</w:t>
            </w:r>
          </w:p>
          <w:p w:rsidR="009A1EE1" w:rsidRDefault="009A1EE1">
            <w:pPr>
              <w:widowControl/>
              <w:jc w:val="left"/>
              <w:textAlignment w:val="center"/>
              <w:rPr>
                <w:rFonts w:ascii="仿宋" w:eastAsia="仿宋" w:hAnsi="仿宋" w:cs="仿宋"/>
                <w:bCs/>
                <w:sz w:val="24"/>
              </w:rPr>
            </w:pPr>
            <w:r>
              <w:rPr>
                <w:rFonts w:ascii="仿宋" w:eastAsia="仿宋" w:hAnsi="仿宋" w:cs="仿宋" w:hint="eastAsia"/>
                <w:bCs/>
                <w:sz w:val="24"/>
              </w:rPr>
              <w:t>（三）《国家税务总局关于公开行政审批事项等相关工作的公告》（国家税务总局公告2014年第10号）全文。</w:t>
            </w:r>
          </w:p>
          <w:p w:rsidR="009A1EE1" w:rsidRDefault="009A1EE1">
            <w:pPr>
              <w:widowControl/>
              <w:jc w:val="left"/>
              <w:textAlignment w:val="center"/>
              <w:rPr>
                <w:rFonts w:ascii="仿宋" w:eastAsia="仿宋" w:hAnsi="仿宋" w:cs="仿宋"/>
                <w:bCs/>
                <w:sz w:val="24"/>
              </w:rPr>
            </w:pPr>
            <w:r>
              <w:rPr>
                <w:rFonts w:ascii="仿宋" w:eastAsia="仿宋" w:hAnsi="仿宋" w:cs="仿宋" w:hint="eastAsia"/>
                <w:bCs/>
                <w:sz w:val="24"/>
              </w:rPr>
              <w:t>（四）《国家税务总局关于更新税务行政许可事项目录的公告》（国家税务总局公告2016年第10号）全文。</w:t>
            </w:r>
          </w:p>
          <w:p w:rsidR="009A1EE1" w:rsidRDefault="009A1EE1">
            <w:pPr>
              <w:widowControl/>
              <w:jc w:val="left"/>
              <w:textAlignment w:val="center"/>
              <w:rPr>
                <w:rFonts w:ascii="仿宋" w:eastAsia="仿宋" w:hAnsi="仿宋" w:cs="仿宋"/>
                <w:bCs/>
                <w:sz w:val="24"/>
              </w:rPr>
            </w:pPr>
            <w:r>
              <w:rPr>
                <w:rFonts w:ascii="仿宋" w:eastAsia="仿宋" w:hAnsi="仿宋" w:cs="仿宋" w:hint="eastAsia"/>
                <w:bCs/>
                <w:sz w:val="24"/>
              </w:rPr>
              <w:t>（五）《国家税务总局关于税务行政许可若干问题的公告》（国家税务总局公告2016年第11号）全文。</w:t>
            </w:r>
          </w:p>
          <w:p w:rsidR="009A1EE1" w:rsidRDefault="009A1EE1">
            <w:pPr>
              <w:widowControl/>
              <w:jc w:val="left"/>
              <w:textAlignment w:val="center"/>
              <w:rPr>
                <w:rFonts w:ascii="仿宋" w:eastAsia="仿宋" w:hAnsi="仿宋" w:cs="仿宋"/>
                <w:b/>
                <w:sz w:val="24"/>
              </w:rPr>
            </w:pPr>
            <w:r>
              <w:rPr>
                <w:rFonts w:ascii="仿宋" w:eastAsia="仿宋" w:hAnsi="仿宋" w:cs="仿宋" w:hint="eastAsia"/>
                <w:bCs/>
                <w:sz w:val="24"/>
              </w:rPr>
              <w:t>（六）《国家税务总局关于简化税务行政许可事项办理程序的公告》（国家税务总局公告2017年第21号）全文。</w:t>
            </w:r>
          </w:p>
        </w:tc>
        <w:tc>
          <w:tcPr>
            <w:tcW w:w="3287" w:type="dxa"/>
            <w:tcBorders>
              <w:top w:val="single" w:sz="4" w:space="0" w:color="auto"/>
              <w:left w:val="single" w:sz="4" w:space="0" w:color="auto"/>
              <w:bottom w:val="single" w:sz="4" w:space="0" w:color="auto"/>
              <w:right w:val="single" w:sz="4" w:space="0" w:color="auto"/>
            </w:tcBorders>
            <w:vAlign w:val="center"/>
          </w:tcPr>
          <w:p w:rsidR="009A1EE1" w:rsidRDefault="009A1EE1">
            <w:pPr>
              <w:widowControl/>
              <w:jc w:val="left"/>
              <w:textAlignment w:val="center"/>
              <w:rPr>
                <w:rFonts w:ascii="仿宋" w:eastAsia="仿宋" w:hAnsi="仿宋" w:cs="仿宋"/>
                <w:sz w:val="24"/>
              </w:rPr>
            </w:pPr>
            <w:r>
              <w:rPr>
                <w:rFonts w:ascii="仿宋" w:eastAsia="仿宋" w:hAnsi="仿宋" w:cs="仿宋" w:hint="eastAsia"/>
                <w:sz w:val="24"/>
              </w:rPr>
              <w:t>（一）（A13005）《税务行政许可申请表》1份。</w:t>
            </w:r>
          </w:p>
        </w:tc>
        <w:tc>
          <w:tcPr>
            <w:tcW w:w="947" w:type="dxa"/>
            <w:vMerge w:val="restart"/>
            <w:tcBorders>
              <w:top w:val="single" w:sz="4" w:space="0" w:color="auto"/>
              <w:left w:val="single" w:sz="4" w:space="0" w:color="auto"/>
              <w:bottom w:val="single" w:sz="8" w:space="0" w:color="auto"/>
              <w:right w:val="single" w:sz="4" w:space="0" w:color="auto"/>
            </w:tcBorders>
            <w:vAlign w:val="center"/>
          </w:tcPr>
          <w:p w:rsidR="009A1EE1" w:rsidRDefault="009A1EE1">
            <w:pPr>
              <w:widowControl/>
              <w:jc w:val="left"/>
              <w:textAlignment w:val="center"/>
              <w:rPr>
                <w:rFonts w:ascii="仿宋" w:eastAsia="仿宋" w:hAnsi="仿宋" w:cs="仿宋"/>
                <w:sz w:val="24"/>
              </w:rPr>
            </w:pPr>
            <w:r>
              <w:rPr>
                <w:rFonts w:ascii="仿宋" w:eastAsia="仿宋" w:hAnsi="仿宋" w:cs="仿宋" w:hint="eastAsia"/>
                <w:color w:val="000000"/>
                <w:kern w:val="0"/>
                <w:sz w:val="24"/>
              </w:rPr>
              <w:t>纳税人提交</w:t>
            </w:r>
          </w:p>
        </w:tc>
        <w:tc>
          <w:tcPr>
            <w:tcW w:w="3575" w:type="dxa"/>
            <w:tcBorders>
              <w:top w:val="single" w:sz="4" w:space="0" w:color="auto"/>
              <w:left w:val="single" w:sz="4" w:space="0" w:color="auto"/>
              <w:bottom w:val="single" w:sz="4" w:space="0" w:color="auto"/>
              <w:right w:val="single" w:sz="4" w:space="0" w:color="auto"/>
            </w:tcBorders>
            <w:vAlign w:val="center"/>
          </w:tcPr>
          <w:p w:rsidR="009A1EE1" w:rsidRDefault="009A1EE1">
            <w:pPr>
              <w:widowControl/>
              <w:jc w:val="left"/>
              <w:textAlignment w:val="center"/>
              <w:rPr>
                <w:rFonts w:ascii="仿宋" w:eastAsia="仿宋" w:hAnsi="仿宋" w:cs="仿宋"/>
                <w:sz w:val="24"/>
              </w:rPr>
            </w:pPr>
            <w:r>
              <w:rPr>
                <w:rFonts w:ascii="仿宋" w:eastAsia="仿宋" w:hAnsi="仿宋" w:cs="仿宋" w:hint="eastAsia"/>
                <w:sz w:val="24"/>
              </w:rPr>
              <w:t>（一）（A13005）《税务行政许可申请表》1份。</w:t>
            </w:r>
          </w:p>
        </w:tc>
        <w:tc>
          <w:tcPr>
            <w:tcW w:w="1478" w:type="dxa"/>
            <w:vMerge w:val="restart"/>
            <w:tcBorders>
              <w:top w:val="single" w:sz="4" w:space="0" w:color="auto"/>
              <w:left w:val="single" w:sz="4" w:space="0" w:color="auto"/>
              <w:right w:val="single" w:sz="4" w:space="0" w:color="auto"/>
            </w:tcBorders>
            <w:vAlign w:val="center"/>
          </w:tcPr>
          <w:p w:rsidR="009A1EE1" w:rsidRDefault="009A1EE1" w:rsidP="009A1EE1">
            <w:pPr>
              <w:widowControl/>
              <w:jc w:val="left"/>
              <w:textAlignment w:val="center"/>
              <w:rPr>
                <w:rFonts w:ascii="仿宋" w:eastAsia="仿宋" w:hAnsi="仿宋" w:cs="仿宋"/>
                <w:b/>
                <w:bCs/>
                <w:i/>
                <w:iCs/>
                <w:sz w:val="24"/>
              </w:rPr>
            </w:pPr>
            <w:r>
              <w:rPr>
                <w:rFonts w:ascii="仿宋" w:eastAsia="仿宋" w:hAnsi="仿宋" w:cs="仿宋" w:hint="eastAsia"/>
                <w:color w:val="000000"/>
                <w:kern w:val="0"/>
                <w:sz w:val="24"/>
              </w:rPr>
              <w:t>纳税人提交</w:t>
            </w:r>
          </w:p>
        </w:tc>
        <w:tc>
          <w:tcPr>
            <w:tcW w:w="1993" w:type="dxa"/>
            <w:vMerge w:val="restart"/>
            <w:tcBorders>
              <w:top w:val="single" w:sz="4" w:space="0" w:color="auto"/>
              <w:left w:val="single" w:sz="4" w:space="0" w:color="auto"/>
              <w:right w:val="single" w:sz="4" w:space="0" w:color="auto"/>
            </w:tcBorders>
            <w:vAlign w:val="center"/>
          </w:tcPr>
          <w:p w:rsidR="009A1EE1" w:rsidRDefault="009A1EE1">
            <w:pPr>
              <w:widowControl/>
              <w:wordWrap w:val="0"/>
              <w:jc w:val="left"/>
              <w:textAlignment w:val="center"/>
              <w:rPr>
                <w:rFonts w:ascii="仿宋" w:eastAsia="仿宋" w:hAnsi="仿宋" w:cs="仿宋"/>
                <w:color w:val="000000"/>
                <w:kern w:val="0"/>
                <w:sz w:val="24"/>
              </w:rPr>
            </w:pPr>
            <w:r>
              <w:rPr>
                <w:rFonts w:ascii="仿宋" w:eastAsia="仿宋" w:hAnsi="仿宋" w:cs="仿宋" w:hint="eastAsia"/>
                <w:color w:val="000000"/>
                <w:kern w:val="0"/>
                <w:sz w:val="24"/>
              </w:rPr>
              <w:br/>
            </w:r>
            <w:r>
              <w:rPr>
                <w:rFonts w:ascii="仿宋" w:eastAsia="仿宋" w:hAnsi="仿宋" w:cs="仿宋" w:hint="eastAsia"/>
                <w:b/>
                <w:bCs/>
                <w:color w:val="000000"/>
                <w:kern w:val="0"/>
                <w:sz w:val="24"/>
              </w:rPr>
              <w:t>现场办理：</w:t>
            </w:r>
            <w:r>
              <w:rPr>
                <w:rFonts w:ascii="仿宋" w:eastAsia="仿宋" w:hAnsi="仿宋" w:cs="仿宋" w:hint="eastAsia"/>
                <w:color w:val="000000"/>
                <w:kern w:val="0"/>
                <w:sz w:val="24"/>
              </w:rPr>
              <w:t>办理事项人员提交材料；</w:t>
            </w:r>
          </w:p>
          <w:p w:rsidR="009A1EE1" w:rsidRDefault="009A1EE1" w:rsidP="009A1EE1">
            <w:pPr>
              <w:widowControl/>
              <w:wordWrap w:val="0"/>
              <w:jc w:val="left"/>
              <w:textAlignment w:val="center"/>
              <w:rPr>
                <w:rFonts w:ascii="仿宋" w:eastAsia="仿宋" w:hAnsi="仿宋" w:cs="仿宋"/>
                <w:sz w:val="24"/>
              </w:rPr>
            </w:pPr>
            <w:r>
              <w:rPr>
                <w:rFonts w:ascii="仿宋" w:eastAsia="仿宋" w:hAnsi="仿宋" w:cs="仿宋" w:hint="eastAsia"/>
                <w:b/>
                <w:bCs/>
                <w:color w:val="000000"/>
                <w:kern w:val="0"/>
                <w:sz w:val="24"/>
              </w:rPr>
              <w:t>网上办理：</w:t>
            </w:r>
            <w:r>
              <w:rPr>
                <w:rFonts w:ascii="仿宋" w:eastAsia="仿宋" w:hAnsi="仿宋" w:cs="仿宋" w:hint="eastAsia"/>
                <w:color w:val="000000"/>
                <w:kern w:val="0"/>
                <w:sz w:val="24"/>
              </w:rPr>
              <w:t>登录浙江国税电子税务局（网址：http://etax.zjtax.gov.cn/）提交申请；</w:t>
            </w:r>
            <w:r>
              <w:rPr>
                <w:rFonts w:ascii="仿宋" w:eastAsia="仿宋" w:hAnsi="仿宋" w:cs="仿宋" w:hint="eastAsia"/>
                <w:color w:val="000000"/>
                <w:kern w:val="0"/>
                <w:sz w:val="24"/>
              </w:rPr>
              <w:br/>
            </w:r>
            <w:r>
              <w:rPr>
                <w:rFonts w:ascii="仿宋" w:eastAsia="仿宋" w:hAnsi="仿宋" w:cs="仿宋" w:hint="eastAsia"/>
                <w:b/>
                <w:bCs/>
                <w:color w:val="000000"/>
                <w:kern w:val="0"/>
                <w:sz w:val="24"/>
              </w:rPr>
              <w:t>APP办理：</w:t>
            </w:r>
            <w:r>
              <w:rPr>
                <w:rFonts w:ascii="仿宋" w:eastAsia="仿宋" w:hAnsi="仿宋" w:cs="仿宋" w:hint="eastAsia"/>
                <w:color w:val="000000"/>
                <w:kern w:val="0"/>
                <w:sz w:val="24"/>
              </w:rPr>
              <w:t>登录浙江国税APP提交申请。</w:t>
            </w:r>
          </w:p>
        </w:tc>
        <w:tc>
          <w:tcPr>
            <w:tcW w:w="557" w:type="dxa"/>
            <w:vMerge w:val="restart"/>
            <w:tcBorders>
              <w:top w:val="single" w:sz="4" w:space="0" w:color="auto"/>
              <w:left w:val="single" w:sz="4" w:space="0" w:color="auto"/>
              <w:bottom w:val="single" w:sz="8" w:space="0" w:color="auto"/>
              <w:right w:val="single" w:sz="4" w:space="0" w:color="auto"/>
            </w:tcBorders>
            <w:vAlign w:val="center"/>
          </w:tcPr>
          <w:p w:rsidR="009A1EE1" w:rsidRDefault="009A1EE1">
            <w:pPr>
              <w:widowControl/>
              <w:jc w:val="left"/>
              <w:textAlignment w:val="center"/>
              <w:rPr>
                <w:rFonts w:ascii="仿宋" w:eastAsia="仿宋" w:hAnsi="仿宋" w:cs="仿宋"/>
                <w:sz w:val="24"/>
              </w:rPr>
            </w:pPr>
            <w:r>
              <w:rPr>
                <w:rFonts w:ascii="仿宋" w:eastAsia="仿宋" w:hAnsi="仿宋" w:cs="仿宋" w:hint="eastAsia"/>
                <w:color w:val="000000"/>
                <w:kern w:val="0"/>
                <w:sz w:val="24"/>
              </w:rPr>
              <w:t>20个工作日</w:t>
            </w:r>
          </w:p>
        </w:tc>
        <w:tc>
          <w:tcPr>
            <w:tcW w:w="643" w:type="dxa"/>
            <w:vMerge w:val="restart"/>
            <w:tcBorders>
              <w:top w:val="single" w:sz="4" w:space="0" w:color="auto"/>
              <w:left w:val="single" w:sz="4" w:space="0" w:color="auto"/>
              <w:bottom w:val="single" w:sz="8" w:space="0" w:color="auto"/>
              <w:right w:val="single" w:sz="4" w:space="0" w:color="auto"/>
            </w:tcBorders>
            <w:vAlign w:val="center"/>
          </w:tcPr>
          <w:p w:rsidR="009A1EE1" w:rsidRDefault="009A1EE1">
            <w:pPr>
              <w:widowControl/>
              <w:jc w:val="left"/>
              <w:textAlignment w:val="center"/>
              <w:rPr>
                <w:rFonts w:ascii="仿宋" w:eastAsia="仿宋" w:hAnsi="仿宋" w:cs="仿宋"/>
                <w:sz w:val="24"/>
              </w:rPr>
            </w:pPr>
            <w:r>
              <w:rPr>
                <w:rFonts w:ascii="仿宋" w:eastAsia="仿宋" w:hAnsi="仿宋" w:cs="仿宋" w:hint="eastAsia"/>
                <w:color w:val="000000"/>
                <w:kern w:val="0"/>
                <w:sz w:val="24"/>
              </w:rPr>
              <w:t>20个工作日</w:t>
            </w:r>
          </w:p>
        </w:tc>
        <w:tc>
          <w:tcPr>
            <w:tcW w:w="685" w:type="dxa"/>
            <w:vMerge w:val="restart"/>
            <w:tcBorders>
              <w:top w:val="single" w:sz="4" w:space="0" w:color="auto"/>
              <w:left w:val="single" w:sz="4" w:space="0" w:color="auto"/>
              <w:bottom w:val="single" w:sz="8" w:space="0" w:color="auto"/>
              <w:right w:val="single" w:sz="4" w:space="0" w:color="auto"/>
            </w:tcBorders>
            <w:vAlign w:val="center"/>
          </w:tcPr>
          <w:p w:rsidR="009A1EE1" w:rsidRDefault="009A1EE1">
            <w:pPr>
              <w:widowControl/>
              <w:jc w:val="left"/>
              <w:textAlignment w:val="center"/>
              <w:rPr>
                <w:rFonts w:ascii="仿宋" w:eastAsia="仿宋" w:hAnsi="仿宋" w:cs="仿宋"/>
                <w:sz w:val="24"/>
              </w:rPr>
            </w:pPr>
            <w:r>
              <w:rPr>
                <w:rFonts w:ascii="仿宋" w:eastAsia="仿宋" w:hAnsi="仿宋" w:cs="仿宋" w:hint="eastAsia"/>
                <w:color w:val="000000"/>
                <w:kern w:val="0"/>
                <w:sz w:val="24"/>
              </w:rPr>
              <w:t>是</w:t>
            </w:r>
          </w:p>
        </w:tc>
        <w:tc>
          <w:tcPr>
            <w:tcW w:w="1134" w:type="dxa"/>
            <w:vMerge w:val="restart"/>
            <w:tcBorders>
              <w:top w:val="single" w:sz="4" w:space="0" w:color="auto"/>
              <w:left w:val="single" w:sz="4" w:space="0" w:color="auto"/>
              <w:bottom w:val="single" w:sz="8" w:space="0" w:color="auto"/>
              <w:right w:val="single" w:sz="4" w:space="0" w:color="auto"/>
            </w:tcBorders>
            <w:vAlign w:val="center"/>
          </w:tcPr>
          <w:p w:rsidR="009A1EE1" w:rsidRDefault="009A1EE1">
            <w:pPr>
              <w:widowControl/>
              <w:jc w:val="left"/>
              <w:textAlignment w:val="center"/>
              <w:rPr>
                <w:rFonts w:ascii="仿宋" w:eastAsia="仿宋" w:hAnsi="仿宋" w:cs="仿宋"/>
                <w:sz w:val="24"/>
              </w:rPr>
            </w:pPr>
            <w:r>
              <w:rPr>
                <w:rFonts w:ascii="仿宋" w:eastAsia="仿宋" w:hAnsi="仿宋" w:cs="仿宋" w:hint="eastAsia"/>
                <w:color w:val="000000"/>
                <w:kern w:val="0"/>
                <w:sz w:val="24"/>
              </w:rPr>
              <w:t>收入规划核算处</w:t>
            </w:r>
          </w:p>
        </w:tc>
        <w:tc>
          <w:tcPr>
            <w:tcW w:w="1279" w:type="dxa"/>
            <w:vMerge w:val="restart"/>
            <w:tcBorders>
              <w:top w:val="single" w:sz="4" w:space="0" w:color="auto"/>
              <w:left w:val="single" w:sz="4" w:space="0" w:color="auto"/>
              <w:bottom w:val="single" w:sz="8" w:space="0" w:color="auto"/>
              <w:right w:val="single" w:sz="8" w:space="0" w:color="auto"/>
            </w:tcBorders>
            <w:vAlign w:val="center"/>
          </w:tcPr>
          <w:p w:rsidR="009A1EE1" w:rsidRDefault="009A1EE1">
            <w:pPr>
              <w:jc w:val="left"/>
              <w:rPr>
                <w:rFonts w:ascii="仿宋" w:eastAsia="仿宋" w:hAnsi="仿宋" w:cs="仿宋"/>
                <w:sz w:val="24"/>
              </w:rPr>
            </w:pPr>
          </w:p>
        </w:tc>
      </w:tr>
      <w:tr w:rsidR="009A1EE1" w:rsidTr="00DC08AA">
        <w:trPr>
          <w:trHeight w:val="813"/>
          <w:jc w:val="center"/>
        </w:trPr>
        <w:tc>
          <w:tcPr>
            <w:tcW w:w="1250" w:type="dxa"/>
            <w:vMerge/>
            <w:tcBorders>
              <w:top w:val="single" w:sz="4" w:space="0" w:color="auto"/>
              <w:left w:val="single" w:sz="8" w:space="0" w:color="auto"/>
              <w:bottom w:val="single" w:sz="8" w:space="0" w:color="auto"/>
              <w:right w:val="single" w:sz="4" w:space="0" w:color="auto"/>
            </w:tcBorders>
            <w:vAlign w:val="center"/>
          </w:tcPr>
          <w:p w:rsidR="009A1EE1" w:rsidRDefault="009A1EE1">
            <w:pPr>
              <w:widowControl/>
              <w:jc w:val="left"/>
              <w:rPr>
                <w:rFonts w:ascii="仿宋" w:eastAsia="仿宋" w:hAnsi="仿宋" w:cs="仿宋"/>
                <w:sz w:val="24"/>
              </w:rPr>
            </w:pPr>
          </w:p>
        </w:tc>
        <w:tc>
          <w:tcPr>
            <w:tcW w:w="863" w:type="dxa"/>
            <w:vMerge/>
            <w:tcBorders>
              <w:top w:val="single" w:sz="4" w:space="0" w:color="auto"/>
              <w:left w:val="single" w:sz="4" w:space="0" w:color="auto"/>
              <w:bottom w:val="single" w:sz="8" w:space="0" w:color="auto"/>
              <w:right w:val="single" w:sz="4" w:space="0" w:color="auto"/>
            </w:tcBorders>
            <w:vAlign w:val="center"/>
          </w:tcPr>
          <w:p w:rsidR="009A1EE1" w:rsidRDefault="009A1EE1">
            <w:pPr>
              <w:widowControl/>
              <w:jc w:val="left"/>
              <w:rPr>
                <w:rFonts w:ascii="仿宋" w:eastAsia="仿宋" w:hAnsi="仿宋" w:cs="仿宋"/>
                <w:sz w:val="24"/>
              </w:rPr>
            </w:pPr>
          </w:p>
        </w:tc>
        <w:tc>
          <w:tcPr>
            <w:tcW w:w="3013" w:type="dxa"/>
            <w:vMerge/>
            <w:tcBorders>
              <w:top w:val="single" w:sz="4" w:space="0" w:color="auto"/>
              <w:left w:val="single" w:sz="4" w:space="0" w:color="auto"/>
              <w:bottom w:val="single" w:sz="8" w:space="0" w:color="auto"/>
              <w:right w:val="single" w:sz="4" w:space="0" w:color="auto"/>
            </w:tcBorders>
            <w:vAlign w:val="center"/>
          </w:tcPr>
          <w:p w:rsidR="009A1EE1" w:rsidRDefault="009A1EE1">
            <w:pPr>
              <w:widowControl/>
              <w:jc w:val="left"/>
              <w:rPr>
                <w:rFonts w:ascii="仿宋" w:eastAsia="仿宋" w:hAnsi="仿宋" w:cs="仿宋"/>
                <w:b/>
                <w:sz w:val="24"/>
              </w:rPr>
            </w:pPr>
          </w:p>
        </w:tc>
        <w:tc>
          <w:tcPr>
            <w:tcW w:w="3287" w:type="dxa"/>
            <w:tcBorders>
              <w:top w:val="single" w:sz="4" w:space="0" w:color="auto"/>
              <w:left w:val="single" w:sz="4" w:space="0" w:color="auto"/>
              <w:bottom w:val="single" w:sz="4" w:space="0" w:color="auto"/>
              <w:right w:val="single" w:sz="4" w:space="0" w:color="auto"/>
            </w:tcBorders>
            <w:vAlign w:val="center"/>
          </w:tcPr>
          <w:p w:rsidR="009A1EE1" w:rsidRDefault="009A1EE1">
            <w:pPr>
              <w:widowControl/>
              <w:jc w:val="left"/>
              <w:textAlignment w:val="center"/>
              <w:rPr>
                <w:rFonts w:ascii="仿宋" w:eastAsia="仿宋" w:hAnsi="仿宋" w:cs="仿宋"/>
                <w:sz w:val="24"/>
              </w:rPr>
            </w:pPr>
            <w:r>
              <w:rPr>
                <w:rFonts w:ascii="仿宋" w:eastAsia="仿宋" w:hAnsi="仿宋" w:cs="仿宋" w:hint="eastAsia"/>
                <w:sz w:val="24"/>
              </w:rPr>
              <w:t>（二）（A07051）《延期缴纳税款申请审批表》1份。</w:t>
            </w:r>
          </w:p>
        </w:tc>
        <w:tc>
          <w:tcPr>
            <w:tcW w:w="947" w:type="dxa"/>
            <w:vMerge/>
            <w:tcBorders>
              <w:top w:val="single" w:sz="4" w:space="0" w:color="auto"/>
              <w:left w:val="single" w:sz="4" w:space="0" w:color="auto"/>
              <w:bottom w:val="single" w:sz="8" w:space="0" w:color="auto"/>
              <w:right w:val="single" w:sz="4" w:space="0" w:color="auto"/>
            </w:tcBorders>
            <w:vAlign w:val="center"/>
          </w:tcPr>
          <w:p w:rsidR="009A1EE1" w:rsidRDefault="009A1EE1">
            <w:pPr>
              <w:widowControl/>
              <w:jc w:val="left"/>
              <w:rPr>
                <w:rFonts w:ascii="仿宋" w:eastAsia="仿宋" w:hAnsi="仿宋" w:cs="仿宋"/>
                <w:sz w:val="24"/>
              </w:rPr>
            </w:pPr>
          </w:p>
        </w:tc>
        <w:tc>
          <w:tcPr>
            <w:tcW w:w="3575" w:type="dxa"/>
            <w:tcBorders>
              <w:top w:val="single" w:sz="4" w:space="0" w:color="auto"/>
              <w:left w:val="single" w:sz="4" w:space="0" w:color="auto"/>
              <w:bottom w:val="single" w:sz="4" w:space="0" w:color="auto"/>
              <w:right w:val="single" w:sz="4" w:space="0" w:color="auto"/>
            </w:tcBorders>
            <w:vAlign w:val="center"/>
          </w:tcPr>
          <w:p w:rsidR="009A1EE1" w:rsidRDefault="009A1EE1">
            <w:pPr>
              <w:widowControl/>
              <w:jc w:val="left"/>
              <w:textAlignment w:val="center"/>
              <w:rPr>
                <w:rFonts w:ascii="仿宋" w:eastAsia="仿宋" w:hAnsi="仿宋" w:cs="仿宋"/>
                <w:sz w:val="24"/>
              </w:rPr>
            </w:pPr>
            <w:r>
              <w:rPr>
                <w:rFonts w:ascii="仿宋" w:eastAsia="仿宋" w:hAnsi="仿宋" w:cs="仿宋" w:hint="eastAsia"/>
                <w:sz w:val="24"/>
              </w:rPr>
              <w:t>（二）（A07051）《延期缴纳税款申请审批表》1份。</w:t>
            </w:r>
          </w:p>
        </w:tc>
        <w:tc>
          <w:tcPr>
            <w:tcW w:w="1478" w:type="dxa"/>
            <w:vMerge/>
            <w:tcBorders>
              <w:left w:val="single" w:sz="4" w:space="0" w:color="auto"/>
              <w:right w:val="single" w:sz="4" w:space="0" w:color="auto"/>
            </w:tcBorders>
            <w:vAlign w:val="center"/>
          </w:tcPr>
          <w:p w:rsidR="009A1EE1" w:rsidRDefault="009A1EE1" w:rsidP="00842C20">
            <w:pPr>
              <w:jc w:val="left"/>
              <w:textAlignment w:val="center"/>
              <w:rPr>
                <w:rFonts w:ascii="仿宋" w:eastAsia="仿宋" w:hAnsi="仿宋" w:cs="仿宋"/>
                <w:b/>
                <w:bCs/>
                <w:i/>
                <w:iCs/>
                <w:sz w:val="24"/>
              </w:rPr>
            </w:pPr>
          </w:p>
        </w:tc>
        <w:tc>
          <w:tcPr>
            <w:tcW w:w="1993" w:type="dxa"/>
            <w:vMerge/>
            <w:tcBorders>
              <w:left w:val="single" w:sz="4" w:space="0" w:color="auto"/>
              <w:right w:val="single" w:sz="4" w:space="0" w:color="auto"/>
            </w:tcBorders>
            <w:vAlign w:val="center"/>
          </w:tcPr>
          <w:p w:rsidR="009A1EE1" w:rsidRDefault="009A1EE1" w:rsidP="00DC08AA">
            <w:pPr>
              <w:jc w:val="left"/>
              <w:rPr>
                <w:rFonts w:ascii="仿宋" w:eastAsia="仿宋" w:hAnsi="仿宋" w:cs="仿宋"/>
                <w:sz w:val="24"/>
              </w:rPr>
            </w:pPr>
          </w:p>
        </w:tc>
        <w:tc>
          <w:tcPr>
            <w:tcW w:w="557" w:type="dxa"/>
            <w:vMerge/>
            <w:tcBorders>
              <w:top w:val="single" w:sz="4" w:space="0" w:color="auto"/>
              <w:left w:val="single" w:sz="4" w:space="0" w:color="auto"/>
              <w:bottom w:val="single" w:sz="8" w:space="0" w:color="auto"/>
              <w:right w:val="single" w:sz="4" w:space="0" w:color="auto"/>
            </w:tcBorders>
            <w:vAlign w:val="center"/>
          </w:tcPr>
          <w:p w:rsidR="009A1EE1" w:rsidRDefault="009A1EE1">
            <w:pPr>
              <w:widowControl/>
              <w:jc w:val="left"/>
              <w:rPr>
                <w:rFonts w:ascii="仿宋" w:eastAsia="仿宋" w:hAnsi="仿宋" w:cs="仿宋"/>
                <w:sz w:val="24"/>
              </w:rPr>
            </w:pPr>
          </w:p>
        </w:tc>
        <w:tc>
          <w:tcPr>
            <w:tcW w:w="643" w:type="dxa"/>
            <w:vMerge/>
            <w:tcBorders>
              <w:top w:val="single" w:sz="4" w:space="0" w:color="auto"/>
              <w:left w:val="single" w:sz="4" w:space="0" w:color="auto"/>
              <w:bottom w:val="single" w:sz="8" w:space="0" w:color="auto"/>
              <w:right w:val="single" w:sz="4" w:space="0" w:color="auto"/>
            </w:tcBorders>
            <w:vAlign w:val="center"/>
          </w:tcPr>
          <w:p w:rsidR="009A1EE1" w:rsidRDefault="009A1EE1">
            <w:pPr>
              <w:widowControl/>
              <w:jc w:val="left"/>
              <w:rPr>
                <w:rFonts w:ascii="仿宋" w:eastAsia="仿宋" w:hAnsi="仿宋" w:cs="仿宋"/>
                <w:sz w:val="24"/>
              </w:rPr>
            </w:pPr>
          </w:p>
        </w:tc>
        <w:tc>
          <w:tcPr>
            <w:tcW w:w="685" w:type="dxa"/>
            <w:vMerge/>
            <w:tcBorders>
              <w:top w:val="single" w:sz="4" w:space="0" w:color="auto"/>
              <w:left w:val="single" w:sz="4" w:space="0" w:color="auto"/>
              <w:bottom w:val="single" w:sz="8" w:space="0" w:color="auto"/>
              <w:right w:val="single" w:sz="4" w:space="0" w:color="auto"/>
            </w:tcBorders>
            <w:vAlign w:val="center"/>
          </w:tcPr>
          <w:p w:rsidR="009A1EE1" w:rsidRDefault="009A1EE1">
            <w:pPr>
              <w:widowControl/>
              <w:jc w:val="left"/>
              <w:rPr>
                <w:rFonts w:ascii="仿宋" w:eastAsia="仿宋" w:hAnsi="仿宋" w:cs="仿宋"/>
                <w:sz w:val="24"/>
              </w:rPr>
            </w:pPr>
          </w:p>
        </w:tc>
        <w:tc>
          <w:tcPr>
            <w:tcW w:w="1134" w:type="dxa"/>
            <w:vMerge/>
            <w:tcBorders>
              <w:top w:val="single" w:sz="4" w:space="0" w:color="auto"/>
              <w:left w:val="single" w:sz="4" w:space="0" w:color="auto"/>
              <w:bottom w:val="single" w:sz="8" w:space="0" w:color="auto"/>
              <w:right w:val="single" w:sz="4" w:space="0" w:color="auto"/>
            </w:tcBorders>
            <w:vAlign w:val="center"/>
          </w:tcPr>
          <w:p w:rsidR="009A1EE1" w:rsidRDefault="009A1EE1">
            <w:pPr>
              <w:widowControl/>
              <w:jc w:val="left"/>
              <w:rPr>
                <w:rFonts w:ascii="仿宋" w:eastAsia="仿宋" w:hAnsi="仿宋" w:cs="仿宋"/>
                <w:sz w:val="24"/>
              </w:rPr>
            </w:pPr>
          </w:p>
        </w:tc>
        <w:tc>
          <w:tcPr>
            <w:tcW w:w="1279" w:type="dxa"/>
            <w:vMerge/>
            <w:tcBorders>
              <w:top w:val="single" w:sz="4" w:space="0" w:color="auto"/>
              <w:left w:val="single" w:sz="4" w:space="0" w:color="auto"/>
              <w:bottom w:val="single" w:sz="8" w:space="0" w:color="auto"/>
              <w:right w:val="single" w:sz="8" w:space="0" w:color="auto"/>
            </w:tcBorders>
            <w:vAlign w:val="center"/>
          </w:tcPr>
          <w:p w:rsidR="009A1EE1" w:rsidRDefault="009A1EE1">
            <w:pPr>
              <w:widowControl/>
              <w:jc w:val="left"/>
              <w:rPr>
                <w:rFonts w:ascii="仿宋" w:eastAsia="仿宋" w:hAnsi="仿宋" w:cs="仿宋"/>
                <w:sz w:val="24"/>
              </w:rPr>
            </w:pPr>
          </w:p>
        </w:tc>
      </w:tr>
      <w:tr w:rsidR="009A1EE1" w:rsidTr="00DC08AA">
        <w:trPr>
          <w:trHeight w:val="856"/>
          <w:jc w:val="center"/>
        </w:trPr>
        <w:tc>
          <w:tcPr>
            <w:tcW w:w="1250" w:type="dxa"/>
            <w:vMerge/>
            <w:tcBorders>
              <w:top w:val="single" w:sz="4" w:space="0" w:color="auto"/>
              <w:left w:val="single" w:sz="8" w:space="0" w:color="auto"/>
              <w:bottom w:val="single" w:sz="8" w:space="0" w:color="auto"/>
              <w:right w:val="single" w:sz="4" w:space="0" w:color="auto"/>
            </w:tcBorders>
            <w:vAlign w:val="center"/>
          </w:tcPr>
          <w:p w:rsidR="009A1EE1" w:rsidRDefault="009A1EE1">
            <w:pPr>
              <w:widowControl/>
              <w:jc w:val="left"/>
              <w:rPr>
                <w:rFonts w:ascii="仿宋" w:eastAsia="仿宋" w:hAnsi="仿宋" w:cs="仿宋"/>
                <w:sz w:val="24"/>
              </w:rPr>
            </w:pPr>
          </w:p>
        </w:tc>
        <w:tc>
          <w:tcPr>
            <w:tcW w:w="863" w:type="dxa"/>
            <w:vMerge/>
            <w:tcBorders>
              <w:top w:val="single" w:sz="4" w:space="0" w:color="auto"/>
              <w:left w:val="single" w:sz="4" w:space="0" w:color="auto"/>
              <w:bottom w:val="single" w:sz="8" w:space="0" w:color="auto"/>
              <w:right w:val="single" w:sz="4" w:space="0" w:color="auto"/>
            </w:tcBorders>
            <w:vAlign w:val="center"/>
          </w:tcPr>
          <w:p w:rsidR="009A1EE1" w:rsidRDefault="009A1EE1">
            <w:pPr>
              <w:widowControl/>
              <w:jc w:val="left"/>
              <w:rPr>
                <w:rFonts w:ascii="仿宋" w:eastAsia="仿宋" w:hAnsi="仿宋" w:cs="仿宋"/>
                <w:sz w:val="24"/>
              </w:rPr>
            </w:pPr>
          </w:p>
        </w:tc>
        <w:tc>
          <w:tcPr>
            <w:tcW w:w="3013" w:type="dxa"/>
            <w:vMerge/>
            <w:tcBorders>
              <w:top w:val="single" w:sz="4" w:space="0" w:color="auto"/>
              <w:left w:val="single" w:sz="4" w:space="0" w:color="auto"/>
              <w:bottom w:val="single" w:sz="8" w:space="0" w:color="auto"/>
              <w:right w:val="single" w:sz="4" w:space="0" w:color="auto"/>
            </w:tcBorders>
            <w:vAlign w:val="center"/>
          </w:tcPr>
          <w:p w:rsidR="009A1EE1" w:rsidRDefault="009A1EE1">
            <w:pPr>
              <w:widowControl/>
              <w:jc w:val="left"/>
              <w:rPr>
                <w:rFonts w:ascii="仿宋" w:eastAsia="仿宋" w:hAnsi="仿宋" w:cs="仿宋"/>
                <w:b/>
                <w:sz w:val="24"/>
              </w:rPr>
            </w:pPr>
          </w:p>
        </w:tc>
        <w:tc>
          <w:tcPr>
            <w:tcW w:w="3287" w:type="dxa"/>
            <w:tcBorders>
              <w:top w:val="single" w:sz="4" w:space="0" w:color="auto"/>
              <w:left w:val="single" w:sz="4" w:space="0" w:color="auto"/>
              <w:bottom w:val="single" w:sz="4" w:space="0" w:color="auto"/>
              <w:right w:val="single" w:sz="4" w:space="0" w:color="auto"/>
            </w:tcBorders>
            <w:vAlign w:val="center"/>
          </w:tcPr>
          <w:p w:rsidR="009A1EE1" w:rsidRDefault="009A1EE1">
            <w:pPr>
              <w:widowControl/>
              <w:jc w:val="left"/>
              <w:textAlignment w:val="center"/>
              <w:rPr>
                <w:rFonts w:ascii="仿宋" w:eastAsia="仿宋" w:hAnsi="仿宋" w:cs="仿宋"/>
                <w:sz w:val="24"/>
              </w:rPr>
            </w:pPr>
            <w:r>
              <w:rPr>
                <w:rFonts w:ascii="仿宋" w:eastAsia="仿宋" w:hAnsi="仿宋" w:cs="仿宋" w:hint="eastAsia"/>
                <w:sz w:val="24"/>
              </w:rPr>
              <w:t>（三）当期货币资金余额情况及所有银行存款账户的对账单。</w:t>
            </w:r>
          </w:p>
        </w:tc>
        <w:tc>
          <w:tcPr>
            <w:tcW w:w="947" w:type="dxa"/>
            <w:vMerge/>
            <w:tcBorders>
              <w:top w:val="single" w:sz="4" w:space="0" w:color="auto"/>
              <w:left w:val="single" w:sz="4" w:space="0" w:color="auto"/>
              <w:bottom w:val="single" w:sz="8" w:space="0" w:color="auto"/>
              <w:right w:val="single" w:sz="4" w:space="0" w:color="auto"/>
            </w:tcBorders>
            <w:vAlign w:val="center"/>
          </w:tcPr>
          <w:p w:rsidR="009A1EE1" w:rsidRDefault="009A1EE1">
            <w:pPr>
              <w:widowControl/>
              <w:jc w:val="left"/>
              <w:rPr>
                <w:rFonts w:ascii="仿宋" w:eastAsia="仿宋" w:hAnsi="仿宋" w:cs="仿宋"/>
                <w:sz w:val="24"/>
              </w:rPr>
            </w:pPr>
          </w:p>
        </w:tc>
        <w:tc>
          <w:tcPr>
            <w:tcW w:w="3575" w:type="dxa"/>
            <w:tcBorders>
              <w:top w:val="single" w:sz="4" w:space="0" w:color="auto"/>
              <w:left w:val="single" w:sz="4" w:space="0" w:color="auto"/>
              <w:bottom w:val="single" w:sz="4" w:space="0" w:color="auto"/>
              <w:right w:val="single" w:sz="4" w:space="0" w:color="auto"/>
            </w:tcBorders>
            <w:vAlign w:val="center"/>
          </w:tcPr>
          <w:p w:rsidR="009A1EE1" w:rsidRDefault="009A1EE1">
            <w:pPr>
              <w:widowControl/>
              <w:jc w:val="left"/>
              <w:textAlignment w:val="center"/>
              <w:rPr>
                <w:rFonts w:ascii="仿宋" w:eastAsia="仿宋" w:hAnsi="仿宋" w:cs="仿宋"/>
                <w:sz w:val="24"/>
              </w:rPr>
            </w:pPr>
            <w:r>
              <w:rPr>
                <w:rFonts w:ascii="仿宋" w:eastAsia="仿宋" w:hAnsi="仿宋" w:cs="仿宋" w:hint="eastAsia"/>
                <w:sz w:val="24"/>
              </w:rPr>
              <w:t>（三）当期货币资金余额情况及所有银行存款账户的对账单。</w:t>
            </w:r>
          </w:p>
        </w:tc>
        <w:tc>
          <w:tcPr>
            <w:tcW w:w="1478" w:type="dxa"/>
            <w:vMerge/>
            <w:tcBorders>
              <w:left w:val="single" w:sz="4" w:space="0" w:color="auto"/>
              <w:right w:val="single" w:sz="4" w:space="0" w:color="auto"/>
            </w:tcBorders>
            <w:vAlign w:val="center"/>
          </w:tcPr>
          <w:p w:rsidR="009A1EE1" w:rsidRDefault="009A1EE1" w:rsidP="00842C20">
            <w:pPr>
              <w:jc w:val="left"/>
              <w:textAlignment w:val="center"/>
              <w:rPr>
                <w:rFonts w:ascii="仿宋" w:eastAsia="仿宋" w:hAnsi="仿宋" w:cs="仿宋"/>
                <w:b/>
                <w:bCs/>
                <w:i/>
                <w:iCs/>
                <w:sz w:val="24"/>
              </w:rPr>
            </w:pPr>
          </w:p>
        </w:tc>
        <w:tc>
          <w:tcPr>
            <w:tcW w:w="1993" w:type="dxa"/>
            <w:vMerge/>
            <w:tcBorders>
              <w:left w:val="single" w:sz="4" w:space="0" w:color="auto"/>
              <w:right w:val="single" w:sz="4" w:space="0" w:color="auto"/>
            </w:tcBorders>
            <w:vAlign w:val="center"/>
          </w:tcPr>
          <w:p w:rsidR="009A1EE1" w:rsidRDefault="009A1EE1" w:rsidP="00DC08AA">
            <w:pPr>
              <w:jc w:val="left"/>
              <w:rPr>
                <w:rFonts w:ascii="仿宋" w:eastAsia="仿宋" w:hAnsi="仿宋" w:cs="仿宋"/>
                <w:sz w:val="24"/>
              </w:rPr>
            </w:pPr>
          </w:p>
        </w:tc>
        <w:tc>
          <w:tcPr>
            <w:tcW w:w="557" w:type="dxa"/>
            <w:vMerge/>
            <w:tcBorders>
              <w:top w:val="single" w:sz="4" w:space="0" w:color="auto"/>
              <w:left w:val="single" w:sz="4" w:space="0" w:color="auto"/>
              <w:bottom w:val="single" w:sz="8" w:space="0" w:color="auto"/>
              <w:right w:val="single" w:sz="4" w:space="0" w:color="auto"/>
            </w:tcBorders>
            <w:vAlign w:val="center"/>
          </w:tcPr>
          <w:p w:rsidR="009A1EE1" w:rsidRDefault="009A1EE1">
            <w:pPr>
              <w:widowControl/>
              <w:jc w:val="left"/>
              <w:rPr>
                <w:rFonts w:ascii="仿宋" w:eastAsia="仿宋" w:hAnsi="仿宋" w:cs="仿宋"/>
                <w:sz w:val="24"/>
              </w:rPr>
            </w:pPr>
          </w:p>
        </w:tc>
        <w:tc>
          <w:tcPr>
            <w:tcW w:w="643" w:type="dxa"/>
            <w:vMerge/>
            <w:tcBorders>
              <w:top w:val="single" w:sz="4" w:space="0" w:color="auto"/>
              <w:left w:val="single" w:sz="4" w:space="0" w:color="auto"/>
              <w:bottom w:val="single" w:sz="8" w:space="0" w:color="auto"/>
              <w:right w:val="single" w:sz="4" w:space="0" w:color="auto"/>
            </w:tcBorders>
            <w:vAlign w:val="center"/>
          </w:tcPr>
          <w:p w:rsidR="009A1EE1" w:rsidRDefault="009A1EE1">
            <w:pPr>
              <w:widowControl/>
              <w:jc w:val="left"/>
              <w:rPr>
                <w:rFonts w:ascii="仿宋" w:eastAsia="仿宋" w:hAnsi="仿宋" w:cs="仿宋"/>
                <w:sz w:val="24"/>
              </w:rPr>
            </w:pPr>
          </w:p>
        </w:tc>
        <w:tc>
          <w:tcPr>
            <w:tcW w:w="685" w:type="dxa"/>
            <w:vMerge/>
            <w:tcBorders>
              <w:top w:val="single" w:sz="4" w:space="0" w:color="auto"/>
              <w:left w:val="single" w:sz="4" w:space="0" w:color="auto"/>
              <w:bottom w:val="single" w:sz="8" w:space="0" w:color="auto"/>
              <w:right w:val="single" w:sz="4" w:space="0" w:color="auto"/>
            </w:tcBorders>
            <w:vAlign w:val="center"/>
          </w:tcPr>
          <w:p w:rsidR="009A1EE1" w:rsidRDefault="009A1EE1">
            <w:pPr>
              <w:widowControl/>
              <w:jc w:val="left"/>
              <w:rPr>
                <w:rFonts w:ascii="仿宋" w:eastAsia="仿宋" w:hAnsi="仿宋" w:cs="仿宋"/>
                <w:sz w:val="24"/>
              </w:rPr>
            </w:pPr>
          </w:p>
        </w:tc>
        <w:tc>
          <w:tcPr>
            <w:tcW w:w="1134" w:type="dxa"/>
            <w:vMerge/>
            <w:tcBorders>
              <w:top w:val="single" w:sz="4" w:space="0" w:color="auto"/>
              <w:left w:val="single" w:sz="4" w:space="0" w:color="auto"/>
              <w:bottom w:val="single" w:sz="8" w:space="0" w:color="auto"/>
              <w:right w:val="single" w:sz="4" w:space="0" w:color="auto"/>
            </w:tcBorders>
            <w:vAlign w:val="center"/>
          </w:tcPr>
          <w:p w:rsidR="009A1EE1" w:rsidRDefault="009A1EE1">
            <w:pPr>
              <w:widowControl/>
              <w:jc w:val="left"/>
              <w:rPr>
                <w:rFonts w:ascii="仿宋" w:eastAsia="仿宋" w:hAnsi="仿宋" w:cs="仿宋"/>
                <w:sz w:val="24"/>
              </w:rPr>
            </w:pPr>
          </w:p>
        </w:tc>
        <w:tc>
          <w:tcPr>
            <w:tcW w:w="1279" w:type="dxa"/>
            <w:vMerge/>
            <w:tcBorders>
              <w:top w:val="single" w:sz="4" w:space="0" w:color="auto"/>
              <w:left w:val="single" w:sz="4" w:space="0" w:color="auto"/>
              <w:bottom w:val="single" w:sz="8" w:space="0" w:color="auto"/>
              <w:right w:val="single" w:sz="8" w:space="0" w:color="auto"/>
            </w:tcBorders>
            <w:vAlign w:val="center"/>
          </w:tcPr>
          <w:p w:rsidR="009A1EE1" w:rsidRDefault="009A1EE1">
            <w:pPr>
              <w:widowControl/>
              <w:jc w:val="left"/>
              <w:rPr>
                <w:rFonts w:ascii="仿宋" w:eastAsia="仿宋" w:hAnsi="仿宋" w:cs="仿宋"/>
                <w:sz w:val="24"/>
              </w:rPr>
            </w:pPr>
          </w:p>
        </w:tc>
      </w:tr>
      <w:tr w:rsidR="009A1EE1" w:rsidTr="00DC08AA">
        <w:trPr>
          <w:trHeight w:val="952"/>
          <w:jc w:val="center"/>
        </w:trPr>
        <w:tc>
          <w:tcPr>
            <w:tcW w:w="1250" w:type="dxa"/>
            <w:vMerge/>
            <w:tcBorders>
              <w:top w:val="single" w:sz="4" w:space="0" w:color="auto"/>
              <w:left w:val="single" w:sz="8" w:space="0" w:color="auto"/>
              <w:bottom w:val="single" w:sz="8" w:space="0" w:color="auto"/>
              <w:right w:val="single" w:sz="4" w:space="0" w:color="auto"/>
            </w:tcBorders>
            <w:vAlign w:val="center"/>
          </w:tcPr>
          <w:p w:rsidR="009A1EE1" w:rsidRDefault="009A1EE1">
            <w:pPr>
              <w:widowControl/>
              <w:jc w:val="left"/>
              <w:rPr>
                <w:rFonts w:ascii="仿宋" w:eastAsia="仿宋" w:hAnsi="仿宋" w:cs="仿宋"/>
                <w:sz w:val="24"/>
              </w:rPr>
            </w:pPr>
          </w:p>
        </w:tc>
        <w:tc>
          <w:tcPr>
            <w:tcW w:w="863" w:type="dxa"/>
            <w:vMerge/>
            <w:tcBorders>
              <w:top w:val="single" w:sz="4" w:space="0" w:color="auto"/>
              <w:left w:val="single" w:sz="4" w:space="0" w:color="auto"/>
              <w:bottom w:val="single" w:sz="8" w:space="0" w:color="auto"/>
              <w:right w:val="single" w:sz="4" w:space="0" w:color="auto"/>
            </w:tcBorders>
            <w:vAlign w:val="center"/>
          </w:tcPr>
          <w:p w:rsidR="009A1EE1" w:rsidRDefault="009A1EE1">
            <w:pPr>
              <w:widowControl/>
              <w:jc w:val="left"/>
              <w:rPr>
                <w:rFonts w:ascii="仿宋" w:eastAsia="仿宋" w:hAnsi="仿宋" w:cs="仿宋"/>
                <w:sz w:val="24"/>
              </w:rPr>
            </w:pPr>
          </w:p>
        </w:tc>
        <w:tc>
          <w:tcPr>
            <w:tcW w:w="3013" w:type="dxa"/>
            <w:vMerge/>
            <w:tcBorders>
              <w:top w:val="single" w:sz="4" w:space="0" w:color="auto"/>
              <w:left w:val="single" w:sz="4" w:space="0" w:color="auto"/>
              <w:bottom w:val="single" w:sz="8" w:space="0" w:color="auto"/>
              <w:right w:val="single" w:sz="4" w:space="0" w:color="auto"/>
            </w:tcBorders>
            <w:vAlign w:val="center"/>
          </w:tcPr>
          <w:p w:rsidR="009A1EE1" w:rsidRDefault="009A1EE1">
            <w:pPr>
              <w:widowControl/>
              <w:jc w:val="left"/>
              <w:rPr>
                <w:rFonts w:ascii="仿宋" w:eastAsia="仿宋" w:hAnsi="仿宋" w:cs="仿宋"/>
                <w:b/>
                <w:sz w:val="24"/>
              </w:rPr>
            </w:pPr>
          </w:p>
        </w:tc>
        <w:tc>
          <w:tcPr>
            <w:tcW w:w="3287" w:type="dxa"/>
            <w:tcBorders>
              <w:top w:val="single" w:sz="4" w:space="0" w:color="auto"/>
              <w:left w:val="single" w:sz="4" w:space="0" w:color="auto"/>
              <w:bottom w:val="single" w:sz="4" w:space="0" w:color="auto"/>
              <w:right w:val="single" w:sz="4" w:space="0" w:color="auto"/>
            </w:tcBorders>
            <w:vAlign w:val="center"/>
          </w:tcPr>
          <w:p w:rsidR="009A1EE1" w:rsidRDefault="009A1EE1">
            <w:pPr>
              <w:widowControl/>
              <w:jc w:val="left"/>
              <w:textAlignment w:val="center"/>
              <w:rPr>
                <w:rFonts w:ascii="仿宋" w:eastAsia="仿宋" w:hAnsi="仿宋" w:cs="仿宋"/>
                <w:sz w:val="24"/>
              </w:rPr>
            </w:pPr>
            <w:r>
              <w:rPr>
                <w:rFonts w:ascii="仿宋" w:eastAsia="仿宋" w:hAnsi="仿宋" w:cs="仿宋" w:hint="eastAsia"/>
                <w:sz w:val="24"/>
              </w:rPr>
              <w:t>（四）应付职工工资和社会保险费等税务机关要求提供的支出预算。</w:t>
            </w:r>
          </w:p>
        </w:tc>
        <w:tc>
          <w:tcPr>
            <w:tcW w:w="947" w:type="dxa"/>
            <w:vMerge/>
            <w:tcBorders>
              <w:top w:val="single" w:sz="4" w:space="0" w:color="auto"/>
              <w:left w:val="single" w:sz="4" w:space="0" w:color="auto"/>
              <w:bottom w:val="single" w:sz="8" w:space="0" w:color="auto"/>
              <w:right w:val="single" w:sz="4" w:space="0" w:color="auto"/>
            </w:tcBorders>
            <w:vAlign w:val="center"/>
          </w:tcPr>
          <w:p w:rsidR="009A1EE1" w:rsidRDefault="009A1EE1">
            <w:pPr>
              <w:widowControl/>
              <w:jc w:val="left"/>
              <w:rPr>
                <w:rFonts w:ascii="仿宋" w:eastAsia="仿宋" w:hAnsi="仿宋" w:cs="仿宋"/>
                <w:sz w:val="24"/>
              </w:rPr>
            </w:pPr>
          </w:p>
        </w:tc>
        <w:tc>
          <w:tcPr>
            <w:tcW w:w="3575" w:type="dxa"/>
            <w:tcBorders>
              <w:top w:val="single" w:sz="4" w:space="0" w:color="auto"/>
              <w:left w:val="single" w:sz="4" w:space="0" w:color="auto"/>
              <w:bottom w:val="single" w:sz="4" w:space="0" w:color="auto"/>
              <w:right w:val="single" w:sz="4" w:space="0" w:color="auto"/>
            </w:tcBorders>
            <w:vAlign w:val="center"/>
          </w:tcPr>
          <w:p w:rsidR="009A1EE1" w:rsidRDefault="009A1EE1">
            <w:pPr>
              <w:widowControl/>
              <w:jc w:val="left"/>
              <w:textAlignment w:val="center"/>
              <w:rPr>
                <w:rFonts w:ascii="仿宋" w:eastAsia="仿宋" w:hAnsi="仿宋" w:cs="仿宋"/>
                <w:sz w:val="24"/>
              </w:rPr>
            </w:pPr>
            <w:r>
              <w:rPr>
                <w:rFonts w:ascii="仿宋" w:eastAsia="仿宋" w:hAnsi="仿宋" w:cs="仿宋" w:hint="eastAsia"/>
                <w:sz w:val="24"/>
              </w:rPr>
              <w:t>（四）应付职工工资和社会保险费等税务机关要求提供的支出预算。</w:t>
            </w:r>
          </w:p>
        </w:tc>
        <w:tc>
          <w:tcPr>
            <w:tcW w:w="1478" w:type="dxa"/>
            <w:vMerge/>
            <w:tcBorders>
              <w:left w:val="single" w:sz="4" w:space="0" w:color="auto"/>
              <w:right w:val="single" w:sz="4" w:space="0" w:color="auto"/>
            </w:tcBorders>
            <w:vAlign w:val="center"/>
          </w:tcPr>
          <w:p w:rsidR="009A1EE1" w:rsidRDefault="009A1EE1" w:rsidP="00842C20">
            <w:pPr>
              <w:jc w:val="left"/>
              <w:textAlignment w:val="center"/>
              <w:rPr>
                <w:rFonts w:ascii="仿宋" w:eastAsia="仿宋" w:hAnsi="仿宋" w:cs="仿宋"/>
                <w:b/>
                <w:bCs/>
                <w:i/>
                <w:iCs/>
                <w:sz w:val="24"/>
              </w:rPr>
            </w:pPr>
          </w:p>
        </w:tc>
        <w:tc>
          <w:tcPr>
            <w:tcW w:w="1993" w:type="dxa"/>
            <w:vMerge/>
            <w:tcBorders>
              <w:left w:val="single" w:sz="4" w:space="0" w:color="auto"/>
              <w:right w:val="single" w:sz="4" w:space="0" w:color="auto"/>
            </w:tcBorders>
            <w:vAlign w:val="center"/>
          </w:tcPr>
          <w:p w:rsidR="009A1EE1" w:rsidRDefault="009A1EE1" w:rsidP="00DC08AA">
            <w:pPr>
              <w:jc w:val="left"/>
              <w:rPr>
                <w:rFonts w:ascii="仿宋" w:eastAsia="仿宋" w:hAnsi="仿宋" w:cs="仿宋"/>
                <w:sz w:val="24"/>
              </w:rPr>
            </w:pPr>
          </w:p>
        </w:tc>
        <w:tc>
          <w:tcPr>
            <w:tcW w:w="557" w:type="dxa"/>
            <w:vMerge/>
            <w:tcBorders>
              <w:top w:val="single" w:sz="4" w:space="0" w:color="auto"/>
              <w:left w:val="single" w:sz="4" w:space="0" w:color="auto"/>
              <w:bottom w:val="single" w:sz="8" w:space="0" w:color="auto"/>
              <w:right w:val="single" w:sz="4" w:space="0" w:color="auto"/>
            </w:tcBorders>
            <w:vAlign w:val="center"/>
          </w:tcPr>
          <w:p w:rsidR="009A1EE1" w:rsidRDefault="009A1EE1">
            <w:pPr>
              <w:widowControl/>
              <w:jc w:val="left"/>
              <w:rPr>
                <w:rFonts w:ascii="仿宋" w:eastAsia="仿宋" w:hAnsi="仿宋" w:cs="仿宋"/>
                <w:sz w:val="24"/>
              </w:rPr>
            </w:pPr>
          </w:p>
        </w:tc>
        <w:tc>
          <w:tcPr>
            <w:tcW w:w="643" w:type="dxa"/>
            <w:vMerge/>
            <w:tcBorders>
              <w:top w:val="single" w:sz="4" w:space="0" w:color="auto"/>
              <w:left w:val="single" w:sz="4" w:space="0" w:color="auto"/>
              <w:bottom w:val="single" w:sz="8" w:space="0" w:color="auto"/>
              <w:right w:val="single" w:sz="4" w:space="0" w:color="auto"/>
            </w:tcBorders>
            <w:vAlign w:val="center"/>
          </w:tcPr>
          <w:p w:rsidR="009A1EE1" w:rsidRDefault="009A1EE1">
            <w:pPr>
              <w:widowControl/>
              <w:jc w:val="left"/>
              <w:rPr>
                <w:rFonts w:ascii="仿宋" w:eastAsia="仿宋" w:hAnsi="仿宋" w:cs="仿宋"/>
                <w:sz w:val="24"/>
              </w:rPr>
            </w:pPr>
          </w:p>
        </w:tc>
        <w:tc>
          <w:tcPr>
            <w:tcW w:w="685" w:type="dxa"/>
            <w:vMerge/>
            <w:tcBorders>
              <w:top w:val="single" w:sz="4" w:space="0" w:color="auto"/>
              <w:left w:val="single" w:sz="4" w:space="0" w:color="auto"/>
              <w:bottom w:val="single" w:sz="8" w:space="0" w:color="auto"/>
              <w:right w:val="single" w:sz="4" w:space="0" w:color="auto"/>
            </w:tcBorders>
            <w:vAlign w:val="center"/>
          </w:tcPr>
          <w:p w:rsidR="009A1EE1" w:rsidRDefault="009A1EE1">
            <w:pPr>
              <w:widowControl/>
              <w:jc w:val="left"/>
              <w:rPr>
                <w:rFonts w:ascii="仿宋" w:eastAsia="仿宋" w:hAnsi="仿宋" w:cs="仿宋"/>
                <w:sz w:val="24"/>
              </w:rPr>
            </w:pPr>
          </w:p>
        </w:tc>
        <w:tc>
          <w:tcPr>
            <w:tcW w:w="1134" w:type="dxa"/>
            <w:vMerge/>
            <w:tcBorders>
              <w:top w:val="single" w:sz="4" w:space="0" w:color="auto"/>
              <w:left w:val="single" w:sz="4" w:space="0" w:color="auto"/>
              <w:bottom w:val="single" w:sz="8" w:space="0" w:color="auto"/>
              <w:right w:val="single" w:sz="4" w:space="0" w:color="auto"/>
            </w:tcBorders>
            <w:vAlign w:val="center"/>
          </w:tcPr>
          <w:p w:rsidR="009A1EE1" w:rsidRDefault="009A1EE1">
            <w:pPr>
              <w:widowControl/>
              <w:jc w:val="left"/>
              <w:rPr>
                <w:rFonts w:ascii="仿宋" w:eastAsia="仿宋" w:hAnsi="仿宋" w:cs="仿宋"/>
                <w:sz w:val="24"/>
              </w:rPr>
            </w:pPr>
          </w:p>
        </w:tc>
        <w:tc>
          <w:tcPr>
            <w:tcW w:w="1279" w:type="dxa"/>
            <w:vMerge/>
            <w:tcBorders>
              <w:top w:val="single" w:sz="4" w:space="0" w:color="auto"/>
              <w:left w:val="single" w:sz="4" w:space="0" w:color="auto"/>
              <w:bottom w:val="single" w:sz="8" w:space="0" w:color="auto"/>
              <w:right w:val="single" w:sz="8" w:space="0" w:color="auto"/>
            </w:tcBorders>
            <w:vAlign w:val="center"/>
          </w:tcPr>
          <w:p w:rsidR="009A1EE1" w:rsidRDefault="009A1EE1">
            <w:pPr>
              <w:widowControl/>
              <w:jc w:val="left"/>
              <w:rPr>
                <w:rFonts w:ascii="仿宋" w:eastAsia="仿宋" w:hAnsi="仿宋" w:cs="仿宋"/>
                <w:sz w:val="24"/>
              </w:rPr>
            </w:pPr>
          </w:p>
        </w:tc>
      </w:tr>
      <w:tr w:rsidR="009A1EE1" w:rsidTr="00DC08AA">
        <w:trPr>
          <w:trHeight w:val="340"/>
          <w:jc w:val="center"/>
        </w:trPr>
        <w:tc>
          <w:tcPr>
            <w:tcW w:w="1250" w:type="dxa"/>
            <w:vMerge/>
            <w:tcBorders>
              <w:top w:val="single" w:sz="4" w:space="0" w:color="auto"/>
              <w:left w:val="single" w:sz="8" w:space="0" w:color="auto"/>
              <w:bottom w:val="single" w:sz="8" w:space="0" w:color="auto"/>
              <w:right w:val="single" w:sz="4" w:space="0" w:color="auto"/>
            </w:tcBorders>
            <w:vAlign w:val="center"/>
          </w:tcPr>
          <w:p w:rsidR="009A1EE1" w:rsidRDefault="009A1EE1">
            <w:pPr>
              <w:widowControl/>
              <w:jc w:val="left"/>
              <w:rPr>
                <w:rFonts w:ascii="仿宋" w:eastAsia="仿宋" w:hAnsi="仿宋" w:cs="仿宋"/>
                <w:sz w:val="24"/>
              </w:rPr>
            </w:pPr>
          </w:p>
        </w:tc>
        <w:tc>
          <w:tcPr>
            <w:tcW w:w="863" w:type="dxa"/>
            <w:vMerge/>
            <w:tcBorders>
              <w:top w:val="single" w:sz="4" w:space="0" w:color="auto"/>
              <w:left w:val="single" w:sz="4" w:space="0" w:color="auto"/>
              <w:bottom w:val="single" w:sz="8" w:space="0" w:color="auto"/>
              <w:right w:val="single" w:sz="4" w:space="0" w:color="auto"/>
            </w:tcBorders>
            <w:vAlign w:val="center"/>
          </w:tcPr>
          <w:p w:rsidR="009A1EE1" w:rsidRDefault="009A1EE1">
            <w:pPr>
              <w:widowControl/>
              <w:jc w:val="left"/>
              <w:rPr>
                <w:rFonts w:ascii="仿宋" w:eastAsia="仿宋" w:hAnsi="仿宋" w:cs="仿宋"/>
                <w:sz w:val="24"/>
              </w:rPr>
            </w:pPr>
          </w:p>
        </w:tc>
        <w:tc>
          <w:tcPr>
            <w:tcW w:w="3013" w:type="dxa"/>
            <w:vMerge/>
            <w:tcBorders>
              <w:top w:val="single" w:sz="4" w:space="0" w:color="auto"/>
              <w:left w:val="single" w:sz="4" w:space="0" w:color="auto"/>
              <w:bottom w:val="single" w:sz="8" w:space="0" w:color="auto"/>
              <w:right w:val="single" w:sz="4" w:space="0" w:color="auto"/>
            </w:tcBorders>
            <w:vAlign w:val="center"/>
          </w:tcPr>
          <w:p w:rsidR="009A1EE1" w:rsidRDefault="009A1EE1">
            <w:pPr>
              <w:widowControl/>
              <w:jc w:val="left"/>
              <w:rPr>
                <w:rFonts w:ascii="仿宋" w:eastAsia="仿宋" w:hAnsi="仿宋" w:cs="仿宋"/>
                <w:b/>
                <w:sz w:val="24"/>
              </w:rPr>
            </w:pPr>
          </w:p>
        </w:tc>
        <w:tc>
          <w:tcPr>
            <w:tcW w:w="3287" w:type="dxa"/>
            <w:tcBorders>
              <w:top w:val="single" w:sz="4" w:space="0" w:color="auto"/>
              <w:left w:val="single" w:sz="4" w:space="0" w:color="auto"/>
              <w:bottom w:val="single" w:sz="4" w:space="0" w:color="auto"/>
              <w:right w:val="single" w:sz="4" w:space="0" w:color="auto"/>
            </w:tcBorders>
            <w:vAlign w:val="center"/>
          </w:tcPr>
          <w:p w:rsidR="009A1EE1" w:rsidRDefault="009A1EE1">
            <w:pPr>
              <w:widowControl/>
              <w:jc w:val="left"/>
              <w:textAlignment w:val="center"/>
              <w:rPr>
                <w:rFonts w:ascii="仿宋" w:eastAsia="仿宋" w:hAnsi="仿宋" w:cs="仿宋"/>
                <w:sz w:val="24"/>
              </w:rPr>
            </w:pPr>
            <w:r>
              <w:rPr>
                <w:rFonts w:ascii="仿宋" w:eastAsia="仿宋" w:hAnsi="仿宋" w:cs="仿宋" w:hint="eastAsia"/>
                <w:sz w:val="24"/>
              </w:rPr>
              <w:t>（五）因不可抗力，导致纳税人发生较大损失，正常生产经营活动受到较大影响的，应报送因不可抗力的灾情报告或公安机关出具的事故证明，原件查验并收取复印件（注明与原件一致，并加盖公章）。</w:t>
            </w:r>
          </w:p>
        </w:tc>
        <w:tc>
          <w:tcPr>
            <w:tcW w:w="947" w:type="dxa"/>
            <w:vMerge/>
            <w:tcBorders>
              <w:top w:val="single" w:sz="4" w:space="0" w:color="auto"/>
              <w:left w:val="single" w:sz="4" w:space="0" w:color="auto"/>
              <w:bottom w:val="single" w:sz="8" w:space="0" w:color="auto"/>
              <w:right w:val="single" w:sz="4" w:space="0" w:color="auto"/>
            </w:tcBorders>
            <w:vAlign w:val="center"/>
          </w:tcPr>
          <w:p w:rsidR="009A1EE1" w:rsidRDefault="009A1EE1">
            <w:pPr>
              <w:widowControl/>
              <w:jc w:val="left"/>
              <w:rPr>
                <w:rFonts w:ascii="仿宋" w:eastAsia="仿宋" w:hAnsi="仿宋" w:cs="仿宋"/>
                <w:sz w:val="24"/>
              </w:rPr>
            </w:pPr>
          </w:p>
        </w:tc>
        <w:tc>
          <w:tcPr>
            <w:tcW w:w="3575" w:type="dxa"/>
            <w:tcBorders>
              <w:top w:val="single" w:sz="4" w:space="0" w:color="auto"/>
              <w:left w:val="single" w:sz="4" w:space="0" w:color="auto"/>
              <w:bottom w:val="single" w:sz="4" w:space="0" w:color="auto"/>
              <w:right w:val="single" w:sz="4" w:space="0" w:color="auto"/>
            </w:tcBorders>
            <w:vAlign w:val="center"/>
          </w:tcPr>
          <w:p w:rsidR="009A1EE1" w:rsidRDefault="009A1EE1">
            <w:pPr>
              <w:widowControl/>
              <w:jc w:val="left"/>
              <w:textAlignment w:val="center"/>
              <w:rPr>
                <w:rFonts w:ascii="仿宋" w:eastAsia="仿宋" w:hAnsi="仿宋" w:cs="仿宋"/>
                <w:sz w:val="24"/>
              </w:rPr>
            </w:pPr>
            <w:r>
              <w:rPr>
                <w:rFonts w:ascii="仿宋" w:eastAsia="仿宋" w:hAnsi="仿宋" w:cs="仿宋" w:hint="eastAsia"/>
                <w:sz w:val="24"/>
              </w:rPr>
              <w:t>（五）因不可抗力，导致纳税人发生较大损失，正常生产经营活动受到较大影响的，应报送因不可抗力的灾情报告或公安机关出具的事故证明，原件查验并收取复印件（注明与原件一致，并加盖公章）。</w:t>
            </w:r>
          </w:p>
        </w:tc>
        <w:tc>
          <w:tcPr>
            <w:tcW w:w="1478" w:type="dxa"/>
            <w:vMerge/>
            <w:tcBorders>
              <w:left w:val="single" w:sz="4" w:space="0" w:color="auto"/>
              <w:right w:val="single" w:sz="4" w:space="0" w:color="auto"/>
            </w:tcBorders>
            <w:vAlign w:val="center"/>
          </w:tcPr>
          <w:p w:rsidR="009A1EE1" w:rsidRDefault="009A1EE1">
            <w:pPr>
              <w:widowControl/>
              <w:jc w:val="left"/>
              <w:textAlignment w:val="center"/>
              <w:rPr>
                <w:rFonts w:ascii="仿宋" w:eastAsia="仿宋" w:hAnsi="仿宋" w:cs="仿宋"/>
                <w:sz w:val="24"/>
              </w:rPr>
            </w:pPr>
          </w:p>
        </w:tc>
        <w:tc>
          <w:tcPr>
            <w:tcW w:w="1993" w:type="dxa"/>
            <w:vMerge/>
            <w:tcBorders>
              <w:left w:val="single" w:sz="4" w:space="0" w:color="auto"/>
              <w:right w:val="single" w:sz="4" w:space="0" w:color="auto"/>
            </w:tcBorders>
            <w:vAlign w:val="center"/>
          </w:tcPr>
          <w:p w:rsidR="009A1EE1" w:rsidRDefault="009A1EE1">
            <w:pPr>
              <w:jc w:val="left"/>
              <w:rPr>
                <w:rFonts w:ascii="仿宋" w:eastAsia="仿宋" w:hAnsi="仿宋" w:cs="仿宋"/>
                <w:sz w:val="24"/>
              </w:rPr>
            </w:pPr>
          </w:p>
        </w:tc>
        <w:tc>
          <w:tcPr>
            <w:tcW w:w="557" w:type="dxa"/>
            <w:vMerge/>
            <w:tcBorders>
              <w:top w:val="single" w:sz="4" w:space="0" w:color="auto"/>
              <w:left w:val="single" w:sz="4" w:space="0" w:color="auto"/>
              <w:bottom w:val="single" w:sz="8" w:space="0" w:color="auto"/>
              <w:right w:val="single" w:sz="4" w:space="0" w:color="auto"/>
            </w:tcBorders>
            <w:vAlign w:val="center"/>
          </w:tcPr>
          <w:p w:rsidR="009A1EE1" w:rsidRDefault="009A1EE1">
            <w:pPr>
              <w:widowControl/>
              <w:jc w:val="left"/>
              <w:rPr>
                <w:rFonts w:ascii="仿宋" w:eastAsia="仿宋" w:hAnsi="仿宋" w:cs="仿宋"/>
                <w:sz w:val="24"/>
              </w:rPr>
            </w:pPr>
          </w:p>
        </w:tc>
        <w:tc>
          <w:tcPr>
            <w:tcW w:w="643" w:type="dxa"/>
            <w:vMerge/>
            <w:tcBorders>
              <w:top w:val="single" w:sz="4" w:space="0" w:color="auto"/>
              <w:left w:val="single" w:sz="4" w:space="0" w:color="auto"/>
              <w:bottom w:val="single" w:sz="8" w:space="0" w:color="auto"/>
              <w:right w:val="single" w:sz="4" w:space="0" w:color="auto"/>
            </w:tcBorders>
            <w:vAlign w:val="center"/>
          </w:tcPr>
          <w:p w:rsidR="009A1EE1" w:rsidRDefault="009A1EE1">
            <w:pPr>
              <w:widowControl/>
              <w:jc w:val="left"/>
              <w:rPr>
                <w:rFonts w:ascii="仿宋" w:eastAsia="仿宋" w:hAnsi="仿宋" w:cs="仿宋"/>
                <w:sz w:val="24"/>
              </w:rPr>
            </w:pPr>
          </w:p>
        </w:tc>
        <w:tc>
          <w:tcPr>
            <w:tcW w:w="685" w:type="dxa"/>
            <w:vMerge/>
            <w:tcBorders>
              <w:top w:val="single" w:sz="4" w:space="0" w:color="auto"/>
              <w:left w:val="single" w:sz="4" w:space="0" w:color="auto"/>
              <w:bottom w:val="single" w:sz="8" w:space="0" w:color="auto"/>
              <w:right w:val="single" w:sz="4" w:space="0" w:color="auto"/>
            </w:tcBorders>
            <w:vAlign w:val="center"/>
          </w:tcPr>
          <w:p w:rsidR="009A1EE1" w:rsidRDefault="009A1EE1">
            <w:pPr>
              <w:widowControl/>
              <w:jc w:val="left"/>
              <w:rPr>
                <w:rFonts w:ascii="仿宋" w:eastAsia="仿宋" w:hAnsi="仿宋" w:cs="仿宋"/>
                <w:sz w:val="24"/>
              </w:rPr>
            </w:pPr>
          </w:p>
        </w:tc>
        <w:tc>
          <w:tcPr>
            <w:tcW w:w="1134" w:type="dxa"/>
            <w:vMerge/>
            <w:tcBorders>
              <w:top w:val="single" w:sz="4" w:space="0" w:color="auto"/>
              <w:left w:val="single" w:sz="4" w:space="0" w:color="auto"/>
              <w:bottom w:val="single" w:sz="8" w:space="0" w:color="auto"/>
              <w:right w:val="single" w:sz="4" w:space="0" w:color="auto"/>
            </w:tcBorders>
            <w:vAlign w:val="center"/>
          </w:tcPr>
          <w:p w:rsidR="009A1EE1" w:rsidRDefault="009A1EE1">
            <w:pPr>
              <w:widowControl/>
              <w:jc w:val="left"/>
              <w:rPr>
                <w:rFonts w:ascii="仿宋" w:eastAsia="仿宋" w:hAnsi="仿宋" w:cs="仿宋"/>
                <w:sz w:val="24"/>
              </w:rPr>
            </w:pPr>
          </w:p>
        </w:tc>
        <w:tc>
          <w:tcPr>
            <w:tcW w:w="1279" w:type="dxa"/>
            <w:vMerge/>
            <w:tcBorders>
              <w:top w:val="single" w:sz="4" w:space="0" w:color="auto"/>
              <w:left w:val="single" w:sz="4" w:space="0" w:color="auto"/>
              <w:bottom w:val="single" w:sz="8" w:space="0" w:color="auto"/>
              <w:right w:val="single" w:sz="8" w:space="0" w:color="auto"/>
            </w:tcBorders>
            <w:vAlign w:val="center"/>
          </w:tcPr>
          <w:p w:rsidR="009A1EE1" w:rsidRDefault="009A1EE1">
            <w:pPr>
              <w:widowControl/>
              <w:jc w:val="left"/>
              <w:rPr>
                <w:rFonts w:ascii="仿宋" w:eastAsia="仿宋" w:hAnsi="仿宋" w:cs="仿宋"/>
                <w:sz w:val="24"/>
              </w:rPr>
            </w:pPr>
          </w:p>
        </w:tc>
      </w:tr>
      <w:tr w:rsidR="009A1EE1" w:rsidTr="00842C20">
        <w:trPr>
          <w:trHeight w:val="2005"/>
          <w:jc w:val="center"/>
        </w:trPr>
        <w:tc>
          <w:tcPr>
            <w:tcW w:w="1250" w:type="dxa"/>
            <w:vMerge/>
            <w:tcBorders>
              <w:top w:val="single" w:sz="4" w:space="0" w:color="auto"/>
              <w:left w:val="single" w:sz="8" w:space="0" w:color="auto"/>
              <w:bottom w:val="single" w:sz="8" w:space="0" w:color="auto"/>
              <w:right w:val="single" w:sz="4" w:space="0" w:color="auto"/>
            </w:tcBorders>
            <w:vAlign w:val="center"/>
          </w:tcPr>
          <w:p w:rsidR="009A1EE1" w:rsidRDefault="009A1EE1">
            <w:pPr>
              <w:widowControl/>
              <w:jc w:val="left"/>
              <w:rPr>
                <w:rFonts w:ascii="仿宋" w:eastAsia="仿宋" w:hAnsi="仿宋" w:cs="仿宋"/>
                <w:sz w:val="24"/>
              </w:rPr>
            </w:pPr>
          </w:p>
        </w:tc>
        <w:tc>
          <w:tcPr>
            <w:tcW w:w="863" w:type="dxa"/>
            <w:vMerge/>
            <w:tcBorders>
              <w:top w:val="single" w:sz="4" w:space="0" w:color="auto"/>
              <w:left w:val="single" w:sz="4" w:space="0" w:color="auto"/>
              <w:bottom w:val="single" w:sz="8" w:space="0" w:color="auto"/>
              <w:right w:val="single" w:sz="4" w:space="0" w:color="auto"/>
            </w:tcBorders>
            <w:vAlign w:val="center"/>
          </w:tcPr>
          <w:p w:rsidR="009A1EE1" w:rsidRDefault="009A1EE1">
            <w:pPr>
              <w:widowControl/>
              <w:jc w:val="left"/>
              <w:rPr>
                <w:rFonts w:ascii="仿宋" w:eastAsia="仿宋" w:hAnsi="仿宋" w:cs="仿宋"/>
                <w:sz w:val="24"/>
              </w:rPr>
            </w:pPr>
          </w:p>
        </w:tc>
        <w:tc>
          <w:tcPr>
            <w:tcW w:w="3013" w:type="dxa"/>
            <w:vMerge/>
            <w:tcBorders>
              <w:top w:val="single" w:sz="4" w:space="0" w:color="auto"/>
              <w:left w:val="single" w:sz="4" w:space="0" w:color="auto"/>
              <w:bottom w:val="single" w:sz="8" w:space="0" w:color="auto"/>
              <w:right w:val="single" w:sz="4" w:space="0" w:color="auto"/>
            </w:tcBorders>
            <w:vAlign w:val="center"/>
          </w:tcPr>
          <w:p w:rsidR="009A1EE1" w:rsidRDefault="009A1EE1">
            <w:pPr>
              <w:widowControl/>
              <w:jc w:val="left"/>
              <w:rPr>
                <w:rFonts w:ascii="仿宋" w:eastAsia="仿宋" w:hAnsi="仿宋" w:cs="仿宋"/>
                <w:b/>
                <w:sz w:val="24"/>
              </w:rPr>
            </w:pPr>
          </w:p>
        </w:tc>
        <w:tc>
          <w:tcPr>
            <w:tcW w:w="3287" w:type="dxa"/>
            <w:tcBorders>
              <w:top w:val="single" w:sz="4" w:space="0" w:color="auto"/>
              <w:left w:val="single" w:sz="4" w:space="0" w:color="auto"/>
              <w:bottom w:val="single" w:sz="4" w:space="0" w:color="auto"/>
              <w:right w:val="single" w:sz="4" w:space="0" w:color="auto"/>
            </w:tcBorders>
            <w:vAlign w:val="center"/>
          </w:tcPr>
          <w:p w:rsidR="009A1EE1" w:rsidRDefault="009A1EE1">
            <w:pPr>
              <w:widowControl/>
              <w:spacing w:line="310" w:lineRule="exact"/>
              <w:jc w:val="left"/>
              <w:rPr>
                <w:rFonts w:ascii="仿宋" w:eastAsia="仿宋" w:hAnsi="仿宋" w:cs="仿宋"/>
                <w:sz w:val="24"/>
              </w:rPr>
            </w:pPr>
            <w:r>
              <w:rPr>
                <w:rFonts w:ascii="仿宋" w:eastAsia="仿宋" w:hAnsi="仿宋" w:cs="仿宋" w:hint="eastAsia"/>
                <w:sz w:val="24"/>
              </w:rPr>
              <w:t>（六）纳税人申请延期缴纳税款报告（详细说明申请延期原因，人员工资、社会保险费支出情况，连续3个月缴纳税款情况）。</w:t>
            </w:r>
          </w:p>
        </w:tc>
        <w:tc>
          <w:tcPr>
            <w:tcW w:w="947" w:type="dxa"/>
            <w:vMerge/>
            <w:tcBorders>
              <w:top w:val="single" w:sz="4" w:space="0" w:color="auto"/>
              <w:left w:val="single" w:sz="4" w:space="0" w:color="auto"/>
              <w:bottom w:val="single" w:sz="8" w:space="0" w:color="auto"/>
              <w:right w:val="single" w:sz="4" w:space="0" w:color="auto"/>
            </w:tcBorders>
            <w:vAlign w:val="center"/>
          </w:tcPr>
          <w:p w:rsidR="009A1EE1" w:rsidRDefault="009A1EE1">
            <w:pPr>
              <w:widowControl/>
              <w:spacing w:line="310" w:lineRule="exact"/>
              <w:jc w:val="left"/>
              <w:rPr>
                <w:rFonts w:ascii="仿宋" w:eastAsia="仿宋" w:hAnsi="仿宋" w:cs="仿宋"/>
                <w:sz w:val="24"/>
              </w:rPr>
            </w:pPr>
          </w:p>
        </w:tc>
        <w:tc>
          <w:tcPr>
            <w:tcW w:w="3575" w:type="dxa"/>
            <w:tcBorders>
              <w:top w:val="single" w:sz="4" w:space="0" w:color="auto"/>
              <w:left w:val="single" w:sz="4" w:space="0" w:color="auto"/>
              <w:bottom w:val="single" w:sz="4" w:space="0" w:color="auto"/>
              <w:right w:val="single" w:sz="4" w:space="0" w:color="auto"/>
            </w:tcBorders>
            <w:vAlign w:val="center"/>
          </w:tcPr>
          <w:p w:rsidR="009A1EE1" w:rsidRDefault="009A1EE1">
            <w:pPr>
              <w:widowControl/>
              <w:spacing w:line="310" w:lineRule="exact"/>
              <w:jc w:val="left"/>
              <w:rPr>
                <w:rFonts w:ascii="仿宋" w:eastAsia="仿宋" w:hAnsi="仿宋" w:cs="仿宋"/>
                <w:sz w:val="24"/>
              </w:rPr>
            </w:pPr>
            <w:r>
              <w:rPr>
                <w:rFonts w:ascii="仿宋" w:eastAsia="仿宋" w:hAnsi="仿宋" w:cs="仿宋" w:hint="eastAsia"/>
                <w:sz w:val="24"/>
              </w:rPr>
              <w:t>（六）纳税人申请延期缴纳税款报告（详细说明申请延期原因，人员工资、社会保险费支出情况，连续3个月缴纳税款情况）。</w:t>
            </w:r>
          </w:p>
        </w:tc>
        <w:tc>
          <w:tcPr>
            <w:tcW w:w="1478" w:type="dxa"/>
            <w:vMerge/>
            <w:tcBorders>
              <w:left w:val="single" w:sz="4" w:space="0" w:color="auto"/>
              <w:bottom w:val="single" w:sz="4" w:space="0" w:color="auto"/>
              <w:right w:val="single" w:sz="4" w:space="0" w:color="auto"/>
            </w:tcBorders>
            <w:vAlign w:val="center"/>
          </w:tcPr>
          <w:p w:rsidR="009A1EE1" w:rsidRDefault="009A1EE1">
            <w:pPr>
              <w:widowControl/>
              <w:jc w:val="left"/>
              <w:rPr>
                <w:rFonts w:ascii="仿宋" w:eastAsia="仿宋" w:hAnsi="仿宋" w:cs="仿宋"/>
                <w:sz w:val="24"/>
              </w:rPr>
            </w:pPr>
          </w:p>
        </w:tc>
        <w:tc>
          <w:tcPr>
            <w:tcW w:w="1993" w:type="dxa"/>
            <w:vMerge/>
            <w:tcBorders>
              <w:left w:val="single" w:sz="4" w:space="0" w:color="auto"/>
              <w:right w:val="single" w:sz="4" w:space="0" w:color="auto"/>
            </w:tcBorders>
            <w:vAlign w:val="center"/>
          </w:tcPr>
          <w:p w:rsidR="009A1EE1" w:rsidRDefault="009A1EE1">
            <w:pPr>
              <w:jc w:val="left"/>
              <w:rPr>
                <w:rFonts w:ascii="仿宋" w:eastAsia="仿宋" w:hAnsi="仿宋" w:cs="仿宋"/>
                <w:sz w:val="24"/>
              </w:rPr>
            </w:pPr>
          </w:p>
        </w:tc>
        <w:tc>
          <w:tcPr>
            <w:tcW w:w="557" w:type="dxa"/>
            <w:vMerge/>
            <w:tcBorders>
              <w:top w:val="single" w:sz="4" w:space="0" w:color="auto"/>
              <w:left w:val="single" w:sz="4" w:space="0" w:color="auto"/>
              <w:bottom w:val="single" w:sz="8" w:space="0" w:color="auto"/>
              <w:right w:val="single" w:sz="4" w:space="0" w:color="auto"/>
            </w:tcBorders>
            <w:vAlign w:val="center"/>
          </w:tcPr>
          <w:p w:rsidR="009A1EE1" w:rsidRDefault="009A1EE1">
            <w:pPr>
              <w:widowControl/>
              <w:jc w:val="left"/>
              <w:rPr>
                <w:rFonts w:ascii="仿宋" w:eastAsia="仿宋" w:hAnsi="仿宋" w:cs="仿宋"/>
                <w:sz w:val="24"/>
              </w:rPr>
            </w:pPr>
          </w:p>
        </w:tc>
        <w:tc>
          <w:tcPr>
            <w:tcW w:w="643" w:type="dxa"/>
            <w:vMerge/>
            <w:tcBorders>
              <w:top w:val="single" w:sz="4" w:space="0" w:color="auto"/>
              <w:left w:val="single" w:sz="4" w:space="0" w:color="auto"/>
              <w:bottom w:val="single" w:sz="8" w:space="0" w:color="auto"/>
              <w:right w:val="single" w:sz="4" w:space="0" w:color="auto"/>
            </w:tcBorders>
            <w:vAlign w:val="center"/>
          </w:tcPr>
          <w:p w:rsidR="009A1EE1" w:rsidRDefault="009A1EE1">
            <w:pPr>
              <w:widowControl/>
              <w:jc w:val="left"/>
              <w:rPr>
                <w:rFonts w:ascii="仿宋" w:eastAsia="仿宋" w:hAnsi="仿宋" w:cs="仿宋"/>
                <w:sz w:val="24"/>
              </w:rPr>
            </w:pPr>
          </w:p>
        </w:tc>
        <w:tc>
          <w:tcPr>
            <w:tcW w:w="685" w:type="dxa"/>
            <w:vMerge/>
            <w:tcBorders>
              <w:top w:val="single" w:sz="4" w:space="0" w:color="auto"/>
              <w:left w:val="single" w:sz="4" w:space="0" w:color="auto"/>
              <w:bottom w:val="single" w:sz="8" w:space="0" w:color="auto"/>
              <w:right w:val="single" w:sz="4" w:space="0" w:color="auto"/>
            </w:tcBorders>
            <w:vAlign w:val="center"/>
          </w:tcPr>
          <w:p w:rsidR="009A1EE1" w:rsidRDefault="009A1EE1">
            <w:pPr>
              <w:widowControl/>
              <w:jc w:val="left"/>
              <w:rPr>
                <w:rFonts w:ascii="仿宋" w:eastAsia="仿宋" w:hAnsi="仿宋" w:cs="仿宋"/>
                <w:sz w:val="24"/>
              </w:rPr>
            </w:pPr>
          </w:p>
        </w:tc>
        <w:tc>
          <w:tcPr>
            <w:tcW w:w="1134" w:type="dxa"/>
            <w:vMerge/>
            <w:tcBorders>
              <w:top w:val="single" w:sz="4" w:space="0" w:color="auto"/>
              <w:left w:val="single" w:sz="4" w:space="0" w:color="auto"/>
              <w:bottom w:val="single" w:sz="8" w:space="0" w:color="auto"/>
              <w:right w:val="single" w:sz="4" w:space="0" w:color="auto"/>
            </w:tcBorders>
            <w:vAlign w:val="center"/>
          </w:tcPr>
          <w:p w:rsidR="009A1EE1" w:rsidRDefault="009A1EE1">
            <w:pPr>
              <w:widowControl/>
              <w:jc w:val="left"/>
              <w:rPr>
                <w:rFonts w:ascii="仿宋" w:eastAsia="仿宋" w:hAnsi="仿宋" w:cs="仿宋"/>
                <w:sz w:val="24"/>
              </w:rPr>
            </w:pPr>
          </w:p>
        </w:tc>
        <w:tc>
          <w:tcPr>
            <w:tcW w:w="1279" w:type="dxa"/>
            <w:vMerge/>
            <w:tcBorders>
              <w:top w:val="single" w:sz="4" w:space="0" w:color="auto"/>
              <w:left w:val="single" w:sz="4" w:space="0" w:color="auto"/>
              <w:bottom w:val="single" w:sz="8" w:space="0" w:color="auto"/>
              <w:right w:val="single" w:sz="8" w:space="0" w:color="auto"/>
            </w:tcBorders>
            <w:vAlign w:val="center"/>
          </w:tcPr>
          <w:p w:rsidR="009A1EE1" w:rsidRDefault="009A1EE1">
            <w:pPr>
              <w:widowControl/>
              <w:jc w:val="left"/>
              <w:rPr>
                <w:rFonts w:ascii="仿宋" w:eastAsia="仿宋" w:hAnsi="仿宋" w:cs="仿宋"/>
                <w:sz w:val="24"/>
              </w:rPr>
            </w:pPr>
          </w:p>
        </w:tc>
      </w:tr>
      <w:tr w:rsidR="00013EC7">
        <w:trPr>
          <w:trHeight w:val="340"/>
          <w:jc w:val="center"/>
        </w:trPr>
        <w:tc>
          <w:tcPr>
            <w:tcW w:w="1250" w:type="dxa"/>
            <w:vMerge/>
            <w:tcBorders>
              <w:top w:val="single" w:sz="4" w:space="0" w:color="auto"/>
              <w:left w:val="single" w:sz="8" w:space="0" w:color="auto"/>
              <w:bottom w:val="single" w:sz="4" w:space="0" w:color="auto"/>
              <w:right w:val="single" w:sz="4" w:space="0" w:color="auto"/>
            </w:tcBorders>
            <w:vAlign w:val="center"/>
          </w:tcPr>
          <w:p w:rsidR="00013EC7" w:rsidRDefault="00013EC7">
            <w:pPr>
              <w:widowControl/>
              <w:jc w:val="left"/>
              <w:rPr>
                <w:rFonts w:ascii="仿宋" w:eastAsia="仿宋" w:hAnsi="仿宋" w:cs="仿宋"/>
                <w:sz w:val="24"/>
              </w:rPr>
            </w:pPr>
          </w:p>
        </w:tc>
        <w:tc>
          <w:tcPr>
            <w:tcW w:w="863" w:type="dxa"/>
            <w:vMerge/>
            <w:tcBorders>
              <w:top w:val="single" w:sz="4" w:space="0" w:color="auto"/>
              <w:left w:val="single" w:sz="4" w:space="0" w:color="auto"/>
              <w:bottom w:val="single" w:sz="4" w:space="0" w:color="auto"/>
              <w:right w:val="single" w:sz="4" w:space="0" w:color="auto"/>
            </w:tcBorders>
            <w:vAlign w:val="center"/>
          </w:tcPr>
          <w:p w:rsidR="00013EC7" w:rsidRDefault="00013EC7">
            <w:pPr>
              <w:widowControl/>
              <w:jc w:val="left"/>
              <w:rPr>
                <w:rFonts w:ascii="仿宋" w:eastAsia="仿宋" w:hAnsi="仿宋" w:cs="仿宋"/>
                <w:sz w:val="24"/>
              </w:rPr>
            </w:pPr>
          </w:p>
        </w:tc>
        <w:tc>
          <w:tcPr>
            <w:tcW w:w="3013" w:type="dxa"/>
            <w:vMerge/>
            <w:tcBorders>
              <w:top w:val="single" w:sz="4" w:space="0" w:color="auto"/>
              <w:left w:val="single" w:sz="4" w:space="0" w:color="auto"/>
              <w:bottom w:val="single" w:sz="4" w:space="0" w:color="auto"/>
              <w:right w:val="single" w:sz="4" w:space="0" w:color="auto"/>
            </w:tcBorders>
            <w:vAlign w:val="center"/>
          </w:tcPr>
          <w:p w:rsidR="00013EC7" w:rsidRDefault="00013EC7">
            <w:pPr>
              <w:widowControl/>
              <w:jc w:val="left"/>
              <w:rPr>
                <w:rFonts w:ascii="仿宋" w:eastAsia="仿宋" w:hAnsi="仿宋" w:cs="仿宋"/>
                <w:b/>
                <w:sz w:val="24"/>
              </w:rPr>
            </w:pPr>
          </w:p>
        </w:tc>
        <w:tc>
          <w:tcPr>
            <w:tcW w:w="3287" w:type="dxa"/>
            <w:tcBorders>
              <w:top w:val="single" w:sz="4" w:space="0" w:color="auto"/>
              <w:left w:val="single" w:sz="4" w:space="0" w:color="auto"/>
              <w:bottom w:val="single" w:sz="4" w:space="0" w:color="auto"/>
              <w:right w:val="single" w:sz="4" w:space="0" w:color="auto"/>
            </w:tcBorders>
            <w:vAlign w:val="center"/>
          </w:tcPr>
          <w:p w:rsidR="00013EC7" w:rsidRDefault="00575CDB">
            <w:pPr>
              <w:jc w:val="left"/>
              <w:rPr>
                <w:rFonts w:ascii="仿宋" w:eastAsia="仿宋" w:hAnsi="仿宋" w:cs="仿宋"/>
                <w:sz w:val="24"/>
              </w:rPr>
            </w:pPr>
            <w:r>
              <w:rPr>
                <w:rFonts w:ascii="仿宋" w:eastAsia="仿宋" w:hAnsi="仿宋" w:cs="仿宋" w:hint="eastAsia"/>
                <w:sz w:val="24"/>
              </w:rPr>
              <w:t>（七）资产负债表。</w:t>
            </w:r>
          </w:p>
        </w:tc>
        <w:tc>
          <w:tcPr>
            <w:tcW w:w="947" w:type="dxa"/>
            <w:vMerge/>
            <w:tcBorders>
              <w:top w:val="single" w:sz="4" w:space="0" w:color="auto"/>
              <w:left w:val="single" w:sz="4" w:space="0" w:color="auto"/>
              <w:bottom w:val="single" w:sz="4" w:space="0" w:color="auto"/>
              <w:right w:val="single" w:sz="4" w:space="0" w:color="auto"/>
            </w:tcBorders>
            <w:vAlign w:val="center"/>
          </w:tcPr>
          <w:p w:rsidR="00013EC7" w:rsidRDefault="00013EC7">
            <w:pPr>
              <w:widowControl/>
              <w:jc w:val="left"/>
              <w:rPr>
                <w:rFonts w:ascii="仿宋" w:eastAsia="仿宋" w:hAnsi="仿宋" w:cs="仿宋"/>
                <w:sz w:val="24"/>
              </w:rPr>
            </w:pPr>
          </w:p>
        </w:tc>
        <w:tc>
          <w:tcPr>
            <w:tcW w:w="3575" w:type="dxa"/>
            <w:tcBorders>
              <w:top w:val="single" w:sz="4" w:space="0" w:color="auto"/>
              <w:left w:val="single" w:sz="4" w:space="0" w:color="auto"/>
              <w:bottom w:val="single" w:sz="4" w:space="0" w:color="auto"/>
              <w:right w:val="single" w:sz="4" w:space="0" w:color="auto"/>
            </w:tcBorders>
            <w:vAlign w:val="center"/>
          </w:tcPr>
          <w:p w:rsidR="00013EC7" w:rsidRDefault="00575CDB">
            <w:pPr>
              <w:jc w:val="left"/>
              <w:rPr>
                <w:rFonts w:ascii="仿宋" w:eastAsia="仿宋" w:hAnsi="仿宋" w:cs="仿宋"/>
                <w:sz w:val="24"/>
              </w:rPr>
            </w:pPr>
            <w:r>
              <w:rPr>
                <w:rFonts w:ascii="仿宋" w:eastAsia="仿宋" w:hAnsi="仿宋" w:cs="仿宋" w:hint="eastAsia"/>
                <w:sz w:val="24"/>
              </w:rPr>
              <w:t>（七）资产负债表。</w:t>
            </w:r>
          </w:p>
        </w:tc>
        <w:tc>
          <w:tcPr>
            <w:tcW w:w="1478" w:type="dxa"/>
            <w:tcBorders>
              <w:top w:val="single" w:sz="4" w:space="0" w:color="auto"/>
              <w:left w:val="single" w:sz="4" w:space="0" w:color="auto"/>
              <w:bottom w:val="single" w:sz="4" w:space="0" w:color="auto"/>
              <w:right w:val="single" w:sz="4" w:space="0" w:color="auto"/>
            </w:tcBorders>
            <w:vAlign w:val="center"/>
          </w:tcPr>
          <w:p w:rsidR="00013EC7" w:rsidRDefault="00575CDB">
            <w:pPr>
              <w:jc w:val="left"/>
              <w:rPr>
                <w:rFonts w:ascii="仿宋" w:eastAsia="仿宋" w:hAnsi="仿宋" w:cs="仿宋"/>
                <w:i/>
                <w:sz w:val="24"/>
              </w:rPr>
            </w:pPr>
            <w:r>
              <w:rPr>
                <w:rFonts w:ascii="仿宋" w:eastAsia="仿宋" w:hAnsi="仿宋" w:cs="仿宋" w:hint="eastAsia"/>
                <w:b/>
                <w:bCs/>
                <w:i/>
                <w:color w:val="000000"/>
                <w:kern w:val="0"/>
                <w:sz w:val="24"/>
              </w:rPr>
              <w:t>经办机构自行获取</w:t>
            </w:r>
          </w:p>
        </w:tc>
        <w:tc>
          <w:tcPr>
            <w:tcW w:w="1993" w:type="dxa"/>
            <w:tcBorders>
              <w:left w:val="single" w:sz="4" w:space="0" w:color="auto"/>
              <w:right w:val="single" w:sz="4" w:space="0" w:color="auto"/>
            </w:tcBorders>
            <w:vAlign w:val="center"/>
          </w:tcPr>
          <w:p w:rsidR="00013EC7" w:rsidRDefault="00575CDB">
            <w:pPr>
              <w:jc w:val="left"/>
              <w:rPr>
                <w:rFonts w:ascii="仿宋" w:eastAsia="仿宋" w:hAnsi="仿宋" w:cs="仿宋"/>
                <w:b/>
                <w:bCs/>
                <w:sz w:val="24"/>
              </w:rPr>
            </w:pPr>
            <w:r>
              <w:rPr>
                <w:rFonts w:ascii="仿宋" w:eastAsia="仿宋" w:hAnsi="仿宋" w:cs="仿宋" w:hint="eastAsia"/>
                <w:b/>
                <w:bCs/>
                <w:sz w:val="24"/>
              </w:rPr>
              <w:t>内部共享：</w:t>
            </w:r>
            <w:r>
              <w:rPr>
                <w:rFonts w:ascii="仿宋" w:eastAsia="仿宋" w:hAnsi="仿宋" w:cs="仿宋" w:hint="eastAsia"/>
                <w:sz w:val="24"/>
              </w:rPr>
              <w:t>内部共享获取相关信息。</w:t>
            </w:r>
          </w:p>
          <w:p w:rsidR="00013EC7" w:rsidRDefault="00013EC7">
            <w:pPr>
              <w:widowControl/>
              <w:jc w:val="left"/>
              <w:rPr>
                <w:rFonts w:ascii="仿宋" w:eastAsia="仿宋" w:hAnsi="仿宋" w:cs="仿宋"/>
                <w:sz w:val="24"/>
              </w:rPr>
            </w:pPr>
          </w:p>
        </w:tc>
        <w:tc>
          <w:tcPr>
            <w:tcW w:w="557" w:type="dxa"/>
            <w:vMerge/>
            <w:tcBorders>
              <w:top w:val="single" w:sz="4" w:space="0" w:color="auto"/>
              <w:left w:val="single" w:sz="4" w:space="0" w:color="auto"/>
              <w:bottom w:val="single" w:sz="4" w:space="0" w:color="auto"/>
              <w:right w:val="single" w:sz="4" w:space="0" w:color="auto"/>
            </w:tcBorders>
            <w:vAlign w:val="center"/>
          </w:tcPr>
          <w:p w:rsidR="00013EC7" w:rsidRDefault="00013EC7">
            <w:pPr>
              <w:widowControl/>
              <w:jc w:val="left"/>
              <w:rPr>
                <w:rFonts w:ascii="仿宋" w:eastAsia="仿宋" w:hAnsi="仿宋" w:cs="仿宋"/>
                <w:sz w:val="24"/>
              </w:rPr>
            </w:pPr>
          </w:p>
        </w:tc>
        <w:tc>
          <w:tcPr>
            <w:tcW w:w="643" w:type="dxa"/>
            <w:vMerge/>
            <w:tcBorders>
              <w:top w:val="single" w:sz="4" w:space="0" w:color="auto"/>
              <w:left w:val="single" w:sz="4" w:space="0" w:color="auto"/>
              <w:bottom w:val="single" w:sz="4" w:space="0" w:color="auto"/>
              <w:right w:val="single" w:sz="4" w:space="0" w:color="auto"/>
            </w:tcBorders>
            <w:vAlign w:val="center"/>
          </w:tcPr>
          <w:p w:rsidR="00013EC7" w:rsidRDefault="00013EC7">
            <w:pPr>
              <w:widowControl/>
              <w:jc w:val="left"/>
              <w:rPr>
                <w:rFonts w:ascii="仿宋" w:eastAsia="仿宋" w:hAnsi="仿宋" w:cs="仿宋"/>
                <w:sz w:val="24"/>
              </w:rPr>
            </w:pPr>
          </w:p>
        </w:tc>
        <w:tc>
          <w:tcPr>
            <w:tcW w:w="685" w:type="dxa"/>
            <w:vMerge/>
            <w:tcBorders>
              <w:top w:val="single" w:sz="4" w:space="0" w:color="auto"/>
              <w:left w:val="single" w:sz="4" w:space="0" w:color="auto"/>
              <w:bottom w:val="single" w:sz="4" w:space="0" w:color="auto"/>
              <w:right w:val="single" w:sz="4" w:space="0" w:color="auto"/>
            </w:tcBorders>
            <w:vAlign w:val="center"/>
          </w:tcPr>
          <w:p w:rsidR="00013EC7" w:rsidRDefault="00013EC7">
            <w:pPr>
              <w:widowControl/>
              <w:jc w:val="left"/>
              <w:rPr>
                <w:rFonts w:ascii="仿宋" w:eastAsia="仿宋" w:hAnsi="仿宋" w:cs="仿宋"/>
                <w:sz w:val="24"/>
              </w:rPr>
            </w:pPr>
          </w:p>
        </w:tc>
        <w:tc>
          <w:tcPr>
            <w:tcW w:w="1134" w:type="dxa"/>
            <w:vMerge/>
            <w:tcBorders>
              <w:top w:val="single" w:sz="4" w:space="0" w:color="auto"/>
              <w:left w:val="single" w:sz="4" w:space="0" w:color="auto"/>
              <w:bottom w:val="single" w:sz="4" w:space="0" w:color="auto"/>
              <w:right w:val="single" w:sz="4" w:space="0" w:color="auto"/>
            </w:tcBorders>
            <w:vAlign w:val="center"/>
          </w:tcPr>
          <w:p w:rsidR="00013EC7" w:rsidRDefault="00013EC7">
            <w:pPr>
              <w:widowControl/>
              <w:jc w:val="left"/>
              <w:rPr>
                <w:rFonts w:ascii="仿宋" w:eastAsia="仿宋" w:hAnsi="仿宋" w:cs="仿宋"/>
                <w:sz w:val="24"/>
              </w:rPr>
            </w:pPr>
          </w:p>
        </w:tc>
        <w:tc>
          <w:tcPr>
            <w:tcW w:w="1279" w:type="dxa"/>
            <w:vMerge/>
            <w:tcBorders>
              <w:top w:val="single" w:sz="4" w:space="0" w:color="auto"/>
              <w:left w:val="single" w:sz="4" w:space="0" w:color="auto"/>
              <w:bottom w:val="single" w:sz="4" w:space="0" w:color="auto"/>
              <w:right w:val="single" w:sz="8" w:space="0" w:color="auto"/>
            </w:tcBorders>
            <w:vAlign w:val="center"/>
          </w:tcPr>
          <w:p w:rsidR="00013EC7" w:rsidRDefault="00013EC7">
            <w:pPr>
              <w:widowControl/>
              <w:jc w:val="left"/>
              <w:rPr>
                <w:rFonts w:ascii="仿宋" w:eastAsia="仿宋" w:hAnsi="仿宋" w:cs="仿宋"/>
                <w:sz w:val="24"/>
              </w:rPr>
            </w:pPr>
          </w:p>
        </w:tc>
      </w:tr>
    </w:tbl>
    <w:p w:rsidR="00013EC7" w:rsidRDefault="00575CDB">
      <w:pPr>
        <w:widowControl/>
        <w:jc w:val="left"/>
      </w:pPr>
      <w:bookmarkStart w:id="686" w:name="_Toc4177"/>
      <w:r>
        <w:br w:type="page"/>
      </w:r>
      <w:r w:rsidR="005262E6">
        <w:lastRenderedPageBreak/>
        <w:object w:dxaOrig="1440" w:dyaOrig="1440">
          <v:shape id="对象 157" o:spid="_x0000_s1515" type="#_x0000_t75" style="position:absolute;margin-left:38.55pt;margin-top:90.4pt;width:463.2pt;height:675.3pt;z-index:251750400;mso-wrap-distance-left:9pt;mso-wrap-distance-top:0;mso-wrap-distance-right:9pt;mso-wrap-distance-bottom:0;mso-position-vertical-relative:page;mso-width-relative:page;mso-height-relative:page">
            <v:imagedata r:id="rId543" o:title=""/>
            <o:lock v:ext="edit" aspectratio="f"/>
            <w10:wrap type="square" anchory="page"/>
          </v:shape>
          <o:OLEObject Type="Embed" ProgID="Visio.Drawing.11" ShapeID="对象 157" DrawAspect="Content" ObjectID="_1577296320" r:id="rId544"/>
        </w:object>
      </w:r>
      <w:r w:rsidR="005262E6">
        <w:object w:dxaOrig="1440" w:dyaOrig="1440">
          <v:shape id="对象 158" o:spid="_x0000_s1514" type="#_x0000_t75" style="position:absolute;margin-left:559.85pt;margin-top:80.9pt;width:443.05pt;height:584.2pt;z-index:251749376;mso-wrap-distance-left:9pt;mso-wrap-distance-top:0;mso-wrap-distance-right:9pt;mso-wrap-distance-bottom:0;mso-position-vertical-relative:page;mso-width-relative:page;mso-height-relative:page">
            <v:imagedata r:id="rId545" o:title=""/>
            <o:lock v:ext="edit" aspectratio="f"/>
            <w10:wrap type="square" anchory="page"/>
          </v:shape>
          <o:OLEObject Type="Embed" ProgID="Visio.Drawing.11" ShapeID="对象 158" DrawAspect="Content" ObjectID="_1577296321" r:id="rId546"/>
        </w:object>
      </w:r>
      <w:r>
        <w:br w:type="page"/>
      </w:r>
    </w:p>
    <w:p w:rsidR="00013EC7" w:rsidRDefault="00013EC7"/>
    <w:p w:rsidR="00013EC7" w:rsidRDefault="00575CDB">
      <w:pPr>
        <w:pStyle w:val="1"/>
      </w:pPr>
      <w:bookmarkStart w:id="687" w:name="_Toc503467508"/>
      <w:bookmarkStart w:id="688" w:name="_Toc1142"/>
      <w:r>
        <w:rPr>
          <w:rFonts w:hint="eastAsia"/>
        </w:rPr>
        <w:t>三十二、对纳税人延期申报的核准（行政许可事项，编码</w:t>
      </w:r>
      <w:r>
        <w:rPr>
          <w:rFonts w:hint="eastAsia"/>
        </w:rPr>
        <w:t>24003</w:t>
      </w:r>
      <w:r>
        <w:rPr>
          <w:rFonts w:hint="eastAsia"/>
        </w:rPr>
        <w:t>）</w:t>
      </w:r>
      <w:bookmarkEnd w:id="686"/>
      <w:bookmarkEnd w:id="687"/>
      <w:bookmarkEnd w:id="688"/>
    </w:p>
    <w:p w:rsidR="00013EC7" w:rsidRDefault="00575CDB">
      <w:pPr>
        <w:pStyle w:val="2"/>
      </w:pPr>
      <w:bookmarkStart w:id="689" w:name="_Toc21033"/>
      <w:bookmarkStart w:id="690" w:name="_Toc503467509"/>
      <w:bookmarkStart w:id="691" w:name="_Toc17993"/>
      <w:bookmarkStart w:id="692" w:name="_Toc19771"/>
      <w:r>
        <w:rPr>
          <w:rFonts w:hint="eastAsia"/>
        </w:rPr>
        <w:t>32.1</w:t>
      </w:r>
      <w:r>
        <w:rPr>
          <w:rFonts w:hint="eastAsia"/>
        </w:rPr>
        <w:t>对纳税人延期申报的核准（行政许可事项，编码</w:t>
      </w:r>
      <w:r>
        <w:rPr>
          <w:rFonts w:hint="eastAsia"/>
        </w:rPr>
        <w:t>24003</w:t>
      </w:r>
      <w:r>
        <w:rPr>
          <w:rFonts w:hint="eastAsia"/>
        </w:rPr>
        <w:t>）</w:t>
      </w:r>
      <w:bookmarkEnd w:id="689"/>
      <w:bookmarkEnd w:id="690"/>
      <w:bookmarkEnd w:id="691"/>
      <w:bookmarkEnd w:id="692"/>
    </w:p>
    <w:p w:rsidR="00013EC7" w:rsidRDefault="00575CDB">
      <w:pPr>
        <w:jc w:val="center"/>
        <w:rPr>
          <w:rFonts w:ascii="宋体" w:cs="宋体"/>
          <w:b/>
          <w:bCs/>
          <w:sz w:val="44"/>
          <w:szCs w:val="44"/>
        </w:rPr>
      </w:pPr>
      <w:r>
        <w:rPr>
          <w:rFonts w:ascii="宋体" w:hAnsi="宋体" w:cs="宋体" w:hint="eastAsia"/>
          <w:b/>
          <w:bCs/>
          <w:sz w:val="52"/>
          <w:szCs w:val="52"/>
        </w:rPr>
        <w:t>全省“最多跑一次”事项“八统一”梳理表</w:t>
      </w:r>
    </w:p>
    <w:tbl>
      <w:tblPr>
        <w:tblW w:w="20704"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1250"/>
        <w:gridCol w:w="1316"/>
        <w:gridCol w:w="2911"/>
        <w:gridCol w:w="2443"/>
        <w:gridCol w:w="987"/>
        <w:gridCol w:w="2079"/>
        <w:gridCol w:w="1371"/>
        <w:gridCol w:w="3143"/>
        <w:gridCol w:w="868"/>
        <w:gridCol w:w="884"/>
        <w:gridCol w:w="872"/>
        <w:gridCol w:w="1104"/>
        <w:gridCol w:w="1476"/>
      </w:tblGrid>
      <w:tr w:rsidR="00013EC7">
        <w:trPr>
          <w:trHeight w:val="340"/>
          <w:tblHeader/>
          <w:jc w:val="center"/>
        </w:trPr>
        <w:tc>
          <w:tcPr>
            <w:tcW w:w="1250" w:type="dxa"/>
            <w:vMerge w:val="restart"/>
            <w:tcBorders>
              <w:top w:val="single" w:sz="8" w:space="0" w:color="auto"/>
              <w:left w:val="single" w:sz="8"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主项名称</w:t>
            </w:r>
          </w:p>
        </w:tc>
        <w:tc>
          <w:tcPr>
            <w:tcW w:w="1316" w:type="dxa"/>
            <w:vMerge w:val="restart"/>
            <w:tcBorders>
              <w:top w:val="single" w:sz="8"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子项名称</w:t>
            </w:r>
          </w:p>
        </w:tc>
        <w:tc>
          <w:tcPr>
            <w:tcW w:w="2911" w:type="dxa"/>
            <w:vMerge w:val="restart"/>
            <w:tcBorders>
              <w:top w:val="single" w:sz="8"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经办依据</w:t>
            </w:r>
          </w:p>
        </w:tc>
        <w:tc>
          <w:tcPr>
            <w:tcW w:w="3430" w:type="dxa"/>
            <w:gridSpan w:val="2"/>
            <w:tcBorders>
              <w:top w:val="single" w:sz="8"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原经办所需材料</w:t>
            </w:r>
          </w:p>
        </w:tc>
        <w:tc>
          <w:tcPr>
            <w:tcW w:w="6593" w:type="dxa"/>
            <w:gridSpan w:val="3"/>
            <w:tcBorders>
              <w:top w:val="single" w:sz="8"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梳理后经办所需材料</w:t>
            </w:r>
          </w:p>
        </w:tc>
        <w:tc>
          <w:tcPr>
            <w:tcW w:w="1752" w:type="dxa"/>
            <w:gridSpan w:val="2"/>
            <w:tcBorders>
              <w:top w:val="single" w:sz="8"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办理时限</w:t>
            </w:r>
          </w:p>
        </w:tc>
        <w:tc>
          <w:tcPr>
            <w:tcW w:w="872" w:type="dxa"/>
            <w:vMerge w:val="restart"/>
            <w:tcBorders>
              <w:top w:val="single" w:sz="8"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是否实现跑零次</w:t>
            </w:r>
          </w:p>
        </w:tc>
        <w:tc>
          <w:tcPr>
            <w:tcW w:w="1104" w:type="dxa"/>
            <w:vMerge w:val="restart"/>
            <w:tcBorders>
              <w:top w:val="single" w:sz="8"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省厅对口</w:t>
            </w:r>
          </w:p>
          <w:p w:rsidR="00013EC7" w:rsidRDefault="00575CDB">
            <w:pPr>
              <w:spacing w:line="280" w:lineRule="exact"/>
              <w:jc w:val="center"/>
              <w:rPr>
                <w:rFonts w:ascii="黑体" w:eastAsia="黑体"/>
                <w:sz w:val="24"/>
              </w:rPr>
            </w:pPr>
            <w:r>
              <w:rPr>
                <w:rFonts w:ascii="黑体" w:eastAsia="黑体" w:hint="eastAsia"/>
                <w:sz w:val="24"/>
              </w:rPr>
              <w:t>指导处室</w:t>
            </w:r>
          </w:p>
          <w:p w:rsidR="00013EC7" w:rsidRDefault="00575CDB">
            <w:pPr>
              <w:spacing w:line="280" w:lineRule="exact"/>
              <w:jc w:val="center"/>
              <w:rPr>
                <w:rFonts w:ascii="黑体" w:eastAsia="黑体" w:hAnsi="Calibri"/>
                <w:sz w:val="24"/>
              </w:rPr>
            </w:pPr>
            <w:r>
              <w:rPr>
                <w:rFonts w:ascii="黑体" w:eastAsia="黑体" w:hint="eastAsia"/>
                <w:sz w:val="24"/>
              </w:rPr>
              <w:t>（单位）</w:t>
            </w:r>
          </w:p>
        </w:tc>
        <w:tc>
          <w:tcPr>
            <w:tcW w:w="1476" w:type="dxa"/>
            <w:vMerge w:val="restart"/>
            <w:tcBorders>
              <w:top w:val="single" w:sz="8" w:space="0" w:color="auto"/>
              <w:left w:val="single" w:sz="4" w:space="0" w:color="auto"/>
              <w:bottom w:val="single" w:sz="4" w:space="0" w:color="auto"/>
              <w:right w:val="single" w:sz="8"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进一步精简、</w:t>
            </w:r>
          </w:p>
          <w:p w:rsidR="00013EC7" w:rsidRDefault="00575CDB">
            <w:pPr>
              <w:spacing w:line="280" w:lineRule="exact"/>
              <w:jc w:val="center"/>
              <w:rPr>
                <w:rFonts w:ascii="黑体" w:eastAsia="黑体" w:hAnsi="Calibri"/>
                <w:sz w:val="24"/>
              </w:rPr>
            </w:pPr>
            <w:r>
              <w:rPr>
                <w:rFonts w:ascii="黑体" w:eastAsia="黑体" w:hint="eastAsia"/>
                <w:sz w:val="24"/>
              </w:rPr>
              <w:t>规范建议</w:t>
            </w:r>
          </w:p>
        </w:tc>
      </w:tr>
      <w:tr w:rsidR="00013EC7">
        <w:trPr>
          <w:trHeight w:val="340"/>
          <w:tblHeader/>
          <w:jc w:val="center"/>
        </w:trPr>
        <w:tc>
          <w:tcPr>
            <w:tcW w:w="1250" w:type="dxa"/>
            <w:vMerge/>
            <w:tcBorders>
              <w:top w:val="single" w:sz="8" w:space="0" w:color="auto"/>
              <w:left w:val="single" w:sz="8" w:space="0" w:color="auto"/>
              <w:bottom w:val="single" w:sz="4" w:space="0" w:color="auto"/>
              <w:right w:val="single" w:sz="4" w:space="0" w:color="auto"/>
            </w:tcBorders>
            <w:vAlign w:val="center"/>
          </w:tcPr>
          <w:p w:rsidR="00013EC7" w:rsidRDefault="00013EC7">
            <w:pPr>
              <w:widowControl/>
              <w:jc w:val="left"/>
              <w:rPr>
                <w:rFonts w:ascii="黑体" w:eastAsia="黑体" w:hAnsi="Calibri"/>
                <w:sz w:val="24"/>
              </w:rPr>
            </w:pPr>
          </w:p>
        </w:tc>
        <w:tc>
          <w:tcPr>
            <w:tcW w:w="1316" w:type="dxa"/>
            <w:vMerge/>
            <w:tcBorders>
              <w:top w:val="single" w:sz="8" w:space="0" w:color="auto"/>
              <w:left w:val="single" w:sz="4" w:space="0" w:color="auto"/>
              <w:bottom w:val="single" w:sz="4" w:space="0" w:color="auto"/>
              <w:right w:val="single" w:sz="4" w:space="0" w:color="auto"/>
            </w:tcBorders>
            <w:vAlign w:val="center"/>
          </w:tcPr>
          <w:p w:rsidR="00013EC7" w:rsidRDefault="00013EC7">
            <w:pPr>
              <w:widowControl/>
              <w:jc w:val="left"/>
              <w:rPr>
                <w:rFonts w:ascii="黑体" w:eastAsia="黑体" w:hAnsi="Calibri"/>
                <w:sz w:val="24"/>
              </w:rPr>
            </w:pPr>
          </w:p>
        </w:tc>
        <w:tc>
          <w:tcPr>
            <w:tcW w:w="2911" w:type="dxa"/>
            <w:vMerge/>
            <w:tcBorders>
              <w:top w:val="single" w:sz="8" w:space="0" w:color="auto"/>
              <w:left w:val="single" w:sz="4" w:space="0" w:color="auto"/>
              <w:bottom w:val="single" w:sz="4" w:space="0" w:color="auto"/>
              <w:right w:val="single" w:sz="4" w:space="0" w:color="auto"/>
            </w:tcBorders>
            <w:vAlign w:val="center"/>
          </w:tcPr>
          <w:p w:rsidR="00013EC7" w:rsidRDefault="00013EC7">
            <w:pPr>
              <w:widowControl/>
              <w:jc w:val="left"/>
              <w:rPr>
                <w:rFonts w:ascii="黑体" w:eastAsia="黑体" w:hAnsi="Calibri"/>
                <w:sz w:val="24"/>
              </w:rPr>
            </w:pPr>
          </w:p>
        </w:tc>
        <w:tc>
          <w:tcPr>
            <w:tcW w:w="2443"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材料明细</w:t>
            </w:r>
          </w:p>
        </w:tc>
        <w:tc>
          <w:tcPr>
            <w:tcW w:w="987"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材料来源</w:t>
            </w:r>
          </w:p>
        </w:tc>
        <w:tc>
          <w:tcPr>
            <w:tcW w:w="2079"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材料明细</w:t>
            </w:r>
          </w:p>
        </w:tc>
        <w:tc>
          <w:tcPr>
            <w:tcW w:w="1371"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材料来源</w:t>
            </w:r>
          </w:p>
        </w:tc>
        <w:tc>
          <w:tcPr>
            <w:tcW w:w="3143"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办理方式及材料</w:t>
            </w:r>
          </w:p>
          <w:p w:rsidR="00013EC7" w:rsidRDefault="00575CDB">
            <w:pPr>
              <w:spacing w:line="280" w:lineRule="exact"/>
              <w:jc w:val="center"/>
              <w:rPr>
                <w:rFonts w:ascii="黑体" w:eastAsia="黑体" w:hAnsi="Calibri"/>
                <w:sz w:val="24"/>
              </w:rPr>
            </w:pPr>
            <w:r>
              <w:rPr>
                <w:rFonts w:ascii="黑体" w:eastAsia="黑体" w:hint="eastAsia"/>
                <w:sz w:val="24"/>
              </w:rPr>
              <w:t>信息获取方式说明</w:t>
            </w:r>
          </w:p>
        </w:tc>
        <w:tc>
          <w:tcPr>
            <w:tcW w:w="868"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优化前</w:t>
            </w:r>
          </w:p>
        </w:tc>
        <w:tc>
          <w:tcPr>
            <w:tcW w:w="884"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优化后</w:t>
            </w:r>
          </w:p>
        </w:tc>
        <w:tc>
          <w:tcPr>
            <w:tcW w:w="872" w:type="dxa"/>
            <w:vMerge/>
            <w:tcBorders>
              <w:top w:val="single" w:sz="8" w:space="0" w:color="auto"/>
              <w:left w:val="single" w:sz="4" w:space="0" w:color="auto"/>
              <w:bottom w:val="single" w:sz="4" w:space="0" w:color="auto"/>
              <w:right w:val="single" w:sz="4" w:space="0" w:color="auto"/>
            </w:tcBorders>
            <w:vAlign w:val="center"/>
          </w:tcPr>
          <w:p w:rsidR="00013EC7" w:rsidRDefault="00013EC7">
            <w:pPr>
              <w:widowControl/>
              <w:jc w:val="left"/>
              <w:rPr>
                <w:rFonts w:ascii="黑体" w:eastAsia="黑体" w:hAnsi="Calibri"/>
                <w:sz w:val="24"/>
              </w:rPr>
            </w:pPr>
          </w:p>
        </w:tc>
        <w:tc>
          <w:tcPr>
            <w:tcW w:w="1104" w:type="dxa"/>
            <w:vMerge/>
            <w:tcBorders>
              <w:top w:val="single" w:sz="8" w:space="0" w:color="auto"/>
              <w:left w:val="single" w:sz="4" w:space="0" w:color="auto"/>
              <w:bottom w:val="single" w:sz="4" w:space="0" w:color="auto"/>
              <w:right w:val="single" w:sz="4" w:space="0" w:color="auto"/>
            </w:tcBorders>
            <w:vAlign w:val="center"/>
          </w:tcPr>
          <w:p w:rsidR="00013EC7" w:rsidRDefault="00013EC7">
            <w:pPr>
              <w:widowControl/>
              <w:jc w:val="left"/>
              <w:rPr>
                <w:rFonts w:ascii="黑体" w:eastAsia="黑体" w:hAnsi="Calibri"/>
                <w:sz w:val="24"/>
              </w:rPr>
            </w:pPr>
          </w:p>
        </w:tc>
        <w:tc>
          <w:tcPr>
            <w:tcW w:w="1476" w:type="dxa"/>
            <w:vMerge/>
            <w:tcBorders>
              <w:top w:val="single" w:sz="8" w:space="0" w:color="auto"/>
              <w:left w:val="single" w:sz="4" w:space="0" w:color="auto"/>
              <w:bottom w:val="single" w:sz="4" w:space="0" w:color="auto"/>
              <w:right w:val="single" w:sz="8" w:space="0" w:color="auto"/>
            </w:tcBorders>
            <w:vAlign w:val="center"/>
          </w:tcPr>
          <w:p w:rsidR="00013EC7" w:rsidRDefault="00013EC7">
            <w:pPr>
              <w:widowControl/>
              <w:jc w:val="left"/>
              <w:rPr>
                <w:rFonts w:ascii="黑体" w:eastAsia="黑体" w:hAnsi="Calibri"/>
                <w:sz w:val="24"/>
              </w:rPr>
            </w:pPr>
          </w:p>
        </w:tc>
      </w:tr>
      <w:tr w:rsidR="00013EC7">
        <w:trPr>
          <w:trHeight w:val="2434"/>
          <w:jc w:val="center"/>
        </w:trPr>
        <w:tc>
          <w:tcPr>
            <w:tcW w:w="1250" w:type="dxa"/>
            <w:vMerge w:val="restart"/>
            <w:tcBorders>
              <w:top w:val="single" w:sz="4" w:space="0" w:color="auto"/>
              <w:left w:val="single" w:sz="8" w:space="0" w:color="auto"/>
              <w:bottom w:val="single" w:sz="8" w:space="0" w:color="auto"/>
              <w:right w:val="single" w:sz="4" w:space="0" w:color="auto"/>
            </w:tcBorders>
            <w:shd w:val="clear" w:color="auto" w:fill="FFFFFF"/>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32对纳税人延期申报的核准（行政许可事项，编码24003）</w:t>
            </w:r>
          </w:p>
        </w:tc>
        <w:tc>
          <w:tcPr>
            <w:tcW w:w="1316" w:type="dxa"/>
            <w:vMerge w:val="restart"/>
            <w:tcBorders>
              <w:top w:val="single" w:sz="4" w:space="0" w:color="auto"/>
              <w:left w:val="single" w:sz="4" w:space="0" w:color="auto"/>
              <w:bottom w:val="single" w:sz="8" w:space="0" w:color="auto"/>
              <w:right w:val="single" w:sz="4" w:space="0" w:color="auto"/>
            </w:tcBorders>
            <w:shd w:val="clear" w:color="auto" w:fill="FFFFFF"/>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32.1对纳税人延期申报的核准（行政许可事项，编码24003）</w:t>
            </w:r>
          </w:p>
        </w:tc>
        <w:tc>
          <w:tcPr>
            <w:tcW w:w="2911" w:type="dxa"/>
            <w:vMerge w:val="restart"/>
            <w:tcBorders>
              <w:top w:val="single" w:sz="4" w:space="0" w:color="auto"/>
              <w:left w:val="single" w:sz="4" w:space="0" w:color="auto"/>
              <w:bottom w:val="single" w:sz="8" w:space="0" w:color="auto"/>
              <w:right w:val="single" w:sz="4" w:space="0" w:color="auto"/>
            </w:tcBorders>
            <w:shd w:val="clear" w:color="auto" w:fill="FFFFFF"/>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sz w:val="24"/>
              </w:rPr>
              <w:t xml:space="preserve">（一）《中华人民共和国税收征收管理法》（2001年中华人民共和国主席令第49号）第二十七条。 </w:t>
            </w:r>
          </w:p>
          <w:p w:rsidR="00013EC7" w:rsidRDefault="00575CDB">
            <w:pPr>
              <w:widowControl/>
              <w:jc w:val="left"/>
              <w:textAlignment w:val="center"/>
              <w:rPr>
                <w:rFonts w:ascii="仿宋" w:eastAsia="仿宋" w:hAnsi="仿宋" w:cs="仿宋"/>
                <w:sz w:val="24"/>
              </w:rPr>
            </w:pPr>
            <w:r>
              <w:rPr>
                <w:rFonts w:ascii="仿宋" w:eastAsia="仿宋" w:hAnsi="仿宋" w:cs="仿宋" w:hint="eastAsia"/>
                <w:sz w:val="24"/>
              </w:rPr>
              <w:t>（二）《中华人民共和国税收征收管理法实施细则》（2002年中华人民共和国国务院令第362号）第三十七条。</w:t>
            </w:r>
          </w:p>
          <w:p w:rsidR="00013EC7" w:rsidRDefault="00575CDB">
            <w:pPr>
              <w:widowControl/>
              <w:jc w:val="left"/>
              <w:textAlignment w:val="center"/>
              <w:rPr>
                <w:rFonts w:ascii="仿宋" w:eastAsia="仿宋" w:hAnsi="仿宋" w:cs="仿宋"/>
                <w:sz w:val="24"/>
              </w:rPr>
            </w:pPr>
            <w:r>
              <w:rPr>
                <w:rFonts w:ascii="仿宋" w:eastAsia="仿宋" w:hAnsi="仿宋" w:cs="仿宋" w:hint="eastAsia"/>
                <w:sz w:val="24"/>
              </w:rPr>
              <w:t>（三）《国家税务总局关于公开行政审批事项等相关工作的公告》（国家税务总局公告2014年第10号）全文。</w:t>
            </w:r>
          </w:p>
          <w:p w:rsidR="00013EC7" w:rsidRDefault="00575CDB">
            <w:pPr>
              <w:widowControl/>
              <w:jc w:val="left"/>
              <w:textAlignment w:val="center"/>
              <w:rPr>
                <w:rFonts w:ascii="仿宋" w:eastAsia="仿宋" w:hAnsi="仿宋" w:cs="仿宋"/>
                <w:sz w:val="24"/>
              </w:rPr>
            </w:pPr>
            <w:r>
              <w:rPr>
                <w:rFonts w:ascii="仿宋" w:eastAsia="仿宋" w:hAnsi="仿宋" w:cs="仿宋" w:hint="eastAsia"/>
                <w:sz w:val="24"/>
              </w:rPr>
              <w:t>（四）《国家税务总局关于更新税务行政许可事项目录的公告》（国家税务总局公告2016年第10号）全文。</w:t>
            </w:r>
          </w:p>
          <w:p w:rsidR="00013EC7" w:rsidRDefault="00575CDB">
            <w:pPr>
              <w:widowControl/>
              <w:jc w:val="left"/>
              <w:textAlignment w:val="center"/>
              <w:rPr>
                <w:rFonts w:ascii="仿宋" w:eastAsia="仿宋" w:hAnsi="仿宋" w:cs="仿宋"/>
                <w:sz w:val="24"/>
              </w:rPr>
            </w:pPr>
            <w:r>
              <w:rPr>
                <w:rFonts w:ascii="仿宋" w:eastAsia="仿宋" w:hAnsi="仿宋" w:cs="仿宋" w:hint="eastAsia"/>
                <w:sz w:val="24"/>
              </w:rPr>
              <w:t>（五）《国家税务总局关于税务行政许可若干问题的公告》（国家税务总局公告2016年第11号）全文。</w:t>
            </w:r>
          </w:p>
          <w:p w:rsidR="00013EC7" w:rsidRDefault="00575CDB">
            <w:pPr>
              <w:widowControl/>
              <w:jc w:val="left"/>
              <w:textAlignment w:val="center"/>
              <w:rPr>
                <w:rFonts w:ascii="仿宋" w:eastAsia="仿宋" w:hAnsi="仿宋" w:cs="仿宋"/>
                <w:sz w:val="24"/>
              </w:rPr>
            </w:pPr>
            <w:r>
              <w:rPr>
                <w:rFonts w:ascii="仿宋" w:eastAsia="仿宋" w:hAnsi="仿宋" w:cs="仿宋" w:hint="eastAsia"/>
                <w:sz w:val="24"/>
              </w:rPr>
              <w:t>（六）《国家税务总局关于简化税务行政许可事项办理程序的公告》（国家</w:t>
            </w:r>
            <w:r>
              <w:rPr>
                <w:rFonts w:ascii="仿宋" w:eastAsia="仿宋" w:hAnsi="仿宋" w:cs="仿宋" w:hint="eastAsia"/>
                <w:sz w:val="24"/>
              </w:rPr>
              <w:lastRenderedPageBreak/>
              <w:t>税务总局公告2017年第21号）全文。</w:t>
            </w:r>
          </w:p>
        </w:tc>
        <w:tc>
          <w:tcPr>
            <w:tcW w:w="2443" w:type="dxa"/>
            <w:tcBorders>
              <w:top w:val="single" w:sz="4" w:space="0" w:color="auto"/>
              <w:left w:val="single" w:sz="4" w:space="0" w:color="auto"/>
              <w:bottom w:val="single" w:sz="4" w:space="0" w:color="auto"/>
              <w:right w:val="single" w:sz="4" w:space="0" w:color="auto"/>
            </w:tcBorders>
            <w:shd w:val="clear" w:color="auto" w:fill="FFFFFF"/>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sz w:val="24"/>
              </w:rPr>
              <w:lastRenderedPageBreak/>
              <w:t>（一）（A13005）《税务行政许可申请表》1份。</w:t>
            </w:r>
          </w:p>
        </w:tc>
        <w:tc>
          <w:tcPr>
            <w:tcW w:w="987" w:type="dxa"/>
            <w:vMerge w:val="restart"/>
            <w:tcBorders>
              <w:top w:val="single" w:sz="4" w:space="0" w:color="auto"/>
              <w:left w:val="single" w:sz="4" w:space="0" w:color="auto"/>
              <w:bottom w:val="single" w:sz="8" w:space="0" w:color="auto"/>
              <w:right w:val="single" w:sz="4" w:space="0" w:color="auto"/>
            </w:tcBorders>
            <w:shd w:val="clear" w:color="auto" w:fill="FFFFFF"/>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kern w:val="0"/>
                <w:sz w:val="24"/>
              </w:rPr>
              <w:t>纳税人提交</w:t>
            </w:r>
          </w:p>
        </w:tc>
        <w:tc>
          <w:tcPr>
            <w:tcW w:w="2079" w:type="dxa"/>
            <w:tcBorders>
              <w:top w:val="single" w:sz="4" w:space="0" w:color="auto"/>
              <w:left w:val="single" w:sz="4" w:space="0" w:color="auto"/>
              <w:bottom w:val="single" w:sz="4" w:space="0" w:color="auto"/>
              <w:right w:val="single" w:sz="4" w:space="0" w:color="auto"/>
            </w:tcBorders>
            <w:shd w:val="clear" w:color="auto" w:fill="FFFFFF"/>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sz w:val="24"/>
              </w:rPr>
              <w:t>（一）（A13005）《税务行政许可申请表》1份。</w:t>
            </w:r>
          </w:p>
        </w:tc>
        <w:tc>
          <w:tcPr>
            <w:tcW w:w="1371"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rsidR="00013EC7" w:rsidRDefault="00575CDB">
            <w:pPr>
              <w:widowControl/>
              <w:jc w:val="left"/>
              <w:textAlignment w:val="center"/>
              <w:rPr>
                <w:rFonts w:ascii="仿宋" w:eastAsia="仿宋" w:hAnsi="仿宋" w:cs="仿宋"/>
                <w:b/>
                <w:bCs/>
                <w:i/>
                <w:iCs/>
                <w:sz w:val="24"/>
              </w:rPr>
            </w:pPr>
            <w:r>
              <w:rPr>
                <w:rFonts w:ascii="仿宋" w:eastAsia="仿宋" w:hAnsi="仿宋" w:cs="仿宋" w:hint="eastAsia"/>
                <w:color w:val="000000"/>
                <w:kern w:val="0"/>
                <w:sz w:val="24"/>
              </w:rPr>
              <w:t>纳税人提交</w:t>
            </w:r>
          </w:p>
        </w:tc>
        <w:tc>
          <w:tcPr>
            <w:tcW w:w="3143"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rsidR="00013EC7" w:rsidRDefault="00575CDB">
            <w:pPr>
              <w:widowControl/>
              <w:jc w:val="left"/>
              <w:textAlignment w:val="center"/>
              <w:rPr>
                <w:rFonts w:ascii="仿宋" w:eastAsia="仿宋" w:hAnsi="仿宋" w:cs="仿宋"/>
                <w:color w:val="000000"/>
                <w:kern w:val="0"/>
                <w:sz w:val="24"/>
              </w:rPr>
            </w:pPr>
            <w:r>
              <w:rPr>
                <w:rFonts w:ascii="仿宋" w:eastAsia="仿宋" w:hAnsi="仿宋" w:cs="仿宋" w:hint="eastAsia"/>
                <w:b/>
                <w:bCs/>
                <w:color w:val="000000"/>
                <w:kern w:val="0"/>
                <w:sz w:val="24"/>
              </w:rPr>
              <w:t>现场办理：</w:t>
            </w:r>
            <w:r>
              <w:rPr>
                <w:rFonts w:ascii="仿宋" w:eastAsia="仿宋" w:hAnsi="仿宋" w:cs="仿宋" w:hint="eastAsia"/>
                <w:color w:val="000000"/>
                <w:kern w:val="0"/>
                <w:sz w:val="24"/>
              </w:rPr>
              <w:t>办理事项人员提交材料。</w:t>
            </w:r>
          </w:p>
          <w:p w:rsidR="00013EC7" w:rsidRDefault="00575CDB">
            <w:pPr>
              <w:widowControl/>
              <w:jc w:val="left"/>
              <w:textAlignment w:val="center"/>
              <w:rPr>
                <w:rFonts w:ascii="仿宋" w:eastAsia="仿宋" w:hAnsi="仿宋" w:cs="仿宋"/>
                <w:sz w:val="24"/>
              </w:rPr>
            </w:pPr>
            <w:r>
              <w:rPr>
                <w:rFonts w:ascii="仿宋" w:eastAsia="仿宋" w:hAnsi="仿宋" w:cs="仿宋" w:hint="eastAsia"/>
                <w:b/>
                <w:bCs/>
                <w:color w:val="000000"/>
                <w:kern w:val="0"/>
                <w:sz w:val="24"/>
              </w:rPr>
              <w:t>网上办理：</w:t>
            </w:r>
            <w:r>
              <w:rPr>
                <w:rFonts w:ascii="仿宋" w:eastAsia="仿宋" w:hAnsi="仿宋" w:cs="仿宋" w:hint="eastAsia"/>
                <w:color w:val="000000"/>
                <w:kern w:val="0"/>
                <w:sz w:val="24"/>
              </w:rPr>
              <w:t>登录浙江国税电子税务局（网址：http://etax.zjtax.gov.cn/）提交申请。</w:t>
            </w:r>
            <w:r>
              <w:rPr>
                <w:rFonts w:ascii="仿宋" w:eastAsia="仿宋" w:hAnsi="仿宋" w:cs="仿宋" w:hint="eastAsia"/>
                <w:color w:val="000000"/>
                <w:kern w:val="0"/>
                <w:sz w:val="24"/>
              </w:rPr>
              <w:br/>
            </w:r>
            <w:r>
              <w:rPr>
                <w:rFonts w:ascii="仿宋" w:eastAsia="仿宋" w:hAnsi="仿宋" w:cs="仿宋" w:hint="eastAsia"/>
                <w:b/>
                <w:bCs/>
                <w:color w:val="000000"/>
                <w:kern w:val="0"/>
                <w:sz w:val="24"/>
              </w:rPr>
              <w:t>APP办理：</w:t>
            </w:r>
            <w:r>
              <w:rPr>
                <w:rFonts w:ascii="仿宋" w:eastAsia="仿宋" w:hAnsi="仿宋" w:cs="仿宋" w:hint="eastAsia"/>
                <w:color w:val="000000"/>
                <w:kern w:val="0"/>
                <w:sz w:val="24"/>
              </w:rPr>
              <w:t>登录浙江国税APP提交申请。</w:t>
            </w:r>
          </w:p>
        </w:tc>
        <w:tc>
          <w:tcPr>
            <w:tcW w:w="868" w:type="dxa"/>
            <w:vMerge w:val="restart"/>
            <w:tcBorders>
              <w:top w:val="single" w:sz="4" w:space="0" w:color="auto"/>
              <w:left w:val="single" w:sz="4" w:space="0" w:color="auto"/>
              <w:bottom w:val="single" w:sz="8" w:space="0" w:color="auto"/>
              <w:right w:val="single" w:sz="4" w:space="0" w:color="auto"/>
            </w:tcBorders>
            <w:shd w:val="clear" w:color="auto" w:fill="FFFFFF"/>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20个工作日</w:t>
            </w:r>
          </w:p>
        </w:tc>
        <w:tc>
          <w:tcPr>
            <w:tcW w:w="884" w:type="dxa"/>
            <w:vMerge w:val="restart"/>
            <w:tcBorders>
              <w:top w:val="single" w:sz="4" w:space="0" w:color="auto"/>
              <w:left w:val="single" w:sz="4" w:space="0" w:color="auto"/>
              <w:bottom w:val="single" w:sz="8" w:space="0" w:color="auto"/>
              <w:right w:val="single" w:sz="4" w:space="0" w:color="auto"/>
            </w:tcBorders>
            <w:shd w:val="clear" w:color="auto" w:fill="FFFFFF"/>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20个工作日</w:t>
            </w:r>
          </w:p>
        </w:tc>
        <w:tc>
          <w:tcPr>
            <w:tcW w:w="872" w:type="dxa"/>
            <w:vMerge w:val="restart"/>
            <w:tcBorders>
              <w:top w:val="single" w:sz="4" w:space="0" w:color="auto"/>
              <w:left w:val="single" w:sz="4" w:space="0" w:color="auto"/>
              <w:bottom w:val="single" w:sz="8" w:space="0" w:color="auto"/>
              <w:right w:val="single" w:sz="4" w:space="0" w:color="auto"/>
            </w:tcBorders>
            <w:shd w:val="clear" w:color="auto" w:fill="FFFFFF"/>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是</w:t>
            </w:r>
          </w:p>
        </w:tc>
        <w:tc>
          <w:tcPr>
            <w:tcW w:w="1104" w:type="dxa"/>
            <w:vMerge w:val="restart"/>
            <w:tcBorders>
              <w:top w:val="single" w:sz="4" w:space="0" w:color="auto"/>
              <w:left w:val="single" w:sz="4" w:space="0" w:color="auto"/>
              <w:bottom w:val="single" w:sz="8" w:space="0" w:color="auto"/>
              <w:right w:val="single" w:sz="4" w:space="0" w:color="auto"/>
            </w:tcBorders>
            <w:shd w:val="clear" w:color="auto" w:fill="FFFFFF"/>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征管科技处</w:t>
            </w:r>
          </w:p>
        </w:tc>
        <w:tc>
          <w:tcPr>
            <w:tcW w:w="1476" w:type="dxa"/>
            <w:vMerge w:val="restart"/>
            <w:tcBorders>
              <w:top w:val="single" w:sz="4" w:space="0" w:color="auto"/>
              <w:left w:val="single" w:sz="4" w:space="0" w:color="auto"/>
              <w:bottom w:val="single" w:sz="8" w:space="0" w:color="auto"/>
              <w:right w:val="single" w:sz="8" w:space="0" w:color="auto"/>
            </w:tcBorders>
            <w:shd w:val="clear" w:color="auto" w:fill="FFFFFF"/>
            <w:vAlign w:val="center"/>
          </w:tcPr>
          <w:p w:rsidR="00013EC7" w:rsidRDefault="00013EC7">
            <w:pPr>
              <w:jc w:val="left"/>
              <w:rPr>
                <w:rFonts w:ascii="仿宋" w:eastAsia="仿宋" w:hAnsi="仿宋" w:cs="仿宋"/>
                <w:sz w:val="24"/>
              </w:rPr>
            </w:pPr>
          </w:p>
        </w:tc>
      </w:tr>
      <w:tr w:rsidR="00013EC7">
        <w:trPr>
          <w:trHeight w:val="3878"/>
          <w:jc w:val="center"/>
        </w:trPr>
        <w:tc>
          <w:tcPr>
            <w:tcW w:w="1250" w:type="dxa"/>
            <w:vMerge/>
            <w:tcBorders>
              <w:top w:val="single" w:sz="4" w:space="0" w:color="auto"/>
              <w:left w:val="single" w:sz="8" w:space="0" w:color="auto"/>
              <w:bottom w:val="single" w:sz="8" w:space="0" w:color="auto"/>
              <w:right w:val="single" w:sz="4" w:space="0" w:color="auto"/>
            </w:tcBorders>
            <w:shd w:val="clear" w:color="auto" w:fill="auto"/>
            <w:vAlign w:val="center"/>
          </w:tcPr>
          <w:p w:rsidR="00013EC7" w:rsidRDefault="00013EC7">
            <w:pPr>
              <w:widowControl/>
              <w:jc w:val="left"/>
              <w:rPr>
                <w:rFonts w:ascii="仿宋" w:eastAsia="仿宋" w:hAnsi="仿宋" w:cs="仿宋"/>
                <w:sz w:val="24"/>
              </w:rPr>
            </w:pPr>
          </w:p>
        </w:tc>
        <w:tc>
          <w:tcPr>
            <w:tcW w:w="1316" w:type="dxa"/>
            <w:vMerge/>
            <w:tcBorders>
              <w:top w:val="single" w:sz="4" w:space="0" w:color="auto"/>
              <w:left w:val="single" w:sz="4" w:space="0" w:color="auto"/>
              <w:bottom w:val="single" w:sz="8" w:space="0" w:color="auto"/>
              <w:right w:val="single" w:sz="4" w:space="0" w:color="auto"/>
            </w:tcBorders>
            <w:shd w:val="clear" w:color="auto" w:fill="auto"/>
            <w:vAlign w:val="center"/>
          </w:tcPr>
          <w:p w:rsidR="00013EC7" w:rsidRDefault="00013EC7">
            <w:pPr>
              <w:widowControl/>
              <w:jc w:val="left"/>
              <w:rPr>
                <w:rFonts w:ascii="仿宋" w:eastAsia="仿宋" w:hAnsi="仿宋" w:cs="仿宋"/>
                <w:sz w:val="24"/>
              </w:rPr>
            </w:pPr>
          </w:p>
        </w:tc>
        <w:tc>
          <w:tcPr>
            <w:tcW w:w="2911" w:type="dxa"/>
            <w:vMerge/>
            <w:tcBorders>
              <w:top w:val="single" w:sz="4" w:space="0" w:color="auto"/>
              <w:left w:val="single" w:sz="4" w:space="0" w:color="auto"/>
              <w:bottom w:val="single" w:sz="8" w:space="0" w:color="auto"/>
              <w:right w:val="single" w:sz="4" w:space="0" w:color="auto"/>
            </w:tcBorders>
            <w:shd w:val="clear" w:color="auto" w:fill="auto"/>
            <w:vAlign w:val="center"/>
          </w:tcPr>
          <w:p w:rsidR="00013EC7" w:rsidRDefault="00013EC7">
            <w:pPr>
              <w:widowControl/>
              <w:jc w:val="left"/>
              <w:rPr>
                <w:rFonts w:ascii="仿宋" w:eastAsia="仿宋" w:hAnsi="仿宋" w:cs="仿宋"/>
                <w:sz w:val="24"/>
              </w:rPr>
            </w:pPr>
          </w:p>
        </w:tc>
        <w:tc>
          <w:tcPr>
            <w:tcW w:w="2443" w:type="dxa"/>
            <w:tcBorders>
              <w:top w:val="single" w:sz="4" w:space="0" w:color="auto"/>
              <w:left w:val="single" w:sz="4" w:space="0" w:color="auto"/>
              <w:bottom w:val="single" w:sz="4" w:space="0" w:color="auto"/>
              <w:right w:val="single" w:sz="4" w:space="0" w:color="auto"/>
            </w:tcBorders>
            <w:shd w:val="clear" w:color="auto" w:fill="FFFFFF"/>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sz w:val="24"/>
              </w:rPr>
              <w:t>（二）（A06550）《延期申报申请核准表》1份。</w:t>
            </w:r>
          </w:p>
        </w:tc>
        <w:tc>
          <w:tcPr>
            <w:tcW w:w="987" w:type="dxa"/>
            <w:vMerge/>
            <w:tcBorders>
              <w:top w:val="single" w:sz="4" w:space="0" w:color="auto"/>
              <w:left w:val="single" w:sz="4" w:space="0" w:color="auto"/>
              <w:bottom w:val="single" w:sz="8" w:space="0" w:color="auto"/>
              <w:right w:val="single" w:sz="4" w:space="0" w:color="auto"/>
            </w:tcBorders>
            <w:shd w:val="clear" w:color="auto" w:fill="auto"/>
            <w:vAlign w:val="center"/>
          </w:tcPr>
          <w:p w:rsidR="00013EC7" w:rsidRDefault="00013EC7">
            <w:pPr>
              <w:widowControl/>
              <w:jc w:val="left"/>
              <w:rPr>
                <w:rFonts w:ascii="仿宋" w:eastAsia="仿宋" w:hAnsi="仿宋" w:cs="仿宋"/>
                <w:sz w:val="24"/>
              </w:rPr>
            </w:pPr>
          </w:p>
        </w:tc>
        <w:tc>
          <w:tcPr>
            <w:tcW w:w="2079" w:type="dxa"/>
            <w:tcBorders>
              <w:top w:val="single" w:sz="4" w:space="0" w:color="auto"/>
              <w:left w:val="single" w:sz="4" w:space="0" w:color="auto"/>
              <w:bottom w:val="single" w:sz="4" w:space="0" w:color="auto"/>
              <w:right w:val="single" w:sz="4" w:space="0" w:color="auto"/>
            </w:tcBorders>
            <w:shd w:val="clear" w:color="auto" w:fill="FFFFFF"/>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sz w:val="24"/>
              </w:rPr>
              <w:t>（二）（A06550）《延期申报申请核准表》1份。</w:t>
            </w:r>
          </w:p>
        </w:tc>
        <w:tc>
          <w:tcPr>
            <w:tcW w:w="1371" w:type="dxa"/>
            <w:vMerge/>
            <w:tcBorders>
              <w:top w:val="single" w:sz="4" w:space="0" w:color="auto"/>
              <w:left w:val="single" w:sz="4" w:space="0" w:color="auto"/>
              <w:bottom w:val="single" w:sz="4" w:space="0" w:color="auto"/>
              <w:right w:val="single" w:sz="4" w:space="0" w:color="auto"/>
            </w:tcBorders>
            <w:vAlign w:val="center"/>
          </w:tcPr>
          <w:p w:rsidR="00013EC7" w:rsidRDefault="00013EC7">
            <w:pPr>
              <w:widowControl/>
              <w:jc w:val="left"/>
              <w:rPr>
                <w:rFonts w:ascii="仿宋" w:eastAsia="仿宋" w:hAnsi="仿宋" w:cs="仿宋"/>
                <w:b/>
                <w:bCs/>
                <w:i/>
                <w:iCs/>
                <w:sz w:val="24"/>
              </w:rPr>
            </w:pPr>
          </w:p>
        </w:tc>
        <w:tc>
          <w:tcPr>
            <w:tcW w:w="3143" w:type="dxa"/>
            <w:vMerge/>
            <w:tcBorders>
              <w:top w:val="single" w:sz="4" w:space="0" w:color="auto"/>
              <w:left w:val="single" w:sz="4" w:space="0" w:color="auto"/>
              <w:bottom w:val="single" w:sz="4" w:space="0" w:color="auto"/>
              <w:right w:val="single" w:sz="4" w:space="0" w:color="auto"/>
            </w:tcBorders>
            <w:vAlign w:val="center"/>
          </w:tcPr>
          <w:p w:rsidR="00013EC7" w:rsidRDefault="00013EC7">
            <w:pPr>
              <w:widowControl/>
              <w:jc w:val="left"/>
              <w:rPr>
                <w:rFonts w:ascii="仿宋" w:eastAsia="仿宋" w:hAnsi="仿宋" w:cs="仿宋"/>
                <w:sz w:val="24"/>
              </w:rPr>
            </w:pPr>
          </w:p>
        </w:tc>
        <w:tc>
          <w:tcPr>
            <w:tcW w:w="868"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cs="仿宋"/>
                <w:sz w:val="24"/>
              </w:rPr>
            </w:pPr>
          </w:p>
        </w:tc>
        <w:tc>
          <w:tcPr>
            <w:tcW w:w="884"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cs="仿宋"/>
                <w:sz w:val="24"/>
              </w:rPr>
            </w:pPr>
          </w:p>
        </w:tc>
        <w:tc>
          <w:tcPr>
            <w:tcW w:w="872"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cs="仿宋"/>
                <w:sz w:val="24"/>
              </w:rPr>
            </w:pPr>
          </w:p>
        </w:tc>
        <w:tc>
          <w:tcPr>
            <w:tcW w:w="1104"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cs="仿宋"/>
                <w:sz w:val="24"/>
              </w:rPr>
            </w:pPr>
          </w:p>
        </w:tc>
        <w:tc>
          <w:tcPr>
            <w:tcW w:w="1476" w:type="dxa"/>
            <w:vMerge/>
            <w:tcBorders>
              <w:top w:val="single" w:sz="4" w:space="0" w:color="auto"/>
              <w:left w:val="single" w:sz="4" w:space="0" w:color="auto"/>
              <w:bottom w:val="single" w:sz="8" w:space="0" w:color="auto"/>
              <w:right w:val="single" w:sz="8" w:space="0" w:color="auto"/>
            </w:tcBorders>
            <w:vAlign w:val="center"/>
          </w:tcPr>
          <w:p w:rsidR="00013EC7" w:rsidRDefault="00013EC7">
            <w:pPr>
              <w:widowControl/>
              <w:jc w:val="left"/>
              <w:rPr>
                <w:rFonts w:ascii="仿宋" w:eastAsia="仿宋" w:hAnsi="仿宋" w:cs="仿宋"/>
                <w:sz w:val="24"/>
              </w:rPr>
            </w:pPr>
          </w:p>
        </w:tc>
      </w:tr>
      <w:tr w:rsidR="00013EC7">
        <w:trPr>
          <w:trHeight w:val="340"/>
          <w:jc w:val="center"/>
        </w:trPr>
        <w:tc>
          <w:tcPr>
            <w:tcW w:w="1250" w:type="dxa"/>
            <w:vMerge/>
            <w:tcBorders>
              <w:top w:val="single" w:sz="4" w:space="0" w:color="auto"/>
              <w:left w:val="single" w:sz="8" w:space="0" w:color="auto"/>
              <w:bottom w:val="single" w:sz="8" w:space="0" w:color="auto"/>
              <w:right w:val="single" w:sz="4" w:space="0" w:color="auto"/>
            </w:tcBorders>
            <w:shd w:val="clear" w:color="auto" w:fill="auto"/>
            <w:vAlign w:val="center"/>
          </w:tcPr>
          <w:p w:rsidR="00013EC7" w:rsidRDefault="00013EC7">
            <w:pPr>
              <w:widowControl/>
              <w:jc w:val="left"/>
              <w:rPr>
                <w:rFonts w:ascii="仿宋" w:eastAsia="仿宋" w:hAnsi="仿宋" w:cs="仿宋"/>
                <w:sz w:val="24"/>
              </w:rPr>
            </w:pPr>
          </w:p>
        </w:tc>
        <w:tc>
          <w:tcPr>
            <w:tcW w:w="1316" w:type="dxa"/>
            <w:vMerge/>
            <w:tcBorders>
              <w:top w:val="single" w:sz="4" w:space="0" w:color="auto"/>
              <w:left w:val="single" w:sz="4" w:space="0" w:color="auto"/>
              <w:bottom w:val="single" w:sz="8" w:space="0" w:color="auto"/>
              <w:right w:val="single" w:sz="4" w:space="0" w:color="auto"/>
            </w:tcBorders>
            <w:shd w:val="clear" w:color="auto" w:fill="auto"/>
            <w:vAlign w:val="center"/>
          </w:tcPr>
          <w:p w:rsidR="00013EC7" w:rsidRDefault="00013EC7">
            <w:pPr>
              <w:widowControl/>
              <w:jc w:val="left"/>
              <w:rPr>
                <w:rFonts w:ascii="仿宋" w:eastAsia="仿宋" w:hAnsi="仿宋" w:cs="仿宋"/>
                <w:sz w:val="24"/>
              </w:rPr>
            </w:pPr>
          </w:p>
        </w:tc>
        <w:tc>
          <w:tcPr>
            <w:tcW w:w="2911" w:type="dxa"/>
            <w:vMerge/>
            <w:tcBorders>
              <w:top w:val="single" w:sz="4" w:space="0" w:color="auto"/>
              <w:left w:val="single" w:sz="4" w:space="0" w:color="auto"/>
              <w:bottom w:val="single" w:sz="8" w:space="0" w:color="auto"/>
              <w:right w:val="single" w:sz="4" w:space="0" w:color="auto"/>
            </w:tcBorders>
            <w:shd w:val="clear" w:color="auto" w:fill="auto"/>
            <w:vAlign w:val="center"/>
          </w:tcPr>
          <w:p w:rsidR="00013EC7" w:rsidRDefault="00013EC7">
            <w:pPr>
              <w:widowControl/>
              <w:jc w:val="left"/>
              <w:rPr>
                <w:rFonts w:ascii="仿宋" w:eastAsia="仿宋" w:hAnsi="仿宋" w:cs="仿宋"/>
                <w:sz w:val="24"/>
              </w:rPr>
            </w:pPr>
          </w:p>
        </w:tc>
        <w:tc>
          <w:tcPr>
            <w:tcW w:w="2443" w:type="dxa"/>
            <w:tcBorders>
              <w:top w:val="single" w:sz="4" w:space="0" w:color="auto"/>
              <w:left w:val="single" w:sz="4" w:space="0" w:color="auto"/>
              <w:bottom w:val="single" w:sz="8" w:space="0" w:color="auto"/>
              <w:right w:val="single" w:sz="4" w:space="0" w:color="auto"/>
            </w:tcBorders>
            <w:shd w:val="clear" w:color="auto" w:fill="FFFFFF"/>
            <w:vAlign w:val="center"/>
          </w:tcPr>
          <w:p w:rsidR="00013EC7" w:rsidRDefault="00575CDB">
            <w:pPr>
              <w:widowControl/>
              <w:textAlignment w:val="center"/>
              <w:rPr>
                <w:rFonts w:ascii="仿宋" w:eastAsia="仿宋" w:hAnsi="仿宋" w:cs="仿宋"/>
                <w:sz w:val="24"/>
              </w:rPr>
            </w:pPr>
            <w:r>
              <w:rPr>
                <w:rFonts w:ascii="仿宋" w:eastAsia="仿宋" w:hAnsi="仿宋" w:cs="仿宋" w:hint="eastAsia"/>
                <w:color w:val="000000"/>
                <w:kern w:val="0"/>
                <w:sz w:val="24"/>
                <w:shd w:val="clear" w:color="auto" w:fill="D9D9D9"/>
              </w:rPr>
              <w:t>（三）纳税人确有困难不能正常申报的情况说明。</w:t>
            </w:r>
          </w:p>
        </w:tc>
        <w:tc>
          <w:tcPr>
            <w:tcW w:w="987" w:type="dxa"/>
            <w:vMerge/>
            <w:tcBorders>
              <w:top w:val="single" w:sz="4" w:space="0" w:color="auto"/>
              <w:left w:val="single" w:sz="4" w:space="0" w:color="auto"/>
              <w:bottom w:val="single" w:sz="8" w:space="0" w:color="auto"/>
              <w:right w:val="single" w:sz="4" w:space="0" w:color="auto"/>
            </w:tcBorders>
            <w:shd w:val="clear" w:color="auto" w:fill="auto"/>
            <w:vAlign w:val="center"/>
          </w:tcPr>
          <w:p w:rsidR="00013EC7" w:rsidRDefault="00013EC7">
            <w:pPr>
              <w:widowControl/>
              <w:jc w:val="left"/>
              <w:rPr>
                <w:rFonts w:ascii="仿宋" w:eastAsia="仿宋" w:hAnsi="仿宋" w:cs="仿宋"/>
                <w:sz w:val="24"/>
              </w:rPr>
            </w:pPr>
          </w:p>
        </w:tc>
        <w:tc>
          <w:tcPr>
            <w:tcW w:w="2079" w:type="dxa"/>
            <w:tcBorders>
              <w:top w:val="single" w:sz="4" w:space="0" w:color="auto"/>
              <w:left w:val="single" w:sz="4" w:space="0" w:color="auto"/>
              <w:bottom w:val="single" w:sz="8" w:space="0" w:color="auto"/>
              <w:right w:val="single" w:sz="4" w:space="0" w:color="auto"/>
            </w:tcBorders>
            <w:shd w:val="clear" w:color="auto" w:fill="FFFFFF"/>
            <w:vAlign w:val="center"/>
          </w:tcPr>
          <w:p w:rsidR="00013EC7" w:rsidRDefault="00013EC7">
            <w:pPr>
              <w:rPr>
                <w:rFonts w:ascii="仿宋" w:eastAsia="仿宋" w:hAnsi="仿宋" w:cs="仿宋"/>
                <w:sz w:val="24"/>
              </w:rPr>
            </w:pPr>
          </w:p>
        </w:tc>
        <w:tc>
          <w:tcPr>
            <w:tcW w:w="1371" w:type="dxa"/>
            <w:tcBorders>
              <w:top w:val="single" w:sz="4" w:space="0" w:color="auto"/>
              <w:left w:val="single" w:sz="4" w:space="0" w:color="auto"/>
              <w:bottom w:val="single" w:sz="8" w:space="0" w:color="auto"/>
              <w:right w:val="single" w:sz="4" w:space="0" w:color="auto"/>
            </w:tcBorders>
            <w:shd w:val="clear" w:color="auto" w:fill="FFFFFF"/>
            <w:vAlign w:val="center"/>
          </w:tcPr>
          <w:p w:rsidR="00013EC7" w:rsidRDefault="00575CDB">
            <w:pPr>
              <w:widowControl/>
              <w:jc w:val="left"/>
              <w:textAlignment w:val="center"/>
              <w:rPr>
                <w:rFonts w:ascii="仿宋" w:eastAsia="仿宋" w:hAnsi="仿宋" w:cs="仿宋"/>
                <w:b/>
                <w:i/>
                <w:sz w:val="24"/>
              </w:rPr>
            </w:pPr>
            <w:r>
              <w:rPr>
                <w:rFonts w:ascii="仿宋" w:eastAsia="仿宋" w:hAnsi="仿宋" w:cs="仿宋" w:hint="eastAsia"/>
                <w:b/>
                <w:i/>
                <w:color w:val="000000"/>
                <w:kern w:val="0"/>
                <w:sz w:val="24"/>
              </w:rPr>
              <w:t>取消</w:t>
            </w:r>
          </w:p>
        </w:tc>
        <w:tc>
          <w:tcPr>
            <w:tcW w:w="3143" w:type="dxa"/>
            <w:tcBorders>
              <w:top w:val="single" w:sz="4" w:space="0" w:color="auto"/>
              <w:left w:val="single" w:sz="4" w:space="0" w:color="auto"/>
              <w:bottom w:val="single" w:sz="8" w:space="0" w:color="auto"/>
              <w:right w:val="single" w:sz="4" w:space="0" w:color="auto"/>
            </w:tcBorders>
            <w:shd w:val="clear" w:color="auto" w:fill="FFFFFF"/>
            <w:vAlign w:val="center"/>
          </w:tcPr>
          <w:p w:rsidR="00013EC7" w:rsidRDefault="00013EC7">
            <w:pPr>
              <w:rPr>
                <w:rFonts w:ascii="仿宋" w:eastAsia="仿宋" w:hAnsi="仿宋" w:cs="仿宋"/>
                <w:sz w:val="24"/>
              </w:rPr>
            </w:pPr>
          </w:p>
        </w:tc>
        <w:tc>
          <w:tcPr>
            <w:tcW w:w="868"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cs="仿宋"/>
                <w:sz w:val="24"/>
              </w:rPr>
            </w:pPr>
          </w:p>
        </w:tc>
        <w:tc>
          <w:tcPr>
            <w:tcW w:w="884"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cs="仿宋"/>
                <w:sz w:val="24"/>
              </w:rPr>
            </w:pPr>
          </w:p>
        </w:tc>
        <w:tc>
          <w:tcPr>
            <w:tcW w:w="872"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cs="仿宋"/>
                <w:sz w:val="24"/>
              </w:rPr>
            </w:pPr>
          </w:p>
        </w:tc>
        <w:tc>
          <w:tcPr>
            <w:tcW w:w="1104"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cs="仿宋"/>
                <w:sz w:val="24"/>
              </w:rPr>
            </w:pPr>
          </w:p>
        </w:tc>
        <w:tc>
          <w:tcPr>
            <w:tcW w:w="1476" w:type="dxa"/>
            <w:vMerge/>
            <w:tcBorders>
              <w:top w:val="single" w:sz="4" w:space="0" w:color="auto"/>
              <w:left w:val="single" w:sz="4" w:space="0" w:color="auto"/>
              <w:bottom w:val="single" w:sz="8" w:space="0" w:color="auto"/>
              <w:right w:val="single" w:sz="8" w:space="0" w:color="auto"/>
            </w:tcBorders>
            <w:vAlign w:val="center"/>
          </w:tcPr>
          <w:p w:rsidR="00013EC7" w:rsidRDefault="00013EC7">
            <w:pPr>
              <w:widowControl/>
              <w:jc w:val="left"/>
              <w:rPr>
                <w:rFonts w:ascii="仿宋" w:eastAsia="仿宋" w:hAnsi="仿宋" w:cs="仿宋"/>
                <w:sz w:val="24"/>
              </w:rPr>
            </w:pPr>
          </w:p>
        </w:tc>
      </w:tr>
    </w:tbl>
    <w:p w:rsidR="00013EC7" w:rsidRDefault="00013EC7">
      <w:pPr>
        <w:widowControl/>
        <w:jc w:val="left"/>
        <w:rPr>
          <w:rFonts w:ascii="Calibri"/>
        </w:rPr>
      </w:pPr>
    </w:p>
    <w:p w:rsidR="00013EC7" w:rsidRDefault="005262E6">
      <w:pPr>
        <w:widowControl/>
        <w:jc w:val="left"/>
        <w:rPr>
          <w:rFonts w:ascii="Calibri"/>
        </w:rPr>
      </w:pPr>
      <w:r>
        <w:rPr>
          <w:rFonts w:ascii="Calibri"/>
        </w:rPr>
        <w:lastRenderedPageBreak/>
        <w:object w:dxaOrig="1440" w:dyaOrig="1440">
          <v:shape id="对象 156" o:spid="_x0000_s1517" type="#_x0000_t75" style="position:absolute;margin-left:627.8pt;margin-top:80.45pt;width:362.3pt;height:622pt;z-index:251751424;mso-wrap-distance-left:9pt;mso-wrap-distance-top:0;mso-wrap-distance-right:9pt;mso-wrap-distance-bottom:0;mso-position-vertical-relative:page;mso-width-relative:page;mso-height-relative:page">
            <v:imagedata r:id="rId547" o:title=""/>
            <o:lock v:ext="edit" aspectratio="f"/>
            <w10:wrap type="square" anchory="page"/>
          </v:shape>
          <o:OLEObject Type="Embed" ProgID="Visio.Drawing.11" ShapeID="对象 156" DrawAspect="Content" ObjectID="_1577296322" r:id="rId548"/>
        </w:object>
      </w:r>
      <w:r>
        <w:rPr>
          <w:rFonts w:ascii="Calibri"/>
        </w:rPr>
        <w:object w:dxaOrig="1440" w:dyaOrig="1440">
          <v:shape id="对象 155" o:spid="_x0000_s1518" type="#_x0000_t75" style="position:absolute;margin-left:27.4pt;margin-top:86.6pt;width:392.2pt;height:598.1pt;z-index:251752448;mso-wrap-distance-top:0;mso-wrap-distance-bottom:0;mso-position-vertical-relative:page;mso-width-relative:page;mso-height-relative:page">
            <v:imagedata r:id="rId549" o:title=""/>
            <o:lock v:ext="edit" aspectratio="f"/>
            <w10:wrap type="topAndBottom" anchory="page"/>
          </v:shape>
          <o:OLEObject Type="Embed" ProgID="Visio.Drawing.11" ShapeID="对象 155" DrawAspect="Content" ObjectID="_1577296323" r:id="rId550"/>
        </w:object>
      </w:r>
      <w:r w:rsidR="00575CDB">
        <w:rPr>
          <w:rFonts w:ascii="Calibri"/>
        </w:rPr>
        <w:br w:type="page"/>
      </w:r>
    </w:p>
    <w:p w:rsidR="00013EC7" w:rsidRDefault="00013EC7">
      <w:pPr>
        <w:rPr>
          <w:rFonts w:ascii="Calibri"/>
        </w:rPr>
      </w:pPr>
    </w:p>
    <w:p w:rsidR="00013EC7" w:rsidRDefault="00575CDB">
      <w:pPr>
        <w:pStyle w:val="1"/>
      </w:pPr>
      <w:bookmarkStart w:id="693" w:name="_Toc503467510"/>
      <w:bookmarkStart w:id="694" w:name="_Toc21983"/>
      <w:bookmarkStart w:id="695" w:name="_Toc28679"/>
      <w:r>
        <w:rPr>
          <w:rFonts w:hint="eastAsia"/>
        </w:rPr>
        <w:t>三十三、对纳税人变更纳税定额的核准（行政许可事项，编码</w:t>
      </w:r>
      <w:r>
        <w:rPr>
          <w:rFonts w:hint="eastAsia"/>
        </w:rPr>
        <w:t>24004</w:t>
      </w:r>
      <w:r>
        <w:rPr>
          <w:rFonts w:hint="eastAsia"/>
        </w:rPr>
        <w:t>）</w:t>
      </w:r>
      <w:bookmarkEnd w:id="693"/>
      <w:bookmarkEnd w:id="694"/>
      <w:bookmarkEnd w:id="695"/>
    </w:p>
    <w:p w:rsidR="00013EC7" w:rsidRDefault="00575CDB">
      <w:pPr>
        <w:pStyle w:val="2"/>
      </w:pPr>
      <w:bookmarkStart w:id="696" w:name="_Toc17350"/>
      <w:bookmarkStart w:id="697" w:name="_Toc503467511"/>
      <w:bookmarkStart w:id="698" w:name="_Toc20548"/>
      <w:bookmarkStart w:id="699" w:name="_Toc30190"/>
      <w:r>
        <w:rPr>
          <w:rFonts w:hint="eastAsia"/>
        </w:rPr>
        <w:t>33.1</w:t>
      </w:r>
      <w:r>
        <w:rPr>
          <w:rFonts w:hint="eastAsia"/>
        </w:rPr>
        <w:t>对纳税人变更纳税定额的核准（行政许可事项，编码</w:t>
      </w:r>
      <w:r>
        <w:rPr>
          <w:rFonts w:hint="eastAsia"/>
        </w:rPr>
        <w:t>24004</w:t>
      </w:r>
      <w:r>
        <w:rPr>
          <w:rFonts w:hint="eastAsia"/>
        </w:rPr>
        <w:t>）</w:t>
      </w:r>
      <w:bookmarkEnd w:id="696"/>
      <w:bookmarkEnd w:id="697"/>
      <w:bookmarkEnd w:id="698"/>
      <w:bookmarkEnd w:id="699"/>
    </w:p>
    <w:p w:rsidR="00013EC7" w:rsidRDefault="00575CDB">
      <w:pPr>
        <w:jc w:val="center"/>
        <w:rPr>
          <w:rFonts w:ascii="宋体" w:cs="宋体"/>
          <w:b/>
          <w:bCs/>
          <w:sz w:val="44"/>
          <w:szCs w:val="44"/>
        </w:rPr>
      </w:pPr>
      <w:r>
        <w:rPr>
          <w:rFonts w:ascii="宋体" w:hAnsi="宋体" w:cs="宋体" w:hint="eastAsia"/>
          <w:b/>
          <w:bCs/>
          <w:sz w:val="52"/>
          <w:szCs w:val="52"/>
        </w:rPr>
        <w:t>全省“最多跑一次”事项“八统一”梳理表</w:t>
      </w:r>
    </w:p>
    <w:tbl>
      <w:tblPr>
        <w:tblW w:w="20704"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1250"/>
        <w:gridCol w:w="1056"/>
        <w:gridCol w:w="5614"/>
        <w:gridCol w:w="1586"/>
        <w:gridCol w:w="1157"/>
        <w:gridCol w:w="1436"/>
        <w:gridCol w:w="1286"/>
        <w:gridCol w:w="2115"/>
        <w:gridCol w:w="868"/>
        <w:gridCol w:w="898"/>
        <w:gridCol w:w="858"/>
        <w:gridCol w:w="1104"/>
        <w:gridCol w:w="1476"/>
      </w:tblGrid>
      <w:tr w:rsidR="00013EC7">
        <w:trPr>
          <w:trHeight w:val="340"/>
          <w:tblHeader/>
          <w:jc w:val="center"/>
        </w:trPr>
        <w:tc>
          <w:tcPr>
            <w:tcW w:w="1250" w:type="dxa"/>
            <w:vMerge w:val="restart"/>
            <w:tcBorders>
              <w:top w:val="single" w:sz="8" w:space="0" w:color="auto"/>
              <w:left w:val="single" w:sz="8"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主项名称</w:t>
            </w:r>
          </w:p>
        </w:tc>
        <w:tc>
          <w:tcPr>
            <w:tcW w:w="1056" w:type="dxa"/>
            <w:vMerge w:val="restart"/>
            <w:tcBorders>
              <w:top w:val="single" w:sz="8"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子项名称</w:t>
            </w:r>
          </w:p>
        </w:tc>
        <w:tc>
          <w:tcPr>
            <w:tcW w:w="5614" w:type="dxa"/>
            <w:vMerge w:val="restart"/>
            <w:tcBorders>
              <w:top w:val="single" w:sz="8"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经办依据</w:t>
            </w:r>
          </w:p>
        </w:tc>
        <w:tc>
          <w:tcPr>
            <w:tcW w:w="2743" w:type="dxa"/>
            <w:gridSpan w:val="2"/>
            <w:tcBorders>
              <w:top w:val="single" w:sz="8"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原经办所需材料</w:t>
            </w:r>
          </w:p>
        </w:tc>
        <w:tc>
          <w:tcPr>
            <w:tcW w:w="4837" w:type="dxa"/>
            <w:gridSpan w:val="3"/>
            <w:tcBorders>
              <w:top w:val="single" w:sz="8"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梳理后经办所需材料</w:t>
            </w:r>
          </w:p>
        </w:tc>
        <w:tc>
          <w:tcPr>
            <w:tcW w:w="1766" w:type="dxa"/>
            <w:gridSpan w:val="2"/>
            <w:tcBorders>
              <w:top w:val="single" w:sz="8"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办理时限</w:t>
            </w:r>
          </w:p>
        </w:tc>
        <w:tc>
          <w:tcPr>
            <w:tcW w:w="858" w:type="dxa"/>
            <w:vMerge w:val="restart"/>
            <w:tcBorders>
              <w:top w:val="single" w:sz="8"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是否实现跑零次</w:t>
            </w:r>
          </w:p>
        </w:tc>
        <w:tc>
          <w:tcPr>
            <w:tcW w:w="1104" w:type="dxa"/>
            <w:vMerge w:val="restart"/>
            <w:tcBorders>
              <w:top w:val="single" w:sz="8"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省厅对口</w:t>
            </w:r>
          </w:p>
          <w:p w:rsidR="00013EC7" w:rsidRDefault="00575CDB">
            <w:pPr>
              <w:spacing w:line="280" w:lineRule="exact"/>
              <w:jc w:val="center"/>
              <w:rPr>
                <w:rFonts w:ascii="黑体" w:eastAsia="黑体"/>
                <w:sz w:val="24"/>
              </w:rPr>
            </w:pPr>
            <w:r>
              <w:rPr>
                <w:rFonts w:ascii="黑体" w:eastAsia="黑体" w:hint="eastAsia"/>
                <w:sz w:val="24"/>
              </w:rPr>
              <w:t>指导处室</w:t>
            </w:r>
          </w:p>
          <w:p w:rsidR="00013EC7" w:rsidRDefault="00575CDB">
            <w:pPr>
              <w:spacing w:line="280" w:lineRule="exact"/>
              <w:jc w:val="center"/>
              <w:rPr>
                <w:rFonts w:ascii="黑体" w:eastAsia="黑体" w:hAnsi="Calibri"/>
                <w:sz w:val="24"/>
              </w:rPr>
            </w:pPr>
            <w:r>
              <w:rPr>
                <w:rFonts w:ascii="黑体" w:eastAsia="黑体" w:hint="eastAsia"/>
                <w:sz w:val="24"/>
              </w:rPr>
              <w:t>（单位）</w:t>
            </w:r>
          </w:p>
        </w:tc>
        <w:tc>
          <w:tcPr>
            <w:tcW w:w="1476" w:type="dxa"/>
            <w:vMerge w:val="restart"/>
            <w:tcBorders>
              <w:top w:val="single" w:sz="8" w:space="0" w:color="auto"/>
              <w:left w:val="single" w:sz="4" w:space="0" w:color="auto"/>
              <w:bottom w:val="single" w:sz="4" w:space="0" w:color="auto"/>
              <w:right w:val="single" w:sz="8"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进一步精简、</w:t>
            </w:r>
          </w:p>
          <w:p w:rsidR="00013EC7" w:rsidRDefault="00575CDB">
            <w:pPr>
              <w:spacing w:line="280" w:lineRule="exact"/>
              <w:jc w:val="center"/>
              <w:rPr>
                <w:rFonts w:ascii="黑体" w:eastAsia="黑体" w:hAnsi="Calibri"/>
                <w:sz w:val="24"/>
              </w:rPr>
            </w:pPr>
            <w:r>
              <w:rPr>
                <w:rFonts w:ascii="黑体" w:eastAsia="黑体" w:hint="eastAsia"/>
                <w:sz w:val="24"/>
              </w:rPr>
              <w:t>规范建议</w:t>
            </w:r>
          </w:p>
        </w:tc>
      </w:tr>
      <w:tr w:rsidR="00013EC7">
        <w:trPr>
          <w:trHeight w:val="340"/>
          <w:tblHeader/>
          <w:jc w:val="center"/>
        </w:trPr>
        <w:tc>
          <w:tcPr>
            <w:tcW w:w="1250" w:type="dxa"/>
            <w:vMerge/>
            <w:tcBorders>
              <w:top w:val="single" w:sz="8" w:space="0" w:color="auto"/>
              <w:left w:val="single" w:sz="8" w:space="0" w:color="auto"/>
              <w:bottom w:val="single" w:sz="4" w:space="0" w:color="auto"/>
              <w:right w:val="single" w:sz="4" w:space="0" w:color="auto"/>
            </w:tcBorders>
            <w:vAlign w:val="center"/>
          </w:tcPr>
          <w:p w:rsidR="00013EC7" w:rsidRDefault="00013EC7">
            <w:pPr>
              <w:widowControl/>
              <w:jc w:val="left"/>
              <w:rPr>
                <w:rFonts w:ascii="黑体" w:eastAsia="黑体" w:hAnsi="Calibri"/>
                <w:sz w:val="24"/>
              </w:rPr>
            </w:pPr>
          </w:p>
        </w:tc>
        <w:tc>
          <w:tcPr>
            <w:tcW w:w="1056" w:type="dxa"/>
            <w:vMerge/>
            <w:tcBorders>
              <w:top w:val="single" w:sz="8" w:space="0" w:color="auto"/>
              <w:left w:val="single" w:sz="4" w:space="0" w:color="auto"/>
              <w:bottom w:val="single" w:sz="4" w:space="0" w:color="auto"/>
              <w:right w:val="single" w:sz="4" w:space="0" w:color="auto"/>
            </w:tcBorders>
            <w:vAlign w:val="center"/>
          </w:tcPr>
          <w:p w:rsidR="00013EC7" w:rsidRDefault="00013EC7">
            <w:pPr>
              <w:widowControl/>
              <w:jc w:val="left"/>
              <w:rPr>
                <w:rFonts w:ascii="黑体" w:eastAsia="黑体" w:hAnsi="Calibri"/>
                <w:sz w:val="24"/>
              </w:rPr>
            </w:pPr>
          </w:p>
        </w:tc>
        <w:tc>
          <w:tcPr>
            <w:tcW w:w="5614" w:type="dxa"/>
            <w:vMerge/>
            <w:tcBorders>
              <w:top w:val="single" w:sz="8" w:space="0" w:color="auto"/>
              <w:left w:val="single" w:sz="4" w:space="0" w:color="auto"/>
              <w:bottom w:val="single" w:sz="4" w:space="0" w:color="auto"/>
              <w:right w:val="single" w:sz="4" w:space="0" w:color="auto"/>
            </w:tcBorders>
            <w:vAlign w:val="center"/>
          </w:tcPr>
          <w:p w:rsidR="00013EC7" w:rsidRDefault="00013EC7">
            <w:pPr>
              <w:widowControl/>
              <w:jc w:val="left"/>
              <w:rPr>
                <w:rFonts w:ascii="黑体" w:eastAsia="黑体" w:hAnsi="Calibri"/>
                <w:sz w:val="24"/>
              </w:rPr>
            </w:pPr>
          </w:p>
        </w:tc>
        <w:tc>
          <w:tcPr>
            <w:tcW w:w="1586"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材料明细</w:t>
            </w:r>
          </w:p>
        </w:tc>
        <w:tc>
          <w:tcPr>
            <w:tcW w:w="1157"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材料来源</w:t>
            </w:r>
          </w:p>
        </w:tc>
        <w:tc>
          <w:tcPr>
            <w:tcW w:w="1436"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材料明细</w:t>
            </w:r>
          </w:p>
        </w:tc>
        <w:tc>
          <w:tcPr>
            <w:tcW w:w="1286"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材料来源</w:t>
            </w:r>
          </w:p>
        </w:tc>
        <w:tc>
          <w:tcPr>
            <w:tcW w:w="2115"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办理方式及材料</w:t>
            </w:r>
          </w:p>
          <w:p w:rsidR="00013EC7" w:rsidRDefault="00575CDB">
            <w:pPr>
              <w:spacing w:line="280" w:lineRule="exact"/>
              <w:jc w:val="center"/>
              <w:rPr>
                <w:rFonts w:ascii="黑体" w:eastAsia="黑体" w:hAnsi="Calibri"/>
                <w:sz w:val="24"/>
              </w:rPr>
            </w:pPr>
            <w:r>
              <w:rPr>
                <w:rFonts w:ascii="黑体" w:eastAsia="黑体" w:hint="eastAsia"/>
                <w:sz w:val="24"/>
              </w:rPr>
              <w:t>信息获取方式说明</w:t>
            </w:r>
          </w:p>
        </w:tc>
        <w:tc>
          <w:tcPr>
            <w:tcW w:w="868"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优化前</w:t>
            </w:r>
          </w:p>
        </w:tc>
        <w:tc>
          <w:tcPr>
            <w:tcW w:w="898"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优化后</w:t>
            </w:r>
          </w:p>
        </w:tc>
        <w:tc>
          <w:tcPr>
            <w:tcW w:w="858" w:type="dxa"/>
            <w:vMerge/>
            <w:tcBorders>
              <w:top w:val="single" w:sz="8" w:space="0" w:color="auto"/>
              <w:left w:val="single" w:sz="4" w:space="0" w:color="auto"/>
              <w:bottom w:val="single" w:sz="4" w:space="0" w:color="auto"/>
              <w:right w:val="single" w:sz="4" w:space="0" w:color="auto"/>
            </w:tcBorders>
            <w:vAlign w:val="center"/>
          </w:tcPr>
          <w:p w:rsidR="00013EC7" w:rsidRDefault="00013EC7">
            <w:pPr>
              <w:widowControl/>
              <w:jc w:val="left"/>
              <w:rPr>
                <w:rFonts w:ascii="黑体" w:eastAsia="黑体" w:hAnsi="Calibri"/>
                <w:sz w:val="24"/>
              </w:rPr>
            </w:pPr>
          </w:p>
        </w:tc>
        <w:tc>
          <w:tcPr>
            <w:tcW w:w="1104" w:type="dxa"/>
            <w:vMerge/>
            <w:tcBorders>
              <w:top w:val="single" w:sz="8" w:space="0" w:color="auto"/>
              <w:left w:val="single" w:sz="4" w:space="0" w:color="auto"/>
              <w:bottom w:val="single" w:sz="4" w:space="0" w:color="auto"/>
              <w:right w:val="single" w:sz="4" w:space="0" w:color="auto"/>
            </w:tcBorders>
            <w:vAlign w:val="center"/>
          </w:tcPr>
          <w:p w:rsidR="00013EC7" w:rsidRDefault="00013EC7">
            <w:pPr>
              <w:widowControl/>
              <w:jc w:val="left"/>
              <w:rPr>
                <w:rFonts w:ascii="黑体" w:eastAsia="黑体" w:hAnsi="Calibri"/>
                <w:sz w:val="24"/>
              </w:rPr>
            </w:pPr>
          </w:p>
        </w:tc>
        <w:tc>
          <w:tcPr>
            <w:tcW w:w="1476" w:type="dxa"/>
            <w:vMerge/>
            <w:tcBorders>
              <w:top w:val="single" w:sz="8" w:space="0" w:color="auto"/>
              <w:left w:val="single" w:sz="4" w:space="0" w:color="auto"/>
              <w:bottom w:val="single" w:sz="4" w:space="0" w:color="auto"/>
              <w:right w:val="single" w:sz="8" w:space="0" w:color="auto"/>
            </w:tcBorders>
            <w:vAlign w:val="center"/>
          </w:tcPr>
          <w:p w:rsidR="00013EC7" w:rsidRDefault="00013EC7">
            <w:pPr>
              <w:widowControl/>
              <w:jc w:val="left"/>
              <w:rPr>
                <w:rFonts w:ascii="黑体" w:eastAsia="黑体" w:hAnsi="Calibri"/>
                <w:sz w:val="24"/>
              </w:rPr>
            </w:pPr>
          </w:p>
        </w:tc>
      </w:tr>
      <w:tr w:rsidR="00013EC7">
        <w:trPr>
          <w:trHeight w:val="4253"/>
          <w:jc w:val="center"/>
        </w:trPr>
        <w:tc>
          <w:tcPr>
            <w:tcW w:w="1250" w:type="dxa"/>
            <w:vMerge w:val="restart"/>
            <w:tcBorders>
              <w:top w:val="single" w:sz="4" w:space="0" w:color="auto"/>
              <w:left w:val="single" w:sz="8" w:space="0" w:color="auto"/>
              <w:bottom w:val="single" w:sz="8" w:space="0" w:color="auto"/>
              <w:right w:val="single" w:sz="4" w:space="0" w:color="auto"/>
            </w:tcBorders>
            <w:vAlign w:val="center"/>
          </w:tcPr>
          <w:p w:rsidR="00013EC7" w:rsidRDefault="00575CDB">
            <w:pPr>
              <w:widowControl/>
              <w:jc w:val="left"/>
              <w:textAlignment w:val="center"/>
              <w:rPr>
                <w:rFonts w:ascii="仿宋" w:eastAsia="仿宋" w:hAnsi="仿宋" w:cs="仿宋"/>
                <w:sz w:val="24"/>
              </w:rPr>
            </w:pPr>
            <w:r>
              <w:rPr>
                <w:rStyle w:val="font11"/>
              </w:rPr>
              <w:t>33.对纳税人变更纳税定额的核准（行政许可事项，编码24004）</w:t>
            </w:r>
          </w:p>
        </w:tc>
        <w:tc>
          <w:tcPr>
            <w:tcW w:w="1056" w:type="dxa"/>
            <w:vMerge w:val="restart"/>
            <w:tcBorders>
              <w:top w:val="single" w:sz="4" w:space="0" w:color="auto"/>
              <w:left w:val="single" w:sz="4" w:space="0" w:color="auto"/>
              <w:bottom w:val="single" w:sz="8" w:space="0" w:color="auto"/>
              <w:right w:val="single" w:sz="4" w:space="0" w:color="auto"/>
            </w:tcBorders>
            <w:vAlign w:val="center"/>
          </w:tcPr>
          <w:p w:rsidR="00013EC7" w:rsidRDefault="00575CDB">
            <w:pPr>
              <w:widowControl/>
              <w:jc w:val="left"/>
              <w:textAlignment w:val="center"/>
              <w:rPr>
                <w:rFonts w:ascii="仿宋" w:eastAsia="仿宋" w:hAnsi="仿宋" w:cs="仿宋"/>
                <w:sz w:val="24"/>
              </w:rPr>
            </w:pPr>
            <w:r>
              <w:rPr>
                <w:rStyle w:val="font11"/>
              </w:rPr>
              <w:t>33.1.对纳税人变更纳税定额的核准（行政许可事项，编码24004）</w:t>
            </w:r>
          </w:p>
        </w:tc>
        <w:tc>
          <w:tcPr>
            <w:tcW w:w="5614" w:type="dxa"/>
            <w:vMerge w:val="restart"/>
            <w:tcBorders>
              <w:top w:val="single" w:sz="4" w:space="0" w:color="auto"/>
              <w:left w:val="single" w:sz="4" w:space="0" w:color="auto"/>
              <w:bottom w:val="single" w:sz="8" w:space="0" w:color="auto"/>
              <w:right w:val="single" w:sz="4" w:space="0" w:color="auto"/>
            </w:tcBorders>
            <w:vAlign w:val="center"/>
          </w:tcPr>
          <w:p w:rsidR="00013EC7" w:rsidRDefault="00575CDB">
            <w:pPr>
              <w:widowControl/>
              <w:jc w:val="left"/>
              <w:textAlignment w:val="center"/>
              <w:rPr>
                <w:rFonts w:ascii="仿宋" w:eastAsia="仿宋" w:hAnsi="仿宋" w:cs="仿宋"/>
                <w:color w:val="000000"/>
                <w:kern w:val="0"/>
                <w:sz w:val="24"/>
              </w:rPr>
            </w:pPr>
            <w:r>
              <w:rPr>
                <w:rFonts w:ascii="仿宋" w:eastAsia="仿宋" w:hAnsi="仿宋" w:cs="仿宋" w:hint="eastAsia"/>
                <w:sz w:val="24"/>
              </w:rPr>
              <w:t>（</w:t>
            </w:r>
            <w:r>
              <w:rPr>
                <w:rFonts w:ascii="仿宋" w:eastAsia="仿宋" w:hAnsi="仿宋" w:cs="仿宋" w:hint="eastAsia"/>
                <w:color w:val="000000"/>
                <w:kern w:val="0"/>
                <w:sz w:val="24"/>
              </w:rPr>
              <w:t>一）《中华人民共和国税收征收管理法》（2001年中华人民共和国主席令第49号）第三十五条第一款。</w:t>
            </w:r>
          </w:p>
          <w:p w:rsidR="00013EC7" w:rsidRDefault="00575CDB">
            <w:pPr>
              <w:widowControl/>
              <w:jc w:val="left"/>
              <w:textAlignment w:val="center"/>
              <w:rPr>
                <w:rFonts w:ascii="仿宋" w:eastAsia="仿宋" w:hAnsi="仿宋" w:cs="仿宋"/>
                <w:color w:val="000000"/>
                <w:kern w:val="0"/>
                <w:sz w:val="24"/>
              </w:rPr>
            </w:pPr>
            <w:r>
              <w:rPr>
                <w:rFonts w:ascii="仿宋" w:eastAsia="仿宋" w:hAnsi="仿宋" w:cs="仿宋" w:hint="eastAsia"/>
                <w:color w:val="000000"/>
                <w:kern w:val="0"/>
                <w:sz w:val="24"/>
              </w:rPr>
              <w:t>（二）《中华人民共和国税收征收管理法实施细则》（2002年中华人民共和国国务院令第362号）第四十七条。</w:t>
            </w:r>
          </w:p>
          <w:p w:rsidR="00013EC7" w:rsidRDefault="00575CDB">
            <w:pPr>
              <w:widowControl/>
              <w:jc w:val="left"/>
              <w:textAlignment w:val="center"/>
              <w:rPr>
                <w:rFonts w:ascii="仿宋" w:eastAsia="仿宋" w:hAnsi="仿宋" w:cs="仿宋"/>
                <w:color w:val="000000"/>
                <w:kern w:val="0"/>
                <w:sz w:val="24"/>
              </w:rPr>
            </w:pPr>
            <w:r>
              <w:rPr>
                <w:rFonts w:ascii="仿宋" w:eastAsia="仿宋" w:hAnsi="仿宋" w:cs="仿宋" w:hint="eastAsia"/>
                <w:color w:val="000000"/>
                <w:kern w:val="0"/>
                <w:sz w:val="24"/>
              </w:rPr>
              <w:t>（三）《国家税务总局关于股权转让所得个人所得税计税依据核定问题的公告》（国家税务总局公告2010年27号）第三条。</w:t>
            </w:r>
          </w:p>
          <w:p w:rsidR="00013EC7" w:rsidRDefault="00575CDB">
            <w:pPr>
              <w:widowControl/>
              <w:jc w:val="left"/>
              <w:textAlignment w:val="center"/>
              <w:rPr>
                <w:rFonts w:ascii="仿宋" w:eastAsia="仿宋" w:hAnsi="仿宋" w:cs="仿宋"/>
                <w:color w:val="000000"/>
                <w:kern w:val="0"/>
                <w:sz w:val="24"/>
              </w:rPr>
            </w:pPr>
            <w:r>
              <w:rPr>
                <w:rFonts w:ascii="仿宋" w:eastAsia="仿宋" w:hAnsi="仿宋" w:cs="仿宋" w:hint="eastAsia"/>
                <w:color w:val="000000"/>
                <w:kern w:val="0"/>
                <w:sz w:val="24"/>
              </w:rPr>
              <w:t>（四）《个体工商户税收定期定额征收管理办法》（2006年国家税务总局令第16号）第二十三条。</w:t>
            </w:r>
          </w:p>
          <w:p w:rsidR="00013EC7" w:rsidRDefault="00575CDB">
            <w:pPr>
              <w:widowControl/>
              <w:jc w:val="left"/>
              <w:textAlignment w:val="center"/>
              <w:rPr>
                <w:rFonts w:ascii="仿宋" w:eastAsia="仿宋" w:hAnsi="仿宋" w:cs="仿宋"/>
                <w:color w:val="000000"/>
                <w:kern w:val="0"/>
                <w:sz w:val="24"/>
              </w:rPr>
            </w:pPr>
            <w:r>
              <w:rPr>
                <w:rFonts w:ascii="仿宋" w:eastAsia="仿宋" w:hAnsi="仿宋" w:cs="仿宋" w:hint="eastAsia"/>
                <w:color w:val="000000"/>
                <w:kern w:val="0"/>
                <w:sz w:val="24"/>
              </w:rPr>
              <w:t>（五）《国家税务总局关于公开行政审批事项等相关工作的公告》（国家税务总局公告2014年第10号）全文。</w:t>
            </w:r>
          </w:p>
          <w:p w:rsidR="00013EC7" w:rsidRDefault="00575CDB">
            <w:pPr>
              <w:widowControl/>
              <w:jc w:val="left"/>
              <w:textAlignment w:val="center"/>
              <w:rPr>
                <w:rFonts w:ascii="仿宋" w:eastAsia="仿宋" w:hAnsi="仿宋" w:cs="仿宋"/>
                <w:color w:val="000000"/>
                <w:kern w:val="0"/>
                <w:sz w:val="24"/>
              </w:rPr>
            </w:pPr>
            <w:r>
              <w:rPr>
                <w:rFonts w:ascii="仿宋" w:eastAsia="仿宋" w:hAnsi="仿宋" w:cs="仿宋" w:hint="eastAsia"/>
                <w:color w:val="000000"/>
                <w:kern w:val="0"/>
                <w:sz w:val="24"/>
              </w:rPr>
              <w:t>（六）《国家税务总局关于公布税务行政许可事项目录的公告》（国家税务总局公告2015年第87号）全文。</w:t>
            </w:r>
          </w:p>
          <w:p w:rsidR="00013EC7" w:rsidRDefault="00575CDB">
            <w:pPr>
              <w:widowControl/>
              <w:jc w:val="left"/>
              <w:textAlignment w:val="center"/>
              <w:rPr>
                <w:rFonts w:ascii="仿宋" w:eastAsia="仿宋" w:hAnsi="仿宋" w:cs="仿宋"/>
                <w:color w:val="000000"/>
                <w:kern w:val="0"/>
                <w:sz w:val="24"/>
              </w:rPr>
            </w:pPr>
            <w:r>
              <w:rPr>
                <w:rFonts w:ascii="仿宋" w:eastAsia="仿宋" w:hAnsi="仿宋" w:cs="仿宋" w:hint="eastAsia"/>
                <w:color w:val="000000"/>
                <w:kern w:val="0"/>
                <w:sz w:val="24"/>
              </w:rPr>
              <w:t>（七）《国家税务总局关于规范行政审批行为改进行政审批有关工作的意见》（税总发〔2015〕142号）全文。</w:t>
            </w:r>
          </w:p>
          <w:p w:rsidR="00013EC7" w:rsidRDefault="00575CDB">
            <w:pPr>
              <w:widowControl/>
              <w:jc w:val="left"/>
              <w:textAlignment w:val="center"/>
              <w:rPr>
                <w:rFonts w:ascii="仿宋" w:eastAsia="仿宋" w:hAnsi="仿宋" w:cs="仿宋"/>
                <w:color w:val="000000"/>
                <w:kern w:val="0"/>
                <w:sz w:val="24"/>
              </w:rPr>
            </w:pPr>
            <w:r>
              <w:rPr>
                <w:rFonts w:ascii="仿宋" w:eastAsia="仿宋" w:hAnsi="仿宋" w:cs="仿宋" w:hint="eastAsia"/>
                <w:color w:val="000000"/>
                <w:kern w:val="0"/>
                <w:sz w:val="24"/>
              </w:rPr>
              <w:t>（八）《国家税务总局关于更新税务行政许可事项目录的公告》（国家税务总局公告2016年第10号）全文。</w:t>
            </w:r>
          </w:p>
          <w:p w:rsidR="00013EC7" w:rsidRDefault="00575CDB">
            <w:pPr>
              <w:widowControl/>
              <w:jc w:val="left"/>
              <w:textAlignment w:val="center"/>
              <w:rPr>
                <w:rFonts w:ascii="仿宋" w:eastAsia="仿宋" w:hAnsi="仿宋" w:cs="仿宋"/>
                <w:color w:val="000000"/>
                <w:kern w:val="0"/>
                <w:sz w:val="24"/>
              </w:rPr>
            </w:pPr>
            <w:r>
              <w:rPr>
                <w:rFonts w:ascii="仿宋" w:eastAsia="仿宋" w:hAnsi="仿宋" w:cs="仿宋" w:hint="eastAsia"/>
                <w:color w:val="000000"/>
                <w:kern w:val="0"/>
                <w:sz w:val="24"/>
              </w:rPr>
              <w:t>（九）《国家税务总局关于税务行政许可若干问题的公告》（国家税务总局公告2016年第11号）全文。</w:t>
            </w:r>
          </w:p>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lastRenderedPageBreak/>
              <w:t>（十）《国家税务总局关于简化税务行政许可事项办理程序的公告》（国家税务总局公告2017年第21号）全文。</w:t>
            </w:r>
          </w:p>
        </w:tc>
        <w:tc>
          <w:tcPr>
            <w:tcW w:w="1586" w:type="dxa"/>
            <w:tcBorders>
              <w:top w:val="single" w:sz="4" w:space="0" w:color="auto"/>
              <w:left w:val="single" w:sz="4" w:space="0" w:color="auto"/>
              <w:bottom w:val="single" w:sz="4" w:space="0" w:color="auto"/>
              <w:right w:val="single" w:sz="4" w:space="0" w:color="auto"/>
            </w:tcBorders>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sz w:val="24"/>
              </w:rPr>
              <w:lastRenderedPageBreak/>
              <w:t>（一）（A13005）《税务行政许可申请表》1份。</w:t>
            </w:r>
          </w:p>
        </w:tc>
        <w:tc>
          <w:tcPr>
            <w:tcW w:w="1157" w:type="dxa"/>
            <w:vMerge w:val="restart"/>
            <w:tcBorders>
              <w:top w:val="single" w:sz="4" w:space="0" w:color="auto"/>
              <w:left w:val="single" w:sz="4" w:space="0" w:color="auto"/>
              <w:bottom w:val="single" w:sz="8" w:space="0" w:color="auto"/>
              <w:right w:val="single" w:sz="4" w:space="0" w:color="auto"/>
            </w:tcBorders>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纳税人提交</w:t>
            </w:r>
          </w:p>
        </w:tc>
        <w:tc>
          <w:tcPr>
            <w:tcW w:w="1436" w:type="dxa"/>
            <w:tcBorders>
              <w:top w:val="single" w:sz="4" w:space="0" w:color="auto"/>
              <w:left w:val="single" w:sz="4" w:space="0" w:color="auto"/>
              <w:bottom w:val="single" w:sz="4" w:space="0" w:color="auto"/>
              <w:right w:val="single" w:sz="4" w:space="0" w:color="auto"/>
            </w:tcBorders>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sz w:val="24"/>
              </w:rPr>
              <w:t>（一）（A13005）《税务行政许可申请表》1份。</w:t>
            </w:r>
          </w:p>
        </w:tc>
        <w:tc>
          <w:tcPr>
            <w:tcW w:w="1286" w:type="dxa"/>
            <w:vMerge w:val="restart"/>
            <w:tcBorders>
              <w:top w:val="single" w:sz="4" w:space="0" w:color="auto"/>
              <w:left w:val="single" w:sz="4" w:space="0" w:color="auto"/>
              <w:bottom w:val="single" w:sz="8" w:space="0" w:color="auto"/>
              <w:right w:val="single" w:sz="4" w:space="0" w:color="auto"/>
            </w:tcBorders>
            <w:vAlign w:val="center"/>
          </w:tcPr>
          <w:p w:rsidR="00013EC7" w:rsidRDefault="00575CDB">
            <w:pPr>
              <w:widowControl/>
              <w:jc w:val="left"/>
              <w:textAlignment w:val="center"/>
              <w:rPr>
                <w:rFonts w:ascii="仿宋" w:eastAsia="仿宋" w:hAnsi="仿宋" w:cs="仿宋"/>
                <w:b/>
                <w:bCs/>
                <w:i/>
                <w:iCs/>
                <w:sz w:val="24"/>
              </w:rPr>
            </w:pPr>
            <w:r>
              <w:rPr>
                <w:rFonts w:ascii="仿宋" w:eastAsia="仿宋" w:hAnsi="仿宋" w:cs="仿宋" w:hint="eastAsia"/>
                <w:color w:val="000000"/>
                <w:kern w:val="0"/>
                <w:sz w:val="24"/>
              </w:rPr>
              <w:t>纳税人提交</w:t>
            </w:r>
          </w:p>
        </w:tc>
        <w:tc>
          <w:tcPr>
            <w:tcW w:w="2115" w:type="dxa"/>
            <w:vMerge w:val="restart"/>
            <w:tcBorders>
              <w:top w:val="single" w:sz="4" w:space="0" w:color="auto"/>
              <w:left w:val="single" w:sz="4" w:space="0" w:color="auto"/>
              <w:bottom w:val="single" w:sz="8" w:space="0" w:color="auto"/>
              <w:right w:val="single" w:sz="4" w:space="0" w:color="auto"/>
            </w:tcBorders>
            <w:vAlign w:val="center"/>
          </w:tcPr>
          <w:p w:rsidR="00013EC7" w:rsidRDefault="00575CDB">
            <w:pPr>
              <w:widowControl/>
              <w:jc w:val="left"/>
              <w:textAlignment w:val="center"/>
              <w:rPr>
                <w:rFonts w:ascii="仿宋" w:eastAsia="仿宋" w:hAnsi="仿宋" w:cs="仿宋"/>
                <w:color w:val="000000"/>
                <w:kern w:val="0"/>
                <w:sz w:val="24"/>
              </w:rPr>
            </w:pPr>
            <w:r>
              <w:rPr>
                <w:rFonts w:ascii="仿宋" w:eastAsia="仿宋" w:hAnsi="仿宋" w:cs="仿宋" w:hint="eastAsia"/>
                <w:b/>
                <w:bCs/>
                <w:color w:val="000000"/>
                <w:kern w:val="0"/>
                <w:sz w:val="24"/>
              </w:rPr>
              <w:t>现场办理：</w:t>
            </w:r>
            <w:r>
              <w:rPr>
                <w:rFonts w:ascii="仿宋" w:eastAsia="仿宋" w:hAnsi="仿宋" w:cs="仿宋" w:hint="eastAsia"/>
                <w:color w:val="000000"/>
                <w:kern w:val="0"/>
                <w:sz w:val="24"/>
              </w:rPr>
              <w:t>办理事项人员提交材料</w:t>
            </w:r>
          </w:p>
          <w:p w:rsidR="00013EC7" w:rsidRDefault="00575CDB">
            <w:pPr>
              <w:widowControl/>
              <w:jc w:val="left"/>
              <w:textAlignment w:val="center"/>
              <w:rPr>
                <w:rFonts w:ascii="仿宋" w:eastAsia="仿宋" w:hAnsi="仿宋" w:cs="仿宋"/>
                <w:sz w:val="24"/>
              </w:rPr>
            </w:pPr>
            <w:r>
              <w:rPr>
                <w:rFonts w:ascii="仿宋" w:eastAsia="仿宋" w:hAnsi="仿宋" w:cs="仿宋" w:hint="eastAsia"/>
                <w:b/>
                <w:bCs/>
                <w:color w:val="000000"/>
                <w:kern w:val="0"/>
                <w:sz w:val="24"/>
              </w:rPr>
              <w:t>网上办理：</w:t>
            </w:r>
            <w:r>
              <w:rPr>
                <w:rFonts w:ascii="仿宋" w:eastAsia="仿宋" w:hAnsi="仿宋" w:cs="仿宋" w:hint="eastAsia"/>
                <w:color w:val="000000"/>
                <w:kern w:val="0"/>
                <w:sz w:val="24"/>
              </w:rPr>
              <w:t>登录浙江国税电子税务局（网址：http://etax.zjtax.gov.cn/）提交申请。</w:t>
            </w:r>
            <w:r>
              <w:rPr>
                <w:rFonts w:ascii="仿宋" w:eastAsia="仿宋" w:hAnsi="仿宋" w:cs="仿宋" w:hint="eastAsia"/>
                <w:color w:val="000000"/>
                <w:kern w:val="0"/>
                <w:sz w:val="24"/>
              </w:rPr>
              <w:br/>
            </w:r>
            <w:r>
              <w:rPr>
                <w:rFonts w:ascii="仿宋" w:eastAsia="仿宋" w:hAnsi="仿宋" w:cs="仿宋" w:hint="eastAsia"/>
                <w:b/>
                <w:bCs/>
                <w:color w:val="000000"/>
                <w:kern w:val="0"/>
                <w:sz w:val="24"/>
              </w:rPr>
              <w:t>APP办理：</w:t>
            </w:r>
            <w:r>
              <w:rPr>
                <w:rFonts w:ascii="仿宋" w:eastAsia="仿宋" w:hAnsi="仿宋" w:cs="仿宋" w:hint="eastAsia"/>
                <w:color w:val="000000"/>
                <w:kern w:val="0"/>
                <w:sz w:val="24"/>
              </w:rPr>
              <w:t>登录浙江国税APP提交申请。</w:t>
            </w:r>
          </w:p>
        </w:tc>
        <w:tc>
          <w:tcPr>
            <w:tcW w:w="868" w:type="dxa"/>
            <w:vMerge w:val="restart"/>
            <w:tcBorders>
              <w:top w:val="single" w:sz="4" w:space="0" w:color="auto"/>
              <w:left w:val="single" w:sz="4" w:space="0" w:color="auto"/>
              <w:bottom w:val="single" w:sz="8" w:space="0" w:color="auto"/>
              <w:right w:val="single" w:sz="4" w:space="0" w:color="auto"/>
            </w:tcBorders>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20个工作日</w:t>
            </w:r>
          </w:p>
        </w:tc>
        <w:tc>
          <w:tcPr>
            <w:tcW w:w="898" w:type="dxa"/>
            <w:vMerge w:val="restart"/>
            <w:tcBorders>
              <w:top w:val="single" w:sz="4" w:space="0" w:color="auto"/>
              <w:left w:val="single" w:sz="4" w:space="0" w:color="auto"/>
              <w:bottom w:val="single" w:sz="8" w:space="0" w:color="auto"/>
              <w:right w:val="single" w:sz="4" w:space="0" w:color="auto"/>
            </w:tcBorders>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20个工作日</w:t>
            </w:r>
          </w:p>
        </w:tc>
        <w:tc>
          <w:tcPr>
            <w:tcW w:w="858" w:type="dxa"/>
            <w:vMerge w:val="restart"/>
            <w:tcBorders>
              <w:top w:val="single" w:sz="4" w:space="0" w:color="auto"/>
              <w:left w:val="single" w:sz="4" w:space="0" w:color="auto"/>
              <w:bottom w:val="single" w:sz="8" w:space="0" w:color="auto"/>
              <w:right w:val="single" w:sz="4" w:space="0" w:color="auto"/>
            </w:tcBorders>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是</w:t>
            </w:r>
          </w:p>
        </w:tc>
        <w:tc>
          <w:tcPr>
            <w:tcW w:w="1104" w:type="dxa"/>
            <w:vMerge w:val="restart"/>
            <w:tcBorders>
              <w:top w:val="single" w:sz="4" w:space="0" w:color="auto"/>
              <w:left w:val="single" w:sz="4" w:space="0" w:color="auto"/>
              <w:bottom w:val="single" w:sz="8" w:space="0" w:color="auto"/>
              <w:right w:val="single" w:sz="4" w:space="0" w:color="auto"/>
            </w:tcBorders>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征管科技处</w:t>
            </w:r>
          </w:p>
        </w:tc>
        <w:tc>
          <w:tcPr>
            <w:tcW w:w="1476" w:type="dxa"/>
            <w:vMerge w:val="restart"/>
            <w:tcBorders>
              <w:top w:val="single" w:sz="4" w:space="0" w:color="auto"/>
              <w:left w:val="single" w:sz="4" w:space="0" w:color="auto"/>
              <w:bottom w:val="single" w:sz="8" w:space="0" w:color="auto"/>
              <w:right w:val="single" w:sz="8" w:space="0" w:color="auto"/>
            </w:tcBorders>
            <w:vAlign w:val="center"/>
          </w:tcPr>
          <w:p w:rsidR="00013EC7" w:rsidRDefault="00013EC7">
            <w:pPr>
              <w:jc w:val="left"/>
              <w:rPr>
                <w:rFonts w:ascii="仿宋" w:eastAsia="仿宋" w:hAnsi="仿宋" w:cs="仿宋"/>
                <w:sz w:val="24"/>
              </w:rPr>
            </w:pPr>
          </w:p>
        </w:tc>
      </w:tr>
      <w:tr w:rsidR="00013EC7">
        <w:trPr>
          <w:trHeight w:val="1699"/>
          <w:jc w:val="center"/>
        </w:trPr>
        <w:tc>
          <w:tcPr>
            <w:tcW w:w="1250" w:type="dxa"/>
            <w:vMerge/>
            <w:tcBorders>
              <w:top w:val="single" w:sz="4" w:space="0" w:color="auto"/>
              <w:left w:val="single" w:sz="8" w:space="0" w:color="auto"/>
              <w:bottom w:val="single" w:sz="8" w:space="0" w:color="auto"/>
              <w:right w:val="single" w:sz="4" w:space="0" w:color="auto"/>
            </w:tcBorders>
            <w:vAlign w:val="center"/>
          </w:tcPr>
          <w:p w:rsidR="00013EC7" w:rsidRDefault="00013EC7">
            <w:pPr>
              <w:widowControl/>
              <w:jc w:val="left"/>
              <w:rPr>
                <w:rFonts w:ascii="仿宋" w:eastAsia="仿宋" w:hAnsi="仿宋" w:cs="仿宋"/>
                <w:sz w:val="24"/>
              </w:rPr>
            </w:pPr>
          </w:p>
        </w:tc>
        <w:tc>
          <w:tcPr>
            <w:tcW w:w="1056"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cs="仿宋"/>
                <w:sz w:val="24"/>
              </w:rPr>
            </w:pPr>
          </w:p>
        </w:tc>
        <w:tc>
          <w:tcPr>
            <w:tcW w:w="5614"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cs="仿宋"/>
                <w:sz w:val="24"/>
              </w:rPr>
            </w:pPr>
          </w:p>
        </w:tc>
        <w:tc>
          <w:tcPr>
            <w:tcW w:w="1586" w:type="dxa"/>
            <w:tcBorders>
              <w:top w:val="single" w:sz="4" w:space="0" w:color="auto"/>
              <w:left w:val="single" w:sz="4" w:space="0" w:color="auto"/>
              <w:bottom w:val="single" w:sz="8" w:space="0" w:color="auto"/>
              <w:right w:val="single" w:sz="4" w:space="0" w:color="auto"/>
            </w:tcBorders>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sz w:val="24"/>
              </w:rPr>
              <w:t>（二）申请变更纳税定额的证明材料。</w:t>
            </w:r>
          </w:p>
          <w:p w:rsidR="00013EC7" w:rsidRDefault="00013EC7">
            <w:pPr>
              <w:widowControl/>
              <w:textAlignment w:val="center"/>
              <w:rPr>
                <w:rFonts w:ascii="仿宋" w:eastAsia="仿宋" w:hAnsi="仿宋" w:cs="仿宋"/>
                <w:sz w:val="24"/>
              </w:rPr>
            </w:pPr>
          </w:p>
        </w:tc>
        <w:tc>
          <w:tcPr>
            <w:tcW w:w="1157"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cs="仿宋"/>
                <w:sz w:val="24"/>
              </w:rPr>
            </w:pPr>
          </w:p>
        </w:tc>
        <w:tc>
          <w:tcPr>
            <w:tcW w:w="1436" w:type="dxa"/>
            <w:tcBorders>
              <w:top w:val="single" w:sz="4" w:space="0" w:color="auto"/>
              <w:left w:val="single" w:sz="4" w:space="0" w:color="auto"/>
              <w:bottom w:val="single" w:sz="8" w:space="0" w:color="auto"/>
              <w:right w:val="single" w:sz="4" w:space="0" w:color="auto"/>
            </w:tcBorders>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sz w:val="24"/>
              </w:rPr>
              <w:t>（二）申请变更纳税定额的证明材料。</w:t>
            </w:r>
          </w:p>
          <w:p w:rsidR="00013EC7" w:rsidRDefault="00013EC7">
            <w:pPr>
              <w:widowControl/>
              <w:textAlignment w:val="center"/>
              <w:rPr>
                <w:rFonts w:ascii="仿宋" w:eastAsia="仿宋" w:hAnsi="仿宋" w:cs="仿宋"/>
                <w:sz w:val="24"/>
              </w:rPr>
            </w:pPr>
          </w:p>
        </w:tc>
        <w:tc>
          <w:tcPr>
            <w:tcW w:w="1286"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cs="仿宋"/>
                <w:b/>
                <w:bCs/>
                <w:i/>
                <w:iCs/>
                <w:sz w:val="24"/>
              </w:rPr>
            </w:pPr>
          </w:p>
        </w:tc>
        <w:tc>
          <w:tcPr>
            <w:tcW w:w="2115"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cs="仿宋"/>
                <w:sz w:val="24"/>
              </w:rPr>
            </w:pPr>
          </w:p>
        </w:tc>
        <w:tc>
          <w:tcPr>
            <w:tcW w:w="868"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cs="仿宋"/>
                <w:sz w:val="24"/>
              </w:rPr>
            </w:pPr>
          </w:p>
        </w:tc>
        <w:tc>
          <w:tcPr>
            <w:tcW w:w="898"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cs="仿宋"/>
                <w:sz w:val="24"/>
              </w:rPr>
            </w:pPr>
          </w:p>
        </w:tc>
        <w:tc>
          <w:tcPr>
            <w:tcW w:w="858"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cs="仿宋"/>
                <w:sz w:val="24"/>
              </w:rPr>
            </w:pPr>
          </w:p>
        </w:tc>
        <w:tc>
          <w:tcPr>
            <w:tcW w:w="1104"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cs="仿宋"/>
                <w:sz w:val="24"/>
              </w:rPr>
            </w:pPr>
          </w:p>
        </w:tc>
        <w:tc>
          <w:tcPr>
            <w:tcW w:w="1476" w:type="dxa"/>
            <w:vMerge/>
            <w:tcBorders>
              <w:top w:val="single" w:sz="4" w:space="0" w:color="auto"/>
              <w:left w:val="single" w:sz="4" w:space="0" w:color="auto"/>
              <w:bottom w:val="single" w:sz="8" w:space="0" w:color="auto"/>
              <w:right w:val="single" w:sz="8" w:space="0" w:color="auto"/>
            </w:tcBorders>
            <w:vAlign w:val="center"/>
          </w:tcPr>
          <w:p w:rsidR="00013EC7" w:rsidRDefault="00013EC7">
            <w:pPr>
              <w:widowControl/>
              <w:jc w:val="left"/>
              <w:rPr>
                <w:rFonts w:ascii="仿宋" w:eastAsia="仿宋" w:hAnsi="仿宋" w:cs="仿宋"/>
                <w:sz w:val="24"/>
              </w:rPr>
            </w:pPr>
          </w:p>
        </w:tc>
      </w:tr>
    </w:tbl>
    <w:p w:rsidR="00013EC7" w:rsidRDefault="005262E6">
      <w:pPr>
        <w:pStyle w:val="1"/>
        <w:spacing w:before="0" w:after="0" w:line="240" w:lineRule="auto"/>
        <w:rPr>
          <w:rFonts w:ascii="宋体"/>
          <w:kern w:val="0"/>
          <w:szCs w:val="28"/>
        </w:rPr>
      </w:pPr>
      <w:bookmarkStart w:id="700" w:name="_Toc4234"/>
      <w:bookmarkStart w:id="701" w:name="_Toc18192"/>
      <w:r>
        <w:lastRenderedPageBreak/>
        <w:object w:dxaOrig="1440" w:dyaOrig="1440">
          <v:shape id="对象 154" o:spid="_x0000_s1310" type="#_x0000_t75" style="position:absolute;left:0;text-align:left;margin-left:522.75pt;margin-top:110.1pt;width:407.05pt;height:624.9pt;z-index:251639808;mso-wrap-distance-left:9pt;mso-wrap-distance-top:0;mso-wrap-distance-right:9pt;mso-wrap-distance-bottom:0;mso-position-horizontal-relative:text;mso-position-vertical-relative:page;mso-width-relative:page;mso-height-relative:page">
            <v:imagedata r:id="rId551" o:title=""/>
            <o:lock v:ext="edit" aspectratio="f"/>
            <w10:wrap type="square" anchory="page"/>
          </v:shape>
          <o:OLEObject Type="Embed" ProgID="Visio.Drawing.11" ShapeID="对象 154" DrawAspect="Content" ObjectID="_1577296324" r:id="rId552"/>
        </w:object>
      </w:r>
      <w:r>
        <w:object w:dxaOrig="1440" w:dyaOrig="1440">
          <v:shape id="对象 153" o:spid="_x0000_s1309" type="#_x0000_t75" style="position:absolute;left:0;text-align:left;margin-left:45.15pt;margin-top:107.6pt;width:399.75pt;height:548.25pt;z-index:251638784;mso-wrap-distance-top:0;mso-wrap-distance-bottom:0;mso-position-horizontal-relative:text;mso-position-vertical-relative:page;mso-width-relative:page;mso-height-relative:page">
            <v:imagedata r:id="rId553" o:title=""/>
            <o:lock v:ext="edit" aspectratio="f"/>
            <w10:wrap type="topAndBottom" anchory="page"/>
          </v:shape>
          <o:OLEObject Type="Embed" ProgID="Visio.Drawing.11" ShapeID="对象 153" DrawAspect="Content" ObjectID="_1577296325" r:id="rId554"/>
        </w:object>
      </w:r>
      <w:r w:rsidR="00575CDB">
        <w:rPr>
          <w:rFonts w:ascii="宋体" w:hint="eastAsia"/>
          <w:kern w:val="0"/>
          <w:szCs w:val="28"/>
        </w:rPr>
        <w:br w:type="page"/>
      </w:r>
      <w:bookmarkEnd w:id="700"/>
      <w:bookmarkEnd w:id="701"/>
    </w:p>
    <w:p w:rsidR="00013EC7" w:rsidRDefault="00575CDB">
      <w:pPr>
        <w:pStyle w:val="1"/>
      </w:pPr>
      <w:bookmarkStart w:id="702" w:name="_Toc503467512"/>
      <w:bookmarkStart w:id="703" w:name="_Toc7432"/>
      <w:bookmarkStart w:id="704" w:name="_Toc7896"/>
      <w:r>
        <w:rPr>
          <w:rFonts w:hint="eastAsia"/>
        </w:rPr>
        <w:lastRenderedPageBreak/>
        <w:t>三十四、增值税专用发票（增值税税控系统）最高开票限额审批（行政许可事项，编码</w:t>
      </w:r>
      <w:r>
        <w:rPr>
          <w:rFonts w:hint="eastAsia"/>
        </w:rPr>
        <w:t>24005</w:t>
      </w:r>
      <w:r>
        <w:rPr>
          <w:rFonts w:hint="eastAsia"/>
        </w:rPr>
        <w:t>）</w:t>
      </w:r>
      <w:bookmarkEnd w:id="702"/>
      <w:bookmarkEnd w:id="703"/>
      <w:bookmarkEnd w:id="704"/>
    </w:p>
    <w:p w:rsidR="00013EC7" w:rsidRDefault="00575CDB">
      <w:pPr>
        <w:pStyle w:val="2"/>
      </w:pPr>
      <w:bookmarkStart w:id="705" w:name="_Toc15524"/>
      <w:bookmarkStart w:id="706" w:name="_Toc503467513"/>
      <w:bookmarkStart w:id="707" w:name="_Toc6888"/>
      <w:bookmarkStart w:id="708" w:name="_Toc14099"/>
      <w:r>
        <w:rPr>
          <w:rFonts w:hint="eastAsia"/>
        </w:rPr>
        <w:t>34.1</w:t>
      </w:r>
      <w:r>
        <w:rPr>
          <w:rFonts w:hint="eastAsia"/>
        </w:rPr>
        <w:t>增值税专用发票（增值税税控系统）最高开票限额审批（行政许可事项，编码</w:t>
      </w:r>
      <w:r>
        <w:rPr>
          <w:rFonts w:hint="eastAsia"/>
        </w:rPr>
        <w:t>24005</w:t>
      </w:r>
      <w:r>
        <w:rPr>
          <w:rFonts w:hint="eastAsia"/>
        </w:rPr>
        <w:t>）</w:t>
      </w:r>
      <w:bookmarkEnd w:id="705"/>
      <w:bookmarkEnd w:id="706"/>
      <w:bookmarkEnd w:id="707"/>
      <w:bookmarkEnd w:id="708"/>
    </w:p>
    <w:p w:rsidR="00013EC7" w:rsidRDefault="00575CDB">
      <w:pPr>
        <w:jc w:val="center"/>
        <w:rPr>
          <w:rFonts w:ascii="宋体" w:cs="宋体"/>
          <w:b/>
          <w:bCs/>
          <w:sz w:val="52"/>
          <w:szCs w:val="52"/>
        </w:rPr>
      </w:pPr>
      <w:r>
        <w:rPr>
          <w:rFonts w:ascii="宋体" w:hAnsi="宋体" w:cs="宋体" w:hint="eastAsia"/>
          <w:b/>
          <w:bCs/>
          <w:sz w:val="52"/>
          <w:szCs w:val="52"/>
        </w:rPr>
        <w:t>全省“最多跑一次”事项“八统一”梳理表</w:t>
      </w:r>
    </w:p>
    <w:tbl>
      <w:tblPr>
        <w:tblpPr w:leftFromText="180" w:rightFromText="180" w:vertAnchor="text" w:horzAnchor="page" w:tblpX="1761" w:tblpY="373"/>
        <w:tblOverlap w:val="never"/>
        <w:tblW w:w="20525"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1250"/>
        <w:gridCol w:w="1359"/>
        <w:gridCol w:w="5908"/>
        <w:gridCol w:w="1746"/>
        <w:gridCol w:w="954"/>
        <w:gridCol w:w="1620"/>
        <w:gridCol w:w="1081"/>
        <w:gridCol w:w="1972"/>
        <w:gridCol w:w="776"/>
        <w:gridCol w:w="859"/>
        <w:gridCol w:w="750"/>
        <w:gridCol w:w="1159"/>
        <w:gridCol w:w="1091"/>
      </w:tblGrid>
      <w:tr w:rsidR="00013EC7">
        <w:trPr>
          <w:trHeight w:val="340"/>
          <w:tblHeader/>
        </w:trPr>
        <w:tc>
          <w:tcPr>
            <w:tcW w:w="1250" w:type="dxa"/>
            <w:vMerge w:val="restart"/>
            <w:tcBorders>
              <w:top w:val="single" w:sz="8" w:space="0" w:color="auto"/>
              <w:left w:val="single" w:sz="8"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主项名称</w:t>
            </w:r>
          </w:p>
        </w:tc>
        <w:tc>
          <w:tcPr>
            <w:tcW w:w="1359" w:type="dxa"/>
            <w:vMerge w:val="restart"/>
            <w:tcBorders>
              <w:top w:val="single" w:sz="8"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子项名称</w:t>
            </w:r>
          </w:p>
        </w:tc>
        <w:tc>
          <w:tcPr>
            <w:tcW w:w="5908" w:type="dxa"/>
            <w:vMerge w:val="restart"/>
            <w:tcBorders>
              <w:top w:val="single" w:sz="8"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经办依据</w:t>
            </w:r>
          </w:p>
        </w:tc>
        <w:tc>
          <w:tcPr>
            <w:tcW w:w="2700" w:type="dxa"/>
            <w:gridSpan w:val="2"/>
            <w:tcBorders>
              <w:top w:val="single" w:sz="8"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原经办所需材料</w:t>
            </w:r>
          </w:p>
        </w:tc>
        <w:tc>
          <w:tcPr>
            <w:tcW w:w="4673" w:type="dxa"/>
            <w:gridSpan w:val="3"/>
            <w:tcBorders>
              <w:top w:val="single" w:sz="8"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梳理后经办所需材料</w:t>
            </w:r>
          </w:p>
        </w:tc>
        <w:tc>
          <w:tcPr>
            <w:tcW w:w="1635" w:type="dxa"/>
            <w:gridSpan w:val="2"/>
            <w:tcBorders>
              <w:top w:val="single" w:sz="8"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办理时限</w:t>
            </w:r>
          </w:p>
        </w:tc>
        <w:tc>
          <w:tcPr>
            <w:tcW w:w="750" w:type="dxa"/>
            <w:vMerge w:val="restart"/>
            <w:tcBorders>
              <w:top w:val="single" w:sz="8"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是否实现跑零次</w:t>
            </w:r>
          </w:p>
        </w:tc>
        <w:tc>
          <w:tcPr>
            <w:tcW w:w="1159" w:type="dxa"/>
            <w:vMerge w:val="restart"/>
            <w:tcBorders>
              <w:top w:val="single" w:sz="8"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省厅对口</w:t>
            </w:r>
          </w:p>
          <w:p w:rsidR="00013EC7" w:rsidRDefault="00575CDB">
            <w:pPr>
              <w:spacing w:line="280" w:lineRule="exact"/>
              <w:jc w:val="center"/>
              <w:rPr>
                <w:rFonts w:ascii="黑体" w:eastAsia="黑体"/>
                <w:sz w:val="24"/>
              </w:rPr>
            </w:pPr>
            <w:r>
              <w:rPr>
                <w:rFonts w:ascii="黑体" w:eastAsia="黑体" w:hint="eastAsia"/>
                <w:sz w:val="24"/>
              </w:rPr>
              <w:t>指导处室</w:t>
            </w:r>
          </w:p>
          <w:p w:rsidR="00013EC7" w:rsidRDefault="00575CDB">
            <w:pPr>
              <w:spacing w:line="280" w:lineRule="exact"/>
              <w:jc w:val="center"/>
              <w:rPr>
                <w:rFonts w:ascii="黑体" w:eastAsia="黑体" w:hAnsi="Calibri"/>
                <w:sz w:val="24"/>
              </w:rPr>
            </w:pPr>
            <w:r>
              <w:rPr>
                <w:rFonts w:ascii="黑体" w:eastAsia="黑体" w:hint="eastAsia"/>
                <w:sz w:val="24"/>
              </w:rPr>
              <w:t>（单位）</w:t>
            </w:r>
          </w:p>
        </w:tc>
        <w:tc>
          <w:tcPr>
            <w:tcW w:w="1091" w:type="dxa"/>
            <w:vMerge w:val="restart"/>
            <w:tcBorders>
              <w:top w:val="single" w:sz="8" w:space="0" w:color="auto"/>
              <w:left w:val="single" w:sz="4" w:space="0" w:color="auto"/>
              <w:bottom w:val="single" w:sz="4" w:space="0" w:color="auto"/>
              <w:right w:val="single" w:sz="8"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进一步精简、</w:t>
            </w:r>
          </w:p>
          <w:p w:rsidR="00013EC7" w:rsidRDefault="00575CDB">
            <w:pPr>
              <w:spacing w:line="280" w:lineRule="exact"/>
              <w:jc w:val="center"/>
              <w:rPr>
                <w:rFonts w:ascii="黑体" w:eastAsia="黑体" w:hAnsi="Calibri"/>
                <w:sz w:val="24"/>
              </w:rPr>
            </w:pPr>
            <w:r>
              <w:rPr>
                <w:rFonts w:ascii="黑体" w:eastAsia="黑体" w:hint="eastAsia"/>
                <w:sz w:val="24"/>
              </w:rPr>
              <w:t>规范建议</w:t>
            </w:r>
          </w:p>
        </w:tc>
      </w:tr>
      <w:tr w:rsidR="00013EC7">
        <w:trPr>
          <w:trHeight w:val="340"/>
          <w:tblHeader/>
        </w:trPr>
        <w:tc>
          <w:tcPr>
            <w:tcW w:w="1250" w:type="dxa"/>
            <w:vMerge/>
            <w:tcBorders>
              <w:top w:val="single" w:sz="8" w:space="0" w:color="auto"/>
              <w:left w:val="single" w:sz="8" w:space="0" w:color="auto"/>
              <w:bottom w:val="single" w:sz="4" w:space="0" w:color="auto"/>
              <w:right w:val="single" w:sz="4" w:space="0" w:color="auto"/>
            </w:tcBorders>
            <w:vAlign w:val="center"/>
          </w:tcPr>
          <w:p w:rsidR="00013EC7" w:rsidRDefault="00013EC7">
            <w:pPr>
              <w:widowControl/>
              <w:jc w:val="left"/>
              <w:rPr>
                <w:rFonts w:ascii="黑体" w:eastAsia="黑体" w:hAnsi="Calibri"/>
                <w:sz w:val="24"/>
              </w:rPr>
            </w:pPr>
          </w:p>
        </w:tc>
        <w:tc>
          <w:tcPr>
            <w:tcW w:w="1359" w:type="dxa"/>
            <w:vMerge/>
            <w:tcBorders>
              <w:top w:val="single" w:sz="8" w:space="0" w:color="auto"/>
              <w:left w:val="single" w:sz="4" w:space="0" w:color="auto"/>
              <w:bottom w:val="single" w:sz="4" w:space="0" w:color="auto"/>
              <w:right w:val="single" w:sz="4" w:space="0" w:color="auto"/>
            </w:tcBorders>
            <w:vAlign w:val="center"/>
          </w:tcPr>
          <w:p w:rsidR="00013EC7" w:rsidRDefault="00013EC7">
            <w:pPr>
              <w:widowControl/>
              <w:jc w:val="left"/>
              <w:rPr>
                <w:rFonts w:ascii="黑体" w:eastAsia="黑体" w:hAnsi="Calibri"/>
                <w:sz w:val="24"/>
              </w:rPr>
            </w:pPr>
          </w:p>
        </w:tc>
        <w:tc>
          <w:tcPr>
            <w:tcW w:w="5908" w:type="dxa"/>
            <w:vMerge/>
            <w:tcBorders>
              <w:top w:val="single" w:sz="8" w:space="0" w:color="auto"/>
              <w:left w:val="single" w:sz="4" w:space="0" w:color="auto"/>
              <w:bottom w:val="single" w:sz="4" w:space="0" w:color="auto"/>
              <w:right w:val="single" w:sz="4" w:space="0" w:color="auto"/>
            </w:tcBorders>
            <w:vAlign w:val="center"/>
          </w:tcPr>
          <w:p w:rsidR="00013EC7" w:rsidRDefault="00013EC7">
            <w:pPr>
              <w:widowControl/>
              <w:jc w:val="left"/>
              <w:rPr>
                <w:rFonts w:ascii="黑体" w:eastAsia="黑体" w:hAnsi="Calibri"/>
                <w:sz w:val="24"/>
              </w:rPr>
            </w:pPr>
          </w:p>
        </w:tc>
        <w:tc>
          <w:tcPr>
            <w:tcW w:w="1746"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材料明细</w:t>
            </w:r>
          </w:p>
        </w:tc>
        <w:tc>
          <w:tcPr>
            <w:tcW w:w="954"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材料来源</w:t>
            </w:r>
          </w:p>
        </w:tc>
        <w:tc>
          <w:tcPr>
            <w:tcW w:w="1620"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材料明细</w:t>
            </w:r>
          </w:p>
        </w:tc>
        <w:tc>
          <w:tcPr>
            <w:tcW w:w="1081"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材料来源</w:t>
            </w:r>
          </w:p>
        </w:tc>
        <w:tc>
          <w:tcPr>
            <w:tcW w:w="1972"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办理方式及材料</w:t>
            </w:r>
          </w:p>
          <w:p w:rsidR="00013EC7" w:rsidRDefault="00575CDB">
            <w:pPr>
              <w:spacing w:line="280" w:lineRule="exact"/>
              <w:jc w:val="center"/>
              <w:rPr>
                <w:rFonts w:ascii="黑体" w:eastAsia="黑体" w:hAnsi="Calibri"/>
                <w:sz w:val="24"/>
              </w:rPr>
            </w:pPr>
            <w:r>
              <w:rPr>
                <w:rFonts w:ascii="黑体" w:eastAsia="黑体" w:hint="eastAsia"/>
                <w:sz w:val="24"/>
              </w:rPr>
              <w:t>信息获取方式说明</w:t>
            </w:r>
          </w:p>
        </w:tc>
        <w:tc>
          <w:tcPr>
            <w:tcW w:w="776"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优化前</w:t>
            </w:r>
          </w:p>
        </w:tc>
        <w:tc>
          <w:tcPr>
            <w:tcW w:w="859"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优化后</w:t>
            </w:r>
          </w:p>
        </w:tc>
        <w:tc>
          <w:tcPr>
            <w:tcW w:w="750" w:type="dxa"/>
            <w:vMerge/>
            <w:tcBorders>
              <w:top w:val="single" w:sz="8" w:space="0" w:color="auto"/>
              <w:left w:val="single" w:sz="4" w:space="0" w:color="auto"/>
              <w:bottom w:val="single" w:sz="4" w:space="0" w:color="auto"/>
              <w:right w:val="single" w:sz="4" w:space="0" w:color="auto"/>
            </w:tcBorders>
            <w:vAlign w:val="center"/>
          </w:tcPr>
          <w:p w:rsidR="00013EC7" w:rsidRDefault="00013EC7">
            <w:pPr>
              <w:widowControl/>
              <w:jc w:val="left"/>
              <w:rPr>
                <w:rFonts w:ascii="黑体" w:eastAsia="黑体" w:hAnsi="Calibri"/>
                <w:sz w:val="24"/>
              </w:rPr>
            </w:pPr>
          </w:p>
        </w:tc>
        <w:tc>
          <w:tcPr>
            <w:tcW w:w="1159" w:type="dxa"/>
            <w:vMerge/>
            <w:tcBorders>
              <w:top w:val="single" w:sz="8" w:space="0" w:color="auto"/>
              <w:left w:val="single" w:sz="4" w:space="0" w:color="auto"/>
              <w:bottom w:val="single" w:sz="4" w:space="0" w:color="auto"/>
              <w:right w:val="single" w:sz="4" w:space="0" w:color="auto"/>
            </w:tcBorders>
            <w:vAlign w:val="center"/>
          </w:tcPr>
          <w:p w:rsidR="00013EC7" w:rsidRDefault="00013EC7">
            <w:pPr>
              <w:widowControl/>
              <w:jc w:val="left"/>
              <w:rPr>
                <w:rFonts w:ascii="黑体" w:eastAsia="黑体" w:hAnsi="Calibri"/>
                <w:sz w:val="24"/>
              </w:rPr>
            </w:pPr>
          </w:p>
        </w:tc>
        <w:tc>
          <w:tcPr>
            <w:tcW w:w="1091" w:type="dxa"/>
            <w:vMerge/>
            <w:tcBorders>
              <w:top w:val="single" w:sz="8" w:space="0" w:color="auto"/>
              <w:left w:val="single" w:sz="4" w:space="0" w:color="auto"/>
              <w:bottom w:val="single" w:sz="4" w:space="0" w:color="auto"/>
              <w:right w:val="single" w:sz="8" w:space="0" w:color="auto"/>
            </w:tcBorders>
            <w:vAlign w:val="center"/>
          </w:tcPr>
          <w:p w:rsidR="00013EC7" w:rsidRDefault="00013EC7">
            <w:pPr>
              <w:widowControl/>
              <w:jc w:val="left"/>
              <w:rPr>
                <w:rFonts w:ascii="黑体" w:eastAsia="黑体" w:hAnsi="Calibri"/>
                <w:sz w:val="24"/>
              </w:rPr>
            </w:pPr>
          </w:p>
        </w:tc>
      </w:tr>
      <w:tr w:rsidR="00013EC7">
        <w:trPr>
          <w:trHeight w:val="4771"/>
        </w:trPr>
        <w:tc>
          <w:tcPr>
            <w:tcW w:w="1250" w:type="dxa"/>
            <w:vMerge w:val="restart"/>
            <w:tcBorders>
              <w:top w:val="single" w:sz="4" w:space="0" w:color="auto"/>
              <w:left w:val="single" w:sz="8" w:space="0" w:color="auto"/>
              <w:bottom w:val="single" w:sz="8" w:space="0" w:color="auto"/>
              <w:right w:val="single" w:sz="4" w:space="0" w:color="auto"/>
            </w:tcBorders>
            <w:shd w:val="clear" w:color="auto" w:fill="FFFFFF"/>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34增值税专用发票（增值税税控系统）最高开票限额审批（行政许可事项，编码24005）</w:t>
            </w:r>
          </w:p>
        </w:tc>
        <w:tc>
          <w:tcPr>
            <w:tcW w:w="1359" w:type="dxa"/>
            <w:vMerge w:val="restart"/>
            <w:tcBorders>
              <w:top w:val="single" w:sz="4" w:space="0" w:color="auto"/>
              <w:left w:val="single" w:sz="4" w:space="0" w:color="auto"/>
              <w:bottom w:val="single" w:sz="8" w:space="0" w:color="auto"/>
              <w:right w:val="single" w:sz="4" w:space="0" w:color="auto"/>
            </w:tcBorders>
            <w:shd w:val="clear" w:color="auto" w:fill="FFFFFF"/>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34.1 增值税专用发票（增值税税控系统）最高开票限额审批（行政许可事项，编码24005）</w:t>
            </w:r>
          </w:p>
        </w:tc>
        <w:tc>
          <w:tcPr>
            <w:tcW w:w="5908" w:type="dxa"/>
            <w:vMerge w:val="restart"/>
            <w:tcBorders>
              <w:top w:val="single" w:sz="4" w:space="0" w:color="auto"/>
              <w:left w:val="single" w:sz="4" w:space="0" w:color="auto"/>
              <w:bottom w:val="single" w:sz="8" w:space="0" w:color="auto"/>
              <w:right w:val="single" w:sz="4" w:space="0" w:color="auto"/>
            </w:tcBorders>
            <w:shd w:val="clear" w:color="auto" w:fill="FFFFFF"/>
            <w:vAlign w:val="center"/>
          </w:tcPr>
          <w:p w:rsidR="00013EC7" w:rsidRDefault="00575CDB">
            <w:pPr>
              <w:pStyle w:val="220"/>
              <w:widowControl/>
              <w:spacing w:line="310" w:lineRule="exact"/>
              <w:ind w:firstLine="0"/>
              <w:jc w:val="left"/>
              <w:rPr>
                <w:rFonts w:ascii="仿宋" w:eastAsia="仿宋" w:hAnsi="仿宋" w:cs="仿宋"/>
                <w:szCs w:val="24"/>
              </w:rPr>
            </w:pPr>
            <w:r>
              <w:rPr>
                <w:rFonts w:ascii="仿宋" w:eastAsia="仿宋" w:hAnsi="仿宋" w:cs="仿宋" w:hint="eastAsia"/>
                <w:szCs w:val="24"/>
              </w:rPr>
              <w:t>（一）《中华人民共和国行政许可法》（2005年主席令第7号）全文。</w:t>
            </w:r>
          </w:p>
          <w:p w:rsidR="00013EC7" w:rsidRDefault="00575CDB">
            <w:pPr>
              <w:pStyle w:val="220"/>
              <w:widowControl/>
              <w:spacing w:line="310" w:lineRule="exact"/>
              <w:ind w:firstLine="0"/>
              <w:jc w:val="left"/>
              <w:rPr>
                <w:rFonts w:ascii="仿宋" w:eastAsia="仿宋" w:hAnsi="仿宋" w:cs="仿宋"/>
                <w:szCs w:val="24"/>
              </w:rPr>
            </w:pPr>
            <w:r>
              <w:rPr>
                <w:rFonts w:ascii="仿宋" w:eastAsia="仿宋" w:hAnsi="仿宋" w:cs="仿宋" w:hint="eastAsia"/>
                <w:szCs w:val="24"/>
              </w:rPr>
              <w:t>（二）《国家税务总局关于下放增值税专用发票最高开票限额审批权限的通知》（国税函〔2007〕 918号）第一条、第三条、第四条。</w:t>
            </w:r>
          </w:p>
          <w:p w:rsidR="00013EC7" w:rsidRDefault="00575CDB">
            <w:pPr>
              <w:pStyle w:val="220"/>
              <w:widowControl/>
              <w:spacing w:line="310" w:lineRule="exact"/>
              <w:ind w:firstLine="0"/>
              <w:jc w:val="left"/>
              <w:rPr>
                <w:rFonts w:ascii="仿宋" w:eastAsia="仿宋" w:hAnsi="仿宋" w:cs="仿宋"/>
                <w:szCs w:val="24"/>
              </w:rPr>
            </w:pPr>
            <w:r>
              <w:rPr>
                <w:rFonts w:ascii="仿宋" w:eastAsia="仿宋" w:hAnsi="仿宋" w:cs="仿宋" w:hint="eastAsia"/>
                <w:szCs w:val="24"/>
              </w:rPr>
              <w:t>（三）《国家税务总局关于印发＜增值税一般纳税人纳税辅导期管理办法＞的通知》（国税发〔2010〕40号）第八条。</w:t>
            </w:r>
          </w:p>
          <w:p w:rsidR="00013EC7" w:rsidRDefault="00575CDB">
            <w:pPr>
              <w:pStyle w:val="220"/>
              <w:widowControl/>
              <w:spacing w:line="310" w:lineRule="exact"/>
              <w:ind w:firstLine="0"/>
              <w:jc w:val="left"/>
              <w:rPr>
                <w:rFonts w:ascii="仿宋" w:eastAsia="仿宋" w:hAnsi="仿宋" w:cs="仿宋"/>
                <w:szCs w:val="24"/>
              </w:rPr>
            </w:pPr>
            <w:r>
              <w:rPr>
                <w:rFonts w:ascii="仿宋" w:eastAsia="仿宋" w:hAnsi="仿宋" w:cs="仿宋" w:hint="eastAsia"/>
                <w:szCs w:val="24"/>
              </w:rPr>
              <w:t>（四）《国家税务总局关于在全国开展营业税改征增值税试点有关征收管理问题的公告》（国家税务总局公告2013年第39号）第三条。</w:t>
            </w:r>
          </w:p>
          <w:p w:rsidR="00013EC7" w:rsidRDefault="00575CDB">
            <w:pPr>
              <w:pStyle w:val="220"/>
              <w:widowControl/>
              <w:spacing w:line="310" w:lineRule="exact"/>
              <w:ind w:firstLine="0"/>
              <w:jc w:val="left"/>
              <w:rPr>
                <w:rFonts w:ascii="仿宋" w:eastAsia="仿宋" w:hAnsi="仿宋" w:cs="仿宋"/>
                <w:szCs w:val="24"/>
              </w:rPr>
            </w:pPr>
            <w:r>
              <w:rPr>
                <w:rFonts w:ascii="仿宋" w:eastAsia="仿宋" w:hAnsi="仿宋" w:cs="仿宋" w:hint="eastAsia"/>
                <w:szCs w:val="24"/>
              </w:rPr>
              <w:t>（五）《国家税务总局关于公开行政审批事项等相关工作的公告》（国家税务总局公告2014年第10号）全文。</w:t>
            </w:r>
          </w:p>
          <w:p w:rsidR="00013EC7" w:rsidRDefault="00575CDB">
            <w:pPr>
              <w:pStyle w:val="220"/>
              <w:widowControl/>
              <w:spacing w:line="310" w:lineRule="exact"/>
              <w:ind w:firstLine="0"/>
              <w:jc w:val="left"/>
              <w:rPr>
                <w:rFonts w:ascii="仿宋" w:eastAsia="仿宋" w:hAnsi="仿宋" w:cs="仿宋"/>
                <w:szCs w:val="24"/>
              </w:rPr>
            </w:pPr>
            <w:r>
              <w:rPr>
                <w:rFonts w:ascii="仿宋" w:eastAsia="仿宋" w:hAnsi="仿宋" w:cs="仿宋" w:hint="eastAsia"/>
                <w:szCs w:val="24"/>
              </w:rPr>
              <w:t>（六）《国家税务总局关于简化增值税发票领用和使用程序有关问题的公告》（国家税务总局公告2014 年第 19 号）第二条。</w:t>
            </w:r>
          </w:p>
          <w:p w:rsidR="00013EC7" w:rsidRDefault="00575CDB">
            <w:pPr>
              <w:pStyle w:val="220"/>
              <w:widowControl/>
              <w:spacing w:line="310" w:lineRule="exact"/>
              <w:ind w:firstLine="0"/>
              <w:jc w:val="left"/>
              <w:rPr>
                <w:rFonts w:ascii="仿宋" w:eastAsia="仿宋" w:hAnsi="仿宋" w:cs="仿宋"/>
                <w:szCs w:val="24"/>
              </w:rPr>
            </w:pPr>
            <w:r>
              <w:rPr>
                <w:rFonts w:ascii="仿宋" w:eastAsia="仿宋" w:hAnsi="仿宋" w:cs="仿宋" w:hint="eastAsia"/>
                <w:szCs w:val="24"/>
              </w:rPr>
              <w:t>（七）《国家税务总局关于公布税务行政许可事项目录的公告》（国家税务总局公告 2015 年第 87号）全文。</w:t>
            </w:r>
          </w:p>
          <w:p w:rsidR="00013EC7" w:rsidRDefault="00575CDB">
            <w:pPr>
              <w:pStyle w:val="220"/>
              <w:widowControl/>
              <w:spacing w:line="310" w:lineRule="exact"/>
              <w:ind w:firstLine="0"/>
              <w:jc w:val="left"/>
              <w:rPr>
                <w:rFonts w:ascii="仿宋" w:eastAsia="仿宋" w:hAnsi="仿宋" w:cs="仿宋"/>
                <w:szCs w:val="24"/>
              </w:rPr>
            </w:pPr>
            <w:r>
              <w:rPr>
                <w:rFonts w:ascii="仿宋" w:eastAsia="仿宋" w:hAnsi="仿宋" w:cs="仿宋" w:hint="eastAsia"/>
                <w:szCs w:val="24"/>
              </w:rPr>
              <w:t>（八）《国家税务总局关于规范行政审批行为改进行政审批有关工作的意见》（税总发〔2015〕142号）全文。</w:t>
            </w:r>
          </w:p>
          <w:p w:rsidR="00013EC7" w:rsidRDefault="00575CDB">
            <w:pPr>
              <w:pStyle w:val="220"/>
              <w:widowControl/>
              <w:spacing w:line="310" w:lineRule="exact"/>
              <w:ind w:firstLine="0"/>
              <w:jc w:val="left"/>
              <w:rPr>
                <w:rFonts w:ascii="仿宋" w:eastAsia="仿宋" w:hAnsi="仿宋" w:cs="仿宋"/>
                <w:szCs w:val="24"/>
              </w:rPr>
            </w:pPr>
            <w:r>
              <w:rPr>
                <w:rFonts w:ascii="仿宋" w:eastAsia="仿宋" w:hAnsi="仿宋" w:cs="仿宋" w:hint="eastAsia"/>
                <w:szCs w:val="24"/>
              </w:rPr>
              <w:t>（九）《国家税务总局关于更新税务行政许可事项目录的公告》（国家税务总局公告 2016 年第 10号）全文。</w:t>
            </w:r>
          </w:p>
          <w:p w:rsidR="00013EC7" w:rsidRDefault="00575CDB">
            <w:pPr>
              <w:pStyle w:val="220"/>
              <w:widowControl/>
              <w:spacing w:line="310" w:lineRule="exact"/>
              <w:ind w:firstLine="0"/>
              <w:jc w:val="left"/>
              <w:rPr>
                <w:rFonts w:ascii="仿宋" w:eastAsia="仿宋" w:hAnsi="仿宋" w:cs="仿宋"/>
                <w:szCs w:val="24"/>
              </w:rPr>
            </w:pPr>
            <w:r>
              <w:rPr>
                <w:rFonts w:ascii="仿宋" w:eastAsia="仿宋" w:hAnsi="仿宋" w:cs="仿宋" w:hint="eastAsia"/>
                <w:szCs w:val="24"/>
              </w:rPr>
              <w:t>（十）《国家税务总局关于税务行政许可若干问题的公告》（国家税务总局公告 2016 年第 11 号）全文。</w:t>
            </w:r>
          </w:p>
          <w:p w:rsidR="00013EC7" w:rsidRDefault="00575CDB">
            <w:pPr>
              <w:widowControl/>
              <w:spacing w:line="310" w:lineRule="exact"/>
              <w:jc w:val="left"/>
              <w:textAlignment w:val="center"/>
              <w:rPr>
                <w:rFonts w:ascii="仿宋" w:eastAsia="仿宋" w:hAnsi="仿宋" w:cs="仿宋"/>
                <w:b/>
                <w:sz w:val="24"/>
              </w:rPr>
            </w:pPr>
            <w:r>
              <w:rPr>
                <w:rFonts w:ascii="仿宋" w:eastAsia="仿宋" w:hAnsi="仿宋" w:cs="仿宋" w:hint="eastAsia"/>
                <w:sz w:val="24"/>
              </w:rPr>
              <w:lastRenderedPageBreak/>
              <w:t>（十一）</w:t>
            </w:r>
            <w:r>
              <w:rPr>
                <w:rFonts w:ascii="仿宋" w:eastAsia="仿宋" w:hAnsi="仿宋" w:cs="仿宋" w:hint="eastAsia"/>
                <w:kern w:val="0"/>
                <w:sz w:val="24"/>
              </w:rPr>
              <w:t>《国家税务总局关于简化税务行政许可事项办理程序的公告》（国家税务总局公告2017年第21号）全文。</w:t>
            </w:r>
          </w:p>
        </w:tc>
        <w:tc>
          <w:tcPr>
            <w:tcW w:w="1746" w:type="dxa"/>
            <w:tcBorders>
              <w:top w:val="single" w:sz="4" w:space="0" w:color="auto"/>
              <w:left w:val="single" w:sz="4" w:space="0" w:color="auto"/>
              <w:bottom w:val="single" w:sz="4" w:space="0" w:color="auto"/>
              <w:right w:val="single" w:sz="4" w:space="0" w:color="auto"/>
            </w:tcBorders>
            <w:shd w:val="clear" w:color="auto" w:fill="FFFFFF"/>
            <w:vAlign w:val="center"/>
          </w:tcPr>
          <w:p w:rsidR="00013EC7" w:rsidRDefault="00575CDB">
            <w:pPr>
              <w:widowControl/>
              <w:jc w:val="left"/>
              <w:textAlignment w:val="center"/>
              <w:rPr>
                <w:rFonts w:ascii="仿宋" w:eastAsia="仿宋" w:hAnsi="仿宋" w:cs="仿宋"/>
                <w:color w:val="000000"/>
                <w:sz w:val="24"/>
              </w:rPr>
            </w:pPr>
            <w:r>
              <w:rPr>
                <w:rFonts w:ascii="仿宋" w:eastAsia="仿宋" w:hAnsi="仿宋" w:cs="仿宋" w:hint="eastAsia"/>
                <w:color w:val="000000"/>
                <w:sz w:val="24"/>
              </w:rPr>
              <w:lastRenderedPageBreak/>
              <w:t>（一）（</w:t>
            </w:r>
            <w:hyperlink r:id="rId555" w:history="1">
              <w:r>
                <w:rPr>
                  <w:rFonts w:ascii="仿宋" w:eastAsia="仿宋" w:hAnsi="仿宋" w:cs="仿宋" w:hint="eastAsia"/>
                  <w:color w:val="000000"/>
                  <w:sz w:val="24"/>
                </w:rPr>
                <w:t>A13005）《税务行政许可申请表》</w:t>
              </w:r>
            </w:hyperlink>
            <w:r>
              <w:rPr>
                <w:rFonts w:ascii="仿宋" w:eastAsia="仿宋" w:hAnsi="仿宋" w:cs="仿宋" w:hint="eastAsia"/>
                <w:color w:val="000000"/>
                <w:sz w:val="24"/>
              </w:rPr>
              <w:t>1份。</w:t>
            </w:r>
          </w:p>
        </w:tc>
        <w:tc>
          <w:tcPr>
            <w:tcW w:w="954" w:type="dxa"/>
            <w:vMerge w:val="restart"/>
            <w:tcBorders>
              <w:top w:val="single" w:sz="4" w:space="0" w:color="auto"/>
              <w:left w:val="single" w:sz="4" w:space="0" w:color="auto"/>
              <w:bottom w:val="single" w:sz="8" w:space="0" w:color="auto"/>
              <w:right w:val="single" w:sz="4" w:space="0" w:color="auto"/>
            </w:tcBorders>
            <w:shd w:val="clear" w:color="auto" w:fill="FFFFFF"/>
            <w:vAlign w:val="center"/>
          </w:tcPr>
          <w:p w:rsidR="00013EC7" w:rsidRDefault="00575CDB">
            <w:pPr>
              <w:widowControl/>
              <w:jc w:val="left"/>
              <w:textAlignment w:val="center"/>
              <w:rPr>
                <w:rFonts w:ascii="仿宋" w:eastAsia="仿宋" w:hAnsi="仿宋" w:cs="仿宋"/>
                <w:color w:val="000000"/>
                <w:sz w:val="24"/>
              </w:rPr>
            </w:pPr>
            <w:r>
              <w:rPr>
                <w:rFonts w:ascii="仿宋" w:eastAsia="仿宋" w:hAnsi="仿宋" w:cs="仿宋" w:hint="eastAsia"/>
                <w:color w:val="000000"/>
                <w:sz w:val="24"/>
              </w:rPr>
              <w:t>纳税人提交</w:t>
            </w:r>
          </w:p>
        </w:tc>
        <w:tc>
          <w:tcPr>
            <w:tcW w:w="1620" w:type="dxa"/>
            <w:tcBorders>
              <w:top w:val="single" w:sz="4" w:space="0" w:color="auto"/>
              <w:left w:val="single" w:sz="4" w:space="0" w:color="auto"/>
              <w:bottom w:val="single" w:sz="4" w:space="0" w:color="auto"/>
              <w:right w:val="single" w:sz="4" w:space="0" w:color="auto"/>
            </w:tcBorders>
            <w:shd w:val="clear" w:color="auto" w:fill="FFFFFF"/>
            <w:vAlign w:val="center"/>
          </w:tcPr>
          <w:p w:rsidR="00013EC7" w:rsidRDefault="00575CDB">
            <w:pPr>
              <w:widowControl/>
              <w:jc w:val="left"/>
              <w:textAlignment w:val="center"/>
              <w:rPr>
                <w:rFonts w:ascii="仿宋" w:eastAsia="仿宋" w:hAnsi="仿宋" w:cs="仿宋"/>
                <w:color w:val="000000"/>
                <w:sz w:val="24"/>
              </w:rPr>
            </w:pPr>
            <w:r>
              <w:rPr>
                <w:rFonts w:ascii="仿宋" w:eastAsia="仿宋" w:hAnsi="仿宋" w:cs="仿宋" w:hint="eastAsia"/>
                <w:color w:val="000000"/>
                <w:sz w:val="24"/>
              </w:rPr>
              <w:t>（一）（</w:t>
            </w:r>
            <w:hyperlink r:id="rId556" w:history="1">
              <w:r>
                <w:rPr>
                  <w:rFonts w:ascii="仿宋" w:eastAsia="仿宋" w:hAnsi="仿宋" w:cs="仿宋" w:hint="eastAsia"/>
                  <w:color w:val="000000"/>
                  <w:sz w:val="24"/>
                </w:rPr>
                <w:t>A13005）《税务行政许可申请表》</w:t>
              </w:r>
            </w:hyperlink>
            <w:r>
              <w:rPr>
                <w:rFonts w:ascii="仿宋" w:eastAsia="仿宋" w:hAnsi="仿宋" w:cs="仿宋" w:hint="eastAsia"/>
                <w:color w:val="000000"/>
                <w:sz w:val="24"/>
              </w:rPr>
              <w:t>1份。</w:t>
            </w:r>
          </w:p>
        </w:tc>
        <w:tc>
          <w:tcPr>
            <w:tcW w:w="1081" w:type="dxa"/>
            <w:vMerge w:val="restart"/>
            <w:tcBorders>
              <w:top w:val="single" w:sz="4" w:space="0" w:color="auto"/>
              <w:left w:val="single" w:sz="4" w:space="0" w:color="auto"/>
              <w:bottom w:val="single" w:sz="8" w:space="0" w:color="auto"/>
              <w:right w:val="single" w:sz="4" w:space="0" w:color="auto"/>
            </w:tcBorders>
            <w:shd w:val="clear" w:color="auto" w:fill="FFFFFF"/>
            <w:vAlign w:val="center"/>
          </w:tcPr>
          <w:p w:rsidR="00013EC7" w:rsidRDefault="00575CDB">
            <w:pPr>
              <w:widowControl/>
              <w:jc w:val="left"/>
              <w:textAlignment w:val="center"/>
              <w:rPr>
                <w:rFonts w:ascii="仿宋" w:eastAsia="仿宋" w:hAnsi="仿宋" w:cs="仿宋"/>
                <w:b/>
                <w:bCs/>
                <w:i/>
                <w:iCs/>
                <w:sz w:val="24"/>
              </w:rPr>
            </w:pPr>
            <w:r>
              <w:rPr>
                <w:rFonts w:ascii="仿宋" w:eastAsia="仿宋" w:hAnsi="仿宋" w:cs="仿宋" w:hint="eastAsia"/>
                <w:color w:val="000000"/>
                <w:kern w:val="0"/>
                <w:sz w:val="24"/>
              </w:rPr>
              <w:t>纳税人提交</w:t>
            </w:r>
          </w:p>
        </w:tc>
        <w:tc>
          <w:tcPr>
            <w:tcW w:w="1972" w:type="dxa"/>
            <w:vMerge w:val="restart"/>
            <w:tcBorders>
              <w:top w:val="single" w:sz="4" w:space="0" w:color="auto"/>
              <w:left w:val="single" w:sz="4" w:space="0" w:color="auto"/>
              <w:bottom w:val="single" w:sz="8" w:space="0" w:color="auto"/>
              <w:right w:val="single" w:sz="4" w:space="0" w:color="auto"/>
            </w:tcBorders>
            <w:shd w:val="clear" w:color="auto" w:fill="FFFFFF"/>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b/>
                <w:bCs/>
                <w:color w:val="000000"/>
                <w:kern w:val="0"/>
                <w:sz w:val="24"/>
              </w:rPr>
              <w:t>现场办理：</w:t>
            </w:r>
            <w:r>
              <w:rPr>
                <w:rFonts w:ascii="仿宋" w:eastAsia="仿宋" w:hAnsi="仿宋" w:cs="仿宋" w:hint="eastAsia"/>
                <w:color w:val="000000"/>
                <w:kern w:val="0"/>
                <w:sz w:val="24"/>
              </w:rPr>
              <w:t>办理事项人员提交材料。</w:t>
            </w:r>
            <w:r>
              <w:rPr>
                <w:rFonts w:ascii="仿宋" w:eastAsia="仿宋" w:hAnsi="仿宋" w:cs="仿宋" w:hint="eastAsia"/>
                <w:b/>
                <w:bCs/>
                <w:color w:val="000000"/>
                <w:kern w:val="0"/>
                <w:sz w:val="24"/>
              </w:rPr>
              <w:t>网上办理：</w:t>
            </w:r>
            <w:r>
              <w:rPr>
                <w:rFonts w:ascii="仿宋" w:eastAsia="仿宋" w:hAnsi="仿宋" w:cs="仿宋" w:hint="eastAsia"/>
                <w:color w:val="000000"/>
                <w:kern w:val="0"/>
                <w:sz w:val="24"/>
              </w:rPr>
              <w:t>登录浙江国税电子税务局（网址：http://etax.zjtax.gov.cn/）提交申请。</w:t>
            </w:r>
            <w:r>
              <w:rPr>
                <w:rFonts w:ascii="仿宋" w:eastAsia="仿宋" w:hAnsi="仿宋" w:cs="仿宋" w:hint="eastAsia"/>
                <w:color w:val="000000"/>
                <w:kern w:val="0"/>
                <w:sz w:val="24"/>
              </w:rPr>
              <w:br/>
            </w:r>
            <w:r>
              <w:rPr>
                <w:rFonts w:ascii="仿宋" w:eastAsia="仿宋" w:hAnsi="仿宋" w:cs="仿宋" w:hint="eastAsia"/>
                <w:b/>
                <w:bCs/>
                <w:color w:val="000000"/>
                <w:kern w:val="0"/>
                <w:sz w:val="24"/>
              </w:rPr>
              <w:t>APP办理：</w:t>
            </w:r>
            <w:r>
              <w:rPr>
                <w:rFonts w:ascii="仿宋" w:eastAsia="仿宋" w:hAnsi="仿宋" w:cs="仿宋" w:hint="eastAsia"/>
                <w:color w:val="000000"/>
                <w:kern w:val="0"/>
                <w:sz w:val="24"/>
              </w:rPr>
              <w:t>登录浙江国税APP提交申请。</w:t>
            </w:r>
          </w:p>
        </w:tc>
        <w:tc>
          <w:tcPr>
            <w:tcW w:w="776" w:type="dxa"/>
            <w:vMerge w:val="restart"/>
            <w:tcBorders>
              <w:top w:val="single" w:sz="4" w:space="0" w:color="auto"/>
              <w:left w:val="single" w:sz="4" w:space="0" w:color="auto"/>
              <w:bottom w:val="single" w:sz="8" w:space="0" w:color="auto"/>
              <w:right w:val="single" w:sz="4" w:space="0" w:color="auto"/>
            </w:tcBorders>
            <w:shd w:val="clear" w:color="auto" w:fill="FFFFFF"/>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20个工作日</w:t>
            </w:r>
          </w:p>
        </w:tc>
        <w:tc>
          <w:tcPr>
            <w:tcW w:w="859" w:type="dxa"/>
            <w:vMerge w:val="restart"/>
            <w:tcBorders>
              <w:top w:val="single" w:sz="4" w:space="0" w:color="auto"/>
              <w:left w:val="single" w:sz="4" w:space="0" w:color="auto"/>
              <w:bottom w:val="single" w:sz="8" w:space="0" w:color="auto"/>
              <w:right w:val="single" w:sz="4" w:space="0" w:color="auto"/>
            </w:tcBorders>
            <w:shd w:val="clear" w:color="auto" w:fill="FFFFFF"/>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对最高开票限额不超过10万元的申请当场办结；</w:t>
            </w:r>
            <w:r>
              <w:rPr>
                <w:rFonts w:ascii="仿宋" w:eastAsia="仿宋" w:hAnsi="仿宋" w:cs="仿宋" w:hint="eastAsia"/>
                <w:color w:val="000000"/>
                <w:kern w:val="0"/>
                <w:sz w:val="24"/>
              </w:rPr>
              <w:br/>
              <w:t>对最高开票限额超过10万元的申请受理后在20个工作日内办结。</w:t>
            </w:r>
          </w:p>
        </w:tc>
        <w:tc>
          <w:tcPr>
            <w:tcW w:w="750" w:type="dxa"/>
            <w:vMerge w:val="restart"/>
            <w:tcBorders>
              <w:top w:val="single" w:sz="4" w:space="0" w:color="auto"/>
              <w:left w:val="single" w:sz="4" w:space="0" w:color="auto"/>
              <w:bottom w:val="single" w:sz="8" w:space="0" w:color="auto"/>
              <w:right w:val="single" w:sz="4" w:space="0" w:color="auto"/>
            </w:tcBorders>
            <w:shd w:val="clear" w:color="auto" w:fill="FFFFFF"/>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是</w:t>
            </w:r>
          </w:p>
        </w:tc>
        <w:tc>
          <w:tcPr>
            <w:tcW w:w="1159" w:type="dxa"/>
            <w:vMerge w:val="restart"/>
            <w:tcBorders>
              <w:top w:val="single" w:sz="4" w:space="0" w:color="auto"/>
              <w:left w:val="single" w:sz="4" w:space="0" w:color="auto"/>
              <w:bottom w:val="single" w:sz="8" w:space="0" w:color="auto"/>
              <w:right w:val="single" w:sz="4" w:space="0" w:color="auto"/>
            </w:tcBorders>
            <w:shd w:val="clear" w:color="auto" w:fill="FFFFFF"/>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货物和劳务税处</w:t>
            </w:r>
          </w:p>
        </w:tc>
        <w:tc>
          <w:tcPr>
            <w:tcW w:w="1091" w:type="dxa"/>
            <w:vMerge w:val="restart"/>
            <w:tcBorders>
              <w:top w:val="single" w:sz="4" w:space="0" w:color="auto"/>
              <w:left w:val="single" w:sz="4" w:space="0" w:color="auto"/>
              <w:bottom w:val="single" w:sz="8" w:space="0" w:color="auto"/>
              <w:right w:val="single" w:sz="8" w:space="0" w:color="auto"/>
            </w:tcBorders>
            <w:shd w:val="clear" w:color="auto" w:fill="FFFFFF"/>
            <w:vAlign w:val="center"/>
          </w:tcPr>
          <w:p w:rsidR="00013EC7" w:rsidRDefault="00013EC7">
            <w:pPr>
              <w:jc w:val="left"/>
              <w:rPr>
                <w:rFonts w:ascii="仿宋" w:eastAsia="仿宋" w:hAnsi="仿宋" w:cs="仿宋"/>
                <w:sz w:val="24"/>
              </w:rPr>
            </w:pPr>
          </w:p>
        </w:tc>
      </w:tr>
      <w:tr w:rsidR="00013EC7">
        <w:trPr>
          <w:trHeight w:val="340"/>
        </w:trPr>
        <w:tc>
          <w:tcPr>
            <w:tcW w:w="1250" w:type="dxa"/>
            <w:vMerge/>
            <w:tcBorders>
              <w:top w:val="single" w:sz="4" w:space="0" w:color="auto"/>
              <w:left w:val="single" w:sz="8" w:space="0" w:color="auto"/>
              <w:bottom w:val="single" w:sz="8" w:space="0" w:color="auto"/>
              <w:right w:val="single" w:sz="4" w:space="0" w:color="auto"/>
            </w:tcBorders>
            <w:shd w:val="clear" w:color="auto" w:fill="auto"/>
            <w:vAlign w:val="center"/>
          </w:tcPr>
          <w:p w:rsidR="00013EC7" w:rsidRDefault="00013EC7">
            <w:pPr>
              <w:widowControl/>
              <w:jc w:val="left"/>
              <w:rPr>
                <w:rFonts w:ascii="仿宋" w:eastAsia="仿宋" w:hAnsi="仿宋" w:cs="仿宋"/>
                <w:sz w:val="24"/>
              </w:rPr>
            </w:pPr>
          </w:p>
        </w:tc>
        <w:tc>
          <w:tcPr>
            <w:tcW w:w="1359" w:type="dxa"/>
            <w:vMerge/>
            <w:tcBorders>
              <w:top w:val="single" w:sz="4" w:space="0" w:color="auto"/>
              <w:left w:val="single" w:sz="4" w:space="0" w:color="auto"/>
              <w:bottom w:val="single" w:sz="8" w:space="0" w:color="auto"/>
              <w:right w:val="single" w:sz="4" w:space="0" w:color="auto"/>
            </w:tcBorders>
            <w:shd w:val="clear" w:color="auto" w:fill="auto"/>
            <w:vAlign w:val="center"/>
          </w:tcPr>
          <w:p w:rsidR="00013EC7" w:rsidRDefault="00013EC7">
            <w:pPr>
              <w:widowControl/>
              <w:jc w:val="left"/>
              <w:rPr>
                <w:rFonts w:ascii="仿宋" w:eastAsia="仿宋" w:hAnsi="仿宋" w:cs="仿宋"/>
                <w:sz w:val="24"/>
              </w:rPr>
            </w:pPr>
          </w:p>
        </w:tc>
        <w:tc>
          <w:tcPr>
            <w:tcW w:w="5908" w:type="dxa"/>
            <w:vMerge/>
            <w:tcBorders>
              <w:top w:val="single" w:sz="4" w:space="0" w:color="auto"/>
              <w:left w:val="single" w:sz="4" w:space="0" w:color="auto"/>
              <w:bottom w:val="single" w:sz="8" w:space="0" w:color="auto"/>
              <w:right w:val="single" w:sz="4" w:space="0" w:color="auto"/>
            </w:tcBorders>
            <w:shd w:val="clear" w:color="auto" w:fill="auto"/>
            <w:vAlign w:val="center"/>
          </w:tcPr>
          <w:p w:rsidR="00013EC7" w:rsidRDefault="00013EC7">
            <w:pPr>
              <w:widowControl/>
              <w:jc w:val="left"/>
              <w:rPr>
                <w:rFonts w:ascii="仿宋" w:eastAsia="仿宋" w:hAnsi="仿宋" w:cs="仿宋"/>
                <w:b/>
                <w:sz w:val="24"/>
              </w:rPr>
            </w:pPr>
          </w:p>
        </w:tc>
        <w:tc>
          <w:tcPr>
            <w:tcW w:w="1746" w:type="dxa"/>
            <w:tcBorders>
              <w:top w:val="single" w:sz="4" w:space="0" w:color="auto"/>
              <w:left w:val="single" w:sz="4" w:space="0" w:color="auto"/>
              <w:bottom w:val="single" w:sz="8" w:space="0" w:color="auto"/>
              <w:right w:val="single" w:sz="4" w:space="0" w:color="auto"/>
            </w:tcBorders>
            <w:shd w:val="clear" w:color="auto" w:fill="FFFFFF"/>
            <w:vAlign w:val="center"/>
          </w:tcPr>
          <w:p w:rsidR="00013EC7" w:rsidRDefault="00575CDB">
            <w:pPr>
              <w:pStyle w:val="220"/>
              <w:widowControl/>
              <w:spacing w:line="310" w:lineRule="exact"/>
              <w:ind w:firstLine="0"/>
              <w:jc w:val="left"/>
              <w:rPr>
                <w:rFonts w:ascii="仿宋" w:eastAsia="仿宋" w:hAnsi="仿宋" w:cs="仿宋"/>
                <w:szCs w:val="24"/>
              </w:rPr>
            </w:pPr>
            <w:r>
              <w:rPr>
                <w:rFonts w:ascii="仿宋" w:eastAsia="仿宋" w:hAnsi="仿宋" w:cs="仿宋" w:hint="eastAsia"/>
                <w:szCs w:val="24"/>
              </w:rPr>
              <w:t>（二）</w:t>
            </w:r>
          </w:p>
          <w:p w:rsidR="00013EC7" w:rsidRDefault="00575CDB">
            <w:pPr>
              <w:pStyle w:val="220"/>
              <w:widowControl/>
              <w:spacing w:line="310" w:lineRule="exact"/>
              <w:ind w:firstLine="0"/>
              <w:jc w:val="left"/>
              <w:rPr>
                <w:rFonts w:ascii="仿宋" w:eastAsia="仿宋" w:hAnsi="仿宋" w:cs="仿宋"/>
                <w:szCs w:val="24"/>
              </w:rPr>
            </w:pPr>
            <w:r>
              <w:rPr>
                <w:rFonts w:ascii="仿宋" w:eastAsia="仿宋" w:hAnsi="仿宋" w:cs="仿宋" w:hint="eastAsia"/>
                <w:szCs w:val="24"/>
              </w:rPr>
              <w:t>（</w:t>
            </w:r>
            <w:hyperlink r:id="rId557" w:history="1">
              <w:r>
                <w:rPr>
                  <w:rFonts w:ascii="仿宋" w:eastAsia="仿宋" w:hAnsi="仿宋" w:cs="仿宋" w:hint="eastAsia"/>
                  <w:szCs w:val="24"/>
                </w:rPr>
                <w:t>A06489）《增值税专用发票最高开票限额申请单》</w:t>
              </w:r>
            </w:hyperlink>
            <w:r>
              <w:rPr>
                <w:rFonts w:ascii="仿宋" w:eastAsia="仿宋" w:hAnsi="仿宋" w:cs="仿宋" w:hint="eastAsia"/>
                <w:szCs w:val="24"/>
              </w:rPr>
              <w:t>2份。</w:t>
            </w:r>
          </w:p>
        </w:tc>
        <w:tc>
          <w:tcPr>
            <w:tcW w:w="954" w:type="dxa"/>
            <w:vMerge/>
            <w:tcBorders>
              <w:top w:val="single" w:sz="4" w:space="0" w:color="auto"/>
              <w:left w:val="single" w:sz="4" w:space="0" w:color="auto"/>
              <w:bottom w:val="single" w:sz="8" w:space="0" w:color="auto"/>
              <w:right w:val="single" w:sz="4" w:space="0" w:color="auto"/>
            </w:tcBorders>
            <w:shd w:val="clear" w:color="auto" w:fill="auto"/>
            <w:vAlign w:val="center"/>
          </w:tcPr>
          <w:p w:rsidR="00013EC7" w:rsidRDefault="00013EC7">
            <w:pPr>
              <w:pStyle w:val="220"/>
              <w:widowControl/>
              <w:spacing w:line="310" w:lineRule="exact"/>
              <w:ind w:firstLine="0"/>
              <w:jc w:val="left"/>
              <w:rPr>
                <w:rFonts w:ascii="仿宋" w:eastAsia="仿宋" w:hAnsi="仿宋" w:cs="仿宋"/>
                <w:szCs w:val="24"/>
              </w:rPr>
            </w:pPr>
          </w:p>
        </w:tc>
        <w:tc>
          <w:tcPr>
            <w:tcW w:w="1620" w:type="dxa"/>
            <w:tcBorders>
              <w:top w:val="single" w:sz="4" w:space="0" w:color="auto"/>
              <w:left w:val="single" w:sz="4" w:space="0" w:color="auto"/>
              <w:bottom w:val="single" w:sz="8" w:space="0" w:color="auto"/>
              <w:right w:val="single" w:sz="4" w:space="0" w:color="auto"/>
            </w:tcBorders>
            <w:shd w:val="clear" w:color="auto" w:fill="FFFFFF"/>
            <w:vAlign w:val="center"/>
          </w:tcPr>
          <w:p w:rsidR="00013EC7" w:rsidRDefault="00575CDB">
            <w:pPr>
              <w:pStyle w:val="220"/>
              <w:widowControl/>
              <w:spacing w:line="310" w:lineRule="exact"/>
              <w:ind w:firstLine="0"/>
              <w:jc w:val="left"/>
              <w:rPr>
                <w:rFonts w:ascii="仿宋" w:eastAsia="仿宋" w:hAnsi="仿宋" w:cs="仿宋"/>
                <w:szCs w:val="24"/>
              </w:rPr>
            </w:pPr>
            <w:r>
              <w:rPr>
                <w:rFonts w:ascii="仿宋" w:eastAsia="仿宋" w:hAnsi="仿宋" w:cs="仿宋" w:hint="eastAsia"/>
                <w:szCs w:val="24"/>
              </w:rPr>
              <w:t>（二）（</w:t>
            </w:r>
            <w:hyperlink r:id="rId558" w:history="1">
              <w:r>
                <w:rPr>
                  <w:rFonts w:ascii="仿宋" w:eastAsia="仿宋" w:hAnsi="仿宋" w:cs="仿宋" w:hint="eastAsia"/>
                  <w:szCs w:val="24"/>
                </w:rPr>
                <w:t>A06489）《增值税专用发票最高开票限额申请单》</w:t>
              </w:r>
            </w:hyperlink>
            <w:r>
              <w:rPr>
                <w:rFonts w:ascii="仿宋" w:eastAsia="仿宋" w:hAnsi="仿宋" w:cs="仿宋" w:hint="eastAsia"/>
                <w:szCs w:val="24"/>
              </w:rPr>
              <w:t>1份。</w:t>
            </w:r>
          </w:p>
          <w:p w:rsidR="00013EC7" w:rsidRDefault="00013EC7">
            <w:pPr>
              <w:pStyle w:val="220"/>
              <w:widowControl/>
              <w:spacing w:line="310" w:lineRule="exact"/>
              <w:ind w:firstLine="0"/>
              <w:jc w:val="left"/>
              <w:rPr>
                <w:rFonts w:ascii="仿宋" w:eastAsia="仿宋" w:hAnsi="仿宋" w:cs="仿宋"/>
                <w:szCs w:val="24"/>
              </w:rPr>
            </w:pPr>
          </w:p>
        </w:tc>
        <w:tc>
          <w:tcPr>
            <w:tcW w:w="1081"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cs="仿宋"/>
                <w:b/>
                <w:bCs/>
                <w:i/>
                <w:iCs/>
                <w:sz w:val="24"/>
              </w:rPr>
            </w:pPr>
          </w:p>
        </w:tc>
        <w:tc>
          <w:tcPr>
            <w:tcW w:w="1972"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cs="仿宋"/>
                <w:sz w:val="24"/>
              </w:rPr>
            </w:pPr>
          </w:p>
        </w:tc>
        <w:tc>
          <w:tcPr>
            <w:tcW w:w="776"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cs="仿宋"/>
                <w:sz w:val="24"/>
              </w:rPr>
            </w:pPr>
          </w:p>
        </w:tc>
        <w:tc>
          <w:tcPr>
            <w:tcW w:w="859"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cs="仿宋"/>
                <w:sz w:val="24"/>
              </w:rPr>
            </w:pPr>
          </w:p>
        </w:tc>
        <w:tc>
          <w:tcPr>
            <w:tcW w:w="750"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cs="仿宋"/>
                <w:sz w:val="24"/>
              </w:rPr>
            </w:pPr>
          </w:p>
        </w:tc>
        <w:tc>
          <w:tcPr>
            <w:tcW w:w="1159"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cs="仿宋"/>
                <w:sz w:val="24"/>
              </w:rPr>
            </w:pPr>
          </w:p>
        </w:tc>
        <w:tc>
          <w:tcPr>
            <w:tcW w:w="1091" w:type="dxa"/>
            <w:vMerge/>
            <w:tcBorders>
              <w:top w:val="single" w:sz="4" w:space="0" w:color="auto"/>
              <w:left w:val="single" w:sz="4" w:space="0" w:color="auto"/>
              <w:bottom w:val="single" w:sz="8" w:space="0" w:color="auto"/>
              <w:right w:val="single" w:sz="8" w:space="0" w:color="auto"/>
            </w:tcBorders>
            <w:vAlign w:val="center"/>
          </w:tcPr>
          <w:p w:rsidR="00013EC7" w:rsidRDefault="00013EC7">
            <w:pPr>
              <w:widowControl/>
              <w:jc w:val="left"/>
              <w:rPr>
                <w:rFonts w:ascii="仿宋" w:eastAsia="仿宋" w:hAnsi="仿宋" w:cs="仿宋"/>
                <w:sz w:val="24"/>
              </w:rPr>
            </w:pPr>
          </w:p>
        </w:tc>
      </w:tr>
    </w:tbl>
    <w:p w:rsidR="00013EC7" w:rsidRDefault="00013EC7">
      <w:pPr>
        <w:rPr>
          <w:rFonts w:ascii="宋体" w:hAnsi="Calibri" w:cs="宋体"/>
          <w:b/>
          <w:bCs/>
          <w:sz w:val="44"/>
          <w:szCs w:val="44"/>
        </w:rPr>
      </w:pPr>
    </w:p>
    <w:p w:rsidR="00013EC7" w:rsidRDefault="00013EC7">
      <w:pPr>
        <w:rPr>
          <w:rFonts w:ascii="Calibri" w:eastAsia="方正书宋简体"/>
          <w:szCs w:val="21"/>
        </w:rPr>
      </w:pPr>
    </w:p>
    <w:p w:rsidR="00013EC7" w:rsidRDefault="00013EC7">
      <w:pPr>
        <w:pStyle w:val="1"/>
        <w:spacing w:before="0" w:after="0" w:line="240" w:lineRule="auto"/>
        <w:rPr>
          <w:rFonts w:ascii="宋体"/>
          <w:kern w:val="0"/>
          <w:szCs w:val="28"/>
        </w:rPr>
      </w:pPr>
    </w:p>
    <w:p w:rsidR="00013EC7" w:rsidRDefault="005262E6">
      <w:pPr>
        <w:pStyle w:val="1"/>
        <w:spacing w:before="0" w:after="0" w:line="240" w:lineRule="auto"/>
        <w:jc w:val="left"/>
      </w:pPr>
      <w:r>
        <w:object w:dxaOrig="1440" w:dyaOrig="1440">
          <v:shape id="对象 152" o:spid="_x0000_s1308" type="#_x0000_t75" style="position:absolute;margin-left:539.3pt;margin-top:150pt;width:433.4pt;height:561.3pt;z-index:251637760;mso-wrap-distance-left:9pt;mso-wrap-distance-top:0;mso-wrap-distance-right:9pt;mso-wrap-distance-bottom:0;mso-position-vertical-relative:page;mso-width-relative:page;mso-height-relative:page">
            <v:imagedata r:id="rId559" o:title=""/>
            <o:lock v:ext="edit" aspectratio="f"/>
            <w10:wrap type="square" anchory="page"/>
          </v:shape>
          <o:OLEObject Type="Embed" ProgID="Visio.Drawing.11" ShapeID="对象 152" DrawAspect="Content" ObjectID="_1577296326" r:id="rId560"/>
        </w:object>
      </w:r>
      <w:r>
        <w:object w:dxaOrig="1440" w:dyaOrig="1440">
          <v:shape id="对象 151" o:spid="_x0000_s1307" type="#_x0000_t75" style="position:absolute;margin-left:22.45pt;margin-top:134.45pt;width:429.65pt;height:534.2pt;z-index:251636736;mso-wrap-distance-top:0;mso-wrap-distance-bottom:0;mso-position-vertical-relative:page;mso-width-relative:page;mso-height-relative:page">
            <v:imagedata r:id="rId561" o:title=""/>
            <o:lock v:ext="edit" aspectratio="f"/>
            <w10:wrap type="topAndBottom" anchory="page"/>
          </v:shape>
          <o:OLEObject Type="Embed" ProgID="Visio.Drawing.11" ShapeID="对象 151" DrawAspect="Content" ObjectID="_1577296327" r:id="rId562"/>
        </w:object>
      </w:r>
    </w:p>
    <w:p w:rsidR="00013EC7" w:rsidRDefault="00575CDB">
      <w:pPr>
        <w:jc w:val="left"/>
        <w:rPr>
          <w:rFonts w:ascii="宋体"/>
          <w:kern w:val="0"/>
          <w:szCs w:val="28"/>
        </w:rPr>
      </w:pPr>
      <w:r>
        <w:rPr>
          <w:rFonts w:ascii="宋体" w:hint="eastAsia"/>
          <w:kern w:val="0"/>
          <w:szCs w:val="28"/>
        </w:rPr>
        <w:br w:type="page"/>
      </w:r>
    </w:p>
    <w:p w:rsidR="00013EC7" w:rsidRDefault="00575CDB">
      <w:pPr>
        <w:pStyle w:val="1"/>
      </w:pPr>
      <w:bookmarkStart w:id="709" w:name="_Toc503467514"/>
      <w:bookmarkStart w:id="710" w:name="_Toc13537"/>
      <w:bookmarkStart w:id="711" w:name="_Toc2327"/>
      <w:r>
        <w:rPr>
          <w:rFonts w:hint="eastAsia"/>
        </w:rPr>
        <w:lastRenderedPageBreak/>
        <w:t>三十五、对采取实际利润额预缴以外的其他企业所得税预缴方式的核定（行政许可事项，编码</w:t>
      </w:r>
      <w:r>
        <w:rPr>
          <w:rFonts w:hint="eastAsia"/>
        </w:rPr>
        <w:t>24006</w:t>
      </w:r>
      <w:r>
        <w:rPr>
          <w:rFonts w:hint="eastAsia"/>
        </w:rPr>
        <w:t>）</w:t>
      </w:r>
      <w:bookmarkEnd w:id="709"/>
      <w:bookmarkEnd w:id="710"/>
      <w:bookmarkEnd w:id="711"/>
    </w:p>
    <w:p w:rsidR="00013EC7" w:rsidRDefault="00575CDB">
      <w:pPr>
        <w:pStyle w:val="2"/>
      </w:pPr>
      <w:bookmarkStart w:id="712" w:name="_Toc9567"/>
      <w:bookmarkStart w:id="713" w:name="_Toc14018"/>
      <w:bookmarkStart w:id="714" w:name="_Toc503467515"/>
      <w:bookmarkStart w:id="715" w:name="_Toc7228"/>
      <w:r>
        <w:rPr>
          <w:rFonts w:hint="eastAsia"/>
        </w:rPr>
        <w:t>35.1</w:t>
      </w:r>
      <w:r>
        <w:rPr>
          <w:rFonts w:hint="eastAsia"/>
        </w:rPr>
        <w:t>对采取实际利润额预缴以外的其他企业所得税预缴方式的核定（行政许可事项，编码</w:t>
      </w:r>
      <w:r>
        <w:rPr>
          <w:rFonts w:hint="eastAsia"/>
        </w:rPr>
        <w:t>24006</w:t>
      </w:r>
      <w:r>
        <w:rPr>
          <w:rFonts w:hint="eastAsia"/>
        </w:rPr>
        <w:t>）</w:t>
      </w:r>
      <w:bookmarkEnd w:id="712"/>
      <w:bookmarkEnd w:id="713"/>
      <w:bookmarkEnd w:id="714"/>
      <w:bookmarkEnd w:id="715"/>
    </w:p>
    <w:p w:rsidR="00013EC7" w:rsidRDefault="00575CDB">
      <w:pPr>
        <w:jc w:val="center"/>
        <w:rPr>
          <w:rFonts w:ascii="宋体" w:cs="宋体"/>
          <w:b/>
          <w:bCs/>
          <w:sz w:val="44"/>
          <w:szCs w:val="44"/>
        </w:rPr>
      </w:pPr>
      <w:r>
        <w:rPr>
          <w:rFonts w:ascii="宋体" w:hAnsi="宋体" w:cs="宋体" w:hint="eastAsia"/>
          <w:b/>
          <w:bCs/>
          <w:sz w:val="52"/>
          <w:szCs w:val="52"/>
        </w:rPr>
        <w:t>全省“最多跑一次”事项“八统一”梳理表</w:t>
      </w:r>
    </w:p>
    <w:tbl>
      <w:tblPr>
        <w:tblW w:w="20708"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1250"/>
        <w:gridCol w:w="1316"/>
        <w:gridCol w:w="3003"/>
        <w:gridCol w:w="1896"/>
        <w:gridCol w:w="1118"/>
        <w:gridCol w:w="2403"/>
        <w:gridCol w:w="1275"/>
        <w:gridCol w:w="3239"/>
        <w:gridCol w:w="868"/>
        <w:gridCol w:w="871"/>
        <w:gridCol w:w="872"/>
        <w:gridCol w:w="1117"/>
        <w:gridCol w:w="1480"/>
      </w:tblGrid>
      <w:tr w:rsidR="00013EC7">
        <w:trPr>
          <w:trHeight w:val="340"/>
          <w:tblHeader/>
          <w:jc w:val="center"/>
        </w:trPr>
        <w:tc>
          <w:tcPr>
            <w:tcW w:w="1250" w:type="dxa"/>
            <w:vMerge w:val="restart"/>
            <w:tcBorders>
              <w:top w:val="single" w:sz="8" w:space="0" w:color="auto"/>
              <w:left w:val="single" w:sz="8"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主项名称</w:t>
            </w:r>
          </w:p>
        </w:tc>
        <w:tc>
          <w:tcPr>
            <w:tcW w:w="1316" w:type="dxa"/>
            <w:vMerge w:val="restart"/>
            <w:tcBorders>
              <w:top w:val="single" w:sz="8"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子项名称</w:t>
            </w:r>
          </w:p>
        </w:tc>
        <w:tc>
          <w:tcPr>
            <w:tcW w:w="3003" w:type="dxa"/>
            <w:vMerge w:val="restart"/>
            <w:tcBorders>
              <w:top w:val="single" w:sz="8"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经办依据</w:t>
            </w:r>
          </w:p>
        </w:tc>
        <w:tc>
          <w:tcPr>
            <w:tcW w:w="3014" w:type="dxa"/>
            <w:gridSpan w:val="2"/>
            <w:tcBorders>
              <w:top w:val="single" w:sz="8"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原经办所需材料</w:t>
            </w:r>
          </w:p>
        </w:tc>
        <w:tc>
          <w:tcPr>
            <w:tcW w:w="6917" w:type="dxa"/>
            <w:gridSpan w:val="3"/>
            <w:tcBorders>
              <w:top w:val="single" w:sz="8"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梳理后经办所需材料</w:t>
            </w:r>
          </w:p>
        </w:tc>
        <w:tc>
          <w:tcPr>
            <w:tcW w:w="1739" w:type="dxa"/>
            <w:gridSpan w:val="2"/>
            <w:tcBorders>
              <w:top w:val="single" w:sz="8"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办理时限</w:t>
            </w:r>
          </w:p>
        </w:tc>
        <w:tc>
          <w:tcPr>
            <w:tcW w:w="872" w:type="dxa"/>
            <w:vMerge w:val="restart"/>
            <w:tcBorders>
              <w:top w:val="single" w:sz="8"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是否实现跑零次</w:t>
            </w:r>
          </w:p>
        </w:tc>
        <w:tc>
          <w:tcPr>
            <w:tcW w:w="1117" w:type="dxa"/>
            <w:vMerge w:val="restart"/>
            <w:tcBorders>
              <w:top w:val="single" w:sz="8"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省厅对口</w:t>
            </w:r>
          </w:p>
          <w:p w:rsidR="00013EC7" w:rsidRDefault="00575CDB">
            <w:pPr>
              <w:spacing w:line="280" w:lineRule="exact"/>
              <w:jc w:val="center"/>
              <w:rPr>
                <w:rFonts w:ascii="黑体" w:eastAsia="黑体"/>
                <w:sz w:val="24"/>
              </w:rPr>
            </w:pPr>
            <w:r>
              <w:rPr>
                <w:rFonts w:ascii="黑体" w:eastAsia="黑体" w:hint="eastAsia"/>
                <w:sz w:val="24"/>
              </w:rPr>
              <w:t>指导处室</w:t>
            </w:r>
          </w:p>
          <w:p w:rsidR="00013EC7" w:rsidRDefault="00575CDB">
            <w:pPr>
              <w:spacing w:line="280" w:lineRule="exact"/>
              <w:jc w:val="center"/>
              <w:rPr>
                <w:rFonts w:ascii="黑体" w:eastAsia="黑体" w:hAnsi="Calibri"/>
                <w:sz w:val="24"/>
              </w:rPr>
            </w:pPr>
            <w:r>
              <w:rPr>
                <w:rFonts w:ascii="黑体" w:eastAsia="黑体" w:hint="eastAsia"/>
                <w:sz w:val="24"/>
              </w:rPr>
              <w:t>（单位）</w:t>
            </w:r>
          </w:p>
        </w:tc>
        <w:tc>
          <w:tcPr>
            <w:tcW w:w="1480" w:type="dxa"/>
            <w:vMerge w:val="restart"/>
            <w:tcBorders>
              <w:top w:val="single" w:sz="8" w:space="0" w:color="auto"/>
              <w:left w:val="single" w:sz="4" w:space="0" w:color="auto"/>
              <w:bottom w:val="single" w:sz="4" w:space="0" w:color="auto"/>
              <w:right w:val="single" w:sz="8"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进一步精简、</w:t>
            </w:r>
          </w:p>
          <w:p w:rsidR="00013EC7" w:rsidRDefault="00575CDB">
            <w:pPr>
              <w:spacing w:line="280" w:lineRule="exact"/>
              <w:jc w:val="center"/>
              <w:rPr>
                <w:rFonts w:ascii="黑体" w:eastAsia="黑体" w:hAnsi="Calibri"/>
                <w:sz w:val="24"/>
              </w:rPr>
            </w:pPr>
            <w:r>
              <w:rPr>
                <w:rFonts w:ascii="黑体" w:eastAsia="黑体" w:hint="eastAsia"/>
                <w:sz w:val="24"/>
              </w:rPr>
              <w:t>规范建议</w:t>
            </w:r>
          </w:p>
        </w:tc>
      </w:tr>
      <w:tr w:rsidR="00013EC7">
        <w:trPr>
          <w:trHeight w:val="340"/>
          <w:tblHeader/>
          <w:jc w:val="center"/>
        </w:trPr>
        <w:tc>
          <w:tcPr>
            <w:tcW w:w="1250" w:type="dxa"/>
            <w:vMerge/>
            <w:tcBorders>
              <w:top w:val="single" w:sz="8" w:space="0" w:color="auto"/>
              <w:left w:val="single" w:sz="8" w:space="0" w:color="auto"/>
              <w:bottom w:val="single" w:sz="4" w:space="0" w:color="auto"/>
              <w:right w:val="single" w:sz="4" w:space="0" w:color="auto"/>
            </w:tcBorders>
            <w:vAlign w:val="center"/>
          </w:tcPr>
          <w:p w:rsidR="00013EC7" w:rsidRDefault="00013EC7">
            <w:pPr>
              <w:widowControl/>
              <w:jc w:val="left"/>
              <w:rPr>
                <w:rFonts w:ascii="黑体" w:eastAsia="黑体" w:hAnsi="Calibri"/>
                <w:sz w:val="24"/>
              </w:rPr>
            </w:pPr>
          </w:p>
        </w:tc>
        <w:tc>
          <w:tcPr>
            <w:tcW w:w="1316" w:type="dxa"/>
            <w:vMerge/>
            <w:tcBorders>
              <w:top w:val="single" w:sz="8" w:space="0" w:color="auto"/>
              <w:left w:val="single" w:sz="4" w:space="0" w:color="auto"/>
              <w:bottom w:val="single" w:sz="4" w:space="0" w:color="auto"/>
              <w:right w:val="single" w:sz="4" w:space="0" w:color="auto"/>
            </w:tcBorders>
            <w:vAlign w:val="center"/>
          </w:tcPr>
          <w:p w:rsidR="00013EC7" w:rsidRDefault="00013EC7">
            <w:pPr>
              <w:widowControl/>
              <w:jc w:val="left"/>
              <w:rPr>
                <w:rFonts w:ascii="黑体" w:eastAsia="黑体" w:hAnsi="Calibri"/>
                <w:sz w:val="24"/>
              </w:rPr>
            </w:pPr>
          </w:p>
        </w:tc>
        <w:tc>
          <w:tcPr>
            <w:tcW w:w="3003" w:type="dxa"/>
            <w:vMerge/>
            <w:tcBorders>
              <w:top w:val="single" w:sz="8" w:space="0" w:color="auto"/>
              <w:left w:val="single" w:sz="4" w:space="0" w:color="auto"/>
              <w:bottom w:val="single" w:sz="4" w:space="0" w:color="auto"/>
              <w:right w:val="single" w:sz="4" w:space="0" w:color="auto"/>
            </w:tcBorders>
            <w:vAlign w:val="center"/>
          </w:tcPr>
          <w:p w:rsidR="00013EC7" w:rsidRDefault="00013EC7">
            <w:pPr>
              <w:widowControl/>
              <w:jc w:val="left"/>
              <w:rPr>
                <w:rFonts w:ascii="黑体" w:eastAsia="黑体" w:hAnsi="Calibri"/>
                <w:sz w:val="24"/>
              </w:rPr>
            </w:pPr>
          </w:p>
        </w:tc>
        <w:tc>
          <w:tcPr>
            <w:tcW w:w="1896"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材料明细</w:t>
            </w:r>
          </w:p>
        </w:tc>
        <w:tc>
          <w:tcPr>
            <w:tcW w:w="1118"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材料来源</w:t>
            </w:r>
          </w:p>
        </w:tc>
        <w:tc>
          <w:tcPr>
            <w:tcW w:w="2403"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材料明细</w:t>
            </w:r>
          </w:p>
        </w:tc>
        <w:tc>
          <w:tcPr>
            <w:tcW w:w="1275"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材料来源</w:t>
            </w:r>
          </w:p>
        </w:tc>
        <w:tc>
          <w:tcPr>
            <w:tcW w:w="3239"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办理方式及材料</w:t>
            </w:r>
          </w:p>
          <w:p w:rsidR="00013EC7" w:rsidRDefault="00575CDB">
            <w:pPr>
              <w:spacing w:line="280" w:lineRule="exact"/>
              <w:jc w:val="center"/>
              <w:rPr>
                <w:rFonts w:ascii="黑体" w:eastAsia="黑体" w:hAnsi="Calibri"/>
                <w:sz w:val="24"/>
              </w:rPr>
            </w:pPr>
            <w:r>
              <w:rPr>
                <w:rFonts w:ascii="黑体" w:eastAsia="黑体" w:hint="eastAsia"/>
                <w:sz w:val="24"/>
              </w:rPr>
              <w:t>信息获取方式说明</w:t>
            </w:r>
          </w:p>
        </w:tc>
        <w:tc>
          <w:tcPr>
            <w:tcW w:w="868"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优化前</w:t>
            </w:r>
          </w:p>
        </w:tc>
        <w:tc>
          <w:tcPr>
            <w:tcW w:w="871" w:type="dxa"/>
            <w:tcBorders>
              <w:top w:val="single" w:sz="4" w:space="0" w:color="auto"/>
              <w:left w:val="single" w:sz="4" w:space="0" w:color="auto"/>
              <w:bottom w:val="single" w:sz="4" w:space="0" w:color="auto"/>
              <w:right w:val="single" w:sz="4" w:space="0" w:color="auto"/>
            </w:tcBorders>
            <w:vAlign w:val="center"/>
          </w:tcPr>
          <w:p w:rsidR="00013EC7" w:rsidRDefault="00575CDB">
            <w:pPr>
              <w:spacing w:line="280" w:lineRule="exact"/>
              <w:jc w:val="center"/>
              <w:rPr>
                <w:rFonts w:ascii="黑体" w:eastAsia="黑体" w:hAnsi="Calibri"/>
                <w:sz w:val="24"/>
              </w:rPr>
            </w:pPr>
            <w:r>
              <w:rPr>
                <w:rFonts w:ascii="黑体" w:eastAsia="黑体" w:hint="eastAsia"/>
                <w:sz w:val="24"/>
              </w:rPr>
              <w:t>优化后</w:t>
            </w:r>
          </w:p>
        </w:tc>
        <w:tc>
          <w:tcPr>
            <w:tcW w:w="872" w:type="dxa"/>
            <w:vMerge/>
            <w:tcBorders>
              <w:top w:val="single" w:sz="8" w:space="0" w:color="auto"/>
              <w:left w:val="single" w:sz="4" w:space="0" w:color="auto"/>
              <w:bottom w:val="single" w:sz="4" w:space="0" w:color="auto"/>
              <w:right w:val="single" w:sz="4" w:space="0" w:color="auto"/>
            </w:tcBorders>
            <w:vAlign w:val="center"/>
          </w:tcPr>
          <w:p w:rsidR="00013EC7" w:rsidRDefault="00013EC7">
            <w:pPr>
              <w:widowControl/>
              <w:jc w:val="center"/>
              <w:rPr>
                <w:rFonts w:ascii="黑体" w:eastAsia="黑体" w:hAnsi="Calibri"/>
                <w:sz w:val="24"/>
              </w:rPr>
            </w:pPr>
          </w:p>
        </w:tc>
        <w:tc>
          <w:tcPr>
            <w:tcW w:w="1117" w:type="dxa"/>
            <w:vMerge/>
            <w:tcBorders>
              <w:top w:val="single" w:sz="8" w:space="0" w:color="auto"/>
              <w:left w:val="single" w:sz="4" w:space="0" w:color="auto"/>
              <w:bottom w:val="single" w:sz="4" w:space="0" w:color="auto"/>
              <w:right w:val="single" w:sz="4" w:space="0" w:color="auto"/>
            </w:tcBorders>
            <w:vAlign w:val="center"/>
          </w:tcPr>
          <w:p w:rsidR="00013EC7" w:rsidRDefault="00013EC7">
            <w:pPr>
              <w:widowControl/>
              <w:jc w:val="center"/>
              <w:rPr>
                <w:rFonts w:ascii="黑体" w:eastAsia="黑体" w:hAnsi="Calibri"/>
                <w:sz w:val="24"/>
              </w:rPr>
            </w:pPr>
          </w:p>
        </w:tc>
        <w:tc>
          <w:tcPr>
            <w:tcW w:w="1480" w:type="dxa"/>
            <w:vMerge/>
            <w:tcBorders>
              <w:top w:val="single" w:sz="8" w:space="0" w:color="auto"/>
              <w:left w:val="single" w:sz="4" w:space="0" w:color="auto"/>
              <w:bottom w:val="single" w:sz="4" w:space="0" w:color="auto"/>
              <w:right w:val="single" w:sz="8" w:space="0" w:color="auto"/>
            </w:tcBorders>
            <w:vAlign w:val="center"/>
          </w:tcPr>
          <w:p w:rsidR="00013EC7" w:rsidRDefault="00013EC7">
            <w:pPr>
              <w:widowControl/>
              <w:jc w:val="center"/>
              <w:rPr>
                <w:rFonts w:ascii="黑体" w:eastAsia="黑体" w:hAnsi="Calibri"/>
                <w:sz w:val="24"/>
              </w:rPr>
            </w:pPr>
          </w:p>
        </w:tc>
      </w:tr>
      <w:tr w:rsidR="00013EC7">
        <w:trPr>
          <w:trHeight w:val="4335"/>
          <w:jc w:val="center"/>
        </w:trPr>
        <w:tc>
          <w:tcPr>
            <w:tcW w:w="1250" w:type="dxa"/>
            <w:vMerge w:val="restart"/>
            <w:tcBorders>
              <w:top w:val="single" w:sz="4" w:space="0" w:color="auto"/>
              <w:left w:val="single" w:sz="8" w:space="0" w:color="auto"/>
              <w:bottom w:val="single" w:sz="8" w:space="0" w:color="auto"/>
              <w:right w:val="single" w:sz="4" w:space="0" w:color="auto"/>
            </w:tcBorders>
            <w:vAlign w:val="center"/>
          </w:tcPr>
          <w:p w:rsidR="00013EC7" w:rsidRDefault="00575CDB">
            <w:pPr>
              <w:widowControl/>
              <w:jc w:val="left"/>
              <w:textAlignment w:val="center"/>
              <w:rPr>
                <w:rFonts w:ascii="仿宋" w:eastAsia="仿宋" w:hAnsi="仿宋" w:cs="仿宋"/>
                <w:color w:val="000000"/>
                <w:sz w:val="24"/>
              </w:rPr>
            </w:pPr>
            <w:r>
              <w:rPr>
                <w:rStyle w:val="font11"/>
              </w:rPr>
              <w:t>35</w:t>
            </w:r>
            <w:r>
              <w:rPr>
                <w:rStyle w:val="font01"/>
                <w:rFonts w:ascii="仿宋" w:eastAsia="仿宋" w:hAnsi="仿宋" w:cs="仿宋" w:hint="default"/>
                <w:color w:val="000000"/>
                <w:sz w:val="24"/>
              </w:rPr>
              <w:t>对采取实际利润额预缴以外的其他企业所得税预缴方式的核定（行政许可事项，编码24006）</w:t>
            </w:r>
          </w:p>
        </w:tc>
        <w:tc>
          <w:tcPr>
            <w:tcW w:w="1316" w:type="dxa"/>
            <w:vMerge w:val="restart"/>
            <w:tcBorders>
              <w:top w:val="single" w:sz="4" w:space="0" w:color="auto"/>
              <w:left w:val="single" w:sz="4" w:space="0" w:color="auto"/>
              <w:bottom w:val="single" w:sz="8" w:space="0" w:color="auto"/>
              <w:right w:val="single" w:sz="4" w:space="0" w:color="auto"/>
            </w:tcBorders>
            <w:vAlign w:val="center"/>
          </w:tcPr>
          <w:p w:rsidR="00013EC7" w:rsidRDefault="00575CDB">
            <w:pPr>
              <w:widowControl/>
              <w:jc w:val="left"/>
              <w:textAlignment w:val="center"/>
              <w:rPr>
                <w:rFonts w:ascii="仿宋" w:eastAsia="仿宋" w:hAnsi="仿宋" w:cs="仿宋"/>
                <w:color w:val="000000"/>
                <w:sz w:val="24"/>
              </w:rPr>
            </w:pPr>
            <w:r>
              <w:rPr>
                <w:rFonts w:ascii="仿宋" w:eastAsia="仿宋" w:hAnsi="仿宋" w:cs="仿宋" w:hint="eastAsia"/>
                <w:color w:val="000000"/>
                <w:kern w:val="0"/>
                <w:sz w:val="24"/>
              </w:rPr>
              <w:t>35.1对采取实际利润额预缴以外的其他企业所得税预缴方式的核定（行政许可事项，编码24006）</w:t>
            </w:r>
          </w:p>
        </w:tc>
        <w:tc>
          <w:tcPr>
            <w:tcW w:w="3003" w:type="dxa"/>
            <w:vMerge w:val="restart"/>
            <w:tcBorders>
              <w:top w:val="single" w:sz="4" w:space="0" w:color="auto"/>
              <w:left w:val="single" w:sz="4" w:space="0" w:color="auto"/>
              <w:bottom w:val="single" w:sz="8" w:space="0" w:color="auto"/>
              <w:right w:val="single" w:sz="4" w:space="0" w:color="auto"/>
            </w:tcBorders>
            <w:vAlign w:val="center"/>
          </w:tcPr>
          <w:p w:rsidR="00013EC7" w:rsidRDefault="00575CDB">
            <w:pPr>
              <w:widowControl/>
              <w:jc w:val="left"/>
              <w:textAlignment w:val="center"/>
              <w:rPr>
                <w:rFonts w:ascii="仿宋" w:eastAsia="仿宋" w:hAnsi="仿宋" w:cs="仿宋"/>
                <w:color w:val="000000"/>
                <w:kern w:val="0"/>
                <w:sz w:val="24"/>
              </w:rPr>
            </w:pPr>
            <w:r>
              <w:rPr>
                <w:rFonts w:ascii="仿宋" w:eastAsia="仿宋" w:hAnsi="仿宋" w:cs="仿宋" w:hint="eastAsia"/>
                <w:color w:val="000000"/>
                <w:kern w:val="0"/>
                <w:sz w:val="24"/>
              </w:rPr>
              <w:t>（一）《中华人民共和国企业所得税法实施条例》（2007年中华人民共和国国务院令第512号）第一百二十八条。</w:t>
            </w:r>
          </w:p>
          <w:p w:rsidR="00013EC7" w:rsidRDefault="00575CDB">
            <w:pPr>
              <w:widowControl/>
              <w:jc w:val="left"/>
              <w:textAlignment w:val="center"/>
              <w:rPr>
                <w:rFonts w:ascii="仿宋" w:eastAsia="仿宋" w:hAnsi="仿宋" w:cs="仿宋"/>
                <w:color w:val="000000"/>
                <w:kern w:val="0"/>
                <w:sz w:val="24"/>
              </w:rPr>
            </w:pPr>
            <w:r>
              <w:rPr>
                <w:rFonts w:ascii="仿宋" w:eastAsia="仿宋" w:hAnsi="仿宋" w:cs="仿宋" w:hint="eastAsia"/>
                <w:color w:val="000000"/>
                <w:kern w:val="0"/>
                <w:sz w:val="24"/>
              </w:rPr>
              <w:t>（二）《国家税务总局关于公开行政审批事项等相关工作的公告》（国家税务总局公告2014年第10号）全文。</w:t>
            </w:r>
          </w:p>
          <w:p w:rsidR="00013EC7" w:rsidRDefault="00575CDB">
            <w:pPr>
              <w:widowControl/>
              <w:jc w:val="left"/>
              <w:textAlignment w:val="center"/>
              <w:rPr>
                <w:rFonts w:ascii="仿宋" w:eastAsia="仿宋" w:hAnsi="仿宋" w:cs="仿宋"/>
                <w:color w:val="000000"/>
                <w:kern w:val="0"/>
                <w:sz w:val="24"/>
              </w:rPr>
            </w:pPr>
            <w:r>
              <w:rPr>
                <w:rFonts w:ascii="仿宋" w:eastAsia="仿宋" w:hAnsi="仿宋" w:cs="仿宋" w:hint="eastAsia"/>
                <w:color w:val="000000"/>
                <w:kern w:val="0"/>
                <w:sz w:val="24"/>
              </w:rPr>
              <w:t>（三）《国家税务总局关于公布税务行政许可事项目录的公告》（国家税务总局公告2015年第87号）全文。</w:t>
            </w:r>
          </w:p>
          <w:p w:rsidR="00013EC7" w:rsidRDefault="00575CDB">
            <w:pPr>
              <w:widowControl/>
              <w:jc w:val="left"/>
              <w:textAlignment w:val="center"/>
              <w:rPr>
                <w:rFonts w:ascii="仿宋" w:eastAsia="仿宋" w:hAnsi="仿宋" w:cs="仿宋"/>
                <w:color w:val="000000"/>
                <w:kern w:val="0"/>
                <w:sz w:val="24"/>
              </w:rPr>
            </w:pPr>
            <w:r>
              <w:rPr>
                <w:rFonts w:ascii="仿宋" w:eastAsia="仿宋" w:hAnsi="仿宋" w:cs="仿宋" w:hint="eastAsia"/>
                <w:color w:val="000000"/>
                <w:kern w:val="0"/>
                <w:sz w:val="24"/>
              </w:rPr>
              <w:t>（四）《国家税务总局关于规范行政审批行为改进行政审批有关工作的意见》（税总发〔2015〕142号）全文。</w:t>
            </w:r>
          </w:p>
          <w:p w:rsidR="00013EC7" w:rsidRDefault="00575CDB">
            <w:pPr>
              <w:widowControl/>
              <w:jc w:val="left"/>
              <w:textAlignment w:val="center"/>
              <w:rPr>
                <w:rFonts w:ascii="仿宋" w:eastAsia="仿宋" w:hAnsi="仿宋" w:cs="仿宋"/>
                <w:color w:val="000000"/>
                <w:kern w:val="0"/>
                <w:sz w:val="24"/>
              </w:rPr>
            </w:pPr>
            <w:r>
              <w:rPr>
                <w:rFonts w:ascii="仿宋" w:eastAsia="仿宋" w:hAnsi="仿宋" w:cs="仿宋" w:hint="eastAsia"/>
                <w:color w:val="000000"/>
                <w:kern w:val="0"/>
                <w:sz w:val="24"/>
              </w:rPr>
              <w:t>（五）《国家税务总局关于更新税务行政许可事项目录的公告》（国家税务总局公告2016年第10号）全文。</w:t>
            </w:r>
          </w:p>
          <w:p w:rsidR="00013EC7" w:rsidRDefault="00575CDB">
            <w:pPr>
              <w:widowControl/>
              <w:jc w:val="left"/>
              <w:textAlignment w:val="center"/>
              <w:rPr>
                <w:rFonts w:ascii="仿宋" w:eastAsia="仿宋" w:hAnsi="仿宋" w:cs="仿宋"/>
                <w:color w:val="000000"/>
                <w:kern w:val="0"/>
                <w:sz w:val="24"/>
              </w:rPr>
            </w:pPr>
            <w:r>
              <w:rPr>
                <w:rFonts w:ascii="仿宋" w:eastAsia="仿宋" w:hAnsi="仿宋" w:cs="仿宋" w:hint="eastAsia"/>
                <w:color w:val="000000"/>
                <w:kern w:val="0"/>
                <w:sz w:val="24"/>
              </w:rPr>
              <w:t>（六）《国家税务总局关于税务行政许可若干问题的公告》（国家税务总局公告2016年第11号）全文。</w:t>
            </w:r>
          </w:p>
          <w:p w:rsidR="00013EC7" w:rsidRDefault="00575CDB">
            <w:pPr>
              <w:widowControl/>
              <w:jc w:val="left"/>
              <w:textAlignment w:val="center"/>
              <w:rPr>
                <w:rFonts w:ascii="仿宋" w:eastAsia="仿宋" w:hAnsi="仿宋" w:cs="仿宋"/>
                <w:color w:val="000000"/>
                <w:sz w:val="24"/>
              </w:rPr>
            </w:pPr>
            <w:r>
              <w:rPr>
                <w:rFonts w:ascii="仿宋" w:eastAsia="仿宋" w:hAnsi="仿宋" w:cs="仿宋" w:hint="eastAsia"/>
                <w:color w:val="000000"/>
                <w:kern w:val="0"/>
                <w:sz w:val="24"/>
              </w:rPr>
              <w:t>（七）《国家税务总局关于简化税务行政许可事项办理</w:t>
            </w:r>
            <w:r>
              <w:rPr>
                <w:rFonts w:ascii="仿宋" w:eastAsia="仿宋" w:hAnsi="仿宋" w:cs="仿宋" w:hint="eastAsia"/>
                <w:color w:val="000000"/>
                <w:kern w:val="0"/>
                <w:sz w:val="24"/>
              </w:rPr>
              <w:lastRenderedPageBreak/>
              <w:t>程序的公告》（国家税务总局公告2017年第21号）全文。</w:t>
            </w:r>
          </w:p>
        </w:tc>
        <w:tc>
          <w:tcPr>
            <w:tcW w:w="1896" w:type="dxa"/>
            <w:tcBorders>
              <w:top w:val="single" w:sz="4" w:space="0" w:color="auto"/>
              <w:left w:val="single" w:sz="4" w:space="0" w:color="auto"/>
              <w:bottom w:val="single" w:sz="4" w:space="0" w:color="auto"/>
              <w:right w:val="single" w:sz="4" w:space="0" w:color="auto"/>
            </w:tcBorders>
            <w:vAlign w:val="center"/>
          </w:tcPr>
          <w:p w:rsidR="00013EC7" w:rsidRDefault="00575CDB">
            <w:pPr>
              <w:widowControl/>
              <w:jc w:val="left"/>
              <w:textAlignment w:val="center"/>
              <w:rPr>
                <w:rFonts w:ascii="仿宋" w:eastAsia="仿宋" w:hAnsi="仿宋" w:cs="仿宋"/>
                <w:color w:val="000000"/>
                <w:sz w:val="24"/>
              </w:rPr>
            </w:pPr>
            <w:r>
              <w:rPr>
                <w:rFonts w:ascii="仿宋" w:eastAsia="仿宋" w:hAnsi="仿宋" w:cs="仿宋" w:hint="eastAsia"/>
                <w:color w:val="000000"/>
                <w:kern w:val="0"/>
                <w:sz w:val="24"/>
              </w:rPr>
              <w:lastRenderedPageBreak/>
              <w:t>（一）（A13005）《税务行政许可申请表》1份。</w:t>
            </w:r>
          </w:p>
        </w:tc>
        <w:tc>
          <w:tcPr>
            <w:tcW w:w="1118" w:type="dxa"/>
            <w:vMerge w:val="restart"/>
            <w:tcBorders>
              <w:top w:val="single" w:sz="4" w:space="0" w:color="auto"/>
              <w:left w:val="single" w:sz="4" w:space="0" w:color="auto"/>
              <w:bottom w:val="single" w:sz="8" w:space="0" w:color="auto"/>
              <w:right w:val="single" w:sz="4" w:space="0" w:color="auto"/>
            </w:tcBorders>
            <w:vAlign w:val="center"/>
          </w:tcPr>
          <w:p w:rsidR="00013EC7" w:rsidRDefault="00575CDB">
            <w:pPr>
              <w:widowControl/>
              <w:jc w:val="left"/>
              <w:textAlignment w:val="center"/>
              <w:rPr>
                <w:rFonts w:ascii="仿宋" w:eastAsia="仿宋" w:hAnsi="仿宋" w:cs="仿宋"/>
                <w:color w:val="000000"/>
                <w:sz w:val="24"/>
              </w:rPr>
            </w:pPr>
            <w:r>
              <w:rPr>
                <w:rFonts w:ascii="仿宋" w:eastAsia="仿宋" w:hAnsi="仿宋" w:cs="仿宋" w:hint="eastAsia"/>
                <w:color w:val="000000"/>
                <w:kern w:val="0"/>
                <w:sz w:val="24"/>
              </w:rPr>
              <w:t>纳税人提交</w:t>
            </w:r>
          </w:p>
        </w:tc>
        <w:tc>
          <w:tcPr>
            <w:tcW w:w="2403" w:type="dxa"/>
            <w:tcBorders>
              <w:top w:val="single" w:sz="4" w:space="0" w:color="auto"/>
              <w:left w:val="single" w:sz="4" w:space="0" w:color="auto"/>
              <w:bottom w:val="single" w:sz="4" w:space="0" w:color="auto"/>
              <w:right w:val="single" w:sz="4" w:space="0" w:color="auto"/>
            </w:tcBorders>
            <w:vAlign w:val="center"/>
          </w:tcPr>
          <w:p w:rsidR="00013EC7" w:rsidRDefault="00575CDB">
            <w:pPr>
              <w:widowControl/>
              <w:jc w:val="left"/>
              <w:textAlignment w:val="center"/>
              <w:rPr>
                <w:rFonts w:ascii="仿宋" w:eastAsia="仿宋" w:hAnsi="仿宋" w:cs="仿宋"/>
                <w:color w:val="000000"/>
                <w:sz w:val="24"/>
              </w:rPr>
            </w:pPr>
            <w:r>
              <w:rPr>
                <w:rFonts w:ascii="仿宋" w:eastAsia="仿宋" w:hAnsi="仿宋" w:cs="仿宋" w:hint="eastAsia"/>
                <w:color w:val="000000"/>
                <w:kern w:val="0"/>
                <w:sz w:val="24"/>
              </w:rPr>
              <w:t>（一）（A13005）《税务行政许可申请表》1份。</w:t>
            </w:r>
          </w:p>
        </w:tc>
        <w:tc>
          <w:tcPr>
            <w:tcW w:w="1275" w:type="dxa"/>
            <w:vMerge w:val="restart"/>
            <w:tcBorders>
              <w:top w:val="single" w:sz="4" w:space="0" w:color="auto"/>
              <w:left w:val="single" w:sz="4" w:space="0" w:color="auto"/>
              <w:bottom w:val="single" w:sz="8" w:space="0" w:color="auto"/>
              <w:right w:val="single" w:sz="4" w:space="0" w:color="auto"/>
            </w:tcBorders>
            <w:vAlign w:val="center"/>
          </w:tcPr>
          <w:p w:rsidR="00013EC7" w:rsidRDefault="00575CDB">
            <w:pPr>
              <w:widowControl/>
              <w:jc w:val="left"/>
              <w:textAlignment w:val="center"/>
              <w:rPr>
                <w:rFonts w:ascii="仿宋" w:eastAsia="仿宋" w:hAnsi="仿宋" w:cs="仿宋"/>
                <w:b/>
                <w:bCs/>
                <w:i/>
                <w:iCs/>
                <w:color w:val="000000"/>
                <w:sz w:val="24"/>
              </w:rPr>
            </w:pPr>
            <w:r>
              <w:rPr>
                <w:rFonts w:ascii="仿宋" w:eastAsia="仿宋" w:hAnsi="仿宋" w:cs="仿宋" w:hint="eastAsia"/>
                <w:color w:val="000000"/>
                <w:kern w:val="0"/>
                <w:sz w:val="24"/>
              </w:rPr>
              <w:t>纳税人提交</w:t>
            </w:r>
          </w:p>
        </w:tc>
        <w:tc>
          <w:tcPr>
            <w:tcW w:w="3239" w:type="dxa"/>
            <w:vMerge w:val="restart"/>
            <w:tcBorders>
              <w:top w:val="single" w:sz="4" w:space="0" w:color="auto"/>
              <w:left w:val="single" w:sz="4" w:space="0" w:color="auto"/>
              <w:bottom w:val="single" w:sz="8" w:space="0" w:color="auto"/>
              <w:right w:val="single" w:sz="4" w:space="0" w:color="auto"/>
            </w:tcBorders>
            <w:vAlign w:val="center"/>
          </w:tcPr>
          <w:p w:rsidR="00013EC7" w:rsidRDefault="00575CDB">
            <w:pPr>
              <w:widowControl/>
              <w:jc w:val="left"/>
              <w:textAlignment w:val="center"/>
              <w:rPr>
                <w:rFonts w:ascii="仿宋" w:eastAsia="仿宋" w:hAnsi="仿宋" w:cs="仿宋"/>
                <w:color w:val="000000"/>
                <w:kern w:val="0"/>
                <w:sz w:val="24"/>
              </w:rPr>
            </w:pPr>
            <w:r>
              <w:rPr>
                <w:rFonts w:ascii="仿宋" w:eastAsia="仿宋" w:hAnsi="仿宋" w:cs="仿宋" w:hint="eastAsia"/>
                <w:b/>
                <w:bCs/>
                <w:color w:val="000000"/>
                <w:kern w:val="0"/>
                <w:sz w:val="24"/>
              </w:rPr>
              <w:t>现场办理：</w:t>
            </w:r>
            <w:r>
              <w:rPr>
                <w:rFonts w:ascii="仿宋" w:eastAsia="仿宋" w:hAnsi="仿宋" w:cs="仿宋" w:hint="eastAsia"/>
                <w:color w:val="000000"/>
                <w:kern w:val="0"/>
                <w:sz w:val="24"/>
              </w:rPr>
              <w:t>办理事项人员提交材料。</w:t>
            </w:r>
          </w:p>
          <w:p w:rsidR="00013EC7" w:rsidRDefault="00575CDB">
            <w:pPr>
              <w:widowControl/>
              <w:jc w:val="left"/>
              <w:textAlignment w:val="center"/>
              <w:rPr>
                <w:rFonts w:ascii="仿宋" w:eastAsia="仿宋" w:hAnsi="仿宋" w:cs="仿宋"/>
                <w:color w:val="000000"/>
                <w:sz w:val="24"/>
              </w:rPr>
            </w:pPr>
            <w:r>
              <w:rPr>
                <w:rFonts w:ascii="仿宋" w:eastAsia="仿宋" w:hAnsi="仿宋" w:cs="仿宋" w:hint="eastAsia"/>
                <w:b/>
                <w:bCs/>
                <w:color w:val="000000"/>
                <w:kern w:val="0"/>
                <w:sz w:val="24"/>
              </w:rPr>
              <w:t>网上办理：</w:t>
            </w:r>
            <w:r>
              <w:rPr>
                <w:rFonts w:ascii="仿宋" w:eastAsia="仿宋" w:hAnsi="仿宋" w:cs="仿宋" w:hint="eastAsia"/>
                <w:color w:val="000000"/>
                <w:kern w:val="0"/>
                <w:sz w:val="24"/>
              </w:rPr>
              <w:t>登录浙江国税电子税务局（网址：http://etax.zjtax.gov.cn/）提交申请</w:t>
            </w:r>
            <w:r>
              <w:rPr>
                <w:rFonts w:ascii="仿宋" w:eastAsia="仿宋" w:hAnsi="仿宋" w:cs="仿宋" w:hint="eastAsia"/>
                <w:color w:val="000000"/>
                <w:kern w:val="0"/>
                <w:sz w:val="24"/>
              </w:rPr>
              <w:br/>
            </w:r>
            <w:r>
              <w:rPr>
                <w:rFonts w:ascii="仿宋" w:eastAsia="仿宋" w:hAnsi="仿宋" w:cs="仿宋" w:hint="eastAsia"/>
                <w:b/>
                <w:bCs/>
                <w:color w:val="000000"/>
                <w:kern w:val="0"/>
                <w:sz w:val="24"/>
              </w:rPr>
              <w:t>APP办理：</w:t>
            </w:r>
            <w:r>
              <w:rPr>
                <w:rFonts w:ascii="仿宋" w:eastAsia="仿宋" w:hAnsi="仿宋" w:cs="仿宋" w:hint="eastAsia"/>
                <w:color w:val="000000"/>
                <w:kern w:val="0"/>
                <w:sz w:val="24"/>
              </w:rPr>
              <w:t>登录浙江国税APP提交申请。</w:t>
            </w:r>
          </w:p>
        </w:tc>
        <w:tc>
          <w:tcPr>
            <w:tcW w:w="868" w:type="dxa"/>
            <w:vMerge w:val="restart"/>
            <w:tcBorders>
              <w:top w:val="single" w:sz="4" w:space="0" w:color="auto"/>
              <w:left w:val="single" w:sz="4" w:space="0" w:color="auto"/>
              <w:bottom w:val="single" w:sz="8" w:space="0" w:color="auto"/>
              <w:right w:val="single" w:sz="4" w:space="0" w:color="auto"/>
            </w:tcBorders>
            <w:vAlign w:val="center"/>
          </w:tcPr>
          <w:p w:rsidR="00013EC7" w:rsidRDefault="00575CDB">
            <w:pPr>
              <w:widowControl/>
              <w:jc w:val="left"/>
              <w:textAlignment w:val="center"/>
              <w:rPr>
                <w:rFonts w:ascii="仿宋" w:eastAsia="仿宋" w:hAnsi="仿宋" w:cs="仿宋"/>
                <w:color w:val="000000"/>
                <w:sz w:val="24"/>
              </w:rPr>
            </w:pPr>
            <w:r>
              <w:rPr>
                <w:rFonts w:ascii="仿宋" w:eastAsia="仿宋" w:hAnsi="仿宋" w:cs="仿宋" w:hint="eastAsia"/>
                <w:color w:val="000000"/>
                <w:kern w:val="0"/>
                <w:sz w:val="24"/>
              </w:rPr>
              <w:t>20个工作日</w:t>
            </w:r>
          </w:p>
        </w:tc>
        <w:tc>
          <w:tcPr>
            <w:tcW w:w="871" w:type="dxa"/>
            <w:vMerge w:val="restart"/>
            <w:tcBorders>
              <w:top w:val="single" w:sz="4" w:space="0" w:color="auto"/>
              <w:left w:val="single" w:sz="4" w:space="0" w:color="auto"/>
              <w:bottom w:val="single" w:sz="8" w:space="0" w:color="auto"/>
              <w:right w:val="single" w:sz="4" w:space="0" w:color="auto"/>
            </w:tcBorders>
            <w:vAlign w:val="center"/>
          </w:tcPr>
          <w:p w:rsidR="00013EC7" w:rsidRDefault="00575CDB">
            <w:pPr>
              <w:widowControl/>
              <w:jc w:val="left"/>
              <w:textAlignment w:val="center"/>
              <w:rPr>
                <w:rFonts w:ascii="仿宋" w:eastAsia="仿宋" w:hAnsi="仿宋" w:cs="仿宋"/>
                <w:color w:val="000000"/>
                <w:sz w:val="24"/>
              </w:rPr>
            </w:pPr>
            <w:r>
              <w:rPr>
                <w:rFonts w:ascii="仿宋" w:eastAsia="仿宋" w:hAnsi="仿宋" w:cs="仿宋" w:hint="eastAsia"/>
                <w:color w:val="000000"/>
                <w:kern w:val="0"/>
                <w:sz w:val="24"/>
              </w:rPr>
              <w:t>20个工作日</w:t>
            </w:r>
          </w:p>
        </w:tc>
        <w:tc>
          <w:tcPr>
            <w:tcW w:w="872" w:type="dxa"/>
            <w:vMerge w:val="restart"/>
            <w:tcBorders>
              <w:top w:val="single" w:sz="4" w:space="0" w:color="auto"/>
              <w:left w:val="single" w:sz="4" w:space="0" w:color="auto"/>
              <w:bottom w:val="single" w:sz="8" w:space="0" w:color="auto"/>
              <w:right w:val="single" w:sz="4" w:space="0" w:color="auto"/>
            </w:tcBorders>
            <w:vAlign w:val="center"/>
          </w:tcPr>
          <w:p w:rsidR="00013EC7" w:rsidRDefault="00575CDB">
            <w:pPr>
              <w:widowControl/>
              <w:jc w:val="left"/>
              <w:textAlignment w:val="center"/>
              <w:rPr>
                <w:rFonts w:ascii="仿宋" w:eastAsia="仿宋" w:hAnsi="仿宋" w:cs="仿宋"/>
                <w:color w:val="000000"/>
                <w:sz w:val="24"/>
              </w:rPr>
            </w:pPr>
            <w:r>
              <w:rPr>
                <w:rFonts w:ascii="仿宋" w:eastAsia="仿宋" w:hAnsi="仿宋" w:cs="仿宋" w:hint="eastAsia"/>
                <w:color w:val="000000"/>
                <w:kern w:val="0"/>
                <w:sz w:val="24"/>
              </w:rPr>
              <w:t>是</w:t>
            </w:r>
          </w:p>
        </w:tc>
        <w:tc>
          <w:tcPr>
            <w:tcW w:w="1117" w:type="dxa"/>
            <w:vMerge w:val="restart"/>
            <w:tcBorders>
              <w:top w:val="single" w:sz="4" w:space="0" w:color="auto"/>
              <w:left w:val="single" w:sz="4" w:space="0" w:color="auto"/>
              <w:bottom w:val="single" w:sz="8" w:space="0" w:color="auto"/>
              <w:right w:val="single" w:sz="4" w:space="0" w:color="auto"/>
            </w:tcBorders>
            <w:vAlign w:val="center"/>
          </w:tcPr>
          <w:p w:rsidR="00013EC7" w:rsidRDefault="00575CDB">
            <w:pPr>
              <w:widowControl/>
              <w:jc w:val="left"/>
              <w:textAlignment w:val="center"/>
              <w:rPr>
                <w:rFonts w:ascii="仿宋" w:eastAsia="仿宋" w:hAnsi="仿宋" w:cs="仿宋"/>
                <w:color w:val="000000"/>
                <w:sz w:val="24"/>
              </w:rPr>
            </w:pPr>
            <w:r>
              <w:rPr>
                <w:rFonts w:ascii="仿宋" w:eastAsia="仿宋" w:hAnsi="仿宋" w:cs="仿宋" w:hint="eastAsia"/>
                <w:color w:val="000000"/>
                <w:kern w:val="0"/>
                <w:sz w:val="24"/>
              </w:rPr>
              <w:t>所得税处</w:t>
            </w:r>
          </w:p>
        </w:tc>
        <w:tc>
          <w:tcPr>
            <w:tcW w:w="1480" w:type="dxa"/>
            <w:vMerge w:val="restart"/>
            <w:tcBorders>
              <w:top w:val="single" w:sz="4" w:space="0" w:color="auto"/>
              <w:left w:val="single" w:sz="4" w:space="0" w:color="auto"/>
              <w:bottom w:val="single" w:sz="8" w:space="0" w:color="auto"/>
              <w:right w:val="single" w:sz="8" w:space="0" w:color="auto"/>
            </w:tcBorders>
            <w:vAlign w:val="center"/>
          </w:tcPr>
          <w:p w:rsidR="00013EC7" w:rsidRDefault="00013EC7">
            <w:pPr>
              <w:widowControl/>
              <w:jc w:val="left"/>
              <w:textAlignment w:val="center"/>
              <w:rPr>
                <w:rFonts w:ascii="仿宋" w:eastAsia="仿宋" w:hAnsi="仿宋" w:cs="仿宋"/>
                <w:color w:val="000000"/>
                <w:sz w:val="24"/>
              </w:rPr>
            </w:pPr>
          </w:p>
        </w:tc>
      </w:tr>
      <w:tr w:rsidR="00013EC7">
        <w:trPr>
          <w:trHeight w:val="340"/>
          <w:jc w:val="center"/>
        </w:trPr>
        <w:tc>
          <w:tcPr>
            <w:tcW w:w="1250" w:type="dxa"/>
            <w:vMerge/>
            <w:tcBorders>
              <w:top w:val="single" w:sz="4" w:space="0" w:color="auto"/>
              <w:left w:val="single" w:sz="8" w:space="0" w:color="auto"/>
              <w:bottom w:val="single" w:sz="8" w:space="0" w:color="auto"/>
              <w:right w:val="single" w:sz="4" w:space="0" w:color="auto"/>
            </w:tcBorders>
            <w:vAlign w:val="center"/>
          </w:tcPr>
          <w:p w:rsidR="00013EC7" w:rsidRDefault="00013EC7">
            <w:pPr>
              <w:widowControl/>
              <w:jc w:val="left"/>
              <w:rPr>
                <w:rFonts w:ascii="仿宋" w:eastAsia="仿宋" w:hAnsi="仿宋" w:cs="仿宋"/>
                <w:color w:val="000000"/>
                <w:sz w:val="24"/>
              </w:rPr>
            </w:pPr>
          </w:p>
        </w:tc>
        <w:tc>
          <w:tcPr>
            <w:tcW w:w="1316"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cs="仿宋"/>
                <w:color w:val="000000"/>
                <w:sz w:val="24"/>
              </w:rPr>
            </w:pPr>
          </w:p>
        </w:tc>
        <w:tc>
          <w:tcPr>
            <w:tcW w:w="3003"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cs="仿宋"/>
                <w:color w:val="000000"/>
                <w:sz w:val="24"/>
              </w:rPr>
            </w:pPr>
          </w:p>
        </w:tc>
        <w:tc>
          <w:tcPr>
            <w:tcW w:w="1896" w:type="dxa"/>
            <w:tcBorders>
              <w:top w:val="single" w:sz="4" w:space="0" w:color="auto"/>
              <w:left w:val="single" w:sz="4" w:space="0" w:color="auto"/>
              <w:bottom w:val="single" w:sz="8" w:space="0" w:color="auto"/>
              <w:right w:val="single" w:sz="4" w:space="0" w:color="auto"/>
            </w:tcBorders>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（二）按照月度或者季度的实际利润额预缴确有困难的证明材料。</w:t>
            </w:r>
          </w:p>
        </w:tc>
        <w:tc>
          <w:tcPr>
            <w:tcW w:w="1118"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cs="仿宋"/>
                <w:color w:val="000000"/>
                <w:sz w:val="24"/>
              </w:rPr>
            </w:pPr>
          </w:p>
        </w:tc>
        <w:tc>
          <w:tcPr>
            <w:tcW w:w="2403" w:type="dxa"/>
            <w:tcBorders>
              <w:top w:val="single" w:sz="4" w:space="0" w:color="auto"/>
              <w:left w:val="single" w:sz="4" w:space="0" w:color="auto"/>
              <w:bottom w:val="single" w:sz="8" w:space="0" w:color="auto"/>
              <w:right w:val="single" w:sz="4" w:space="0" w:color="auto"/>
            </w:tcBorders>
            <w:vAlign w:val="center"/>
          </w:tcPr>
          <w:p w:rsidR="00013EC7" w:rsidRDefault="00575CDB">
            <w:pPr>
              <w:widowControl/>
              <w:jc w:val="left"/>
              <w:textAlignment w:val="center"/>
              <w:rPr>
                <w:rFonts w:ascii="仿宋" w:eastAsia="仿宋" w:hAnsi="仿宋" w:cs="仿宋"/>
                <w:sz w:val="24"/>
              </w:rPr>
            </w:pPr>
            <w:r>
              <w:rPr>
                <w:rFonts w:ascii="仿宋" w:eastAsia="仿宋" w:hAnsi="仿宋" w:cs="仿宋" w:hint="eastAsia"/>
                <w:color w:val="000000"/>
                <w:kern w:val="0"/>
                <w:sz w:val="24"/>
              </w:rPr>
              <w:t>（二）按照月度或者季度的实际利润额预缴确有困难的证明材料。</w:t>
            </w:r>
          </w:p>
        </w:tc>
        <w:tc>
          <w:tcPr>
            <w:tcW w:w="1275"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cs="仿宋"/>
                <w:b/>
                <w:bCs/>
                <w:i/>
                <w:iCs/>
                <w:color w:val="000000"/>
                <w:sz w:val="24"/>
              </w:rPr>
            </w:pPr>
          </w:p>
        </w:tc>
        <w:tc>
          <w:tcPr>
            <w:tcW w:w="3239"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cs="仿宋"/>
                <w:color w:val="000000"/>
                <w:sz w:val="24"/>
              </w:rPr>
            </w:pPr>
          </w:p>
        </w:tc>
        <w:tc>
          <w:tcPr>
            <w:tcW w:w="868"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cs="仿宋"/>
                <w:color w:val="000000"/>
                <w:sz w:val="24"/>
              </w:rPr>
            </w:pPr>
          </w:p>
        </w:tc>
        <w:tc>
          <w:tcPr>
            <w:tcW w:w="871"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cs="仿宋"/>
                <w:color w:val="000000"/>
                <w:sz w:val="24"/>
              </w:rPr>
            </w:pPr>
          </w:p>
        </w:tc>
        <w:tc>
          <w:tcPr>
            <w:tcW w:w="872"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cs="仿宋"/>
                <w:color w:val="000000"/>
                <w:sz w:val="24"/>
              </w:rPr>
            </w:pPr>
          </w:p>
        </w:tc>
        <w:tc>
          <w:tcPr>
            <w:tcW w:w="1117" w:type="dxa"/>
            <w:vMerge/>
            <w:tcBorders>
              <w:top w:val="single" w:sz="4" w:space="0" w:color="auto"/>
              <w:left w:val="single" w:sz="4" w:space="0" w:color="auto"/>
              <w:bottom w:val="single" w:sz="8" w:space="0" w:color="auto"/>
              <w:right w:val="single" w:sz="4" w:space="0" w:color="auto"/>
            </w:tcBorders>
            <w:vAlign w:val="center"/>
          </w:tcPr>
          <w:p w:rsidR="00013EC7" w:rsidRDefault="00013EC7">
            <w:pPr>
              <w:widowControl/>
              <w:jc w:val="left"/>
              <w:rPr>
                <w:rFonts w:ascii="仿宋" w:eastAsia="仿宋" w:hAnsi="仿宋" w:cs="仿宋"/>
                <w:color w:val="000000"/>
                <w:sz w:val="24"/>
              </w:rPr>
            </w:pPr>
          </w:p>
        </w:tc>
        <w:tc>
          <w:tcPr>
            <w:tcW w:w="1480" w:type="dxa"/>
            <w:vMerge/>
            <w:tcBorders>
              <w:top w:val="single" w:sz="4" w:space="0" w:color="auto"/>
              <w:left w:val="single" w:sz="4" w:space="0" w:color="auto"/>
              <w:bottom w:val="single" w:sz="8" w:space="0" w:color="auto"/>
              <w:right w:val="single" w:sz="8" w:space="0" w:color="auto"/>
            </w:tcBorders>
            <w:vAlign w:val="center"/>
          </w:tcPr>
          <w:p w:rsidR="00013EC7" w:rsidRDefault="00013EC7">
            <w:pPr>
              <w:widowControl/>
              <w:jc w:val="left"/>
              <w:rPr>
                <w:rFonts w:ascii="仿宋" w:eastAsia="仿宋" w:hAnsi="仿宋" w:cs="仿宋"/>
                <w:color w:val="000000"/>
                <w:sz w:val="24"/>
              </w:rPr>
            </w:pPr>
          </w:p>
        </w:tc>
      </w:tr>
    </w:tbl>
    <w:p w:rsidR="00013EC7" w:rsidRDefault="00013EC7">
      <w:pPr>
        <w:jc w:val="left"/>
        <w:rPr>
          <w:rFonts w:ascii="Calibri" w:eastAsia="方正书宋简体" w:hAnsi="Calibri"/>
          <w:szCs w:val="21"/>
        </w:rPr>
      </w:pPr>
    </w:p>
    <w:p w:rsidR="00013EC7" w:rsidRDefault="00013EC7">
      <w:pPr>
        <w:jc w:val="left"/>
        <w:rPr>
          <w:rFonts w:eastAsia="方正书宋简体"/>
          <w:szCs w:val="21"/>
        </w:rPr>
      </w:pPr>
    </w:p>
    <w:p w:rsidR="00013EC7" w:rsidRDefault="00013EC7">
      <w:pPr>
        <w:jc w:val="left"/>
      </w:pPr>
    </w:p>
    <w:p w:rsidR="00013EC7" w:rsidRDefault="005262E6">
      <w:r>
        <w:lastRenderedPageBreak/>
        <w:object w:dxaOrig="1440" w:dyaOrig="1440">
          <v:shape id="_x0000_s1305" type="#_x0000_t75" style="position:absolute;left:0;text-align:left;margin-left:41.85pt;margin-top:143.65pt;width:444.4pt;height:522.55pt;z-index:251634688;mso-wrap-distance-left:9pt;mso-wrap-distance-top:0;mso-wrap-distance-right:9pt;mso-wrap-distance-bottom:0;mso-position-vertical-relative:page;mso-width-relative:page;mso-height-relative:page">
            <v:imagedata r:id="rId563" o:title=""/>
            <o:lock v:ext="edit" aspectratio="f"/>
            <w10:wrap type="square" anchory="page"/>
          </v:shape>
          <o:OLEObject Type="Embed" ProgID="Visio.Drawing.11" ShapeID="_x0000_s1305" DrawAspect="Content" ObjectID="_1577296328" r:id="rId564"/>
        </w:object>
      </w:r>
      <w:r>
        <w:object w:dxaOrig="1440" w:dyaOrig="1440">
          <v:shape id="对象 149" o:spid="_x0000_s1306" type="#_x0000_t75" style="position:absolute;left:0;text-align:left;margin-left:581.35pt;margin-top:147pt;width:434.65pt;height:557.65pt;z-index:251635712;mso-wrap-distance-top:0;mso-wrap-distance-bottom:0;mso-position-vertical-relative:page;mso-width-relative:page;mso-height-relative:page">
            <v:imagedata r:id="rId565" o:title=""/>
            <o:lock v:ext="edit" aspectratio="f"/>
            <w10:wrap type="topAndBottom" anchory="page"/>
          </v:shape>
          <o:OLEObject Type="Embed" ProgID="Visio.Drawing.11" ShapeID="对象 149" DrawAspect="Content" ObjectID="_1577296329" r:id="rId566"/>
        </w:object>
      </w:r>
    </w:p>
    <w:p w:rsidR="00013EC7" w:rsidRDefault="00013EC7"/>
    <w:p w:rsidR="00013EC7" w:rsidRDefault="00013EC7">
      <w:pPr>
        <w:pStyle w:val="1"/>
        <w:sectPr w:rsidR="00013EC7">
          <w:pgSz w:w="23814" w:h="16840" w:orient="landscape"/>
          <w:pgMar w:top="1701" w:right="1843" w:bottom="1985" w:left="1843" w:header="851" w:footer="1701" w:gutter="0"/>
          <w:pgNumType w:fmt="numberInDash"/>
          <w:cols w:space="720"/>
          <w:docGrid w:type="lines" w:linePitch="312"/>
        </w:sectPr>
      </w:pPr>
    </w:p>
    <w:p w:rsidR="00013EC7" w:rsidRDefault="00575CDB">
      <w:pPr>
        <w:pStyle w:val="1"/>
      </w:pPr>
      <w:bookmarkStart w:id="716" w:name="_Toc19334"/>
      <w:bookmarkStart w:id="717" w:name="_Toc503467516"/>
      <w:bookmarkStart w:id="718" w:name="_Toc13221"/>
      <w:r>
        <w:rPr>
          <w:rFonts w:hint="eastAsia"/>
        </w:rPr>
        <w:lastRenderedPageBreak/>
        <w:t>三十六、非居民企业选择由其主要机构场所汇总缴纳企业所得税的审批（行政许可事项，编码</w:t>
      </w:r>
      <w:r>
        <w:rPr>
          <w:rFonts w:hint="eastAsia"/>
        </w:rPr>
        <w:t>24007</w:t>
      </w:r>
      <w:r>
        <w:rPr>
          <w:rFonts w:hint="eastAsia"/>
        </w:rPr>
        <w:t>）</w:t>
      </w:r>
      <w:bookmarkEnd w:id="716"/>
      <w:bookmarkEnd w:id="717"/>
      <w:bookmarkEnd w:id="718"/>
    </w:p>
    <w:p w:rsidR="00013EC7" w:rsidRDefault="00575CDB">
      <w:pPr>
        <w:pStyle w:val="2"/>
      </w:pPr>
      <w:bookmarkStart w:id="719" w:name="_Toc4291"/>
      <w:bookmarkStart w:id="720" w:name="_Toc672"/>
      <w:bookmarkStart w:id="721" w:name="_Toc503467517"/>
      <w:bookmarkStart w:id="722" w:name="_Toc10536"/>
      <w:r>
        <w:rPr>
          <w:rFonts w:hint="eastAsia"/>
        </w:rPr>
        <w:t>36</w:t>
      </w:r>
      <w:r>
        <w:t>.1</w:t>
      </w:r>
      <w:r>
        <w:rPr>
          <w:rFonts w:hint="eastAsia"/>
        </w:rPr>
        <w:t>非居民企业选择由其主要机构场所汇总缴纳企业所得税的审批（行政许可事项，编码</w:t>
      </w:r>
      <w:r>
        <w:rPr>
          <w:rFonts w:hint="eastAsia"/>
        </w:rPr>
        <w:t>24007</w:t>
      </w:r>
      <w:r>
        <w:rPr>
          <w:rFonts w:hint="eastAsia"/>
        </w:rPr>
        <w:t>）</w:t>
      </w:r>
      <w:bookmarkEnd w:id="719"/>
      <w:bookmarkEnd w:id="720"/>
      <w:bookmarkEnd w:id="721"/>
      <w:bookmarkEnd w:id="722"/>
    </w:p>
    <w:p w:rsidR="00013EC7" w:rsidRDefault="00575CDB">
      <w:pPr>
        <w:jc w:val="center"/>
        <w:rPr>
          <w:rFonts w:eastAsia="方正书宋简体"/>
          <w:szCs w:val="21"/>
        </w:rPr>
      </w:pPr>
      <w:r>
        <w:rPr>
          <w:rFonts w:ascii="宋体" w:hAnsi="宋体" w:cs="宋体" w:hint="eastAsia"/>
          <w:b/>
          <w:bCs/>
          <w:sz w:val="52"/>
          <w:szCs w:val="52"/>
        </w:rPr>
        <w:t>全省“最多跑一次”事项“八统一”梳理表</w:t>
      </w:r>
    </w:p>
    <w:p w:rsidR="00013EC7" w:rsidRDefault="00013EC7">
      <w:pPr>
        <w:jc w:val="center"/>
        <w:rPr>
          <w:rFonts w:eastAsia="仿宋_GB2312"/>
          <w:szCs w:val="21"/>
        </w:rPr>
      </w:pPr>
    </w:p>
    <w:tbl>
      <w:tblPr>
        <w:tblW w:w="19845"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784"/>
        <w:gridCol w:w="923"/>
        <w:gridCol w:w="3341"/>
        <w:gridCol w:w="2572"/>
        <w:gridCol w:w="1221"/>
        <w:gridCol w:w="2915"/>
        <w:gridCol w:w="1392"/>
        <w:gridCol w:w="1493"/>
        <w:gridCol w:w="868"/>
        <w:gridCol w:w="798"/>
        <w:gridCol w:w="958"/>
        <w:gridCol w:w="1104"/>
        <w:gridCol w:w="1476"/>
      </w:tblGrid>
      <w:tr w:rsidR="00013EC7">
        <w:trPr>
          <w:trHeight w:val="340"/>
          <w:tblHeader/>
          <w:jc w:val="center"/>
        </w:trPr>
        <w:tc>
          <w:tcPr>
            <w:tcW w:w="784"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主项名称</w:t>
            </w:r>
          </w:p>
        </w:tc>
        <w:tc>
          <w:tcPr>
            <w:tcW w:w="923"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子项名称</w:t>
            </w:r>
          </w:p>
        </w:tc>
        <w:tc>
          <w:tcPr>
            <w:tcW w:w="3341"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经办依据</w:t>
            </w:r>
          </w:p>
        </w:tc>
        <w:tc>
          <w:tcPr>
            <w:tcW w:w="3793"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原经办所需材料</w:t>
            </w:r>
          </w:p>
        </w:tc>
        <w:tc>
          <w:tcPr>
            <w:tcW w:w="5800" w:type="dxa"/>
            <w:gridSpan w:val="3"/>
            <w:vAlign w:val="center"/>
          </w:tcPr>
          <w:p w:rsidR="00013EC7" w:rsidRDefault="00575CDB">
            <w:pPr>
              <w:spacing w:line="280" w:lineRule="exact"/>
              <w:jc w:val="center"/>
              <w:rPr>
                <w:rFonts w:ascii="黑体" w:eastAsia="黑体"/>
                <w:sz w:val="24"/>
              </w:rPr>
            </w:pPr>
            <w:r>
              <w:rPr>
                <w:rFonts w:ascii="黑体" w:eastAsia="黑体" w:hint="eastAsia"/>
                <w:sz w:val="24"/>
              </w:rPr>
              <w:t>精简后经办所需材料</w:t>
            </w:r>
          </w:p>
        </w:tc>
        <w:tc>
          <w:tcPr>
            <w:tcW w:w="1666" w:type="dxa"/>
            <w:gridSpan w:val="2"/>
            <w:vAlign w:val="center"/>
          </w:tcPr>
          <w:p w:rsidR="00013EC7" w:rsidRDefault="00575CDB">
            <w:pPr>
              <w:spacing w:line="280" w:lineRule="exact"/>
              <w:jc w:val="center"/>
              <w:rPr>
                <w:rFonts w:ascii="黑体" w:eastAsia="黑体"/>
                <w:sz w:val="24"/>
              </w:rPr>
            </w:pPr>
            <w:r>
              <w:rPr>
                <w:rFonts w:ascii="黑体" w:eastAsia="黑体" w:hint="eastAsia"/>
                <w:sz w:val="24"/>
              </w:rPr>
              <w:t>办理时限</w:t>
            </w:r>
          </w:p>
        </w:tc>
        <w:tc>
          <w:tcPr>
            <w:tcW w:w="958"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是否实现跑零次</w:t>
            </w:r>
          </w:p>
        </w:tc>
        <w:tc>
          <w:tcPr>
            <w:tcW w:w="1104"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省厅对口</w:t>
            </w:r>
          </w:p>
          <w:p w:rsidR="00013EC7" w:rsidRDefault="00575CDB">
            <w:pPr>
              <w:spacing w:line="280" w:lineRule="exact"/>
              <w:jc w:val="center"/>
              <w:rPr>
                <w:rFonts w:ascii="黑体" w:eastAsia="黑体"/>
                <w:sz w:val="24"/>
              </w:rPr>
            </w:pPr>
            <w:r>
              <w:rPr>
                <w:rFonts w:ascii="黑体" w:eastAsia="黑体" w:hint="eastAsia"/>
                <w:sz w:val="24"/>
              </w:rPr>
              <w:t>指导处室</w:t>
            </w:r>
          </w:p>
          <w:p w:rsidR="00013EC7" w:rsidRDefault="00575CDB">
            <w:pPr>
              <w:spacing w:line="280" w:lineRule="exact"/>
              <w:jc w:val="center"/>
              <w:rPr>
                <w:rFonts w:ascii="黑体" w:eastAsia="黑体"/>
                <w:sz w:val="24"/>
              </w:rPr>
            </w:pPr>
            <w:r>
              <w:rPr>
                <w:rFonts w:ascii="黑体" w:eastAsia="黑体" w:hint="eastAsia"/>
                <w:sz w:val="24"/>
              </w:rPr>
              <w:t>（单位）</w:t>
            </w:r>
          </w:p>
        </w:tc>
        <w:tc>
          <w:tcPr>
            <w:tcW w:w="1476" w:type="dxa"/>
            <w:vMerge w:val="restart"/>
            <w:vAlign w:val="center"/>
          </w:tcPr>
          <w:p w:rsidR="00013EC7" w:rsidRDefault="00575CDB">
            <w:pPr>
              <w:spacing w:line="280" w:lineRule="exact"/>
              <w:jc w:val="center"/>
              <w:rPr>
                <w:rFonts w:ascii="黑体" w:eastAsia="黑体"/>
                <w:sz w:val="24"/>
              </w:rPr>
            </w:pPr>
            <w:r>
              <w:rPr>
                <w:rFonts w:ascii="黑体" w:eastAsia="黑体" w:hint="eastAsia"/>
                <w:sz w:val="24"/>
              </w:rPr>
              <w:t>进一步精简、</w:t>
            </w:r>
          </w:p>
          <w:p w:rsidR="00013EC7" w:rsidRDefault="00575CDB">
            <w:pPr>
              <w:spacing w:line="280" w:lineRule="exact"/>
              <w:jc w:val="center"/>
              <w:rPr>
                <w:rFonts w:ascii="黑体" w:eastAsia="黑体"/>
                <w:sz w:val="24"/>
              </w:rPr>
            </w:pPr>
            <w:r>
              <w:rPr>
                <w:rFonts w:ascii="黑体" w:eastAsia="黑体" w:hint="eastAsia"/>
                <w:sz w:val="24"/>
              </w:rPr>
              <w:t>规范建议</w:t>
            </w:r>
          </w:p>
        </w:tc>
      </w:tr>
      <w:tr w:rsidR="00013EC7">
        <w:trPr>
          <w:trHeight w:val="340"/>
          <w:tblHeader/>
          <w:jc w:val="center"/>
        </w:trPr>
        <w:tc>
          <w:tcPr>
            <w:tcW w:w="784" w:type="dxa"/>
            <w:vMerge/>
            <w:vAlign w:val="center"/>
          </w:tcPr>
          <w:p w:rsidR="00013EC7" w:rsidRDefault="00013EC7">
            <w:pPr>
              <w:spacing w:line="280" w:lineRule="exact"/>
              <w:jc w:val="center"/>
              <w:rPr>
                <w:rFonts w:ascii="黑体" w:eastAsia="黑体"/>
                <w:sz w:val="24"/>
              </w:rPr>
            </w:pPr>
          </w:p>
        </w:tc>
        <w:tc>
          <w:tcPr>
            <w:tcW w:w="923" w:type="dxa"/>
            <w:vMerge/>
          </w:tcPr>
          <w:p w:rsidR="00013EC7" w:rsidRDefault="00013EC7">
            <w:pPr>
              <w:spacing w:line="280" w:lineRule="exact"/>
              <w:jc w:val="center"/>
              <w:rPr>
                <w:rFonts w:ascii="黑体" w:eastAsia="黑体"/>
                <w:sz w:val="24"/>
              </w:rPr>
            </w:pPr>
          </w:p>
        </w:tc>
        <w:tc>
          <w:tcPr>
            <w:tcW w:w="3341" w:type="dxa"/>
            <w:vMerge/>
          </w:tcPr>
          <w:p w:rsidR="00013EC7" w:rsidRDefault="00013EC7">
            <w:pPr>
              <w:spacing w:line="280" w:lineRule="exact"/>
              <w:jc w:val="center"/>
              <w:rPr>
                <w:rFonts w:ascii="黑体" w:eastAsia="黑体"/>
                <w:sz w:val="24"/>
              </w:rPr>
            </w:pPr>
          </w:p>
        </w:tc>
        <w:tc>
          <w:tcPr>
            <w:tcW w:w="2572" w:type="dxa"/>
            <w:tcBorders>
              <w:bottom w:val="single" w:sz="4" w:space="0" w:color="auto"/>
            </w:tcBorders>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221"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2915" w:type="dxa"/>
            <w:vAlign w:val="center"/>
          </w:tcPr>
          <w:p w:rsidR="00013EC7" w:rsidRDefault="00575CDB">
            <w:pPr>
              <w:spacing w:line="280" w:lineRule="exact"/>
              <w:jc w:val="center"/>
              <w:rPr>
                <w:rFonts w:ascii="黑体" w:eastAsia="黑体"/>
                <w:sz w:val="24"/>
              </w:rPr>
            </w:pPr>
            <w:r>
              <w:rPr>
                <w:rFonts w:ascii="黑体" w:eastAsia="黑体" w:hint="eastAsia"/>
                <w:sz w:val="24"/>
              </w:rPr>
              <w:t>材料明细</w:t>
            </w:r>
          </w:p>
        </w:tc>
        <w:tc>
          <w:tcPr>
            <w:tcW w:w="1392" w:type="dxa"/>
            <w:vAlign w:val="center"/>
          </w:tcPr>
          <w:p w:rsidR="00013EC7" w:rsidRDefault="00575CDB">
            <w:pPr>
              <w:spacing w:line="280" w:lineRule="exact"/>
              <w:jc w:val="center"/>
              <w:rPr>
                <w:rFonts w:ascii="黑体" w:eastAsia="黑体"/>
                <w:sz w:val="24"/>
              </w:rPr>
            </w:pPr>
            <w:r>
              <w:rPr>
                <w:rFonts w:ascii="黑体" w:eastAsia="黑体" w:hint="eastAsia"/>
                <w:sz w:val="24"/>
              </w:rPr>
              <w:t>材料来源</w:t>
            </w:r>
          </w:p>
        </w:tc>
        <w:tc>
          <w:tcPr>
            <w:tcW w:w="1493" w:type="dxa"/>
            <w:vAlign w:val="center"/>
          </w:tcPr>
          <w:p w:rsidR="00013EC7" w:rsidRDefault="00575CDB">
            <w:pPr>
              <w:spacing w:line="280" w:lineRule="exact"/>
              <w:jc w:val="center"/>
              <w:rPr>
                <w:rFonts w:ascii="黑体" w:eastAsia="黑体"/>
                <w:sz w:val="24"/>
              </w:rPr>
            </w:pPr>
            <w:r>
              <w:rPr>
                <w:rFonts w:ascii="黑体" w:eastAsia="黑体" w:hint="eastAsia"/>
                <w:sz w:val="24"/>
              </w:rPr>
              <w:t>办理方式及材料</w:t>
            </w:r>
          </w:p>
          <w:p w:rsidR="00013EC7" w:rsidRDefault="00575CDB">
            <w:pPr>
              <w:spacing w:line="280" w:lineRule="exact"/>
              <w:jc w:val="center"/>
              <w:rPr>
                <w:rFonts w:ascii="黑体" w:eastAsia="黑体"/>
                <w:sz w:val="24"/>
              </w:rPr>
            </w:pPr>
            <w:r>
              <w:rPr>
                <w:rFonts w:ascii="黑体" w:eastAsia="黑体" w:hint="eastAsia"/>
                <w:sz w:val="24"/>
              </w:rPr>
              <w:t>信息获取方式说明</w:t>
            </w:r>
          </w:p>
        </w:tc>
        <w:tc>
          <w:tcPr>
            <w:tcW w:w="868" w:type="dxa"/>
            <w:vAlign w:val="center"/>
          </w:tcPr>
          <w:p w:rsidR="00013EC7" w:rsidRDefault="00575CDB">
            <w:pPr>
              <w:spacing w:line="280" w:lineRule="exact"/>
              <w:jc w:val="center"/>
              <w:rPr>
                <w:rFonts w:ascii="黑体" w:eastAsia="黑体"/>
                <w:sz w:val="24"/>
              </w:rPr>
            </w:pPr>
            <w:r>
              <w:rPr>
                <w:rFonts w:ascii="黑体" w:eastAsia="黑体" w:hint="eastAsia"/>
                <w:sz w:val="24"/>
              </w:rPr>
              <w:t>优化前</w:t>
            </w:r>
          </w:p>
        </w:tc>
        <w:tc>
          <w:tcPr>
            <w:tcW w:w="798" w:type="dxa"/>
            <w:vAlign w:val="center"/>
          </w:tcPr>
          <w:p w:rsidR="00013EC7" w:rsidRDefault="00575CDB">
            <w:pPr>
              <w:spacing w:line="280" w:lineRule="exact"/>
              <w:jc w:val="center"/>
              <w:rPr>
                <w:rFonts w:ascii="黑体" w:eastAsia="黑体"/>
                <w:sz w:val="24"/>
              </w:rPr>
            </w:pPr>
            <w:r>
              <w:rPr>
                <w:rFonts w:ascii="黑体" w:eastAsia="黑体" w:hint="eastAsia"/>
                <w:sz w:val="24"/>
              </w:rPr>
              <w:t>优化后</w:t>
            </w:r>
          </w:p>
        </w:tc>
        <w:tc>
          <w:tcPr>
            <w:tcW w:w="958" w:type="dxa"/>
            <w:vMerge/>
            <w:vAlign w:val="center"/>
          </w:tcPr>
          <w:p w:rsidR="00013EC7" w:rsidRDefault="00013EC7">
            <w:pPr>
              <w:spacing w:line="280" w:lineRule="exact"/>
              <w:jc w:val="center"/>
              <w:rPr>
                <w:rFonts w:ascii="黑体" w:eastAsia="黑体"/>
                <w:sz w:val="24"/>
              </w:rPr>
            </w:pPr>
          </w:p>
        </w:tc>
        <w:tc>
          <w:tcPr>
            <w:tcW w:w="1104" w:type="dxa"/>
            <w:vMerge/>
            <w:vAlign w:val="center"/>
          </w:tcPr>
          <w:p w:rsidR="00013EC7" w:rsidRDefault="00013EC7">
            <w:pPr>
              <w:spacing w:line="280" w:lineRule="exact"/>
              <w:jc w:val="center"/>
              <w:rPr>
                <w:rFonts w:ascii="黑体" w:eastAsia="黑体"/>
                <w:sz w:val="24"/>
              </w:rPr>
            </w:pPr>
          </w:p>
        </w:tc>
        <w:tc>
          <w:tcPr>
            <w:tcW w:w="1476" w:type="dxa"/>
            <w:vMerge/>
            <w:vAlign w:val="center"/>
          </w:tcPr>
          <w:p w:rsidR="00013EC7" w:rsidRDefault="00013EC7">
            <w:pPr>
              <w:spacing w:line="280" w:lineRule="exact"/>
              <w:jc w:val="center"/>
              <w:rPr>
                <w:rFonts w:ascii="黑体" w:eastAsia="黑体"/>
                <w:sz w:val="24"/>
              </w:rPr>
            </w:pPr>
          </w:p>
        </w:tc>
      </w:tr>
      <w:tr w:rsidR="00013EC7">
        <w:trPr>
          <w:trHeight w:val="1203"/>
          <w:jc w:val="center"/>
        </w:trPr>
        <w:tc>
          <w:tcPr>
            <w:tcW w:w="784" w:type="dxa"/>
            <w:vMerge w:val="restart"/>
            <w:vAlign w:val="center"/>
          </w:tcPr>
          <w:p w:rsidR="00013EC7" w:rsidRDefault="00575CDB">
            <w:pPr>
              <w:spacing w:line="310" w:lineRule="exact"/>
              <w:jc w:val="left"/>
              <w:rPr>
                <w:rFonts w:eastAsia="方正书宋简体"/>
                <w:szCs w:val="21"/>
              </w:rPr>
            </w:pPr>
            <w:r>
              <w:rPr>
                <w:rFonts w:ascii="仿宋" w:eastAsia="仿宋" w:hAnsi="仿宋" w:hint="eastAsia"/>
                <w:sz w:val="24"/>
              </w:rPr>
              <w:t>36</w:t>
            </w:r>
            <w:r>
              <w:rPr>
                <w:rFonts w:ascii="仿宋" w:eastAsia="仿宋" w:hAnsi="仿宋"/>
                <w:sz w:val="24"/>
              </w:rPr>
              <w:t>.</w:t>
            </w:r>
            <w:r>
              <w:rPr>
                <w:rFonts w:ascii="仿宋" w:eastAsia="仿宋" w:hAnsi="仿宋" w:hint="eastAsia"/>
                <w:sz w:val="24"/>
              </w:rPr>
              <w:t>非居民企业选择由其主要机构场所汇总缴纳企业所得税的审批（行政许可事项，编码24007）</w:t>
            </w:r>
          </w:p>
        </w:tc>
        <w:tc>
          <w:tcPr>
            <w:tcW w:w="923" w:type="dxa"/>
            <w:vMerge w:val="restart"/>
            <w:vAlign w:val="center"/>
          </w:tcPr>
          <w:p w:rsidR="00013EC7" w:rsidRDefault="00575CDB">
            <w:pPr>
              <w:spacing w:line="310" w:lineRule="exact"/>
              <w:jc w:val="left"/>
              <w:rPr>
                <w:rFonts w:ascii="仿宋" w:eastAsia="仿宋" w:hAnsi="仿宋"/>
                <w:sz w:val="24"/>
              </w:rPr>
            </w:pPr>
            <w:r>
              <w:rPr>
                <w:rFonts w:ascii="仿宋" w:eastAsia="仿宋" w:hAnsi="仿宋" w:hint="eastAsia"/>
                <w:sz w:val="24"/>
              </w:rPr>
              <w:t>36</w:t>
            </w:r>
            <w:r>
              <w:rPr>
                <w:rFonts w:ascii="仿宋" w:eastAsia="仿宋" w:hAnsi="仿宋"/>
                <w:sz w:val="24"/>
              </w:rPr>
              <w:t>.1</w:t>
            </w:r>
            <w:r>
              <w:rPr>
                <w:rFonts w:ascii="仿宋" w:eastAsia="仿宋" w:hAnsi="仿宋" w:hint="eastAsia"/>
                <w:sz w:val="24"/>
              </w:rPr>
              <w:t>非居民企业选择由其主要机构场所汇总缴纳企业所得税的审批（行政许可事项，编码24007）</w:t>
            </w:r>
          </w:p>
        </w:tc>
        <w:tc>
          <w:tcPr>
            <w:tcW w:w="3341" w:type="dxa"/>
            <w:vMerge w:val="restart"/>
            <w:vAlign w:val="center"/>
          </w:tcPr>
          <w:p w:rsidR="00013EC7" w:rsidRDefault="00575CDB">
            <w:pPr>
              <w:spacing w:line="310" w:lineRule="exact"/>
              <w:jc w:val="left"/>
              <w:rPr>
                <w:rFonts w:ascii="仿宋" w:eastAsia="仿宋" w:hAnsi="仿宋"/>
                <w:sz w:val="24"/>
              </w:rPr>
            </w:pPr>
            <w:r>
              <w:rPr>
                <w:rFonts w:ascii="仿宋" w:eastAsia="仿宋" w:hAnsi="仿宋" w:hint="eastAsia"/>
                <w:sz w:val="24"/>
              </w:rPr>
              <w:t>（一）《中华人民共和国企业所得税法》（2017年中华人民共和国主席令第63号）第五十一条。</w:t>
            </w:r>
          </w:p>
          <w:p w:rsidR="00013EC7" w:rsidRDefault="00575CDB">
            <w:pPr>
              <w:spacing w:line="310" w:lineRule="exact"/>
              <w:jc w:val="left"/>
              <w:rPr>
                <w:rFonts w:ascii="仿宋" w:eastAsia="仿宋" w:hAnsi="仿宋"/>
                <w:sz w:val="24"/>
              </w:rPr>
            </w:pPr>
            <w:r>
              <w:rPr>
                <w:rFonts w:ascii="仿宋" w:eastAsia="仿宋" w:hAnsi="仿宋" w:hint="eastAsia"/>
                <w:sz w:val="24"/>
              </w:rPr>
              <w:t>（二）《中华人民共和国企业所得税法实施条例》（2007年中华人民共和国国务院令第512号）第一百二十七条。</w:t>
            </w:r>
          </w:p>
          <w:p w:rsidR="00013EC7" w:rsidRDefault="00575CDB">
            <w:pPr>
              <w:spacing w:line="310" w:lineRule="exact"/>
              <w:jc w:val="left"/>
              <w:rPr>
                <w:rFonts w:ascii="仿宋" w:eastAsia="仿宋" w:hAnsi="仿宋"/>
                <w:sz w:val="24"/>
              </w:rPr>
            </w:pPr>
            <w:r>
              <w:rPr>
                <w:rFonts w:ascii="仿宋" w:eastAsia="仿宋" w:hAnsi="仿宋" w:hint="eastAsia"/>
                <w:sz w:val="24"/>
              </w:rPr>
              <w:t>（三）《国家税务总局关于公开行政审批事项等相关工作的公告》（国家税务总局公告2014年第10号）全文。</w:t>
            </w:r>
          </w:p>
          <w:p w:rsidR="00013EC7" w:rsidRDefault="00575CDB">
            <w:pPr>
              <w:spacing w:line="310" w:lineRule="exact"/>
              <w:jc w:val="left"/>
              <w:rPr>
                <w:rFonts w:ascii="仿宋" w:eastAsia="仿宋" w:hAnsi="仿宋"/>
                <w:sz w:val="24"/>
              </w:rPr>
            </w:pPr>
            <w:r>
              <w:rPr>
                <w:rFonts w:ascii="仿宋" w:eastAsia="仿宋" w:hAnsi="仿宋" w:hint="eastAsia"/>
                <w:sz w:val="24"/>
              </w:rPr>
              <w:t>（四）《国家税务总局关于更新税务行政许可事项目录的公告》（国家税务总局公告2016年第10号）全文 。</w:t>
            </w:r>
          </w:p>
          <w:p w:rsidR="00013EC7" w:rsidRDefault="00575CDB">
            <w:pPr>
              <w:spacing w:line="310" w:lineRule="exact"/>
              <w:jc w:val="left"/>
              <w:rPr>
                <w:rFonts w:ascii="仿宋" w:eastAsia="仿宋" w:hAnsi="仿宋"/>
                <w:sz w:val="24"/>
              </w:rPr>
            </w:pPr>
            <w:r>
              <w:rPr>
                <w:rFonts w:ascii="仿宋" w:eastAsia="仿宋" w:hAnsi="仿宋" w:hint="eastAsia"/>
                <w:sz w:val="24"/>
              </w:rPr>
              <w:t>（五）《国家税务总局关于税务行政许可若干问题的公告》（国家税务总局公告2016年第11号）全文。</w:t>
            </w:r>
          </w:p>
          <w:p w:rsidR="00013EC7" w:rsidRDefault="00575CDB">
            <w:pPr>
              <w:spacing w:line="310" w:lineRule="exact"/>
              <w:jc w:val="left"/>
              <w:rPr>
                <w:rFonts w:ascii="仿宋" w:eastAsia="仿宋" w:hAnsi="仿宋"/>
                <w:sz w:val="24"/>
              </w:rPr>
            </w:pPr>
            <w:r>
              <w:rPr>
                <w:rFonts w:ascii="仿宋" w:eastAsia="仿宋" w:hAnsi="仿宋" w:hint="eastAsia"/>
                <w:sz w:val="24"/>
              </w:rPr>
              <w:t>（六）《国家税务总局关于简化税务行政许可事项办理程序的公告》（国家税务总局公告2017年第21号）全文。</w:t>
            </w:r>
          </w:p>
          <w:p w:rsidR="00013EC7" w:rsidRDefault="00013EC7">
            <w:pPr>
              <w:spacing w:line="310" w:lineRule="exact"/>
              <w:jc w:val="left"/>
              <w:rPr>
                <w:rFonts w:ascii="仿宋" w:eastAsia="仿宋" w:hAnsi="仿宋"/>
                <w:sz w:val="24"/>
              </w:rPr>
            </w:pPr>
          </w:p>
          <w:p w:rsidR="00013EC7" w:rsidRDefault="00013EC7">
            <w:pPr>
              <w:spacing w:line="310" w:lineRule="exact"/>
              <w:jc w:val="left"/>
              <w:rPr>
                <w:rFonts w:ascii="仿宋" w:eastAsia="仿宋" w:hAnsi="仿宋"/>
                <w:sz w:val="24"/>
              </w:rPr>
            </w:pPr>
          </w:p>
          <w:p w:rsidR="00013EC7" w:rsidRDefault="00013EC7">
            <w:pPr>
              <w:spacing w:line="310" w:lineRule="exact"/>
              <w:jc w:val="left"/>
              <w:rPr>
                <w:rFonts w:ascii="仿宋" w:eastAsia="仿宋" w:hAnsi="仿宋"/>
                <w:sz w:val="24"/>
              </w:rPr>
            </w:pPr>
          </w:p>
        </w:tc>
        <w:tc>
          <w:tcPr>
            <w:tcW w:w="2572" w:type="dxa"/>
            <w:tcBorders>
              <w:top w:val="single" w:sz="4" w:space="0" w:color="auto"/>
              <w:bottom w:val="single" w:sz="4" w:space="0" w:color="auto"/>
            </w:tcBorders>
            <w:vAlign w:val="center"/>
          </w:tcPr>
          <w:p w:rsidR="00013EC7" w:rsidRDefault="00575CDB">
            <w:pPr>
              <w:spacing w:line="300" w:lineRule="exact"/>
              <w:jc w:val="left"/>
              <w:rPr>
                <w:rFonts w:ascii="仿宋" w:eastAsia="仿宋" w:hAnsi="仿宋"/>
                <w:sz w:val="24"/>
              </w:rPr>
            </w:pPr>
            <w:r>
              <w:rPr>
                <w:rFonts w:ascii="仿宋" w:eastAsia="仿宋" w:hAnsi="仿宋" w:hint="eastAsia"/>
                <w:sz w:val="24"/>
              </w:rPr>
              <w:t>（一）（</w:t>
            </w:r>
            <w:hyperlink r:id="rId567" w:history="1">
              <w:r>
                <w:rPr>
                  <w:rFonts w:ascii="仿宋" w:eastAsia="仿宋" w:hAnsi="仿宋" w:cs="宋体"/>
                  <w:sz w:val="24"/>
                </w:rPr>
                <w:t>A13005</w:t>
              </w:r>
              <w:r>
                <w:rPr>
                  <w:rFonts w:ascii="仿宋" w:eastAsia="仿宋" w:hAnsi="仿宋" w:cs="宋体" w:hint="eastAsia"/>
                  <w:sz w:val="24"/>
                </w:rPr>
                <w:t>）</w:t>
              </w:r>
              <w:r>
                <w:rPr>
                  <w:rFonts w:ascii="仿宋" w:eastAsia="仿宋" w:hAnsi="仿宋"/>
                  <w:sz w:val="24"/>
                </w:rPr>
                <w:t>《税务行政许可申请表》</w:t>
              </w:r>
            </w:hyperlink>
            <w:r>
              <w:rPr>
                <w:rFonts w:ascii="仿宋" w:eastAsia="仿宋" w:hAnsi="仿宋" w:cs="宋体"/>
                <w:sz w:val="24"/>
              </w:rPr>
              <w:t>1份</w:t>
            </w:r>
            <w:r>
              <w:rPr>
                <w:rFonts w:ascii="仿宋" w:eastAsia="仿宋" w:hAnsi="仿宋" w:cs="宋体" w:hint="eastAsia"/>
                <w:sz w:val="24"/>
              </w:rPr>
              <w:t>。</w:t>
            </w:r>
          </w:p>
        </w:tc>
        <w:tc>
          <w:tcPr>
            <w:tcW w:w="1221" w:type="dxa"/>
            <w:vMerge w:val="restart"/>
            <w:vAlign w:val="center"/>
          </w:tcPr>
          <w:p w:rsidR="00013EC7" w:rsidRDefault="00575CDB">
            <w:pPr>
              <w:spacing w:line="300" w:lineRule="exact"/>
              <w:jc w:val="left"/>
              <w:rPr>
                <w:rFonts w:ascii="仿宋" w:eastAsia="仿宋" w:hAnsi="仿宋"/>
                <w:sz w:val="24"/>
              </w:rPr>
            </w:pPr>
            <w:r>
              <w:rPr>
                <w:rFonts w:ascii="仿宋" w:eastAsia="仿宋" w:hAnsi="仿宋" w:hint="eastAsia"/>
                <w:sz w:val="24"/>
              </w:rPr>
              <w:t>纳税人</w:t>
            </w:r>
            <w:r>
              <w:rPr>
                <w:rFonts w:ascii="仿宋" w:eastAsia="仿宋" w:hAnsi="仿宋"/>
                <w:sz w:val="24"/>
              </w:rPr>
              <w:t>提交</w:t>
            </w:r>
          </w:p>
        </w:tc>
        <w:tc>
          <w:tcPr>
            <w:tcW w:w="2915" w:type="dxa"/>
            <w:vAlign w:val="center"/>
          </w:tcPr>
          <w:p w:rsidR="00013EC7" w:rsidRDefault="00575CDB">
            <w:pPr>
              <w:spacing w:line="300" w:lineRule="exact"/>
              <w:jc w:val="left"/>
              <w:rPr>
                <w:rFonts w:ascii="仿宋" w:eastAsia="仿宋" w:hAnsi="仿宋"/>
                <w:sz w:val="24"/>
              </w:rPr>
            </w:pPr>
            <w:r>
              <w:rPr>
                <w:rFonts w:ascii="仿宋" w:eastAsia="仿宋" w:hAnsi="仿宋" w:hint="eastAsia"/>
                <w:sz w:val="24"/>
              </w:rPr>
              <w:t>（一）（</w:t>
            </w:r>
            <w:hyperlink r:id="rId568" w:history="1">
              <w:r>
                <w:rPr>
                  <w:rFonts w:ascii="仿宋" w:eastAsia="仿宋" w:hAnsi="仿宋" w:cs="宋体"/>
                  <w:sz w:val="24"/>
                </w:rPr>
                <w:t>A13005</w:t>
              </w:r>
              <w:r>
                <w:rPr>
                  <w:rFonts w:ascii="仿宋" w:eastAsia="仿宋" w:hAnsi="仿宋" w:cs="宋体" w:hint="eastAsia"/>
                  <w:sz w:val="24"/>
                </w:rPr>
                <w:t>）</w:t>
              </w:r>
              <w:r>
                <w:rPr>
                  <w:rFonts w:ascii="仿宋" w:eastAsia="仿宋" w:hAnsi="仿宋" w:cs="宋体"/>
                  <w:sz w:val="24"/>
                </w:rPr>
                <w:t>《税务行政许可申请表》</w:t>
              </w:r>
            </w:hyperlink>
            <w:r>
              <w:rPr>
                <w:rFonts w:ascii="仿宋" w:eastAsia="仿宋" w:hAnsi="仿宋" w:cs="宋体"/>
                <w:sz w:val="24"/>
              </w:rPr>
              <w:t>1份</w:t>
            </w:r>
            <w:r>
              <w:rPr>
                <w:rFonts w:ascii="仿宋" w:eastAsia="仿宋" w:hAnsi="仿宋" w:cs="宋体" w:hint="eastAsia"/>
                <w:sz w:val="24"/>
              </w:rPr>
              <w:t>。</w:t>
            </w:r>
          </w:p>
          <w:p w:rsidR="00013EC7" w:rsidRDefault="00013EC7">
            <w:pPr>
              <w:spacing w:line="300" w:lineRule="exact"/>
              <w:jc w:val="left"/>
              <w:rPr>
                <w:rFonts w:ascii="仿宋" w:eastAsia="仿宋" w:hAnsi="仿宋"/>
                <w:sz w:val="24"/>
              </w:rPr>
            </w:pPr>
          </w:p>
        </w:tc>
        <w:tc>
          <w:tcPr>
            <w:tcW w:w="1392" w:type="dxa"/>
            <w:vMerge w:val="restart"/>
            <w:vAlign w:val="center"/>
          </w:tcPr>
          <w:p w:rsidR="00013EC7" w:rsidRDefault="00575CDB">
            <w:pPr>
              <w:spacing w:line="300" w:lineRule="exact"/>
              <w:jc w:val="left"/>
              <w:rPr>
                <w:rFonts w:ascii="仿宋" w:eastAsia="仿宋" w:hAnsi="仿宋"/>
                <w:b/>
                <w:bCs/>
                <w:i/>
                <w:iCs/>
                <w:sz w:val="24"/>
              </w:rPr>
            </w:pPr>
            <w:r>
              <w:rPr>
                <w:rFonts w:ascii="仿宋" w:eastAsia="仿宋" w:hAnsi="仿宋" w:hint="eastAsia"/>
                <w:sz w:val="24"/>
              </w:rPr>
              <w:t>纳税人</w:t>
            </w:r>
            <w:r>
              <w:rPr>
                <w:rFonts w:ascii="仿宋" w:eastAsia="仿宋" w:hAnsi="仿宋"/>
                <w:sz w:val="24"/>
              </w:rPr>
              <w:t>提交</w:t>
            </w:r>
          </w:p>
        </w:tc>
        <w:tc>
          <w:tcPr>
            <w:tcW w:w="1493" w:type="dxa"/>
            <w:vMerge w:val="restart"/>
            <w:vAlign w:val="center"/>
          </w:tcPr>
          <w:p w:rsidR="00013EC7" w:rsidRDefault="00575CDB">
            <w:pPr>
              <w:spacing w:line="300" w:lineRule="exact"/>
              <w:jc w:val="left"/>
              <w:rPr>
                <w:rFonts w:ascii="仿宋" w:eastAsia="仿宋" w:hAnsi="仿宋" w:cs="仿宋"/>
                <w:sz w:val="24"/>
              </w:rPr>
            </w:pPr>
            <w:r>
              <w:rPr>
                <w:rFonts w:ascii="仿宋" w:eastAsia="仿宋" w:hAnsi="仿宋" w:cs="仿宋" w:hint="eastAsia"/>
                <w:b/>
                <w:sz w:val="24"/>
              </w:rPr>
              <w:t>现场办理：</w:t>
            </w:r>
            <w:r>
              <w:rPr>
                <w:rFonts w:ascii="仿宋" w:eastAsia="仿宋" w:hAnsi="仿宋" w:cs="仿宋" w:hint="eastAsia"/>
                <w:sz w:val="24"/>
              </w:rPr>
              <w:t>申请单位提交书面材料。</w:t>
            </w:r>
          </w:p>
          <w:p w:rsidR="00013EC7" w:rsidRDefault="00575CDB">
            <w:pPr>
              <w:spacing w:line="300" w:lineRule="exact"/>
              <w:jc w:val="left"/>
              <w:rPr>
                <w:rFonts w:ascii="仿宋" w:eastAsia="仿宋" w:hAnsi="仿宋" w:cs="仿宋"/>
                <w:sz w:val="24"/>
              </w:rPr>
            </w:pPr>
            <w:r>
              <w:rPr>
                <w:rFonts w:ascii="仿宋" w:eastAsia="仿宋" w:hAnsi="仿宋" w:cs="仿宋" w:hint="eastAsia"/>
                <w:b/>
                <w:sz w:val="24"/>
              </w:rPr>
              <w:t>网上办理：</w:t>
            </w:r>
            <w:r>
              <w:rPr>
                <w:rFonts w:ascii="仿宋" w:eastAsia="仿宋" w:hAnsi="仿宋" w:cs="仿宋" w:hint="eastAsia"/>
                <w:sz w:val="24"/>
              </w:rPr>
              <w:t>登录浙江国税电子税务局（网址：http://etax.zjtax.gov.cn/</w:t>
            </w:r>
          </w:p>
          <w:p w:rsidR="00013EC7" w:rsidRDefault="00575CDB">
            <w:pPr>
              <w:spacing w:line="300" w:lineRule="exact"/>
              <w:jc w:val="left"/>
              <w:rPr>
                <w:rFonts w:ascii="仿宋" w:eastAsia="仿宋" w:hAnsi="仿宋" w:cs="仿宋"/>
                <w:sz w:val="24"/>
              </w:rPr>
            </w:pPr>
            <w:r>
              <w:rPr>
                <w:rFonts w:ascii="仿宋" w:eastAsia="仿宋" w:hAnsi="仿宋" w:cs="仿宋" w:hint="eastAsia"/>
                <w:sz w:val="24"/>
              </w:rPr>
              <w:t>）提交申请。</w:t>
            </w:r>
          </w:p>
          <w:p w:rsidR="00013EC7" w:rsidRDefault="00013EC7">
            <w:pPr>
              <w:spacing w:line="300" w:lineRule="exact"/>
              <w:jc w:val="left"/>
              <w:rPr>
                <w:rFonts w:ascii="仿宋" w:eastAsia="仿宋" w:hAnsi="仿宋" w:cs="仿宋"/>
                <w:sz w:val="24"/>
              </w:rPr>
            </w:pPr>
          </w:p>
          <w:p w:rsidR="00013EC7" w:rsidRDefault="00013EC7">
            <w:pPr>
              <w:spacing w:line="300" w:lineRule="exact"/>
              <w:jc w:val="left"/>
              <w:rPr>
                <w:rFonts w:ascii="仿宋" w:eastAsia="仿宋" w:hAnsi="仿宋"/>
                <w:sz w:val="24"/>
              </w:rPr>
            </w:pPr>
          </w:p>
        </w:tc>
        <w:tc>
          <w:tcPr>
            <w:tcW w:w="868" w:type="dxa"/>
            <w:vMerge w:val="restart"/>
            <w:vAlign w:val="center"/>
          </w:tcPr>
          <w:p w:rsidR="00013EC7" w:rsidRDefault="00575CDB">
            <w:pPr>
              <w:spacing w:line="300" w:lineRule="exact"/>
              <w:jc w:val="left"/>
              <w:rPr>
                <w:rFonts w:ascii="仿宋" w:eastAsia="仿宋" w:hAnsi="仿宋"/>
                <w:sz w:val="24"/>
              </w:rPr>
            </w:pPr>
            <w:r>
              <w:rPr>
                <w:rFonts w:ascii="仿宋" w:eastAsia="仿宋" w:hAnsi="仿宋"/>
                <w:sz w:val="24"/>
              </w:rPr>
              <w:t>20个</w:t>
            </w:r>
          </w:p>
          <w:p w:rsidR="00013EC7" w:rsidRDefault="00575CDB">
            <w:pPr>
              <w:spacing w:line="300" w:lineRule="exact"/>
              <w:jc w:val="left"/>
              <w:rPr>
                <w:rFonts w:ascii="仿宋" w:eastAsia="仿宋" w:hAnsi="仿宋"/>
                <w:sz w:val="24"/>
              </w:rPr>
            </w:pPr>
            <w:r>
              <w:rPr>
                <w:rFonts w:ascii="仿宋" w:eastAsia="仿宋" w:hAnsi="仿宋"/>
                <w:sz w:val="24"/>
              </w:rPr>
              <w:t>工作日</w:t>
            </w:r>
          </w:p>
        </w:tc>
        <w:tc>
          <w:tcPr>
            <w:tcW w:w="798" w:type="dxa"/>
            <w:vMerge w:val="restart"/>
            <w:vAlign w:val="center"/>
          </w:tcPr>
          <w:p w:rsidR="00013EC7" w:rsidRDefault="00575CDB">
            <w:pPr>
              <w:spacing w:line="300" w:lineRule="exact"/>
              <w:jc w:val="left"/>
              <w:rPr>
                <w:rFonts w:ascii="仿宋" w:eastAsia="仿宋" w:hAnsi="仿宋"/>
                <w:sz w:val="24"/>
              </w:rPr>
            </w:pPr>
            <w:r>
              <w:rPr>
                <w:rFonts w:ascii="仿宋" w:eastAsia="仿宋" w:hAnsi="仿宋" w:hint="eastAsia"/>
                <w:sz w:val="24"/>
              </w:rPr>
              <w:t>20</w:t>
            </w:r>
            <w:r>
              <w:rPr>
                <w:rFonts w:ascii="仿宋" w:eastAsia="仿宋" w:hAnsi="仿宋"/>
                <w:sz w:val="24"/>
              </w:rPr>
              <w:t>个</w:t>
            </w:r>
          </w:p>
          <w:p w:rsidR="00013EC7" w:rsidRDefault="00575CDB">
            <w:pPr>
              <w:spacing w:line="300" w:lineRule="exact"/>
              <w:jc w:val="left"/>
              <w:rPr>
                <w:rFonts w:ascii="仿宋" w:eastAsia="仿宋" w:hAnsi="仿宋"/>
                <w:sz w:val="24"/>
              </w:rPr>
            </w:pPr>
            <w:r>
              <w:rPr>
                <w:rFonts w:ascii="仿宋" w:eastAsia="仿宋" w:hAnsi="仿宋"/>
                <w:sz w:val="24"/>
              </w:rPr>
              <w:t>工作日</w:t>
            </w:r>
          </w:p>
        </w:tc>
        <w:tc>
          <w:tcPr>
            <w:tcW w:w="958" w:type="dxa"/>
            <w:vMerge w:val="restart"/>
            <w:vAlign w:val="center"/>
          </w:tcPr>
          <w:p w:rsidR="00013EC7" w:rsidRDefault="00575CDB">
            <w:pPr>
              <w:spacing w:line="300" w:lineRule="exact"/>
              <w:jc w:val="left"/>
              <w:rPr>
                <w:rFonts w:ascii="仿宋" w:eastAsia="仿宋" w:hAnsi="仿宋"/>
                <w:sz w:val="24"/>
              </w:rPr>
            </w:pPr>
            <w:r>
              <w:rPr>
                <w:rFonts w:ascii="仿宋" w:eastAsia="仿宋" w:hAnsi="仿宋" w:hint="eastAsia"/>
                <w:sz w:val="24"/>
              </w:rPr>
              <w:t>是</w:t>
            </w:r>
          </w:p>
        </w:tc>
        <w:tc>
          <w:tcPr>
            <w:tcW w:w="1104" w:type="dxa"/>
            <w:vMerge w:val="restart"/>
            <w:vAlign w:val="center"/>
          </w:tcPr>
          <w:p w:rsidR="00013EC7" w:rsidRDefault="00575CDB">
            <w:pPr>
              <w:spacing w:line="300" w:lineRule="exact"/>
              <w:jc w:val="left"/>
              <w:rPr>
                <w:rFonts w:ascii="仿宋" w:eastAsia="仿宋" w:hAnsi="仿宋"/>
                <w:sz w:val="24"/>
              </w:rPr>
            </w:pPr>
            <w:r>
              <w:rPr>
                <w:rFonts w:ascii="仿宋" w:eastAsia="仿宋" w:hAnsi="仿宋"/>
                <w:sz w:val="24"/>
              </w:rPr>
              <w:t>国际税务处</w:t>
            </w:r>
          </w:p>
        </w:tc>
        <w:tc>
          <w:tcPr>
            <w:tcW w:w="1476" w:type="dxa"/>
            <w:vMerge w:val="restart"/>
            <w:vAlign w:val="center"/>
          </w:tcPr>
          <w:p w:rsidR="00013EC7" w:rsidRDefault="00013EC7">
            <w:pPr>
              <w:spacing w:line="300" w:lineRule="exact"/>
              <w:jc w:val="left"/>
              <w:rPr>
                <w:rFonts w:ascii="仿宋" w:eastAsia="仿宋" w:hAnsi="仿宋"/>
                <w:sz w:val="24"/>
              </w:rPr>
            </w:pPr>
          </w:p>
        </w:tc>
      </w:tr>
      <w:tr w:rsidR="00013EC7">
        <w:trPr>
          <w:trHeight w:val="2080"/>
          <w:jc w:val="center"/>
        </w:trPr>
        <w:tc>
          <w:tcPr>
            <w:tcW w:w="784" w:type="dxa"/>
            <w:vMerge/>
            <w:textDirection w:val="tbRlV"/>
            <w:vAlign w:val="center"/>
          </w:tcPr>
          <w:p w:rsidR="00013EC7" w:rsidRDefault="00013EC7">
            <w:pPr>
              <w:jc w:val="left"/>
            </w:pPr>
          </w:p>
        </w:tc>
        <w:tc>
          <w:tcPr>
            <w:tcW w:w="923" w:type="dxa"/>
            <w:vMerge/>
            <w:vAlign w:val="center"/>
          </w:tcPr>
          <w:p w:rsidR="00013EC7" w:rsidRDefault="00013EC7">
            <w:pPr>
              <w:jc w:val="left"/>
              <w:rPr>
                <w:rFonts w:ascii="仿宋" w:eastAsia="仿宋" w:hAnsi="仿宋"/>
                <w:sz w:val="24"/>
              </w:rPr>
            </w:pPr>
          </w:p>
        </w:tc>
        <w:tc>
          <w:tcPr>
            <w:tcW w:w="3341" w:type="dxa"/>
            <w:vMerge/>
            <w:vAlign w:val="center"/>
          </w:tcPr>
          <w:p w:rsidR="00013EC7" w:rsidRDefault="00013EC7">
            <w:pPr>
              <w:jc w:val="left"/>
              <w:rPr>
                <w:rFonts w:ascii="仿宋" w:eastAsia="仿宋" w:hAnsi="仿宋"/>
                <w:sz w:val="24"/>
              </w:rPr>
            </w:pPr>
          </w:p>
        </w:tc>
        <w:tc>
          <w:tcPr>
            <w:tcW w:w="2572" w:type="dxa"/>
            <w:tcBorders>
              <w:top w:val="single" w:sz="4" w:space="0" w:color="auto"/>
            </w:tcBorders>
            <w:vAlign w:val="center"/>
          </w:tcPr>
          <w:p w:rsidR="00013EC7" w:rsidRDefault="00575CDB">
            <w:pPr>
              <w:spacing w:line="300" w:lineRule="exact"/>
              <w:jc w:val="left"/>
              <w:rPr>
                <w:rFonts w:ascii="仿宋" w:eastAsia="仿宋" w:hAnsi="仿宋"/>
                <w:sz w:val="24"/>
              </w:rPr>
            </w:pPr>
            <w:r>
              <w:rPr>
                <w:rFonts w:ascii="仿宋" w:eastAsia="仿宋" w:hAnsi="仿宋" w:hint="eastAsia"/>
                <w:sz w:val="24"/>
              </w:rPr>
              <w:t>（二）</w:t>
            </w:r>
            <w:r>
              <w:rPr>
                <w:rFonts w:ascii="仿宋" w:eastAsia="仿宋" w:hAnsi="仿宋" w:cs="宋体"/>
                <w:sz w:val="24"/>
              </w:rPr>
              <w:t>汇总缴纳企业所得税的机构、场所对其他机构、场所负有管理责任的证明材料复印件。</w:t>
            </w:r>
          </w:p>
        </w:tc>
        <w:tc>
          <w:tcPr>
            <w:tcW w:w="1221" w:type="dxa"/>
            <w:vMerge/>
            <w:vAlign w:val="center"/>
          </w:tcPr>
          <w:p w:rsidR="00013EC7" w:rsidRDefault="00013EC7">
            <w:pPr>
              <w:jc w:val="left"/>
              <w:rPr>
                <w:rFonts w:ascii="仿宋" w:eastAsia="仿宋" w:hAnsi="仿宋"/>
                <w:sz w:val="24"/>
              </w:rPr>
            </w:pPr>
          </w:p>
        </w:tc>
        <w:tc>
          <w:tcPr>
            <w:tcW w:w="2915" w:type="dxa"/>
            <w:vAlign w:val="center"/>
          </w:tcPr>
          <w:p w:rsidR="00013EC7" w:rsidRDefault="00575CDB">
            <w:pPr>
              <w:jc w:val="left"/>
              <w:rPr>
                <w:rFonts w:ascii="仿宋" w:eastAsia="仿宋" w:hAnsi="仿宋"/>
                <w:sz w:val="24"/>
              </w:rPr>
            </w:pPr>
            <w:r>
              <w:rPr>
                <w:rFonts w:ascii="仿宋" w:eastAsia="仿宋" w:hAnsi="仿宋" w:hint="eastAsia"/>
                <w:sz w:val="24"/>
              </w:rPr>
              <w:t>（二）</w:t>
            </w:r>
            <w:r>
              <w:rPr>
                <w:rFonts w:ascii="仿宋" w:eastAsia="仿宋" w:hAnsi="仿宋" w:cs="宋体"/>
                <w:sz w:val="24"/>
              </w:rPr>
              <w:t>汇总缴纳企业所得税的机构、场所对其他机构、场所负有管理责任的证明材料复印件。</w:t>
            </w:r>
          </w:p>
        </w:tc>
        <w:tc>
          <w:tcPr>
            <w:tcW w:w="1392" w:type="dxa"/>
            <w:vMerge/>
            <w:vAlign w:val="center"/>
          </w:tcPr>
          <w:p w:rsidR="00013EC7" w:rsidRDefault="00013EC7">
            <w:pPr>
              <w:spacing w:line="300" w:lineRule="exact"/>
              <w:jc w:val="left"/>
              <w:rPr>
                <w:rFonts w:ascii="仿宋" w:eastAsia="仿宋" w:hAnsi="仿宋"/>
                <w:sz w:val="24"/>
              </w:rPr>
            </w:pPr>
          </w:p>
        </w:tc>
        <w:tc>
          <w:tcPr>
            <w:tcW w:w="1493" w:type="dxa"/>
            <w:vMerge/>
            <w:vAlign w:val="center"/>
          </w:tcPr>
          <w:p w:rsidR="00013EC7" w:rsidRDefault="00013EC7">
            <w:pPr>
              <w:spacing w:line="300" w:lineRule="exact"/>
              <w:jc w:val="left"/>
              <w:rPr>
                <w:rFonts w:ascii="仿宋" w:eastAsia="仿宋" w:hAnsi="仿宋"/>
                <w:sz w:val="24"/>
              </w:rPr>
            </w:pPr>
          </w:p>
        </w:tc>
        <w:tc>
          <w:tcPr>
            <w:tcW w:w="868" w:type="dxa"/>
            <w:vMerge/>
            <w:vAlign w:val="center"/>
          </w:tcPr>
          <w:p w:rsidR="00013EC7" w:rsidRDefault="00013EC7">
            <w:pPr>
              <w:jc w:val="left"/>
              <w:rPr>
                <w:rFonts w:ascii="仿宋" w:eastAsia="仿宋" w:hAnsi="仿宋"/>
                <w:sz w:val="24"/>
              </w:rPr>
            </w:pPr>
          </w:p>
        </w:tc>
        <w:tc>
          <w:tcPr>
            <w:tcW w:w="798" w:type="dxa"/>
            <w:vMerge/>
            <w:vAlign w:val="center"/>
          </w:tcPr>
          <w:p w:rsidR="00013EC7" w:rsidRDefault="00013EC7">
            <w:pPr>
              <w:jc w:val="left"/>
              <w:rPr>
                <w:rFonts w:ascii="仿宋" w:eastAsia="仿宋" w:hAnsi="仿宋"/>
                <w:sz w:val="24"/>
              </w:rPr>
            </w:pPr>
          </w:p>
        </w:tc>
        <w:tc>
          <w:tcPr>
            <w:tcW w:w="958" w:type="dxa"/>
            <w:vMerge/>
            <w:vAlign w:val="center"/>
          </w:tcPr>
          <w:p w:rsidR="00013EC7" w:rsidRDefault="00013EC7">
            <w:pPr>
              <w:jc w:val="left"/>
              <w:rPr>
                <w:rFonts w:ascii="仿宋" w:eastAsia="仿宋" w:hAnsi="仿宋"/>
                <w:sz w:val="24"/>
              </w:rPr>
            </w:pPr>
          </w:p>
        </w:tc>
        <w:tc>
          <w:tcPr>
            <w:tcW w:w="1104" w:type="dxa"/>
            <w:vMerge/>
            <w:vAlign w:val="center"/>
          </w:tcPr>
          <w:p w:rsidR="00013EC7" w:rsidRDefault="00013EC7">
            <w:pPr>
              <w:jc w:val="left"/>
              <w:rPr>
                <w:rFonts w:ascii="仿宋" w:eastAsia="仿宋" w:hAnsi="仿宋"/>
                <w:sz w:val="24"/>
              </w:rPr>
            </w:pPr>
          </w:p>
        </w:tc>
        <w:tc>
          <w:tcPr>
            <w:tcW w:w="1476" w:type="dxa"/>
            <w:vMerge/>
            <w:vAlign w:val="center"/>
          </w:tcPr>
          <w:p w:rsidR="00013EC7" w:rsidRDefault="00013EC7">
            <w:pPr>
              <w:jc w:val="left"/>
              <w:rPr>
                <w:rFonts w:ascii="仿宋" w:eastAsia="仿宋" w:hAnsi="仿宋"/>
                <w:sz w:val="24"/>
              </w:rPr>
            </w:pPr>
          </w:p>
        </w:tc>
      </w:tr>
      <w:tr w:rsidR="00013EC7">
        <w:trPr>
          <w:trHeight w:val="3246"/>
          <w:jc w:val="center"/>
        </w:trPr>
        <w:tc>
          <w:tcPr>
            <w:tcW w:w="784" w:type="dxa"/>
            <w:vMerge/>
            <w:tcBorders>
              <w:bottom w:val="single" w:sz="4" w:space="0" w:color="auto"/>
            </w:tcBorders>
            <w:textDirection w:val="tbRlV"/>
            <w:vAlign w:val="center"/>
          </w:tcPr>
          <w:p w:rsidR="00013EC7" w:rsidRDefault="00013EC7">
            <w:pPr>
              <w:jc w:val="left"/>
            </w:pPr>
          </w:p>
        </w:tc>
        <w:tc>
          <w:tcPr>
            <w:tcW w:w="923" w:type="dxa"/>
            <w:vMerge/>
            <w:tcBorders>
              <w:bottom w:val="single" w:sz="4" w:space="0" w:color="auto"/>
            </w:tcBorders>
            <w:vAlign w:val="center"/>
          </w:tcPr>
          <w:p w:rsidR="00013EC7" w:rsidRDefault="00013EC7">
            <w:pPr>
              <w:jc w:val="left"/>
              <w:rPr>
                <w:rFonts w:ascii="仿宋" w:eastAsia="仿宋" w:hAnsi="仿宋"/>
                <w:sz w:val="24"/>
              </w:rPr>
            </w:pPr>
          </w:p>
        </w:tc>
        <w:tc>
          <w:tcPr>
            <w:tcW w:w="3341" w:type="dxa"/>
            <w:vMerge/>
            <w:tcBorders>
              <w:bottom w:val="single" w:sz="4" w:space="0" w:color="auto"/>
            </w:tcBorders>
            <w:vAlign w:val="center"/>
          </w:tcPr>
          <w:p w:rsidR="00013EC7" w:rsidRDefault="00013EC7">
            <w:pPr>
              <w:jc w:val="left"/>
              <w:rPr>
                <w:rFonts w:ascii="仿宋" w:eastAsia="仿宋" w:hAnsi="仿宋"/>
                <w:sz w:val="24"/>
              </w:rPr>
            </w:pPr>
          </w:p>
        </w:tc>
        <w:tc>
          <w:tcPr>
            <w:tcW w:w="2572" w:type="dxa"/>
            <w:tcBorders>
              <w:bottom w:val="single" w:sz="4" w:space="0" w:color="auto"/>
            </w:tcBorders>
            <w:vAlign w:val="center"/>
          </w:tcPr>
          <w:p w:rsidR="00013EC7" w:rsidRDefault="00575CDB">
            <w:pPr>
              <w:spacing w:line="300" w:lineRule="exact"/>
              <w:jc w:val="left"/>
              <w:rPr>
                <w:rFonts w:ascii="仿宋" w:eastAsia="仿宋" w:hAnsi="仿宋" w:cs="宋体"/>
                <w:sz w:val="24"/>
              </w:rPr>
            </w:pPr>
            <w:r>
              <w:rPr>
                <w:rFonts w:ascii="仿宋" w:eastAsia="仿宋" w:hAnsi="仿宋" w:hint="eastAsia"/>
                <w:sz w:val="24"/>
              </w:rPr>
              <w:t>（三）</w:t>
            </w:r>
            <w:r>
              <w:rPr>
                <w:rFonts w:ascii="仿宋" w:eastAsia="仿宋" w:hAnsi="仿宋" w:cs="宋体"/>
                <w:sz w:val="24"/>
              </w:rPr>
              <w:t>设有完整的账簿、凭证，能够准确反映各机构、场所的收入、成本、费用和盈亏情况的证明材料。</w:t>
            </w:r>
          </w:p>
        </w:tc>
        <w:tc>
          <w:tcPr>
            <w:tcW w:w="1221" w:type="dxa"/>
            <w:vMerge/>
            <w:tcBorders>
              <w:bottom w:val="single" w:sz="4" w:space="0" w:color="auto"/>
            </w:tcBorders>
            <w:vAlign w:val="center"/>
          </w:tcPr>
          <w:p w:rsidR="00013EC7" w:rsidRDefault="00013EC7">
            <w:pPr>
              <w:jc w:val="left"/>
              <w:rPr>
                <w:rFonts w:ascii="仿宋" w:eastAsia="仿宋" w:hAnsi="仿宋"/>
                <w:sz w:val="24"/>
              </w:rPr>
            </w:pPr>
          </w:p>
        </w:tc>
        <w:tc>
          <w:tcPr>
            <w:tcW w:w="2915" w:type="dxa"/>
            <w:tcBorders>
              <w:bottom w:val="single" w:sz="4" w:space="0" w:color="auto"/>
            </w:tcBorders>
            <w:vAlign w:val="center"/>
          </w:tcPr>
          <w:p w:rsidR="00013EC7" w:rsidRDefault="00575CDB">
            <w:pPr>
              <w:spacing w:line="300" w:lineRule="exact"/>
              <w:jc w:val="left"/>
              <w:rPr>
                <w:rFonts w:ascii="仿宋" w:eastAsia="仿宋" w:hAnsi="仿宋"/>
                <w:sz w:val="24"/>
              </w:rPr>
            </w:pPr>
            <w:r>
              <w:rPr>
                <w:rFonts w:ascii="仿宋" w:eastAsia="仿宋" w:hAnsi="仿宋" w:hint="eastAsia"/>
                <w:sz w:val="24"/>
              </w:rPr>
              <w:t>（三）</w:t>
            </w:r>
            <w:r>
              <w:rPr>
                <w:rFonts w:ascii="仿宋" w:eastAsia="仿宋" w:hAnsi="仿宋" w:cs="宋体"/>
                <w:sz w:val="24"/>
              </w:rPr>
              <w:t>设有完整的账簿、凭证，能够准确反映各机构、场所的收入、成本、费用和盈亏情况的证明材料。</w:t>
            </w:r>
          </w:p>
        </w:tc>
        <w:tc>
          <w:tcPr>
            <w:tcW w:w="1392" w:type="dxa"/>
            <w:vMerge/>
            <w:vAlign w:val="center"/>
          </w:tcPr>
          <w:p w:rsidR="00013EC7" w:rsidRDefault="00013EC7">
            <w:pPr>
              <w:spacing w:line="300" w:lineRule="exact"/>
              <w:jc w:val="left"/>
              <w:rPr>
                <w:rFonts w:ascii="仿宋" w:eastAsia="仿宋" w:hAnsi="仿宋"/>
                <w:sz w:val="24"/>
              </w:rPr>
            </w:pPr>
          </w:p>
        </w:tc>
        <w:tc>
          <w:tcPr>
            <w:tcW w:w="1493" w:type="dxa"/>
            <w:vMerge/>
            <w:vAlign w:val="center"/>
          </w:tcPr>
          <w:p w:rsidR="00013EC7" w:rsidRDefault="00013EC7">
            <w:pPr>
              <w:spacing w:line="300" w:lineRule="exact"/>
              <w:jc w:val="left"/>
              <w:rPr>
                <w:rFonts w:ascii="仿宋" w:eastAsia="仿宋" w:hAnsi="仿宋"/>
                <w:sz w:val="24"/>
              </w:rPr>
            </w:pPr>
          </w:p>
        </w:tc>
        <w:tc>
          <w:tcPr>
            <w:tcW w:w="868" w:type="dxa"/>
            <w:vMerge/>
            <w:tcBorders>
              <w:bottom w:val="single" w:sz="4" w:space="0" w:color="auto"/>
            </w:tcBorders>
            <w:vAlign w:val="center"/>
          </w:tcPr>
          <w:p w:rsidR="00013EC7" w:rsidRDefault="00013EC7">
            <w:pPr>
              <w:jc w:val="left"/>
              <w:rPr>
                <w:rFonts w:ascii="仿宋" w:eastAsia="仿宋" w:hAnsi="仿宋"/>
                <w:sz w:val="24"/>
              </w:rPr>
            </w:pPr>
          </w:p>
        </w:tc>
        <w:tc>
          <w:tcPr>
            <w:tcW w:w="798" w:type="dxa"/>
            <w:vMerge/>
            <w:tcBorders>
              <w:bottom w:val="single" w:sz="4" w:space="0" w:color="auto"/>
            </w:tcBorders>
            <w:vAlign w:val="center"/>
          </w:tcPr>
          <w:p w:rsidR="00013EC7" w:rsidRDefault="00013EC7">
            <w:pPr>
              <w:jc w:val="left"/>
              <w:rPr>
                <w:rFonts w:ascii="仿宋" w:eastAsia="仿宋" w:hAnsi="仿宋"/>
                <w:sz w:val="24"/>
              </w:rPr>
            </w:pPr>
          </w:p>
        </w:tc>
        <w:tc>
          <w:tcPr>
            <w:tcW w:w="958" w:type="dxa"/>
            <w:vMerge/>
            <w:tcBorders>
              <w:bottom w:val="single" w:sz="4" w:space="0" w:color="auto"/>
            </w:tcBorders>
            <w:vAlign w:val="center"/>
          </w:tcPr>
          <w:p w:rsidR="00013EC7" w:rsidRDefault="00013EC7">
            <w:pPr>
              <w:jc w:val="left"/>
              <w:rPr>
                <w:rFonts w:ascii="仿宋" w:eastAsia="仿宋" w:hAnsi="仿宋"/>
                <w:sz w:val="24"/>
              </w:rPr>
            </w:pPr>
          </w:p>
        </w:tc>
        <w:tc>
          <w:tcPr>
            <w:tcW w:w="1104" w:type="dxa"/>
            <w:vMerge/>
            <w:tcBorders>
              <w:bottom w:val="single" w:sz="4" w:space="0" w:color="auto"/>
            </w:tcBorders>
            <w:vAlign w:val="center"/>
          </w:tcPr>
          <w:p w:rsidR="00013EC7" w:rsidRDefault="00013EC7">
            <w:pPr>
              <w:jc w:val="left"/>
              <w:rPr>
                <w:rFonts w:ascii="仿宋" w:eastAsia="仿宋" w:hAnsi="仿宋"/>
                <w:sz w:val="24"/>
              </w:rPr>
            </w:pPr>
          </w:p>
        </w:tc>
        <w:tc>
          <w:tcPr>
            <w:tcW w:w="1476" w:type="dxa"/>
            <w:vMerge/>
            <w:tcBorders>
              <w:bottom w:val="single" w:sz="4" w:space="0" w:color="auto"/>
            </w:tcBorders>
            <w:vAlign w:val="center"/>
          </w:tcPr>
          <w:p w:rsidR="00013EC7" w:rsidRDefault="00013EC7">
            <w:pPr>
              <w:jc w:val="left"/>
              <w:rPr>
                <w:rFonts w:ascii="仿宋" w:eastAsia="仿宋" w:hAnsi="仿宋"/>
                <w:sz w:val="24"/>
              </w:rPr>
            </w:pPr>
          </w:p>
        </w:tc>
      </w:tr>
    </w:tbl>
    <w:p w:rsidR="00013EC7" w:rsidRDefault="00575CDB">
      <w:pPr>
        <w:widowControl/>
        <w:jc w:val="left"/>
      </w:pPr>
      <w:r>
        <w:lastRenderedPageBreak/>
        <w:br w:type="page"/>
      </w:r>
    </w:p>
    <w:p w:rsidR="00013EC7" w:rsidRDefault="005262E6">
      <w:pPr>
        <w:tabs>
          <w:tab w:val="left" w:pos="11971"/>
        </w:tabs>
        <w:jc w:val="left"/>
      </w:pPr>
      <w:r>
        <w:lastRenderedPageBreak/>
        <w:object w:dxaOrig="1440" w:dyaOrig="1440">
          <v:shape id="_x0000_s1520" type="#_x0000_t75" style="position:absolute;margin-left:507.05pt;margin-top:66pt;width:481.5pt;height:663.25pt;z-index:251754496;mso-wrap-distance-left:9pt;mso-wrap-distance-right:9pt;mso-position-vertical-relative:page;mso-width-relative:page;mso-height-relative:page" wrapcoords="572 1212 370 1308 336 1819 1548 2233 1783 2233 1783 2489 1951 2744 2120 2840 9421 3254 10800 3254 8748 3446 8243 3542 8176 4020 8176 4562 9050 4786 10161 4786 10093 5073 10093 5296 7705 5424 7570 5456 7570 6732 10161 6828 10093 7530 10161 7849 7705 7881 7570 7913 7570 9189 8613 9380 10161 9380 10093 10050 10093 10274 10161 10401 7705 10433 7570 10465 7570 10912 6662 10944 6292 11071 6292 11933 5383 12220 5181 12316 5215 13113 5955 13464 6292 13464 6292 14326 6830 14485 7907 14485 10127 15506 10161 16017 9521 16176 9454 16240 9454 16591 9993 17038 7839 17261 7570 17325 7570 18601 10060 19079 10093 19590 8916 19718 8277 19877 8243 20260 8277 20707 8647 20994 8748 20994 11776 20994 11910 20994 12280 20611 12280 19909 11742 19749 10464 19590 10430 19079 12953 18601 13021 17325 12550 17261 10497 17038 11069 16591 11136 16272 11002 16176 10329 16017 10396 15506 12953 14357 12886 14262 12280 13975 11136 13464 10464 12954 10329 11933 11607 11933 12987 11677 13021 10465 12785 10433 10430 10337 10430 10050 10329 9380 11776 9380 12987 9157 13021 7913 12785 7881 10430 7817 10430 7530 10329 6828 12280 6828 12987 6700 13021 5456 12751 5424 10464 5296 10430 5009 10329 4786 11473 4786 12381 4562 12314 3605 11809 3446 10800 3254 11607 3254 19077 2808 19144 2744 19178 2425 19144 2233 19716 2233 21129 1882 21095 1340 20893 1212 572 1212">
            <v:imagedata r:id="rId569" o:title=""/>
            <o:lock v:ext="edit" aspectratio="f"/>
            <w10:wrap type="tight" anchory="page"/>
          </v:shape>
          <o:OLEObject Type="Embed" ProgID="Visio.Drawing.11" ShapeID="_x0000_s1520" DrawAspect="Content" ObjectID="_1577296330" r:id="rId570"/>
        </w:object>
      </w:r>
      <w:r>
        <w:object w:dxaOrig="1440" w:dyaOrig="1440">
          <v:shape id="_x0000_s1519" type="#_x0000_t75" style="position:absolute;margin-left:-11.4pt;margin-top:96.95pt;width:482.5pt;height:632.3pt;z-index:251753472;mso-wrap-distance-left:9pt;mso-wrap-distance-right:9pt;mso-position-vertical-relative:page;mso-width-relative:page;mso-height-relative:page" wrapcoords="1579 134 1344 300 1344 534 1579 668 1310 668 1444 968 10783 1202 2217 1202 1747 1536 1948 1736 1814 2036 2284 2036 10783 2270 5979 2337 5644 2504 5812 2804 5677 3005 5744 3071 10783 3338 8734 3439 7995 3572 7961 4540 8331 4941 8465 4941 10044 5475 9943 6009 7491 6276 7222 6343 7222 6543 2889 7044 2889 7612 -34 8079 -34 9581 941 9748 2822 9748 2755 9982 2889 10616 2990 10817 3191 10817 3191 11050 6315 11351 8499 11351 9574 11885 10044 12419 9137 12653 9070 12720 9070 13287 9473 13487 10078 13487 7491 13755 7222 13821 7222 15324 8902 15624 10078 15624 9977 16392 10044 16692 7357 16826 7222 16859 7222 18362 9809 18829 10078 18829 9977 19564 10044 19897 8600 19998 7995 20164 7961 20598 7961 21099 8432 21500 8566 21500 11757 21500 11925 21500 12396 21099 12362 20164 11825 20031 10279 19897 10380 19564 10246 19363 10246 18829 19114 18829 19416 18796 19349 11885 19652 11885 21499 11418 21566 9915 11253 9748 10279 9214 10380 8814 10246 8680 10246 8146 11287 8146 13202 7812 13235 6343 10414 6009 10279 5475 11993 4941 12396 4507 12362 3672 11825 3472 10783 3338 12362 3338 13941 3071 13974 2370 18308 2070 18375 1269 17569 1202 15049 1202 18778 968 18711 300 18577 134 1579 134">
            <v:imagedata r:id="rId571" o:title=""/>
            <w10:wrap type="tight" anchory="page"/>
          </v:shape>
          <o:OLEObject Type="Embed" ProgID="Visio.Drawing.11" ShapeID="_x0000_s1519" DrawAspect="Content" ObjectID="_1577296331" r:id="rId572"/>
        </w:object>
      </w:r>
    </w:p>
    <w:sectPr w:rsidR="00013EC7">
      <w:pgSz w:w="23814" w:h="16840" w:orient="landscape"/>
      <w:pgMar w:top="1701" w:right="1843" w:bottom="1985" w:left="1843" w:header="851" w:footer="1701" w:gutter="0"/>
      <w:pgNumType w:fmt="numberInDash"/>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262E6" w:rsidRDefault="005262E6">
      <w:r>
        <w:separator/>
      </w:r>
    </w:p>
  </w:endnote>
  <w:endnote w:type="continuationSeparator" w:id="0">
    <w:p w:rsidR="005262E6" w:rsidRDefault="005262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方正书宋简体">
    <w:altName w:val="宋体"/>
    <w:charset w:val="86"/>
    <w:family w:val="script"/>
    <w:pitch w:val="default"/>
    <w:sig w:usb0="00000000" w:usb1="00000000" w:usb2="00000010" w:usb3="00000000" w:csb0="00040000" w:csb1="00000000"/>
  </w:font>
  <w:font w:name="serif">
    <w:altName w:val="Segoe Print"/>
    <w:charset w:val="00"/>
    <w:family w:val="auto"/>
    <w:pitch w:val="default"/>
    <w:sig w:usb0="00000000" w:usb1="00000000" w:usb2="00000000" w:usb3="00000000" w:csb0="00040001" w:csb1="00000000"/>
  </w:font>
  <w:font w:name="仿宋">
    <w:panose1 w:val="02010609060101010101"/>
    <w:charset w:val="86"/>
    <w:family w:val="modern"/>
    <w:pitch w:val="fixed"/>
    <w:sig w:usb0="800002BF" w:usb1="38CF7CFA" w:usb2="00000016" w:usb3="00000000" w:csb0="00040001" w:csb1="00000000"/>
  </w:font>
  <w:font w:name="Verdana">
    <w:panose1 w:val="020B0604030504040204"/>
    <w:charset w:val="00"/>
    <w:family w:val="swiss"/>
    <w:pitch w:val="variable"/>
    <w:sig w:usb0="A10006FF" w:usb1="4000205B" w:usb2="00000010" w:usb3="00000000" w:csb0="0000019F" w:csb1="00000000"/>
  </w:font>
  <w:font w:name="仿宋_GB2312">
    <w:altName w:val="仿宋"/>
    <w:charset w:val="86"/>
    <w:family w:val="auto"/>
    <w:pitch w:val="default"/>
    <w:sig w:usb0="00000000" w:usb1="00000000" w:usb2="0000000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方正小标宋_GBK">
    <w:altName w:val="微软雅黑"/>
    <w:charset w:val="86"/>
    <w:family w:val="script"/>
    <w:pitch w:val="default"/>
    <w:sig w:usb0="00000000" w:usb1="00000000" w:usb2="00000010" w:usb3="00000000" w:csb0="0004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75CDB" w:rsidRDefault="003671AD">
    <w:pPr>
      <w:pStyle w:val="a7"/>
      <w:ind w:right="360" w:firstLine="360"/>
    </w:pPr>
    <w:r>
      <w:rPr>
        <w:noProof/>
      </w:rPr>
      <mc:AlternateContent>
        <mc:Choice Requires="wps">
          <w:drawing>
            <wp:anchor distT="0" distB="0" distL="114300" distR="114300" simplePos="0" relativeHeight="251668480" behindDoc="0" locked="0" layoutInCell="1" allowOverlap="1">
              <wp:simplePos x="0" y="0"/>
              <wp:positionH relativeFrom="margin">
                <wp:align>center</wp:align>
              </wp:positionH>
              <wp:positionV relativeFrom="paragraph">
                <wp:posOffset>0</wp:posOffset>
              </wp:positionV>
              <wp:extent cx="296545" cy="204470"/>
              <wp:effectExtent l="3810" t="1270" r="4445" b="3810"/>
              <wp:wrapNone/>
              <wp:docPr id="5"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545" cy="204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75CDB" w:rsidRDefault="00575CDB">
                          <w:pPr>
                            <w:pStyle w:val="a7"/>
                          </w:pPr>
                          <w:r>
                            <w:rPr>
                              <w:rFonts w:hint="eastAsia"/>
                            </w:rPr>
                            <w:fldChar w:fldCharType="begin"/>
                          </w:r>
                          <w:r>
                            <w:rPr>
                              <w:rFonts w:hint="eastAsia"/>
                            </w:rPr>
                            <w:instrText xml:space="preserve"> PAGE  \* MERGEFORMAT </w:instrText>
                          </w:r>
                          <w:r>
                            <w:rPr>
                              <w:rFonts w:hint="eastAsia"/>
                            </w:rPr>
                            <w:fldChar w:fldCharType="separate"/>
                          </w:r>
                          <w:r w:rsidR="006776D1">
                            <w:rPr>
                              <w:noProof/>
                            </w:rPr>
                            <w:t>- 8 -</w:t>
                          </w:r>
                          <w:r>
                            <w:rPr>
                              <w:rFonts w:hint="eastAsia"/>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5" o:spid="_x0000_s1026" type="#_x0000_t202" style="position:absolute;left:0;text-align:left;margin-left:0;margin-top:0;width:23.35pt;height:16.1pt;z-index:251668480;visibility:visible;mso-wrap-style:non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" filled="f" stroked="f">
              <v:textbox style="mso-fit-shape-to-text:t" inset="0,0,0,0">
                <w:txbxContent>
                  <w:p w:rsidR="00575CDB" w:rsidRDefault="00575CDB">
                    <w:pPr>
                      <w:pStyle w:val="a7"/>
                    </w:pPr>
                    <w:r>
                      <w:rPr>
                        <w:rFonts w:hint="eastAsia"/>
                      </w:rPr>
                      <w:fldChar w:fldCharType="begin"/>
                    </w:r>
                    <w:r>
                      <w:rPr>
                        <w:rFonts w:hint="eastAsia"/>
                      </w:rPr>
                      <w:instrText xml:space="preserve"> PAGE  \* MERGEFORMAT </w:instrText>
                    </w:r>
                    <w:r>
                      <w:rPr>
                        <w:rFonts w:hint="eastAsia"/>
                      </w:rPr>
                      <w:fldChar w:fldCharType="separate"/>
                    </w:r>
                    <w:r w:rsidR="006776D1">
                      <w:rPr>
                        <w:noProof/>
                      </w:rPr>
                      <w:t>- 8 -</w:t>
                    </w:r>
                    <w:r>
                      <w:rPr>
                        <w:rFonts w:hint="eastAsia"/>
                      </w:rPr>
                      <w:fldChar w:fldCharType="end"/>
                    </w:r>
                  </w:p>
                </w:txbxContent>
              </v:textbox>
              <w10:wrap anchorx="margin"/>
            </v:shape>
          </w:pict>
        </mc:Fallback>
      </mc:AlternateContent>
    </w:r>
    <w:r>
      <w:rPr>
        <w:noProof/>
      </w:rPr>
      <mc:AlternateContent>
        <mc:Choice Requires="wps">
          <w:drawing>
            <wp:anchor distT="0" distB="0" distL="114300" distR="114300" simplePos="0" relativeHeight="251658240" behindDoc="0" locked="0" layoutInCell="1" allowOverlap="1">
              <wp:simplePos x="0" y="0"/>
              <wp:positionH relativeFrom="column">
                <wp:posOffset>5372100</wp:posOffset>
              </wp:positionH>
              <wp:positionV relativeFrom="paragraph">
                <wp:posOffset>-168275</wp:posOffset>
              </wp:positionV>
              <wp:extent cx="1943100" cy="229870"/>
              <wp:effectExtent l="0" t="0" r="0" b="0"/>
              <wp:wrapNone/>
              <wp:docPr id="4" name="文本框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0" cy="229870"/>
                      </a:xfrm>
                      <a:prstGeom prst="rect">
                        <a:avLst/>
                      </a:prstGeom>
                      <a:noFill/>
                      <a:ln>
                        <a:noFill/>
                      </a:ln>
                    </wps:spPr>
                    <wps:txbx>
                      <w:txbxContent>
                        <w:p w:rsidR="00575CDB" w:rsidRDefault="00575CDB"/>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9" o:spid="_x0000_s1027" type="#_x0000_t202" style="position:absolute;left:0;text-align:left;margin-left:423pt;margin-top:-13.25pt;width:153pt;height:18.1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" filled="f" stroked="f">
              <v:textbox>
                <w:txbxContent>
                  <w:p w:rsidR="00575CDB" w:rsidRDefault="00575CDB"/>
                </w:txbxContent>
              </v:textbox>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41089168"/>
      <w:docPartObj>
        <w:docPartGallery w:val="Page Numbers (Bottom of Page)"/>
        <w:docPartUnique/>
      </w:docPartObj>
    </w:sdtPr>
    <w:sdtEndPr/>
    <w:sdtContent>
      <w:p w:rsidR="00575CDB" w:rsidRDefault="00575CDB">
        <w:pPr>
          <w:pStyle w:val="a7"/>
          <w:jc w:val="center"/>
        </w:pPr>
        <w:r>
          <w:fldChar w:fldCharType="begin"/>
        </w:r>
        <w:r>
          <w:instrText>PAGE   \* MERGEFORMAT</w:instrText>
        </w:r>
        <w:r>
          <w:fldChar w:fldCharType="separate"/>
        </w:r>
        <w:r w:rsidR="006776D1" w:rsidRPr="006776D1">
          <w:rPr>
            <w:noProof/>
            <w:lang w:val="zh-CN"/>
          </w:rPr>
          <w:t>-</w:t>
        </w:r>
        <w:r w:rsidR="006776D1">
          <w:rPr>
            <w:noProof/>
          </w:rPr>
          <w:t xml:space="preserve"> 1 -</w:t>
        </w:r>
        <w:r>
          <w:fldChar w:fldCharType="end"/>
        </w:r>
      </w:p>
    </w:sdtContent>
  </w:sdt>
  <w:p w:rsidR="00575CDB" w:rsidRDefault="00575CDB">
    <w:pPr>
      <w:pStyle w:val="a7"/>
      <w:tabs>
        <w:tab w:val="clear" w:pos="4153"/>
        <w:tab w:val="center" w:pos="10064"/>
      </w:tabs>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75CDB" w:rsidRDefault="003671AD">
    <w:pPr>
      <w:pStyle w:val="a7"/>
      <w:ind w:right="360" w:firstLine="360"/>
    </w:pPr>
    <w:r>
      <w:rPr>
        <w:noProof/>
      </w:rPr>
      <mc:AlternateContent>
        <mc:Choice Requires="wps">
          <w:drawing>
            <wp:anchor distT="0" distB="0" distL="114300" distR="114300" simplePos="0" relativeHeight="251670528" behindDoc="0" locked="0" layoutInCell="1" allowOverlap="1">
              <wp:simplePos x="0" y="0"/>
              <wp:positionH relativeFrom="margin">
                <wp:align>center</wp:align>
              </wp:positionH>
              <wp:positionV relativeFrom="paragraph">
                <wp:posOffset>0</wp:posOffset>
              </wp:positionV>
              <wp:extent cx="474345" cy="204470"/>
              <wp:effectExtent l="0" t="0" r="4445" b="0"/>
              <wp:wrapNone/>
              <wp:docPr id="3"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4345" cy="204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75CDB" w:rsidRDefault="00575CDB">
                          <w:pPr>
                            <w:pStyle w:val="a7"/>
                          </w:pPr>
                          <w:r>
                            <w:rPr>
                              <w:rFonts w:hint="eastAsia"/>
                            </w:rPr>
                            <w:fldChar w:fldCharType="begin"/>
                          </w:r>
                          <w:r>
                            <w:rPr>
                              <w:rFonts w:hint="eastAsia"/>
                            </w:rPr>
                            <w:instrText xml:space="preserve"> PAGE  \* MERGEFORMAT </w:instrText>
                          </w:r>
                          <w:r>
                            <w:rPr>
                              <w:rFonts w:hint="eastAsia"/>
                            </w:rPr>
                            <w:fldChar w:fldCharType="separate"/>
                          </w:r>
                          <w:r w:rsidR="006776D1">
                            <w:rPr>
                              <w:noProof/>
                            </w:rPr>
                            <w:t>- 367 -</w:t>
                          </w:r>
                          <w:r>
                            <w:rPr>
                              <w:rFonts w:hint="eastAsia"/>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7" o:spid="_x0000_s1028" type="#_x0000_t202" style="position:absolute;left:0;text-align:left;margin-left:0;margin-top:0;width:37.35pt;height:16.1pt;z-index:251670528;visibility:visible;mso-wrap-style:non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" filled="f" stroked="f">
              <v:textbox style="mso-fit-shape-to-text:t" inset="0,0,0,0">
                <w:txbxContent>
                  <w:p w:rsidR="00575CDB" w:rsidRDefault="00575CDB">
                    <w:pPr>
                      <w:pStyle w:val="a7"/>
                    </w:pPr>
                    <w:r>
                      <w:rPr>
                        <w:rFonts w:hint="eastAsia"/>
                      </w:rPr>
                      <w:fldChar w:fldCharType="begin"/>
                    </w:r>
                    <w:r>
                      <w:rPr>
                        <w:rFonts w:hint="eastAsia"/>
                      </w:rPr>
                      <w:instrText xml:space="preserve"> PAGE  \* MERGEFORMAT </w:instrText>
                    </w:r>
                    <w:r>
                      <w:rPr>
                        <w:rFonts w:hint="eastAsia"/>
                      </w:rPr>
                      <w:fldChar w:fldCharType="separate"/>
                    </w:r>
                    <w:r w:rsidR="006776D1">
                      <w:rPr>
                        <w:noProof/>
                      </w:rPr>
                      <w:t>- 367 -</w:t>
                    </w:r>
                    <w:r>
                      <w:rPr>
                        <w:rFonts w:hint="eastAsia"/>
                      </w:rPr>
                      <w:fldChar w:fldCharType="end"/>
                    </w:r>
                  </w:p>
                </w:txbxContent>
              </v:textbox>
              <w10:wrap anchorx="margin"/>
            </v:shape>
          </w:pict>
        </mc:Fallback>
      </mc:AlternateContent>
    </w:r>
    <w:r>
      <w:rPr>
        <w:noProof/>
      </w:rPr>
      <mc:AlternateContent>
        <mc:Choice Requires="wps">
          <w:drawing>
            <wp:anchor distT="0" distB="0" distL="114300" distR="114300" simplePos="0" relativeHeight="251667456" behindDoc="0" locked="0" layoutInCell="1" allowOverlap="1">
              <wp:simplePos x="0" y="0"/>
              <wp:positionH relativeFrom="column">
                <wp:posOffset>5372100</wp:posOffset>
              </wp:positionH>
              <wp:positionV relativeFrom="paragraph">
                <wp:posOffset>-168275</wp:posOffset>
              </wp:positionV>
              <wp:extent cx="1943100" cy="229870"/>
              <wp:effectExtent l="0" t="0" r="0" b="0"/>
              <wp:wrapNone/>
              <wp:docPr id="2" name="文本框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0" cy="229870"/>
                      </a:xfrm>
                      <a:prstGeom prst="rect">
                        <a:avLst/>
                      </a:prstGeom>
                      <a:noFill/>
                      <a:ln>
                        <a:noFill/>
                      </a:ln>
                    </wps:spPr>
                    <wps:txbx>
                      <w:txbxContent>
                        <w:p w:rsidR="00575CDB" w:rsidRDefault="00575CDB"/>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29" type="#_x0000_t202" style="position:absolute;left:0;text-align:left;margin-left:423pt;margin-top:-13.25pt;width:153pt;height:18.1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" filled="f" stroked="f">
              <v:textbox>
                <w:txbxContent>
                  <w:p w:rsidR="00575CDB" w:rsidRDefault="00575CDB"/>
                </w:txbxContent>
              </v:textbox>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75CDB" w:rsidRDefault="003671AD">
    <w:pPr>
      <w:pStyle w:val="a7"/>
      <w:tabs>
        <w:tab w:val="clear" w:pos="4153"/>
        <w:tab w:val="center" w:pos="10064"/>
      </w:tabs>
    </w:pPr>
    <w:r>
      <w:rPr>
        <w:noProof/>
      </w:rPr>
      <mc:AlternateContent>
        <mc:Choice Requires="wps">
          <w:drawing>
            <wp:anchor distT="0" distB="0" distL="114300" distR="114300" simplePos="0" relativeHeight="251671552" behindDoc="0" locked="0" layoutInCell="1" allowOverlap="1">
              <wp:simplePos x="0" y="0"/>
              <wp:positionH relativeFrom="margin">
                <wp:align>center</wp:align>
              </wp:positionH>
              <wp:positionV relativeFrom="paragraph">
                <wp:posOffset>0</wp:posOffset>
              </wp:positionV>
              <wp:extent cx="296545" cy="204470"/>
              <wp:effectExtent l="3810" t="0" r="4445" b="0"/>
              <wp:wrapNone/>
              <wp:docPr id="1"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545" cy="204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75CDB" w:rsidRDefault="00575CDB">
                          <w:pPr>
                            <w:pStyle w:val="a7"/>
                          </w:pPr>
                          <w:r>
                            <w:rPr>
                              <w:rFonts w:hint="eastAsia"/>
                            </w:rPr>
                            <w:fldChar w:fldCharType="begin"/>
                          </w:r>
                          <w:r>
                            <w:rPr>
                              <w:rFonts w:hint="eastAsia"/>
                            </w:rPr>
                            <w:instrText xml:space="preserve"> PAGE  \* MERGEFORMAT </w:instrText>
                          </w:r>
                          <w:r>
                            <w:rPr>
                              <w:rFonts w:hint="eastAsia"/>
                            </w:rPr>
                            <w:fldChar w:fldCharType="separate"/>
                          </w:r>
                          <w:r w:rsidR="006776D1">
                            <w:rPr>
                              <w:noProof/>
                            </w:rPr>
                            <w:t>- 9 -</w:t>
                          </w:r>
                          <w:r>
                            <w:rPr>
                              <w:rFonts w:hint="eastAsia"/>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8" o:spid="_x0000_s1030" type="#_x0000_t202" style="position:absolute;margin-left:0;margin-top:0;width:23.35pt;height:16.1pt;z-index:251671552;visibility:visible;mso-wrap-style:non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" filled="f" stroked="f">
              <v:textbox style="mso-fit-shape-to-text:t" inset="0,0,0,0">
                <w:txbxContent>
                  <w:p w:rsidR="00575CDB" w:rsidRDefault="00575CDB">
                    <w:pPr>
                      <w:pStyle w:val="a7"/>
                    </w:pPr>
                    <w:r>
                      <w:rPr>
                        <w:rFonts w:hint="eastAsia"/>
                      </w:rPr>
                      <w:fldChar w:fldCharType="begin"/>
                    </w:r>
                    <w:r>
                      <w:rPr>
                        <w:rFonts w:hint="eastAsia"/>
                      </w:rPr>
                      <w:instrText xml:space="preserve"> PAGE  \* MERGEFORMAT </w:instrText>
                    </w:r>
                    <w:r>
                      <w:rPr>
                        <w:rFonts w:hint="eastAsia"/>
                      </w:rPr>
                      <w:fldChar w:fldCharType="separate"/>
                    </w:r>
                    <w:r w:rsidR="006776D1">
                      <w:rPr>
                        <w:noProof/>
                      </w:rPr>
                      <w:t>- 9 -</w:t>
                    </w:r>
                    <w:r>
                      <w:rPr>
                        <w:rFonts w:hint="eastAsia"/>
                      </w:rPr>
                      <w:fldChar w:fldCharType="end"/>
                    </w:r>
                  </w:p>
                </w:txbxContent>
              </v:textbox>
              <w10:wrap anchorx="margin"/>
            </v:shape>
          </w:pict>
        </mc:Fallback>
      </mc:AlternateContent>
    </w:r>
    <w:r w:rsidR="00575CDB">
      <w:rPr>
        <w:rFonts w:hint="eastAsia"/>
      </w:rPr>
      <w:tab/>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262E6" w:rsidRDefault="005262E6">
      <w:r>
        <w:separator/>
      </w:r>
    </w:p>
  </w:footnote>
  <w:footnote w:type="continuationSeparator" w:id="0">
    <w:p w:rsidR="005262E6" w:rsidRDefault="005262E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3D58E6F0"/>
    <w:multiLevelType w:val="singleLevel"/>
    <w:tmpl w:val="3D58E6F0"/>
    <w:lvl w:ilvl="0">
      <w:start w:val="1"/>
      <w:numFmt w:val="chineseCounting"/>
      <w:suff w:val="nothing"/>
      <w:lvlText w:val="（%1）"/>
      <w:lvlJc w:val="left"/>
      <w:rPr>
        <w:rFonts w:hint="eastAsia"/>
      </w:rPr>
    </w:lvl>
  </w:abstractNum>
  <w:abstractNum w:abstractNumId="1" w15:restartNumberingAfterBreak="0">
    <w:nsid w:val="5A30CD45"/>
    <w:multiLevelType w:val="singleLevel"/>
    <w:tmpl w:val="5A30CD45"/>
    <w:lvl w:ilvl="0">
      <w:start w:val="1"/>
      <w:numFmt w:val="chineseCounting"/>
      <w:suff w:val="nothing"/>
      <w:lvlText w:val="（%1）"/>
      <w:lvlJc w:val="left"/>
    </w:lvl>
  </w:abstractNum>
  <w:abstractNum w:abstractNumId="2" w15:restartNumberingAfterBreak="0">
    <w:nsid w:val="5A30EF93"/>
    <w:multiLevelType w:val="singleLevel"/>
    <w:tmpl w:val="5A30EF93"/>
    <w:lvl w:ilvl="0">
      <w:start w:val="12"/>
      <w:numFmt w:val="chineseCounting"/>
      <w:suff w:val="nothing"/>
      <w:lvlText w:val="（%1）"/>
      <w:lvlJc w:val="left"/>
    </w:lvl>
  </w:abstractNum>
  <w:abstractNum w:abstractNumId="3" w15:restartNumberingAfterBreak="0">
    <w:nsid w:val="5A30F252"/>
    <w:multiLevelType w:val="singleLevel"/>
    <w:tmpl w:val="5A30F252"/>
    <w:lvl w:ilvl="0">
      <w:start w:val="15"/>
      <w:numFmt w:val="chineseCounting"/>
      <w:suff w:val="nothing"/>
      <w:lvlText w:val="（%1）"/>
      <w:lvlJc w:val="left"/>
    </w:lvl>
  </w:abstractNum>
  <w:abstractNum w:abstractNumId="4" w15:restartNumberingAfterBreak="0">
    <w:nsid w:val="5A312496"/>
    <w:multiLevelType w:val="singleLevel"/>
    <w:tmpl w:val="5A312496"/>
    <w:lvl w:ilvl="0">
      <w:start w:val="19"/>
      <w:numFmt w:val="chineseCounting"/>
      <w:suff w:val="nothing"/>
      <w:lvlText w:val="（%1）"/>
      <w:lvlJc w:val="left"/>
    </w:lvl>
  </w:abstractNum>
  <w:abstractNum w:abstractNumId="5" w15:restartNumberingAfterBreak="0">
    <w:nsid w:val="5A56D460"/>
    <w:multiLevelType w:val="singleLevel"/>
    <w:tmpl w:val="5A56D460"/>
    <w:lvl w:ilvl="0">
      <w:start w:val="4"/>
      <w:numFmt w:val="chineseCounting"/>
      <w:suff w:val="nothing"/>
      <w:lvlText w:val="（%1）"/>
      <w:lvlJc w:val="left"/>
    </w:lvl>
  </w:abstractNum>
  <w:abstractNum w:abstractNumId="6" w15:restartNumberingAfterBreak="0">
    <w:nsid w:val="5A56E11B"/>
    <w:multiLevelType w:val="singleLevel"/>
    <w:tmpl w:val="5A56E11B"/>
    <w:lvl w:ilvl="0">
      <w:start w:val="1"/>
      <w:numFmt w:val="chineseCounting"/>
      <w:suff w:val="nothing"/>
      <w:lvlText w:val="（%1）"/>
      <w:lvlJc w:val="left"/>
    </w:lvl>
  </w:abstractNum>
  <w:abstractNum w:abstractNumId="7" w15:restartNumberingAfterBreak="0">
    <w:nsid w:val="5A5776B6"/>
    <w:multiLevelType w:val="singleLevel"/>
    <w:tmpl w:val="5A5776B6"/>
    <w:lvl w:ilvl="0">
      <w:start w:val="1"/>
      <w:numFmt w:val="chineseCounting"/>
      <w:suff w:val="nothing"/>
      <w:lvlText w:val="（%1）"/>
      <w:lvlJc w:val="left"/>
    </w:lvl>
  </w:abstractNum>
  <w:num w:numId="1">
    <w:abstractNumId w:val="2"/>
  </w:num>
  <w:num w:numId="2">
    <w:abstractNumId w:val="3"/>
  </w:num>
  <w:num w:numId="3">
    <w:abstractNumId w:val="4"/>
  </w:num>
  <w:num w:numId="4">
    <w:abstractNumId w:val="6"/>
  </w:num>
  <w:num w:numId="5">
    <w:abstractNumId w:val="5"/>
  </w:num>
  <w:num w:numId="6">
    <w:abstractNumId w:val="1"/>
  </w:num>
  <w:num w:numId="7">
    <w:abstractNumId w:val="7"/>
  </w:num>
  <w:num w:numId="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bordersDoNotSurroundHeader/>
  <w:bordersDoNotSurroundFooter/>
  <w:hideSpellingErrors/>
  <w:defaultTabStop w:val="420"/>
  <w:drawingGridHorizontalSpacing w:val="105"/>
  <w:drawingGridVerticalSpacing w:val="156"/>
  <w:displayHorizontalDrawingGridEvery w:val="2"/>
  <w:displayVerticalDrawingGridEvery w:val="2"/>
  <w:noPunctuationKerning/>
  <w:characterSpacingControl w:val="compressPunctuation"/>
  <w:doNotValidateAgainstSchema/>
  <w:doNotDemarcateInvalidXml/>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C6BF0"/>
    <w:rsid w:val="00000F3E"/>
    <w:rsid w:val="00013EC7"/>
    <w:rsid w:val="00051153"/>
    <w:rsid w:val="00057DA1"/>
    <w:rsid w:val="00061643"/>
    <w:rsid w:val="00063F69"/>
    <w:rsid w:val="00065D3B"/>
    <w:rsid w:val="00067900"/>
    <w:rsid w:val="00074B74"/>
    <w:rsid w:val="00077D98"/>
    <w:rsid w:val="0008074C"/>
    <w:rsid w:val="00091F7E"/>
    <w:rsid w:val="000A4F2F"/>
    <w:rsid w:val="000B0709"/>
    <w:rsid w:val="000B4C21"/>
    <w:rsid w:val="000B4CB0"/>
    <w:rsid w:val="000C569F"/>
    <w:rsid w:val="000C5C74"/>
    <w:rsid w:val="000D0D78"/>
    <w:rsid w:val="000E182B"/>
    <w:rsid w:val="00100744"/>
    <w:rsid w:val="00117D86"/>
    <w:rsid w:val="00125BDC"/>
    <w:rsid w:val="0013236B"/>
    <w:rsid w:val="001324C3"/>
    <w:rsid w:val="00135378"/>
    <w:rsid w:val="00154406"/>
    <w:rsid w:val="00155452"/>
    <w:rsid w:val="001705E2"/>
    <w:rsid w:val="001926C1"/>
    <w:rsid w:val="00195A81"/>
    <w:rsid w:val="00197495"/>
    <w:rsid w:val="001A6656"/>
    <w:rsid w:val="001A6BF4"/>
    <w:rsid w:val="001B061A"/>
    <w:rsid w:val="001C0D44"/>
    <w:rsid w:val="001D2513"/>
    <w:rsid w:val="001D2606"/>
    <w:rsid w:val="001D3E77"/>
    <w:rsid w:val="001E4FFD"/>
    <w:rsid w:val="001E67D4"/>
    <w:rsid w:val="001E7B1F"/>
    <w:rsid w:val="001F7386"/>
    <w:rsid w:val="0020144F"/>
    <w:rsid w:val="00204DAC"/>
    <w:rsid w:val="00217DF6"/>
    <w:rsid w:val="0023084F"/>
    <w:rsid w:val="00243CA7"/>
    <w:rsid w:val="002444FA"/>
    <w:rsid w:val="002505FC"/>
    <w:rsid w:val="00254C0C"/>
    <w:rsid w:val="0027609D"/>
    <w:rsid w:val="00277D23"/>
    <w:rsid w:val="0028040E"/>
    <w:rsid w:val="00284FDF"/>
    <w:rsid w:val="00290B52"/>
    <w:rsid w:val="002A504F"/>
    <w:rsid w:val="002B3162"/>
    <w:rsid w:val="002B3D22"/>
    <w:rsid w:val="002C074D"/>
    <w:rsid w:val="002C11F6"/>
    <w:rsid w:val="002D3AA4"/>
    <w:rsid w:val="002D47AE"/>
    <w:rsid w:val="002E14DB"/>
    <w:rsid w:val="002F7180"/>
    <w:rsid w:val="00303DFE"/>
    <w:rsid w:val="00311C4D"/>
    <w:rsid w:val="00316E0B"/>
    <w:rsid w:val="0032285D"/>
    <w:rsid w:val="00322F4E"/>
    <w:rsid w:val="00327F5A"/>
    <w:rsid w:val="00330322"/>
    <w:rsid w:val="003348CF"/>
    <w:rsid w:val="00362C3A"/>
    <w:rsid w:val="003671AD"/>
    <w:rsid w:val="00372BA8"/>
    <w:rsid w:val="00375D81"/>
    <w:rsid w:val="0038289B"/>
    <w:rsid w:val="00383879"/>
    <w:rsid w:val="00392F6C"/>
    <w:rsid w:val="003A3C50"/>
    <w:rsid w:val="003A3FCC"/>
    <w:rsid w:val="003A6B3E"/>
    <w:rsid w:val="003A763A"/>
    <w:rsid w:val="003B4A3A"/>
    <w:rsid w:val="003D3118"/>
    <w:rsid w:val="003E0759"/>
    <w:rsid w:val="003E54C7"/>
    <w:rsid w:val="003E78E7"/>
    <w:rsid w:val="003F0952"/>
    <w:rsid w:val="00405034"/>
    <w:rsid w:val="00407448"/>
    <w:rsid w:val="004111C3"/>
    <w:rsid w:val="004167D7"/>
    <w:rsid w:val="004234A9"/>
    <w:rsid w:val="00424307"/>
    <w:rsid w:val="00427483"/>
    <w:rsid w:val="0043644E"/>
    <w:rsid w:val="004463E6"/>
    <w:rsid w:val="00447F9B"/>
    <w:rsid w:val="00450C4E"/>
    <w:rsid w:val="00451B36"/>
    <w:rsid w:val="004608FE"/>
    <w:rsid w:val="004616C1"/>
    <w:rsid w:val="0046563E"/>
    <w:rsid w:val="00497F7B"/>
    <w:rsid w:val="004A45D2"/>
    <w:rsid w:val="004A5BD6"/>
    <w:rsid w:val="004B077A"/>
    <w:rsid w:val="004B30EE"/>
    <w:rsid w:val="004C0D4B"/>
    <w:rsid w:val="004C375D"/>
    <w:rsid w:val="004D1EF0"/>
    <w:rsid w:val="004E6A81"/>
    <w:rsid w:val="004F17B5"/>
    <w:rsid w:val="004F6CBF"/>
    <w:rsid w:val="005262E6"/>
    <w:rsid w:val="00536EF5"/>
    <w:rsid w:val="00553DB6"/>
    <w:rsid w:val="00560FC4"/>
    <w:rsid w:val="00575CDB"/>
    <w:rsid w:val="0057722C"/>
    <w:rsid w:val="00590257"/>
    <w:rsid w:val="0059337B"/>
    <w:rsid w:val="005B10F0"/>
    <w:rsid w:val="005B76D7"/>
    <w:rsid w:val="005C5606"/>
    <w:rsid w:val="005D6A92"/>
    <w:rsid w:val="005D7EE4"/>
    <w:rsid w:val="005F1A42"/>
    <w:rsid w:val="005F27CE"/>
    <w:rsid w:val="005F2D01"/>
    <w:rsid w:val="005F550F"/>
    <w:rsid w:val="005F59F8"/>
    <w:rsid w:val="00642495"/>
    <w:rsid w:val="0064406A"/>
    <w:rsid w:val="0064439D"/>
    <w:rsid w:val="0067229A"/>
    <w:rsid w:val="006776D1"/>
    <w:rsid w:val="00692DEB"/>
    <w:rsid w:val="00693513"/>
    <w:rsid w:val="00695F71"/>
    <w:rsid w:val="006B7354"/>
    <w:rsid w:val="006C58B0"/>
    <w:rsid w:val="006D2939"/>
    <w:rsid w:val="006D2FA2"/>
    <w:rsid w:val="006D37BE"/>
    <w:rsid w:val="006D3F72"/>
    <w:rsid w:val="006D6F6D"/>
    <w:rsid w:val="006F37B5"/>
    <w:rsid w:val="00701CB7"/>
    <w:rsid w:val="0070369A"/>
    <w:rsid w:val="00722315"/>
    <w:rsid w:val="0072644F"/>
    <w:rsid w:val="00727972"/>
    <w:rsid w:val="00731DCE"/>
    <w:rsid w:val="00737DEC"/>
    <w:rsid w:val="0074004C"/>
    <w:rsid w:val="00743D6B"/>
    <w:rsid w:val="00746BA7"/>
    <w:rsid w:val="007564D8"/>
    <w:rsid w:val="00756986"/>
    <w:rsid w:val="007605F4"/>
    <w:rsid w:val="0076387B"/>
    <w:rsid w:val="0077093A"/>
    <w:rsid w:val="0077748D"/>
    <w:rsid w:val="0078208A"/>
    <w:rsid w:val="00782CA4"/>
    <w:rsid w:val="007917BD"/>
    <w:rsid w:val="0079493E"/>
    <w:rsid w:val="007A08C0"/>
    <w:rsid w:val="007A2900"/>
    <w:rsid w:val="007A6CBF"/>
    <w:rsid w:val="007A6CCF"/>
    <w:rsid w:val="007B3CC0"/>
    <w:rsid w:val="007C7C97"/>
    <w:rsid w:val="007F7424"/>
    <w:rsid w:val="008001D5"/>
    <w:rsid w:val="00831300"/>
    <w:rsid w:val="00860200"/>
    <w:rsid w:val="00870F36"/>
    <w:rsid w:val="00882DD6"/>
    <w:rsid w:val="00890524"/>
    <w:rsid w:val="008979B6"/>
    <w:rsid w:val="00897F5A"/>
    <w:rsid w:val="008A41CF"/>
    <w:rsid w:val="008A77F3"/>
    <w:rsid w:val="008C5A2C"/>
    <w:rsid w:val="008D3067"/>
    <w:rsid w:val="008D5C14"/>
    <w:rsid w:val="008E2165"/>
    <w:rsid w:val="008F20DD"/>
    <w:rsid w:val="008F3ADC"/>
    <w:rsid w:val="009036BB"/>
    <w:rsid w:val="009113E7"/>
    <w:rsid w:val="00915459"/>
    <w:rsid w:val="009174E6"/>
    <w:rsid w:val="00923D5A"/>
    <w:rsid w:val="0093012E"/>
    <w:rsid w:val="00933C0F"/>
    <w:rsid w:val="00945930"/>
    <w:rsid w:val="00961988"/>
    <w:rsid w:val="00963DB6"/>
    <w:rsid w:val="009648AC"/>
    <w:rsid w:val="0099086F"/>
    <w:rsid w:val="009A1EE1"/>
    <w:rsid w:val="009A4821"/>
    <w:rsid w:val="009B042C"/>
    <w:rsid w:val="009B5B13"/>
    <w:rsid w:val="009C1BB0"/>
    <w:rsid w:val="009C7EAF"/>
    <w:rsid w:val="009E2F69"/>
    <w:rsid w:val="009F6D67"/>
    <w:rsid w:val="00A1511A"/>
    <w:rsid w:val="00A22092"/>
    <w:rsid w:val="00A3664D"/>
    <w:rsid w:val="00A45BD8"/>
    <w:rsid w:val="00A47528"/>
    <w:rsid w:val="00A47F38"/>
    <w:rsid w:val="00A54445"/>
    <w:rsid w:val="00A5545B"/>
    <w:rsid w:val="00A56DAD"/>
    <w:rsid w:val="00A61313"/>
    <w:rsid w:val="00A61897"/>
    <w:rsid w:val="00A65690"/>
    <w:rsid w:val="00A84468"/>
    <w:rsid w:val="00A8575D"/>
    <w:rsid w:val="00A93207"/>
    <w:rsid w:val="00A97A9C"/>
    <w:rsid w:val="00AB179D"/>
    <w:rsid w:val="00AC3FFE"/>
    <w:rsid w:val="00AC619A"/>
    <w:rsid w:val="00AF69C5"/>
    <w:rsid w:val="00B140A5"/>
    <w:rsid w:val="00B1576A"/>
    <w:rsid w:val="00B230C0"/>
    <w:rsid w:val="00B250D0"/>
    <w:rsid w:val="00B36539"/>
    <w:rsid w:val="00B462E1"/>
    <w:rsid w:val="00B47B07"/>
    <w:rsid w:val="00B501F7"/>
    <w:rsid w:val="00B62350"/>
    <w:rsid w:val="00B64343"/>
    <w:rsid w:val="00B73D4B"/>
    <w:rsid w:val="00B76A7B"/>
    <w:rsid w:val="00B92DE7"/>
    <w:rsid w:val="00B966CB"/>
    <w:rsid w:val="00BB455B"/>
    <w:rsid w:val="00BC46AA"/>
    <w:rsid w:val="00BD2337"/>
    <w:rsid w:val="00BE409F"/>
    <w:rsid w:val="00BE5E59"/>
    <w:rsid w:val="00BE6C40"/>
    <w:rsid w:val="00BE6DB1"/>
    <w:rsid w:val="00BF0050"/>
    <w:rsid w:val="00C162DE"/>
    <w:rsid w:val="00C5260B"/>
    <w:rsid w:val="00C56C1A"/>
    <w:rsid w:val="00C63972"/>
    <w:rsid w:val="00C739B3"/>
    <w:rsid w:val="00C8192A"/>
    <w:rsid w:val="00C82494"/>
    <w:rsid w:val="00C836E5"/>
    <w:rsid w:val="00C8503D"/>
    <w:rsid w:val="00C920FE"/>
    <w:rsid w:val="00C949B8"/>
    <w:rsid w:val="00C95F21"/>
    <w:rsid w:val="00C95FF7"/>
    <w:rsid w:val="00CB0247"/>
    <w:rsid w:val="00CB338E"/>
    <w:rsid w:val="00CB3785"/>
    <w:rsid w:val="00CB4A6A"/>
    <w:rsid w:val="00CC07F7"/>
    <w:rsid w:val="00CD1192"/>
    <w:rsid w:val="00CD7B79"/>
    <w:rsid w:val="00CE2AF4"/>
    <w:rsid w:val="00D211A7"/>
    <w:rsid w:val="00D271B3"/>
    <w:rsid w:val="00D33854"/>
    <w:rsid w:val="00D348A0"/>
    <w:rsid w:val="00D364A2"/>
    <w:rsid w:val="00D37674"/>
    <w:rsid w:val="00D430D2"/>
    <w:rsid w:val="00D51469"/>
    <w:rsid w:val="00D65EB5"/>
    <w:rsid w:val="00D84C11"/>
    <w:rsid w:val="00D85F27"/>
    <w:rsid w:val="00D865A4"/>
    <w:rsid w:val="00D90A88"/>
    <w:rsid w:val="00D9612D"/>
    <w:rsid w:val="00DA25E0"/>
    <w:rsid w:val="00DA27D2"/>
    <w:rsid w:val="00DA68BB"/>
    <w:rsid w:val="00DA7456"/>
    <w:rsid w:val="00DB76FB"/>
    <w:rsid w:val="00DC3096"/>
    <w:rsid w:val="00DC5922"/>
    <w:rsid w:val="00DD6B18"/>
    <w:rsid w:val="00DE0F27"/>
    <w:rsid w:val="00DF20BD"/>
    <w:rsid w:val="00DF53BB"/>
    <w:rsid w:val="00E13355"/>
    <w:rsid w:val="00E37633"/>
    <w:rsid w:val="00E4210A"/>
    <w:rsid w:val="00E44356"/>
    <w:rsid w:val="00E44BC7"/>
    <w:rsid w:val="00E452D2"/>
    <w:rsid w:val="00E848EB"/>
    <w:rsid w:val="00E970AD"/>
    <w:rsid w:val="00EA3B42"/>
    <w:rsid w:val="00EA4D89"/>
    <w:rsid w:val="00EC6BF0"/>
    <w:rsid w:val="00ED2200"/>
    <w:rsid w:val="00ED2DA1"/>
    <w:rsid w:val="00EE6949"/>
    <w:rsid w:val="00EF2410"/>
    <w:rsid w:val="00EF2D76"/>
    <w:rsid w:val="00EF731D"/>
    <w:rsid w:val="00F12FC1"/>
    <w:rsid w:val="00F21D39"/>
    <w:rsid w:val="00F40F77"/>
    <w:rsid w:val="00F4457E"/>
    <w:rsid w:val="00F51BAF"/>
    <w:rsid w:val="00F57ACB"/>
    <w:rsid w:val="00F60F39"/>
    <w:rsid w:val="00F70FFA"/>
    <w:rsid w:val="00F76A27"/>
    <w:rsid w:val="00F859C4"/>
    <w:rsid w:val="00F872DC"/>
    <w:rsid w:val="00FB536F"/>
    <w:rsid w:val="00FB5D44"/>
    <w:rsid w:val="00FD0638"/>
    <w:rsid w:val="00FD335D"/>
    <w:rsid w:val="00FD34DB"/>
    <w:rsid w:val="00FD67D8"/>
    <w:rsid w:val="00FE1ACB"/>
    <w:rsid w:val="00FF35C8"/>
    <w:rsid w:val="0147355D"/>
    <w:rsid w:val="01930BF2"/>
    <w:rsid w:val="01C114AF"/>
    <w:rsid w:val="024F514D"/>
    <w:rsid w:val="028A161F"/>
    <w:rsid w:val="02A125E2"/>
    <w:rsid w:val="032150B8"/>
    <w:rsid w:val="037D1D53"/>
    <w:rsid w:val="03D75EBF"/>
    <w:rsid w:val="03FB2F19"/>
    <w:rsid w:val="0428430E"/>
    <w:rsid w:val="043C623F"/>
    <w:rsid w:val="044E52BF"/>
    <w:rsid w:val="050C7106"/>
    <w:rsid w:val="05172A63"/>
    <w:rsid w:val="053D30AA"/>
    <w:rsid w:val="05F31E83"/>
    <w:rsid w:val="062D0370"/>
    <w:rsid w:val="064F44E5"/>
    <w:rsid w:val="07606C6A"/>
    <w:rsid w:val="07EC134E"/>
    <w:rsid w:val="08D60393"/>
    <w:rsid w:val="098C57C4"/>
    <w:rsid w:val="09912829"/>
    <w:rsid w:val="09974E8D"/>
    <w:rsid w:val="09BF26CD"/>
    <w:rsid w:val="09FE45C1"/>
    <w:rsid w:val="0A2247C5"/>
    <w:rsid w:val="0A8B4EDE"/>
    <w:rsid w:val="0AF121E6"/>
    <w:rsid w:val="0B2608B9"/>
    <w:rsid w:val="0B585C77"/>
    <w:rsid w:val="0C6313B4"/>
    <w:rsid w:val="0CD5539F"/>
    <w:rsid w:val="0DC37C0D"/>
    <w:rsid w:val="0E43609E"/>
    <w:rsid w:val="0E5858A0"/>
    <w:rsid w:val="0EA807D3"/>
    <w:rsid w:val="0ECE09DD"/>
    <w:rsid w:val="10147668"/>
    <w:rsid w:val="10873A5D"/>
    <w:rsid w:val="10E56DE5"/>
    <w:rsid w:val="118377AB"/>
    <w:rsid w:val="11A17129"/>
    <w:rsid w:val="11A25518"/>
    <w:rsid w:val="11EC5077"/>
    <w:rsid w:val="11FF552C"/>
    <w:rsid w:val="12315B85"/>
    <w:rsid w:val="125B12DD"/>
    <w:rsid w:val="1289546B"/>
    <w:rsid w:val="12895B44"/>
    <w:rsid w:val="13274DFF"/>
    <w:rsid w:val="13312E33"/>
    <w:rsid w:val="13B16268"/>
    <w:rsid w:val="13BE06E0"/>
    <w:rsid w:val="13E7053C"/>
    <w:rsid w:val="13F34BEE"/>
    <w:rsid w:val="145D3F7C"/>
    <w:rsid w:val="14AB021B"/>
    <w:rsid w:val="153F4A41"/>
    <w:rsid w:val="15B328A6"/>
    <w:rsid w:val="15FC63BD"/>
    <w:rsid w:val="16351563"/>
    <w:rsid w:val="167C0BEC"/>
    <w:rsid w:val="16E62707"/>
    <w:rsid w:val="16F01C00"/>
    <w:rsid w:val="171C3127"/>
    <w:rsid w:val="173A198F"/>
    <w:rsid w:val="17593560"/>
    <w:rsid w:val="17F9327A"/>
    <w:rsid w:val="18B64B21"/>
    <w:rsid w:val="18C76FB9"/>
    <w:rsid w:val="1990563A"/>
    <w:rsid w:val="19ED08FA"/>
    <w:rsid w:val="1A8F47DC"/>
    <w:rsid w:val="1A984833"/>
    <w:rsid w:val="1ABF2DD0"/>
    <w:rsid w:val="1B275646"/>
    <w:rsid w:val="1B6D687E"/>
    <w:rsid w:val="1B7F37C2"/>
    <w:rsid w:val="1BB8554B"/>
    <w:rsid w:val="1C2F1F14"/>
    <w:rsid w:val="1C614428"/>
    <w:rsid w:val="1C8822B2"/>
    <w:rsid w:val="1C957C3D"/>
    <w:rsid w:val="1CB22026"/>
    <w:rsid w:val="1D052FCE"/>
    <w:rsid w:val="1D52040B"/>
    <w:rsid w:val="1DAE722D"/>
    <w:rsid w:val="1DF8563D"/>
    <w:rsid w:val="1EE72128"/>
    <w:rsid w:val="1F0B3A2C"/>
    <w:rsid w:val="1F663190"/>
    <w:rsid w:val="1F833E81"/>
    <w:rsid w:val="1FEC6D72"/>
    <w:rsid w:val="201C4A16"/>
    <w:rsid w:val="202C42F8"/>
    <w:rsid w:val="2058502A"/>
    <w:rsid w:val="20BF25CD"/>
    <w:rsid w:val="21835B8E"/>
    <w:rsid w:val="22057DC6"/>
    <w:rsid w:val="22594204"/>
    <w:rsid w:val="22F77C6E"/>
    <w:rsid w:val="22F77D03"/>
    <w:rsid w:val="230F4968"/>
    <w:rsid w:val="231A7BE6"/>
    <w:rsid w:val="23377A2A"/>
    <w:rsid w:val="23886167"/>
    <w:rsid w:val="24410216"/>
    <w:rsid w:val="24413D4C"/>
    <w:rsid w:val="2487123E"/>
    <w:rsid w:val="249F6239"/>
    <w:rsid w:val="253B2368"/>
    <w:rsid w:val="255B134C"/>
    <w:rsid w:val="25A03F33"/>
    <w:rsid w:val="262873ED"/>
    <w:rsid w:val="26632A84"/>
    <w:rsid w:val="26D84543"/>
    <w:rsid w:val="27157AB9"/>
    <w:rsid w:val="27581357"/>
    <w:rsid w:val="27797056"/>
    <w:rsid w:val="27E061C0"/>
    <w:rsid w:val="281B662D"/>
    <w:rsid w:val="28921434"/>
    <w:rsid w:val="29CE271B"/>
    <w:rsid w:val="29F03D85"/>
    <w:rsid w:val="2A6A77A5"/>
    <w:rsid w:val="2A8334A8"/>
    <w:rsid w:val="2AE435CB"/>
    <w:rsid w:val="2AF82E30"/>
    <w:rsid w:val="2B1A2643"/>
    <w:rsid w:val="2B2B14B3"/>
    <w:rsid w:val="2C6334CB"/>
    <w:rsid w:val="2D3918F2"/>
    <w:rsid w:val="2DCB028A"/>
    <w:rsid w:val="2EF85E4F"/>
    <w:rsid w:val="2F057B21"/>
    <w:rsid w:val="2FE32A18"/>
    <w:rsid w:val="303727EC"/>
    <w:rsid w:val="306C548D"/>
    <w:rsid w:val="30DB2417"/>
    <w:rsid w:val="30F4739E"/>
    <w:rsid w:val="311E0A48"/>
    <w:rsid w:val="31890ED7"/>
    <w:rsid w:val="31AD0575"/>
    <w:rsid w:val="31DE75AD"/>
    <w:rsid w:val="31E40878"/>
    <w:rsid w:val="31EC78F7"/>
    <w:rsid w:val="3259414D"/>
    <w:rsid w:val="32A8132F"/>
    <w:rsid w:val="336B0E88"/>
    <w:rsid w:val="33826A94"/>
    <w:rsid w:val="34713E5F"/>
    <w:rsid w:val="34C943A5"/>
    <w:rsid w:val="34CB3D8F"/>
    <w:rsid w:val="34DD7157"/>
    <w:rsid w:val="34E362A9"/>
    <w:rsid w:val="351A6777"/>
    <w:rsid w:val="357869FF"/>
    <w:rsid w:val="3608596A"/>
    <w:rsid w:val="361A6F0E"/>
    <w:rsid w:val="369335E2"/>
    <w:rsid w:val="36B707D4"/>
    <w:rsid w:val="36C76870"/>
    <w:rsid w:val="37045AFA"/>
    <w:rsid w:val="370A64AF"/>
    <w:rsid w:val="3714623E"/>
    <w:rsid w:val="37453F23"/>
    <w:rsid w:val="374D4B96"/>
    <w:rsid w:val="377636E9"/>
    <w:rsid w:val="385C6907"/>
    <w:rsid w:val="38EF5876"/>
    <w:rsid w:val="39120A49"/>
    <w:rsid w:val="392E24E2"/>
    <w:rsid w:val="3990374D"/>
    <w:rsid w:val="39FE025D"/>
    <w:rsid w:val="3A323047"/>
    <w:rsid w:val="3A3B492E"/>
    <w:rsid w:val="3A830151"/>
    <w:rsid w:val="3AC86383"/>
    <w:rsid w:val="3BB43D46"/>
    <w:rsid w:val="3BE31489"/>
    <w:rsid w:val="3BEA573C"/>
    <w:rsid w:val="3C1338F4"/>
    <w:rsid w:val="3C69370D"/>
    <w:rsid w:val="3C7B3CA3"/>
    <w:rsid w:val="3CCF3286"/>
    <w:rsid w:val="3CFC6F39"/>
    <w:rsid w:val="3D0D3598"/>
    <w:rsid w:val="3D6E279F"/>
    <w:rsid w:val="3D8F1B15"/>
    <w:rsid w:val="3DAF3781"/>
    <w:rsid w:val="3E8C691B"/>
    <w:rsid w:val="3F6A030B"/>
    <w:rsid w:val="3F724511"/>
    <w:rsid w:val="3FF77689"/>
    <w:rsid w:val="400D58EB"/>
    <w:rsid w:val="4040107B"/>
    <w:rsid w:val="40AF1BF4"/>
    <w:rsid w:val="414536E8"/>
    <w:rsid w:val="425E09BB"/>
    <w:rsid w:val="42800A9B"/>
    <w:rsid w:val="42D5721B"/>
    <w:rsid w:val="42FF3637"/>
    <w:rsid w:val="435E490E"/>
    <w:rsid w:val="439166DF"/>
    <w:rsid w:val="43C9056C"/>
    <w:rsid w:val="442C3520"/>
    <w:rsid w:val="44584A91"/>
    <w:rsid w:val="45B11D05"/>
    <w:rsid w:val="45B56638"/>
    <w:rsid w:val="46887840"/>
    <w:rsid w:val="469604C0"/>
    <w:rsid w:val="46BF67FF"/>
    <w:rsid w:val="471B4200"/>
    <w:rsid w:val="4756705D"/>
    <w:rsid w:val="47953574"/>
    <w:rsid w:val="47CD4E80"/>
    <w:rsid w:val="4849519D"/>
    <w:rsid w:val="48734858"/>
    <w:rsid w:val="48995698"/>
    <w:rsid w:val="496A72F2"/>
    <w:rsid w:val="4A020DD1"/>
    <w:rsid w:val="4A501A52"/>
    <w:rsid w:val="4AC82506"/>
    <w:rsid w:val="4AD24DB7"/>
    <w:rsid w:val="4B173490"/>
    <w:rsid w:val="4B7E58F0"/>
    <w:rsid w:val="4BE7363F"/>
    <w:rsid w:val="4CDF55AC"/>
    <w:rsid w:val="4CE032E8"/>
    <w:rsid w:val="4D091D7F"/>
    <w:rsid w:val="4D1E3932"/>
    <w:rsid w:val="4D2978EA"/>
    <w:rsid w:val="4DFC3B76"/>
    <w:rsid w:val="4E9920C5"/>
    <w:rsid w:val="4E9D14E0"/>
    <w:rsid w:val="4EA115EA"/>
    <w:rsid w:val="4EA24B80"/>
    <w:rsid w:val="4EB7256F"/>
    <w:rsid w:val="4EEF08EE"/>
    <w:rsid w:val="4FDF0BDA"/>
    <w:rsid w:val="500451EE"/>
    <w:rsid w:val="502F4290"/>
    <w:rsid w:val="505F053A"/>
    <w:rsid w:val="50A74369"/>
    <w:rsid w:val="50D71700"/>
    <w:rsid w:val="52325449"/>
    <w:rsid w:val="52435232"/>
    <w:rsid w:val="52C03E2F"/>
    <w:rsid w:val="52ED2734"/>
    <w:rsid w:val="52FB6C14"/>
    <w:rsid w:val="53383A67"/>
    <w:rsid w:val="53414C86"/>
    <w:rsid w:val="53425AF8"/>
    <w:rsid w:val="53D573C8"/>
    <w:rsid w:val="540A2979"/>
    <w:rsid w:val="54951163"/>
    <w:rsid w:val="54BE764B"/>
    <w:rsid w:val="54D144B8"/>
    <w:rsid w:val="54D81EDE"/>
    <w:rsid w:val="54E117B9"/>
    <w:rsid w:val="551308D7"/>
    <w:rsid w:val="5522166A"/>
    <w:rsid w:val="552B336C"/>
    <w:rsid w:val="55334B1E"/>
    <w:rsid w:val="554613ED"/>
    <w:rsid w:val="55654D2C"/>
    <w:rsid w:val="560F7720"/>
    <w:rsid w:val="56C9750D"/>
    <w:rsid w:val="56D3768B"/>
    <w:rsid w:val="56D7251D"/>
    <w:rsid w:val="577B3B61"/>
    <w:rsid w:val="579B5DDE"/>
    <w:rsid w:val="58122916"/>
    <w:rsid w:val="583B7566"/>
    <w:rsid w:val="586D6359"/>
    <w:rsid w:val="58992CE0"/>
    <w:rsid w:val="59626C4C"/>
    <w:rsid w:val="59882E07"/>
    <w:rsid w:val="59C34B30"/>
    <w:rsid w:val="59FF01F9"/>
    <w:rsid w:val="5A456AA8"/>
    <w:rsid w:val="5B6A20DB"/>
    <w:rsid w:val="5B9D2466"/>
    <w:rsid w:val="5C390DE9"/>
    <w:rsid w:val="5C4A6762"/>
    <w:rsid w:val="5C657D69"/>
    <w:rsid w:val="5C681D79"/>
    <w:rsid w:val="5CD81F18"/>
    <w:rsid w:val="5DAC20A5"/>
    <w:rsid w:val="5DCB4370"/>
    <w:rsid w:val="5DCD315E"/>
    <w:rsid w:val="5DD13AFA"/>
    <w:rsid w:val="5EA122BA"/>
    <w:rsid w:val="5EA66D79"/>
    <w:rsid w:val="5F1E471D"/>
    <w:rsid w:val="603324BF"/>
    <w:rsid w:val="60C75699"/>
    <w:rsid w:val="60CE5CA1"/>
    <w:rsid w:val="60FD7926"/>
    <w:rsid w:val="61060B5B"/>
    <w:rsid w:val="612F153F"/>
    <w:rsid w:val="6148520D"/>
    <w:rsid w:val="61545434"/>
    <w:rsid w:val="61546A9E"/>
    <w:rsid w:val="61682EEE"/>
    <w:rsid w:val="61A63F54"/>
    <w:rsid w:val="623B0EED"/>
    <w:rsid w:val="62457AF1"/>
    <w:rsid w:val="63B6213F"/>
    <w:rsid w:val="648A2F85"/>
    <w:rsid w:val="64CA30E0"/>
    <w:rsid w:val="650000DC"/>
    <w:rsid w:val="65732980"/>
    <w:rsid w:val="675C2A23"/>
    <w:rsid w:val="677754DF"/>
    <w:rsid w:val="69494579"/>
    <w:rsid w:val="695463E1"/>
    <w:rsid w:val="69DA0931"/>
    <w:rsid w:val="6A214E5A"/>
    <w:rsid w:val="6A262EB6"/>
    <w:rsid w:val="6A4B2070"/>
    <w:rsid w:val="6A7F248D"/>
    <w:rsid w:val="6AA141DE"/>
    <w:rsid w:val="6ABF601F"/>
    <w:rsid w:val="6AEC6213"/>
    <w:rsid w:val="6BC0680B"/>
    <w:rsid w:val="6BCB7B24"/>
    <w:rsid w:val="6C124FE0"/>
    <w:rsid w:val="6C6C11B9"/>
    <w:rsid w:val="6D6A2FE6"/>
    <w:rsid w:val="6E376907"/>
    <w:rsid w:val="6E965A13"/>
    <w:rsid w:val="6ED35DA8"/>
    <w:rsid w:val="6F4B4A78"/>
    <w:rsid w:val="6F5E474D"/>
    <w:rsid w:val="6F9237EA"/>
    <w:rsid w:val="6FE3327D"/>
    <w:rsid w:val="701B5E00"/>
    <w:rsid w:val="703102FA"/>
    <w:rsid w:val="706E5667"/>
    <w:rsid w:val="7088512F"/>
    <w:rsid w:val="711463E8"/>
    <w:rsid w:val="71382CC8"/>
    <w:rsid w:val="719D0D2B"/>
    <w:rsid w:val="7231462C"/>
    <w:rsid w:val="72914734"/>
    <w:rsid w:val="72BA1107"/>
    <w:rsid w:val="74BC1B73"/>
    <w:rsid w:val="74D47E32"/>
    <w:rsid w:val="753E09E9"/>
    <w:rsid w:val="75746541"/>
    <w:rsid w:val="757A249E"/>
    <w:rsid w:val="75980DD6"/>
    <w:rsid w:val="75B276AB"/>
    <w:rsid w:val="76244B3B"/>
    <w:rsid w:val="76E85C6C"/>
    <w:rsid w:val="774F4B4D"/>
    <w:rsid w:val="7772626B"/>
    <w:rsid w:val="77B1385B"/>
    <w:rsid w:val="77DC74F1"/>
    <w:rsid w:val="788B64CE"/>
    <w:rsid w:val="78AB0354"/>
    <w:rsid w:val="78ED68D1"/>
    <w:rsid w:val="796E59CC"/>
    <w:rsid w:val="79A30792"/>
    <w:rsid w:val="79AF4253"/>
    <w:rsid w:val="79F00A95"/>
    <w:rsid w:val="7A9B4DC2"/>
    <w:rsid w:val="7AD05DB8"/>
    <w:rsid w:val="7C553E17"/>
    <w:rsid w:val="7C6C2148"/>
    <w:rsid w:val="7CA80B42"/>
    <w:rsid w:val="7CF77A40"/>
    <w:rsid w:val="7D1F397C"/>
    <w:rsid w:val="7DCD2A64"/>
    <w:rsid w:val="7DEF3BA6"/>
    <w:rsid w:val="7E15126D"/>
    <w:rsid w:val="7E1E614A"/>
    <w:rsid w:val="7E266874"/>
    <w:rsid w:val="7E3414A3"/>
    <w:rsid w:val="7E523121"/>
    <w:rsid w:val="7F9B75CA"/>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oNotEmbedSmartTags/>
  <w:decimalSymbol w:val="."/>
  <w:listSeparator w:val=","/>
  <w15:docId w15:val="{6ECE0FF4-3C5C-478E-9E5C-1F1EF341BD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toc 2" w:uiPriority="39" w:qFormat="1"/>
    <w:lsdException w:name="toc 3" w:uiPriority="39" w:unhideWhenUsed="1" w:qFormat="1"/>
    <w:lsdException w:name="toc 4" w:uiPriority="39" w:unhideWhenUsed="1" w:qFormat="1"/>
    <w:lsdException w:name="toc 5" w:uiPriority="39" w:unhideWhenUsed="1" w:qFormat="1"/>
    <w:lsdException w:name="toc 6" w:uiPriority="39" w:unhideWhenUsed="1" w:qFormat="1"/>
    <w:lsdException w:name="toc 7" w:uiPriority="39" w:unhideWhenUsed="1" w:qFormat="1"/>
    <w:lsdException w:name="toc 8" w:uiPriority="39" w:unhideWhenUsed="1" w:qFormat="1"/>
    <w:lsdException w:name="toc 9" w:uiPriority="39" w:unhideWhenUsed="1" w:qFormat="1"/>
    <w:lsdException w:name="header" w:qFormat="1"/>
    <w:lsdException w:name="footer" w:uiPriority="99" w:qFormat="1"/>
    <w:lsdException w:name="caption" w:semiHidden="1" w:unhideWhenUsed="1" w:qFormat="1"/>
    <w:lsdException w:name="page number" w:qFormat="1"/>
    <w:lsdException w:name="Title" w:qFormat="1"/>
    <w:lsdException w:name="Default Paragraph Font" w:uiPriority="1" w:unhideWhenUsed="1" w:qFormat="1"/>
    <w:lsdException w:name="Subtitle" w:qFormat="1"/>
    <w:lsdException w:name="Hyperlink" w:uiPriority="99" w:qFormat="1"/>
    <w:lsdException w:name="FollowedHyperlink" w:qFormat="1"/>
    <w:lsdException w:name="Strong" w:qFormat="1"/>
    <w:lsdException w:name="Emphasis" w:qFormat="1"/>
    <w:lsdException w:name="Plain Text" w:qFormat="1"/>
    <w:lsdException w:name="HTML Top of Form" w:semiHidden="1" w:uiPriority="99" w:unhideWhenUsed="1"/>
    <w:lsdException w:name="HTML Bottom of Form" w:semiHidden="1" w:uiPriority="99" w:unhideWhenUsed="1"/>
    <w:lsdException w:name="Normal (Web)" w:qFormat="1"/>
    <w:lsdException w:name="HTML Acronym" w:qFormat="1"/>
    <w:lsdException w:name="HTML Cite" w:qFormat="1"/>
    <w:lsdException w:name="HTML Code" w:qFormat="1"/>
    <w:lsdException w:name="HTML Definition" w:qFormat="1"/>
    <w:lsdException w:name="HTML Preformatted" w:qFormat="1"/>
    <w:lsdException w:name="HTML Variable" w:qFormat="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pPr>
      <w:widowControl w:val="0"/>
      <w:jc w:val="both"/>
    </w:pPr>
    <w:rPr>
      <w:kern w:val="2"/>
      <w:sz w:val="21"/>
      <w:szCs w:val="24"/>
    </w:rPr>
  </w:style>
  <w:style w:type="paragraph" w:styleId="1">
    <w:name w:val="heading 1"/>
    <w:basedOn w:val="a"/>
    <w:next w:val="a"/>
    <w:link w:val="11"/>
    <w:qFormat/>
    <w:pPr>
      <w:keepNext/>
      <w:keepLines/>
      <w:spacing w:before="340" w:after="330" w:line="576" w:lineRule="auto"/>
      <w:outlineLvl w:val="0"/>
    </w:pPr>
    <w:rPr>
      <w:kern w:val="44"/>
      <w:sz w:val="28"/>
    </w:rPr>
  </w:style>
  <w:style w:type="paragraph" w:styleId="2">
    <w:name w:val="heading 2"/>
    <w:basedOn w:val="a"/>
    <w:next w:val="a"/>
    <w:link w:val="20"/>
    <w:unhideWhenUsed/>
    <w:qFormat/>
    <w:pPr>
      <w:keepNext/>
      <w:keepLines/>
      <w:spacing w:line="413" w:lineRule="auto"/>
      <w:outlineLvl w:val="1"/>
    </w:pPr>
    <w:rPr>
      <w:rFonts w:ascii="Arial" w:hAnsi="Arial"/>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7">
    <w:name w:val="toc 7"/>
    <w:basedOn w:val="a"/>
    <w:next w:val="a"/>
    <w:uiPriority w:val="39"/>
    <w:unhideWhenUsed/>
    <w:qFormat/>
    <w:pPr>
      <w:ind w:leftChars="1200" w:left="2520"/>
    </w:pPr>
    <w:rPr>
      <w:rFonts w:asciiTheme="minorHAnsi" w:eastAsiaTheme="minorEastAsia" w:hAnsiTheme="minorHAnsi" w:cstheme="minorBidi"/>
      <w:szCs w:val="22"/>
    </w:rPr>
  </w:style>
  <w:style w:type="paragraph" w:styleId="5">
    <w:name w:val="toc 5"/>
    <w:basedOn w:val="a"/>
    <w:next w:val="a"/>
    <w:uiPriority w:val="39"/>
    <w:unhideWhenUsed/>
    <w:qFormat/>
    <w:pPr>
      <w:ind w:leftChars="800" w:left="1680"/>
    </w:pPr>
    <w:rPr>
      <w:rFonts w:asciiTheme="minorHAnsi" w:eastAsiaTheme="minorEastAsia" w:hAnsiTheme="minorHAnsi" w:cstheme="minorBidi"/>
      <w:szCs w:val="22"/>
    </w:rPr>
  </w:style>
  <w:style w:type="paragraph" w:styleId="3">
    <w:name w:val="toc 3"/>
    <w:basedOn w:val="a"/>
    <w:next w:val="a"/>
    <w:uiPriority w:val="39"/>
    <w:unhideWhenUsed/>
    <w:qFormat/>
    <w:pPr>
      <w:ind w:leftChars="400" w:left="840"/>
    </w:pPr>
    <w:rPr>
      <w:rFonts w:asciiTheme="minorHAnsi" w:eastAsiaTheme="minorEastAsia" w:hAnsiTheme="minorHAnsi" w:cstheme="minorBidi"/>
      <w:szCs w:val="22"/>
    </w:rPr>
  </w:style>
  <w:style w:type="paragraph" w:styleId="a3">
    <w:name w:val="Plain Text"/>
    <w:basedOn w:val="a"/>
    <w:link w:val="a4"/>
    <w:qFormat/>
    <w:rPr>
      <w:rFonts w:ascii="宋体"/>
      <w:szCs w:val="21"/>
    </w:rPr>
  </w:style>
  <w:style w:type="paragraph" w:styleId="8">
    <w:name w:val="toc 8"/>
    <w:basedOn w:val="a"/>
    <w:next w:val="a"/>
    <w:uiPriority w:val="39"/>
    <w:unhideWhenUsed/>
    <w:qFormat/>
    <w:pPr>
      <w:ind w:leftChars="1400" w:left="2940"/>
    </w:pPr>
    <w:rPr>
      <w:rFonts w:asciiTheme="minorHAnsi" w:eastAsiaTheme="minorEastAsia" w:hAnsiTheme="minorHAnsi" w:cstheme="minorBidi"/>
      <w:szCs w:val="22"/>
    </w:rPr>
  </w:style>
  <w:style w:type="paragraph" w:styleId="a5">
    <w:name w:val="Balloon Text"/>
    <w:basedOn w:val="a"/>
    <w:link w:val="a6"/>
    <w:qFormat/>
    <w:rPr>
      <w:sz w:val="18"/>
      <w:szCs w:val="18"/>
    </w:rPr>
  </w:style>
  <w:style w:type="paragraph" w:styleId="a7">
    <w:name w:val="footer"/>
    <w:basedOn w:val="a"/>
    <w:link w:val="a8"/>
    <w:uiPriority w:val="99"/>
    <w:qFormat/>
    <w:rsid w:val="00AC3FFE"/>
    <w:pPr>
      <w:tabs>
        <w:tab w:val="center" w:pos="4153"/>
        <w:tab w:val="right" w:pos="8306"/>
      </w:tabs>
      <w:snapToGrid w:val="0"/>
      <w:jc w:val="left"/>
    </w:pPr>
    <w:rPr>
      <w:sz w:val="28"/>
      <w:szCs w:val="18"/>
    </w:rPr>
  </w:style>
  <w:style w:type="paragraph" w:styleId="a9">
    <w:name w:val="header"/>
    <w:basedOn w:val="a"/>
    <w:link w:val="aa"/>
    <w:qFormat/>
    <w:pPr>
      <w:pBdr>
        <w:bottom w:val="single" w:sz="6" w:space="1" w:color="auto"/>
      </w:pBdr>
      <w:tabs>
        <w:tab w:val="center" w:pos="4153"/>
        <w:tab w:val="right" w:pos="8306"/>
      </w:tabs>
      <w:snapToGrid w:val="0"/>
      <w:jc w:val="center"/>
    </w:pPr>
    <w:rPr>
      <w:sz w:val="18"/>
      <w:szCs w:val="18"/>
    </w:rPr>
  </w:style>
  <w:style w:type="paragraph" w:styleId="10">
    <w:name w:val="toc 1"/>
    <w:basedOn w:val="a"/>
    <w:next w:val="a"/>
    <w:uiPriority w:val="39"/>
    <w:qFormat/>
  </w:style>
  <w:style w:type="paragraph" w:styleId="4">
    <w:name w:val="toc 4"/>
    <w:basedOn w:val="a"/>
    <w:next w:val="a"/>
    <w:uiPriority w:val="39"/>
    <w:unhideWhenUsed/>
    <w:qFormat/>
    <w:pPr>
      <w:ind w:leftChars="600" w:left="1260"/>
    </w:pPr>
    <w:rPr>
      <w:rFonts w:asciiTheme="minorHAnsi" w:eastAsiaTheme="minorEastAsia" w:hAnsiTheme="minorHAnsi" w:cstheme="minorBidi"/>
      <w:szCs w:val="22"/>
    </w:rPr>
  </w:style>
  <w:style w:type="paragraph" w:styleId="6">
    <w:name w:val="toc 6"/>
    <w:basedOn w:val="a"/>
    <w:next w:val="a"/>
    <w:uiPriority w:val="39"/>
    <w:unhideWhenUsed/>
    <w:qFormat/>
    <w:pPr>
      <w:ind w:leftChars="1000" w:left="2100"/>
    </w:pPr>
    <w:rPr>
      <w:rFonts w:asciiTheme="minorHAnsi" w:eastAsiaTheme="minorEastAsia" w:hAnsiTheme="minorHAnsi" w:cstheme="minorBidi"/>
      <w:szCs w:val="22"/>
    </w:rPr>
  </w:style>
  <w:style w:type="paragraph" w:styleId="21">
    <w:name w:val="toc 2"/>
    <w:basedOn w:val="a"/>
    <w:next w:val="a"/>
    <w:uiPriority w:val="39"/>
    <w:qFormat/>
    <w:pPr>
      <w:ind w:leftChars="200" w:left="420"/>
    </w:pPr>
  </w:style>
  <w:style w:type="paragraph" w:styleId="9">
    <w:name w:val="toc 9"/>
    <w:basedOn w:val="a"/>
    <w:next w:val="a"/>
    <w:uiPriority w:val="39"/>
    <w:unhideWhenUsed/>
    <w:qFormat/>
    <w:pPr>
      <w:ind w:leftChars="1600" w:left="3360"/>
    </w:pPr>
    <w:rPr>
      <w:rFonts w:asciiTheme="minorHAnsi" w:eastAsiaTheme="minorEastAsia" w:hAnsiTheme="minorHAnsi" w:cstheme="minorBidi"/>
      <w:szCs w:val="22"/>
    </w:rPr>
  </w:style>
  <w:style w:type="paragraph" w:styleId="HTML">
    <w:name w:val="HTML Preformatted"/>
    <w:basedOn w:val="a"/>
    <w:link w:val="HTML0"/>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hAnsi="Courier New"/>
      <w:kern w:val="0"/>
      <w:sz w:val="20"/>
      <w:szCs w:val="20"/>
    </w:rPr>
  </w:style>
  <w:style w:type="paragraph" w:styleId="ab">
    <w:name w:val="Normal (Web)"/>
    <w:basedOn w:val="a"/>
    <w:qFormat/>
    <w:pPr>
      <w:widowControl/>
      <w:spacing w:before="100" w:beforeAutospacing="1" w:after="100" w:afterAutospacing="1"/>
      <w:jc w:val="left"/>
    </w:pPr>
    <w:rPr>
      <w:rFonts w:ascii="宋体" w:cs="宋体"/>
      <w:kern w:val="0"/>
      <w:sz w:val="24"/>
    </w:rPr>
  </w:style>
  <w:style w:type="character" w:styleId="ac">
    <w:name w:val="Strong"/>
    <w:qFormat/>
    <w:rPr>
      <w:rFonts w:cs="Times New Roman"/>
      <w:b/>
      <w:bCs/>
      <w:lang w:bidi="ar-SA"/>
    </w:rPr>
  </w:style>
  <w:style w:type="character" w:styleId="ad">
    <w:name w:val="page number"/>
    <w:basedOn w:val="a0"/>
    <w:qFormat/>
  </w:style>
  <w:style w:type="character" w:styleId="ae">
    <w:name w:val="FollowedHyperlink"/>
    <w:qFormat/>
    <w:rPr>
      <w:color w:val="800080"/>
      <w:u w:val="none"/>
    </w:rPr>
  </w:style>
  <w:style w:type="character" w:styleId="af">
    <w:name w:val="Emphasis"/>
    <w:qFormat/>
    <w:rPr>
      <w:rFonts w:cs="Times New Roman"/>
      <w:i/>
      <w:iCs/>
      <w:lang w:bidi="ar-SA"/>
    </w:rPr>
  </w:style>
  <w:style w:type="character" w:styleId="HTML1">
    <w:name w:val="HTML Definition"/>
    <w:qFormat/>
    <w:rPr>
      <w:i/>
    </w:rPr>
  </w:style>
  <w:style w:type="character" w:styleId="HTML2">
    <w:name w:val="HTML Acronym"/>
    <w:basedOn w:val="a0"/>
    <w:qFormat/>
  </w:style>
  <w:style w:type="character" w:styleId="HTML3">
    <w:name w:val="HTML Variable"/>
    <w:qFormat/>
    <w:rPr>
      <w:i/>
    </w:rPr>
  </w:style>
  <w:style w:type="character" w:styleId="af0">
    <w:name w:val="Hyperlink"/>
    <w:uiPriority w:val="99"/>
    <w:qFormat/>
    <w:rPr>
      <w:rFonts w:ascii="Times New Roman" w:hAnsi="Times New Roman" w:cs="Times New Roman"/>
      <w:color w:val="0000FF"/>
      <w:u w:val="single"/>
      <w:lang w:bidi="ar-SA"/>
    </w:rPr>
  </w:style>
  <w:style w:type="character" w:styleId="HTML4">
    <w:name w:val="HTML Code"/>
    <w:qFormat/>
    <w:rPr>
      <w:rFonts w:ascii="Courier New" w:hAnsi="Courier New"/>
      <w:sz w:val="20"/>
    </w:rPr>
  </w:style>
  <w:style w:type="character" w:styleId="HTML5">
    <w:name w:val="HTML Cite"/>
    <w:qFormat/>
    <w:rPr>
      <w:i/>
    </w:rPr>
  </w:style>
  <w:style w:type="character" w:customStyle="1" w:styleId="11">
    <w:name w:val="标题 1 字符1"/>
    <w:link w:val="1"/>
    <w:qFormat/>
    <w:rPr>
      <w:rFonts w:eastAsia="宋体"/>
      <w:kern w:val="44"/>
      <w:sz w:val="28"/>
      <w:szCs w:val="24"/>
    </w:rPr>
  </w:style>
  <w:style w:type="character" w:customStyle="1" w:styleId="HeaderChar">
    <w:name w:val="Header Char"/>
    <w:qFormat/>
    <w:rPr>
      <w:rFonts w:cs="Times New Roman"/>
      <w:sz w:val="18"/>
      <w:szCs w:val="18"/>
      <w:lang w:bidi="ar-SA"/>
    </w:rPr>
  </w:style>
  <w:style w:type="character" w:customStyle="1" w:styleId="font61">
    <w:name w:val="font61"/>
    <w:qFormat/>
    <w:rPr>
      <w:rFonts w:ascii="宋体" w:eastAsia="宋体" w:hAnsi="宋体" w:cs="宋体" w:hint="eastAsia"/>
      <w:color w:val="000000"/>
      <w:sz w:val="21"/>
      <w:szCs w:val="21"/>
      <w:u w:val="none"/>
    </w:rPr>
  </w:style>
  <w:style w:type="character" w:customStyle="1" w:styleId="font01">
    <w:name w:val="font01"/>
    <w:qFormat/>
    <w:rPr>
      <w:rFonts w:ascii="宋体" w:eastAsia="宋体" w:hAnsi="宋体" w:cs="宋体" w:hint="eastAsia"/>
      <w:color w:val="FF0000"/>
      <w:sz w:val="21"/>
      <w:szCs w:val="21"/>
      <w:u w:val="none"/>
    </w:rPr>
  </w:style>
  <w:style w:type="character" w:customStyle="1" w:styleId="wp-login-txt21">
    <w:name w:val="wp-login-txt21"/>
    <w:qFormat/>
    <w:rPr>
      <w:sz w:val="36"/>
      <w:szCs w:val="36"/>
    </w:rPr>
  </w:style>
  <w:style w:type="character" w:customStyle="1" w:styleId="a8">
    <w:name w:val="页脚 字符"/>
    <w:link w:val="a7"/>
    <w:uiPriority w:val="99"/>
    <w:qFormat/>
    <w:rsid w:val="00AC3FFE"/>
    <w:rPr>
      <w:kern w:val="2"/>
      <w:sz w:val="28"/>
      <w:szCs w:val="18"/>
    </w:rPr>
  </w:style>
  <w:style w:type="character" w:customStyle="1" w:styleId="a6">
    <w:name w:val="批注框文本 字符"/>
    <w:link w:val="a5"/>
    <w:qFormat/>
    <w:rPr>
      <w:kern w:val="2"/>
      <w:sz w:val="18"/>
      <w:szCs w:val="18"/>
    </w:rPr>
  </w:style>
  <w:style w:type="character" w:customStyle="1" w:styleId="font21">
    <w:name w:val="font21"/>
    <w:qFormat/>
    <w:rPr>
      <w:rFonts w:ascii="方正书宋简体" w:eastAsia="方正书宋简体" w:hAnsi="方正书宋简体" w:cs="方正书宋简体" w:hint="default"/>
      <w:b/>
      <w:color w:val="000000"/>
      <w:sz w:val="21"/>
      <w:szCs w:val="21"/>
      <w:u w:val="none"/>
    </w:rPr>
  </w:style>
  <w:style w:type="character" w:customStyle="1" w:styleId="font51">
    <w:name w:val="font51"/>
    <w:qFormat/>
    <w:rPr>
      <w:rFonts w:ascii="方正书宋简体" w:eastAsia="方正书宋简体" w:hAnsi="方正书宋简体" w:cs="方正书宋简体" w:hint="default"/>
      <w:color w:val="000000"/>
      <w:sz w:val="21"/>
      <w:szCs w:val="21"/>
      <w:u w:val="none"/>
    </w:rPr>
  </w:style>
  <w:style w:type="character" w:customStyle="1" w:styleId="a4">
    <w:name w:val="纯文本 字符"/>
    <w:link w:val="a3"/>
    <w:qFormat/>
    <w:rPr>
      <w:rFonts w:ascii="宋体" w:cs="Courier New"/>
      <w:kern w:val="2"/>
      <w:sz w:val="21"/>
      <w:szCs w:val="21"/>
    </w:rPr>
  </w:style>
  <w:style w:type="character" w:customStyle="1" w:styleId="news-close">
    <w:name w:val="news-close"/>
    <w:qFormat/>
    <w:rPr>
      <w:rFonts w:ascii="serif" w:eastAsia="serif" w:hAnsi="serif" w:cs="serif" w:hint="default"/>
      <w:sz w:val="24"/>
      <w:szCs w:val="24"/>
    </w:rPr>
  </w:style>
  <w:style w:type="character" w:customStyle="1" w:styleId="current">
    <w:name w:val="current"/>
    <w:qFormat/>
    <w:rPr>
      <w:color w:val="FFFFFF"/>
      <w:bdr w:val="single" w:sz="6" w:space="0" w:color="428BCA"/>
      <w:shd w:val="clear" w:color="auto" w:fill="428BCA"/>
    </w:rPr>
  </w:style>
  <w:style w:type="character" w:customStyle="1" w:styleId="help-close">
    <w:name w:val="help-close"/>
    <w:qFormat/>
    <w:rPr>
      <w:rFonts w:ascii="serif" w:eastAsia="serif" w:hAnsi="serif" w:cs="serif"/>
      <w:sz w:val="24"/>
      <w:szCs w:val="24"/>
    </w:rPr>
  </w:style>
  <w:style w:type="character" w:customStyle="1" w:styleId="font131">
    <w:name w:val="font131"/>
    <w:qFormat/>
    <w:rPr>
      <w:rFonts w:ascii="方正书宋简体" w:eastAsia="方正书宋简体" w:hAnsi="方正书宋简体" w:cs="方正书宋简体" w:hint="default"/>
      <w:color w:val="000000"/>
      <w:sz w:val="21"/>
      <w:szCs w:val="21"/>
      <w:u w:val="none"/>
    </w:rPr>
  </w:style>
  <w:style w:type="character" w:customStyle="1" w:styleId="12">
    <w:name w:val="明显强调1"/>
    <w:qFormat/>
    <w:rPr>
      <w:rFonts w:cs="Times New Roman"/>
      <w:b/>
      <w:bCs/>
      <w:i/>
      <w:iCs/>
      <w:color w:val="auto"/>
      <w:lang w:bidi="ar-SA"/>
    </w:rPr>
  </w:style>
  <w:style w:type="character" w:customStyle="1" w:styleId="22">
    <w:name w:val="明显强调2"/>
    <w:qFormat/>
    <w:rPr>
      <w:rFonts w:cs="Times New Roman"/>
      <w:b/>
      <w:bCs/>
      <w:i/>
      <w:iCs/>
      <w:color w:val="4F81BD"/>
      <w:lang w:bidi="ar-SA"/>
    </w:rPr>
  </w:style>
  <w:style w:type="character" w:customStyle="1" w:styleId="wp-login-txt11">
    <w:name w:val="wp-login-txt11"/>
    <w:qFormat/>
    <w:rPr>
      <w:b/>
      <w:sz w:val="45"/>
      <w:szCs w:val="45"/>
    </w:rPr>
  </w:style>
  <w:style w:type="character" w:customStyle="1" w:styleId="font112">
    <w:name w:val="font112"/>
    <w:qFormat/>
    <w:rPr>
      <w:rFonts w:ascii="宋体" w:eastAsia="宋体" w:hAnsi="宋体" w:cs="宋体" w:hint="eastAsia"/>
      <w:color w:val="000000"/>
      <w:sz w:val="21"/>
      <w:szCs w:val="21"/>
      <w:u w:val="none"/>
    </w:rPr>
  </w:style>
  <w:style w:type="character" w:customStyle="1" w:styleId="HTML0">
    <w:name w:val="HTML 预设格式 字符"/>
    <w:link w:val="HTML"/>
    <w:qFormat/>
    <w:rPr>
      <w:rFonts w:ascii="Courier New" w:hAnsi="Courier New"/>
    </w:rPr>
  </w:style>
  <w:style w:type="character" w:customStyle="1" w:styleId="font11">
    <w:name w:val="font11"/>
    <w:qFormat/>
    <w:rPr>
      <w:rFonts w:ascii="仿宋" w:eastAsia="仿宋" w:hAnsi="仿宋" w:cs="仿宋"/>
      <w:color w:val="000000"/>
      <w:kern w:val="2"/>
      <w:sz w:val="24"/>
      <w:szCs w:val="21"/>
    </w:rPr>
  </w:style>
  <w:style w:type="character" w:customStyle="1" w:styleId="font31">
    <w:name w:val="font31"/>
    <w:qFormat/>
    <w:rPr>
      <w:rFonts w:ascii="宋体" w:eastAsia="宋体" w:hAnsi="宋体" w:cs="宋体" w:hint="eastAsia"/>
      <w:b/>
      <w:color w:val="000000"/>
      <w:sz w:val="21"/>
      <w:szCs w:val="21"/>
      <w:u w:val="none"/>
    </w:rPr>
  </w:style>
  <w:style w:type="character" w:customStyle="1" w:styleId="aa">
    <w:name w:val="页眉 字符"/>
    <w:link w:val="a9"/>
    <w:qFormat/>
    <w:rPr>
      <w:kern w:val="2"/>
      <w:sz w:val="18"/>
      <w:szCs w:val="18"/>
    </w:rPr>
  </w:style>
  <w:style w:type="character" w:customStyle="1" w:styleId="font41">
    <w:name w:val="font41"/>
    <w:qFormat/>
    <w:rPr>
      <w:rFonts w:ascii="Calibri" w:hAnsi="Calibri" w:cs="Calibri" w:hint="default"/>
      <w:color w:val="000000"/>
      <w:sz w:val="21"/>
      <w:szCs w:val="21"/>
      <w:u w:val="none"/>
    </w:rPr>
  </w:style>
  <w:style w:type="character" w:customStyle="1" w:styleId="210">
    <w:name w:val="明显强调21"/>
    <w:qFormat/>
    <w:rPr>
      <w:rFonts w:cs="Times New Roman"/>
      <w:b/>
      <w:bCs/>
      <w:i/>
      <w:iCs/>
      <w:color w:val="4F81BD"/>
      <w:lang w:bidi="ar-SA"/>
    </w:rPr>
  </w:style>
  <w:style w:type="character" w:customStyle="1" w:styleId="disabled">
    <w:name w:val="disabled"/>
    <w:qFormat/>
    <w:rPr>
      <w:color w:val="BFBFBF"/>
      <w:bdr w:val="single" w:sz="6" w:space="0" w:color="BFBFBF"/>
      <w:shd w:val="clear" w:color="auto" w:fill="F2F2F2"/>
    </w:rPr>
  </w:style>
  <w:style w:type="paragraph" w:customStyle="1" w:styleId="CharCharCharCharCharCharCharCharCharCharCharCharChar">
    <w:name w:val="Char Char Char Char Char Char Char Char Char Char Char Char Char"/>
    <w:basedOn w:val="a"/>
    <w:qFormat/>
    <w:pPr>
      <w:widowControl/>
      <w:spacing w:after="160" w:line="240" w:lineRule="exact"/>
      <w:jc w:val="left"/>
    </w:pPr>
    <w:rPr>
      <w:rFonts w:ascii="Verdana" w:hAnsi="Verdana"/>
      <w:kern w:val="0"/>
      <w:sz w:val="20"/>
      <w:szCs w:val="20"/>
      <w:lang w:eastAsia="en-US"/>
    </w:rPr>
  </w:style>
  <w:style w:type="paragraph" w:customStyle="1" w:styleId="Char">
    <w:name w:val="Char"/>
    <w:basedOn w:val="a"/>
    <w:qFormat/>
    <w:pPr>
      <w:ind w:firstLineChars="200" w:firstLine="200"/>
    </w:pPr>
    <w:rPr>
      <w:rFonts w:ascii="仿宋_GB2312" w:eastAsia="仿宋_GB2312"/>
      <w:b/>
      <w:bCs/>
      <w:kern w:val="10"/>
      <w:sz w:val="32"/>
      <w:szCs w:val="32"/>
    </w:rPr>
  </w:style>
  <w:style w:type="paragraph" w:customStyle="1" w:styleId="220">
    <w:name w:val="样式 样式 首行缩进:  2 字符 + 首行缩进:  2 字符"/>
    <w:qFormat/>
    <w:pPr>
      <w:widowControl w:val="0"/>
      <w:spacing w:line="460" w:lineRule="exact"/>
      <w:ind w:firstLine="480"/>
      <w:jc w:val="both"/>
    </w:pPr>
    <w:rPr>
      <w:rFonts w:cs="宋体"/>
      <w:color w:val="000000"/>
      <w:kern w:val="2"/>
      <w:sz w:val="24"/>
      <w:szCs w:val="22"/>
    </w:rPr>
  </w:style>
  <w:style w:type="paragraph" w:customStyle="1" w:styleId="13">
    <w:name w:val="列出段落1"/>
    <w:basedOn w:val="a"/>
    <w:qFormat/>
    <w:pPr>
      <w:ind w:firstLineChars="200" w:firstLine="200"/>
    </w:pPr>
    <w:rPr>
      <w:rFonts w:ascii="Calibri" w:hAnsi="Calibri" w:cs="Calibri"/>
      <w:szCs w:val="21"/>
    </w:rPr>
  </w:style>
  <w:style w:type="paragraph" w:customStyle="1" w:styleId="CharCharCharChar">
    <w:name w:val="Char Char Char Char"/>
    <w:basedOn w:val="a"/>
    <w:qFormat/>
  </w:style>
  <w:style w:type="paragraph" w:customStyle="1" w:styleId="14">
    <w:name w:val="正文1"/>
    <w:qFormat/>
    <w:pPr>
      <w:widowControl w:val="0"/>
      <w:jc w:val="both"/>
    </w:pPr>
    <w:rPr>
      <w:rFonts w:ascii="Calibri" w:hAnsi="Calibri"/>
      <w:kern w:val="2"/>
      <w:sz w:val="21"/>
      <w:szCs w:val="24"/>
    </w:rPr>
  </w:style>
  <w:style w:type="character" w:customStyle="1" w:styleId="1Char">
    <w:name w:val="标题 1 Char"/>
    <w:qFormat/>
    <w:rPr>
      <w:kern w:val="44"/>
      <w:sz w:val="28"/>
      <w:szCs w:val="24"/>
    </w:rPr>
  </w:style>
  <w:style w:type="character" w:customStyle="1" w:styleId="15">
    <w:name w:val="标题 1 字符"/>
    <w:basedOn w:val="a0"/>
    <w:qFormat/>
    <w:locked/>
    <w:rPr>
      <w:rFonts w:eastAsia="宋体"/>
      <w:kern w:val="44"/>
      <w:sz w:val="28"/>
      <w:szCs w:val="24"/>
      <w:lang w:val="en-US" w:eastAsia="zh-CN" w:bidi="ar-SA"/>
    </w:rPr>
  </w:style>
  <w:style w:type="character" w:customStyle="1" w:styleId="Char0">
    <w:name w:val="页眉 Char"/>
    <w:basedOn w:val="a0"/>
    <w:qFormat/>
    <w:rPr>
      <w:kern w:val="2"/>
      <w:sz w:val="18"/>
      <w:szCs w:val="18"/>
    </w:rPr>
  </w:style>
  <w:style w:type="character" w:customStyle="1" w:styleId="HTMLChar">
    <w:name w:val="HTML 预设格式 Char"/>
    <w:basedOn w:val="a0"/>
    <w:qFormat/>
    <w:rPr>
      <w:rFonts w:ascii="Courier New" w:hAnsi="Courier New"/>
    </w:rPr>
  </w:style>
  <w:style w:type="character" w:customStyle="1" w:styleId="Char1">
    <w:name w:val="批注框文本 Char"/>
    <w:basedOn w:val="a0"/>
    <w:qFormat/>
    <w:rPr>
      <w:kern w:val="2"/>
      <w:sz w:val="18"/>
      <w:szCs w:val="18"/>
    </w:rPr>
  </w:style>
  <w:style w:type="character" w:customStyle="1" w:styleId="Char2">
    <w:name w:val="纯文本 Char"/>
    <w:basedOn w:val="a0"/>
    <w:qFormat/>
    <w:rPr>
      <w:rFonts w:ascii="宋体" w:cs="Courier New"/>
      <w:kern w:val="2"/>
      <w:sz w:val="21"/>
      <w:szCs w:val="21"/>
    </w:rPr>
  </w:style>
  <w:style w:type="character" w:customStyle="1" w:styleId="Char3">
    <w:name w:val="页脚 Char"/>
    <w:basedOn w:val="a0"/>
    <w:qFormat/>
    <w:rPr>
      <w:kern w:val="2"/>
      <w:sz w:val="18"/>
      <w:szCs w:val="18"/>
    </w:rPr>
  </w:style>
  <w:style w:type="character" w:customStyle="1" w:styleId="Char10">
    <w:name w:val="页脚 Char1"/>
    <w:qFormat/>
    <w:rPr>
      <w:kern w:val="2"/>
      <w:sz w:val="18"/>
      <w:szCs w:val="18"/>
    </w:rPr>
  </w:style>
  <w:style w:type="character" w:customStyle="1" w:styleId="Char11">
    <w:name w:val="页眉 Char1"/>
    <w:qFormat/>
    <w:rPr>
      <w:kern w:val="2"/>
      <w:sz w:val="18"/>
      <w:szCs w:val="18"/>
    </w:rPr>
  </w:style>
  <w:style w:type="character" w:customStyle="1" w:styleId="1Char1">
    <w:name w:val="标题 1 Char1"/>
    <w:qFormat/>
    <w:rPr>
      <w:kern w:val="44"/>
      <w:sz w:val="28"/>
      <w:szCs w:val="24"/>
    </w:rPr>
  </w:style>
  <w:style w:type="character" w:customStyle="1" w:styleId="20">
    <w:name w:val="标题 2 字符"/>
    <w:link w:val="2"/>
    <w:qFormat/>
    <w:rPr>
      <w:rFonts w:ascii="Arial" w:eastAsia="宋体" w:hAnsi="Arial"/>
      <w:sz w:val="28"/>
    </w:rPr>
  </w:style>
  <w:style w:type="paragraph" w:styleId="af1">
    <w:name w:val="No Spacing"/>
    <w:link w:val="af2"/>
    <w:uiPriority w:val="1"/>
    <w:qFormat/>
    <w:rPr>
      <w:rFonts w:asciiTheme="minorHAnsi" w:eastAsiaTheme="minorEastAsia" w:hAnsiTheme="minorHAnsi" w:cstheme="minorBidi"/>
      <w:sz w:val="22"/>
      <w:szCs w:val="22"/>
    </w:rPr>
  </w:style>
  <w:style w:type="character" w:customStyle="1" w:styleId="af2">
    <w:name w:val="无间隔 字符"/>
    <w:basedOn w:val="a0"/>
    <w:link w:val="af1"/>
    <w:uiPriority w:val="1"/>
    <w:qFormat/>
    <w:rPr>
      <w:rFonts w:asciiTheme="minorHAnsi" w:eastAsiaTheme="minorEastAsia" w:hAnsiTheme="minorHAnsi" w:cstheme="minorBidi"/>
      <w:sz w:val="22"/>
      <w:szCs w:val="22"/>
    </w:rPr>
  </w:style>
  <w:style w:type="paragraph" w:customStyle="1" w:styleId="WPSOffice1">
    <w:name w:val="WPSOffice手动目录 1"/>
    <w:qFormat/>
  </w:style>
  <w:style w:type="paragraph" w:customStyle="1" w:styleId="WPSOffice2">
    <w:name w:val="WPSOffice手动目录 2"/>
    <w:qFormat/>
    <w:pPr>
      <w:ind w:leftChars="200" w:left="200"/>
    </w:pPr>
  </w:style>
  <w:style w:type="paragraph" w:customStyle="1" w:styleId="YEJIAO">
    <w:name w:val="YEJIAO"/>
    <w:basedOn w:val="a7"/>
    <w:rPr>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6.bin"/><Relationship Id="rId299" Type="http://schemas.openxmlformats.org/officeDocument/2006/relationships/hyperlink" Target="http://www.zjtax.gov.cn/pub/zjgs/bsfw/zlxz/bdzsxz/sbns/201505/t20150521_525900.html" TargetMode="External"/><Relationship Id="rId21" Type="http://schemas.openxmlformats.org/officeDocument/2006/relationships/image" Target="media/image4.emf"/><Relationship Id="rId63" Type="http://schemas.openxmlformats.org/officeDocument/2006/relationships/hyperlink" Target="https://wx.qq.com/cgi-bin/mmwebwx-bin/webwxcheckurl?requrl=http://etax.zjtax.gov.cn/&amp;skey=@crypt_9b8542cc_f30adc6f574a4430dec5a05a4290c56d&amp;deviceid=e342814812485993&amp;pass_ticket=ARsrD6OFnUQWYoiRM6E8EtGy11IGfvLd0Fnr5AkJ8vurSHuuZZeW6REfsBnu7V93&amp;opcode=2&amp;scene=1&amp;username=@059c84309132f2b9c2cdf914c424269a37581f28c7b70709cf216d51a89a0a1b" TargetMode="External"/><Relationship Id="rId159" Type="http://schemas.openxmlformats.org/officeDocument/2006/relationships/oleObject" Target="embeddings/oleObject67.bin"/><Relationship Id="rId324" Type="http://schemas.openxmlformats.org/officeDocument/2006/relationships/oleObject" Target="embeddings/oleObject124.bin"/><Relationship Id="rId366" Type="http://schemas.openxmlformats.org/officeDocument/2006/relationships/hyperlink" Target="http://www.zjtax.gov.cn/pub/zjgs/bsfw/zlxz/bdzsxz/201505/t20150521_525784.html" TargetMode="External"/><Relationship Id="rId531" Type="http://schemas.openxmlformats.org/officeDocument/2006/relationships/image" Target="media/image211.emf"/><Relationship Id="rId573" Type="http://schemas.openxmlformats.org/officeDocument/2006/relationships/fontTable" Target="fontTable.xml"/><Relationship Id="rId170" Type="http://schemas.openxmlformats.org/officeDocument/2006/relationships/image" Target="media/image73.emf"/><Relationship Id="rId226" Type="http://schemas.openxmlformats.org/officeDocument/2006/relationships/hyperlink" Target="http://www.zjtax.gov.cn/pub/zjgs/bsfw/zlxz/bdzsxz/sbns/201505/t20150521_525913.html" TargetMode="External"/><Relationship Id="rId433" Type="http://schemas.openxmlformats.org/officeDocument/2006/relationships/image" Target="media/image163.emf"/><Relationship Id="rId268" Type="http://schemas.openxmlformats.org/officeDocument/2006/relationships/oleObject" Target="embeddings/oleObject105.bin"/><Relationship Id="rId475" Type="http://schemas.openxmlformats.org/officeDocument/2006/relationships/hyperlink" Target="http://www.zjtax.gov.cn/pub/zjgs/bsfw/zlxz/bdzsxz/sbns/201505/t20150521_525918.html" TargetMode="External"/><Relationship Id="rId32" Type="http://schemas.openxmlformats.org/officeDocument/2006/relationships/oleObject" Target="embeddings/oleObject8.bin"/><Relationship Id="rId74" Type="http://schemas.openxmlformats.org/officeDocument/2006/relationships/image" Target="media/image26.emf"/><Relationship Id="rId128" Type="http://schemas.openxmlformats.org/officeDocument/2006/relationships/image" Target="media/image52.emf"/><Relationship Id="rId335" Type="http://schemas.openxmlformats.org/officeDocument/2006/relationships/oleObject" Target="embeddings/oleObject127.bin"/><Relationship Id="rId377" Type="http://schemas.openxmlformats.org/officeDocument/2006/relationships/hyperlink" Target="https://wx.qq.com/cgi-bin/mmwebwx-bin/webwxcheckurl?requrl=http://etax.zjtax.gov.cn/&amp;skey=@crypt_9b8542cc_f30adc6f574a4430dec5a05a4290c56d&amp;deviceid=e342814812485993&amp;pass_ticket=ARsrD6OFnUQWYoiRM6E8EtGy11IGfvLd0Fnr5AkJ8vurSHuuZZeW6REfsBnu7V93&amp;opcode=2&amp;scene=1&amp;username=@059c84309132f2b9c2cdf914c424269a37581f28c7b70709cf216d51a89a0a1b" TargetMode="External"/><Relationship Id="rId500" Type="http://schemas.openxmlformats.org/officeDocument/2006/relationships/oleObject" Target="embeddings/oleObject189.bin"/><Relationship Id="rId542" Type="http://schemas.openxmlformats.org/officeDocument/2006/relationships/oleObject" Target="embeddings/oleObject207.bin"/><Relationship Id="rId5" Type="http://schemas.openxmlformats.org/officeDocument/2006/relationships/styles" Target="styles.xml"/><Relationship Id="rId181" Type="http://schemas.openxmlformats.org/officeDocument/2006/relationships/oleObject" Target="embeddings/oleObject78.bin"/><Relationship Id="rId237" Type="http://schemas.openxmlformats.org/officeDocument/2006/relationships/oleObject" Target="embeddings/oleObject94.bin"/><Relationship Id="rId402" Type="http://schemas.openxmlformats.org/officeDocument/2006/relationships/hyperlink" Target="https://wx.qq.com/cgi-bin/mmwebwx-bin/webwxcheckurl?requrl=http://etax.zjtax.gov.cn/&amp;skey=@crypt_9b8542cc_f30adc6f574a4430dec5a05a4290c56d&amp;deviceid=e342814812485993&amp;pass_ticket=ARsrD6OFnUQWYoiRM6E8EtGy11IGfvLd0Fnr5AkJ8vurSHuuZZeW6REfsBnu7V93&amp;opcode=2&amp;scene=1&amp;username=@059c84309132f2b9c2cdf914c424269a37581f28c7b70709cf216d51a89a0a1b" TargetMode="External"/><Relationship Id="rId279" Type="http://schemas.openxmlformats.org/officeDocument/2006/relationships/image" Target="media/image110.emf"/><Relationship Id="rId444" Type="http://schemas.openxmlformats.org/officeDocument/2006/relationships/oleObject" Target="embeddings/oleObject164.bin"/><Relationship Id="rId486" Type="http://schemas.openxmlformats.org/officeDocument/2006/relationships/image" Target="media/image188.emf"/><Relationship Id="rId43" Type="http://schemas.openxmlformats.org/officeDocument/2006/relationships/hyperlink" Target="https://wx.qq.com/cgi-bin/mmwebwx-bin/webwxcheckurl?requrl=http://etax.zjtax.gov.cn/&amp;skey=@crypt_9b8542cc_f30adc6f574a4430dec5a05a4290c56d&amp;deviceid=e342814812485993&amp;pass_ticket=ARsrD6OFnUQWYoiRM6E8EtGy11IGfvLd0Fnr5AkJ8vurSHuuZZeW6REfsBnu7V93&amp;opcode=2&amp;scene=1&amp;username=@059c84309132f2b9c2cdf914c424269a37581f28c7b70709cf216d51a89a0a1b" TargetMode="External"/><Relationship Id="rId139" Type="http://schemas.openxmlformats.org/officeDocument/2006/relationships/oleObject" Target="embeddings/oleObject57.bin"/><Relationship Id="rId290" Type="http://schemas.openxmlformats.org/officeDocument/2006/relationships/image" Target="media/image113.emf"/><Relationship Id="rId304" Type="http://schemas.openxmlformats.org/officeDocument/2006/relationships/image" Target="media/image119.emf"/><Relationship Id="rId346" Type="http://schemas.openxmlformats.org/officeDocument/2006/relationships/image" Target="media/image133.emf"/><Relationship Id="rId388" Type="http://schemas.openxmlformats.org/officeDocument/2006/relationships/hyperlink" Target="https://wx.qq.com/cgi-bin/mmwebwx-bin/webwxcheckurl?requrl=http://etax.zjtax.gov.cn/&amp;skey=@crypt_9b8542cc_f30adc6f574a4430dec5a05a4290c56d&amp;deviceid=e342814812485993&amp;pass_ticket=ARsrD6OFnUQWYoiRM6E8EtGy11IGfvLd0Fnr5AkJ8vurSHuuZZeW6REfsBnu7V93&amp;opcode=2&amp;scene=1&amp;username=@059c84309132f2b9c2cdf914c424269a37581f28c7b70709cf216d51a89a0a1b" TargetMode="External"/><Relationship Id="rId511" Type="http://schemas.openxmlformats.org/officeDocument/2006/relationships/oleObject" Target="embeddings/oleObject194.bin"/><Relationship Id="rId553" Type="http://schemas.openxmlformats.org/officeDocument/2006/relationships/image" Target="media/image221.emf"/><Relationship Id="rId85" Type="http://schemas.openxmlformats.org/officeDocument/2006/relationships/oleObject" Target="embeddings/oleObject31.bin"/><Relationship Id="rId150" Type="http://schemas.openxmlformats.org/officeDocument/2006/relationships/image" Target="media/image63.emf"/><Relationship Id="rId192" Type="http://schemas.openxmlformats.org/officeDocument/2006/relationships/image" Target="media/image84.emf"/><Relationship Id="rId206" Type="http://schemas.openxmlformats.org/officeDocument/2006/relationships/image" Target="media/image85.emf"/><Relationship Id="rId413" Type="http://schemas.openxmlformats.org/officeDocument/2006/relationships/image" Target="media/image155.emf"/><Relationship Id="rId248" Type="http://schemas.openxmlformats.org/officeDocument/2006/relationships/hyperlink" Target="https://wx.qq.com/cgi-bin/mmwebwx-bin/webwxcheckurl?requrl=http://etax.zjtax.gov.cn/&amp;skey=@crypt_9b8542cc_f30adc6f574a4430dec5a05a4290c56d&amp;deviceid=e342814812485993&amp;pass_ticket=ARsrD6OFnUQWYoiRM6E8EtGy11IGfvLd0Fnr5AkJ8vurSHuuZZeW6REfsBnu7V93&amp;opcode=2&amp;scene=1&amp;username=@059c84309132f2b9c2cdf914c424269a37581f28c7b70709cf216d51a89a0a1b" TargetMode="External"/><Relationship Id="rId455" Type="http://schemas.openxmlformats.org/officeDocument/2006/relationships/oleObject" Target="embeddings/oleObject169.bin"/><Relationship Id="rId497" Type="http://schemas.openxmlformats.org/officeDocument/2006/relationships/image" Target="media/image193.emf"/><Relationship Id="rId12" Type="http://schemas.openxmlformats.org/officeDocument/2006/relationships/image" Target="media/image1.emf"/><Relationship Id="rId108" Type="http://schemas.openxmlformats.org/officeDocument/2006/relationships/image" Target="media/image42.emf"/><Relationship Id="rId315" Type="http://schemas.openxmlformats.org/officeDocument/2006/relationships/hyperlink" Target="https://wx.qq.com/cgi-bin/mmwebwx-bin/webwxcheckurl?requrl=http://etax.zjtax.gov.cn/&amp;skey=@crypt_9b8542cc_f30adc6f574a4430dec5a05a4290c56d&amp;deviceid=e342814812485993&amp;pass_ticket=ARsrD6OFnUQWYoiRM6E8EtGy11IGfvLd0Fnr5AkJ8vurSHuuZZeW6REfsBnu7V93&amp;opcode=2&amp;scene=1&amp;username=@059c84309132f2b9c2cdf914c424269a37581f28c7b70709cf216d51a89a0a1b" TargetMode="External"/><Relationship Id="rId357" Type="http://schemas.openxmlformats.org/officeDocument/2006/relationships/oleObject" Target="embeddings/oleObject136.bin"/><Relationship Id="rId522" Type="http://schemas.openxmlformats.org/officeDocument/2006/relationships/image" Target="media/image206.emf"/><Relationship Id="rId54" Type="http://schemas.openxmlformats.org/officeDocument/2006/relationships/image" Target="media/image17.emf"/><Relationship Id="rId96" Type="http://schemas.openxmlformats.org/officeDocument/2006/relationships/image" Target="media/image37.emf"/><Relationship Id="rId161" Type="http://schemas.openxmlformats.org/officeDocument/2006/relationships/oleObject" Target="embeddings/oleObject68.bin"/><Relationship Id="rId217" Type="http://schemas.openxmlformats.org/officeDocument/2006/relationships/oleObject" Target="embeddings/oleObject89.bin"/><Relationship Id="rId399" Type="http://schemas.openxmlformats.org/officeDocument/2006/relationships/hyperlink" Target="https://wx.qq.com/cgi-bin/mmwebwx-bin/webwxcheckurl?requrl=http://etax.zjtax.gov.cn/&amp;skey=@crypt_9b8542cc_f30adc6f574a4430dec5a05a4290c56d&amp;deviceid=e342814812485993&amp;pass_ticket=ARsrD6OFnUQWYoiRM6E8EtGy11IGfvLd0Fnr5AkJ8vurSHuuZZeW6REfsBnu7V93&amp;opcode=2&amp;scene=1&amp;username=@059c84309132f2b9c2cdf914c424269a37581f28c7b70709cf216d51a89a0a1b" TargetMode="External"/><Relationship Id="rId564" Type="http://schemas.openxmlformats.org/officeDocument/2006/relationships/oleObject" Target="embeddings/oleObject216.bin"/><Relationship Id="rId259" Type="http://schemas.openxmlformats.org/officeDocument/2006/relationships/image" Target="media/image103.emf"/><Relationship Id="rId424" Type="http://schemas.openxmlformats.org/officeDocument/2006/relationships/oleObject" Target="embeddings/oleObject156.bin"/><Relationship Id="rId466" Type="http://schemas.openxmlformats.org/officeDocument/2006/relationships/image" Target="media/image179.emf"/><Relationship Id="rId23" Type="http://schemas.openxmlformats.org/officeDocument/2006/relationships/hyperlink" Target="https://wx.qq.com/cgi-bin/mmwebwx-bin/webwxcheckurl?requrl=http://etax.zjtax.gov.cn/&amp;skey=@crypt_9b8542cc_f30adc6f574a4430dec5a05a4290c56d&amp;deviceid=e342814812485993&amp;pass_ticket=ARsrD6OFnUQWYoiRM6E8EtGy11IGfvLd0Fnr5AkJ8vurSHuuZZeW6REfsBnu7V93&amp;opcode=2&amp;scene=1&amp;username=@059c84309132f2b9c2cdf914c424269a37581f28c7b70709cf216d51a89a0a1b" TargetMode="External"/><Relationship Id="rId119" Type="http://schemas.openxmlformats.org/officeDocument/2006/relationships/oleObject" Target="embeddings/oleObject47.bin"/><Relationship Id="rId270" Type="http://schemas.openxmlformats.org/officeDocument/2006/relationships/image" Target="media/image107.emf"/><Relationship Id="rId326" Type="http://schemas.openxmlformats.org/officeDocument/2006/relationships/hyperlink" Target="https://wx.qq.com/cgi-bin/mmwebwx-bin/webwxcheckurl?requrl=http://etax.zjtax.gov.cn/&amp;skey=@crypt_9b8542cc_f30adc6f574a4430dec5a05a4290c56d&amp;deviceid=e342814812485993&amp;pass_ticket=ARsrD6OFnUQWYoiRM6E8EtGy11IGfvLd0Fnr5AkJ8vurSHuuZZeW6REfsBnu7V93&amp;opcode=2&amp;scene=1&amp;username=@059c84309132f2b9c2cdf914c424269a37581f28c7b70709cf216d51a89a0a1b" TargetMode="External"/><Relationship Id="rId533" Type="http://schemas.openxmlformats.org/officeDocument/2006/relationships/hyperlink" Target="http://www.zjtax.gov.cn/pub/zjgs/bsfw/zlxz/bdzsxz/sbns/201505/t20150521_525920.html" TargetMode="External"/><Relationship Id="rId65" Type="http://schemas.openxmlformats.org/officeDocument/2006/relationships/oleObject" Target="embeddings/oleObject21.bin"/><Relationship Id="rId130" Type="http://schemas.openxmlformats.org/officeDocument/2006/relationships/image" Target="media/image53.emf"/><Relationship Id="rId368" Type="http://schemas.openxmlformats.org/officeDocument/2006/relationships/image" Target="media/image140.emf"/><Relationship Id="rId172" Type="http://schemas.openxmlformats.org/officeDocument/2006/relationships/image" Target="media/image74.emf"/><Relationship Id="rId228" Type="http://schemas.openxmlformats.org/officeDocument/2006/relationships/oleObject" Target="embeddings/oleObject91.bin"/><Relationship Id="rId435" Type="http://schemas.openxmlformats.org/officeDocument/2006/relationships/image" Target="media/image164.emf"/><Relationship Id="rId477" Type="http://schemas.openxmlformats.org/officeDocument/2006/relationships/oleObject" Target="embeddings/oleObject179.bin"/><Relationship Id="rId281" Type="http://schemas.openxmlformats.org/officeDocument/2006/relationships/hyperlink" Target="https://wx.qq.com/cgi-bin/mmwebwx-bin/webwxcheckurl?requrl=http://etax.zjtax.gov.cn/&amp;skey=@crypt_9b8542cc_f30adc6f574a4430dec5a05a4290c56d&amp;deviceid=e342814812485993&amp;pass_ticket=ARsrD6OFnUQWYoiRM6E8EtGy11IGfvLd0Fnr5AkJ8vurSHuuZZeW6REfsBnu7V93&amp;opcode=2&amp;scene=1&amp;username=@059c84309132f2b9c2cdf914c424269a37581f28c7b70709cf216d51a89a0a1b" TargetMode="External"/><Relationship Id="rId337" Type="http://schemas.openxmlformats.org/officeDocument/2006/relationships/oleObject" Target="embeddings/oleObject128.bin"/><Relationship Id="rId502" Type="http://schemas.openxmlformats.org/officeDocument/2006/relationships/oleObject" Target="embeddings/oleObject190.bin"/><Relationship Id="rId34" Type="http://schemas.openxmlformats.org/officeDocument/2006/relationships/image" Target="media/image9.emf"/><Relationship Id="rId76" Type="http://schemas.openxmlformats.org/officeDocument/2006/relationships/image" Target="media/image27.emf"/><Relationship Id="rId141" Type="http://schemas.openxmlformats.org/officeDocument/2006/relationships/oleObject" Target="embeddings/oleObject58.bin"/><Relationship Id="rId379" Type="http://schemas.openxmlformats.org/officeDocument/2006/relationships/image" Target="media/image145.emf"/><Relationship Id="rId544" Type="http://schemas.openxmlformats.org/officeDocument/2006/relationships/oleObject" Target="embeddings/oleObject208.bin"/><Relationship Id="rId7" Type="http://schemas.openxmlformats.org/officeDocument/2006/relationships/webSettings" Target="webSettings.xml"/><Relationship Id="rId183" Type="http://schemas.openxmlformats.org/officeDocument/2006/relationships/oleObject" Target="embeddings/oleObject79.bin"/><Relationship Id="rId239" Type="http://schemas.openxmlformats.org/officeDocument/2006/relationships/hyperlink" Target="https://wx.qq.com/cgi-bin/mmwebwx-bin/webwxcheckurl?requrl=http://etax.zjtax.gov.cn/&amp;skey=@crypt_9b8542cc_f30adc6f574a4430dec5a05a4290c56d&amp;deviceid=e342814812485993&amp;pass_ticket=ARsrD6OFnUQWYoiRM6E8EtGy11IGfvLd0Fnr5AkJ8vurSHuuZZeW6REfsBnu7V93&amp;opcode=2&amp;scene=1&amp;username=@059c84309132f2b9c2cdf914c424269a37581f28c7b70709cf216d51a89a0a1b" TargetMode="External"/><Relationship Id="rId390" Type="http://schemas.openxmlformats.org/officeDocument/2006/relationships/oleObject" Target="embeddings/oleObject146.bin"/><Relationship Id="rId404" Type="http://schemas.openxmlformats.org/officeDocument/2006/relationships/hyperlink" Target="https://wx.qq.com/cgi-bin/mmwebwx-bin/webwxcheckurl?requrl=http://etax.zjtax.gov.cn/&amp;skey=@crypt_9b8542cc_f30adc6f574a4430dec5a05a4290c56d&amp;deviceid=e342814812485993&amp;pass_ticket=ARsrD6OFnUQWYoiRM6E8EtGy11IGfvLd0Fnr5AkJ8vurSHuuZZeW6REfsBnu7V93&amp;opcode=2&amp;scene=1&amp;username=@059c84309132f2b9c2cdf914c424269a37581f28c7b70709cf216d51a89a0a1b" TargetMode="External"/><Relationship Id="rId446" Type="http://schemas.openxmlformats.org/officeDocument/2006/relationships/oleObject" Target="embeddings/oleObject165.bin"/><Relationship Id="rId250" Type="http://schemas.openxmlformats.org/officeDocument/2006/relationships/oleObject" Target="embeddings/oleObject98.bin"/><Relationship Id="rId292" Type="http://schemas.openxmlformats.org/officeDocument/2006/relationships/image" Target="media/image114.emf"/><Relationship Id="rId306" Type="http://schemas.openxmlformats.org/officeDocument/2006/relationships/image" Target="media/image120.emf"/><Relationship Id="rId488" Type="http://schemas.openxmlformats.org/officeDocument/2006/relationships/image" Target="media/image189.emf"/><Relationship Id="rId45" Type="http://schemas.openxmlformats.org/officeDocument/2006/relationships/oleObject" Target="embeddings/oleObject13.bin"/><Relationship Id="rId87" Type="http://schemas.openxmlformats.org/officeDocument/2006/relationships/oleObject" Target="embeddings/oleObject32.bin"/><Relationship Id="rId110" Type="http://schemas.openxmlformats.org/officeDocument/2006/relationships/image" Target="media/image43.emf"/><Relationship Id="rId348" Type="http://schemas.openxmlformats.org/officeDocument/2006/relationships/hyperlink" Target="https://wx.qq.com/cgi-bin/mmwebwx-bin/webwxcheckurl?requrl=http://etax.zjtax.gov.cn/&amp;skey=@crypt_9b8542cc_f30adc6f574a4430dec5a05a4290c56d&amp;deviceid=e342814812485993&amp;pass_ticket=ARsrD6OFnUQWYoiRM6E8EtGy11IGfvLd0Fnr5AkJ8vurSHuuZZeW6REfsBnu7V93&amp;opcode=2&amp;scene=1&amp;username=@059c84309132f2b9c2cdf914c424269a37581f28c7b70709cf216d51a89a0a1b" TargetMode="External"/><Relationship Id="rId513" Type="http://schemas.openxmlformats.org/officeDocument/2006/relationships/oleObject" Target="embeddings/oleObject195.bin"/><Relationship Id="rId555" Type="http://schemas.openxmlformats.org/officeDocument/2006/relationships/hyperlink" Target="http://www.zjtax.gov.cn/pub/zjgs/bsfw/zlxz/bdzsxz/gyws/201505/t20150521_525936.html" TargetMode="External"/><Relationship Id="rId152" Type="http://schemas.openxmlformats.org/officeDocument/2006/relationships/image" Target="media/image64.emf"/><Relationship Id="rId194" Type="http://schemas.openxmlformats.org/officeDocument/2006/relationships/hyperlink" Target="https://wx.qq.com/cgi-bin/mmwebwx-bin/webwxcheckurl?requrl=http://etax.zjtax.gov.cn/&amp;skey=@crypt_9b8542cc_f30adc6f574a4430dec5a05a4290c56d&amp;deviceid=e342814812485993&amp;pass_ticket=ARsrD6OFnUQWYoiRM6E8EtGy11IGfvLd0Fnr5AkJ8vurSHuuZZeW6REfsBnu7V93&amp;opcode=2&amp;scene=1&amp;username=@059c84309132f2b9c2cdf914c424269a37581f28c7b70709cf216d51a89a0a1b" TargetMode="External"/><Relationship Id="rId208" Type="http://schemas.openxmlformats.org/officeDocument/2006/relationships/image" Target="media/image86.emf"/><Relationship Id="rId415" Type="http://schemas.openxmlformats.org/officeDocument/2006/relationships/image" Target="media/image156.emf"/><Relationship Id="rId457" Type="http://schemas.openxmlformats.org/officeDocument/2006/relationships/oleObject" Target="embeddings/oleObject170.bin"/><Relationship Id="rId261" Type="http://schemas.openxmlformats.org/officeDocument/2006/relationships/image" Target="media/image104.emf"/><Relationship Id="rId499" Type="http://schemas.openxmlformats.org/officeDocument/2006/relationships/image" Target="media/image194.emf"/><Relationship Id="rId14" Type="http://schemas.openxmlformats.org/officeDocument/2006/relationships/footer" Target="footer3.xml"/><Relationship Id="rId56" Type="http://schemas.openxmlformats.org/officeDocument/2006/relationships/image" Target="media/image18.emf"/><Relationship Id="rId317" Type="http://schemas.openxmlformats.org/officeDocument/2006/relationships/oleObject" Target="embeddings/oleObject122.bin"/><Relationship Id="rId359" Type="http://schemas.openxmlformats.org/officeDocument/2006/relationships/hyperlink" Target="http://www.zjtax.gov.cn/pub/zjgs/bsfw/zlxz/bdzsxz/sbns/201505/t20150521_525900.html" TargetMode="External"/><Relationship Id="rId524" Type="http://schemas.openxmlformats.org/officeDocument/2006/relationships/image" Target="media/image207.emf"/><Relationship Id="rId566" Type="http://schemas.openxmlformats.org/officeDocument/2006/relationships/oleObject" Target="embeddings/oleObject217.bin"/><Relationship Id="rId98" Type="http://schemas.openxmlformats.org/officeDocument/2006/relationships/image" Target="media/image38.emf"/><Relationship Id="rId121" Type="http://schemas.openxmlformats.org/officeDocument/2006/relationships/oleObject" Target="embeddings/oleObject48.bin"/><Relationship Id="rId163" Type="http://schemas.openxmlformats.org/officeDocument/2006/relationships/oleObject" Target="embeddings/oleObject69.bin"/><Relationship Id="rId219" Type="http://schemas.openxmlformats.org/officeDocument/2006/relationships/oleObject" Target="embeddings/oleObject90.bin"/><Relationship Id="rId370" Type="http://schemas.openxmlformats.org/officeDocument/2006/relationships/image" Target="media/image141.emf"/><Relationship Id="rId426" Type="http://schemas.openxmlformats.org/officeDocument/2006/relationships/image" Target="media/image160.emf"/><Relationship Id="rId230" Type="http://schemas.openxmlformats.org/officeDocument/2006/relationships/oleObject" Target="embeddings/oleObject92.bin"/><Relationship Id="rId468" Type="http://schemas.openxmlformats.org/officeDocument/2006/relationships/image" Target="media/image180.emf"/><Relationship Id="rId25" Type="http://schemas.openxmlformats.org/officeDocument/2006/relationships/oleObject" Target="embeddings/oleObject5.bin"/><Relationship Id="rId67" Type="http://schemas.openxmlformats.org/officeDocument/2006/relationships/oleObject" Target="embeddings/oleObject22.bin"/><Relationship Id="rId272" Type="http://schemas.openxmlformats.org/officeDocument/2006/relationships/image" Target="media/image108.emf"/><Relationship Id="rId328" Type="http://schemas.openxmlformats.org/officeDocument/2006/relationships/hyperlink" Target="https://wx.qq.com/cgi-bin/mmwebwx-bin/webwxcheckurl?requrl=http://etax.zjtax.gov.cn/&amp;skey=@crypt_9b8542cc_f30adc6f574a4430dec5a05a4290c56d&amp;deviceid=e342814812485993&amp;pass_ticket=ARsrD6OFnUQWYoiRM6E8EtGy11IGfvLd0Fnr5AkJ8vurSHuuZZeW6REfsBnu7V93&amp;opcode=2&amp;scene=1&amp;username=@059c84309132f2b9c2cdf914c424269a37581f28c7b70709cf216d51a89a0a1b" TargetMode="External"/><Relationship Id="rId535" Type="http://schemas.openxmlformats.org/officeDocument/2006/relationships/image" Target="media/image212.emf"/><Relationship Id="rId132" Type="http://schemas.openxmlformats.org/officeDocument/2006/relationships/image" Target="media/image54.emf"/><Relationship Id="rId174" Type="http://schemas.openxmlformats.org/officeDocument/2006/relationships/image" Target="media/image75.emf"/><Relationship Id="rId381" Type="http://schemas.openxmlformats.org/officeDocument/2006/relationships/hyperlink" Target="https://wx.qq.com/cgi-bin/mmwebwx-bin/webwxcheckurl?requrl=http://etax.zjtax.gov.cn/&amp;skey=@crypt_9b8542cc_f30adc6f574a4430dec5a05a4290c56d&amp;deviceid=e342814812485993&amp;pass_ticket=ARsrD6OFnUQWYoiRM6E8EtGy11IGfvLd0Fnr5AkJ8vurSHuuZZeW6REfsBnu7V93&amp;opcode=2&amp;scene=1&amp;username=@059c84309132f2b9c2cdf914c424269a37581f28c7b70709cf216d51a89a0a1b" TargetMode="External"/><Relationship Id="rId241" Type="http://schemas.openxmlformats.org/officeDocument/2006/relationships/oleObject" Target="embeddings/oleObject95.bin"/><Relationship Id="rId437" Type="http://schemas.openxmlformats.org/officeDocument/2006/relationships/image" Target="media/image165.emf"/><Relationship Id="rId479" Type="http://schemas.openxmlformats.org/officeDocument/2006/relationships/oleObject" Target="embeddings/oleObject180.bin"/><Relationship Id="rId36" Type="http://schemas.openxmlformats.org/officeDocument/2006/relationships/image" Target="media/image10.emf"/><Relationship Id="rId283" Type="http://schemas.openxmlformats.org/officeDocument/2006/relationships/hyperlink" Target="http://www.zjtax.gov.cn/pub/zjgs/bsfw/zlxz/bdzsxz/sbns/201505/t20150521_525918.html" TargetMode="External"/><Relationship Id="rId339" Type="http://schemas.openxmlformats.org/officeDocument/2006/relationships/image" Target="media/image130.emf"/><Relationship Id="rId490" Type="http://schemas.openxmlformats.org/officeDocument/2006/relationships/image" Target="media/image190.emf"/><Relationship Id="rId504" Type="http://schemas.openxmlformats.org/officeDocument/2006/relationships/oleObject" Target="embeddings/oleObject191.bin"/><Relationship Id="rId546" Type="http://schemas.openxmlformats.org/officeDocument/2006/relationships/oleObject" Target="embeddings/oleObject209.bin"/><Relationship Id="rId78" Type="http://schemas.openxmlformats.org/officeDocument/2006/relationships/image" Target="media/image28.emf"/><Relationship Id="rId101" Type="http://schemas.openxmlformats.org/officeDocument/2006/relationships/hyperlink" Target="http://www.zjtax.gov.cn/pub/zjgs/bsfw/zlxz/bdzsxz/ssyh/201505/t20150521_525921.html" TargetMode="External"/><Relationship Id="rId143" Type="http://schemas.openxmlformats.org/officeDocument/2006/relationships/oleObject" Target="embeddings/oleObject59.bin"/><Relationship Id="rId185" Type="http://schemas.openxmlformats.org/officeDocument/2006/relationships/oleObject" Target="embeddings/oleObject80.bin"/><Relationship Id="rId350" Type="http://schemas.openxmlformats.org/officeDocument/2006/relationships/oleObject" Target="embeddings/oleObject133.bin"/><Relationship Id="rId406" Type="http://schemas.openxmlformats.org/officeDocument/2006/relationships/hyperlink" Target="https://wx.qq.com/cgi-bin/mmwebwx-bin/webwxcheckurl?requrl=http://etax.zjtax.gov.cn/&amp;skey=@crypt_9b8542cc_f30adc6f574a4430dec5a05a4290c56d&amp;deviceid=e342814812485993&amp;pass_ticket=ARsrD6OFnUQWYoiRM6E8EtGy11IGfvLd0Fnr5AkJ8vurSHuuZZeW6REfsBnu7V93&amp;opcode=2&amp;scene=1&amp;username=@059c84309132f2b9c2cdf914c424269a37581f28c7b70709cf216d51a89a0a1b" TargetMode="External"/><Relationship Id="rId9" Type="http://schemas.openxmlformats.org/officeDocument/2006/relationships/endnotes" Target="endnotes.xml"/><Relationship Id="rId210" Type="http://schemas.openxmlformats.org/officeDocument/2006/relationships/hyperlink" Target="https://wx.qq.com/cgi-bin/mmwebwx-bin/webwxcheckurl?requrl=http://etax.zjtax.gov.cn/&amp;skey=@crypt_9b8542cc_f30adc6f574a4430dec5a05a4290c56d&amp;deviceid=e342814812485993&amp;pass_ticket=ARsrD6OFnUQWYoiRM6E8EtGy11IGfvLd0Fnr5AkJ8vurSHuuZZeW6REfsBnu7V93&amp;opcode=2&amp;scene=1&amp;username=@059c84309132f2b9c2cdf914c424269a37581f28c7b70709cf216d51a89a0a1b" TargetMode="External"/><Relationship Id="rId392" Type="http://schemas.openxmlformats.org/officeDocument/2006/relationships/oleObject" Target="embeddings/oleObject147.bin"/><Relationship Id="rId448" Type="http://schemas.openxmlformats.org/officeDocument/2006/relationships/image" Target="media/image170.emf"/><Relationship Id="rId26" Type="http://schemas.openxmlformats.org/officeDocument/2006/relationships/image" Target="media/image6.emf"/><Relationship Id="rId231" Type="http://schemas.openxmlformats.org/officeDocument/2006/relationships/hyperlink" Target="http://www.zjtax.gov.cn/pub/zjgs/bsfw/zlxz/bdzsxz/sbns/201505/t20150521_525900.html" TargetMode="External"/><Relationship Id="rId252" Type="http://schemas.openxmlformats.org/officeDocument/2006/relationships/oleObject" Target="embeddings/oleObject99.bin"/><Relationship Id="rId273" Type="http://schemas.openxmlformats.org/officeDocument/2006/relationships/oleObject" Target="embeddings/oleObject107.bin"/><Relationship Id="rId294" Type="http://schemas.openxmlformats.org/officeDocument/2006/relationships/image" Target="media/image115.emf"/><Relationship Id="rId308" Type="http://schemas.openxmlformats.org/officeDocument/2006/relationships/hyperlink" Target="https://wx.qq.com/cgi-bin/mmwebwx-bin/webwxcheckurl?requrl=http://etax.zjtax.gov.cn/&amp;skey=@crypt_9b8542cc_f30adc6f574a4430dec5a05a4290c56d&amp;deviceid=e342814812485993&amp;pass_ticket=ARsrD6OFnUQWYoiRM6E8EtGy11IGfvLd0Fnr5AkJ8vurSHuuZZeW6REfsBnu7V93&amp;opcode=2&amp;scene=1&amp;username=@059c84309132f2b9c2cdf914c424269a37581f28c7b70709cf216d51a89a0a1b" TargetMode="External"/><Relationship Id="rId329" Type="http://schemas.openxmlformats.org/officeDocument/2006/relationships/image" Target="media/image126.emf"/><Relationship Id="rId480" Type="http://schemas.openxmlformats.org/officeDocument/2006/relationships/image" Target="media/image185.emf"/><Relationship Id="rId515" Type="http://schemas.openxmlformats.org/officeDocument/2006/relationships/oleObject" Target="embeddings/oleObject196.bin"/><Relationship Id="rId536" Type="http://schemas.openxmlformats.org/officeDocument/2006/relationships/oleObject" Target="embeddings/oleObject204.bin"/><Relationship Id="rId47" Type="http://schemas.openxmlformats.org/officeDocument/2006/relationships/oleObject" Target="embeddings/oleObject14.bin"/><Relationship Id="rId68" Type="http://schemas.openxmlformats.org/officeDocument/2006/relationships/image" Target="media/image23.emf"/><Relationship Id="rId89" Type="http://schemas.openxmlformats.org/officeDocument/2006/relationships/oleObject" Target="embeddings/oleObject33.bin"/><Relationship Id="rId112" Type="http://schemas.openxmlformats.org/officeDocument/2006/relationships/image" Target="media/image44.emf"/><Relationship Id="rId133" Type="http://schemas.openxmlformats.org/officeDocument/2006/relationships/oleObject" Target="embeddings/oleObject54.bin"/><Relationship Id="rId154" Type="http://schemas.openxmlformats.org/officeDocument/2006/relationships/image" Target="media/image65.emf"/><Relationship Id="rId175" Type="http://schemas.openxmlformats.org/officeDocument/2006/relationships/oleObject" Target="embeddings/oleObject75.bin"/><Relationship Id="rId340" Type="http://schemas.openxmlformats.org/officeDocument/2006/relationships/oleObject" Target="embeddings/oleObject129.bin"/><Relationship Id="rId361" Type="http://schemas.openxmlformats.org/officeDocument/2006/relationships/image" Target="media/image138.emf"/><Relationship Id="rId557" Type="http://schemas.openxmlformats.org/officeDocument/2006/relationships/hyperlink" Target="http://www.zjtax.gov.cn/pub/zjgs/bsfw/zlxz/bdzsxz/gyws/201505/t20150521_525936.html" TargetMode="External"/><Relationship Id="rId196" Type="http://schemas.openxmlformats.org/officeDocument/2006/relationships/hyperlink" Target="http://www.zjtax.gov.cn/pub/zjgs/bsfw/zlxz/bdzsxz/sbns/201505/t20150521_525900.html" TargetMode="External"/><Relationship Id="rId200" Type="http://schemas.openxmlformats.org/officeDocument/2006/relationships/hyperlink" Target="http://www.zjtax.gov.cn/pub/zjgs/bsfw/zlxz/bdzsxz/sbns/201505/t20150521_525918.html" TargetMode="External"/><Relationship Id="rId382" Type="http://schemas.openxmlformats.org/officeDocument/2006/relationships/hyperlink" Target="https://wx.qq.com/cgi-bin/mmwebwx-bin/webwxcheckurl?requrl=http://etax.zjtax.gov.cn/&amp;skey=@crypt_9b8542cc_f30adc6f574a4430dec5a05a4290c56d&amp;deviceid=e342814812485993&amp;pass_ticket=ARsrD6OFnUQWYoiRM6E8EtGy11IGfvLd0Fnr5AkJ8vurSHuuZZeW6REfsBnu7V93&amp;opcode=2&amp;scene=1&amp;username=@059c84309132f2b9c2cdf914c424269a37581f28c7b70709cf216d51a89a0a1b" TargetMode="External"/><Relationship Id="rId417" Type="http://schemas.openxmlformats.org/officeDocument/2006/relationships/image" Target="media/image157.emf"/><Relationship Id="rId438" Type="http://schemas.openxmlformats.org/officeDocument/2006/relationships/oleObject" Target="embeddings/oleObject162.bin"/><Relationship Id="rId459" Type="http://schemas.openxmlformats.org/officeDocument/2006/relationships/oleObject" Target="embeddings/oleObject171.bin"/><Relationship Id="rId16" Type="http://schemas.openxmlformats.org/officeDocument/2006/relationships/hyperlink" Target="https://wx.qq.com/cgi-bin/mmwebwx-bin/webwxcheckurl?requrl=http://etax.zjtax.gov.cn/&amp;skey=@crypt_9b8542cc_f30adc6f574a4430dec5a05a4290c56d&amp;deviceid=e342814812485993&amp;pass_ticket=ARsrD6OFnUQWYoiRM6E8EtGy11IGfvLd0Fnr5AkJ8vurSHuuZZeW6REfsBnu7V93&amp;opcode=2&amp;scene=1&amp;username=@059c84309132f2b9c2cdf914c424269a37581f28c7b70709cf216d51a89a0a1b" TargetMode="External"/><Relationship Id="rId221" Type="http://schemas.openxmlformats.org/officeDocument/2006/relationships/hyperlink" Target="http://www.zjtax.gov.cn/pub/zjgs/bsfw/zlxz/bdzsxz/sbns/201505/t20150521_525900.html" TargetMode="External"/><Relationship Id="rId242" Type="http://schemas.openxmlformats.org/officeDocument/2006/relationships/image" Target="media/image96.emf"/><Relationship Id="rId263" Type="http://schemas.openxmlformats.org/officeDocument/2006/relationships/hyperlink" Target="https://wx.qq.com/cgi-bin/mmwebwx-bin/webwxcheckurl?requrl=http://etax.zjtax.gov.cn/&amp;skey=@crypt_9b8542cc_f30adc6f574a4430dec5a05a4290c56d&amp;deviceid=e342814812485993&amp;pass_ticket=ARsrD6OFnUQWYoiRM6E8EtGy11IGfvLd0Fnr5AkJ8vurSHuuZZeW6REfsBnu7V93&amp;opcode=2&amp;scene=1&amp;username=@059c84309132f2b9c2cdf914c424269a37581f28c7b70709cf216d51a89a0a1b" TargetMode="External"/><Relationship Id="rId284" Type="http://schemas.openxmlformats.org/officeDocument/2006/relationships/image" Target="media/image111.emf"/><Relationship Id="rId319" Type="http://schemas.openxmlformats.org/officeDocument/2006/relationships/oleObject" Target="embeddings/oleObject123.bin"/><Relationship Id="rId470" Type="http://schemas.openxmlformats.org/officeDocument/2006/relationships/image" Target="media/image181.emf"/><Relationship Id="rId491" Type="http://schemas.openxmlformats.org/officeDocument/2006/relationships/oleObject" Target="embeddings/oleObject186.bin"/><Relationship Id="rId505" Type="http://schemas.openxmlformats.org/officeDocument/2006/relationships/image" Target="media/image197.emf"/><Relationship Id="rId526" Type="http://schemas.openxmlformats.org/officeDocument/2006/relationships/image" Target="media/image208.emf"/><Relationship Id="rId37" Type="http://schemas.openxmlformats.org/officeDocument/2006/relationships/oleObject" Target="embeddings/oleObject10.bin"/><Relationship Id="rId58" Type="http://schemas.openxmlformats.org/officeDocument/2006/relationships/hyperlink" Target="https://wx.qq.com/cgi-bin/mmwebwx-bin/webwxcheckurl?requrl=http://etax.zjtax.gov.cn/&amp;skey=@crypt_9b8542cc_f30adc6f574a4430dec5a05a4290c56d&amp;deviceid=e342814812485993&amp;pass_ticket=ARsrD6OFnUQWYoiRM6E8EtGy11IGfvLd0Fnr5AkJ8vurSHuuZZeW6REfsBnu7V93&amp;opcode=2&amp;scene=1&amp;username=@059c84309132f2b9c2cdf914c424269a37581f28c7b70709cf216d51a89a0a1b" TargetMode="External"/><Relationship Id="rId79" Type="http://schemas.openxmlformats.org/officeDocument/2006/relationships/oleObject" Target="embeddings/oleObject28.bin"/><Relationship Id="rId102" Type="http://schemas.openxmlformats.org/officeDocument/2006/relationships/image" Target="media/image39.emf"/><Relationship Id="rId123" Type="http://schemas.openxmlformats.org/officeDocument/2006/relationships/oleObject" Target="embeddings/oleObject49.bin"/><Relationship Id="rId144" Type="http://schemas.openxmlformats.org/officeDocument/2006/relationships/image" Target="media/image60.emf"/><Relationship Id="rId330" Type="http://schemas.openxmlformats.org/officeDocument/2006/relationships/oleObject" Target="embeddings/oleObject125.bin"/><Relationship Id="rId547" Type="http://schemas.openxmlformats.org/officeDocument/2006/relationships/image" Target="media/image218.emf"/><Relationship Id="rId568" Type="http://schemas.openxmlformats.org/officeDocument/2006/relationships/hyperlink" Target="http://www.zjtax.gov.cn/pub/zjgs/bsfw/zlxz/bdzsxz/gyws/201505/t20150521_525936.html" TargetMode="External"/><Relationship Id="rId90" Type="http://schemas.openxmlformats.org/officeDocument/2006/relationships/image" Target="media/image34.emf"/><Relationship Id="rId165" Type="http://schemas.openxmlformats.org/officeDocument/2006/relationships/oleObject" Target="embeddings/oleObject70.bin"/><Relationship Id="rId186" Type="http://schemas.openxmlformats.org/officeDocument/2006/relationships/image" Target="media/image81.emf"/><Relationship Id="rId351" Type="http://schemas.openxmlformats.org/officeDocument/2006/relationships/image" Target="media/image135.emf"/><Relationship Id="rId372" Type="http://schemas.openxmlformats.org/officeDocument/2006/relationships/hyperlink" Target="https://wx.qq.com/cgi-bin/mmwebwx-bin/webwxcheckurl?requrl=http://etax.zjtax.gov.cn/&amp;skey=@crypt_9b8542cc_f30adc6f574a4430dec5a05a4290c56d&amp;deviceid=e342814812485993&amp;pass_ticket=ARsrD6OFnUQWYoiRM6E8EtGy11IGfvLd0Fnr5AkJ8vurSHuuZZeW6REfsBnu7V93&amp;opcode=2&amp;scene=1&amp;username=@059c84309132f2b9c2cdf914c424269a37581f28c7b70709cf216d51a89a0a1b" TargetMode="External"/><Relationship Id="rId393" Type="http://schemas.openxmlformats.org/officeDocument/2006/relationships/image" Target="media/image150.emf"/><Relationship Id="rId407" Type="http://schemas.openxmlformats.org/officeDocument/2006/relationships/image" Target="media/image152.emf"/><Relationship Id="rId428" Type="http://schemas.openxmlformats.org/officeDocument/2006/relationships/image" Target="media/image161.emf"/><Relationship Id="rId449" Type="http://schemas.openxmlformats.org/officeDocument/2006/relationships/oleObject" Target="embeddings/oleObject166.bin"/><Relationship Id="rId211" Type="http://schemas.openxmlformats.org/officeDocument/2006/relationships/image" Target="media/image87.emf"/><Relationship Id="rId232" Type="http://schemas.openxmlformats.org/officeDocument/2006/relationships/hyperlink" Target="http://www.zjtax.gov.cn/pub/zjgs/bsfw/zlxz/bdzsxz/sbns/201505/t20150521_525900.html" TargetMode="External"/><Relationship Id="rId253" Type="http://schemas.openxmlformats.org/officeDocument/2006/relationships/hyperlink" Target="https://wx.qq.com/cgi-bin/mmwebwx-bin/webwxcheckurl?requrl=http://etax.zjtax.gov.cn/&amp;skey=@crypt_9b8542cc_f30adc6f574a4430dec5a05a4290c56d&amp;deviceid=e342814812485993&amp;pass_ticket=ARsrD6OFnUQWYoiRM6E8EtGy11IGfvLd0Fnr5AkJ8vurSHuuZZeW6REfsBnu7V93&amp;opcode=2&amp;scene=1&amp;username=@059c84309132f2b9c2cdf914c424269a37581f28c7b70709cf216d51a89a0a1b" TargetMode="External"/><Relationship Id="rId274" Type="http://schemas.openxmlformats.org/officeDocument/2006/relationships/hyperlink" Target="https://wx.qq.com/cgi-bin/mmwebwx-bin/webwxcheckurl?requrl=http://etax.zjtax.gov.cn/&amp;skey=@crypt_9b8542cc_f30adc6f574a4430dec5a05a4290c56d&amp;deviceid=e342814812485993&amp;pass_ticket=ARsrD6OFnUQWYoiRM6E8EtGy11IGfvLd0Fnr5AkJ8vurSHuuZZeW6REfsBnu7V93&amp;opcode=2&amp;scene=1&amp;username=@059c84309132f2b9c2cdf914c424269a37581f28c7b70709cf216d51a89a0a1b" TargetMode="External"/><Relationship Id="rId295" Type="http://schemas.openxmlformats.org/officeDocument/2006/relationships/oleObject" Target="embeddings/oleObject114.bin"/><Relationship Id="rId309" Type="http://schemas.openxmlformats.org/officeDocument/2006/relationships/image" Target="media/image121.emf"/><Relationship Id="rId460" Type="http://schemas.openxmlformats.org/officeDocument/2006/relationships/image" Target="media/image176.emf"/><Relationship Id="rId481" Type="http://schemas.openxmlformats.org/officeDocument/2006/relationships/oleObject" Target="embeddings/oleObject181.bin"/><Relationship Id="rId516" Type="http://schemas.openxmlformats.org/officeDocument/2006/relationships/image" Target="media/image203.emf"/><Relationship Id="rId27" Type="http://schemas.openxmlformats.org/officeDocument/2006/relationships/oleObject" Target="embeddings/oleObject6.bin"/><Relationship Id="rId48" Type="http://schemas.openxmlformats.org/officeDocument/2006/relationships/hyperlink" Target="https://wx.qq.com/cgi-bin/mmwebwx-bin/webwxcheckurl?requrl=http://etax.zjtax.gov.cn/&amp;skey=@crypt_9b8542cc_f30adc6f574a4430dec5a05a4290c56d&amp;deviceid=e342814812485993&amp;pass_ticket=ARsrD6OFnUQWYoiRM6E8EtGy11IGfvLd0Fnr5AkJ8vurSHuuZZeW6REfsBnu7V93&amp;opcode=2&amp;scene=1&amp;username=@059c84309132f2b9c2cdf914c424269a37581f28c7b70709cf216d51a89a0a1b" TargetMode="External"/><Relationship Id="rId69" Type="http://schemas.openxmlformats.org/officeDocument/2006/relationships/oleObject" Target="embeddings/oleObject23.bin"/><Relationship Id="rId113" Type="http://schemas.openxmlformats.org/officeDocument/2006/relationships/oleObject" Target="embeddings/oleObject44.bin"/><Relationship Id="rId134" Type="http://schemas.openxmlformats.org/officeDocument/2006/relationships/image" Target="media/image55.emf"/><Relationship Id="rId320" Type="http://schemas.openxmlformats.org/officeDocument/2006/relationships/hyperlink" Target="http://www.zjtax.gov.cn/pub/zjgs/bsfw/zlxz/bdzsxz/sbns/201505/t20150521_525916.html" TargetMode="External"/><Relationship Id="rId537" Type="http://schemas.openxmlformats.org/officeDocument/2006/relationships/image" Target="media/image213.emf"/><Relationship Id="rId558" Type="http://schemas.openxmlformats.org/officeDocument/2006/relationships/hyperlink" Target="http://www.zjtax.gov.cn/pub/zjgs/bsfw/zlxz/bdzsxz/gyws/201505/t20150521_525936.html" TargetMode="External"/><Relationship Id="rId80" Type="http://schemas.openxmlformats.org/officeDocument/2006/relationships/image" Target="media/image29.emf"/><Relationship Id="rId155" Type="http://schemas.openxmlformats.org/officeDocument/2006/relationships/oleObject" Target="embeddings/oleObject65.bin"/><Relationship Id="rId176" Type="http://schemas.openxmlformats.org/officeDocument/2006/relationships/image" Target="media/image76.emf"/><Relationship Id="rId197" Type="http://schemas.openxmlformats.org/officeDocument/2006/relationships/hyperlink" Target="http://www.zjtax.gov.cn/pub/zjgs/bsfw/zlxz/bdzsxz/sbns/201505/t20150521_525918.html" TargetMode="External"/><Relationship Id="rId341" Type="http://schemas.openxmlformats.org/officeDocument/2006/relationships/image" Target="media/image131.emf"/><Relationship Id="rId362" Type="http://schemas.openxmlformats.org/officeDocument/2006/relationships/oleObject" Target="embeddings/oleObject137.bin"/><Relationship Id="rId383" Type="http://schemas.openxmlformats.org/officeDocument/2006/relationships/image" Target="media/image146.emf"/><Relationship Id="rId418" Type="http://schemas.openxmlformats.org/officeDocument/2006/relationships/oleObject" Target="embeddings/oleObject154.bin"/><Relationship Id="rId439" Type="http://schemas.openxmlformats.org/officeDocument/2006/relationships/hyperlink" Target="https://wx.qq.com/cgi-bin/mmwebwx-bin/webwxcheckurl?requrl=http://etax.zjtax.gov.cn/&amp;skey=@crypt_9b8542cc_f30adc6f574a4430dec5a05a4290c56d&amp;deviceid=e342814812485993&amp;pass_ticket=ARsrD6OFnUQWYoiRM6E8EtGy11IGfvLd0Fnr5AkJ8vurSHuuZZeW6REfsBnu7V93&amp;opcode=2&amp;scene=1&amp;username=@059c84309132f2b9c2cdf914c424269a37581f28c7b70709cf216d51a89a0a1b" TargetMode="External"/><Relationship Id="rId201" Type="http://schemas.openxmlformats.org/officeDocument/2006/relationships/hyperlink" Target="http://www.zjtax.gov.cn/pub/zjgs/bsfw/zlxz/bdzsxz/sbns/201505/t20150521_525918.html" TargetMode="External"/><Relationship Id="rId222" Type="http://schemas.openxmlformats.org/officeDocument/2006/relationships/hyperlink" Target="https://wx.qq.com/cgi-bin/mmwebwx-bin/webwxcheckurl?requrl=http://etax.zjtax.gov.cn/&amp;skey=@crypt_9b8542cc_f30adc6f574a4430dec5a05a4290c56d&amp;deviceid=e342814812485993&amp;pass_ticket=ARsrD6OFnUQWYoiRM6E8EtGy11IGfvLd0Fnr5AkJ8vurSHuuZZeW6REfsBnu7V93&amp;opcode=2&amp;scene=1&amp;username=@059c84309132f2b9c2cdf914c424269a37581f28c7b70709cf216d51a89a0a1b" TargetMode="External"/><Relationship Id="rId243" Type="http://schemas.openxmlformats.org/officeDocument/2006/relationships/oleObject" Target="embeddings/oleObject96.bin"/><Relationship Id="rId264" Type="http://schemas.openxmlformats.org/officeDocument/2006/relationships/hyperlink" Target="http://www.zjtax.gov.cn/pub/zjgs/bsfw/zlxz/bdzsxz/sbns/201505/t20150521_525918.html" TargetMode="External"/><Relationship Id="rId285" Type="http://schemas.openxmlformats.org/officeDocument/2006/relationships/oleObject" Target="embeddings/oleObject110.bin"/><Relationship Id="rId450" Type="http://schemas.openxmlformats.org/officeDocument/2006/relationships/image" Target="media/image171.emf"/><Relationship Id="rId471" Type="http://schemas.openxmlformats.org/officeDocument/2006/relationships/oleObject" Target="embeddings/oleObject177.bin"/><Relationship Id="rId506" Type="http://schemas.openxmlformats.org/officeDocument/2006/relationships/image" Target="media/image198.emf"/><Relationship Id="rId17" Type="http://schemas.openxmlformats.org/officeDocument/2006/relationships/image" Target="media/image2.emf"/><Relationship Id="rId38" Type="http://schemas.openxmlformats.org/officeDocument/2006/relationships/hyperlink" Target="https://wx.qq.com/cgi-bin/mmwebwx-bin/webwxcheckurl?requrl=http://etax.zjtax.gov.cn/&amp;skey=@crypt_9b8542cc_f30adc6f574a4430dec5a05a4290c56d&amp;deviceid=e342814812485993&amp;pass_ticket=ARsrD6OFnUQWYoiRM6E8EtGy11IGfvLd0Fnr5AkJ8vurSHuuZZeW6REfsBnu7V93&amp;opcode=2&amp;scene=1&amp;username=@059c84309132f2b9c2cdf914c424269a37581f28c7b70709cf216d51a89a0a1b" TargetMode="External"/><Relationship Id="rId59" Type="http://schemas.openxmlformats.org/officeDocument/2006/relationships/image" Target="media/image19.emf"/><Relationship Id="rId103" Type="http://schemas.openxmlformats.org/officeDocument/2006/relationships/oleObject" Target="embeddings/oleObject39.bin"/><Relationship Id="rId124" Type="http://schemas.openxmlformats.org/officeDocument/2006/relationships/image" Target="media/image50.emf"/><Relationship Id="rId310" Type="http://schemas.openxmlformats.org/officeDocument/2006/relationships/oleObject" Target="embeddings/oleObject120.bin"/><Relationship Id="rId492" Type="http://schemas.openxmlformats.org/officeDocument/2006/relationships/image" Target="media/image191.emf"/><Relationship Id="rId527" Type="http://schemas.openxmlformats.org/officeDocument/2006/relationships/oleObject" Target="embeddings/oleObject201.bin"/><Relationship Id="rId548" Type="http://schemas.openxmlformats.org/officeDocument/2006/relationships/oleObject" Target="embeddings/oleObject210.bin"/><Relationship Id="rId569" Type="http://schemas.openxmlformats.org/officeDocument/2006/relationships/image" Target="media/image226.emf"/><Relationship Id="rId70" Type="http://schemas.openxmlformats.org/officeDocument/2006/relationships/image" Target="media/image24.emf"/><Relationship Id="rId91" Type="http://schemas.openxmlformats.org/officeDocument/2006/relationships/oleObject" Target="embeddings/oleObject34.bin"/><Relationship Id="rId145" Type="http://schemas.openxmlformats.org/officeDocument/2006/relationships/oleObject" Target="embeddings/oleObject60.bin"/><Relationship Id="rId166" Type="http://schemas.openxmlformats.org/officeDocument/2006/relationships/image" Target="media/image71.emf"/><Relationship Id="rId187" Type="http://schemas.openxmlformats.org/officeDocument/2006/relationships/oleObject" Target="embeddings/oleObject81.bin"/><Relationship Id="rId331" Type="http://schemas.openxmlformats.org/officeDocument/2006/relationships/image" Target="media/image127.emf"/><Relationship Id="rId352" Type="http://schemas.openxmlformats.org/officeDocument/2006/relationships/oleObject" Target="embeddings/oleObject134.bin"/><Relationship Id="rId373" Type="http://schemas.openxmlformats.org/officeDocument/2006/relationships/image" Target="media/image142.emf"/><Relationship Id="rId394" Type="http://schemas.openxmlformats.org/officeDocument/2006/relationships/oleObject" Target="embeddings/oleObject148.bin"/><Relationship Id="rId408" Type="http://schemas.openxmlformats.org/officeDocument/2006/relationships/image" Target="media/image153.emf"/><Relationship Id="rId429" Type="http://schemas.openxmlformats.org/officeDocument/2006/relationships/oleObject" Target="embeddings/oleObject158.bin"/><Relationship Id="rId1" Type="http://schemas.openxmlformats.org/officeDocument/2006/relationships/customXml" Target="../customXml/item1.xml"/><Relationship Id="rId212" Type="http://schemas.openxmlformats.org/officeDocument/2006/relationships/oleObject" Target="embeddings/oleObject87.bin"/><Relationship Id="rId233" Type="http://schemas.openxmlformats.org/officeDocument/2006/relationships/hyperlink" Target="https://wx.qq.com/cgi-bin/mmwebwx-bin/webwxcheckurl?requrl=http://etax.zjtax.gov.cn/&amp;skey=@crypt_9b8542cc_f30adc6f574a4430dec5a05a4290c56d&amp;deviceid=e342814812485993&amp;pass_ticket=ARsrD6OFnUQWYoiRM6E8EtGy11IGfvLd0Fnr5AkJ8vurSHuuZZeW6REfsBnu7V93&amp;opcode=2&amp;scene=1&amp;username=@059c84309132f2b9c2cdf914c424269a37581f28c7b70709cf216d51a89a0a1b" TargetMode="External"/><Relationship Id="rId254" Type="http://schemas.openxmlformats.org/officeDocument/2006/relationships/image" Target="media/image101.emf"/><Relationship Id="rId440" Type="http://schemas.openxmlformats.org/officeDocument/2006/relationships/image" Target="media/image166.emf"/><Relationship Id="rId28" Type="http://schemas.openxmlformats.org/officeDocument/2006/relationships/hyperlink" Target="https://wx.qq.com/cgi-bin/mmwebwx-bin/webwxcheckurl?requrl=http://etax.zjtax.gov.cn/&amp;skey=@crypt_9b8542cc_f30adc6f574a4430dec5a05a4290c56d&amp;deviceid=e342814812485993&amp;pass_ticket=ARsrD6OFnUQWYoiRM6E8EtGy11IGfvLd0Fnr5AkJ8vurSHuuZZeW6REfsBnu7V93&amp;opcode=2&amp;scene=1&amp;username=@059c84309132f2b9c2cdf914c424269a37581f28c7b70709cf216d51a89a0a1b" TargetMode="External"/><Relationship Id="rId49" Type="http://schemas.openxmlformats.org/officeDocument/2006/relationships/image" Target="media/image15.emf"/><Relationship Id="rId114" Type="http://schemas.openxmlformats.org/officeDocument/2006/relationships/image" Target="media/image45.emf"/><Relationship Id="rId275" Type="http://schemas.openxmlformats.org/officeDocument/2006/relationships/hyperlink" Target="https://wx.qq.com/cgi-bin/mmwebwx-bin/webwxcheckurl?requrl=http://etax.zjtax.gov.cn/&amp;skey=@crypt_9b8542cc_f30adc6f574a4430dec5a05a4290c56d&amp;deviceid=e342814812485993&amp;pass_ticket=ARsrD6OFnUQWYoiRM6E8EtGy11IGfvLd0Fnr5AkJ8vurSHuuZZeW6REfsBnu7V93&amp;opcode=2&amp;scene=1&amp;username=@059c84309132f2b9c2cdf914c424269a37581f28c7b70709cf216d51a89a0a1b" TargetMode="External"/><Relationship Id="rId296" Type="http://schemas.openxmlformats.org/officeDocument/2006/relationships/image" Target="media/image116.emf"/><Relationship Id="rId300" Type="http://schemas.openxmlformats.org/officeDocument/2006/relationships/image" Target="media/image117.emf"/><Relationship Id="rId461" Type="http://schemas.openxmlformats.org/officeDocument/2006/relationships/oleObject" Target="embeddings/oleObject172.bin"/><Relationship Id="rId482" Type="http://schemas.openxmlformats.org/officeDocument/2006/relationships/image" Target="media/image186.emf"/><Relationship Id="rId517" Type="http://schemas.openxmlformats.org/officeDocument/2006/relationships/hyperlink" Target="http://www.zjtax.gov.cn/pub/zjgs/bsfw/zlxz/bdzsxz/pzgl/201505/t20150521_525934.html" TargetMode="External"/><Relationship Id="rId538" Type="http://schemas.openxmlformats.org/officeDocument/2006/relationships/oleObject" Target="embeddings/oleObject205.bin"/><Relationship Id="rId559" Type="http://schemas.openxmlformats.org/officeDocument/2006/relationships/image" Target="media/image222.emf"/><Relationship Id="rId60" Type="http://schemas.openxmlformats.org/officeDocument/2006/relationships/oleObject" Target="embeddings/oleObject19.bin"/><Relationship Id="rId81" Type="http://schemas.openxmlformats.org/officeDocument/2006/relationships/oleObject" Target="embeddings/oleObject29.bin"/><Relationship Id="rId135" Type="http://schemas.openxmlformats.org/officeDocument/2006/relationships/oleObject" Target="embeddings/oleObject55.bin"/><Relationship Id="rId156" Type="http://schemas.openxmlformats.org/officeDocument/2006/relationships/image" Target="media/image66.emf"/><Relationship Id="rId177" Type="http://schemas.openxmlformats.org/officeDocument/2006/relationships/oleObject" Target="embeddings/oleObject76.bin"/><Relationship Id="rId198" Type="http://schemas.openxmlformats.org/officeDocument/2006/relationships/hyperlink" Target="http://www.zjtax.gov.cn/pub/zjgs/bsfw/zlxz/bdzsxz/sbns/201505/t20150521_525918.html" TargetMode="External"/><Relationship Id="rId321" Type="http://schemas.openxmlformats.org/officeDocument/2006/relationships/hyperlink" Target="http://www.zjtax.gov.cn/pub/zjgs/bsfw/zlxz/bdzsxz/sbns/201505/t20150521_525916.html" TargetMode="External"/><Relationship Id="rId342" Type="http://schemas.openxmlformats.org/officeDocument/2006/relationships/oleObject" Target="embeddings/oleObject130.bin"/><Relationship Id="rId363" Type="http://schemas.openxmlformats.org/officeDocument/2006/relationships/image" Target="media/image139.emf"/><Relationship Id="rId384" Type="http://schemas.openxmlformats.org/officeDocument/2006/relationships/oleObject" Target="embeddings/oleObject144.bin"/><Relationship Id="rId419" Type="http://schemas.openxmlformats.org/officeDocument/2006/relationships/hyperlink" Target="https://wx.qq.com/cgi-bin/mmwebwx-bin/webwxcheckurl?requrl=http://etax.zjtax.gov.cn/&amp;skey=@crypt_9b8542cc_f30adc6f574a4430dec5a05a4290c56d&amp;deviceid=e342814812485993&amp;pass_ticket=ARsrD6OFnUQWYoiRM6E8EtGy11IGfvLd0Fnr5AkJ8vurSHuuZZeW6REfsBnu7V93&amp;opcode=2&amp;scene=1&amp;username=@059c84309132f2b9c2cdf914c424269a37581f28c7b70709cf216d51a89a0a1b" TargetMode="External"/><Relationship Id="rId570" Type="http://schemas.openxmlformats.org/officeDocument/2006/relationships/oleObject" Target="embeddings/oleObject218.bin"/><Relationship Id="rId202" Type="http://schemas.openxmlformats.org/officeDocument/2006/relationships/hyperlink" Target="http://www.zjtax.gov.cn/pub/zjgs/bsfw/zlxz/bdzsxz/sbns/201505/t20150521_525918.html" TargetMode="External"/><Relationship Id="rId223" Type="http://schemas.openxmlformats.org/officeDocument/2006/relationships/hyperlink" Target="http://www.zjtax.gov.cn/pub/zjgs/bsfw/zlxz/bdzsxz/sbns/201505/t20150521_525900.html" TargetMode="External"/><Relationship Id="rId244" Type="http://schemas.openxmlformats.org/officeDocument/2006/relationships/hyperlink" Target="https://wx.qq.com/cgi-bin/mmwebwx-bin/webwxcheckurl?requrl=http://etax.zjtax.gov.cn/&amp;skey=@crypt_9b8542cc_f30adc6f574a4430dec5a05a4290c56d&amp;deviceid=e342814812485993&amp;pass_ticket=ARsrD6OFnUQWYoiRM6E8EtGy11IGfvLd0Fnr5AkJ8vurSHuuZZeW6REfsBnu7V93&amp;opcode=2&amp;scene=1&amp;username=@059c84309132f2b9c2cdf914c424269a37581f28c7b70709cf216d51a89a0a1b" TargetMode="External"/><Relationship Id="rId430" Type="http://schemas.openxmlformats.org/officeDocument/2006/relationships/hyperlink" Target="https://wx.qq.com/cgi-bin/mmwebwx-bin/webwxcheckurl?requrl=http://etax.zjtax.gov.cn/&amp;skey=@crypt_9b8542cc_f30adc6f574a4430dec5a05a4290c56d&amp;deviceid=e342814812485993&amp;pass_ticket=ARsrD6OFnUQWYoiRM6E8EtGy11IGfvLd0Fnr5AkJ8vurSHuuZZeW6REfsBnu7V93&amp;opcode=2&amp;scene=1&amp;username=@059c84309132f2b9c2cdf914c424269a37581f28c7b70709cf216d51a89a0a1b" TargetMode="External"/><Relationship Id="rId18" Type="http://schemas.openxmlformats.org/officeDocument/2006/relationships/oleObject" Target="embeddings/oleObject2.bin"/><Relationship Id="rId39" Type="http://schemas.openxmlformats.org/officeDocument/2006/relationships/image" Target="media/image11.emf"/><Relationship Id="rId265" Type="http://schemas.openxmlformats.org/officeDocument/2006/relationships/image" Target="media/image105.emf"/><Relationship Id="rId286" Type="http://schemas.openxmlformats.org/officeDocument/2006/relationships/image" Target="media/image112.emf"/><Relationship Id="rId451" Type="http://schemas.openxmlformats.org/officeDocument/2006/relationships/oleObject" Target="embeddings/oleObject167.bin"/><Relationship Id="rId472" Type="http://schemas.openxmlformats.org/officeDocument/2006/relationships/image" Target="media/image182.emf"/><Relationship Id="rId493" Type="http://schemas.openxmlformats.org/officeDocument/2006/relationships/hyperlink" Target="http://www.zjtax.gov.cn/pub/zjgs/bsfw/zlxz/bdzsxz/pzgl/201505/t20150521_525934.html" TargetMode="External"/><Relationship Id="rId507" Type="http://schemas.openxmlformats.org/officeDocument/2006/relationships/oleObject" Target="embeddings/oleObject192.bin"/><Relationship Id="rId528" Type="http://schemas.openxmlformats.org/officeDocument/2006/relationships/image" Target="media/image209.emf"/><Relationship Id="rId549" Type="http://schemas.openxmlformats.org/officeDocument/2006/relationships/image" Target="media/image219.emf"/><Relationship Id="rId50" Type="http://schemas.openxmlformats.org/officeDocument/2006/relationships/oleObject" Target="embeddings/oleObject15.bin"/><Relationship Id="rId104" Type="http://schemas.openxmlformats.org/officeDocument/2006/relationships/image" Target="media/image40.emf"/><Relationship Id="rId125" Type="http://schemas.openxmlformats.org/officeDocument/2006/relationships/oleObject" Target="embeddings/oleObject50.bin"/><Relationship Id="rId146" Type="http://schemas.openxmlformats.org/officeDocument/2006/relationships/image" Target="media/image61.emf"/><Relationship Id="rId167" Type="http://schemas.openxmlformats.org/officeDocument/2006/relationships/oleObject" Target="embeddings/oleObject71.bin"/><Relationship Id="rId188" Type="http://schemas.openxmlformats.org/officeDocument/2006/relationships/image" Target="media/image82.emf"/><Relationship Id="rId311" Type="http://schemas.openxmlformats.org/officeDocument/2006/relationships/image" Target="media/image122.emf"/><Relationship Id="rId332" Type="http://schemas.openxmlformats.org/officeDocument/2006/relationships/oleObject" Target="embeddings/oleObject126.bin"/><Relationship Id="rId353" Type="http://schemas.openxmlformats.org/officeDocument/2006/relationships/hyperlink" Target="https://wx.qq.com/cgi-bin/mmwebwx-bin/webwxcheckurl?requrl=http://etax.zjtax.gov.cn/&amp;skey=@crypt_9b8542cc_f30adc6f574a4430dec5a05a4290c56d&amp;deviceid=e342814812485993&amp;pass_ticket=ARsrD6OFnUQWYoiRM6E8EtGy11IGfvLd0Fnr5AkJ8vurSHuuZZeW6REfsBnu7V93&amp;opcode=2&amp;scene=1&amp;username=@059c84309132f2b9c2cdf914c424269a37581f28c7b70709cf216d51a89a0a1b" TargetMode="External"/><Relationship Id="rId374" Type="http://schemas.openxmlformats.org/officeDocument/2006/relationships/oleObject" Target="embeddings/oleObject141.bin"/><Relationship Id="rId395" Type="http://schemas.openxmlformats.org/officeDocument/2006/relationships/image" Target="media/image151.emf"/><Relationship Id="rId409" Type="http://schemas.openxmlformats.org/officeDocument/2006/relationships/oleObject" Target="embeddings/oleObject150.bin"/><Relationship Id="rId560" Type="http://schemas.openxmlformats.org/officeDocument/2006/relationships/oleObject" Target="embeddings/oleObject214.bin"/><Relationship Id="rId71" Type="http://schemas.openxmlformats.org/officeDocument/2006/relationships/oleObject" Target="embeddings/oleObject24.bin"/><Relationship Id="rId92" Type="http://schemas.openxmlformats.org/officeDocument/2006/relationships/image" Target="media/image35.emf"/><Relationship Id="rId213" Type="http://schemas.openxmlformats.org/officeDocument/2006/relationships/image" Target="media/image88.emf"/><Relationship Id="rId234" Type="http://schemas.openxmlformats.org/officeDocument/2006/relationships/image" Target="media/image93.emf"/><Relationship Id="rId420" Type="http://schemas.openxmlformats.org/officeDocument/2006/relationships/hyperlink" Target="https://wx.qq.com/cgi-bin/mmwebwx-bin/webwxcheckurl?requrl=http://etax.zjtax.gov.cn/&amp;skey=@crypt_9b8542cc_f30adc6f574a4430dec5a05a4290c56d&amp;deviceid=e342814812485993&amp;pass_ticket=ARsrD6OFnUQWYoiRM6E8EtGy11IGfvLd0Fnr5AkJ8vurSHuuZZeW6REfsBnu7V93&amp;opcode=2&amp;scene=1&amp;username=@059c84309132f2b9c2cdf914c424269a37581f28c7b70709cf216d51a89a0a1b" TargetMode="External"/><Relationship Id="rId2" Type="http://schemas.openxmlformats.org/officeDocument/2006/relationships/customXml" Target="../customXml/item2.xml"/><Relationship Id="rId29" Type="http://schemas.openxmlformats.org/officeDocument/2006/relationships/image" Target="media/image7.emf"/><Relationship Id="rId255" Type="http://schemas.openxmlformats.org/officeDocument/2006/relationships/oleObject" Target="embeddings/oleObject100.bin"/><Relationship Id="rId276" Type="http://schemas.openxmlformats.org/officeDocument/2006/relationships/hyperlink" Target="https://wx.qq.com/cgi-bin/mmwebwx-bin/webwxcheckurl?requrl=http://etax.zjtax.gov.cn/&amp;skey=@crypt_9b8542cc_f30adc6f574a4430dec5a05a4290c56d&amp;deviceid=e342814812485993&amp;pass_ticket=ARsrD6OFnUQWYoiRM6E8EtGy11IGfvLd0Fnr5AkJ8vurSHuuZZeW6REfsBnu7V93&amp;opcode=2&amp;scene=1&amp;username=@059c84309132f2b9c2cdf914c424269a37581f28c7b70709cf216d51a89a0a1b" TargetMode="External"/><Relationship Id="rId297" Type="http://schemas.openxmlformats.org/officeDocument/2006/relationships/oleObject" Target="embeddings/oleObject115.bin"/><Relationship Id="rId441" Type="http://schemas.openxmlformats.org/officeDocument/2006/relationships/image" Target="media/image167.emf"/><Relationship Id="rId462" Type="http://schemas.openxmlformats.org/officeDocument/2006/relationships/image" Target="media/image177.emf"/><Relationship Id="rId483" Type="http://schemas.openxmlformats.org/officeDocument/2006/relationships/oleObject" Target="embeddings/oleObject182.bin"/><Relationship Id="rId518" Type="http://schemas.openxmlformats.org/officeDocument/2006/relationships/image" Target="media/image204.emf"/><Relationship Id="rId539" Type="http://schemas.openxmlformats.org/officeDocument/2006/relationships/image" Target="media/image214.emf"/><Relationship Id="rId40" Type="http://schemas.openxmlformats.org/officeDocument/2006/relationships/oleObject" Target="embeddings/oleObject11.bin"/><Relationship Id="rId115" Type="http://schemas.openxmlformats.org/officeDocument/2006/relationships/oleObject" Target="embeddings/oleObject45.bin"/><Relationship Id="rId136" Type="http://schemas.openxmlformats.org/officeDocument/2006/relationships/image" Target="media/image56.emf"/><Relationship Id="rId157" Type="http://schemas.openxmlformats.org/officeDocument/2006/relationships/oleObject" Target="embeddings/oleObject66.bin"/><Relationship Id="rId178" Type="http://schemas.openxmlformats.org/officeDocument/2006/relationships/image" Target="media/image77.emf"/><Relationship Id="rId301" Type="http://schemas.openxmlformats.org/officeDocument/2006/relationships/oleObject" Target="embeddings/oleObject116.bin"/><Relationship Id="rId322" Type="http://schemas.openxmlformats.org/officeDocument/2006/relationships/hyperlink" Target="http://www.zjtax.gov.cn/pub/zjgs/bsfw/zlxz/bdzsxz/sbns/201505/t20150521_525920.html" TargetMode="External"/><Relationship Id="rId343" Type="http://schemas.openxmlformats.org/officeDocument/2006/relationships/hyperlink" Target="https://wx.qq.com/cgi-bin/mmwebwx-bin/webwxcheckurl?requrl=http://etax.zjtax.gov.cn/&amp;skey=@crypt_9b8542cc_f30adc6f574a4430dec5a05a4290c56d&amp;deviceid=e342814812485993&amp;pass_ticket=ARsrD6OFnUQWYoiRM6E8EtGy11IGfvLd0Fnr5AkJ8vurSHuuZZeW6REfsBnu7V93&amp;opcode=2&amp;scene=1&amp;username=@059c84309132f2b9c2cdf914c424269a37581f28c7b70709cf216d51a89a0a1b" TargetMode="External"/><Relationship Id="rId364" Type="http://schemas.openxmlformats.org/officeDocument/2006/relationships/oleObject" Target="embeddings/oleObject138.bin"/><Relationship Id="rId550" Type="http://schemas.openxmlformats.org/officeDocument/2006/relationships/oleObject" Target="embeddings/oleObject211.bin"/><Relationship Id="rId61" Type="http://schemas.openxmlformats.org/officeDocument/2006/relationships/image" Target="media/image20.emf"/><Relationship Id="rId82" Type="http://schemas.openxmlformats.org/officeDocument/2006/relationships/image" Target="media/image30.emf"/><Relationship Id="rId199" Type="http://schemas.openxmlformats.org/officeDocument/2006/relationships/hyperlink" Target="http://www.zjtax.gov.cn/pub/zjgs/bsfw/zlxz/bdzsxz/sbns/201505/t20150521_525918.html" TargetMode="External"/><Relationship Id="rId203" Type="http://schemas.openxmlformats.org/officeDocument/2006/relationships/hyperlink" Target="http://www.zjtax.gov.cn/pub/zjgs/bsfw/zlxz/bdzsxz/sbns/201505/t20150521_525918.html" TargetMode="External"/><Relationship Id="rId385" Type="http://schemas.openxmlformats.org/officeDocument/2006/relationships/image" Target="media/image147.emf"/><Relationship Id="rId571" Type="http://schemas.openxmlformats.org/officeDocument/2006/relationships/image" Target="media/image227.emf"/><Relationship Id="rId19" Type="http://schemas.openxmlformats.org/officeDocument/2006/relationships/image" Target="media/image3.emf"/><Relationship Id="rId224" Type="http://schemas.openxmlformats.org/officeDocument/2006/relationships/hyperlink" Target="http://www.zjtax.gov.cn/pub/zjgs/bsfw/zlxz/bdzsxz/sbns/201505/t20150521_525900.html" TargetMode="External"/><Relationship Id="rId245" Type="http://schemas.openxmlformats.org/officeDocument/2006/relationships/image" Target="media/image97.emf"/><Relationship Id="rId266" Type="http://schemas.openxmlformats.org/officeDocument/2006/relationships/oleObject" Target="embeddings/oleObject104.bin"/><Relationship Id="rId287" Type="http://schemas.openxmlformats.org/officeDocument/2006/relationships/oleObject" Target="embeddings/oleObject111.bin"/><Relationship Id="rId410" Type="http://schemas.openxmlformats.org/officeDocument/2006/relationships/hyperlink" Target="https://wx.qq.com/cgi-bin/mmwebwx-bin/webwxcheckurl?requrl=http://etax.zjtax.gov.cn/&amp;skey=@crypt_9b8542cc_f30adc6f574a4430dec5a05a4290c56d&amp;deviceid=e342814812485993&amp;pass_ticket=ARsrD6OFnUQWYoiRM6E8EtGy11IGfvLd0Fnr5AkJ8vurSHuuZZeW6REfsBnu7V93&amp;opcode=2&amp;scene=1&amp;username=@059c84309132f2b9c2cdf914c424269a37581f28c7b70709cf216d51a89a0a1b" TargetMode="External"/><Relationship Id="rId431" Type="http://schemas.openxmlformats.org/officeDocument/2006/relationships/image" Target="media/image162.emf"/><Relationship Id="rId452" Type="http://schemas.openxmlformats.org/officeDocument/2006/relationships/image" Target="media/image172.emf"/><Relationship Id="rId473" Type="http://schemas.openxmlformats.org/officeDocument/2006/relationships/oleObject" Target="embeddings/oleObject178.bin"/><Relationship Id="rId494" Type="http://schemas.openxmlformats.org/officeDocument/2006/relationships/hyperlink" Target="http://www.zjtax.gov.cn/pub/zjgs/bsfw/zlxz/bdzsxz/pzgl/201505/t20150521_525934.html" TargetMode="External"/><Relationship Id="rId508" Type="http://schemas.openxmlformats.org/officeDocument/2006/relationships/image" Target="media/image199.emf"/><Relationship Id="rId529" Type="http://schemas.openxmlformats.org/officeDocument/2006/relationships/image" Target="media/image210.emf"/><Relationship Id="rId30" Type="http://schemas.openxmlformats.org/officeDocument/2006/relationships/oleObject" Target="embeddings/oleObject7.bin"/><Relationship Id="rId105" Type="http://schemas.openxmlformats.org/officeDocument/2006/relationships/oleObject" Target="embeddings/oleObject40.bin"/><Relationship Id="rId126" Type="http://schemas.openxmlformats.org/officeDocument/2006/relationships/image" Target="media/image51.emf"/><Relationship Id="rId147" Type="http://schemas.openxmlformats.org/officeDocument/2006/relationships/oleObject" Target="embeddings/oleObject61.bin"/><Relationship Id="rId168" Type="http://schemas.openxmlformats.org/officeDocument/2006/relationships/image" Target="media/image72.emf"/><Relationship Id="rId312" Type="http://schemas.openxmlformats.org/officeDocument/2006/relationships/oleObject" Target="embeddings/oleObject121.bin"/><Relationship Id="rId333" Type="http://schemas.openxmlformats.org/officeDocument/2006/relationships/hyperlink" Target="https://wx.qq.com/cgi-bin/mmwebwx-bin/webwxcheckurl?requrl=http://etax.zjtax.gov.cn/&amp;skey=@crypt_9b8542cc_f30adc6f574a4430dec5a05a4290c56d&amp;deviceid=e342814812485993&amp;pass_ticket=ARsrD6OFnUQWYoiRM6E8EtGy11IGfvLd0Fnr5AkJ8vurSHuuZZeW6REfsBnu7V93&amp;opcode=2&amp;scene=1&amp;username=@059c84309132f2b9c2cdf914c424269a37581f28c7b70709cf216d51a89a0a1b" TargetMode="External"/><Relationship Id="rId354" Type="http://schemas.openxmlformats.org/officeDocument/2006/relationships/image" Target="media/image136.emf"/><Relationship Id="rId540" Type="http://schemas.openxmlformats.org/officeDocument/2006/relationships/oleObject" Target="embeddings/oleObject206.bin"/><Relationship Id="rId51" Type="http://schemas.openxmlformats.org/officeDocument/2006/relationships/image" Target="media/image16.emf"/><Relationship Id="rId72" Type="http://schemas.openxmlformats.org/officeDocument/2006/relationships/image" Target="media/image25.emf"/><Relationship Id="rId93" Type="http://schemas.openxmlformats.org/officeDocument/2006/relationships/oleObject" Target="embeddings/oleObject35.bin"/><Relationship Id="rId189" Type="http://schemas.openxmlformats.org/officeDocument/2006/relationships/oleObject" Target="embeddings/oleObject82.bin"/><Relationship Id="rId375" Type="http://schemas.openxmlformats.org/officeDocument/2006/relationships/image" Target="media/image143.emf"/><Relationship Id="rId396" Type="http://schemas.openxmlformats.org/officeDocument/2006/relationships/oleObject" Target="embeddings/oleObject149.bin"/><Relationship Id="rId561" Type="http://schemas.openxmlformats.org/officeDocument/2006/relationships/image" Target="media/image223.emf"/><Relationship Id="rId3" Type="http://schemas.openxmlformats.org/officeDocument/2006/relationships/customXml" Target="../customXml/item3.xml"/><Relationship Id="rId214" Type="http://schemas.openxmlformats.org/officeDocument/2006/relationships/oleObject" Target="embeddings/oleObject88.bin"/><Relationship Id="rId235" Type="http://schemas.openxmlformats.org/officeDocument/2006/relationships/oleObject" Target="embeddings/oleObject93.bin"/><Relationship Id="rId256" Type="http://schemas.openxmlformats.org/officeDocument/2006/relationships/image" Target="media/image102.emf"/><Relationship Id="rId277" Type="http://schemas.openxmlformats.org/officeDocument/2006/relationships/image" Target="media/image109.emf"/><Relationship Id="rId298" Type="http://schemas.openxmlformats.org/officeDocument/2006/relationships/hyperlink" Target="http://www.zjtax.gov.cn/pub/zjgs/bsfw/zlxz/bdzsxz/sbns/201505/t20150521_525900.html" TargetMode="External"/><Relationship Id="rId400" Type="http://schemas.openxmlformats.org/officeDocument/2006/relationships/hyperlink" Target="https://wx.qq.com/cgi-bin/mmwebwx-bin/webwxcheckurl?requrl=http://etax.zjtax.gov.cn/&amp;skey=@crypt_9b8542cc_f30adc6f574a4430dec5a05a4290c56d&amp;deviceid=e342814812485993&amp;pass_ticket=ARsrD6OFnUQWYoiRM6E8EtGy11IGfvLd0Fnr5AkJ8vurSHuuZZeW6REfsBnu7V93&amp;opcode=2&amp;scene=1&amp;username=@059c84309132f2b9c2cdf914c424269a37581f28c7b70709cf216d51a89a0a1b" TargetMode="External"/><Relationship Id="rId421" Type="http://schemas.openxmlformats.org/officeDocument/2006/relationships/image" Target="media/image158.emf"/><Relationship Id="rId442" Type="http://schemas.openxmlformats.org/officeDocument/2006/relationships/oleObject" Target="embeddings/oleObject163.bin"/><Relationship Id="rId463" Type="http://schemas.openxmlformats.org/officeDocument/2006/relationships/oleObject" Target="embeddings/oleObject173.bin"/><Relationship Id="rId484" Type="http://schemas.openxmlformats.org/officeDocument/2006/relationships/image" Target="media/image187.emf"/><Relationship Id="rId519" Type="http://schemas.openxmlformats.org/officeDocument/2006/relationships/oleObject" Target="embeddings/oleObject197.bin"/><Relationship Id="rId116" Type="http://schemas.openxmlformats.org/officeDocument/2006/relationships/image" Target="media/image46.emf"/><Relationship Id="rId137" Type="http://schemas.openxmlformats.org/officeDocument/2006/relationships/oleObject" Target="embeddings/oleObject56.bin"/><Relationship Id="rId158" Type="http://schemas.openxmlformats.org/officeDocument/2006/relationships/image" Target="media/image67.emf"/><Relationship Id="rId302" Type="http://schemas.openxmlformats.org/officeDocument/2006/relationships/image" Target="media/image118.emf"/><Relationship Id="rId323" Type="http://schemas.openxmlformats.org/officeDocument/2006/relationships/image" Target="media/image125.emf"/><Relationship Id="rId344" Type="http://schemas.openxmlformats.org/officeDocument/2006/relationships/image" Target="media/image132.emf"/><Relationship Id="rId530" Type="http://schemas.openxmlformats.org/officeDocument/2006/relationships/oleObject" Target="embeddings/oleObject202.bin"/><Relationship Id="rId20" Type="http://schemas.openxmlformats.org/officeDocument/2006/relationships/oleObject" Target="embeddings/oleObject3.bin"/><Relationship Id="rId41" Type="http://schemas.openxmlformats.org/officeDocument/2006/relationships/image" Target="media/image12.emf"/><Relationship Id="rId62" Type="http://schemas.openxmlformats.org/officeDocument/2006/relationships/oleObject" Target="embeddings/oleObject20.bin"/><Relationship Id="rId83" Type="http://schemas.openxmlformats.org/officeDocument/2006/relationships/oleObject" Target="embeddings/oleObject30.bin"/><Relationship Id="rId179" Type="http://schemas.openxmlformats.org/officeDocument/2006/relationships/oleObject" Target="embeddings/oleObject77.bin"/><Relationship Id="rId365" Type="http://schemas.openxmlformats.org/officeDocument/2006/relationships/hyperlink" Target="http://www.zjtax.gov.cn/pub/zjgs/bsfw/zlxz/bdzsxz/201505/t20150521_525784.html" TargetMode="External"/><Relationship Id="rId386" Type="http://schemas.openxmlformats.org/officeDocument/2006/relationships/oleObject" Target="embeddings/oleObject145.bin"/><Relationship Id="rId551" Type="http://schemas.openxmlformats.org/officeDocument/2006/relationships/image" Target="media/image220.emf"/><Relationship Id="rId572" Type="http://schemas.openxmlformats.org/officeDocument/2006/relationships/oleObject" Target="embeddings/oleObject219.bin"/><Relationship Id="rId190" Type="http://schemas.openxmlformats.org/officeDocument/2006/relationships/image" Target="media/image83.emf"/><Relationship Id="rId204" Type="http://schemas.openxmlformats.org/officeDocument/2006/relationships/hyperlink" Target="http://www.zjtax.gov.cn/pub/zjgs/bsfw/zlxz/bdzsxz/sbns/201505/t20150521_525918.html" TargetMode="External"/><Relationship Id="rId225" Type="http://schemas.openxmlformats.org/officeDocument/2006/relationships/hyperlink" Target="http://www.zjtax.gov.cn/pub/zjgs/bsfw/zlxz/bdzsxz/sbns/201505/t20150521_525913.html" TargetMode="External"/><Relationship Id="rId246" Type="http://schemas.openxmlformats.org/officeDocument/2006/relationships/oleObject" Target="embeddings/oleObject97.bin"/><Relationship Id="rId267" Type="http://schemas.openxmlformats.org/officeDocument/2006/relationships/image" Target="media/image106.emf"/><Relationship Id="rId288" Type="http://schemas.openxmlformats.org/officeDocument/2006/relationships/hyperlink" Target="http://www.zjtax.gov.cn/pub/zjgs/bsfw/zlxz/bdzsxz/sbns/201505/t20150521_525900.html" TargetMode="External"/><Relationship Id="rId411" Type="http://schemas.openxmlformats.org/officeDocument/2006/relationships/image" Target="media/image154.emf"/><Relationship Id="rId432" Type="http://schemas.openxmlformats.org/officeDocument/2006/relationships/oleObject" Target="embeddings/oleObject159.bin"/><Relationship Id="rId453" Type="http://schemas.openxmlformats.org/officeDocument/2006/relationships/oleObject" Target="embeddings/oleObject168.bin"/><Relationship Id="rId474" Type="http://schemas.openxmlformats.org/officeDocument/2006/relationships/hyperlink" Target="http://www.zjtax.gov.cn/pub/zjgs/bsfw/zlxz/bdzsxz/sbns/201505/t20150521_525913.html" TargetMode="External"/><Relationship Id="rId509" Type="http://schemas.openxmlformats.org/officeDocument/2006/relationships/oleObject" Target="embeddings/oleObject193.bin"/><Relationship Id="rId106" Type="http://schemas.openxmlformats.org/officeDocument/2006/relationships/image" Target="media/image41.emf"/><Relationship Id="rId127" Type="http://schemas.openxmlformats.org/officeDocument/2006/relationships/oleObject" Target="embeddings/oleObject51.bin"/><Relationship Id="rId313" Type="http://schemas.openxmlformats.org/officeDocument/2006/relationships/hyperlink" Target="http://www.zjtax.gov.cn/pub/zjgs/bsfw/zlxz/bdzsxz/sbns/201505/t20150521_525913.html" TargetMode="External"/><Relationship Id="rId495" Type="http://schemas.openxmlformats.org/officeDocument/2006/relationships/image" Target="media/image192.emf"/><Relationship Id="rId10" Type="http://schemas.openxmlformats.org/officeDocument/2006/relationships/footer" Target="footer1.xml"/><Relationship Id="rId31" Type="http://schemas.openxmlformats.org/officeDocument/2006/relationships/image" Target="media/image8.emf"/><Relationship Id="rId52" Type="http://schemas.openxmlformats.org/officeDocument/2006/relationships/oleObject" Target="embeddings/oleObject16.bin"/><Relationship Id="rId73" Type="http://schemas.openxmlformats.org/officeDocument/2006/relationships/oleObject" Target="embeddings/oleObject25.bin"/><Relationship Id="rId94" Type="http://schemas.openxmlformats.org/officeDocument/2006/relationships/image" Target="media/image36.emf"/><Relationship Id="rId148" Type="http://schemas.openxmlformats.org/officeDocument/2006/relationships/image" Target="media/image62.emf"/><Relationship Id="rId169" Type="http://schemas.openxmlformats.org/officeDocument/2006/relationships/oleObject" Target="embeddings/oleObject72.bin"/><Relationship Id="rId334" Type="http://schemas.openxmlformats.org/officeDocument/2006/relationships/image" Target="media/image128.emf"/><Relationship Id="rId355" Type="http://schemas.openxmlformats.org/officeDocument/2006/relationships/oleObject" Target="embeddings/oleObject135.bin"/><Relationship Id="rId376" Type="http://schemas.openxmlformats.org/officeDocument/2006/relationships/oleObject" Target="embeddings/oleObject142.bin"/><Relationship Id="rId397" Type="http://schemas.openxmlformats.org/officeDocument/2006/relationships/hyperlink" Target="https://wx.qq.com/cgi-bin/mmwebwx-bin/webwxcheckurl?requrl=http://etax.zjtax.gov.cn/&amp;skey=@crypt_9b8542cc_f30adc6f574a4430dec5a05a4290c56d&amp;deviceid=e342814812485993&amp;pass_ticket=ARsrD6OFnUQWYoiRM6E8EtGy11IGfvLd0Fnr5AkJ8vurSHuuZZeW6REfsBnu7V93&amp;opcode=2&amp;scene=1&amp;username=@059c84309132f2b9c2cdf914c424269a37581f28c7b70709cf216d51a89a0a1b" TargetMode="External"/><Relationship Id="rId520" Type="http://schemas.openxmlformats.org/officeDocument/2006/relationships/image" Target="media/image205.emf"/><Relationship Id="rId541" Type="http://schemas.openxmlformats.org/officeDocument/2006/relationships/image" Target="media/image215.emf"/><Relationship Id="rId562" Type="http://schemas.openxmlformats.org/officeDocument/2006/relationships/oleObject" Target="embeddings/oleObject215.bin"/><Relationship Id="rId4" Type="http://schemas.openxmlformats.org/officeDocument/2006/relationships/numbering" Target="numbering.xml"/><Relationship Id="rId180" Type="http://schemas.openxmlformats.org/officeDocument/2006/relationships/image" Target="media/image78.emf"/><Relationship Id="rId215" Type="http://schemas.openxmlformats.org/officeDocument/2006/relationships/hyperlink" Target="https://wx.qq.com/cgi-bin/mmwebwx-bin/webwxcheckurl?requrl=http://etax.zjtax.gov.cn/&amp;skey=@crypt_9b8542cc_f30adc6f574a4430dec5a05a4290c56d&amp;deviceid=e342814812485993&amp;pass_ticket=ARsrD6OFnUQWYoiRM6E8EtGy11IGfvLd0Fnr5AkJ8vurSHuuZZeW6REfsBnu7V93&amp;opcode=2&amp;scene=1&amp;username=@059c84309132f2b9c2cdf914c424269a37581f28c7b70709cf216d51a89a0a1b" TargetMode="External"/><Relationship Id="rId236" Type="http://schemas.openxmlformats.org/officeDocument/2006/relationships/image" Target="media/image94.emf"/><Relationship Id="rId257" Type="http://schemas.openxmlformats.org/officeDocument/2006/relationships/oleObject" Target="embeddings/oleObject101.bin"/><Relationship Id="rId278" Type="http://schemas.openxmlformats.org/officeDocument/2006/relationships/oleObject" Target="embeddings/oleObject108.bin"/><Relationship Id="rId401" Type="http://schemas.openxmlformats.org/officeDocument/2006/relationships/hyperlink" Target="https://wx.qq.com/cgi-bin/mmwebwx-bin/webwxcheckurl?requrl=http://etax.zjtax.gov.cn/&amp;skey=@crypt_9b8542cc_f30adc6f574a4430dec5a05a4290c56d&amp;deviceid=e342814812485993&amp;pass_ticket=ARsrD6OFnUQWYoiRM6E8EtGy11IGfvLd0Fnr5AkJ8vurSHuuZZeW6REfsBnu7V93&amp;opcode=2&amp;scene=1&amp;username=@059c84309132f2b9c2cdf914c424269a37581f28c7b70709cf216d51a89a0a1b" TargetMode="External"/><Relationship Id="rId422" Type="http://schemas.openxmlformats.org/officeDocument/2006/relationships/oleObject" Target="embeddings/oleObject155.bin"/><Relationship Id="rId443" Type="http://schemas.openxmlformats.org/officeDocument/2006/relationships/image" Target="media/image168.emf"/><Relationship Id="rId464" Type="http://schemas.openxmlformats.org/officeDocument/2006/relationships/image" Target="media/image178.emf"/><Relationship Id="rId303" Type="http://schemas.openxmlformats.org/officeDocument/2006/relationships/oleObject" Target="embeddings/oleObject117.bin"/><Relationship Id="rId485" Type="http://schemas.openxmlformats.org/officeDocument/2006/relationships/oleObject" Target="embeddings/oleObject183.bin"/><Relationship Id="rId42" Type="http://schemas.openxmlformats.org/officeDocument/2006/relationships/oleObject" Target="embeddings/oleObject12.bin"/><Relationship Id="rId84" Type="http://schemas.openxmlformats.org/officeDocument/2006/relationships/image" Target="media/image31.emf"/><Relationship Id="rId138" Type="http://schemas.openxmlformats.org/officeDocument/2006/relationships/image" Target="media/image57.emf"/><Relationship Id="rId345" Type="http://schemas.openxmlformats.org/officeDocument/2006/relationships/oleObject" Target="embeddings/oleObject131.bin"/><Relationship Id="rId387" Type="http://schemas.openxmlformats.org/officeDocument/2006/relationships/hyperlink" Target="https://wx.qq.com/cgi-bin/mmwebwx-bin/webwxcheckurl?requrl=http://etax.zjtax.gov.cn/&amp;skey=@crypt_9b8542cc_f30adc6f574a4430dec5a05a4290c56d&amp;deviceid=e342814812485993&amp;pass_ticket=ARsrD6OFnUQWYoiRM6E8EtGy11IGfvLd0Fnr5AkJ8vurSHuuZZeW6REfsBnu7V93&amp;opcode=2&amp;scene=1&amp;username=@059c84309132f2b9c2cdf914c424269a37581f28c7b70709cf216d51a89a0a1b" TargetMode="External"/><Relationship Id="rId510" Type="http://schemas.openxmlformats.org/officeDocument/2006/relationships/image" Target="media/image200.emf"/><Relationship Id="rId552" Type="http://schemas.openxmlformats.org/officeDocument/2006/relationships/oleObject" Target="embeddings/oleObject212.bin"/><Relationship Id="rId191" Type="http://schemas.openxmlformats.org/officeDocument/2006/relationships/oleObject" Target="embeddings/oleObject83.bin"/><Relationship Id="rId205" Type="http://schemas.openxmlformats.org/officeDocument/2006/relationships/hyperlink" Target="http://www.zjtax.gov.cn/pub/zjgs/bsfw/zlxz/bdzsxz/sbns/201505/t20150521_525920.html" TargetMode="External"/><Relationship Id="rId247" Type="http://schemas.openxmlformats.org/officeDocument/2006/relationships/image" Target="media/image98.emf"/><Relationship Id="rId412" Type="http://schemas.openxmlformats.org/officeDocument/2006/relationships/oleObject" Target="embeddings/oleObject151.bin"/><Relationship Id="rId107" Type="http://schemas.openxmlformats.org/officeDocument/2006/relationships/oleObject" Target="embeddings/oleObject41.bin"/><Relationship Id="rId289" Type="http://schemas.openxmlformats.org/officeDocument/2006/relationships/hyperlink" Target="http://www.zjtax.gov.cn/pub/zjgs/bsfw/zlxz/bdzsxz/sbns/201505/t20150521_525900.html" TargetMode="External"/><Relationship Id="rId454" Type="http://schemas.openxmlformats.org/officeDocument/2006/relationships/image" Target="media/image173.emf"/><Relationship Id="rId496" Type="http://schemas.openxmlformats.org/officeDocument/2006/relationships/oleObject" Target="embeddings/oleObject187.bin"/><Relationship Id="rId11" Type="http://schemas.openxmlformats.org/officeDocument/2006/relationships/footer" Target="footer2.xml"/><Relationship Id="rId53" Type="http://schemas.openxmlformats.org/officeDocument/2006/relationships/hyperlink" Target="https://wx.qq.com/cgi-bin/mmwebwx-bin/webwxcheckurl?requrl=http://etax.zjtax.gov.cn/&amp;skey=@crypt_9b8542cc_f30adc6f574a4430dec5a05a4290c56d&amp;deviceid=e342814812485993&amp;pass_ticket=ARsrD6OFnUQWYoiRM6E8EtGy11IGfvLd0Fnr5AkJ8vurSHuuZZeW6REfsBnu7V93&amp;opcode=2&amp;scene=1&amp;username=@059c84309132f2b9c2cdf914c424269a37581f28c7b70709cf216d51a89a0a1b" TargetMode="External"/><Relationship Id="rId149" Type="http://schemas.openxmlformats.org/officeDocument/2006/relationships/oleObject" Target="embeddings/oleObject62.bin"/><Relationship Id="rId314" Type="http://schemas.openxmlformats.org/officeDocument/2006/relationships/hyperlink" Target="http://www.zjtax.gov.cn/pub/zjgs/bsfw/zlxz/bdzsxz/sbns/201505/t20150521_525913.html" TargetMode="External"/><Relationship Id="rId356" Type="http://schemas.openxmlformats.org/officeDocument/2006/relationships/image" Target="media/image137.emf"/><Relationship Id="rId398" Type="http://schemas.openxmlformats.org/officeDocument/2006/relationships/hyperlink" Target="https://wx.qq.com/cgi-bin/mmwebwx-bin/webwxcheckurl?requrl=http://etax.zjtax.gov.cn/&amp;skey=@crypt_9b8542cc_f30adc6f574a4430dec5a05a4290c56d&amp;deviceid=e342814812485993&amp;pass_ticket=ARsrD6OFnUQWYoiRM6E8EtGy11IGfvLd0Fnr5AkJ8vurSHuuZZeW6REfsBnu7V93&amp;opcode=2&amp;scene=1&amp;username=@059c84309132f2b9c2cdf914c424269a37581f28c7b70709cf216d51a89a0a1b" TargetMode="External"/><Relationship Id="rId521" Type="http://schemas.openxmlformats.org/officeDocument/2006/relationships/oleObject" Target="embeddings/oleObject198.bin"/><Relationship Id="rId563" Type="http://schemas.openxmlformats.org/officeDocument/2006/relationships/image" Target="media/image224.emf"/><Relationship Id="rId95" Type="http://schemas.openxmlformats.org/officeDocument/2006/relationships/oleObject" Target="embeddings/oleObject36.bin"/><Relationship Id="rId160" Type="http://schemas.openxmlformats.org/officeDocument/2006/relationships/image" Target="media/image68.emf"/><Relationship Id="rId216" Type="http://schemas.openxmlformats.org/officeDocument/2006/relationships/image" Target="media/image89.emf"/><Relationship Id="rId423" Type="http://schemas.openxmlformats.org/officeDocument/2006/relationships/image" Target="media/image159.emf"/><Relationship Id="rId258" Type="http://schemas.openxmlformats.org/officeDocument/2006/relationships/hyperlink" Target="https://wx.qq.com/cgi-bin/mmwebwx-bin/webwxcheckurl?requrl=http://etax.zjtax.gov.cn/&amp;skey=@crypt_9b8542cc_f30adc6f574a4430dec5a05a4290c56d&amp;deviceid=e342814812485993&amp;pass_ticket=ARsrD6OFnUQWYoiRM6E8EtGy11IGfvLd0Fnr5AkJ8vurSHuuZZeW6REfsBnu7V93&amp;opcode=2&amp;scene=1&amp;username=@059c84309132f2b9c2cdf914c424269a37581f28c7b70709cf216d51a89a0a1b" TargetMode="External"/><Relationship Id="rId465" Type="http://schemas.openxmlformats.org/officeDocument/2006/relationships/oleObject" Target="embeddings/oleObject174.bin"/><Relationship Id="rId22" Type="http://schemas.openxmlformats.org/officeDocument/2006/relationships/oleObject" Target="embeddings/oleObject4.bin"/><Relationship Id="rId64" Type="http://schemas.openxmlformats.org/officeDocument/2006/relationships/image" Target="media/image21.emf"/><Relationship Id="rId118" Type="http://schemas.openxmlformats.org/officeDocument/2006/relationships/image" Target="media/image47.emf"/><Relationship Id="rId325" Type="http://schemas.openxmlformats.org/officeDocument/2006/relationships/hyperlink" Target="https://wx.qq.com/cgi-bin/mmwebwx-bin/webwxcheckurl?requrl=http://etax.zjtax.gov.cn/&amp;skey=@crypt_9b8542cc_f30adc6f574a4430dec5a05a4290c56d&amp;deviceid=e342814812485993&amp;pass_ticket=ARsrD6OFnUQWYoiRM6E8EtGy11IGfvLd0Fnr5AkJ8vurSHuuZZeW6REfsBnu7V93&amp;opcode=2&amp;scene=1&amp;username=@059c84309132f2b9c2cdf914c424269a37581f28c7b70709cf216d51a89a0a1b" TargetMode="External"/><Relationship Id="rId367" Type="http://schemas.openxmlformats.org/officeDocument/2006/relationships/hyperlink" Target="https://wx.qq.com/cgi-bin/mmwebwx-bin/webwxcheckurl?requrl=http://etax.zjtax.gov.cn/&amp;skey=@crypt_9b8542cc_f30adc6f574a4430dec5a05a4290c56d&amp;deviceid=e342814812485993&amp;pass_ticket=ARsrD6OFnUQWYoiRM6E8EtGy11IGfvLd0Fnr5AkJ8vurSHuuZZeW6REfsBnu7V93&amp;opcode=2&amp;scene=1&amp;username=@059c84309132f2b9c2cdf914c424269a37581f28c7b70709cf216d51a89a0a1b" TargetMode="External"/><Relationship Id="rId532" Type="http://schemas.openxmlformats.org/officeDocument/2006/relationships/oleObject" Target="embeddings/oleObject203.bin"/><Relationship Id="rId574" Type="http://schemas.openxmlformats.org/officeDocument/2006/relationships/theme" Target="theme/theme1.xml"/><Relationship Id="rId171" Type="http://schemas.openxmlformats.org/officeDocument/2006/relationships/oleObject" Target="embeddings/oleObject73.bin"/><Relationship Id="rId227" Type="http://schemas.openxmlformats.org/officeDocument/2006/relationships/image" Target="media/image91.emf"/><Relationship Id="rId269" Type="http://schemas.openxmlformats.org/officeDocument/2006/relationships/hyperlink" Target="https://wx.qq.com/cgi-bin/mmwebwx-bin/webwxcheckurl?requrl=http://etax.zjtax.gov.cn/&amp;skey=@crypt_9b8542cc_f30adc6f574a4430dec5a05a4290c56d&amp;deviceid=e342814812485993&amp;pass_ticket=ARsrD6OFnUQWYoiRM6E8EtGy11IGfvLd0Fnr5AkJ8vurSHuuZZeW6REfsBnu7V93&amp;opcode=2&amp;scene=1&amp;username=@059c84309132f2b9c2cdf914c424269a37581f28c7b70709cf216d51a89a0a1b" TargetMode="External"/><Relationship Id="rId434" Type="http://schemas.openxmlformats.org/officeDocument/2006/relationships/oleObject" Target="embeddings/oleObject160.bin"/><Relationship Id="rId476" Type="http://schemas.openxmlformats.org/officeDocument/2006/relationships/image" Target="media/image183.emf"/><Relationship Id="rId33" Type="http://schemas.openxmlformats.org/officeDocument/2006/relationships/hyperlink" Target="https://wx.qq.com/cgi-bin/mmwebwx-bin/webwxcheckurl?requrl=http://etax.zjtax.gov.cn/&amp;skey=@crypt_9b8542cc_f30adc6f574a4430dec5a05a4290c56d&amp;deviceid=e342814812485993&amp;pass_ticket=ARsrD6OFnUQWYoiRM6E8EtGy11IGfvLd0Fnr5AkJ8vurSHuuZZeW6REfsBnu7V93&amp;opcode=2&amp;scene=1&amp;username=@059c84309132f2b9c2cdf914c424269a37581f28c7b70709cf216d51a89a0a1b" TargetMode="External"/><Relationship Id="rId129" Type="http://schemas.openxmlformats.org/officeDocument/2006/relationships/oleObject" Target="embeddings/oleObject52.bin"/><Relationship Id="rId280" Type="http://schemas.openxmlformats.org/officeDocument/2006/relationships/oleObject" Target="embeddings/oleObject109.bin"/><Relationship Id="rId336" Type="http://schemas.openxmlformats.org/officeDocument/2006/relationships/image" Target="media/image129.emf"/><Relationship Id="rId501" Type="http://schemas.openxmlformats.org/officeDocument/2006/relationships/image" Target="media/image195.emf"/><Relationship Id="rId543" Type="http://schemas.openxmlformats.org/officeDocument/2006/relationships/image" Target="media/image216.emf"/><Relationship Id="rId75" Type="http://schemas.openxmlformats.org/officeDocument/2006/relationships/oleObject" Target="embeddings/oleObject26.bin"/><Relationship Id="rId140" Type="http://schemas.openxmlformats.org/officeDocument/2006/relationships/image" Target="media/image58.emf"/><Relationship Id="rId182" Type="http://schemas.openxmlformats.org/officeDocument/2006/relationships/image" Target="media/image79.emf"/><Relationship Id="rId378" Type="http://schemas.openxmlformats.org/officeDocument/2006/relationships/image" Target="media/image144.emf"/><Relationship Id="rId403" Type="http://schemas.openxmlformats.org/officeDocument/2006/relationships/hyperlink" Target="https://wx.qq.com/cgi-bin/mmwebwx-bin/webwxcheckurl?requrl=http://etax.zjtax.gov.cn/&amp;skey=@crypt_9b8542cc_f30adc6f574a4430dec5a05a4290c56d&amp;deviceid=e342814812485993&amp;pass_ticket=ARsrD6OFnUQWYoiRM6E8EtGy11IGfvLd0Fnr5AkJ8vurSHuuZZeW6REfsBnu7V93&amp;opcode=2&amp;scene=1&amp;username=@059c84309132f2b9c2cdf914c424269a37581f28c7b70709cf216d51a89a0a1b" TargetMode="External"/><Relationship Id="rId6" Type="http://schemas.openxmlformats.org/officeDocument/2006/relationships/settings" Target="settings.xml"/><Relationship Id="rId238" Type="http://schemas.openxmlformats.org/officeDocument/2006/relationships/hyperlink" Target="https://wx.qq.com/cgi-bin/mmwebwx-bin/webwxcheckurl?requrl=http://etax.zjtax.gov.cn/&amp;skey=@crypt_9b8542cc_f30adc6f574a4430dec5a05a4290c56d&amp;deviceid=e342814812485993&amp;pass_ticket=ARsrD6OFnUQWYoiRM6E8EtGy11IGfvLd0Fnr5AkJ8vurSHuuZZeW6REfsBnu7V93&amp;opcode=2&amp;scene=1&amp;username=@059c84309132f2b9c2cdf914c424269a37581f28c7b70709cf216d51a89a0a1b" TargetMode="External"/><Relationship Id="rId445" Type="http://schemas.openxmlformats.org/officeDocument/2006/relationships/image" Target="media/image169.emf"/><Relationship Id="rId487" Type="http://schemas.openxmlformats.org/officeDocument/2006/relationships/oleObject" Target="embeddings/oleObject184.bin"/><Relationship Id="rId291" Type="http://schemas.openxmlformats.org/officeDocument/2006/relationships/oleObject" Target="embeddings/oleObject112.bin"/><Relationship Id="rId305" Type="http://schemas.openxmlformats.org/officeDocument/2006/relationships/oleObject" Target="embeddings/oleObject118.bin"/><Relationship Id="rId347" Type="http://schemas.openxmlformats.org/officeDocument/2006/relationships/oleObject" Target="embeddings/oleObject132.bin"/><Relationship Id="rId512" Type="http://schemas.openxmlformats.org/officeDocument/2006/relationships/image" Target="media/image201.emf"/><Relationship Id="rId44" Type="http://schemas.openxmlformats.org/officeDocument/2006/relationships/image" Target="media/image13.emf"/><Relationship Id="rId86" Type="http://schemas.openxmlformats.org/officeDocument/2006/relationships/image" Target="media/image32.emf"/><Relationship Id="rId151" Type="http://schemas.openxmlformats.org/officeDocument/2006/relationships/oleObject" Target="embeddings/oleObject63.bin"/><Relationship Id="rId389" Type="http://schemas.openxmlformats.org/officeDocument/2006/relationships/image" Target="media/image148.emf"/><Relationship Id="rId554" Type="http://schemas.openxmlformats.org/officeDocument/2006/relationships/oleObject" Target="embeddings/oleObject213.bin"/><Relationship Id="rId193" Type="http://schemas.openxmlformats.org/officeDocument/2006/relationships/oleObject" Target="embeddings/oleObject84.bin"/><Relationship Id="rId207" Type="http://schemas.openxmlformats.org/officeDocument/2006/relationships/oleObject" Target="embeddings/oleObject85.bin"/><Relationship Id="rId249" Type="http://schemas.openxmlformats.org/officeDocument/2006/relationships/image" Target="media/image99.emf"/><Relationship Id="rId414" Type="http://schemas.openxmlformats.org/officeDocument/2006/relationships/oleObject" Target="embeddings/oleObject152.bin"/><Relationship Id="rId456" Type="http://schemas.openxmlformats.org/officeDocument/2006/relationships/image" Target="media/image174.emf"/><Relationship Id="rId498" Type="http://schemas.openxmlformats.org/officeDocument/2006/relationships/oleObject" Target="embeddings/oleObject188.bin"/><Relationship Id="rId13" Type="http://schemas.openxmlformats.org/officeDocument/2006/relationships/oleObject" Target="embeddings/oleObject1.bin"/><Relationship Id="rId109" Type="http://schemas.openxmlformats.org/officeDocument/2006/relationships/oleObject" Target="embeddings/oleObject42.bin"/><Relationship Id="rId260" Type="http://schemas.openxmlformats.org/officeDocument/2006/relationships/oleObject" Target="embeddings/oleObject102.bin"/><Relationship Id="rId316" Type="http://schemas.openxmlformats.org/officeDocument/2006/relationships/image" Target="media/image123.emf"/><Relationship Id="rId523" Type="http://schemas.openxmlformats.org/officeDocument/2006/relationships/oleObject" Target="embeddings/oleObject199.bin"/><Relationship Id="rId55" Type="http://schemas.openxmlformats.org/officeDocument/2006/relationships/oleObject" Target="embeddings/oleObject17.bin"/><Relationship Id="rId97" Type="http://schemas.openxmlformats.org/officeDocument/2006/relationships/oleObject" Target="embeddings/oleObject37.bin"/><Relationship Id="rId120" Type="http://schemas.openxmlformats.org/officeDocument/2006/relationships/image" Target="media/image48.emf"/><Relationship Id="rId358" Type="http://schemas.openxmlformats.org/officeDocument/2006/relationships/hyperlink" Target="http://www.zjtax.gov.cn/pub/zjgs/bsfw/zlxz/bdzsxz/sbns/201505/t20150521_525900.html" TargetMode="External"/><Relationship Id="rId565" Type="http://schemas.openxmlformats.org/officeDocument/2006/relationships/image" Target="media/image225.emf"/><Relationship Id="rId162" Type="http://schemas.openxmlformats.org/officeDocument/2006/relationships/image" Target="media/image69.emf"/><Relationship Id="rId218" Type="http://schemas.openxmlformats.org/officeDocument/2006/relationships/image" Target="media/image90.emf"/><Relationship Id="rId425" Type="http://schemas.openxmlformats.org/officeDocument/2006/relationships/hyperlink" Target="https://wx.qq.com/cgi-bin/mmwebwx-bin/webwxcheckurl?requrl=http://etax.zjtax.gov.cn/&amp;skey=@crypt_9b8542cc_f30adc6f574a4430dec5a05a4290c56d&amp;deviceid=e342814812485993&amp;pass_ticket=ARsrD6OFnUQWYoiRM6E8EtGy11IGfvLd0Fnr5AkJ8vurSHuuZZeW6REfsBnu7V93&amp;opcode=2&amp;scene=1&amp;username=@059c84309132f2b9c2cdf914c424269a37581f28c7b70709cf216d51a89a0a1b" TargetMode="External"/><Relationship Id="rId467" Type="http://schemas.openxmlformats.org/officeDocument/2006/relationships/oleObject" Target="embeddings/oleObject175.bin"/><Relationship Id="rId271" Type="http://schemas.openxmlformats.org/officeDocument/2006/relationships/oleObject" Target="embeddings/oleObject106.bin"/><Relationship Id="rId24" Type="http://schemas.openxmlformats.org/officeDocument/2006/relationships/image" Target="media/image5.emf"/><Relationship Id="rId66" Type="http://schemas.openxmlformats.org/officeDocument/2006/relationships/image" Target="media/image22.emf"/><Relationship Id="rId131" Type="http://schemas.openxmlformats.org/officeDocument/2006/relationships/oleObject" Target="embeddings/oleObject53.bin"/><Relationship Id="rId327" Type="http://schemas.openxmlformats.org/officeDocument/2006/relationships/hyperlink" Target="https://wx.qq.com/cgi-bin/mmwebwx-bin/webwxcheckurl?requrl=http://etax.zjtax.gov.cn/&amp;skey=@crypt_9b8542cc_f30adc6f574a4430dec5a05a4290c56d&amp;deviceid=e342814812485993&amp;pass_ticket=ARsrD6OFnUQWYoiRM6E8EtGy11IGfvLd0Fnr5AkJ8vurSHuuZZeW6REfsBnu7V93&amp;opcode=2&amp;scene=1&amp;username=@059c84309132f2b9c2cdf914c424269a37581f28c7b70709cf216d51a89a0a1b" TargetMode="External"/><Relationship Id="rId369" Type="http://schemas.openxmlformats.org/officeDocument/2006/relationships/oleObject" Target="embeddings/oleObject139.bin"/><Relationship Id="rId534" Type="http://schemas.openxmlformats.org/officeDocument/2006/relationships/hyperlink" Target="http://www.zjtax.gov.cn/pub/zjgs/bsfw/zlxz/bdzsxz/sbns/201505/t20150521_525920.html" TargetMode="External"/><Relationship Id="rId173" Type="http://schemas.openxmlformats.org/officeDocument/2006/relationships/oleObject" Target="embeddings/oleObject74.bin"/><Relationship Id="rId229" Type="http://schemas.openxmlformats.org/officeDocument/2006/relationships/image" Target="media/image92.emf"/><Relationship Id="rId380" Type="http://schemas.openxmlformats.org/officeDocument/2006/relationships/oleObject" Target="embeddings/oleObject143.bin"/><Relationship Id="rId436" Type="http://schemas.openxmlformats.org/officeDocument/2006/relationships/oleObject" Target="embeddings/oleObject161.bin"/><Relationship Id="rId240" Type="http://schemas.openxmlformats.org/officeDocument/2006/relationships/image" Target="media/image95.emf"/><Relationship Id="rId478" Type="http://schemas.openxmlformats.org/officeDocument/2006/relationships/image" Target="media/image184.emf"/><Relationship Id="rId35" Type="http://schemas.openxmlformats.org/officeDocument/2006/relationships/oleObject" Target="embeddings/oleObject9.bin"/><Relationship Id="rId77" Type="http://schemas.openxmlformats.org/officeDocument/2006/relationships/oleObject" Target="embeddings/oleObject27.bin"/><Relationship Id="rId100" Type="http://schemas.openxmlformats.org/officeDocument/2006/relationships/hyperlink" Target="http://www.zjtax.gov.cn/pub/zjgs/bsfw/zlxz/bdzsxz/ssyh/201505/t20150521_525921.html" TargetMode="External"/><Relationship Id="rId282" Type="http://schemas.openxmlformats.org/officeDocument/2006/relationships/hyperlink" Target="http://www.zjtax.gov.cn/pub/zjgs/bsfw/zlxz/bdzsxz/sbns/201505/t20150521_525918.html" TargetMode="External"/><Relationship Id="rId338" Type="http://schemas.openxmlformats.org/officeDocument/2006/relationships/hyperlink" Target="https://wx.qq.com/cgi-bin/mmwebwx-bin/webwxcheckurl?requrl=http://etax.zjtax.gov.cn/&amp;skey=@crypt_9b8542cc_f30adc6f574a4430dec5a05a4290c56d&amp;deviceid=e342814812485993&amp;pass_ticket=ARsrD6OFnUQWYoiRM6E8EtGy11IGfvLd0Fnr5AkJ8vurSHuuZZeW6REfsBnu7V93&amp;opcode=2&amp;scene=1&amp;username=@059c84309132f2b9c2cdf914c424269a37581f28c7b70709cf216d51a89a0a1b" TargetMode="External"/><Relationship Id="rId503" Type="http://schemas.openxmlformats.org/officeDocument/2006/relationships/image" Target="media/image196.emf"/><Relationship Id="rId545" Type="http://schemas.openxmlformats.org/officeDocument/2006/relationships/image" Target="media/image217.emf"/><Relationship Id="rId8" Type="http://schemas.openxmlformats.org/officeDocument/2006/relationships/footnotes" Target="footnotes.xml"/><Relationship Id="rId142" Type="http://schemas.openxmlformats.org/officeDocument/2006/relationships/image" Target="media/image59.emf"/><Relationship Id="rId184" Type="http://schemas.openxmlformats.org/officeDocument/2006/relationships/image" Target="media/image80.emf"/><Relationship Id="rId391" Type="http://schemas.openxmlformats.org/officeDocument/2006/relationships/image" Target="media/image149.emf"/><Relationship Id="rId405" Type="http://schemas.openxmlformats.org/officeDocument/2006/relationships/hyperlink" Target="https://wx.qq.com/cgi-bin/mmwebwx-bin/webwxcheckurl?requrl=http://etax.zjtax.gov.cn/&amp;skey=@crypt_9b8542cc_f30adc6f574a4430dec5a05a4290c56d&amp;deviceid=e342814812485993&amp;pass_ticket=ARsrD6OFnUQWYoiRM6E8EtGy11IGfvLd0Fnr5AkJ8vurSHuuZZeW6REfsBnu7V93&amp;opcode=2&amp;scene=1&amp;username=@059c84309132f2b9c2cdf914c424269a37581f28c7b70709cf216d51a89a0a1b" TargetMode="External"/><Relationship Id="rId447" Type="http://schemas.openxmlformats.org/officeDocument/2006/relationships/hyperlink" Target="https://wx.qq.com/cgi-bin/mmwebwx-bin/webwxcheckurl?requrl=http://etax.zjtax.gov.cn/&amp;skey=@crypt_9b8542cc_f30adc6f574a4430dec5a05a4290c56d&amp;deviceid=e342814812485993&amp;pass_ticket=ARsrD6OFnUQWYoiRM6E8EtGy11IGfvLd0Fnr5AkJ8vurSHuuZZeW6REfsBnu7V93&amp;opcode=2&amp;scene=1&amp;username=@059c84309132f2b9c2cdf914c424269a37581f28c7b70709cf216d51a89a0a1b" TargetMode="External"/><Relationship Id="rId251" Type="http://schemas.openxmlformats.org/officeDocument/2006/relationships/image" Target="media/image100.emf"/><Relationship Id="rId489" Type="http://schemas.openxmlformats.org/officeDocument/2006/relationships/oleObject" Target="embeddings/oleObject185.bin"/><Relationship Id="rId46" Type="http://schemas.openxmlformats.org/officeDocument/2006/relationships/image" Target="media/image14.emf"/><Relationship Id="rId293" Type="http://schemas.openxmlformats.org/officeDocument/2006/relationships/oleObject" Target="embeddings/oleObject113.bin"/><Relationship Id="rId307" Type="http://schemas.openxmlformats.org/officeDocument/2006/relationships/oleObject" Target="embeddings/oleObject119.bin"/><Relationship Id="rId349" Type="http://schemas.openxmlformats.org/officeDocument/2006/relationships/image" Target="media/image134.emf"/><Relationship Id="rId514" Type="http://schemas.openxmlformats.org/officeDocument/2006/relationships/image" Target="media/image202.emf"/><Relationship Id="rId556" Type="http://schemas.openxmlformats.org/officeDocument/2006/relationships/hyperlink" Target="http://www.zjtax.gov.cn/pub/zjgs/bsfw/zlxz/bdzsxz/gyws/201505/t20150521_525936.html" TargetMode="External"/><Relationship Id="rId88" Type="http://schemas.openxmlformats.org/officeDocument/2006/relationships/image" Target="media/image33.emf"/><Relationship Id="rId111" Type="http://schemas.openxmlformats.org/officeDocument/2006/relationships/oleObject" Target="embeddings/oleObject43.bin"/><Relationship Id="rId153" Type="http://schemas.openxmlformats.org/officeDocument/2006/relationships/oleObject" Target="embeddings/oleObject64.bin"/><Relationship Id="rId195" Type="http://schemas.openxmlformats.org/officeDocument/2006/relationships/hyperlink" Target="http://www.zjtax.gov.cn/pub/zjgs/bsfw/zlxz/bdzsxz/sbns/201505/t20150521_525900.html" TargetMode="External"/><Relationship Id="rId209" Type="http://schemas.openxmlformats.org/officeDocument/2006/relationships/oleObject" Target="embeddings/oleObject86.bin"/><Relationship Id="rId360" Type="http://schemas.openxmlformats.org/officeDocument/2006/relationships/hyperlink" Target="https://wx.qq.com/cgi-bin/mmwebwx-bin/webwxcheckurl?requrl=http://etax.zjtax.gov.cn/&amp;skey=@crypt_9b8542cc_f30adc6f574a4430dec5a05a4290c56d&amp;deviceid=e342814812485993&amp;pass_ticket=ARsrD6OFnUQWYoiRM6E8EtGy11IGfvLd0Fnr5AkJ8vurSHuuZZeW6REfsBnu7V93&amp;opcode=2&amp;scene=1&amp;username=@059c84309132f2b9c2cdf914c424269a37581f28c7b70709cf216d51a89a0a1b" TargetMode="External"/><Relationship Id="rId416" Type="http://schemas.openxmlformats.org/officeDocument/2006/relationships/oleObject" Target="embeddings/oleObject153.bin"/><Relationship Id="rId220" Type="http://schemas.openxmlformats.org/officeDocument/2006/relationships/hyperlink" Target="http://www.zjtax.gov.cn/pub/zjgs/bsfw/zlxz/bdzsxz/sbns/201505/t20150521_525900.html" TargetMode="External"/><Relationship Id="rId458" Type="http://schemas.openxmlformats.org/officeDocument/2006/relationships/image" Target="media/image175.emf"/><Relationship Id="rId15" Type="http://schemas.openxmlformats.org/officeDocument/2006/relationships/footer" Target="footer4.xml"/><Relationship Id="rId57" Type="http://schemas.openxmlformats.org/officeDocument/2006/relationships/oleObject" Target="embeddings/oleObject18.bin"/><Relationship Id="rId262" Type="http://schemas.openxmlformats.org/officeDocument/2006/relationships/oleObject" Target="embeddings/oleObject103.bin"/><Relationship Id="rId318" Type="http://schemas.openxmlformats.org/officeDocument/2006/relationships/image" Target="media/image124.emf"/><Relationship Id="rId525" Type="http://schemas.openxmlformats.org/officeDocument/2006/relationships/oleObject" Target="embeddings/oleObject200.bin"/><Relationship Id="rId567" Type="http://schemas.openxmlformats.org/officeDocument/2006/relationships/hyperlink" Target="http://www.zjtax.gov.cn/pub/zjgs/bsfw/zlxz/bdzsxz/gyws/201505/t20150521_525936.html" TargetMode="External"/><Relationship Id="rId99" Type="http://schemas.openxmlformats.org/officeDocument/2006/relationships/oleObject" Target="embeddings/oleObject38.bin"/><Relationship Id="rId122" Type="http://schemas.openxmlformats.org/officeDocument/2006/relationships/image" Target="media/image49.emf"/><Relationship Id="rId164" Type="http://schemas.openxmlformats.org/officeDocument/2006/relationships/image" Target="media/image70.emf"/><Relationship Id="rId371" Type="http://schemas.openxmlformats.org/officeDocument/2006/relationships/oleObject" Target="embeddings/oleObject140.bin"/><Relationship Id="rId427" Type="http://schemas.openxmlformats.org/officeDocument/2006/relationships/oleObject" Target="embeddings/oleObject157.bin"/><Relationship Id="rId469" Type="http://schemas.openxmlformats.org/officeDocument/2006/relationships/oleObject" Target="embeddings/oleObject176.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overPageProperties xmlns="http://schemas.microsoft.com/office/2006/coverPageProps">
  <PublishDate>2018-01-11T00:00:00</PublishDate>
  <Abstract/>
  <CompanyAddress/>
  <CompanyPhone/>
  <CompanyFax/>
  <CompanyEmail/>
</CoverPageProperties>
</file>

<file path=customXml/item2.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2063" textRotate="1"/>
    <customShpInfo spid="_x0000_s2049"/>
    <customShpInfo spid="_x0000_s2064" textRotate="1"/>
    <customShpInfo spid="_x0000_s2065" textRotate="1"/>
    <customShpInfo spid="_x0000_s2056"/>
    <customShpInfo spid="_x0000_s2066" textRotate="1"/>
    <customShpInfo spid="_x0000_s1466"/>
    <customShpInfo spid="_x0000_s1315"/>
    <customShpInfo spid="_x0000_s1316"/>
    <customShpInfo spid="_x0000_s1419"/>
    <customShpInfo spid="_x0000_s1318"/>
    <customShpInfo spid="_x0000_s1317"/>
    <customShpInfo spid="_x0000_s1165"/>
    <customShpInfo spid="_x0000_s1319"/>
    <customShpInfo spid="_x0000_s1191"/>
    <customShpInfo spid="_x0000_s1172"/>
    <customShpInfo spid="_x0000_s1320"/>
    <customShpInfo spid="_x0000_s1321"/>
    <customShpInfo spid="_x0000_s1322"/>
    <customShpInfo spid="_x0000_s1323"/>
    <customShpInfo spid="_x0000_s1325"/>
    <customShpInfo spid="_x0000_s1324"/>
    <customShpInfo spid="_x0000_s1327"/>
    <customShpInfo spid="_x0000_s1326"/>
    <customShpInfo spid="_x0000_s1329"/>
    <customShpInfo spid="_x0000_s1328"/>
    <customShpInfo spid="_x0000_s1331"/>
    <customShpInfo spid="_x0000_s1330"/>
    <customShpInfo spid="_x0000_s1332"/>
    <customShpInfo spid="_x0000_s1465"/>
    <customShpInfo spid="_x0000_s1194"/>
    <customShpInfo spid="_x0000_s1209"/>
    <customShpInfo spid="_x0000_s1467"/>
    <customShpInfo spid="_x0000_s1211"/>
    <customShpInfo spid="_x0000_s1212"/>
    <customShpInfo spid="_x0000_s1333"/>
    <customShpInfo spid="_x0000_s1213"/>
    <customShpInfo spid="_x0000_s1216"/>
    <customShpInfo spid="_x0000_s1217"/>
    <customShpInfo spid="_x0000_s1334"/>
    <customShpInfo spid="_x0000_s1335"/>
    <customShpInfo spid="_x0000_s1220"/>
    <customShpInfo spid="_x0000_s1219"/>
    <customShpInfo spid="_x0000_s1222"/>
    <customShpInfo spid="_x0000_s1221"/>
    <customShpInfo spid="_x0000_s1224"/>
    <customShpInfo spid="_x0000_s1223"/>
    <customShpInfo spid="_x0000_s1337"/>
    <customShpInfo spid="_x0000_s1336"/>
    <customShpInfo spid="_x0000_s1339"/>
    <customShpInfo spid="_x0000_s1338"/>
    <customShpInfo spid="_x0000_s1340"/>
    <customShpInfo spid="_x0000_s1342"/>
    <customShpInfo spid="_x0000_s1341"/>
    <customShpInfo spid="_x0000_s1226"/>
    <customShpInfo spid="_x0000_s1225"/>
    <customShpInfo spid="_x0000_s1062"/>
    <customShpInfo spid="_x0000_s1290"/>
    <customShpInfo spid="_x0000_s1283"/>
    <customShpInfo spid="_x0000_s1282"/>
    <customShpInfo spid="_x0000_s1281"/>
    <customShpInfo spid="_x0000_s1279"/>
    <customShpInfo spid="_x0000_s1280"/>
    <customShpInfo spid="_x0000_s1513"/>
    <customShpInfo spid="_x0000_s1512"/>
    <customShpInfo spid="_x0000_s1343"/>
    <customShpInfo spid="_x0000_s1285"/>
    <customShpInfo spid="_x0000_s1287"/>
    <customShpInfo spid="_x0000_s1286"/>
    <customShpInfo spid="_x0000_s1276"/>
    <customShpInfo spid="_x0000_s1288"/>
    <customShpInfo spid="_x0000_s1274"/>
    <customShpInfo spid="_x0000_s1275"/>
    <customShpInfo spid="_x0000_s1273"/>
    <customShpInfo spid="_x0000_s1272"/>
    <customShpInfo spid="_x0000_s1271"/>
    <customShpInfo spid="_x0000_s1270"/>
    <customShpInfo spid="_x0000_s1269"/>
    <customShpInfo spid="_x0000_s1268"/>
    <customShpInfo spid="_x0000_s1266"/>
    <customShpInfo spid="_x0000_s1267"/>
    <customShpInfo spid="_x0000_s1264"/>
    <customShpInfo spid="_x0000_s1265"/>
    <customShpInfo spid="_x0000_s1263"/>
    <customShpInfo spid="_x0000_s1262"/>
    <customShpInfo spid="_x0000_s1289"/>
    <customShpInfo spid="_x0000_s1261"/>
    <customShpInfo spid="_x0000_s1345"/>
    <customShpInfo spid="_x0000_s1344"/>
    <customShpInfo spid="_x0000_s1347"/>
    <customShpInfo spid="_x0000_s1346"/>
    <customShpInfo spid="_x0000_s1350"/>
    <customShpInfo spid="_x0000_s1349"/>
    <customShpInfo spid="_x0000_s1352"/>
    <customShpInfo spid="_x0000_s1351"/>
    <customShpInfo spid="_x0000_s1353"/>
    <customShpInfo spid="_x0000_s1354"/>
    <customShpInfo spid="_x0000_s1355"/>
    <customShpInfo spid="_x0000_s1358"/>
    <customShpInfo spid="_x0000_s1357"/>
    <customShpInfo spid="_x0000_s1360"/>
    <customShpInfo spid="_x0000_s1359"/>
    <customShpInfo spid="_x0000_s1361"/>
    <customShpInfo spid="_x0000_s1362"/>
    <customShpInfo spid="_x0000_s1364"/>
    <customShpInfo spid="_x0000_s1363"/>
    <customShpInfo spid="_x0000_s1366"/>
    <customShpInfo spid="_x0000_s1365"/>
    <customShpInfo spid="_x0000_s1463"/>
    <customShpInfo spid="_x0000_s1464"/>
    <customShpInfo spid="_x0000_s1370"/>
    <customShpInfo spid="_x0000_s1369"/>
    <customShpInfo spid="_x0000_s1372"/>
    <customShpInfo spid="_x0000_s1371"/>
    <customShpInfo spid="_x0000_s1374"/>
    <customShpInfo spid="_x0000_s1373"/>
    <customShpInfo spid="_x0000_s1376"/>
    <customShpInfo spid="_x0000_s1375"/>
    <customShpInfo spid="_x0000_s1377"/>
    <customShpInfo spid="_x0000_s1378"/>
    <customShpInfo spid="_x0000_s1380"/>
    <customShpInfo spid="_x0000_s1379"/>
    <customShpInfo spid="_x0000_s1382"/>
    <customShpInfo spid="_x0000_s1381"/>
    <customShpInfo spid="_x0000_s1228"/>
    <customShpInfo spid="_x0000_s1227"/>
    <customShpInfo spid="_x0000_s1384"/>
    <customShpInfo spid="_x0000_s1383"/>
    <customShpInfo spid="_x0000_s1294"/>
    <customShpInfo spid="_x0000_s1417"/>
    <customShpInfo spid="_x0000_s1296"/>
    <customShpInfo spid="_x0000_s1237"/>
    <customShpInfo spid="_x0000_s1385"/>
    <customShpInfo spid="_x0000_s1387"/>
    <customShpInfo spid="_x0000_s1386"/>
    <customShpInfo spid="_x0000_s1389"/>
    <customShpInfo spid="_x0000_s1388"/>
    <customShpInfo spid="_x0000_s1390"/>
    <customShpInfo spid="_x0000_s1391"/>
    <customShpInfo spid="_x0000_s1392"/>
    <customShpInfo spid="_x0000_s1395"/>
    <customShpInfo spid="_x0000_s1394"/>
    <customShpInfo spid="_x0000_s1396"/>
    <customShpInfo spid="_x0000_s1397"/>
    <customShpInfo spid="_x0000_s1107"/>
    <customShpInfo spid="_x0000_s1106"/>
    <customShpInfo spid="_x0000_s1189"/>
    <customShpInfo spid="_x0000_s1398"/>
    <customShpInfo spid="_x0000_s1418"/>
    <customShpInfo spid="_x0000_s1230"/>
    <customShpInfo spid="_x0000_s1229"/>
    <customShpInfo spid="_x0000_s1401"/>
    <customShpInfo spid="_x0000_s1400"/>
    <customShpInfo spid="_x0000_s1403"/>
    <customShpInfo spid="_x0000_s1402"/>
    <customShpInfo spid="_x0000_s1404"/>
    <customShpInfo spid="_x0000_s1180"/>
    <customShpInfo spid="_x0000_s1405"/>
    <customShpInfo spid="_x0000_s1406"/>
    <customShpInfo spid="_x0000_s1302"/>
    <customShpInfo spid="_x0000_s1407"/>
    <customShpInfo spid="_x0000_s1408"/>
    <customShpInfo spid="_x0000_s1200"/>
    <customShpInfo spid="_x0000_s1409"/>
    <customShpInfo spid="_x0000_s1133"/>
    <customShpInfo spid="_x0000_s1411"/>
    <customShpInfo spid="_x0000_s1410"/>
    <customShpInfo spid="_x0000_s1304"/>
    <customShpInfo spid="_x0000_s1303"/>
    <customShpInfo spid="_x0000_s1468"/>
    <customShpInfo spid="_x0000_s1413"/>
    <customShpInfo spid="_x0000_s1525"/>
    <customShpInfo spid="_x0000_s1524"/>
    <customShpInfo spid="_x0000_s1414"/>
    <customShpInfo spid="_x0000_s1415"/>
    <customShpInfo spid="_x0000_s1185"/>
    <customShpInfo spid="_x0000_s1188"/>
    <customShpInfo spid="_x0000_s1416"/>
    <customShpInfo spid="_x0000_s1186"/>
    <customShpInfo spid="_x0000_s1187"/>
    <customShpInfo spid="_x0000_s1515"/>
    <customShpInfo spid="_x0000_s1514"/>
    <customShpInfo spid="_x0000_s1517"/>
    <customShpInfo spid="_x0000_s1518"/>
    <customShpInfo spid="_x0000_s1310"/>
    <customShpInfo spid="_x0000_s1309"/>
    <customShpInfo spid="_x0000_s1308"/>
    <customShpInfo spid="_x0000_s1307"/>
    <customShpInfo spid="_x0000_s1305"/>
    <customShpInfo spid="_x0000_s1306"/>
    <customShpInfo spid="_x0000_s1520"/>
    <customShpInfo spid="_x0000_s1519"/>
  </customShpExts>
</s:customData>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9E557DA8-5328-4250-82FE-2CE13BECE9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TotalTime>
  <Pages>1</Pages>
  <Words>37080</Words>
  <Characters>211362</Characters>
  <Application>Microsoft Office Word</Application>
  <DocSecurity>0</DocSecurity>
  <Lines>1761</Lines>
  <Paragraphs>495</Paragraphs>
  <ScaleCrop>false</ScaleCrop>
  <Company/>
  <LinksUpToDate>false</LinksUpToDate>
  <CharactersWithSpaces>247947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浙江省国家税务局最多跑一次事项”八统一”梳理表</dc:title>
  <dc:creator>hudan</dc:creator>
  <cp:lastModifiedBy>artemis chou</cp:lastModifiedBy>
  <cp:revision>10</cp:revision>
  <cp:lastPrinted>2017-08-10T14:58:00Z</cp:lastPrinted>
  <dcterms:created xsi:type="dcterms:W3CDTF">2018-01-12T04:03:00Z</dcterms:created>
  <dcterms:modified xsi:type="dcterms:W3CDTF">2018-01-12T12:55:00Z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2052-10.1.0.7022</vt:lpwstr>
  </property>
</Properties>
</file>